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bidi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重庆通力高速公路养护工程有限公司</w:t>
      </w:r>
    </w:p>
    <w:p>
      <w:pPr>
        <w:pageBreakBefore w:val="0"/>
        <w:kinsoku/>
        <w:overflowPunct/>
        <w:bidi w:val="0"/>
        <w:spacing w:line="360" w:lineRule="auto"/>
        <w:jc w:val="center"/>
        <w:rPr>
          <w:rFonts w:hint="eastAsia" w:ascii="宋体" w:hAnsi="宋体" w:cs="宋体"/>
          <w:b/>
          <w:color w:val="auto"/>
          <w:sz w:val="44"/>
          <w:szCs w:val="44"/>
          <w:highlight w:val="none"/>
          <w:lang w:eastAsia="zh-CN"/>
        </w:rPr>
      </w:pPr>
      <w:r>
        <w:rPr>
          <w:rFonts w:hint="eastAsia" w:ascii="宋体" w:hAnsi="宋体" w:cs="宋体"/>
          <w:b/>
          <w:color w:val="auto"/>
          <w:sz w:val="44"/>
          <w:szCs w:val="44"/>
          <w:highlight w:val="none"/>
          <w:lang w:val="en-US" w:eastAsia="zh-CN"/>
        </w:rPr>
        <w:t>绕城高速复兴服务区导视系统改善</w:t>
      </w:r>
      <w:r>
        <w:rPr>
          <w:rFonts w:hint="eastAsia" w:ascii="宋体" w:hAnsi="宋体" w:cs="宋体"/>
          <w:b/>
          <w:color w:val="auto"/>
          <w:sz w:val="44"/>
          <w:szCs w:val="44"/>
          <w:highlight w:val="none"/>
          <w:lang w:eastAsia="zh-CN"/>
        </w:rPr>
        <w:t>工程</w:t>
      </w:r>
    </w:p>
    <w:p>
      <w:pPr>
        <w:pStyle w:val="2"/>
        <w:pageBreakBefore w:val="0"/>
        <w:kinsoku/>
        <w:overflowPunct/>
        <w:bidi w:val="0"/>
        <w:spacing w:line="360" w:lineRule="auto"/>
        <w:jc w:val="center"/>
        <w:rPr>
          <w:rFonts w:hint="eastAsia" w:ascii="宋体" w:hAnsi="宋体" w:eastAsia="宋体" w:cs="宋体"/>
          <w:b/>
          <w:bCs w:val="0"/>
          <w:color w:val="auto"/>
          <w:kern w:val="2"/>
          <w:sz w:val="44"/>
          <w:szCs w:val="44"/>
          <w:highlight w:val="none"/>
          <w:lang w:val="en-US" w:eastAsia="zh-CN" w:bidi="ar-SA"/>
        </w:rPr>
      </w:pPr>
      <w:r>
        <w:rPr>
          <w:rFonts w:hint="eastAsia" w:ascii="宋体" w:hAnsi="宋体" w:eastAsia="宋体" w:cs="宋体"/>
          <w:b/>
          <w:bCs w:val="0"/>
          <w:color w:val="auto"/>
          <w:kern w:val="2"/>
          <w:sz w:val="44"/>
          <w:szCs w:val="44"/>
          <w:highlight w:val="none"/>
          <w:lang w:val="en-US" w:eastAsia="zh-CN" w:bidi="ar-SA"/>
        </w:rPr>
        <w:t>导视系统及发光字体采购</w:t>
      </w:r>
    </w:p>
    <w:p>
      <w:pPr>
        <w:pageBreakBefore w:val="0"/>
        <w:kinsoku/>
        <w:overflowPunct/>
        <w:bidi w:val="0"/>
        <w:spacing w:line="360" w:lineRule="auto"/>
        <w:rPr>
          <w:rFonts w:hint="eastAsia" w:ascii="宋体" w:hAnsi="宋体" w:cs="宋体"/>
          <w:b/>
          <w:color w:val="auto"/>
          <w:sz w:val="48"/>
          <w:szCs w:val="48"/>
          <w:highlight w:val="none"/>
          <w:lang w:val="en-US" w:eastAsia="zh-CN"/>
        </w:rPr>
      </w:pPr>
    </w:p>
    <w:p>
      <w:pPr>
        <w:pStyle w:val="2"/>
        <w:pageBreakBefore w:val="0"/>
        <w:kinsoku/>
        <w:overflowPunct/>
        <w:bidi w:val="0"/>
        <w:spacing w:line="360" w:lineRule="auto"/>
        <w:rPr>
          <w:rFonts w:hint="eastAsia"/>
        </w:rPr>
      </w:pPr>
    </w:p>
    <w:p>
      <w:pPr>
        <w:pageBreakBefore w:val="0"/>
        <w:kinsoku/>
        <w:overflowPunct/>
        <w:bidi w:val="0"/>
        <w:spacing w:line="360" w:lineRule="auto"/>
        <w:jc w:val="center"/>
        <w:rPr>
          <w:rFonts w:hint="eastAsia" w:ascii="宋体" w:hAnsi="宋体" w:cs="宋体"/>
          <w:b/>
          <w:color w:val="auto"/>
          <w:spacing w:val="20"/>
          <w:sz w:val="84"/>
          <w:szCs w:val="84"/>
          <w:highlight w:val="none"/>
          <w:lang w:val="en-US" w:eastAsia="zh-CN"/>
        </w:rPr>
      </w:pPr>
    </w:p>
    <w:p>
      <w:pPr>
        <w:pageBreakBefore w:val="0"/>
        <w:kinsoku/>
        <w:overflowPunct/>
        <w:bidi w:val="0"/>
        <w:spacing w:line="360" w:lineRule="auto"/>
        <w:ind w:firstLine="883" w:firstLineChars="100"/>
        <w:jc w:val="center"/>
        <w:rPr>
          <w:rFonts w:hint="eastAsia" w:ascii="宋体" w:hAnsi="宋体" w:cs="宋体"/>
          <w:b/>
          <w:color w:val="auto"/>
          <w:spacing w:val="20"/>
          <w:sz w:val="84"/>
          <w:szCs w:val="84"/>
          <w:highlight w:val="none"/>
        </w:rPr>
      </w:pPr>
      <w:r>
        <w:rPr>
          <w:rFonts w:hint="eastAsia" w:ascii="宋体" w:hAnsi="宋体" w:cs="宋体"/>
          <w:b/>
          <w:color w:val="auto"/>
          <w:spacing w:val="20"/>
          <w:sz w:val="84"/>
          <w:szCs w:val="84"/>
          <w:highlight w:val="none"/>
          <w:lang w:val="en-US" w:eastAsia="zh-CN"/>
        </w:rPr>
        <w:t>竞争性比选</w:t>
      </w:r>
      <w:r>
        <w:rPr>
          <w:rFonts w:hint="eastAsia" w:ascii="宋体" w:hAnsi="宋体" w:cs="宋体"/>
          <w:b/>
          <w:color w:val="auto"/>
          <w:spacing w:val="20"/>
          <w:sz w:val="84"/>
          <w:szCs w:val="84"/>
          <w:highlight w:val="none"/>
        </w:rPr>
        <w:t>文件</w:t>
      </w:r>
    </w:p>
    <w:p>
      <w:pPr>
        <w:pageBreakBefore w:val="0"/>
        <w:kinsoku/>
        <w:overflowPunct/>
        <w:bidi w:val="0"/>
        <w:spacing w:line="360" w:lineRule="auto"/>
        <w:jc w:val="center"/>
        <w:rPr>
          <w:rFonts w:hint="eastAsia" w:ascii="宋体" w:hAnsi="宋体" w:cs="宋体"/>
          <w:color w:val="auto"/>
          <w:szCs w:val="21"/>
          <w:highlight w:val="none"/>
        </w:rPr>
      </w:pPr>
    </w:p>
    <w:p>
      <w:pPr>
        <w:pageBreakBefore w:val="0"/>
        <w:kinsoku/>
        <w:overflowPunct/>
        <w:bidi w:val="0"/>
        <w:spacing w:line="360" w:lineRule="auto"/>
        <w:jc w:val="center"/>
        <w:rPr>
          <w:rFonts w:hint="eastAsia" w:ascii="宋体" w:hAnsi="宋体" w:cs="宋体"/>
          <w:color w:val="auto"/>
          <w:szCs w:val="21"/>
          <w:highlight w:val="none"/>
        </w:rPr>
      </w:pPr>
    </w:p>
    <w:p>
      <w:pPr>
        <w:pageBreakBefore w:val="0"/>
        <w:kinsoku/>
        <w:overflowPunct/>
        <w:bidi w:val="0"/>
        <w:spacing w:line="360" w:lineRule="auto"/>
        <w:jc w:val="center"/>
        <w:rPr>
          <w:rFonts w:hint="eastAsia" w:ascii="宋体" w:hAnsi="宋体" w:cs="宋体"/>
          <w:color w:val="auto"/>
          <w:szCs w:val="21"/>
          <w:highlight w:val="none"/>
        </w:rPr>
      </w:pPr>
    </w:p>
    <w:p>
      <w:pPr>
        <w:pageBreakBefore w:val="0"/>
        <w:kinsoku/>
        <w:overflowPunct/>
        <w:bidi w:val="0"/>
        <w:spacing w:line="360" w:lineRule="auto"/>
        <w:jc w:val="center"/>
        <w:rPr>
          <w:rFonts w:hint="eastAsia" w:ascii="宋体" w:hAnsi="宋体" w:cs="宋体"/>
          <w:color w:val="auto"/>
          <w:szCs w:val="21"/>
          <w:highlight w:val="none"/>
        </w:rPr>
      </w:pPr>
    </w:p>
    <w:p>
      <w:pPr>
        <w:pageBreakBefore w:val="0"/>
        <w:kinsoku/>
        <w:overflowPunct/>
        <w:bidi w:val="0"/>
        <w:spacing w:line="360" w:lineRule="auto"/>
        <w:jc w:val="center"/>
        <w:rPr>
          <w:rFonts w:hint="eastAsia" w:ascii="宋体" w:hAnsi="宋体" w:cs="宋体"/>
          <w:color w:val="auto"/>
          <w:szCs w:val="21"/>
          <w:highlight w:val="none"/>
        </w:rPr>
      </w:pPr>
    </w:p>
    <w:p>
      <w:pPr>
        <w:pageBreakBefore w:val="0"/>
        <w:kinsoku/>
        <w:overflowPunct/>
        <w:bidi w:val="0"/>
        <w:spacing w:line="360" w:lineRule="auto"/>
        <w:jc w:val="center"/>
        <w:rPr>
          <w:rFonts w:hint="eastAsia" w:ascii="宋体" w:hAnsi="宋体" w:cs="宋体"/>
          <w:color w:val="auto"/>
          <w:szCs w:val="21"/>
          <w:highlight w:val="none"/>
        </w:rPr>
      </w:pPr>
    </w:p>
    <w:p>
      <w:pPr>
        <w:pageBreakBefore w:val="0"/>
        <w:kinsoku/>
        <w:overflowPunct/>
        <w:bidi w:val="0"/>
        <w:spacing w:line="360" w:lineRule="auto"/>
        <w:jc w:val="center"/>
        <w:rPr>
          <w:rFonts w:hint="eastAsia" w:ascii="宋体" w:hAnsi="宋体" w:cs="宋体"/>
          <w:color w:val="auto"/>
          <w:szCs w:val="21"/>
          <w:highlight w:val="none"/>
        </w:rPr>
      </w:pPr>
    </w:p>
    <w:p>
      <w:pPr>
        <w:pageBreakBefore w:val="0"/>
        <w:kinsoku/>
        <w:overflowPunct/>
        <w:bidi w:val="0"/>
        <w:spacing w:line="360" w:lineRule="auto"/>
        <w:jc w:val="center"/>
        <w:rPr>
          <w:rFonts w:hint="eastAsia" w:ascii="宋体" w:hAnsi="宋体" w:cs="宋体"/>
          <w:color w:val="auto"/>
          <w:szCs w:val="21"/>
          <w:highlight w:val="none"/>
        </w:rPr>
      </w:pPr>
    </w:p>
    <w:p>
      <w:pPr>
        <w:pageBreakBefore w:val="0"/>
        <w:kinsoku/>
        <w:overflowPunct/>
        <w:bidi w:val="0"/>
        <w:spacing w:line="360" w:lineRule="auto"/>
        <w:jc w:val="center"/>
        <w:rPr>
          <w:rFonts w:hint="eastAsia" w:ascii="宋体" w:hAnsi="宋体" w:cs="宋体"/>
          <w:color w:val="auto"/>
          <w:szCs w:val="21"/>
          <w:highlight w:val="none"/>
        </w:rPr>
      </w:pPr>
    </w:p>
    <w:p>
      <w:pPr>
        <w:pageBreakBefore w:val="0"/>
        <w:kinsoku/>
        <w:overflowPunct/>
        <w:bidi w:val="0"/>
        <w:spacing w:line="360" w:lineRule="auto"/>
        <w:jc w:val="center"/>
        <w:rPr>
          <w:rFonts w:hint="eastAsia" w:ascii="宋体" w:hAnsi="宋体" w:cs="宋体"/>
          <w:color w:val="auto"/>
          <w:szCs w:val="21"/>
          <w:highlight w:val="none"/>
        </w:rPr>
      </w:pPr>
    </w:p>
    <w:p>
      <w:pPr>
        <w:pageBreakBefore w:val="0"/>
        <w:kinsoku/>
        <w:overflowPunct/>
        <w:bidi w:val="0"/>
        <w:spacing w:line="360" w:lineRule="auto"/>
        <w:jc w:val="center"/>
        <w:rPr>
          <w:rFonts w:hint="eastAsia" w:ascii="宋体" w:hAnsi="宋体" w:cs="宋体"/>
          <w:color w:val="auto"/>
          <w:szCs w:val="21"/>
          <w:highlight w:val="none"/>
        </w:rPr>
      </w:pPr>
    </w:p>
    <w:p>
      <w:pPr>
        <w:pageBreakBefore w:val="0"/>
        <w:kinsoku/>
        <w:overflowPunct/>
        <w:bidi w:val="0"/>
        <w:spacing w:line="360" w:lineRule="auto"/>
        <w:jc w:val="center"/>
        <w:rPr>
          <w:rFonts w:hint="eastAsia"/>
        </w:rPr>
      </w:pPr>
    </w:p>
    <w:p>
      <w:pPr>
        <w:pageBreakBefore w:val="0"/>
        <w:kinsoku/>
        <w:overflowPunct/>
        <w:bidi w:val="0"/>
        <w:spacing w:line="360" w:lineRule="auto"/>
        <w:jc w:val="center"/>
        <w:rPr>
          <w:rFonts w:hint="eastAsia" w:ascii="宋体" w:hAnsi="宋体" w:cs="宋体"/>
          <w:color w:val="auto"/>
          <w:szCs w:val="21"/>
          <w:highlight w:val="none"/>
        </w:rPr>
      </w:pPr>
    </w:p>
    <w:p>
      <w:pPr>
        <w:pageBreakBefore w:val="0"/>
        <w:kinsoku/>
        <w:overflowPunct/>
        <w:bidi w:val="0"/>
        <w:spacing w:line="360" w:lineRule="auto"/>
        <w:jc w:val="center"/>
        <w:rPr>
          <w:rFonts w:hint="eastAsia" w:ascii="宋体" w:hAnsi="宋体" w:cs="宋体"/>
          <w:color w:val="auto"/>
          <w:spacing w:val="100"/>
          <w:szCs w:val="21"/>
          <w:highlight w:val="none"/>
        </w:rPr>
      </w:pPr>
    </w:p>
    <w:p>
      <w:pPr>
        <w:pStyle w:val="4"/>
        <w:pageBreakBefore w:val="0"/>
        <w:kinsoku/>
        <w:overflowPunct/>
        <w:bidi w:val="0"/>
        <w:spacing w:line="360" w:lineRule="auto"/>
        <w:ind w:left="99" w:leftChars="47"/>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重庆通力高速公路养护工程有限公司</w:t>
      </w:r>
    </w:p>
    <w:p>
      <w:pPr>
        <w:pStyle w:val="4"/>
        <w:pageBreakBefore w:val="0"/>
        <w:kinsoku/>
        <w:overflowPunct/>
        <w:bidi w:val="0"/>
        <w:spacing w:line="360" w:lineRule="auto"/>
        <w:ind w:left="99" w:leftChars="47"/>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20</w:t>
      </w:r>
      <w:r>
        <w:rPr>
          <w:rFonts w:hint="eastAsia" w:ascii="宋体" w:hAnsi="宋体" w:cs="宋体"/>
          <w:b/>
          <w:color w:val="auto"/>
          <w:sz w:val="32"/>
          <w:szCs w:val="32"/>
          <w:highlight w:val="none"/>
          <w:lang w:val="en-US" w:eastAsia="zh-CN"/>
        </w:rPr>
        <w:t>22</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8</w:t>
      </w:r>
      <w:r>
        <w:rPr>
          <w:rFonts w:hint="eastAsia" w:ascii="宋体" w:hAnsi="宋体" w:cs="宋体"/>
          <w:b/>
          <w:color w:val="auto"/>
          <w:sz w:val="32"/>
          <w:szCs w:val="32"/>
          <w:highlight w:val="none"/>
        </w:rPr>
        <w:t>月</w:t>
      </w:r>
    </w:p>
    <w:p>
      <w:pPr>
        <w:pageBreakBefore w:val="0"/>
        <w:kinsoku/>
        <w:overflowPunct/>
        <w:bidi w:val="0"/>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重庆通力高速公路养护工程有限公司</w:t>
      </w:r>
    </w:p>
    <w:p>
      <w:pPr>
        <w:pageBreakBefore w:val="0"/>
        <w:kinsoku/>
        <w:overflowPunct/>
        <w:bidi w:val="0"/>
        <w:spacing w:line="360" w:lineRule="auto"/>
        <w:jc w:val="center"/>
        <w:rPr>
          <w:rFonts w:hint="eastAsia" w:ascii="宋体" w:hAnsi="宋体" w:eastAsia="宋体" w:cs="宋体"/>
          <w:b/>
          <w:color w:val="auto"/>
          <w:sz w:val="30"/>
          <w:szCs w:val="30"/>
          <w:highlight w:val="none"/>
          <w:lang w:eastAsia="zh-CN"/>
        </w:rPr>
      </w:pPr>
      <w:bookmarkStart w:id="0" w:name="_Toc296602410"/>
      <w:bookmarkStart w:id="1" w:name="_Toc144974487"/>
      <w:bookmarkStart w:id="2" w:name="_Toc246996909"/>
      <w:bookmarkStart w:id="3" w:name="_Toc179632536"/>
      <w:bookmarkStart w:id="4" w:name="_Toc246996166"/>
      <w:bookmarkStart w:id="5" w:name="_Toc152042295"/>
      <w:bookmarkStart w:id="6" w:name="_Toc152045519"/>
      <w:bookmarkStart w:id="7" w:name="_Toc247085680"/>
      <w:r>
        <w:rPr>
          <w:rFonts w:hint="eastAsia" w:ascii="宋体" w:hAnsi="宋体" w:cs="宋体"/>
          <w:b/>
          <w:color w:val="auto"/>
          <w:sz w:val="30"/>
          <w:szCs w:val="30"/>
          <w:highlight w:val="none"/>
          <w:lang w:val="en-US" w:eastAsia="zh-CN"/>
        </w:rPr>
        <w:t>绕城高速</w:t>
      </w:r>
      <w:r>
        <w:rPr>
          <w:rFonts w:hint="eastAsia" w:ascii="宋体" w:hAnsi="宋体" w:eastAsia="宋体" w:cs="宋体"/>
          <w:b/>
          <w:color w:val="auto"/>
          <w:sz w:val="30"/>
          <w:szCs w:val="30"/>
          <w:highlight w:val="none"/>
          <w:lang w:val="en-US" w:eastAsia="zh-CN"/>
        </w:rPr>
        <w:t>复兴服务区导视系统改善</w:t>
      </w:r>
      <w:r>
        <w:rPr>
          <w:rFonts w:hint="eastAsia" w:ascii="宋体" w:hAnsi="宋体" w:eastAsia="宋体" w:cs="宋体"/>
          <w:b/>
          <w:color w:val="auto"/>
          <w:sz w:val="30"/>
          <w:szCs w:val="30"/>
          <w:highlight w:val="none"/>
          <w:lang w:eastAsia="zh-CN"/>
        </w:rPr>
        <w:t>工程</w:t>
      </w:r>
    </w:p>
    <w:p>
      <w:pPr>
        <w:pageBreakBefore w:val="0"/>
        <w:kinsoku/>
        <w:overflowPunct/>
        <w:bidi w:val="0"/>
        <w:spacing w:line="360" w:lineRule="auto"/>
        <w:jc w:val="center"/>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导视系统及发光字体采购</w:t>
      </w:r>
    </w:p>
    <w:p>
      <w:pPr>
        <w:pageBreakBefore w:val="0"/>
        <w:kinsoku/>
        <w:overflowPunct/>
        <w:bidi w:val="0"/>
        <w:spacing w:line="360" w:lineRule="auto"/>
        <w:ind w:firstLine="151" w:firstLineChars="50"/>
        <w:jc w:val="center"/>
        <w:rPr>
          <w:rFonts w:hint="eastAsia" w:ascii="宋体" w:hAnsi="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竞争性比选公告</w:t>
      </w:r>
    </w:p>
    <w:bookmarkEnd w:id="0"/>
    <w:bookmarkEnd w:id="1"/>
    <w:bookmarkEnd w:id="2"/>
    <w:bookmarkEnd w:id="3"/>
    <w:bookmarkEnd w:id="4"/>
    <w:bookmarkEnd w:id="5"/>
    <w:bookmarkEnd w:id="6"/>
    <w:bookmarkEnd w:id="7"/>
    <w:p>
      <w:pPr>
        <w:keepNext w:val="0"/>
        <w:keepLines w:val="0"/>
        <w:pageBreakBefore w:val="0"/>
        <w:kinsoku/>
        <w:wordWrap w:val="0"/>
        <w:overflowPunct/>
        <w:topLinePunct w:val="0"/>
        <w:autoSpaceDE/>
        <w:autoSpaceDN/>
        <w:bidi w:val="0"/>
        <w:adjustRightInd/>
        <w:snapToGrid/>
        <w:spacing w:line="360" w:lineRule="auto"/>
        <w:ind w:firstLine="420" w:firstLineChars="200"/>
        <w:jc w:val="left"/>
        <w:textAlignment w:val="auto"/>
        <w:outlineLvl w:val="9"/>
        <w:rPr>
          <w:color w:val="auto"/>
          <w:szCs w:val="21"/>
          <w:highlight w:val="none"/>
        </w:rPr>
      </w:pPr>
      <w:bookmarkStart w:id="8" w:name="_Toc246996911"/>
      <w:bookmarkStart w:id="9" w:name="_Toc152042297"/>
      <w:bookmarkStart w:id="10" w:name="_Toc296602412"/>
      <w:bookmarkStart w:id="11" w:name="_Toc144974489"/>
      <w:bookmarkStart w:id="12" w:name="_Toc246996168"/>
      <w:bookmarkStart w:id="13" w:name="_Toc179632538"/>
      <w:bookmarkStart w:id="14" w:name="_Toc152045521"/>
      <w:bookmarkStart w:id="15" w:name="_Toc247085682"/>
      <w:r>
        <w:rPr>
          <w:color w:val="auto"/>
          <w:szCs w:val="21"/>
          <w:highlight w:val="none"/>
        </w:rPr>
        <w:t>本项目</w:t>
      </w:r>
      <w:r>
        <w:rPr>
          <w:rFonts w:hint="eastAsia"/>
          <w:color w:val="auto"/>
          <w:szCs w:val="21"/>
          <w:highlight w:val="none"/>
          <w:lang w:val="en-US" w:eastAsia="zh-CN"/>
        </w:rPr>
        <w:t>绕城高速</w:t>
      </w:r>
      <w:r>
        <w:rPr>
          <w:rFonts w:hint="eastAsia" w:ascii="Times New Roman" w:hAnsi="Times New Roman" w:eastAsia="宋体" w:cs="Times New Roman"/>
          <w:color w:val="auto"/>
          <w:szCs w:val="21"/>
          <w:highlight w:val="none"/>
          <w:lang w:val="en-US" w:eastAsia="zh-CN"/>
        </w:rPr>
        <w:t>复兴服务区导视系统改善</w:t>
      </w:r>
      <w:r>
        <w:rPr>
          <w:rFonts w:hint="eastAsia" w:ascii="Times New Roman" w:hAnsi="Times New Roman" w:eastAsia="宋体" w:cs="Times New Roman"/>
          <w:color w:val="auto"/>
          <w:szCs w:val="21"/>
          <w:highlight w:val="none"/>
          <w:lang w:eastAsia="zh-CN"/>
        </w:rPr>
        <w:t>工程</w:t>
      </w:r>
      <w:r>
        <w:rPr>
          <w:rFonts w:hint="eastAsia" w:ascii="Times New Roman" w:hAnsi="Times New Roman" w:eastAsia="宋体" w:cs="Times New Roman"/>
          <w:color w:val="auto"/>
          <w:szCs w:val="21"/>
          <w:highlight w:val="none"/>
          <w:lang w:val="en-US" w:eastAsia="zh-CN"/>
        </w:rPr>
        <w:t>导视系统及发光字体采购安装</w:t>
      </w:r>
      <w:r>
        <w:rPr>
          <w:color w:val="auto"/>
          <w:szCs w:val="21"/>
          <w:highlight w:val="none"/>
        </w:rPr>
        <w:t>准备组织实施，重庆通力高速公路养护工程有限公司计划以</w:t>
      </w:r>
      <w:r>
        <w:rPr>
          <w:rFonts w:hint="eastAsia"/>
          <w:color w:val="auto"/>
          <w:szCs w:val="21"/>
          <w:highlight w:val="none"/>
          <w:lang w:eastAsia="zh-CN"/>
        </w:rPr>
        <w:t>竞争性比选</w:t>
      </w:r>
      <w:r>
        <w:rPr>
          <w:color w:val="auto"/>
          <w:szCs w:val="21"/>
          <w:highlight w:val="none"/>
        </w:rPr>
        <w:t>方式确定成交单位，具体情况如下：</w:t>
      </w:r>
    </w:p>
    <w:p>
      <w:pPr>
        <w:keepNext w:val="0"/>
        <w:keepLines w:val="0"/>
        <w:pageBreakBefore w:val="0"/>
        <w:kinsoku/>
        <w:overflowPunct/>
        <w:topLinePunct w:val="0"/>
        <w:autoSpaceDE/>
        <w:autoSpaceDN/>
        <w:bidi w:val="0"/>
        <w:adjustRightInd/>
        <w:snapToGrid/>
        <w:spacing w:line="360" w:lineRule="auto"/>
        <w:textAlignment w:val="auto"/>
        <w:outlineLvl w:val="9"/>
        <w:rPr>
          <w:b/>
          <w:color w:val="auto"/>
          <w:szCs w:val="21"/>
          <w:highlight w:val="none"/>
        </w:rPr>
      </w:pPr>
      <w:bookmarkStart w:id="16" w:name="_Toc296602411"/>
      <w:bookmarkStart w:id="17" w:name="_Toc144974488"/>
      <w:bookmarkStart w:id="18" w:name="_Toc246996910"/>
      <w:bookmarkStart w:id="19" w:name="_Toc152042296"/>
      <w:bookmarkStart w:id="20" w:name="_Toc152045520"/>
      <w:bookmarkStart w:id="21" w:name="_Toc246996167"/>
      <w:bookmarkStart w:id="22" w:name="_Toc247085681"/>
      <w:bookmarkStart w:id="23" w:name="_Toc179632537"/>
      <w:r>
        <w:rPr>
          <w:b/>
          <w:color w:val="auto"/>
          <w:szCs w:val="21"/>
          <w:highlight w:val="none"/>
        </w:rPr>
        <w:t>一、项目概况与</w:t>
      </w:r>
      <w:r>
        <w:rPr>
          <w:rFonts w:hint="eastAsia"/>
          <w:b/>
          <w:color w:val="auto"/>
          <w:szCs w:val="21"/>
          <w:highlight w:val="none"/>
          <w:lang w:eastAsia="zh-CN"/>
        </w:rPr>
        <w:t>竞争性比选</w:t>
      </w:r>
      <w:r>
        <w:rPr>
          <w:b/>
          <w:color w:val="auto"/>
          <w:szCs w:val="21"/>
          <w:highlight w:val="none"/>
        </w:rPr>
        <w:t>范围</w:t>
      </w:r>
      <w:bookmarkEnd w:id="16"/>
      <w:bookmarkEnd w:id="17"/>
      <w:bookmarkEnd w:id="18"/>
      <w:bookmarkEnd w:id="19"/>
      <w:bookmarkEnd w:id="20"/>
      <w:bookmarkEnd w:id="21"/>
      <w:bookmarkEnd w:id="22"/>
      <w:bookmarkEnd w:id="23"/>
    </w:p>
    <w:p>
      <w:pPr>
        <w:pageBreakBefore w:val="0"/>
        <w:kinsoku/>
        <w:overflowPunct/>
        <w:bidi w:val="0"/>
        <w:spacing w:line="360" w:lineRule="auto"/>
        <w:ind w:firstLine="420" w:firstLineChars="200"/>
        <w:jc w:val="both"/>
        <w:rPr>
          <w:rFonts w:hint="eastAsia" w:ascii="宋体" w:hAnsi="宋体" w:cs="宋体"/>
          <w:szCs w:val="21"/>
        </w:rPr>
      </w:pPr>
      <w:r>
        <w:rPr>
          <w:rFonts w:hint="eastAsia"/>
          <w:color w:val="auto"/>
          <w:szCs w:val="21"/>
          <w:highlight w:val="none"/>
        </w:rPr>
        <w:t>本项目为</w:t>
      </w:r>
      <w:r>
        <w:rPr>
          <w:rFonts w:hint="eastAsia" w:ascii="Times New Roman" w:hAnsi="Times New Roman" w:eastAsia="宋体" w:cs="Times New Roman"/>
          <w:b/>
          <w:bCs/>
          <w:color w:val="auto"/>
          <w:szCs w:val="21"/>
          <w:highlight w:val="none"/>
          <w:u w:val="single"/>
          <w:lang w:val="en-US" w:eastAsia="zh-CN"/>
        </w:rPr>
        <w:t>复兴服务区导视系统改善</w:t>
      </w:r>
      <w:r>
        <w:rPr>
          <w:rFonts w:hint="eastAsia" w:ascii="Times New Roman" w:hAnsi="Times New Roman" w:eastAsia="宋体" w:cs="Times New Roman"/>
          <w:b/>
          <w:bCs/>
          <w:color w:val="auto"/>
          <w:szCs w:val="21"/>
          <w:highlight w:val="none"/>
          <w:u w:val="single"/>
          <w:lang w:eastAsia="zh-CN"/>
        </w:rPr>
        <w:t>工程</w:t>
      </w:r>
      <w:r>
        <w:rPr>
          <w:rFonts w:hint="eastAsia" w:ascii="Times New Roman" w:hAnsi="Times New Roman" w:eastAsia="宋体" w:cs="Times New Roman"/>
          <w:b/>
          <w:bCs/>
          <w:color w:val="auto"/>
          <w:szCs w:val="21"/>
          <w:highlight w:val="none"/>
          <w:u w:val="single"/>
          <w:lang w:val="en-US" w:eastAsia="zh-CN"/>
        </w:rPr>
        <w:t>导视系统及发光字体采购</w:t>
      </w:r>
      <w:r>
        <w:rPr>
          <w:rFonts w:hint="eastAsia" w:ascii="宋体" w:hAnsi="宋体" w:cs="宋体"/>
          <w:szCs w:val="21"/>
          <w:lang w:eastAsia="zh-CN"/>
        </w:rPr>
        <w:t>项目</w:t>
      </w:r>
      <w:r>
        <w:rPr>
          <w:rFonts w:hint="eastAsia" w:ascii="宋体" w:hAnsi="宋体" w:cs="宋体"/>
          <w:szCs w:val="21"/>
        </w:rPr>
        <w:t>。</w:t>
      </w:r>
    </w:p>
    <w:p>
      <w:pPr>
        <w:spacing w:line="400" w:lineRule="exact"/>
        <w:ind w:firstLine="420" w:firstLineChars="200"/>
        <w:rPr>
          <w:rFonts w:hint="default" w:eastAsia="宋体"/>
          <w:color w:val="auto"/>
          <w:szCs w:val="21"/>
          <w:highlight w:val="none"/>
          <w:lang w:val="en-US" w:eastAsia="zh-CN"/>
        </w:rPr>
      </w:pPr>
      <w:r>
        <w:rPr>
          <w:rFonts w:hint="eastAsia"/>
          <w:color w:val="auto"/>
          <w:szCs w:val="21"/>
          <w:highlight w:val="none"/>
          <w:lang w:val="en-US" w:eastAsia="zh-CN"/>
        </w:rPr>
        <w:t>1.1比选</w:t>
      </w:r>
      <w:r>
        <w:rPr>
          <w:rFonts w:hint="eastAsia"/>
          <w:color w:val="auto"/>
          <w:szCs w:val="21"/>
          <w:highlight w:val="none"/>
        </w:rPr>
        <w:t>范围</w:t>
      </w:r>
      <w:r>
        <w:rPr>
          <w:rFonts w:hint="eastAsia"/>
          <w:color w:val="FF0000"/>
          <w:szCs w:val="21"/>
          <w:highlight w:val="none"/>
          <w:lang w:eastAsia="zh-CN"/>
        </w:rPr>
        <w:t>：</w:t>
      </w:r>
      <w:r>
        <w:rPr>
          <w:rFonts w:hint="eastAsia"/>
          <w:color w:val="FF0000"/>
          <w:szCs w:val="21"/>
          <w:highlight w:val="none"/>
          <w:lang w:val="en-US" w:eastAsia="zh-CN"/>
        </w:rPr>
        <w:t>服务区入口一级导视牌和服务区名字发光字。</w:t>
      </w:r>
    </w:p>
    <w:p>
      <w:pPr>
        <w:spacing w:line="400" w:lineRule="exact"/>
        <w:ind w:firstLine="420" w:firstLineChars="200"/>
        <w:rPr>
          <w:rFonts w:hint="eastAsia"/>
          <w:color w:val="FF0000"/>
          <w:szCs w:val="21"/>
          <w:highlight w:val="none"/>
          <w:lang w:val="en-US" w:eastAsia="zh-CN"/>
        </w:rPr>
      </w:pPr>
      <w:r>
        <w:rPr>
          <w:rFonts w:hint="eastAsia"/>
          <w:color w:val="auto"/>
          <w:szCs w:val="21"/>
          <w:highlight w:val="none"/>
          <w:lang w:val="en-US" w:eastAsia="zh-CN"/>
        </w:rPr>
        <w:t>1</w:t>
      </w:r>
      <w:r>
        <w:rPr>
          <w:rFonts w:hint="eastAsia"/>
          <w:color w:val="auto"/>
          <w:szCs w:val="21"/>
          <w:highlight w:val="none"/>
        </w:rPr>
        <w:t>.2</w:t>
      </w:r>
      <w:r>
        <w:rPr>
          <w:rFonts w:hint="eastAsia"/>
          <w:color w:val="auto"/>
          <w:szCs w:val="21"/>
          <w:highlight w:val="none"/>
          <w:lang w:val="en-US" w:eastAsia="zh-CN"/>
        </w:rPr>
        <w:t>交货地点</w:t>
      </w:r>
      <w:r>
        <w:rPr>
          <w:rFonts w:hint="eastAsia"/>
          <w:color w:val="FF0000"/>
          <w:szCs w:val="21"/>
          <w:highlight w:val="none"/>
          <w:lang w:val="en-US" w:eastAsia="zh-CN"/>
        </w:rPr>
        <w:t>：绕城高速复兴服务区</w:t>
      </w:r>
    </w:p>
    <w:p>
      <w:pPr>
        <w:spacing w:line="400" w:lineRule="exact"/>
        <w:ind w:firstLine="420" w:firstLineChars="200"/>
        <w:rPr>
          <w:rFonts w:hint="default"/>
          <w:color w:val="auto"/>
          <w:szCs w:val="21"/>
          <w:highlight w:val="none"/>
          <w:lang w:val="en-US"/>
        </w:rPr>
      </w:pPr>
      <w:r>
        <w:rPr>
          <w:rFonts w:hint="eastAsia"/>
          <w:color w:val="auto"/>
          <w:szCs w:val="21"/>
          <w:highlight w:val="none"/>
          <w:lang w:val="en-US" w:eastAsia="zh-CN"/>
        </w:rPr>
        <w:t>1</w:t>
      </w:r>
      <w:r>
        <w:rPr>
          <w:rFonts w:hint="eastAsia"/>
          <w:color w:val="auto"/>
          <w:szCs w:val="21"/>
          <w:highlight w:val="none"/>
        </w:rPr>
        <w:t>.3</w:t>
      </w:r>
      <w:r>
        <w:rPr>
          <w:rFonts w:hint="eastAsia"/>
          <w:color w:val="auto"/>
          <w:szCs w:val="21"/>
          <w:highlight w:val="none"/>
          <w:lang w:val="en-US" w:eastAsia="zh-CN"/>
        </w:rPr>
        <w:t>供 货 期</w:t>
      </w:r>
      <w:r>
        <w:rPr>
          <w:rFonts w:hint="eastAsia"/>
          <w:color w:val="FF0000"/>
          <w:szCs w:val="21"/>
          <w:highlight w:val="none"/>
          <w:lang w:val="en-US" w:eastAsia="zh-CN"/>
        </w:rPr>
        <w:t>：1个月</w:t>
      </w:r>
    </w:p>
    <w:p>
      <w:pPr>
        <w:keepNext w:val="0"/>
        <w:keepLines w:val="0"/>
        <w:pageBreakBefore w:val="0"/>
        <w:widowControl/>
        <w:tabs>
          <w:tab w:val="left" w:pos="2655"/>
        </w:tabs>
        <w:kinsoku/>
        <w:overflowPunct/>
        <w:topLinePunct w:val="0"/>
        <w:autoSpaceDE/>
        <w:autoSpaceDN/>
        <w:bidi w:val="0"/>
        <w:adjustRightInd/>
        <w:snapToGrid/>
        <w:spacing w:line="360" w:lineRule="auto"/>
        <w:ind w:firstLine="420" w:firstLineChars="200"/>
        <w:jc w:val="left"/>
        <w:textAlignment w:val="auto"/>
        <w:outlineLvl w:val="9"/>
        <w:rPr>
          <w:rFonts w:hint="eastAsia"/>
          <w:b/>
          <w:bCs/>
          <w:color w:val="auto"/>
          <w:szCs w:val="21"/>
          <w:highlight w:val="none"/>
        </w:rPr>
      </w:pPr>
      <w:r>
        <w:rPr>
          <w:rFonts w:hint="eastAsia"/>
          <w:color w:val="auto"/>
          <w:szCs w:val="21"/>
          <w:highlight w:val="none"/>
          <w:lang w:val="en-US" w:eastAsia="zh-CN"/>
        </w:rPr>
        <w:t>1.4</w:t>
      </w:r>
      <w:r>
        <w:rPr>
          <w:rFonts w:hint="eastAsia" w:ascii="宋体" w:hAnsi="宋体" w:cs="宋体"/>
          <w:szCs w:val="21"/>
        </w:rPr>
        <w:t>比选材料采购详见下表：</w:t>
      </w:r>
    </w:p>
    <w:tbl>
      <w:tblPr>
        <w:tblStyle w:val="8"/>
        <w:tblpPr w:leftFromText="180" w:rightFromText="180" w:vertAnchor="text" w:horzAnchor="page" w:tblpX="2323" w:tblpY="714"/>
        <w:tblOverlap w:val="never"/>
        <w:tblW w:w="7592" w:type="dxa"/>
        <w:tblInd w:w="0" w:type="dxa"/>
        <w:tblLayout w:type="fixed"/>
        <w:tblCellMar>
          <w:top w:w="0" w:type="dxa"/>
          <w:left w:w="108" w:type="dxa"/>
          <w:bottom w:w="0" w:type="dxa"/>
          <w:right w:w="108" w:type="dxa"/>
        </w:tblCellMar>
      </w:tblPr>
      <w:tblGrid>
        <w:gridCol w:w="649"/>
        <w:gridCol w:w="1408"/>
        <w:gridCol w:w="887"/>
        <w:gridCol w:w="1217"/>
        <w:gridCol w:w="926"/>
        <w:gridCol w:w="1140"/>
        <w:gridCol w:w="1365"/>
      </w:tblGrid>
      <w:tr>
        <w:tblPrEx>
          <w:tblCellMar>
            <w:top w:w="0" w:type="dxa"/>
            <w:left w:w="108" w:type="dxa"/>
            <w:bottom w:w="0" w:type="dxa"/>
            <w:right w:w="108" w:type="dxa"/>
          </w:tblCellMar>
        </w:tblPrEx>
        <w:trPr>
          <w:trHeight w:val="288" w:hRule="atLeast"/>
        </w:trPr>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ascii="宋体" w:hAnsi="宋体" w:cs="宋体"/>
                <w:color w:val="000000"/>
                <w:kern w:val="0"/>
                <w:szCs w:val="21"/>
              </w:rPr>
            </w:pPr>
            <w:r>
              <w:rPr>
                <w:rFonts w:hint="eastAsia" w:ascii="宋体" w:hAnsi="宋体" w:cs="宋体"/>
                <w:color w:val="000000"/>
                <w:kern w:val="0"/>
                <w:szCs w:val="21"/>
              </w:rPr>
              <w:t>材料名称</w:t>
            </w:r>
          </w:p>
        </w:tc>
        <w:tc>
          <w:tcPr>
            <w:tcW w:w="88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ascii="宋体" w:hAnsi="宋体" w:cs="宋体"/>
                <w:color w:val="000000"/>
                <w:kern w:val="0"/>
                <w:szCs w:val="21"/>
              </w:rPr>
            </w:pPr>
            <w:r>
              <w:rPr>
                <w:rFonts w:hint="eastAsia" w:ascii="宋体" w:hAnsi="宋体" w:cs="宋体"/>
                <w:color w:val="000000"/>
                <w:kern w:val="0"/>
                <w:szCs w:val="21"/>
              </w:rPr>
              <w:t>单位</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数量</w:t>
            </w:r>
          </w:p>
        </w:tc>
        <w:tc>
          <w:tcPr>
            <w:tcW w:w="92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eastAsia="zh-CN"/>
              </w:rPr>
              <w:t>上限单价（元）</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上限总价（元）</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593" w:hRule="atLeast"/>
        </w:trPr>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eastAsia" w:ascii="宋体" w:hAnsi="宋体" w:cs="宋体"/>
                <w:color w:val="000000"/>
                <w:kern w:val="0"/>
                <w:szCs w:val="21"/>
                <w:lang w:bidi="ar"/>
              </w:rPr>
            </w:pPr>
            <w:r>
              <w:rPr>
                <w:rFonts w:hint="eastAsia" w:ascii="宋体" w:hAnsi="宋体" w:cs="宋体"/>
                <w:kern w:val="0"/>
                <w:sz w:val="21"/>
                <w:szCs w:val="21"/>
                <w:lang w:val="en-US" w:eastAsia="zh-CN"/>
              </w:rPr>
              <w:t>一级导视牌</w:t>
            </w:r>
          </w:p>
        </w:tc>
        <w:tc>
          <w:tcPr>
            <w:tcW w:w="88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套</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92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default"/>
                <w:lang w:val="en-US" w:eastAsia="zh-CN"/>
              </w:rPr>
            </w:pPr>
            <w:r>
              <w:rPr>
                <w:rFonts w:hint="eastAsia"/>
                <w:lang w:val="en-US" w:eastAsia="zh-CN"/>
              </w:rPr>
              <w:t>50000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100000</w:t>
            </w:r>
          </w:p>
        </w:tc>
        <w:tc>
          <w:tcPr>
            <w:tcW w:w="1365" w:type="dxa"/>
            <w:vMerge w:val="restart"/>
            <w:tcBorders>
              <w:top w:val="single" w:color="auto" w:sz="4" w:space="0"/>
              <w:left w:val="single" w:color="auto" w:sz="4" w:space="0"/>
              <w:right w:val="single" w:color="auto" w:sz="4" w:space="0"/>
            </w:tcBorders>
            <w:noWrap w:val="0"/>
            <w:vAlign w:val="center"/>
          </w:tcPr>
          <w:p>
            <w:pPr>
              <w:pageBreakBefore w:val="0"/>
              <w:widowControl/>
              <w:numPr>
                <w:ilvl w:val="0"/>
                <w:numId w:val="0"/>
              </w:numPr>
              <w:kinsoku/>
              <w:overflowPunct/>
              <w:bidi w:val="0"/>
              <w:spacing w:line="360" w:lineRule="auto"/>
              <w:jc w:val="both"/>
              <w:rPr>
                <w:rFonts w:hint="default"/>
                <w:lang w:val="en-US" w:eastAsia="zh-CN"/>
              </w:rPr>
            </w:pPr>
            <w:r>
              <w:rPr>
                <w:rFonts w:hint="eastAsia"/>
                <w:lang w:val="en-US" w:eastAsia="zh-CN"/>
              </w:rPr>
              <w:t>包含制作、运输和安装</w:t>
            </w:r>
          </w:p>
        </w:tc>
      </w:tr>
      <w:tr>
        <w:tblPrEx>
          <w:tblCellMar>
            <w:top w:w="0" w:type="dxa"/>
            <w:left w:w="108" w:type="dxa"/>
            <w:bottom w:w="0" w:type="dxa"/>
            <w:right w:w="108" w:type="dxa"/>
          </w:tblCellMar>
        </w:tblPrEx>
        <w:trPr>
          <w:trHeight w:val="288" w:hRule="atLeast"/>
        </w:trPr>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eastAsia" w:ascii="宋体" w:hAnsi="宋体" w:cs="宋体"/>
                <w:color w:val="000000"/>
                <w:kern w:val="0"/>
                <w:szCs w:val="21"/>
                <w:lang w:bidi="ar"/>
              </w:rPr>
            </w:pPr>
            <w:r>
              <w:rPr>
                <w:rFonts w:hint="eastAsia" w:ascii="宋体" w:hAnsi="宋体" w:cs="宋体"/>
                <w:kern w:val="0"/>
                <w:sz w:val="21"/>
                <w:szCs w:val="21"/>
                <w:lang w:val="en-US" w:eastAsia="zh-CN"/>
              </w:rPr>
              <w:t>服务区名称标牌发光字</w:t>
            </w:r>
          </w:p>
        </w:tc>
        <w:tc>
          <w:tcPr>
            <w:tcW w:w="88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套</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92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default"/>
                <w:lang w:val="en-US" w:eastAsia="zh-CN"/>
              </w:rPr>
            </w:pPr>
            <w:r>
              <w:rPr>
                <w:rFonts w:hint="eastAsia"/>
                <w:lang w:val="en-US" w:eastAsia="zh-CN"/>
              </w:rPr>
              <w:t>40000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80000</w:t>
            </w:r>
          </w:p>
        </w:tc>
        <w:tc>
          <w:tcPr>
            <w:tcW w:w="1365" w:type="dxa"/>
            <w:vMerge w:val="continue"/>
            <w:tcBorders>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both"/>
              <w:rPr>
                <w:rFonts w:hint="eastAsia" w:ascii="宋体" w:hAnsi="宋体" w:cs="宋体"/>
                <w:color w:val="000000"/>
                <w:kern w:val="0"/>
                <w:szCs w:val="21"/>
              </w:rPr>
            </w:pPr>
          </w:p>
        </w:tc>
      </w:tr>
      <w:tr>
        <w:tblPrEx>
          <w:tblCellMar>
            <w:top w:w="0" w:type="dxa"/>
            <w:left w:w="108" w:type="dxa"/>
            <w:bottom w:w="0" w:type="dxa"/>
            <w:right w:w="108" w:type="dxa"/>
          </w:tblCellMar>
        </w:tblPrEx>
        <w:trPr>
          <w:trHeight w:val="288" w:hRule="atLeast"/>
        </w:trPr>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合计</w:t>
            </w:r>
          </w:p>
        </w:tc>
        <w:tc>
          <w:tcPr>
            <w:tcW w:w="88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eastAsia" w:ascii="宋体" w:hAnsi="宋体" w:cs="宋体"/>
                <w:color w:val="000000"/>
                <w:kern w:val="0"/>
                <w:szCs w:val="21"/>
                <w:lang w:val="en-US" w:eastAsia="zh-CN"/>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eastAsia" w:ascii="宋体" w:hAnsi="宋体" w:cs="宋体"/>
                <w:color w:val="000000"/>
                <w:kern w:val="0"/>
                <w:szCs w:val="21"/>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eastAsia"/>
                <w:lang w:val="en-US" w:eastAsia="zh-CN"/>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180000</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eastAsia" w:ascii="宋体" w:hAnsi="宋体" w:cs="宋体"/>
                <w:color w:val="000000"/>
                <w:kern w:val="0"/>
                <w:szCs w:val="21"/>
              </w:rPr>
            </w:pPr>
          </w:p>
        </w:tc>
      </w:tr>
    </w:tbl>
    <w:p>
      <w:pPr>
        <w:pStyle w:val="2"/>
        <w:pageBreakBefore w:val="0"/>
        <w:kinsoku/>
        <w:overflowPunct/>
        <w:bidi w:val="0"/>
        <w:spacing w:line="360" w:lineRule="auto"/>
      </w:pPr>
    </w:p>
    <w:p>
      <w:pPr>
        <w:pageBreakBefore w:val="0"/>
        <w:kinsoku/>
        <w:overflowPunct/>
        <w:bidi w:val="0"/>
        <w:spacing w:line="360" w:lineRule="auto"/>
      </w:pPr>
    </w:p>
    <w:p>
      <w:pPr>
        <w:pStyle w:val="2"/>
        <w:pageBreakBefore w:val="0"/>
        <w:kinsoku/>
        <w:overflowPunct/>
        <w:bidi w:val="0"/>
        <w:spacing w:line="360" w:lineRule="auto"/>
      </w:pPr>
    </w:p>
    <w:p>
      <w:pPr>
        <w:pageBreakBefore w:val="0"/>
        <w:kinsoku/>
        <w:overflowPunct/>
        <w:bidi w:val="0"/>
        <w:spacing w:line="360" w:lineRule="auto"/>
      </w:pPr>
    </w:p>
    <w:p>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outlineLvl w:val="9"/>
        <w:rPr>
          <w:rFonts w:hint="eastAsia"/>
          <w:lang w:val="en-US" w:eastAsia="zh-CN"/>
        </w:rPr>
      </w:pPr>
      <w:r>
        <w:rPr>
          <w:rFonts w:hint="eastAsia"/>
          <w:lang w:val="en-US" w:eastAsia="zh-CN"/>
        </w:rPr>
        <w:t>备注：1、本次采购数量为暂估量，最终数量以实际结算数量为准，且满足国家及行业的相关技术规范标准(具体规格型号以比选人实际要求为准)。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420" w:firstLineChars="200"/>
        <w:textAlignment w:val="auto"/>
        <w:outlineLvl w:val="9"/>
        <w:rPr>
          <w:rFonts w:hint="eastAsia"/>
          <w:lang w:val="en-US" w:eastAsia="zh-CN"/>
        </w:rPr>
      </w:pPr>
      <w:r>
        <w:rPr>
          <w:rFonts w:hint="eastAsia"/>
          <w:lang w:val="en-US" w:eastAsia="zh-CN"/>
        </w:rPr>
        <w:t>供货期：本工程预计供货时间为2022年8月，具体以项目工期要求为准，竞价人必须保证比选人供应及时，比选人一般提前五天以电话（短信）通知。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lang w:val="en-US" w:eastAsia="zh-CN"/>
        </w:rPr>
      </w:pPr>
      <w:r>
        <w:rPr>
          <w:rFonts w:hint="eastAsia"/>
          <w:lang w:val="en-US" w:eastAsia="zh-CN"/>
        </w:rPr>
        <w:t>本次询价不接受联合体竞标，不允许分包和转包。</w:t>
      </w: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outlineLvl w:val="9"/>
        <w:rPr>
          <w:b/>
          <w:color w:val="auto"/>
          <w:sz w:val="21"/>
          <w:szCs w:val="21"/>
          <w:highlight w:val="none"/>
        </w:rPr>
      </w:pPr>
      <w:r>
        <w:rPr>
          <w:b/>
          <w:color w:val="auto"/>
          <w:sz w:val="21"/>
          <w:szCs w:val="21"/>
          <w:highlight w:val="none"/>
        </w:rPr>
        <w:t>二、</w:t>
      </w:r>
      <w:r>
        <w:rPr>
          <w:rFonts w:hint="eastAsia"/>
          <w:b/>
          <w:color w:val="auto"/>
          <w:sz w:val="21"/>
          <w:szCs w:val="21"/>
          <w:highlight w:val="none"/>
        </w:rPr>
        <w:t>竞标</w:t>
      </w:r>
      <w:r>
        <w:rPr>
          <w:b/>
          <w:color w:val="auto"/>
          <w:sz w:val="21"/>
          <w:szCs w:val="21"/>
          <w:highlight w:val="none"/>
        </w:rPr>
        <w:t>人资</w:t>
      </w:r>
      <w:r>
        <w:rPr>
          <w:rFonts w:hint="eastAsia"/>
          <w:b/>
          <w:color w:val="auto"/>
          <w:sz w:val="21"/>
          <w:szCs w:val="21"/>
          <w:highlight w:val="none"/>
        </w:rPr>
        <w:t>格</w:t>
      </w:r>
      <w:r>
        <w:rPr>
          <w:b/>
          <w:color w:val="auto"/>
          <w:sz w:val="21"/>
          <w:szCs w:val="21"/>
          <w:highlight w:val="none"/>
        </w:rPr>
        <w:t>要求</w:t>
      </w:r>
      <w:r>
        <w:rPr>
          <w:rFonts w:hint="eastAsia"/>
          <w:b/>
          <w:color w:val="auto"/>
          <w:sz w:val="21"/>
          <w:szCs w:val="21"/>
          <w:highlight w:val="none"/>
        </w:rPr>
        <w:t>：</w:t>
      </w:r>
    </w:p>
    <w:bookmarkEnd w:id="8"/>
    <w:bookmarkEnd w:id="9"/>
    <w:bookmarkEnd w:id="10"/>
    <w:bookmarkEnd w:id="11"/>
    <w:bookmarkEnd w:id="12"/>
    <w:bookmarkEnd w:id="13"/>
    <w:bookmarkEnd w:id="14"/>
    <w:bookmarkEnd w:id="15"/>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ascii="Arial" w:hAnsi="Arial" w:eastAsia="Arial" w:cs="Arial"/>
          <w:i w:val="0"/>
          <w:caps w:val="0"/>
          <w:color w:val="333333"/>
          <w:spacing w:val="0"/>
          <w:sz w:val="21"/>
          <w:szCs w:val="21"/>
          <w:shd w:val="clear" w:color="auto" w:fill="FFFFFF"/>
        </w:rPr>
      </w:pPr>
      <w:bookmarkStart w:id="24" w:name="_Toc144974490"/>
      <w:bookmarkStart w:id="25" w:name="_Toc296602413"/>
      <w:bookmarkStart w:id="26" w:name="_Toc152042298"/>
      <w:bookmarkStart w:id="27" w:name="_Toc246996912"/>
      <w:bookmarkStart w:id="28" w:name="_Toc246996169"/>
      <w:bookmarkStart w:id="29" w:name="_Toc247085683"/>
      <w:bookmarkStart w:id="30" w:name="_Toc152045522"/>
      <w:bookmarkStart w:id="31" w:name="_Toc179632539"/>
      <w:r>
        <w:rPr>
          <w:rFonts w:hint="eastAsia" w:ascii="Arial" w:hAnsi="Arial" w:eastAsia="宋体" w:cs="Arial"/>
          <w:i w:val="0"/>
          <w:caps w:val="0"/>
          <w:color w:val="333333"/>
          <w:spacing w:val="0"/>
          <w:sz w:val="21"/>
          <w:szCs w:val="21"/>
          <w:shd w:val="clear" w:color="auto" w:fill="FFFFFF"/>
          <w:lang w:val="en-US" w:eastAsia="zh-CN"/>
        </w:rPr>
        <w:t>1、</w:t>
      </w:r>
      <w:r>
        <w:rPr>
          <w:rFonts w:ascii="Arial" w:hAnsi="Arial" w:eastAsia="Arial" w:cs="Arial"/>
          <w:i w:val="0"/>
          <w:caps w:val="0"/>
          <w:color w:val="333333"/>
          <w:spacing w:val="0"/>
          <w:sz w:val="21"/>
          <w:szCs w:val="21"/>
          <w:shd w:val="clear" w:color="auto" w:fill="FFFFFF"/>
        </w:rPr>
        <w:t>具有独立法人资格、有效的营业执照、银行开户许可证或基本账户信息。</w:t>
      </w:r>
    </w:p>
    <w:p>
      <w:pPr>
        <w:spacing w:line="360" w:lineRule="exact"/>
        <w:ind w:firstLine="422" w:firstLineChars="200"/>
        <w:outlineLvl w:val="0"/>
        <w:rPr>
          <w:szCs w:val="21"/>
        </w:rPr>
      </w:pPr>
      <w:r>
        <w:rPr>
          <w:rFonts w:hint="eastAsia"/>
          <w:b/>
          <w:bCs/>
          <w:szCs w:val="21"/>
        </w:rPr>
        <w:t>注：须提供营业执照的复印件或扫描件，并加盖比选申请人公章。</w:t>
      </w:r>
    </w:p>
    <w:p>
      <w:pPr>
        <w:spacing w:line="360" w:lineRule="exact"/>
        <w:ind w:firstLine="420" w:firstLineChars="200"/>
        <w:outlineLvl w:val="0"/>
        <w:rPr>
          <w:szCs w:val="21"/>
        </w:rPr>
      </w:pPr>
      <w:r>
        <w:rPr>
          <w:rFonts w:hint="eastAsia"/>
          <w:szCs w:val="21"/>
          <w:lang w:val="en-US" w:eastAsia="zh-CN"/>
        </w:rPr>
        <w:t>2、</w:t>
      </w:r>
      <w:r>
        <w:rPr>
          <w:rFonts w:hint="eastAsia"/>
          <w:szCs w:val="21"/>
        </w:rPr>
        <w:t>比选申请人在“信用中国”网站（http://www.creditchina.gov.cn/）中未被列入失信被执行人名单（黑名单）。</w:t>
      </w:r>
    </w:p>
    <w:p>
      <w:pPr>
        <w:ind w:firstLine="422" w:firstLineChars="200"/>
        <w:rPr>
          <w:b/>
          <w:bCs/>
          <w:szCs w:val="21"/>
        </w:rPr>
      </w:pPr>
      <w:r>
        <w:rPr>
          <w:rFonts w:hint="eastAsia"/>
          <w:b/>
          <w:bCs/>
          <w:szCs w:val="21"/>
        </w:rPr>
        <w:t>注：上述第（2）条由比选申请人作出真实性承诺即可，格式自拟。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b/>
          <w:color w:val="auto"/>
          <w:szCs w:val="21"/>
          <w:highlight w:val="none"/>
        </w:rPr>
      </w:pPr>
      <w:r>
        <w:rPr>
          <w:b/>
          <w:color w:val="auto"/>
          <w:szCs w:val="21"/>
          <w:highlight w:val="none"/>
        </w:rPr>
        <w:t>三、</w:t>
      </w:r>
      <w:r>
        <w:rPr>
          <w:rFonts w:hint="eastAsia"/>
          <w:b/>
          <w:color w:val="auto"/>
          <w:szCs w:val="21"/>
          <w:highlight w:val="none"/>
          <w:lang w:eastAsia="zh-CN"/>
        </w:rPr>
        <w:t>竞争性比选</w:t>
      </w:r>
      <w:r>
        <w:rPr>
          <w:b/>
          <w:color w:val="auto"/>
          <w:szCs w:val="21"/>
          <w:highlight w:val="none"/>
        </w:rPr>
        <w:t>响应文件的相关要求：</w:t>
      </w:r>
    </w:p>
    <w:bookmarkEnd w:id="24"/>
    <w:bookmarkEnd w:id="25"/>
    <w:bookmarkEnd w:id="26"/>
    <w:bookmarkEnd w:id="27"/>
    <w:bookmarkEnd w:id="28"/>
    <w:bookmarkEnd w:id="29"/>
    <w:bookmarkEnd w:id="30"/>
    <w:bookmarkEnd w:id="31"/>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b/>
          <w:bCs/>
          <w:color w:val="auto"/>
          <w:szCs w:val="21"/>
          <w:highlight w:val="none"/>
        </w:rPr>
      </w:pPr>
      <w:r>
        <w:rPr>
          <w:rFonts w:hint="eastAsia"/>
          <w:b/>
          <w:bCs/>
          <w:color w:val="auto"/>
          <w:szCs w:val="21"/>
          <w:highlight w:val="none"/>
        </w:rPr>
        <w:t>1、竞标报价</w:t>
      </w:r>
      <w:r>
        <w:rPr>
          <w:b/>
          <w:bCs/>
          <w:color w:val="auto"/>
          <w:szCs w:val="21"/>
          <w:highlight w:val="none"/>
        </w:rPr>
        <w:t>说明</w:t>
      </w:r>
      <w:r>
        <w:rPr>
          <w:rFonts w:hint="eastAsia"/>
          <w:b/>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Cs w:val="21"/>
          <w:highlight w:val="none"/>
        </w:rPr>
      </w:pPr>
      <w:r>
        <w:rPr>
          <w:rFonts w:hint="eastAsia"/>
          <w:color w:val="auto"/>
          <w:szCs w:val="21"/>
          <w:highlight w:val="none"/>
          <w:lang w:val="en-US" w:eastAsia="zh-CN"/>
        </w:rPr>
        <w:t xml:space="preserve">   </w:t>
      </w:r>
      <w:r>
        <w:rPr>
          <w:rFonts w:hint="eastAsia"/>
          <w:color w:val="auto"/>
          <w:szCs w:val="21"/>
          <w:highlight w:val="none"/>
        </w:rPr>
        <w:t>（1）竞标报价为全费用综合单价。</w:t>
      </w:r>
      <w:r>
        <w:rPr>
          <w:rFonts w:hint="eastAsia"/>
          <w:color w:val="auto"/>
          <w:szCs w:val="21"/>
          <w:highlight w:val="none"/>
          <w:lang w:eastAsia="zh-CN"/>
        </w:rPr>
        <w:t>竞价</w:t>
      </w:r>
      <w:r>
        <w:rPr>
          <w:rFonts w:hint="eastAsia"/>
          <w:color w:val="auto"/>
          <w:szCs w:val="21"/>
          <w:highlight w:val="none"/>
        </w:rPr>
        <w:t>人应提供合法有效且符合比选人要求的增值税专用发票（抵</w:t>
      </w:r>
      <w:r>
        <w:rPr>
          <w:rFonts w:hint="eastAsia"/>
          <w:color w:val="FF0000"/>
          <w:szCs w:val="21"/>
          <w:highlight w:val="none"/>
        </w:rPr>
        <w:t>扣税率</w:t>
      </w:r>
      <w:r>
        <w:rPr>
          <w:rFonts w:hint="eastAsia"/>
          <w:color w:val="FF0000"/>
          <w:szCs w:val="21"/>
          <w:highlight w:val="none"/>
          <w:lang w:val="en-US" w:eastAsia="zh-CN"/>
        </w:rPr>
        <w:t>13</w:t>
      </w:r>
      <w:r>
        <w:rPr>
          <w:rFonts w:hint="eastAsia"/>
          <w:color w:val="FF0000"/>
          <w:szCs w:val="21"/>
          <w:highlight w:val="none"/>
        </w:rPr>
        <w:t>%）</w:t>
      </w:r>
      <w:r>
        <w:rPr>
          <w:rFonts w:hint="eastAsia"/>
          <w:color w:val="auto"/>
          <w:szCs w:val="21"/>
          <w:highlight w:val="none"/>
        </w:rPr>
        <w:t>。因</w:t>
      </w:r>
      <w:r>
        <w:rPr>
          <w:rFonts w:hint="eastAsia"/>
          <w:color w:val="auto"/>
          <w:szCs w:val="21"/>
          <w:highlight w:val="none"/>
          <w:lang w:eastAsia="zh-CN"/>
        </w:rPr>
        <w:t>竞价人</w:t>
      </w:r>
      <w:r>
        <w:rPr>
          <w:rFonts w:hint="eastAsia"/>
          <w:color w:val="auto"/>
          <w:szCs w:val="21"/>
          <w:highlight w:val="none"/>
        </w:rPr>
        <w:t>开具的发票不规范、不合法或涉嫌虚开发票引起税务问题的，</w:t>
      </w:r>
      <w:r>
        <w:rPr>
          <w:rFonts w:hint="eastAsia"/>
          <w:color w:val="auto"/>
          <w:szCs w:val="21"/>
          <w:highlight w:val="none"/>
          <w:lang w:eastAsia="zh-CN"/>
        </w:rPr>
        <w:t>竞价人</w:t>
      </w:r>
      <w:r>
        <w:rPr>
          <w:rFonts w:hint="eastAsia"/>
          <w:color w:val="auto"/>
          <w:szCs w:val="21"/>
          <w:highlight w:val="none"/>
        </w:rPr>
        <w:t>需依法向比选人重新开具发票，并向比选人承担赔偿责任，包括但不限于税款、滞纳金、罚款及相关损失等。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auto"/>
          <w:szCs w:val="21"/>
          <w:highlight w:val="none"/>
        </w:rPr>
      </w:pPr>
      <w:r>
        <w:rPr>
          <w:rFonts w:hint="eastAsia"/>
          <w:color w:val="auto"/>
          <w:szCs w:val="21"/>
          <w:highlight w:val="none"/>
          <w:lang w:eastAsia="zh-CN"/>
        </w:rPr>
        <w:t>竞价人</w:t>
      </w:r>
      <w:r>
        <w:rPr>
          <w:rFonts w:hint="eastAsia"/>
          <w:color w:val="auto"/>
          <w:szCs w:val="21"/>
          <w:highlight w:val="none"/>
        </w:rPr>
        <w:t>应按照比选人要求，及时向比选人开具可以抵扣税款的增值税专用发票。因</w:t>
      </w:r>
      <w:r>
        <w:rPr>
          <w:rFonts w:hint="eastAsia"/>
          <w:color w:val="auto"/>
          <w:szCs w:val="21"/>
          <w:highlight w:val="none"/>
          <w:lang w:eastAsia="zh-CN"/>
        </w:rPr>
        <w:t>竞价人</w:t>
      </w:r>
      <w:r>
        <w:rPr>
          <w:rFonts w:hint="eastAsia"/>
          <w:color w:val="auto"/>
          <w:szCs w:val="21"/>
          <w:highlight w:val="none"/>
        </w:rPr>
        <w:t>开具发票不及时给比选人造成无法及时认证、抵扣发票等情形的，</w:t>
      </w:r>
      <w:r>
        <w:rPr>
          <w:rFonts w:hint="eastAsia"/>
          <w:color w:val="auto"/>
          <w:szCs w:val="21"/>
          <w:highlight w:val="none"/>
          <w:lang w:eastAsia="zh-CN"/>
        </w:rPr>
        <w:t>竞价人</w:t>
      </w:r>
      <w:r>
        <w:rPr>
          <w:rFonts w:hint="eastAsia"/>
          <w:color w:val="auto"/>
          <w:szCs w:val="21"/>
          <w:highlight w:val="none"/>
        </w:rPr>
        <w:t>需向比选人承担赔偿责任，包括但不限于税款、滞纳金、罚款及相关损失等。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auto"/>
          <w:szCs w:val="21"/>
          <w:highlight w:val="none"/>
        </w:rPr>
      </w:pPr>
      <w:r>
        <w:rPr>
          <w:rFonts w:hint="eastAsia"/>
          <w:color w:val="auto"/>
          <w:szCs w:val="21"/>
          <w:highlight w:val="none"/>
        </w:rPr>
        <w:t>（2）报价表中的工程量为比选人暂估量，如实际工程量与暂估量有出入，则该出入部分工程量单价按签约合同单价计量。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auto"/>
          <w:szCs w:val="21"/>
          <w:highlight w:val="none"/>
        </w:rPr>
      </w:pPr>
      <w:r>
        <w:rPr>
          <w:rFonts w:hint="eastAsia"/>
          <w:color w:val="auto"/>
          <w:szCs w:val="21"/>
          <w:highlight w:val="none"/>
        </w:rPr>
        <w:t>（3）本项目最高总限价为：</w:t>
      </w:r>
      <w:r>
        <w:rPr>
          <w:rFonts w:hint="eastAsia"/>
          <w:color w:val="FF0000"/>
          <w:szCs w:val="21"/>
          <w:highlight w:val="none"/>
          <w:u w:val="single"/>
          <w:lang w:val="en-US" w:eastAsia="zh-CN"/>
        </w:rPr>
        <w:t xml:space="preserve">  </w:t>
      </w:r>
      <w:r>
        <w:rPr>
          <w:rFonts w:hint="eastAsia" w:ascii="宋体" w:hAnsi="宋体" w:eastAsia="宋体" w:cs="宋体"/>
          <w:color w:val="FF0000"/>
          <w:szCs w:val="21"/>
          <w:highlight w:val="none"/>
          <w:u w:val="single"/>
          <w:lang w:val="en-US" w:eastAsia="zh-CN"/>
        </w:rPr>
        <w:t>￥</w:t>
      </w:r>
      <w:r>
        <w:rPr>
          <w:rFonts w:hint="eastAsia"/>
          <w:color w:val="FF0000"/>
          <w:szCs w:val="21"/>
          <w:highlight w:val="none"/>
          <w:u w:val="single"/>
          <w:lang w:val="en-US" w:eastAsia="zh-CN"/>
        </w:rPr>
        <w:t xml:space="preserve">180000 </w:t>
      </w:r>
      <w:r>
        <w:rPr>
          <w:rFonts w:hint="eastAsia"/>
          <w:color w:val="auto"/>
          <w:szCs w:val="21"/>
          <w:highlight w:val="none"/>
          <w:u w:val="single"/>
          <w:lang w:val="en-US" w:eastAsia="zh-CN"/>
        </w:rPr>
        <w:t xml:space="preserve"> </w:t>
      </w:r>
      <w:r>
        <w:rPr>
          <w:rFonts w:hint="eastAsia"/>
          <w:color w:val="auto"/>
          <w:szCs w:val="21"/>
          <w:highlight w:val="none"/>
        </w:rPr>
        <w:t>元</w:t>
      </w:r>
      <w:r>
        <w:rPr>
          <w:rFonts w:hint="eastAsia"/>
          <w:color w:val="auto"/>
          <w:szCs w:val="21"/>
          <w:highlight w:val="none"/>
          <w:lang w:val="en-US" w:eastAsia="zh-CN"/>
        </w:rPr>
        <w:t>整</w:t>
      </w:r>
      <w:r>
        <w:rPr>
          <w:rFonts w:hint="eastAsia"/>
          <w:color w:val="auto"/>
          <w:szCs w:val="21"/>
          <w:highlight w:val="none"/>
        </w:rPr>
        <w:t>（大写：</w:t>
      </w:r>
      <w:r>
        <w:rPr>
          <w:rFonts w:hint="eastAsia"/>
          <w:color w:val="auto"/>
          <w:szCs w:val="21"/>
          <w:highlight w:val="none"/>
          <w:u w:val="single"/>
          <w:lang w:val="en-US" w:eastAsia="zh-CN"/>
        </w:rPr>
        <w:t xml:space="preserve"> 壹拾捌万 </w:t>
      </w:r>
      <w:r>
        <w:rPr>
          <w:rFonts w:hint="eastAsia"/>
          <w:color w:val="auto"/>
          <w:szCs w:val="21"/>
          <w:highlight w:val="none"/>
        </w:rPr>
        <w:t>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auto"/>
          <w:szCs w:val="21"/>
          <w:highlight w:val="none"/>
        </w:rPr>
      </w:pPr>
      <w:r>
        <w:rPr>
          <w:rFonts w:hint="eastAsia"/>
          <w:color w:val="auto"/>
          <w:szCs w:val="21"/>
          <w:highlight w:val="none"/>
        </w:rPr>
        <w:t>注：</w:t>
      </w:r>
      <w:r>
        <w:rPr>
          <w:rFonts w:hint="eastAsia"/>
          <w:color w:val="auto"/>
          <w:szCs w:val="21"/>
          <w:highlight w:val="none"/>
          <w:lang w:eastAsia="zh-CN"/>
        </w:rPr>
        <w:t>竞价人</w:t>
      </w:r>
      <w:r>
        <w:rPr>
          <w:rFonts w:hint="eastAsia"/>
          <w:color w:val="auto"/>
          <w:szCs w:val="21"/>
          <w:highlight w:val="none"/>
        </w:rPr>
        <w:t>的竞标报价</w:t>
      </w:r>
      <w:r>
        <w:rPr>
          <w:rFonts w:hint="eastAsia"/>
          <w:b/>
          <w:bCs/>
          <w:color w:val="FF0000"/>
          <w:szCs w:val="21"/>
          <w:highlight w:val="none"/>
        </w:rPr>
        <w:t>均不得</w:t>
      </w:r>
      <w:r>
        <w:rPr>
          <w:rFonts w:hint="eastAsia"/>
          <w:color w:val="auto"/>
          <w:szCs w:val="21"/>
          <w:highlight w:val="none"/>
        </w:rPr>
        <w:t>超过比选人公布的相应最高限价否则均为无效竞标（详见格式“五、已标价报价清单”）。</w:t>
      </w:r>
    </w:p>
    <w:p>
      <w:pPr>
        <w:pStyle w:val="2"/>
        <w:keepNext/>
        <w:keepLines/>
        <w:pageBreakBefore w:val="0"/>
        <w:widowControl w:val="0"/>
        <w:numPr>
          <w:ilvl w:val="0"/>
          <w:numId w:val="2"/>
        </w:numPr>
        <w:kinsoku/>
        <w:wordWrap/>
        <w:overflowPunct/>
        <w:topLinePunct w:val="0"/>
        <w:autoSpaceDE/>
        <w:autoSpaceDN/>
        <w:bidi w:val="0"/>
        <w:adjustRightInd/>
        <w:snapToGrid/>
        <w:spacing w:line="360" w:lineRule="auto"/>
        <w:ind w:left="266" w:leftChars="0" w:firstLine="0" w:firstLineChars="0"/>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供货要求：</w:t>
      </w:r>
    </w:p>
    <w:p>
      <w:pPr>
        <w:pStyle w:val="2"/>
        <w:keepNext/>
        <w:keepLines/>
        <w:pageBreakBefore w:val="0"/>
        <w:widowControl w:val="0"/>
        <w:numPr>
          <w:ilvl w:val="0"/>
          <w:numId w:val="0"/>
        </w:numPr>
        <w:kinsoku/>
        <w:wordWrap/>
        <w:overflowPunct/>
        <w:topLinePunct w:val="0"/>
        <w:autoSpaceDE/>
        <w:autoSpaceDN/>
        <w:bidi w:val="0"/>
        <w:adjustRightInd/>
        <w:snapToGrid/>
        <w:spacing w:line="360" w:lineRule="auto"/>
        <w:ind w:left="266" w:leftChars="0"/>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（1）质量要求：</w:t>
      </w:r>
    </w:p>
    <w:p>
      <w:pPr>
        <w:pageBreakBefore w:val="0"/>
        <w:kinsoku/>
        <w:wordWrap/>
        <w:overflowPunct/>
        <w:topLinePunct w:val="0"/>
        <w:bidi w:val="0"/>
        <w:snapToGrid/>
        <w:spacing w:line="360" w:lineRule="auto"/>
        <w:ind w:firstLine="420" w:firstLineChars="200"/>
        <w:textAlignment w:val="baseline"/>
        <w:rPr>
          <w:rFonts w:hint="eastAsia" w:ascii="宋体" w:hAnsi="宋体" w:eastAsia="宋体" w:cs="宋体"/>
          <w:szCs w:val="21"/>
          <w:lang w:val="en-US" w:eastAsia="zh-CN"/>
        </w:rPr>
      </w:pPr>
      <w:r>
        <w:rPr>
          <w:rFonts w:hint="eastAsia" w:ascii="宋体" w:hAnsi="宋体" w:eastAsia="宋体" w:cs="宋体"/>
          <w:szCs w:val="21"/>
          <w:lang w:val="en-US" w:eastAsia="zh-CN"/>
        </w:rPr>
        <w:t>1、竞标人提供的产品</w:t>
      </w:r>
      <w:r>
        <w:rPr>
          <w:rFonts w:hint="eastAsia" w:ascii="宋体" w:hAnsi="宋体" w:eastAsia="宋体" w:cs="宋体"/>
          <w:szCs w:val="21"/>
        </w:rPr>
        <w:t>应符合验收规范以及比选人的要求</w:t>
      </w:r>
      <w:r>
        <w:rPr>
          <w:rFonts w:hint="eastAsia" w:ascii="宋体" w:hAnsi="宋体" w:eastAsia="宋体" w:cs="宋体"/>
          <w:szCs w:val="21"/>
          <w:lang w:val="en-US" w:eastAsia="zh-CN"/>
        </w:rPr>
        <w:t>，最后提供比选方所需的产品合格证。</w:t>
      </w:r>
    </w:p>
    <w:p>
      <w:pPr>
        <w:pageBreakBefore w:val="0"/>
        <w:kinsoku/>
        <w:wordWrap/>
        <w:overflowPunct/>
        <w:topLinePunct w:val="0"/>
        <w:bidi w:val="0"/>
        <w:snapToGrid/>
        <w:spacing w:line="360" w:lineRule="auto"/>
        <w:ind w:firstLine="420" w:firstLineChars="200"/>
        <w:textAlignment w:val="baseline"/>
        <w:rPr>
          <w:rFonts w:hint="eastAsia"/>
          <w:szCs w:val="21"/>
          <w:lang w:val="en-US" w:eastAsia="zh-CN"/>
        </w:rPr>
      </w:pPr>
      <w:r>
        <w:rPr>
          <w:rFonts w:hint="eastAsia"/>
          <w:szCs w:val="21"/>
          <w:lang w:val="en-US" w:eastAsia="zh-CN"/>
        </w:rPr>
        <w:t>2、因产品质量不符合国家、行业规定的以及本合同约定的相关标准而产生的一切后果责任由竞标人承担；若由此而给比选人造成损失的，竞标人应全额赔偿。</w:t>
      </w:r>
    </w:p>
    <w:p>
      <w:pPr>
        <w:pageBreakBefore w:val="0"/>
        <w:kinsoku/>
        <w:wordWrap/>
        <w:overflowPunct/>
        <w:topLinePunct w:val="0"/>
        <w:bidi w:val="0"/>
        <w:snapToGrid/>
        <w:spacing w:line="360" w:lineRule="auto"/>
        <w:ind w:firstLine="420" w:firstLineChars="200"/>
        <w:rPr>
          <w:rFonts w:hint="eastAsia"/>
          <w:szCs w:val="21"/>
        </w:rPr>
      </w:pPr>
      <w:r>
        <w:rPr>
          <w:rFonts w:hint="eastAsia"/>
          <w:szCs w:val="21"/>
          <w:highlight w:val="none"/>
        </w:rPr>
        <w:t>（2）材料运输</w:t>
      </w:r>
      <w:r>
        <w:rPr>
          <w:rFonts w:hint="eastAsia"/>
          <w:szCs w:val="21"/>
          <w:highlight w:val="none"/>
          <w:lang w:val="en-US" w:eastAsia="zh-CN"/>
        </w:rPr>
        <w:t>及安装</w:t>
      </w:r>
      <w:r>
        <w:rPr>
          <w:rFonts w:hint="eastAsia"/>
          <w:szCs w:val="21"/>
          <w:highlight w:val="none"/>
        </w:rPr>
        <w:t>：本</w:t>
      </w:r>
      <w:r>
        <w:rPr>
          <w:rFonts w:hint="eastAsia"/>
          <w:szCs w:val="21"/>
        </w:rPr>
        <w:t>竞争性比选文件约定的材料价格为比选人指定位置的到场单</w:t>
      </w:r>
      <w:r>
        <w:rPr>
          <w:rFonts w:hint="eastAsia" w:ascii="Times New Roman" w:hAnsi="Times New Roman" w:eastAsia="宋体" w:cs="Times New Roman"/>
          <w:szCs w:val="21"/>
        </w:rPr>
        <w:t>价（包括装</w:t>
      </w:r>
      <w:r>
        <w:rPr>
          <w:rFonts w:hint="eastAsia" w:ascii="Times New Roman" w:hAnsi="Times New Roman" w:eastAsia="宋体" w:cs="Times New Roman"/>
          <w:szCs w:val="21"/>
          <w:lang w:eastAsia="zh-CN"/>
        </w:rPr>
        <w:t>车</w:t>
      </w:r>
      <w:r>
        <w:rPr>
          <w:rFonts w:hint="eastAsia" w:ascii="Times New Roman" w:hAnsi="Times New Roman" w:eastAsia="宋体" w:cs="Times New Roman"/>
          <w:szCs w:val="21"/>
          <w:lang w:val="en-US" w:eastAsia="zh-CN"/>
        </w:rPr>
        <w:t>及安装</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材料到达指定地点后安装完成</w:t>
      </w:r>
      <w:r>
        <w:rPr>
          <w:rFonts w:hint="eastAsia" w:ascii="Times New Roman" w:hAnsi="Times New Roman" w:eastAsia="宋体" w:cs="Times New Roman"/>
          <w:szCs w:val="21"/>
        </w:rPr>
        <w:t>，</w:t>
      </w:r>
      <w:r>
        <w:rPr>
          <w:rFonts w:hint="eastAsia"/>
          <w:szCs w:val="21"/>
        </w:rPr>
        <w:t>材料运输</w:t>
      </w:r>
      <w:r>
        <w:rPr>
          <w:rFonts w:hint="eastAsia"/>
          <w:szCs w:val="21"/>
          <w:lang w:val="en-US" w:eastAsia="zh-CN"/>
        </w:rPr>
        <w:t>及安装</w:t>
      </w:r>
      <w:r>
        <w:rPr>
          <w:rFonts w:hint="eastAsia"/>
          <w:szCs w:val="21"/>
        </w:rPr>
        <w:t>的安全由竞标人负责，因材料运输超限等引起的全部后果、责任均由竞标人承担。竞标人必须保证安全、及时供货，比选人不承担由此造成的安全责任及相应费用。</w:t>
      </w:r>
    </w:p>
    <w:p>
      <w:pPr>
        <w:pageBreakBefore w:val="0"/>
        <w:kinsoku/>
        <w:wordWrap/>
        <w:overflowPunct/>
        <w:topLinePunct w:val="0"/>
        <w:bidi w:val="0"/>
        <w:snapToGrid/>
        <w:spacing w:line="360" w:lineRule="auto"/>
        <w:ind w:firstLine="420" w:firstLineChars="200"/>
        <w:textAlignment w:val="baseline"/>
        <w:rPr>
          <w:rFonts w:hint="eastAsia"/>
        </w:rPr>
      </w:pPr>
      <w:r>
        <w:rPr>
          <w:rFonts w:hint="eastAsia"/>
          <w:szCs w:val="21"/>
          <w:lang w:val="en-US" w:eastAsia="zh-CN"/>
        </w:rPr>
        <w:t>（3）其他：自开工之日起，必须按时保量的将货物运送至指定地点并安装完成。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szCs w:val="21"/>
        </w:rPr>
      </w:pPr>
      <w:r>
        <w:rPr>
          <w:rFonts w:hint="eastAsia"/>
          <w:b/>
          <w:bCs/>
          <w:szCs w:val="21"/>
        </w:rPr>
        <w:t>3、</w:t>
      </w:r>
      <w:r>
        <w:rPr>
          <w:b/>
          <w:bCs/>
          <w:szCs w:val="21"/>
        </w:rPr>
        <w:t>本次比选申请文件的组成：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①报价书；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②法定代表人身份证明及授权委托书；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③比选申请单位有效的营业执照、</w:t>
      </w:r>
      <w:r>
        <w:rPr>
          <w:rFonts w:hint="eastAsia"/>
          <w:color w:val="auto"/>
          <w:szCs w:val="21"/>
          <w:highlight w:val="none"/>
        </w:rPr>
        <w:t>银行开户许可证</w:t>
      </w:r>
      <w:r>
        <w:rPr>
          <w:rFonts w:hint="eastAsia" w:ascii="宋体" w:hAnsi="宋体"/>
          <w:color w:val="auto"/>
          <w:szCs w:val="21"/>
          <w:highlight w:val="none"/>
          <w:lang w:eastAsia="zh-CN"/>
        </w:rPr>
        <w:t>；</w:t>
      </w:r>
    </w:p>
    <w:p>
      <w:pPr>
        <w:pStyle w:val="3"/>
        <w:ind w:firstLine="420"/>
        <w:rPr>
          <w:rFonts w:hint="eastAsia"/>
          <w:szCs w:val="21"/>
        </w:rPr>
      </w:pPr>
      <w:r>
        <w:rPr>
          <w:rFonts w:hint="eastAsia" w:ascii="宋体" w:hAnsi="宋体"/>
          <w:color w:val="auto"/>
          <w:szCs w:val="21"/>
          <w:highlight w:val="none"/>
          <w:lang w:eastAsia="zh-CN"/>
        </w:rPr>
        <w:t>④</w:t>
      </w:r>
      <w:r>
        <w:rPr>
          <w:rFonts w:hint="eastAsia"/>
          <w:szCs w:val="21"/>
        </w:rPr>
        <w:t>比选申请单位自行承诺部分；</w:t>
      </w:r>
    </w:p>
    <w:p>
      <w:pPr>
        <w:pStyle w:val="3"/>
        <w:ind w:firstLine="420"/>
        <w:rPr>
          <w:rFonts w:hint="eastAsia" w:ascii="宋体" w:hAnsi="宋体"/>
          <w:color w:val="auto"/>
          <w:szCs w:val="21"/>
          <w:highlight w:val="none"/>
          <w:lang w:val="en-US" w:eastAsia="zh-CN"/>
        </w:rPr>
      </w:pPr>
      <w:r>
        <w:rPr>
          <w:rFonts w:hint="default" w:ascii="宋体" w:hAnsi="宋体"/>
          <w:color w:val="auto"/>
          <w:szCs w:val="21"/>
          <w:highlight w:val="none"/>
          <w:lang w:eastAsia="zh-CN"/>
        </w:rPr>
        <w:t>⑤</w:t>
      </w:r>
      <w:r>
        <w:rPr>
          <w:rFonts w:hint="eastAsia" w:ascii="宋体" w:hAnsi="宋体"/>
          <w:color w:val="auto"/>
          <w:szCs w:val="21"/>
          <w:highlight w:val="none"/>
          <w:lang w:val="en-US" w:eastAsia="zh-CN"/>
        </w:rPr>
        <w:t>投标保证金缴纳凭证；</w:t>
      </w:r>
    </w:p>
    <w:p>
      <w:pPr>
        <w:pStyle w:val="3"/>
        <w:ind w:firstLine="420"/>
        <w:rPr>
          <w:rFonts w:hint="eastAsia" w:ascii="宋体" w:hAnsi="宋体"/>
          <w:color w:val="auto"/>
          <w:szCs w:val="21"/>
          <w:highlight w:val="none"/>
          <w:lang w:eastAsia="zh-CN"/>
        </w:rPr>
      </w:pPr>
      <w:r>
        <w:rPr>
          <w:rFonts w:hint="eastAsia" w:ascii="宋体" w:hAnsi="宋体" w:eastAsia="宋体" w:cs="宋体"/>
          <w:color w:val="auto"/>
          <w:szCs w:val="21"/>
          <w:highlight w:val="none"/>
          <w:lang w:eastAsia="zh-CN"/>
        </w:rPr>
        <w:t>⑥</w:t>
      </w:r>
      <w:r>
        <w:rPr>
          <w:rFonts w:hint="eastAsia" w:ascii="宋体" w:hAnsi="宋体"/>
          <w:color w:val="auto"/>
          <w:szCs w:val="21"/>
          <w:highlight w:val="none"/>
          <w:lang w:eastAsia="zh-CN"/>
        </w:rPr>
        <w:t>已标价报价清单。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Cs w:val="21"/>
        </w:rPr>
      </w:pPr>
      <w:r>
        <w:rPr>
          <w:rFonts w:hint="eastAsia"/>
          <w:b/>
          <w:bCs/>
          <w:szCs w:val="21"/>
        </w:rPr>
        <w:t>（注：以上所有文件均须竞标单位法定代表人或其授权代理人签署并加盖单位公章）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Cs w:val="21"/>
        </w:rPr>
      </w:pPr>
      <w:r>
        <w:rPr>
          <w:b/>
          <w:bCs/>
          <w:szCs w:val="21"/>
        </w:rPr>
        <w:t>4</w:t>
      </w:r>
      <w:r>
        <w:rPr>
          <w:rFonts w:hint="eastAsia"/>
          <w:b/>
          <w:bCs/>
          <w:szCs w:val="21"/>
        </w:rPr>
        <w:t>、</w:t>
      </w:r>
      <w:r>
        <w:rPr>
          <w:b/>
          <w:bCs/>
          <w:szCs w:val="21"/>
        </w:rPr>
        <w:t>比选申请文件的份数及编制要求</w:t>
      </w:r>
      <w:r>
        <w:rPr>
          <w:rFonts w:hint="eastAsia"/>
          <w:b/>
          <w:bCs/>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比选申请文件</w:t>
      </w:r>
      <w:r>
        <w:rPr>
          <w:rFonts w:hint="eastAsia" w:ascii="宋体" w:hAnsi="宋体"/>
          <w:b/>
          <w:bCs/>
          <w:color w:val="auto"/>
          <w:szCs w:val="21"/>
          <w:highlight w:val="none"/>
          <w:lang w:val="en-US" w:eastAsia="zh-CN"/>
        </w:rPr>
        <w:t>1份</w:t>
      </w:r>
      <w:r>
        <w:rPr>
          <w:rFonts w:hint="eastAsia" w:ascii="宋体" w:hAnsi="宋体"/>
          <w:color w:val="auto"/>
          <w:szCs w:val="21"/>
          <w:highlight w:val="none"/>
          <w:lang w:eastAsia="zh-CN"/>
        </w:rPr>
        <w:t>，比选申请文件按竞争性比选文件中规定格式排版。</w:t>
      </w:r>
    </w:p>
    <w:p>
      <w:pPr>
        <w:spacing w:line="360" w:lineRule="auto"/>
        <w:rPr>
          <w:b/>
          <w:bCs/>
          <w:color w:val="auto"/>
          <w:szCs w:val="21"/>
        </w:rPr>
      </w:pPr>
      <w:r>
        <w:rPr>
          <w:rFonts w:hint="eastAsia"/>
          <w:b/>
          <w:bCs/>
          <w:color w:val="auto"/>
          <w:szCs w:val="21"/>
        </w:rPr>
        <w:t>四、投标保证金</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rPr>
      </w:pPr>
      <w:r>
        <w:rPr>
          <w:rFonts w:hint="eastAsia"/>
          <w:color w:val="auto"/>
        </w:rPr>
        <w:t xml:space="preserve"> </w:t>
      </w:r>
      <w:r>
        <w:rPr>
          <w:color w:val="auto"/>
        </w:rPr>
        <w:t xml:space="preserve">   </w:t>
      </w:r>
      <w:r>
        <w:rPr>
          <w:rFonts w:hint="eastAsia" w:ascii="宋体" w:hAnsi="宋体"/>
          <w:color w:val="auto"/>
        </w:rPr>
        <w:t>竞标人从企业的基本账户（开户行）在投标截止时间前通过转账支票直接划付或以电汇方式直接划付至下面指定的投标保证金账户，否则，投标保证金无效。竞标人自行考虑汇入时间风险，如同城汇入、异地汇入、跨行汇入的时间要求。</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rPr>
      </w:pPr>
      <w:r>
        <w:rPr>
          <w:rFonts w:hint="eastAsia" w:ascii="宋体" w:hAnsi="宋体"/>
          <w:color w:val="auto"/>
        </w:rPr>
        <w:t>1、若投标截止时间延期，则投标保证金提交的截止时间和投标截止时间保持一致。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MingLiU"/>
          <w:color w:val="auto"/>
          <w:kern w:val="0"/>
        </w:rPr>
      </w:pPr>
      <w:r>
        <w:rPr>
          <w:rFonts w:hint="eastAsia" w:ascii="宋体" w:hAnsi="宋体" w:cs="MingLiU"/>
          <w:color w:val="auto"/>
          <w:kern w:val="0"/>
        </w:rPr>
        <w:t>2、投标保证金的金额：</w:t>
      </w:r>
      <w:r>
        <w:rPr>
          <w:rFonts w:ascii="宋体" w:hAnsi="宋体" w:cs="宋体"/>
          <w:b/>
          <w:color w:val="auto"/>
          <w:u w:val="single"/>
        </w:rPr>
        <w:t xml:space="preserve"> </w:t>
      </w:r>
      <w:r>
        <w:rPr>
          <w:rFonts w:hint="eastAsia" w:ascii="宋体" w:hAnsi="宋体" w:cs="宋体"/>
          <w:b/>
          <w:color w:val="auto"/>
          <w:u w:val="single"/>
          <w:lang w:val="en-US" w:eastAsia="zh-CN"/>
        </w:rPr>
        <w:t>0.</w:t>
      </w:r>
      <w:r>
        <w:rPr>
          <w:rFonts w:ascii="宋体" w:hAnsi="宋体" w:cs="宋体"/>
          <w:b/>
          <w:color w:val="auto"/>
          <w:u w:val="single"/>
        </w:rPr>
        <w:t>3</w:t>
      </w:r>
      <w:r>
        <w:rPr>
          <w:rFonts w:hint="eastAsia" w:ascii="宋体" w:hAnsi="宋体" w:cs="宋体"/>
          <w:b/>
          <w:snapToGrid w:val="0"/>
          <w:color w:val="auto"/>
          <w:kern w:val="0"/>
          <w:u w:val="single"/>
        </w:rPr>
        <w:t>万元（人民币）</w:t>
      </w:r>
      <w:r>
        <w:rPr>
          <w:rFonts w:hint="eastAsia" w:ascii="宋体" w:hAnsi="宋体"/>
          <w:b/>
          <w:color w:val="auto"/>
          <w:kern w:val="0"/>
          <w:u w:val="single"/>
        </w:rPr>
        <w:t>。</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color w:val="auto"/>
        </w:rPr>
      </w:pPr>
      <w:r>
        <w:rPr>
          <w:rFonts w:hint="eastAsia" w:ascii="宋体" w:hAnsi="宋体"/>
          <w:b/>
          <w:bCs/>
          <w:color w:val="auto"/>
        </w:rPr>
        <w:t>3、投标保证金账户及账号</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单位名称：重庆通力高速公路养护工程有限公司</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开户行：工商银行重庆西湖路支行</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账户性质：（一般户、收入户）</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账号：3100038119100018671</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行号：102653001602</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投标保证金以</w:t>
      </w:r>
      <w:r>
        <w:rPr>
          <w:rFonts w:hint="eastAsia" w:ascii="宋体" w:hAnsi="宋体" w:cs="宋体"/>
          <w:color w:val="auto"/>
          <w:highlight w:val="none"/>
          <w:lang w:val="en-US" w:eastAsia="zh-CN"/>
        </w:rPr>
        <w:t>比选人展示的</w:t>
      </w:r>
      <w:r>
        <w:rPr>
          <w:rFonts w:hint="eastAsia" w:ascii="宋体" w:hAnsi="宋体" w:cs="宋体"/>
          <w:color w:val="auto"/>
          <w:highlight w:val="none"/>
        </w:rPr>
        <w:t>保证金交纳情况为准。投标人须在投标文件“三、</w:t>
      </w:r>
      <w:r>
        <w:rPr>
          <w:rFonts w:hint="eastAsia" w:ascii="宋体" w:hAnsi="宋体"/>
          <w:color w:val="auto"/>
          <w:szCs w:val="21"/>
          <w:highlight w:val="none"/>
          <w:lang w:eastAsia="zh-CN"/>
        </w:rPr>
        <w:t>比选申请单位有效的营业执照、</w:t>
      </w:r>
      <w:r>
        <w:rPr>
          <w:rFonts w:hint="eastAsia"/>
          <w:color w:val="auto"/>
          <w:szCs w:val="21"/>
          <w:highlight w:val="none"/>
        </w:rPr>
        <w:t>银行开户许可证</w:t>
      </w:r>
      <w:r>
        <w:rPr>
          <w:rFonts w:hint="eastAsia" w:ascii="宋体" w:hAnsi="宋体" w:cs="宋体"/>
          <w:color w:val="auto"/>
          <w:highlight w:val="none"/>
        </w:rPr>
        <w:t>”中提供企业基本账户开户证明文件。</w:t>
      </w:r>
    </w:p>
    <w:p>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 xml:space="preserve">投标人必须在付款凭证备注栏中注明是“ </w:t>
      </w:r>
      <w:r>
        <w:rPr>
          <w:rFonts w:hint="eastAsia" w:ascii="宋体" w:hAnsi="宋体"/>
          <w:b/>
          <w:bCs/>
          <w:color w:val="auto"/>
          <w:lang w:val="en-US" w:eastAsia="zh-CN"/>
        </w:rPr>
        <w:t>复兴服务区导视系统和发光字</w:t>
      </w:r>
      <w:r>
        <w:rPr>
          <w:rFonts w:hint="eastAsia" w:ascii="宋体" w:hAnsi="宋体"/>
          <w:b/>
          <w:bCs/>
          <w:color w:val="auto"/>
        </w:rPr>
        <w:t>投标保证金</w:t>
      </w:r>
      <w:r>
        <w:rPr>
          <w:rFonts w:hint="eastAsia" w:ascii="宋体" w:hAnsi="宋体" w:cs="宋体"/>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textAlignment w:val="auto"/>
        <w:rPr>
          <w:rFonts w:hint="eastAsia" w:ascii="宋体" w:hAnsi="宋体" w:cs="宋体"/>
          <w:color w:val="auto"/>
          <w:highlight w:val="none"/>
        </w:rPr>
      </w:pPr>
      <w:r>
        <w:rPr>
          <w:rFonts w:hint="eastAsia" w:ascii="宋体" w:hAnsi="宋体" w:cs="宋体"/>
          <w:color w:val="auto"/>
          <w:highlight w:val="none"/>
        </w:rPr>
        <w:t>5、投标保证金有效期与投标有效期一致。</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auto"/>
          <w:kern w:val="0"/>
          <w:highlight w:val="none"/>
        </w:rPr>
      </w:pPr>
      <w:r>
        <w:rPr>
          <w:rFonts w:hint="eastAsia" w:ascii="宋体" w:hAnsi="宋体" w:cs="宋体"/>
          <w:b/>
          <w:bCs/>
          <w:color w:val="auto"/>
          <w:highlight w:val="none"/>
          <w:u w:val="single"/>
        </w:rPr>
        <w:t>6、未从基本账户转入的，由评标委员会作否决投标处理</w:t>
      </w:r>
      <w:r>
        <w:rPr>
          <w:rFonts w:hint="eastAsia" w:ascii="宋体" w:hAnsi="宋体" w:cs="宋体"/>
          <w:b/>
          <w:bCs/>
          <w:color w:val="auto"/>
          <w:kern w:val="0"/>
          <w:highlight w:val="none"/>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投标保证金的退还</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招标人应当在法定时间内确定中标人。招标人应当在中标通知书发出后</w:t>
      </w:r>
      <w:r>
        <w:rPr>
          <w:rFonts w:hint="eastAsia" w:ascii="宋体" w:hAnsi="宋体" w:cs="宋体"/>
          <w:color w:val="auto"/>
          <w:highlight w:val="none"/>
          <w:lang w:val="en-US" w:eastAsia="zh-CN"/>
        </w:rPr>
        <w:t>5</w:t>
      </w:r>
      <w:r>
        <w:rPr>
          <w:rFonts w:hint="eastAsia" w:ascii="宋体" w:hAnsi="宋体" w:cs="宋体"/>
          <w:color w:val="auto"/>
          <w:highlight w:val="none"/>
        </w:rPr>
        <w:t>个工作日内向除中标人和中标候选人以外的投标人，</w:t>
      </w:r>
      <w:r>
        <w:rPr>
          <w:rFonts w:hint="eastAsia" w:ascii="宋体" w:hAnsi="宋体" w:cs="宋体"/>
          <w:color w:val="auto"/>
          <w:highlight w:val="none"/>
          <w:lang w:val="en-US" w:eastAsia="zh-CN"/>
        </w:rPr>
        <w:t>无息</w:t>
      </w:r>
      <w:r>
        <w:rPr>
          <w:rFonts w:hint="eastAsia" w:ascii="宋体" w:hAnsi="宋体" w:cs="宋体"/>
          <w:color w:val="auto"/>
          <w:highlight w:val="none"/>
        </w:rPr>
        <w:t>退还投标保证金。</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招标人应当在法定时间内和中标人签订合同。招标人应当在合同生效后</w:t>
      </w:r>
      <w:r>
        <w:rPr>
          <w:rFonts w:hint="eastAsia" w:ascii="宋体" w:hAnsi="宋体" w:cs="宋体"/>
          <w:color w:val="auto"/>
          <w:highlight w:val="none"/>
          <w:lang w:val="en-US" w:eastAsia="zh-CN"/>
        </w:rPr>
        <w:t>5</w:t>
      </w:r>
      <w:r>
        <w:rPr>
          <w:rFonts w:hint="eastAsia" w:ascii="宋体" w:hAnsi="宋体" w:cs="宋体"/>
          <w:color w:val="auto"/>
          <w:highlight w:val="none"/>
        </w:rPr>
        <w:t>个工作日内，向中标人和中标候选人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无息</w:t>
      </w:r>
      <w:r>
        <w:rPr>
          <w:rFonts w:hint="eastAsia" w:ascii="宋体" w:hAnsi="宋体" w:cs="宋体"/>
          <w:color w:val="auto"/>
          <w:highlight w:val="none"/>
        </w:rPr>
        <w:t>退还投标保证金。</w:t>
      </w:r>
    </w:p>
    <w:p>
      <w:pPr>
        <w:pStyle w:val="3"/>
        <w:rPr>
          <w:rFonts w:hint="eastAsia"/>
        </w:rPr>
      </w:pPr>
    </w:p>
    <w:p>
      <w:pPr>
        <w:pageBreakBefore w:val="0"/>
        <w:kinsoku/>
        <w:overflowPunct/>
        <w:bidi w:val="0"/>
        <w:spacing w:line="360" w:lineRule="auto"/>
        <w:rPr>
          <w:rFonts w:hint="eastAsia"/>
          <w:color w:val="auto"/>
          <w:lang w:val="en-US" w:eastAsia="zh-CN"/>
        </w:rPr>
      </w:pPr>
      <w:r>
        <w:rPr>
          <w:rFonts w:hint="eastAsia" w:ascii="宋体" w:hAnsi="宋体" w:cs="宋体"/>
          <w:b/>
          <w:color w:val="auto"/>
          <w:szCs w:val="21"/>
          <w:highlight w:val="none"/>
          <w:lang w:val="en-US" w:eastAsia="zh-CN"/>
        </w:rPr>
        <w:t>五</w:t>
      </w:r>
      <w:r>
        <w:rPr>
          <w:rFonts w:hint="eastAsia" w:ascii="宋体" w:hAnsi="宋体" w:cs="宋体"/>
          <w:b/>
          <w:color w:val="auto"/>
          <w:szCs w:val="21"/>
          <w:highlight w:val="none"/>
          <w:lang w:eastAsia="zh-CN"/>
        </w:rPr>
        <w:t>、</w:t>
      </w:r>
      <w:r>
        <w:rPr>
          <w:rFonts w:hint="eastAsia"/>
          <w:color w:val="auto"/>
          <w:lang w:val="en-US" w:eastAsia="zh-CN"/>
        </w:rPr>
        <w:t>本项目采用</w:t>
      </w:r>
      <w:r>
        <w:rPr>
          <w:rFonts w:hint="eastAsia"/>
          <w:b/>
          <w:bCs/>
          <w:color w:val="auto"/>
          <w:u w:val="single"/>
          <w:lang w:val="en-US" w:eastAsia="zh-CN"/>
        </w:rPr>
        <w:t>经评审的最低投标价法</w:t>
      </w:r>
      <w:r>
        <w:rPr>
          <w:rFonts w:hint="eastAsia"/>
          <w:color w:val="auto"/>
          <w:lang w:val="en-US" w:eastAsia="zh-CN"/>
        </w:rPr>
        <w:t>，在满足比选文件所有要求的前提下，</w:t>
      </w:r>
      <w:r>
        <w:rPr>
          <w:rFonts w:hint="eastAsia" w:ascii="宋体" w:hAnsi="宋体"/>
          <w:color w:val="auto"/>
          <w:szCs w:val="21"/>
          <w:highlight w:val="none"/>
          <w:lang w:eastAsia="zh-CN"/>
        </w:rPr>
        <w:t>评标委员会按报价金额由低到高的顺序进行评审。</w:t>
      </w:r>
    </w:p>
    <w:p>
      <w:pPr>
        <w:pStyle w:val="3"/>
        <w:pageBreakBefore w:val="0"/>
        <w:kinsoku/>
        <w:overflowPunct/>
        <w:bidi w:val="0"/>
        <w:spacing w:line="360" w:lineRule="auto"/>
        <w:rPr>
          <w:rFonts w:hint="eastAsia"/>
          <w:b/>
          <w:bCs/>
        </w:rPr>
      </w:pPr>
      <w:r>
        <w:rPr>
          <w:rFonts w:hint="eastAsia"/>
          <w:b/>
          <w:bCs/>
        </w:rPr>
        <w:t>具体评审标准详见下表</w:t>
      </w: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1200"/>
        <w:gridCol w:w="2180"/>
        <w:gridCol w:w="5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jc w:val="center"/>
        </w:trPr>
        <w:tc>
          <w:tcPr>
            <w:tcW w:w="2045"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条款号</w:t>
            </w:r>
          </w:p>
        </w:tc>
        <w:tc>
          <w:tcPr>
            <w:tcW w:w="2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评审因素</w:t>
            </w:r>
          </w:p>
        </w:tc>
        <w:tc>
          <w:tcPr>
            <w:tcW w:w="5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jc w:val="center"/>
        </w:trPr>
        <w:tc>
          <w:tcPr>
            <w:tcW w:w="845" w:type="dxa"/>
            <w:vMerge w:val="restart"/>
            <w:tcBorders>
              <w:top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1.1.1</w:t>
            </w:r>
          </w:p>
        </w:tc>
        <w:tc>
          <w:tcPr>
            <w:tcW w:w="1200" w:type="dxa"/>
            <w:vMerge w:val="restart"/>
            <w:tcBorders>
              <w:top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形式评审标准</w:t>
            </w:r>
          </w:p>
        </w:tc>
        <w:tc>
          <w:tcPr>
            <w:tcW w:w="2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lang w:eastAsia="zh-CN"/>
              </w:rPr>
              <w:t>比选申请人</w:t>
            </w:r>
            <w:r>
              <w:rPr>
                <w:rFonts w:hint="eastAsia" w:ascii="宋体" w:hAnsi="宋体" w:cs="宋体"/>
                <w:color w:val="auto"/>
                <w:sz w:val="21"/>
                <w:szCs w:val="21"/>
                <w:highlight w:val="none"/>
                <w:shd w:val="clear" w:color="auto" w:fill="FFFFFF"/>
              </w:rPr>
              <w:t>名称</w:t>
            </w:r>
          </w:p>
        </w:tc>
        <w:tc>
          <w:tcPr>
            <w:tcW w:w="5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jc w:val="center"/>
        </w:trPr>
        <w:tc>
          <w:tcPr>
            <w:tcW w:w="845"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textAlignment w:val="auto"/>
              <w:rPr>
                <w:rFonts w:hint="eastAsia" w:ascii="宋体" w:hAnsi="宋体" w:cs="宋体"/>
                <w:color w:val="auto"/>
                <w:sz w:val="21"/>
                <w:szCs w:val="21"/>
                <w:highlight w:val="none"/>
                <w:shd w:val="clear" w:color="auto" w:fill="FFFFFF"/>
              </w:rPr>
            </w:pPr>
          </w:p>
        </w:tc>
        <w:tc>
          <w:tcPr>
            <w:tcW w:w="1200"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textAlignment w:val="auto"/>
              <w:rPr>
                <w:rFonts w:hint="eastAsia" w:ascii="宋体" w:hAnsi="宋体" w:cs="宋体"/>
                <w:color w:val="auto"/>
                <w:sz w:val="21"/>
                <w:szCs w:val="21"/>
                <w:highlight w:val="none"/>
                <w:shd w:val="clear" w:color="auto" w:fill="FFFFFF"/>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授权委托书</w:t>
            </w:r>
          </w:p>
        </w:tc>
        <w:tc>
          <w:tcPr>
            <w:tcW w:w="5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jc w:val="center"/>
        </w:trPr>
        <w:tc>
          <w:tcPr>
            <w:tcW w:w="845"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textAlignment w:val="auto"/>
              <w:rPr>
                <w:rFonts w:hint="eastAsia" w:ascii="宋体" w:hAnsi="宋体" w:cs="宋体"/>
                <w:color w:val="auto"/>
                <w:sz w:val="21"/>
                <w:szCs w:val="21"/>
                <w:highlight w:val="none"/>
                <w:shd w:val="clear" w:color="auto" w:fill="FFFFFF"/>
              </w:rPr>
            </w:pPr>
          </w:p>
        </w:tc>
        <w:tc>
          <w:tcPr>
            <w:tcW w:w="1200"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textAlignment w:val="auto"/>
              <w:rPr>
                <w:rFonts w:hint="eastAsia" w:ascii="宋体" w:hAnsi="宋体" w:cs="宋体"/>
                <w:color w:val="auto"/>
                <w:sz w:val="21"/>
                <w:szCs w:val="21"/>
                <w:highlight w:val="none"/>
                <w:shd w:val="clear" w:color="auto" w:fill="FFFFFF"/>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投标函签字盖章</w:t>
            </w:r>
          </w:p>
        </w:tc>
        <w:tc>
          <w:tcPr>
            <w:tcW w:w="5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有法定代表人或其委托代理人签字</w:t>
            </w:r>
            <w:r>
              <w:rPr>
                <w:rFonts w:hint="eastAsia" w:ascii="宋体" w:hAnsi="宋体" w:cs="宋体"/>
                <w:color w:val="auto"/>
                <w:sz w:val="21"/>
                <w:szCs w:val="21"/>
                <w:highlight w:val="none"/>
                <w:shd w:val="clear" w:color="auto" w:fill="FFFFFF"/>
                <w:lang w:val="en-US" w:eastAsia="zh-CN"/>
              </w:rPr>
              <w:t>和</w:t>
            </w:r>
            <w:r>
              <w:rPr>
                <w:rFonts w:hint="eastAsia" w:ascii="宋体" w:hAnsi="宋体" w:cs="宋体"/>
                <w:color w:val="auto"/>
                <w:sz w:val="21"/>
                <w:szCs w:val="21"/>
                <w:highlight w:val="none"/>
                <w:shd w:val="clear" w:color="auto" w:fill="FFFFFF"/>
              </w:rPr>
              <w:t>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jc w:val="center"/>
        </w:trPr>
        <w:tc>
          <w:tcPr>
            <w:tcW w:w="845"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textAlignment w:val="auto"/>
              <w:rPr>
                <w:rFonts w:hint="eastAsia" w:ascii="宋体" w:hAnsi="宋体" w:cs="宋体"/>
                <w:color w:val="auto"/>
                <w:sz w:val="21"/>
                <w:szCs w:val="21"/>
                <w:highlight w:val="none"/>
                <w:shd w:val="clear" w:color="auto" w:fill="FFFFFF"/>
              </w:rPr>
            </w:pPr>
          </w:p>
        </w:tc>
        <w:tc>
          <w:tcPr>
            <w:tcW w:w="1200"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textAlignment w:val="auto"/>
              <w:rPr>
                <w:rFonts w:hint="eastAsia" w:ascii="宋体" w:hAnsi="宋体" w:cs="宋体"/>
                <w:color w:val="auto"/>
                <w:sz w:val="21"/>
                <w:szCs w:val="21"/>
                <w:highlight w:val="none"/>
                <w:shd w:val="clear" w:color="auto" w:fill="FFFFFF"/>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比选申请文件格式</w:t>
            </w:r>
          </w:p>
        </w:tc>
        <w:tc>
          <w:tcPr>
            <w:tcW w:w="5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jc w:val="center"/>
        </w:trPr>
        <w:tc>
          <w:tcPr>
            <w:tcW w:w="845"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textAlignment w:val="auto"/>
              <w:rPr>
                <w:rFonts w:hint="eastAsia" w:ascii="宋体" w:hAnsi="宋体" w:cs="宋体"/>
                <w:color w:val="auto"/>
                <w:sz w:val="21"/>
                <w:szCs w:val="21"/>
                <w:highlight w:val="none"/>
                <w:shd w:val="clear" w:color="auto" w:fill="FFFFFF"/>
              </w:rPr>
            </w:pPr>
          </w:p>
        </w:tc>
        <w:tc>
          <w:tcPr>
            <w:tcW w:w="1200"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textAlignment w:val="auto"/>
              <w:rPr>
                <w:rFonts w:hint="eastAsia" w:ascii="宋体" w:hAnsi="宋体" w:cs="宋体"/>
                <w:color w:val="auto"/>
                <w:sz w:val="21"/>
                <w:szCs w:val="21"/>
                <w:highlight w:val="none"/>
                <w:shd w:val="clear" w:color="auto" w:fill="FFFFFF"/>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报价唯一</w:t>
            </w:r>
          </w:p>
        </w:tc>
        <w:tc>
          <w:tcPr>
            <w:tcW w:w="5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5"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1.1.2</w:t>
            </w:r>
          </w:p>
        </w:tc>
        <w:tc>
          <w:tcPr>
            <w:tcW w:w="1200"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资格评审标准</w:t>
            </w:r>
          </w:p>
        </w:tc>
        <w:tc>
          <w:tcPr>
            <w:tcW w:w="2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营业执照</w:t>
            </w:r>
          </w:p>
        </w:tc>
        <w:tc>
          <w:tcPr>
            <w:tcW w:w="5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cs="宋体"/>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5" w:type="dxa"/>
            <w:vMerge w:val="continue"/>
            <w:tcBorders>
              <w:top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textAlignment w:val="auto"/>
              <w:rPr>
                <w:rFonts w:hint="eastAsia" w:ascii="宋体" w:hAnsi="宋体" w:cs="宋体"/>
                <w:color w:val="auto"/>
                <w:sz w:val="21"/>
                <w:szCs w:val="21"/>
                <w:highlight w:val="none"/>
                <w:shd w:val="clear" w:color="auto" w:fill="FFFFFF"/>
              </w:rPr>
            </w:pPr>
          </w:p>
        </w:tc>
        <w:tc>
          <w:tcPr>
            <w:tcW w:w="1200" w:type="dxa"/>
            <w:vMerge w:val="continue"/>
            <w:tcBorders>
              <w:top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textAlignment w:val="auto"/>
              <w:rPr>
                <w:rFonts w:hint="eastAsia" w:ascii="宋体" w:hAnsi="宋体" w:cs="宋体"/>
                <w:color w:val="auto"/>
                <w:sz w:val="21"/>
                <w:szCs w:val="21"/>
                <w:highlight w:val="none"/>
                <w:shd w:val="clear" w:color="auto" w:fill="FFFFFF"/>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lang w:eastAsia="zh-CN"/>
              </w:rPr>
              <w:t>竞标</w:t>
            </w:r>
            <w:r>
              <w:rPr>
                <w:rFonts w:hint="eastAsia" w:ascii="宋体" w:hAnsi="宋体" w:cs="宋体"/>
                <w:color w:val="auto"/>
                <w:sz w:val="21"/>
                <w:szCs w:val="21"/>
                <w:highlight w:val="none"/>
                <w:shd w:val="clear" w:color="auto" w:fill="FFFFFF"/>
              </w:rPr>
              <w:t>报价</w:t>
            </w:r>
          </w:p>
        </w:tc>
        <w:tc>
          <w:tcPr>
            <w:tcW w:w="5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5" w:type="dxa"/>
            <w:tcBorders>
              <w:top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1.1.3</w:t>
            </w:r>
          </w:p>
        </w:tc>
        <w:tc>
          <w:tcPr>
            <w:tcW w:w="1200" w:type="dxa"/>
            <w:tcBorders>
              <w:top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响应性</w:t>
            </w:r>
          </w:p>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评审</w:t>
            </w:r>
          </w:p>
        </w:tc>
        <w:tc>
          <w:tcPr>
            <w:tcW w:w="2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lang w:eastAsia="zh-CN"/>
              </w:rPr>
            </w:pPr>
            <w:r>
              <w:rPr>
                <w:rFonts w:hint="eastAsia" w:ascii="宋体" w:hAnsi="宋体" w:cs="宋体"/>
                <w:color w:val="auto"/>
                <w:sz w:val="21"/>
                <w:szCs w:val="21"/>
                <w:highlight w:val="none"/>
                <w:shd w:val="clear" w:color="auto" w:fill="FFFFFF"/>
                <w:lang w:eastAsia="zh-CN"/>
              </w:rPr>
              <w:t>投标保证金</w:t>
            </w:r>
          </w:p>
        </w:tc>
        <w:tc>
          <w:tcPr>
            <w:tcW w:w="5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符合比选文件要求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9569" w:type="dxa"/>
            <w:gridSpan w:val="4"/>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注：条款1.1.1、1.1.2</w:t>
            </w:r>
            <w:r>
              <w:rPr>
                <w:rFonts w:hint="eastAsia" w:ascii="宋体" w:hAnsi="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lang w:val="en-US" w:eastAsia="zh-CN"/>
              </w:rPr>
              <w:t>1.1.3</w:t>
            </w:r>
            <w:r>
              <w:rPr>
                <w:rFonts w:hint="eastAsia" w:ascii="宋体" w:hAnsi="宋体" w:cs="宋体"/>
                <w:color w:val="auto"/>
                <w:sz w:val="21"/>
                <w:szCs w:val="21"/>
                <w:highlight w:val="none"/>
                <w:shd w:val="clear" w:color="auto" w:fill="FFFFFF"/>
              </w:rPr>
              <w:t>均为强制性要求，</w:t>
            </w:r>
            <w:r>
              <w:rPr>
                <w:rFonts w:hint="eastAsia" w:ascii="宋体" w:hAnsi="宋体" w:cs="宋体"/>
                <w:color w:val="auto"/>
                <w:sz w:val="21"/>
                <w:szCs w:val="21"/>
                <w:highlight w:val="none"/>
                <w:shd w:val="clear" w:color="auto" w:fill="FFFFFF"/>
                <w:lang w:eastAsia="zh-CN"/>
              </w:rPr>
              <w:t>比选申请人</w:t>
            </w:r>
            <w:r>
              <w:rPr>
                <w:rFonts w:hint="eastAsia" w:ascii="宋体" w:hAnsi="宋体" w:cs="宋体"/>
                <w:color w:val="auto"/>
                <w:sz w:val="21"/>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9569" w:type="dxa"/>
            <w:gridSpan w:val="4"/>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textAlignment w:val="auto"/>
              <w:rPr>
                <w:b/>
                <w:color w:val="auto"/>
                <w:sz w:val="21"/>
                <w:szCs w:val="21"/>
                <w:highlight w:val="none"/>
              </w:rPr>
            </w:pPr>
            <w:r>
              <w:rPr>
                <w:b/>
                <w:color w:val="auto"/>
                <w:sz w:val="21"/>
                <w:szCs w:val="21"/>
                <w:highlight w:val="none"/>
              </w:rPr>
              <w:t>有下列情况之一的，做否决</w:t>
            </w:r>
            <w:r>
              <w:rPr>
                <w:rFonts w:hint="eastAsia"/>
                <w:b/>
                <w:color w:val="auto"/>
                <w:sz w:val="21"/>
                <w:szCs w:val="21"/>
                <w:highlight w:val="none"/>
              </w:rPr>
              <w:t>竞标</w:t>
            </w:r>
            <w:r>
              <w:rPr>
                <w:b/>
                <w:color w:val="auto"/>
                <w:sz w:val="21"/>
                <w:szCs w:val="21"/>
                <w:highlight w:val="none"/>
              </w:rPr>
              <w:t>处理。</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textAlignment w:val="auto"/>
              <w:rPr>
                <w:color w:val="auto"/>
                <w:sz w:val="21"/>
                <w:szCs w:val="21"/>
                <w:highlight w:val="none"/>
              </w:rPr>
            </w:pPr>
            <w:r>
              <w:rPr>
                <w:color w:val="auto"/>
                <w:sz w:val="21"/>
                <w:szCs w:val="21"/>
                <w:highlight w:val="none"/>
              </w:rPr>
              <w:t>不同</w:t>
            </w:r>
            <w:r>
              <w:rPr>
                <w:rFonts w:hint="eastAsia"/>
                <w:color w:val="auto"/>
                <w:sz w:val="21"/>
                <w:szCs w:val="21"/>
                <w:highlight w:val="none"/>
                <w:lang w:eastAsia="zh-CN"/>
              </w:rPr>
              <w:t>比选申请人</w:t>
            </w:r>
            <w:r>
              <w:rPr>
                <w:color w:val="auto"/>
                <w:sz w:val="21"/>
                <w:szCs w:val="21"/>
                <w:highlight w:val="none"/>
              </w:rPr>
              <w:t>的</w:t>
            </w:r>
            <w:r>
              <w:rPr>
                <w:rFonts w:hint="eastAsia"/>
                <w:color w:val="auto"/>
                <w:sz w:val="21"/>
                <w:szCs w:val="21"/>
                <w:highlight w:val="none"/>
                <w:lang w:eastAsia="zh-CN"/>
              </w:rPr>
              <w:t>比选申请</w:t>
            </w:r>
            <w:r>
              <w:rPr>
                <w:rFonts w:hint="eastAsia"/>
                <w:color w:val="auto"/>
                <w:sz w:val="21"/>
                <w:szCs w:val="21"/>
                <w:highlight w:val="none"/>
              </w:rPr>
              <w:t>文件</w:t>
            </w:r>
            <w:r>
              <w:rPr>
                <w:color w:val="auto"/>
                <w:sz w:val="21"/>
                <w:szCs w:val="21"/>
                <w:highlight w:val="none"/>
              </w:rPr>
              <w:t>由同一单位或者个人编制；</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textAlignment w:val="auto"/>
              <w:rPr>
                <w:color w:val="auto"/>
                <w:sz w:val="21"/>
                <w:szCs w:val="21"/>
                <w:highlight w:val="none"/>
              </w:rPr>
            </w:pPr>
            <w:r>
              <w:rPr>
                <w:color w:val="auto"/>
                <w:sz w:val="21"/>
                <w:szCs w:val="21"/>
                <w:highlight w:val="none"/>
              </w:rPr>
              <w:t>不同</w:t>
            </w:r>
            <w:r>
              <w:rPr>
                <w:rFonts w:hint="eastAsia"/>
                <w:color w:val="auto"/>
                <w:sz w:val="21"/>
                <w:szCs w:val="21"/>
                <w:highlight w:val="none"/>
                <w:lang w:eastAsia="zh-CN"/>
              </w:rPr>
              <w:t>比选申请人</w:t>
            </w:r>
            <w:r>
              <w:rPr>
                <w:color w:val="auto"/>
                <w:sz w:val="21"/>
                <w:szCs w:val="21"/>
                <w:highlight w:val="none"/>
              </w:rPr>
              <w:t>委托同一单位或者个人办理</w:t>
            </w:r>
            <w:r>
              <w:rPr>
                <w:rFonts w:hint="eastAsia"/>
                <w:color w:val="auto"/>
                <w:sz w:val="21"/>
                <w:szCs w:val="21"/>
                <w:highlight w:val="none"/>
              </w:rPr>
              <w:t>竞标</w:t>
            </w:r>
            <w:r>
              <w:rPr>
                <w:color w:val="auto"/>
                <w:sz w:val="21"/>
                <w:szCs w:val="21"/>
                <w:highlight w:val="none"/>
              </w:rPr>
              <w:t>事宜；</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textAlignment w:val="auto"/>
              <w:rPr>
                <w:color w:val="auto"/>
                <w:sz w:val="21"/>
                <w:szCs w:val="21"/>
                <w:highlight w:val="none"/>
              </w:rPr>
            </w:pPr>
            <w:r>
              <w:rPr>
                <w:color w:val="auto"/>
                <w:sz w:val="21"/>
                <w:szCs w:val="21"/>
                <w:highlight w:val="none"/>
              </w:rPr>
              <w:t>不同</w:t>
            </w:r>
            <w:r>
              <w:rPr>
                <w:rFonts w:hint="eastAsia"/>
                <w:color w:val="auto"/>
                <w:sz w:val="21"/>
                <w:szCs w:val="21"/>
                <w:highlight w:val="none"/>
                <w:lang w:eastAsia="zh-CN"/>
              </w:rPr>
              <w:t>比选申请人</w:t>
            </w:r>
            <w:r>
              <w:rPr>
                <w:color w:val="auto"/>
                <w:sz w:val="21"/>
                <w:szCs w:val="21"/>
                <w:highlight w:val="none"/>
              </w:rPr>
              <w:t>的</w:t>
            </w:r>
            <w:r>
              <w:rPr>
                <w:rFonts w:hint="eastAsia"/>
                <w:color w:val="auto"/>
                <w:sz w:val="21"/>
                <w:szCs w:val="21"/>
                <w:highlight w:val="none"/>
                <w:lang w:eastAsia="zh-CN"/>
              </w:rPr>
              <w:t>比选申请</w:t>
            </w:r>
            <w:r>
              <w:rPr>
                <w:rFonts w:hint="eastAsia"/>
                <w:color w:val="auto"/>
                <w:sz w:val="21"/>
                <w:szCs w:val="21"/>
                <w:highlight w:val="none"/>
              </w:rPr>
              <w:t>文件</w:t>
            </w:r>
            <w:r>
              <w:rPr>
                <w:color w:val="auto"/>
                <w:sz w:val="21"/>
                <w:szCs w:val="21"/>
                <w:highlight w:val="none"/>
              </w:rPr>
              <w:t>载明的项目管理成员为同一人；</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textAlignment w:val="auto"/>
              <w:rPr>
                <w:color w:val="auto"/>
                <w:sz w:val="21"/>
                <w:szCs w:val="21"/>
                <w:highlight w:val="none"/>
              </w:rPr>
            </w:pPr>
            <w:r>
              <w:rPr>
                <w:color w:val="auto"/>
                <w:sz w:val="21"/>
                <w:szCs w:val="21"/>
                <w:highlight w:val="none"/>
              </w:rPr>
              <w:t>不同</w:t>
            </w:r>
            <w:r>
              <w:rPr>
                <w:rFonts w:hint="eastAsia"/>
                <w:color w:val="auto"/>
                <w:sz w:val="21"/>
                <w:szCs w:val="21"/>
                <w:highlight w:val="none"/>
                <w:lang w:eastAsia="zh-CN"/>
              </w:rPr>
              <w:t>比选申请人</w:t>
            </w:r>
            <w:r>
              <w:rPr>
                <w:color w:val="auto"/>
                <w:sz w:val="21"/>
                <w:szCs w:val="21"/>
                <w:highlight w:val="none"/>
              </w:rPr>
              <w:t>的</w:t>
            </w:r>
            <w:r>
              <w:rPr>
                <w:rFonts w:hint="eastAsia"/>
                <w:color w:val="auto"/>
                <w:sz w:val="21"/>
                <w:szCs w:val="21"/>
                <w:highlight w:val="none"/>
                <w:lang w:eastAsia="zh-CN"/>
              </w:rPr>
              <w:t>比选申请</w:t>
            </w:r>
            <w:r>
              <w:rPr>
                <w:rFonts w:hint="eastAsia"/>
                <w:color w:val="auto"/>
                <w:sz w:val="21"/>
                <w:szCs w:val="21"/>
                <w:highlight w:val="none"/>
              </w:rPr>
              <w:t>文件</w:t>
            </w:r>
            <w:r>
              <w:rPr>
                <w:color w:val="auto"/>
                <w:sz w:val="21"/>
                <w:szCs w:val="21"/>
                <w:highlight w:val="none"/>
              </w:rPr>
              <w:t>异常一致或者</w:t>
            </w:r>
            <w:r>
              <w:rPr>
                <w:rFonts w:hint="eastAsia"/>
                <w:color w:val="auto"/>
                <w:sz w:val="21"/>
                <w:szCs w:val="21"/>
                <w:highlight w:val="none"/>
              </w:rPr>
              <w:t>竞标报价</w:t>
            </w:r>
            <w:r>
              <w:rPr>
                <w:color w:val="auto"/>
                <w:sz w:val="21"/>
                <w:szCs w:val="21"/>
                <w:highlight w:val="none"/>
              </w:rPr>
              <w:t>呈规律性差异</w:t>
            </w:r>
            <w:r>
              <w:rPr>
                <w:rFonts w:hint="eastAsia"/>
                <w:color w:val="auto"/>
                <w:sz w:val="21"/>
                <w:szCs w:val="21"/>
                <w:highlight w:val="none"/>
                <w:lang w:val="en-US" w:eastAsia="zh-CN"/>
              </w:rPr>
              <w:t>或报价不具备竞争性</w:t>
            </w:r>
            <w:r>
              <w:rPr>
                <w:color w:val="auto"/>
                <w:sz w:val="21"/>
                <w:szCs w:val="21"/>
                <w:highlight w:val="none"/>
              </w:rPr>
              <w:t>；</w:t>
            </w:r>
          </w:p>
          <w:p>
            <w:pPr>
              <w:keepNext w:val="0"/>
              <w:keepLines w:val="0"/>
              <w:pageBreakBefore w:val="0"/>
              <w:widowControl w:val="0"/>
              <w:kinsoku/>
              <w:wordWrap w:val="0"/>
              <w:overflowPunct/>
              <w:topLinePunct/>
              <w:autoSpaceDE/>
              <w:autoSpaceDN/>
              <w:bidi w:val="0"/>
              <w:adjustRightInd/>
              <w:snapToGrid/>
              <w:spacing w:line="360" w:lineRule="auto"/>
              <w:ind w:firstLine="0" w:firstLineChars="0"/>
              <w:textAlignment w:val="auto"/>
              <w:rPr>
                <w:rFonts w:hint="eastAsia" w:ascii="宋体" w:hAnsi="宋体" w:cs="宋体"/>
                <w:color w:val="auto"/>
                <w:sz w:val="21"/>
                <w:szCs w:val="21"/>
                <w:highlight w:val="none"/>
                <w:shd w:val="clear" w:color="auto" w:fill="FFFFFF"/>
              </w:rPr>
            </w:pPr>
            <w:r>
              <w:rPr>
                <w:color w:val="auto"/>
                <w:sz w:val="21"/>
                <w:szCs w:val="21"/>
                <w:highlight w:val="none"/>
              </w:rPr>
              <w:t>不同</w:t>
            </w:r>
            <w:r>
              <w:rPr>
                <w:rFonts w:hint="eastAsia"/>
                <w:color w:val="auto"/>
                <w:sz w:val="21"/>
                <w:szCs w:val="21"/>
                <w:highlight w:val="none"/>
                <w:lang w:eastAsia="zh-CN"/>
              </w:rPr>
              <w:t>比选申请人</w:t>
            </w:r>
            <w:r>
              <w:rPr>
                <w:color w:val="auto"/>
                <w:sz w:val="21"/>
                <w:szCs w:val="21"/>
                <w:highlight w:val="none"/>
              </w:rPr>
              <w:t>的</w:t>
            </w:r>
            <w:r>
              <w:rPr>
                <w:rFonts w:hint="eastAsia"/>
                <w:color w:val="auto"/>
                <w:sz w:val="21"/>
                <w:szCs w:val="21"/>
                <w:highlight w:val="none"/>
                <w:lang w:eastAsia="zh-CN"/>
              </w:rPr>
              <w:t>比选申请</w:t>
            </w:r>
            <w:r>
              <w:rPr>
                <w:rFonts w:hint="eastAsia"/>
                <w:color w:val="auto"/>
                <w:sz w:val="21"/>
                <w:szCs w:val="21"/>
                <w:highlight w:val="none"/>
              </w:rPr>
              <w:t>文件</w:t>
            </w:r>
            <w:r>
              <w:rPr>
                <w:color w:val="auto"/>
                <w:sz w:val="21"/>
                <w:szCs w:val="21"/>
                <w:highlight w:val="none"/>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5" w:type="dxa"/>
            <w:gridSpan w:val="2"/>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eastAsia="宋体"/>
                <w:color w:val="auto"/>
                <w:kern w:val="0"/>
                <w:sz w:val="21"/>
                <w:szCs w:val="21"/>
                <w:highlight w:val="none"/>
                <w:lang w:val="en-US" w:eastAsia="zh-CN"/>
              </w:rPr>
            </w:pPr>
            <w:r>
              <w:rPr>
                <w:rFonts w:hint="eastAsia"/>
                <w:color w:val="auto"/>
                <w:sz w:val="21"/>
                <w:szCs w:val="21"/>
                <w:highlight w:val="none"/>
                <w:lang w:eastAsia="zh-CN"/>
              </w:rPr>
              <w:t>成交</w:t>
            </w:r>
            <w:r>
              <w:rPr>
                <w:rFonts w:hint="eastAsia"/>
                <w:color w:val="auto"/>
                <w:sz w:val="21"/>
                <w:szCs w:val="21"/>
                <w:highlight w:val="none"/>
              </w:rPr>
              <w:t>候</w:t>
            </w:r>
            <w:r>
              <w:rPr>
                <w:color w:val="auto"/>
                <w:sz w:val="21"/>
                <w:szCs w:val="21"/>
                <w:highlight w:val="none"/>
              </w:rPr>
              <w:t>选人</w:t>
            </w:r>
            <w:r>
              <w:rPr>
                <w:rFonts w:hint="eastAsia"/>
                <w:color w:val="auto"/>
                <w:sz w:val="21"/>
                <w:szCs w:val="21"/>
                <w:highlight w:val="none"/>
                <w:lang w:val="en-US" w:eastAsia="zh-CN"/>
              </w:rPr>
              <w:t>推荐</w:t>
            </w:r>
          </w:p>
        </w:tc>
        <w:tc>
          <w:tcPr>
            <w:tcW w:w="7524" w:type="dxa"/>
            <w:gridSpan w:val="2"/>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sz w:val="21"/>
                <w:szCs w:val="21"/>
              </w:rPr>
            </w:pPr>
            <w:r>
              <w:rPr>
                <w:rFonts w:hint="eastAsia"/>
                <w:sz w:val="21"/>
                <w:szCs w:val="21"/>
                <w:lang w:val="en-US" w:eastAsia="zh-CN"/>
              </w:rPr>
              <w:t>若比选申请人报名家数大于等于三家，则</w:t>
            </w:r>
            <w:r>
              <w:rPr>
                <w:rFonts w:hint="eastAsia"/>
                <w:sz w:val="21"/>
                <w:szCs w:val="21"/>
              </w:rPr>
              <w:t>经评审合格的候选人按价格由低到高的先后顺序推荐中标候选人</w:t>
            </w:r>
            <w:r>
              <w:rPr>
                <w:rFonts w:hint="eastAsia"/>
                <w:sz w:val="21"/>
                <w:szCs w:val="21"/>
                <w:lang w:eastAsia="zh-CN"/>
              </w:rPr>
              <w:t>；</w:t>
            </w:r>
            <w:r>
              <w:rPr>
                <w:rFonts w:hint="eastAsia"/>
                <w:sz w:val="21"/>
                <w:szCs w:val="21"/>
              </w:rPr>
              <w:t>若评审合格的候选人不足3名（</w:t>
            </w:r>
            <w:r>
              <w:rPr>
                <w:sz w:val="21"/>
                <w:szCs w:val="21"/>
              </w:rPr>
              <w:t>有效</w:t>
            </w:r>
            <w:r>
              <w:rPr>
                <w:rFonts w:hint="eastAsia"/>
                <w:sz w:val="21"/>
                <w:szCs w:val="21"/>
              </w:rPr>
              <w:t>候选人</w:t>
            </w:r>
            <w:r>
              <w:rPr>
                <w:sz w:val="21"/>
                <w:szCs w:val="21"/>
              </w:rPr>
              <w:t>的经济、技术等指标仍然具有市场竞争力，能够满足</w:t>
            </w:r>
            <w:r>
              <w:rPr>
                <w:rFonts w:hint="eastAsia"/>
                <w:sz w:val="21"/>
                <w:szCs w:val="21"/>
              </w:rPr>
              <w:t>比选</w:t>
            </w:r>
            <w:r>
              <w:rPr>
                <w:rFonts w:hint="eastAsia"/>
                <w:sz w:val="21"/>
                <w:szCs w:val="21"/>
                <w:lang w:val="en-US" w:eastAsia="zh-CN"/>
              </w:rPr>
              <w:t>申请</w:t>
            </w:r>
            <w:r>
              <w:rPr>
                <w:sz w:val="21"/>
                <w:szCs w:val="21"/>
              </w:rPr>
              <w:t>文件要求的</w:t>
            </w:r>
            <w:r>
              <w:rPr>
                <w:rFonts w:hint="eastAsia"/>
                <w:sz w:val="21"/>
                <w:szCs w:val="21"/>
              </w:rPr>
              <w:t>），则只选取相应的数量。</w:t>
            </w:r>
          </w:p>
          <w:p>
            <w:pPr>
              <w:pStyle w:val="3"/>
              <w:keepNext w:val="0"/>
              <w:keepLines w:val="0"/>
              <w:pageBreakBefore w:val="0"/>
              <w:widowControl w:val="0"/>
              <w:kinsoku/>
              <w:wordWrap w:val="0"/>
              <w:overflowPunct/>
              <w:topLinePunct/>
              <w:autoSpaceDE/>
              <w:autoSpaceDN/>
              <w:bidi w:val="0"/>
              <w:adjustRightInd/>
              <w:snapToGrid/>
              <w:spacing w:after="0" w:line="360" w:lineRule="auto"/>
              <w:textAlignment w:val="auto"/>
              <w:rPr>
                <w:rFonts w:hint="eastAsia"/>
              </w:rPr>
            </w:pPr>
            <w:r>
              <w:rPr>
                <w:rFonts w:hint="eastAsia"/>
                <w:color w:val="auto"/>
                <w:sz w:val="21"/>
                <w:szCs w:val="21"/>
              </w:rPr>
              <w:t>若在满足比选文件所有要求前提下，出现报价总价相同时，则由比选申请人当场进行第二轮报价，根据比选申请人第二轮报价按从低到高的优先顺序进行推荐。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5" w:type="dxa"/>
            <w:gridSpan w:val="2"/>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color w:val="auto"/>
                <w:sz w:val="21"/>
                <w:szCs w:val="21"/>
                <w:highlight w:val="none"/>
                <w:lang w:eastAsia="zh-CN"/>
              </w:rPr>
            </w:pPr>
            <w:r>
              <w:rPr>
                <w:rFonts w:hint="eastAsia" w:ascii="宋体" w:hAnsi="宋体"/>
                <w:color w:val="auto"/>
                <w:sz w:val="21"/>
                <w:szCs w:val="21"/>
                <w:highlight w:val="none"/>
              </w:rPr>
              <w:t>报价算术错误修正</w:t>
            </w:r>
          </w:p>
        </w:tc>
        <w:tc>
          <w:tcPr>
            <w:tcW w:w="7524" w:type="dxa"/>
            <w:gridSpan w:val="2"/>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rPr>
              <w:t>若在评标过程中发现报价存在计算错误，则按</w:t>
            </w:r>
            <w:r>
              <w:rPr>
                <w:rFonts w:hint="eastAsia"/>
                <w:sz w:val="21"/>
                <w:szCs w:val="21"/>
                <w:lang w:val="en-US" w:eastAsia="zh-CN"/>
              </w:rPr>
              <w:t>以下规则</w:t>
            </w:r>
            <w:r>
              <w:rPr>
                <w:rFonts w:hint="eastAsia"/>
                <w:sz w:val="21"/>
                <w:szCs w:val="21"/>
              </w:rPr>
              <w:t>进行算术修正</w:t>
            </w:r>
            <w:r>
              <w:rPr>
                <w:rFonts w:hint="eastAsia"/>
                <w:sz w:val="21"/>
                <w:szCs w:val="21"/>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sz w:val="21"/>
                <w:szCs w:val="21"/>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5" w:type="dxa"/>
            <w:gridSpan w:val="2"/>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澄清</w:t>
            </w:r>
          </w:p>
        </w:tc>
        <w:tc>
          <w:tcPr>
            <w:tcW w:w="7524" w:type="dxa"/>
            <w:gridSpan w:val="2"/>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eastAsia="zh-CN"/>
              </w:rPr>
              <w:t>在评标过程中，</w:t>
            </w:r>
            <w:r>
              <w:rPr>
                <w:rFonts w:hint="eastAsia"/>
                <w:sz w:val="21"/>
                <w:szCs w:val="21"/>
                <w:lang w:val="en-US" w:eastAsia="zh-CN"/>
              </w:rPr>
              <w:t>评审小组</w:t>
            </w:r>
            <w:r>
              <w:rPr>
                <w:rFonts w:hint="eastAsia"/>
                <w:sz w:val="21"/>
                <w:szCs w:val="21"/>
                <w:lang w:eastAsia="zh-CN"/>
              </w:rPr>
              <w:t>可以要求比选申请人对所提交投标文件中不明确的内容进行书面澄清或说明，或者对细微偏差进行补正。评标委员会不接受比选申请人主动提出的澄清、说明或补正。</w:t>
            </w:r>
          </w:p>
        </w:tc>
      </w:tr>
    </w:tbl>
    <w:p>
      <w:pPr>
        <w:keepNext w:val="0"/>
        <w:keepLines w:val="0"/>
        <w:pageBreakBefore w:val="0"/>
        <w:widowControl w:val="0"/>
        <w:kinsoku/>
        <w:overflowPunct/>
        <w:autoSpaceDE/>
        <w:autoSpaceDN/>
        <w:bidi w:val="0"/>
        <w:adjustRightInd/>
        <w:snapToGrid/>
        <w:spacing w:line="360" w:lineRule="auto"/>
        <w:textAlignment w:val="auto"/>
        <w:rPr>
          <w:rFonts w:hint="eastAsia"/>
          <w:lang w:val="en-US" w:eastAsia="zh-CN"/>
        </w:rPr>
      </w:pPr>
      <w:r>
        <w:rPr>
          <w:rFonts w:hint="eastAsia"/>
          <w:b w:val="0"/>
          <w:bCs w:val="0"/>
          <w:color w:val="auto"/>
          <w:lang w:val="en-US" w:eastAsia="zh-CN"/>
        </w:rPr>
        <w:t>【注】若比选申请人恶意竞标后不按比选要求与比选人签订合同，比选人将直接将比选申请人及其关联单位（含法人代表与委托代理人）一并拉入黑名单，不得参与通力公司所有比选项目报价。</w:t>
      </w:r>
    </w:p>
    <w:p>
      <w:pPr>
        <w:pageBreakBefore w:val="0"/>
        <w:numPr>
          <w:ilvl w:val="0"/>
          <w:numId w:val="0"/>
        </w:numPr>
        <w:kinsoku/>
        <w:overflowPunct/>
        <w:bidi w:val="0"/>
        <w:spacing w:line="360" w:lineRule="auto"/>
        <w:ind w:firstLine="211" w:firstLineChars="100"/>
      </w:pPr>
      <w:r>
        <w:rPr>
          <w:rFonts w:hint="eastAsia" w:ascii="宋体" w:hAnsi="宋体"/>
          <w:b/>
          <w:bCs/>
          <w:color w:val="auto"/>
          <w:szCs w:val="21"/>
          <w:highlight w:val="none"/>
          <w:lang w:val="en-US" w:eastAsia="zh-CN"/>
        </w:rPr>
        <w:t>六</w:t>
      </w:r>
      <w:r>
        <w:rPr>
          <w:rFonts w:hint="eastAsia" w:ascii="宋体" w:hAnsi="宋体"/>
          <w:b/>
          <w:bCs/>
          <w:color w:val="auto"/>
          <w:szCs w:val="21"/>
          <w:highlight w:val="none"/>
          <w:lang w:eastAsia="zh-CN"/>
        </w:rPr>
        <w:t>、结算支付要求</w:t>
      </w:r>
      <w:r>
        <w:rPr>
          <w:rFonts w:hint="eastAsia" w:ascii="宋体" w:hAnsi="宋体"/>
          <w:color w:val="auto"/>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1、本次采购</w:t>
      </w:r>
      <w:r>
        <w:rPr>
          <w:rFonts w:hint="eastAsia" w:ascii="宋体" w:hAnsi="宋体"/>
          <w:color w:val="auto"/>
          <w:szCs w:val="21"/>
          <w:highlight w:val="none"/>
          <w:lang w:val="en-US" w:eastAsia="zh-CN"/>
        </w:rPr>
        <w:t>无</w:t>
      </w:r>
      <w:r>
        <w:rPr>
          <w:rFonts w:hint="eastAsia" w:ascii="宋体" w:hAnsi="宋体"/>
          <w:color w:val="auto"/>
          <w:szCs w:val="21"/>
          <w:highlight w:val="none"/>
          <w:lang w:eastAsia="zh-CN"/>
        </w:rPr>
        <w:t>预付款</w:t>
      </w:r>
      <w:r>
        <w:rPr>
          <w:rFonts w:hint="eastAsia" w:ascii="宋体" w:hAnsi="宋体"/>
          <w:color w:val="auto"/>
          <w:szCs w:val="21"/>
          <w:highlight w:val="none"/>
          <w:lang w:val="en-US" w:eastAsia="zh-CN"/>
        </w:rPr>
        <w:t>，供货安装结束后一次性支付</w:t>
      </w:r>
      <w:r>
        <w:rPr>
          <w:rFonts w:hint="eastAsia" w:ascii="宋体" w:hAnsi="宋体"/>
          <w:color w:val="auto"/>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pPr>
      <w:r>
        <w:rPr>
          <w:rFonts w:hint="eastAsia" w:ascii="宋体" w:hAnsi="宋体"/>
          <w:color w:val="auto"/>
          <w:szCs w:val="21"/>
          <w:highlight w:val="none"/>
          <w:lang w:eastAsia="zh-CN"/>
        </w:rPr>
        <w:t>2、结算金额=该批次比选人代表确认的实际到货合格数量×结算单价。竞价人向比选人提供有效增值税专用发票（抵扣税率</w:t>
      </w:r>
      <w:r>
        <w:rPr>
          <w:rFonts w:hint="eastAsia" w:ascii="宋体" w:hAnsi="宋体"/>
          <w:color w:val="auto"/>
          <w:szCs w:val="21"/>
          <w:highlight w:val="none"/>
          <w:lang w:val="en-US" w:eastAsia="zh-CN"/>
        </w:rPr>
        <w:t>13</w:t>
      </w:r>
      <w:r>
        <w:rPr>
          <w:rFonts w:hint="eastAsia" w:ascii="宋体" w:hAnsi="宋体"/>
          <w:color w:val="FF0000"/>
          <w:szCs w:val="21"/>
          <w:highlight w:val="none"/>
          <w:lang w:eastAsia="zh-CN"/>
        </w:rPr>
        <w:t>%，</w:t>
      </w:r>
      <w:r>
        <w:rPr>
          <w:rFonts w:hint="eastAsia" w:ascii="宋体" w:hAnsi="宋体"/>
          <w:color w:val="auto"/>
          <w:szCs w:val="21"/>
          <w:highlight w:val="none"/>
          <w:lang w:eastAsia="zh-CN"/>
        </w:rPr>
        <w:t>销售发票中已包含运输费，运输费不再单独开具发票）及供货凭证，比选人自竞价人费用清单（按甲方代表实际验收的合格数量和材料合同综合单价计算）及发票送达之日起 35 日（每月25日至次月5日不办理支付，时间相应顺延）内以银行转账方式支付给竞价人。竞价人迟延提供发票和相关结算资料的，比选人的付款期限相应顺延。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
          <w:color w:val="auto"/>
          <w:szCs w:val="21"/>
          <w:highlight w:val="none"/>
        </w:rPr>
      </w:pPr>
      <w:r>
        <w:rPr>
          <w:rFonts w:hint="eastAsia"/>
          <w:b/>
          <w:color w:val="auto"/>
          <w:szCs w:val="21"/>
          <w:highlight w:val="none"/>
          <w:lang w:val="en-US" w:eastAsia="zh-CN"/>
        </w:rPr>
        <w:t>七</w:t>
      </w:r>
      <w:r>
        <w:rPr>
          <w:b/>
          <w:color w:val="auto"/>
          <w:szCs w:val="21"/>
          <w:highlight w:val="none"/>
        </w:rPr>
        <w:t>、</w:t>
      </w:r>
      <w:r>
        <w:rPr>
          <w:rFonts w:hint="eastAsia"/>
          <w:b/>
          <w:color w:val="auto"/>
          <w:szCs w:val="21"/>
          <w:highlight w:val="none"/>
          <w:lang w:val="en-US" w:eastAsia="zh-CN"/>
        </w:rPr>
        <w:t>竞争性比选</w:t>
      </w:r>
      <w:r>
        <w:rPr>
          <w:b/>
          <w:color w:val="auto"/>
          <w:szCs w:val="21"/>
          <w:highlight w:val="none"/>
        </w:rPr>
        <w:t>须知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s="宋体"/>
          <w:color w:val="auto"/>
          <w:sz w:val="24"/>
          <w:szCs w:val="24"/>
          <w:highlight w:val="none"/>
          <w:u w:val="none"/>
          <w:lang w:eastAsia="zh-CN"/>
        </w:rPr>
      </w:pPr>
      <w:r>
        <w:rPr>
          <w:rFonts w:hint="eastAsia"/>
          <w:lang w:val="en-US" w:eastAsia="zh-CN"/>
        </w:rPr>
        <w:t>1、竞争性比选文件获取方式：凡愿意参加的潜在比选申请人，自挂网起至比选申请文件递交截止时间前，详见</w:t>
      </w:r>
      <w:r>
        <w:rPr>
          <w:rFonts w:hint="eastAsia" w:ascii="宋体" w:hAnsi="宋体" w:cs="宋体"/>
          <w:color w:val="auto"/>
          <w:sz w:val="24"/>
          <w:szCs w:val="24"/>
          <w:highlight w:val="none"/>
          <w:u w:val="none"/>
          <w:lang w:eastAsia="zh-CN"/>
        </w:rPr>
        <w:t>重庆高速集团官网（</w:t>
      </w:r>
      <w:bookmarkStart w:id="32" w:name="OLE_LINK1"/>
      <w:r>
        <w:rPr>
          <w:rFonts w:hint="eastAsia" w:ascii="宋体" w:hAnsi="宋体" w:cs="宋体"/>
          <w:color w:val="auto"/>
          <w:sz w:val="24"/>
          <w:szCs w:val="24"/>
          <w:highlight w:val="none"/>
          <w:u w:val="none"/>
          <w:lang w:eastAsia="zh-CN"/>
        </w:rPr>
        <w:t>http://www.cegc.com.cn/gw/</w:t>
      </w:r>
    </w:p>
    <w:p>
      <w:pPr>
        <w:keepNext w:val="0"/>
        <w:keepLines w:val="0"/>
        <w:pageBreakBefore w:val="0"/>
        <w:widowControl w:val="0"/>
        <w:kinsoku/>
        <w:overflowPunct/>
        <w:autoSpaceDE/>
        <w:autoSpaceDN/>
        <w:bidi w:val="0"/>
        <w:adjustRightInd/>
        <w:snapToGrid/>
        <w:spacing w:line="360" w:lineRule="auto"/>
        <w:ind w:left="0" w:leftChars="0" w:firstLine="0" w:firstLineChars="0"/>
        <w:textAlignment w:val="auto"/>
        <w:rPr>
          <w:rFonts w:hint="eastAsia"/>
          <w:lang w:val="en-US" w:eastAsia="zh-CN"/>
        </w:rPr>
      </w:pPr>
      <w:r>
        <w:rPr>
          <w:rFonts w:hint="eastAsia" w:ascii="宋体" w:hAnsi="宋体" w:cs="宋体"/>
          <w:color w:val="auto"/>
          <w:sz w:val="24"/>
          <w:szCs w:val="24"/>
          <w:highlight w:val="none"/>
          <w:u w:val="none"/>
          <w:lang w:eastAsia="zh-CN"/>
        </w:rPr>
        <w:t>newsInfoMenu.html?id=42&amp;key=2</w:t>
      </w:r>
      <w:bookmarkEnd w:id="32"/>
      <w:r>
        <w:rPr>
          <w:rFonts w:hint="eastAsia" w:ascii="宋体" w:hAnsi="宋体" w:cs="宋体"/>
          <w:color w:val="auto"/>
          <w:sz w:val="24"/>
          <w:szCs w:val="24"/>
          <w:highlight w:val="none"/>
          <w:u w:val="none"/>
          <w:lang w:eastAsia="zh-CN"/>
        </w:rPr>
        <w:t>）、</w:t>
      </w:r>
      <w:r>
        <w:rPr>
          <w:rFonts w:hint="eastAsia"/>
          <w:lang w:val="en-US" w:eastAsia="zh-CN"/>
        </w:rPr>
        <w:t>重庆高速公路集团有限公司招投标管理平台（http://43.240.249.108:8088/PMS/）上发布的本项目竞争性比选公告中的获取方式（链接）自行下载，不管比选申请人是否下载，均视为已知晓竞争性比选文件的全部内容和有关事宜，本项目不需要报名，直接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Times New Roman"/>
          <w:lang w:val="en-US" w:eastAsia="zh-CN"/>
        </w:rPr>
      </w:pPr>
      <w:r>
        <w:rPr>
          <w:rFonts w:hint="eastAsia"/>
          <w:lang w:val="en-US" w:eastAsia="zh-CN"/>
        </w:rPr>
        <w:t>2、竞争性比选公告及结果公示将在</w:t>
      </w:r>
      <w:r>
        <w:rPr>
          <w:rFonts w:hint="eastAsia" w:ascii="Times New Roman" w:hAnsi="Times New Roman" w:eastAsia="宋体" w:cs="Times New Roman"/>
          <w:lang w:val="en-US" w:eastAsia="zh-CN"/>
        </w:rPr>
        <w:t>重庆高速集团官网（http://www.cegc.com.cn/gw/</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lang w:val="en-US" w:eastAsia="zh-CN"/>
        </w:rPr>
      </w:pPr>
      <w:r>
        <w:rPr>
          <w:rFonts w:hint="eastAsia" w:ascii="Times New Roman" w:hAnsi="Times New Roman" w:eastAsia="宋体" w:cs="Times New Roman"/>
          <w:lang w:val="en-US" w:eastAsia="zh-CN"/>
        </w:rPr>
        <w:t>newsInfoMenu.html?id=42&amp;key=2）、重庆高速公路集团有限公司招投标管理平台（http://43.240.249.108:8088/PMS/）上发布。</w:t>
      </w:r>
    </w:p>
    <w:p>
      <w:pPr>
        <w:keepNext w:val="0"/>
        <w:keepLines w:val="0"/>
        <w:pageBreakBefore w:val="0"/>
        <w:widowControl w:val="0"/>
        <w:kinsoku/>
        <w:overflowPunct/>
        <w:autoSpaceDE/>
        <w:autoSpaceDN/>
        <w:bidi w:val="0"/>
        <w:adjustRightInd/>
        <w:snapToGrid/>
        <w:spacing w:line="360" w:lineRule="auto"/>
        <w:ind w:firstLine="210" w:firstLineChars="100"/>
        <w:textAlignment w:val="auto"/>
        <w:rPr>
          <w:rFonts w:hint="eastAsia"/>
          <w:b/>
          <w:bCs/>
          <w:lang w:val="en-US" w:eastAsia="zh-CN"/>
        </w:rPr>
      </w:pPr>
      <w:r>
        <w:rPr>
          <w:rFonts w:hint="eastAsia"/>
          <w:lang w:val="en-US" w:eastAsia="zh-CN"/>
        </w:rPr>
        <w:t>3、比选申请文件递交地点：</w:t>
      </w:r>
      <w:r>
        <w:rPr>
          <w:rFonts w:hint="eastAsia"/>
          <w:b/>
          <w:bCs/>
          <w:lang w:val="en-US" w:eastAsia="zh-CN"/>
        </w:rPr>
        <w:t>重庆通力高速公路养护工程有限公司306室（重庆市沙坪坝区梨高路沙坪坝区档案馆旁重庆市公路养护管理段三楼）。</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4、竞争性比选</w:t>
      </w:r>
      <w:r>
        <w:rPr>
          <w:rFonts w:hint="eastAsia" w:ascii="宋体" w:hAnsi="宋体" w:cs="宋体"/>
          <w:color w:val="auto"/>
          <w:szCs w:val="21"/>
          <w:highlight w:val="none"/>
        </w:rPr>
        <w:t>响应文件递交截止时间：</w:t>
      </w:r>
      <w:r>
        <w:rPr>
          <w:rFonts w:hint="eastAsia" w:ascii="宋体" w:hAnsi="宋体" w:cs="宋体"/>
          <w:b/>
          <w:bCs/>
          <w:color w:val="FF0000"/>
          <w:szCs w:val="21"/>
          <w:highlight w:val="none"/>
        </w:rPr>
        <w:t>20</w:t>
      </w:r>
      <w:r>
        <w:rPr>
          <w:rFonts w:hint="eastAsia" w:ascii="宋体" w:hAnsi="宋体" w:cs="宋体"/>
          <w:b/>
          <w:bCs/>
          <w:color w:val="FF0000"/>
          <w:szCs w:val="21"/>
          <w:highlight w:val="none"/>
          <w:lang w:val="en-US" w:eastAsia="zh-CN"/>
        </w:rPr>
        <w:t>22</w:t>
      </w:r>
      <w:r>
        <w:rPr>
          <w:rFonts w:hint="eastAsia" w:ascii="宋体" w:hAnsi="宋体" w:cs="宋体"/>
          <w:b/>
          <w:bCs/>
          <w:color w:val="FF0000"/>
          <w:szCs w:val="21"/>
          <w:highlight w:val="none"/>
        </w:rPr>
        <w:t>年</w:t>
      </w:r>
      <w:r>
        <w:rPr>
          <w:rFonts w:hint="eastAsia" w:ascii="宋体" w:hAnsi="宋体" w:cs="宋体"/>
          <w:b/>
          <w:bCs/>
          <w:color w:val="FF0000"/>
          <w:szCs w:val="21"/>
          <w:highlight w:val="none"/>
          <w:u w:val="single"/>
        </w:rPr>
        <w:t xml:space="preserve"> </w:t>
      </w:r>
      <w:r>
        <w:rPr>
          <w:rFonts w:hint="eastAsia" w:ascii="宋体" w:hAnsi="宋体" w:cs="宋体"/>
          <w:b/>
          <w:bCs/>
          <w:color w:val="FF0000"/>
          <w:szCs w:val="21"/>
          <w:highlight w:val="none"/>
          <w:u w:val="single"/>
          <w:lang w:val="en-US" w:eastAsia="zh-CN"/>
        </w:rPr>
        <w:t>8</w:t>
      </w:r>
      <w:r>
        <w:rPr>
          <w:rFonts w:hint="eastAsia" w:ascii="宋体" w:hAnsi="宋体" w:cs="宋体"/>
          <w:b/>
          <w:bCs/>
          <w:color w:val="FF0000"/>
          <w:szCs w:val="21"/>
          <w:highlight w:val="none"/>
          <w:u w:val="single"/>
        </w:rPr>
        <w:t xml:space="preserve"> </w:t>
      </w:r>
      <w:r>
        <w:rPr>
          <w:rFonts w:hint="eastAsia" w:ascii="宋体" w:hAnsi="宋体" w:cs="宋体"/>
          <w:b/>
          <w:bCs/>
          <w:color w:val="FF0000"/>
          <w:szCs w:val="21"/>
          <w:highlight w:val="none"/>
        </w:rPr>
        <w:t>月</w:t>
      </w:r>
      <w:r>
        <w:rPr>
          <w:rFonts w:hint="eastAsia" w:ascii="宋体" w:hAnsi="宋体" w:cs="宋体"/>
          <w:b/>
          <w:bCs/>
          <w:color w:val="FF0000"/>
          <w:szCs w:val="21"/>
          <w:highlight w:val="none"/>
          <w:u w:val="single"/>
        </w:rPr>
        <w:t xml:space="preserve"> </w:t>
      </w:r>
      <w:r>
        <w:rPr>
          <w:rFonts w:hint="eastAsia" w:ascii="宋体" w:hAnsi="宋体" w:cs="宋体"/>
          <w:b/>
          <w:bCs/>
          <w:color w:val="FF0000"/>
          <w:szCs w:val="21"/>
          <w:highlight w:val="none"/>
          <w:u w:val="single"/>
          <w:lang w:val="en-US" w:eastAsia="zh-CN"/>
        </w:rPr>
        <w:t>12</w:t>
      </w:r>
      <w:r>
        <w:rPr>
          <w:rFonts w:hint="eastAsia" w:ascii="宋体" w:hAnsi="宋体" w:cs="宋体"/>
          <w:b/>
          <w:bCs/>
          <w:color w:val="FF0000"/>
          <w:szCs w:val="21"/>
          <w:highlight w:val="none"/>
          <w:u w:val="single"/>
        </w:rPr>
        <w:t xml:space="preserve"> </w:t>
      </w:r>
      <w:r>
        <w:rPr>
          <w:rFonts w:hint="eastAsia" w:ascii="宋体" w:hAnsi="宋体" w:cs="宋体"/>
          <w:b/>
          <w:bCs/>
          <w:color w:val="FF0000"/>
          <w:szCs w:val="21"/>
          <w:highlight w:val="none"/>
        </w:rPr>
        <w:t>日</w:t>
      </w:r>
      <w:bookmarkStart w:id="33" w:name="OLE_LINK3"/>
      <w:r>
        <w:rPr>
          <w:rFonts w:hint="eastAsia" w:ascii="宋体" w:hAnsi="宋体" w:cs="宋体"/>
          <w:b/>
          <w:bCs/>
          <w:color w:val="FF0000"/>
          <w:szCs w:val="21"/>
          <w:highlight w:val="none"/>
          <w:lang w:val="en-US" w:eastAsia="zh-CN"/>
        </w:rPr>
        <w:t>上</w:t>
      </w:r>
      <w:r>
        <w:rPr>
          <w:rFonts w:hint="eastAsia" w:ascii="宋体" w:hAnsi="宋体" w:cs="宋体"/>
          <w:b/>
          <w:bCs/>
          <w:color w:val="FF0000"/>
          <w:szCs w:val="21"/>
          <w:highlight w:val="none"/>
        </w:rPr>
        <w:t>午</w:t>
      </w:r>
      <w:r>
        <w:rPr>
          <w:rFonts w:hint="eastAsia" w:ascii="宋体" w:hAnsi="宋体" w:cs="宋体"/>
          <w:b/>
          <w:bCs/>
          <w:color w:val="FF0000"/>
          <w:szCs w:val="21"/>
          <w:highlight w:val="none"/>
          <w:u w:val="single"/>
        </w:rPr>
        <w:t xml:space="preserve"> </w:t>
      </w:r>
      <w:r>
        <w:rPr>
          <w:rFonts w:hint="eastAsia" w:ascii="宋体" w:hAnsi="宋体" w:cs="宋体"/>
          <w:b/>
          <w:bCs/>
          <w:color w:val="FF0000"/>
          <w:szCs w:val="21"/>
          <w:highlight w:val="none"/>
          <w:u w:val="single"/>
          <w:lang w:val="en-US" w:eastAsia="zh-CN"/>
        </w:rPr>
        <w:t>10</w:t>
      </w:r>
      <w:r>
        <w:rPr>
          <w:rFonts w:hint="eastAsia" w:ascii="宋体" w:hAnsi="宋体" w:cs="宋体"/>
          <w:b/>
          <w:bCs/>
          <w:color w:val="FF0000"/>
          <w:szCs w:val="21"/>
          <w:highlight w:val="none"/>
          <w:u w:val="single"/>
        </w:rPr>
        <w:t xml:space="preserve"> </w:t>
      </w:r>
      <w:r>
        <w:rPr>
          <w:rFonts w:hint="eastAsia" w:ascii="宋体" w:hAnsi="宋体" w:cs="宋体"/>
          <w:b/>
          <w:bCs/>
          <w:color w:val="FF0000"/>
          <w:szCs w:val="21"/>
          <w:highlight w:val="none"/>
        </w:rPr>
        <w:t>时</w:t>
      </w:r>
      <w:r>
        <w:rPr>
          <w:rFonts w:hint="eastAsia" w:ascii="宋体" w:hAnsi="宋体" w:cs="宋体"/>
          <w:b/>
          <w:bCs/>
          <w:color w:val="FF0000"/>
          <w:szCs w:val="21"/>
          <w:highlight w:val="none"/>
          <w:u w:val="single"/>
        </w:rPr>
        <w:t xml:space="preserve"> </w:t>
      </w:r>
      <w:r>
        <w:rPr>
          <w:rFonts w:hint="eastAsia" w:ascii="宋体" w:hAnsi="宋体" w:cs="宋体"/>
          <w:b/>
          <w:bCs/>
          <w:color w:val="FF0000"/>
          <w:szCs w:val="21"/>
          <w:highlight w:val="none"/>
          <w:u w:val="single"/>
          <w:lang w:val="en-US" w:eastAsia="zh-CN"/>
        </w:rPr>
        <w:t>00</w:t>
      </w:r>
      <w:r>
        <w:rPr>
          <w:rFonts w:hint="eastAsia" w:ascii="宋体" w:hAnsi="宋体" w:cs="宋体"/>
          <w:b/>
          <w:bCs/>
          <w:color w:val="FF0000"/>
          <w:szCs w:val="21"/>
          <w:highlight w:val="none"/>
          <w:u w:val="single"/>
        </w:rPr>
        <w:t xml:space="preserve"> </w:t>
      </w:r>
      <w:r>
        <w:rPr>
          <w:rFonts w:hint="eastAsia" w:ascii="宋体" w:hAnsi="宋体" w:cs="宋体"/>
          <w:b/>
          <w:bCs/>
          <w:color w:val="FF0000"/>
          <w:szCs w:val="21"/>
          <w:highlight w:val="none"/>
        </w:rPr>
        <w:t>分</w:t>
      </w:r>
      <w:bookmarkEnd w:id="33"/>
      <w:r>
        <w:rPr>
          <w:rFonts w:hint="eastAsia" w:ascii="宋体" w:hAnsi="宋体" w:cs="宋体"/>
          <w:b/>
          <w:bCs/>
          <w:color w:val="FF0000"/>
          <w:szCs w:val="21"/>
          <w:highlight w:val="none"/>
        </w:rPr>
        <w:t>。</w:t>
      </w:r>
    </w:p>
    <w:p>
      <w:pPr>
        <w:keepNext w:val="0"/>
        <w:keepLines w:val="0"/>
        <w:pageBreakBefore w:val="0"/>
        <w:widowControl w:val="0"/>
        <w:kinsoku/>
        <w:overflowPunct/>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5、各比选申请人应根据本次竞争性比选的具体要求，编制规范的比选申请文件（</w:t>
      </w:r>
      <w:r>
        <w:rPr>
          <w:rFonts w:hint="eastAsia"/>
          <w:b/>
          <w:bCs/>
          <w:lang w:val="en-US" w:eastAsia="zh-CN"/>
        </w:rPr>
        <w:t>比选申请文件，要求填写规范，密封完好并在封口处加盖公章，所有比选申请文件均只能作一次性提交，提交后不得更改</w:t>
      </w:r>
      <w:r>
        <w:rPr>
          <w:rFonts w:hint="eastAsia"/>
          <w:lang w:val="en-US" w:eastAsia="zh-CN"/>
        </w:rPr>
        <w:t>）。当第一次不足三家报名时，不予开标，标书当场退回；第二次不足三家报名时，可按比选文件要求进行开标。</w:t>
      </w:r>
    </w:p>
    <w:p>
      <w:pPr>
        <w:keepNext w:val="0"/>
        <w:keepLines w:val="0"/>
        <w:pageBreakBefore w:val="0"/>
        <w:widowControl w:val="0"/>
        <w:kinsoku/>
        <w:wordWrap w:val="0"/>
        <w:overflowPunct/>
        <w:topLinePunct/>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6、比选申请人因自身原因或其他特殊情况等不能到场开标，可通过其他方式在投标截止日前递交标书进行报名。不到场参与开标，视为比选申请人默认开标过程及开标结果。</w:t>
      </w:r>
    </w:p>
    <w:p>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left"/>
        <w:textAlignment w:val="auto"/>
        <w:outlineLvl w:val="9"/>
        <w:rPr>
          <w:rFonts w:hint="default" w:ascii="Times New Roman" w:hAnsi="Times New Roman" w:eastAsia="宋体" w:cs="Times New Roman"/>
          <w:b/>
          <w:bCs/>
          <w:caps w:val="0"/>
          <w:color w:val="000000"/>
          <w:kern w:val="2"/>
          <w:sz w:val="24"/>
          <w:szCs w:val="24"/>
          <w:lang w:val="en-US" w:eastAsia="zh-CN" w:bidi="ar-SA"/>
        </w:rPr>
      </w:pPr>
      <w:r>
        <w:rPr>
          <w:rFonts w:hint="eastAsia" w:ascii="Times New Roman" w:hAnsi="Times New Roman" w:cs="Times New Roman"/>
          <w:b/>
          <w:bCs/>
          <w:caps w:val="0"/>
          <w:color w:val="FF0000"/>
          <w:kern w:val="2"/>
          <w:sz w:val="24"/>
          <w:szCs w:val="24"/>
          <w:lang w:val="en-US" w:eastAsia="zh-CN" w:bidi="ar-SA"/>
        </w:rPr>
        <w:t>【</w:t>
      </w:r>
      <w:r>
        <w:rPr>
          <w:rFonts w:hint="eastAsia" w:ascii="Times New Roman" w:hAnsi="Times New Roman" w:eastAsia="宋体" w:cs="Times New Roman"/>
          <w:b/>
          <w:bCs/>
          <w:caps w:val="0"/>
          <w:color w:val="FF0000"/>
          <w:kern w:val="2"/>
          <w:sz w:val="24"/>
          <w:szCs w:val="24"/>
          <w:lang w:val="en-US" w:eastAsia="zh-CN" w:bidi="ar-SA"/>
        </w:rPr>
        <w:t>重要提醒</w:t>
      </w:r>
      <w:r>
        <w:rPr>
          <w:rFonts w:hint="eastAsia" w:ascii="Times New Roman" w:hAnsi="Times New Roman" w:cs="Times New Roman"/>
          <w:b/>
          <w:bCs/>
          <w:caps w:val="0"/>
          <w:color w:val="FF0000"/>
          <w:kern w:val="2"/>
          <w:sz w:val="24"/>
          <w:szCs w:val="24"/>
          <w:lang w:val="en-US" w:eastAsia="zh-CN" w:bidi="ar-SA"/>
        </w:rPr>
        <w:t>】</w:t>
      </w:r>
      <w:r>
        <w:rPr>
          <w:rFonts w:hint="eastAsia" w:ascii="宋体" w:hAnsi="宋体" w:eastAsia="宋体" w:cs="宋体"/>
          <w:b/>
          <w:bCs/>
          <w:color w:val="000000"/>
          <w:sz w:val="24"/>
          <w:szCs w:val="24"/>
          <w:highlight w:val="none"/>
          <w:lang w:val="en-US" w:eastAsia="zh-CN"/>
        </w:rPr>
        <w:t>比选申请人不能参与现场开标的，可将密封好的“比选申请文件”邮寄或送到重庆市沙坪坝区梨高路沙坪坝区档案馆旁重庆市公路养护管理段三楼，收件人：刘老师，联系电话：</w:t>
      </w:r>
      <w:r>
        <w:rPr>
          <w:rFonts w:hint="eastAsia" w:ascii="宋体" w:hAnsi="宋体" w:cs="宋体"/>
          <w:b/>
          <w:bCs/>
          <w:color w:val="000000"/>
          <w:sz w:val="24"/>
          <w:szCs w:val="24"/>
          <w:highlight w:val="none"/>
          <w:lang w:val="en-US" w:eastAsia="zh-CN"/>
        </w:rPr>
        <w:t>15736074084</w:t>
      </w:r>
      <w:r>
        <w:rPr>
          <w:rFonts w:hint="eastAsia" w:ascii="宋体" w:hAnsi="宋体" w:eastAsia="宋体" w:cs="宋体"/>
          <w:b/>
          <w:bCs/>
          <w:color w:val="000000"/>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lang w:val="en-US" w:eastAsia="zh-CN"/>
        </w:rPr>
      </w:pPr>
      <w:r>
        <w:rPr>
          <w:rFonts w:hint="eastAsia"/>
          <w:lang w:val="en-US" w:eastAsia="zh-CN"/>
        </w:rPr>
        <w:t>7、密封要求：</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lang w:val="en-US" w:eastAsia="zh-CN"/>
        </w:rPr>
      </w:pPr>
      <w:r>
        <w:rPr>
          <w:rFonts w:hint="eastAsia"/>
          <w:lang w:val="en-US" w:eastAsia="zh-CN"/>
        </w:rPr>
        <w:t>按</w:t>
      </w:r>
      <w:r>
        <w:rPr>
          <w:rFonts w:hint="eastAsia"/>
          <w:b/>
          <w:bCs/>
          <w:lang w:val="en-US" w:eastAsia="zh-CN"/>
        </w:rPr>
        <w:t>第三条</w:t>
      </w:r>
      <w:r>
        <w:rPr>
          <w:rFonts w:hint="eastAsia"/>
          <w:lang w:val="en-US" w:eastAsia="zh-CN"/>
        </w:rPr>
        <w:t>要求编制的比选申请文件，将比选申请文件密封到一个封套中，封套上须注明以下内容：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Style w:val="9"/>
          <w:rFonts w:hint="default" w:ascii="Times New Roman" w:hAnsi="Times New Roman" w:eastAsia="宋体" w:cs="Times New Roman"/>
          <w:b/>
          <w:bCs/>
          <w:u w:val="single"/>
        </w:rPr>
      </w:pPr>
      <w:r>
        <w:rPr>
          <w:rStyle w:val="9"/>
          <w:rFonts w:hint="default" w:ascii="Times New Roman" w:hAnsi="Times New Roman" w:eastAsia="宋体" w:cs="Times New Roman"/>
          <w:b/>
          <w:bCs/>
          <w:u w:val="single"/>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Style w:val="9"/>
          <w:rFonts w:hint="eastAsia" w:ascii="Times New Roman" w:hAnsi="Times New Roman" w:eastAsia="宋体" w:cs="Times New Roman"/>
          <w:b/>
          <w:bCs/>
          <w:u w:val="single"/>
          <w:lang w:val="en-US" w:eastAsia="zh-CN"/>
        </w:rPr>
      </w:pPr>
      <w:r>
        <w:rPr>
          <w:rStyle w:val="9"/>
          <w:rFonts w:hint="eastAsia" w:ascii="Times New Roman" w:hAnsi="Times New Roman" w:eastAsia="宋体" w:cs="Times New Roman"/>
          <w:b/>
          <w:bCs/>
          <w:u w:val="single"/>
          <w:lang w:val="en-US" w:eastAsia="zh-CN"/>
        </w:rPr>
        <w:t>绕城高速复兴服务区导视系统改善工程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Style w:val="9"/>
          <w:rFonts w:hint="eastAsia" w:ascii="Times New Roman" w:hAnsi="Times New Roman" w:eastAsia="宋体" w:cs="Times New Roman"/>
          <w:b/>
          <w:bCs/>
          <w:u w:val="single"/>
          <w:lang w:eastAsia="zh-CN"/>
        </w:rPr>
      </w:pPr>
      <w:r>
        <w:rPr>
          <w:rStyle w:val="9"/>
          <w:rFonts w:hint="eastAsia" w:ascii="Times New Roman" w:hAnsi="Times New Roman" w:eastAsia="宋体" w:cs="Times New Roman"/>
          <w:b/>
          <w:bCs/>
          <w:u w:val="single"/>
          <w:lang w:val="en-US" w:eastAsia="zh-CN"/>
        </w:rPr>
        <w:t>导视系统及发光字体采购</w:t>
      </w:r>
      <w:r>
        <w:rPr>
          <w:rStyle w:val="9"/>
          <w:rFonts w:hint="eastAsia" w:cs="Times New Roman"/>
          <w:b/>
          <w:bCs/>
          <w:u w:val="single"/>
          <w:lang w:val="en-US" w:eastAsia="zh-CN"/>
        </w:rPr>
        <w:t>竞争性比选</w:t>
      </w:r>
      <w:r>
        <w:rPr>
          <w:rStyle w:val="9"/>
          <w:rFonts w:hint="eastAsia" w:cs="Times New Roman"/>
          <w:b/>
          <w:bCs/>
          <w:u w:val="single"/>
          <w:lang w:eastAsia="zh-CN"/>
        </w:rPr>
        <w:t>申请文件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Style w:val="9"/>
          <w:rFonts w:hint="default" w:ascii="Times New Roman" w:hAnsi="Times New Roman" w:eastAsia="宋体" w:cs="Times New Roman"/>
          <w:b/>
          <w:bCs/>
          <w:color w:val="FF0000"/>
          <w:highlight w:val="none"/>
          <w:u w:val="single"/>
        </w:rPr>
      </w:pPr>
      <w:r>
        <w:rPr>
          <w:rStyle w:val="9"/>
          <w:rFonts w:hint="default" w:ascii="Times New Roman" w:hAnsi="Times New Roman" w:eastAsia="宋体" w:cs="Times New Roman"/>
          <w:b/>
          <w:bCs/>
          <w:color w:val="FF0000"/>
          <w:highlight w:val="none"/>
          <w:u w:val="single"/>
        </w:rPr>
        <w:t>在</w:t>
      </w:r>
      <w:r>
        <w:rPr>
          <w:rStyle w:val="9"/>
          <w:rFonts w:hint="eastAsia" w:cs="Times New Roman"/>
          <w:b/>
          <w:bCs/>
          <w:color w:val="FF0000"/>
          <w:highlight w:val="none"/>
          <w:u w:val="single"/>
          <w:lang w:eastAsia="zh-CN"/>
        </w:rPr>
        <w:t>2022</w:t>
      </w:r>
      <w:r>
        <w:rPr>
          <w:rStyle w:val="9"/>
          <w:rFonts w:hint="default" w:ascii="Times New Roman" w:hAnsi="Times New Roman" w:eastAsia="宋体" w:cs="Times New Roman"/>
          <w:b/>
          <w:bCs/>
          <w:color w:val="FF0000"/>
          <w:highlight w:val="none"/>
          <w:u w:val="single"/>
        </w:rPr>
        <w:t>年</w:t>
      </w:r>
      <w:r>
        <w:rPr>
          <w:rStyle w:val="9"/>
          <w:rFonts w:hint="eastAsia" w:cs="Times New Roman"/>
          <w:b/>
          <w:bCs/>
          <w:color w:val="FF0000"/>
          <w:highlight w:val="none"/>
          <w:u w:val="single"/>
          <w:lang w:val="en-US" w:eastAsia="zh-CN"/>
        </w:rPr>
        <w:t xml:space="preserve"> 8</w:t>
      </w:r>
      <w:r>
        <w:rPr>
          <w:rStyle w:val="9"/>
          <w:rFonts w:hint="default" w:ascii="Times New Roman" w:hAnsi="Times New Roman" w:eastAsia="宋体" w:cs="Times New Roman"/>
          <w:b/>
          <w:bCs/>
          <w:color w:val="FF0000"/>
          <w:highlight w:val="none"/>
          <w:u w:val="single"/>
        </w:rPr>
        <w:t>月</w:t>
      </w:r>
      <w:r>
        <w:rPr>
          <w:rStyle w:val="9"/>
          <w:rFonts w:hint="eastAsia" w:cs="Times New Roman"/>
          <w:b/>
          <w:bCs/>
          <w:color w:val="FF0000"/>
          <w:highlight w:val="none"/>
          <w:u w:val="single"/>
          <w:lang w:val="en-US" w:eastAsia="zh-CN"/>
        </w:rPr>
        <w:t>12</w:t>
      </w:r>
      <w:r>
        <w:rPr>
          <w:rStyle w:val="9"/>
          <w:rFonts w:hint="default" w:ascii="Times New Roman" w:hAnsi="Times New Roman" w:eastAsia="宋体" w:cs="Times New Roman"/>
          <w:b/>
          <w:bCs/>
          <w:color w:val="FF0000"/>
          <w:highlight w:val="none"/>
          <w:u w:val="single"/>
        </w:rPr>
        <w:t>日</w:t>
      </w:r>
      <w:r>
        <w:rPr>
          <w:rStyle w:val="9"/>
          <w:rFonts w:hint="default" w:ascii="Times New Roman" w:hAnsi="Times New Roman" w:eastAsia="宋体" w:cs="Times New Roman"/>
          <w:b/>
          <w:bCs/>
          <w:color w:val="FF0000"/>
          <w:highlight w:val="none"/>
          <w:u w:val="single"/>
          <w:lang w:eastAsia="zh-CN"/>
        </w:rPr>
        <w:t>上</w:t>
      </w:r>
      <w:r>
        <w:rPr>
          <w:rStyle w:val="9"/>
          <w:rFonts w:hint="default" w:ascii="Times New Roman" w:hAnsi="Times New Roman" w:eastAsia="宋体" w:cs="Times New Roman"/>
          <w:b/>
          <w:bCs/>
          <w:color w:val="FF0000"/>
          <w:highlight w:val="none"/>
          <w:u w:val="single"/>
        </w:rPr>
        <w:t>午</w:t>
      </w:r>
      <w:r>
        <w:rPr>
          <w:rStyle w:val="9"/>
          <w:rFonts w:hint="default" w:ascii="Times New Roman" w:hAnsi="Times New Roman" w:eastAsia="宋体" w:cs="Times New Roman"/>
          <w:b/>
          <w:bCs/>
          <w:color w:val="FF0000"/>
          <w:highlight w:val="none"/>
          <w:u w:val="single"/>
          <w:lang w:val="en-US" w:eastAsia="zh-CN"/>
        </w:rPr>
        <w:t>1</w:t>
      </w:r>
      <w:r>
        <w:rPr>
          <w:rStyle w:val="9"/>
          <w:rFonts w:hint="eastAsia" w:eastAsia="宋体" w:cs="Times New Roman"/>
          <w:b/>
          <w:bCs/>
          <w:color w:val="FF0000"/>
          <w:highlight w:val="none"/>
          <w:u w:val="single"/>
          <w:lang w:val="en-US" w:eastAsia="zh-CN"/>
        </w:rPr>
        <w:t>0</w:t>
      </w:r>
      <w:r>
        <w:rPr>
          <w:rStyle w:val="9"/>
          <w:rFonts w:hint="default" w:ascii="Times New Roman" w:hAnsi="Times New Roman" w:eastAsia="宋体" w:cs="Times New Roman"/>
          <w:b/>
          <w:bCs/>
          <w:color w:val="FF0000"/>
          <w:highlight w:val="none"/>
          <w:u w:val="single"/>
        </w:rPr>
        <w:t>时</w:t>
      </w:r>
      <w:r>
        <w:rPr>
          <w:rStyle w:val="9"/>
          <w:rFonts w:hint="default" w:ascii="Times New Roman" w:hAnsi="Times New Roman" w:eastAsia="宋体" w:cs="Times New Roman"/>
          <w:b/>
          <w:bCs/>
          <w:color w:val="FF0000"/>
          <w:highlight w:val="none"/>
          <w:u w:val="single"/>
          <w:lang w:val="en-US" w:eastAsia="zh-CN"/>
        </w:rPr>
        <w:t>00</w:t>
      </w:r>
      <w:r>
        <w:rPr>
          <w:rStyle w:val="9"/>
          <w:rFonts w:hint="default" w:ascii="Times New Roman" w:hAnsi="Times New Roman" w:eastAsia="宋体" w:cs="Times New Roman"/>
          <w:b/>
          <w:bCs/>
          <w:color w:val="FF0000"/>
          <w:highlight w:val="none"/>
          <w:u w:val="single"/>
        </w:rPr>
        <w:t>分前不得开启</w:t>
      </w:r>
    </w:p>
    <w:p>
      <w:pPr>
        <w:keepNext w:val="0"/>
        <w:keepLines w:val="0"/>
        <w:pageBreakBefore w:val="0"/>
        <w:widowControl w:val="0"/>
        <w:kinsoku/>
        <w:overflowPunct/>
        <w:autoSpaceDE/>
        <w:autoSpaceDN/>
        <w:bidi w:val="0"/>
        <w:adjustRightInd/>
        <w:snapToGrid/>
        <w:spacing w:line="360" w:lineRule="auto"/>
        <w:textAlignment w:val="auto"/>
        <w:rPr>
          <w:rFonts w:hint="eastAsia"/>
          <w:lang w:val="en-US" w:eastAsia="zh-CN"/>
        </w:rPr>
      </w:pPr>
      <w:r>
        <w:rPr>
          <w:rFonts w:hint="eastAsia"/>
          <w:lang w:val="en-US" w:eastAsia="zh-CN"/>
        </w:rPr>
        <w:t>8、廉政约定：</w:t>
      </w:r>
    </w:p>
    <w:p>
      <w:pPr>
        <w:keepNext w:val="0"/>
        <w:keepLines w:val="0"/>
        <w:pageBreakBefore w:val="0"/>
        <w:widowControl w:val="0"/>
        <w:kinsoku/>
        <w:overflowPunct/>
        <w:autoSpaceDE/>
        <w:autoSpaceDN/>
        <w:bidi w:val="0"/>
        <w:adjustRightInd/>
        <w:snapToGrid/>
        <w:spacing w:line="360" w:lineRule="auto"/>
        <w:textAlignment w:val="auto"/>
        <w:rPr>
          <w:rFonts w:hint="default"/>
          <w:lang w:val="en-US" w:eastAsia="zh-CN"/>
        </w:rPr>
      </w:pPr>
      <w:r>
        <w:rPr>
          <w:rFonts w:hint="default"/>
          <w:lang w:val="en-US" w:eastAsia="zh-CN"/>
        </w:rPr>
        <w:t>为杜绝商业贿赂现象，共同营造公平、公正的竞争环境，敬请各</w:t>
      </w:r>
      <w:r>
        <w:rPr>
          <w:rFonts w:hint="eastAsia"/>
          <w:lang w:val="en-US" w:eastAsia="zh-CN"/>
        </w:rPr>
        <w:t>比选申请人</w:t>
      </w:r>
      <w:r>
        <w:rPr>
          <w:rFonts w:hint="default"/>
          <w:lang w:val="en-US" w:eastAsia="zh-CN"/>
        </w:rPr>
        <w:t>在参与竞标报价过程中，将竞争性比选人明示或暗示要求宴请、招待，或索取礼金、礼品、礼券、其他利益，或故意刁难、显失公平现象，向我司纪检监察人员进行举报</w:t>
      </w:r>
      <w:r>
        <w:rPr>
          <w:rFonts w:hint="eastAsia" w:ascii="宋体" w:hAnsi="宋体" w:eastAsia="宋体" w:cs="宋体"/>
          <w:color w:val="auto"/>
          <w:szCs w:val="21"/>
          <w:highlight w:val="none"/>
        </w:rPr>
        <w:t>（须提供有效线索和相关证据、证明材料）</w:t>
      </w:r>
      <w:r>
        <w:rPr>
          <w:rFonts w:hint="default"/>
          <w:lang w:val="en-US" w:eastAsia="zh-CN"/>
        </w:rPr>
        <w:t>。具体举报渠道告知如下：</w:t>
      </w:r>
    </w:p>
    <w:p>
      <w:pPr>
        <w:keepNext w:val="0"/>
        <w:keepLines w:val="0"/>
        <w:pageBreakBefore w:val="0"/>
        <w:widowControl w:val="0"/>
        <w:kinsoku/>
        <w:overflowPunct/>
        <w:autoSpaceDE/>
        <w:autoSpaceDN/>
        <w:bidi w:val="0"/>
        <w:adjustRightInd/>
        <w:snapToGrid/>
        <w:spacing w:line="360" w:lineRule="auto"/>
        <w:textAlignment w:val="auto"/>
        <w:rPr>
          <w:rFonts w:hint="default"/>
          <w:lang w:val="en-US" w:eastAsia="zh-CN"/>
        </w:rPr>
      </w:pPr>
      <w:r>
        <w:rPr>
          <w:rFonts w:hint="default"/>
          <w:lang w:val="en-US" w:eastAsia="zh-CN"/>
        </w:rPr>
        <w:t>举报部门：纪律检查室</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举报电话：</w:t>
      </w:r>
      <w:r>
        <w:rPr>
          <w:rFonts w:hint="default"/>
          <w:u w:val="single"/>
          <w:lang w:val="en-US" w:eastAsia="zh-CN"/>
        </w:rPr>
        <w:t>023-89187977</w:t>
      </w:r>
    </w:p>
    <w:p>
      <w:pPr>
        <w:keepNext w:val="0"/>
        <w:keepLines w:val="0"/>
        <w:pageBreakBefore w:val="0"/>
        <w:widowControl w:val="0"/>
        <w:kinsoku/>
        <w:overflowPunct/>
        <w:autoSpaceDE/>
        <w:autoSpaceDN/>
        <w:bidi w:val="0"/>
        <w:adjustRightInd/>
        <w:snapToGrid/>
        <w:spacing w:line="360" w:lineRule="auto"/>
        <w:textAlignment w:val="auto"/>
        <w:rPr>
          <w:rFonts w:hint="default"/>
          <w:lang w:val="en-US" w:eastAsia="zh-CN"/>
        </w:rPr>
      </w:pPr>
      <w:r>
        <w:rPr>
          <w:rFonts w:hint="default"/>
          <w:lang w:val="en-US" w:eastAsia="zh-CN"/>
        </w:rPr>
        <w:t>我司承诺：对所有举报信息及时调查处理，对举报来源严格保守秘密，对举报单位因举报所可能遭受的利益损害采取特别措施予以保护。</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cs="Times New Roman"/>
          <w:b/>
          <w:color w:val="auto"/>
          <w:szCs w:val="21"/>
          <w:highlight w:val="none"/>
          <w:lang w:val="en-US" w:eastAsia="zh-CN"/>
        </w:rPr>
      </w:pPr>
      <w:r>
        <w:rPr>
          <w:rFonts w:hint="eastAsia" w:cs="Times New Roman"/>
          <w:b/>
          <w:color w:val="auto"/>
          <w:szCs w:val="21"/>
          <w:highlight w:val="none"/>
          <w:lang w:val="en-US" w:eastAsia="zh-CN"/>
        </w:rPr>
        <w:t>八</w:t>
      </w:r>
      <w:r>
        <w:rPr>
          <w:rFonts w:hint="eastAsia" w:eastAsia="宋体" w:cs="Times New Roman"/>
          <w:b/>
          <w:color w:val="auto"/>
          <w:szCs w:val="21"/>
          <w:highlight w:val="none"/>
          <w:lang w:val="en-US" w:eastAsia="zh-CN"/>
        </w:rPr>
        <w:t>、竞争性比选人联系方式</w:t>
      </w:r>
    </w:p>
    <w:p>
      <w:pPr>
        <w:keepNext w:val="0"/>
        <w:keepLines w:val="0"/>
        <w:pageBreakBefore w:val="0"/>
        <w:widowControl w:val="0"/>
        <w:kinsoku/>
        <w:overflowPunct/>
        <w:autoSpaceDE/>
        <w:autoSpaceDN/>
        <w:bidi w:val="0"/>
        <w:adjustRightInd/>
        <w:snapToGrid/>
        <w:spacing w:line="360" w:lineRule="auto"/>
        <w:textAlignment w:val="auto"/>
        <w:rPr>
          <w:rFonts w:hint="eastAsia"/>
          <w:b/>
          <w:bCs/>
          <w:u w:val="thick"/>
          <w:lang w:val="en-US" w:eastAsia="zh-CN"/>
        </w:rPr>
      </w:pPr>
      <w:r>
        <w:rPr>
          <w:rFonts w:hint="eastAsia"/>
          <w:lang w:val="en-US" w:eastAsia="zh-CN"/>
        </w:rPr>
        <w:t>竞争性比选人：</w:t>
      </w:r>
      <w:r>
        <w:rPr>
          <w:rFonts w:hint="eastAsia"/>
          <w:b/>
          <w:bCs/>
          <w:u w:val="thick"/>
          <w:lang w:val="en-US" w:eastAsia="zh-CN"/>
        </w:rPr>
        <w:t>重庆通力高速公路养护工程有限公司</w:t>
      </w:r>
    </w:p>
    <w:p>
      <w:pPr>
        <w:keepNext w:val="0"/>
        <w:keepLines w:val="0"/>
        <w:pageBreakBefore w:val="0"/>
        <w:widowControl w:val="0"/>
        <w:kinsoku/>
        <w:overflowPunct/>
        <w:autoSpaceDE/>
        <w:autoSpaceDN/>
        <w:bidi w:val="0"/>
        <w:adjustRightInd/>
        <w:snapToGrid/>
        <w:spacing w:line="360" w:lineRule="auto"/>
        <w:textAlignment w:val="auto"/>
        <w:rPr>
          <w:rFonts w:hint="eastAsia"/>
          <w:lang w:val="en-US" w:eastAsia="zh-CN"/>
        </w:rPr>
      </w:pPr>
      <w:r>
        <w:rPr>
          <w:rFonts w:hint="eastAsia"/>
          <w:lang w:val="en-US" w:eastAsia="zh-CN"/>
        </w:rPr>
        <w:t>地址：</w:t>
      </w:r>
      <w:r>
        <w:rPr>
          <w:rFonts w:hint="eastAsia"/>
          <w:b/>
          <w:bCs/>
          <w:lang w:val="en-US" w:eastAsia="zh-CN"/>
        </w:rPr>
        <w:t>重庆通力高速公路养护工程有限公司306室</w:t>
      </w:r>
      <w:r>
        <w:rPr>
          <w:rFonts w:hint="eastAsia"/>
          <w:lang w:val="en-US" w:eastAsia="zh-CN"/>
        </w:rPr>
        <w:t>（重庆市沙坪坝区梨高路沙坪坝区档案馆旁重庆市公路养护管理段三楼）</w:t>
      </w:r>
    </w:p>
    <w:p>
      <w:pPr>
        <w:keepNext w:val="0"/>
        <w:keepLines w:val="0"/>
        <w:pageBreakBefore w:val="0"/>
        <w:widowControl w:val="0"/>
        <w:kinsoku/>
        <w:overflowPunct/>
        <w:autoSpaceDE/>
        <w:autoSpaceDN/>
        <w:bidi w:val="0"/>
        <w:adjustRightInd/>
        <w:snapToGrid/>
        <w:spacing w:line="360" w:lineRule="auto"/>
        <w:textAlignment w:val="auto"/>
        <w:rPr>
          <w:rFonts w:hint="eastAsia"/>
          <w:u w:val="single"/>
          <w:lang w:val="en-US" w:eastAsia="zh-CN"/>
        </w:rPr>
      </w:pPr>
      <w:r>
        <w:rPr>
          <w:rFonts w:hint="eastAsia"/>
          <w:lang w:val="en-US" w:eastAsia="zh-CN"/>
        </w:rPr>
        <w:t>联系人：刘老师</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电话：</w:t>
      </w:r>
      <w:r>
        <w:rPr>
          <w:rFonts w:hint="eastAsia"/>
          <w:u w:val="single"/>
          <w:lang w:val="en-US" w:eastAsia="zh-CN"/>
        </w:rPr>
        <w:t>023-88563373</w:t>
      </w:r>
    </w:p>
    <w:p>
      <w:pPr>
        <w:keepNext w:val="0"/>
        <w:keepLines w:val="0"/>
        <w:pageBreakBefore w:val="0"/>
        <w:widowControl w:val="0"/>
        <w:kinsoku/>
        <w:overflowPunct/>
        <w:autoSpaceDE/>
        <w:autoSpaceDN/>
        <w:bidi w:val="0"/>
        <w:adjustRightInd/>
        <w:snapToGrid/>
        <w:spacing w:line="360" w:lineRule="auto"/>
        <w:ind w:firstLine="840" w:firstLineChars="400"/>
        <w:textAlignment w:val="auto"/>
        <w:rPr>
          <w:rFonts w:hint="default"/>
          <w:u w:val="single"/>
          <w:lang w:val="en-US" w:eastAsia="zh-CN"/>
        </w:rPr>
        <w:sectPr>
          <w:footerReference r:id="rId3" w:type="default"/>
          <w:pgSz w:w="11906" w:h="16838"/>
          <w:pgMar w:top="1134" w:right="1134" w:bottom="1134" w:left="1134" w:header="794" w:footer="794"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lang w:val="en-US" w:eastAsia="zh-CN"/>
        </w:rPr>
        <w:t>郭老师</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电话：</w:t>
      </w:r>
      <w:r>
        <w:rPr>
          <w:rFonts w:hint="eastAsia"/>
          <w:u w:val="single"/>
          <w:lang w:val="en-US" w:eastAsia="zh-CN"/>
        </w:rPr>
        <w:t>15178718901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sz w:val="28"/>
          <w:szCs w:val="28"/>
        </w:rPr>
      </w:pPr>
      <w:r>
        <w:rPr>
          <w:rFonts w:hint="eastAsia"/>
          <w:b/>
          <w:sz w:val="28"/>
          <w:szCs w:val="28"/>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val="en-US" w:eastAsia="zh-CN"/>
        </w:rPr>
        <w:t>绕城高速复兴服务区导视系统改善</w:t>
      </w:r>
      <w:r>
        <w:rPr>
          <w:rFonts w:hint="eastAsia" w:ascii="Times New Roman" w:hAnsi="Times New Roman" w:eastAsia="宋体" w:cs="Times New Roman"/>
          <w:b/>
          <w:sz w:val="28"/>
          <w:szCs w:val="28"/>
          <w:lang w:eastAsia="zh-CN"/>
        </w:rPr>
        <w:t>工程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sz w:val="28"/>
          <w:szCs w:val="28"/>
        </w:rPr>
      </w:pPr>
      <w:r>
        <w:rPr>
          <w:rFonts w:hint="eastAsia" w:ascii="Times New Roman" w:hAnsi="Times New Roman" w:eastAsia="宋体" w:cs="Times New Roman"/>
          <w:b/>
          <w:sz w:val="28"/>
          <w:szCs w:val="28"/>
          <w:lang w:val="en-US" w:eastAsia="zh-CN"/>
        </w:rPr>
        <w:t>导视系统和发光字体采购</w:t>
      </w:r>
      <w:r>
        <w:rPr>
          <w:rFonts w:hint="eastAsia"/>
          <w:b/>
          <w:sz w:val="28"/>
          <w:szCs w:val="28"/>
        </w:rPr>
        <w:t>合同</w:t>
      </w:r>
    </w:p>
    <w:p>
      <w:pPr>
        <w:keepNext w:val="0"/>
        <w:keepLines w:val="0"/>
        <w:pageBreakBefore w:val="0"/>
        <w:widowControl w:val="0"/>
        <w:kinsoku/>
        <w:wordWrap/>
        <w:overflowPunct/>
        <w:topLinePunct w:val="0"/>
        <w:bidi w:val="0"/>
        <w:snapToGrid/>
        <w:spacing w:line="360" w:lineRule="auto"/>
        <w:textAlignment w:val="baseline"/>
        <w:outlineLvl w:val="9"/>
        <w:rPr>
          <w:color w:val="auto"/>
          <w:szCs w:val="21"/>
          <w:highlight w:val="none"/>
        </w:rPr>
      </w:pPr>
      <w:r>
        <w:rPr>
          <w:rFonts w:hint="eastAsia"/>
          <w:color w:val="auto"/>
          <w:szCs w:val="21"/>
          <w:highlight w:val="none"/>
        </w:rPr>
        <w:t>甲方：</w:t>
      </w:r>
      <w:r>
        <w:rPr>
          <w:rFonts w:hint="eastAsia"/>
          <w:color w:val="auto"/>
          <w:szCs w:val="21"/>
          <w:highlight w:val="none"/>
          <w:u w:val="single"/>
        </w:rPr>
        <w:t>重庆通力高速公路养护工程有限公司</w:t>
      </w:r>
    </w:p>
    <w:p>
      <w:pPr>
        <w:keepNext w:val="0"/>
        <w:keepLines w:val="0"/>
        <w:pageBreakBefore w:val="0"/>
        <w:widowControl w:val="0"/>
        <w:kinsoku/>
        <w:wordWrap/>
        <w:overflowPunct/>
        <w:topLinePunct w:val="0"/>
        <w:bidi w:val="0"/>
        <w:snapToGrid/>
        <w:spacing w:line="360" w:lineRule="auto"/>
        <w:textAlignment w:val="baseline"/>
        <w:outlineLvl w:val="9"/>
        <w:rPr>
          <w:color w:val="auto"/>
          <w:szCs w:val="21"/>
          <w:highlight w:val="none"/>
        </w:rPr>
      </w:pPr>
      <w:r>
        <w:rPr>
          <w:rFonts w:hint="eastAsia"/>
          <w:color w:val="auto"/>
          <w:szCs w:val="21"/>
          <w:highlight w:val="none"/>
        </w:rPr>
        <w:t>乙方：</w:t>
      </w:r>
      <w:r>
        <w:rPr>
          <w:rFonts w:hint="eastAsia"/>
          <w:color w:val="auto"/>
          <w:szCs w:val="21"/>
          <w:highlight w:val="none"/>
          <w:u w:val="single"/>
        </w:rPr>
        <w:t xml:space="preserve">                                </w:t>
      </w:r>
    </w:p>
    <w:p>
      <w:pPr>
        <w:pageBreakBefore w:val="0"/>
        <w:kinsoku/>
        <w:overflowPunct/>
        <w:bidi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甲方因绕城高速复兴服务区导视系统改善工程施工需要，协议向乙方购买一批导视系统和服务区名发光字体，依照《中华人民共和国民法典》及其他有关法律、行政法规，双方在遵循平等、自愿、公平和诚实守信原则的基础上，经双方友好协商，达成一致意见，特签订本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21"/>
          <w:szCs w:val="21"/>
        </w:rPr>
      </w:pPr>
      <w:r>
        <w:rPr>
          <w:rFonts w:hint="eastAsia" w:ascii="宋体" w:hAnsi="宋体"/>
          <w:b/>
          <w:sz w:val="21"/>
          <w:szCs w:val="21"/>
        </w:rPr>
        <w:t>一、具体内容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1"/>
          <w:szCs w:val="21"/>
        </w:rPr>
      </w:pPr>
      <w:r>
        <w:rPr>
          <w:rFonts w:hint="eastAsia" w:ascii="宋体" w:hAnsi="宋体"/>
          <w:sz w:val="21"/>
          <w:szCs w:val="21"/>
        </w:rPr>
        <w:t xml:space="preserve">    1、</w:t>
      </w:r>
      <w:r>
        <w:rPr>
          <w:rFonts w:hint="eastAsia" w:ascii="宋体" w:hAnsi="宋体"/>
          <w:sz w:val="21"/>
          <w:szCs w:val="21"/>
          <w:lang w:val="en-US" w:eastAsia="zh-CN"/>
        </w:rPr>
        <w:t xml:space="preserve"> </w:t>
      </w:r>
      <w:r>
        <w:rPr>
          <w:rFonts w:hint="eastAsia" w:ascii="宋体" w:hAnsi="宋体"/>
          <w:sz w:val="21"/>
          <w:szCs w:val="21"/>
        </w:rPr>
        <w:t>类型、单价、数量、金额：</w:t>
      </w:r>
      <w:r>
        <w:rPr>
          <w:rFonts w:hint="eastAsia"/>
          <w:sz w:val="21"/>
          <w:szCs w:val="21"/>
        </w:rPr>
        <w:t xml:space="preserve">        </w:t>
      </w:r>
    </w:p>
    <w:tbl>
      <w:tblPr>
        <w:tblStyle w:val="8"/>
        <w:tblpPr w:leftFromText="180" w:rightFromText="180" w:vertAnchor="text" w:horzAnchor="page" w:tblpX="1908" w:tblpY="254"/>
        <w:tblOverlap w:val="never"/>
        <w:tblW w:w="8524" w:type="dxa"/>
        <w:tblInd w:w="0" w:type="dxa"/>
        <w:tblLayout w:type="fixed"/>
        <w:tblCellMar>
          <w:top w:w="15" w:type="dxa"/>
          <w:left w:w="15" w:type="dxa"/>
          <w:bottom w:w="15" w:type="dxa"/>
          <w:right w:w="15" w:type="dxa"/>
        </w:tblCellMar>
      </w:tblPr>
      <w:tblGrid>
        <w:gridCol w:w="766"/>
        <w:gridCol w:w="1635"/>
        <w:gridCol w:w="1430"/>
        <w:gridCol w:w="1255"/>
        <w:gridCol w:w="1391"/>
        <w:gridCol w:w="2047"/>
      </w:tblGrid>
      <w:tr>
        <w:tblPrEx>
          <w:tblCellMar>
            <w:top w:w="15" w:type="dxa"/>
            <w:left w:w="15" w:type="dxa"/>
            <w:bottom w:w="15" w:type="dxa"/>
            <w:right w:w="15" w:type="dxa"/>
          </w:tblCellMar>
        </w:tblPrEx>
        <w:trPr>
          <w:trHeight w:val="566" w:hRule="exact"/>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360" w:lineRule="auto"/>
              <w:jc w:val="center"/>
              <w:textAlignment w:val="center"/>
              <w:rPr>
                <w:rFonts w:hint="eastAsia" w:ascii="宋体" w:hAnsi="宋体" w:cs="宋体"/>
                <w:b/>
                <w:bCs/>
                <w:szCs w:val="21"/>
              </w:rPr>
            </w:pPr>
            <w:r>
              <w:rPr>
                <w:rFonts w:hint="eastAsia" w:ascii="宋体" w:hAnsi="宋体" w:cs="宋体"/>
                <w:b/>
                <w:bCs/>
                <w:kern w:val="0"/>
                <w:szCs w:val="21"/>
                <w:lang w:bidi="ar"/>
              </w:rPr>
              <w:t>序号</w:t>
            </w:r>
          </w:p>
        </w:tc>
        <w:tc>
          <w:tcPr>
            <w:tcW w:w="1635" w:type="dxa"/>
            <w:tcBorders>
              <w:top w:val="single" w:color="000000" w:sz="4" w:space="0"/>
              <w:left w:val="single" w:color="000000" w:sz="4" w:space="0"/>
              <w:bottom w:val="single" w:color="auto" w:sz="4" w:space="0"/>
              <w:right w:val="single" w:color="auto" w:sz="4" w:space="0"/>
            </w:tcBorders>
            <w:noWrap w:val="0"/>
            <w:vAlign w:val="center"/>
          </w:tcPr>
          <w:p>
            <w:pPr>
              <w:pageBreakBefore w:val="0"/>
              <w:widowControl/>
              <w:kinsoku/>
              <w:overflowPunct/>
              <w:bidi w:val="0"/>
              <w:spacing w:line="360" w:lineRule="auto"/>
              <w:jc w:val="center"/>
              <w:textAlignment w:val="center"/>
              <w:rPr>
                <w:rFonts w:hint="default" w:ascii="宋体" w:hAnsi="宋体" w:eastAsia="宋体" w:cs="宋体"/>
                <w:b/>
                <w:bCs/>
                <w:kern w:val="0"/>
                <w:szCs w:val="21"/>
                <w:lang w:val="en-US" w:eastAsia="zh-CN" w:bidi="ar"/>
              </w:rPr>
            </w:pPr>
            <w:r>
              <w:rPr>
                <w:rFonts w:hint="eastAsia" w:ascii="宋体" w:hAnsi="宋体" w:cs="宋体"/>
                <w:b/>
                <w:bCs/>
                <w:kern w:val="0"/>
                <w:szCs w:val="21"/>
                <w:lang w:val="en-US" w:eastAsia="zh-CN" w:bidi="ar"/>
              </w:rPr>
              <w:t>名称及规格型号</w:t>
            </w:r>
          </w:p>
        </w:tc>
        <w:tc>
          <w:tcPr>
            <w:tcW w:w="1430" w:type="dxa"/>
            <w:tcBorders>
              <w:top w:val="single" w:color="000000" w:sz="4" w:space="0"/>
              <w:left w:val="single" w:color="000000" w:sz="4" w:space="0"/>
              <w:bottom w:val="single" w:color="auto" w:sz="4" w:space="0"/>
              <w:right w:val="single" w:color="auto" w:sz="4" w:space="0"/>
            </w:tcBorders>
            <w:noWrap w:val="0"/>
            <w:vAlign w:val="center"/>
          </w:tcPr>
          <w:p>
            <w:pPr>
              <w:pageBreakBefore w:val="0"/>
              <w:widowControl/>
              <w:kinsoku/>
              <w:overflowPunct/>
              <w:bidi w:val="0"/>
              <w:spacing w:line="360" w:lineRule="auto"/>
              <w:jc w:val="center"/>
              <w:textAlignment w:val="center"/>
              <w:rPr>
                <w:rFonts w:hint="eastAsia" w:ascii="宋体" w:hAnsi="宋体" w:cs="宋体"/>
                <w:b/>
                <w:bCs/>
                <w:szCs w:val="21"/>
              </w:rPr>
            </w:pPr>
            <w:r>
              <w:rPr>
                <w:rFonts w:hint="eastAsia" w:ascii="宋体" w:hAnsi="宋体" w:cs="宋体"/>
                <w:b/>
                <w:bCs/>
                <w:kern w:val="0"/>
                <w:szCs w:val="21"/>
                <w:lang w:bidi="ar"/>
              </w:rPr>
              <w:t>单位</w:t>
            </w:r>
          </w:p>
        </w:tc>
        <w:tc>
          <w:tcPr>
            <w:tcW w:w="1255" w:type="dxa"/>
            <w:tcBorders>
              <w:top w:val="single" w:color="000000" w:sz="4" w:space="0"/>
              <w:left w:val="single" w:color="auto" w:sz="4" w:space="0"/>
              <w:bottom w:val="single" w:color="auto" w:sz="4" w:space="0"/>
              <w:right w:val="single" w:color="000000" w:sz="4" w:space="0"/>
            </w:tcBorders>
            <w:noWrap w:val="0"/>
            <w:vAlign w:val="center"/>
          </w:tcPr>
          <w:p>
            <w:pPr>
              <w:pageBreakBefore w:val="0"/>
              <w:widowControl/>
              <w:kinsoku/>
              <w:overflowPunct/>
              <w:bidi w:val="0"/>
              <w:spacing w:line="360" w:lineRule="auto"/>
              <w:jc w:val="center"/>
              <w:textAlignment w:val="center"/>
              <w:rPr>
                <w:rFonts w:hint="eastAsia" w:ascii="宋体" w:hAnsi="宋体" w:eastAsia="宋体" w:cs="宋体"/>
                <w:b/>
                <w:bCs/>
                <w:kern w:val="0"/>
                <w:szCs w:val="21"/>
                <w:lang w:eastAsia="zh-CN" w:bidi="ar"/>
              </w:rPr>
            </w:pPr>
            <w:r>
              <w:rPr>
                <w:rFonts w:hint="eastAsia" w:ascii="宋体" w:hAnsi="宋体" w:cs="宋体"/>
                <w:b/>
                <w:bCs/>
                <w:kern w:val="0"/>
                <w:szCs w:val="21"/>
                <w:lang w:val="en-US" w:eastAsia="zh-CN" w:bidi="ar"/>
              </w:rPr>
              <w:t>工程量</w:t>
            </w:r>
          </w:p>
        </w:tc>
        <w:tc>
          <w:tcPr>
            <w:tcW w:w="1391" w:type="dxa"/>
            <w:tcBorders>
              <w:top w:val="single" w:color="000000" w:sz="4" w:space="0"/>
              <w:left w:val="single" w:color="000000" w:sz="4" w:space="0"/>
              <w:bottom w:val="single" w:color="auto" w:sz="4" w:space="0"/>
              <w:right w:val="single" w:color="000000" w:sz="4" w:space="0"/>
            </w:tcBorders>
            <w:noWrap w:val="0"/>
            <w:vAlign w:val="center"/>
          </w:tcPr>
          <w:p>
            <w:pPr>
              <w:pageBreakBefore w:val="0"/>
              <w:widowControl/>
              <w:kinsoku/>
              <w:overflowPunct/>
              <w:bidi w:val="0"/>
              <w:spacing w:line="360" w:lineRule="auto"/>
              <w:jc w:val="center"/>
              <w:textAlignment w:val="center"/>
              <w:rPr>
                <w:rFonts w:hint="eastAsia" w:ascii="宋体" w:hAnsi="宋体" w:eastAsia="宋体" w:cs="宋体"/>
                <w:b/>
                <w:bCs/>
                <w:szCs w:val="21"/>
                <w:lang w:val="en-US" w:eastAsia="zh-CN"/>
              </w:rPr>
            </w:pPr>
            <w:r>
              <w:rPr>
                <w:rFonts w:hint="eastAsia" w:ascii="宋体" w:hAnsi="宋体" w:cs="宋体"/>
                <w:b/>
                <w:bCs/>
                <w:szCs w:val="21"/>
                <w:lang w:val="en-US" w:eastAsia="zh-CN"/>
              </w:rPr>
              <w:t>金额</w:t>
            </w:r>
          </w:p>
        </w:tc>
        <w:tc>
          <w:tcPr>
            <w:tcW w:w="2047" w:type="dxa"/>
            <w:tcBorders>
              <w:top w:val="single" w:color="000000" w:sz="4" w:space="0"/>
              <w:left w:val="single" w:color="000000" w:sz="4" w:space="0"/>
              <w:bottom w:val="single" w:color="auto" w:sz="4" w:space="0"/>
              <w:right w:val="single" w:color="000000" w:sz="4" w:space="0"/>
            </w:tcBorders>
            <w:noWrap w:val="0"/>
            <w:vAlign w:val="center"/>
          </w:tcPr>
          <w:p>
            <w:pPr>
              <w:pageBreakBefore w:val="0"/>
              <w:kinsoku/>
              <w:overflowPunct/>
              <w:bidi w:val="0"/>
              <w:spacing w:line="360" w:lineRule="auto"/>
              <w:jc w:val="center"/>
              <w:rPr>
                <w:rFonts w:hint="eastAsia" w:ascii="宋体" w:hAnsi="宋体" w:cs="宋体"/>
                <w:b/>
                <w:bCs/>
                <w:szCs w:val="21"/>
              </w:rPr>
            </w:pPr>
            <w:r>
              <w:rPr>
                <w:rFonts w:hint="eastAsia" w:ascii="宋体" w:hAnsi="宋体" w:cs="宋体"/>
                <w:b/>
                <w:bCs/>
                <w:szCs w:val="21"/>
              </w:rPr>
              <w:t>备注</w:t>
            </w:r>
          </w:p>
        </w:tc>
      </w:tr>
      <w:tr>
        <w:tblPrEx>
          <w:tblCellMar>
            <w:top w:w="15" w:type="dxa"/>
            <w:left w:w="15" w:type="dxa"/>
            <w:bottom w:w="15" w:type="dxa"/>
            <w:right w:w="15" w:type="dxa"/>
          </w:tblCellMar>
        </w:tblPrEx>
        <w:trPr>
          <w:trHeight w:val="518" w:hRule="exact"/>
        </w:trPr>
        <w:tc>
          <w:tcPr>
            <w:tcW w:w="76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ageBreakBefore w:val="0"/>
              <w:widowControl/>
              <w:kinsoku/>
              <w:overflowPunct/>
              <w:bidi w:val="0"/>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overflowPunct/>
              <w:bidi w:val="0"/>
              <w:spacing w:line="360" w:lineRule="auto"/>
              <w:jc w:val="center"/>
              <w:rPr>
                <w:rFonts w:hint="eastAsia" w:ascii="宋体" w:hAnsi="宋体" w:eastAsia="宋体" w:cs="宋体"/>
                <w:color w:val="000000"/>
                <w:kern w:val="0"/>
                <w:sz w:val="21"/>
                <w:szCs w:val="21"/>
                <w:lang w:val="en-US" w:eastAsia="zh-CN" w:bidi="ar"/>
              </w:rPr>
            </w:pPr>
            <w:r>
              <w:rPr>
                <w:rFonts w:hint="eastAsia" w:ascii="宋体" w:hAnsi="宋体" w:cs="宋体"/>
                <w:kern w:val="0"/>
                <w:sz w:val="21"/>
                <w:szCs w:val="21"/>
                <w:lang w:val="en-US" w:eastAsia="zh-CN"/>
              </w:rPr>
              <w:t>一级导视牌</w:t>
            </w:r>
          </w:p>
        </w:tc>
        <w:tc>
          <w:tcPr>
            <w:tcW w:w="14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overflowPunct/>
              <w:bidi w:val="0"/>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套</w:t>
            </w:r>
          </w:p>
        </w:tc>
        <w:tc>
          <w:tcPr>
            <w:tcW w:w="12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overflowPunct/>
              <w:bidi w:val="0"/>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kinsoku/>
              <w:overflowPunct/>
              <w:bidi w:val="0"/>
              <w:spacing w:line="360" w:lineRule="auto"/>
              <w:jc w:val="center"/>
              <w:rPr>
                <w:rFonts w:hint="eastAsia" w:ascii="Times New Roman" w:hAnsi="Times New Roman" w:eastAsia="宋体"/>
                <w:kern w:val="2"/>
                <w:sz w:val="21"/>
                <w:lang w:val="en-US" w:eastAsia="zh-CN" w:bidi="ar-SA"/>
              </w:rPr>
            </w:pPr>
          </w:p>
        </w:tc>
        <w:tc>
          <w:tcPr>
            <w:tcW w:w="204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textAlignment w:val="center"/>
              <w:rPr>
                <w:rFonts w:hint="eastAsia" w:ascii="宋体" w:hAnsi="宋体" w:cs="宋体"/>
                <w:sz w:val="21"/>
                <w:szCs w:val="21"/>
                <w:lang w:eastAsia="zh-CN"/>
              </w:rPr>
            </w:pPr>
          </w:p>
        </w:tc>
      </w:tr>
      <w:tr>
        <w:tblPrEx>
          <w:tblCellMar>
            <w:top w:w="15" w:type="dxa"/>
            <w:left w:w="15" w:type="dxa"/>
            <w:bottom w:w="15" w:type="dxa"/>
            <w:right w:w="15" w:type="dxa"/>
          </w:tblCellMar>
        </w:tblPrEx>
        <w:trPr>
          <w:trHeight w:val="885" w:hRule="exact"/>
        </w:trPr>
        <w:tc>
          <w:tcPr>
            <w:tcW w:w="76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ageBreakBefore w:val="0"/>
              <w:widowControl/>
              <w:kinsoku/>
              <w:overflowPunct/>
              <w:bidi w:val="0"/>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overflowPunct/>
              <w:bidi w:val="0"/>
              <w:spacing w:line="360" w:lineRule="auto"/>
              <w:jc w:val="center"/>
              <w:rPr>
                <w:rFonts w:hint="eastAsia" w:ascii="宋体" w:hAnsi="宋体" w:eastAsia="宋体" w:cs="宋体"/>
                <w:color w:val="000000"/>
                <w:kern w:val="0"/>
                <w:sz w:val="21"/>
                <w:szCs w:val="21"/>
                <w:lang w:val="en-US" w:eastAsia="zh-CN" w:bidi="ar"/>
              </w:rPr>
            </w:pPr>
            <w:r>
              <w:rPr>
                <w:rFonts w:hint="eastAsia" w:ascii="宋体" w:hAnsi="宋体" w:cs="宋体"/>
                <w:kern w:val="0"/>
                <w:sz w:val="21"/>
                <w:szCs w:val="21"/>
                <w:lang w:val="en-US" w:eastAsia="zh-CN"/>
              </w:rPr>
              <w:t>服务区名称标牌发光字</w:t>
            </w:r>
          </w:p>
        </w:tc>
        <w:tc>
          <w:tcPr>
            <w:tcW w:w="14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overflowPunct/>
              <w:bidi w:val="0"/>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套</w:t>
            </w:r>
          </w:p>
        </w:tc>
        <w:tc>
          <w:tcPr>
            <w:tcW w:w="12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overflowPunct/>
              <w:bidi w:val="0"/>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kinsoku/>
              <w:overflowPunct/>
              <w:bidi w:val="0"/>
              <w:spacing w:line="360" w:lineRule="auto"/>
              <w:jc w:val="center"/>
              <w:rPr>
                <w:rFonts w:hint="eastAsia" w:ascii="Times New Roman" w:hAnsi="Times New Roman" w:eastAsia="宋体"/>
                <w:kern w:val="2"/>
                <w:sz w:val="21"/>
                <w:lang w:val="en-US" w:eastAsia="zh-CN" w:bidi="ar-SA"/>
              </w:rPr>
            </w:pPr>
          </w:p>
        </w:tc>
        <w:tc>
          <w:tcPr>
            <w:tcW w:w="204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textAlignment w:val="center"/>
              <w:rPr>
                <w:rFonts w:hint="eastAsia" w:ascii="宋体" w:hAnsi="宋体" w:cs="宋体"/>
                <w:sz w:val="21"/>
                <w:szCs w:val="21"/>
                <w:lang w:eastAsia="zh-CN"/>
              </w:rPr>
            </w:pPr>
          </w:p>
        </w:tc>
      </w:tr>
      <w:tr>
        <w:tblPrEx>
          <w:tblCellMar>
            <w:top w:w="15" w:type="dxa"/>
            <w:left w:w="15" w:type="dxa"/>
            <w:bottom w:w="15" w:type="dxa"/>
            <w:right w:w="15" w:type="dxa"/>
          </w:tblCellMar>
        </w:tblPrEx>
        <w:trPr>
          <w:trHeight w:val="598" w:hRule="exact"/>
        </w:trPr>
        <w:tc>
          <w:tcPr>
            <w:tcW w:w="76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ageBreakBefore w:val="0"/>
              <w:widowControl/>
              <w:kinsoku/>
              <w:overflowPunct/>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overflowPunct/>
              <w:bidi w:val="0"/>
              <w:spacing w:line="360" w:lineRule="auto"/>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合计</w:t>
            </w:r>
          </w:p>
        </w:tc>
        <w:tc>
          <w:tcPr>
            <w:tcW w:w="14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overflowPunct/>
              <w:bidi w:val="0"/>
              <w:spacing w:line="360" w:lineRule="auto"/>
              <w:jc w:val="center"/>
              <w:rPr>
                <w:rFonts w:hint="eastAsia" w:ascii="宋体" w:hAnsi="宋体" w:cs="宋体"/>
                <w:color w:val="000000"/>
                <w:kern w:val="0"/>
                <w:szCs w:val="21"/>
                <w:lang w:val="en-US" w:eastAsia="zh-CN"/>
              </w:rPr>
            </w:pPr>
          </w:p>
        </w:tc>
        <w:tc>
          <w:tcPr>
            <w:tcW w:w="12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overflowPunct/>
              <w:bidi w:val="0"/>
              <w:spacing w:line="360" w:lineRule="auto"/>
              <w:jc w:val="center"/>
              <w:rPr>
                <w:rFonts w:hint="eastAsia" w:ascii="宋体" w:hAnsi="宋体" w:cs="宋体"/>
                <w:color w:val="000000"/>
                <w:kern w:val="0"/>
                <w:szCs w:val="21"/>
                <w:lang w:val="en-US" w:eastAsia="zh-CN"/>
              </w:rPr>
            </w:pP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kinsoku/>
              <w:overflowPunct/>
              <w:bidi w:val="0"/>
              <w:spacing w:line="360" w:lineRule="auto"/>
              <w:jc w:val="center"/>
              <w:rPr>
                <w:rFonts w:hint="eastAsia" w:ascii="Times New Roman" w:hAnsi="Times New Roman" w:eastAsia="宋体"/>
                <w:kern w:val="2"/>
                <w:sz w:val="21"/>
                <w:lang w:val="en-US" w:eastAsia="zh-CN" w:bidi="ar-SA"/>
              </w:rPr>
            </w:pPr>
          </w:p>
        </w:tc>
        <w:tc>
          <w:tcPr>
            <w:tcW w:w="204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line="360" w:lineRule="auto"/>
              <w:jc w:val="center"/>
              <w:textAlignment w:val="center"/>
              <w:rPr>
                <w:rFonts w:hint="eastAsia" w:ascii="宋体" w:hAnsi="宋体" w:cs="宋体"/>
                <w:sz w:val="21"/>
                <w:szCs w:val="21"/>
                <w:lang w:eastAsia="zh-CN"/>
              </w:rPr>
            </w:pPr>
          </w:p>
        </w:tc>
      </w:tr>
    </w:tbl>
    <w:p>
      <w:pPr>
        <w:pageBreakBefore w:val="0"/>
        <w:kinsoku/>
        <w:overflowPunct/>
        <w:bidi w:val="0"/>
        <w:spacing w:line="360" w:lineRule="auto"/>
        <w:rPr>
          <w:rFonts w:hint="eastAsia"/>
          <w:szCs w:val="21"/>
        </w:rPr>
      </w:pPr>
      <w:r>
        <w:rPr>
          <w:rFonts w:hint="eastAsia"/>
          <w:szCs w:val="21"/>
        </w:rPr>
        <w:t>注：1、本合同为综合</w:t>
      </w:r>
      <w:r>
        <w:rPr>
          <w:rFonts w:hint="eastAsia"/>
          <w:szCs w:val="21"/>
          <w:lang w:val="en-US" w:eastAsia="zh-CN"/>
        </w:rPr>
        <w:t>含税</w:t>
      </w:r>
      <w:r>
        <w:rPr>
          <w:rFonts w:hint="eastAsia"/>
          <w:szCs w:val="21"/>
        </w:rPr>
        <w:t>单价合同，数量为预计数量，具体数量以</w:t>
      </w:r>
      <w:r>
        <w:rPr>
          <w:rFonts w:ascii="宋体" w:hAnsi="宋体" w:cs="宋体"/>
          <w:szCs w:val="21"/>
        </w:rPr>
        <w:t>乙方</w:t>
      </w:r>
      <w:r>
        <w:rPr>
          <w:rFonts w:hint="eastAsia" w:ascii="宋体" w:hAnsi="宋体" w:cs="宋体"/>
          <w:szCs w:val="21"/>
        </w:rPr>
        <w:t>向甲方实际提供的数量准。</w:t>
      </w:r>
    </w:p>
    <w:p>
      <w:pPr>
        <w:pageBreakBefore w:val="0"/>
        <w:numPr>
          <w:ilvl w:val="0"/>
          <w:numId w:val="0"/>
        </w:numPr>
        <w:kinsoku/>
        <w:overflowPunct/>
        <w:bidi w:val="0"/>
        <w:spacing w:line="360" w:lineRule="auto"/>
        <w:ind w:firstLine="420" w:firstLineChars="200"/>
        <w:rPr>
          <w:rFonts w:hint="eastAsia"/>
          <w:color w:val="FF0000"/>
          <w:sz w:val="21"/>
          <w:szCs w:val="21"/>
          <w:lang w:val="en-US" w:eastAsia="zh-CN"/>
        </w:rPr>
      </w:pPr>
      <w:r>
        <w:rPr>
          <w:rFonts w:hint="eastAsia"/>
          <w:szCs w:val="21"/>
          <w:lang w:val="en-US" w:eastAsia="zh-CN"/>
        </w:rPr>
        <w:t>2、</w:t>
      </w:r>
      <w:r>
        <w:rPr>
          <w:rFonts w:hint="eastAsia"/>
          <w:szCs w:val="21"/>
          <w:lang w:eastAsia="zh-CN"/>
        </w:rPr>
        <w:t>此乙方到场单价</w:t>
      </w:r>
      <w:r>
        <w:rPr>
          <w:rFonts w:hint="eastAsia"/>
          <w:szCs w:val="21"/>
        </w:rPr>
        <w:t>不允许调价。</w:t>
      </w:r>
    </w:p>
    <w:p>
      <w:pPr>
        <w:pageBreakBefore w:val="0"/>
        <w:kinsoku/>
        <w:overflowPunct/>
        <w:bidi w:val="0"/>
        <w:spacing w:line="360" w:lineRule="auto"/>
        <w:rPr>
          <w:rFonts w:hint="eastAsia"/>
          <w:b/>
          <w:szCs w:val="21"/>
        </w:rPr>
      </w:pPr>
      <w:r>
        <w:rPr>
          <w:rFonts w:hint="eastAsia"/>
          <w:b/>
          <w:szCs w:val="21"/>
        </w:rPr>
        <w:t>二、质量要求：</w:t>
      </w:r>
    </w:p>
    <w:p>
      <w:pPr>
        <w:pageBreakBefore w:val="0"/>
        <w:kinsoku/>
        <w:overflowPunct/>
        <w:bidi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1、乙方提供的产品满足《重庆市高速公路服务区星级评定·管理办法》； 《重庆标识安装指南》（2010 版） ；《公路工程质量检验评定标准》（(JTG F80/1-2017)；由重庆市交通重庆市交通委员会发布的《重庆市服务区导向系统设计指南》2018 年 10 月标准规定等，并按批量提供出厂合格证原件。</w:t>
      </w:r>
    </w:p>
    <w:p>
      <w:pPr>
        <w:pageBreakBefore w:val="0"/>
        <w:kinsoku/>
        <w:overflowPunct/>
        <w:bidi w:val="0"/>
        <w:spacing w:line="360" w:lineRule="auto"/>
        <w:ind w:firstLine="420" w:firstLineChars="200"/>
        <w:rPr>
          <w:rFonts w:hint="eastAsia" w:ascii="微软雅黑" w:hAnsi="微软雅黑" w:eastAsia="微软雅黑" w:cs="微软雅黑"/>
          <w:color w:val="auto"/>
          <w:sz w:val="21"/>
          <w:szCs w:val="21"/>
          <w:highlight w:val="yellow"/>
        </w:rPr>
      </w:pPr>
      <w:r>
        <w:rPr>
          <w:rFonts w:hint="eastAsia" w:ascii="宋体" w:hAnsi="宋体" w:eastAsia="宋体" w:cs="Times New Roman"/>
          <w:szCs w:val="21"/>
          <w:lang w:val="en-US" w:eastAsia="zh-CN"/>
        </w:rPr>
        <w:t>2、因货物质量不符合国家、行业规定的以及本合同约定的相关标准而产生的一切后果责任由乙方承担；若由此而给甲方造成损失的，乙方应全额赔偿。</w:t>
      </w:r>
    </w:p>
    <w:p>
      <w:pPr>
        <w:pageBreakBefore w:val="0"/>
        <w:kinsoku/>
        <w:overflowPunct/>
        <w:bidi w:val="0"/>
        <w:spacing w:line="360" w:lineRule="auto"/>
        <w:ind w:firstLine="352" w:firstLineChars="196"/>
        <w:textAlignment w:val="baseline"/>
        <w:rPr>
          <w:b/>
          <w:sz w:val="24"/>
          <w:szCs w:val="24"/>
        </w:rPr>
      </w:pPr>
      <w:r>
        <w:rPr>
          <w:rFonts w:hint="eastAsia" w:ascii="微软雅黑" w:hAnsi="微软雅黑" w:eastAsia="微软雅黑" w:cs="微软雅黑"/>
          <w:color w:val="666666"/>
          <w:sz w:val="18"/>
          <w:szCs w:val="18"/>
          <w:shd w:val="clear" w:color="auto" w:fill="FFFFFF"/>
        </w:rPr>
        <w:t xml:space="preserve">  </w:t>
      </w:r>
      <w:r>
        <w:rPr>
          <w:rFonts w:hint="eastAsia"/>
          <w:b/>
          <w:sz w:val="24"/>
          <w:szCs w:val="24"/>
        </w:rPr>
        <w:t>三、交（提）货地点、方式</w:t>
      </w:r>
    </w:p>
    <w:p>
      <w:pPr>
        <w:pageBreakBefore w:val="0"/>
        <w:kinsoku/>
        <w:overflowPunct/>
        <w:bidi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1、乙方收到甲方采购材料的短信或电话通知后（乙方联系人：      电话：           微信：          ），乙方应当在【5】日将甲方采购材料运至甲方指定位置：重庆市绕城高速复兴服务区），并堆放整齐。</w:t>
      </w:r>
    </w:p>
    <w:p>
      <w:pPr>
        <w:pageBreakBefore w:val="0"/>
        <w:kinsoku/>
        <w:overflowPunct/>
        <w:bidi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2、乙方所供应的材料经甲方初步验收合格后收货。在转运过程中，乙方必须采取有效措施避免材料的二次污染或受损，否则，甲方有权拒绝收货或要求退货。</w:t>
      </w:r>
    </w:p>
    <w:p>
      <w:pPr>
        <w:pageBreakBefore w:val="0"/>
        <w:kinsoku/>
        <w:overflowPunct/>
        <w:bidi w:val="0"/>
        <w:spacing w:line="360" w:lineRule="auto"/>
        <w:ind w:firstLine="420" w:firstLineChars="200"/>
        <w:rPr>
          <w:rFonts w:hint="eastAsia" w:eastAsia="宋体"/>
          <w:b w:val="0"/>
          <w:bCs w:val="0"/>
          <w:lang w:val="en-US" w:eastAsia="zh-CN"/>
        </w:rPr>
      </w:pPr>
      <w:r>
        <w:rPr>
          <w:rFonts w:hint="eastAsia" w:ascii="宋体" w:hAnsi="宋体" w:eastAsia="宋体" w:cs="Times New Roman"/>
          <w:szCs w:val="21"/>
          <w:lang w:val="en-US" w:eastAsia="zh-CN"/>
        </w:rPr>
        <w:t>3、甲方收货验收并不免除乙方的质量保证义务及对合同产品质量应当承担的责任，如果甲方在使用或销售合同产品或含有合同产品的产品时发现因合同产品在设计、安装、制造、材料、工艺等方面的缺陷导致的任何质量问题，仍应由乙方承担全部责任。</w:t>
      </w:r>
    </w:p>
    <w:p>
      <w:pPr>
        <w:pageBreakBefore w:val="0"/>
        <w:kinsoku/>
        <w:overflowPunct/>
        <w:bidi w:val="0"/>
        <w:spacing w:line="360" w:lineRule="auto"/>
        <w:ind w:firstLine="472" w:firstLineChars="196"/>
        <w:textAlignment w:val="baseline"/>
        <w:rPr>
          <w:b/>
          <w:sz w:val="24"/>
          <w:szCs w:val="24"/>
        </w:rPr>
      </w:pPr>
      <w:r>
        <w:rPr>
          <w:rFonts w:hint="eastAsia"/>
          <w:b/>
          <w:sz w:val="24"/>
          <w:szCs w:val="24"/>
        </w:rPr>
        <w:t>四、运输方式及到达站港和费用负担</w:t>
      </w:r>
    </w:p>
    <w:p>
      <w:pPr>
        <w:pageBreakBefore w:val="0"/>
        <w:kinsoku/>
        <w:overflowPunct/>
        <w:bidi w:val="0"/>
        <w:spacing w:line="360" w:lineRule="auto"/>
        <w:ind w:firstLine="420" w:firstLineChars="200"/>
        <w:rPr>
          <w:rFonts w:hint="eastAsia"/>
          <w:szCs w:val="21"/>
        </w:rPr>
      </w:pPr>
      <w:r>
        <w:rPr>
          <w:rFonts w:hint="eastAsia" w:ascii="宋体" w:hAnsi="宋体" w:eastAsia="宋体" w:cs="Times New Roman"/>
          <w:szCs w:val="21"/>
          <w:lang w:val="en-US" w:eastAsia="zh-CN"/>
        </w:rPr>
        <w:t>本合同约定的材料价格为甲方指定位置的到场和安装单价。材料制作、运输和安装的安全由乙方负责，因超限等引起的一切后果及责任均由乙方自行承担。乙方必须保证安全、及时、足额供货。</w:t>
      </w:r>
    </w:p>
    <w:p>
      <w:pPr>
        <w:pageBreakBefore w:val="0"/>
        <w:kinsoku/>
        <w:overflowPunct/>
        <w:bidi w:val="0"/>
        <w:spacing w:line="360" w:lineRule="auto"/>
        <w:ind w:firstLine="472" w:firstLineChars="196"/>
        <w:textAlignment w:val="baseline"/>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五</w:t>
      </w:r>
      <w:r>
        <w:rPr>
          <w:rFonts w:hint="eastAsia" w:ascii="Times New Roman" w:hAnsi="Times New Roman" w:eastAsia="宋体" w:cs="Times New Roman"/>
          <w:b/>
          <w:sz w:val="24"/>
          <w:szCs w:val="24"/>
        </w:rPr>
        <w:t>、货物所有权：</w:t>
      </w:r>
    </w:p>
    <w:p>
      <w:pPr>
        <w:pageBreakBefore w:val="0"/>
        <w:kinsoku/>
        <w:overflowPunct/>
        <w:bidi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本合同项下货物的风险转移以所有权转移的时间为准，即货物交付验收前所有权归属于乙方，货物风险、保管费用等均由乙方承担；货物交付验收后所有权转移为甲方所有；货物风险自货物交付验收后由甲方承担（货物由乙方保管的除外）。</w:t>
      </w:r>
    </w:p>
    <w:p>
      <w:pPr>
        <w:pageBreakBefore w:val="0"/>
        <w:numPr>
          <w:ilvl w:val="0"/>
          <w:numId w:val="3"/>
        </w:numPr>
        <w:kinsoku/>
        <w:overflowPunct/>
        <w:bidi w:val="0"/>
        <w:spacing w:line="360" w:lineRule="auto"/>
        <w:ind w:firstLine="482" w:firstLineChars="200"/>
        <w:textAlignment w:val="baseline"/>
        <w:rPr>
          <w:rFonts w:hint="eastAsia"/>
          <w:b/>
          <w:sz w:val="24"/>
          <w:szCs w:val="24"/>
          <w:highlight w:val="none"/>
        </w:rPr>
      </w:pPr>
      <w:r>
        <w:rPr>
          <w:rFonts w:hint="eastAsia"/>
          <w:b/>
          <w:sz w:val="24"/>
          <w:szCs w:val="24"/>
          <w:highlight w:val="none"/>
        </w:rPr>
        <w:t>计量方法</w:t>
      </w:r>
    </w:p>
    <w:p>
      <w:pPr>
        <w:pageBreakBefore w:val="0"/>
        <w:kinsoku/>
        <w:overflowPunct/>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1、</w:t>
      </w:r>
      <w:r>
        <w:rPr>
          <w:rFonts w:hint="eastAsia" w:ascii="宋体" w:hAnsi="宋体" w:eastAsia="宋体" w:cs="Times New Roman"/>
          <w:szCs w:val="21"/>
        </w:rPr>
        <w:t>采购清单中所列暂定数量是估算的预计数量，仅作为投标的共同基础，不能作为最终结算与支付的依据，具体数量以甲方代表现场点数实际到货合格数计量为准，乙方提供的出厂计量单作为参考。乙方如对甲方计量结果有异议，双方应现场协商解决，事后甲方不予认可。</w:t>
      </w:r>
    </w:p>
    <w:p>
      <w:pPr>
        <w:pageBreakBefore w:val="0"/>
        <w:kinsoku/>
        <w:overflowPunct/>
        <w:bidi w:val="0"/>
        <w:spacing w:line="360" w:lineRule="auto"/>
        <w:ind w:firstLine="472" w:firstLineChars="196"/>
        <w:textAlignment w:val="baseline"/>
        <w:rPr>
          <w:b/>
          <w:sz w:val="24"/>
          <w:szCs w:val="24"/>
        </w:rPr>
      </w:pPr>
      <w:r>
        <w:rPr>
          <w:rFonts w:hint="eastAsia"/>
          <w:b/>
          <w:sz w:val="24"/>
          <w:szCs w:val="24"/>
        </w:rPr>
        <w:t>七、验收标准、方法</w:t>
      </w:r>
    </w:p>
    <w:p>
      <w:pPr>
        <w:pageBreakBefore w:val="0"/>
        <w:kinsoku/>
        <w:overflowPunct/>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到场材料由甲方负责初检（初检指标包括：外观颜色、外观洁净程度、表观级配等），并根据甲方自检频率对材料各项技术标准进行严格检测，不合格材料则无条件退货，若应退货导致甲方无法生产而影响项目工期，由此造成的损失由乙方承担。</w:t>
      </w:r>
    </w:p>
    <w:p>
      <w:pPr>
        <w:pageBreakBefore w:val="0"/>
        <w:kinsoku/>
        <w:overflowPunct/>
        <w:bidi w:val="0"/>
        <w:spacing w:line="360" w:lineRule="auto"/>
        <w:ind w:firstLine="420" w:firstLineChars="200"/>
        <w:rPr>
          <w:rFonts w:hint="eastAsia"/>
          <w:sz w:val="24"/>
          <w:szCs w:val="24"/>
        </w:rPr>
      </w:pPr>
      <w:r>
        <w:rPr>
          <w:rFonts w:hint="eastAsia" w:ascii="宋体" w:hAnsi="宋体" w:eastAsia="宋体" w:cs="Times New Roman"/>
          <w:szCs w:val="21"/>
        </w:rPr>
        <w:t>2、如在检测中发现有不合格、不满足技术要求的，乙方有争议的，可委托经甲乙双方认可的第三方检测机构进行检测，费用先由乙方垫付，最终由相应责任方承担（如合格费用由甲方支付，如不合格费用由乙方支付）。发生产品质量责任问题，乙方须承担由此造成的一切损失及费用。</w:t>
      </w:r>
    </w:p>
    <w:p>
      <w:pPr>
        <w:pageBreakBefore w:val="0"/>
        <w:kinsoku/>
        <w:overflowPunct/>
        <w:bidi w:val="0"/>
        <w:adjustRightInd w:val="0"/>
        <w:snapToGrid w:val="0"/>
        <w:spacing w:line="360" w:lineRule="auto"/>
        <w:ind w:firstLine="356" w:firstLineChars="169"/>
        <w:textAlignment w:val="baseline"/>
        <w:rPr>
          <w:rFonts w:hint="eastAsia"/>
          <w:b/>
          <w:bCs/>
          <w:szCs w:val="21"/>
        </w:rPr>
      </w:pPr>
      <w:r>
        <w:rPr>
          <w:rFonts w:hint="eastAsia"/>
          <w:b/>
          <w:bCs/>
          <w:szCs w:val="21"/>
          <w:lang w:val="en-US" w:eastAsia="zh-CN"/>
        </w:rPr>
        <w:t>八</w:t>
      </w:r>
      <w:r>
        <w:rPr>
          <w:rFonts w:hint="eastAsia"/>
          <w:b/>
          <w:bCs/>
          <w:szCs w:val="21"/>
        </w:rPr>
        <w:t>、发票的开具：</w:t>
      </w:r>
    </w:p>
    <w:p>
      <w:pPr>
        <w:pageBreakBefore w:val="0"/>
        <w:kinsoku/>
        <w:overflowPunct/>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①</w:t>
      </w:r>
      <w:r>
        <w:rPr>
          <w:rFonts w:hint="eastAsia" w:ascii="宋体" w:hAnsi="宋体" w:eastAsia="宋体" w:cs="Times New Roman"/>
          <w:szCs w:val="21"/>
          <w:lang w:val="en-US" w:eastAsia="zh-CN"/>
        </w:rPr>
        <w:t>材料的</w:t>
      </w:r>
      <w:r>
        <w:rPr>
          <w:rFonts w:hint="eastAsia" w:ascii="宋体" w:hAnsi="宋体" w:eastAsia="宋体" w:cs="Times New Roman"/>
          <w:szCs w:val="21"/>
        </w:rPr>
        <w:t xml:space="preserve">产品销售全额发票由乙方开具增值税专用发票（抵扣税率 </w:t>
      </w:r>
      <w:r>
        <w:rPr>
          <w:rFonts w:hint="eastAsia" w:ascii="宋体" w:hAnsi="宋体" w:eastAsia="宋体" w:cs="Times New Roman"/>
          <w:szCs w:val="21"/>
          <w:lang w:val="en-US" w:eastAsia="zh-CN"/>
        </w:rPr>
        <w:t>1</w:t>
      </w:r>
      <w:r>
        <w:rPr>
          <w:rFonts w:hint="eastAsia" w:ascii="宋体" w:hAnsi="宋体" w:eastAsia="宋体" w:cs="Times New Roman"/>
          <w:szCs w:val="21"/>
        </w:rPr>
        <w:t>3%）给甲方，发票单位名称为本合同甲乙双方全称（销售发票中已包含运输费，运输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pageBreakBefore w:val="0"/>
        <w:kinsoku/>
        <w:overflowPunct/>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②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pageBreakBefore w:val="0"/>
        <w:kinsoku/>
        <w:overflowPunct/>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③本合同内容经双方同意变更的，如果涉及到合同价款等增值税专用发票记载项目发生变化的，需要作废、重开、补开增值税专用发票的，甲乙双方需履行各自的协助义务。</w:t>
      </w:r>
    </w:p>
    <w:p>
      <w:pPr>
        <w:pageBreakBefore w:val="0"/>
        <w:kinsoku/>
        <w:overflowPunct/>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④合同生效后，因合同双方纳税人身份、纳税方式或因相关法律法规变动导致的增值税税率的变化，应遵循相关税收政策的要求，对合同价格及增值税税额进行调整。</w:t>
      </w:r>
    </w:p>
    <w:p>
      <w:pPr>
        <w:pageBreakBefore w:val="0"/>
        <w:kinsoku/>
        <w:overflowPunct/>
        <w:bidi w:val="0"/>
        <w:spacing w:line="360" w:lineRule="auto"/>
        <w:ind w:firstLine="472" w:firstLineChars="196"/>
        <w:textAlignment w:val="baseline"/>
        <w:rPr>
          <w:rFonts w:hint="eastAsia"/>
          <w:b/>
          <w:sz w:val="24"/>
          <w:szCs w:val="24"/>
        </w:rPr>
      </w:pPr>
      <w:r>
        <w:rPr>
          <w:rFonts w:hint="eastAsia"/>
          <w:b/>
          <w:sz w:val="24"/>
          <w:szCs w:val="24"/>
        </w:rPr>
        <w:t>九、结算方式及期限</w:t>
      </w:r>
    </w:p>
    <w:p>
      <w:pPr>
        <w:pageBreakBefore w:val="0"/>
        <w:kinsoku/>
        <w:overflowPunct/>
        <w:bidi w:val="0"/>
        <w:spacing w:line="360" w:lineRule="auto"/>
        <w:ind w:firstLine="420" w:firstLineChars="200"/>
        <w:rPr>
          <w:rFonts w:hint="eastAsia"/>
          <w:sz w:val="24"/>
          <w:szCs w:val="24"/>
        </w:rPr>
      </w:pPr>
      <w:r>
        <w:rPr>
          <w:rFonts w:hint="eastAsia" w:ascii="宋体" w:hAnsi="宋体" w:eastAsia="宋体" w:cs="Times New Roman"/>
          <w:szCs w:val="21"/>
        </w:rPr>
        <w:t>结算方式：</w:t>
      </w:r>
      <w:r>
        <w:rPr>
          <w:rFonts w:hint="eastAsia" w:ascii="宋体" w:hAnsi="宋体" w:eastAsia="宋体" w:cs="Times New Roman"/>
          <w:szCs w:val="21"/>
          <w:lang w:eastAsia="zh-CN"/>
        </w:rPr>
        <w:t>材料到场并完成安装后进行</w:t>
      </w:r>
      <w:r>
        <w:rPr>
          <w:rFonts w:hint="eastAsia" w:ascii="宋体" w:hAnsi="宋体" w:eastAsia="宋体" w:cs="Times New Roman"/>
          <w:szCs w:val="21"/>
        </w:rPr>
        <w:t>结算；结算金额=已对账的实际收货数量×合同单价。以完成</w:t>
      </w:r>
      <w:r>
        <w:rPr>
          <w:rFonts w:hint="eastAsia" w:ascii="宋体" w:hAnsi="宋体" w:eastAsia="宋体" w:cs="Times New Roman"/>
          <w:szCs w:val="21"/>
          <w:lang w:eastAsia="zh-CN"/>
        </w:rPr>
        <w:t>安装</w:t>
      </w:r>
      <w:r>
        <w:rPr>
          <w:rFonts w:hint="eastAsia" w:ascii="宋体" w:hAnsi="宋体" w:eastAsia="宋体" w:cs="Times New Roman"/>
          <w:szCs w:val="21"/>
        </w:rPr>
        <w:t>之日为费用结算日期，结算货物费用，乙方向甲方提供有效发票及供货凭证，甲方自费用清单（按甲方代表实际验收的合格数量和材料合同单价及运费单价计算）及发票送达之日起</w:t>
      </w:r>
      <w:r>
        <w:rPr>
          <w:rFonts w:hint="eastAsia" w:ascii="宋体" w:hAnsi="宋体" w:eastAsia="宋体" w:cs="Times New Roman"/>
          <w:szCs w:val="21"/>
          <w:lang w:val="en-US" w:eastAsia="zh-CN"/>
        </w:rPr>
        <w:t>25</w:t>
      </w:r>
      <w:r>
        <w:rPr>
          <w:rFonts w:hint="eastAsia" w:ascii="宋体" w:hAnsi="宋体" w:eastAsia="宋体" w:cs="Times New Roman"/>
          <w:szCs w:val="21"/>
        </w:rPr>
        <w:t>个工作日内以银行转账方式支付给乙方。乙方迟延提供发票和相关结算资料的，甲方的付款期限相应顺延。</w:t>
      </w:r>
    </w:p>
    <w:p>
      <w:pPr>
        <w:pageBreakBefore w:val="0"/>
        <w:kinsoku/>
        <w:overflowPunct/>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1、本项目</w:t>
      </w:r>
      <w:r>
        <w:rPr>
          <w:rFonts w:hint="eastAsia" w:ascii="宋体" w:hAnsi="宋体" w:eastAsia="宋体" w:cs="Times New Roman"/>
          <w:szCs w:val="21"/>
          <w:lang w:val="en-US" w:eastAsia="zh-CN"/>
        </w:rPr>
        <w:t>无预付款</w:t>
      </w:r>
      <w:r>
        <w:rPr>
          <w:rFonts w:hint="eastAsia" w:ascii="宋体" w:hAnsi="宋体" w:eastAsia="宋体" w:cs="Times New Roman"/>
          <w:szCs w:val="21"/>
        </w:rPr>
        <w:t>。</w:t>
      </w:r>
    </w:p>
    <w:p>
      <w:pPr>
        <w:pageBreakBefore w:val="0"/>
        <w:kinsoku/>
        <w:overflowPunct/>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w:t>
      </w:r>
      <w:r>
        <w:rPr>
          <w:rFonts w:hint="eastAsia" w:ascii="宋体" w:hAnsi="宋体" w:eastAsia="宋体" w:cs="Times New Roman"/>
          <w:szCs w:val="21"/>
          <w:lang w:eastAsia="zh-CN"/>
        </w:rPr>
        <w:t>完工</w:t>
      </w:r>
      <w:r>
        <w:rPr>
          <w:rFonts w:hint="eastAsia" w:ascii="宋体" w:hAnsi="宋体" w:eastAsia="宋体" w:cs="Times New Roman"/>
          <w:szCs w:val="21"/>
        </w:rPr>
        <w:t>支付：乙方在完成本工程供销</w:t>
      </w:r>
      <w:r>
        <w:rPr>
          <w:rFonts w:hint="eastAsia" w:ascii="宋体" w:hAnsi="宋体" w:eastAsia="宋体" w:cs="Times New Roman"/>
          <w:szCs w:val="21"/>
          <w:lang w:val="en-US" w:eastAsia="zh-CN"/>
        </w:rPr>
        <w:t>及安装</w:t>
      </w:r>
      <w:r>
        <w:rPr>
          <w:rFonts w:hint="eastAsia" w:ascii="宋体" w:hAnsi="宋体" w:eastAsia="宋体" w:cs="Times New Roman"/>
          <w:szCs w:val="21"/>
        </w:rPr>
        <w:t>任务后，由甲方按最终实际工程量向乙方</w:t>
      </w:r>
      <w:r>
        <w:rPr>
          <w:rFonts w:hint="eastAsia" w:ascii="宋体" w:hAnsi="宋体" w:eastAsia="宋体" w:cs="Times New Roman"/>
          <w:szCs w:val="21"/>
          <w:lang w:val="en-US" w:eastAsia="zh-CN"/>
        </w:rPr>
        <w:t>一次性</w:t>
      </w:r>
      <w:r>
        <w:rPr>
          <w:rFonts w:hint="eastAsia" w:ascii="宋体" w:hAnsi="宋体" w:eastAsia="宋体" w:cs="Times New Roman"/>
          <w:szCs w:val="21"/>
        </w:rPr>
        <w:t>办理结算及支付，</w:t>
      </w:r>
      <w:r>
        <w:rPr>
          <w:rFonts w:hint="eastAsia" w:ascii="宋体" w:hAnsi="宋体" w:eastAsia="宋体" w:cs="Times New Roman"/>
          <w:szCs w:val="21"/>
          <w:lang w:val="en-US" w:eastAsia="zh-CN"/>
        </w:rPr>
        <w:t>支付至结算金额的100%，</w:t>
      </w:r>
      <w:r>
        <w:rPr>
          <w:rFonts w:hint="eastAsia" w:ascii="宋体" w:hAnsi="宋体" w:eastAsia="宋体" w:cs="Times New Roman"/>
          <w:szCs w:val="21"/>
        </w:rPr>
        <w:t>支付金额=当期已对账的实际收货数量×合同单价。</w:t>
      </w:r>
    </w:p>
    <w:p>
      <w:pPr>
        <w:pageBreakBefore w:val="0"/>
        <w:kinsoku/>
        <w:overflowPunct/>
        <w:bidi w:val="0"/>
        <w:spacing w:line="360" w:lineRule="auto"/>
        <w:ind w:firstLine="420" w:firstLineChars="200"/>
        <w:rPr>
          <w:rFonts w:hint="eastAsia" w:ascii="宋体" w:hAnsi="宋体" w:cs="宋体"/>
          <w:sz w:val="24"/>
          <w:szCs w:val="22"/>
        </w:rPr>
      </w:pPr>
      <w:r>
        <w:rPr>
          <w:rFonts w:hint="eastAsia" w:ascii="宋体" w:hAnsi="宋体" w:eastAsia="宋体" w:cs="Times New Roman"/>
          <w:szCs w:val="21"/>
          <w:lang w:val="en-US" w:eastAsia="zh-CN"/>
        </w:rPr>
        <w:t>3</w:t>
      </w:r>
      <w:r>
        <w:rPr>
          <w:rFonts w:hint="eastAsia" w:ascii="宋体" w:hAnsi="宋体" w:eastAsia="宋体" w:cs="Times New Roman"/>
          <w:szCs w:val="21"/>
        </w:rPr>
        <w:t>、支付方式及期限：每次支付乙方需向甲方提供有效的增值税专用发票（抵扣税率为</w:t>
      </w:r>
      <w:r>
        <w:rPr>
          <w:rFonts w:hint="eastAsia" w:ascii="宋体" w:hAnsi="宋体" w:eastAsia="宋体" w:cs="Times New Roman"/>
          <w:szCs w:val="21"/>
          <w:lang w:val="en-US" w:eastAsia="zh-CN"/>
        </w:rPr>
        <w:t>1</w:t>
      </w:r>
      <w:r>
        <w:rPr>
          <w:rFonts w:hint="eastAsia" w:ascii="宋体" w:hAnsi="宋体" w:eastAsia="宋体" w:cs="Times New Roman"/>
          <w:szCs w:val="21"/>
        </w:rPr>
        <w:t>3%）及经甲方确认的供货凭证，发票送达之日起二十个工作日内（每月25日至次月5日不办理支付，时间相应顺延）以银行转账方式支付给乙方。乙方迟延提供发票和相关结算资料的，甲方的付款期限相应顺延。</w:t>
      </w:r>
    </w:p>
    <w:p>
      <w:pPr>
        <w:pageBreakBefore w:val="0"/>
        <w:kinsoku/>
        <w:overflowPunct/>
        <w:bidi w:val="0"/>
        <w:spacing w:line="360" w:lineRule="auto"/>
        <w:ind w:firstLine="482" w:firstLineChars="200"/>
        <w:rPr>
          <w:b/>
          <w:sz w:val="24"/>
          <w:szCs w:val="24"/>
        </w:rPr>
      </w:pPr>
      <w:r>
        <w:rPr>
          <w:rFonts w:hint="eastAsia"/>
          <w:b/>
          <w:sz w:val="24"/>
          <w:szCs w:val="24"/>
        </w:rPr>
        <w:t>十、履约保证金：无</w:t>
      </w:r>
    </w:p>
    <w:p>
      <w:pPr>
        <w:pageBreakBefore w:val="0"/>
        <w:kinsoku/>
        <w:overflowPunct/>
        <w:bidi w:val="0"/>
        <w:spacing w:line="360" w:lineRule="auto"/>
        <w:ind w:firstLine="472" w:firstLineChars="196"/>
        <w:rPr>
          <w:rFonts w:hint="eastAsia"/>
          <w:b/>
          <w:sz w:val="24"/>
          <w:szCs w:val="24"/>
        </w:rPr>
      </w:pPr>
      <w:r>
        <w:rPr>
          <w:rFonts w:hint="eastAsia"/>
          <w:b/>
          <w:sz w:val="24"/>
          <w:szCs w:val="24"/>
        </w:rPr>
        <w:t>十一、违约责任</w:t>
      </w:r>
    </w:p>
    <w:p>
      <w:pPr>
        <w:pageBreakBefore w:val="0"/>
        <w:kinsoku/>
        <w:overflowPunct/>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1、乙方必须保证供货质量，若因材料质量原因导致的一切损失皆由乙方负责。若因材料质量问题对甲方造成损失的，乙方须赔偿甲方全部损失。</w:t>
      </w:r>
    </w:p>
    <w:p>
      <w:pPr>
        <w:pageBreakBefore w:val="0"/>
        <w:kinsoku/>
        <w:overflowPunct/>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2、乙方保证收到甲方短信或通知后</w:t>
      </w:r>
      <w:r>
        <w:rPr>
          <w:rFonts w:hint="eastAsia" w:ascii="宋体" w:hAnsi="宋体" w:eastAsia="宋体" w:cs="Times New Roman"/>
          <w:szCs w:val="21"/>
          <w:lang w:val="en-US" w:eastAsia="zh-CN"/>
        </w:rPr>
        <w:t>5日内</w:t>
      </w:r>
      <w:r>
        <w:rPr>
          <w:rFonts w:hint="eastAsia" w:ascii="宋体" w:hAnsi="宋体" w:eastAsia="宋体" w:cs="Times New Roman"/>
          <w:szCs w:val="21"/>
        </w:rPr>
        <w:t>内将甲方所需合同材料送达到指定地点。乙方材料的供应量、送货时间必须满足甲方通知要求和甲方施工进度要求，否则，按伍仟元/天的标准向甲方支付违约金；同时，甲方有权终止或解除合同。</w:t>
      </w:r>
    </w:p>
    <w:p>
      <w:pPr>
        <w:pageBreakBefore w:val="0"/>
        <w:kinsoku/>
        <w:overflowPunct/>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3、乙方迟延履行合同其他义务的，每迟延一天（次），按伍仟元/天（次）的标准向甲方支付违约金；迟延超过3天（次）的，甲方有权终止或解除合同。</w:t>
      </w:r>
    </w:p>
    <w:p>
      <w:pPr>
        <w:pageBreakBefore w:val="0"/>
        <w:kinsoku/>
        <w:overflowPunct/>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4、乙方应保证供应货物不得存在任何权利瑕疵或侵犯任何第三人合法权益，否则，甲方有权终止或解除合同，要求乙方赔偿甲方全部损失。</w:t>
      </w:r>
    </w:p>
    <w:p>
      <w:pPr>
        <w:pageBreakBefore w:val="0"/>
        <w:kinsoku/>
        <w:overflowPunct/>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5、本合同约定的甲方损失包括工期延误损失、甲方向第三人承担的违约金、赔偿金、甲方预期利润等全部直接和间接损失。</w:t>
      </w:r>
    </w:p>
    <w:p>
      <w:pPr>
        <w:pageBreakBefore w:val="0"/>
        <w:kinsoku/>
        <w:overflowPunct/>
        <w:bidi w:val="0"/>
        <w:spacing w:line="360" w:lineRule="auto"/>
        <w:ind w:firstLine="472" w:firstLineChars="196"/>
        <w:textAlignment w:val="baseline"/>
        <w:rPr>
          <w:b/>
          <w:sz w:val="24"/>
          <w:szCs w:val="24"/>
        </w:rPr>
      </w:pPr>
      <w:r>
        <w:rPr>
          <w:rFonts w:hint="eastAsia"/>
          <w:b/>
          <w:sz w:val="24"/>
          <w:szCs w:val="24"/>
        </w:rPr>
        <w:t>十二、其它约定事项</w:t>
      </w:r>
    </w:p>
    <w:p>
      <w:pPr>
        <w:pageBreakBefore w:val="0"/>
        <w:kinsoku/>
        <w:overflowPunct/>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1、本合同为综合单价（包含运输费、材料费、</w:t>
      </w:r>
      <w:r>
        <w:rPr>
          <w:rFonts w:hint="eastAsia" w:ascii="宋体" w:hAnsi="宋体" w:eastAsia="宋体" w:cs="Times New Roman"/>
          <w:szCs w:val="21"/>
          <w:lang w:val="en-US" w:eastAsia="zh-CN"/>
        </w:rPr>
        <w:t>安装费、</w:t>
      </w:r>
      <w:r>
        <w:rPr>
          <w:rFonts w:hint="eastAsia" w:ascii="宋体" w:hAnsi="宋体" w:eastAsia="宋体" w:cs="Times New Roman"/>
          <w:szCs w:val="21"/>
        </w:rPr>
        <w:t>保险、税金、通行费、合理损耗、间接费、运杂费、利润、规费、物价上涨、安全措施费、装卸费等在内的各种费用以及合同明示或暗示的所有责任、义务和一般风险）合同。</w:t>
      </w:r>
    </w:p>
    <w:p>
      <w:pPr>
        <w:pageBreakBefore w:val="0"/>
        <w:kinsoku/>
        <w:overflowPunct/>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2、在实际供货中，可能会因施工调整、质量等原因对供货数量和时间进行调整，会导致乙方在实际供货中数量发生变化，最终数量以</w:t>
      </w:r>
      <w:r>
        <w:rPr>
          <w:rFonts w:hint="eastAsia" w:ascii="宋体" w:hAnsi="宋体" w:eastAsia="宋体" w:cs="Times New Roman"/>
          <w:szCs w:val="21"/>
          <w:lang w:eastAsia="zh-CN"/>
        </w:rPr>
        <w:t>竞争性比选</w:t>
      </w:r>
      <w:r>
        <w:rPr>
          <w:rFonts w:hint="eastAsia" w:ascii="宋体" w:hAnsi="宋体" w:eastAsia="宋体" w:cs="Times New Roman"/>
          <w:szCs w:val="21"/>
        </w:rPr>
        <w:t>甲方代表确认的实际到货合格数量为准结算。期间乙方不得以供应数量和时间有变化要求进行单价变更。</w:t>
      </w:r>
    </w:p>
    <w:p>
      <w:pPr>
        <w:pageBreakBefore w:val="0"/>
        <w:kinsoku/>
        <w:overflowPunct/>
        <w:bidi w:val="0"/>
        <w:spacing w:line="360" w:lineRule="auto"/>
        <w:ind w:firstLine="420" w:firstLineChars="200"/>
        <w:rPr>
          <w:rFonts w:hint="eastAsia" w:ascii="宋体" w:hAnsi="宋体"/>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w:t>
      </w:r>
      <w:r>
        <w:rPr>
          <w:rFonts w:hint="eastAsia" w:ascii="宋体" w:hAnsi="宋体" w:eastAsia="宋体" w:cs="Times New Roman"/>
          <w:szCs w:val="21"/>
          <w:lang w:val="en-US" w:eastAsia="zh-CN"/>
        </w:rPr>
        <w:t>乙方必须保证安全、及时供货，甲方不承担供货、安装过程中造成的安全责任及相应费用</w:t>
      </w:r>
      <w:r>
        <w:rPr>
          <w:rFonts w:hint="eastAsia" w:ascii="宋体" w:hAnsi="宋体"/>
          <w:color w:val="auto"/>
          <w:sz w:val="24"/>
          <w:szCs w:val="24"/>
          <w:highlight w:val="none"/>
        </w:rPr>
        <w:t>。</w:t>
      </w:r>
    </w:p>
    <w:p>
      <w:pPr>
        <w:pageBreakBefore w:val="0"/>
        <w:kinsoku/>
        <w:overflowPunct/>
        <w:bidi w:val="0"/>
        <w:spacing w:line="360" w:lineRule="auto"/>
        <w:textAlignment w:val="baseline"/>
        <w:rPr>
          <w:rFonts w:hint="eastAsia"/>
          <w:szCs w:val="21"/>
        </w:rPr>
      </w:pPr>
      <w:r>
        <w:rPr>
          <w:rFonts w:hint="eastAsia"/>
          <w:b/>
          <w:szCs w:val="21"/>
        </w:rPr>
        <w:t>十</w:t>
      </w:r>
      <w:r>
        <w:rPr>
          <w:rFonts w:hint="eastAsia"/>
          <w:b/>
          <w:szCs w:val="21"/>
          <w:lang w:val="en-US" w:eastAsia="zh-CN"/>
        </w:rPr>
        <w:t>三</w:t>
      </w:r>
      <w:r>
        <w:rPr>
          <w:rFonts w:hint="eastAsia"/>
          <w:b/>
          <w:szCs w:val="21"/>
        </w:rPr>
        <w:t>、争议及解决方式：</w:t>
      </w:r>
      <w:r>
        <w:rPr>
          <w:rFonts w:hint="eastAsia"/>
          <w:szCs w:val="21"/>
        </w:rPr>
        <w:t>本合同在执行过程中若发生争议，双方协商解决，协商不成，可向</w:t>
      </w:r>
      <w:r>
        <w:rPr>
          <w:rFonts w:hint="eastAsia"/>
          <w:b/>
          <w:szCs w:val="21"/>
          <w:u w:val="single"/>
        </w:rPr>
        <w:t>重庆</w:t>
      </w:r>
      <w:r>
        <w:rPr>
          <w:rFonts w:hint="eastAsia"/>
          <w:szCs w:val="21"/>
        </w:rPr>
        <w:t>仲裁委员会申请仲裁。</w:t>
      </w:r>
    </w:p>
    <w:p>
      <w:pPr>
        <w:pageBreakBefore w:val="0"/>
        <w:kinsoku/>
        <w:overflowPunct/>
        <w:bidi w:val="0"/>
        <w:spacing w:line="360" w:lineRule="auto"/>
        <w:textAlignment w:val="baseline"/>
        <w:rPr>
          <w:rFonts w:hint="eastAsia"/>
          <w:b/>
          <w:szCs w:val="21"/>
        </w:rPr>
      </w:pPr>
      <w:r>
        <w:rPr>
          <w:rFonts w:hint="eastAsia"/>
          <w:b/>
          <w:szCs w:val="21"/>
        </w:rPr>
        <w:t>十</w:t>
      </w:r>
      <w:r>
        <w:rPr>
          <w:rFonts w:hint="eastAsia"/>
          <w:b/>
          <w:szCs w:val="21"/>
          <w:lang w:val="en-US" w:eastAsia="zh-CN"/>
        </w:rPr>
        <w:t>四</w:t>
      </w:r>
      <w:r>
        <w:rPr>
          <w:rFonts w:hint="eastAsia"/>
          <w:b/>
          <w:szCs w:val="21"/>
        </w:rPr>
        <w:t>、本合同有效期：</w:t>
      </w:r>
    </w:p>
    <w:p>
      <w:pPr>
        <w:pageBreakBefore w:val="0"/>
        <w:kinsoku/>
        <w:overflowPunct/>
        <w:bidi w:val="0"/>
        <w:spacing w:line="360" w:lineRule="auto"/>
        <w:ind w:firstLine="420" w:firstLineChars="200"/>
        <w:textAlignment w:val="baseline"/>
        <w:rPr>
          <w:rFonts w:hint="eastAsia" w:ascii="宋体" w:hAnsi="宋体"/>
          <w:szCs w:val="21"/>
        </w:rPr>
      </w:pPr>
      <w:r>
        <w:rPr>
          <w:rFonts w:hint="eastAsia" w:ascii="宋体" w:hAnsi="宋体"/>
          <w:szCs w:val="21"/>
        </w:rPr>
        <w:t>1、供应时间：</w:t>
      </w:r>
      <w:r>
        <w:rPr>
          <w:rFonts w:hint="eastAsia" w:ascii="宋体" w:hAnsi="宋体" w:eastAsia="宋体" w:cs="宋体"/>
          <w:b/>
          <w:color w:val="FF0000"/>
          <w:sz w:val="21"/>
          <w:szCs w:val="21"/>
        </w:rPr>
        <w:t>预计20</w:t>
      </w:r>
      <w:r>
        <w:rPr>
          <w:rFonts w:hint="eastAsia" w:ascii="宋体" w:hAnsi="宋体" w:eastAsia="宋体" w:cs="宋体"/>
          <w:b/>
          <w:color w:val="FF0000"/>
          <w:sz w:val="21"/>
          <w:szCs w:val="21"/>
          <w:lang w:val="en-US" w:eastAsia="zh-CN"/>
        </w:rPr>
        <w:t>2</w:t>
      </w:r>
      <w:r>
        <w:rPr>
          <w:rFonts w:hint="eastAsia" w:ascii="宋体" w:hAnsi="宋体" w:cs="宋体"/>
          <w:b/>
          <w:color w:val="FF0000"/>
          <w:sz w:val="21"/>
          <w:szCs w:val="21"/>
          <w:lang w:val="en-US" w:eastAsia="zh-CN"/>
        </w:rPr>
        <w:t>2</w:t>
      </w:r>
      <w:r>
        <w:rPr>
          <w:rFonts w:hint="eastAsia" w:ascii="宋体" w:hAnsi="宋体" w:eastAsia="宋体" w:cs="宋体"/>
          <w:b/>
          <w:color w:val="FF0000"/>
          <w:sz w:val="21"/>
          <w:szCs w:val="21"/>
        </w:rPr>
        <w:t>年</w:t>
      </w:r>
      <w:r>
        <w:rPr>
          <w:rFonts w:hint="eastAsia" w:ascii="宋体" w:hAnsi="宋体" w:cs="宋体"/>
          <w:b/>
          <w:color w:val="FF0000"/>
          <w:sz w:val="21"/>
          <w:szCs w:val="21"/>
          <w:lang w:val="en-US" w:eastAsia="zh-CN"/>
        </w:rPr>
        <w:t xml:space="preserve">  </w:t>
      </w:r>
      <w:r>
        <w:rPr>
          <w:rFonts w:hint="eastAsia" w:ascii="宋体" w:hAnsi="宋体" w:eastAsia="宋体" w:cs="宋体"/>
          <w:b/>
          <w:color w:val="FF0000"/>
          <w:sz w:val="21"/>
          <w:szCs w:val="21"/>
        </w:rPr>
        <w:t>月</w:t>
      </w:r>
      <w:r>
        <w:rPr>
          <w:rFonts w:hint="eastAsia" w:ascii="宋体" w:hAnsi="宋体" w:cs="宋体"/>
          <w:b/>
          <w:color w:val="FF0000"/>
          <w:sz w:val="21"/>
          <w:szCs w:val="21"/>
          <w:lang w:val="en-US" w:eastAsia="zh-CN"/>
        </w:rPr>
        <w:t xml:space="preserve">  </w:t>
      </w:r>
      <w:r>
        <w:rPr>
          <w:rFonts w:hint="eastAsia" w:ascii="宋体" w:hAnsi="宋体" w:eastAsia="宋体" w:cs="宋体"/>
          <w:b/>
          <w:color w:val="FF0000"/>
          <w:sz w:val="21"/>
          <w:szCs w:val="21"/>
        </w:rPr>
        <w:t>日</w:t>
      </w:r>
      <w:r>
        <w:rPr>
          <w:rFonts w:hint="eastAsia" w:ascii="宋体" w:hAnsi="宋体" w:cs="宋体"/>
          <w:b/>
          <w:color w:val="FF0000"/>
          <w:sz w:val="21"/>
          <w:szCs w:val="21"/>
          <w:lang w:eastAsia="zh-CN"/>
        </w:rPr>
        <w:t>至</w:t>
      </w:r>
      <w:r>
        <w:rPr>
          <w:rFonts w:hint="eastAsia" w:ascii="宋体" w:hAnsi="宋体" w:eastAsia="宋体" w:cs="宋体"/>
          <w:b/>
          <w:color w:val="FF0000"/>
          <w:sz w:val="21"/>
          <w:szCs w:val="21"/>
        </w:rPr>
        <w:t>20</w:t>
      </w:r>
      <w:r>
        <w:rPr>
          <w:rFonts w:hint="eastAsia" w:ascii="宋体" w:hAnsi="宋体" w:eastAsia="宋体" w:cs="宋体"/>
          <w:b/>
          <w:color w:val="FF0000"/>
          <w:sz w:val="21"/>
          <w:szCs w:val="21"/>
          <w:lang w:val="en-US" w:eastAsia="zh-CN"/>
        </w:rPr>
        <w:t>2</w:t>
      </w:r>
      <w:r>
        <w:rPr>
          <w:rFonts w:hint="eastAsia" w:ascii="宋体" w:hAnsi="宋体" w:cs="宋体"/>
          <w:b/>
          <w:color w:val="FF0000"/>
          <w:sz w:val="21"/>
          <w:szCs w:val="21"/>
          <w:lang w:val="en-US" w:eastAsia="zh-CN"/>
        </w:rPr>
        <w:t>2</w:t>
      </w:r>
      <w:r>
        <w:rPr>
          <w:rFonts w:hint="eastAsia" w:ascii="宋体" w:hAnsi="宋体" w:eastAsia="宋体" w:cs="宋体"/>
          <w:b/>
          <w:color w:val="FF0000"/>
          <w:sz w:val="21"/>
          <w:szCs w:val="21"/>
        </w:rPr>
        <w:t>年</w:t>
      </w:r>
      <w:r>
        <w:rPr>
          <w:rFonts w:hint="eastAsia" w:ascii="宋体" w:hAnsi="宋体" w:cs="宋体"/>
          <w:b/>
          <w:color w:val="FF0000"/>
          <w:sz w:val="21"/>
          <w:szCs w:val="21"/>
          <w:lang w:val="en-US" w:eastAsia="zh-CN"/>
        </w:rPr>
        <w:t xml:space="preserve">   </w:t>
      </w:r>
      <w:r>
        <w:rPr>
          <w:rFonts w:hint="eastAsia" w:ascii="宋体" w:hAnsi="宋体" w:eastAsia="宋体" w:cs="宋体"/>
          <w:b/>
          <w:color w:val="FF0000"/>
          <w:sz w:val="21"/>
          <w:szCs w:val="21"/>
        </w:rPr>
        <w:t>月</w:t>
      </w:r>
      <w:r>
        <w:rPr>
          <w:rFonts w:hint="eastAsia" w:ascii="宋体" w:hAnsi="宋体" w:cs="宋体"/>
          <w:b/>
          <w:color w:val="FF0000"/>
          <w:sz w:val="21"/>
          <w:szCs w:val="21"/>
          <w:lang w:val="en-US" w:eastAsia="zh-CN"/>
        </w:rPr>
        <w:t xml:space="preserve">   </w:t>
      </w:r>
      <w:r>
        <w:rPr>
          <w:rFonts w:hint="eastAsia" w:ascii="宋体" w:hAnsi="宋体" w:eastAsia="宋体" w:cs="宋体"/>
          <w:b/>
          <w:color w:val="FF0000"/>
          <w:sz w:val="21"/>
          <w:szCs w:val="21"/>
        </w:rPr>
        <w:t>日。</w:t>
      </w:r>
    </w:p>
    <w:p>
      <w:pPr>
        <w:pageBreakBefore w:val="0"/>
        <w:kinsoku/>
        <w:overflowPunct/>
        <w:bidi w:val="0"/>
        <w:spacing w:line="360" w:lineRule="auto"/>
        <w:textAlignment w:val="baseline"/>
        <w:rPr>
          <w:rFonts w:hint="eastAsia"/>
          <w:b/>
          <w:szCs w:val="21"/>
        </w:rPr>
      </w:pPr>
      <w:r>
        <w:rPr>
          <w:rFonts w:hint="eastAsia"/>
          <w:b/>
          <w:szCs w:val="21"/>
        </w:rPr>
        <w:t>十</w:t>
      </w:r>
      <w:r>
        <w:rPr>
          <w:rFonts w:hint="eastAsia"/>
          <w:b/>
          <w:szCs w:val="21"/>
          <w:lang w:val="en-US" w:eastAsia="zh-CN"/>
        </w:rPr>
        <w:t>五</w:t>
      </w:r>
      <w:r>
        <w:rPr>
          <w:rFonts w:hint="eastAsia"/>
          <w:b/>
          <w:szCs w:val="21"/>
        </w:rPr>
        <w:t>、合同份数、份数与时效：</w:t>
      </w:r>
    </w:p>
    <w:p>
      <w:pPr>
        <w:pageBreakBefore w:val="0"/>
        <w:kinsoku/>
        <w:overflowPunct/>
        <w:bidi w:val="0"/>
        <w:spacing w:line="360" w:lineRule="auto"/>
        <w:ind w:firstLine="306" w:firstLineChars="146"/>
        <w:textAlignment w:val="baseline"/>
        <w:rPr>
          <w:rFonts w:hint="eastAsia" w:ascii="宋体" w:hAnsi="宋体" w:cs="宋体"/>
          <w:color w:val="auto"/>
          <w:szCs w:val="21"/>
          <w:highlight w:val="none"/>
        </w:rPr>
      </w:pPr>
      <w:r>
        <w:rPr>
          <w:rFonts w:hint="eastAsia"/>
          <w:szCs w:val="21"/>
        </w:rPr>
        <w:t>合同签订点：</w:t>
      </w:r>
      <w:r>
        <w:rPr>
          <w:rFonts w:hint="eastAsia" w:ascii="宋体" w:hAnsi="宋体" w:cs="宋体"/>
          <w:color w:val="auto"/>
          <w:szCs w:val="21"/>
          <w:highlight w:val="none"/>
        </w:rPr>
        <w:t>重庆市沙坪坝区梨高路4号</w:t>
      </w:r>
    </w:p>
    <w:p>
      <w:pPr>
        <w:pageBreakBefore w:val="0"/>
        <w:kinsoku/>
        <w:overflowPunct/>
        <w:bidi w:val="0"/>
        <w:spacing w:line="360" w:lineRule="auto"/>
        <w:ind w:firstLine="306" w:firstLineChars="146"/>
        <w:textAlignment w:val="baseline"/>
        <w:rPr>
          <w:rFonts w:hint="eastAsia"/>
          <w:szCs w:val="21"/>
        </w:rPr>
      </w:pPr>
      <w:r>
        <w:rPr>
          <w:rFonts w:hint="eastAsia"/>
          <w:szCs w:val="21"/>
        </w:rPr>
        <w:t>本合同一式</w:t>
      </w:r>
      <w:r>
        <w:rPr>
          <w:rFonts w:hint="eastAsia"/>
          <w:szCs w:val="21"/>
          <w:u w:val="single"/>
        </w:rPr>
        <w:t xml:space="preserve"> </w:t>
      </w:r>
      <w:r>
        <w:rPr>
          <w:rFonts w:hint="eastAsia"/>
          <w:b/>
          <w:szCs w:val="21"/>
          <w:u w:val="single"/>
        </w:rPr>
        <w:t xml:space="preserve">捌 </w:t>
      </w:r>
      <w:r>
        <w:rPr>
          <w:rFonts w:hint="eastAsia"/>
          <w:szCs w:val="21"/>
        </w:rPr>
        <w:t>份，甲方执</w:t>
      </w:r>
      <w:r>
        <w:rPr>
          <w:rFonts w:hint="eastAsia"/>
          <w:szCs w:val="21"/>
          <w:u w:val="single"/>
        </w:rPr>
        <w:t xml:space="preserve"> </w:t>
      </w:r>
      <w:r>
        <w:rPr>
          <w:rFonts w:hint="eastAsia"/>
          <w:b/>
          <w:szCs w:val="21"/>
          <w:u w:val="single"/>
        </w:rPr>
        <w:t xml:space="preserve">陆 </w:t>
      </w:r>
      <w:r>
        <w:rPr>
          <w:rFonts w:hint="eastAsia"/>
          <w:szCs w:val="21"/>
        </w:rPr>
        <w:t>份，乙方执</w:t>
      </w:r>
      <w:r>
        <w:rPr>
          <w:rFonts w:hint="eastAsia"/>
          <w:szCs w:val="21"/>
          <w:u w:val="single"/>
        </w:rPr>
        <w:t xml:space="preserve"> </w:t>
      </w:r>
      <w:r>
        <w:rPr>
          <w:rFonts w:hint="eastAsia"/>
          <w:b/>
          <w:szCs w:val="21"/>
          <w:u w:val="single"/>
        </w:rPr>
        <w:t xml:space="preserve">贰 </w:t>
      </w:r>
      <w:r>
        <w:rPr>
          <w:rFonts w:hint="eastAsia"/>
          <w:szCs w:val="21"/>
        </w:rPr>
        <w:t>份，各文本均具有同等法律效力；双方签字盖章后生效，完成财务结算支付后自动终止。</w:t>
      </w:r>
    </w:p>
    <w:p>
      <w:pPr>
        <w:pageBreakBefore w:val="0"/>
        <w:kinsoku/>
        <w:overflowPunct/>
        <w:bidi w:val="0"/>
        <w:spacing w:line="360" w:lineRule="auto"/>
        <w:ind w:right="-317" w:rightChars="-151"/>
        <w:rPr>
          <w:rFonts w:hint="eastAsia"/>
          <w:szCs w:val="21"/>
        </w:rPr>
      </w:pPr>
    </w:p>
    <w:p>
      <w:pPr>
        <w:pageBreakBefore w:val="0"/>
        <w:kinsoku/>
        <w:overflowPunct/>
        <w:bidi w:val="0"/>
        <w:spacing w:line="360" w:lineRule="auto"/>
        <w:ind w:right="-317" w:rightChars="-151"/>
        <w:rPr>
          <w:rFonts w:hint="eastAsia"/>
          <w:szCs w:val="21"/>
        </w:rPr>
      </w:pPr>
    </w:p>
    <w:p>
      <w:pPr>
        <w:pageBreakBefore w:val="0"/>
        <w:kinsoku/>
        <w:overflowPunct/>
        <w:bidi w:val="0"/>
        <w:spacing w:line="360" w:lineRule="auto"/>
        <w:ind w:right="-317" w:rightChars="-151"/>
        <w:rPr>
          <w:rFonts w:hint="eastAsia"/>
          <w:szCs w:val="21"/>
        </w:rPr>
      </w:pPr>
      <w:r>
        <w:rPr>
          <w:rFonts w:hint="eastAsia"/>
          <w:szCs w:val="21"/>
        </w:rPr>
        <w:t xml:space="preserve">甲方（盖章）：                                   乙方（盖章）：                     </w:t>
      </w:r>
    </w:p>
    <w:p>
      <w:pPr>
        <w:pageBreakBefore w:val="0"/>
        <w:kinsoku/>
        <w:overflowPunct/>
        <w:bidi w:val="0"/>
        <w:spacing w:line="360" w:lineRule="auto"/>
        <w:ind w:left="5512" w:leftChars="-200" w:right="-519" w:rightChars="-247" w:hanging="5932" w:hangingChars="2825"/>
        <w:jc w:val="left"/>
        <w:rPr>
          <w:rFonts w:hint="eastAsia"/>
          <w:szCs w:val="21"/>
        </w:rPr>
      </w:pPr>
      <w:r>
        <w:rPr>
          <w:rFonts w:hint="eastAsia"/>
          <w:szCs w:val="21"/>
        </w:rPr>
        <w:t xml:space="preserve">   重庆通力高速公路养护工程有限公司　　　　　　　           </w:t>
      </w:r>
    </w:p>
    <w:p>
      <w:pPr>
        <w:pageBreakBefore w:val="0"/>
        <w:kinsoku/>
        <w:overflowPunct/>
        <w:bidi w:val="0"/>
        <w:spacing w:line="360" w:lineRule="auto"/>
        <w:ind w:right="-519" w:rightChars="-247"/>
        <w:rPr>
          <w:rFonts w:hint="eastAsia"/>
          <w:szCs w:val="21"/>
        </w:rPr>
      </w:pPr>
      <w:r>
        <w:rPr>
          <w:rFonts w:hint="eastAsia"/>
          <w:szCs w:val="21"/>
        </w:rPr>
        <w:t xml:space="preserve">                                                                                   </w:t>
      </w:r>
    </w:p>
    <w:p>
      <w:pPr>
        <w:pageBreakBefore w:val="0"/>
        <w:kinsoku/>
        <w:overflowPunct/>
        <w:bidi w:val="0"/>
        <w:spacing w:line="360" w:lineRule="auto"/>
        <w:ind w:left="-53" w:leftChars="-200" w:hanging="367" w:hangingChars="175"/>
        <w:rPr>
          <w:rFonts w:hint="eastAsia"/>
          <w:szCs w:val="21"/>
        </w:rPr>
      </w:pPr>
      <w:r>
        <w:rPr>
          <w:rFonts w:hint="eastAsia"/>
          <w:szCs w:val="21"/>
        </w:rPr>
        <w:t xml:space="preserve">   法定代表人                                       法定代表人                 </w:t>
      </w:r>
    </w:p>
    <w:p>
      <w:pPr>
        <w:pageBreakBefore w:val="0"/>
        <w:kinsoku/>
        <w:overflowPunct/>
        <w:bidi w:val="0"/>
        <w:spacing w:line="360" w:lineRule="auto"/>
        <w:ind w:left="-53" w:leftChars="-200" w:hanging="367" w:hangingChars="175"/>
        <w:rPr>
          <w:rFonts w:hint="eastAsia"/>
          <w:szCs w:val="21"/>
        </w:rPr>
      </w:pPr>
      <w:r>
        <w:rPr>
          <w:rFonts w:hint="eastAsia"/>
          <w:szCs w:val="21"/>
        </w:rPr>
        <w:t xml:space="preserve">   或委托代理人：                                   或委托代理人：             </w:t>
      </w:r>
    </w:p>
    <w:p>
      <w:pPr>
        <w:pageBreakBefore w:val="0"/>
        <w:kinsoku/>
        <w:overflowPunct/>
        <w:bidi w:val="0"/>
        <w:spacing w:line="360" w:lineRule="auto"/>
        <w:ind w:left="-53" w:leftChars="-200" w:hanging="367" w:hangingChars="175"/>
        <w:jc w:val="left"/>
        <w:rPr>
          <w:rFonts w:hint="eastAsia"/>
          <w:szCs w:val="21"/>
        </w:rPr>
      </w:pPr>
      <w:r>
        <w:rPr>
          <w:rFonts w:hint="eastAsia"/>
          <w:szCs w:val="21"/>
        </w:rPr>
        <w:t xml:space="preserve">   部门负责人：                                     经办人：                                                                </w:t>
      </w:r>
    </w:p>
    <w:p>
      <w:pPr>
        <w:pageBreakBefore w:val="0"/>
        <w:kinsoku/>
        <w:overflowPunct/>
        <w:bidi w:val="0"/>
        <w:spacing w:line="360" w:lineRule="auto"/>
        <w:ind w:left="-53" w:leftChars="-200" w:hanging="367" w:hangingChars="175"/>
        <w:jc w:val="left"/>
        <w:rPr>
          <w:rFonts w:hint="eastAsia"/>
          <w:szCs w:val="21"/>
        </w:rPr>
      </w:pPr>
      <w:r>
        <w:rPr>
          <w:rFonts w:hint="eastAsia"/>
          <w:szCs w:val="21"/>
        </w:rPr>
        <w:t xml:space="preserve">                                                    开户银行：</w:t>
      </w:r>
      <w:r>
        <w:rPr>
          <w:rStyle w:val="10"/>
          <w:rFonts w:hint="eastAsia"/>
        </w:rPr>
        <w:t xml:space="preserve">      </w:t>
      </w:r>
    </w:p>
    <w:p>
      <w:pPr>
        <w:pageBreakBefore w:val="0"/>
        <w:kinsoku/>
        <w:overflowPunct/>
        <w:bidi w:val="0"/>
        <w:spacing w:line="360" w:lineRule="auto"/>
        <w:ind w:left="-53" w:leftChars="-200" w:hanging="367" w:hangingChars="175"/>
        <w:rPr>
          <w:rFonts w:hint="eastAsia"/>
          <w:szCs w:val="21"/>
          <w:highlight w:val="yellow"/>
        </w:rPr>
      </w:pPr>
      <w:r>
        <w:rPr>
          <w:rFonts w:hint="eastAsia"/>
          <w:szCs w:val="21"/>
        </w:rPr>
        <w:t xml:space="preserve">   经办人：                                         银行账号：</w:t>
      </w:r>
    </w:p>
    <w:p>
      <w:pPr>
        <w:pageBreakBefore w:val="0"/>
        <w:kinsoku/>
        <w:overflowPunct/>
        <w:bidi w:val="0"/>
        <w:spacing w:line="360" w:lineRule="auto"/>
        <w:ind w:left="-53" w:leftChars="-200" w:hanging="367" w:hangingChars="175"/>
        <w:jc w:val="left"/>
        <w:textAlignment w:val="baseline"/>
        <w:rPr>
          <w:rFonts w:hint="eastAsia"/>
          <w:b/>
          <w:szCs w:val="21"/>
        </w:rPr>
      </w:pPr>
      <w:r>
        <w:rPr>
          <w:rFonts w:hint="eastAsia"/>
          <w:szCs w:val="21"/>
        </w:rPr>
        <w:t xml:space="preserve">   日期：</w:t>
      </w:r>
      <w:r>
        <w:rPr>
          <w:rFonts w:hint="eastAsia"/>
          <w:szCs w:val="21"/>
          <w:lang w:val="en-US" w:eastAsia="zh-CN"/>
        </w:rPr>
        <w:t>2022</w:t>
      </w:r>
      <w:r>
        <w:rPr>
          <w:rFonts w:hint="eastAsia"/>
          <w:szCs w:val="21"/>
        </w:rPr>
        <w:t xml:space="preserve">年   月    日 </w:t>
      </w:r>
      <w:r>
        <w:rPr>
          <w:szCs w:val="21"/>
        </w:rPr>
        <w:t xml:space="preserve">  </w:t>
      </w:r>
      <w:r>
        <w:rPr>
          <w:rFonts w:hint="eastAsia"/>
          <w:szCs w:val="21"/>
        </w:rPr>
        <w:t xml:space="preserve">　                  </w:t>
      </w:r>
      <w:r>
        <w:rPr>
          <w:szCs w:val="21"/>
        </w:rPr>
        <w:t xml:space="preserve"> </w:t>
      </w:r>
      <w:r>
        <w:rPr>
          <w:rFonts w:hint="eastAsia"/>
          <w:szCs w:val="21"/>
        </w:rPr>
        <w:t xml:space="preserve"> 日期：</w:t>
      </w:r>
      <w:r>
        <w:rPr>
          <w:rFonts w:hint="eastAsia"/>
          <w:szCs w:val="21"/>
          <w:lang w:val="en-US" w:eastAsia="zh-CN"/>
        </w:rPr>
        <w:t>2022</w:t>
      </w:r>
      <w:r>
        <w:rPr>
          <w:rFonts w:hint="eastAsia"/>
          <w:szCs w:val="21"/>
        </w:rPr>
        <w:t>年   月    日</w:t>
      </w:r>
      <w:r>
        <w:rPr>
          <w:szCs w:val="21"/>
        </w:rPr>
        <w:t xml:space="preserve">    </w:t>
      </w:r>
    </w:p>
    <w:p>
      <w:pPr>
        <w:pageBreakBefore w:val="0"/>
        <w:kinsoku/>
        <w:overflowPunct/>
        <w:bidi w:val="0"/>
        <w:spacing w:line="360" w:lineRule="auto"/>
        <w:jc w:val="center"/>
        <w:rPr>
          <w:rFonts w:hint="eastAsia" w:ascii="Times New Roman" w:hAnsi="Times New Roman" w:eastAsia="宋体" w:cs="Times New Roman"/>
          <w:b/>
          <w:sz w:val="36"/>
          <w:szCs w:val="36"/>
          <w:lang w:eastAsia="zh-CN"/>
        </w:rPr>
      </w:pPr>
      <w:r>
        <w:rPr>
          <w:rFonts w:hint="eastAsia" w:ascii="Times New Roman" w:hAnsi="Times New Roman" w:eastAsia="宋体" w:cs="Times New Roman"/>
          <w:b/>
          <w:sz w:val="36"/>
          <w:szCs w:val="36"/>
          <w:lang w:val="en-US" w:eastAsia="zh-CN"/>
        </w:rPr>
        <w:t>绕城高速复兴服务区导视系统改善</w:t>
      </w:r>
      <w:r>
        <w:rPr>
          <w:rFonts w:hint="eastAsia" w:ascii="Times New Roman" w:hAnsi="Times New Roman" w:eastAsia="宋体" w:cs="Times New Roman"/>
          <w:b/>
          <w:sz w:val="36"/>
          <w:szCs w:val="36"/>
          <w:lang w:eastAsia="zh-CN"/>
        </w:rPr>
        <w:t>工程</w:t>
      </w:r>
    </w:p>
    <w:p>
      <w:pPr>
        <w:pageBreakBefore w:val="0"/>
        <w:kinsoku/>
        <w:overflowPunct/>
        <w:bidi w:val="0"/>
        <w:spacing w:line="360" w:lineRule="auto"/>
        <w:jc w:val="center"/>
        <w:rPr>
          <w:b/>
          <w:sz w:val="36"/>
          <w:szCs w:val="36"/>
        </w:rPr>
      </w:pPr>
      <w:r>
        <w:rPr>
          <w:rFonts w:hint="eastAsia" w:ascii="Times New Roman" w:hAnsi="Times New Roman" w:eastAsia="宋体" w:cs="Times New Roman"/>
          <w:b/>
          <w:sz w:val="36"/>
          <w:szCs w:val="36"/>
          <w:lang w:val="en-US" w:eastAsia="zh-CN"/>
        </w:rPr>
        <w:t>导视系统和发光字体采购</w:t>
      </w:r>
      <w:r>
        <w:rPr>
          <w:rFonts w:hint="eastAsia" w:ascii="Times New Roman" w:hAnsi="Times New Roman" w:eastAsia="宋体" w:cs="Times New Roman"/>
          <w:b/>
          <w:sz w:val="36"/>
          <w:szCs w:val="36"/>
        </w:rPr>
        <w:t>合同之廉</w:t>
      </w:r>
      <w:r>
        <w:rPr>
          <w:rFonts w:hint="eastAsia"/>
          <w:b/>
          <w:sz w:val="36"/>
          <w:szCs w:val="36"/>
        </w:rPr>
        <w:t>政合同</w:t>
      </w:r>
    </w:p>
    <w:p>
      <w:pPr>
        <w:pageBreakBefore w:val="0"/>
        <w:kinsoku/>
        <w:overflowPunct/>
        <w:bidi w:val="0"/>
        <w:spacing w:line="360" w:lineRule="auto"/>
        <w:ind w:firstLine="420" w:firstLineChars="200"/>
        <w:textAlignment w:val="baseline"/>
        <w:rPr>
          <w:szCs w:val="21"/>
        </w:rPr>
      </w:pPr>
      <w:r>
        <w:rPr>
          <w:rFonts w:hint="eastAsia"/>
          <w:szCs w:val="21"/>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Cs w:val="21"/>
          <w:u w:val="single"/>
        </w:rPr>
        <w:t>重庆通力高速公路养护工程有限公司</w:t>
      </w:r>
      <w:r>
        <w:rPr>
          <w:rFonts w:hint="eastAsia"/>
          <w:szCs w:val="21"/>
        </w:rPr>
        <w:t>（以下称甲方）与</w:t>
      </w:r>
      <w:r>
        <w:rPr>
          <w:rFonts w:hint="eastAsia"/>
          <w:b/>
          <w:szCs w:val="21"/>
          <w:u w:val="single"/>
        </w:rPr>
        <w:t xml:space="preserve">              </w:t>
      </w:r>
      <w:r>
        <w:rPr>
          <w:rFonts w:hint="eastAsia"/>
          <w:szCs w:val="21"/>
        </w:rPr>
        <w:t>（以下称乙方），特订立如下合同。</w:t>
      </w:r>
    </w:p>
    <w:p>
      <w:pPr>
        <w:pageBreakBefore w:val="0"/>
        <w:kinsoku/>
        <w:overflowPunct/>
        <w:bidi w:val="0"/>
        <w:spacing w:line="360" w:lineRule="auto"/>
        <w:rPr>
          <w:b/>
          <w:szCs w:val="21"/>
        </w:rPr>
      </w:pPr>
      <w:r>
        <w:rPr>
          <w:rFonts w:hint="eastAsia"/>
          <w:b/>
          <w:szCs w:val="21"/>
        </w:rPr>
        <w:t>第一条</w:t>
      </w:r>
      <w:r>
        <w:rPr>
          <w:b/>
          <w:szCs w:val="21"/>
        </w:rPr>
        <w:t xml:space="preserve">   </w:t>
      </w:r>
      <w:r>
        <w:rPr>
          <w:rFonts w:hint="eastAsia"/>
          <w:b/>
          <w:szCs w:val="21"/>
        </w:rPr>
        <w:t>甲乙双方的权利和义务</w:t>
      </w:r>
    </w:p>
    <w:p>
      <w:pPr>
        <w:pageBreakBefore w:val="0"/>
        <w:kinsoku/>
        <w:overflowPunct/>
        <w:bidi w:val="0"/>
        <w:spacing w:line="360" w:lineRule="auto"/>
        <w:ind w:firstLine="105" w:firstLineChars="50"/>
        <w:rPr>
          <w:szCs w:val="21"/>
        </w:rPr>
      </w:pPr>
      <w:r>
        <w:rPr>
          <w:rFonts w:hint="eastAsia"/>
          <w:szCs w:val="21"/>
        </w:rPr>
        <w:t>（一）严格遵守党和国家有关法律法规及交通部的有关规定。</w:t>
      </w:r>
    </w:p>
    <w:p>
      <w:pPr>
        <w:pageBreakBefore w:val="0"/>
        <w:kinsoku/>
        <w:overflowPunct/>
        <w:bidi w:val="0"/>
        <w:spacing w:line="360" w:lineRule="auto"/>
        <w:jc w:val="center"/>
        <w:rPr>
          <w:rFonts w:hint="eastAsia"/>
          <w:szCs w:val="21"/>
        </w:rPr>
      </w:pPr>
      <w:r>
        <w:rPr>
          <w:rFonts w:hint="eastAsia"/>
          <w:szCs w:val="21"/>
        </w:rPr>
        <w:t>（二）严格执行</w:t>
      </w:r>
      <w:r>
        <w:rPr>
          <w:rFonts w:hint="eastAsia"/>
          <w:b/>
          <w:bCs/>
          <w:szCs w:val="21"/>
        </w:rPr>
        <w:t>《</w:t>
      </w:r>
      <w:r>
        <w:rPr>
          <w:rFonts w:hint="eastAsia" w:ascii="Times New Roman" w:hAnsi="Times New Roman" w:eastAsia="宋体" w:cs="Times New Roman"/>
          <w:szCs w:val="21"/>
          <w:lang w:val="en-US" w:eastAsia="zh-CN"/>
        </w:rPr>
        <w:t>绕城高速复兴服务区导视系统改善</w:t>
      </w:r>
      <w:r>
        <w:rPr>
          <w:rFonts w:hint="eastAsia" w:ascii="Times New Roman" w:hAnsi="Times New Roman" w:eastAsia="宋体" w:cs="Times New Roman"/>
          <w:szCs w:val="21"/>
          <w:lang w:eastAsia="zh-CN"/>
        </w:rPr>
        <w:t>工程</w:t>
      </w:r>
      <w:r>
        <w:rPr>
          <w:rFonts w:hint="eastAsia" w:ascii="Times New Roman" w:hAnsi="Times New Roman" w:eastAsia="宋体" w:cs="Times New Roman"/>
          <w:szCs w:val="21"/>
          <w:lang w:val="en-US" w:eastAsia="zh-CN"/>
        </w:rPr>
        <w:t>导视系统和发光字体采购</w:t>
      </w:r>
      <w:r>
        <w:rPr>
          <w:rFonts w:hint="eastAsia" w:ascii="Times New Roman" w:hAnsi="Times New Roman" w:eastAsia="宋体" w:cs="Times New Roman"/>
          <w:szCs w:val="21"/>
        </w:rPr>
        <w:t>合同</w:t>
      </w:r>
      <w:r>
        <w:rPr>
          <w:rFonts w:hint="eastAsia"/>
          <w:b/>
          <w:bCs/>
          <w:szCs w:val="21"/>
        </w:rPr>
        <w:t>》</w:t>
      </w:r>
      <w:r>
        <w:rPr>
          <w:rFonts w:hint="eastAsia"/>
          <w:szCs w:val="21"/>
        </w:rPr>
        <w:t>的相关条款，</w:t>
      </w:r>
    </w:p>
    <w:p>
      <w:pPr>
        <w:pageBreakBefore w:val="0"/>
        <w:kinsoku/>
        <w:overflowPunct/>
        <w:bidi w:val="0"/>
        <w:spacing w:line="360" w:lineRule="auto"/>
        <w:jc w:val="both"/>
        <w:rPr>
          <w:szCs w:val="21"/>
        </w:rPr>
      </w:pPr>
      <w:r>
        <w:rPr>
          <w:rFonts w:hint="eastAsia"/>
          <w:szCs w:val="21"/>
        </w:rPr>
        <w:t>自觉按合同办事。</w:t>
      </w:r>
    </w:p>
    <w:p>
      <w:pPr>
        <w:pageBreakBefore w:val="0"/>
        <w:kinsoku/>
        <w:overflowPunct/>
        <w:bidi w:val="0"/>
        <w:spacing w:line="360" w:lineRule="auto"/>
        <w:ind w:firstLine="105" w:firstLineChars="50"/>
        <w:rPr>
          <w:szCs w:val="21"/>
        </w:rPr>
      </w:pPr>
      <w:r>
        <w:rPr>
          <w:szCs w:val="21"/>
        </w:rPr>
        <w:t>（三）双方的业务活动坚持公开、公正、诚信、透明的原则（除法律认定的商业秘密和合同文件另有规定之外），不得损害国家和集体利益，违反工程建设管理规章制度。</w:t>
      </w:r>
    </w:p>
    <w:p>
      <w:pPr>
        <w:pageBreakBefore w:val="0"/>
        <w:kinsoku/>
        <w:overflowPunct/>
        <w:bidi w:val="0"/>
        <w:spacing w:line="360" w:lineRule="auto"/>
        <w:ind w:firstLine="105" w:firstLineChars="50"/>
        <w:rPr>
          <w:szCs w:val="21"/>
        </w:rPr>
      </w:pPr>
      <w:r>
        <w:rPr>
          <w:rFonts w:hint="eastAsia"/>
          <w:szCs w:val="21"/>
        </w:rPr>
        <w:t>（四）建立健全廉政制度，开展廉政教育，设立廉政告示牌，公布举报电话，监督并认真查处违法违纪行为。</w:t>
      </w:r>
    </w:p>
    <w:p>
      <w:pPr>
        <w:pageBreakBefore w:val="0"/>
        <w:kinsoku/>
        <w:overflowPunct/>
        <w:bidi w:val="0"/>
        <w:spacing w:line="360" w:lineRule="auto"/>
        <w:ind w:firstLine="105" w:firstLineChars="50"/>
        <w:rPr>
          <w:szCs w:val="21"/>
        </w:rPr>
      </w:pPr>
      <w:r>
        <w:rPr>
          <w:rFonts w:hint="eastAsia"/>
          <w:szCs w:val="21"/>
        </w:rPr>
        <w:t>（五）发现对方在业务活动中有违反廉政规定的行为，有及时提醒对方纠正的权利和义务。</w:t>
      </w:r>
    </w:p>
    <w:p>
      <w:pPr>
        <w:pageBreakBefore w:val="0"/>
        <w:kinsoku/>
        <w:overflowPunct/>
        <w:bidi w:val="0"/>
        <w:spacing w:line="360" w:lineRule="auto"/>
        <w:ind w:firstLine="105" w:firstLineChars="50"/>
        <w:rPr>
          <w:szCs w:val="21"/>
        </w:rPr>
      </w:pPr>
      <w:r>
        <w:rPr>
          <w:rFonts w:hint="eastAsia"/>
          <w:szCs w:val="21"/>
        </w:rPr>
        <w:t>（六）发现对方严重违反本合同义务条款的行为，有向其上级有关部门举报、建议给予处理并要求告知处理结果的权利。</w:t>
      </w:r>
    </w:p>
    <w:p>
      <w:pPr>
        <w:pageBreakBefore w:val="0"/>
        <w:kinsoku/>
        <w:overflowPunct/>
        <w:bidi w:val="0"/>
        <w:spacing w:line="360" w:lineRule="auto"/>
        <w:rPr>
          <w:b/>
          <w:szCs w:val="21"/>
        </w:rPr>
      </w:pPr>
      <w:r>
        <w:rPr>
          <w:rFonts w:hint="eastAsia"/>
          <w:b/>
          <w:szCs w:val="21"/>
        </w:rPr>
        <w:t>第二条</w:t>
      </w:r>
      <w:r>
        <w:rPr>
          <w:b/>
          <w:szCs w:val="21"/>
        </w:rPr>
        <w:t xml:space="preserve">  </w:t>
      </w:r>
      <w:r>
        <w:rPr>
          <w:rFonts w:hint="eastAsia"/>
          <w:b/>
          <w:szCs w:val="21"/>
        </w:rPr>
        <w:t>甲方义务</w:t>
      </w:r>
    </w:p>
    <w:p>
      <w:pPr>
        <w:pageBreakBefore w:val="0"/>
        <w:kinsoku/>
        <w:overflowPunct/>
        <w:bidi w:val="0"/>
        <w:spacing w:line="360" w:lineRule="auto"/>
        <w:ind w:firstLine="105" w:firstLineChars="50"/>
        <w:rPr>
          <w:szCs w:val="21"/>
        </w:rPr>
      </w:pPr>
      <w:r>
        <w:rPr>
          <w:rFonts w:hint="eastAsia"/>
          <w:szCs w:val="21"/>
        </w:rPr>
        <w:t>（一）甲方及其工作人员不得索要或接受乙方的礼金、有价证券和贵重要物品，不得在乙方报销任何应由甲方或个人支付的费用等。</w:t>
      </w:r>
    </w:p>
    <w:p>
      <w:pPr>
        <w:pageBreakBefore w:val="0"/>
        <w:kinsoku/>
        <w:overflowPunct/>
        <w:bidi w:val="0"/>
        <w:spacing w:line="360" w:lineRule="auto"/>
        <w:ind w:firstLine="105" w:firstLineChars="50"/>
        <w:rPr>
          <w:szCs w:val="21"/>
        </w:rPr>
      </w:pPr>
      <w:r>
        <w:rPr>
          <w:rFonts w:hint="eastAsia"/>
          <w:szCs w:val="21"/>
        </w:rPr>
        <w:t>（二）甲方工作人员不得参加乙方安排的宴请或可能影响公正的其他宴请和娱乐活动。不得接受乙方提供的通讯工具、交通工具和高档办公用品等。</w:t>
      </w:r>
    </w:p>
    <w:p>
      <w:pPr>
        <w:pageBreakBefore w:val="0"/>
        <w:kinsoku/>
        <w:overflowPunct/>
        <w:bidi w:val="0"/>
        <w:spacing w:line="360" w:lineRule="auto"/>
        <w:ind w:firstLine="105" w:firstLineChars="50"/>
        <w:rPr>
          <w:szCs w:val="21"/>
        </w:rPr>
      </w:pPr>
      <w:r>
        <w:rPr>
          <w:rFonts w:hint="eastAsia"/>
          <w:szCs w:val="21"/>
        </w:rPr>
        <w:t>（三）甲方及其工作人员不得要求或者接受乙方为其住房装修、婚丧嫁娶活动、配偶子女的工作安排以及出国出境、旅游等提供方便等。</w:t>
      </w:r>
    </w:p>
    <w:p>
      <w:pPr>
        <w:pageBreakBefore w:val="0"/>
        <w:kinsoku/>
        <w:overflowPunct/>
        <w:bidi w:val="0"/>
        <w:spacing w:line="360" w:lineRule="auto"/>
        <w:ind w:firstLine="105" w:firstLineChars="50"/>
        <w:rPr>
          <w:szCs w:val="21"/>
        </w:rPr>
      </w:pPr>
      <w:r>
        <w:rPr>
          <w:rFonts w:hint="eastAsia"/>
          <w:szCs w:val="21"/>
        </w:rPr>
        <w:t>（四）甲方工作人员的配偶、子女不得从事与甲方工程有关的材料设备供应、工程分包、劳务等经济活动等。</w:t>
      </w:r>
    </w:p>
    <w:p>
      <w:pPr>
        <w:pageBreakBefore w:val="0"/>
        <w:kinsoku/>
        <w:overflowPunct/>
        <w:bidi w:val="0"/>
        <w:spacing w:line="360" w:lineRule="auto"/>
        <w:ind w:firstLine="105" w:firstLineChars="50"/>
        <w:rPr>
          <w:szCs w:val="21"/>
        </w:rPr>
      </w:pPr>
      <w:r>
        <w:rPr>
          <w:rFonts w:hint="eastAsia"/>
          <w:szCs w:val="21"/>
        </w:rPr>
        <w:t>（五）甲方及其工作人员不得以任何理由向乙方推荐分包单位，不得要求乙方购买合同规定外的材料和设备。</w:t>
      </w:r>
    </w:p>
    <w:p>
      <w:pPr>
        <w:pageBreakBefore w:val="0"/>
        <w:kinsoku/>
        <w:overflowPunct/>
        <w:bidi w:val="0"/>
        <w:spacing w:line="360" w:lineRule="auto"/>
        <w:rPr>
          <w:b/>
          <w:szCs w:val="21"/>
        </w:rPr>
      </w:pPr>
      <w:r>
        <w:rPr>
          <w:rFonts w:hint="eastAsia"/>
          <w:b/>
          <w:szCs w:val="21"/>
        </w:rPr>
        <w:t>第三条</w:t>
      </w:r>
      <w:r>
        <w:rPr>
          <w:b/>
          <w:szCs w:val="21"/>
        </w:rPr>
        <w:t xml:space="preserve">  </w:t>
      </w:r>
      <w:r>
        <w:rPr>
          <w:rFonts w:hint="eastAsia"/>
          <w:b/>
          <w:szCs w:val="21"/>
        </w:rPr>
        <w:t>乙方义务</w:t>
      </w:r>
    </w:p>
    <w:p>
      <w:pPr>
        <w:pageBreakBefore w:val="0"/>
        <w:kinsoku/>
        <w:overflowPunct/>
        <w:bidi w:val="0"/>
        <w:spacing w:line="360" w:lineRule="auto"/>
        <w:ind w:firstLine="105" w:firstLineChars="50"/>
        <w:rPr>
          <w:szCs w:val="21"/>
        </w:rPr>
      </w:pPr>
      <w:r>
        <w:rPr>
          <w:rFonts w:hint="eastAsia"/>
          <w:szCs w:val="21"/>
        </w:rPr>
        <w:t>（一）乙方不得以任何理由向甲方及其工作人员行贿或馈赠礼金、有价证券、贵重礼品。</w:t>
      </w:r>
    </w:p>
    <w:p>
      <w:pPr>
        <w:pageBreakBefore w:val="0"/>
        <w:kinsoku/>
        <w:overflowPunct/>
        <w:bidi w:val="0"/>
        <w:spacing w:line="360" w:lineRule="auto"/>
        <w:ind w:firstLine="105" w:firstLineChars="50"/>
        <w:rPr>
          <w:szCs w:val="21"/>
        </w:rPr>
      </w:pPr>
      <w:r>
        <w:rPr>
          <w:rFonts w:hint="eastAsia"/>
          <w:szCs w:val="21"/>
        </w:rPr>
        <w:t>（二）乙方不得以任何名义为甲方及其工作人员报销应由甲方单位或个人支付的任何费用。</w:t>
      </w:r>
    </w:p>
    <w:p>
      <w:pPr>
        <w:pageBreakBefore w:val="0"/>
        <w:kinsoku/>
        <w:overflowPunct/>
        <w:bidi w:val="0"/>
        <w:spacing w:line="360" w:lineRule="auto"/>
        <w:ind w:firstLine="105" w:firstLineChars="50"/>
        <w:rPr>
          <w:szCs w:val="21"/>
        </w:rPr>
      </w:pPr>
      <w:r>
        <w:rPr>
          <w:rFonts w:hint="eastAsia"/>
          <w:szCs w:val="21"/>
        </w:rPr>
        <w:t>（三）乙方不得以任何理由邀请甲方工作人员外出旅游或安排甲方工作人员参加宴请及娱乐活动。</w:t>
      </w:r>
    </w:p>
    <w:p>
      <w:pPr>
        <w:pageBreakBefore w:val="0"/>
        <w:kinsoku/>
        <w:overflowPunct/>
        <w:bidi w:val="0"/>
        <w:spacing w:line="360" w:lineRule="auto"/>
        <w:ind w:firstLine="105" w:firstLineChars="50"/>
        <w:rPr>
          <w:szCs w:val="21"/>
        </w:rPr>
      </w:pPr>
      <w:r>
        <w:rPr>
          <w:rFonts w:hint="eastAsia"/>
          <w:szCs w:val="21"/>
        </w:rPr>
        <w:t>（四）乙方不得为甲方单位和个人购置或提供通讯工具、交通工具和高档办公用品等。</w:t>
      </w:r>
    </w:p>
    <w:p>
      <w:pPr>
        <w:pageBreakBefore w:val="0"/>
        <w:kinsoku/>
        <w:overflowPunct/>
        <w:bidi w:val="0"/>
        <w:spacing w:line="360" w:lineRule="auto"/>
        <w:ind w:firstLine="105" w:firstLineChars="50"/>
        <w:rPr>
          <w:szCs w:val="21"/>
        </w:rPr>
      </w:pPr>
      <w:r>
        <w:rPr>
          <w:rFonts w:hint="eastAsia"/>
          <w:szCs w:val="21"/>
        </w:rPr>
        <w:t>（五）乙方及其工作人员应严格按规程办事，不得为谋取私利向工作人员非法行贿，私下串通，损害甲方利益。同时依法履行向甲方承诺的上述其他廉政义务。</w:t>
      </w:r>
    </w:p>
    <w:p>
      <w:pPr>
        <w:pageBreakBefore w:val="0"/>
        <w:kinsoku/>
        <w:overflowPunct/>
        <w:bidi w:val="0"/>
        <w:spacing w:line="360" w:lineRule="auto"/>
        <w:ind w:firstLine="105" w:firstLineChars="50"/>
        <w:rPr>
          <w:szCs w:val="21"/>
        </w:rPr>
      </w:pPr>
      <w:r>
        <w:rPr>
          <w:rFonts w:hint="eastAsia"/>
          <w:szCs w:val="21"/>
        </w:rPr>
        <w:t>（六）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pageBreakBefore w:val="0"/>
        <w:kinsoku/>
        <w:overflowPunct/>
        <w:bidi w:val="0"/>
        <w:spacing w:line="360" w:lineRule="auto"/>
        <w:rPr>
          <w:b/>
          <w:szCs w:val="21"/>
        </w:rPr>
      </w:pPr>
      <w:r>
        <w:rPr>
          <w:rFonts w:hint="eastAsia"/>
          <w:b/>
          <w:szCs w:val="21"/>
        </w:rPr>
        <w:t>第四条</w:t>
      </w:r>
      <w:r>
        <w:rPr>
          <w:b/>
          <w:szCs w:val="21"/>
        </w:rPr>
        <w:t xml:space="preserve">  </w:t>
      </w:r>
      <w:r>
        <w:rPr>
          <w:rFonts w:hint="eastAsia"/>
          <w:b/>
          <w:szCs w:val="21"/>
        </w:rPr>
        <w:t>违约责任</w:t>
      </w:r>
    </w:p>
    <w:p>
      <w:pPr>
        <w:pageBreakBefore w:val="0"/>
        <w:kinsoku/>
        <w:overflowPunct/>
        <w:bidi w:val="0"/>
        <w:spacing w:line="360" w:lineRule="auto"/>
        <w:ind w:firstLine="105" w:firstLineChars="50"/>
        <w:rPr>
          <w:szCs w:val="21"/>
        </w:rPr>
      </w:pPr>
      <w:r>
        <w:rPr>
          <w:rFonts w:hint="eastAsia"/>
          <w:szCs w:val="21"/>
        </w:rPr>
        <w:t>（一）甲方及其工作人员违反本合同第一、二条，按管理权限，依据有关规定给予党纪、政纪或组织处理；涉嫌犯罪的，移交司法机关追究刑事责任；给乙方单位造成经济损失的，应予以赔偿。</w:t>
      </w:r>
    </w:p>
    <w:p>
      <w:pPr>
        <w:pageBreakBefore w:val="0"/>
        <w:kinsoku/>
        <w:overflowPunct/>
        <w:bidi w:val="0"/>
        <w:spacing w:line="360" w:lineRule="auto"/>
        <w:ind w:firstLine="105" w:firstLineChars="50"/>
        <w:rPr>
          <w:szCs w:val="21"/>
        </w:rPr>
      </w:pPr>
      <w:r>
        <w:rPr>
          <w:rFonts w:hint="eastAsia"/>
          <w:szCs w:val="21"/>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pageBreakBefore w:val="0"/>
        <w:kinsoku/>
        <w:overflowPunct/>
        <w:bidi w:val="0"/>
        <w:spacing w:line="360" w:lineRule="auto"/>
        <w:rPr>
          <w:b/>
          <w:szCs w:val="21"/>
        </w:rPr>
      </w:pPr>
      <w:r>
        <w:rPr>
          <w:rFonts w:hint="eastAsia"/>
          <w:b/>
          <w:szCs w:val="21"/>
        </w:rPr>
        <w:t>第五条　双方约定</w:t>
      </w:r>
    </w:p>
    <w:p>
      <w:pPr>
        <w:pageBreakBefore w:val="0"/>
        <w:kinsoku/>
        <w:overflowPunct/>
        <w:bidi w:val="0"/>
        <w:spacing w:line="360" w:lineRule="auto"/>
        <w:ind w:firstLine="420" w:firstLineChars="200"/>
        <w:rPr>
          <w:szCs w:val="21"/>
        </w:rPr>
      </w:pPr>
      <w:r>
        <w:rPr>
          <w:rFonts w:hint="eastAsia"/>
          <w:szCs w:val="21"/>
        </w:rPr>
        <w:t>本合同由双方或双方上级单位的纪检监察部门负责监督执行。</w:t>
      </w:r>
    </w:p>
    <w:p>
      <w:pPr>
        <w:pageBreakBefore w:val="0"/>
        <w:numPr>
          <w:ilvl w:val="0"/>
          <w:numId w:val="4"/>
        </w:numPr>
        <w:kinsoku/>
        <w:overflowPunct/>
        <w:bidi w:val="0"/>
        <w:spacing w:line="360" w:lineRule="auto"/>
        <w:jc w:val="center"/>
        <w:rPr>
          <w:rFonts w:hint="eastAsia"/>
          <w:szCs w:val="21"/>
        </w:rPr>
      </w:pPr>
      <w:r>
        <w:rPr>
          <w:szCs w:val="21"/>
        </w:rPr>
        <w:t xml:space="preserve"> </w:t>
      </w:r>
      <w:r>
        <w:rPr>
          <w:rFonts w:hint="eastAsia"/>
          <w:szCs w:val="21"/>
        </w:rPr>
        <w:t>本合同作为</w:t>
      </w:r>
      <w:r>
        <w:rPr>
          <w:rFonts w:hint="eastAsia"/>
          <w:b/>
          <w:szCs w:val="21"/>
        </w:rPr>
        <w:t>《</w:t>
      </w:r>
      <w:r>
        <w:rPr>
          <w:rFonts w:hint="eastAsia" w:ascii="Times New Roman" w:hAnsi="Times New Roman" w:eastAsia="宋体" w:cs="Times New Roman"/>
          <w:szCs w:val="21"/>
          <w:lang w:val="en-US" w:eastAsia="zh-CN"/>
        </w:rPr>
        <w:t>绕城高速复兴服务区导视系统改善</w:t>
      </w:r>
      <w:r>
        <w:rPr>
          <w:rFonts w:hint="eastAsia" w:ascii="Times New Roman" w:hAnsi="Times New Roman" w:eastAsia="宋体" w:cs="Times New Roman"/>
          <w:szCs w:val="21"/>
          <w:lang w:eastAsia="zh-CN"/>
        </w:rPr>
        <w:t>工程</w:t>
      </w:r>
      <w:r>
        <w:rPr>
          <w:rFonts w:hint="eastAsia" w:ascii="Times New Roman" w:hAnsi="Times New Roman" w:eastAsia="宋体" w:cs="Times New Roman"/>
          <w:szCs w:val="21"/>
          <w:lang w:val="en-US" w:eastAsia="zh-CN"/>
        </w:rPr>
        <w:t>导视系统和发光字体采购</w:t>
      </w:r>
      <w:r>
        <w:rPr>
          <w:rFonts w:hint="eastAsia" w:ascii="Times New Roman" w:hAnsi="Times New Roman" w:eastAsia="宋体" w:cs="Times New Roman"/>
          <w:szCs w:val="21"/>
        </w:rPr>
        <w:t>合同</w:t>
      </w:r>
      <w:r>
        <w:rPr>
          <w:rFonts w:hint="eastAsia"/>
          <w:b/>
          <w:szCs w:val="21"/>
        </w:rPr>
        <w:t>》</w:t>
      </w:r>
      <w:r>
        <w:rPr>
          <w:rFonts w:hint="eastAsia"/>
          <w:szCs w:val="21"/>
        </w:rPr>
        <w:t>的附件，</w:t>
      </w:r>
    </w:p>
    <w:p>
      <w:pPr>
        <w:pageBreakBefore w:val="0"/>
        <w:numPr>
          <w:ilvl w:val="0"/>
          <w:numId w:val="0"/>
        </w:numPr>
        <w:kinsoku/>
        <w:overflowPunct/>
        <w:bidi w:val="0"/>
        <w:spacing w:line="360" w:lineRule="auto"/>
        <w:jc w:val="both"/>
        <w:rPr>
          <w:szCs w:val="21"/>
        </w:rPr>
      </w:pPr>
      <w:r>
        <w:rPr>
          <w:rFonts w:hint="eastAsia"/>
          <w:szCs w:val="21"/>
        </w:rPr>
        <w:t>具有同等的法律效力，经合同双方签署立即生效。</w:t>
      </w:r>
    </w:p>
    <w:p>
      <w:pPr>
        <w:pageBreakBefore w:val="0"/>
        <w:kinsoku/>
        <w:overflowPunct/>
        <w:bidi w:val="0"/>
        <w:spacing w:line="360" w:lineRule="auto"/>
        <w:textAlignment w:val="baseline"/>
        <w:rPr>
          <w:szCs w:val="21"/>
        </w:rPr>
      </w:pPr>
      <w:r>
        <w:rPr>
          <w:rFonts w:hint="eastAsia"/>
          <w:b/>
          <w:szCs w:val="21"/>
        </w:rPr>
        <w:t>第七条</w:t>
      </w:r>
      <w:r>
        <w:rPr>
          <w:szCs w:val="21"/>
        </w:rPr>
        <w:t xml:space="preserve">  </w:t>
      </w:r>
      <w:r>
        <w:rPr>
          <w:rFonts w:hint="eastAsia" w:ascii="宋体"/>
          <w:szCs w:val="21"/>
        </w:rPr>
        <w:t>本合同一式</w:t>
      </w:r>
      <w:r>
        <w:rPr>
          <w:rFonts w:hint="eastAsia" w:ascii="宋体"/>
          <w:szCs w:val="21"/>
          <w:u w:val="single"/>
        </w:rPr>
        <w:t xml:space="preserve">  </w:t>
      </w:r>
      <w:r>
        <w:rPr>
          <w:rFonts w:hint="eastAsia" w:ascii="宋体"/>
          <w:b/>
          <w:bCs/>
          <w:szCs w:val="21"/>
          <w:u w:val="single"/>
          <w:lang w:eastAsia="zh-CN"/>
        </w:rPr>
        <w:t>捌</w:t>
      </w:r>
      <w:r>
        <w:rPr>
          <w:rFonts w:hint="eastAsia" w:ascii="宋体"/>
          <w:szCs w:val="21"/>
          <w:u w:val="single"/>
        </w:rPr>
        <w:t xml:space="preserve">  </w:t>
      </w:r>
      <w:r>
        <w:rPr>
          <w:rFonts w:hint="eastAsia" w:ascii="宋体"/>
          <w:szCs w:val="21"/>
        </w:rPr>
        <w:t>份，甲方执</w:t>
      </w:r>
      <w:r>
        <w:rPr>
          <w:rFonts w:hint="eastAsia" w:ascii="宋体"/>
          <w:szCs w:val="21"/>
          <w:u w:val="single"/>
        </w:rPr>
        <w:t xml:space="preserve"> </w:t>
      </w:r>
      <w:r>
        <w:rPr>
          <w:rFonts w:hint="eastAsia" w:ascii="宋体"/>
          <w:szCs w:val="21"/>
          <w:u w:val="single"/>
          <w:lang w:val="en-US" w:eastAsia="zh-CN"/>
        </w:rPr>
        <w:t xml:space="preserve"> </w:t>
      </w:r>
      <w:r>
        <w:rPr>
          <w:rFonts w:hint="eastAsia" w:ascii="宋体"/>
          <w:b/>
          <w:bCs/>
          <w:szCs w:val="21"/>
          <w:u w:val="single"/>
          <w:lang w:eastAsia="zh-CN"/>
        </w:rPr>
        <w:t>陆</w:t>
      </w:r>
      <w:r>
        <w:rPr>
          <w:rFonts w:hint="eastAsia" w:ascii="宋体"/>
          <w:b/>
          <w:bCs/>
          <w:szCs w:val="21"/>
          <w:u w:val="single"/>
          <w:lang w:val="en-US" w:eastAsia="zh-CN"/>
        </w:rPr>
        <w:t xml:space="preserve"> </w:t>
      </w:r>
      <w:r>
        <w:rPr>
          <w:rFonts w:hint="eastAsia" w:ascii="宋体"/>
          <w:szCs w:val="21"/>
          <w:u w:val="single"/>
        </w:rPr>
        <w:t xml:space="preserve"> </w:t>
      </w:r>
      <w:r>
        <w:rPr>
          <w:rFonts w:hint="eastAsia" w:ascii="宋体"/>
          <w:szCs w:val="21"/>
        </w:rPr>
        <w:t>份，乙方执</w:t>
      </w:r>
      <w:r>
        <w:rPr>
          <w:rFonts w:hint="eastAsia" w:ascii="宋体"/>
          <w:szCs w:val="21"/>
          <w:u w:val="single"/>
        </w:rPr>
        <w:t>　</w:t>
      </w:r>
      <w:r>
        <w:rPr>
          <w:rFonts w:hint="eastAsia" w:ascii="宋体"/>
          <w:b/>
          <w:szCs w:val="21"/>
          <w:u w:val="single"/>
        </w:rPr>
        <w:t>贰</w:t>
      </w:r>
      <w:r>
        <w:rPr>
          <w:rFonts w:hint="eastAsia" w:ascii="宋体"/>
          <w:szCs w:val="21"/>
          <w:u w:val="single"/>
        </w:rPr>
        <w:t>　</w:t>
      </w:r>
      <w:r>
        <w:rPr>
          <w:rFonts w:hint="eastAsia" w:ascii="宋体"/>
          <w:szCs w:val="21"/>
        </w:rPr>
        <w:t>份；具有同等法律效力；自双方签字盖章后生效，甲乙双方</w:t>
      </w:r>
      <w:r>
        <w:rPr>
          <w:rFonts w:hint="eastAsia" w:ascii="宋体" w:hAnsi="宋体"/>
          <w:szCs w:val="21"/>
        </w:rPr>
        <w:t>履行合同全部义务、结算价款支付完毕后，本合同即告终止。</w:t>
      </w:r>
    </w:p>
    <w:p>
      <w:pPr>
        <w:pageBreakBefore w:val="0"/>
        <w:kinsoku/>
        <w:overflowPunct/>
        <w:bidi w:val="0"/>
        <w:spacing w:line="360" w:lineRule="auto"/>
        <w:textAlignment w:val="baseline"/>
        <w:rPr>
          <w:rFonts w:hint="eastAsia" w:ascii="宋体" w:hAnsi="宋体"/>
          <w:szCs w:val="21"/>
        </w:rPr>
      </w:pPr>
    </w:p>
    <w:p>
      <w:pPr>
        <w:pageBreakBefore w:val="0"/>
        <w:kinsoku/>
        <w:overflowPunct/>
        <w:bidi w:val="0"/>
        <w:spacing w:line="360" w:lineRule="auto"/>
        <w:textAlignment w:val="baseline"/>
        <w:rPr>
          <w:rFonts w:hint="eastAsia" w:ascii="宋体" w:hAnsi="宋体"/>
          <w:szCs w:val="21"/>
        </w:rPr>
      </w:pPr>
      <w:r>
        <w:rPr>
          <w:rFonts w:hint="eastAsia" w:ascii="宋体" w:hAnsi="宋体"/>
          <w:szCs w:val="21"/>
        </w:rPr>
        <w:t>甲方：（公章）                                乙方：（公章）</w:t>
      </w:r>
    </w:p>
    <w:p>
      <w:pPr>
        <w:pageBreakBefore w:val="0"/>
        <w:kinsoku/>
        <w:overflowPunct/>
        <w:bidi w:val="0"/>
        <w:spacing w:line="360" w:lineRule="auto"/>
        <w:rPr>
          <w:rFonts w:hint="eastAsia"/>
          <w:szCs w:val="21"/>
          <w:highlight w:val="yellow"/>
        </w:rPr>
      </w:pPr>
      <w:r>
        <w:rPr>
          <w:rFonts w:hint="eastAsia"/>
          <w:szCs w:val="21"/>
        </w:rPr>
        <w:t xml:space="preserve">重庆通力高速公路养护工程有限公司             </w:t>
      </w:r>
    </w:p>
    <w:p>
      <w:pPr>
        <w:pageBreakBefore w:val="0"/>
        <w:kinsoku/>
        <w:overflowPunct/>
        <w:bidi w:val="0"/>
        <w:spacing w:line="360" w:lineRule="auto"/>
        <w:rPr>
          <w:rFonts w:ascii="宋体" w:hAnsi="宋体"/>
          <w:szCs w:val="21"/>
        </w:rPr>
      </w:pPr>
      <w:r>
        <w:rPr>
          <w:rFonts w:hint="eastAsia" w:ascii="宋体" w:hAnsi="宋体"/>
          <w:szCs w:val="21"/>
        </w:rPr>
        <w:t>法定代表人                                   法定代表人</w:t>
      </w:r>
    </w:p>
    <w:p>
      <w:pPr>
        <w:pageBreakBefore w:val="0"/>
        <w:kinsoku/>
        <w:overflowPunct/>
        <w:bidi w:val="0"/>
        <w:spacing w:line="360" w:lineRule="auto"/>
        <w:textAlignment w:val="baseline"/>
        <w:rPr>
          <w:rFonts w:hint="eastAsia" w:ascii="宋体" w:hAnsi="宋体"/>
          <w:szCs w:val="21"/>
        </w:rPr>
      </w:pPr>
      <w:r>
        <w:rPr>
          <w:rFonts w:hint="eastAsia" w:ascii="宋体" w:hAnsi="宋体"/>
          <w:szCs w:val="21"/>
        </w:rPr>
        <w:t>或委托代理人：                               或委托代理人：</w:t>
      </w:r>
    </w:p>
    <w:p>
      <w:pPr>
        <w:pageBreakBefore w:val="0"/>
        <w:kinsoku/>
        <w:overflowPunct/>
        <w:bidi w:val="0"/>
        <w:spacing w:line="360" w:lineRule="auto"/>
        <w:ind w:firstLine="420" w:firstLineChars="200"/>
        <w:textAlignment w:val="baseline"/>
        <w:rPr>
          <w:rFonts w:hint="eastAsia" w:ascii="宋体" w:hAnsi="宋体"/>
          <w:szCs w:val="21"/>
        </w:rPr>
      </w:pPr>
    </w:p>
    <w:p>
      <w:pPr>
        <w:pageBreakBefore w:val="0"/>
        <w:kinsoku/>
        <w:overflowPunct/>
        <w:bidi w:val="0"/>
        <w:spacing w:line="360" w:lineRule="auto"/>
        <w:textAlignment w:val="baseline"/>
        <w:rPr>
          <w:rFonts w:hint="eastAsia" w:ascii="宋体" w:hAnsi="宋体"/>
          <w:szCs w:val="21"/>
        </w:rPr>
      </w:pPr>
      <w:r>
        <w:rPr>
          <w:rFonts w:hint="eastAsia" w:ascii="宋体" w:hAnsi="宋体"/>
          <w:szCs w:val="21"/>
        </w:rPr>
        <w:t>部门负责人：                                 部门负责人：</w:t>
      </w:r>
    </w:p>
    <w:p>
      <w:pPr>
        <w:pageBreakBefore w:val="0"/>
        <w:widowControl/>
        <w:kinsoku/>
        <w:overflowPunct/>
        <w:bidi w:val="0"/>
        <w:spacing w:line="360" w:lineRule="auto"/>
        <w:ind w:left="235" w:leftChars="12" w:hanging="210" w:hangingChars="100"/>
        <w:jc w:val="left"/>
        <w:textAlignment w:val="baseline"/>
        <w:rPr>
          <w:rFonts w:hint="eastAsia" w:ascii="宋体" w:hAnsi="宋体"/>
          <w:szCs w:val="21"/>
        </w:rPr>
      </w:pPr>
      <w:r>
        <w:rPr>
          <w:rFonts w:hint="eastAsia" w:ascii="宋体" w:hAnsi="宋体"/>
          <w:szCs w:val="21"/>
        </w:rPr>
        <w:t>经办人：                                     经办人：</w:t>
      </w:r>
    </w:p>
    <w:p>
      <w:pPr>
        <w:pageBreakBefore w:val="0"/>
        <w:kinsoku/>
        <w:overflowPunct/>
        <w:bidi w:val="0"/>
        <w:spacing w:line="360" w:lineRule="auto"/>
        <w:rPr>
          <w:rFonts w:hint="eastAsia"/>
          <w:b/>
          <w:szCs w:val="21"/>
        </w:rPr>
      </w:pPr>
      <w:r>
        <w:rPr>
          <w:rFonts w:hint="eastAsia"/>
          <w:szCs w:val="21"/>
        </w:rPr>
        <w:t>日期：20</w:t>
      </w:r>
      <w:r>
        <w:rPr>
          <w:rFonts w:hint="eastAsia"/>
          <w:szCs w:val="21"/>
          <w:lang w:val="en-US" w:eastAsia="zh-CN"/>
        </w:rPr>
        <w:t>22</w:t>
      </w:r>
      <w:r>
        <w:rPr>
          <w:rFonts w:hint="eastAsia"/>
          <w:szCs w:val="21"/>
        </w:rPr>
        <w:t xml:space="preserve"> 年   月   日                      日期： 20</w:t>
      </w:r>
      <w:r>
        <w:rPr>
          <w:rFonts w:hint="eastAsia"/>
          <w:szCs w:val="21"/>
          <w:lang w:val="en-US" w:eastAsia="zh-CN"/>
        </w:rPr>
        <w:t>22</w:t>
      </w:r>
      <w:r>
        <w:rPr>
          <w:rFonts w:hint="eastAsia"/>
          <w:szCs w:val="21"/>
        </w:rPr>
        <w:t xml:space="preserve">年   月   日  </w:t>
      </w:r>
      <w:r>
        <w:rPr>
          <w:szCs w:val="21"/>
        </w:rPr>
        <w:t xml:space="preserve">    </w:t>
      </w:r>
    </w:p>
    <w:p>
      <w:pPr>
        <w:pageBreakBefore w:val="0"/>
        <w:kinsoku/>
        <w:overflowPunct/>
        <w:bidi w:val="0"/>
        <w:spacing w:line="360" w:lineRule="auto"/>
        <w:jc w:val="center"/>
        <w:rPr>
          <w:rFonts w:hint="eastAsia" w:ascii="宋体" w:hAnsi="宋体" w:cs="宋体"/>
          <w:b/>
          <w:sz w:val="36"/>
        </w:rPr>
      </w:pPr>
      <w:r>
        <w:rPr>
          <w:rFonts w:hint="eastAsia" w:ascii="宋体" w:hAnsi="宋体" w:cs="宋体"/>
          <w:b/>
          <w:sz w:val="36"/>
        </w:rPr>
        <w:t>比选申请文件格式</w:t>
      </w:r>
    </w:p>
    <w:p>
      <w:pPr>
        <w:pageBreakBefore w:val="0"/>
        <w:kinsoku/>
        <w:overflowPunct/>
        <w:bidi w:val="0"/>
        <w:spacing w:line="360" w:lineRule="auto"/>
        <w:jc w:val="center"/>
        <w:rPr>
          <w:rFonts w:hint="eastAsia" w:ascii="宋体" w:hAnsi="宋体" w:cs="宋体"/>
          <w:b/>
          <w:sz w:val="24"/>
        </w:rPr>
      </w:pPr>
    </w:p>
    <w:p>
      <w:pPr>
        <w:pageBreakBefore w:val="0"/>
        <w:kinsoku/>
        <w:overflowPunct/>
        <w:bidi w:val="0"/>
        <w:spacing w:line="360" w:lineRule="auto"/>
        <w:jc w:val="center"/>
        <w:rPr>
          <w:rFonts w:hint="eastAsia" w:ascii="宋体" w:hAnsi="宋体" w:cs="宋体"/>
          <w:b/>
          <w:sz w:val="24"/>
        </w:rPr>
      </w:pPr>
      <w:r>
        <w:rPr>
          <w:rFonts w:hint="eastAsia" w:ascii="宋体" w:hAnsi="宋体" w:cs="宋体"/>
          <w:b/>
          <w:sz w:val="24"/>
        </w:rPr>
        <w:t>（以下内容为示例）</w:t>
      </w:r>
    </w:p>
    <w:p>
      <w:pPr>
        <w:pageBreakBefore w:val="0"/>
        <w:kinsoku/>
        <w:overflowPunct/>
        <w:bidi w:val="0"/>
        <w:spacing w:line="360" w:lineRule="auto"/>
        <w:jc w:val="center"/>
        <w:rPr>
          <w:rFonts w:hint="eastAsia" w:ascii="宋体" w:hAnsi="宋体" w:cs="宋体"/>
          <w:b/>
          <w:sz w:val="24"/>
        </w:rPr>
      </w:pPr>
    </w:p>
    <w:p>
      <w:pPr>
        <w:pageBreakBefore w:val="0"/>
        <w:kinsoku/>
        <w:overflowPunct/>
        <w:bidi w:val="0"/>
        <w:spacing w:line="360" w:lineRule="auto"/>
        <w:ind w:right="480" w:firstLine="2849" w:firstLineChars="946"/>
        <w:rPr>
          <w:rFonts w:hint="eastAsia" w:ascii="宋体" w:hAnsi="宋体" w:cs="宋体"/>
          <w:b/>
          <w:sz w:val="30"/>
          <w:szCs w:val="30"/>
        </w:rPr>
      </w:pPr>
    </w:p>
    <w:p>
      <w:pPr>
        <w:pageBreakBefore w:val="0"/>
        <w:kinsoku/>
        <w:overflowPunct/>
        <w:bidi w:val="0"/>
        <w:spacing w:line="360" w:lineRule="auto"/>
        <w:ind w:right="480" w:firstLine="2849" w:firstLineChars="946"/>
        <w:rPr>
          <w:rFonts w:hint="eastAsia" w:ascii="宋体" w:hAnsi="宋体" w:cs="宋体"/>
          <w:b/>
          <w:sz w:val="30"/>
          <w:szCs w:val="30"/>
        </w:rPr>
      </w:pPr>
    </w:p>
    <w:p>
      <w:pPr>
        <w:pageBreakBefore w:val="0"/>
        <w:kinsoku/>
        <w:overflowPunct/>
        <w:bidi w:val="0"/>
        <w:spacing w:line="360" w:lineRule="auto"/>
        <w:ind w:right="480" w:firstLine="2849" w:firstLineChars="946"/>
        <w:rPr>
          <w:rFonts w:hint="eastAsia" w:ascii="宋体" w:hAnsi="宋体" w:cs="宋体"/>
          <w:b/>
          <w:sz w:val="30"/>
          <w:szCs w:val="30"/>
        </w:rPr>
      </w:pPr>
    </w:p>
    <w:p>
      <w:pPr>
        <w:pageBreakBefore w:val="0"/>
        <w:kinsoku/>
        <w:overflowPunct/>
        <w:bidi w:val="0"/>
        <w:spacing w:line="360" w:lineRule="auto"/>
        <w:ind w:right="480" w:firstLine="2849" w:firstLineChars="946"/>
        <w:rPr>
          <w:rFonts w:hint="eastAsia" w:ascii="宋体" w:hAnsi="宋体" w:cs="宋体"/>
          <w:b/>
          <w:sz w:val="30"/>
          <w:szCs w:val="30"/>
        </w:rPr>
      </w:pPr>
    </w:p>
    <w:p>
      <w:pPr>
        <w:pageBreakBefore w:val="0"/>
        <w:kinsoku/>
        <w:overflowPunct/>
        <w:bidi w:val="0"/>
        <w:spacing w:line="360" w:lineRule="auto"/>
        <w:ind w:right="480" w:firstLine="2849" w:firstLineChars="946"/>
        <w:rPr>
          <w:rFonts w:hint="eastAsia" w:ascii="宋体" w:hAnsi="宋体" w:cs="宋体"/>
          <w:b/>
          <w:sz w:val="30"/>
          <w:szCs w:val="30"/>
        </w:rPr>
        <w:sectPr>
          <w:headerReference r:id="rId4" w:type="default"/>
          <w:pgSz w:w="11906" w:h="16838"/>
          <w:pgMar w:top="1418" w:right="1361" w:bottom="1418" w:left="136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11"/>
        <w:pageBreakBefore w:val="0"/>
        <w:kinsoku/>
        <w:overflowPunct/>
        <w:bidi w:val="0"/>
        <w:spacing w:line="360" w:lineRule="auto"/>
        <w:rPr>
          <w:rFonts w:hint="eastAsia"/>
          <w:color w:val="auto"/>
        </w:rPr>
      </w:pPr>
    </w:p>
    <w:p>
      <w:pPr>
        <w:pageBreakBefore w:val="0"/>
        <w:kinsoku/>
        <w:overflowPunct/>
        <w:bidi w:val="0"/>
        <w:spacing w:line="360" w:lineRule="auto"/>
        <w:jc w:val="center"/>
        <w:rPr>
          <w:rFonts w:hint="eastAsia" w:ascii="宋体" w:hAnsi="宋体" w:cs="宋体"/>
          <w:b/>
          <w:sz w:val="40"/>
          <w:szCs w:val="44"/>
          <w:u w:val="single"/>
        </w:rPr>
      </w:pPr>
      <w:r>
        <w:rPr>
          <w:rFonts w:hint="eastAsia" w:ascii="宋体" w:hAnsi="宋体" w:cs="宋体"/>
          <w:b/>
          <w:sz w:val="40"/>
          <w:szCs w:val="44"/>
          <w:u w:val="single"/>
        </w:rPr>
        <w:t>重庆通力高速公路养护工程有限公司</w:t>
      </w:r>
    </w:p>
    <w:p>
      <w:pPr>
        <w:pageBreakBefore w:val="0"/>
        <w:kinsoku/>
        <w:overflowPunct/>
        <w:bidi w:val="0"/>
        <w:spacing w:line="360" w:lineRule="auto"/>
        <w:jc w:val="center"/>
        <w:rPr>
          <w:rFonts w:hint="eastAsia" w:ascii="宋体" w:hAnsi="宋体" w:eastAsia="宋体" w:cs="宋体"/>
          <w:b/>
          <w:sz w:val="40"/>
          <w:szCs w:val="44"/>
          <w:u w:val="single"/>
          <w:lang w:eastAsia="zh-CN"/>
        </w:rPr>
      </w:pPr>
      <w:r>
        <w:rPr>
          <w:rFonts w:hint="eastAsia" w:ascii="宋体" w:hAnsi="宋体" w:eastAsia="宋体" w:cs="宋体"/>
          <w:b/>
          <w:sz w:val="40"/>
          <w:szCs w:val="44"/>
          <w:u w:val="single"/>
          <w:lang w:val="en-US" w:eastAsia="zh-CN"/>
        </w:rPr>
        <w:t>绕城高速复兴服务区导视系统改善</w:t>
      </w:r>
      <w:r>
        <w:rPr>
          <w:rFonts w:hint="eastAsia" w:ascii="宋体" w:hAnsi="宋体" w:eastAsia="宋体" w:cs="宋体"/>
          <w:b/>
          <w:sz w:val="40"/>
          <w:szCs w:val="44"/>
          <w:u w:val="single"/>
          <w:lang w:eastAsia="zh-CN"/>
        </w:rPr>
        <w:t>工程</w:t>
      </w:r>
    </w:p>
    <w:p>
      <w:pPr>
        <w:pageBreakBefore w:val="0"/>
        <w:kinsoku/>
        <w:overflowPunct/>
        <w:bidi w:val="0"/>
        <w:spacing w:line="360" w:lineRule="auto"/>
        <w:jc w:val="center"/>
        <w:rPr>
          <w:rFonts w:hint="eastAsia" w:ascii="宋体" w:hAnsi="宋体" w:cs="宋体"/>
          <w:b/>
          <w:sz w:val="40"/>
          <w:szCs w:val="44"/>
        </w:rPr>
      </w:pPr>
      <w:r>
        <w:rPr>
          <w:rFonts w:hint="eastAsia" w:ascii="宋体" w:hAnsi="宋体" w:eastAsia="宋体" w:cs="宋体"/>
          <w:b/>
          <w:sz w:val="40"/>
          <w:szCs w:val="44"/>
          <w:u w:val="single"/>
          <w:lang w:val="en-US" w:eastAsia="zh-CN"/>
        </w:rPr>
        <w:t>导视系统和发光字体采购</w:t>
      </w:r>
      <w:r>
        <w:rPr>
          <w:rFonts w:hint="eastAsia" w:ascii="宋体" w:hAnsi="宋体" w:cs="宋体"/>
          <w:b/>
          <w:sz w:val="40"/>
          <w:szCs w:val="44"/>
          <w:u w:val="single"/>
        </w:rPr>
        <w:t>比选申请文件</w:t>
      </w:r>
    </w:p>
    <w:p>
      <w:pPr>
        <w:pageBreakBefore w:val="0"/>
        <w:kinsoku/>
        <w:overflowPunct/>
        <w:bidi w:val="0"/>
        <w:spacing w:line="360" w:lineRule="auto"/>
        <w:jc w:val="center"/>
        <w:rPr>
          <w:rFonts w:hint="eastAsia" w:ascii="宋体" w:hAnsi="宋体" w:cs="宋体"/>
          <w:sz w:val="32"/>
          <w:szCs w:val="32"/>
        </w:rPr>
      </w:pPr>
    </w:p>
    <w:p>
      <w:pPr>
        <w:pageBreakBefore w:val="0"/>
        <w:kinsoku/>
        <w:overflowPunct/>
        <w:bidi w:val="0"/>
        <w:spacing w:line="360" w:lineRule="auto"/>
        <w:jc w:val="center"/>
        <w:rPr>
          <w:rFonts w:hint="eastAsia" w:ascii="宋体" w:hAnsi="宋体" w:cs="宋体"/>
          <w:sz w:val="32"/>
          <w:szCs w:val="32"/>
        </w:rPr>
      </w:pPr>
    </w:p>
    <w:p>
      <w:pPr>
        <w:pageBreakBefore w:val="0"/>
        <w:kinsoku/>
        <w:overflowPunct/>
        <w:bidi w:val="0"/>
        <w:spacing w:line="360" w:lineRule="auto"/>
        <w:jc w:val="center"/>
        <w:rPr>
          <w:rFonts w:hint="eastAsia" w:ascii="宋体" w:hAnsi="宋体" w:cs="宋体"/>
          <w:sz w:val="32"/>
          <w:szCs w:val="32"/>
        </w:rPr>
      </w:pPr>
    </w:p>
    <w:p>
      <w:pPr>
        <w:pageBreakBefore w:val="0"/>
        <w:kinsoku/>
        <w:overflowPunct/>
        <w:bidi w:val="0"/>
        <w:spacing w:line="360" w:lineRule="auto"/>
        <w:jc w:val="center"/>
        <w:rPr>
          <w:rFonts w:hint="eastAsia" w:ascii="宋体" w:hAnsi="宋体" w:cs="宋体"/>
          <w:sz w:val="32"/>
          <w:szCs w:val="32"/>
        </w:rPr>
      </w:pPr>
    </w:p>
    <w:p>
      <w:pPr>
        <w:pageBreakBefore w:val="0"/>
        <w:kinsoku/>
        <w:overflowPunct/>
        <w:bidi w:val="0"/>
        <w:spacing w:line="360" w:lineRule="auto"/>
        <w:jc w:val="center"/>
        <w:rPr>
          <w:rFonts w:hint="eastAsia" w:ascii="宋体" w:hAnsi="宋体" w:cs="宋体"/>
          <w:sz w:val="32"/>
          <w:szCs w:val="32"/>
        </w:rPr>
      </w:pPr>
    </w:p>
    <w:p>
      <w:pPr>
        <w:pageBreakBefore w:val="0"/>
        <w:kinsoku/>
        <w:overflowPunct/>
        <w:bidi w:val="0"/>
        <w:spacing w:line="360" w:lineRule="auto"/>
        <w:jc w:val="center"/>
        <w:rPr>
          <w:rFonts w:hint="eastAsia" w:ascii="宋体" w:hAnsi="宋体" w:cs="宋体"/>
          <w:sz w:val="32"/>
          <w:szCs w:val="32"/>
        </w:rPr>
      </w:pPr>
    </w:p>
    <w:p>
      <w:pPr>
        <w:pageBreakBefore w:val="0"/>
        <w:kinsoku/>
        <w:overflowPunct/>
        <w:bidi w:val="0"/>
        <w:spacing w:line="360" w:lineRule="auto"/>
        <w:jc w:val="center"/>
        <w:rPr>
          <w:rFonts w:hint="eastAsia" w:ascii="宋体" w:hAnsi="宋体" w:cs="宋体"/>
          <w:sz w:val="32"/>
          <w:szCs w:val="32"/>
        </w:rPr>
      </w:pPr>
    </w:p>
    <w:p>
      <w:pPr>
        <w:pageBreakBefore w:val="0"/>
        <w:kinsoku/>
        <w:overflowPunct/>
        <w:bidi w:val="0"/>
        <w:spacing w:line="360" w:lineRule="auto"/>
        <w:jc w:val="center"/>
        <w:rPr>
          <w:rFonts w:hint="eastAsia" w:ascii="宋体" w:hAnsi="宋体" w:cs="宋体"/>
          <w:sz w:val="32"/>
          <w:szCs w:val="32"/>
        </w:rPr>
      </w:pPr>
    </w:p>
    <w:p>
      <w:pPr>
        <w:pageBreakBefore w:val="0"/>
        <w:kinsoku/>
        <w:overflowPunct/>
        <w:bidi w:val="0"/>
        <w:spacing w:line="360" w:lineRule="auto"/>
        <w:jc w:val="center"/>
        <w:rPr>
          <w:rFonts w:hint="eastAsia" w:ascii="宋体" w:hAnsi="宋体" w:cs="宋体"/>
          <w:sz w:val="32"/>
          <w:szCs w:val="32"/>
        </w:rPr>
      </w:pPr>
    </w:p>
    <w:p>
      <w:pPr>
        <w:pageBreakBefore w:val="0"/>
        <w:kinsoku/>
        <w:overflowPunct/>
        <w:bidi w:val="0"/>
        <w:spacing w:line="360" w:lineRule="auto"/>
        <w:jc w:val="center"/>
        <w:rPr>
          <w:rFonts w:hint="eastAsia" w:ascii="宋体" w:hAnsi="宋体" w:cs="宋体"/>
          <w:sz w:val="32"/>
          <w:szCs w:val="32"/>
        </w:rPr>
      </w:pPr>
    </w:p>
    <w:p>
      <w:pPr>
        <w:pageBreakBefore w:val="0"/>
        <w:kinsoku/>
        <w:overflowPunct/>
        <w:bidi w:val="0"/>
        <w:spacing w:line="360" w:lineRule="auto"/>
        <w:jc w:val="center"/>
        <w:rPr>
          <w:rFonts w:hint="eastAsia" w:ascii="宋体" w:hAnsi="宋体" w:cs="宋体"/>
          <w:sz w:val="32"/>
          <w:szCs w:val="32"/>
        </w:rPr>
      </w:pPr>
    </w:p>
    <w:p>
      <w:pPr>
        <w:pageBreakBefore w:val="0"/>
        <w:kinsoku/>
        <w:overflowPunct/>
        <w:bidi w:val="0"/>
        <w:spacing w:line="360" w:lineRule="auto"/>
        <w:jc w:val="center"/>
        <w:rPr>
          <w:rFonts w:hint="eastAsia" w:ascii="宋体" w:hAnsi="宋体" w:cs="宋体"/>
          <w:sz w:val="32"/>
          <w:szCs w:val="32"/>
        </w:rPr>
      </w:pPr>
    </w:p>
    <w:p>
      <w:pPr>
        <w:pageBreakBefore w:val="0"/>
        <w:kinsoku/>
        <w:overflowPunct/>
        <w:bidi w:val="0"/>
        <w:spacing w:line="360" w:lineRule="auto"/>
        <w:jc w:val="center"/>
        <w:rPr>
          <w:rFonts w:hint="eastAsia" w:ascii="宋体" w:hAnsi="宋体" w:cs="宋体"/>
          <w:sz w:val="32"/>
          <w:szCs w:val="32"/>
        </w:rPr>
      </w:pPr>
    </w:p>
    <w:p>
      <w:pPr>
        <w:pageBreakBefore w:val="0"/>
        <w:kinsoku/>
        <w:overflowPunct/>
        <w:bidi w:val="0"/>
        <w:spacing w:line="360" w:lineRule="auto"/>
        <w:jc w:val="center"/>
        <w:rPr>
          <w:rFonts w:hint="eastAsia" w:ascii="宋体" w:hAnsi="宋体" w:cs="宋体"/>
          <w:sz w:val="32"/>
          <w:szCs w:val="32"/>
        </w:rPr>
      </w:pPr>
    </w:p>
    <w:p>
      <w:pPr>
        <w:pageBreakBefore w:val="0"/>
        <w:kinsoku/>
        <w:overflowPunct/>
        <w:bidi w:val="0"/>
        <w:spacing w:line="360" w:lineRule="auto"/>
        <w:jc w:val="center"/>
        <w:rPr>
          <w:rFonts w:hint="eastAsia" w:ascii="宋体" w:hAnsi="宋体" w:cs="宋体"/>
          <w:sz w:val="32"/>
          <w:szCs w:val="32"/>
          <w:u w:val="single"/>
        </w:rPr>
      </w:pPr>
      <w:r>
        <w:rPr>
          <w:rFonts w:hint="eastAsia" w:ascii="宋体" w:hAnsi="宋体" w:cs="宋体"/>
          <w:sz w:val="32"/>
          <w:szCs w:val="32"/>
          <w:u w:val="single"/>
        </w:rPr>
        <w:t>比选申请单位名称全称（盖单位公章）</w:t>
      </w:r>
    </w:p>
    <w:p>
      <w:pPr>
        <w:pageBreakBefore w:val="0"/>
        <w:kinsoku/>
        <w:overflowPunct/>
        <w:bidi w:val="0"/>
        <w:spacing w:line="360" w:lineRule="auto"/>
        <w:jc w:val="center"/>
        <w:rPr>
          <w:rFonts w:hint="eastAsia" w:ascii="宋体" w:hAnsi="宋体" w:cs="宋体"/>
          <w:sz w:val="32"/>
          <w:szCs w:val="32"/>
          <w:u w:val="single"/>
        </w:rPr>
      </w:pPr>
    </w:p>
    <w:p>
      <w:pPr>
        <w:pStyle w:val="11"/>
        <w:pageBreakBefore w:val="0"/>
        <w:kinsoku/>
        <w:overflowPunct/>
        <w:bidi w:val="0"/>
        <w:spacing w:line="360" w:lineRule="auto"/>
        <w:rPr>
          <w:rFonts w:hint="eastAsia"/>
          <w:color w:val="auto"/>
        </w:rPr>
      </w:pPr>
    </w:p>
    <w:p>
      <w:pPr>
        <w:pStyle w:val="11"/>
        <w:pageBreakBefore w:val="0"/>
        <w:kinsoku/>
        <w:overflowPunct/>
        <w:bidi w:val="0"/>
        <w:spacing w:line="360" w:lineRule="auto"/>
        <w:rPr>
          <w:rFonts w:hint="eastAsia"/>
          <w:color w:val="auto"/>
        </w:rPr>
      </w:pPr>
    </w:p>
    <w:p>
      <w:pPr>
        <w:pageBreakBefore w:val="0"/>
        <w:tabs>
          <w:tab w:val="left" w:pos="900"/>
          <w:tab w:val="left" w:pos="1080"/>
        </w:tabs>
        <w:kinsoku/>
        <w:overflowPunct/>
        <w:bidi w:val="0"/>
        <w:spacing w:line="360" w:lineRule="auto"/>
        <w:jc w:val="center"/>
        <w:outlineLvl w:val="0"/>
        <w:rPr>
          <w:rFonts w:hint="eastAsia" w:ascii="Arial" w:hAnsi="Arial" w:cs="Arial"/>
          <w:b/>
          <w:sz w:val="24"/>
        </w:rPr>
        <w:sectPr>
          <w:pgSz w:w="11906" w:h="16838"/>
          <w:pgMar w:top="1418" w:right="991" w:bottom="1418" w:left="136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ageBreakBefore w:val="0"/>
        <w:tabs>
          <w:tab w:val="left" w:pos="900"/>
          <w:tab w:val="left" w:pos="1080"/>
        </w:tabs>
        <w:kinsoku/>
        <w:overflowPunct/>
        <w:bidi w:val="0"/>
        <w:spacing w:line="360" w:lineRule="auto"/>
        <w:jc w:val="center"/>
        <w:outlineLvl w:val="0"/>
        <w:rPr>
          <w:rFonts w:hint="eastAsia" w:ascii="Arial" w:hAnsi="Arial" w:cs="Arial"/>
          <w:b/>
          <w:sz w:val="24"/>
        </w:rPr>
      </w:pPr>
      <w:r>
        <w:rPr>
          <w:rFonts w:hint="eastAsia" w:ascii="Arial" w:hAnsi="Arial" w:cs="Arial"/>
          <w:b/>
          <w:sz w:val="24"/>
        </w:rPr>
        <w:t>目  录</w:t>
      </w:r>
    </w:p>
    <w:p>
      <w:pPr>
        <w:pageBreakBefore w:val="0"/>
        <w:tabs>
          <w:tab w:val="left" w:pos="900"/>
          <w:tab w:val="left" w:pos="1080"/>
        </w:tabs>
        <w:kinsoku/>
        <w:overflowPunct/>
        <w:bidi w:val="0"/>
        <w:spacing w:line="360" w:lineRule="auto"/>
        <w:jc w:val="center"/>
        <w:outlineLvl w:val="0"/>
        <w:rPr>
          <w:rFonts w:hint="eastAsia" w:ascii="Arial" w:hAnsi="Arial" w:cs="Arial"/>
          <w:b/>
          <w:sz w:val="24"/>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textAlignment w:val="auto"/>
        <w:outlineLvl w:val="0"/>
        <w:rPr>
          <w:rFonts w:hint="eastAsia"/>
          <w:szCs w:val="21"/>
        </w:rPr>
      </w:pPr>
      <w:r>
        <w:rPr>
          <w:rFonts w:hint="eastAsia"/>
          <w:szCs w:val="21"/>
        </w:rPr>
        <w:t>一、报价书</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textAlignment w:val="auto"/>
        <w:outlineLvl w:val="0"/>
        <w:rPr>
          <w:rFonts w:hint="eastAsia"/>
          <w:szCs w:val="21"/>
        </w:rPr>
      </w:pPr>
      <w:r>
        <w:rPr>
          <w:rFonts w:hint="eastAsia"/>
          <w:szCs w:val="21"/>
        </w:rPr>
        <w:t>二、法定代表人身份证明及授权委托书</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textAlignment w:val="auto"/>
        <w:outlineLvl w:val="0"/>
        <w:rPr>
          <w:rFonts w:hint="eastAsia"/>
          <w:color w:val="auto"/>
          <w:szCs w:val="21"/>
          <w:highlight w:val="none"/>
        </w:rPr>
      </w:pPr>
      <w:r>
        <w:rPr>
          <w:rFonts w:hint="eastAsia"/>
          <w:szCs w:val="21"/>
        </w:rPr>
        <w:t>三、比选申请单位有效的营业执照</w:t>
      </w:r>
      <w:r>
        <w:rPr>
          <w:rFonts w:hint="eastAsia"/>
          <w:szCs w:val="21"/>
          <w:lang w:eastAsia="zh-CN"/>
        </w:rPr>
        <w:t>、</w:t>
      </w:r>
      <w:r>
        <w:rPr>
          <w:rFonts w:hint="eastAsia"/>
          <w:color w:val="auto"/>
          <w:szCs w:val="21"/>
          <w:highlight w:val="none"/>
        </w:rPr>
        <w:t>银行开户许可证</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1"/>
          <w:highlight w:val="none"/>
          <w:lang w:val="en-US" w:eastAsia="zh-CN"/>
        </w:rPr>
      </w:pPr>
      <w:r>
        <w:rPr>
          <w:rFonts w:hint="eastAsia"/>
          <w:color w:val="auto"/>
          <w:szCs w:val="21"/>
          <w:highlight w:val="none"/>
          <w:lang w:val="en-US" w:eastAsia="zh-CN"/>
        </w:rPr>
        <w:t>四、比选人自行承诺部分</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color w:val="auto"/>
          <w:szCs w:val="21"/>
          <w:highlight w:val="none"/>
          <w:lang w:val="en-US" w:eastAsia="zh-CN"/>
        </w:rPr>
        <w:t>五、投标保证金缴纳凭证</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textAlignment w:val="auto"/>
        <w:outlineLvl w:val="0"/>
        <w:rPr>
          <w:rFonts w:hint="eastAsia"/>
          <w:szCs w:val="21"/>
        </w:rPr>
      </w:pPr>
      <w:r>
        <w:rPr>
          <w:rFonts w:hint="eastAsia"/>
          <w:szCs w:val="21"/>
          <w:lang w:val="en-US" w:eastAsia="zh-CN"/>
        </w:rPr>
        <w:t>六</w:t>
      </w:r>
      <w:r>
        <w:rPr>
          <w:rFonts w:hint="eastAsia"/>
          <w:szCs w:val="21"/>
        </w:rPr>
        <w:t>、已标价报价清单</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center"/>
        <w:textAlignment w:val="auto"/>
        <w:outlineLvl w:val="0"/>
        <w:rPr>
          <w:rFonts w:hint="eastAsia" w:ascii="宋体" w:hAnsi="宋体" w:cs="宋体"/>
          <w:b/>
          <w:sz w:val="24"/>
        </w:rPr>
      </w:pPr>
    </w:p>
    <w:p>
      <w:pPr>
        <w:pStyle w:val="11"/>
        <w:pageBreakBefore w:val="0"/>
        <w:kinsoku/>
        <w:overflowPunct/>
        <w:bidi w:val="0"/>
        <w:spacing w:line="360" w:lineRule="auto"/>
        <w:rPr>
          <w:rFonts w:hint="eastAsia"/>
          <w:color w:val="auto"/>
        </w:rPr>
      </w:pPr>
    </w:p>
    <w:p>
      <w:pPr>
        <w:pStyle w:val="11"/>
        <w:pageBreakBefore w:val="0"/>
        <w:kinsoku/>
        <w:overflowPunct/>
        <w:bidi w:val="0"/>
        <w:spacing w:line="360" w:lineRule="auto"/>
        <w:rPr>
          <w:rFonts w:hint="eastAsia"/>
          <w:color w:val="auto"/>
        </w:rPr>
      </w:pPr>
    </w:p>
    <w:p>
      <w:pPr>
        <w:pageBreakBefore w:val="0"/>
        <w:tabs>
          <w:tab w:val="left" w:pos="900"/>
          <w:tab w:val="left" w:pos="1080"/>
        </w:tabs>
        <w:kinsoku/>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overflowPunct/>
        <w:bidi w:val="0"/>
        <w:spacing w:line="360" w:lineRule="auto"/>
        <w:jc w:val="center"/>
        <w:outlineLvl w:val="0"/>
        <w:rPr>
          <w:rFonts w:hint="eastAsia" w:ascii="宋体" w:hAnsi="宋体" w:cs="宋体"/>
          <w:b/>
          <w:sz w:val="24"/>
        </w:rPr>
      </w:pPr>
    </w:p>
    <w:p>
      <w:pPr>
        <w:pStyle w:val="11"/>
        <w:pageBreakBefore w:val="0"/>
        <w:kinsoku/>
        <w:overflowPunct/>
        <w:bidi w:val="0"/>
        <w:spacing w:line="360" w:lineRule="auto"/>
        <w:rPr>
          <w:rFonts w:hint="eastAsia"/>
          <w:color w:val="auto"/>
        </w:rPr>
      </w:pPr>
    </w:p>
    <w:p>
      <w:pPr>
        <w:pStyle w:val="11"/>
        <w:pageBreakBefore w:val="0"/>
        <w:kinsoku/>
        <w:overflowPunct/>
        <w:bidi w:val="0"/>
        <w:spacing w:line="360" w:lineRule="auto"/>
        <w:rPr>
          <w:rFonts w:hint="eastAsia"/>
          <w:color w:val="auto"/>
        </w:rPr>
      </w:pPr>
    </w:p>
    <w:p>
      <w:pPr>
        <w:pStyle w:val="11"/>
        <w:pageBreakBefore w:val="0"/>
        <w:kinsoku/>
        <w:overflowPunct/>
        <w:bidi w:val="0"/>
        <w:spacing w:line="360" w:lineRule="auto"/>
        <w:rPr>
          <w:rFonts w:hint="eastAsia"/>
          <w:color w:val="auto"/>
        </w:rPr>
      </w:pPr>
    </w:p>
    <w:p>
      <w:pPr>
        <w:pStyle w:val="11"/>
        <w:pageBreakBefore w:val="0"/>
        <w:kinsoku/>
        <w:overflowPunct/>
        <w:bidi w:val="0"/>
        <w:spacing w:line="360" w:lineRule="auto"/>
        <w:rPr>
          <w:rFonts w:hint="eastAsia"/>
          <w:color w:val="auto"/>
        </w:rPr>
      </w:pPr>
    </w:p>
    <w:p>
      <w:pPr>
        <w:pStyle w:val="11"/>
        <w:pageBreakBefore w:val="0"/>
        <w:kinsoku/>
        <w:overflowPunct/>
        <w:bidi w:val="0"/>
        <w:spacing w:line="360" w:lineRule="auto"/>
        <w:rPr>
          <w:rFonts w:hint="eastAsia"/>
          <w:color w:val="auto"/>
        </w:rPr>
      </w:pPr>
    </w:p>
    <w:p>
      <w:pPr>
        <w:pStyle w:val="11"/>
        <w:pageBreakBefore w:val="0"/>
        <w:kinsoku/>
        <w:overflowPunct/>
        <w:bidi w:val="0"/>
        <w:spacing w:line="360" w:lineRule="auto"/>
        <w:rPr>
          <w:rFonts w:hint="eastAsia"/>
          <w:color w:val="auto"/>
        </w:rPr>
      </w:pPr>
    </w:p>
    <w:p>
      <w:pPr>
        <w:pStyle w:val="11"/>
        <w:pageBreakBefore w:val="0"/>
        <w:kinsoku/>
        <w:overflowPunct/>
        <w:bidi w:val="0"/>
        <w:spacing w:line="360" w:lineRule="auto"/>
        <w:rPr>
          <w:rFonts w:hint="eastAsia"/>
          <w:color w:val="auto"/>
        </w:rPr>
      </w:pPr>
    </w:p>
    <w:p>
      <w:pPr>
        <w:pageBreakBefore w:val="0"/>
        <w:kinsoku/>
        <w:overflowPunct/>
        <w:bidi w:val="0"/>
        <w:spacing w:line="360" w:lineRule="auto"/>
        <w:outlineLvl w:val="1"/>
        <w:rPr>
          <w:rFonts w:hint="eastAsia" w:ascii="宋体" w:hAnsi="宋体" w:cs="宋体"/>
          <w:b/>
        </w:rPr>
      </w:pPr>
    </w:p>
    <w:p>
      <w:pPr>
        <w:pageBreakBefore w:val="0"/>
        <w:kinsoku/>
        <w:overflowPunct/>
        <w:bidi w:val="0"/>
        <w:spacing w:line="360" w:lineRule="auto"/>
        <w:jc w:val="center"/>
        <w:outlineLvl w:val="2"/>
        <w:rPr>
          <w:rFonts w:hint="eastAsia" w:ascii="宋体" w:hAnsi="宋体" w:cs="宋体"/>
          <w:b/>
          <w:sz w:val="28"/>
          <w:szCs w:val="28"/>
        </w:rPr>
      </w:pPr>
      <w:bookmarkStart w:id="34" w:name="_Toc265510122"/>
      <w:r>
        <w:rPr>
          <w:rFonts w:hint="eastAsia" w:ascii="宋体" w:hAnsi="宋体" w:cs="宋体"/>
          <w:b/>
          <w:sz w:val="28"/>
          <w:szCs w:val="28"/>
        </w:rPr>
        <w:t>一、报价书</w:t>
      </w:r>
      <w:bookmarkEnd w:id="3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rFonts w:hint="eastAsia" w:ascii="宋体" w:hAnsi="宋体"/>
          <w:b/>
          <w:u w:val="single"/>
        </w:rPr>
        <w:t>致：重庆通力高速公路养护工程有限公司</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center"/>
        <w:textAlignment w:val="auto"/>
        <w:rPr>
          <w:rFonts w:hint="eastAsia"/>
          <w:lang w:eastAsia="zh-CN"/>
        </w:rPr>
      </w:pPr>
      <w:r>
        <w:rPr>
          <w:szCs w:val="21"/>
        </w:rPr>
        <w:t>我方已仔细研究了</w:t>
      </w:r>
      <w:r>
        <w:rPr>
          <w:rFonts w:hint="eastAsia" w:ascii="宋体" w:hAnsi="宋体"/>
          <w:b/>
          <w:bCs/>
          <w:szCs w:val="21"/>
          <w:u w:val="single"/>
        </w:rPr>
        <w:t>重庆通力高速公路养护工程有限公司</w:t>
      </w:r>
      <w:r>
        <w:rPr>
          <w:rFonts w:hint="eastAsia" w:ascii="宋体" w:hAnsi="宋体" w:eastAsia="宋体" w:cs="Times New Roman"/>
          <w:b/>
          <w:bCs/>
          <w:szCs w:val="21"/>
          <w:u w:val="single"/>
          <w:lang w:val="en-US" w:eastAsia="zh-CN"/>
        </w:rPr>
        <w:t>绕城高速复兴服务区导视系统改善</w:t>
      </w:r>
      <w:r>
        <w:rPr>
          <w:rFonts w:hint="eastAsia" w:ascii="宋体" w:hAnsi="宋体" w:eastAsia="宋体" w:cs="Times New Roman"/>
          <w:b/>
          <w:bCs/>
          <w:szCs w:val="21"/>
          <w:u w:val="single"/>
          <w:lang w:eastAsia="zh-CN"/>
        </w:rPr>
        <w:t>工程</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ascii="宋体" w:hAnsi="宋体" w:eastAsia="宋体" w:cs="Times New Roman"/>
          <w:b/>
          <w:bCs/>
          <w:szCs w:val="21"/>
          <w:u w:val="single"/>
          <w:lang w:val="en-US" w:eastAsia="zh-CN"/>
        </w:rPr>
        <w:t>导视系统和发光字体</w:t>
      </w:r>
      <w:r>
        <w:rPr>
          <w:rFonts w:hint="eastAsia" w:ascii="宋体" w:hAnsi="宋体"/>
          <w:b/>
          <w:bCs/>
          <w:szCs w:val="21"/>
          <w:u w:val="single"/>
        </w:rPr>
        <w:t>采购</w:t>
      </w:r>
      <w:r>
        <w:rPr>
          <w:rFonts w:hint="eastAsia"/>
          <w:szCs w:val="21"/>
        </w:rPr>
        <w:t>竞争性比选文件</w:t>
      </w:r>
      <w:r>
        <w:rPr>
          <w:szCs w:val="21"/>
        </w:rPr>
        <w:t>的全部内容，</w:t>
      </w:r>
      <w:r>
        <w:rPr>
          <w:rFonts w:hint="eastAsia"/>
          <w:szCs w:val="21"/>
        </w:rPr>
        <w:t>根据相关取费标准，愿意以总报价（大写）</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w:t>
      </w:r>
      <w:r>
        <w:rPr>
          <w:rFonts w:hint="eastAsia"/>
          <w:szCs w:val="21"/>
          <w:lang w:val="en-US" w:eastAsia="zh-CN"/>
        </w:rPr>
        <w:t>竞标</w:t>
      </w:r>
      <w:r>
        <w:rPr>
          <w:rFonts w:hint="eastAsia"/>
          <w:szCs w:val="21"/>
        </w:rPr>
        <w:t>，并按</w:t>
      </w:r>
      <w:r>
        <w:rPr>
          <w:szCs w:val="21"/>
        </w:rPr>
        <w:t>约定实施。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szCs w:val="21"/>
        </w:rPr>
        <w:t>2．我方承诺在投标有效期内不修改、撤销</w:t>
      </w:r>
      <w:r>
        <w:rPr>
          <w:rFonts w:hint="eastAsia"/>
          <w:szCs w:val="21"/>
        </w:rPr>
        <w:t>比选申请文件</w:t>
      </w:r>
      <w:r>
        <w:rPr>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3．</w:t>
      </w:r>
      <w:r>
        <w:rPr>
          <w:rFonts w:hint="eastAsia"/>
        </w:rPr>
        <w:t>我方在此声明，所递交的比选申请文件及有关资料内容完整、真实和准确。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p>
    <w:p>
      <w:pPr>
        <w:pageBreakBefore w:val="0"/>
        <w:kinsoku/>
        <w:overflowPunct/>
        <w:bidi w:val="0"/>
        <w:spacing w:line="360" w:lineRule="auto"/>
        <w:rPr>
          <w:szCs w:val="21"/>
        </w:rPr>
      </w:pPr>
    </w:p>
    <w:p>
      <w:pPr>
        <w:pageBreakBefore w:val="0"/>
        <w:kinsoku/>
        <w:overflowPunct/>
        <w:bidi w:val="0"/>
        <w:spacing w:line="360" w:lineRule="auto"/>
        <w:rPr>
          <w:rFonts w:hint="eastAsia"/>
          <w:szCs w:val="21"/>
        </w:rPr>
      </w:pPr>
    </w:p>
    <w:p>
      <w:pPr>
        <w:pageBreakBefore w:val="0"/>
        <w:kinsoku/>
        <w:overflowPunct/>
        <w:bidi w:val="0"/>
        <w:spacing w:line="360" w:lineRule="auto"/>
        <w:ind w:firstLine="3675" w:firstLineChars="1750"/>
        <w:rPr>
          <w:szCs w:val="21"/>
        </w:rPr>
      </w:pPr>
      <w:r>
        <w:rPr>
          <w:rFonts w:hint="eastAsia"/>
          <w:szCs w:val="21"/>
        </w:rPr>
        <w:t>比选申请</w:t>
      </w:r>
      <w:r>
        <w:rPr>
          <w:szCs w:val="21"/>
        </w:rPr>
        <w:t>人：</w:t>
      </w:r>
      <w:r>
        <w:rPr>
          <w:szCs w:val="21"/>
          <w:u w:val="single"/>
        </w:rPr>
        <w:t xml:space="preserve">                      </w:t>
      </w:r>
      <w:r>
        <w:rPr>
          <w:szCs w:val="21"/>
        </w:rPr>
        <w:t>（盖单位章）</w:t>
      </w:r>
    </w:p>
    <w:p>
      <w:pPr>
        <w:pageBreakBefore w:val="0"/>
        <w:kinsoku/>
        <w:overflowPunct/>
        <w:bidi w:val="0"/>
        <w:spacing w:line="360" w:lineRule="auto"/>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pageBreakBefore w:val="0"/>
        <w:kinsoku/>
        <w:overflowPunct/>
        <w:bidi w:val="0"/>
        <w:spacing w:line="360" w:lineRule="auto"/>
        <w:ind w:firstLine="3675" w:firstLineChars="1750"/>
        <w:rPr>
          <w:rFonts w:hint="eastAsia"/>
          <w:szCs w:val="21"/>
        </w:rPr>
      </w:pPr>
      <w:r>
        <w:rPr>
          <w:szCs w:val="21"/>
        </w:rPr>
        <w:t>地址：</w:t>
      </w:r>
      <w:r>
        <w:rPr>
          <w:szCs w:val="21"/>
          <w:u w:val="single"/>
        </w:rPr>
        <w:t xml:space="preserve">                                     </w:t>
      </w:r>
    </w:p>
    <w:p>
      <w:pPr>
        <w:pageBreakBefore w:val="0"/>
        <w:kinsoku/>
        <w:overflowPunct/>
        <w:bidi w:val="0"/>
        <w:spacing w:line="360" w:lineRule="auto"/>
        <w:ind w:firstLine="3675" w:firstLineChars="1750"/>
        <w:rPr>
          <w:szCs w:val="21"/>
        </w:rPr>
      </w:pPr>
      <w:r>
        <w:rPr>
          <w:szCs w:val="21"/>
        </w:rPr>
        <w:t>网址：</w:t>
      </w:r>
      <w:r>
        <w:rPr>
          <w:szCs w:val="21"/>
          <w:u w:val="single"/>
        </w:rPr>
        <w:t xml:space="preserve">                                     </w:t>
      </w:r>
    </w:p>
    <w:p>
      <w:pPr>
        <w:pageBreakBefore w:val="0"/>
        <w:kinsoku/>
        <w:overflowPunct/>
        <w:bidi w:val="0"/>
        <w:spacing w:line="360" w:lineRule="auto"/>
        <w:ind w:firstLine="3675" w:firstLineChars="1750"/>
        <w:rPr>
          <w:rFonts w:hint="eastAsia"/>
          <w:szCs w:val="21"/>
        </w:rPr>
      </w:pPr>
      <w:r>
        <w:rPr>
          <w:szCs w:val="21"/>
        </w:rPr>
        <w:t>电话：</w:t>
      </w:r>
      <w:r>
        <w:rPr>
          <w:szCs w:val="21"/>
          <w:u w:val="single"/>
        </w:rPr>
        <w:t xml:space="preserve">                                     </w:t>
      </w:r>
    </w:p>
    <w:p>
      <w:pPr>
        <w:pageBreakBefore w:val="0"/>
        <w:kinsoku/>
        <w:overflowPunct/>
        <w:bidi w:val="0"/>
        <w:spacing w:line="360" w:lineRule="auto"/>
        <w:ind w:firstLine="3675" w:firstLineChars="1750"/>
        <w:rPr>
          <w:rFonts w:hint="eastAsia"/>
          <w:szCs w:val="21"/>
        </w:rPr>
      </w:pPr>
      <w:r>
        <w:rPr>
          <w:szCs w:val="21"/>
        </w:rPr>
        <w:t>传真：</w:t>
      </w:r>
      <w:r>
        <w:rPr>
          <w:szCs w:val="21"/>
          <w:u w:val="single"/>
        </w:rPr>
        <w:t xml:space="preserve">                                     </w:t>
      </w:r>
    </w:p>
    <w:p>
      <w:pPr>
        <w:pageBreakBefore w:val="0"/>
        <w:kinsoku/>
        <w:overflowPunct/>
        <w:bidi w:val="0"/>
        <w:spacing w:line="360" w:lineRule="auto"/>
        <w:ind w:firstLine="3675" w:firstLineChars="1750"/>
        <w:rPr>
          <w:rFonts w:hint="eastAsia"/>
          <w:szCs w:val="21"/>
        </w:rPr>
      </w:pPr>
      <w:r>
        <w:rPr>
          <w:szCs w:val="21"/>
        </w:rPr>
        <w:t>邮政编码：</w:t>
      </w:r>
      <w:r>
        <w:rPr>
          <w:szCs w:val="21"/>
          <w:u w:val="single"/>
        </w:rPr>
        <w:t xml:space="preserve">                                 </w:t>
      </w:r>
    </w:p>
    <w:p>
      <w:pPr>
        <w:pageBreakBefore w:val="0"/>
        <w:kinsoku/>
        <w:overflowPunct/>
        <w:bidi w:val="0"/>
        <w:spacing w:line="360" w:lineRule="auto"/>
        <w:ind w:firstLine="3675" w:firstLineChars="1750"/>
        <w:rPr>
          <w:szCs w:val="21"/>
        </w:rPr>
      </w:pPr>
    </w:p>
    <w:p>
      <w:pPr>
        <w:pageBreakBefore w:val="0"/>
        <w:kinsoku/>
        <w:overflowPunct/>
        <w:bidi w:val="0"/>
        <w:spacing w:line="360" w:lineRule="auto"/>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pageBreakBefore w:val="0"/>
        <w:kinsoku/>
        <w:overflowPunct/>
        <w:bidi w:val="0"/>
        <w:spacing w:line="360" w:lineRule="auto"/>
        <w:ind w:firstLine="2003" w:firstLineChars="950"/>
        <w:outlineLvl w:val="1"/>
        <w:rPr>
          <w:rFonts w:hint="eastAsia" w:ascii="宋体" w:hAnsi="宋体" w:cs="宋体"/>
          <w:b/>
        </w:rPr>
      </w:pPr>
    </w:p>
    <w:p>
      <w:pPr>
        <w:pageBreakBefore w:val="0"/>
        <w:kinsoku/>
        <w:overflowPunct/>
        <w:bidi w:val="0"/>
        <w:spacing w:line="360" w:lineRule="auto"/>
        <w:ind w:firstLine="2003" w:firstLineChars="950"/>
        <w:outlineLvl w:val="1"/>
        <w:rPr>
          <w:rFonts w:hint="eastAsia" w:ascii="宋体" w:hAnsi="宋体" w:cs="宋体"/>
          <w:b/>
        </w:rPr>
      </w:pPr>
    </w:p>
    <w:p>
      <w:pPr>
        <w:pStyle w:val="11"/>
        <w:pageBreakBefore w:val="0"/>
        <w:kinsoku/>
        <w:overflowPunct/>
        <w:bidi w:val="0"/>
        <w:spacing w:line="360" w:lineRule="auto"/>
        <w:rPr>
          <w:rFonts w:hint="eastAsia" w:ascii="宋体" w:hAnsi="宋体" w:cs="宋体"/>
          <w:b/>
          <w:color w:val="auto"/>
        </w:rPr>
      </w:pPr>
    </w:p>
    <w:p>
      <w:pPr>
        <w:pStyle w:val="11"/>
        <w:pageBreakBefore w:val="0"/>
        <w:kinsoku/>
        <w:overflowPunct/>
        <w:bidi w:val="0"/>
        <w:spacing w:line="360" w:lineRule="auto"/>
        <w:rPr>
          <w:rFonts w:hint="eastAsia" w:ascii="宋体" w:hAnsi="宋体" w:cs="宋体"/>
          <w:b/>
          <w:color w:val="auto"/>
        </w:rPr>
      </w:pPr>
    </w:p>
    <w:p>
      <w:pPr>
        <w:pStyle w:val="11"/>
        <w:pageBreakBefore w:val="0"/>
        <w:kinsoku/>
        <w:overflowPunct/>
        <w:bidi w:val="0"/>
        <w:spacing w:line="360" w:lineRule="auto"/>
        <w:rPr>
          <w:rFonts w:hint="eastAsia" w:ascii="宋体" w:hAnsi="宋体" w:cs="宋体"/>
          <w:b/>
          <w:color w:val="auto"/>
        </w:rPr>
      </w:pPr>
    </w:p>
    <w:p>
      <w:pPr>
        <w:pageBreakBefore w:val="0"/>
        <w:kinsoku/>
        <w:overflowPunct/>
        <w:bidi w:val="0"/>
        <w:spacing w:line="360" w:lineRule="auto"/>
        <w:ind w:firstLine="2670" w:firstLineChars="950"/>
        <w:outlineLvl w:val="1"/>
        <w:rPr>
          <w:rFonts w:hint="eastAsia" w:ascii="宋体" w:hAnsi="宋体" w:cs="宋体"/>
          <w:b/>
          <w:sz w:val="28"/>
          <w:szCs w:val="28"/>
        </w:rPr>
      </w:pPr>
      <w:r>
        <w:rPr>
          <w:rFonts w:hint="eastAsia" w:ascii="宋体" w:hAnsi="宋体" w:cs="宋体"/>
          <w:b/>
          <w:sz w:val="28"/>
          <w:szCs w:val="28"/>
        </w:rPr>
        <w:t>二、法定代表人身份证明及授权委托书</w:t>
      </w:r>
    </w:p>
    <w:p>
      <w:pPr>
        <w:pageBreakBefore w:val="0"/>
        <w:kinsoku/>
        <w:overflowPunct/>
        <w:bidi w:val="0"/>
        <w:spacing w:line="360" w:lineRule="auto"/>
        <w:rPr>
          <w:rFonts w:hint="eastAsia" w:ascii="宋体" w:hAnsi="宋体" w:cs="宋体"/>
          <w:sz w:val="20"/>
        </w:rPr>
      </w:pPr>
    </w:p>
    <w:p>
      <w:pPr>
        <w:pageBreakBefore w:val="0"/>
        <w:kinsoku/>
        <w:overflowPunct/>
        <w:topLinePunct/>
        <w:bidi w:val="0"/>
        <w:spacing w:line="360" w:lineRule="auto"/>
        <w:ind w:firstLine="422" w:firstLineChars="200"/>
        <w:jc w:val="center"/>
        <w:outlineLvl w:val="2"/>
        <w:rPr>
          <w:b/>
          <w:szCs w:val="21"/>
        </w:rPr>
      </w:pPr>
      <w:bookmarkStart w:id="35" w:name="_Toc262547328"/>
      <w:r>
        <w:rPr>
          <w:rFonts w:hint="eastAsia"/>
          <w:b/>
          <w:szCs w:val="21"/>
        </w:rPr>
        <w:t>（一）法定代表人身份证明</w:t>
      </w:r>
      <w:bookmarkEnd w:id="35"/>
    </w:p>
    <w:p>
      <w:pPr>
        <w:pageBreakBefore w:val="0"/>
        <w:kinsoku/>
        <w:overflowPunct/>
        <w:bidi w:val="0"/>
        <w:spacing w:line="360" w:lineRule="auto"/>
        <w:rPr>
          <w:szCs w:val="21"/>
        </w:rPr>
      </w:pPr>
      <w:r>
        <w:rPr>
          <w:rFonts w:hint="eastAsia"/>
          <w:szCs w:val="21"/>
        </w:rPr>
        <w:t>比选申请人名称：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pageBreakBefore w:val="0"/>
        <w:kinsoku/>
        <w:overflowPunct/>
        <w:bidi w:val="0"/>
        <w:spacing w:line="360" w:lineRule="auto"/>
        <w:rPr>
          <w:szCs w:val="21"/>
        </w:rPr>
      </w:pPr>
      <w:r>
        <w:rPr>
          <w:rFonts w:hint="eastAsia"/>
          <w:szCs w:val="21"/>
        </w:rPr>
        <w:t>单位性质：</w:t>
      </w:r>
      <w:r>
        <w:rPr>
          <w:szCs w:val="21"/>
          <w:u w:val="single"/>
        </w:rPr>
        <w:t xml:space="preserve">                               </w:t>
      </w:r>
      <w:r>
        <w:rPr>
          <w:szCs w:val="21"/>
        </w:rPr>
        <w:t xml:space="preserve"> </w:t>
      </w:r>
    </w:p>
    <w:p>
      <w:pPr>
        <w:pageBreakBefore w:val="0"/>
        <w:kinsoku/>
        <w:overflowPunct/>
        <w:bidi w:val="0"/>
        <w:spacing w:line="360" w:lineRule="auto"/>
        <w:rPr>
          <w:szCs w:val="21"/>
        </w:rPr>
      </w:pPr>
      <w:r>
        <w:rPr>
          <w:rFonts w:hint="eastAsia"/>
          <w:szCs w:val="21"/>
        </w:rPr>
        <w:t>地址：</w:t>
      </w:r>
      <w:r>
        <w:rPr>
          <w:szCs w:val="21"/>
          <w:u w:val="single"/>
        </w:rPr>
        <w:t xml:space="preserve">                                   </w:t>
      </w:r>
    </w:p>
    <w:p>
      <w:pPr>
        <w:pageBreakBefore w:val="0"/>
        <w:kinsoku/>
        <w:overflowPunct/>
        <w:bidi w:val="0"/>
        <w:spacing w:line="360" w:lineRule="auto"/>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pageBreakBefore w:val="0"/>
        <w:kinsoku/>
        <w:overflowPunct/>
        <w:bidi w:val="0"/>
        <w:spacing w:line="360" w:lineRule="auto"/>
        <w:rPr>
          <w:szCs w:val="21"/>
        </w:rPr>
      </w:pPr>
      <w:r>
        <w:rPr>
          <w:rFonts w:hint="eastAsia"/>
          <w:szCs w:val="21"/>
        </w:rPr>
        <w:t>经营期限：</w:t>
      </w:r>
      <w:r>
        <w:rPr>
          <w:szCs w:val="21"/>
          <w:u w:val="single"/>
        </w:rPr>
        <w:t xml:space="preserve">                               </w:t>
      </w:r>
    </w:p>
    <w:p>
      <w:pPr>
        <w:pageBreakBefore w:val="0"/>
        <w:kinsoku/>
        <w:overflowPunct/>
        <w:bidi w:val="0"/>
        <w:spacing w:line="360" w:lineRule="auto"/>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pageBreakBefore w:val="0"/>
        <w:kinsoku/>
        <w:overflowPunct/>
        <w:bidi w:val="0"/>
        <w:spacing w:line="360" w:lineRule="auto"/>
        <w:rPr>
          <w:szCs w:val="21"/>
        </w:rPr>
      </w:pPr>
      <w:r>
        <w:rPr>
          <w:rFonts w:hint="eastAsia"/>
          <w:szCs w:val="21"/>
        </w:rPr>
        <w:t>系</w:t>
      </w:r>
      <w:r>
        <w:rPr>
          <w:szCs w:val="21"/>
          <w:u w:val="single"/>
        </w:rPr>
        <w:t xml:space="preserve">                             </w:t>
      </w:r>
      <w:r>
        <w:rPr>
          <w:szCs w:val="21"/>
        </w:rPr>
        <w:t xml:space="preserve"> </w:t>
      </w:r>
      <w:r>
        <w:rPr>
          <w:rFonts w:hint="eastAsia"/>
          <w:szCs w:val="21"/>
        </w:rPr>
        <w:t>（比选申请人名称）的法定代表人。</w:t>
      </w:r>
    </w:p>
    <w:p>
      <w:pPr>
        <w:pageBreakBefore w:val="0"/>
        <w:kinsoku/>
        <w:overflowPunct/>
        <w:bidi w:val="0"/>
        <w:spacing w:line="360" w:lineRule="auto"/>
        <w:ind w:firstLine="420" w:firstLineChars="200"/>
        <w:rPr>
          <w:szCs w:val="21"/>
        </w:rPr>
      </w:pPr>
      <w:r>
        <w:rPr>
          <w:rFonts w:hint="eastAsia"/>
          <w:szCs w:val="21"/>
        </w:rPr>
        <w:t>特此证明。</w:t>
      </w:r>
    </w:p>
    <w:p>
      <w:pPr>
        <w:pageBreakBefore w:val="0"/>
        <w:kinsoku/>
        <w:overflowPunct/>
        <w:bidi w:val="0"/>
        <w:spacing w:line="360" w:lineRule="auto"/>
        <w:rPr>
          <w:szCs w:val="21"/>
        </w:rPr>
      </w:pPr>
    </w:p>
    <w:p>
      <w:pPr>
        <w:pageBreakBefore w:val="0"/>
        <w:kinsoku/>
        <w:overflowPunct/>
        <w:bidi w:val="0"/>
        <w:spacing w:line="360" w:lineRule="auto"/>
        <w:rPr>
          <w:szCs w:val="21"/>
        </w:rPr>
      </w:pPr>
    </w:p>
    <w:p>
      <w:pPr>
        <w:pageBreakBefore w:val="0"/>
        <w:kinsoku/>
        <w:overflowPunct/>
        <w:bidi w:val="0"/>
        <w:spacing w:line="360" w:lineRule="auto"/>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pageBreakBefore w:val="0"/>
        <w:kinsoku/>
        <w:overflowPunct/>
        <w:bidi w:val="0"/>
        <w:spacing w:line="360" w:lineRule="auto"/>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pageBreakBefore w:val="0"/>
        <w:kinsoku/>
        <w:overflowPunct/>
        <w:bidi w:val="0"/>
        <w:spacing w:line="360" w:lineRule="auto"/>
        <w:ind w:firstLine="105" w:firstLineChars="50"/>
        <w:rPr>
          <w:rFonts w:hint="eastAsia" w:ascii="宋体" w:hAnsi="宋体"/>
          <w:szCs w:val="21"/>
        </w:rPr>
      </w:pPr>
    </w:p>
    <w:p>
      <w:pPr>
        <w:pageBreakBefore w:val="0"/>
        <w:kinsoku/>
        <w:overflowPunct/>
        <w:bidi w:val="0"/>
        <w:spacing w:line="360" w:lineRule="auto"/>
        <w:ind w:firstLine="105" w:firstLineChars="50"/>
        <w:rPr>
          <w:rFonts w:hint="eastAsia" w:ascii="宋体" w:hAnsi="宋体"/>
          <w:szCs w:val="21"/>
        </w:rPr>
      </w:pPr>
    </w:p>
    <w:p>
      <w:pPr>
        <w:pageBreakBefore w:val="0"/>
        <w:kinsoku/>
        <w:overflowPunct/>
        <w:bidi w:val="0"/>
        <w:spacing w:line="360" w:lineRule="auto"/>
        <w:ind w:firstLine="105" w:firstLineChars="50"/>
        <w:rPr>
          <w:rFonts w:hint="eastAsia" w:ascii="宋体" w:hAnsi="宋体"/>
          <w:szCs w:val="21"/>
        </w:rPr>
      </w:pPr>
    </w:p>
    <w:p>
      <w:pPr>
        <w:pageBreakBefore w:val="0"/>
        <w:kinsoku/>
        <w:overflowPunct/>
        <w:bidi w:val="0"/>
        <w:spacing w:line="360" w:lineRule="auto"/>
        <w:ind w:firstLine="105" w:firstLineChars="50"/>
        <w:rPr>
          <w:rFonts w:hint="eastAsia" w:ascii="宋体" w:hAnsi="宋体"/>
          <w:szCs w:val="21"/>
        </w:rPr>
      </w:pPr>
    </w:p>
    <w:p>
      <w:pPr>
        <w:pageBreakBefore w:val="0"/>
        <w:kinsoku/>
        <w:overflowPunct/>
        <w:bidi w:val="0"/>
        <w:spacing w:line="360" w:lineRule="auto"/>
        <w:ind w:firstLine="105" w:firstLineChars="50"/>
        <w:rPr>
          <w:rFonts w:hint="eastAsia" w:ascii="宋体" w:hAnsi="宋体"/>
          <w:szCs w:val="21"/>
        </w:rPr>
      </w:pPr>
      <w:r>
        <w:rPr>
          <w:rFonts w:hint="eastAsia" w:ascii="宋体" w:hAnsi="宋体"/>
          <w:szCs w:val="21"/>
        </w:rPr>
        <w:t>注：1、法定代表人的签字必须是亲笔签名，不得用印章、签名章或其他电子制版签名。</w:t>
      </w:r>
    </w:p>
    <w:p>
      <w:pPr>
        <w:pageBreakBefore w:val="0"/>
        <w:kinsoku/>
        <w:overflowPunct/>
        <w:topLinePunct/>
        <w:bidi w:val="0"/>
        <w:spacing w:line="360" w:lineRule="auto"/>
        <w:jc w:val="center"/>
        <w:outlineLvl w:val="2"/>
        <w:rPr>
          <w:rFonts w:hint="eastAsia" w:ascii="宋体" w:hAnsi="宋体" w:cs="宋体"/>
          <w:b/>
          <w:szCs w:val="21"/>
        </w:rPr>
      </w:pPr>
      <w:r>
        <w:rPr>
          <w:rFonts w:hint="eastAsia" w:ascii="宋体" w:hAnsi="宋体" w:cs="宋体"/>
          <w:sz w:val="20"/>
        </w:rPr>
        <w:br w:type="page"/>
      </w:r>
      <w:bookmarkStart w:id="36" w:name="_Toc262547329"/>
      <w:r>
        <w:rPr>
          <w:rFonts w:hint="eastAsia" w:ascii="宋体" w:hAnsi="宋体" w:cs="宋体"/>
          <w:b/>
          <w:szCs w:val="21"/>
        </w:rPr>
        <w:t>（二）授权委托书</w:t>
      </w:r>
      <w:bookmarkEnd w:id="36"/>
    </w:p>
    <w:p>
      <w:pPr>
        <w:pageBreakBefore w:val="0"/>
        <w:kinsoku/>
        <w:overflowPunct/>
        <w:autoSpaceDE w:val="0"/>
        <w:autoSpaceDN w:val="0"/>
        <w:bidi w:val="0"/>
        <w:adjustRightInd w:val="0"/>
        <w:snapToGrid w:val="0"/>
        <w:spacing w:line="360" w:lineRule="auto"/>
        <w:jc w:val="left"/>
        <w:rPr>
          <w:rFonts w:hint="eastAsia" w:ascii="宋体" w:hAnsi="宋体" w:cs="宋体"/>
          <w:kern w:val="0"/>
          <w:sz w:val="12"/>
          <w:szCs w:val="12"/>
        </w:rPr>
      </w:pPr>
    </w:p>
    <w:p>
      <w:pPr>
        <w:pageBreakBefore w:val="0"/>
        <w:kinsoku/>
        <w:overflowPunct/>
        <w:autoSpaceDE w:val="0"/>
        <w:autoSpaceDN w:val="0"/>
        <w:bidi w:val="0"/>
        <w:adjustRightInd w:val="0"/>
        <w:snapToGrid w:val="0"/>
        <w:spacing w:line="360" w:lineRule="auto"/>
        <w:jc w:val="left"/>
        <w:rPr>
          <w:rFonts w:hint="eastAsia" w:ascii="宋体" w:hAnsi="宋体" w:cs="宋体"/>
          <w:kern w:val="0"/>
          <w:sz w:val="20"/>
        </w:rPr>
      </w:pPr>
    </w:p>
    <w:p>
      <w:pPr>
        <w:keepNext w:val="0"/>
        <w:keepLines w:val="0"/>
        <w:pageBreakBefore w:val="0"/>
        <w:widowControl w:val="0"/>
        <w:kinsoku/>
        <w:wordWrap/>
        <w:overflowPunct/>
        <w:topLinePunct w:val="0"/>
        <w:bidi w:val="0"/>
        <w:spacing w:line="360" w:lineRule="auto"/>
        <w:jc w:val="center"/>
        <w:textAlignment w:val="auto"/>
        <w:rPr>
          <w:rFonts w:hint="eastAsia" w:ascii="宋体" w:hAnsi="宋体"/>
          <w:b/>
          <w:bCs/>
          <w:szCs w:val="21"/>
          <w:u w:val="single"/>
        </w:rPr>
      </w:pPr>
      <w:r>
        <w:rPr>
          <w:rFonts w:hint="eastAsia" w:ascii="宋体" w:hAnsi="宋体" w:cs="宋体"/>
          <w:kern w:val="0"/>
          <w:szCs w:val="21"/>
          <w:lang w:val="en-US" w:eastAsia="zh-CN"/>
        </w:rPr>
        <w:t xml:space="preserve">   </w:t>
      </w: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（比选申请人名称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ascii="宋体" w:hAnsi="宋体"/>
          <w:b w:val="0"/>
          <w:bCs w:val="0"/>
          <w:szCs w:val="21"/>
          <w:u w:val="none"/>
        </w:rPr>
        <w:t>项目</w:t>
      </w:r>
      <w:r>
        <w:rPr>
          <w:rFonts w:hint="eastAsia" w:ascii="宋体" w:hAnsi="宋体"/>
          <w:b/>
          <w:bCs/>
          <w:szCs w:val="21"/>
          <w:u w:val="single"/>
        </w:rPr>
        <w:t>重庆通</w:t>
      </w:r>
    </w:p>
    <w:p>
      <w:pPr>
        <w:keepNext w:val="0"/>
        <w:keepLines w:val="0"/>
        <w:pageBreakBefore w:val="0"/>
        <w:widowControl w:val="0"/>
        <w:kinsoku/>
        <w:wordWrap/>
        <w:overflowPunct/>
        <w:topLinePunct w:val="0"/>
        <w:bidi w:val="0"/>
        <w:spacing w:line="360" w:lineRule="auto"/>
        <w:jc w:val="both"/>
        <w:textAlignment w:val="auto"/>
        <w:rPr>
          <w:rFonts w:hint="eastAsia" w:ascii="宋体" w:hAnsi="宋体" w:cs="宋体"/>
          <w:kern w:val="0"/>
          <w:szCs w:val="21"/>
        </w:rPr>
      </w:pPr>
      <w:r>
        <w:rPr>
          <w:rFonts w:hint="eastAsia" w:ascii="宋体" w:hAnsi="宋体"/>
          <w:b/>
          <w:bCs/>
          <w:szCs w:val="21"/>
          <w:u w:val="single"/>
        </w:rPr>
        <w:t>力高速公路养护工程有限公司</w:t>
      </w:r>
      <w:r>
        <w:rPr>
          <w:rFonts w:hint="eastAsia" w:ascii="宋体" w:hAnsi="宋体" w:eastAsia="宋体" w:cs="Times New Roman"/>
          <w:b/>
          <w:bCs/>
          <w:szCs w:val="21"/>
          <w:u w:val="single"/>
          <w:lang w:val="en-US" w:eastAsia="zh-CN"/>
        </w:rPr>
        <w:t>绕城高速复兴服务区导视系统改善</w:t>
      </w:r>
      <w:r>
        <w:rPr>
          <w:rFonts w:hint="eastAsia" w:ascii="宋体" w:hAnsi="宋体" w:eastAsia="宋体" w:cs="Times New Roman"/>
          <w:b/>
          <w:bCs/>
          <w:szCs w:val="21"/>
          <w:u w:val="single"/>
          <w:lang w:eastAsia="zh-CN"/>
        </w:rPr>
        <w:t>工程</w:t>
      </w:r>
      <w:r>
        <w:rPr>
          <w:rFonts w:hint="eastAsia" w:ascii="宋体" w:hAnsi="宋体" w:eastAsia="宋体" w:cs="Times New Roman"/>
          <w:b/>
          <w:bCs/>
          <w:szCs w:val="21"/>
          <w:u w:val="single"/>
          <w:lang w:val="en-US" w:eastAsia="zh-CN"/>
        </w:rPr>
        <w:t>导视系统和发光字体采购</w:t>
      </w:r>
      <w:r>
        <w:rPr>
          <w:rFonts w:hint="eastAsia" w:ascii="宋体" w:hAnsi="宋体" w:cs="宋体"/>
          <w:kern w:val="0"/>
          <w:szCs w:val="21"/>
        </w:rPr>
        <w:t>报价书、签订合同和处理有关事宜， 其法律后果由我方承担。</w:t>
      </w:r>
    </w:p>
    <w:p>
      <w:pPr>
        <w:keepNext w:val="0"/>
        <w:keepLines w:val="0"/>
        <w:pageBreakBefore w:val="0"/>
        <w:widowControl w:val="0"/>
        <w:tabs>
          <w:tab w:val="left" w:pos="4110"/>
          <w:tab w:val="left" w:pos="8000"/>
        </w:tabs>
        <w:kinsoku/>
        <w:wordWrap/>
        <w:overflowPunct/>
        <w:topLinePunct w:val="0"/>
        <w:autoSpaceDE w:val="0"/>
        <w:autoSpaceDN w:val="0"/>
        <w:bidi w:val="0"/>
        <w:adjustRightInd w:val="0"/>
        <w:snapToGrid w:val="0"/>
        <w:spacing w:line="360" w:lineRule="auto"/>
        <w:ind w:firstLine="420"/>
        <w:textAlignment w:val="auto"/>
        <w:rPr>
          <w:rFonts w:hint="eastAsia"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20"/>
        <w:textAlignment w:val="auto"/>
        <w:rPr>
          <w:rFonts w:hint="eastAsia" w:ascii="宋体" w:hAnsi="宋体" w:cs="宋体"/>
          <w:kern w:val="0"/>
          <w:szCs w:val="21"/>
        </w:rPr>
      </w:pPr>
      <w:r>
        <w:rPr>
          <w:rFonts w:hint="eastAsia" w:ascii="宋体" w:hAnsi="宋体" w:cs="宋体"/>
          <w:kern w:val="0"/>
          <w:szCs w:val="21"/>
        </w:rPr>
        <w:t>代理人无转委托权。</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20"/>
        <w:textAlignment w:val="auto"/>
        <w:rPr>
          <w:rFonts w:hint="eastAsia" w:ascii="宋体" w:hAnsi="宋体" w:cs="宋体"/>
          <w:kern w:val="0"/>
          <w:szCs w:val="21"/>
        </w:rPr>
      </w:pPr>
      <w:r>
        <w:rPr>
          <w:rFonts w:hint="eastAsia" w:ascii="宋体" w:hAnsi="宋体" w:cs="宋体"/>
          <w:kern w:val="0"/>
          <w:szCs w:val="21"/>
        </w:rPr>
        <w:t>附：法定代表人身份证明。</w:t>
      </w:r>
    </w:p>
    <w:p>
      <w:pPr>
        <w:pageBreakBefore w:val="0"/>
        <w:kinsoku/>
        <w:overflowPunct/>
        <w:autoSpaceDE w:val="0"/>
        <w:autoSpaceDN w:val="0"/>
        <w:bidi w:val="0"/>
        <w:adjustRightInd w:val="0"/>
        <w:snapToGrid w:val="0"/>
        <w:spacing w:line="360" w:lineRule="auto"/>
        <w:jc w:val="left"/>
        <w:rPr>
          <w:rFonts w:hint="eastAsia" w:ascii="宋体" w:hAnsi="宋体" w:cs="宋体"/>
          <w:kern w:val="0"/>
          <w:sz w:val="12"/>
          <w:szCs w:val="12"/>
        </w:rPr>
      </w:pPr>
    </w:p>
    <w:p>
      <w:pPr>
        <w:pageBreakBefore w:val="0"/>
        <w:kinsoku/>
        <w:overflowPunct/>
        <w:autoSpaceDE w:val="0"/>
        <w:autoSpaceDN w:val="0"/>
        <w:bidi w:val="0"/>
        <w:adjustRightInd w:val="0"/>
        <w:snapToGrid w:val="0"/>
        <w:spacing w:line="360" w:lineRule="auto"/>
        <w:jc w:val="left"/>
        <w:rPr>
          <w:rFonts w:hint="eastAsia" w:ascii="宋体" w:hAnsi="宋体" w:cs="宋体"/>
          <w:kern w:val="0"/>
          <w:sz w:val="20"/>
        </w:rPr>
      </w:pPr>
    </w:p>
    <w:p>
      <w:pPr>
        <w:pageBreakBefore w:val="0"/>
        <w:tabs>
          <w:tab w:val="left" w:pos="4200"/>
          <w:tab w:val="left" w:pos="4620"/>
        </w:tabs>
        <w:kinsoku/>
        <w:overflowPunct/>
        <w:autoSpaceDE w:val="0"/>
        <w:autoSpaceDN w:val="0"/>
        <w:bidi w:val="0"/>
        <w:adjustRightInd w:val="0"/>
        <w:snapToGrid w:val="0"/>
        <w:spacing w:line="360" w:lineRule="auto"/>
        <w:ind w:firstLine="1694"/>
        <w:jc w:val="left"/>
        <w:rPr>
          <w:rFonts w:hint="eastAsia" w:ascii="宋体" w:hAnsi="宋体" w:cs="宋体"/>
          <w:kern w:val="0"/>
          <w:szCs w:val="21"/>
        </w:rPr>
      </w:pPr>
      <w:r>
        <w:rPr>
          <w:rFonts w:hint="eastAsia" w:ascii="宋体" w:hAnsi="宋体" w:cs="宋体"/>
          <w:kern w:val="0"/>
          <w:szCs w:val="21"/>
        </w:rPr>
        <w:t>比选申请</w:t>
      </w:r>
      <w:r>
        <w:rPr>
          <w:rFonts w:ascii="宋体" w:hAnsi="宋体" w:cs="宋体"/>
          <w:kern w:val="0"/>
          <w:szCs w:val="21"/>
        </w:rPr>
        <w:t>人</w:t>
      </w:r>
      <w:r>
        <w:rPr>
          <w:rFonts w:hint="eastAsia" w:ascii="宋体" w:hAnsi="宋体" w:cs="宋体"/>
          <w:kern w:val="0"/>
          <w:szCs w:val="21"/>
        </w:rPr>
        <w:t>：</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pageBreakBefore w:val="0"/>
        <w:tabs>
          <w:tab w:val="left" w:pos="6300"/>
        </w:tabs>
        <w:kinsoku/>
        <w:overflowPunct/>
        <w:autoSpaceDE w:val="0"/>
        <w:autoSpaceDN w:val="0"/>
        <w:bidi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pageBreakBefore w:val="0"/>
        <w:tabs>
          <w:tab w:val="left" w:pos="5260"/>
        </w:tabs>
        <w:kinsoku/>
        <w:overflowPunct/>
        <w:autoSpaceDE w:val="0"/>
        <w:autoSpaceDN w:val="0"/>
        <w:bidi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pageBreakBefore w:val="0"/>
        <w:tabs>
          <w:tab w:val="left" w:pos="6720"/>
        </w:tabs>
        <w:kinsoku/>
        <w:overflowPunct/>
        <w:autoSpaceDE w:val="0"/>
        <w:autoSpaceDN w:val="0"/>
        <w:bidi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pageBreakBefore w:val="0"/>
        <w:tabs>
          <w:tab w:val="left" w:pos="6825"/>
        </w:tabs>
        <w:kinsoku/>
        <w:overflowPunct/>
        <w:autoSpaceDE w:val="0"/>
        <w:autoSpaceDN w:val="0"/>
        <w:bidi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pageBreakBefore w:val="0"/>
        <w:kinsoku/>
        <w:overflowPunct/>
        <w:autoSpaceDE w:val="0"/>
        <w:autoSpaceDN w:val="0"/>
        <w:bidi w:val="0"/>
        <w:adjustRightInd w:val="0"/>
        <w:snapToGrid w:val="0"/>
        <w:spacing w:line="360" w:lineRule="auto"/>
        <w:jc w:val="left"/>
        <w:rPr>
          <w:rFonts w:hint="eastAsia" w:ascii="宋体" w:hAnsi="宋体" w:cs="宋体"/>
          <w:kern w:val="0"/>
          <w:sz w:val="20"/>
        </w:rPr>
      </w:pPr>
    </w:p>
    <w:p>
      <w:pPr>
        <w:pageBreakBefore w:val="0"/>
        <w:kinsoku/>
        <w:overflowPunct/>
        <w:autoSpaceDE w:val="0"/>
        <w:autoSpaceDN w:val="0"/>
        <w:bidi w:val="0"/>
        <w:adjustRightInd w:val="0"/>
        <w:snapToGrid w:val="0"/>
        <w:spacing w:line="360" w:lineRule="auto"/>
        <w:jc w:val="left"/>
        <w:rPr>
          <w:rFonts w:hint="eastAsia" w:ascii="宋体" w:hAnsi="宋体" w:cs="宋体"/>
          <w:kern w:val="0"/>
          <w:sz w:val="20"/>
        </w:rPr>
      </w:pPr>
    </w:p>
    <w:p>
      <w:pPr>
        <w:pageBreakBefore w:val="0"/>
        <w:kinsoku/>
        <w:overflowPunct/>
        <w:autoSpaceDE w:val="0"/>
        <w:autoSpaceDN w:val="0"/>
        <w:bidi w:val="0"/>
        <w:adjustRightInd w:val="0"/>
        <w:snapToGrid w:val="0"/>
        <w:spacing w:line="360" w:lineRule="auto"/>
        <w:jc w:val="left"/>
        <w:rPr>
          <w:rFonts w:hint="eastAsia" w:ascii="宋体" w:hAnsi="宋体" w:cs="宋体"/>
          <w:kern w:val="0"/>
          <w:sz w:val="20"/>
        </w:rPr>
      </w:pPr>
    </w:p>
    <w:p>
      <w:pPr>
        <w:pageBreakBefore w:val="0"/>
        <w:kinsoku/>
        <w:overflowPunct/>
        <w:autoSpaceDE w:val="0"/>
        <w:autoSpaceDN w:val="0"/>
        <w:bidi w:val="0"/>
        <w:adjustRightInd w:val="0"/>
        <w:snapToGrid w:val="0"/>
        <w:spacing w:line="360" w:lineRule="auto"/>
        <w:jc w:val="left"/>
        <w:rPr>
          <w:rFonts w:hint="eastAsia" w:ascii="宋体" w:hAnsi="宋体" w:cs="宋体"/>
          <w:kern w:val="0"/>
          <w:sz w:val="28"/>
          <w:szCs w:val="28"/>
        </w:rPr>
      </w:pPr>
    </w:p>
    <w:p>
      <w:pPr>
        <w:pageBreakBefore w:val="0"/>
        <w:tabs>
          <w:tab w:val="left" w:pos="4005"/>
          <w:tab w:val="left" w:pos="4100"/>
          <w:tab w:val="left" w:pos="5040"/>
        </w:tabs>
        <w:kinsoku/>
        <w:overflowPunct/>
        <w:autoSpaceDE w:val="0"/>
        <w:autoSpaceDN w:val="0"/>
        <w:bidi w:val="0"/>
        <w:adjustRightInd w:val="0"/>
        <w:snapToGrid w:val="0"/>
        <w:spacing w:line="360" w:lineRule="auto"/>
        <w:ind w:firstLine="3780"/>
        <w:jc w:val="left"/>
        <w:rPr>
          <w:rFonts w:hint="eastAsia"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pageBreakBefore w:val="0"/>
        <w:kinsoku/>
        <w:overflowPunct/>
        <w:autoSpaceDE w:val="0"/>
        <w:autoSpaceDN w:val="0"/>
        <w:bidi w:val="0"/>
        <w:adjustRightInd w:val="0"/>
        <w:snapToGrid w:val="0"/>
        <w:spacing w:line="360" w:lineRule="auto"/>
        <w:jc w:val="left"/>
        <w:rPr>
          <w:rFonts w:hint="eastAsia" w:ascii="宋体" w:hAnsi="宋体" w:cs="宋体"/>
          <w:kern w:val="0"/>
        </w:rPr>
      </w:pPr>
    </w:p>
    <w:p>
      <w:pPr>
        <w:pageBreakBefore w:val="0"/>
        <w:kinsoku/>
        <w:overflowPunct/>
        <w:bidi w:val="0"/>
        <w:spacing w:line="360" w:lineRule="auto"/>
        <w:rPr>
          <w:rFonts w:hint="eastAsia" w:ascii="宋体" w:hAnsi="宋体" w:cs="宋体"/>
        </w:rPr>
      </w:pPr>
    </w:p>
    <w:p>
      <w:pPr>
        <w:pageBreakBefore w:val="0"/>
        <w:kinsoku/>
        <w:overflowPunct/>
        <w:bidi w:val="0"/>
        <w:spacing w:line="360" w:lineRule="auto"/>
        <w:ind w:left="480"/>
        <w:rPr>
          <w:rFonts w:hint="eastAsia" w:ascii="宋体" w:hAnsi="宋体" w:cs="宋体"/>
          <w:szCs w:val="21"/>
          <w:u w:val="single"/>
        </w:rPr>
      </w:pPr>
    </w:p>
    <w:p>
      <w:pPr>
        <w:pageBreakBefore w:val="0"/>
        <w:kinsoku/>
        <w:overflowPunct/>
        <w:bidi w:val="0"/>
        <w:spacing w:line="360" w:lineRule="auto"/>
        <w:ind w:left="480"/>
        <w:rPr>
          <w:rFonts w:hint="eastAsia" w:ascii="宋体" w:hAnsi="宋体" w:cs="宋体"/>
          <w:szCs w:val="21"/>
          <w:u w:val="single"/>
        </w:rPr>
      </w:pPr>
    </w:p>
    <w:p>
      <w:pPr>
        <w:pageBreakBefore w:val="0"/>
        <w:kinsoku/>
        <w:overflowPunct/>
        <w:bidi w:val="0"/>
        <w:spacing w:line="360" w:lineRule="auto"/>
        <w:ind w:left="480"/>
        <w:rPr>
          <w:rFonts w:hint="eastAsia" w:ascii="宋体" w:hAnsi="宋体" w:cs="宋体"/>
          <w:szCs w:val="21"/>
          <w:u w:val="single"/>
        </w:rPr>
      </w:pPr>
    </w:p>
    <w:p>
      <w:pPr>
        <w:pageBreakBefore w:val="0"/>
        <w:kinsoku/>
        <w:overflowPunct/>
        <w:bidi w:val="0"/>
        <w:spacing w:line="360" w:lineRule="auto"/>
        <w:ind w:left="480"/>
        <w:rPr>
          <w:rFonts w:hint="eastAsia" w:ascii="宋体" w:hAnsi="宋体" w:cs="宋体"/>
          <w:szCs w:val="21"/>
          <w:u w:val="single"/>
        </w:rPr>
      </w:pPr>
    </w:p>
    <w:p>
      <w:pPr>
        <w:pageBreakBefore w:val="0"/>
        <w:kinsoku/>
        <w:overflowPunct/>
        <w:bidi w:val="0"/>
        <w:spacing w:line="360" w:lineRule="auto"/>
        <w:ind w:left="480"/>
        <w:rPr>
          <w:rFonts w:hint="eastAsia" w:ascii="宋体" w:hAnsi="宋体" w:cs="宋体"/>
          <w:szCs w:val="21"/>
          <w:u w:val="single"/>
        </w:rPr>
      </w:pPr>
    </w:p>
    <w:p>
      <w:pPr>
        <w:pageBreakBefore w:val="0"/>
        <w:kinsoku/>
        <w:overflowPunct/>
        <w:bidi w:val="0"/>
        <w:spacing w:line="360" w:lineRule="auto"/>
        <w:ind w:left="480"/>
        <w:rPr>
          <w:rFonts w:hint="eastAsia" w:ascii="宋体" w:hAnsi="宋体" w:cs="宋体"/>
          <w:szCs w:val="21"/>
          <w:u w:val="single"/>
        </w:rPr>
      </w:pPr>
    </w:p>
    <w:p>
      <w:pPr>
        <w:pageBreakBefore w:val="0"/>
        <w:kinsoku/>
        <w:overflowPunct/>
        <w:bidi w:val="0"/>
        <w:spacing w:line="360" w:lineRule="auto"/>
        <w:rPr>
          <w:rFonts w:hint="eastAsia" w:ascii="宋体" w:hAnsi="宋体" w:cs="宋体"/>
          <w:sz w:val="28"/>
          <w:szCs w:val="28"/>
        </w:rPr>
      </w:pPr>
    </w:p>
    <w:p>
      <w:pPr>
        <w:pStyle w:val="2"/>
        <w:pageBreakBefore w:val="0"/>
        <w:kinsoku/>
        <w:overflowPunct/>
        <w:bidi w:val="0"/>
        <w:spacing w:line="360" w:lineRule="auto"/>
        <w:rPr>
          <w:rFonts w:hint="eastAsia"/>
        </w:rPr>
      </w:pPr>
    </w:p>
    <w:p>
      <w:pPr>
        <w:pageBreakBefore w:val="0"/>
        <w:kinsoku/>
        <w:overflowPunct/>
        <w:bidi w:val="0"/>
        <w:spacing w:line="360" w:lineRule="auto"/>
        <w:rPr>
          <w:rFonts w:hint="eastAsia" w:ascii="宋体" w:hAnsi="宋体" w:cs="宋体"/>
          <w:sz w:val="28"/>
          <w:szCs w:val="28"/>
        </w:rPr>
      </w:pPr>
    </w:p>
    <w:p>
      <w:pPr>
        <w:pStyle w:val="11"/>
        <w:pageBreakBefore w:val="0"/>
        <w:kinsoku/>
        <w:overflowPunct/>
        <w:bidi w:val="0"/>
        <w:spacing w:line="360" w:lineRule="auto"/>
        <w:rPr>
          <w:rFonts w:hint="eastAsia"/>
          <w:color w:val="auto"/>
        </w:rPr>
      </w:pPr>
    </w:p>
    <w:p>
      <w:pPr>
        <w:pageBreakBefore w:val="0"/>
        <w:tabs>
          <w:tab w:val="left" w:pos="900"/>
          <w:tab w:val="left" w:pos="1080"/>
        </w:tabs>
        <w:kinsoku/>
        <w:overflowPunct/>
        <w:bidi w:val="0"/>
        <w:spacing w:line="360" w:lineRule="auto"/>
        <w:jc w:val="center"/>
        <w:outlineLvl w:val="0"/>
        <w:rPr>
          <w:rFonts w:hint="default" w:ascii="宋体" w:hAnsi="宋体" w:eastAsia="宋体" w:cs="宋体"/>
          <w:b/>
          <w:sz w:val="28"/>
          <w:szCs w:val="28"/>
          <w:lang w:val="en-US" w:eastAsia="zh-CN"/>
        </w:rPr>
        <w:sectPr>
          <w:pgSz w:w="11906" w:h="16838"/>
          <w:pgMar w:top="1418" w:right="991" w:bottom="1418" w:left="1361"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b/>
          <w:sz w:val="28"/>
          <w:szCs w:val="28"/>
        </w:rPr>
        <w:t>三、比选申请单位有效的营业执照</w:t>
      </w:r>
      <w:r>
        <w:rPr>
          <w:rFonts w:hint="eastAsia" w:ascii="宋体" w:hAnsi="宋体" w:cs="宋体"/>
          <w:b/>
          <w:sz w:val="28"/>
          <w:szCs w:val="28"/>
          <w:lang w:eastAsia="zh-CN"/>
        </w:rPr>
        <w:t>、银行</w:t>
      </w:r>
      <w:r>
        <w:rPr>
          <w:rFonts w:hint="eastAsia" w:ascii="宋体" w:hAnsi="宋体" w:cs="宋体"/>
          <w:b/>
          <w:sz w:val="28"/>
          <w:szCs w:val="28"/>
          <w:lang w:val="en-US" w:eastAsia="zh-CN"/>
        </w:rPr>
        <w:t>基本账户信息或开户基本信息</w:t>
      </w:r>
    </w:p>
    <w:p>
      <w:pPr>
        <w:pStyle w:val="2"/>
        <w:pageBreakBefore w:val="0"/>
        <w:numPr>
          <w:ilvl w:val="0"/>
          <w:numId w:val="0"/>
        </w:numPr>
        <w:kinsoku/>
        <w:overflowPunct/>
        <w:bidi w:val="0"/>
        <w:spacing w:line="360" w:lineRule="auto"/>
        <w:rPr>
          <w:rFonts w:hint="eastAsia"/>
          <w:sz w:val="28"/>
          <w:szCs w:val="28"/>
          <w:lang w:val="en-US" w:eastAsia="zh-CN"/>
        </w:rPr>
      </w:pPr>
      <w:r>
        <w:rPr>
          <w:rFonts w:hint="eastAsia"/>
          <w:sz w:val="28"/>
          <w:szCs w:val="28"/>
          <w:lang w:val="en-US" w:eastAsia="zh-CN"/>
        </w:rPr>
        <w:t xml:space="preserve">           </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四、比选申请单位自行承诺部分</w:t>
      </w:r>
    </w:p>
    <w:p>
      <w:pPr>
        <w:pStyle w:val="7"/>
        <w:rPr>
          <w:rFonts w:ascii="宋体" w:hAnsi="宋体" w:cs="宋体"/>
          <w:b w:val="0"/>
          <w:sz w:val="28"/>
          <w:szCs w:val="28"/>
        </w:rPr>
      </w:pPr>
    </w:p>
    <w:p>
      <w:pPr>
        <w:spacing w:line="440" w:lineRule="exact"/>
        <w:rPr>
          <w:szCs w:val="21"/>
        </w:rPr>
      </w:pPr>
      <w:r>
        <w:rPr>
          <w:rFonts w:hint="eastAsia"/>
          <w:szCs w:val="21"/>
        </w:rPr>
        <w:t>重庆通力高速公路养护工程有限公司：</w:t>
      </w:r>
    </w:p>
    <w:p>
      <w:pPr>
        <w:spacing w:line="440" w:lineRule="exact"/>
        <w:ind w:firstLine="630" w:firstLineChars="300"/>
        <w:rPr>
          <w:szCs w:val="21"/>
        </w:rPr>
      </w:pPr>
      <w:r>
        <w:rPr>
          <w:rFonts w:hint="eastAsia"/>
          <w:szCs w:val="21"/>
        </w:rPr>
        <w:t>我司承诺本次报价的所有资料均为真实材料。且在“信用中国”网站（http://www.creditchina.gov.cn/）中未被列入失信被执行人名单（黑名单）。</w:t>
      </w:r>
    </w:p>
    <w:p>
      <w:pPr>
        <w:spacing w:line="440" w:lineRule="exact"/>
        <w:ind w:firstLine="420" w:firstLineChars="200"/>
        <w:rPr>
          <w:szCs w:val="21"/>
        </w:rPr>
      </w:pPr>
      <w:r>
        <w:rPr>
          <w:rFonts w:hint="eastAsia"/>
          <w:szCs w:val="21"/>
        </w:rPr>
        <w:t>我司将按照竞争性比选文件提供合格的材料。若违背竞争性比选文件及合同要求，我司将按照约定接受处罚。</w:t>
      </w:r>
    </w:p>
    <w:p>
      <w:pPr>
        <w:pStyle w:val="11"/>
        <w:rPr>
          <w:rFonts w:ascii="宋体" w:hAnsi="宋体" w:cs="宋体"/>
          <w:b/>
          <w:color w:val="auto"/>
          <w:sz w:val="28"/>
          <w:szCs w:val="28"/>
        </w:rPr>
      </w:pPr>
    </w:p>
    <w:p>
      <w:pPr>
        <w:spacing w:line="440" w:lineRule="exact"/>
        <w:ind w:firstLine="3990" w:firstLineChars="1900"/>
        <w:jc w:val="righ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pStyle w:val="11"/>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11"/>
        <w:jc w:val="right"/>
        <w:rPr>
          <w:rFonts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pStyle w:val="11"/>
        <w:jc w:val="right"/>
        <w:rPr>
          <w:rFonts w:ascii="宋体" w:hAnsi="宋体" w:eastAsia="宋体" w:cs="宋体"/>
          <w:color w:val="auto"/>
          <w:szCs w:val="21"/>
        </w:rPr>
      </w:pPr>
    </w:p>
    <w:p>
      <w:pPr>
        <w:pStyle w:val="11"/>
        <w:jc w:val="right"/>
        <w:rPr>
          <w:rFonts w:ascii="宋体" w:hAnsi="宋体" w:eastAsia="宋体" w:cs="宋体"/>
          <w:color w:val="auto"/>
          <w:szCs w:val="21"/>
        </w:rPr>
      </w:pPr>
    </w:p>
    <w:p>
      <w:pPr>
        <w:spacing w:line="440" w:lineRule="exact"/>
        <w:ind w:firstLine="420" w:firstLineChars="200"/>
        <w:rPr>
          <w:szCs w:val="21"/>
        </w:rPr>
        <w:sectPr>
          <w:pgSz w:w="11906" w:h="16838"/>
          <w:pgMar w:top="1418" w:right="1361" w:bottom="1418" w:left="1361" w:header="851" w:footer="992" w:gutter="0"/>
          <w:cols w:space="720" w:num="1"/>
          <w:docGrid w:type="lines" w:linePitch="312" w:charSpace="0"/>
        </w:sectPr>
      </w:pPr>
      <w:bookmarkStart w:id="37" w:name="_Hlk45640489"/>
      <w:r>
        <w:rPr>
          <w:rFonts w:hint="eastAsia"/>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1089660</wp:posOffset>
            </wp:positionV>
            <wp:extent cx="5486400" cy="2545715"/>
            <wp:effectExtent l="0" t="0" r="0"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486400" cy="2545715"/>
                    </a:xfrm>
                    <a:prstGeom prst="rect">
                      <a:avLst/>
                    </a:prstGeom>
                    <a:noFill/>
                    <a:ln>
                      <a:noFill/>
                    </a:ln>
                  </pic:spPr>
                </pic:pic>
              </a:graphicData>
            </a:graphic>
          </wp:anchor>
        </w:drawing>
      </w:r>
      <w:r>
        <w:rPr>
          <w:rFonts w:hint="eastAsia"/>
          <w:szCs w:val="21"/>
        </w:rPr>
        <w:t>注“比选申请人的信誉承诺”应附比选申请人在“信用中国”网站（http://www.creditchina.gov.cn/）中未被列入失信被惩戒对象的网页截图复印件；在“信用中国”网站（http://www.creditchina.gov.cn/)中</w:t>
      </w:r>
      <w:bookmarkStart w:id="38" w:name="_Hlk45640316"/>
      <w:r>
        <w:rPr>
          <w:rFonts w:hint="eastAsia"/>
          <w:szCs w:val="21"/>
        </w:rPr>
        <w:t>未被列入失信被惩戒</w:t>
      </w:r>
      <w:bookmarkEnd w:id="38"/>
      <w:r>
        <w:rPr>
          <w:rFonts w:hint="eastAsia"/>
          <w:szCs w:val="21"/>
        </w:rPr>
        <w:t>对象由投标人自行截图证明，示例如下：</w:t>
      </w:r>
      <w:bookmarkEnd w:id="37"/>
    </w:p>
    <w:p>
      <w:pPr>
        <w:pStyle w:val="2"/>
        <w:pageBreakBefore w:val="0"/>
        <w:numPr>
          <w:numId w:val="0"/>
        </w:numPr>
        <w:kinsoku/>
        <w:overflowPunct/>
        <w:bidi w:val="0"/>
        <w:spacing w:line="360" w:lineRule="auto"/>
        <w:jc w:val="center"/>
        <w:rPr>
          <w:rFonts w:hint="eastAsia"/>
          <w:sz w:val="28"/>
          <w:szCs w:val="28"/>
          <w:lang w:val="en-US" w:eastAsia="zh-CN"/>
        </w:rPr>
      </w:pPr>
      <w:r>
        <w:rPr>
          <w:rFonts w:hint="eastAsia"/>
          <w:sz w:val="28"/>
          <w:szCs w:val="28"/>
          <w:lang w:val="en-US" w:eastAsia="zh-CN"/>
        </w:rPr>
        <w:t>五、投标保证金缴纳凭证</w:t>
      </w:r>
    </w:p>
    <w:p>
      <w:pPr>
        <w:pStyle w:val="2"/>
        <w:pageBreakBefore w:val="0"/>
        <w:numPr>
          <w:ilvl w:val="0"/>
          <w:numId w:val="0"/>
        </w:numPr>
        <w:kinsoku/>
        <w:overflowPunct/>
        <w:bidi w:val="0"/>
        <w:spacing w:line="360" w:lineRule="auto"/>
        <w:rPr>
          <w:rFonts w:hint="eastAsia"/>
          <w:sz w:val="28"/>
          <w:szCs w:val="28"/>
          <w:lang w:val="en-US" w:eastAsia="zh-CN"/>
        </w:rPr>
      </w:pPr>
    </w:p>
    <w:p>
      <w:pPr>
        <w:rPr>
          <w:rFonts w:hint="eastAsia"/>
          <w:sz w:val="28"/>
          <w:szCs w:val="28"/>
          <w:lang w:val="en-US" w:eastAsia="zh-CN"/>
        </w:rPr>
      </w:pPr>
    </w:p>
    <w:p>
      <w:pPr>
        <w:pStyle w:val="2"/>
        <w:rPr>
          <w:rFonts w:hint="eastAsia"/>
          <w:sz w:val="28"/>
          <w:szCs w:val="28"/>
          <w:lang w:val="en-US" w:eastAsia="zh-CN"/>
        </w:rPr>
      </w:pPr>
    </w:p>
    <w:p>
      <w:pPr>
        <w:rPr>
          <w:rFonts w:hint="eastAsia"/>
          <w:sz w:val="28"/>
          <w:szCs w:val="28"/>
          <w:lang w:val="en-US" w:eastAsia="zh-CN"/>
        </w:rPr>
      </w:pPr>
    </w:p>
    <w:p>
      <w:pPr>
        <w:pStyle w:val="2"/>
        <w:rPr>
          <w:rFonts w:hint="eastAsia"/>
          <w:sz w:val="28"/>
          <w:szCs w:val="28"/>
          <w:lang w:val="en-US" w:eastAsia="zh-CN"/>
        </w:rPr>
      </w:pPr>
    </w:p>
    <w:p>
      <w:pPr>
        <w:rPr>
          <w:rFonts w:hint="eastAsia"/>
          <w:sz w:val="28"/>
          <w:szCs w:val="28"/>
          <w:lang w:val="en-US" w:eastAsia="zh-CN"/>
        </w:rPr>
      </w:pPr>
    </w:p>
    <w:p>
      <w:pPr>
        <w:pStyle w:val="2"/>
        <w:rPr>
          <w:rFonts w:hint="eastAsia"/>
          <w:sz w:val="28"/>
          <w:szCs w:val="28"/>
          <w:lang w:val="en-US" w:eastAsia="zh-CN"/>
        </w:rPr>
      </w:pPr>
    </w:p>
    <w:p>
      <w:pPr>
        <w:rPr>
          <w:rFonts w:hint="eastAsia"/>
          <w:sz w:val="28"/>
          <w:szCs w:val="28"/>
          <w:lang w:val="en-US" w:eastAsia="zh-CN"/>
        </w:rPr>
      </w:pPr>
    </w:p>
    <w:p>
      <w:pPr>
        <w:pStyle w:val="2"/>
        <w:rPr>
          <w:rFonts w:hint="eastAsia"/>
          <w:sz w:val="28"/>
          <w:szCs w:val="28"/>
          <w:lang w:val="en-US" w:eastAsia="zh-CN"/>
        </w:rPr>
      </w:pPr>
    </w:p>
    <w:p>
      <w:pPr>
        <w:rPr>
          <w:rFonts w:hint="eastAsia"/>
          <w:sz w:val="28"/>
          <w:szCs w:val="28"/>
          <w:lang w:val="en-US" w:eastAsia="zh-CN"/>
        </w:rPr>
      </w:pPr>
    </w:p>
    <w:p>
      <w:pPr>
        <w:pStyle w:val="2"/>
        <w:rPr>
          <w:rFonts w:hint="eastAsia"/>
          <w:sz w:val="28"/>
          <w:szCs w:val="28"/>
          <w:lang w:val="en-US" w:eastAsia="zh-CN"/>
        </w:rPr>
      </w:pPr>
    </w:p>
    <w:p>
      <w:pPr>
        <w:rPr>
          <w:rFonts w:hint="eastAsia"/>
          <w:sz w:val="28"/>
          <w:szCs w:val="28"/>
          <w:lang w:val="en-US" w:eastAsia="zh-CN"/>
        </w:rPr>
      </w:pPr>
    </w:p>
    <w:p>
      <w:pPr>
        <w:pStyle w:val="2"/>
        <w:rPr>
          <w:rFonts w:hint="eastAsia"/>
          <w:sz w:val="28"/>
          <w:szCs w:val="28"/>
          <w:lang w:val="en-US" w:eastAsia="zh-CN"/>
        </w:rPr>
      </w:pPr>
    </w:p>
    <w:p>
      <w:pPr>
        <w:rPr>
          <w:rFonts w:hint="eastAsia"/>
          <w:lang w:val="en-US" w:eastAsia="zh-CN"/>
        </w:rPr>
      </w:pPr>
      <w:bookmarkStart w:id="39" w:name="_GoBack"/>
      <w:bookmarkEnd w:id="39"/>
    </w:p>
    <w:p>
      <w:pPr>
        <w:pStyle w:val="2"/>
        <w:pageBreakBefore w:val="0"/>
        <w:numPr>
          <w:ilvl w:val="0"/>
          <w:numId w:val="0"/>
        </w:numPr>
        <w:kinsoku/>
        <w:overflowPunct/>
        <w:bidi w:val="0"/>
        <w:spacing w:line="360" w:lineRule="auto"/>
        <w:jc w:val="center"/>
        <w:rPr>
          <w:rFonts w:hint="eastAsia"/>
          <w:sz w:val="28"/>
          <w:szCs w:val="28"/>
        </w:rPr>
      </w:pPr>
      <w:r>
        <w:rPr>
          <w:rFonts w:hint="eastAsia"/>
          <w:sz w:val="28"/>
          <w:szCs w:val="28"/>
          <w:lang w:val="en-US" w:eastAsia="zh-CN"/>
        </w:rPr>
        <w:t>六</w:t>
      </w:r>
      <w:r>
        <w:rPr>
          <w:rFonts w:hint="eastAsia"/>
          <w:sz w:val="28"/>
          <w:szCs w:val="28"/>
          <w:lang w:eastAsia="zh-CN"/>
        </w:rPr>
        <w:t>、</w:t>
      </w:r>
      <w:r>
        <w:rPr>
          <w:rFonts w:hint="eastAsia"/>
          <w:sz w:val="28"/>
          <w:szCs w:val="28"/>
        </w:rPr>
        <w:t>已标价报价清单</w:t>
      </w:r>
    </w:p>
    <w:tbl>
      <w:tblPr>
        <w:tblStyle w:val="8"/>
        <w:tblW w:w="95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0"/>
        <w:gridCol w:w="1147"/>
        <w:gridCol w:w="662"/>
        <w:gridCol w:w="184"/>
        <w:gridCol w:w="662"/>
        <w:gridCol w:w="92"/>
        <w:gridCol w:w="846"/>
        <w:gridCol w:w="1125"/>
        <w:gridCol w:w="744"/>
        <w:gridCol w:w="443"/>
        <w:gridCol w:w="162"/>
        <w:gridCol w:w="846"/>
        <w:gridCol w:w="952"/>
        <w:gridCol w:w="384"/>
        <w:gridCol w:w="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846" w:type="dxa"/>
          <w:trHeight w:val="345" w:hRule="atLeast"/>
          <w:jc w:val="center"/>
        </w:trPr>
        <w:tc>
          <w:tcPr>
            <w:tcW w:w="1637" w:type="dxa"/>
            <w:gridSpan w:val="2"/>
            <w:noWrap w:val="0"/>
            <w:vAlign w:val="center"/>
          </w:tcPr>
          <w:p>
            <w:pPr>
              <w:keepNext w:val="0"/>
              <w:keepLines w:val="0"/>
              <w:pageBreakBefore w:val="0"/>
              <w:widowControl/>
              <w:suppressLineNumbers w:val="0"/>
              <w:kinsoku/>
              <w:overflowPunct/>
              <w:bidi w:val="0"/>
              <w:spacing w:line="360" w:lineRule="auto"/>
              <w:jc w:val="center"/>
              <w:textAlignment w:val="center"/>
              <w:rPr>
                <w:rFonts w:hint="eastAsia" w:ascii="宋体" w:hAnsi="宋体" w:eastAsia="宋体" w:cs="宋体"/>
                <w:i w:val="0"/>
                <w:color w:val="000000"/>
                <w:sz w:val="18"/>
                <w:szCs w:val="18"/>
                <w:u w:val="none"/>
              </w:rPr>
            </w:pPr>
          </w:p>
        </w:tc>
        <w:tc>
          <w:tcPr>
            <w:tcW w:w="662" w:type="dxa"/>
            <w:noWrap w:val="0"/>
            <w:vAlign w:val="center"/>
          </w:tcPr>
          <w:p>
            <w:pPr>
              <w:pageBreakBefore w:val="0"/>
              <w:kinsoku/>
              <w:overflowPunct/>
              <w:bidi w:val="0"/>
              <w:spacing w:line="360" w:lineRule="auto"/>
              <w:jc w:val="center"/>
              <w:rPr>
                <w:rFonts w:hint="eastAsia" w:ascii="宋体" w:hAnsi="宋体" w:eastAsia="宋体" w:cs="宋体"/>
                <w:i w:val="0"/>
                <w:color w:val="000000"/>
                <w:sz w:val="24"/>
                <w:szCs w:val="24"/>
                <w:u w:val="none"/>
              </w:rPr>
            </w:pPr>
          </w:p>
        </w:tc>
        <w:tc>
          <w:tcPr>
            <w:tcW w:w="938" w:type="dxa"/>
            <w:gridSpan w:val="3"/>
            <w:noWrap w:val="0"/>
            <w:vAlign w:val="center"/>
          </w:tcPr>
          <w:p>
            <w:pPr>
              <w:pageBreakBefore w:val="0"/>
              <w:kinsoku/>
              <w:overflowPunct/>
              <w:bidi w:val="0"/>
              <w:spacing w:line="360" w:lineRule="auto"/>
              <w:jc w:val="center"/>
              <w:rPr>
                <w:rFonts w:hint="eastAsia" w:ascii="宋体" w:hAnsi="宋体" w:eastAsia="宋体" w:cs="宋体"/>
                <w:i w:val="0"/>
                <w:color w:val="000000"/>
                <w:sz w:val="24"/>
                <w:szCs w:val="24"/>
                <w:u w:val="none"/>
              </w:rPr>
            </w:pPr>
          </w:p>
        </w:tc>
        <w:tc>
          <w:tcPr>
            <w:tcW w:w="2715" w:type="dxa"/>
            <w:gridSpan w:val="3"/>
            <w:noWrap w:val="0"/>
            <w:vAlign w:val="center"/>
          </w:tcPr>
          <w:p>
            <w:pPr>
              <w:keepNext w:val="0"/>
              <w:keepLines w:val="0"/>
              <w:pageBreakBefore w:val="0"/>
              <w:widowControl/>
              <w:suppressLineNumbers w:val="0"/>
              <w:kinsoku/>
              <w:overflowPunct/>
              <w:bidi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p>
        </w:tc>
        <w:tc>
          <w:tcPr>
            <w:tcW w:w="605" w:type="dxa"/>
            <w:gridSpan w:val="2"/>
            <w:noWrap w:val="0"/>
            <w:vAlign w:val="center"/>
          </w:tcPr>
          <w:p>
            <w:pPr>
              <w:keepNext w:val="0"/>
              <w:keepLines w:val="0"/>
              <w:pageBreakBefore w:val="0"/>
              <w:widowControl/>
              <w:suppressLineNumbers w:val="0"/>
              <w:kinsoku/>
              <w:overflowPunct/>
              <w:bidi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p>
        </w:tc>
        <w:tc>
          <w:tcPr>
            <w:tcW w:w="2182" w:type="dxa"/>
            <w:gridSpan w:val="3"/>
            <w:noWrap w:val="0"/>
            <w:vAlign w:val="center"/>
          </w:tcPr>
          <w:p>
            <w:pPr>
              <w:keepNext w:val="0"/>
              <w:keepLines w:val="0"/>
              <w:pageBreakBefore w:val="0"/>
              <w:widowControl/>
              <w:suppressLineNumbers w:val="0"/>
              <w:kinsoku/>
              <w:overflowPunct/>
              <w:bidi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货币单位: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exact"/>
          <w:jc w:val="center"/>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bidi w:val="0"/>
              <w:spacing w:line="360" w:lineRule="auto"/>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14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overflowPunct/>
              <w:bidi w:val="0"/>
              <w:spacing w:line="360" w:lineRule="auto"/>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工程</w:t>
            </w:r>
          </w:p>
          <w:p>
            <w:pPr>
              <w:keepNext w:val="0"/>
              <w:keepLines w:val="0"/>
              <w:pageBreakBefore w:val="0"/>
              <w:widowControl/>
              <w:suppressLineNumbers w:val="0"/>
              <w:kinsoku/>
              <w:overflowPunct/>
              <w:bidi w:val="0"/>
              <w:spacing w:line="360" w:lineRule="auto"/>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位置</w:t>
            </w:r>
          </w:p>
        </w:tc>
        <w:tc>
          <w:tcPr>
            <w:tcW w:w="846"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overflowPunct/>
              <w:bidi w:val="0"/>
              <w:spacing w:line="360" w:lineRule="auto"/>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bidi w:val="0"/>
              <w:spacing w:line="360" w:lineRule="auto"/>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9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bidi w:val="0"/>
              <w:spacing w:line="360" w:lineRule="auto"/>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暂估数量</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bidi w:val="0"/>
              <w:spacing w:line="360" w:lineRule="auto"/>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auto"/>
                <w:kern w:val="0"/>
                <w:sz w:val="21"/>
                <w:szCs w:val="21"/>
                <w:u w:val="none"/>
                <w:lang w:val="en-US" w:eastAsia="zh-CN" w:bidi="ar"/>
              </w:rPr>
              <w:t>含税到场限价</w:t>
            </w:r>
          </w:p>
        </w:tc>
        <w:tc>
          <w:tcPr>
            <w:tcW w:w="1187"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overflowPunct/>
              <w:bidi w:val="0"/>
              <w:spacing w:line="360" w:lineRule="auto"/>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总金额</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ind w:left="0" w:leftChars="0" w:firstLine="0" w:firstLineChars="0"/>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auto"/>
                <w:kern w:val="0"/>
                <w:sz w:val="21"/>
                <w:szCs w:val="21"/>
                <w:u w:val="none"/>
                <w:lang w:val="en-US" w:eastAsia="zh-CN" w:bidi="ar"/>
              </w:rPr>
              <w:t>含税到场单价</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ind w:left="0" w:leftChars="0" w:firstLine="0" w:firstLineChars="0"/>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总金额</w:t>
            </w:r>
          </w:p>
        </w:tc>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ind w:left="0" w:leftChars="0" w:firstLine="0" w:firstLineChars="0"/>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6" w:hRule="exact"/>
          <w:jc w:val="center"/>
        </w:trPr>
        <w:tc>
          <w:tcPr>
            <w:tcW w:w="490" w:type="dxa"/>
            <w:tcBorders>
              <w:top w:val="single" w:color="000000" w:sz="4" w:space="0"/>
              <w:left w:val="single" w:color="000000" w:sz="4" w:space="0"/>
              <w:bottom w:val="single" w:color="auto" w:sz="4" w:space="0"/>
              <w:right w:val="single" w:color="auto" w:sz="4" w:space="0"/>
            </w:tcBorders>
            <w:noWrap w:val="0"/>
            <w:vAlign w:val="center"/>
          </w:tcPr>
          <w:p>
            <w:pPr>
              <w:pageBreakBefore w:val="0"/>
              <w:widowControl/>
              <w:kinsoku/>
              <w:overflowPunct/>
              <w:bidi w:val="0"/>
              <w:spacing w:line="36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kern w:val="0"/>
                <w:sz w:val="21"/>
                <w:szCs w:val="21"/>
                <w:lang w:bidi="ar"/>
              </w:rPr>
              <w:t>1</w:t>
            </w:r>
          </w:p>
        </w:tc>
        <w:tc>
          <w:tcPr>
            <w:tcW w:w="1147" w:type="dxa"/>
            <w:vMerge w:val="restart"/>
            <w:tcBorders>
              <w:top w:val="single" w:color="000000" w:sz="4" w:space="0"/>
              <w:left w:val="single" w:color="auto" w:sz="4" w:space="0"/>
              <w:right w:val="single" w:color="000000" w:sz="4" w:space="0"/>
            </w:tcBorders>
            <w:noWrap w:val="0"/>
            <w:vAlign w:val="center"/>
          </w:tcPr>
          <w:p>
            <w:pPr>
              <w:pageBreakBefore w:val="0"/>
              <w:widowControl/>
              <w:kinsoku/>
              <w:overflowPunct/>
              <w:bidi w:val="0"/>
              <w:spacing w:line="36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cs="Times New Roman"/>
                <w:sz w:val="21"/>
                <w:szCs w:val="21"/>
                <w:lang w:val="en-US" w:eastAsia="zh-CN"/>
              </w:rPr>
              <w:t>绕城高速复兴服务区</w:t>
            </w:r>
          </w:p>
        </w:tc>
        <w:tc>
          <w:tcPr>
            <w:tcW w:w="846" w:type="dxa"/>
            <w:gridSpan w:val="2"/>
            <w:tcBorders>
              <w:top w:val="single" w:color="000000" w:sz="4" w:space="0"/>
              <w:left w:val="single" w:color="000000"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eastAsia" w:ascii="Times New Roman" w:hAnsi="Times New Roman"/>
                <w:color w:val="auto"/>
                <w:szCs w:val="21"/>
                <w:lang w:val="en-US" w:eastAsia="zh-CN"/>
              </w:rPr>
            </w:pPr>
            <w:r>
              <w:rPr>
                <w:rFonts w:hint="eastAsia" w:ascii="宋体" w:hAnsi="宋体" w:cs="宋体"/>
                <w:kern w:val="0"/>
                <w:sz w:val="21"/>
                <w:szCs w:val="21"/>
                <w:lang w:val="en-US" w:eastAsia="zh-CN"/>
              </w:rPr>
              <w:t>一级导视牌</w:t>
            </w:r>
          </w:p>
        </w:tc>
        <w:tc>
          <w:tcPr>
            <w:tcW w:w="662" w:type="dxa"/>
            <w:tcBorders>
              <w:top w:val="single" w:color="000000" w:sz="4" w:space="0"/>
              <w:left w:val="single" w:color="000000" w:sz="4" w:space="0"/>
              <w:bottom w:val="single" w:color="auto" w:sz="4" w:space="0"/>
              <w:right w:val="single" w:color="000000" w:sz="4" w:space="0"/>
            </w:tcBorders>
            <w:noWrap w:val="0"/>
            <w:vAlign w:val="center"/>
          </w:tcPr>
          <w:p>
            <w:pPr>
              <w:pageBreakBefore w:val="0"/>
              <w:widowControl/>
              <w:kinsoku/>
              <w:overflowPunct/>
              <w:bidi w:val="0"/>
              <w:spacing w:line="360" w:lineRule="auto"/>
              <w:jc w:val="center"/>
              <w:rPr>
                <w:rFonts w:hint="default" w:ascii="Times New Roman" w:hAnsi="Times New Roman"/>
                <w:color w:val="auto"/>
                <w:szCs w:val="21"/>
                <w:lang w:val="en-US" w:eastAsia="zh-CN"/>
              </w:rPr>
            </w:pPr>
            <w:r>
              <w:rPr>
                <w:rFonts w:hint="eastAsia"/>
                <w:color w:val="auto"/>
                <w:szCs w:val="21"/>
                <w:lang w:val="en-US" w:eastAsia="zh-CN"/>
              </w:rPr>
              <w:t>套</w:t>
            </w:r>
          </w:p>
        </w:tc>
        <w:tc>
          <w:tcPr>
            <w:tcW w:w="938" w:type="dxa"/>
            <w:gridSpan w:val="2"/>
            <w:tcBorders>
              <w:top w:val="single" w:color="000000" w:sz="4" w:space="0"/>
              <w:left w:val="single" w:color="000000" w:sz="4" w:space="0"/>
              <w:bottom w:val="single" w:color="auto" w:sz="4" w:space="0"/>
              <w:right w:val="single" w:color="000000" w:sz="4" w:space="0"/>
            </w:tcBorders>
            <w:noWrap w:val="0"/>
            <w:vAlign w:val="center"/>
          </w:tcPr>
          <w:p>
            <w:pPr>
              <w:pageBreakBefore w:val="0"/>
              <w:kinsoku/>
              <w:overflowPunct/>
              <w:bidi w:val="0"/>
              <w:spacing w:line="360" w:lineRule="auto"/>
              <w:jc w:val="center"/>
              <w:textAlignment w:val="baseline"/>
              <w:rPr>
                <w:rFonts w:hint="default" w:ascii="Times New Roman" w:hAnsi="Times New Roman"/>
                <w:color w:val="auto"/>
                <w:szCs w:val="21"/>
                <w:lang w:val="en-US" w:eastAsia="zh-CN"/>
              </w:rPr>
            </w:pPr>
            <w:r>
              <w:rPr>
                <w:rFonts w:hint="eastAsia"/>
                <w:color w:val="auto"/>
                <w:szCs w:val="21"/>
                <w:lang w:val="en-US" w:eastAsia="zh-CN"/>
              </w:rPr>
              <w:t>2</w:t>
            </w:r>
          </w:p>
        </w:tc>
        <w:tc>
          <w:tcPr>
            <w:tcW w:w="1125" w:type="dxa"/>
            <w:tcBorders>
              <w:top w:val="single" w:color="000000" w:sz="4" w:space="0"/>
              <w:left w:val="single" w:color="000000" w:sz="4" w:space="0"/>
              <w:bottom w:val="single" w:color="auto" w:sz="4" w:space="0"/>
              <w:right w:val="single" w:color="000000" w:sz="4" w:space="0"/>
            </w:tcBorders>
            <w:noWrap w:val="0"/>
            <w:vAlign w:val="center"/>
          </w:tcPr>
          <w:p>
            <w:pPr>
              <w:pageBreakBefore w:val="0"/>
              <w:kinsoku/>
              <w:overflowPunct/>
              <w:bidi w:val="0"/>
              <w:spacing w:line="360" w:lineRule="auto"/>
              <w:jc w:val="center"/>
              <w:textAlignment w:val="baseline"/>
              <w:rPr>
                <w:rFonts w:hint="default" w:ascii="Times New Roman" w:hAnsi="Times New Roman"/>
                <w:color w:val="auto"/>
                <w:szCs w:val="21"/>
                <w:lang w:val="en-US" w:eastAsia="zh-CN"/>
              </w:rPr>
            </w:pPr>
            <w:r>
              <w:rPr>
                <w:rFonts w:hint="eastAsia"/>
                <w:color w:val="auto"/>
                <w:szCs w:val="21"/>
                <w:lang w:val="en-US" w:eastAsia="zh-CN"/>
              </w:rPr>
              <w:t xml:space="preserve">50000 </w:t>
            </w:r>
          </w:p>
        </w:tc>
        <w:tc>
          <w:tcPr>
            <w:tcW w:w="1187" w:type="dxa"/>
            <w:gridSpan w:val="2"/>
            <w:tcBorders>
              <w:top w:val="single" w:color="000000" w:sz="4" w:space="0"/>
              <w:left w:val="single" w:color="000000" w:sz="4" w:space="0"/>
              <w:bottom w:val="single" w:color="auto" w:sz="4" w:space="0"/>
            </w:tcBorders>
            <w:noWrap w:val="0"/>
            <w:vAlign w:val="center"/>
          </w:tcPr>
          <w:p>
            <w:pPr>
              <w:pageBreakBefore w:val="0"/>
              <w:kinsoku/>
              <w:overflowPunct/>
              <w:bidi w:val="0"/>
              <w:spacing w:line="360" w:lineRule="auto"/>
              <w:jc w:val="center"/>
              <w:textAlignment w:val="baseline"/>
              <w:rPr>
                <w:rFonts w:hint="default" w:ascii="Times New Roman" w:hAnsi="Times New Roman"/>
                <w:color w:val="auto"/>
                <w:szCs w:val="21"/>
                <w:lang w:val="en-US" w:eastAsia="zh-CN"/>
              </w:rPr>
            </w:pPr>
            <w:r>
              <w:rPr>
                <w:rFonts w:hint="eastAsia"/>
                <w:color w:val="auto"/>
                <w:szCs w:val="21"/>
                <w:lang w:val="en-US" w:eastAsia="zh-CN"/>
              </w:rPr>
              <w:t xml:space="preserve">100000 </w:t>
            </w:r>
          </w:p>
        </w:tc>
        <w:tc>
          <w:tcPr>
            <w:tcW w:w="1008" w:type="dxa"/>
            <w:gridSpan w:val="2"/>
            <w:tcBorders>
              <w:top w:val="single" w:color="000000" w:sz="4" w:space="0"/>
              <w:left w:val="single" w:color="000000" w:sz="4" w:space="0"/>
              <w:bottom w:val="single" w:color="auto" w:sz="4" w:space="0"/>
              <w:right w:val="single" w:color="000000" w:sz="4" w:space="0"/>
            </w:tcBorders>
            <w:noWrap w:val="0"/>
            <w:vAlign w:val="center"/>
          </w:tcPr>
          <w:p>
            <w:pPr>
              <w:pageBreakBefore w:val="0"/>
              <w:kinsoku/>
              <w:overflowPunct/>
              <w:bidi w:val="0"/>
              <w:spacing w:line="360" w:lineRule="auto"/>
              <w:jc w:val="center"/>
              <w:textAlignment w:val="baseline"/>
              <w:rPr>
                <w:rFonts w:hint="eastAsia" w:ascii="Times New Roman" w:hAnsi="Times New Roman"/>
                <w:color w:val="auto"/>
                <w:szCs w:val="21"/>
                <w:lang w:eastAsia="zh-CN"/>
              </w:rPr>
            </w:pP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pageBreakBefore w:val="0"/>
              <w:kinsoku/>
              <w:overflowPunct/>
              <w:bidi w:val="0"/>
              <w:spacing w:line="360" w:lineRule="auto"/>
              <w:jc w:val="center"/>
              <w:textAlignment w:val="baseline"/>
              <w:rPr>
                <w:rFonts w:hint="eastAsia" w:ascii="Times New Roman" w:hAnsi="Times New Roman"/>
                <w:color w:val="auto"/>
                <w:szCs w:val="21"/>
                <w:lang w:eastAsia="zh-CN"/>
              </w:rPr>
            </w:pPr>
          </w:p>
        </w:tc>
        <w:tc>
          <w:tcPr>
            <w:tcW w:w="1230" w:type="dxa"/>
            <w:gridSpan w:val="2"/>
            <w:tcBorders>
              <w:top w:val="single" w:color="000000" w:sz="4" w:space="0"/>
              <w:left w:val="single" w:color="000000" w:sz="4" w:space="0"/>
              <w:bottom w:val="single" w:color="auto" w:sz="4" w:space="0"/>
              <w:right w:val="single" w:color="000000" w:sz="4" w:space="0"/>
            </w:tcBorders>
            <w:noWrap w:val="0"/>
            <w:vAlign w:val="center"/>
          </w:tcPr>
          <w:p>
            <w:pPr>
              <w:pageBreakBefore w:val="0"/>
              <w:widowControl/>
              <w:kinsoku/>
              <w:overflowPunct/>
              <w:bidi w:val="0"/>
              <w:spacing w:line="360" w:lineRule="auto"/>
              <w:jc w:val="center"/>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9" w:hRule="exact"/>
          <w:jc w:val="center"/>
        </w:trPr>
        <w:tc>
          <w:tcPr>
            <w:tcW w:w="490" w:type="dxa"/>
            <w:tcBorders>
              <w:top w:val="single" w:color="auto" w:sz="4" w:space="0"/>
              <w:left w:val="single" w:color="000000" w:sz="4" w:space="0"/>
              <w:bottom w:val="single" w:color="auto" w:sz="4" w:space="0"/>
              <w:right w:val="single" w:color="auto" w:sz="4" w:space="0"/>
            </w:tcBorders>
            <w:noWrap w:val="0"/>
            <w:vAlign w:val="center"/>
          </w:tcPr>
          <w:p>
            <w:pPr>
              <w:pageBreakBefore w:val="0"/>
              <w:widowControl/>
              <w:kinsoku/>
              <w:overflowPunct/>
              <w:bidi w:val="0"/>
              <w:spacing w:line="360" w:lineRule="auto"/>
              <w:jc w:val="center"/>
              <w:textAlignment w:val="center"/>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2</w:t>
            </w:r>
          </w:p>
        </w:tc>
        <w:tc>
          <w:tcPr>
            <w:tcW w:w="1147" w:type="dxa"/>
            <w:vMerge w:val="continue"/>
            <w:tcBorders>
              <w:left w:val="single" w:color="auto" w:sz="4" w:space="0"/>
              <w:bottom w:val="single" w:color="auto" w:sz="4" w:space="0"/>
              <w:right w:val="single" w:color="000000" w:sz="4" w:space="0"/>
            </w:tcBorders>
            <w:noWrap w:val="0"/>
            <w:vAlign w:val="center"/>
          </w:tcPr>
          <w:p>
            <w:pPr>
              <w:pageBreakBefore w:val="0"/>
              <w:widowControl/>
              <w:kinsoku/>
              <w:overflowPunct/>
              <w:bidi w:val="0"/>
              <w:spacing w:line="360" w:lineRule="auto"/>
              <w:jc w:val="center"/>
              <w:textAlignment w:val="center"/>
              <w:rPr>
                <w:rFonts w:hint="eastAsia" w:cs="Times New Roman"/>
                <w:sz w:val="21"/>
                <w:szCs w:val="21"/>
                <w:lang w:val="en-US" w:eastAsia="zh-CN"/>
              </w:rPr>
            </w:pPr>
          </w:p>
        </w:tc>
        <w:tc>
          <w:tcPr>
            <w:tcW w:w="846" w:type="dxa"/>
            <w:gridSpan w:val="2"/>
            <w:tcBorders>
              <w:top w:val="single" w:color="auto" w:sz="4" w:space="0"/>
              <w:left w:val="single" w:color="000000" w:sz="4" w:space="0"/>
              <w:bottom w:val="single" w:color="auto" w:sz="4" w:space="0"/>
              <w:right w:val="single" w:color="auto" w:sz="4" w:space="0"/>
            </w:tcBorders>
            <w:noWrap w:val="0"/>
            <w:vAlign w:val="center"/>
          </w:tcPr>
          <w:p>
            <w:pPr>
              <w:pageBreakBefore w:val="0"/>
              <w:widowControl/>
              <w:kinsoku/>
              <w:overflowPunct/>
              <w:bidi w:val="0"/>
              <w:spacing w:line="360" w:lineRule="auto"/>
              <w:jc w:val="center"/>
              <w:rPr>
                <w:rFonts w:hint="eastAsia" w:ascii="Times New Roman" w:hAnsi="Times New Roman"/>
                <w:color w:val="auto"/>
                <w:szCs w:val="21"/>
                <w:lang w:val="en-US" w:eastAsia="zh-CN"/>
              </w:rPr>
            </w:pPr>
            <w:r>
              <w:rPr>
                <w:rFonts w:hint="eastAsia" w:ascii="宋体" w:hAnsi="宋体" w:cs="宋体"/>
                <w:kern w:val="0"/>
                <w:sz w:val="21"/>
                <w:szCs w:val="21"/>
                <w:lang w:val="en-US" w:eastAsia="zh-CN"/>
              </w:rPr>
              <w:t>服务区名称标牌发光字</w:t>
            </w:r>
          </w:p>
        </w:tc>
        <w:tc>
          <w:tcPr>
            <w:tcW w:w="662" w:type="dxa"/>
            <w:tcBorders>
              <w:top w:val="single" w:color="auto" w:sz="4" w:space="0"/>
              <w:left w:val="single" w:color="000000" w:sz="4" w:space="0"/>
              <w:bottom w:val="single" w:color="auto" w:sz="4" w:space="0"/>
              <w:right w:val="single" w:color="000000" w:sz="4" w:space="0"/>
            </w:tcBorders>
            <w:noWrap w:val="0"/>
            <w:vAlign w:val="center"/>
          </w:tcPr>
          <w:p>
            <w:pPr>
              <w:pageBreakBefore w:val="0"/>
              <w:widowControl/>
              <w:kinsoku/>
              <w:overflowPunct/>
              <w:bidi w:val="0"/>
              <w:spacing w:line="360" w:lineRule="auto"/>
              <w:jc w:val="center"/>
              <w:rPr>
                <w:rFonts w:hint="default"/>
                <w:color w:val="auto"/>
                <w:szCs w:val="21"/>
                <w:lang w:val="en-US" w:eastAsia="zh-CN"/>
              </w:rPr>
            </w:pPr>
            <w:r>
              <w:rPr>
                <w:rFonts w:hint="eastAsia"/>
                <w:color w:val="auto"/>
                <w:szCs w:val="21"/>
                <w:lang w:val="en-US" w:eastAsia="zh-CN"/>
              </w:rPr>
              <w:t>套</w:t>
            </w:r>
          </w:p>
        </w:tc>
        <w:tc>
          <w:tcPr>
            <w:tcW w:w="938" w:type="dxa"/>
            <w:gridSpan w:val="2"/>
            <w:tcBorders>
              <w:top w:val="single" w:color="auto" w:sz="4" w:space="0"/>
              <w:left w:val="single" w:color="000000" w:sz="4" w:space="0"/>
              <w:bottom w:val="single" w:color="auto" w:sz="4" w:space="0"/>
              <w:right w:val="single" w:color="000000" w:sz="4" w:space="0"/>
            </w:tcBorders>
            <w:noWrap w:val="0"/>
            <w:vAlign w:val="center"/>
          </w:tcPr>
          <w:p>
            <w:pPr>
              <w:pageBreakBefore w:val="0"/>
              <w:kinsoku/>
              <w:overflowPunct/>
              <w:bidi w:val="0"/>
              <w:spacing w:line="360" w:lineRule="auto"/>
              <w:jc w:val="center"/>
              <w:textAlignment w:val="baseline"/>
              <w:rPr>
                <w:rFonts w:hint="default"/>
                <w:color w:val="auto"/>
                <w:szCs w:val="21"/>
                <w:lang w:val="en-US" w:eastAsia="zh-CN"/>
              </w:rPr>
            </w:pPr>
            <w:r>
              <w:rPr>
                <w:rFonts w:hint="eastAsia"/>
                <w:color w:val="auto"/>
                <w:szCs w:val="21"/>
                <w:lang w:val="en-US" w:eastAsia="zh-CN"/>
              </w:rPr>
              <w:t>2</w:t>
            </w:r>
          </w:p>
        </w:tc>
        <w:tc>
          <w:tcPr>
            <w:tcW w:w="1125"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overflowPunct/>
              <w:bidi w:val="0"/>
              <w:spacing w:line="360" w:lineRule="auto"/>
              <w:jc w:val="center"/>
              <w:textAlignment w:val="baseline"/>
              <w:rPr>
                <w:rFonts w:hint="default"/>
                <w:color w:val="auto"/>
                <w:szCs w:val="21"/>
                <w:lang w:val="en-US" w:eastAsia="zh-CN"/>
              </w:rPr>
            </w:pPr>
            <w:r>
              <w:rPr>
                <w:rFonts w:hint="eastAsia"/>
                <w:color w:val="auto"/>
                <w:szCs w:val="21"/>
                <w:lang w:val="en-US" w:eastAsia="zh-CN"/>
              </w:rPr>
              <w:t>40000</w:t>
            </w:r>
          </w:p>
        </w:tc>
        <w:tc>
          <w:tcPr>
            <w:tcW w:w="1187" w:type="dxa"/>
            <w:gridSpan w:val="2"/>
            <w:tcBorders>
              <w:top w:val="single" w:color="auto" w:sz="4" w:space="0"/>
              <w:left w:val="single" w:color="000000" w:sz="4" w:space="0"/>
              <w:bottom w:val="single" w:color="auto" w:sz="4" w:space="0"/>
            </w:tcBorders>
            <w:noWrap w:val="0"/>
            <w:vAlign w:val="center"/>
          </w:tcPr>
          <w:p>
            <w:pPr>
              <w:pageBreakBefore w:val="0"/>
              <w:kinsoku/>
              <w:overflowPunct/>
              <w:bidi w:val="0"/>
              <w:spacing w:line="360" w:lineRule="auto"/>
              <w:jc w:val="center"/>
              <w:textAlignment w:val="baseline"/>
              <w:rPr>
                <w:rFonts w:hint="default"/>
                <w:color w:val="auto"/>
                <w:szCs w:val="21"/>
                <w:lang w:val="en-US" w:eastAsia="zh-CN"/>
              </w:rPr>
            </w:pPr>
            <w:r>
              <w:rPr>
                <w:rFonts w:hint="eastAsia"/>
                <w:color w:val="auto"/>
                <w:szCs w:val="21"/>
                <w:lang w:val="en-US" w:eastAsia="zh-CN"/>
              </w:rPr>
              <w:t>80000</w:t>
            </w:r>
          </w:p>
        </w:tc>
        <w:tc>
          <w:tcPr>
            <w:tcW w:w="1008" w:type="dxa"/>
            <w:gridSpan w:val="2"/>
            <w:tcBorders>
              <w:top w:val="single" w:color="auto" w:sz="4" w:space="0"/>
              <w:left w:val="single" w:color="000000" w:sz="4" w:space="0"/>
              <w:bottom w:val="single" w:color="auto" w:sz="4" w:space="0"/>
              <w:right w:val="single" w:color="000000" w:sz="4" w:space="0"/>
            </w:tcBorders>
            <w:noWrap w:val="0"/>
            <w:vAlign w:val="center"/>
          </w:tcPr>
          <w:p>
            <w:pPr>
              <w:pageBreakBefore w:val="0"/>
              <w:kinsoku/>
              <w:overflowPunct/>
              <w:bidi w:val="0"/>
              <w:spacing w:line="360" w:lineRule="auto"/>
              <w:jc w:val="center"/>
              <w:textAlignment w:val="baseline"/>
              <w:rPr>
                <w:rFonts w:hint="eastAsia" w:ascii="Times New Roman" w:hAnsi="Times New Roman"/>
                <w:color w:val="auto"/>
                <w:szCs w:val="21"/>
                <w:lang w:eastAsia="zh-CN"/>
              </w:rPr>
            </w:pPr>
          </w:p>
        </w:tc>
        <w:tc>
          <w:tcPr>
            <w:tcW w:w="952"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overflowPunct/>
              <w:bidi w:val="0"/>
              <w:spacing w:line="360" w:lineRule="auto"/>
              <w:jc w:val="center"/>
              <w:textAlignment w:val="baseline"/>
              <w:rPr>
                <w:rFonts w:hint="eastAsia" w:ascii="Times New Roman" w:hAnsi="Times New Roman"/>
                <w:color w:val="auto"/>
                <w:szCs w:val="21"/>
                <w:lang w:eastAsia="zh-CN"/>
              </w:rPr>
            </w:pPr>
          </w:p>
        </w:tc>
        <w:tc>
          <w:tcPr>
            <w:tcW w:w="1230" w:type="dxa"/>
            <w:gridSpan w:val="2"/>
            <w:tcBorders>
              <w:top w:val="single" w:color="auto" w:sz="4" w:space="0"/>
              <w:left w:val="single" w:color="000000" w:sz="4" w:space="0"/>
              <w:bottom w:val="single" w:color="auto" w:sz="4" w:space="0"/>
              <w:right w:val="single" w:color="000000" w:sz="4" w:space="0"/>
            </w:tcBorders>
            <w:noWrap w:val="0"/>
            <w:vAlign w:val="center"/>
          </w:tcPr>
          <w:p>
            <w:pPr>
              <w:pageBreakBefore w:val="0"/>
              <w:widowControl/>
              <w:kinsoku/>
              <w:overflowPunct/>
              <w:bidi w:val="0"/>
              <w:spacing w:line="360" w:lineRule="auto"/>
              <w:jc w:val="center"/>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7" w:hRule="exact"/>
          <w:jc w:val="center"/>
        </w:trPr>
        <w:tc>
          <w:tcPr>
            <w:tcW w:w="490" w:type="dxa"/>
            <w:tcBorders>
              <w:top w:val="single" w:color="auto" w:sz="4" w:space="0"/>
              <w:left w:val="single" w:color="000000" w:sz="4" w:space="0"/>
              <w:bottom w:val="single" w:color="auto" w:sz="4" w:space="0"/>
              <w:right w:val="single" w:color="auto" w:sz="4" w:space="0"/>
            </w:tcBorders>
            <w:noWrap w:val="0"/>
            <w:vAlign w:val="center"/>
          </w:tcPr>
          <w:p>
            <w:pPr>
              <w:pageBreakBefore w:val="0"/>
              <w:widowControl/>
              <w:kinsoku/>
              <w:overflowPunct/>
              <w:bidi w:val="0"/>
              <w:spacing w:line="360" w:lineRule="auto"/>
              <w:jc w:val="center"/>
              <w:textAlignment w:val="center"/>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3</w:t>
            </w:r>
          </w:p>
        </w:tc>
        <w:tc>
          <w:tcPr>
            <w:tcW w:w="1147" w:type="dxa"/>
            <w:tcBorders>
              <w:top w:val="single" w:color="auto" w:sz="4" w:space="0"/>
              <w:left w:val="single" w:color="auto" w:sz="4" w:space="0"/>
              <w:bottom w:val="single" w:color="000000" w:sz="4" w:space="0"/>
              <w:right w:val="single" w:color="000000" w:sz="4" w:space="0"/>
            </w:tcBorders>
            <w:noWrap w:val="0"/>
            <w:vAlign w:val="center"/>
          </w:tcPr>
          <w:p>
            <w:pPr>
              <w:pageBreakBefore w:val="0"/>
              <w:widowControl/>
              <w:kinsoku/>
              <w:overflowPunct/>
              <w:bidi w:val="0"/>
              <w:spacing w:line="360" w:lineRule="auto"/>
              <w:jc w:val="center"/>
              <w:textAlignment w:val="center"/>
              <w:rPr>
                <w:rFonts w:hint="default" w:cs="Times New Roman"/>
                <w:sz w:val="21"/>
                <w:szCs w:val="21"/>
                <w:lang w:val="en-US" w:eastAsia="zh-CN"/>
              </w:rPr>
            </w:pPr>
            <w:r>
              <w:rPr>
                <w:rFonts w:hint="eastAsia" w:cs="Times New Roman"/>
                <w:sz w:val="21"/>
                <w:szCs w:val="21"/>
                <w:lang w:val="en-US" w:eastAsia="zh-CN"/>
              </w:rPr>
              <w:t>合计</w:t>
            </w:r>
          </w:p>
        </w:tc>
        <w:tc>
          <w:tcPr>
            <w:tcW w:w="846" w:type="dxa"/>
            <w:gridSpan w:val="2"/>
            <w:tcBorders>
              <w:top w:val="single" w:color="auto" w:sz="4" w:space="0"/>
              <w:left w:val="single" w:color="000000" w:sz="4" w:space="0"/>
              <w:bottom w:val="single" w:color="000000" w:sz="4" w:space="0"/>
              <w:right w:val="single" w:color="auto" w:sz="4" w:space="0"/>
            </w:tcBorders>
            <w:noWrap w:val="0"/>
            <w:vAlign w:val="center"/>
          </w:tcPr>
          <w:p>
            <w:pPr>
              <w:pageBreakBefore w:val="0"/>
              <w:kinsoku/>
              <w:overflowPunct/>
              <w:bidi w:val="0"/>
              <w:spacing w:line="360" w:lineRule="auto"/>
              <w:jc w:val="both"/>
              <w:textAlignment w:val="baseline"/>
              <w:rPr>
                <w:rFonts w:hint="eastAsia" w:ascii="Times New Roman" w:hAnsi="Times New Roman"/>
                <w:color w:val="auto"/>
                <w:szCs w:val="21"/>
                <w:lang w:val="en-US" w:eastAsia="zh-CN"/>
              </w:rPr>
            </w:pPr>
          </w:p>
        </w:tc>
        <w:tc>
          <w:tcPr>
            <w:tcW w:w="662"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baseline"/>
              <w:rPr>
                <w:rFonts w:hint="eastAsia"/>
                <w:color w:val="auto"/>
                <w:szCs w:val="21"/>
                <w:lang w:val="en-US" w:eastAsia="zh-CN"/>
              </w:rPr>
            </w:pPr>
          </w:p>
        </w:tc>
        <w:tc>
          <w:tcPr>
            <w:tcW w:w="938" w:type="dxa"/>
            <w:gridSpan w:val="2"/>
            <w:tcBorders>
              <w:top w:val="single" w:color="auto"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baseline"/>
              <w:rPr>
                <w:rFonts w:hint="eastAsia"/>
                <w:color w:val="auto"/>
                <w:szCs w:val="21"/>
                <w:lang w:val="en-US" w:eastAsia="zh-CN"/>
              </w:rPr>
            </w:pPr>
          </w:p>
        </w:tc>
        <w:tc>
          <w:tcPr>
            <w:tcW w:w="1125"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baseline"/>
              <w:rPr>
                <w:rFonts w:hint="eastAsia"/>
                <w:color w:val="auto"/>
                <w:szCs w:val="21"/>
                <w:lang w:val="en-US" w:eastAsia="zh-CN"/>
              </w:rPr>
            </w:pPr>
          </w:p>
        </w:tc>
        <w:tc>
          <w:tcPr>
            <w:tcW w:w="1187" w:type="dxa"/>
            <w:gridSpan w:val="2"/>
            <w:tcBorders>
              <w:top w:val="single" w:color="auto" w:sz="4" w:space="0"/>
              <w:left w:val="single" w:color="000000" w:sz="4" w:space="0"/>
              <w:bottom w:val="single" w:color="000000" w:sz="4" w:space="0"/>
            </w:tcBorders>
            <w:noWrap w:val="0"/>
            <w:vAlign w:val="center"/>
          </w:tcPr>
          <w:p>
            <w:pPr>
              <w:pageBreakBefore w:val="0"/>
              <w:kinsoku/>
              <w:overflowPunct/>
              <w:bidi w:val="0"/>
              <w:spacing w:line="360" w:lineRule="auto"/>
              <w:jc w:val="center"/>
              <w:textAlignment w:val="baseline"/>
              <w:rPr>
                <w:rFonts w:hint="default"/>
                <w:color w:val="auto"/>
                <w:szCs w:val="21"/>
                <w:lang w:val="en-US" w:eastAsia="zh-CN"/>
              </w:rPr>
            </w:pPr>
            <w:r>
              <w:rPr>
                <w:rFonts w:hint="eastAsia"/>
                <w:color w:val="auto"/>
                <w:szCs w:val="21"/>
                <w:lang w:val="en-US" w:eastAsia="zh-CN"/>
              </w:rPr>
              <w:t>180000</w:t>
            </w:r>
          </w:p>
        </w:tc>
        <w:tc>
          <w:tcPr>
            <w:tcW w:w="1008" w:type="dxa"/>
            <w:gridSpan w:val="2"/>
            <w:tcBorders>
              <w:top w:val="single" w:color="auto"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baseline"/>
              <w:rPr>
                <w:rFonts w:hint="eastAsia" w:ascii="Times New Roman" w:hAnsi="Times New Roman"/>
                <w:color w:val="auto"/>
                <w:szCs w:val="21"/>
                <w:lang w:eastAsia="zh-CN"/>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baseline"/>
              <w:rPr>
                <w:rFonts w:hint="eastAsia" w:ascii="Times New Roman" w:hAnsi="Times New Roman"/>
                <w:color w:val="auto"/>
                <w:szCs w:val="21"/>
                <w:lang w:eastAsia="zh-CN"/>
              </w:rPr>
            </w:pPr>
          </w:p>
        </w:tc>
        <w:tc>
          <w:tcPr>
            <w:tcW w:w="1230" w:type="dxa"/>
            <w:gridSpan w:val="2"/>
            <w:tcBorders>
              <w:top w:val="single" w:color="auto"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360" w:lineRule="auto"/>
              <w:jc w:val="center"/>
              <w:textAlignment w:val="center"/>
              <w:rPr>
                <w:rFonts w:hint="eastAsia" w:ascii="宋体" w:hAnsi="宋体" w:eastAsia="宋体" w:cs="宋体"/>
                <w:i w:val="0"/>
                <w:color w:val="000000"/>
                <w:sz w:val="21"/>
                <w:szCs w:val="21"/>
                <w:u w:val="none"/>
              </w:rPr>
            </w:pPr>
          </w:p>
        </w:tc>
      </w:tr>
    </w:tbl>
    <w:p>
      <w:pPr>
        <w:pageBreakBefore w:val="0"/>
        <w:kinsoku/>
        <w:overflowPunct/>
        <w:bidi w:val="0"/>
        <w:spacing w:line="360" w:lineRule="auto"/>
      </w:pPr>
    </w:p>
    <w:p>
      <w:pPr>
        <w:pageBreakBefore w:val="0"/>
        <w:numPr>
          <w:ilvl w:val="0"/>
          <w:numId w:val="0"/>
        </w:numPr>
        <w:kinsoku/>
        <w:overflowPunct/>
        <w:bidi w:val="0"/>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outlineLvl w:val="9"/>
        <w:rPr>
          <w:rFonts w:hint="eastAsia"/>
          <w:lang w:val="en-US" w:eastAsia="zh-CN"/>
        </w:rPr>
      </w:pPr>
      <w:r>
        <w:rPr>
          <w:rFonts w:hint="eastAsia"/>
          <w:lang w:val="en-US" w:eastAsia="zh-CN"/>
        </w:rPr>
        <w:t>备注：1、本次采购数量为暂估量，最终数量以实际结算数量为准，且满足国家及行业的相关技术规范标准(具体规格型号以比选人实际要求为准)。</w:t>
      </w:r>
    </w:p>
    <w:p>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outlineLvl w:val="9"/>
        <w:rPr>
          <w:rFonts w:hint="eastAsia"/>
          <w:lang w:val="en-US" w:eastAsia="zh-CN"/>
        </w:rPr>
      </w:pPr>
      <w:r>
        <w:rPr>
          <w:rFonts w:hint="eastAsia"/>
          <w:lang w:val="en-US" w:eastAsia="zh-CN"/>
        </w:rPr>
        <w:t>2、供货期：本工程预计供货时间为2022年8月，具体以项目工期要求为准，竞价人必须保证比选人供应及时，比选人一般提前五天以电话（短信）通知计划用量。</w:t>
      </w:r>
    </w:p>
    <w:p>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outlineLvl w:val="9"/>
        <w:rPr>
          <w:rFonts w:hint="eastAsia"/>
          <w:lang w:val="en-US" w:eastAsia="zh-CN"/>
        </w:rPr>
      </w:pPr>
      <w:r>
        <w:rPr>
          <w:rFonts w:hint="eastAsia"/>
          <w:lang w:val="en-US" w:eastAsia="zh-CN"/>
        </w:rPr>
        <w:t>3、本次询价不接受联合体竞标，不允许分包和转包。</w:t>
      </w:r>
    </w:p>
    <w:p>
      <w:pPr>
        <w:pageBreakBefore w:val="0"/>
        <w:kinsoku/>
        <w:wordWrap w:val="0"/>
        <w:overflowPunct/>
        <w:bidi w:val="0"/>
        <w:spacing w:line="360" w:lineRule="auto"/>
        <w:jc w:val="both"/>
        <w:rPr>
          <w:rFonts w:hint="eastAsia" w:ascii="宋体" w:hAnsi="宋体" w:cs="宋体"/>
          <w:sz w:val="32"/>
          <w:szCs w:val="32"/>
          <w:u w:val="single"/>
        </w:rPr>
      </w:pPr>
    </w:p>
    <w:p>
      <w:pPr>
        <w:pageBreakBefore w:val="0"/>
        <w:kinsoku/>
        <w:wordWrap w:val="0"/>
        <w:overflowPunct/>
        <w:bidi w:val="0"/>
        <w:spacing w:line="360" w:lineRule="auto"/>
        <w:jc w:val="both"/>
        <w:rPr>
          <w:rFonts w:hint="eastAsia" w:ascii="宋体" w:hAnsi="宋体" w:cs="宋体"/>
          <w:sz w:val="32"/>
          <w:szCs w:val="32"/>
          <w:u w:val="single"/>
        </w:rPr>
      </w:pPr>
    </w:p>
    <w:p>
      <w:pPr>
        <w:pageBreakBefore w:val="0"/>
        <w:kinsoku/>
        <w:wordWrap w:val="0"/>
        <w:overflowPunct/>
        <w:bidi w:val="0"/>
        <w:spacing w:line="360" w:lineRule="auto"/>
        <w:ind w:firstLine="3080" w:firstLineChars="1100"/>
        <w:jc w:val="right"/>
        <w:rPr>
          <w:rFonts w:hint="eastAsia" w:ascii="宋体" w:hAnsi="宋体" w:cs="宋体"/>
          <w:sz w:val="28"/>
          <w:szCs w:val="28"/>
          <w:u w:val="single"/>
        </w:rPr>
      </w:pPr>
      <w:r>
        <w:rPr>
          <w:rFonts w:hint="eastAsia" w:ascii="宋体" w:hAnsi="宋体" w:cs="宋体"/>
          <w:sz w:val="28"/>
          <w:szCs w:val="28"/>
          <w:u w:val="single"/>
        </w:rPr>
        <w:t>比选申请单位名称全称（盖单位公章）</w:t>
      </w:r>
    </w:p>
    <w:p>
      <w:pPr>
        <w:pageBreakBefore w:val="0"/>
        <w:kinsoku/>
        <w:overflowPunct/>
        <w:bidi w:val="0"/>
        <w:spacing w:line="360" w:lineRule="auto"/>
        <w:jc w:val="right"/>
        <w:rPr>
          <w:rFonts w:hint="eastAsia"/>
        </w:rPr>
      </w:pP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年        月        日</w:t>
      </w:r>
    </w:p>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top w:val="thickThinSmallGap" w:color="9F6559" w:sz="2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firstLine="0" w:firstLineChars="0"/>
      <w:jc w:val="left"/>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b/>
                              <w:bCs/>
                            </w:rPr>
                          </w:pPr>
                          <w:r>
                            <w:rPr>
                              <w:rFonts w:hint="default" w:cs="Times New Roman"/>
                              <w:b/>
                              <w:bCs/>
                            </w:rPr>
                            <w:t xml:space="preserve">第 </w:t>
                          </w:r>
                          <w:r>
                            <w:rPr>
                              <w:rFonts w:hint="default" w:cs="Times New Roman"/>
                              <w:b/>
                              <w:bCs/>
                            </w:rPr>
                            <w:fldChar w:fldCharType="begin"/>
                          </w:r>
                          <w:r>
                            <w:rPr>
                              <w:rFonts w:hint="default" w:cs="Times New Roman"/>
                              <w:b/>
                              <w:bCs/>
                            </w:rPr>
                            <w:instrText xml:space="preserve"> PAGE  \* MERGEFORMAT </w:instrText>
                          </w:r>
                          <w:r>
                            <w:rPr>
                              <w:rFonts w:hint="default" w:cs="Times New Roman"/>
                              <w:b/>
                              <w:bCs/>
                            </w:rPr>
                            <w:fldChar w:fldCharType="separate"/>
                          </w:r>
                          <w:r>
                            <w:rPr>
                              <w:rFonts w:hint="default" w:cs="Times New Roman"/>
                              <w:b/>
                              <w:bCs/>
                            </w:rPr>
                            <w:t>1</w:t>
                          </w:r>
                          <w:r>
                            <w:rPr>
                              <w:rFonts w:hint="default" w:cs="Times New Roman"/>
                              <w:b/>
                              <w:bCs/>
                            </w:rPr>
                            <w:fldChar w:fldCharType="end"/>
                          </w:r>
                          <w:r>
                            <w:rPr>
                              <w:rFonts w:hint="default" w:cs="Times New Roman"/>
                              <w:b/>
                              <w:bCs/>
                            </w:rPr>
                            <w:t xml:space="preserve"> 页 共 </w:t>
                          </w:r>
                          <w:r>
                            <w:rPr>
                              <w:rFonts w:hint="eastAsia" w:cs="Times New Roman"/>
                              <w:b/>
                              <w:bCs/>
                              <w:lang w:val="en-US" w:eastAsia="zh-CN"/>
                            </w:rPr>
                            <w:t>23</w:t>
                          </w:r>
                          <w:r>
                            <w:rPr>
                              <w:rFonts w:hint="default" w:cs="Times New Roman"/>
                              <w:b/>
                              <w:bCs/>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b/>
                        <w:bCs/>
                      </w:rPr>
                    </w:pPr>
                    <w:r>
                      <w:rPr>
                        <w:rFonts w:hint="default" w:cs="Times New Roman"/>
                        <w:b/>
                        <w:bCs/>
                      </w:rPr>
                      <w:t xml:space="preserve">第 </w:t>
                    </w:r>
                    <w:r>
                      <w:rPr>
                        <w:rFonts w:hint="default" w:cs="Times New Roman"/>
                        <w:b/>
                        <w:bCs/>
                      </w:rPr>
                      <w:fldChar w:fldCharType="begin"/>
                    </w:r>
                    <w:r>
                      <w:rPr>
                        <w:rFonts w:hint="default" w:cs="Times New Roman"/>
                        <w:b/>
                        <w:bCs/>
                      </w:rPr>
                      <w:instrText xml:space="preserve"> PAGE  \* MERGEFORMAT </w:instrText>
                    </w:r>
                    <w:r>
                      <w:rPr>
                        <w:rFonts w:hint="default" w:cs="Times New Roman"/>
                        <w:b/>
                        <w:bCs/>
                      </w:rPr>
                      <w:fldChar w:fldCharType="separate"/>
                    </w:r>
                    <w:r>
                      <w:rPr>
                        <w:rFonts w:hint="default" w:cs="Times New Roman"/>
                        <w:b/>
                        <w:bCs/>
                      </w:rPr>
                      <w:t>1</w:t>
                    </w:r>
                    <w:r>
                      <w:rPr>
                        <w:rFonts w:hint="default" w:cs="Times New Roman"/>
                        <w:b/>
                        <w:bCs/>
                      </w:rPr>
                      <w:fldChar w:fldCharType="end"/>
                    </w:r>
                    <w:r>
                      <w:rPr>
                        <w:rFonts w:hint="default" w:cs="Times New Roman"/>
                        <w:b/>
                        <w:bCs/>
                      </w:rPr>
                      <w:t xml:space="preserve"> 页 共 </w:t>
                    </w:r>
                    <w:r>
                      <w:rPr>
                        <w:rFonts w:hint="eastAsia" w:cs="Times New Roman"/>
                        <w:b/>
                        <w:bCs/>
                        <w:lang w:val="en-US" w:eastAsia="zh-CN"/>
                      </w:rPr>
                      <w:t>23</w:t>
                    </w:r>
                    <w:r>
                      <w:rPr>
                        <w:rFonts w:hint="default" w:cs="Times New Roman"/>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5E4F2"/>
    <w:multiLevelType w:val="singleLevel"/>
    <w:tmpl w:val="E735E4F2"/>
    <w:lvl w:ilvl="0" w:tentative="0">
      <w:start w:val="6"/>
      <w:numFmt w:val="chineseCounting"/>
      <w:suff w:val="space"/>
      <w:lvlText w:val="第%1条"/>
      <w:lvlJc w:val="left"/>
      <w:rPr>
        <w:rFonts w:hint="eastAsia"/>
      </w:rPr>
    </w:lvl>
  </w:abstractNum>
  <w:abstractNum w:abstractNumId="1">
    <w:nsid w:val="F67CB2FA"/>
    <w:multiLevelType w:val="singleLevel"/>
    <w:tmpl w:val="F67CB2FA"/>
    <w:lvl w:ilvl="0" w:tentative="0">
      <w:start w:val="2"/>
      <w:numFmt w:val="decimal"/>
      <w:suff w:val="nothing"/>
      <w:lvlText w:val="%1、"/>
      <w:lvlJc w:val="left"/>
    </w:lvl>
  </w:abstractNum>
  <w:abstractNum w:abstractNumId="2">
    <w:nsid w:val="1DFF9E9B"/>
    <w:multiLevelType w:val="singleLevel"/>
    <w:tmpl w:val="1DFF9E9B"/>
    <w:lvl w:ilvl="0" w:tentative="0">
      <w:start w:val="6"/>
      <w:numFmt w:val="chineseCounting"/>
      <w:suff w:val="nothing"/>
      <w:lvlText w:val="%1、"/>
      <w:lvlJc w:val="left"/>
      <w:rPr>
        <w:rFonts w:hint="eastAsia"/>
      </w:rPr>
    </w:lvl>
  </w:abstractNum>
  <w:abstractNum w:abstractNumId="3">
    <w:nsid w:val="4C1769ED"/>
    <w:multiLevelType w:val="singleLevel"/>
    <w:tmpl w:val="4C1769ED"/>
    <w:lvl w:ilvl="0" w:tentative="0">
      <w:start w:val="2"/>
      <w:numFmt w:val="decimal"/>
      <w:suff w:val="nothing"/>
      <w:lvlText w:val="%1、"/>
      <w:lvlJc w:val="left"/>
      <w:pPr>
        <w:ind w:left="265" w:leftChars="0" w:firstLine="0" w:firstLineChars="0"/>
      </w:pPr>
    </w:lvl>
  </w:abstractNum>
  <w:abstractNum w:abstractNumId="4">
    <w:nsid w:val="54680D03"/>
    <w:multiLevelType w:val="singleLevel"/>
    <w:tmpl w:val="54680D03"/>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YWM1MDA0YzQzMGRhZmVlNzg4YzllYjM0NTMzMWEifQ=="/>
  </w:docVars>
  <w:rsids>
    <w:rsidRoot w:val="75BC6C92"/>
    <w:rsid w:val="0A794278"/>
    <w:rsid w:val="206626E8"/>
    <w:rsid w:val="2202247E"/>
    <w:rsid w:val="228A7081"/>
    <w:rsid w:val="23A6660B"/>
    <w:rsid w:val="2CA20664"/>
    <w:rsid w:val="45A72B37"/>
    <w:rsid w:val="474B7EB9"/>
    <w:rsid w:val="4D3422DB"/>
    <w:rsid w:val="54DB7901"/>
    <w:rsid w:val="64B453D0"/>
    <w:rsid w:val="75BC6C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afterLines="0"/>
    </w:p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before="120" w:after="120"/>
      <w:jc w:val="left"/>
    </w:pPr>
    <w:rPr>
      <w:rFonts w:ascii="Calibri" w:hAnsi="Calibri"/>
      <w:b/>
      <w:bCs/>
      <w:caps/>
      <w:sz w:val="20"/>
    </w:rPr>
  </w:style>
  <w:style w:type="character" w:styleId="10">
    <w:name w:val="annotation reference"/>
    <w:unhideWhenUsed/>
    <w:qFormat/>
    <w:uiPriority w:val="99"/>
    <w:rPr>
      <w:sz w:val="21"/>
      <w:szCs w:val="21"/>
    </w:rPr>
  </w:style>
  <w:style w:type="paragraph" w:customStyle="1" w:styleId="11">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10195</Words>
  <Characters>10622</Characters>
  <Lines>0</Lines>
  <Paragraphs>0</Paragraphs>
  <TotalTime>2</TotalTime>
  <ScaleCrop>false</ScaleCrop>
  <LinksUpToDate>false</LinksUpToDate>
  <CharactersWithSpaces>12311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2022-07-29T06:57:00Z</dcterms:created>
  <dc:creator>婧秀</dc:creator>
  <cp:lastModifiedBy>婧秀</cp:lastModifiedBy>
  <dcterms:modified xsi:type="dcterms:W3CDTF">2022-08-03T08:35:35Z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85110760BF9B4C24A9F56A9039B3B251</vt:lpwstr>
  </property>
</Properties>
</file>