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cbe51ad50e24b0a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w:type="default" r:id="R31d5f96d673a4ca6"/>
    </w:sectPr>
    <w:p>
      <w:pPr>
        <w:spacing w:beforeLines="150" w:afterLines="150" w:line="240"/>
        <w:pStyle w:val="0"/>
        <w:jc w:val="center"/>
        <w:outlineLvl w:val="0"/>
        <w:ind w:left="0" w:right="360"/>
      </w:pPr>
      <w:r>
        <w:rPr>
          <w:color w:val="000000"/>
          <w:rFonts w:ascii="黑体" w:hAnsi="黑体" w:eastAsia="黑体"/>
          <w:sz w:val="32"/>
        </w:rPr>
        <w:t xml:space="preserve">结构防火设计计算书</w:t>
      </w:r>
    </w:p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1,设计依据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《建筑钢结构防火技术规范》        GB51249-2017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《钢结构设计标准》                GB50017-2017</w:t>
      </w:r>
    </w:p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2、设计参数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结构重要性系数											:1.00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火灾前室内温度T</w:t>
      </w:r>
      <w:r>
        <w:rPr>
          <w:color w:val="000000"/>
          <w:rFonts w:ascii="宋体" w:hAnsi="宋体" w:eastAsia="宋体"/>
          <w:sz w:val="24"/>
          <w:vertAlign w:val="subscript"/>
        </w:rPr>
        <w:t xml:space="preserve">g0</w:t>
      </w:r>
      <w:r>
        <w:rPr>
          <w:color w:val="000000"/>
          <w:rFonts w:ascii="宋体" w:hAnsi="宋体" w:eastAsia="宋体"/>
          <w:sz w:val="24"/>
        </w:rPr>
        <w:t xml:space="preserve">										:20.00℃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火灾前构件温度T</w:t>
      </w:r>
      <w:r>
        <w:rPr>
          <w:color w:val="000000"/>
          <w:rFonts w:ascii="宋体" w:hAnsi="宋体" w:eastAsia="宋体"/>
          <w:sz w:val="24"/>
          <w:vertAlign w:val="subscript"/>
        </w:rPr>
        <w:t xml:space="preserve">s0</w:t>
      </w:r>
      <w:r>
        <w:rPr>
          <w:color w:val="000000"/>
          <w:rFonts w:ascii="宋体" w:hAnsi="宋体" w:eastAsia="宋体"/>
          <w:sz w:val="24"/>
        </w:rPr>
        <w:t xml:space="preserve">										:20.00℃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/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钢材类型												:结构钢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火灾升温曲线类型										:以纤维类物质为主</w:t>
      </w:r>
    </w:p>
    <w:p>
      <w:pPr>
        <w:spacing w:beforeLines="50" w:afterLines="50" w:line="240"/>
        <w:pStyle w:val="-1"/>
        <w:jc w:val="left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时间计算步长											:5.00s</w:t>
      </w:r>
    </w:p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3、火灾下的温度工况内力表</w:t>
      </w:r>
    </w:p>
    <w:p>
      <w:pPr>
        <w:spacing w:beforeLines="50" w:afterLines="50" w:line="240"/>
        <w:pStyle w:val="-1"/>
        <w:jc w:val="center"/>
        <w:ind w:left="360" w:right="360"/>
      </w:pPr>
      <w:r>
        <w:rPr>
          <w:color w:val="000000"/>
          <w:rFonts w:ascii="宋体" w:hAnsi="宋体" w:eastAsia="宋体"/>
          <w:sz w:val="24"/>
        </w:rPr>
        <w:t xml:space="preserve">单位：kN、kN.m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单元号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工况号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位置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N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Q3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T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M3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</w:tbl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4、组合内力表</w:t>
      </w:r>
    </w:p>
    <w:p>
      <w:pPr>
        <w:spacing w:beforeLines="100" w:afterLines="100" w:line="240"/>
        <w:pStyle w:val="2"/>
        <w:jc w:val="left"/>
        <w:outlineLvl w:val="2"/>
        <w:ind w:left="0" w:right="360"/>
      </w:pPr>
      <w:r>
        <w:rPr>
          <w:color w:val="000000"/>
          <w:rFonts w:ascii="黑体" w:hAnsi="黑体" w:eastAsia="黑体"/>
          <w:sz w:val="24"/>
        </w:rPr>
        <w:t xml:space="preserve">4.1荷载组合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序号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荷载组合名称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承载能力组合1(1):工况0+工况1+工况-2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承载能力组合2(1):工况0+工况1+工况2+工况-2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承载能力组合3(1):工况0+工况1+工况3+工况-2
</w:t>
            </w:r>
          </w:p>
        </w:tc>
      </w:tr>
    </w:tbl>
    <w:p>
      <w:pPr>
        <w:spacing w:beforeLines="100" w:afterLines="100" w:line="240"/>
        <w:pStyle w:val="2"/>
        <w:jc w:val="left"/>
        <w:outlineLvl w:val="2"/>
        <w:ind w:left="0" w:right="360"/>
      </w:pPr>
      <w:r>
        <w:rPr>
          <w:color w:val="000000"/>
          <w:rFonts w:ascii="黑体" w:hAnsi="黑体" w:eastAsia="黑体"/>
          <w:sz w:val="24"/>
        </w:rPr>
        <w:t xml:space="preserve">4.2组合内力</w:t>
      </w:r>
    </w:p>
    <w:p>
      <w:pPr>
        <w:spacing w:beforeLines="50" w:afterLines="50" w:line="240"/>
        <w:pStyle w:val="-1"/>
        <w:jc w:val="center"/>
        <w:ind w:left="360" w:right="360"/>
      </w:pPr>
      <w:r>
        <w:rPr>
          <w:color w:val="000000"/>
          <w:rFonts w:ascii="宋体" w:hAnsi="宋体" w:eastAsia="宋体"/>
          <w:sz w:val="21"/>
        </w:rPr>
        <w:t xml:space="preserve">单位：kN、kN.m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单元号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组合号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位置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N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Q3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T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M2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M3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-125.51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-69.21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209.62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-187.07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-101.82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299.66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41.14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-125.26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-125.51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-186.86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-187.07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-12.54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209.94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-125.26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299.74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-186.86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-12.54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-37.99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-51.81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172.83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177.33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52.12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-34.88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-103.78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-63.39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191.02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-53.54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-168.30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-98.06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286.50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16.23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-103.61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-103.78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-168.06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-168.30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189.65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-103.62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284.66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-168.07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15.74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-38.69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-53.62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175.34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165.07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-33.94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-102.98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-62.45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186.17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-52.28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-167.43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-96.80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279.83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-104.03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-102.98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-168.78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-167.43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189.61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-104.04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284.67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-168.79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15.60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-38.64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175.05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51.74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154.96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202.31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61.56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-43.80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-122.77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220.19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-62.15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-182.64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-103.54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314.44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-123.81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-122.77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-184.68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-182.63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206.33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-123.81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294.28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-184.68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41.58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-38.16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-52.05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174.03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56.74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50.72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50.72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-36.28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8.75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-13.37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8.81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8.82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48.47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-36.02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-14.21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-14.20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-21.60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21.24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21.24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14.34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-2.88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-2.88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-6.72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-9.50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7.88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33.08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42.57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42.60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37.12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27.82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27.82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-3.81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46.02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34.36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18.96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-13.45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41.51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-30.22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-47.93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41.52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-30.22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-47.93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-9.81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80.68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18.57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59.67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80.68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18.58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18.91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26.81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42.36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-28.16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26.81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-49.03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42.36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-1.06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24.28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-31.03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-49.03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24.28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21.27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13.41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65.91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21.28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151.34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198.59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56.46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-26.25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-53.93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-34.96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129.72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-38.90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-85.43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-47.31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173.18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75.11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-53.93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-85.43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-88.69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-32.27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78.80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-36.29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-128.40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-44.70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114.58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12.14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-88.69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-128.40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-14.07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-30.58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-52.53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71.20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205.48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-30.58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278.40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50.95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-52.53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-45.78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-53.04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247.03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-63.17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333.34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80.94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33.87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151.19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198.42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-26.79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-39.59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-87.26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-48.00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175.49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70.62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103.73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-87.26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9.16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-83.09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74.88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-34.01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-120.48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-42.42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11.55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76.13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-83.09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110.35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-120.48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69.98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-27.61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-87.86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-36.02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132.34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48.19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176.05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-87.86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45.64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2.89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-26.30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-33.56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-42.76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196.30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55.88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134.63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15.80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173.24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56.66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-176.11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-71.15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-189.40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34.08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-243.86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-120.25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-257.15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57.70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-46.64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15.17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-59.93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-7.44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-209.70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65.22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-33.73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-291.11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112.13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-304.41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-57.86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-17.24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-68.73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8.68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-158.24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-171.54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27.38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-230.33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-109.63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-243.63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53.95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36.15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-37.51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-17.97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-146.56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59.23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-159.86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-29.82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-213.83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114.78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-227.12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-57.65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-35.76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-34.58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17.79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-158.05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-55.61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-171.35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-9.77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-230.02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-109.33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-243.31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-37.54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-18.09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-160.71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55.59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-174.01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9.82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-27.87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-233.74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109.18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-247.03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-54.57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-24.97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-35.90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-38.27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-6.31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-0.10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17.72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-176.96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-19.49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-74.99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-190.26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-13.18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37.04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-245.22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-126.43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-258.52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-22.25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62.71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-46.57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-11.39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15.52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-59.86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5.99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-8.10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-176.40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-21.63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75.65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-189.70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12.35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-37.88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-244.47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126.92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-257.76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14.43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-63.29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i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-46.39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-12.76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-14.66
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j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-59.68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-2.54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6.91
</w:t>
            </w:r>
          </w:p>
        </w:tc>
      </w:tr>
    </w:tbl>
    <w:p>
      <w:pPr>
        <w:spacing w:beforeLines="100" w:afterLines="100" w:line="240"/>
        <w:pStyle w:val="1"/>
        <w:jc w:val="left"/>
        <w:outlineLvl w:val="1"/>
        <w:ind w:left="0" w:right="360"/>
      </w:pPr>
      <w:r>
        <w:rPr>
          <w:color w:val="000000"/>
          <w:rFonts w:ascii="黑体" w:hAnsi="黑体" w:eastAsia="黑体"/>
          <w:sz w:val="28"/>
        </w:rPr>
        <w:t xml:space="preserve">5、设计结果表</w:t>
      </w:r>
    </w:p>
    <w:p>
      <w:pPr>
        <w:spacing w:beforeLines="100" w:afterLines="100" w:line="240"/>
        <w:pStyle w:val="2"/>
        <w:jc w:val="left"/>
        <w:outlineLvl w:val="2"/>
        <w:ind w:left="0" w:right="360"/>
      </w:pPr>
      <w:r>
        <w:rPr>
          <w:color w:val="000000"/>
          <w:rFonts w:ascii="黑体" w:hAnsi="黑体" w:eastAsia="黑体"/>
          <w:sz w:val="24"/>
        </w:rPr>
        <w:t xml:space="preserve">1）非膨胀型</w:t>
      </w:r>
    </w:p>
    <w:tbl>
      <w:tblPr>
        <w:jc w:val="center"/>
        <w:tblBorders>
          <w:top w:val="thick" w:sz="15"/>
          <w:left w:val="thick" w:sz="15"/>
          <w:bottom w:val="thick" w:sz="15"/>
          <w:right w:val="thick" w:sz="15"/>
          <w:insideH w:val="thick" w:sz="2"/>
          <w:insideV w:val="thick" w:sz="2"/>
        </w:tblBorders>
      </w:tblP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单元号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火灾持续时间（h）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防火材料厚度（mm）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构件温度T</w:t>
            </w:r>
            <w:r>
              <w:rPr>
                <w:b/>
                <w:color w:val="000000"/>
                <w:rFonts w:ascii="宋体" w:hAnsi="宋体" w:eastAsia="宋体"/>
                <w:sz w:val="21"/>
                <w:vertAlign w:val="subscript"/>
              </w:rPr>
              <w:t xml:space="preserve">s</w:t>
            </w: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（℃）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临界温度T</w:t>
            </w:r>
            <w:r>
              <w:rPr>
                <w:b/>
                <w:color w:val="000000"/>
                <w:rFonts w:ascii="宋体" w:hAnsi="宋体" w:eastAsia="宋体"/>
                <w:sz w:val="21"/>
                <w:vertAlign w:val="subscript"/>
              </w:rPr>
              <w:t xml:space="preserve">d</w:t>
            </w: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（临界温度法）</w:t>
            </w:r>
          </w:p>
          <w:tcPr>
            <w:gridSpan w:val="1"/>
            <w:vMerge w:val="restart"/>
            <w:hMerge w:val="restart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应力比（承载力法）</w:t>
            </w:r>
          </w:p>
          <w:tcPr>
            <w:gridSpan w:val="3"/>
            <w:vMerge w:val="restart"/>
            <w:hMerge w:val="restart"/>
          </w:tcPr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/>
            </w:r>
          </w:p>
          <w:tcPr>
            <w:gridSpan w:val="1"/>
            <w:vMerge w:val="continue"/>
          </w:tcPr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强度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2轴稳定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b/>
                <w:color w:val="000000"/>
                <w:rFonts w:ascii="宋体" w:hAnsi="宋体" w:eastAsia="宋体"/>
                <w:sz w:val="21"/>
              </w:rPr>
              <w:t xml:space="preserve">3轴稳定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630.14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649.63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630.40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636.79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649.63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637.56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639.66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649.63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637.42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652.36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624.23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649.63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633.02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629.03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629.07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624.22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624.26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630.17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629.00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645.61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645.61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110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645.61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621.18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646.69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644.94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623.28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646.05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647.38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90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636.24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652.36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19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663.00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8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650.46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5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4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3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650.42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  <w:tr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1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2.50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27.00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640.00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650.57
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  <w:tc>
          <w:p>
            <w:pPr>
              <w:spacing w:before="50" w:after="50"/>
              <w:ind w:left="105" w:right="105"/>
              <w:jc w:val="left"/>
            </w:pPr>
            <w:r>
              <w:rPr>
                <w:color w:val="000000"/>
                <w:rFonts w:ascii="宋体" w:hAnsi="宋体" w:eastAsia="宋体"/>
                <w:sz w:val="21"/>
              </w:rPr>
              <w:t xml:space="preserve">-</w:t>
            </w:r>
          </w:p>
        </w:tc>
      </w:tr>
    </w:tbl>
  </w:body>
</w:document>
</file>

<file path=word/footer.xml><?xml version="1.0" encoding="utf-8"?>
<w:ftr xmlns:w="http://schemas.openxmlformats.org/wordprocessingml/2006/main">
  <w:sdt>
    <w:sdtPr>
      <w:id w:val="23883033"/>
      <w:docPartObj>
        <w:docPartGallery w:val="Page Numbers (Bottom of Page)"/>
        <w:docPartUnique/>
      </w:docPartObj>
    </w:sdtPr>
    <w:sdtContent>
      <w:p w:rsidR="0069787D" w:rsidRDefault="0069787D">
        <w:pPr>
          <w:pStyle w:val="a4"/>
          <w:jc w:val="center"/>
        </w:pPr>
        <w:r>
          <w:rPr>
            <w:rFonts w:hint="eastAsia"/>
          </w:rPr>
          <w:t/>
        </w:r>
        <w:r>
          <w:ptab w:alignment="center" w:relativeTo="margin" w:leader="none"/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end"/>
        </w:r>
        <w:r>
          <w:ptab w:alignment="right" w:relativeTo="margin" w:leader="none"/>
        </w:r>
        <w:r>
          <w:rPr>
            <w:rFonts w:hint="eastAsia"/>
          </w:rPr>
          <w:t/>
        </w:r>
      </w:p>
    </w:sdtContent>
  </w:sdt>
</w:ftr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31d5f96d673a4ca6" /></Relationships>
</file>