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42" w:tblpY="1642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68"/>
        <w:gridCol w:w="2416"/>
        <w:gridCol w:w="2334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机组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发动机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主用</w:t>
            </w:r>
            <w:r>
              <w:rPr>
                <w:rFonts w:ascii="宋体" w:hAnsi="宋体"/>
              </w:rPr>
              <w:t>功率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KW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发动机结构特点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四冲程、涡轮增压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备用</w:t>
            </w:r>
            <w:r>
              <w:rPr>
                <w:rFonts w:ascii="宋体" w:hAnsi="宋体"/>
              </w:rPr>
              <w:t>功率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KW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110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缸数/排列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机组容量(KVA)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125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缸径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行程（mm）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102×120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额定转速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RPM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1500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起动方式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额定电压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V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400</w:t>
            </w:r>
            <w:r>
              <w:rPr>
                <w:rFonts w:hint="eastAsia" w:ascii="宋体" w:hAnsi="宋体"/>
                <w:lang w:val="en-US" w:eastAsia="zh-CN"/>
              </w:rPr>
              <w:t>/230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燃油喷射方式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PT直喷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额定电流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调速方式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额定频率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Hz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满载燃油消耗率</w:t>
            </w:r>
            <w:r>
              <w:rPr>
                <w:rFonts w:hint="eastAsia" w:ascii="宋体" w:hAnsi="宋体"/>
                <w:sz w:val="18"/>
                <w:szCs w:val="18"/>
              </w:rPr>
              <w:t>（g/kwh）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额定功率因数</w:t>
            </w:r>
          </w:p>
        </w:tc>
        <w:tc>
          <w:tcPr>
            <w:tcW w:w="2416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0.8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燃油型号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国产0号（常温）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机组重量（</w:t>
            </w:r>
            <w:r>
              <w:rPr>
                <w:rFonts w:ascii="宋体" w:hAnsi="宋体"/>
              </w:rPr>
              <w:t>K</w:t>
            </w:r>
            <w:r>
              <w:rPr>
                <w:rFonts w:hint="eastAsia" w:ascii="宋体" w:hAnsi="宋体"/>
              </w:rPr>
              <w:t>g）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.</w:t>
            </w: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冷却方式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闭式水冷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机组尺寸(长×宽×高)</w:t>
            </w:r>
          </w:p>
        </w:tc>
        <w:tc>
          <w:tcPr>
            <w:tcW w:w="2416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2300×850×1445（mm）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发电机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频率降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</w:rPr>
              <w:t>额定电压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V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稳态频率带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额定频率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Hz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相对频率整定下降范围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≥3.5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额定转速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ascii="宋体" w:hAnsi="宋体"/>
              </w:rPr>
              <w:t>RPM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rPr>
                <w:rFonts w:hint="eastAsia" w:ascii="宋体" w:hAnsi="宋体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ind w:left="252" w:leftChars="0" w:hanging="252" w:hangingChars="12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相对频率整定上升范围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+2.5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功率因数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shd w:val="clear" w:color="auto" w:fill="F3F3F3"/>
            <w:textDirection w:val="lrTb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瞬态频率偏差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shd w:val="clear" w:color="auto" w:fill="F3F3F3"/>
            <w:textDirection w:val="lrTb"/>
            <w:vAlign w:val="center"/>
          </w:tcPr>
          <w:p>
            <w:r>
              <w:rPr>
                <w:rFonts w:hint="eastAsia" w:ascii="宋体" w:hAnsi="宋体"/>
                <w:szCs w:val="21"/>
              </w:rPr>
              <w:t>100%突减功率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+1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相数和接线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三相，Y型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8" w:type="dxa"/>
            <w:shd w:val="clear" w:color="auto" w:fill="F3F3F3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突加功率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效率</w:t>
            </w:r>
            <w:r>
              <w:rPr>
                <w:rFonts w:hint="eastAsia" w:ascii="宋体" w:hAnsi="宋体"/>
              </w:rPr>
              <w:t>(%)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r>
              <w:rPr>
                <w:rFonts w:hint="eastAsia" w:ascii="宋体" w:hAnsi="宋体"/>
                <w:szCs w:val="21"/>
              </w:rPr>
              <w:t>频率恢复时间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≤2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励磁方式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无刷励磁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相对的频率容差带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绝缘等级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稳态电压偏差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2334" w:type="dxa"/>
            <w:shd w:val="clear" w:color="auto" w:fill="F3F3F3"/>
            <w:textDirection w:val="lrTb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防护等级</w:t>
            </w:r>
          </w:p>
        </w:tc>
        <w:tc>
          <w:tcPr>
            <w:tcW w:w="2078" w:type="dxa"/>
            <w:shd w:val="clear" w:color="auto" w:fill="F3F3F3"/>
            <w:textDirection w:val="lrTb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IP23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电压不平衡度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电动绞线盘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电压调制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0.3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电缆电线 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YCW 3*95+2*50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瞬</w:t>
            </w:r>
            <w:r>
              <w:rPr>
                <w:rFonts w:hint="eastAsia" w:ascii="宋体" w:hAnsi="宋体"/>
                <w:spacing w:val="-20"/>
                <w:szCs w:val="21"/>
              </w:rPr>
              <w:t>态电压偏差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668" w:type="dxa"/>
            <w:shd w:val="clear" w:color="auto" w:fill="F3F3F3"/>
            <w:textDirection w:val="lrTb"/>
            <w:vAlign w:val="center"/>
          </w:tcPr>
          <w:p>
            <w:r>
              <w:rPr>
                <w:rFonts w:hint="eastAsia" w:ascii="宋体" w:hAnsi="宋体"/>
                <w:szCs w:val="21"/>
              </w:rPr>
              <w:t>100%突减功率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+2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移动拖车</w:t>
            </w: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双轴四轮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  <w:shd w:val="clear" w:color="auto" w:fill="F3F3F3"/>
            <w:textDirection w:val="lrTb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8" w:type="dxa"/>
            <w:shd w:val="clear" w:color="auto" w:fill="F3F3F3"/>
            <w:textDirection w:val="lrTb"/>
            <w:vAlign w:val="center"/>
          </w:tcPr>
          <w:p>
            <w:r>
              <w:rPr>
                <w:rFonts w:hint="eastAsia" w:ascii="宋体" w:hAnsi="宋体"/>
                <w:szCs w:val="21"/>
              </w:rPr>
              <w:t>突加功率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电压恢复时间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416" w:type="dxa"/>
            <w:shd w:val="clear" w:color="auto" w:fill="F3F3F3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≤2</w:t>
            </w: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2" w:type="dxa"/>
            <w:gridSpan w:val="2"/>
            <w:shd w:val="clear" w:color="auto" w:fill="F3F3F3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416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34" w:type="dxa"/>
            <w:shd w:val="clear" w:color="auto" w:fill="F3F3F3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78" w:type="dxa"/>
            <w:shd w:val="clear" w:color="auto" w:fill="F3F3F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移动发电机技术参数要求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7652"/>
    <w:rsid w:val="0B0E4AA6"/>
    <w:rsid w:val="0F794665"/>
    <w:rsid w:val="11167959"/>
    <w:rsid w:val="69A076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2021-08-24T01:59:00Z</dcterms:created>
  <dc:creator>阿泰</dc:creator>
  <cp:lastModifiedBy>郗峰</cp:lastModifiedBy>
  <dcterms:modified xsi:type="dcterms:W3CDTF">2021-09-08T07:50:36Z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67F983000C59467A9C3A3965032EE217</vt:lpwstr>
  </property>
</Properties>
</file>