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jc w:val="left"/>
        <w:rPr>
          <w:rFonts w:ascii="宋体" w:hAnsi="宋体" w:cs="宋体"/>
          <w:b/>
          <w:sz w:val="36"/>
          <w:szCs w:val="36"/>
        </w:rPr>
      </w:pPr>
      <w:r>
        <w:rPr>
          <w:rFonts w:hint="eastAsia" w:ascii="宋体" w:hAnsi="宋体" w:cs="宋体"/>
          <w:b/>
          <w:sz w:val="36"/>
          <w:szCs w:val="36"/>
        </w:rPr>
        <w:t>项目名称：上磺服务区技术论证和安全评价服务项目</w:t>
      </w:r>
    </w:p>
    <w:p>
      <w:pPr>
        <w:jc w:val="center"/>
        <w:rPr>
          <w:rFonts w:ascii="宋体" w:hAnsi="宋体" w:cs="宋体"/>
          <w:b/>
          <w:spacing w:val="20"/>
          <w:sz w:val="72"/>
          <w:szCs w:val="72"/>
        </w:rPr>
      </w:pPr>
    </w:p>
    <w:p>
      <w:pPr>
        <w:pStyle w:val="2"/>
      </w:pPr>
    </w:p>
    <w:p/>
    <w:p>
      <w:pPr>
        <w:pStyle w:val="2"/>
      </w:pPr>
    </w:p>
    <w:p>
      <w:pPr>
        <w:jc w:val="center"/>
        <w:rPr>
          <w:rFonts w:ascii="宋体" w:hAnsi="宋体" w:cs="宋体"/>
          <w:b/>
          <w:spacing w:val="20"/>
          <w:sz w:val="72"/>
          <w:szCs w:val="72"/>
        </w:rPr>
      </w:pPr>
    </w:p>
    <w:p>
      <w:pPr>
        <w:pStyle w:val="2"/>
      </w:pPr>
    </w:p>
    <w:p>
      <w:pPr>
        <w:pStyle w:val="2"/>
      </w:pPr>
    </w:p>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2"/>
        <w:rPr>
          <w:rFonts w:ascii="宋体" w:hAnsi="宋体" w:cs="宋体"/>
          <w:spacing w:val="100"/>
          <w:szCs w:val="21"/>
        </w:rPr>
      </w:pPr>
    </w:p>
    <w:p>
      <w:pPr>
        <w:rPr>
          <w:rFonts w:ascii="宋体" w:hAnsi="宋体" w:cs="宋体"/>
          <w:spacing w:val="100"/>
          <w:szCs w:val="21"/>
        </w:rPr>
      </w:pPr>
    </w:p>
    <w:p>
      <w:pPr>
        <w:pStyle w:val="2"/>
        <w:rPr>
          <w:rFonts w:ascii="宋体" w:hAnsi="宋体" w:cs="宋体"/>
          <w:spacing w:val="100"/>
          <w:szCs w:val="21"/>
        </w:rPr>
      </w:pPr>
    </w:p>
    <w:p/>
    <w:p>
      <w:pPr>
        <w:pStyle w:val="10"/>
        <w:spacing w:line="360" w:lineRule="auto"/>
        <w:ind w:left="99" w:leftChars="47"/>
        <w:jc w:val="center"/>
        <w:rPr>
          <w:rFonts w:ascii="宋体" w:hAnsi="宋体" w:cs="宋体"/>
          <w:b/>
          <w:sz w:val="32"/>
          <w:szCs w:val="32"/>
        </w:rPr>
      </w:pPr>
      <w:r>
        <w:rPr>
          <w:rFonts w:hint="eastAsia" w:ascii="宋体" w:hAnsi="宋体" w:cs="宋体"/>
          <w:b/>
          <w:sz w:val="32"/>
          <w:szCs w:val="32"/>
        </w:rPr>
        <w:t>重庆高速资产经营管理有限公司</w:t>
      </w:r>
    </w:p>
    <w:p>
      <w:pPr>
        <w:pStyle w:val="10"/>
        <w:spacing w:line="360" w:lineRule="auto"/>
        <w:ind w:left="99" w:leftChars="47"/>
        <w:jc w:val="center"/>
        <w:rPr>
          <w:rFonts w:hint="eastAsia" w:ascii="宋体" w:hAnsi="宋体" w:cs="宋体"/>
          <w:b/>
          <w:sz w:val="32"/>
          <w:szCs w:val="32"/>
        </w:rPr>
      </w:pPr>
      <w:r>
        <w:rPr>
          <w:rFonts w:hint="eastAsia" w:ascii="宋体" w:hAnsi="宋体" w:cs="宋体"/>
          <w:b/>
          <w:sz w:val="32"/>
          <w:szCs w:val="32"/>
        </w:rPr>
        <w:t>2021年7月</w:t>
      </w:r>
    </w:p>
    <w:p>
      <w:pPr>
        <w:rPr>
          <w:rFonts w:hint="eastAsia" w:ascii="宋体" w:hAnsi="宋体" w:cs="宋体"/>
          <w:b/>
          <w:sz w:val="32"/>
          <w:szCs w:val="32"/>
        </w:rPr>
      </w:pPr>
    </w:p>
    <w:p>
      <w:pPr>
        <w:pStyle w:val="2"/>
      </w:pPr>
    </w:p>
    <w:p/>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宋体" w:hAnsi="宋体" w:cs="宋体"/>
          <w:b/>
          <w:sz w:val="30"/>
          <w:szCs w:val="30"/>
        </w:rPr>
      </w:pPr>
      <w:r>
        <w:rPr>
          <w:rFonts w:hint="eastAsia" w:ascii="宋体" w:hAnsi="宋体" w:cs="宋体"/>
          <w:b/>
          <w:sz w:val="30"/>
          <w:szCs w:val="30"/>
        </w:rPr>
        <w:t>上磺服务区技术论证和安全评价服务项目竞争性比选公告</w:t>
      </w:r>
      <w:bookmarkStart w:id="0" w:name="_Toc246996166"/>
      <w:bookmarkStart w:id="1" w:name="_Toc179632536"/>
      <w:bookmarkStart w:id="2" w:name="_Toc247085680"/>
      <w:bookmarkStart w:id="3" w:name="_Toc152045519"/>
      <w:bookmarkStart w:id="4" w:name="_Toc246996909"/>
      <w:bookmarkStart w:id="5" w:name="_Toc152042295"/>
      <w:bookmarkStart w:id="6" w:name="_Toc144974487"/>
      <w:bookmarkStart w:id="7" w:name="_Toc296602410"/>
    </w:p>
    <w:p>
      <w:pPr>
        <w:pStyle w:val="2"/>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pPr>
    </w:p>
    <w:bookmarkEnd w:id="0"/>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szCs w:val="21"/>
        </w:rPr>
      </w:pPr>
      <w:bookmarkStart w:id="8" w:name="_Toc246996911"/>
      <w:bookmarkStart w:id="9" w:name="_Toc152042297"/>
      <w:bookmarkStart w:id="10" w:name="_Toc296602412"/>
      <w:bookmarkStart w:id="11" w:name="_Toc179632538"/>
      <w:bookmarkStart w:id="12" w:name="_Toc247085682"/>
      <w:bookmarkStart w:id="13" w:name="_Toc152045521"/>
      <w:bookmarkStart w:id="14" w:name="_Toc246996168"/>
      <w:bookmarkStart w:id="15" w:name="_Toc144974489"/>
      <w:r>
        <w:rPr>
          <w:szCs w:val="21"/>
        </w:rPr>
        <w:t>本项目</w:t>
      </w:r>
      <w:r>
        <w:rPr>
          <w:rFonts w:hint="eastAsia"/>
          <w:b/>
          <w:bCs/>
          <w:szCs w:val="21"/>
          <w:u w:val="single"/>
        </w:rPr>
        <w:t>上磺服务区技术论证和安全评价服务项目</w:t>
      </w:r>
      <w:r>
        <w:rPr>
          <w:szCs w:val="21"/>
        </w:rPr>
        <w:t>准备组织实施，</w:t>
      </w:r>
      <w:r>
        <w:rPr>
          <w:rFonts w:hint="eastAsia"/>
          <w:szCs w:val="21"/>
        </w:rPr>
        <w:t>重庆高速资产经营管理有限公司</w:t>
      </w:r>
      <w:r>
        <w:rPr>
          <w:szCs w:val="21"/>
        </w:rPr>
        <w:t>计划以</w:t>
      </w:r>
      <w:r>
        <w:rPr>
          <w:rFonts w:hint="eastAsia"/>
          <w:szCs w:val="21"/>
        </w:rPr>
        <w:t>竞争性比选</w:t>
      </w:r>
      <w:r>
        <w:rPr>
          <w:szCs w:val="21"/>
        </w:rPr>
        <w:t>方式确定成交单位，具体情况如下：</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szCs w:val="21"/>
        </w:rPr>
      </w:pPr>
      <w:bookmarkStart w:id="16" w:name="_Toc152042296"/>
      <w:bookmarkStart w:id="17" w:name="_Toc247085681"/>
      <w:bookmarkStart w:id="18" w:name="_Toc296602411"/>
      <w:bookmarkStart w:id="19" w:name="_Toc152045520"/>
      <w:bookmarkStart w:id="20" w:name="_Toc144974488"/>
      <w:bookmarkStart w:id="21" w:name="_Toc246996167"/>
      <w:bookmarkStart w:id="22" w:name="_Toc179632537"/>
      <w:bookmarkStart w:id="23" w:name="_Toc24699691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szCs w:val="21"/>
        </w:rPr>
      </w:pPr>
      <w:r>
        <w:rPr>
          <w:rFonts w:hint="eastAsia"/>
          <w:szCs w:val="21"/>
        </w:rPr>
        <w:t>本项目为：上磺服务区技术论证和安全评价服务项目。</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szCs w:val="21"/>
        </w:rPr>
      </w:pPr>
      <w:r>
        <w:rPr>
          <w:rFonts w:hint="eastAsia"/>
          <w:b/>
          <w:bCs/>
          <w:szCs w:val="21"/>
        </w:rPr>
        <w:t>竞争性比选范围：</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szCs w:val="21"/>
        </w:rPr>
      </w:pPr>
      <w:r>
        <w:rPr>
          <w:rFonts w:hint="eastAsia"/>
          <w:szCs w:val="21"/>
        </w:rPr>
        <w:t>（1）编制上磺服务区项目技术论证报告并通过竞争性比选人组织的专家审查；</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szCs w:val="21"/>
        </w:rPr>
      </w:pPr>
      <w:r>
        <w:rPr>
          <w:rFonts w:hint="eastAsia"/>
          <w:szCs w:val="21"/>
        </w:rPr>
        <w:t>（2）编制上磺服务区项目安全评价报告并通过市交通局审查。</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szCs w:val="21"/>
        </w:rPr>
      </w:pPr>
      <w:r>
        <w:rPr>
          <w:rFonts w:hint="eastAsia"/>
          <w:szCs w:val="21"/>
        </w:rPr>
        <w:t>（3）服务期：自竞争性比选人提供相应阶段的基础资料后15个工作日内提交审查合格的成果资料。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szCs w:val="21"/>
        </w:rPr>
      </w:pPr>
      <w:r>
        <w:rPr>
          <w:rFonts w:hint="eastAsia"/>
          <w:b/>
          <w:szCs w:val="21"/>
        </w:rPr>
        <w:t>2、</w:t>
      </w:r>
      <w:r>
        <w:rPr>
          <w:b/>
          <w:szCs w:val="21"/>
        </w:rPr>
        <w:t>本次</w:t>
      </w:r>
      <w:r>
        <w:rPr>
          <w:rFonts w:hint="eastAsia"/>
          <w:b/>
          <w:szCs w:val="21"/>
        </w:rPr>
        <w:t>竞争性比选</w:t>
      </w:r>
      <w:r>
        <w:rPr>
          <w:b/>
          <w:szCs w:val="21"/>
        </w:rPr>
        <w:t>不接受联合体竞标，不允许分包和转包。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szCs w:val="21"/>
        </w:rPr>
      </w:pPr>
      <w:r>
        <w:rPr>
          <w:rFonts w:hint="eastAsia"/>
          <w:b/>
          <w:bCs/>
          <w:szCs w:val="21"/>
        </w:rPr>
        <w:t>3、本次比选为一个合同包。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szCs w:val="21"/>
        </w:rPr>
      </w:pPr>
      <w:r>
        <w:rPr>
          <w:rFonts w:hint="eastAsia"/>
          <w:b/>
          <w:szCs w:val="21"/>
        </w:rPr>
        <w:t>4、本项目最高总限价为：20万元（大写：贰拾万元整），比选人不得超过业主发布的最高总限价，否则按否决投标处理。</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szCs w:val="21"/>
        </w:rPr>
      </w:pPr>
      <w:bookmarkStart w:id="24" w:name="_Toc152045522"/>
      <w:bookmarkStart w:id="25" w:name="_Toc179632539"/>
      <w:bookmarkStart w:id="26" w:name="_Toc246996912"/>
      <w:bookmarkStart w:id="27" w:name="_Toc296602413"/>
      <w:bookmarkStart w:id="28" w:name="_Toc144974490"/>
      <w:bookmarkStart w:id="29" w:name="_Toc152042298"/>
      <w:bookmarkStart w:id="30" w:name="_Toc247085683"/>
      <w:bookmarkStart w:id="31" w:name="_Toc246996169"/>
      <w:r>
        <w:rPr>
          <w:rFonts w:hint="eastAsia"/>
          <w:szCs w:val="21"/>
        </w:rPr>
        <w:t>1、资质要求：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（1）竞选人须具备独立法人资格，具有有效的营业执照或事业单位法人证书。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（2）竞选人须具备建设行政主管部门颁发的公路行业（公路）专业甲级及以上设计资质。</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（3）竞选人须具备工程咨询协会颁发的工程咨询甲级资信证书。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（注：须提供营业执照、资质</w:t>
      </w:r>
      <w:r>
        <w:rPr>
          <w:rFonts w:hint="eastAsia"/>
          <w:b/>
          <w:color w:val="auto"/>
          <w:szCs w:val="21"/>
          <w:lang w:eastAsia="zh-CN"/>
        </w:rPr>
        <w:t>、</w:t>
      </w:r>
      <w:r>
        <w:rPr>
          <w:rFonts w:hint="eastAsia"/>
          <w:b/>
          <w:color w:val="auto"/>
          <w:szCs w:val="21"/>
          <w:lang w:val="en-US" w:eastAsia="zh-CN"/>
        </w:rPr>
        <w:t>资信</w:t>
      </w:r>
      <w:r>
        <w:rPr>
          <w:rFonts w:hint="eastAsia"/>
          <w:b/>
          <w:color w:val="auto"/>
          <w:szCs w:val="21"/>
        </w:rPr>
        <w:t>证书的复印件或扫描件。）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业绩要求：自201</w:t>
      </w:r>
      <w:r>
        <w:rPr>
          <w:rFonts w:hint="eastAsia"/>
          <w:color w:val="auto"/>
          <w:szCs w:val="21"/>
          <w:lang w:val="en-US" w:eastAsia="zh-CN"/>
        </w:rPr>
        <w:t>8</w:t>
      </w:r>
      <w:r>
        <w:rPr>
          <w:rFonts w:hint="eastAsia"/>
          <w:color w:val="auto"/>
          <w:szCs w:val="21"/>
        </w:rPr>
        <w:t>年1月1日至比选截止时间（具体以合同签订时间为准）至少独立承担过2个公路行业安全性报告相关业绩。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（注：须提供合同的复印件或扫描件，且合同中能清晰反映该业绩要求）。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3、信誉要求：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（1）最近三年没有出现违法违规或失信行为；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（2）最近三年最没有无故弃标的不良记录；</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（3）受到行政处罚的不在其行政处罚期内。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（注：须由投标人对上述信誉要求作出承诺即可。）</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b/>
          <w:color w:val="auto"/>
          <w:szCs w:val="21"/>
        </w:rPr>
        <w:t>三、</w:t>
      </w:r>
      <w:r>
        <w:rPr>
          <w:rFonts w:hint="eastAsia"/>
          <w:b/>
          <w:color w:val="auto"/>
          <w:szCs w:val="21"/>
        </w:rPr>
        <w:t>竞争性比选申请</w:t>
      </w:r>
      <w:r>
        <w:rPr>
          <w:b/>
          <w:color w:val="auto"/>
          <w:szCs w:val="21"/>
        </w:rPr>
        <w:t>文件的相关要求：</w:t>
      </w:r>
    </w:p>
    <w:bookmarkEnd w:id="24"/>
    <w:bookmarkEnd w:id="25"/>
    <w:bookmarkEnd w:id="26"/>
    <w:bookmarkEnd w:id="27"/>
    <w:bookmarkEnd w:id="28"/>
    <w:bookmarkEnd w:id="29"/>
    <w:bookmarkEnd w:id="30"/>
    <w:bookmarkEnd w:id="31"/>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1、</w:t>
      </w:r>
      <w:r>
        <w:rPr>
          <w:b/>
          <w:bCs/>
          <w:color w:val="auto"/>
          <w:szCs w:val="21"/>
        </w:rPr>
        <w:t>本次</w:t>
      </w:r>
      <w:r>
        <w:rPr>
          <w:rFonts w:hint="eastAsia"/>
          <w:b/>
          <w:bCs/>
          <w:color w:val="auto"/>
          <w:szCs w:val="21"/>
        </w:rPr>
        <w:t>比选申请</w:t>
      </w:r>
      <w:r>
        <w:rPr>
          <w:b/>
          <w:bCs/>
          <w:color w:val="auto"/>
          <w:szCs w:val="21"/>
        </w:rPr>
        <w:t>文件的组成：</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(1)报价书；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(2)法定代表人（单位负责人）身份证明及授权委托书；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(3)比选申请单位有效的营业执照、资质</w:t>
      </w:r>
      <w:r>
        <w:rPr>
          <w:rFonts w:hint="eastAsia"/>
          <w:color w:val="auto"/>
          <w:szCs w:val="21"/>
          <w:lang w:eastAsia="zh-CN"/>
        </w:rPr>
        <w:t>、</w:t>
      </w:r>
      <w:r>
        <w:rPr>
          <w:rFonts w:hint="eastAsia"/>
          <w:color w:val="auto"/>
          <w:szCs w:val="21"/>
          <w:lang w:val="en-US" w:eastAsia="zh-CN"/>
        </w:rPr>
        <w:t>资信</w:t>
      </w:r>
      <w:r>
        <w:rPr>
          <w:rFonts w:hint="eastAsia"/>
          <w:color w:val="auto"/>
          <w:szCs w:val="21"/>
        </w:rPr>
        <w:t>证书等证明材料；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(4)比选申请单位的业绩证明材料；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rPr>
        <w:t>(5)比选申请单位信誉承诺书；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pPr>
      <w:r>
        <w:rPr>
          <w:rFonts w:hint="eastAsia"/>
          <w:color w:val="auto"/>
          <w:szCs w:val="21"/>
        </w:rPr>
        <w:t>(</w:t>
      </w:r>
      <w:r>
        <w:rPr>
          <w:rFonts w:hint="eastAsia"/>
          <w:color w:val="auto"/>
          <w:szCs w:val="21"/>
          <w:lang w:val="en-US" w:eastAsia="zh-CN"/>
        </w:rPr>
        <w:t>6</w:t>
      </w:r>
      <w:r>
        <w:rPr>
          <w:rFonts w:hint="eastAsia"/>
          <w:color w:val="auto"/>
          <w:szCs w:val="21"/>
        </w:rPr>
        <w:t>)</w:t>
      </w:r>
      <w:r>
        <w:rPr>
          <w:rFonts w:hint="eastAsia"/>
        </w:rPr>
        <w:t>比选申请单位主要管理人员的证明材料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w:t>
      </w:r>
      <w:r>
        <w:rPr>
          <w:rFonts w:hint="eastAsia"/>
          <w:color w:val="auto"/>
          <w:szCs w:val="21"/>
          <w:lang w:val="en-US" w:eastAsia="zh-CN"/>
        </w:rPr>
        <w:t>7</w:t>
      </w:r>
      <w:r>
        <w:rPr>
          <w:rFonts w:hint="eastAsia"/>
          <w:color w:val="auto"/>
          <w:szCs w:val="21"/>
        </w:rPr>
        <w:t>)比选申请单位技术部分；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w:t>
      </w:r>
      <w:r>
        <w:rPr>
          <w:rFonts w:hint="eastAsia"/>
          <w:color w:val="auto"/>
          <w:szCs w:val="21"/>
          <w:lang w:val="en-US" w:eastAsia="zh-CN"/>
        </w:rPr>
        <w:t>8</w:t>
      </w:r>
      <w:r>
        <w:rPr>
          <w:rFonts w:hint="eastAsia"/>
          <w:color w:val="auto"/>
          <w:szCs w:val="21"/>
        </w:rPr>
        <w:t>)报价清单</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w:t>
      </w:r>
      <w:r>
        <w:rPr>
          <w:rFonts w:hint="eastAsia"/>
          <w:color w:val="auto"/>
          <w:szCs w:val="21"/>
          <w:lang w:val="en-US" w:eastAsia="zh-CN"/>
        </w:rPr>
        <w:t>9</w:t>
      </w:r>
      <w:r>
        <w:rPr>
          <w:rFonts w:hint="eastAsia"/>
          <w:color w:val="auto"/>
          <w:szCs w:val="21"/>
        </w:rPr>
        <w:t>)其他材料。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（注：以上所有文件均须比选申请单位法定代表人（单位负责人）或其授权代理人签署并加盖单位公章，并装订成册）</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2、比选申请</w:t>
      </w:r>
      <w:r>
        <w:rPr>
          <w:b/>
          <w:bCs/>
          <w:color w:val="auto"/>
          <w:szCs w:val="21"/>
        </w:rPr>
        <w:t>文件的份数及编制要求</w:t>
      </w:r>
      <w:r>
        <w:rPr>
          <w:rFonts w:hint="eastAsia"/>
          <w:b/>
          <w:bCs/>
          <w:color w:val="auto"/>
          <w:szCs w:val="21"/>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比选申请文件2份（正本1份、副本1份，正本可为副本的复印件，比选人应在比选申请文件右上角清楚的标记“正本”“副本”字样，当正本与副本不一致时，以正本为准），比选申请文件按竞争性比选文件中规定格式排版。</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rFonts w:hint="eastAsia"/>
          <w:b/>
          <w:color w:val="auto"/>
          <w:szCs w:val="21"/>
        </w:rPr>
        <w:t>四、评标办法（本项目采用综合评估法）：</w:t>
      </w:r>
    </w:p>
    <w:tbl>
      <w:tblPr>
        <w:tblStyle w:val="19"/>
        <w:tblW w:w="9216"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5"/>
        <w:gridCol w:w="2136"/>
        <w:gridCol w:w="1701"/>
        <w:gridCol w:w="1276"/>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条款号</w:t>
            </w:r>
          </w:p>
        </w:tc>
        <w:tc>
          <w:tcPr>
            <w:tcW w:w="2136" w:type="dxa"/>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评审因素</w:t>
            </w:r>
          </w:p>
        </w:tc>
        <w:tc>
          <w:tcPr>
            <w:tcW w:w="4909" w:type="dxa"/>
            <w:gridSpan w:val="3"/>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1</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形式评审标准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比选申请人名称</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报价书签字盖章</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比选申请文件格式</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报价唯一</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比选申请文件份数</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最高限价</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符合最高限价规定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2</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资格评审标准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营业执照</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资质要求</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业绩要求</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color w:val="auto"/>
                <w:szCs w:val="21"/>
              </w:rPr>
              <w:t>信誉要求</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3</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响应性评审标准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比选内容</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服务期</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竞标有效期</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kern w:val="0"/>
              </w:rPr>
            </w:pPr>
            <w:r>
              <w:rPr>
                <w:rFonts w:hint="eastAsia" w:ascii="宋体" w:hAnsi="宋体" w:cs="宋体"/>
                <w:color w:val="auto"/>
                <w:kern w:val="0"/>
              </w:rPr>
              <w:t>实质性要求</w:t>
            </w:r>
          </w:p>
        </w:tc>
        <w:tc>
          <w:tcPr>
            <w:tcW w:w="4909" w:type="dxa"/>
            <w:gridSpan w:val="3"/>
            <w:vAlign w:val="center"/>
          </w:tcPr>
          <w:p>
            <w:pPr>
              <w:spacing w:line="300" w:lineRule="exact"/>
              <w:jc w:val="left"/>
              <w:rPr>
                <w:rFonts w:ascii="宋体" w:hAnsi="宋体" w:cs="宋体"/>
                <w:color w:val="auto"/>
                <w:kern w:val="0"/>
              </w:rPr>
            </w:pPr>
            <w:r>
              <w:rPr>
                <w:rFonts w:hint="eastAsia" w:ascii="宋体" w:hAnsi="宋体" w:cs="宋体"/>
                <w:color w:val="auto"/>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16" w:type="dxa"/>
            <w:gridSpan w:val="6"/>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注：条款1-3均为强制性要求，比选申请人如不满足，按否决竞标处理。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16" w:type="dxa"/>
            <w:gridSpan w:val="6"/>
            <w:vAlign w:val="center"/>
          </w:tcPr>
          <w:p>
            <w:pPr>
              <w:spacing w:line="300" w:lineRule="exact"/>
              <w:rPr>
                <w:b/>
                <w:color w:val="auto"/>
                <w:szCs w:val="21"/>
              </w:rPr>
            </w:pPr>
            <w:r>
              <w:rPr>
                <w:b/>
                <w:color w:val="auto"/>
                <w:szCs w:val="21"/>
              </w:rPr>
              <w:t>有下列情况之一的，视为</w:t>
            </w:r>
            <w:r>
              <w:rPr>
                <w:rFonts w:hint="eastAsia"/>
                <w:b/>
                <w:color w:val="auto"/>
                <w:szCs w:val="21"/>
              </w:rPr>
              <w:t>比选申请人</w:t>
            </w:r>
            <w:r>
              <w:rPr>
                <w:b/>
                <w:color w:val="auto"/>
                <w:szCs w:val="21"/>
              </w:rPr>
              <w:t>相互串通</w:t>
            </w:r>
            <w:r>
              <w:rPr>
                <w:rFonts w:hint="eastAsia"/>
                <w:b/>
                <w:color w:val="auto"/>
                <w:szCs w:val="21"/>
              </w:rPr>
              <w:t>竞标</w:t>
            </w:r>
            <w:r>
              <w:rPr>
                <w:b/>
                <w:color w:val="auto"/>
                <w:szCs w:val="21"/>
              </w:rPr>
              <w:t>，做否决</w:t>
            </w:r>
            <w:r>
              <w:rPr>
                <w:rFonts w:hint="eastAsia"/>
                <w:b/>
                <w:color w:val="auto"/>
                <w:szCs w:val="21"/>
              </w:rPr>
              <w:t>竞标</w:t>
            </w:r>
            <w:r>
              <w:rPr>
                <w:b/>
                <w:color w:val="auto"/>
                <w:szCs w:val="21"/>
              </w:rPr>
              <w:t>处理。</w:t>
            </w:r>
          </w:p>
          <w:p>
            <w:pPr>
              <w:numPr>
                <w:ilvl w:val="0"/>
                <w:numId w:val="2"/>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由同一单位或者个人编制；</w:t>
            </w:r>
          </w:p>
          <w:p>
            <w:pPr>
              <w:numPr>
                <w:ilvl w:val="0"/>
                <w:numId w:val="2"/>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委托同一单位或者个人办理</w:t>
            </w:r>
            <w:r>
              <w:rPr>
                <w:rFonts w:hint="eastAsia"/>
                <w:color w:val="auto"/>
                <w:szCs w:val="21"/>
              </w:rPr>
              <w:t>竞标</w:t>
            </w:r>
            <w:r>
              <w:rPr>
                <w:color w:val="auto"/>
                <w:szCs w:val="21"/>
              </w:rPr>
              <w:t>事宜；</w:t>
            </w:r>
          </w:p>
          <w:p>
            <w:pPr>
              <w:numPr>
                <w:ilvl w:val="0"/>
                <w:numId w:val="2"/>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载明的项目管理成员为同一人；</w:t>
            </w:r>
          </w:p>
          <w:p>
            <w:pPr>
              <w:numPr>
                <w:ilvl w:val="0"/>
                <w:numId w:val="2"/>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异常一致或者</w:t>
            </w:r>
            <w:r>
              <w:rPr>
                <w:rFonts w:hint="eastAsia"/>
                <w:color w:val="auto"/>
                <w:szCs w:val="21"/>
              </w:rPr>
              <w:t>竞标报价</w:t>
            </w:r>
            <w:r>
              <w:rPr>
                <w:color w:val="auto"/>
                <w:szCs w:val="21"/>
              </w:rPr>
              <w:t>呈规律性差异；</w:t>
            </w:r>
          </w:p>
          <w:p>
            <w:pPr>
              <w:spacing w:line="300" w:lineRule="exact"/>
              <w:rPr>
                <w:rFonts w:ascii="宋体" w:hAnsi="宋体" w:cs="宋体"/>
                <w:color w:val="auto"/>
                <w:szCs w:val="21"/>
                <w:shd w:val="clear" w:color="auto" w:fill="FFFFFF"/>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66" w:type="dxa"/>
            <w:vAlign w:val="center"/>
          </w:tcPr>
          <w:p>
            <w:pPr>
              <w:spacing w:line="300" w:lineRule="exact"/>
              <w:jc w:val="center"/>
              <w:rPr>
                <w:color w:val="auto"/>
                <w:szCs w:val="21"/>
              </w:rPr>
            </w:pPr>
            <w:r>
              <w:rPr>
                <w:rFonts w:hint="eastAsia"/>
                <w:color w:val="auto"/>
                <w:szCs w:val="21"/>
              </w:rPr>
              <w:t>2.1</w:t>
            </w:r>
          </w:p>
        </w:tc>
        <w:tc>
          <w:tcPr>
            <w:tcW w:w="1205" w:type="dxa"/>
            <w:vAlign w:val="center"/>
          </w:tcPr>
          <w:p>
            <w:pPr>
              <w:spacing w:line="300" w:lineRule="exact"/>
              <w:jc w:val="center"/>
              <w:rPr>
                <w:color w:val="auto"/>
                <w:szCs w:val="21"/>
              </w:rPr>
            </w:pPr>
            <w:r>
              <w:rPr>
                <w:rFonts w:hint="eastAsia"/>
                <w:color w:val="auto"/>
                <w:szCs w:val="21"/>
              </w:rPr>
              <w:t>分值构成 （100分）</w:t>
            </w:r>
          </w:p>
        </w:tc>
        <w:tc>
          <w:tcPr>
            <w:tcW w:w="7045" w:type="dxa"/>
            <w:gridSpan w:val="4"/>
            <w:vAlign w:val="center"/>
          </w:tcPr>
          <w:p>
            <w:pPr>
              <w:spacing w:line="300" w:lineRule="exact"/>
              <w:jc w:val="left"/>
              <w:rPr>
                <w:color w:val="auto"/>
              </w:rPr>
            </w:pPr>
            <w:r>
              <w:rPr>
                <w:color w:val="auto"/>
              </w:rPr>
              <w:t>评审因素</w:t>
            </w:r>
            <w:r>
              <w:rPr>
                <w:color w:val="auto"/>
              </w:rPr>
              <w:tab/>
            </w:r>
            <w:r>
              <w:rPr>
                <w:color w:val="auto"/>
              </w:rPr>
              <w:t xml:space="preserve">                               评</w:t>
            </w:r>
            <w:r>
              <w:rPr>
                <w:rFonts w:hint="eastAsia"/>
                <w:color w:val="auto"/>
              </w:rPr>
              <w:t>分</w:t>
            </w:r>
            <w:r>
              <w:rPr>
                <w:color w:val="auto"/>
              </w:rPr>
              <w:t>值</w:t>
            </w:r>
          </w:p>
          <w:p>
            <w:pPr>
              <w:numPr>
                <w:ilvl w:val="0"/>
                <w:numId w:val="0"/>
              </w:numPr>
              <w:spacing w:line="400" w:lineRule="exact"/>
              <w:ind w:right="420" w:rightChars="200"/>
              <w:jc w:val="left"/>
              <w:rPr>
                <w:rFonts w:hint="eastAsia"/>
                <w:color w:val="auto"/>
                <w:u w:val="single"/>
              </w:rPr>
            </w:pPr>
            <w:r>
              <w:rPr>
                <w:rFonts w:hint="eastAsia"/>
                <w:color w:val="auto"/>
                <w:szCs w:val="22"/>
                <w:lang w:eastAsia="zh-CN"/>
              </w:rPr>
              <w:t>（</w:t>
            </w:r>
            <w:r>
              <w:rPr>
                <w:rFonts w:hint="eastAsia"/>
                <w:color w:val="auto"/>
                <w:szCs w:val="22"/>
                <w:lang w:val="en-US" w:eastAsia="zh-CN"/>
              </w:rPr>
              <w:t>一</w:t>
            </w:r>
            <w:r>
              <w:rPr>
                <w:rFonts w:hint="eastAsia"/>
                <w:color w:val="auto"/>
                <w:szCs w:val="22"/>
                <w:lang w:eastAsia="zh-CN"/>
              </w:rPr>
              <w:t>）</w:t>
            </w:r>
            <w:r>
              <w:rPr>
                <w:rFonts w:hint="eastAsia"/>
                <w:color w:val="auto"/>
              </w:rPr>
              <w:t xml:space="preserve">商务部分                   ：       </w:t>
            </w:r>
            <w:r>
              <w:rPr>
                <w:rFonts w:hint="eastAsia"/>
                <w:color w:val="auto"/>
                <w:u w:val="single"/>
              </w:rPr>
              <w:t xml:space="preserve"> </w:t>
            </w:r>
            <w:r>
              <w:rPr>
                <w:rFonts w:hint="eastAsia"/>
                <w:color w:val="auto"/>
                <w:u w:val="single"/>
                <w:lang w:val="en-US" w:eastAsia="zh-CN"/>
              </w:rPr>
              <w:t>1</w:t>
            </w:r>
            <w:r>
              <w:rPr>
                <w:rFonts w:hint="eastAsia"/>
                <w:color w:val="auto"/>
                <w:u w:val="single"/>
              </w:rPr>
              <w:t>0 分</w:t>
            </w:r>
          </w:p>
          <w:p>
            <w:pPr>
              <w:spacing w:line="300" w:lineRule="exact"/>
              <w:jc w:val="left"/>
              <w:rPr>
                <w:rFonts w:hint="default" w:eastAsia="宋体"/>
                <w:color w:val="auto"/>
                <w:szCs w:val="22"/>
                <w:lang w:val="en-US" w:eastAsia="zh-CN"/>
              </w:rPr>
            </w:pPr>
            <w:r>
              <w:rPr>
                <w:rFonts w:hint="eastAsia"/>
                <w:color w:val="auto"/>
                <w:szCs w:val="21"/>
              </w:rPr>
              <w:t>自201</w:t>
            </w:r>
            <w:r>
              <w:rPr>
                <w:rFonts w:hint="eastAsia"/>
                <w:color w:val="auto"/>
                <w:szCs w:val="21"/>
                <w:lang w:val="en-US" w:eastAsia="zh-CN"/>
              </w:rPr>
              <w:t>8</w:t>
            </w:r>
            <w:r>
              <w:rPr>
                <w:rFonts w:hint="eastAsia"/>
                <w:color w:val="auto"/>
                <w:szCs w:val="21"/>
              </w:rPr>
              <w:t>年1月1日至比选截止时间（具体以合同签订时间为准）独立承担过2个公路行业安全性报告相关业绩</w:t>
            </w:r>
            <w:r>
              <w:rPr>
                <w:rFonts w:hint="eastAsia"/>
                <w:color w:val="auto"/>
                <w:szCs w:val="21"/>
                <w:lang w:val="en-US" w:eastAsia="zh-CN"/>
              </w:rPr>
              <w:t>得4分，每增加一个</w:t>
            </w:r>
            <w:r>
              <w:rPr>
                <w:rFonts w:hint="eastAsia"/>
                <w:color w:val="auto"/>
                <w:szCs w:val="21"/>
              </w:rPr>
              <w:t>公路行业安全性报告相关业绩</w:t>
            </w:r>
            <w:r>
              <w:rPr>
                <w:rFonts w:hint="eastAsia"/>
                <w:color w:val="auto"/>
                <w:szCs w:val="21"/>
                <w:lang w:val="en-US" w:eastAsia="zh-CN"/>
              </w:rPr>
              <w:t>得2分</w:t>
            </w:r>
            <w:r>
              <w:rPr>
                <w:rFonts w:hint="eastAsia"/>
                <w:color w:val="auto"/>
                <w:szCs w:val="21"/>
              </w:rPr>
              <w:t>。</w:t>
            </w:r>
            <w:r>
              <w:rPr>
                <w:rFonts w:hint="eastAsia"/>
                <w:color w:val="auto"/>
                <w:szCs w:val="21"/>
                <w:lang w:val="en-US" w:eastAsia="zh-CN"/>
              </w:rPr>
              <w:t>本项</w:t>
            </w:r>
            <w:r>
              <w:rPr>
                <w:rFonts w:hint="eastAsia" w:ascii="宋体" w:hAnsi="宋体"/>
                <w:color w:val="auto"/>
                <w:szCs w:val="21"/>
              </w:rPr>
              <w:t>最多</w:t>
            </w:r>
            <w:r>
              <w:rPr>
                <w:rFonts w:hint="eastAsia" w:ascii="宋体" w:hAnsi="宋体"/>
                <w:color w:val="auto"/>
                <w:szCs w:val="21"/>
                <w:lang w:val="en-US" w:eastAsia="zh-CN"/>
              </w:rPr>
              <w:t>得1</w:t>
            </w:r>
            <w:r>
              <w:rPr>
                <w:rFonts w:hint="eastAsia" w:ascii="宋体" w:hAnsi="宋体"/>
                <w:color w:val="auto"/>
                <w:szCs w:val="21"/>
              </w:rPr>
              <w:t>0分。</w:t>
            </w:r>
          </w:p>
          <w:p>
            <w:pPr>
              <w:spacing w:line="300" w:lineRule="exact"/>
              <w:jc w:val="left"/>
              <w:rPr>
                <w:color w:val="auto"/>
                <w:szCs w:val="22"/>
              </w:rPr>
            </w:pPr>
            <w:r>
              <w:rPr>
                <w:color w:val="auto"/>
                <w:szCs w:val="22"/>
              </w:rPr>
              <w:t>（一）</w:t>
            </w:r>
            <w:r>
              <w:rPr>
                <w:rFonts w:hint="eastAsia"/>
                <w:color w:val="auto"/>
                <w:szCs w:val="22"/>
              </w:rPr>
              <w:t>竞标总报价</w:t>
            </w:r>
            <w:r>
              <w:rPr>
                <w:color w:val="auto"/>
                <w:szCs w:val="22"/>
              </w:rPr>
              <w:t>：</w:t>
            </w:r>
            <w:r>
              <w:rPr>
                <w:color w:val="auto"/>
                <w:szCs w:val="22"/>
              </w:rPr>
              <w:tab/>
            </w:r>
            <w:r>
              <w:rPr>
                <w:color w:val="auto"/>
                <w:szCs w:val="22"/>
              </w:rPr>
              <w:t xml:space="preserve">                        </w:t>
            </w:r>
            <w:r>
              <w:rPr>
                <w:color w:val="auto"/>
                <w:szCs w:val="22"/>
                <w:u w:val="single"/>
              </w:rPr>
              <w:t xml:space="preserve"> </w:t>
            </w:r>
            <w:r>
              <w:rPr>
                <w:rFonts w:hint="eastAsia"/>
                <w:color w:val="auto"/>
                <w:szCs w:val="22"/>
                <w:u w:val="single"/>
                <w:lang w:val="en-US" w:eastAsia="zh-CN"/>
              </w:rPr>
              <w:t>7</w:t>
            </w:r>
            <w:r>
              <w:rPr>
                <w:rFonts w:hint="eastAsia"/>
                <w:color w:val="auto"/>
                <w:szCs w:val="22"/>
                <w:u w:val="single"/>
              </w:rPr>
              <w:t>0</w:t>
            </w:r>
            <w:r>
              <w:rPr>
                <w:color w:val="auto"/>
                <w:szCs w:val="22"/>
              </w:rPr>
              <w:t>分</w:t>
            </w:r>
          </w:p>
          <w:p>
            <w:pPr>
              <w:spacing w:line="300" w:lineRule="exact"/>
              <w:jc w:val="left"/>
              <w:rPr>
                <w:color w:val="auto"/>
              </w:rPr>
            </w:pPr>
            <w:r>
              <w:rPr>
                <w:color w:val="auto"/>
                <w:szCs w:val="22"/>
              </w:rPr>
              <w:t>（二）</w:t>
            </w:r>
            <w:r>
              <w:rPr>
                <w:rFonts w:hint="eastAsia" w:ascii="宋体" w:hAnsi="宋体"/>
                <w:bCs/>
                <w:color w:val="auto"/>
                <w:szCs w:val="21"/>
              </w:rPr>
              <w:t>技术部分</w:t>
            </w:r>
            <w:r>
              <w:rPr>
                <w:color w:val="auto"/>
                <w:szCs w:val="22"/>
              </w:rPr>
              <w:t xml:space="preserve">：                        </w:t>
            </w:r>
            <w:r>
              <w:rPr>
                <w:rFonts w:hint="eastAsia"/>
                <w:color w:val="auto"/>
                <w:szCs w:val="22"/>
              </w:rPr>
              <w:t xml:space="preserve">  </w:t>
            </w:r>
            <w:r>
              <w:rPr>
                <w:color w:val="auto"/>
                <w:szCs w:val="22"/>
              </w:rPr>
              <w:t xml:space="preserve"> </w:t>
            </w:r>
            <w:r>
              <w:rPr>
                <w:rFonts w:hint="eastAsia"/>
                <w:color w:val="auto"/>
                <w:szCs w:val="22"/>
              </w:rPr>
              <w:t xml:space="preserve"> </w:t>
            </w:r>
            <w:r>
              <w:rPr>
                <w:color w:val="auto"/>
                <w:szCs w:val="22"/>
                <w:u w:val="single"/>
              </w:rPr>
              <w:t xml:space="preserve"> </w:t>
            </w:r>
            <w:r>
              <w:rPr>
                <w:rFonts w:hint="eastAsia"/>
                <w:color w:val="auto"/>
                <w:szCs w:val="22"/>
                <w:u w:val="single"/>
                <w:lang w:val="en-US" w:eastAsia="zh-CN"/>
              </w:rPr>
              <w:t>2</w:t>
            </w:r>
            <w:r>
              <w:rPr>
                <w:color w:val="auto"/>
                <w:szCs w:val="22"/>
                <w:u w:val="single"/>
              </w:rPr>
              <w:t>0</w:t>
            </w:r>
            <w:r>
              <w:rPr>
                <w:color w:val="auto"/>
                <w:szCs w:val="22"/>
              </w:rPr>
              <w:t>分</w:t>
            </w:r>
            <w:r>
              <w:rPr>
                <w:rFonts w:hint="eastAsia"/>
                <w:color w:val="auto"/>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5" w:hRule="atLeast"/>
        </w:trPr>
        <w:tc>
          <w:tcPr>
            <w:tcW w:w="966" w:type="dxa"/>
            <w:vAlign w:val="center"/>
          </w:tcPr>
          <w:p>
            <w:pPr>
              <w:spacing w:line="300" w:lineRule="exact"/>
              <w:jc w:val="center"/>
              <w:rPr>
                <w:color w:val="auto"/>
                <w:szCs w:val="21"/>
              </w:rPr>
            </w:pPr>
            <w:r>
              <w:rPr>
                <w:rFonts w:hint="eastAsia"/>
                <w:color w:val="auto"/>
                <w:szCs w:val="21"/>
              </w:rPr>
              <w:t>2.1.1</w:t>
            </w:r>
          </w:p>
        </w:tc>
        <w:tc>
          <w:tcPr>
            <w:tcW w:w="1205" w:type="dxa"/>
            <w:vAlign w:val="center"/>
          </w:tcPr>
          <w:p>
            <w:pPr>
              <w:spacing w:line="300" w:lineRule="exact"/>
              <w:jc w:val="center"/>
              <w:rPr>
                <w:color w:val="auto"/>
                <w:szCs w:val="22"/>
              </w:rPr>
            </w:pPr>
            <w:r>
              <w:rPr>
                <w:rFonts w:hint="eastAsia"/>
                <w:color w:val="auto"/>
                <w:szCs w:val="22"/>
              </w:rPr>
              <w:t>竞标报价得分</w:t>
            </w:r>
          </w:p>
          <w:p>
            <w:pPr>
              <w:spacing w:line="300" w:lineRule="exact"/>
              <w:jc w:val="center"/>
              <w:rPr>
                <w:color w:val="auto"/>
                <w:szCs w:val="21"/>
              </w:rPr>
            </w:pPr>
            <w:r>
              <w:rPr>
                <w:rFonts w:hint="eastAsia"/>
                <w:color w:val="auto"/>
                <w:szCs w:val="22"/>
              </w:rPr>
              <w:t>（</w:t>
            </w:r>
            <w:r>
              <w:rPr>
                <w:rFonts w:hint="eastAsia"/>
                <w:color w:val="auto"/>
                <w:szCs w:val="22"/>
                <w:lang w:val="en-US" w:eastAsia="zh-CN"/>
              </w:rPr>
              <w:t>7</w:t>
            </w:r>
            <w:r>
              <w:rPr>
                <w:rFonts w:hint="eastAsia"/>
                <w:color w:val="auto"/>
                <w:szCs w:val="22"/>
              </w:rPr>
              <w:t>0分）</w:t>
            </w:r>
          </w:p>
        </w:tc>
        <w:tc>
          <w:tcPr>
            <w:tcW w:w="7045" w:type="dxa"/>
            <w:gridSpan w:val="4"/>
          </w:tcPr>
          <w:p>
            <w:pPr>
              <w:pStyle w:val="9"/>
              <w:spacing w:line="360" w:lineRule="auto"/>
              <w:rPr>
                <w:rFonts w:hint="eastAsia" w:hAnsi="宋体"/>
                <w:color w:val="auto"/>
              </w:rPr>
            </w:pPr>
            <w:r>
              <w:rPr>
                <w:rFonts w:hint="eastAsia"/>
                <w:color w:val="auto"/>
                <w:szCs w:val="21"/>
              </w:rPr>
              <w:t>竞标价的确定：竞标价＝报价函文字报价</w:t>
            </w:r>
          </w:p>
          <w:p>
            <w:pPr>
              <w:pStyle w:val="9"/>
              <w:spacing w:line="360" w:lineRule="auto"/>
              <w:rPr>
                <w:rFonts w:hint="eastAsia" w:hAnsi="宋体" w:cs="Times New Roman"/>
                <w:color w:val="auto"/>
              </w:rPr>
            </w:pPr>
            <w:r>
              <w:rPr>
                <w:rFonts w:hint="eastAsia" w:hAnsi="宋体" w:cs="Times New Roman"/>
                <w:b/>
                <w:color w:val="auto"/>
              </w:rPr>
              <w:t>A、</w:t>
            </w:r>
            <w:r>
              <w:rPr>
                <w:rFonts w:hint="eastAsia" w:hAnsi="宋体" w:cs="Times New Roman"/>
                <w:color w:val="auto"/>
                <w:lang w:eastAsia="zh-CN"/>
              </w:rPr>
              <w:t>上磺服务区技术论证和安全评价服务项目</w:t>
            </w:r>
            <w:r>
              <w:rPr>
                <w:rFonts w:hint="eastAsia" w:hAnsi="宋体" w:cs="Times New Roman"/>
                <w:color w:val="auto"/>
              </w:rPr>
              <w:t>最高限价</w:t>
            </w:r>
            <w:r>
              <w:rPr>
                <w:rFonts w:hint="eastAsia" w:hAnsi="宋体" w:cs="Times New Roman"/>
                <w:color w:val="auto"/>
                <w:lang w:eastAsia="zh-CN"/>
              </w:rPr>
              <w:t>：</w:t>
            </w:r>
            <w:r>
              <w:rPr>
                <w:rFonts w:hint="eastAsia" w:hAnsi="宋体" w:cs="Times New Roman"/>
                <w:color w:val="auto"/>
                <w:lang w:val="en-US" w:eastAsia="zh-CN"/>
              </w:rPr>
              <w:t>20万元。</w:t>
            </w:r>
          </w:p>
          <w:p>
            <w:pPr>
              <w:pStyle w:val="9"/>
              <w:spacing w:line="360" w:lineRule="auto"/>
              <w:rPr>
                <w:rFonts w:hint="eastAsia" w:hAnsi="宋体"/>
                <w:color w:val="auto"/>
              </w:rPr>
            </w:pPr>
            <w:r>
              <w:rPr>
                <w:rFonts w:hint="eastAsia" w:hAnsi="宋体"/>
                <w:b/>
                <w:color w:val="auto"/>
              </w:rPr>
              <w:t>B、</w:t>
            </w:r>
            <w:r>
              <w:rPr>
                <w:rFonts w:hint="eastAsia" w:hAnsi="宋体"/>
                <w:color w:val="auto"/>
              </w:rPr>
              <w:t>竞标价</w:t>
            </w:r>
            <w:r>
              <w:rPr>
                <w:rFonts w:hAnsi="宋体"/>
                <w:color w:val="auto"/>
              </w:rPr>
              <w:t>得分的计算程序：</w:t>
            </w:r>
          </w:p>
          <w:p>
            <w:pPr>
              <w:pStyle w:val="9"/>
              <w:spacing w:line="360" w:lineRule="auto"/>
              <w:rPr>
                <w:rFonts w:hint="eastAsia" w:hAnsi="宋体"/>
                <w:color w:val="auto"/>
              </w:rPr>
            </w:pPr>
            <w:r>
              <w:rPr>
                <w:rFonts w:hint="eastAsia" w:hAnsi="宋体"/>
                <w:color w:val="auto"/>
              </w:rPr>
              <w:t>（1）有效竞标价的确定：不大于最高投标限价A的竞标报价，高于最高投标限价的竞标报价按否决处理，不予进一步评审，并不参与评标基准价的计算。</w:t>
            </w:r>
          </w:p>
          <w:p>
            <w:pPr>
              <w:spacing w:line="360" w:lineRule="auto"/>
              <w:rPr>
                <w:rFonts w:hint="eastAsia"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投标基准价</w:t>
            </w:r>
            <w:r>
              <w:rPr>
                <w:rFonts w:ascii="宋体" w:hAnsi="宋体"/>
                <w:color w:val="auto"/>
                <w:szCs w:val="21"/>
              </w:rPr>
              <w:t>（</w:t>
            </w:r>
            <w:r>
              <w:rPr>
                <w:rFonts w:hint="eastAsia" w:ascii="宋体" w:hAnsi="宋体"/>
                <w:color w:val="auto"/>
                <w:szCs w:val="21"/>
              </w:rPr>
              <w:t>D</w:t>
            </w:r>
            <w:r>
              <w:rPr>
                <w:rFonts w:ascii="宋体" w:hAnsi="宋体"/>
                <w:color w:val="auto"/>
                <w:szCs w:val="21"/>
              </w:rPr>
              <w:t>）的计算：</w:t>
            </w:r>
          </w:p>
          <w:p>
            <w:pPr>
              <w:spacing w:line="360" w:lineRule="auto"/>
              <w:rPr>
                <w:rFonts w:hint="eastAsia" w:ascii="宋体" w:hAnsi="宋体"/>
                <w:color w:val="auto"/>
                <w:szCs w:val="21"/>
              </w:rPr>
            </w:pPr>
            <w:r>
              <w:rPr>
                <w:rFonts w:hint="eastAsia" w:ascii="宋体" w:hAnsi="宋体"/>
                <w:color w:val="auto"/>
                <w:szCs w:val="21"/>
              </w:rPr>
              <w:t>a．有效竞标价大于5家时：</w:t>
            </w:r>
            <w:r>
              <w:rPr>
                <w:rFonts w:ascii="宋体" w:hAnsi="宋体"/>
                <w:color w:val="auto"/>
                <w:szCs w:val="21"/>
              </w:rPr>
              <w:t>所有被宣读</w:t>
            </w:r>
            <w:r>
              <w:rPr>
                <w:rFonts w:hint="eastAsia" w:ascii="宋体" w:hAnsi="宋体"/>
                <w:color w:val="auto"/>
                <w:szCs w:val="21"/>
              </w:rPr>
              <w:t>竞标价（应为经修正后的）在有效竞标价范围内</w:t>
            </w:r>
            <w:r>
              <w:rPr>
                <w:rFonts w:ascii="宋体" w:hAnsi="宋体"/>
                <w:color w:val="auto"/>
                <w:szCs w:val="21"/>
              </w:rPr>
              <w:t>的投标</w:t>
            </w:r>
            <w:r>
              <w:rPr>
                <w:rFonts w:hint="eastAsia" w:ascii="宋体" w:hAnsi="宋体"/>
                <w:color w:val="auto"/>
                <w:szCs w:val="21"/>
              </w:rPr>
              <w:t>人竞标价，去掉一个最高值和一个最低值后的算术平均值即为投标基准价（D）；</w:t>
            </w:r>
          </w:p>
          <w:p>
            <w:pPr>
              <w:spacing w:line="360" w:lineRule="auto"/>
              <w:rPr>
                <w:rFonts w:ascii="宋体" w:hAnsi="宋体"/>
                <w:color w:val="auto"/>
                <w:szCs w:val="21"/>
              </w:rPr>
            </w:pPr>
            <w:r>
              <w:rPr>
                <w:rFonts w:hint="eastAsia" w:ascii="宋体" w:hAnsi="宋体"/>
                <w:color w:val="auto"/>
                <w:szCs w:val="21"/>
              </w:rPr>
              <w:t>D．有效竞标价小于或等于5家时：所有被宣读竞标价在有效竞标价范围内</w:t>
            </w:r>
            <w:r>
              <w:rPr>
                <w:rFonts w:ascii="宋体" w:hAnsi="宋体"/>
                <w:color w:val="auto"/>
                <w:szCs w:val="21"/>
              </w:rPr>
              <w:t>的投标人</w:t>
            </w:r>
            <w:r>
              <w:rPr>
                <w:rFonts w:hint="eastAsia" w:ascii="宋体" w:hAnsi="宋体"/>
                <w:color w:val="auto"/>
                <w:szCs w:val="21"/>
              </w:rPr>
              <w:t>竞标价</w:t>
            </w:r>
            <w:r>
              <w:rPr>
                <w:rFonts w:ascii="宋体" w:hAnsi="宋体"/>
                <w:color w:val="auto"/>
                <w:szCs w:val="21"/>
              </w:rPr>
              <w:t>的算术平均值即为</w:t>
            </w:r>
            <w:r>
              <w:rPr>
                <w:rFonts w:hint="eastAsia" w:ascii="宋体" w:hAnsi="宋体"/>
                <w:color w:val="auto"/>
                <w:szCs w:val="21"/>
              </w:rPr>
              <w:t>投标基准价</w:t>
            </w:r>
            <w:r>
              <w:rPr>
                <w:rFonts w:ascii="宋体" w:hAnsi="宋体"/>
                <w:color w:val="auto"/>
                <w:szCs w:val="21"/>
              </w:rPr>
              <w:t>（</w:t>
            </w:r>
            <w:r>
              <w:rPr>
                <w:rFonts w:hint="eastAsia" w:ascii="宋体" w:hAnsi="宋体"/>
                <w:color w:val="auto"/>
                <w:szCs w:val="21"/>
              </w:rPr>
              <w:t>D</w:t>
            </w:r>
            <w:r>
              <w:rPr>
                <w:rFonts w:ascii="宋体" w:hAnsi="宋体"/>
                <w:color w:val="auto"/>
                <w:szCs w:val="21"/>
              </w:rPr>
              <w:t>）</w:t>
            </w:r>
            <w:r>
              <w:rPr>
                <w:rFonts w:hint="eastAsia" w:ascii="宋体" w:hAnsi="宋体"/>
                <w:color w:val="auto"/>
                <w:szCs w:val="21"/>
              </w:rPr>
              <w:t>；</w:t>
            </w:r>
            <w:r>
              <w:rPr>
                <w:rFonts w:ascii="宋体" w:hAnsi="宋体"/>
                <w:color w:val="auto"/>
                <w:szCs w:val="21"/>
              </w:rPr>
              <w:t xml:space="preserve"> </w:t>
            </w:r>
          </w:p>
          <w:p>
            <w:pPr>
              <w:spacing w:line="360" w:lineRule="auto"/>
              <w:rPr>
                <w:rFonts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）当投标人</w:t>
            </w:r>
            <w:r>
              <w:rPr>
                <w:rFonts w:hint="eastAsia" w:ascii="宋体" w:hAnsi="宋体"/>
                <w:color w:val="auto"/>
                <w:szCs w:val="21"/>
              </w:rPr>
              <w:t>竞标价</w:t>
            </w:r>
            <w:r>
              <w:rPr>
                <w:rFonts w:ascii="宋体" w:hAnsi="宋体"/>
                <w:color w:val="auto"/>
                <w:szCs w:val="21"/>
              </w:rPr>
              <w:t>等于D时得满分（</w:t>
            </w:r>
            <w:r>
              <w:rPr>
                <w:rFonts w:hint="eastAsia" w:ascii="宋体" w:hAnsi="宋体"/>
                <w:color w:val="auto"/>
                <w:szCs w:val="21"/>
                <w:lang w:val="en-US" w:eastAsia="zh-CN"/>
              </w:rPr>
              <w:t>7</w:t>
            </w:r>
            <w:r>
              <w:rPr>
                <w:rFonts w:hint="eastAsia" w:ascii="宋体" w:hAnsi="宋体"/>
                <w:color w:val="auto"/>
                <w:szCs w:val="21"/>
              </w:rPr>
              <w:t>0</w:t>
            </w:r>
            <w:r>
              <w:rPr>
                <w:rFonts w:ascii="宋体" w:hAnsi="宋体"/>
                <w:color w:val="auto"/>
                <w:szCs w:val="21"/>
              </w:rPr>
              <w:t>分），每高于D一个百分点扣</w:t>
            </w:r>
            <w:r>
              <w:rPr>
                <w:rFonts w:hint="eastAsia" w:ascii="宋体" w:hAnsi="宋体"/>
                <w:color w:val="auto"/>
                <w:szCs w:val="21"/>
              </w:rPr>
              <w:t>0.2</w:t>
            </w:r>
            <w:r>
              <w:rPr>
                <w:rFonts w:ascii="宋体" w:hAnsi="宋体"/>
                <w:color w:val="auto"/>
                <w:szCs w:val="21"/>
              </w:rPr>
              <w:t>分，每低于D一个百分点扣</w:t>
            </w:r>
            <w:r>
              <w:rPr>
                <w:rFonts w:hint="eastAsia" w:ascii="宋体" w:hAnsi="宋体"/>
                <w:color w:val="auto"/>
                <w:szCs w:val="21"/>
              </w:rPr>
              <w:t>0.1</w:t>
            </w:r>
            <w:r>
              <w:rPr>
                <w:rFonts w:ascii="宋体" w:hAnsi="宋体"/>
                <w:color w:val="auto"/>
                <w:szCs w:val="21"/>
              </w:rPr>
              <w:t>分，中间值按比例内插。</w:t>
            </w:r>
          </w:p>
          <w:p>
            <w:pPr>
              <w:spacing w:line="360" w:lineRule="auto"/>
              <w:ind w:firstLine="480"/>
              <w:rPr>
                <w:rFonts w:ascii="宋体" w:hAnsi="宋体"/>
                <w:color w:val="auto"/>
                <w:szCs w:val="21"/>
              </w:rPr>
            </w:pPr>
            <w:r>
              <w:rPr>
                <w:rFonts w:hint="eastAsia" w:ascii="宋体" w:hAnsi="宋体"/>
                <w:color w:val="auto"/>
                <w:szCs w:val="21"/>
              </w:rPr>
              <w:t>竞标价</w:t>
            </w:r>
            <w:r>
              <w:rPr>
                <w:rFonts w:ascii="宋体" w:hAnsi="宋体"/>
                <w:color w:val="auto"/>
                <w:szCs w:val="21"/>
              </w:rPr>
              <w:t>得分用</w:t>
            </w:r>
            <w:r>
              <w:rPr>
                <w:rFonts w:hint="eastAsia" w:ascii="宋体" w:hAnsi="宋体"/>
                <w:color w:val="auto"/>
                <w:szCs w:val="21"/>
              </w:rPr>
              <w:t>公</w:t>
            </w:r>
            <w:r>
              <w:rPr>
                <w:rFonts w:ascii="宋体" w:hAnsi="宋体"/>
                <w:color w:val="auto"/>
                <w:szCs w:val="21"/>
              </w:rPr>
              <w:t>式表示如下：</w:t>
            </w:r>
          </w:p>
          <w:p>
            <w:pPr>
              <w:spacing w:line="360" w:lineRule="auto"/>
              <w:ind w:firstLine="480"/>
              <w:jc w:val="center"/>
              <w:rPr>
                <w:rFonts w:ascii="宋体" w:hAnsi="宋体"/>
                <w:color w:val="auto"/>
                <w:szCs w:val="21"/>
              </w:rPr>
            </w:pPr>
            <w:r>
              <w:rPr>
                <w:rFonts w:ascii="宋体" w:hAnsi="宋体"/>
                <w:color w:val="auto"/>
                <w:szCs w:val="21"/>
              </w:rPr>
              <w:object>
                <v:shape id="_x0000_i1025" o:spt="75" type="#_x0000_t75" style="height:31.95pt;width:139.95pt;" o:ole="t" fillcolor="#595959" filled="f" stroked="f" coordsize="21600,21600">
                  <v:path/>
                  <v:fill on="f" focussize="0,0"/>
                  <v:stroke on="f"/>
                  <v:imagedata r:id="rId10" o:title=""/>
                  <o:lock v:ext="edit" grouping="f" rotation="f" text="f" aspectratio="t"/>
                  <w10:wrap type="none"/>
                  <w10:anchorlock/>
                </v:shape>
                <o:OLEObject Type="Embed" ProgID="Equation.3" ShapeID="_x0000_i1025" DrawAspect="Content" ObjectID="_1468075725" r:id="rId9">
                  <o:LockedField>false</o:LockedField>
                </o:OLEObject>
              </w:object>
            </w:r>
          </w:p>
          <w:p>
            <w:pPr>
              <w:spacing w:line="360" w:lineRule="auto"/>
              <w:ind w:firstLine="480"/>
              <w:rPr>
                <w:rFonts w:ascii="宋体" w:hAnsi="宋体"/>
                <w:color w:val="auto"/>
                <w:szCs w:val="21"/>
              </w:rPr>
            </w:pPr>
            <w:r>
              <w:rPr>
                <w:rFonts w:ascii="宋体" w:hAnsi="宋体"/>
                <w:color w:val="auto"/>
                <w:szCs w:val="21"/>
              </w:rPr>
              <w:t>式中：F</w:t>
            </w:r>
            <w:r>
              <w:rPr>
                <w:rFonts w:ascii="宋体" w:hAnsi="宋体"/>
                <w:color w:val="auto"/>
                <w:szCs w:val="21"/>
                <w:vertAlign w:val="subscript"/>
              </w:rPr>
              <w:t>1</w:t>
            </w:r>
            <w:r>
              <w:rPr>
                <w:rFonts w:ascii="宋体" w:hAnsi="宋体"/>
                <w:color w:val="auto"/>
                <w:szCs w:val="21"/>
              </w:rPr>
              <w:t>=</w:t>
            </w:r>
            <w:r>
              <w:rPr>
                <w:rFonts w:hint="eastAsia" w:ascii="宋体" w:hAnsi="宋体"/>
                <w:color w:val="auto"/>
                <w:szCs w:val="21"/>
              </w:rPr>
              <w:t>竞标价</w:t>
            </w:r>
            <w:r>
              <w:rPr>
                <w:rFonts w:ascii="宋体" w:hAnsi="宋体"/>
                <w:color w:val="auto"/>
                <w:szCs w:val="21"/>
              </w:rPr>
              <w:t>得分；</w:t>
            </w:r>
          </w:p>
          <w:p>
            <w:pPr>
              <w:tabs>
                <w:tab w:val="left" w:pos="5060"/>
              </w:tabs>
              <w:spacing w:line="360" w:lineRule="auto"/>
              <w:ind w:firstLine="480"/>
              <w:rPr>
                <w:rFonts w:ascii="宋体" w:hAnsi="宋体"/>
                <w:color w:val="auto"/>
                <w:szCs w:val="21"/>
              </w:rPr>
            </w:pPr>
            <w:r>
              <w:rPr>
                <w:rFonts w:ascii="宋体" w:hAnsi="宋体"/>
                <w:color w:val="auto"/>
                <w:szCs w:val="21"/>
              </w:rPr>
              <w:t>F=</w:t>
            </w:r>
            <w:r>
              <w:rPr>
                <w:rFonts w:hint="eastAsia" w:ascii="宋体" w:hAnsi="宋体"/>
                <w:color w:val="auto"/>
                <w:szCs w:val="21"/>
                <w:lang w:val="en-US" w:eastAsia="zh-CN"/>
              </w:rPr>
              <w:t>7</w:t>
            </w:r>
            <w:r>
              <w:rPr>
                <w:rFonts w:hint="eastAsia" w:ascii="宋体" w:hAnsi="宋体"/>
                <w:color w:val="auto"/>
                <w:szCs w:val="21"/>
              </w:rPr>
              <w:t>0</w:t>
            </w:r>
            <w:r>
              <w:rPr>
                <w:rFonts w:ascii="宋体" w:hAnsi="宋体"/>
                <w:color w:val="auto"/>
                <w:szCs w:val="21"/>
              </w:rPr>
              <w:t>；</w:t>
            </w:r>
          </w:p>
          <w:p>
            <w:pPr>
              <w:spacing w:line="360" w:lineRule="auto"/>
              <w:ind w:firstLine="480"/>
              <w:rPr>
                <w:rFonts w:ascii="宋体" w:hAnsi="宋体"/>
                <w:color w:val="auto"/>
                <w:szCs w:val="21"/>
              </w:rPr>
            </w:pPr>
            <w:r>
              <w:rPr>
                <w:rFonts w:ascii="宋体" w:hAnsi="宋体"/>
                <w:color w:val="auto"/>
                <w:szCs w:val="21"/>
              </w:rPr>
              <w:t>D</w:t>
            </w:r>
            <w:r>
              <w:rPr>
                <w:rFonts w:ascii="宋体" w:hAnsi="宋体"/>
                <w:color w:val="auto"/>
                <w:szCs w:val="21"/>
                <w:vertAlign w:val="subscript"/>
              </w:rPr>
              <w:t>1</w:t>
            </w:r>
            <w:r>
              <w:rPr>
                <w:rFonts w:ascii="宋体" w:hAnsi="宋体"/>
                <w:color w:val="auto"/>
                <w:szCs w:val="21"/>
              </w:rPr>
              <w:t>=投标人的</w:t>
            </w:r>
            <w:r>
              <w:rPr>
                <w:rFonts w:hint="eastAsia" w:ascii="宋体" w:hAnsi="宋体"/>
                <w:color w:val="auto"/>
                <w:szCs w:val="21"/>
              </w:rPr>
              <w:t>竞标价</w:t>
            </w:r>
            <w:r>
              <w:rPr>
                <w:rFonts w:ascii="宋体" w:hAnsi="宋体"/>
                <w:color w:val="auto"/>
                <w:szCs w:val="21"/>
              </w:rPr>
              <w:t>；</w:t>
            </w:r>
          </w:p>
          <w:p>
            <w:pPr>
              <w:spacing w:line="360" w:lineRule="auto"/>
              <w:ind w:firstLine="480"/>
              <w:rPr>
                <w:rFonts w:ascii="宋体" w:hAnsi="宋体"/>
                <w:color w:val="auto"/>
                <w:szCs w:val="21"/>
              </w:rPr>
            </w:pPr>
            <w:r>
              <w:rPr>
                <w:rFonts w:ascii="宋体" w:hAnsi="宋体"/>
                <w:color w:val="auto"/>
                <w:szCs w:val="21"/>
              </w:rPr>
              <w:t>D=评标基准价。</w:t>
            </w:r>
          </w:p>
          <w:p>
            <w:pPr>
              <w:tabs>
                <w:tab w:val="left" w:pos="5920"/>
              </w:tabs>
              <w:snapToGrid w:val="0"/>
              <w:spacing w:line="360" w:lineRule="auto"/>
              <w:ind w:firstLine="480"/>
              <w:rPr>
                <w:rFonts w:ascii="宋体" w:hAnsi="宋体"/>
                <w:color w:val="auto"/>
                <w:szCs w:val="21"/>
              </w:rPr>
            </w:pPr>
            <w:r>
              <w:rPr>
                <w:rFonts w:ascii="宋体" w:hAnsi="宋体"/>
                <w:color w:val="auto"/>
                <w:szCs w:val="21"/>
              </w:rPr>
              <w:t>若D</w:t>
            </w:r>
            <w:r>
              <w:rPr>
                <w:rFonts w:ascii="宋体" w:hAnsi="宋体"/>
                <w:color w:val="auto"/>
                <w:szCs w:val="21"/>
                <w:vertAlign w:val="subscript"/>
              </w:rPr>
              <w:t>1</w:t>
            </w:r>
            <w:r>
              <w:rPr>
                <w:rFonts w:ascii="宋体" w:hAnsi="宋体"/>
                <w:color w:val="auto"/>
                <w:szCs w:val="21"/>
              </w:rPr>
              <w:sym w:font="Symbol" w:char="F0B3"/>
            </w:r>
            <w:r>
              <w:rPr>
                <w:rFonts w:ascii="宋体" w:hAnsi="宋体"/>
                <w:color w:val="auto"/>
                <w:szCs w:val="21"/>
              </w:rPr>
              <w:t>D，则E=</w:t>
            </w:r>
            <w:r>
              <w:rPr>
                <w:rFonts w:hint="eastAsia" w:ascii="宋体" w:hAnsi="宋体"/>
                <w:color w:val="auto"/>
                <w:szCs w:val="21"/>
              </w:rPr>
              <w:t>0.2</w:t>
            </w:r>
            <w:r>
              <w:rPr>
                <w:rFonts w:ascii="宋体" w:hAnsi="宋体"/>
                <w:color w:val="auto"/>
                <w:szCs w:val="21"/>
              </w:rPr>
              <w:t>；若D</w:t>
            </w:r>
            <w:r>
              <w:rPr>
                <w:rFonts w:ascii="宋体" w:hAnsi="宋体"/>
                <w:color w:val="auto"/>
                <w:szCs w:val="21"/>
                <w:vertAlign w:val="subscript"/>
              </w:rPr>
              <w:t>1</w:t>
            </w:r>
            <w:r>
              <w:rPr>
                <w:rFonts w:ascii="宋体" w:hAnsi="宋体"/>
                <w:color w:val="auto"/>
                <w:szCs w:val="21"/>
              </w:rPr>
              <w:t>&lt;D，则E=</w:t>
            </w:r>
            <w:r>
              <w:rPr>
                <w:rFonts w:hint="eastAsia" w:ascii="宋体" w:hAnsi="宋体"/>
                <w:color w:val="auto"/>
                <w:szCs w:val="21"/>
              </w:rPr>
              <w:t>0.1</w:t>
            </w:r>
            <w:r>
              <w:rPr>
                <w:rFonts w:ascii="宋体" w:hAnsi="宋体"/>
                <w:color w:val="auto"/>
                <w:szCs w:val="21"/>
              </w:rPr>
              <w:t>。</w:t>
            </w:r>
          </w:p>
          <w:p>
            <w:pPr>
              <w:pStyle w:val="2"/>
              <w:rPr>
                <w:b/>
                <w:color w:val="auto"/>
              </w:rPr>
            </w:pPr>
            <w:r>
              <w:rPr>
                <w:rFonts w:hint="eastAsia"/>
                <w:b/>
                <w:color w:val="auto"/>
                <w:szCs w:val="21"/>
              </w:rPr>
              <w:t>注：计算时均需保留小数点后两位，小数点后第</w:t>
            </w:r>
            <w:r>
              <w:rPr>
                <w:rFonts w:hint="eastAsia"/>
                <w:b/>
                <w:color w:val="auto"/>
                <w:szCs w:val="22"/>
              </w:rPr>
              <w:t>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jc w:val="center"/>
              <w:rPr>
                <w:rFonts w:ascii="宋体" w:hAnsi="宋体"/>
                <w:b/>
                <w:color w:val="auto"/>
                <w:szCs w:val="21"/>
              </w:rPr>
            </w:pPr>
            <w:r>
              <w:rPr>
                <w:rFonts w:hint="eastAsia" w:ascii="宋体" w:hAnsi="宋体"/>
                <w:b/>
                <w:color w:val="auto"/>
                <w:szCs w:val="21"/>
              </w:rPr>
              <w:t>条款号</w:t>
            </w:r>
          </w:p>
        </w:tc>
        <w:tc>
          <w:tcPr>
            <w:tcW w:w="3837" w:type="dxa"/>
            <w:gridSpan w:val="2"/>
            <w:vAlign w:val="center"/>
          </w:tcPr>
          <w:p>
            <w:pPr>
              <w:spacing w:line="300" w:lineRule="exact"/>
              <w:ind w:firstLine="316" w:firstLineChars="150"/>
              <w:jc w:val="center"/>
              <w:rPr>
                <w:rFonts w:ascii="宋体" w:hAnsi="宋体"/>
                <w:b/>
                <w:color w:val="auto"/>
                <w:szCs w:val="21"/>
              </w:rPr>
            </w:pPr>
            <w:r>
              <w:rPr>
                <w:rFonts w:hint="eastAsia" w:ascii="宋体" w:hAnsi="宋体"/>
                <w:b/>
                <w:color w:val="auto"/>
                <w:szCs w:val="21"/>
              </w:rPr>
              <w:t>评分因素</w:t>
            </w:r>
          </w:p>
        </w:tc>
        <w:tc>
          <w:tcPr>
            <w:tcW w:w="1276" w:type="dxa"/>
            <w:vAlign w:val="center"/>
          </w:tcPr>
          <w:p>
            <w:pPr>
              <w:spacing w:line="300" w:lineRule="exact"/>
              <w:jc w:val="center"/>
              <w:rPr>
                <w:rFonts w:ascii="宋体" w:hAnsi="宋体"/>
                <w:b/>
                <w:color w:val="auto"/>
                <w:szCs w:val="21"/>
              </w:rPr>
            </w:pPr>
            <w:r>
              <w:rPr>
                <w:rFonts w:hint="eastAsia" w:ascii="宋体" w:hAnsi="宋体"/>
                <w:b/>
                <w:color w:val="auto"/>
                <w:szCs w:val="21"/>
              </w:rPr>
              <w:t>评分标准</w:t>
            </w:r>
          </w:p>
        </w:tc>
        <w:tc>
          <w:tcPr>
            <w:tcW w:w="1932" w:type="dxa"/>
            <w:vAlign w:val="center"/>
          </w:tcPr>
          <w:p>
            <w:pPr>
              <w:spacing w:line="300" w:lineRule="exact"/>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restart"/>
            <w:vAlign w:val="center"/>
          </w:tcPr>
          <w:p>
            <w:pPr>
              <w:spacing w:line="300" w:lineRule="exact"/>
              <w:ind w:firstLine="29" w:firstLineChars="14"/>
              <w:jc w:val="center"/>
              <w:rPr>
                <w:color w:val="auto"/>
                <w:szCs w:val="21"/>
              </w:rPr>
            </w:pPr>
            <w:r>
              <w:rPr>
                <w:rFonts w:hint="eastAsia"/>
                <w:color w:val="auto"/>
                <w:szCs w:val="21"/>
              </w:rPr>
              <w:t>2.1.2</w:t>
            </w:r>
          </w:p>
        </w:tc>
        <w:tc>
          <w:tcPr>
            <w:tcW w:w="1205" w:type="dxa"/>
            <w:vMerge w:val="restart"/>
            <w:vAlign w:val="center"/>
          </w:tcPr>
          <w:p>
            <w:pPr>
              <w:spacing w:line="300" w:lineRule="exact"/>
              <w:jc w:val="center"/>
              <w:rPr>
                <w:color w:val="auto"/>
                <w:szCs w:val="22"/>
              </w:rPr>
            </w:pPr>
            <w:r>
              <w:rPr>
                <w:rFonts w:hint="eastAsia"/>
                <w:color w:val="auto"/>
                <w:szCs w:val="22"/>
              </w:rPr>
              <w:t>技术部分（</w:t>
            </w:r>
            <w:r>
              <w:rPr>
                <w:rFonts w:hint="eastAsia"/>
                <w:color w:val="auto"/>
                <w:szCs w:val="22"/>
                <w:lang w:val="en-US" w:eastAsia="zh-CN"/>
              </w:rPr>
              <w:t>2</w:t>
            </w:r>
            <w:r>
              <w:rPr>
                <w:rFonts w:hint="eastAsia"/>
                <w:color w:val="auto"/>
                <w:szCs w:val="22"/>
              </w:rPr>
              <w:t>0分）</w:t>
            </w:r>
          </w:p>
        </w:tc>
        <w:tc>
          <w:tcPr>
            <w:tcW w:w="3837" w:type="dxa"/>
            <w:gridSpan w:val="2"/>
            <w:vAlign w:val="center"/>
          </w:tcPr>
          <w:p>
            <w:pPr>
              <w:spacing w:line="300" w:lineRule="exact"/>
              <w:rPr>
                <w:color w:val="auto"/>
                <w:szCs w:val="22"/>
              </w:rPr>
            </w:pPr>
            <w:r>
              <w:rPr>
                <w:rFonts w:hint="eastAsia" w:ascii="宋体" w:hAnsi="宋体" w:cs="宋体"/>
                <w:bCs/>
                <w:color w:val="auto"/>
                <w:szCs w:val="21"/>
              </w:rPr>
              <w:t>提出对本次比选范围内工作的理解，明确技术标准、方法、工作重点与难点。总体思路满足比选范围内工作要求，思路清晰、针对性强</w:t>
            </w:r>
            <w:r>
              <w:rPr>
                <w:rFonts w:hint="eastAsia"/>
                <w:color w:val="auto"/>
              </w:rPr>
              <w:t>可得满分，否则酌情扣减，直至扣完为止。</w:t>
            </w:r>
          </w:p>
        </w:tc>
        <w:tc>
          <w:tcPr>
            <w:tcW w:w="1276" w:type="dxa"/>
            <w:vAlign w:val="center"/>
          </w:tcPr>
          <w:p>
            <w:pPr>
              <w:spacing w:line="300" w:lineRule="exact"/>
              <w:jc w:val="center"/>
              <w:rPr>
                <w:rFonts w:ascii="宋体" w:hAnsi="宋体"/>
                <w:color w:val="auto"/>
                <w:szCs w:val="21"/>
              </w:rPr>
            </w:pPr>
            <w:r>
              <w:rPr>
                <w:rFonts w:hint="eastAsia" w:ascii="宋体" w:hAnsi="宋体"/>
                <w:color w:val="auto"/>
                <w:szCs w:val="21"/>
              </w:rPr>
              <w:t>总体思路</w:t>
            </w:r>
          </w:p>
          <w:p>
            <w:pPr>
              <w:spacing w:line="300" w:lineRule="exact"/>
              <w:jc w:val="center"/>
              <w:rPr>
                <w:color w:val="auto"/>
                <w:szCs w:val="22"/>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分）</w:t>
            </w:r>
          </w:p>
        </w:tc>
        <w:tc>
          <w:tcPr>
            <w:tcW w:w="1932" w:type="dxa"/>
            <w:vMerge w:val="restart"/>
            <w:vAlign w:val="center"/>
          </w:tcPr>
          <w:p>
            <w:pPr>
              <w:spacing w:line="300" w:lineRule="exact"/>
              <w:rPr>
                <w:color w:val="auto"/>
                <w:szCs w:val="22"/>
              </w:rPr>
            </w:pPr>
            <w:r>
              <w:rPr>
                <w:rFonts w:hint="eastAsia"/>
                <w:color w:val="auto"/>
                <w:szCs w:val="22"/>
              </w:rPr>
              <w:t>评标委员会全体成员对技术部分进行评审，比选申请人技术部分得分应为所有评委打分的算术平均值。</w:t>
            </w:r>
          </w:p>
          <w:p>
            <w:pPr>
              <w:spacing w:line="300" w:lineRule="exact"/>
              <w:rPr>
                <w:color w:val="auto"/>
                <w:szCs w:val="22"/>
              </w:rPr>
            </w:pPr>
            <w:r>
              <w:rPr>
                <w:rFonts w:hint="eastAsia"/>
                <w:color w:val="auto"/>
                <w:szCs w:val="22"/>
              </w:rPr>
              <w:t>注：对技术部分的评审因素，评标专家根据比选申请人技术文件编写的情况自行打分。若比选申请人技术文件中无对应的评审因素内容，则该项评审因素可以给予0分，同时注明其得0分的原因。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continue"/>
            <w:vAlign w:val="center"/>
          </w:tcPr>
          <w:p>
            <w:pPr>
              <w:spacing w:line="300" w:lineRule="exact"/>
              <w:ind w:firstLine="29" w:firstLineChars="14"/>
              <w:jc w:val="center"/>
              <w:rPr>
                <w:color w:val="auto"/>
                <w:szCs w:val="21"/>
              </w:rPr>
            </w:pPr>
          </w:p>
        </w:tc>
        <w:tc>
          <w:tcPr>
            <w:tcW w:w="1205" w:type="dxa"/>
            <w:vMerge w:val="continue"/>
            <w:vAlign w:val="center"/>
          </w:tcPr>
          <w:p>
            <w:pPr>
              <w:spacing w:line="300" w:lineRule="exact"/>
              <w:jc w:val="center"/>
              <w:rPr>
                <w:color w:val="auto"/>
                <w:szCs w:val="22"/>
              </w:rPr>
            </w:pPr>
          </w:p>
        </w:tc>
        <w:tc>
          <w:tcPr>
            <w:tcW w:w="3837" w:type="dxa"/>
            <w:gridSpan w:val="2"/>
            <w:vAlign w:val="center"/>
          </w:tcPr>
          <w:p>
            <w:pPr>
              <w:spacing w:line="300" w:lineRule="exact"/>
              <w:rPr>
                <w:color w:val="auto"/>
                <w:szCs w:val="22"/>
              </w:rPr>
            </w:pPr>
            <w:r>
              <w:rPr>
                <w:rFonts w:hint="eastAsia" w:ascii="宋体" w:hAnsi="宋体" w:cs="宋体"/>
                <w:bCs/>
                <w:color w:val="auto"/>
                <w:szCs w:val="21"/>
              </w:rPr>
              <w:t>拟定的项目总体工作内容、工作深度切实可行，工作进度计划合理可靠</w:t>
            </w:r>
            <w:r>
              <w:rPr>
                <w:rFonts w:hint="eastAsia"/>
                <w:color w:val="auto"/>
              </w:rPr>
              <w:t>可得满分，否则酌情扣减，直至扣完为止。</w:t>
            </w:r>
          </w:p>
        </w:tc>
        <w:tc>
          <w:tcPr>
            <w:tcW w:w="1276" w:type="dxa"/>
            <w:vAlign w:val="center"/>
          </w:tcPr>
          <w:p>
            <w:pPr>
              <w:tabs>
                <w:tab w:val="left" w:pos="574"/>
              </w:tabs>
              <w:adjustRightInd w:val="0"/>
              <w:snapToGrid w:val="0"/>
              <w:spacing w:line="400" w:lineRule="exact"/>
              <w:jc w:val="center"/>
              <w:rPr>
                <w:rFonts w:ascii="宋体" w:hAnsi="宋体" w:cs="宋体"/>
                <w:bCs/>
                <w:color w:val="auto"/>
                <w:szCs w:val="21"/>
              </w:rPr>
            </w:pPr>
            <w:r>
              <w:rPr>
                <w:rFonts w:hint="eastAsia" w:ascii="宋体" w:hAnsi="宋体" w:cs="宋体"/>
                <w:bCs/>
                <w:color w:val="auto"/>
                <w:szCs w:val="21"/>
              </w:rPr>
              <w:t>工作计划及进度控制</w:t>
            </w:r>
          </w:p>
          <w:p>
            <w:pPr>
              <w:spacing w:line="300" w:lineRule="exact"/>
              <w:jc w:val="center"/>
              <w:rPr>
                <w:color w:val="auto"/>
                <w:szCs w:val="22"/>
              </w:rPr>
            </w:pPr>
            <w:r>
              <w:rPr>
                <w:rFonts w:hint="eastAsia" w:ascii="宋体" w:hAnsi="宋体" w:cs="宋体"/>
                <w:bCs/>
                <w:color w:val="auto"/>
                <w:szCs w:val="21"/>
              </w:rPr>
              <w:t>（</w:t>
            </w:r>
            <w:r>
              <w:rPr>
                <w:rFonts w:hint="eastAsia" w:ascii="宋体" w:hAnsi="宋体" w:cs="宋体"/>
                <w:bCs/>
                <w:color w:val="auto"/>
                <w:szCs w:val="21"/>
                <w:lang w:val="en-US" w:eastAsia="zh-CN"/>
              </w:rPr>
              <w:t>4</w:t>
            </w:r>
            <w:r>
              <w:rPr>
                <w:rFonts w:hint="eastAsia" w:ascii="宋体" w:hAnsi="宋体" w:cs="宋体"/>
                <w:bCs/>
                <w:color w:val="auto"/>
                <w:szCs w:val="21"/>
              </w:rPr>
              <w:t>分）</w:t>
            </w:r>
          </w:p>
        </w:tc>
        <w:tc>
          <w:tcPr>
            <w:tcW w:w="1932" w:type="dxa"/>
            <w:vMerge w:val="continue"/>
            <w:vAlign w:val="center"/>
          </w:tcPr>
          <w:p>
            <w:pPr>
              <w:spacing w:line="300" w:lineRule="exact"/>
              <w:rPr>
                <w:rFonts w:ascii="宋体" w:hAnsi="宋体"/>
                <w:color w:val="auto"/>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continue"/>
            <w:vAlign w:val="center"/>
          </w:tcPr>
          <w:p>
            <w:pPr>
              <w:spacing w:line="300" w:lineRule="exact"/>
              <w:ind w:firstLine="29" w:firstLineChars="14"/>
              <w:jc w:val="center"/>
              <w:rPr>
                <w:color w:val="auto"/>
                <w:szCs w:val="21"/>
              </w:rPr>
            </w:pPr>
          </w:p>
        </w:tc>
        <w:tc>
          <w:tcPr>
            <w:tcW w:w="1205" w:type="dxa"/>
            <w:vMerge w:val="continue"/>
            <w:vAlign w:val="center"/>
          </w:tcPr>
          <w:p>
            <w:pPr>
              <w:spacing w:line="300" w:lineRule="exact"/>
              <w:jc w:val="center"/>
              <w:rPr>
                <w:color w:val="auto"/>
                <w:szCs w:val="22"/>
              </w:rPr>
            </w:pPr>
          </w:p>
        </w:tc>
        <w:tc>
          <w:tcPr>
            <w:tcW w:w="3837" w:type="dxa"/>
            <w:gridSpan w:val="2"/>
            <w:vAlign w:val="center"/>
          </w:tcPr>
          <w:p>
            <w:pPr>
              <w:spacing w:line="300" w:lineRule="exact"/>
              <w:rPr>
                <w:color w:val="auto"/>
                <w:szCs w:val="22"/>
              </w:rPr>
            </w:pPr>
            <w:r>
              <w:rPr>
                <w:rFonts w:hint="eastAsia" w:ascii="宋体" w:hAnsi="宋体" w:cs="宋体"/>
                <w:bCs/>
                <w:color w:val="auto"/>
                <w:szCs w:val="21"/>
              </w:rPr>
              <w:t>从人员保障、进度保障、质量保障等方面系统设计，内容完整，保障有力</w:t>
            </w:r>
            <w:r>
              <w:rPr>
                <w:rFonts w:hint="eastAsia"/>
                <w:color w:val="auto"/>
              </w:rPr>
              <w:t>可得满分，否则酌情扣减，直至扣完为止。</w:t>
            </w:r>
          </w:p>
        </w:tc>
        <w:tc>
          <w:tcPr>
            <w:tcW w:w="1276" w:type="dxa"/>
            <w:vAlign w:val="center"/>
          </w:tcPr>
          <w:p>
            <w:pPr>
              <w:spacing w:line="300" w:lineRule="exact"/>
              <w:jc w:val="center"/>
              <w:rPr>
                <w:rFonts w:ascii="宋体" w:hAnsi="宋体" w:cs="宋体"/>
                <w:bCs/>
                <w:color w:val="auto"/>
                <w:szCs w:val="21"/>
              </w:rPr>
            </w:pPr>
            <w:r>
              <w:rPr>
                <w:rFonts w:hint="eastAsia" w:ascii="宋体" w:hAnsi="宋体" w:cs="宋体"/>
                <w:bCs/>
                <w:color w:val="auto"/>
                <w:szCs w:val="21"/>
              </w:rPr>
              <w:t>总体保障</w:t>
            </w:r>
          </w:p>
          <w:p>
            <w:pPr>
              <w:spacing w:line="300" w:lineRule="exact"/>
              <w:jc w:val="center"/>
              <w:rPr>
                <w:color w:val="auto"/>
                <w:szCs w:val="22"/>
              </w:rPr>
            </w:pPr>
            <w:r>
              <w:rPr>
                <w:rFonts w:hint="eastAsia" w:ascii="宋体" w:hAnsi="宋体" w:cs="宋体"/>
                <w:bCs/>
                <w:color w:val="auto"/>
                <w:szCs w:val="21"/>
              </w:rPr>
              <w:t>（</w:t>
            </w:r>
            <w:r>
              <w:rPr>
                <w:rFonts w:hint="eastAsia" w:ascii="宋体" w:hAnsi="宋体" w:cs="宋体"/>
                <w:bCs/>
                <w:color w:val="auto"/>
                <w:szCs w:val="21"/>
                <w:lang w:val="en-US" w:eastAsia="zh-CN"/>
              </w:rPr>
              <w:t>6</w:t>
            </w:r>
            <w:r>
              <w:rPr>
                <w:rFonts w:hint="eastAsia" w:ascii="宋体" w:hAnsi="宋体" w:cs="宋体"/>
                <w:bCs/>
                <w:color w:val="auto"/>
                <w:szCs w:val="21"/>
              </w:rPr>
              <w:t>分）</w:t>
            </w:r>
          </w:p>
        </w:tc>
        <w:tc>
          <w:tcPr>
            <w:tcW w:w="1932" w:type="dxa"/>
            <w:vMerge w:val="continue"/>
            <w:vAlign w:val="center"/>
          </w:tcPr>
          <w:p>
            <w:pPr>
              <w:spacing w:line="300" w:lineRule="exact"/>
              <w:rPr>
                <w:rFonts w:ascii="宋体" w:hAnsi="宋体"/>
                <w:color w:val="auto"/>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continue"/>
            <w:vAlign w:val="center"/>
          </w:tcPr>
          <w:p>
            <w:pPr>
              <w:spacing w:line="300" w:lineRule="exact"/>
              <w:ind w:firstLine="29" w:firstLineChars="14"/>
              <w:jc w:val="center"/>
              <w:rPr>
                <w:color w:val="auto"/>
                <w:szCs w:val="21"/>
              </w:rPr>
            </w:pPr>
          </w:p>
        </w:tc>
        <w:tc>
          <w:tcPr>
            <w:tcW w:w="1205" w:type="dxa"/>
            <w:vMerge w:val="continue"/>
          </w:tcPr>
          <w:p>
            <w:pPr>
              <w:spacing w:line="300" w:lineRule="exact"/>
              <w:jc w:val="center"/>
              <w:rPr>
                <w:color w:val="auto"/>
                <w:szCs w:val="22"/>
              </w:rPr>
            </w:pPr>
          </w:p>
        </w:tc>
        <w:tc>
          <w:tcPr>
            <w:tcW w:w="3837" w:type="dxa"/>
            <w:gridSpan w:val="2"/>
            <w:vAlign w:val="center"/>
          </w:tcPr>
          <w:p>
            <w:pPr>
              <w:spacing w:line="300" w:lineRule="exact"/>
              <w:jc w:val="left"/>
              <w:rPr>
                <w:rFonts w:ascii="宋体" w:hAnsi="宋体" w:cs="宋体"/>
                <w:bCs/>
                <w:color w:val="auto"/>
                <w:szCs w:val="21"/>
              </w:rPr>
            </w:pPr>
            <w:r>
              <w:rPr>
                <w:rFonts w:hint="eastAsia" w:ascii="宋体" w:hAnsi="宋体" w:cs="宋体"/>
                <w:bCs/>
                <w:color w:val="auto"/>
                <w:szCs w:val="21"/>
              </w:rPr>
              <w:t>对比各竞选人与比选人、报告审批部门沟通的便捷程度，提供服务的措施，后续服务情况、承诺、保障措施等情况综合评价等酌情评分：</w:t>
            </w:r>
          </w:p>
          <w:p>
            <w:pPr>
              <w:spacing w:line="300" w:lineRule="exact"/>
              <w:jc w:val="left"/>
              <w:rPr>
                <w:rFonts w:ascii="宋体" w:hAnsi="宋体" w:cs="宋体"/>
                <w:bCs/>
                <w:color w:val="auto"/>
                <w:szCs w:val="21"/>
              </w:rPr>
            </w:pPr>
            <w:r>
              <w:rPr>
                <w:rFonts w:hint="eastAsia" w:ascii="宋体" w:hAnsi="宋体" w:cs="宋体"/>
                <w:bCs/>
                <w:color w:val="auto"/>
                <w:szCs w:val="21"/>
              </w:rPr>
              <w:t>承诺提供服务的措施得力，标后服务情况（配备人员考勤考核、进度周计划）、后续的服务承诺、保障措施有效</w:t>
            </w:r>
            <w:r>
              <w:rPr>
                <w:rFonts w:hint="eastAsia"/>
                <w:color w:val="auto"/>
              </w:rPr>
              <w:t>可得满分，否则酌情扣减，直至扣完为止。</w:t>
            </w:r>
          </w:p>
        </w:tc>
        <w:tc>
          <w:tcPr>
            <w:tcW w:w="1276" w:type="dxa"/>
            <w:vAlign w:val="center"/>
          </w:tcPr>
          <w:p>
            <w:pPr>
              <w:spacing w:line="300" w:lineRule="exact"/>
              <w:jc w:val="center"/>
              <w:rPr>
                <w:rFonts w:ascii="宋体" w:hAnsi="宋体" w:cs="宋体"/>
                <w:bCs/>
                <w:color w:val="auto"/>
                <w:szCs w:val="21"/>
              </w:rPr>
            </w:pPr>
            <w:r>
              <w:rPr>
                <w:rFonts w:hint="eastAsia" w:ascii="宋体" w:hAnsi="宋体" w:cs="宋体"/>
                <w:bCs/>
                <w:color w:val="auto"/>
                <w:szCs w:val="21"/>
              </w:rPr>
              <w:t>后续服务</w:t>
            </w:r>
          </w:p>
          <w:p>
            <w:pPr>
              <w:spacing w:line="300" w:lineRule="exact"/>
              <w:jc w:val="center"/>
              <w:rPr>
                <w:color w:val="auto"/>
                <w:szCs w:val="22"/>
              </w:rPr>
            </w:pPr>
            <w:r>
              <w:rPr>
                <w:rFonts w:hint="eastAsia"/>
                <w:color w:val="auto"/>
                <w:szCs w:val="22"/>
              </w:rPr>
              <w:t>（</w:t>
            </w:r>
            <w:r>
              <w:rPr>
                <w:rFonts w:hint="eastAsia"/>
                <w:color w:val="auto"/>
                <w:szCs w:val="22"/>
                <w:lang w:val="en-US" w:eastAsia="zh-CN"/>
              </w:rPr>
              <w:t>4</w:t>
            </w:r>
            <w:r>
              <w:rPr>
                <w:rFonts w:hint="eastAsia"/>
                <w:color w:val="auto"/>
                <w:szCs w:val="22"/>
              </w:rPr>
              <w:t>分）</w:t>
            </w:r>
          </w:p>
        </w:tc>
        <w:tc>
          <w:tcPr>
            <w:tcW w:w="1932" w:type="dxa"/>
            <w:vMerge w:val="continue"/>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rPr>
                <w:color w:val="auto"/>
                <w:kern w:val="0"/>
                <w:szCs w:val="21"/>
              </w:rPr>
            </w:pPr>
            <w:r>
              <w:rPr>
                <w:rFonts w:hint="eastAsia"/>
                <w:color w:val="auto"/>
                <w:szCs w:val="21"/>
              </w:rPr>
              <w:t>成交候</w:t>
            </w:r>
            <w:r>
              <w:rPr>
                <w:color w:val="auto"/>
                <w:szCs w:val="21"/>
              </w:rPr>
              <w:t>选人最终得分</w:t>
            </w:r>
          </w:p>
        </w:tc>
        <w:tc>
          <w:tcPr>
            <w:tcW w:w="7045" w:type="dxa"/>
            <w:gridSpan w:val="4"/>
            <w:vAlign w:val="center"/>
          </w:tcPr>
          <w:p>
            <w:pPr>
              <w:spacing w:line="300" w:lineRule="exact"/>
              <w:rPr>
                <w:color w:val="auto"/>
                <w:szCs w:val="21"/>
              </w:rPr>
            </w:pPr>
            <w:r>
              <w:rPr>
                <w:rFonts w:hint="eastAsia"/>
                <w:color w:val="auto"/>
                <w:szCs w:val="21"/>
              </w:rPr>
              <w:t>成交候选人</w:t>
            </w:r>
            <w:r>
              <w:rPr>
                <w:color w:val="auto"/>
                <w:szCs w:val="21"/>
              </w:rPr>
              <w:t>评标得分＝综合得分（</w:t>
            </w:r>
            <w:r>
              <w:rPr>
                <w:rFonts w:hint="eastAsia"/>
                <w:color w:val="auto"/>
                <w:szCs w:val="21"/>
                <w:lang w:val="en-US" w:eastAsia="zh-CN"/>
              </w:rPr>
              <w:t>商务得分+</w:t>
            </w:r>
            <w:r>
              <w:rPr>
                <w:rFonts w:hint="eastAsia"/>
                <w:color w:val="auto"/>
                <w:szCs w:val="21"/>
              </w:rPr>
              <w:t>报价</w:t>
            </w:r>
            <w:r>
              <w:rPr>
                <w:color w:val="auto"/>
                <w:szCs w:val="21"/>
              </w:rPr>
              <w:t>得分+</w:t>
            </w:r>
            <w:r>
              <w:rPr>
                <w:rFonts w:hint="eastAsia"/>
                <w:color w:val="auto"/>
                <w:szCs w:val="21"/>
              </w:rPr>
              <w:t>技术</w:t>
            </w:r>
            <w:r>
              <w:rPr>
                <w:color w:val="auto"/>
                <w:szCs w:val="21"/>
              </w:rPr>
              <w:t>得分）</w:t>
            </w:r>
            <w:r>
              <w:rPr>
                <w:rFonts w:hint="eastAsia"/>
                <w:color w:val="auto"/>
                <w:szCs w:val="21"/>
              </w:rPr>
              <w:t>，对综合得分由高到低的先后顺序推荐3名成交候选人。若不足3名，则只选取相应的数量。</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b/>
          <w:color w:val="auto"/>
          <w:szCs w:val="21"/>
        </w:rPr>
        <w:t>五、</w:t>
      </w:r>
      <w:r>
        <w:rPr>
          <w:rFonts w:hint="eastAsia"/>
          <w:b/>
          <w:color w:val="auto"/>
          <w:szCs w:val="21"/>
        </w:rPr>
        <w:t>竞争性比选</w:t>
      </w:r>
      <w:r>
        <w:rPr>
          <w:b/>
          <w:color w:val="auto"/>
          <w:szCs w:val="21"/>
        </w:rPr>
        <w:t>须知</w:t>
      </w:r>
      <w:r>
        <w:rPr>
          <w:rFonts w:hint="eastAsia"/>
          <w:b/>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（一）竞争性比选公告发布时间：20</w:t>
      </w:r>
      <w:r>
        <w:rPr>
          <w:rFonts w:ascii="宋体" w:hAnsi="宋体" w:cs="宋体"/>
          <w:color w:val="auto"/>
          <w:sz w:val="24"/>
        </w:rPr>
        <w:t>2</w:t>
      </w:r>
      <w:r>
        <w:rPr>
          <w:rFonts w:hint="eastAsia" w:ascii="宋体" w:hAnsi="宋体" w:cs="宋体"/>
          <w:color w:val="auto"/>
          <w:sz w:val="24"/>
          <w:lang w:val="en-US" w:eastAsia="zh-CN"/>
        </w:rPr>
        <w:t>1</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日起在高速集团官网（http://www.cegc.com.cn/gw/index）、高速集团招投标平台（</w:t>
      </w:r>
      <w:r>
        <w:rPr>
          <w:color w:val="auto"/>
        </w:rPr>
        <w:fldChar w:fldCharType="begin"/>
      </w:r>
      <w:r>
        <w:rPr>
          <w:color w:val="auto"/>
        </w:rPr>
        <w:instrText xml:space="preserve"> HYPERLINK "http://43.240.249.108:8088" </w:instrText>
      </w:r>
      <w:r>
        <w:rPr>
          <w:color w:val="auto"/>
        </w:rPr>
        <w:fldChar w:fldCharType="separate"/>
      </w:r>
      <w:r>
        <w:rPr>
          <w:rFonts w:hint="eastAsia" w:ascii="宋体" w:hAnsi="宋体" w:cs="宋体"/>
          <w:color w:val="auto"/>
          <w:sz w:val="24"/>
        </w:rPr>
        <w:t>http://43.240.249.108:8088</w:t>
      </w:r>
      <w:r>
        <w:rPr>
          <w:rFonts w:hint="eastAsia" w:ascii="宋体" w:hAnsi="宋体" w:cs="宋体"/>
          <w:color w:val="auto"/>
          <w:sz w:val="24"/>
        </w:rPr>
        <w:fldChar w:fldCharType="end"/>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szCs w:val="24"/>
          <w:lang w:val="en-US" w:eastAsia="zh-CN"/>
        </w:rPr>
        <w:t>中国</w:t>
      </w:r>
      <w:r>
        <w:rPr>
          <w:rFonts w:hint="eastAsia" w:ascii="宋体" w:hAnsi="宋体" w:eastAsia="宋体" w:cs="宋体"/>
          <w:color w:val="auto"/>
          <w:sz w:val="24"/>
          <w:szCs w:val="24"/>
        </w:rPr>
        <w:t>招标投标公共服务平台（</w:t>
      </w:r>
      <w:r>
        <w:rPr>
          <w:rFonts w:ascii="宋体" w:hAnsi="宋体" w:eastAsia="宋体" w:cs="宋体"/>
          <w:color w:val="auto"/>
          <w:sz w:val="24"/>
          <w:szCs w:val="24"/>
        </w:rPr>
        <w:t>http://bulletin.cebpubservice.com/</w:t>
      </w:r>
      <w:r>
        <w:rPr>
          <w:rFonts w:hint="eastAsia" w:ascii="宋体" w:hAnsi="宋体" w:eastAsia="宋体" w:cs="宋体"/>
          <w:color w:val="auto"/>
          <w:sz w:val="24"/>
          <w:szCs w:val="24"/>
        </w:rPr>
        <w:t>）</w:t>
      </w:r>
      <w:r>
        <w:rPr>
          <w:rFonts w:hint="eastAsia" w:ascii="宋体" w:hAnsi="宋体" w:cs="宋体"/>
          <w:color w:val="auto"/>
          <w:sz w:val="24"/>
        </w:rPr>
        <w:t>上发布竞争性比选</w:t>
      </w:r>
      <w:r>
        <w:rPr>
          <w:rFonts w:hint="eastAsia" w:ascii="宋体" w:hAnsi="宋体" w:cs="宋体"/>
          <w:color w:val="auto"/>
          <w:sz w:val="24"/>
          <w:lang w:val="en-US" w:eastAsia="zh-CN"/>
        </w:rPr>
        <w:t>文件</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000000"/>
          <w:sz w:val="24"/>
        </w:rPr>
      </w:pPr>
      <w:r>
        <w:rPr>
          <w:rFonts w:hint="eastAsia" w:ascii="宋体" w:hAnsi="宋体" w:cs="宋体"/>
          <w:color w:val="000000"/>
          <w:sz w:val="24"/>
        </w:rPr>
        <w:t>（二）竞争性比选文件报名时间、方式</w:t>
      </w:r>
      <w:r>
        <w:rPr>
          <w:rFonts w:ascii="宋体" w:hAnsi="宋体" w:cs="宋体"/>
          <w:color w:val="000000"/>
          <w:sz w:val="24"/>
        </w:rPr>
        <w:t>及</w:t>
      </w:r>
      <w:r>
        <w:rPr>
          <w:rFonts w:hint="eastAsia" w:ascii="宋体" w:hAnsi="宋体" w:cs="宋体"/>
          <w:color w:val="000000"/>
          <w:sz w:val="24"/>
        </w:rPr>
        <w:t>地点：竞标人在2021年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7</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28</w:t>
      </w:r>
      <w:r>
        <w:rPr>
          <w:rFonts w:hint="eastAsia" w:ascii="宋体" w:hAnsi="宋体" w:cs="宋体"/>
          <w:color w:val="000000"/>
          <w:sz w:val="24"/>
          <w:u w:val="single"/>
        </w:rPr>
        <w:t xml:space="preserve"> </w:t>
      </w:r>
      <w:r>
        <w:rPr>
          <w:rFonts w:hint="eastAsia" w:ascii="宋体" w:hAnsi="宋体" w:cs="宋体"/>
          <w:color w:val="000000"/>
          <w:sz w:val="24"/>
        </w:rPr>
        <w:t>日至2021年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8</w:t>
      </w:r>
      <w:r>
        <w:rPr>
          <w:rFonts w:hint="eastAsia" w:ascii="宋体" w:hAnsi="宋体" w:cs="宋体"/>
          <w:color w:val="000000"/>
          <w:sz w:val="24"/>
          <w:u w:val="single"/>
        </w:rPr>
        <w:t xml:space="preserve">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日10时00分内（法定公休日、法定</w:t>
      </w:r>
      <w:bookmarkStart w:id="35" w:name="_GoBack"/>
      <w:bookmarkEnd w:id="35"/>
      <w:r>
        <w:rPr>
          <w:rFonts w:hint="eastAsia" w:ascii="宋体" w:hAnsi="宋体" w:cs="宋体"/>
          <w:color w:val="000000"/>
          <w:sz w:val="24"/>
        </w:rPr>
        <w:t>节假日除外）自行下载项目竞争性比选文件，逾期不予受理。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000000"/>
          <w:sz w:val="24"/>
        </w:rPr>
      </w:pPr>
      <w:r>
        <w:rPr>
          <w:rFonts w:hint="eastAsia" w:ascii="宋体" w:hAnsi="宋体" w:cs="宋体"/>
          <w:color w:val="000000"/>
          <w:sz w:val="24"/>
        </w:rPr>
        <w:t>（三）竞争性比选地点：</w:t>
      </w:r>
      <w:r>
        <w:rPr>
          <w:rFonts w:ascii="宋体" w:hAnsi="宋体"/>
          <w:color w:val="000000"/>
          <w:sz w:val="24"/>
        </w:rPr>
        <w:t>重庆市渝北区</w:t>
      </w:r>
      <w:r>
        <w:rPr>
          <w:rFonts w:hint="eastAsia" w:ascii="宋体" w:hAnsi="宋体"/>
          <w:color w:val="000000"/>
          <w:sz w:val="24"/>
        </w:rPr>
        <w:t>香锦城</w:t>
      </w:r>
      <w:r>
        <w:rPr>
          <w:rFonts w:ascii="宋体" w:hAnsi="宋体"/>
          <w:color w:val="000000"/>
          <w:sz w:val="24"/>
        </w:rPr>
        <w:t>路</w:t>
      </w:r>
      <w:r>
        <w:rPr>
          <w:rFonts w:hint="eastAsia" w:ascii="宋体" w:hAnsi="宋体"/>
          <w:color w:val="000000"/>
          <w:sz w:val="24"/>
        </w:rPr>
        <w:t>4</w:t>
      </w:r>
      <w:r>
        <w:rPr>
          <w:rFonts w:ascii="宋体" w:hAnsi="宋体"/>
          <w:color w:val="000000"/>
          <w:sz w:val="24"/>
        </w:rPr>
        <w:t>号</w:t>
      </w:r>
      <w:r>
        <w:rPr>
          <w:rFonts w:hint="eastAsia" w:ascii="宋体" w:hAnsi="宋体"/>
          <w:color w:val="000000"/>
          <w:sz w:val="24"/>
        </w:rPr>
        <w:t>交建大厦7楼会议室</w:t>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000000"/>
          <w:sz w:val="24"/>
          <w:u w:val="single"/>
        </w:rPr>
      </w:pPr>
      <w:r>
        <w:rPr>
          <w:rFonts w:hint="eastAsia" w:ascii="宋体" w:hAnsi="宋体" w:cs="宋体"/>
          <w:color w:val="000000"/>
          <w:sz w:val="24"/>
        </w:rPr>
        <w:t>（四）竞争性比选报价文件提交截止时间（即开标时间）：2021年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8</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w:t>
      </w:r>
      <w:r>
        <w:rPr>
          <w:rFonts w:hint="eastAsia" w:ascii="宋体" w:hAnsi="宋体" w:cs="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cs="宋体"/>
          <w:color w:val="000000"/>
          <w:sz w:val="24"/>
        </w:rPr>
      </w:pP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日1</w:t>
      </w:r>
      <w:r>
        <w:rPr>
          <w:rFonts w:ascii="宋体" w:hAnsi="宋体" w:cs="宋体"/>
          <w:color w:val="000000"/>
          <w:sz w:val="24"/>
        </w:rPr>
        <w:t>0</w:t>
      </w:r>
      <w:r>
        <w:rPr>
          <w:rFonts w:hint="eastAsia" w:ascii="宋体" w:hAnsi="宋体" w:cs="宋体"/>
          <w:color w:val="000000"/>
          <w:sz w:val="24"/>
        </w:rPr>
        <w:t>时00分（北京时间）。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000000"/>
          <w:sz w:val="24"/>
        </w:rPr>
      </w:pPr>
      <w:r>
        <w:rPr>
          <w:rFonts w:hint="eastAsia" w:ascii="宋体" w:hAnsi="宋体" w:cs="宋体"/>
          <w:color w:val="000000"/>
          <w:sz w:val="24"/>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000000"/>
          <w:sz w:val="24"/>
        </w:rPr>
      </w:pPr>
      <w:r>
        <w:rPr>
          <w:rFonts w:hint="eastAsia" w:ascii="宋体" w:hAnsi="宋体" w:cs="宋体"/>
          <w:color w:val="000000"/>
          <w:sz w:val="24"/>
        </w:rPr>
        <w:t>（六）竞争性比选响应文件的份数及编制要求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000000"/>
          <w:sz w:val="24"/>
        </w:rPr>
      </w:pPr>
      <w:r>
        <w:rPr>
          <w:rFonts w:hint="eastAsia" w:ascii="宋体" w:hAnsi="宋体" w:cs="宋体"/>
          <w:color w:val="000000"/>
          <w:sz w:val="24"/>
        </w:rPr>
        <w:t>竞争性比选响应文件正本1份，副本1份，竞争性比选响应文件按竞争性比选文件中规定格式排版，并应编制目录，逐页标注页码。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000000"/>
          <w:sz w:val="24"/>
        </w:rPr>
      </w:pPr>
      <w:r>
        <w:rPr>
          <w:rFonts w:hint="eastAsia" w:ascii="宋体" w:hAnsi="宋体" w:cs="宋体"/>
          <w:color w:val="000000"/>
          <w:sz w:val="24"/>
        </w:rPr>
        <w:t>（七）密封要求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cs="宋体"/>
          <w:color w:val="000000"/>
          <w:sz w:val="24"/>
        </w:rPr>
      </w:pPr>
      <w:r>
        <w:rPr>
          <w:rFonts w:hint="eastAsia" w:ascii="宋体" w:hAnsi="宋体" w:cs="宋体"/>
          <w:color w:val="000000"/>
          <w:sz w:val="24"/>
        </w:rPr>
        <w:t>将竞争性比选响应文件密封到一个封套中，再在封套上写明：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outlineLvl w:val="9"/>
        <w:rPr>
          <w:rFonts w:ascii="宋体" w:hAnsi="宋体" w:cs="宋体"/>
          <w:szCs w:val="21"/>
          <w:u w:val="single"/>
        </w:rPr>
      </w:pPr>
      <w:r>
        <w:rPr>
          <w:rFonts w:hint="eastAsia" w:ascii="宋体" w:hAnsi="宋体" w:cs="宋体"/>
          <w:szCs w:val="21"/>
          <w:u w:val="single"/>
        </w:rPr>
        <w:t>上磺服务区技术论证和安全评价服务项目竞争性比选申请文件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outlineLvl w:val="9"/>
        <w:rPr>
          <w:rFonts w:ascii="宋体" w:hAnsi="宋体" w:cs="宋体"/>
          <w:szCs w:val="21"/>
        </w:rPr>
      </w:pPr>
      <w:r>
        <w:rPr>
          <w:rFonts w:hint="eastAsia" w:ascii="宋体" w:hAnsi="宋体" w:cs="宋体"/>
          <w:szCs w:val="21"/>
          <w:u w:val="single"/>
        </w:rPr>
        <w:t xml:space="preserve">在2021年 </w:t>
      </w:r>
      <w:r>
        <w:rPr>
          <w:rFonts w:hint="eastAsia" w:ascii="宋体" w:hAnsi="宋体" w:cs="宋体"/>
          <w:szCs w:val="21"/>
          <w:u w:val="single"/>
          <w:lang w:val="en-US" w:eastAsia="zh-CN"/>
        </w:rPr>
        <w:t>8</w:t>
      </w:r>
      <w:r>
        <w:rPr>
          <w:rFonts w:hint="eastAsia" w:ascii="宋体" w:hAnsi="宋体" w:cs="宋体"/>
          <w:szCs w:val="21"/>
          <w:u w:val="single"/>
        </w:rPr>
        <w:t xml:space="preserve"> 月  </w:t>
      </w:r>
      <w:r>
        <w:rPr>
          <w:rFonts w:hint="eastAsia" w:ascii="宋体" w:hAnsi="宋体" w:cs="宋体"/>
          <w:szCs w:val="21"/>
          <w:u w:val="single"/>
          <w:lang w:val="en-US" w:eastAsia="zh-CN"/>
        </w:rPr>
        <w:t>2</w:t>
      </w:r>
      <w:r>
        <w:rPr>
          <w:rFonts w:hint="eastAsia" w:ascii="宋体" w:hAnsi="宋体" w:cs="宋体"/>
          <w:szCs w:val="21"/>
          <w:u w:val="single"/>
        </w:rPr>
        <w:t xml:space="preserve">  日 </w:t>
      </w:r>
      <w:r>
        <w:rPr>
          <w:rFonts w:hint="eastAsia" w:ascii="宋体" w:hAnsi="宋体" w:cs="宋体"/>
          <w:szCs w:val="21"/>
          <w:u w:val="single"/>
          <w:lang w:val="en-US" w:eastAsia="zh-CN"/>
        </w:rPr>
        <w:t>10</w:t>
      </w:r>
      <w:r>
        <w:rPr>
          <w:rFonts w:hint="eastAsia" w:ascii="宋体" w:hAnsi="宋体" w:cs="宋体"/>
          <w:szCs w:val="21"/>
          <w:u w:val="single"/>
        </w:rPr>
        <w:t xml:space="preserve"> 时 00 分前不得开启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ascii="宋体" w:hAnsi="宋体" w:cs="宋体"/>
          <w:szCs w:val="21"/>
        </w:rPr>
      </w:pPr>
      <w:r>
        <w:rPr>
          <w:rFonts w:hint="eastAsia" w:ascii="宋体" w:hAnsi="宋体" w:cs="宋体"/>
          <w:szCs w:val="21"/>
        </w:rPr>
        <w:t>（八）联系方式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ascii="宋体" w:hAnsi="宋体" w:cs="宋体"/>
          <w:szCs w:val="21"/>
        </w:rPr>
      </w:pPr>
      <w:r>
        <w:rPr>
          <w:rFonts w:hint="eastAsia" w:ascii="宋体" w:hAnsi="宋体" w:cs="宋体"/>
          <w:szCs w:val="21"/>
        </w:rPr>
        <w:t>询价人：重庆高速资产经营管理有限公司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ascii="宋体" w:hAnsi="宋体" w:cs="宋体"/>
          <w:szCs w:val="21"/>
        </w:rPr>
      </w:pPr>
      <w:r>
        <w:rPr>
          <w:rFonts w:hint="eastAsia" w:ascii="宋体" w:hAnsi="宋体" w:cs="宋体"/>
          <w:szCs w:val="21"/>
        </w:rPr>
        <w:t>地</w:t>
      </w:r>
      <w:r>
        <w:rPr>
          <w:rFonts w:ascii="宋体" w:hAnsi="宋体" w:cs="宋体"/>
          <w:szCs w:val="21"/>
        </w:rPr>
        <w:t xml:space="preserve">  址：</w:t>
      </w:r>
      <w:r>
        <w:rPr>
          <w:rFonts w:hint="eastAsia" w:ascii="宋体" w:hAnsi="宋体" w:cs="宋体"/>
          <w:szCs w:val="21"/>
        </w:rPr>
        <w:t>重庆市渝北区香锦路4</w:t>
      </w:r>
      <w:r>
        <w:rPr>
          <w:rFonts w:ascii="宋体" w:hAnsi="宋体" w:cs="宋体"/>
          <w:szCs w:val="21"/>
        </w:rPr>
        <w:t>号重庆</w:t>
      </w:r>
      <w:r>
        <w:rPr>
          <w:rFonts w:hint="eastAsia" w:ascii="宋体" w:hAnsi="宋体" w:cs="宋体"/>
          <w:szCs w:val="21"/>
        </w:rPr>
        <w:t>交建</w:t>
      </w:r>
      <w:r>
        <w:rPr>
          <w:rFonts w:ascii="宋体" w:hAnsi="宋体" w:cs="宋体"/>
          <w:szCs w:val="21"/>
        </w:rPr>
        <w:t>大厦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ascii="宋体" w:hAnsi="宋体" w:cs="宋体"/>
          <w:szCs w:val="21"/>
        </w:rPr>
      </w:pPr>
      <w:r>
        <w:rPr>
          <w:rFonts w:hint="eastAsia" w:ascii="宋体" w:hAnsi="宋体" w:cs="宋体"/>
          <w:szCs w:val="21"/>
        </w:rPr>
        <w:t xml:space="preserve">联系人：沈老师  秦老师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ascii="宋体" w:hAnsi="宋体" w:cs="宋体"/>
          <w:szCs w:val="21"/>
        </w:rPr>
      </w:pPr>
      <w:r>
        <w:rPr>
          <w:rFonts w:hint="eastAsia" w:ascii="宋体" w:hAnsi="宋体" w:cs="宋体"/>
          <w:szCs w:val="21"/>
        </w:rPr>
        <w:t>电</w:t>
      </w:r>
      <w:r>
        <w:rPr>
          <w:rFonts w:ascii="宋体" w:hAnsi="宋体" w:cs="宋体"/>
          <w:szCs w:val="21"/>
        </w:rPr>
        <w:t xml:space="preserve">  话：</w:t>
      </w:r>
      <w:r>
        <w:rPr>
          <w:rFonts w:hint="eastAsia" w:ascii="宋体" w:hAnsi="宋体" w:cs="宋体"/>
          <w:szCs w:val="21"/>
        </w:rPr>
        <w:t>023-86852261</w:t>
      </w:r>
    </w:p>
    <w:p>
      <w:pPr>
        <w:jc w:val="center"/>
        <w:rPr>
          <w:rFonts w:ascii="宋体" w:hAnsi="宋体" w:cs="宋体"/>
          <w:b/>
          <w:sz w:val="36"/>
        </w:rPr>
      </w:pPr>
    </w:p>
    <w:p>
      <w:pPr>
        <w:pStyle w:val="2"/>
        <w:rPr>
          <w:rFonts w:ascii="宋体" w:hAnsi="宋体" w:cs="宋体"/>
          <w:b/>
          <w:sz w:val="36"/>
        </w:rPr>
      </w:pPr>
    </w:p>
    <w:p>
      <w:pPr>
        <w:rPr>
          <w:rFonts w:ascii="宋体" w:hAnsi="宋体" w:cs="宋体"/>
          <w:b/>
          <w:sz w:val="36"/>
        </w:rPr>
      </w:pPr>
    </w:p>
    <w:p>
      <w:pPr>
        <w:pStyle w:val="2"/>
      </w:pPr>
    </w:p>
    <w:p>
      <w:pPr>
        <w:pStyle w:val="2"/>
        <w:rPr>
          <w:rFonts w:ascii="宋体" w:hAnsi="宋体" w:cs="宋体"/>
          <w:b/>
          <w:sz w:val="36"/>
        </w:rPr>
      </w:pPr>
    </w:p>
    <w:p>
      <w:pPr>
        <w:rPr>
          <w:rFonts w:ascii="宋体" w:hAnsi="宋体" w:cs="宋体"/>
          <w:b/>
          <w:sz w:val="36"/>
        </w:rPr>
      </w:pPr>
    </w:p>
    <w:p>
      <w:pPr>
        <w:pStyle w:val="2"/>
        <w:rPr>
          <w:rFonts w:ascii="宋体" w:hAnsi="宋体" w:cs="宋体"/>
          <w:b/>
          <w:sz w:val="36"/>
        </w:rPr>
      </w:pPr>
    </w:p>
    <w:p>
      <w:pPr>
        <w:rPr>
          <w:rFonts w:ascii="宋体" w:hAnsi="宋体" w:cs="宋体"/>
          <w:b/>
          <w:sz w:val="36"/>
        </w:rPr>
      </w:pPr>
    </w:p>
    <w:p>
      <w:pPr>
        <w:pStyle w:val="2"/>
        <w:rPr>
          <w:rFonts w:ascii="宋体" w:hAnsi="宋体" w:cs="宋体"/>
          <w:b/>
          <w:sz w:val="36"/>
        </w:rPr>
      </w:pPr>
    </w:p>
    <w:p>
      <w:pPr>
        <w:rPr>
          <w:rFonts w:ascii="宋体" w:hAnsi="宋体" w:cs="宋体"/>
          <w:b/>
          <w:sz w:val="36"/>
        </w:rPr>
      </w:pPr>
    </w:p>
    <w:p>
      <w:pPr>
        <w:pStyle w:val="2"/>
        <w:rPr>
          <w:rFonts w:ascii="宋体" w:hAnsi="宋体" w:cs="宋体"/>
          <w:b/>
          <w:sz w:val="36"/>
        </w:rPr>
      </w:pPr>
    </w:p>
    <w:p>
      <w:pPr>
        <w:rPr>
          <w:rFonts w:ascii="宋体" w:hAnsi="宋体" w:cs="宋体"/>
          <w:b/>
          <w:sz w:val="36"/>
        </w:rPr>
      </w:pPr>
    </w:p>
    <w:p>
      <w:pPr>
        <w:pStyle w:val="2"/>
        <w:rPr>
          <w:rFonts w:ascii="宋体" w:hAnsi="宋体" w:cs="宋体"/>
          <w:b/>
          <w:sz w:val="36"/>
        </w:rPr>
      </w:pPr>
    </w:p>
    <w:p>
      <w:pPr>
        <w:rPr>
          <w:rFonts w:ascii="宋体" w:hAnsi="宋体" w:cs="宋体"/>
          <w:b/>
          <w:sz w:val="36"/>
        </w:rPr>
      </w:pPr>
    </w:p>
    <w:p>
      <w:pPr>
        <w:pStyle w:val="2"/>
        <w:rPr>
          <w:rFonts w:ascii="宋体" w:hAnsi="宋体" w:cs="宋体"/>
          <w:b/>
          <w:sz w:val="36"/>
        </w:rPr>
      </w:pPr>
    </w:p>
    <w:p>
      <w:pPr>
        <w:rPr>
          <w:rFonts w:ascii="宋体" w:hAnsi="宋体" w:cs="宋体"/>
          <w:b/>
          <w:sz w:val="36"/>
        </w:rPr>
      </w:pPr>
    </w:p>
    <w:p>
      <w:pPr>
        <w:pStyle w:val="2"/>
        <w:rPr>
          <w:rFonts w:ascii="宋体" w:hAnsi="宋体" w:cs="宋体"/>
          <w:b/>
          <w:sz w:val="36"/>
        </w:rPr>
      </w:pPr>
    </w:p>
    <w:p>
      <w:pPr>
        <w:rPr>
          <w:rFonts w:ascii="宋体" w:hAnsi="宋体" w:cs="宋体"/>
          <w:b/>
          <w:sz w:val="36"/>
        </w:rPr>
      </w:pPr>
    </w:p>
    <w:p>
      <w:pPr>
        <w:pStyle w:val="2"/>
      </w:pPr>
    </w:p>
    <w:p>
      <w:pPr>
        <w:jc w:val="center"/>
        <w:rPr>
          <w:rFonts w:ascii="宋体" w:hAnsi="宋体" w:cs="宋体"/>
          <w:b/>
          <w:sz w:val="36"/>
        </w:rPr>
      </w:pPr>
      <w:r>
        <w:rPr>
          <w:rFonts w:hint="eastAsia" w:ascii="宋体" w:hAnsi="宋体" w:cs="宋体"/>
          <w:b/>
          <w:sz w:val="36"/>
        </w:rPr>
        <w:t>竞争性比选申请文件格式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right"/>
        <w:rPr>
          <w:rFonts w:ascii="宋体" w:hAnsi="宋体" w:cs="宋体"/>
          <w:b/>
          <w:sz w:val="32"/>
          <w:szCs w:val="36"/>
        </w:rPr>
      </w:pPr>
      <w:r>
        <w:rPr>
          <w:rFonts w:hint="eastAsia" w:ascii="宋体" w:hAnsi="宋体" w:cs="宋体"/>
          <w:b/>
          <w:sz w:val="32"/>
          <w:szCs w:val="36"/>
        </w:rPr>
        <w:t>正本（或副本）</w:t>
      </w: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上磺服务区技术论证和安全评价服务项目</w:t>
      </w:r>
    </w:p>
    <w:p>
      <w:pPr>
        <w:jc w:val="center"/>
        <w:rPr>
          <w:rFonts w:ascii="宋体" w:hAnsi="宋体" w:cs="宋体"/>
          <w:b/>
          <w:sz w:val="40"/>
          <w:szCs w:val="44"/>
        </w:rPr>
      </w:pPr>
      <w:r>
        <w:rPr>
          <w:rFonts w:hint="eastAsia" w:ascii="宋体" w:hAnsi="宋体" w:cs="宋体"/>
          <w:b/>
          <w:sz w:val="40"/>
          <w:szCs w:val="44"/>
          <w:u w:val="single"/>
        </w:rPr>
        <w:t>竞争性比选申请文件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ascii="宋体" w:hAnsi="宋体" w:cs="宋体"/>
          <w:sz w:val="32"/>
          <w:szCs w:val="32"/>
          <w:u w:val="single"/>
        </w:rPr>
      </w:pPr>
    </w:p>
    <w:p>
      <w:pPr>
        <w:pStyle w:val="21"/>
        <w:rPr>
          <w:color w:val="auto"/>
        </w:rPr>
      </w:pPr>
    </w:p>
    <w:p>
      <w:pPr>
        <w:pStyle w:val="21"/>
        <w:rPr>
          <w:color w:val="auto"/>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spacing w:line="360" w:lineRule="auto"/>
      </w:pPr>
      <w:r>
        <w:rPr>
          <w:rFonts w:hint="eastAsia"/>
        </w:rPr>
        <w:t>一、报价书</w:t>
      </w:r>
    </w:p>
    <w:p>
      <w:pPr>
        <w:spacing w:line="360" w:lineRule="auto"/>
      </w:pPr>
      <w:r>
        <w:rPr>
          <w:rFonts w:hint="eastAsia"/>
        </w:rPr>
        <w:t>二、法定代表人（单位负责人）身份证明及授权委托书</w:t>
      </w:r>
    </w:p>
    <w:p>
      <w:pPr>
        <w:spacing w:line="360" w:lineRule="auto"/>
      </w:pPr>
      <w:r>
        <w:rPr>
          <w:rFonts w:hint="eastAsia"/>
        </w:rPr>
        <w:t>三、比选申请单位有效的营业执照、资质</w:t>
      </w:r>
      <w:r>
        <w:rPr>
          <w:rFonts w:hint="eastAsia"/>
          <w:lang w:eastAsia="zh-CN"/>
        </w:rPr>
        <w:t>、</w:t>
      </w:r>
      <w:r>
        <w:rPr>
          <w:rFonts w:hint="eastAsia"/>
          <w:lang w:val="en-US" w:eastAsia="zh-CN"/>
        </w:rPr>
        <w:t>资信</w:t>
      </w:r>
      <w:r>
        <w:rPr>
          <w:rFonts w:hint="eastAsia"/>
        </w:rPr>
        <w:t>证书等证明材料</w:t>
      </w:r>
    </w:p>
    <w:p>
      <w:pPr>
        <w:spacing w:line="360" w:lineRule="auto"/>
      </w:pPr>
      <w:r>
        <w:rPr>
          <w:rFonts w:hint="eastAsia"/>
        </w:rPr>
        <w:t>四、比选申请单位的业绩证明材料</w:t>
      </w:r>
    </w:p>
    <w:p>
      <w:pPr>
        <w:spacing w:line="360" w:lineRule="auto"/>
      </w:pPr>
      <w:r>
        <w:rPr>
          <w:rFonts w:hint="eastAsia"/>
        </w:rPr>
        <w:t>五、比选申请单位信誉承诺书</w:t>
      </w:r>
    </w:p>
    <w:p>
      <w:pPr>
        <w:spacing w:line="360" w:lineRule="auto"/>
      </w:pPr>
      <w:r>
        <w:rPr>
          <w:rFonts w:hint="eastAsia"/>
        </w:rPr>
        <w:t>六、比选申请单位主要管理人员的证明材料</w:t>
      </w:r>
    </w:p>
    <w:p>
      <w:pPr>
        <w:spacing w:line="360" w:lineRule="auto"/>
      </w:pPr>
      <w:r>
        <w:rPr>
          <w:rFonts w:hint="eastAsia"/>
        </w:rPr>
        <w:t>七、比选申请单位技术部分</w:t>
      </w:r>
    </w:p>
    <w:p>
      <w:pPr>
        <w:spacing w:line="360" w:lineRule="auto"/>
        <w:rPr>
          <w:rFonts w:hint="eastAsia"/>
        </w:rPr>
      </w:pPr>
      <w:r>
        <w:rPr>
          <w:rFonts w:hint="eastAsia"/>
        </w:rPr>
        <w:t>八、报价清单</w:t>
      </w:r>
    </w:p>
    <w:p>
      <w:pPr>
        <w:spacing w:line="360" w:lineRule="auto"/>
      </w:pPr>
      <w:r>
        <w:rPr>
          <w:rFonts w:hint="eastAsia"/>
        </w:rPr>
        <w:t>九、其他材料</w:t>
      </w:r>
    </w:p>
    <w:p/>
    <w:p/>
    <w:p>
      <w:pPr>
        <w:rPr>
          <w:rFonts w:ascii="宋体" w:hAnsi="宋体" w:cs="宋体"/>
          <w:b/>
          <w:sz w:val="24"/>
        </w:rPr>
      </w:pPr>
    </w:p>
    <w:p/>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
    <w:p/>
    <w:p/>
    <w:p/>
    <w:p/>
    <w:p>
      <w:bookmarkStart w:id="32" w:name="_Toc265510122"/>
    </w:p>
    <w:p/>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一、报价书</w:t>
      </w:r>
      <w:bookmarkEnd w:id="32"/>
    </w:p>
    <w:p>
      <w:pPr>
        <w:spacing w:line="440" w:lineRule="exact"/>
        <w:rPr>
          <w:rFonts w:ascii="宋体" w:hAnsi="宋体"/>
          <w:b/>
          <w:u w:val="single"/>
        </w:rPr>
      </w:pPr>
      <w:r>
        <w:rPr>
          <w:rFonts w:hint="eastAsia" w:ascii="宋体" w:hAnsi="宋体"/>
          <w:b/>
          <w:u w:val="single"/>
        </w:rPr>
        <w:t>致：重庆高速资产经营管理有限公司</w:t>
      </w:r>
    </w:p>
    <w:p>
      <w:pPr>
        <w:spacing w:line="276" w:lineRule="auto"/>
        <w:ind w:firstLine="420" w:firstLineChars="200"/>
      </w:pPr>
    </w:p>
    <w:p>
      <w:pPr>
        <w:spacing w:line="276" w:lineRule="auto"/>
        <w:ind w:firstLine="420" w:firstLineChars="200"/>
        <w:rPr>
          <w:color w:val="auto"/>
        </w:rPr>
      </w:pPr>
      <w:r>
        <w:rPr>
          <w:rFonts w:hint="eastAsia"/>
          <w:color w:val="auto"/>
        </w:rPr>
        <w:t>1、我们已经仔细地研究了</w:t>
      </w:r>
      <w:r>
        <w:rPr>
          <w:rFonts w:hint="eastAsia"/>
          <w:color w:val="auto"/>
          <w:u w:val="single"/>
        </w:rPr>
        <w:t xml:space="preserve">          </w:t>
      </w:r>
      <w:r>
        <w:rPr>
          <w:rFonts w:hint="eastAsia"/>
          <w:color w:val="auto"/>
        </w:rPr>
        <w:t>（项目名称）竞争性比选文件的全部内容，包括但不限于比选申请人须知、合同条件、咨询工作要求，以及全部补遗和澄清文件。我们已了解并完全理解了比选文件规定的合同范围、工作要求、技术标准和要求，并考虑到了潜在所有风险。据此，我方愿意以人民币（大写）</w:t>
      </w:r>
      <w:r>
        <w:rPr>
          <w:color w:val="auto"/>
          <w:sz w:val="24"/>
          <w:u w:val="single"/>
        </w:rPr>
        <w:t xml:space="preserve">          </w:t>
      </w:r>
      <w:r>
        <w:rPr>
          <w:rFonts w:hint="eastAsia"/>
          <w:color w:val="auto"/>
          <w:sz w:val="24"/>
        </w:rPr>
        <w:t>（</w:t>
      </w:r>
      <w:r>
        <w:rPr>
          <w:color w:val="auto"/>
          <w:sz w:val="24"/>
        </w:rPr>
        <w:t>¥</w:t>
      </w:r>
      <w:r>
        <w:rPr>
          <w:color w:val="auto"/>
          <w:sz w:val="24"/>
          <w:u w:val="single"/>
        </w:rPr>
        <w:t xml:space="preserve">      </w:t>
      </w:r>
      <w:r>
        <w:rPr>
          <w:rFonts w:hint="eastAsia"/>
          <w:color w:val="auto"/>
          <w:sz w:val="24"/>
        </w:rPr>
        <w:t>）</w:t>
      </w:r>
      <w:r>
        <w:rPr>
          <w:color w:val="auto"/>
        </w:rPr>
        <w:t>的</w:t>
      </w:r>
      <w:r>
        <w:rPr>
          <w:rFonts w:hint="eastAsia"/>
          <w:color w:val="auto"/>
        </w:rPr>
        <w:t>竞标报价</w:t>
      </w:r>
      <w:r>
        <w:rPr>
          <w:rFonts w:hint="eastAsia"/>
          <w:color w:val="auto"/>
          <w:sz w:val="24"/>
        </w:rPr>
        <w:t>，</w:t>
      </w:r>
      <w:r>
        <w:rPr>
          <w:rFonts w:hint="eastAsia"/>
          <w:color w:val="auto"/>
        </w:rPr>
        <w:t>作为本工程咨询工作所需的全部费用。</w:t>
      </w:r>
    </w:p>
    <w:p>
      <w:pPr>
        <w:spacing w:line="276" w:lineRule="auto"/>
        <w:ind w:firstLine="420" w:firstLineChars="200"/>
        <w:rPr>
          <w:color w:val="auto"/>
        </w:rPr>
      </w:pPr>
      <w:r>
        <w:rPr>
          <w:rFonts w:hint="eastAsia"/>
          <w:color w:val="auto"/>
        </w:rPr>
        <w:t>2. 咨询服务期：方案阶段、施工图阶段图纸资料出版后</w:t>
      </w:r>
      <w:r>
        <w:rPr>
          <w:color w:val="auto"/>
        </w:rPr>
        <w:t>15</w:t>
      </w:r>
      <w:r>
        <w:rPr>
          <w:rFonts w:hint="eastAsia"/>
          <w:color w:val="auto"/>
        </w:rPr>
        <w:t>个工作日内完成咨询评价报告。</w:t>
      </w:r>
    </w:p>
    <w:p>
      <w:pPr>
        <w:spacing w:line="276" w:lineRule="auto"/>
        <w:ind w:firstLine="420" w:firstLineChars="200"/>
        <w:rPr>
          <w:color w:val="auto"/>
        </w:rPr>
      </w:pPr>
      <w:r>
        <w:rPr>
          <w:rFonts w:hint="eastAsia"/>
          <w:color w:val="auto"/>
        </w:rPr>
        <w:t>3.如果贵方接受我单位中标，我单位保证在竞争性比选文件规定的期限内，按本比选申请配备的人员和设备开始本工程的咨询工作，否则，贵方有权单方面终止合同。</w:t>
      </w:r>
    </w:p>
    <w:p>
      <w:pPr>
        <w:spacing w:line="276" w:lineRule="auto"/>
        <w:ind w:firstLine="420" w:firstLineChars="200"/>
        <w:rPr>
          <w:color w:val="auto"/>
        </w:rPr>
      </w:pPr>
      <w:r>
        <w:rPr>
          <w:rFonts w:hint="eastAsia"/>
          <w:color w:val="auto"/>
        </w:rPr>
        <w:t>4.我们同意在从规定的递交比选申请文件截止之日起到投标有效期满前遵守本比选申请文件。且本比选申请文件一直对我们具有约束力，并可随时被接受中标。</w:t>
      </w:r>
    </w:p>
    <w:p>
      <w:pPr>
        <w:spacing w:line="276" w:lineRule="auto"/>
        <w:ind w:firstLine="420" w:firstLineChars="200"/>
        <w:rPr>
          <w:color w:val="auto"/>
        </w:rPr>
      </w:pPr>
      <w:r>
        <w:rPr>
          <w:rFonts w:hint="eastAsia"/>
          <w:color w:val="auto"/>
        </w:rPr>
        <w:t>5.如果我们中标，我们将及时签订合同。</w:t>
      </w:r>
    </w:p>
    <w:p>
      <w:pPr>
        <w:spacing w:line="276" w:lineRule="auto"/>
        <w:ind w:firstLine="420" w:firstLineChars="200"/>
        <w:rPr>
          <w:color w:val="auto"/>
        </w:rPr>
      </w:pPr>
      <w:r>
        <w:rPr>
          <w:rFonts w:hint="eastAsia"/>
          <w:color w:val="auto"/>
        </w:rPr>
        <w:t>6.在制定和签署一份正式协议书之前，本比选申请文件连同你方的书面成交通知，应构成在我们双方之间有约束力的合同。</w:t>
      </w:r>
    </w:p>
    <w:p>
      <w:pPr>
        <w:spacing w:line="276" w:lineRule="auto"/>
        <w:ind w:firstLine="420" w:firstLineChars="200"/>
        <w:rPr>
          <w:color w:val="auto"/>
        </w:rPr>
      </w:pPr>
      <w:r>
        <w:rPr>
          <w:rFonts w:hint="eastAsia"/>
          <w:color w:val="auto"/>
        </w:rPr>
        <w:t>7.我们声明，本比选申请文件的全部内容都已了解和熟悉，并承诺成交后严格按此竞争性比选申请文件执行。</w:t>
      </w:r>
    </w:p>
    <w:p>
      <w:pPr>
        <w:spacing w:line="276" w:lineRule="auto"/>
        <w:ind w:firstLine="3675" w:firstLineChars="1750"/>
        <w:rPr>
          <w:color w:val="auto"/>
          <w:szCs w:val="21"/>
        </w:rPr>
      </w:pPr>
    </w:p>
    <w:p>
      <w:pPr>
        <w:spacing w:line="276" w:lineRule="auto"/>
        <w:ind w:firstLine="3255" w:firstLineChars="1550"/>
        <w:rPr>
          <w:color w:val="auto"/>
          <w:szCs w:val="21"/>
        </w:rPr>
      </w:pPr>
      <w:r>
        <w:rPr>
          <w:rFonts w:hint="eastAsia"/>
          <w:color w:val="auto"/>
          <w:szCs w:val="21"/>
        </w:rPr>
        <w:t>比选申请人</w:t>
      </w:r>
      <w:r>
        <w:rPr>
          <w:color w:val="auto"/>
          <w:szCs w:val="21"/>
        </w:rPr>
        <w:t>：</w:t>
      </w:r>
      <w:r>
        <w:rPr>
          <w:color w:val="auto"/>
          <w:szCs w:val="21"/>
          <w:u w:val="single"/>
        </w:rPr>
        <w:t xml:space="preserve">                      </w:t>
      </w:r>
      <w:r>
        <w:rPr>
          <w:color w:val="auto"/>
          <w:szCs w:val="21"/>
        </w:rPr>
        <w:t>（盖单位章）</w:t>
      </w:r>
    </w:p>
    <w:p>
      <w:pPr>
        <w:spacing w:line="276" w:lineRule="auto"/>
        <w:ind w:firstLine="3255" w:firstLineChars="1550"/>
        <w:rPr>
          <w:color w:val="auto"/>
          <w:szCs w:val="21"/>
        </w:rPr>
      </w:pPr>
      <w:r>
        <w:rPr>
          <w:rFonts w:hint="eastAsia"/>
          <w:color w:val="auto"/>
          <w:szCs w:val="21"/>
        </w:rPr>
        <w:t>法定代表人（单位负责人）</w:t>
      </w:r>
      <w:r>
        <w:rPr>
          <w:color w:val="auto"/>
          <w:szCs w:val="21"/>
        </w:rPr>
        <w:t>或其委托代理人：</w:t>
      </w:r>
      <w:r>
        <w:rPr>
          <w:color w:val="auto"/>
          <w:szCs w:val="21"/>
          <w:u w:val="single"/>
        </w:rPr>
        <w:t xml:space="preserve">    </w:t>
      </w:r>
      <w:r>
        <w:rPr>
          <w:color w:val="auto"/>
          <w:szCs w:val="21"/>
        </w:rPr>
        <w:t>（签字）</w:t>
      </w:r>
    </w:p>
    <w:p>
      <w:pPr>
        <w:spacing w:line="276" w:lineRule="auto"/>
        <w:ind w:firstLine="3255" w:firstLineChars="1550"/>
        <w:rPr>
          <w:color w:val="auto"/>
          <w:szCs w:val="21"/>
        </w:rPr>
      </w:pPr>
      <w:r>
        <w:rPr>
          <w:color w:val="auto"/>
          <w:szCs w:val="21"/>
        </w:rPr>
        <w:t>地址：</w:t>
      </w:r>
      <w:r>
        <w:rPr>
          <w:color w:val="auto"/>
          <w:szCs w:val="21"/>
          <w:u w:val="single"/>
        </w:rPr>
        <w:t xml:space="preserve">                                     </w:t>
      </w:r>
    </w:p>
    <w:p>
      <w:pPr>
        <w:spacing w:line="276" w:lineRule="auto"/>
        <w:ind w:firstLine="3255" w:firstLineChars="1550"/>
        <w:rPr>
          <w:color w:val="auto"/>
          <w:szCs w:val="21"/>
        </w:rPr>
      </w:pPr>
      <w:r>
        <w:rPr>
          <w:color w:val="auto"/>
          <w:szCs w:val="21"/>
        </w:rPr>
        <w:t>网址：</w:t>
      </w:r>
      <w:r>
        <w:rPr>
          <w:color w:val="auto"/>
          <w:szCs w:val="21"/>
          <w:u w:val="single"/>
        </w:rPr>
        <w:t xml:space="preserve">                                     </w:t>
      </w:r>
    </w:p>
    <w:p>
      <w:pPr>
        <w:spacing w:line="276" w:lineRule="auto"/>
        <w:ind w:firstLine="3255" w:firstLineChars="1550"/>
        <w:rPr>
          <w:color w:val="auto"/>
          <w:szCs w:val="21"/>
        </w:rPr>
      </w:pPr>
      <w:r>
        <w:rPr>
          <w:color w:val="auto"/>
          <w:szCs w:val="21"/>
        </w:rPr>
        <w:t>电话：</w:t>
      </w:r>
      <w:r>
        <w:rPr>
          <w:color w:val="auto"/>
          <w:szCs w:val="21"/>
          <w:u w:val="single"/>
        </w:rPr>
        <w:t xml:space="preserve">                                     </w:t>
      </w:r>
    </w:p>
    <w:p>
      <w:pPr>
        <w:spacing w:line="276" w:lineRule="auto"/>
        <w:ind w:firstLine="3255" w:firstLineChars="1550"/>
        <w:rPr>
          <w:color w:val="auto"/>
          <w:szCs w:val="21"/>
        </w:rPr>
      </w:pPr>
      <w:r>
        <w:rPr>
          <w:color w:val="auto"/>
          <w:szCs w:val="21"/>
        </w:rPr>
        <w:t>传真：</w:t>
      </w:r>
      <w:r>
        <w:rPr>
          <w:color w:val="auto"/>
          <w:szCs w:val="21"/>
          <w:u w:val="single"/>
        </w:rPr>
        <w:t xml:space="preserve">                                     </w:t>
      </w:r>
    </w:p>
    <w:p>
      <w:pPr>
        <w:spacing w:line="276" w:lineRule="auto"/>
        <w:ind w:firstLine="3255" w:firstLineChars="1550"/>
        <w:rPr>
          <w:color w:val="auto"/>
          <w:szCs w:val="21"/>
        </w:rPr>
      </w:pPr>
      <w:r>
        <w:rPr>
          <w:color w:val="auto"/>
          <w:szCs w:val="21"/>
        </w:rPr>
        <w:t>邮政编码：</w:t>
      </w:r>
      <w:r>
        <w:rPr>
          <w:color w:val="auto"/>
          <w:szCs w:val="21"/>
          <w:u w:val="single"/>
        </w:rPr>
        <w:t xml:space="preserve">                                 </w:t>
      </w:r>
    </w:p>
    <w:p>
      <w:pPr>
        <w:spacing w:line="276" w:lineRule="auto"/>
        <w:ind w:firstLine="3675" w:firstLineChars="1750"/>
        <w:rPr>
          <w:color w:val="auto"/>
          <w:szCs w:val="21"/>
        </w:rPr>
      </w:pPr>
    </w:p>
    <w:p>
      <w:pPr>
        <w:spacing w:line="276" w:lineRule="auto"/>
        <w:jc w:val="right"/>
        <w:rPr>
          <w:color w:val="auto"/>
          <w:szCs w:val="21"/>
        </w:rPr>
      </w:pP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pPr>
        <w:spacing w:line="400" w:lineRule="atLeast"/>
        <w:jc w:val="center"/>
        <w:rPr>
          <w:rFonts w:ascii="宋体" w:hAnsi="宋体" w:cs="宋体"/>
          <w:b/>
          <w:color w:val="auto"/>
          <w:sz w:val="28"/>
          <w:szCs w:val="28"/>
        </w:rPr>
      </w:pPr>
    </w:p>
    <w:p>
      <w:pPr>
        <w:spacing w:line="400" w:lineRule="atLeast"/>
        <w:jc w:val="center"/>
        <w:rPr>
          <w:rFonts w:ascii="宋体" w:hAnsi="宋体" w:cs="宋体"/>
          <w:b/>
          <w:color w:val="auto"/>
          <w:sz w:val="28"/>
          <w:szCs w:val="28"/>
        </w:rPr>
        <w:sectPr>
          <w:pgSz w:w="11906" w:h="16838"/>
          <w:pgMar w:top="1418" w:right="1725" w:bottom="1418" w:left="178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二、法定代表人（单位负责人）身份证明及授权委托书</w:t>
      </w:r>
    </w:p>
    <w:p>
      <w:pPr>
        <w:spacing w:line="440" w:lineRule="exact"/>
        <w:rPr>
          <w:rFonts w:ascii="宋体" w:hAnsi="宋体" w:cs="宋体"/>
          <w:color w:val="auto"/>
          <w:sz w:val="20"/>
        </w:rPr>
      </w:pPr>
    </w:p>
    <w:p>
      <w:pPr>
        <w:topLinePunct/>
        <w:spacing w:line="440" w:lineRule="exact"/>
        <w:ind w:firstLine="422" w:firstLineChars="200"/>
        <w:jc w:val="center"/>
        <w:outlineLvl w:val="2"/>
        <w:rPr>
          <w:b/>
          <w:color w:val="auto"/>
          <w:szCs w:val="21"/>
        </w:rPr>
      </w:pPr>
      <w:bookmarkStart w:id="33" w:name="_Toc262547328"/>
      <w:r>
        <w:rPr>
          <w:rFonts w:hint="eastAsia"/>
          <w:b/>
          <w:color w:val="auto"/>
          <w:szCs w:val="21"/>
        </w:rPr>
        <w:t>（一）法定代表人（单位负责人）身份证明</w:t>
      </w:r>
      <w:bookmarkEnd w:id="33"/>
    </w:p>
    <w:p>
      <w:pPr>
        <w:spacing w:line="440" w:lineRule="exact"/>
        <w:rPr>
          <w:color w:val="auto"/>
          <w:szCs w:val="21"/>
        </w:rPr>
      </w:pPr>
      <w:r>
        <w:rPr>
          <w:rFonts w:hint="eastAsia"/>
          <w:color w:val="auto"/>
          <w:szCs w:val="21"/>
        </w:rPr>
        <w:t>比选申请人名称：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r>
        <w:rPr>
          <w:color w:val="auto"/>
          <w:szCs w:val="21"/>
        </w:rPr>
        <w:t xml:space="preserve">                             </w:t>
      </w:r>
      <w:r>
        <w:rPr>
          <w:color w:val="auto"/>
          <w:szCs w:val="21"/>
          <w:u w:val="single"/>
        </w:rPr>
        <w:t xml:space="preserve"> </w:t>
      </w:r>
    </w:p>
    <w:p>
      <w:pPr>
        <w:spacing w:line="440" w:lineRule="exact"/>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rPr>
        <w:t xml:space="preserve"> （法定代表人（单位负责人）手签）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r>
        <w:rPr>
          <w:rFonts w:hint="eastAsia"/>
          <w:color w:val="auto"/>
          <w:szCs w:val="21"/>
        </w:rPr>
        <w:t>系</w:t>
      </w:r>
      <w:r>
        <w:rPr>
          <w:color w:val="auto"/>
          <w:szCs w:val="21"/>
          <w:u w:val="single"/>
        </w:rPr>
        <w:t xml:space="preserve">       </w:t>
      </w:r>
      <w:r>
        <w:rPr>
          <w:color w:val="auto"/>
          <w:szCs w:val="21"/>
        </w:rPr>
        <w:t xml:space="preserve"> </w:t>
      </w:r>
      <w:r>
        <w:rPr>
          <w:rFonts w:hint="eastAsia"/>
          <w:color w:val="auto"/>
          <w:szCs w:val="21"/>
        </w:rPr>
        <w:t>（比选申请人名称）的法定代表人（单位负责人）。</w:t>
      </w:r>
    </w:p>
    <w:p>
      <w:pPr>
        <w:spacing w:line="440" w:lineRule="exact"/>
        <w:ind w:firstLine="420" w:firstLineChars="200"/>
        <w:rPr>
          <w:color w:val="auto"/>
          <w:szCs w:val="21"/>
        </w:rPr>
      </w:pPr>
      <w:r>
        <w:rPr>
          <w:rFonts w:hint="eastAsia"/>
          <w:color w:val="auto"/>
          <w:szCs w:val="21"/>
        </w:rPr>
        <w:t>特此证明。</w:t>
      </w:r>
    </w:p>
    <w:p>
      <w:pPr>
        <w:spacing w:line="440" w:lineRule="exact"/>
        <w:rPr>
          <w:b/>
          <w:color w:val="auto"/>
          <w:szCs w:val="21"/>
        </w:rPr>
      </w:pPr>
      <w:r>
        <w:rPr>
          <w:b/>
          <w:color w:val="auto"/>
          <w:szCs w:val="21"/>
        </w:rPr>
        <w:t>附</w:t>
      </w:r>
      <w:r>
        <w:rPr>
          <w:rFonts w:hint="eastAsia"/>
          <w:b/>
          <w:color w:val="auto"/>
          <w:szCs w:val="21"/>
        </w:rPr>
        <w:t>：法定代表人（单位负责人）身份证明</w:t>
      </w:r>
    </w:p>
    <w:p>
      <w:pPr>
        <w:rPr>
          <w:color w:val="auto"/>
        </w:rPr>
      </w:pPr>
    </w:p>
    <w:p>
      <w:pPr>
        <w:spacing w:line="440" w:lineRule="exact"/>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r>
        <w:rPr>
          <w:rFonts w:hint="eastAsia" w:ascii="宋体" w:hAnsi="宋体"/>
          <w:color w:val="auto"/>
          <w:szCs w:val="21"/>
        </w:rPr>
        <w:t>注：法定代表人（单位负责人）的签字必须是亲笔签名，不得用印章、签名章或其他电子制版签名。</w:t>
      </w:r>
    </w:p>
    <w:p>
      <w:pPr>
        <w:topLinePunct/>
        <w:spacing w:line="440" w:lineRule="exact"/>
        <w:jc w:val="center"/>
        <w:outlineLvl w:val="2"/>
        <w:rPr>
          <w:rFonts w:ascii="宋体" w:hAnsi="宋体" w:cs="宋体"/>
          <w:b/>
          <w:color w:val="auto"/>
          <w:szCs w:val="21"/>
        </w:rPr>
      </w:pPr>
      <w:r>
        <w:rPr>
          <w:rFonts w:hint="eastAsia" w:ascii="宋体" w:hAnsi="宋体" w:cs="宋体"/>
          <w:color w:val="auto"/>
          <w:sz w:val="20"/>
        </w:rPr>
        <w:br w:type="page"/>
      </w:r>
      <w:bookmarkStart w:id="34" w:name="_Toc262547329"/>
      <w:r>
        <w:rPr>
          <w:rFonts w:hint="eastAsia" w:ascii="宋体" w:hAnsi="宋体" w:cs="宋体"/>
          <w:b/>
          <w:color w:val="auto"/>
          <w:szCs w:val="21"/>
        </w:rPr>
        <w:t>（二）授权委托书</w:t>
      </w:r>
      <w:bookmarkEnd w:id="34"/>
      <w:r>
        <w:rPr>
          <w:rFonts w:hint="eastAsia" w:ascii="宋体" w:hAnsi="宋体" w:cs="宋体"/>
          <w:b/>
          <w:color w:val="auto"/>
          <w:szCs w:val="21"/>
        </w:rPr>
        <w:t xml:space="preserve"> </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（比选申请人名称</w:t>
      </w:r>
      <w:r>
        <w:rPr>
          <w:rFonts w:hint="eastAsia" w:ascii="宋体" w:hAnsi="宋体" w:cs="宋体"/>
          <w:color w:val="auto"/>
          <w:spacing w:val="1"/>
          <w:kern w:val="0"/>
          <w:szCs w:val="21"/>
        </w:rPr>
        <w:t>）</w:t>
      </w:r>
      <w:r>
        <w:rPr>
          <w:rFonts w:hint="eastAsia" w:ascii="宋体" w:hAnsi="宋体" w:cs="宋体"/>
          <w:color w:val="auto"/>
          <w:kern w:val="0"/>
          <w:szCs w:val="21"/>
        </w:rPr>
        <w:t>的</w:t>
      </w:r>
      <w:r>
        <w:rPr>
          <w:rFonts w:hint="eastAsia"/>
          <w:color w:val="auto"/>
          <w:szCs w:val="21"/>
        </w:rPr>
        <w:t>法定代表人（单位负责人）</w:t>
      </w:r>
      <w:r>
        <w:rPr>
          <w:rFonts w:hint="eastAsia" w:ascii="宋体" w:hAnsi="宋体" w:cs="宋体"/>
          <w:color w:val="auto"/>
          <w:kern w:val="0"/>
          <w:szCs w:val="21"/>
        </w:rPr>
        <w:t>，现委托</w:t>
      </w:r>
      <w:r>
        <w:rPr>
          <w:rFonts w:hint="eastAsia" w:ascii="宋体" w:hAnsi="宋体" w:cs="宋体"/>
          <w:color w:val="auto"/>
          <w:kern w:val="0"/>
          <w:szCs w:val="21"/>
          <w:u w:val="single"/>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（姓名）为我方代理人。代理人根据授权，以我方名义签署、澄清、说明、补正、递交、撤回、修改</w:t>
      </w:r>
      <w:r>
        <w:rPr>
          <w:rFonts w:hint="eastAsia" w:ascii="宋体" w:hAnsi="宋体" w:cs="宋体"/>
          <w:color w:val="auto"/>
          <w:kern w:val="0"/>
          <w:szCs w:val="21"/>
          <w:u w:val="single"/>
        </w:rPr>
        <w:t xml:space="preserve">     （项目名称）</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bCs/>
          <w:color w:val="auto"/>
          <w:kern w:val="0"/>
          <w:szCs w:val="21"/>
        </w:rPr>
      </w:pPr>
      <w:r>
        <w:rPr>
          <w:rFonts w:hint="eastAsia" w:ascii="宋体" w:hAnsi="宋体" w:cs="宋体"/>
          <w:b/>
          <w:bCs/>
          <w:color w:val="auto"/>
          <w:kern w:val="0"/>
          <w:szCs w:val="21"/>
        </w:rPr>
        <w:t>附：</w:t>
      </w:r>
      <w:r>
        <w:rPr>
          <w:rFonts w:hint="eastAsia"/>
          <w:b/>
          <w:color w:val="auto"/>
          <w:szCs w:val="21"/>
        </w:rPr>
        <w:t>法定代表人（单位负责人）及授权人的</w:t>
      </w:r>
      <w:r>
        <w:rPr>
          <w:rFonts w:hint="eastAsia" w:ascii="宋体" w:hAnsi="宋体" w:cs="宋体"/>
          <w:b/>
          <w:bCs/>
          <w:color w:val="auto"/>
          <w:kern w:val="0"/>
          <w:szCs w:val="21"/>
        </w:rPr>
        <w:t>身份证明。</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color w:val="auto"/>
          <w:szCs w:val="21"/>
        </w:rPr>
        <w:t>法定代表人（单位负责人）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rPr>
        <w:sectPr>
          <w:pgSz w:w="11906" w:h="16838"/>
          <w:pgMar w:top="1418" w:right="991" w:bottom="1418" w:left="1361" w:header="851" w:footer="992" w:gutter="0"/>
          <w:cols w:space="720" w:num="1"/>
          <w:docGrid w:type="lines" w:linePitch="312" w:charSpace="0"/>
        </w:sect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tabs>
          <w:tab w:val="left" w:pos="900"/>
          <w:tab w:val="left" w:pos="1080"/>
        </w:tabs>
        <w:spacing w:line="300" w:lineRule="auto"/>
        <w:jc w:val="center"/>
        <w:outlineLvl w:val="0"/>
        <w:rPr>
          <w:rFonts w:ascii="宋体" w:hAnsi="宋体" w:cs="宋体"/>
          <w:b/>
          <w:color w:val="auto"/>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color w:val="auto"/>
          <w:sz w:val="28"/>
          <w:szCs w:val="28"/>
        </w:rPr>
        <w:t>三、比选申请单位有效的营业执照、资质</w:t>
      </w:r>
      <w:r>
        <w:rPr>
          <w:rFonts w:hint="eastAsia" w:ascii="宋体" w:hAnsi="宋体" w:cs="宋体"/>
          <w:b/>
          <w:color w:val="auto"/>
          <w:sz w:val="28"/>
          <w:szCs w:val="28"/>
          <w:lang w:val="en-US" w:eastAsia="zh-CN"/>
        </w:rPr>
        <w:t>、资信</w:t>
      </w:r>
      <w:r>
        <w:rPr>
          <w:rFonts w:hint="eastAsia" w:ascii="宋体" w:hAnsi="宋体" w:cs="宋体"/>
          <w:b/>
          <w:color w:val="auto"/>
          <w:sz w:val="28"/>
          <w:szCs w:val="28"/>
        </w:rPr>
        <w:t>证书等证明材料</w:t>
      </w:r>
    </w:p>
    <w:p>
      <w:pPr>
        <w:tabs>
          <w:tab w:val="left" w:pos="900"/>
          <w:tab w:val="left" w:pos="1080"/>
        </w:tabs>
        <w:spacing w:line="300" w:lineRule="auto"/>
        <w:jc w:val="center"/>
        <w:outlineLvl w:val="0"/>
        <w:rPr>
          <w:rFonts w:ascii="宋体" w:hAnsi="宋体" w:cs="宋体"/>
          <w:b/>
          <w:color w:val="auto"/>
          <w:sz w:val="28"/>
          <w:szCs w:val="28"/>
        </w:rPr>
        <w:sectPr>
          <w:head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b/>
          <w:color w:val="auto"/>
          <w:sz w:val="28"/>
          <w:szCs w:val="28"/>
        </w:rPr>
        <w:t>四、比选申请单位的业绩证明材料</w:t>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五、比选申请单位信誉承诺书</w:t>
      </w:r>
    </w:p>
    <w:p>
      <w:pPr>
        <w:spacing w:line="440" w:lineRule="exact"/>
        <w:rPr>
          <w:color w:val="auto"/>
          <w:szCs w:val="21"/>
        </w:rPr>
      </w:pPr>
      <w:r>
        <w:rPr>
          <w:rFonts w:hint="eastAsia"/>
          <w:color w:val="auto"/>
          <w:szCs w:val="21"/>
        </w:rPr>
        <w:t>致：</w:t>
      </w:r>
      <w:r>
        <w:rPr>
          <w:rFonts w:hint="eastAsia" w:ascii="宋体" w:hAnsi="宋体"/>
          <w:b/>
          <w:color w:val="auto"/>
          <w:u w:val="single"/>
        </w:rPr>
        <w:t>重庆高速资产经营管理有限公司</w:t>
      </w:r>
    </w:p>
    <w:p>
      <w:pPr>
        <w:spacing w:line="440" w:lineRule="exact"/>
        <w:ind w:firstLine="420" w:firstLineChars="200"/>
        <w:rPr>
          <w:color w:val="auto"/>
          <w:szCs w:val="21"/>
        </w:rPr>
      </w:pPr>
      <w:r>
        <w:rPr>
          <w:rFonts w:hint="eastAsia"/>
          <w:color w:val="auto"/>
          <w:szCs w:val="21"/>
        </w:rPr>
        <w:t xml:space="preserve">我单位参加 </w:t>
      </w:r>
      <w:r>
        <w:rPr>
          <w:rFonts w:hint="eastAsia"/>
          <w:color w:val="auto"/>
          <w:szCs w:val="21"/>
          <w:u w:val="single"/>
        </w:rPr>
        <w:t xml:space="preserve">             （项目名称）</w:t>
      </w:r>
      <w:r>
        <w:rPr>
          <w:rFonts w:hint="eastAsia"/>
          <w:color w:val="auto"/>
          <w:szCs w:val="21"/>
        </w:rPr>
        <w:t>的比选，对以下内容作出真实性承诺：</w:t>
      </w:r>
    </w:p>
    <w:p>
      <w:pPr>
        <w:spacing w:line="440" w:lineRule="exact"/>
        <w:ind w:firstLine="420" w:firstLineChars="200"/>
        <w:rPr>
          <w:color w:val="auto"/>
          <w:szCs w:val="21"/>
        </w:rPr>
      </w:pPr>
      <w:r>
        <w:rPr>
          <w:rFonts w:hint="eastAsia"/>
          <w:color w:val="auto"/>
          <w:szCs w:val="21"/>
        </w:rPr>
        <w:t>（1）最近三年没有出现违法违规或失信行为；</w:t>
      </w:r>
    </w:p>
    <w:p>
      <w:pPr>
        <w:spacing w:line="440" w:lineRule="exact"/>
        <w:ind w:firstLine="420" w:firstLineChars="200"/>
        <w:rPr>
          <w:color w:val="auto"/>
          <w:szCs w:val="21"/>
        </w:rPr>
      </w:pPr>
      <w:r>
        <w:rPr>
          <w:rFonts w:hint="eastAsia"/>
          <w:color w:val="auto"/>
          <w:szCs w:val="21"/>
        </w:rPr>
        <w:t>（2）最近三年最没有无故弃标的不良记录；</w:t>
      </w:r>
    </w:p>
    <w:p>
      <w:pPr>
        <w:spacing w:line="440" w:lineRule="exact"/>
        <w:ind w:firstLine="420" w:firstLineChars="200"/>
        <w:rPr>
          <w:color w:val="auto"/>
          <w:szCs w:val="21"/>
        </w:rPr>
      </w:pPr>
      <w:r>
        <w:rPr>
          <w:rFonts w:hint="eastAsia"/>
          <w:color w:val="auto"/>
          <w:szCs w:val="21"/>
        </w:rPr>
        <w:t>（3）受到行政处罚的不在其行政处罚期内。</w:t>
      </w:r>
    </w:p>
    <w:p>
      <w:pPr>
        <w:spacing w:line="440" w:lineRule="exact"/>
        <w:ind w:firstLine="420" w:firstLineChars="200"/>
        <w:rPr>
          <w:color w:val="auto"/>
          <w:szCs w:val="21"/>
        </w:rPr>
      </w:pPr>
      <w:r>
        <w:rPr>
          <w:rFonts w:hint="eastAsia"/>
          <w:color w:val="auto"/>
          <w:szCs w:val="21"/>
        </w:rPr>
        <w:t>…………</w:t>
      </w:r>
    </w:p>
    <w:p>
      <w:pPr>
        <w:spacing w:line="440" w:lineRule="exact"/>
        <w:ind w:firstLine="420" w:firstLineChars="200"/>
        <w:rPr>
          <w:color w:val="auto"/>
          <w:szCs w:val="21"/>
        </w:rPr>
      </w:pPr>
      <w:r>
        <w:rPr>
          <w:rFonts w:hint="eastAsia"/>
          <w:color w:val="auto"/>
          <w:szCs w:val="21"/>
        </w:rPr>
        <w:t>我司将按照竞争性比选文件提供合格的材料。若违背竞争性比选文件及合同要求，我司将按照约定接受处罚。</w:t>
      </w:r>
    </w:p>
    <w:p>
      <w:pPr>
        <w:pStyle w:val="21"/>
        <w:rPr>
          <w:rFonts w:ascii="宋体" w:hAnsi="宋体" w:cs="宋体"/>
          <w:b/>
          <w:color w:val="auto"/>
          <w:sz w:val="28"/>
          <w:szCs w:val="28"/>
        </w:rPr>
      </w:pPr>
    </w:p>
    <w:p>
      <w:pPr>
        <w:spacing w:line="440" w:lineRule="exact"/>
        <w:ind w:firstLine="3990" w:firstLineChars="1900"/>
        <w:jc w:val="right"/>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pStyle w:val="21"/>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21"/>
        <w:jc w:val="right"/>
        <w:rPr>
          <w:rFonts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21"/>
        <w:jc w:val="right"/>
        <w:rPr>
          <w:rFonts w:ascii="宋体" w:hAnsi="宋体" w:eastAsia="宋体" w:cs="宋体"/>
          <w:color w:val="auto"/>
          <w:szCs w:val="21"/>
          <w:u w:val="single"/>
        </w:rPr>
      </w:pPr>
      <w:r>
        <w:rPr>
          <w:rFonts w:hint="eastAsia" w:ascii="宋体" w:hAnsi="宋体" w:eastAsia="宋体" w:cs="宋体"/>
          <w:color w:val="auto"/>
          <w:szCs w:val="21"/>
          <w:u w:val="single"/>
        </w:rPr>
        <w:t xml:space="preserve"> </w:t>
      </w:r>
    </w:p>
    <w:p>
      <w:pPr>
        <w:rPr>
          <w:color w:val="auto"/>
        </w:rPr>
      </w:pPr>
    </w:p>
    <w:p>
      <w:pPr>
        <w:rPr>
          <w:color w:val="auto"/>
        </w:rPr>
      </w:pPr>
    </w:p>
    <w:p>
      <w:pPr>
        <w:rPr>
          <w:color w:val="auto"/>
        </w:rPr>
      </w:pPr>
    </w:p>
    <w:p>
      <w:pPr>
        <w:tabs>
          <w:tab w:val="left" w:pos="900"/>
          <w:tab w:val="left" w:pos="1080"/>
        </w:tabs>
        <w:spacing w:line="300" w:lineRule="auto"/>
        <w:jc w:val="center"/>
        <w:outlineLvl w:val="0"/>
        <w:rPr>
          <w:rFonts w:ascii="宋体" w:hAnsi="宋体" w:cs="宋体"/>
          <w:b/>
          <w:color w:val="auto"/>
          <w:sz w:val="28"/>
          <w:szCs w:val="28"/>
        </w:rPr>
        <w:sectPr>
          <w:pgSz w:w="11906" w:h="16838"/>
          <w:pgMar w:top="1440" w:right="1800" w:bottom="1440" w:left="1800"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六、比选申请单位主要管理人员的证明材料</w:t>
      </w:r>
    </w:p>
    <w:p>
      <w:pPr>
        <w:rPr>
          <w:color w:val="auto"/>
        </w:rPr>
      </w:pPr>
      <w:r>
        <w:rPr>
          <w:rFonts w:hint="eastAsia" w:ascii="宋体" w:hAnsi="宋体"/>
          <w:color w:val="auto"/>
        </w:rPr>
        <w:t xml:space="preserve">比选申请人:                                 项目名称: </w:t>
      </w:r>
      <w:r>
        <w:rPr>
          <w:rFonts w:hint="eastAsia" w:ascii="宋体" w:hAnsi="宋体"/>
          <w:color w:val="auto"/>
          <w:u w:val="single"/>
        </w:rPr>
        <w:t xml:space="preserve">  </w:t>
      </w:r>
      <w:r>
        <w:rPr>
          <w:rFonts w:hint="eastAsia" w:ascii="宋体" w:hAnsi="宋体"/>
          <w:color w:val="auto"/>
        </w:rPr>
        <w:t xml:space="preserve">                          </w:t>
      </w:r>
    </w:p>
    <w:tbl>
      <w:tblPr>
        <w:tblStyle w:val="19"/>
        <w:tblW w:w="8893" w:type="dxa"/>
        <w:jc w:val="center"/>
        <w:tblInd w:w="0"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505"/>
      </w:tblGrid>
      <w:tr>
        <w:tblPrEx>
          <w:tblLayout w:type="fixed"/>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姓</w:t>
            </w:r>
            <w:r>
              <w:rPr>
                <w:rFonts w:ascii="宋体" w:hAnsi="宋体"/>
                <w:color w:val="auto"/>
                <w:kern w:val="0"/>
                <w:szCs w:val="21"/>
              </w:rPr>
              <w:tab/>
            </w:r>
            <w:r>
              <w:rPr>
                <w:rFonts w:hint="eastAsia" w:ascii="宋体" w:hAnsi="宋体"/>
                <w:color w:val="auto"/>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年</w:t>
            </w:r>
            <w:r>
              <w:rPr>
                <w:rFonts w:ascii="宋体" w:hAnsi="宋体"/>
                <w:color w:val="auto"/>
                <w:kern w:val="0"/>
                <w:szCs w:val="21"/>
              </w:rPr>
              <w:t xml:space="preserve">  </w:t>
            </w:r>
            <w:r>
              <w:rPr>
                <w:rFonts w:hint="eastAsia" w:ascii="宋体" w:hAnsi="宋体"/>
                <w:color w:val="auto"/>
                <w:kern w:val="0"/>
                <w:szCs w:val="21"/>
              </w:rPr>
              <w:t>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学历</w:t>
            </w:r>
          </w:p>
        </w:tc>
        <w:tc>
          <w:tcPr>
            <w:tcW w:w="2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职</w:t>
            </w:r>
            <w:r>
              <w:rPr>
                <w:rFonts w:ascii="宋体" w:hAnsi="宋体"/>
                <w:color w:val="auto"/>
                <w:kern w:val="0"/>
                <w:szCs w:val="21"/>
              </w:rPr>
              <w:tab/>
            </w:r>
            <w:r>
              <w:rPr>
                <w:rFonts w:hint="eastAsia" w:ascii="宋体" w:hAnsi="宋体"/>
                <w:color w:val="auto"/>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职</w:t>
            </w:r>
            <w:r>
              <w:rPr>
                <w:rFonts w:ascii="宋体" w:hAnsi="宋体"/>
                <w:color w:val="auto"/>
                <w:kern w:val="0"/>
                <w:szCs w:val="21"/>
              </w:rPr>
              <w:t xml:space="preserve">  </w:t>
            </w:r>
            <w:r>
              <w:rPr>
                <w:rFonts w:hint="eastAsia" w:ascii="宋体" w:hAnsi="宋体"/>
                <w:color w:val="auto"/>
                <w:kern w:val="0"/>
                <w:szCs w:val="21"/>
              </w:rPr>
              <w:t>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拟在本合同任职</w:t>
            </w:r>
          </w:p>
        </w:tc>
        <w:tc>
          <w:tcPr>
            <w:tcW w:w="2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毕业学校</w:t>
            </w:r>
          </w:p>
        </w:tc>
        <w:tc>
          <w:tcPr>
            <w:tcW w:w="770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年</w:t>
            </w:r>
            <w:r>
              <w:rPr>
                <w:rFonts w:hint="eastAsia" w:ascii="宋体" w:hAnsi="宋体"/>
                <w:color w:val="auto"/>
                <w:spacing w:val="-1"/>
                <w:kern w:val="0"/>
                <w:szCs w:val="21"/>
              </w:rPr>
              <w:t>毕</w:t>
            </w:r>
            <w:r>
              <w:rPr>
                <w:rFonts w:hint="eastAsia" w:ascii="宋体" w:hAnsi="宋体"/>
                <w:color w:val="auto"/>
                <w:kern w:val="0"/>
                <w:szCs w:val="21"/>
              </w:rPr>
              <w:t>业于</w:t>
            </w:r>
            <w:r>
              <w:rPr>
                <w:rFonts w:ascii="宋体" w:hAnsi="宋体"/>
                <w:color w:val="auto"/>
                <w:kern w:val="0"/>
                <w:szCs w:val="21"/>
              </w:rPr>
              <w:tab/>
            </w:r>
            <w:r>
              <w:rPr>
                <w:rFonts w:hint="eastAsia" w:ascii="宋体" w:hAnsi="宋体"/>
                <w:color w:val="auto"/>
                <w:kern w:val="0"/>
                <w:szCs w:val="21"/>
              </w:rPr>
              <w:t>学校</w:t>
            </w:r>
            <w:r>
              <w:rPr>
                <w:rFonts w:ascii="宋体" w:hAnsi="宋体"/>
                <w:color w:val="auto"/>
                <w:kern w:val="0"/>
                <w:szCs w:val="21"/>
              </w:rPr>
              <w:tab/>
            </w:r>
            <w:r>
              <w:rPr>
                <w:rFonts w:hint="eastAsia" w:ascii="宋体" w:hAnsi="宋体"/>
                <w:color w:val="auto"/>
                <w:kern w:val="0"/>
                <w:szCs w:val="21"/>
              </w:rPr>
              <w:t>专业</w:t>
            </w:r>
          </w:p>
        </w:tc>
      </w:tr>
      <w:tr>
        <w:tblPrEx>
          <w:tblLayout w:type="fixed"/>
          <w:tblCellMar>
            <w:top w:w="0" w:type="dxa"/>
            <w:left w:w="0" w:type="dxa"/>
            <w:bottom w:w="0" w:type="dxa"/>
            <w:right w:w="0" w:type="dxa"/>
          </w:tblCellMar>
        </w:tblPrEx>
        <w:trPr>
          <w:trHeight w:val="450" w:hRule="exact"/>
          <w:jc w:val="center"/>
        </w:trPr>
        <w:tc>
          <w:tcPr>
            <w:tcW w:w="889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主要工作经历</w:t>
            </w:r>
          </w:p>
        </w:tc>
      </w:tr>
      <w:tr>
        <w:tblPrEx>
          <w:tblLayout w:type="fixed"/>
          <w:tblCellMar>
            <w:top w:w="0" w:type="dxa"/>
            <w:left w:w="0" w:type="dxa"/>
            <w:bottom w:w="0" w:type="dxa"/>
            <w:right w:w="0" w:type="dxa"/>
          </w:tblCellMar>
        </w:tblPrEx>
        <w:trPr>
          <w:trHeight w:val="45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时</w:t>
            </w:r>
            <w:r>
              <w:rPr>
                <w:rFonts w:ascii="宋体" w:hAnsi="宋体"/>
                <w:color w:val="auto"/>
                <w:kern w:val="0"/>
                <w:szCs w:val="21"/>
              </w:rPr>
              <w:tab/>
            </w:r>
            <w:r>
              <w:rPr>
                <w:rFonts w:hint="eastAsia" w:ascii="宋体" w:hAnsi="宋体"/>
                <w:color w:val="auto"/>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担任职务</w:t>
            </w: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r>
              <w:rPr>
                <w:rFonts w:hint="eastAsia" w:ascii="宋体" w:hAnsi="宋体"/>
                <w:color w:val="auto"/>
                <w:kern w:val="0"/>
                <w:szCs w:val="21"/>
              </w:rPr>
              <w:t>备注</w:t>
            </w:r>
          </w:p>
        </w:tc>
      </w:tr>
      <w:tr>
        <w:tblPrEx>
          <w:tblLayout w:type="fixed"/>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color w:val="auto"/>
                <w:kern w:val="0"/>
                <w:szCs w:val="21"/>
              </w:rPr>
            </w:pPr>
          </w:p>
        </w:tc>
      </w:tr>
    </w:tbl>
    <w:p>
      <w:pPr>
        <w:ind w:left="602" w:leftChars="160" w:hanging="266" w:hangingChars="126"/>
        <w:rPr>
          <w:rFonts w:ascii="宋体" w:hAnsi="宋体"/>
          <w:b/>
          <w:color w:val="auto"/>
          <w:kern w:val="0"/>
        </w:rPr>
      </w:pPr>
      <w:r>
        <w:rPr>
          <w:rFonts w:hint="eastAsia" w:ascii="宋体" w:hAnsi="宋体"/>
          <w:b/>
          <w:color w:val="auto"/>
          <w:kern w:val="0"/>
        </w:rPr>
        <w:t>注：附主要管理人员的相关证明材料。</w:t>
      </w:r>
    </w:p>
    <w:p>
      <w:pPr>
        <w:pStyle w:val="2"/>
        <w:rPr>
          <w:color w:val="auto"/>
        </w:rPr>
      </w:pPr>
    </w:p>
    <w:p>
      <w:pPr>
        <w:rPr>
          <w:color w:val="auto"/>
        </w:rPr>
        <w:sectPr>
          <w:pgSz w:w="11906" w:h="16838"/>
          <w:pgMar w:top="1440" w:right="1800" w:bottom="1440" w:left="1800"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七、比选申请单位技术部分</w:t>
      </w:r>
    </w:p>
    <w:p>
      <w:pPr>
        <w:rPr>
          <w:b/>
          <w:bCs/>
          <w:color w:val="auto"/>
        </w:rPr>
      </w:pPr>
      <w:r>
        <w:rPr>
          <w:rFonts w:hint="eastAsia"/>
          <w:b/>
          <w:bCs/>
          <w:color w:val="auto"/>
        </w:rPr>
        <w:t>由比选申请单位根据比选文件自行编制，格式自拟。</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tabs>
          <w:tab w:val="left" w:pos="900"/>
          <w:tab w:val="left" w:pos="1080"/>
        </w:tabs>
        <w:spacing w:line="360" w:lineRule="auto"/>
        <w:jc w:val="center"/>
        <w:outlineLvl w:val="0"/>
        <w:rPr>
          <w:b/>
          <w:bCs/>
          <w:color w:val="auto"/>
          <w:sz w:val="28"/>
          <w:szCs w:val="28"/>
        </w:rPr>
        <w:sectPr>
          <w:pgSz w:w="11906" w:h="16838"/>
          <w:pgMar w:top="1440" w:right="1800" w:bottom="1440" w:left="1800" w:header="851" w:footer="992" w:gutter="0"/>
          <w:cols w:space="720" w:num="1"/>
          <w:docGrid w:type="lines" w:linePitch="312" w:charSpace="0"/>
        </w:sectPr>
      </w:pPr>
    </w:p>
    <w:p>
      <w:pPr>
        <w:tabs>
          <w:tab w:val="left" w:pos="900"/>
          <w:tab w:val="left" w:pos="1080"/>
        </w:tabs>
        <w:spacing w:line="360" w:lineRule="auto"/>
        <w:jc w:val="center"/>
        <w:outlineLvl w:val="0"/>
        <w:rPr>
          <w:b/>
          <w:bCs/>
          <w:color w:val="auto"/>
          <w:sz w:val="28"/>
          <w:szCs w:val="28"/>
        </w:rPr>
      </w:pPr>
      <w:r>
        <w:rPr>
          <w:rFonts w:hint="eastAsia"/>
          <w:b/>
          <w:bCs/>
          <w:color w:val="auto"/>
          <w:sz w:val="28"/>
          <w:szCs w:val="28"/>
        </w:rPr>
        <w:t>八、报价清单</w:t>
      </w:r>
    </w:p>
    <w:tbl>
      <w:tblPr>
        <w:tblStyle w:val="20"/>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4283"/>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31"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r>
              <w:rPr>
                <w:rFonts w:hint="eastAsia" w:ascii="宋体" w:hAnsi="宋体" w:cs="宋体"/>
                <w:b w:val="0"/>
                <w:bCs w:val="0"/>
                <w:color w:val="auto"/>
                <w:kern w:val="0"/>
                <w:sz w:val="22"/>
                <w:szCs w:val="22"/>
                <w:lang w:bidi="ar"/>
              </w:rPr>
              <w:t>序号</w:t>
            </w:r>
          </w:p>
        </w:tc>
        <w:tc>
          <w:tcPr>
            <w:tcW w:w="4283"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r>
              <w:rPr>
                <w:rFonts w:hint="eastAsia" w:ascii="宋体" w:hAnsi="宋体" w:cs="宋体"/>
                <w:b w:val="0"/>
                <w:bCs w:val="0"/>
                <w:color w:val="auto"/>
                <w:kern w:val="0"/>
                <w:sz w:val="22"/>
                <w:szCs w:val="22"/>
                <w:lang w:bidi="ar"/>
              </w:rPr>
              <w:t>项目名称</w:t>
            </w:r>
          </w:p>
        </w:tc>
        <w:tc>
          <w:tcPr>
            <w:tcW w:w="3444"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r>
              <w:rPr>
                <w:rFonts w:hint="eastAsia" w:ascii="宋体" w:hAnsi="宋体" w:cs="宋体"/>
                <w:b w:val="0"/>
                <w:bCs w:val="0"/>
                <w:color w:val="auto"/>
                <w:kern w:val="0"/>
                <w:sz w:val="22"/>
                <w:szCs w:val="22"/>
                <w:lang w:bidi="ar"/>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1"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r>
              <w:rPr>
                <w:rFonts w:hint="eastAsia" w:ascii="宋体" w:hAnsi="宋体" w:cs="宋体"/>
                <w:b w:val="0"/>
                <w:bCs w:val="0"/>
                <w:color w:val="auto"/>
                <w:kern w:val="0"/>
                <w:sz w:val="22"/>
                <w:szCs w:val="22"/>
                <w:lang w:bidi="ar"/>
              </w:rPr>
              <w:t>1</w:t>
            </w:r>
          </w:p>
        </w:tc>
        <w:tc>
          <w:tcPr>
            <w:tcW w:w="4283"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r>
              <w:rPr>
                <w:rFonts w:hint="eastAsia" w:ascii="宋体" w:hAnsi="宋体" w:cs="宋体"/>
                <w:b w:val="0"/>
                <w:bCs w:val="0"/>
                <w:color w:val="auto"/>
                <w:kern w:val="0"/>
                <w:sz w:val="22"/>
                <w:szCs w:val="22"/>
                <w:lang w:bidi="ar"/>
              </w:rPr>
              <w:t>上磺服务区技术论证</w:t>
            </w:r>
          </w:p>
        </w:tc>
        <w:tc>
          <w:tcPr>
            <w:tcW w:w="3444"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1"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r>
              <w:rPr>
                <w:rFonts w:hint="eastAsia" w:ascii="宋体" w:hAnsi="宋体" w:cs="宋体"/>
                <w:b w:val="0"/>
                <w:bCs w:val="0"/>
                <w:color w:val="auto"/>
                <w:kern w:val="0"/>
                <w:sz w:val="22"/>
                <w:szCs w:val="22"/>
                <w:lang w:bidi="ar"/>
              </w:rPr>
              <w:t>2</w:t>
            </w:r>
          </w:p>
        </w:tc>
        <w:tc>
          <w:tcPr>
            <w:tcW w:w="4283"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r>
              <w:rPr>
                <w:rFonts w:hint="eastAsia" w:ascii="宋体" w:hAnsi="宋体" w:cs="宋体"/>
                <w:b w:val="0"/>
                <w:bCs w:val="0"/>
                <w:color w:val="auto"/>
                <w:kern w:val="0"/>
                <w:sz w:val="22"/>
                <w:szCs w:val="22"/>
                <w:lang w:bidi="ar"/>
              </w:rPr>
              <w:t>上磺服务区安全评价</w:t>
            </w:r>
          </w:p>
        </w:tc>
        <w:tc>
          <w:tcPr>
            <w:tcW w:w="3444"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1"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r>
              <w:rPr>
                <w:rFonts w:hint="eastAsia" w:ascii="宋体" w:hAnsi="宋体" w:cs="宋体"/>
                <w:b w:val="0"/>
                <w:bCs w:val="0"/>
                <w:color w:val="auto"/>
                <w:kern w:val="0"/>
                <w:sz w:val="22"/>
                <w:szCs w:val="22"/>
                <w:lang w:bidi="ar"/>
              </w:rPr>
              <w:t>4</w:t>
            </w:r>
          </w:p>
        </w:tc>
        <w:tc>
          <w:tcPr>
            <w:tcW w:w="4283"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r>
              <w:rPr>
                <w:rFonts w:hint="eastAsia" w:ascii="宋体" w:hAnsi="宋体" w:cs="宋体"/>
                <w:b w:val="0"/>
                <w:bCs w:val="0"/>
                <w:color w:val="auto"/>
                <w:kern w:val="0"/>
                <w:sz w:val="22"/>
                <w:szCs w:val="22"/>
                <w:lang w:bidi="ar"/>
              </w:rPr>
              <w:t>合计</w:t>
            </w:r>
          </w:p>
        </w:tc>
        <w:tc>
          <w:tcPr>
            <w:tcW w:w="3444" w:type="dxa"/>
            <w:vAlign w:val="center"/>
          </w:tcPr>
          <w:p>
            <w:pPr>
              <w:pStyle w:val="6"/>
              <w:adjustRightInd w:val="0"/>
              <w:snapToGrid w:val="0"/>
              <w:spacing w:line="300" w:lineRule="exact"/>
              <w:jc w:val="center"/>
              <w:rPr>
                <w:rFonts w:ascii="宋体" w:hAnsi="宋体" w:cs="宋体"/>
                <w:b w:val="0"/>
                <w:bCs w:val="0"/>
                <w:color w:val="auto"/>
                <w:kern w:val="0"/>
                <w:sz w:val="22"/>
                <w:szCs w:val="22"/>
                <w:lang w:bidi="ar"/>
              </w:rPr>
            </w:pPr>
          </w:p>
        </w:tc>
      </w:tr>
    </w:tbl>
    <w:p>
      <w:pPr>
        <w:rPr>
          <w:color w:val="auto"/>
        </w:rPr>
      </w:pPr>
    </w:p>
    <w:p>
      <w:pPr>
        <w:rPr>
          <w:b/>
          <w:bCs/>
          <w:color w:val="auto"/>
          <w:sz w:val="28"/>
          <w:szCs w:val="28"/>
        </w:rPr>
      </w:pPr>
    </w:p>
    <w:p>
      <w:pPr>
        <w:pStyle w:val="2"/>
        <w:rPr>
          <w:color w:val="auto"/>
          <w:sz w:val="28"/>
          <w:szCs w:val="28"/>
        </w:rPr>
      </w:pPr>
    </w:p>
    <w:p>
      <w:pPr>
        <w:rPr>
          <w:b/>
          <w:bCs/>
          <w:color w:val="auto"/>
          <w:sz w:val="28"/>
          <w:szCs w:val="28"/>
        </w:rPr>
      </w:pPr>
    </w:p>
    <w:p>
      <w:pPr>
        <w:pStyle w:val="2"/>
        <w:rPr>
          <w:color w:val="auto"/>
          <w:sz w:val="28"/>
          <w:szCs w:val="28"/>
        </w:rPr>
      </w:pPr>
    </w:p>
    <w:p>
      <w:pPr>
        <w:rPr>
          <w:b/>
          <w:bCs/>
          <w:color w:val="auto"/>
          <w:sz w:val="28"/>
          <w:szCs w:val="28"/>
        </w:rPr>
      </w:pPr>
    </w:p>
    <w:p>
      <w:pPr>
        <w:pStyle w:val="2"/>
        <w:rPr>
          <w:color w:val="auto"/>
          <w:sz w:val="28"/>
          <w:szCs w:val="28"/>
        </w:rPr>
      </w:pPr>
    </w:p>
    <w:p>
      <w:pPr>
        <w:rPr>
          <w:b/>
          <w:bCs/>
          <w:color w:val="auto"/>
          <w:sz w:val="28"/>
          <w:szCs w:val="28"/>
        </w:rPr>
      </w:pPr>
    </w:p>
    <w:p>
      <w:pPr>
        <w:pStyle w:val="2"/>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headerReference r:id="rId6" w:type="default"/>
          <w:footerReference r:id="rId7" w:type="default"/>
          <w:pgSz w:w="11906" w:h="16838"/>
          <w:pgMar w:top="1440" w:right="1474" w:bottom="1440" w:left="1588" w:header="851" w:footer="992" w:gutter="0"/>
          <w:cols w:space="425" w:num="1"/>
          <w:docGrid w:type="lines" w:linePitch="312" w:charSpace="0"/>
        </w:sectPr>
      </w:pPr>
    </w:p>
    <w:p>
      <w:pPr>
        <w:rPr>
          <w:color w:val="auto"/>
        </w:rPr>
      </w:pPr>
    </w:p>
    <w:p>
      <w:pPr>
        <w:tabs>
          <w:tab w:val="left" w:pos="900"/>
          <w:tab w:val="left" w:pos="1080"/>
        </w:tabs>
        <w:spacing w:line="360" w:lineRule="auto"/>
        <w:jc w:val="center"/>
        <w:outlineLvl w:val="0"/>
        <w:rPr>
          <w:b/>
          <w:bCs/>
          <w:color w:val="auto"/>
          <w:sz w:val="28"/>
          <w:szCs w:val="28"/>
        </w:rPr>
      </w:pPr>
      <w:r>
        <w:rPr>
          <w:rFonts w:hint="eastAsia"/>
          <w:b/>
          <w:bCs/>
          <w:color w:val="auto"/>
          <w:sz w:val="28"/>
          <w:szCs w:val="28"/>
        </w:rPr>
        <w:t>九、其他材料</w:t>
      </w:r>
    </w:p>
    <w:p>
      <w:pPr>
        <w:pStyle w:val="2"/>
        <w:rPr>
          <w:color w:val="auto"/>
        </w:rPr>
      </w:pPr>
      <w:r>
        <w:rPr>
          <w:rFonts w:hint="eastAsia"/>
          <w:color w:val="auto"/>
        </w:rPr>
        <w:t>由比选申请人自行提供，格式自拟。</w:t>
      </w:r>
    </w:p>
    <w:p>
      <w:pPr>
        <w:rPr>
          <w:rFonts w:ascii="宋体" w:hAnsi="宋体"/>
          <w:b/>
          <w:color w:val="auto"/>
          <w:sz w:val="36"/>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1011"/>
    <w:rsid w:val="000730B1"/>
    <w:rsid w:val="000822CF"/>
    <w:rsid w:val="00082F65"/>
    <w:rsid w:val="00091DF5"/>
    <w:rsid w:val="000927B0"/>
    <w:rsid w:val="00094628"/>
    <w:rsid w:val="0009682E"/>
    <w:rsid w:val="00096CDF"/>
    <w:rsid w:val="000A133B"/>
    <w:rsid w:val="000A3ACA"/>
    <w:rsid w:val="000B5301"/>
    <w:rsid w:val="000C4AD9"/>
    <w:rsid w:val="000C5586"/>
    <w:rsid w:val="000D2361"/>
    <w:rsid w:val="000D3486"/>
    <w:rsid w:val="000D4F8A"/>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2215"/>
    <w:rsid w:val="001F3253"/>
    <w:rsid w:val="001F3500"/>
    <w:rsid w:val="00200BF3"/>
    <w:rsid w:val="002040A9"/>
    <w:rsid w:val="00205C28"/>
    <w:rsid w:val="00207470"/>
    <w:rsid w:val="00207C78"/>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E3C3F"/>
    <w:rsid w:val="006F1D58"/>
    <w:rsid w:val="00705D85"/>
    <w:rsid w:val="00710431"/>
    <w:rsid w:val="007129DC"/>
    <w:rsid w:val="007177E2"/>
    <w:rsid w:val="0072159A"/>
    <w:rsid w:val="00727637"/>
    <w:rsid w:val="00727A56"/>
    <w:rsid w:val="00733F37"/>
    <w:rsid w:val="00740A19"/>
    <w:rsid w:val="007452DC"/>
    <w:rsid w:val="00762700"/>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3360"/>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160C"/>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3F645CA"/>
    <w:rsid w:val="03FA09BE"/>
    <w:rsid w:val="03FB5E46"/>
    <w:rsid w:val="051C7A24"/>
    <w:rsid w:val="05CD2187"/>
    <w:rsid w:val="05D22312"/>
    <w:rsid w:val="06115AC4"/>
    <w:rsid w:val="06C20FDE"/>
    <w:rsid w:val="086434A7"/>
    <w:rsid w:val="086B6512"/>
    <w:rsid w:val="0BBF09A7"/>
    <w:rsid w:val="0BCE5435"/>
    <w:rsid w:val="0BF9347B"/>
    <w:rsid w:val="0C707D3A"/>
    <w:rsid w:val="0C7F5C97"/>
    <w:rsid w:val="0D34077B"/>
    <w:rsid w:val="0DDD1140"/>
    <w:rsid w:val="0E827993"/>
    <w:rsid w:val="0FDC39C3"/>
    <w:rsid w:val="122D1F78"/>
    <w:rsid w:val="12FB0BD5"/>
    <w:rsid w:val="133676D0"/>
    <w:rsid w:val="154F4F0C"/>
    <w:rsid w:val="157950FF"/>
    <w:rsid w:val="178A70D6"/>
    <w:rsid w:val="193F2457"/>
    <w:rsid w:val="19CC0ACE"/>
    <w:rsid w:val="1A0D4D83"/>
    <w:rsid w:val="1AB37EEE"/>
    <w:rsid w:val="1AF11DFF"/>
    <w:rsid w:val="1C06581A"/>
    <w:rsid w:val="1C915B68"/>
    <w:rsid w:val="1D760770"/>
    <w:rsid w:val="1DA57798"/>
    <w:rsid w:val="20366009"/>
    <w:rsid w:val="203F5D95"/>
    <w:rsid w:val="2118036E"/>
    <w:rsid w:val="23626844"/>
    <w:rsid w:val="25441F39"/>
    <w:rsid w:val="25EE5343"/>
    <w:rsid w:val="26973684"/>
    <w:rsid w:val="27536553"/>
    <w:rsid w:val="27F46C54"/>
    <w:rsid w:val="2A761395"/>
    <w:rsid w:val="2A7D1611"/>
    <w:rsid w:val="2F1D677A"/>
    <w:rsid w:val="2F200117"/>
    <w:rsid w:val="2F377B90"/>
    <w:rsid w:val="300A55B3"/>
    <w:rsid w:val="32284440"/>
    <w:rsid w:val="33C22F6A"/>
    <w:rsid w:val="344A6C9E"/>
    <w:rsid w:val="36165E8F"/>
    <w:rsid w:val="369115D3"/>
    <w:rsid w:val="382626DA"/>
    <w:rsid w:val="3AD628A1"/>
    <w:rsid w:val="3BFB3656"/>
    <w:rsid w:val="3C0B453D"/>
    <w:rsid w:val="3C624734"/>
    <w:rsid w:val="3D765FB2"/>
    <w:rsid w:val="415A7A9A"/>
    <w:rsid w:val="42450FD8"/>
    <w:rsid w:val="42C667F7"/>
    <w:rsid w:val="43415B03"/>
    <w:rsid w:val="43685B14"/>
    <w:rsid w:val="4378246C"/>
    <w:rsid w:val="43CB7A2B"/>
    <w:rsid w:val="44323ABD"/>
    <w:rsid w:val="44E80768"/>
    <w:rsid w:val="450C7A86"/>
    <w:rsid w:val="4591449F"/>
    <w:rsid w:val="47594FFE"/>
    <w:rsid w:val="47A81287"/>
    <w:rsid w:val="48C2713F"/>
    <w:rsid w:val="4A887DD5"/>
    <w:rsid w:val="4AAC78A7"/>
    <w:rsid w:val="4AB90AA7"/>
    <w:rsid w:val="4AEA4235"/>
    <w:rsid w:val="4C2410AE"/>
    <w:rsid w:val="4D005889"/>
    <w:rsid w:val="4DA67C4F"/>
    <w:rsid w:val="4E65355A"/>
    <w:rsid w:val="4F4E60F4"/>
    <w:rsid w:val="54396D19"/>
    <w:rsid w:val="54645198"/>
    <w:rsid w:val="54710045"/>
    <w:rsid w:val="565F1A15"/>
    <w:rsid w:val="571B0692"/>
    <w:rsid w:val="5B74650D"/>
    <w:rsid w:val="5C665B2C"/>
    <w:rsid w:val="5C8B5E09"/>
    <w:rsid w:val="5DE26CAF"/>
    <w:rsid w:val="5F0461BD"/>
    <w:rsid w:val="5F214CFC"/>
    <w:rsid w:val="5FC137EE"/>
    <w:rsid w:val="621F1A2C"/>
    <w:rsid w:val="62224681"/>
    <w:rsid w:val="62B25944"/>
    <w:rsid w:val="62E908F6"/>
    <w:rsid w:val="63A020E1"/>
    <w:rsid w:val="675652B7"/>
    <w:rsid w:val="67686B92"/>
    <w:rsid w:val="679B3764"/>
    <w:rsid w:val="67A6641B"/>
    <w:rsid w:val="68382B41"/>
    <w:rsid w:val="68575FBB"/>
    <w:rsid w:val="69D9551D"/>
    <w:rsid w:val="6C1D5873"/>
    <w:rsid w:val="6D552011"/>
    <w:rsid w:val="6F503036"/>
    <w:rsid w:val="6F670725"/>
    <w:rsid w:val="6F6E1BD3"/>
    <w:rsid w:val="6FFD6B93"/>
    <w:rsid w:val="7015676C"/>
    <w:rsid w:val="705F3B9E"/>
    <w:rsid w:val="7236277D"/>
    <w:rsid w:val="72C67931"/>
    <w:rsid w:val="72E10006"/>
    <w:rsid w:val="72E8545A"/>
    <w:rsid w:val="731E664B"/>
    <w:rsid w:val="75DB71C7"/>
    <w:rsid w:val="77841DDD"/>
    <w:rsid w:val="78EE584F"/>
    <w:rsid w:val="79663027"/>
    <w:rsid w:val="79D43743"/>
    <w:rsid w:val="7B684C37"/>
    <w:rsid w:val="7B8521AC"/>
    <w:rsid w:val="7CAD6FE6"/>
    <w:rsid w:val="7CFA259B"/>
    <w:rsid w:val="7F312B78"/>
    <w:rsid w:val="7F9027B0"/>
    <w:rsid w:val="7F9D232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jc w:val="center"/>
      <w:outlineLvl w:val="0"/>
    </w:pPr>
    <w:rPr>
      <w:rFonts w:eastAsia="仿宋_GB2312"/>
      <w:sz w:val="30"/>
      <w:szCs w:val="20"/>
    </w:rPr>
  </w:style>
  <w:style w:type="paragraph" w:styleId="4">
    <w:name w:val="heading 2"/>
    <w:basedOn w:val="1"/>
    <w:next w:val="5"/>
    <w:link w:val="23"/>
    <w:qFormat/>
    <w:uiPriority w:val="0"/>
    <w:pPr>
      <w:keepNext/>
      <w:jc w:val="center"/>
      <w:outlineLvl w:val="1"/>
    </w:pPr>
    <w:rPr>
      <w:rFonts w:eastAsia="仿宋_GB2312"/>
      <w:sz w:val="28"/>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5">
    <w:name w:val="Normal Indent"/>
    <w:basedOn w:val="1"/>
    <w:unhideWhenUsed/>
    <w:qFormat/>
    <w:uiPriority w:val="99"/>
    <w:pPr>
      <w:ind w:firstLine="420" w:firstLineChars="200"/>
    </w:pPr>
  </w:style>
  <w:style w:type="paragraph" w:styleId="7">
    <w:name w:val="annotation text"/>
    <w:basedOn w:val="1"/>
    <w:unhideWhenUsed/>
    <w:qFormat/>
    <w:uiPriority w:val="99"/>
    <w:pPr>
      <w:jc w:val="left"/>
    </w:pPr>
  </w:style>
  <w:style w:type="paragraph" w:styleId="8">
    <w:name w:val="Body Text"/>
    <w:basedOn w:val="1"/>
    <w:link w:val="28"/>
    <w:qFormat/>
    <w:uiPriority w:val="0"/>
    <w:pPr>
      <w:jc w:val="center"/>
    </w:pPr>
    <w:rPr>
      <w:rFonts w:ascii="仿宋_GB2312"/>
      <w:b/>
      <w:bCs/>
      <w:sz w:val="40"/>
    </w:rPr>
  </w:style>
  <w:style w:type="paragraph" w:styleId="9">
    <w:name w:val="Plain Text"/>
    <w:basedOn w:val="1"/>
    <w:unhideWhenUsed/>
    <w:qFormat/>
    <w:uiPriority w:val="99"/>
    <w:rPr>
      <w:rFonts w:ascii="宋体" w:hAnsi="Courier New"/>
      <w:szCs w:val="21"/>
    </w:rPr>
  </w:style>
  <w:style w:type="paragraph" w:styleId="10">
    <w:name w:val="Date"/>
    <w:basedOn w:val="1"/>
    <w:next w:val="1"/>
    <w:link w:val="25"/>
    <w:unhideWhenUsed/>
    <w:qFormat/>
    <w:uiPriority w:val="99"/>
    <w:pPr>
      <w:ind w:left="100" w:leftChars="2500"/>
    </w:pPr>
  </w:style>
  <w:style w:type="paragraph" w:styleId="11">
    <w:name w:val="Balloon Text"/>
    <w:basedOn w:val="1"/>
    <w:link w:val="29"/>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5">
    <w:name w:val="index 1"/>
    <w:basedOn w:val="1"/>
    <w:next w:val="1"/>
    <w:unhideWhenUsed/>
    <w:qFormat/>
    <w:uiPriority w:val="99"/>
    <w:pPr>
      <w:spacing w:line="360" w:lineRule="auto"/>
      <w:jc w:val="center"/>
    </w:pPr>
    <w:rPr>
      <w:rFonts w:ascii="宋体" w:hAnsi="宋体" w:cs="Arial"/>
      <w:b/>
      <w:kern w:val="1"/>
      <w:sz w:val="24"/>
    </w:rPr>
  </w:style>
  <w:style w:type="paragraph" w:styleId="16">
    <w:name w:val="Title"/>
    <w:basedOn w:val="1"/>
    <w:next w:val="1"/>
    <w:qFormat/>
    <w:uiPriority w:val="0"/>
    <w:pPr>
      <w:spacing w:before="240" w:after="60" w:line="360" w:lineRule="auto"/>
      <w:jc w:val="center"/>
      <w:outlineLvl w:val="0"/>
    </w:pPr>
    <w:rPr>
      <w:rFonts w:cs="宋体"/>
      <w:b/>
      <w:bCs/>
      <w:sz w:val="32"/>
      <w:szCs w:val="32"/>
    </w:rPr>
  </w:style>
  <w:style w:type="character" w:styleId="18">
    <w:name w:val="annotation reference"/>
    <w:basedOn w:val="17"/>
    <w:unhideWhenUsed/>
    <w:qFormat/>
    <w:uiPriority w:val="99"/>
    <w:rPr>
      <w:rFonts w:ascii="Verdana" w:hAnsi="Verdana" w:cs="Times New Roman"/>
      <w:kern w:val="0"/>
      <w:sz w:val="21"/>
      <w:szCs w:val="21"/>
      <w:lang w:eastAsia="en-US"/>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2">
    <w:name w:val="标题 1 字符"/>
    <w:basedOn w:val="17"/>
    <w:link w:val="3"/>
    <w:qFormat/>
    <w:uiPriority w:val="0"/>
    <w:rPr>
      <w:rFonts w:eastAsia="仿宋_GB2312"/>
      <w:kern w:val="2"/>
      <w:sz w:val="30"/>
    </w:rPr>
  </w:style>
  <w:style w:type="character" w:customStyle="1" w:styleId="23">
    <w:name w:val="标题 2 字符"/>
    <w:basedOn w:val="17"/>
    <w:link w:val="4"/>
    <w:qFormat/>
    <w:uiPriority w:val="0"/>
    <w:rPr>
      <w:rFonts w:eastAsia="仿宋_GB2312"/>
      <w:kern w:val="2"/>
      <w:sz w:val="28"/>
    </w:rPr>
  </w:style>
  <w:style w:type="paragraph" w:customStyle="1" w:styleId="24">
    <w:name w:val="列出段落1"/>
    <w:basedOn w:val="1"/>
    <w:qFormat/>
    <w:uiPriority w:val="34"/>
    <w:pPr>
      <w:ind w:firstLine="420" w:firstLineChars="200"/>
    </w:pPr>
  </w:style>
  <w:style w:type="character" w:customStyle="1" w:styleId="25">
    <w:name w:val="日期 字符"/>
    <w:basedOn w:val="17"/>
    <w:link w:val="10"/>
    <w:semiHidden/>
    <w:qFormat/>
    <w:uiPriority w:val="99"/>
    <w:rPr>
      <w:kern w:val="2"/>
      <w:sz w:val="21"/>
      <w:szCs w:val="24"/>
    </w:rPr>
  </w:style>
  <w:style w:type="character" w:customStyle="1" w:styleId="26">
    <w:name w:val="页眉 字符"/>
    <w:basedOn w:val="17"/>
    <w:link w:val="13"/>
    <w:semiHidden/>
    <w:qFormat/>
    <w:uiPriority w:val="99"/>
    <w:rPr>
      <w:kern w:val="2"/>
      <w:sz w:val="18"/>
      <w:szCs w:val="18"/>
    </w:rPr>
  </w:style>
  <w:style w:type="character" w:customStyle="1" w:styleId="27">
    <w:name w:val="页脚 字符"/>
    <w:basedOn w:val="17"/>
    <w:link w:val="12"/>
    <w:qFormat/>
    <w:uiPriority w:val="99"/>
    <w:rPr>
      <w:kern w:val="2"/>
      <w:sz w:val="18"/>
      <w:szCs w:val="18"/>
    </w:rPr>
  </w:style>
  <w:style w:type="character" w:customStyle="1" w:styleId="28">
    <w:name w:val="正文文本 字符"/>
    <w:basedOn w:val="17"/>
    <w:link w:val="8"/>
    <w:qFormat/>
    <w:uiPriority w:val="0"/>
    <w:rPr>
      <w:rFonts w:ascii="仿宋_GB2312"/>
      <w:b/>
      <w:bCs/>
      <w:kern w:val="2"/>
      <w:sz w:val="40"/>
      <w:szCs w:val="24"/>
    </w:rPr>
  </w:style>
  <w:style w:type="character" w:customStyle="1" w:styleId="29">
    <w:name w:val="批注框文本 字符"/>
    <w:basedOn w:val="17"/>
    <w:link w:val="11"/>
    <w:semiHidden/>
    <w:qFormat/>
    <w:uiPriority w:val="99"/>
    <w:rPr>
      <w:kern w:val="2"/>
      <w:sz w:val="18"/>
      <w:szCs w:val="18"/>
    </w:rPr>
  </w:style>
  <w:style w:type="paragraph" w:customStyle="1" w:styleId="3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73160-5690-4A55-8DE8-713ACC14E40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1180</Words>
  <Characters>6731</Characters>
  <Lines>56</Lines>
  <Paragraphs>15</Paragraphs>
  <ScaleCrop>false</ScaleCrop>
  <LinksUpToDate>false</LinksUpToDate>
  <CharactersWithSpaces>7896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秦文</cp:lastModifiedBy>
  <cp:lastPrinted>2021-06-15T10:00:00Z</cp:lastPrinted>
  <dcterms:modified xsi:type="dcterms:W3CDTF">2021-07-27T07:02:48Z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9BC712BE511040059D5827266482DBB2</vt:lpwstr>
  </property>
</Properties>
</file>