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color w:val="auto"/>
          <w:sz w:val="32"/>
          <w:szCs w:val="32"/>
          <w:highlight w:val="none"/>
        </w:rPr>
      </w:pPr>
    </w:p>
    <w:p>
      <w:pPr>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首讯公司2022年安全咨询服务</w:t>
      </w:r>
    </w:p>
    <w:p>
      <w:pPr>
        <w:rPr>
          <w:rFonts w:hint="eastAsia" w:ascii="宋体" w:hAnsi="宋体" w:cs="宋体"/>
          <w:color w:val="auto"/>
          <w:sz w:val="28"/>
          <w:szCs w:val="2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竞</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争</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性</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比</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选</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文</w:t>
      </w:r>
    </w:p>
    <w:p>
      <w:pPr>
        <w:jc w:val="center"/>
        <w:rPr>
          <w:rFonts w:hint="eastAsia" w:ascii="宋体" w:hAnsi="宋体" w:cs="宋体"/>
          <w:b/>
          <w:color w:val="auto"/>
          <w:sz w:val="48"/>
          <w:szCs w:val="48"/>
          <w:highlight w:val="none"/>
        </w:rPr>
      </w:pPr>
    </w:p>
    <w:p>
      <w:pPr>
        <w:jc w:val="center"/>
        <w:rPr>
          <w:rFonts w:hint="eastAsia" w:ascii="宋体" w:hAnsi="宋体" w:cs="宋体"/>
          <w:b/>
          <w:color w:val="auto"/>
          <w:sz w:val="96"/>
          <w:szCs w:val="72"/>
          <w:highlight w:val="none"/>
        </w:rPr>
      </w:pPr>
      <w:r>
        <w:rPr>
          <w:rFonts w:hint="eastAsia" w:ascii="宋体" w:hAnsi="宋体" w:cs="宋体"/>
          <w:b/>
          <w:color w:val="auto"/>
          <w:sz w:val="48"/>
          <w:szCs w:val="48"/>
          <w:highlight w:val="none"/>
        </w:rPr>
        <w:t>件</w:t>
      </w: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spacing w:line="400" w:lineRule="exact"/>
        <w:rPr>
          <w:rFonts w:hint="eastAsia" w:ascii="宋体" w:hAnsi="宋体" w:cs="宋体"/>
          <w:color w:val="auto"/>
          <w:highlight w:val="none"/>
        </w:rPr>
      </w:pPr>
    </w:p>
    <w:p>
      <w:pPr>
        <w:rPr>
          <w:rFonts w:hint="eastAsia"/>
          <w:color w:val="auto"/>
          <w:highlight w:val="none"/>
        </w:rPr>
      </w:pPr>
    </w:p>
    <w:p>
      <w:pPr>
        <w:rPr>
          <w:rFonts w:hint="eastAsia"/>
          <w:color w:val="auto"/>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采购人：重庆首讯科技股份有限公司</w:t>
      </w:r>
    </w:p>
    <w:p>
      <w:pPr>
        <w:jc w:val="center"/>
        <w:rPr>
          <w:rFonts w:ascii="宋体" w:hAnsi="宋体" w:cs="宋体"/>
          <w:b/>
          <w:color w:val="auto"/>
          <w:sz w:val="28"/>
          <w:szCs w:val="28"/>
          <w:highlight w:val="none"/>
        </w:rPr>
      </w:pP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2</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5 </w:t>
      </w:r>
      <w:r>
        <w:rPr>
          <w:rFonts w:hint="eastAsia" w:ascii="宋体" w:hAnsi="宋体" w:cs="宋体"/>
          <w:b/>
          <w:color w:val="auto"/>
          <w:sz w:val="28"/>
          <w:szCs w:val="28"/>
          <w:highlight w:val="none"/>
        </w:rPr>
        <w:t>月</w:t>
      </w:r>
    </w:p>
    <w:p>
      <w:pPr>
        <w:pStyle w:val="2"/>
        <w:jc w:val="center"/>
        <w:outlineLvl w:val="0"/>
        <w:rPr>
          <w:rFonts w:hint="eastAsia" w:ascii="宋体" w:hAnsi="宋体" w:cs="宋体"/>
          <w:color w:val="auto"/>
          <w:szCs w:val="21"/>
          <w:highlight w:val="none"/>
        </w:rPr>
      </w:pPr>
      <w:r>
        <w:rPr>
          <w:color w:val="auto"/>
          <w:highlight w:val="none"/>
        </w:rPr>
        <w:br w:type="page"/>
      </w:r>
      <w:bookmarkStart w:id="0" w:name="_Toc507428442"/>
      <w:bookmarkStart w:id="1" w:name="_Toc247085669"/>
      <w:bookmarkStart w:id="2" w:name="_Toc246996898"/>
      <w:bookmarkStart w:id="3" w:name="_Toc27358"/>
      <w:bookmarkStart w:id="4" w:name="_Toc507319889"/>
      <w:bookmarkStart w:id="5" w:name="_Toc296602400"/>
      <w:r>
        <w:rPr>
          <w:rFonts w:hint="eastAsia" w:ascii="宋体" w:hAnsi="宋体" w:cs="宋体"/>
          <w:b w:val="0"/>
          <w:color w:val="auto"/>
          <w:sz w:val="32"/>
          <w:highlight w:val="none"/>
        </w:rPr>
        <w:t>目   录</w:t>
      </w:r>
      <w:bookmarkEnd w:id="0"/>
      <w:bookmarkEnd w:id="1"/>
      <w:bookmarkEnd w:id="2"/>
      <w:bookmarkEnd w:id="3"/>
      <w:bookmarkEnd w:id="4"/>
      <w:bookmarkEnd w:id="5"/>
    </w:p>
    <w:p>
      <w:pPr>
        <w:pStyle w:val="2"/>
        <w:tabs>
          <w:tab w:val="right" w:leader="dot" w:pos="9638"/>
        </w:tabs>
        <w:rPr>
          <w:color w:val="auto"/>
          <w:highlight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"1-2" \h \z \u </w:instrText>
      </w:r>
      <w:r>
        <w:rPr>
          <w:rFonts w:hint="eastAsia" w:ascii="宋体" w:hAnsi="宋体" w:cs="宋体"/>
          <w:b w:val="0"/>
          <w:bCs w:val="0"/>
          <w:caps w:val="0"/>
          <w:color w:val="auto"/>
          <w:highlight w:val="none"/>
        </w:rPr>
        <w:fldChar w:fldCharType="separate"/>
      </w: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_Toc25855 </w:instrText>
      </w:r>
      <w:r>
        <w:rPr>
          <w:rFonts w:hint="eastAsia" w:ascii="宋体" w:hAnsi="宋体" w:cs="宋体"/>
          <w:bCs/>
          <w:caps/>
          <w:color w:val="auto"/>
          <w:highlight w:val="none"/>
        </w:rPr>
        <w:fldChar w:fldCharType="separate"/>
      </w:r>
      <w:r>
        <w:rPr>
          <w:rFonts w:hint="eastAsia" w:ascii="宋体" w:hAnsi="宋体" w:cs="宋体"/>
          <w:color w:val="auto"/>
          <w:highlight w:val="none"/>
        </w:rPr>
        <w:t>第一章 比选公告</w:t>
      </w:r>
      <w:r>
        <w:rPr>
          <w:color w:val="auto"/>
          <w:highlight w:val="none"/>
        </w:rPr>
        <w:tab/>
      </w:r>
      <w:r>
        <w:rPr>
          <w:color w:val="auto"/>
          <w:highlight w:val="none"/>
        </w:rPr>
        <w:fldChar w:fldCharType="begin"/>
      </w:r>
      <w:r>
        <w:rPr>
          <w:color w:val="auto"/>
          <w:highlight w:val="none"/>
        </w:rPr>
        <w:instrText xml:space="preserve"> PAGEREF _Toc25855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_Toc18539 </w:instrText>
      </w:r>
      <w:r>
        <w:rPr>
          <w:rFonts w:hint="eastAsia" w:ascii="宋体" w:hAnsi="宋体" w:cs="宋体"/>
          <w:bCs/>
          <w:caps/>
          <w:color w:val="auto"/>
          <w:highlight w:val="none"/>
        </w:rPr>
        <w:fldChar w:fldCharType="separate"/>
      </w:r>
      <w:r>
        <w:rPr>
          <w:rFonts w:hint="eastAsia" w:ascii="宋体" w:hAnsi="宋体" w:cs="宋体"/>
          <w:color w:val="auto"/>
          <w:highlight w:val="none"/>
        </w:rPr>
        <w:t>第二章 报价人须知</w:t>
      </w:r>
      <w:r>
        <w:rPr>
          <w:color w:val="auto"/>
          <w:highlight w:val="none"/>
        </w:rPr>
        <w:tab/>
      </w:r>
      <w:r>
        <w:rPr>
          <w:color w:val="auto"/>
          <w:highlight w:val="none"/>
        </w:rPr>
        <w:fldChar w:fldCharType="begin"/>
      </w:r>
      <w:r>
        <w:rPr>
          <w:color w:val="auto"/>
          <w:highlight w:val="none"/>
        </w:rPr>
        <w:instrText xml:space="preserve"> PAGEREF _Toc18539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_Toc7273 </w:instrText>
      </w:r>
      <w:r>
        <w:rPr>
          <w:rFonts w:hint="eastAsia" w:ascii="宋体" w:hAnsi="宋体" w:cs="宋体"/>
          <w:bCs/>
          <w:caps/>
          <w:color w:val="auto"/>
          <w:highlight w:val="none"/>
        </w:rPr>
        <w:fldChar w:fldCharType="separate"/>
      </w:r>
      <w:r>
        <w:rPr>
          <w:rFonts w:hint="eastAsia" w:ascii="宋体" w:hAnsi="宋体" w:cs="宋体"/>
          <w:color w:val="auto"/>
          <w:highlight w:val="none"/>
        </w:rPr>
        <w:t>第三章 评标办法（</w:t>
      </w:r>
      <w:r>
        <w:rPr>
          <w:rFonts w:hint="eastAsia" w:ascii="宋体" w:hAnsi="宋体" w:cs="宋体"/>
          <w:color w:val="auto"/>
          <w:highlight w:val="none"/>
          <w:lang w:val="en-US" w:eastAsia="zh-CN"/>
        </w:rPr>
        <w:t>综合评估法</w:t>
      </w:r>
      <w:r>
        <w:rPr>
          <w:rFonts w:hint="eastAsia" w:ascii="宋体" w:hAnsi="宋体" w:cs="宋体"/>
          <w:color w:val="auto"/>
          <w:highlight w:val="none"/>
        </w:rPr>
        <w:t>）</w:t>
      </w:r>
      <w:r>
        <w:rPr>
          <w:color w:val="auto"/>
          <w:highlight w:val="none"/>
        </w:rPr>
        <w:tab/>
      </w:r>
      <w:r>
        <w:rPr>
          <w:color w:val="auto"/>
          <w:highlight w:val="none"/>
        </w:rPr>
        <w:fldChar w:fldCharType="begin"/>
      </w:r>
      <w:r>
        <w:rPr>
          <w:color w:val="auto"/>
          <w:highlight w:val="none"/>
        </w:rPr>
        <w:instrText xml:space="preserve"> PAGEREF _Toc7273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_Toc6879 </w:instrText>
      </w:r>
      <w:r>
        <w:rPr>
          <w:rFonts w:hint="eastAsia" w:ascii="宋体" w:hAnsi="宋体" w:cs="宋体"/>
          <w:bCs/>
          <w:caps/>
          <w:color w:val="auto"/>
          <w:highlight w:val="none"/>
        </w:rPr>
        <w:fldChar w:fldCharType="separate"/>
      </w:r>
      <w:r>
        <w:rPr>
          <w:rFonts w:hint="eastAsia"/>
          <w:bCs/>
          <w:color w:val="auto"/>
          <w:highlight w:val="none"/>
          <w:lang w:val="en-US" w:eastAsia="zh-CN"/>
        </w:rPr>
        <w:t>第四章 报价说明</w:t>
      </w:r>
      <w:r>
        <w:rPr>
          <w:color w:val="auto"/>
          <w:highlight w:val="none"/>
        </w:rPr>
        <w:tab/>
      </w:r>
      <w:r>
        <w:rPr>
          <w:color w:val="auto"/>
          <w:highlight w:val="none"/>
        </w:rPr>
        <w:fldChar w:fldCharType="begin"/>
      </w:r>
      <w:r>
        <w:rPr>
          <w:color w:val="auto"/>
          <w:highlight w:val="none"/>
        </w:rPr>
        <w:instrText xml:space="preserve"> PAGEREF _Toc6879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_Toc4638 </w:instrText>
      </w:r>
      <w:r>
        <w:rPr>
          <w:rFonts w:hint="eastAsia" w:ascii="宋体" w:hAnsi="宋体" w:cs="宋体"/>
          <w:bCs/>
          <w:caps/>
          <w:color w:val="auto"/>
          <w:highlight w:val="none"/>
        </w:rPr>
        <w:fldChar w:fldCharType="separate"/>
      </w:r>
      <w:r>
        <w:rPr>
          <w:rFonts w:hint="eastAsia" w:ascii="宋体" w:hAnsi="宋体" w:cs="宋体"/>
          <w:color w:val="auto"/>
          <w:highlight w:val="none"/>
        </w:rPr>
        <w:t xml:space="preserve">第五章 </w:t>
      </w:r>
      <w:r>
        <w:rPr>
          <w:rFonts w:hint="eastAsia" w:ascii="宋体" w:hAnsi="宋体" w:cs="宋体"/>
          <w:color w:val="auto"/>
          <w:highlight w:val="none"/>
          <w:lang w:eastAsia="zh-CN"/>
        </w:rPr>
        <w:t>报价清单</w:t>
      </w:r>
      <w:r>
        <w:rPr>
          <w:color w:val="auto"/>
          <w:highlight w:val="none"/>
        </w:rPr>
        <w:tab/>
      </w:r>
      <w:r>
        <w:rPr>
          <w:color w:val="auto"/>
          <w:highlight w:val="none"/>
        </w:rPr>
        <w:fldChar w:fldCharType="begin"/>
      </w:r>
      <w:r>
        <w:rPr>
          <w:color w:val="auto"/>
          <w:highlight w:val="none"/>
        </w:rPr>
        <w:instrText xml:space="preserve"> PAGEREF _Toc4638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_Toc28333 </w:instrText>
      </w:r>
      <w:r>
        <w:rPr>
          <w:rFonts w:hint="eastAsia" w:ascii="宋体" w:hAnsi="宋体" w:cs="宋体"/>
          <w:bCs/>
          <w:caps/>
          <w:color w:val="auto"/>
          <w:highlight w:val="none"/>
        </w:rPr>
        <w:fldChar w:fldCharType="separate"/>
      </w:r>
      <w:r>
        <w:rPr>
          <w:rFonts w:hint="eastAsia" w:ascii="宋体" w:hAnsi="宋体" w:cs="宋体"/>
          <w:color w:val="auto"/>
          <w:highlight w:val="none"/>
        </w:rPr>
        <w:t>第六章  图  纸</w:t>
      </w:r>
      <w:r>
        <w:rPr>
          <w:color w:val="auto"/>
          <w:highlight w:val="none"/>
        </w:rPr>
        <w:tab/>
      </w:r>
      <w:r>
        <w:rPr>
          <w:color w:val="auto"/>
          <w:highlight w:val="none"/>
        </w:rPr>
        <w:fldChar w:fldCharType="begin"/>
      </w:r>
      <w:r>
        <w:rPr>
          <w:color w:val="auto"/>
          <w:highlight w:val="none"/>
        </w:rPr>
        <w:instrText xml:space="preserve"> PAGEREF _Toc28333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_Toc904 </w:instrText>
      </w:r>
      <w:r>
        <w:rPr>
          <w:rFonts w:hint="eastAsia" w:ascii="宋体" w:hAnsi="宋体" w:cs="宋体"/>
          <w:bCs/>
          <w:caps/>
          <w:color w:val="auto"/>
          <w:highlight w:val="none"/>
        </w:rPr>
        <w:fldChar w:fldCharType="separate"/>
      </w:r>
      <w:r>
        <w:rPr>
          <w:rFonts w:hint="eastAsia" w:ascii="宋体" w:hAnsi="宋体" w:cs="宋体"/>
          <w:color w:val="auto"/>
          <w:highlight w:val="none"/>
        </w:rPr>
        <w:t>第七章  技术标准和工作要求</w:t>
      </w:r>
      <w:r>
        <w:rPr>
          <w:color w:val="auto"/>
          <w:highlight w:val="none"/>
        </w:rPr>
        <w:tab/>
      </w:r>
      <w:r>
        <w:rPr>
          <w:color w:val="auto"/>
          <w:highlight w:val="none"/>
        </w:rPr>
        <w:fldChar w:fldCharType="begin"/>
      </w:r>
      <w:r>
        <w:rPr>
          <w:color w:val="auto"/>
          <w:highlight w:val="none"/>
        </w:rPr>
        <w:instrText xml:space="preserve"> PAGEREF _Toc904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cs="宋体"/>
          <w:bCs/>
          <w:caps/>
          <w:color w:val="auto"/>
          <w:highlight w:val="none"/>
        </w:rPr>
        <w:fldChar w:fldCharType="end"/>
      </w:r>
    </w:p>
    <w:p>
      <w:pPr>
        <w:pStyle w:val="2"/>
        <w:tabs>
          <w:tab w:val="right" w:leader="dot" w:pos="9638"/>
        </w:tabs>
        <w:rPr>
          <w:color w:val="auto"/>
          <w:highlight w:val="none"/>
        </w:rPr>
      </w:pPr>
      <w:r>
        <w:rPr>
          <w:rFonts w:hint="eastAsia" w:ascii="宋体" w:hAnsi="宋体" w:cs="宋体"/>
          <w:bCs/>
          <w:caps/>
          <w:color w:val="auto"/>
          <w:highlight w:val="none"/>
        </w:rPr>
        <w:fldChar w:fldCharType="begin"/>
      </w:r>
      <w:r>
        <w:rPr>
          <w:rFonts w:hint="eastAsia" w:ascii="宋体" w:hAnsi="宋体" w:cs="宋体"/>
          <w:bCs/>
          <w:caps/>
          <w:color w:val="auto"/>
          <w:highlight w:val="none"/>
        </w:rPr>
        <w:instrText xml:space="preserve"> HYPERLINK \l _Toc15881 </w:instrText>
      </w:r>
      <w:r>
        <w:rPr>
          <w:rFonts w:hint="eastAsia" w:ascii="宋体" w:hAnsi="宋体" w:cs="宋体"/>
          <w:bCs/>
          <w:caps/>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竞争性比选响应文件格式</w:t>
      </w:r>
      <w:r>
        <w:rPr>
          <w:color w:val="auto"/>
          <w:highlight w:val="none"/>
        </w:rPr>
        <w:tab/>
      </w:r>
      <w:r>
        <w:rPr>
          <w:color w:val="auto"/>
          <w:highlight w:val="none"/>
        </w:rPr>
        <w:fldChar w:fldCharType="begin"/>
      </w:r>
      <w:r>
        <w:rPr>
          <w:color w:val="auto"/>
          <w:highlight w:val="none"/>
        </w:rPr>
        <w:instrText xml:space="preserve"> PAGEREF _Toc15881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cs="宋体"/>
          <w:bCs/>
          <w:caps/>
          <w:color w:val="auto"/>
          <w:highlight w:val="none"/>
        </w:rPr>
        <w:fldChar w:fldCharType="end"/>
      </w:r>
    </w:p>
    <w:p>
      <w:pPr>
        <w:pStyle w:val="34"/>
        <w:tabs>
          <w:tab w:val="right" w:leader="dot" w:pos="9628"/>
        </w:tabs>
        <w:ind w:left="0" w:leftChars="0" w:firstLine="0" w:firstLineChars="0"/>
        <w:rPr>
          <w:rFonts w:ascii="宋体" w:hAnsi="宋体" w:cs="宋体"/>
          <w:b/>
          <w:bCs/>
          <w:caps/>
          <w:color w:val="auto"/>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color w:val="auto"/>
          <w:highlight w:val="none"/>
        </w:rPr>
        <w:fldChar w:fldCharType="end"/>
      </w:r>
    </w:p>
    <w:p>
      <w:pPr>
        <w:pStyle w:val="3"/>
        <w:spacing w:before="0" w:after="0" w:line="360" w:lineRule="auto"/>
        <w:jc w:val="center"/>
        <w:rPr>
          <w:rFonts w:hint="eastAsia" w:ascii="宋体" w:hAnsi="宋体" w:cs="宋体"/>
          <w:color w:val="auto"/>
          <w:highlight w:val="none"/>
        </w:rPr>
      </w:pPr>
      <w:bookmarkStart w:id="6" w:name="_Toc247096243"/>
      <w:bookmarkStart w:id="7" w:name="_Toc246996900"/>
      <w:bookmarkStart w:id="8" w:name="_Toc179632527"/>
      <w:bookmarkStart w:id="9" w:name="_Toc247085671"/>
      <w:bookmarkStart w:id="10" w:name="_Toc144974479"/>
      <w:bookmarkStart w:id="11" w:name="_Toc246996157"/>
      <w:bookmarkStart w:id="12" w:name="_Toc152045511"/>
      <w:bookmarkStart w:id="13" w:name="_Toc2000404"/>
      <w:bookmarkStart w:id="14" w:name="_Toc152042287"/>
      <w:bookmarkStart w:id="15" w:name="_Toc507319890"/>
      <w:bookmarkStart w:id="16" w:name="_Toc25855"/>
      <w:r>
        <w:rPr>
          <w:rFonts w:hint="eastAsia" w:ascii="宋体" w:hAnsi="宋体" w:cs="宋体"/>
          <w:color w:val="auto"/>
          <w:highlight w:val="none"/>
        </w:rPr>
        <w:t xml:space="preserve">第一章 </w:t>
      </w:r>
      <w:bookmarkEnd w:id="6"/>
      <w:bookmarkEnd w:id="7"/>
      <w:bookmarkEnd w:id="8"/>
      <w:bookmarkEnd w:id="9"/>
      <w:bookmarkEnd w:id="10"/>
      <w:bookmarkEnd w:id="11"/>
      <w:bookmarkEnd w:id="12"/>
      <w:bookmarkEnd w:id="13"/>
      <w:bookmarkEnd w:id="14"/>
      <w:bookmarkEnd w:id="15"/>
      <w:r>
        <w:rPr>
          <w:rFonts w:hint="eastAsia" w:ascii="宋体" w:hAnsi="宋体" w:cs="宋体"/>
          <w:color w:val="auto"/>
          <w:highlight w:val="none"/>
        </w:rPr>
        <w:t>比选公告</w:t>
      </w:r>
      <w:bookmarkEnd w:id="16"/>
    </w:p>
    <w:p>
      <w:pPr>
        <w:spacing w:line="440" w:lineRule="exact"/>
        <w:jc w:val="center"/>
        <w:rPr>
          <w:rFonts w:hint="eastAsia" w:ascii="宋体" w:hAnsi="宋体" w:cs="宋体"/>
          <w:b/>
          <w:color w:val="auto"/>
          <w:sz w:val="28"/>
          <w:szCs w:val="28"/>
          <w:highlight w:val="none"/>
        </w:rPr>
      </w:pPr>
      <w:bookmarkStart w:id="17" w:name="OLE_LINK3"/>
      <w:bookmarkStart w:id="18" w:name="OLE_LINK2"/>
    </w:p>
    <w:p>
      <w:pPr>
        <w:pStyle w:val="4"/>
        <w:spacing w:before="120" w:after="0" w:line="360" w:lineRule="auto"/>
        <w:rPr>
          <w:rFonts w:hint="eastAsia" w:ascii="宋体" w:hAnsi="宋体" w:eastAsia="宋体" w:cs="宋体"/>
          <w:color w:val="auto"/>
          <w:highlight w:val="none"/>
        </w:rPr>
      </w:pPr>
      <w:bookmarkStart w:id="19" w:name="_Toc26575"/>
      <w:bookmarkStart w:id="20" w:name="_Toc507319891"/>
      <w:bookmarkStart w:id="21" w:name="_Toc152042288"/>
      <w:bookmarkStart w:id="22" w:name="_Toc179632528"/>
      <w:bookmarkStart w:id="23" w:name="_Toc1930"/>
      <w:bookmarkStart w:id="24" w:name="_Toc11329213"/>
      <w:bookmarkStart w:id="25" w:name="_Toc246996158"/>
      <w:bookmarkStart w:id="26" w:name="_Toc5988"/>
      <w:bookmarkStart w:id="27" w:name="_Toc247085672"/>
      <w:bookmarkStart w:id="28" w:name="_Toc152045512"/>
      <w:bookmarkStart w:id="29" w:name="_Toc144974480"/>
      <w:bookmarkStart w:id="30" w:name="_Toc10956"/>
      <w:bookmarkStart w:id="31" w:name="_Toc246996901"/>
      <w:bookmarkStart w:id="32" w:name="_Toc6549"/>
      <w:bookmarkStart w:id="33" w:name="_Toc10076"/>
      <w:bookmarkStart w:id="34" w:name="_Toc24874"/>
      <w:r>
        <w:rPr>
          <w:rFonts w:hint="eastAsia" w:ascii="宋体" w:hAnsi="宋体" w:eastAsia="宋体" w:cs="宋体"/>
          <w:color w:val="auto"/>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本竞争性比选项目</w:t>
      </w:r>
      <w:r>
        <w:rPr>
          <w:rFonts w:hint="eastAsia" w:ascii="宋体" w:hAnsi="宋体" w:cs="宋体"/>
          <w:color w:val="auto"/>
          <w:szCs w:val="21"/>
          <w:highlight w:val="none"/>
          <w:u w:val="single"/>
          <w:lang w:eastAsia="zh-CN"/>
        </w:rPr>
        <w:t>首讯公司2022年安全咨询服务</w:t>
      </w:r>
      <w:r>
        <w:rPr>
          <w:rFonts w:hint="eastAsia" w:ascii="宋体" w:hAnsi="宋体" w:cs="宋体"/>
          <w:color w:val="auto"/>
          <w:szCs w:val="21"/>
          <w:highlight w:val="none"/>
        </w:rPr>
        <w:t>，采购人为</w:t>
      </w:r>
      <w:r>
        <w:rPr>
          <w:rFonts w:hint="eastAsia" w:ascii="宋体" w:hAnsi="宋体" w:cs="宋体"/>
          <w:color w:val="auto"/>
          <w:szCs w:val="21"/>
          <w:highlight w:val="none"/>
          <w:u w:val="single"/>
        </w:rPr>
        <w:t xml:space="preserve"> 重庆首讯科技股份有限公司 </w:t>
      </w:r>
      <w:r>
        <w:rPr>
          <w:rFonts w:hint="eastAsia" w:ascii="宋体" w:hAnsi="宋体" w:cs="宋体"/>
          <w:color w:val="auto"/>
          <w:szCs w:val="21"/>
          <w:highlight w:val="none"/>
        </w:rPr>
        <w:t>，该项目已具备比选条件，现对该项目进行竞争性比选。</w:t>
      </w:r>
    </w:p>
    <w:p>
      <w:pPr>
        <w:pStyle w:val="4"/>
        <w:spacing w:before="120" w:after="0" w:line="360" w:lineRule="auto"/>
        <w:rPr>
          <w:rFonts w:hint="eastAsia" w:ascii="宋体" w:hAnsi="宋体" w:eastAsia="宋体" w:cs="宋体"/>
          <w:color w:val="auto"/>
          <w:highlight w:val="none"/>
        </w:rPr>
      </w:pPr>
      <w:bookmarkStart w:id="35" w:name="_Toc152042289"/>
      <w:bookmarkStart w:id="36" w:name="_Toc11329214"/>
      <w:bookmarkStart w:id="37" w:name="_Toc152045513"/>
      <w:bookmarkStart w:id="38" w:name="_Toc246996902"/>
      <w:bookmarkStart w:id="39" w:name="_Toc18109"/>
      <w:bookmarkStart w:id="40" w:name="_Toc247085673"/>
      <w:bookmarkStart w:id="41" w:name="_Toc21621"/>
      <w:bookmarkStart w:id="42" w:name="_Toc144974481"/>
      <w:bookmarkStart w:id="43" w:name="_Toc32159"/>
      <w:bookmarkStart w:id="44" w:name="_Toc2824"/>
      <w:bookmarkStart w:id="45" w:name="_Toc14538"/>
      <w:bookmarkStart w:id="46" w:name="_Toc10952"/>
      <w:bookmarkStart w:id="47" w:name="_Toc246996159"/>
      <w:bookmarkStart w:id="48" w:name="_Toc179632529"/>
      <w:bookmarkStart w:id="49" w:name="_Toc507319892"/>
      <w:bookmarkStart w:id="50" w:name="_Toc21343"/>
      <w:r>
        <w:rPr>
          <w:rFonts w:hint="eastAsia" w:ascii="宋体" w:hAnsi="宋体" w:eastAsia="宋体" w:cs="宋体"/>
          <w:color w:val="auto"/>
          <w:highlight w:val="none"/>
        </w:rPr>
        <w:t>2. 项目概况与比选范围</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360" w:lineRule="auto"/>
        <w:ind w:firstLine="420" w:firstLineChars="200"/>
        <w:rPr>
          <w:rFonts w:hint="default" w:ascii="宋体" w:hAnsi="宋体" w:eastAsia="宋体" w:cs="宋体"/>
          <w:color w:val="auto"/>
          <w:highlight w:val="none"/>
          <w:lang w:val="en-US" w:eastAsia="zh-CN"/>
        </w:rPr>
      </w:pPr>
      <w:bookmarkStart w:id="51" w:name="_Toc446247226"/>
      <w:r>
        <w:rPr>
          <w:rFonts w:hint="eastAsia" w:ascii="宋体" w:hAnsi="宋体" w:cs="宋体"/>
          <w:color w:val="auto"/>
          <w:highlight w:val="none"/>
        </w:rPr>
        <w:t>2.1 项目地点：</w:t>
      </w:r>
      <w:bookmarkEnd w:id="51"/>
      <w:r>
        <w:rPr>
          <w:rFonts w:hint="eastAsia" w:ascii="宋体" w:hAnsi="宋体" w:cs="宋体"/>
          <w:color w:val="auto"/>
          <w:szCs w:val="21"/>
          <w:highlight w:val="none"/>
          <w:u w:val="single"/>
          <w:lang w:val="en-US" w:eastAsia="zh-CN"/>
        </w:rPr>
        <w:t>重庆首讯科技股份有限公司</w:t>
      </w:r>
      <w:r>
        <w:rPr>
          <w:rFonts w:hint="eastAsia" w:ascii="宋体" w:hAnsi="宋体" w:cs="宋体"/>
          <w:color w:val="auto"/>
          <w:highlight w:val="none"/>
          <w:lang w:eastAsia="zh-CN"/>
        </w:rPr>
        <w:t>。</w:t>
      </w:r>
    </w:p>
    <w:p>
      <w:pPr>
        <w:pStyle w:val="13"/>
        <w:adjustRightInd w:val="0"/>
        <w:spacing w:line="400" w:lineRule="exact"/>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2.2 项目概况：</w:t>
      </w:r>
      <w:r>
        <w:rPr>
          <w:rFonts w:hint="eastAsia" w:ascii="宋体" w:hAnsi="宋体" w:cs="宋体"/>
          <w:color w:val="auto"/>
          <w:szCs w:val="21"/>
          <w:highlight w:val="none"/>
          <w:lang w:eastAsia="zh-CN"/>
        </w:rPr>
        <w:t>为全面贯彻党的十九大和十九届历次全会精神，认真落实党中央、国务院关于安全生产决策部署，围绕“两个根本”（从根本上消除事故隐患，从根本上解决问题），借助第三方安全技术服务机构的力量为公司进一步提升安全管理水平提供支持，筑牢安全发展根基，防范化解安全生产风险，推动安全生产形势保持持续稳定，为公司转型升级营造稳定的安全生产环境。现拟使用竞争性比选的方式，选择</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lang w:eastAsia="zh-CN"/>
        </w:rPr>
        <w:t>能力的单位，</w:t>
      </w:r>
      <w:r>
        <w:rPr>
          <w:rFonts w:hint="eastAsia" w:ascii="宋体" w:hAnsi="宋体" w:cs="宋体"/>
          <w:color w:val="auto"/>
          <w:szCs w:val="21"/>
          <w:highlight w:val="none"/>
          <w:lang w:val="en-US" w:eastAsia="zh-CN"/>
        </w:rPr>
        <w:t>提供技术咨询服务</w:t>
      </w:r>
      <w:r>
        <w:rPr>
          <w:rFonts w:hint="eastAsia" w:ascii="宋体" w:hAnsi="宋体" w:cs="宋体"/>
          <w:color w:val="auto"/>
          <w:szCs w:val="21"/>
          <w:highlight w:val="none"/>
          <w:lang w:eastAsia="zh-CN"/>
        </w:rPr>
        <w:t>。</w:t>
      </w:r>
    </w:p>
    <w:p>
      <w:pPr>
        <w:pStyle w:val="13"/>
        <w:adjustRightInd w:val="0"/>
        <w:spacing w:line="400" w:lineRule="exact"/>
        <w:rPr>
          <w:rFonts w:hint="eastAsia" w:ascii="宋体" w:hAnsi="宋体" w:cs="宋体"/>
          <w:color w:val="auto"/>
          <w:highlight w:val="none"/>
        </w:rPr>
      </w:pPr>
      <w:r>
        <w:rPr>
          <w:rFonts w:hint="eastAsia" w:ascii="宋体" w:hAnsi="宋体" w:cs="宋体"/>
          <w:color w:val="auto"/>
          <w:highlight w:val="none"/>
        </w:rPr>
        <w:t>2.3 比选范围：</w:t>
      </w:r>
    </w:p>
    <w:p>
      <w:pPr>
        <w:pStyle w:val="13"/>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安全和环保管理体系修订。按照《安全生产法》《消防法》《环境保护法》等最新法律法规、标准规范和高速集团安全环保制度，引入交巡警、交通执法、建委、交委等上一级专业安全生产监督管理专家意见建议，同时结合公司机构设置和职责分工等实际情况，2022年全年对现有的安全、环保管理制度进行修订完善。健全完善公司安全应急联动处置机制，切实提升安全管理工作水平。</w:t>
      </w:r>
    </w:p>
    <w:p>
      <w:pPr>
        <w:pStyle w:val="13"/>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2.安全风险分级管控和隐患排查治理。2022年10月前建立安全风险分级管控和隐患排查治理双重预防机，把隐患排查治理挺在事故前面，提升安全生产整体预控能力。</w:t>
      </w:r>
    </w:p>
    <w:p>
      <w:pPr>
        <w:pStyle w:val="13"/>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3.两单两卡全面推广。2022年10月前针对公司重点岗位辨识安全风险，编制通俗易懂的两单两卡（风险单、职责单、操作卡、处置卡）顺口溜、三字经，切实做到做的熟记于践见之于行。</w:t>
      </w:r>
    </w:p>
    <w:p>
      <w:pPr>
        <w:pStyle w:val="13"/>
        <w:adjustRightIn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4.安全培训。2022年10月前分批次在本地及异地开展针对性的安全培训，学习先进安全管理经验，提高不同层级人员的安全管理水平和安全意识。</w:t>
      </w:r>
    </w:p>
    <w:p>
      <w:pPr>
        <w:pStyle w:val="13"/>
        <w:adjustRightIn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rPr>
        <w:t>5.其他提升。2022年全年借助第三方安全技术服务机构的力量对企业安全管理有提升的其他安全类活动。</w:t>
      </w:r>
    </w:p>
    <w:p>
      <w:pPr>
        <w:pStyle w:val="4"/>
        <w:spacing w:before="120" w:after="0" w:line="360" w:lineRule="auto"/>
        <w:rPr>
          <w:rFonts w:hint="eastAsia" w:ascii="宋体" w:hAnsi="宋体" w:eastAsia="宋体" w:cs="宋体"/>
          <w:color w:val="auto"/>
          <w:highlight w:val="none"/>
        </w:rPr>
      </w:pPr>
      <w:bookmarkStart w:id="52" w:name="_Toc144974482"/>
      <w:bookmarkStart w:id="53" w:name="_Toc11329215"/>
      <w:bookmarkStart w:id="54" w:name="_Toc152045514"/>
      <w:bookmarkStart w:id="55" w:name="_Toc179632530"/>
      <w:bookmarkStart w:id="56" w:name="_Toc10171"/>
      <w:bookmarkStart w:id="57" w:name="_Toc152042290"/>
      <w:bookmarkStart w:id="58" w:name="_Toc247085674"/>
      <w:bookmarkStart w:id="59" w:name="_Toc507319893"/>
      <w:bookmarkStart w:id="60" w:name="_Toc15801"/>
      <w:bookmarkStart w:id="61" w:name="_Toc15568"/>
      <w:bookmarkStart w:id="62" w:name="_Toc30356"/>
      <w:bookmarkStart w:id="63" w:name="_Toc1455"/>
      <w:bookmarkStart w:id="64" w:name="_Toc26728"/>
      <w:bookmarkStart w:id="65" w:name="_Toc246996903"/>
      <w:bookmarkStart w:id="66" w:name="_Toc246996160"/>
      <w:bookmarkStart w:id="67" w:name="_Toc7065"/>
      <w:r>
        <w:rPr>
          <w:rFonts w:hint="eastAsia" w:ascii="宋体" w:hAnsi="宋体" w:eastAsia="宋体" w:cs="宋体"/>
          <w:color w:val="auto"/>
          <w:highlight w:val="none"/>
        </w:rPr>
        <w:t>3. 报价人资格要求</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400" w:lineRule="exact"/>
        <w:ind w:firstLine="420" w:firstLineChars="200"/>
        <w:rPr>
          <w:rFonts w:hint="eastAsia" w:ascii="宋体" w:hAnsi="宋体" w:cs="宋体"/>
          <w:color w:val="auto"/>
          <w:szCs w:val="21"/>
          <w:highlight w:val="none"/>
          <w:shd w:val="clear" w:color="auto" w:fill="FFFFFF"/>
        </w:rPr>
      </w:pPr>
      <w:bookmarkStart w:id="68" w:name="_Toc246996161"/>
      <w:bookmarkStart w:id="69" w:name="_Toc144974483"/>
      <w:bookmarkStart w:id="70" w:name="_Toc247085675"/>
      <w:bookmarkStart w:id="71" w:name="_Toc152042291"/>
      <w:bookmarkStart w:id="72" w:name="_Toc179632531"/>
      <w:bookmarkStart w:id="73" w:name="_Toc152045515"/>
      <w:bookmarkStart w:id="74" w:name="_Toc246996904"/>
      <w:r>
        <w:rPr>
          <w:rFonts w:hint="eastAsia" w:ascii="宋体" w:hAnsi="宋体" w:cs="宋体"/>
          <w:color w:val="auto"/>
          <w:szCs w:val="21"/>
          <w:highlight w:val="none"/>
          <w:shd w:val="clear" w:color="auto" w:fill="FFFFFF"/>
        </w:rPr>
        <w:t>3.1 资质要求</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1</w:t>
      </w:r>
      <w:r>
        <w:rPr>
          <w:rFonts w:hint="eastAsia" w:ascii="宋体" w:hAnsi="宋体" w:cs="宋体"/>
          <w:color w:val="auto"/>
          <w:szCs w:val="21"/>
          <w:highlight w:val="none"/>
          <w:shd w:val="clear" w:color="auto" w:fill="FFFFFF"/>
        </w:rPr>
        <w:t>）在中华人民共和国境内依法注册、具有独立法人资格</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具有有效的营业执照；</w:t>
      </w:r>
    </w:p>
    <w:p>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（2）业绩要求：2020年1月1日至投标截止日，至少</w:t>
      </w:r>
      <w:r>
        <w:rPr>
          <w:rFonts w:hint="eastAsia" w:ascii="宋体" w:hAnsi="宋体" w:cs="宋体"/>
          <w:color w:val="auto"/>
          <w:szCs w:val="21"/>
          <w:highlight w:val="none"/>
          <w:lang w:val="en-US" w:eastAsia="zh-CN"/>
        </w:rPr>
        <w:t>有1</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安全技术服务相关</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需提供</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或相关证明材料</w:t>
      </w:r>
      <w:r>
        <w:rPr>
          <w:rFonts w:hint="eastAsia" w:ascii="宋体" w:hAnsi="宋体" w:cs="宋体"/>
          <w:color w:val="auto"/>
          <w:szCs w:val="21"/>
          <w:highlight w:val="none"/>
          <w:lang w:eastAsia="zh-CN"/>
        </w:rPr>
        <w:t>）；</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具有交通运输企业安全生产标准化评价机构资质（提供交通运输企业安全生产标准化信用信息系统资质截图）</w:t>
      </w:r>
      <w:r>
        <w:rPr>
          <w:rFonts w:hint="eastAsia" w:ascii="宋体" w:hAnsi="宋体" w:cs="宋体"/>
          <w:color w:val="auto"/>
          <w:szCs w:val="21"/>
          <w:highlight w:val="none"/>
          <w:lang w:val="en-US" w:eastAsia="zh-CN"/>
        </w:rPr>
        <w:t>。</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val="en-US" w:eastAsia="zh-CN"/>
        </w:rPr>
        <w:t xml:space="preserve">3.3 </w:t>
      </w:r>
      <w:r>
        <w:rPr>
          <w:rFonts w:hint="eastAsia" w:ascii="宋体" w:hAnsi="宋体" w:cs="宋体"/>
          <w:color w:val="auto"/>
          <w:szCs w:val="21"/>
          <w:highlight w:val="none"/>
          <w:shd w:val="clear" w:color="auto" w:fill="FFFFFF"/>
        </w:rPr>
        <w:t>信誉</w:t>
      </w:r>
      <w:r>
        <w:rPr>
          <w:rFonts w:hint="eastAsia" w:ascii="宋体" w:hAnsi="宋体" w:cs="宋体"/>
          <w:color w:val="auto"/>
          <w:szCs w:val="21"/>
          <w:highlight w:val="none"/>
          <w:shd w:val="clear" w:color="auto" w:fill="FFFFFF"/>
          <w:lang w:val="en-US" w:eastAsia="zh-CN"/>
        </w:rPr>
        <w:t>要求</w:t>
      </w:r>
      <w:r>
        <w:rPr>
          <w:rFonts w:hint="eastAsia" w:ascii="宋体" w:hAnsi="宋体" w:cs="宋体"/>
          <w:color w:val="auto"/>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5</w:t>
      </w:r>
      <w:r>
        <w:rPr>
          <w:rFonts w:hint="eastAsia" w:ascii="宋体" w:hAnsi="宋体" w:cs="宋体"/>
          <w:color w:val="auto"/>
          <w:szCs w:val="21"/>
          <w:highlight w:val="none"/>
          <w:shd w:val="clear" w:color="auto" w:fill="FFFFFF"/>
        </w:rPr>
        <w:t xml:space="preserve"> 本次比选不接受联合体</w:t>
      </w:r>
      <w:r>
        <w:rPr>
          <w:rFonts w:hint="eastAsia" w:ascii="宋体" w:hAnsi="宋体" w:cs="宋体"/>
          <w:color w:val="auto"/>
          <w:szCs w:val="21"/>
          <w:highlight w:val="none"/>
          <w:shd w:val="clear" w:color="auto" w:fill="FFFFFF"/>
          <w:lang w:val="en-US" w:eastAsia="zh-CN"/>
        </w:rPr>
        <w:t>及</w:t>
      </w:r>
      <w:r>
        <w:rPr>
          <w:rFonts w:hint="eastAsia" w:ascii="宋体" w:hAnsi="宋体" w:cs="宋体"/>
          <w:color w:val="auto"/>
          <w:szCs w:val="21"/>
          <w:highlight w:val="none"/>
          <w:shd w:val="clear" w:color="auto" w:fill="FFFFFF"/>
        </w:rPr>
        <w:t>代理商报价。</w:t>
      </w:r>
    </w:p>
    <w:p>
      <w:pPr>
        <w:spacing w:line="400" w:lineRule="exact"/>
        <w:ind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3.</w:t>
      </w:r>
      <w:r>
        <w:rPr>
          <w:rFonts w:hint="eastAsia" w:ascii="宋体" w:hAnsi="宋体" w:cs="宋体"/>
          <w:color w:val="auto"/>
          <w:szCs w:val="21"/>
          <w:highlight w:val="none"/>
          <w:shd w:val="clear" w:color="auto" w:fill="FFFFFF"/>
          <w:lang w:val="en-US" w:eastAsia="zh-CN"/>
        </w:rPr>
        <w:t>6</w:t>
      </w:r>
      <w:r>
        <w:rPr>
          <w:rFonts w:hint="eastAsia" w:ascii="宋体" w:hAnsi="宋体" w:cs="宋体"/>
          <w:color w:val="auto"/>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color w:val="auto"/>
          <w:highlight w:val="none"/>
        </w:rPr>
      </w:pPr>
      <w:bookmarkStart w:id="75" w:name="_Toc6126"/>
      <w:bookmarkStart w:id="76" w:name="_Toc11329216"/>
      <w:bookmarkStart w:id="77" w:name="_Toc25619"/>
      <w:bookmarkStart w:id="78" w:name="_Toc14361"/>
      <w:bookmarkStart w:id="79" w:name="_Toc12460"/>
      <w:bookmarkStart w:id="80" w:name="_Toc507319894"/>
      <w:bookmarkStart w:id="81" w:name="_Toc557"/>
      <w:bookmarkStart w:id="82" w:name="_Toc17747"/>
      <w:bookmarkStart w:id="83" w:name="_Toc850"/>
      <w:r>
        <w:rPr>
          <w:rFonts w:hint="eastAsia" w:ascii="宋体" w:hAnsi="宋体" w:eastAsia="宋体" w:cs="宋体"/>
          <w:color w:val="auto"/>
          <w:highlight w:val="none"/>
        </w:rPr>
        <w:t>4. 比选文件的获取</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highlight w:val="none"/>
        </w:rPr>
      </w:pPr>
      <w:bookmarkStart w:id="84" w:name="_Toc152042292"/>
      <w:bookmarkStart w:id="85" w:name="_Toc144974484"/>
      <w:bookmarkStart w:id="86" w:name="_Toc152045516"/>
      <w:bookmarkStart w:id="87" w:name="_Toc247085676"/>
      <w:bookmarkStart w:id="88" w:name="_Toc246996162"/>
      <w:bookmarkStart w:id="89" w:name="_Toc246996905"/>
      <w:bookmarkStart w:id="90" w:name="_Toc11329217"/>
      <w:bookmarkStart w:id="91" w:name="_Toc507319895"/>
      <w:bookmarkStart w:id="92" w:name="_Toc179632532"/>
      <w:r>
        <w:rPr>
          <w:rFonts w:ascii="宋体" w:hAnsi="宋体"/>
          <w:color w:val="auto"/>
          <w:szCs w:val="21"/>
          <w:highlight w:val="none"/>
        </w:rPr>
        <w:t>凡愿意参加的潜在</w:t>
      </w:r>
      <w:r>
        <w:rPr>
          <w:rFonts w:hint="eastAsia" w:ascii="宋体" w:hAnsi="宋体"/>
          <w:color w:val="auto"/>
          <w:szCs w:val="21"/>
          <w:highlight w:val="none"/>
        </w:rPr>
        <w:t>报价</w:t>
      </w:r>
      <w:r>
        <w:rPr>
          <w:rFonts w:ascii="宋体" w:hAnsi="宋体"/>
          <w:color w:val="auto"/>
          <w:szCs w:val="21"/>
          <w:highlight w:val="none"/>
        </w:rPr>
        <w:t>人</w:t>
      </w:r>
      <w:r>
        <w:rPr>
          <w:rFonts w:ascii="宋体" w:hAnsi="宋体" w:cs="Times New Roman"/>
          <w:color w:val="auto"/>
          <w:szCs w:val="21"/>
          <w:highlight w:val="none"/>
        </w:rPr>
        <w:t>，</w:t>
      </w:r>
      <w:r>
        <w:rPr>
          <w:rFonts w:hint="eastAsia" w:ascii="宋体" w:hAnsi="宋体" w:cs="Times New Roman"/>
          <w:color w:val="auto"/>
          <w:szCs w:val="21"/>
          <w:highlight w:val="none"/>
          <w:lang w:val="en-US" w:eastAsia="zh-CN"/>
        </w:rPr>
        <w:t>在</w:t>
      </w:r>
      <w:r>
        <w:rPr>
          <w:rFonts w:hint="eastAsia" w:ascii="宋体" w:hAnsi="宋体" w:cs="Times New Roman"/>
          <w:color w:val="auto"/>
          <w:szCs w:val="21"/>
          <w:highlight w:val="none"/>
          <w:u w:val="single"/>
          <w:lang w:val="en-US" w:eastAsia="zh-CN"/>
        </w:rPr>
        <w:t xml:space="preserve"> 2022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lang w:val="en-US" w:eastAsia="zh-CN"/>
        </w:rPr>
        <w:t xml:space="preserve"> 6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 xml:space="preserve"> 2 </w:t>
      </w:r>
      <w:r>
        <w:rPr>
          <w:rFonts w:hint="eastAsia" w:ascii="宋体" w:hAnsi="宋体" w:cs="Times New Roman"/>
          <w:color w:val="auto"/>
          <w:szCs w:val="21"/>
          <w:highlight w:val="none"/>
        </w:rPr>
        <w:t>日</w:t>
      </w:r>
      <w:r>
        <w:rPr>
          <w:rFonts w:hint="eastAsia" w:ascii="宋体" w:hAnsi="宋体" w:cs="Times New Roman"/>
          <w:color w:val="auto"/>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olor w:val="auto"/>
          <w:szCs w:val="21"/>
          <w:highlight w:val="none"/>
        </w:rPr>
        <w:t>前在重庆高速集团官网平台上</w:t>
      </w:r>
      <w:r>
        <w:rPr>
          <w:rFonts w:hint="eastAsia" w:ascii="宋体" w:hAnsi="宋体"/>
          <w:color w:val="auto"/>
          <w:szCs w:val="21"/>
          <w:highlight w:val="none"/>
          <w:lang w:val="en-US" w:eastAsia="zh-CN"/>
        </w:rPr>
        <w:t>获取比选文件</w:t>
      </w:r>
      <w:r>
        <w:rPr>
          <w:rFonts w:hint="eastAsia" w:ascii="宋体" w:hAnsi="宋体"/>
          <w:color w:val="auto"/>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color w:val="auto"/>
          <w:highlight w:val="none"/>
        </w:rPr>
      </w:pPr>
      <w:bookmarkStart w:id="93" w:name="_Toc16686"/>
      <w:bookmarkStart w:id="94" w:name="_Toc3356"/>
      <w:bookmarkStart w:id="95" w:name="_Toc17845"/>
      <w:bookmarkStart w:id="96" w:name="_Toc9131"/>
      <w:bookmarkStart w:id="97" w:name="_Toc2547"/>
      <w:bookmarkStart w:id="98" w:name="_Toc27512"/>
      <w:bookmarkStart w:id="99" w:name="_Toc31493"/>
      <w:r>
        <w:rPr>
          <w:rFonts w:hint="eastAsia" w:ascii="宋体" w:hAnsi="宋体" w:eastAsia="宋体" w:cs="宋体"/>
          <w:color w:val="auto"/>
          <w:highlight w:val="none"/>
        </w:rPr>
        <w:t>5. 竞争性比选响应文件的递交</w:t>
      </w:r>
      <w:bookmarkEnd w:id="84"/>
      <w:bookmarkEnd w:id="85"/>
      <w:bookmarkEnd w:id="86"/>
      <w:bookmarkEnd w:id="87"/>
      <w:bookmarkEnd w:id="88"/>
      <w:bookmarkEnd w:id="89"/>
      <w:bookmarkEnd w:id="90"/>
      <w:bookmarkEnd w:id="91"/>
      <w:bookmarkEnd w:id="92"/>
      <w:r>
        <w:rPr>
          <w:rFonts w:hint="eastAsia" w:ascii="宋体" w:hAnsi="宋体" w:eastAsia="宋体" w:cs="宋体"/>
          <w:color w:val="auto"/>
          <w:highlight w:val="none"/>
        </w:rPr>
        <w:t>及相关事宜</w:t>
      </w:r>
      <w:bookmarkEnd w:id="93"/>
      <w:bookmarkEnd w:id="94"/>
      <w:bookmarkEnd w:id="95"/>
      <w:bookmarkEnd w:id="96"/>
      <w:bookmarkEnd w:id="97"/>
      <w:bookmarkEnd w:id="98"/>
      <w:bookmarkEnd w:id="99"/>
    </w:p>
    <w:p>
      <w:pPr>
        <w:tabs>
          <w:tab w:val="left" w:pos="36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5.1报价截止时间和开标时间：</w:t>
      </w:r>
      <w:r>
        <w:rPr>
          <w:rFonts w:hint="eastAsia" w:ascii="宋体" w:hAnsi="宋体" w:cs="Times New Roman"/>
          <w:color w:val="auto"/>
          <w:szCs w:val="21"/>
          <w:highlight w:val="none"/>
          <w:lang w:val="en-US" w:eastAsia="zh-CN"/>
        </w:rPr>
        <w:t>在</w:t>
      </w:r>
      <w:r>
        <w:rPr>
          <w:rFonts w:hint="eastAsia" w:ascii="宋体" w:hAnsi="宋体" w:cs="Times New Roman"/>
          <w:color w:val="auto"/>
          <w:szCs w:val="21"/>
          <w:highlight w:val="none"/>
          <w:u w:val="single"/>
          <w:lang w:val="en-US" w:eastAsia="zh-CN"/>
        </w:rPr>
        <w:t xml:space="preserve"> 2022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lang w:val="en-US" w:eastAsia="zh-CN"/>
        </w:rPr>
        <w:t xml:space="preserve"> 6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lang w:val="en-US" w:eastAsia="zh-CN"/>
        </w:rPr>
        <w:t xml:space="preserve"> 2 </w:t>
      </w:r>
      <w:r>
        <w:rPr>
          <w:rFonts w:hint="eastAsia" w:ascii="宋体" w:hAnsi="宋体" w:cs="Times New Roman"/>
          <w:color w:val="auto"/>
          <w:szCs w:val="21"/>
          <w:highlight w:val="none"/>
        </w:rPr>
        <w:t>日</w:t>
      </w:r>
      <w:r>
        <w:rPr>
          <w:rFonts w:hint="eastAsia" w:ascii="宋体" w:hAnsi="宋体" w:cs="Times New Roman"/>
          <w:color w:val="auto"/>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p>
    <w:p>
      <w:pPr>
        <w:tabs>
          <w:tab w:val="left" w:pos="360"/>
        </w:tabs>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5.2报价的递交：重庆市南岸区四公里内环入口200米处重</w:t>
      </w:r>
      <w:bookmarkStart w:id="259" w:name="_GoBack"/>
      <w:bookmarkEnd w:id="259"/>
      <w:r>
        <w:rPr>
          <w:rFonts w:hint="eastAsia" w:ascii="宋体" w:hAnsi="宋体" w:cs="宋体"/>
          <w:color w:val="auto"/>
          <w:szCs w:val="21"/>
          <w:highlight w:val="none"/>
        </w:rPr>
        <w:t>庆首讯科技大楼</w:t>
      </w:r>
      <w:r>
        <w:rPr>
          <w:rFonts w:hint="eastAsia" w:ascii="宋体" w:hAnsi="宋体" w:cs="宋体"/>
          <w:color w:val="auto"/>
          <w:szCs w:val="21"/>
          <w:highlight w:val="none"/>
          <w:lang w:val="en-US" w:eastAsia="zh-CN"/>
        </w:rPr>
        <w:t>一楼</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ascii="宋体" w:hAnsi="宋体" w:cs="宋体"/>
          <w:color w:val="auto"/>
          <w:szCs w:val="21"/>
          <w:highlight w:val="none"/>
        </w:rPr>
        <w:t>采购人不组织现场踏勘，不召开报价预备会。</w:t>
      </w:r>
    </w:p>
    <w:p>
      <w:pPr>
        <w:pStyle w:val="4"/>
        <w:spacing w:before="120" w:after="0" w:line="400" w:lineRule="exact"/>
        <w:rPr>
          <w:rFonts w:hint="eastAsia" w:ascii="宋体" w:hAnsi="宋体" w:eastAsia="宋体" w:cs="宋体"/>
          <w:color w:val="auto"/>
          <w:highlight w:val="none"/>
        </w:rPr>
      </w:pPr>
      <w:bookmarkStart w:id="100" w:name="_Toc14947"/>
      <w:bookmarkStart w:id="101" w:name="_Toc152045517"/>
      <w:bookmarkStart w:id="102" w:name="_Toc393"/>
      <w:bookmarkStart w:id="103" w:name="_Toc246996164"/>
      <w:bookmarkStart w:id="104" w:name="_Toc21615"/>
      <w:bookmarkStart w:id="105" w:name="_Toc246996907"/>
      <w:bookmarkStart w:id="106" w:name="_Toc18402"/>
      <w:bookmarkStart w:id="107" w:name="_Toc152042293"/>
      <w:bookmarkStart w:id="108" w:name="_Toc11329219"/>
      <w:bookmarkStart w:id="109" w:name="_Toc5716"/>
      <w:bookmarkStart w:id="110" w:name="_Toc179632534"/>
      <w:bookmarkStart w:id="111" w:name="_Toc144974485"/>
      <w:bookmarkStart w:id="112" w:name="_Toc4284"/>
      <w:bookmarkStart w:id="113" w:name="_Toc247085678"/>
      <w:bookmarkStart w:id="114" w:name="_Toc14972"/>
      <w:bookmarkStart w:id="115" w:name="_Toc507319897"/>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联系方式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color w:val="auto"/>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重庆市南岸区四公里内环入口重庆首讯科技股份有限公司</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技术联系人：</w:t>
            </w:r>
            <w:r>
              <w:rPr>
                <w:rFonts w:hint="eastAsia" w:ascii="宋体" w:hAnsi="宋体" w:cs="宋体"/>
                <w:color w:val="auto"/>
                <w:szCs w:val="21"/>
                <w:highlight w:val="none"/>
                <w:lang w:val="en-US" w:eastAsia="zh-CN"/>
              </w:rPr>
              <w:t>冉老师</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color w:val="auto"/>
                <w:highlight w:val="none"/>
                <w:lang w:val="en-US"/>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13883011048</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商务联系人：蒋老师</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电 话：18523055172</w:t>
            </w:r>
          </w:p>
        </w:tc>
        <w:tc>
          <w:tcPr>
            <w:tcW w:w="1415" w:type="dxa"/>
            <w:vAlign w:val="center"/>
          </w:tcPr>
          <w:p>
            <w:pPr>
              <w:spacing w:line="400" w:lineRule="exact"/>
              <w:ind w:firstLine="420" w:firstLineChars="200"/>
              <w:rPr>
                <w:rFonts w:hint="eastAsia" w:ascii="宋体" w:hAnsi="宋体" w:cs="宋体"/>
                <w:color w:val="auto"/>
                <w:szCs w:val="21"/>
                <w:highlight w:val="none"/>
              </w:rPr>
            </w:pPr>
          </w:p>
        </w:tc>
      </w:tr>
    </w:tbl>
    <w:p>
      <w:pPr>
        <w:pStyle w:val="2"/>
        <w:rPr>
          <w:color w:val="auto"/>
          <w:highlight w:val="none"/>
        </w:rPr>
      </w:pPr>
    </w:p>
    <w:bookmarkEnd w:id="17"/>
    <w:bookmarkEnd w:id="18"/>
    <w:p>
      <w:pPr>
        <w:pStyle w:val="3"/>
        <w:spacing w:before="0" w:after="0" w:line="360" w:lineRule="auto"/>
        <w:jc w:val="center"/>
        <w:rPr>
          <w:rFonts w:hint="eastAsia" w:ascii="宋体" w:hAnsi="宋体" w:cs="宋体"/>
          <w:color w:val="auto"/>
          <w:highlight w:val="none"/>
        </w:rPr>
      </w:pPr>
      <w:bookmarkStart w:id="116" w:name="_Toc179632544"/>
      <w:bookmarkStart w:id="117" w:name="_Toc152042303"/>
      <w:bookmarkStart w:id="118" w:name="_Toc247085687"/>
      <w:bookmarkStart w:id="119" w:name="_Toc246996173"/>
      <w:bookmarkStart w:id="120" w:name="_Toc246996916"/>
      <w:bookmarkStart w:id="121" w:name="_Toc152045527"/>
      <w:bookmarkStart w:id="122" w:name="_Toc2000405"/>
      <w:bookmarkStart w:id="123" w:name="_Toc507319898"/>
      <w:bookmarkStart w:id="124" w:name="_Toc144974495"/>
      <w:r>
        <w:rPr>
          <w:rFonts w:hint="eastAsia" w:ascii="宋体" w:hAnsi="宋体" w:cs="宋体"/>
          <w:color w:val="auto"/>
          <w:highlight w:val="none"/>
        </w:rPr>
        <w:br w:type="page"/>
      </w:r>
      <w:bookmarkStart w:id="125" w:name="_Toc18539"/>
      <w:r>
        <w:rPr>
          <w:rFonts w:hint="eastAsia" w:ascii="宋体" w:hAnsi="宋体" w:cs="宋体"/>
          <w:color w:val="auto"/>
          <w:highlight w:val="none"/>
        </w:rPr>
        <w:t>第二章 报价人须知</w:t>
      </w:r>
      <w:bookmarkEnd w:id="116"/>
      <w:bookmarkEnd w:id="117"/>
      <w:bookmarkEnd w:id="118"/>
      <w:bookmarkEnd w:id="119"/>
      <w:bookmarkEnd w:id="120"/>
      <w:bookmarkEnd w:id="121"/>
      <w:bookmarkEnd w:id="122"/>
      <w:bookmarkEnd w:id="123"/>
      <w:bookmarkEnd w:id="124"/>
      <w:bookmarkEnd w:id="125"/>
    </w:p>
    <w:p>
      <w:pPr>
        <w:rPr>
          <w:rFonts w:hint="eastAsia"/>
          <w:color w:val="auto"/>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color w:val="auto"/>
                <w:kern w:val="0"/>
                <w:szCs w:val="21"/>
                <w:highlight w:val="none"/>
              </w:rPr>
            </w:pPr>
            <w:bookmarkStart w:id="126" w:name="_Toc326760840"/>
            <w:r>
              <w:rPr>
                <w:rFonts w:hint="eastAsia" w:ascii="宋体" w:hAnsi="宋体" w:cs="宋体"/>
                <w:b/>
                <w:color w:val="auto"/>
                <w:kern w:val="0"/>
                <w:szCs w:val="21"/>
                <w:highlight w:val="none"/>
                <w:lang w:val="en-US" w:eastAsia="zh-CN"/>
              </w:rPr>
              <w:t>序</w:t>
            </w:r>
            <w:r>
              <w:rPr>
                <w:rFonts w:hint="eastAsia" w:ascii="宋体" w:hAnsi="宋体" w:cs="宋体"/>
                <w:b/>
                <w:color w:val="auto"/>
                <w:kern w:val="0"/>
                <w:szCs w:val="21"/>
                <w:highlight w:val="none"/>
              </w:rPr>
              <w:t>号</w:t>
            </w:r>
          </w:p>
        </w:tc>
        <w:tc>
          <w:tcPr>
            <w:tcW w:w="2106" w:type="dxa"/>
            <w:vAlign w:val="center"/>
          </w:tcPr>
          <w:p>
            <w:pPr>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1</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采购人</w:t>
            </w:r>
          </w:p>
        </w:tc>
        <w:tc>
          <w:tcPr>
            <w:tcW w:w="7104" w:type="dxa"/>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采购人：重庆首讯科技股份有限公司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址：重庆市南岸区四公里内环入口重庆首讯科技股份有限公司</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蒋老师</w:t>
            </w:r>
          </w:p>
          <w:p>
            <w:pPr>
              <w:topLinePunct/>
              <w:spacing w:line="420" w:lineRule="exact"/>
              <w:ind w:firstLine="420" w:firstLineChars="200"/>
              <w:rPr>
                <w:rFonts w:hint="default"/>
                <w:color w:val="auto"/>
                <w:highlight w:val="none"/>
                <w:lang w:val="en-US"/>
              </w:rPr>
            </w:pPr>
            <w:r>
              <w:rPr>
                <w:rFonts w:hint="eastAsia" w:ascii="宋体" w:hAnsi="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话：</w:t>
            </w:r>
            <w:r>
              <w:rPr>
                <w:rFonts w:hint="eastAsia" w:ascii="宋体" w:hAnsi="宋体" w:cs="宋体"/>
                <w:color w:val="auto"/>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首讯公司2022年安全咨询服务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项目地点</w:t>
            </w:r>
          </w:p>
        </w:tc>
        <w:tc>
          <w:tcPr>
            <w:tcW w:w="7104" w:type="dxa"/>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2106"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kern w:val="0"/>
                <w:szCs w:val="21"/>
                <w:highlight w:val="none"/>
              </w:rPr>
              <w:t>工期</w:t>
            </w:r>
            <w:r>
              <w:rPr>
                <w:rFonts w:hint="eastAsia" w:ascii="宋体" w:hAnsi="宋体" w:cs="宋体"/>
                <w:color w:val="auto"/>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color w:val="auto"/>
                <w:kern w:val="10"/>
                <w:szCs w:val="21"/>
                <w:highlight w:val="none"/>
              </w:rPr>
            </w:pPr>
            <w:r>
              <w:rPr>
                <w:rFonts w:hint="eastAsia" w:ascii="宋体" w:hAnsi="宋体" w:cs="宋体"/>
                <w:color w:val="auto"/>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104" w:type="dxa"/>
          </w:tcPr>
          <w:p>
            <w:pPr>
              <w:spacing w:line="400" w:lineRule="exact"/>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满足国家现行的相关技术标准</w:t>
            </w:r>
            <w:r>
              <w:rPr>
                <w:rFonts w:hint="eastAsia" w:ascii="宋体" w:hAnsi="宋体" w:cs="宋体"/>
                <w:color w:val="auto"/>
                <w:szCs w:val="21"/>
                <w:highlight w:val="none"/>
                <w:lang w:val="en-US" w:eastAsia="zh-CN"/>
              </w:rPr>
              <w:t>及重庆首讯科技股份有限公司相关要求。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安全目标</w:t>
            </w:r>
          </w:p>
        </w:tc>
        <w:tc>
          <w:tcPr>
            <w:tcW w:w="7104" w:type="dxa"/>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（1）资质条件：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1）在中华人民共和国境内依法注册、具有独立法人资格，具有有效的营业执照（</w:t>
            </w:r>
            <w:r>
              <w:rPr>
                <w:rFonts w:hint="eastAsia" w:ascii="宋体" w:hAnsi="宋体" w:cs="宋体"/>
                <w:color w:val="auto"/>
                <w:szCs w:val="21"/>
                <w:highlight w:val="none"/>
                <w:lang w:val="en-US" w:eastAsia="zh-CN"/>
              </w:rPr>
              <w:t>需提供营业执照及相关证明文件</w:t>
            </w:r>
            <w:r>
              <w:rPr>
                <w:rFonts w:hint="eastAsia" w:ascii="宋体" w:hAnsi="宋体" w:cs="宋体"/>
                <w:color w:val="auto"/>
                <w:szCs w:val="21"/>
                <w:highlight w:val="none"/>
              </w:rPr>
              <w:t>）；</w:t>
            </w:r>
          </w:p>
          <w:p>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2）业绩要求：2020年1月1日至投标截止日，至少</w:t>
            </w:r>
            <w:r>
              <w:rPr>
                <w:rFonts w:hint="eastAsia" w:ascii="宋体" w:hAnsi="宋体" w:cs="宋体"/>
                <w:color w:val="auto"/>
                <w:szCs w:val="21"/>
                <w:highlight w:val="none"/>
                <w:lang w:val="en-US" w:eastAsia="zh-CN"/>
              </w:rPr>
              <w:t>有1</w:t>
            </w:r>
            <w:r>
              <w:rPr>
                <w:rFonts w:hint="eastAsia" w:ascii="宋体" w:hAnsi="宋体" w:cs="宋体"/>
                <w:color w:val="auto"/>
                <w:szCs w:val="21"/>
                <w:highlight w:val="none"/>
              </w:rPr>
              <w:t>个</w:t>
            </w:r>
            <w:r>
              <w:rPr>
                <w:rFonts w:hint="eastAsia" w:ascii="宋体" w:hAnsi="宋体" w:cs="宋体"/>
                <w:color w:val="auto"/>
                <w:szCs w:val="21"/>
                <w:highlight w:val="none"/>
                <w:lang w:val="en-US" w:eastAsia="zh-CN"/>
              </w:rPr>
              <w:t>安全技术服务相关</w:t>
            </w:r>
            <w:r>
              <w:rPr>
                <w:rFonts w:hint="eastAsia" w:ascii="宋体" w:hAnsi="宋体" w:cs="宋体"/>
                <w:color w:val="auto"/>
                <w:szCs w:val="21"/>
                <w:highlight w:val="none"/>
              </w:rPr>
              <w:t>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需提供</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或相关证明材料</w:t>
            </w:r>
            <w:r>
              <w:rPr>
                <w:rFonts w:hint="eastAsia" w:ascii="宋体" w:hAnsi="宋体" w:cs="宋体"/>
                <w:color w:val="auto"/>
                <w:szCs w:val="21"/>
                <w:highlight w:val="none"/>
                <w:lang w:eastAsia="zh-CN"/>
              </w:rPr>
              <w:t>）；</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具有交通运输企业安全生产标准化评价机构资质（提供交通运输企业安全生产标准化信用信息系统资质截图）</w:t>
            </w:r>
            <w:r>
              <w:rPr>
                <w:rFonts w:hint="eastAsia" w:ascii="宋体" w:hAnsi="宋体" w:cs="宋体"/>
                <w:color w:val="auto"/>
                <w:szCs w:val="21"/>
                <w:highlight w:val="none"/>
                <w:lang w:val="en-US" w:eastAsia="zh-CN"/>
              </w:rPr>
              <w:t>。</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）信誉要求：</w:t>
            </w:r>
          </w:p>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报价人不得存在下列情形之一：</w:t>
            </w:r>
          </w:p>
          <w:p>
            <w:pPr>
              <w:spacing w:line="400" w:lineRule="exact"/>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在国家企业信用信息公示系统（http://www.gsxt.gov.cn/）中未被列入严重违法失信企业名单（黑名单）信息；在“信用中国”网站（http://www.creditchina.gov.cn/）中未被列入失信惩戒执行人名单。</w:t>
            </w:r>
            <w:r>
              <w:rPr>
                <w:rFonts w:hint="eastAsia" w:ascii="宋体" w:hAnsi="宋体" w:cs="宋体"/>
                <w:color w:val="auto"/>
                <w:szCs w:val="21"/>
                <w:highlight w:val="none"/>
                <w:lang w:eastAsia="zh-CN"/>
              </w:rPr>
              <w:t>（</w:t>
            </w:r>
            <w:r>
              <w:rPr>
                <w:rFonts w:hint="eastAsia" w:ascii="Times New Roman" w:hAnsi="宋体"/>
                <w:b/>
                <w:bCs/>
                <w:color w:val="auto"/>
                <w:sz w:val="21"/>
                <w:szCs w:val="21"/>
                <w:highlight w:val="none"/>
              </w:rPr>
              <w:t>须提供信誉网站查询结果截图</w:t>
            </w:r>
            <w:r>
              <w:rPr>
                <w:rFonts w:hint="eastAsia" w:hAnsi="宋体"/>
                <w:b/>
                <w:bCs/>
                <w:color w:val="auto"/>
                <w:sz w:val="21"/>
                <w:szCs w:val="21"/>
                <w:highlight w:val="none"/>
                <w:lang w:eastAsia="zh-CN"/>
              </w:rPr>
              <w:t>，</w:t>
            </w:r>
            <w:r>
              <w:rPr>
                <w:rFonts w:hint="eastAsia" w:ascii="Times New Roman" w:hAnsi="宋体"/>
                <w:b/>
                <w:bCs/>
                <w:color w:val="auto"/>
                <w:sz w:val="21"/>
                <w:szCs w:val="21"/>
                <w:highlight w:val="none"/>
              </w:rPr>
              <w:t>并加盖单位</w:t>
            </w:r>
            <w:r>
              <w:rPr>
                <w:rFonts w:hint="eastAsia" w:hAnsi="宋体"/>
                <w:b/>
                <w:bCs/>
                <w:color w:val="auto"/>
                <w:sz w:val="21"/>
                <w:szCs w:val="21"/>
                <w:highlight w:val="none"/>
                <w:lang w:val="en-US" w:eastAsia="zh-CN"/>
              </w:rPr>
              <w:t>鲜</w:t>
            </w:r>
            <w:r>
              <w:rPr>
                <w:rFonts w:hint="eastAsia" w:ascii="Times New Roman" w:hAnsi="宋体"/>
                <w:b/>
                <w:bCs/>
                <w:color w:val="auto"/>
                <w:sz w:val="21"/>
                <w:szCs w:val="21"/>
                <w:highlight w:val="none"/>
              </w:rPr>
              <w:t>公章</w:t>
            </w:r>
            <w:r>
              <w:rPr>
                <w:rFonts w:hint="eastAsia" w:ascii="宋体" w:hAnsi="宋体" w:cs="宋体"/>
                <w:color w:val="auto"/>
                <w:szCs w:val="21"/>
                <w:highlight w:val="none"/>
                <w:lang w:eastAsia="zh-CN"/>
              </w:rPr>
              <w:t>）</w:t>
            </w:r>
          </w:p>
          <w:p>
            <w:pP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 w:val="21"/>
                <w:szCs w:val="21"/>
                <w:highlight w:val="none"/>
                <w:lang w:val="en-US" w:eastAsia="zh-CN"/>
              </w:rPr>
              <w:t>被国家、重庆市（含市或任意区县）有关行政部门处以暂停投标资格行政处罚，且在处罚期限内；</w:t>
            </w:r>
          </w:p>
          <w:p>
            <w:pP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4）被重庆市交通主管部门暂停在渝承揽新业务且在暂停期内；</w:t>
            </w:r>
          </w:p>
          <w:p>
            <w:pP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5）被责令停业，暂扣或吊销执照，或吊销资质证书；</w:t>
            </w:r>
          </w:p>
          <w:p>
            <w:pPr>
              <w:autoSpaceDE w:val="0"/>
              <w:autoSpaceDN w:val="0"/>
              <w:adjustRightInd w:val="0"/>
              <w:spacing w:line="320" w:lineRule="exact"/>
              <w:ind w:firstLine="420" w:firstLineChars="20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6）进入清算程序，或被宣告破产，或其他丧失履约能力的情形；</w:t>
            </w:r>
          </w:p>
          <w:p>
            <w:pPr>
              <w:autoSpaceDE w:val="0"/>
              <w:autoSpaceDN w:val="0"/>
              <w:adjustRightInd w:val="0"/>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7）报价人或其法定代表人在近两年内有行贿犯罪行为的。</w:t>
            </w:r>
            <w:r>
              <w:rPr>
                <w:rFonts w:hint="eastAsia" w:ascii="宋体" w:hAnsi="宋体" w:eastAsia="宋体" w:cs="宋体"/>
                <w:color w:val="auto"/>
                <w:sz w:val="21"/>
                <w:szCs w:val="21"/>
                <w:highlight w:val="none"/>
              </w:rPr>
              <w:t>被责令停业的；</w:t>
            </w:r>
          </w:p>
          <w:p>
            <w:pPr>
              <w:autoSpaceDE w:val="0"/>
              <w:autoSpaceDN w:val="0"/>
              <w:adjustRightInd w:val="0"/>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）在最近三年内有骗取中标或严重违约或所承担的产品或服务有重大质量问题的；</w:t>
            </w:r>
          </w:p>
          <w:p>
            <w:pPr>
              <w:autoSpaceDE w:val="0"/>
              <w:autoSpaceDN w:val="0"/>
              <w:adjustRightInd w:val="0"/>
              <w:spacing w:line="32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）有不良行为记录的。</w:t>
            </w:r>
          </w:p>
          <w:p>
            <w:pPr>
              <w:spacing w:line="400" w:lineRule="exact"/>
              <w:ind w:firstLine="422" w:firstLineChars="200"/>
              <w:rPr>
                <w:rFonts w:hint="default" w:ascii="宋体" w:hAnsi="宋体" w:cs="宋体"/>
                <w:color w:val="auto"/>
                <w:szCs w:val="21"/>
                <w:highlight w:val="none"/>
                <w:lang w:val="en-US" w:eastAsia="zh-CN"/>
              </w:rPr>
            </w:pPr>
            <w:r>
              <w:rPr>
                <w:rFonts w:hint="eastAsia" w:ascii="宋体" w:hAnsi="宋体" w:eastAsia="宋体" w:cs="宋体"/>
                <w:b/>
                <w:bCs/>
                <w:color w:val="auto"/>
                <w:sz w:val="21"/>
                <w:szCs w:val="21"/>
                <w:highlight w:val="none"/>
              </w:rPr>
              <w:t>提供中国裁判文书网、信用中国、中国政府采购网、国家企业信用信息公示系统截图</w:t>
            </w:r>
            <w:r>
              <w:rPr>
                <w:rFonts w:hint="eastAsia" w:ascii="宋体" w:hAnsi="宋体" w:cs="宋体"/>
                <w:b/>
                <w:bCs/>
                <w:color w:val="auto"/>
                <w:sz w:val="21"/>
                <w:szCs w:val="21"/>
                <w:highlight w:val="none"/>
                <w:lang w:eastAsia="zh-CN"/>
              </w:rPr>
              <w:t>，</w:t>
            </w:r>
            <w:r>
              <w:rPr>
                <w:rFonts w:hint="eastAsia" w:ascii="Times New Roman" w:hAnsi="宋体"/>
                <w:b/>
                <w:bCs/>
                <w:color w:val="auto"/>
                <w:sz w:val="21"/>
                <w:szCs w:val="21"/>
                <w:highlight w:val="none"/>
              </w:rPr>
              <w:t>并加盖单位鲜公章</w:t>
            </w:r>
            <w:r>
              <w:rPr>
                <w:rFonts w:hint="eastAsia" w:ascii="宋体" w:hAnsi="宋体" w:eastAsia="宋体" w:cs="宋体"/>
                <w:color w:val="auto"/>
                <w:sz w:val="21"/>
                <w:szCs w:val="21"/>
                <w:highlight w:val="none"/>
              </w:rPr>
              <w:t>。</w:t>
            </w:r>
          </w:p>
          <w:p>
            <w:pPr>
              <w:spacing w:line="4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）项目主要人员要求：</w:t>
            </w:r>
            <w:r>
              <w:rPr>
                <w:rFonts w:hint="eastAsia" w:ascii="宋体" w:hAnsi="宋体" w:cs="宋体"/>
                <w:color w:val="auto"/>
                <w:szCs w:val="21"/>
                <w:highlight w:val="none"/>
                <w:lang w:val="en-US" w:eastAsia="zh-CN"/>
              </w:rPr>
              <w:t>无</w:t>
            </w:r>
          </w:p>
          <w:p>
            <w:pPr>
              <w:spacing w:line="40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）其他要求：</w:t>
            </w:r>
            <w:r>
              <w:rPr>
                <w:rFonts w:hint="eastAsia" w:ascii="宋体" w:hAnsi="宋体" w:cs="宋体"/>
                <w:color w:val="auto"/>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是否接受</w:t>
            </w:r>
          </w:p>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7104" w:type="dxa"/>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7104" w:type="dxa"/>
            <w:vAlign w:val="center"/>
          </w:tcPr>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c>
          <w:tcPr>
            <w:tcW w:w="2106" w:type="dxa"/>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偏差</w:t>
            </w:r>
          </w:p>
        </w:tc>
        <w:tc>
          <w:tcPr>
            <w:tcW w:w="7104" w:type="dxa"/>
            <w:vAlign w:val="center"/>
          </w:tcPr>
          <w:p>
            <w:pPr>
              <w:spacing w:line="400" w:lineRule="exact"/>
              <w:ind w:firstLine="422" w:firstLineChars="200"/>
              <w:rPr>
                <w:rFonts w:hint="eastAsia" w:ascii="宋体" w:hAnsi="宋体" w:cs="宋体"/>
                <w:color w:val="auto"/>
                <w:kern w:val="0"/>
                <w:szCs w:val="21"/>
                <w:highlight w:val="none"/>
              </w:rPr>
            </w:pPr>
            <w:r>
              <w:rPr>
                <w:rFonts w:hint="eastAsia" w:ascii="宋体" w:hAnsi="宋体" w:cs="宋体"/>
                <w:b/>
                <w:color w:val="auto"/>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c>
          <w:tcPr>
            <w:tcW w:w="2106" w:type="dxa"/>
            <w:vAlign w:val="center"/>
          </w:tcPr>
          <w:p>
            <w:pPr>
              <w:spacing w:line="440" w:lineRule="exact"/>
              <w:jc w:val="center"/>
              <w:rPr>
                <w:rFonts w:hint="eastAsia" w:ascii="宋体" w:hAnsi="宋体" w:cs="宋体"/>
                <w:color w:val="auto"/>
                <w:kern w:val="0"/>
                <w:szCs w:val="21"/>
                <w:highlight w:val="none"/>
              </w:rPr>
            </w:pPr>
            <w:r>
              <w:rPr>
                <w:rFonts w:hint="eastAsia" w:ascii="宋体" w:hAnsi="宋体" w:cs="宋体"/>
                <w:bCs/>
                <w:color w:val="auto"/>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color w:val="auto"/>
                <w:kern w:val="0"/>
                <w:szCs w:val="21"/>
                <w:highlight w:val="none"/>
                <w:lang w:val="en-US" w:eastAsia="zh-CN"/>
              </w:rPr>
            </w:pPr>
            <w:bookmarkStart w:id="127" w:name="_Hlt227984024"/>
            <w:bookmarkEnd w:id="127"/>
            <w:r>
              <w:rPr>
                <w:rFonts w:hint="eastAsia" w:ascii="宋体" w:hAnsi="宋体" w:cs="宋体"/>
                <w:color w:val="auto"/>
                <w:kern w:val="0"/>
                <w:szCs w:val="21"/>
                <w:highlight w:val="none"/>
                <w:lang w:val="en-US" w:eastAsia="zh-CN"/>
              </w:rPr>
              <w:t>14</w:t>
            </w:r>
          </w:p>
        </w:tc>
        <w:tc>
          <w:tcPr>
            <w:tcW w:w="2106" w:type="dxa"/>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rPr>
              <w:t>清单的填写方式</w:t>
            </w:r>
          </w:p>
        </w:tc>
        <w:tc>
          <w:tcPr>
            <w:tcW w:w="7104" w:type="dxa"/>
            <w:tcBorders>
              <w:bottom w:val="single" w:color="auto" w:sz="4" w:space="0"/>
            </w:tcBorders>
          </w:tcPr>
          <w:p>
            <w:pPr>
              <w:spacing w:line="400" w:lineRule="exact"/>
              <w:ind w:firstLine="420" w:firstLineChars="200"/>
              <w:jc w:val="left"/>
              <w:rPr>
                <w:rFonts w:hint="eastAsia"/>
                <w:color w:val="auto"/>
                <w:highlight w:val="none"/>
                <w:lang w:val="en-US" w:eastAsia="zh-CN"/>
              </w:rPr>
            </w:pPr>
            <w:r>
              <w:rPr>
                <w:rFonts w:hint="eastAsia"/>
                <w:color w:val="auto"/>
                <w:highlight w:val="none"/>
                <w:lang w:val="en-US" w:eastAsia="zh-CN"/>
              </w:rPr>
              <w:t>报价人按</w:t>
            </w:r>
            <w:r>
              <w:rPr>
                <w:rFonts w:hint="eastAsia"/>
                <w:color w:val="auto"/>
                <w:highlight w:val="none"/>
              </w:rPr>
              <w:t>采购人提供的清单进行填报</w:t>
            </w:r>
            <w:r>
              <w:rPr>
                <w:rFonts w:hint="eastAsia"/>
                <w:color w:val="auto"/>
                <w:highlight w:val="none"/>
                <w:lang w:val="en-US" w:eastAsia="zh-CN"/>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color w:val="auto"/>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color w:val="auto"/>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top"/>
          </w:tcPr>
          <w:p>
            <w:pPr>
              <w:spacing w:line="400" w:lineRule="exact"/>
              <w:ind w:firstLine="422" w:firstLineChars="200"/>
              <w:rPr>
                <w:rFonts w:hint="eastAsia" w:ascii="宋体" w:hAnsi="宋体"/>
                <w:b/>
                <w:bCs/>
                <w:szCs w:val="21"/>
                <w:highlight w:val="none"/>
                <w:lang w:val="en-US" w:eastAsia="zh-CN"/>
              </w:rPr>
            </w:pPr>
            <w:r>
              <w:rPr>
                <w:rFonts w:hint="eastAsia" w:ascii="宋体" w:hAnsi="宋体"/>
                <w:b/>
                <w:bCs/>
                <w:szCs w:val="21"/>
                <w:highlight w:val="none"/>
              </w:rPr>
              <w:t>最高限价</w:t>
            </w:r>
            <w:r>
              <w:rPr>
                <w:rFonts w:hint="eastAsia" w:ascii="宋体" w:hAnsi="宋体"/>
                <w:b/>
                <w:bCs/>
                <w:szCs w:val="21"/>
                <w:highlight w:val="none"/>
                <w:u w:val="single"/>
                <w:lang w:val="en-US" w:eastAsia="zh-CN"/>
              </w:rPr>
              <w:t xml:space="preserve">316250.00 </w:t>
            </w:r>
            <w:r>
              <w:rPr>
                <w:rFonts w:hint="eastAsia" w:ascii="宋体" w:hAnsi="宋体"/>
                <w:b/>
                <w:bCs/>
                <w:szCs w:val="21"/>
                <w:highlight w:val="none"/>
                <w:lang w:val="en-US" w:eastAsia="zh-CN"/>
              </w:rPr>
              <w:t>元；</w:t>
            </w:r>
          </w:p>
          <w:p>
            <w:pPr>
              <w:spacing w:line="400" w:lineRule="exact"/>
              <w:ind w:firstLine="422" w:firstLineChars="200"/>
              <w:rPr>
                <w:rFonts w:hint="eastAsia" w:ascii="宋体" w:hAnsi="宋体" w:cs="宋体"/>
                <w:b/>
                <w:bCs/>
                <w:color w:val="auto"/>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合同支付办法</w:t>
            </w:r>
          </w:p>
        </w:tc>
        <w:tc>
          <w:tcPr>
            <w:tcW w:w="7104" w:type="dxa"/>
            <w:tcBorders>
              <w:bottom w:val="single" w:color="auto" w:sz="4" w:space="0"/>
            </w:tcBorders>
            <w:vAlign w:val="center"/>
          </w:tcPr>
          <w:p>
            <w:pPr>
              <w:spacing w:line="400" w:lineRule="exact"/>
              <w:ind w:firstLine="420" w:firstLineChars="200"/>
              <w:jc w:val="both"/>
              <w:rPr>
                <w:rFonts w:hint="eastAsia"/>
                <w:color w:val="auto"/>
                <w:highlight w:val="none"/>
                <w:lang w:val="en-US" w:eastAsia="zh-CN"/>
              </w:rPr>
            </w:pPr>
            <w:r>
              <w:rPr>
                <w:rFonts w:hint="eastAsia"/>
                <w:color w:val="auto"/>
                <w:highlight w:val="none"/>
                <w:lang w:val="en-US" w:eastAsia="zh-CN"/>
              </w:rPr>
              <w:t>（1）完成安全风险分级管控和隐患排查治理及两单两卡全面编制推广后10个工作日内，甲方向乙方支付合同总价的30%；</w:t>
            </w:r>
          </w:p>
          <w:p>
            <w:pPr>
              <w:spacing w:line="400" w:lineRule="exact"/>
              <w:ind w:firstLine="420" w:firstLineChars="200"/>
              <w:jc w:val="both"/>
              <w:rPr>
                <w:rFonts w:hint="eastAsia"/>
                <w:color w:val="auto"/>
                <w:highlight w:val="none"/>
                <w:lang w:val="en-US" w:eastAsia="zh-CN"/>
              </w:rPr>
            </w:pPr>
            <w:r>
              <w:rPr>
                <w:rFonts w:hint="eastAsia"/>
                <w:color w:val="auto"/>
                <w:highlight w:val="none"/>
                <w:lang w:val="en-US" w:eastAsia="zh-CN"/>
              </w:rPr>
              <w:t>（2）完成合同要求的安全培训后10个工作日内，甲方向乙方支付合同总价的30%。</w:t>
            </w:r>
          </w:p>
          <w:p>
            <w:pPr>
              <w:spacing w:line="400" w:lineRule="exact"/>
              <w:ind w:firstLine="420" w:firstLineChars="200"/>
              <w:jc w:val="both"/>
              <w:rPr>
                <w:rFonts w:hint="eastAsia"/>
                <w:color w:val="auto"/>
                <w:highlight w:val="none"/>
                <w:lang w:val="en-US" w:eastAsia="zh-CN"/>
              </w:rPr>
            </w:pPr>
            <w:r>
              <w:rPr>
                <w:rFonts w:hint="eastAsia"/>
                <w:color w:val="auto"/>
                <w:highlight w:val="none"/>
                <w:lang w:val="en-US" w:eastAsia="zh-CN"/>
              </w:rPr>
              <w:t>（3）完成安全和环保管理体系修订后10个工作日内，甲方向乙方支付至合同总价的100%。</w:t>
            </w:r>
          </w:p>
          <w:p>
            <w:pPr>
              <w:spacing w:line="400" w:lineRule="exact"/>
              <w:ind w:firstLine="420" w:firstLineChars="200"/>
              <w:jc w:val="both"/>
              <w:rPr>
                <w:rFonts w:hint="eastAsia"/>
                <w:color w:val="auto"/>
                <w:highlight w:val="none"/>
              </w:rPr>
            </w:pPr>
            <w:r>
              <w:rPr>
                <w:rFonts w:hint="eastAsia"/>
                <w:color w:val="auto"/>
                <w:highlight w:val="none"/>
                <w:lang w:val="en-US" w:eastAsia="zh-CN"/>
              </w:rPr>
              <w:t>（4）乙方应在甲方付款前开具等额增值税专用发票（增值税）给甲方，否则甲方有权不予支付相应款项（预付款除外）。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color w:val="auto"/>
                <w:kern w:val="0"/>
                <w:szCs w:val="21"/>
                <w:highlight w:val="none"/>
                <w:lang w:val="en-US" w:eastAsia="zh-CN"/>
              </w:rPr>
            </w:pP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违约的处理</w:t>
            </w:r>
          </w:p>
        </w:tc>
        <w:tc>
          <w:tcPr>
            <w:tcW w:w="7104" w:type="dxa"/>
            <w:tcBorders>
              <w:bottom w:val="single" w:color="auto" w:sz="4" w:space="0"/>
            </w:tcBorders>
          </w:tcPr>
          <w:p>
            <w:pPr>
              <w:numPr>
                <w:ilvl w:val="0"/>
                <w:numId w:val="2"/>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乙方在本项目工作开展期间，更换项目经理，甲方按5万元/人进行违约处理。</w:t>
            </w:r>
          </w:p>
          <w:p>
            <w:pPr>
              <w:numPr>
                <w:ilvl w:val="0"/>
                <w:numId w:val="2"/>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乙方分包的项目，不得再行转包或分包，否则将无条件被认为乙方违约，由此引起的一切责任、事故和损失由乙方负责。此外，乙方还应当向甲方支付 1 万元违约金，甲方有权终止或解除合同。</w:t>
            </w:r>
          </w:p>
          <w:p>
            <w:pPr>
              <w:numPr>
                <w:ilvl w:val="0"/>
                <w:numId w:val="2"/>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在项目实施过程中由乙方分包的项目质量经检验达不到验收规范和评定标准，不能保证项目质量，或因乙方分包的项目进度不能满足发包人和甲方制定的进度目标要求，则甲方有权终止合同，由此造成的损失由乙方承担。此外，乙方还应当向甲方支付  1 万元违约金。</w:t>
            </w:r>
          </w:p>
          <w:p>
            <w:pPr>
              <w:numPr>
                <w:ilvl w:val="0"/>
                <w:numId w:val="2"/>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除上一条款外，合同签订后，不经双方协商同意，任何一方不得随意变更或解除。</w:t>
            </w:r>
          </w:p>
          <w:p>
            <w:pPr>
              <w:numPr>
                <w:ilvl w:val="0"/>
                <w:numId w:val="2"/>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因乙方原因，出现下列情况之一的，甲方有权采取认为合理的一切措施进行处理，由此引起的损失由乙方承担。</w:t>
            </w:r>
          </w:p>
          <w:p>
            <w:pPr>
              <w:numPr>
                <w:ilvl w:val="0"/>
                <w:numId w:val="0"/>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5.1乙方的主要人员、研发设备及研发资金不能按时到位的，严重制约了研发项目的开展；</w:t>
            </w:r>
          </w:p>
          <w:p>
            <w:pPr>
              <w:numPr>
                <w:ilvl w:val="0"/>
                <w:numId w:val="0"/>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5.2进度滞后该项目总体进度计划的10％或落到项目管理曲线下线以下的；</w:t>
            </w:r>
          </w:p>
          <w:p>
            <w:pPr>
              <w:numPr>
                <w:ilvl w:val="0"/>
                <w:numId w:val="0"/>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5.3不按研发项目技术规范和标准要求开展的，造成项目研发质量低劣的达不到验收标准的；</w:t>
            </w:r>
          </w:p>
          <w:p>
            <w:pPr>
              <w:numPr>
                <w:ilvl w:val="0"/>
                <w:numId w:val="0"/>
              </w:numPr>
              <w:spacing w:line="400" w:lineRule="exact"/>
              <w:ind w:firstLine="420" w:firstLineChars="200"/>
              <w:rPr>
                <w:rFonts w:hint="eastAsia"/>
                <w:color w:val="auto"/>
                <w:highlight w:val="none"/>
                <w:lang w:val="en-US" w:eastAsia="zh-CN"/>
              </w:rPr>
            </w:pPr>
            <w:r>
              <w:rPr>
                <w:rFonts w:hint="eastAsia"/>
                <w:color w:val="auto"/>
                <w:highlight w:val="none"/>
                <w:lang w:val="en-US" w:eastAsia="zh-CN"/>
              </w:rPr>
              <w:t>5. 4不遵守甲方的管理，造成项目不能管理无法推进。</w:t>
            </w:r>
          </w:p>
          <w:p>
            <w:pPr>
              <w:spacing w:line="400" w:lineRule="exact"/>
              <w:ind w:firstLine="420" w:firstLineChars="200"/>
              <w:rPr>
                <w:rFonts w:hint="eastAsia"/>
                <w:color w:val="auto"/>
                <w:highlight w:val="none"/>
                <w:lang w:val="en-US" w:eastAsia="zh-CN"/>
              </w:rPr>
            </w:pPr>
            <w:r>
              <w:rPr>
                <w:rFonts w:hint="eastAsia"/>
                <w:color w:val="auto"/>
                <w:highlight w:val="none"/>
                <w:lang w:val="en-US" w:eastAsia="zh-CN"/>
              </w:rPr>
              <w:t>6.乙方应按签订合同规定的工期及质量要求完成，否则应偿付给甲方10000元/天的逾期违约金，并承担甲方项目部延期完成任务以后后续发生的管理费用。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106" w:type="dxa"/>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中标候选人的人数</w:t>
            </w:r>
          </w:p>
        </w:tc>
        <w:tc>
          <w:tcPr>
            <w:tcW w:w="7104" w:type="dxa"/>
            <w:vAlign w:val="center"/>
          </w:tcPr>
          <w:p>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推荐的中标候选人数：</w:t>
            </w:r>
            <w:r>
              <w:rPr>
                <w:rFonts w:hint="eastAsia" w:ascii="宋体" w:hAnsi="宋体" w:cs="宋体"/>
                <w:color w:val="auto"/>
                <w:highlight w:val="none"/>
                <w:lang w:val="en-US" w:eastAsia="zh-CN"/>
              </w:rPr>
              <w:t>2</w:t>
            </w:r>
            <w:r>
              <w:rPr>
                <w:rFonts w:hint="eastAsia" w:ascii="宋体" w:hAnsi="宋体" w:cs="宋体"/>
                <w:color w:val="auto"/>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pacing w:line="400" w:lineRule="exact"/>
              <w:ind w:firstLine="420" w:firstLineChars="200"/>
              <w:jc w:val="both"/>
              <w:rPr>
                <w:rFonts w:hint="default" w:hAnsi="宋体" w:cs="宋体"/>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9"/>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重庆市南岸区四公里内环入口重庆首讯科技股份有限公司</w:t>
            </w:r>
          </w:p>
          <w:p>
            <w:pPr>
              <w:pStyle w:val="149"/>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spacing w:line="400" w:lineRule="exact"/>
              <w:ind w:firstLine="482" w:firstLineChars="200"/>
              <w:jc w:val="center"/>
              <w:rPr>
                <w:rFonts w:hint="eastAsia" w:hAnsi="宋体"/>
                <w:color w:val="auto"/>
                <w:kern w:val="2"/>
                <w:sz w:val="21"/>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color w:val="auto"/>
                <w:szCs w:val="21"/>
                <w:highlight w:val="none"/>
              </w:rPr>
            </w:pPr>
            <w:r>
              <w:rPr>
                <w:rFonts w:hint="eastAsia" w:hAnsi="宋体"/>
                <w:color w:val="auto"/>
                <w:sz w:val="21"/>
                <w:szCs w:val="21"/>
                <w:highlight w:val="none"/>
              </w:rPr>
              <w:t>截止竞争性比选响应文件递交时间，递交竞争性比选响应文件不足3家的不得开启竞争性比选文件。重新</w:t>
            </w:r>
            <w:r>
              <w:rPr>
                <w:rFonts w:hint="eastAsia" w:hAnsi="宋体"/>
                <w:color w:val="auto"/>
                <w:sz w:val="21"/>
                <w:szCs w:val="21"/>
                <w:highlight w:val="none"/>
                <w:lang w:val="en-US" w:eastAsia="zh-CN"/>
              </w:rPr>
              <w:t>比选</w:t>
            </w:r>
            <w:r>
              <w:rPr>
                <w:rFonts w:hint="eastAsia" w:hAnsi="宋体"/>
                <w:color w:val="auto"/>
                <w:sz w:val="21"/>
                <w:szCs w:val="21"/>
                <w:highlight w:val="none"/>
              </w:rPr>
              <w:t>后</w:t>
            </w:r>
            <w:r>
              <w:rPr>
                <w:rFonts w:hint="eastAsia" w:hAnsi="宋体"/>
                <w:color w:val="auto"/>
                <w:sz w:val="21"/>
                <w:szCs w:val="21"/>
                <w:highlight w:val="none"/>
                <w:lang w:eastAsia="zh-CN"/>
              </w:rPr>
              <w:t>报价人</w:t>
            </w:r>
            <w:r>
              <w:rPr>
                <w:rFonts w:hint="eastAsia" w:hAnsi="宋体"/>
                <w:color w:val="auto"/>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22.2</w:t>
            </w:r>
          </w:p>
        </w:tc>
        <w:tc>
          <w:tcPr>
            <w:tcW w:w="9210" w:type="dxa"/>
            <w:gridSpan w:val="2"/>
            <w:vAlign w:val="center"/>
          </w:tcPr>
          <w:p>
            <w:pPr>
              <w:pStyle w:val="149"/>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中标候选人公示</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bookmarkStart w:id="128" w:name="_Toc152045587"/>
            <w:bookmarkStart w:id="129" w:name="_Toc2000406"/>
            <w:bookmarkStart w:id="130" w:name="_Toc144974554"/>
            <w:bookmarkStart w:id="131" w:name="_Toc507319957"/>
            <w:bookmarkStart w:id="132" w:name="_Toc246996230"/>
            <w:bookmarkStart w:id="133" w:name="_Toc246996973"/>
            <w:bookmarkStart w:id="134" w:name="_Toc247085745"/>
            <w:bookmarkStart w:id="135" w:name="_Toc152042364"/>
            <w:bookmarkStart w:id="136" w:name="_Toc179632605"/>
            <w:r>
              <w:rPr>
                <w:rFonts w:hint="eastAsia" w:hAnsi="宋体"/>
                <w:color w:val="auto"/>
                <w:kern w:val="2"/>
                <w:sz w:val="21"/>
                <w:szCs w:val="21"/>
                <w:highlight w:val="none"/>
                <w:lang w:val="en-US" w:eastAsia="zh-CN"/>
              </w:rPr>
              <w:t>22.3</w:t>
            </w:r>
          </w:p>
        </w:tc>
        <w:tc>
          <w:tcPr>
            <w:tcW w:w="9210" w:type="dxa"/>
            <w:gridSpan w:val="2"/>
            <w:vAlign w:val="center"/>
          </w:tcPr>
          <w:p>
            <w:pPr>
              <w:pStyle w:val="149"/>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1.竞争性比选文件需加盖报价人的公章，竞争性比选响应文件提交正本1份，副本1份，副本可为正本的复印件，竞争性比选响应文件需装订成册；报价人应提供竞争性比选响应文件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2.竞争性比选响应声明书、报价函、资格要求材料、报价人认为需要提供的其他相关文件（注：以上所有文件均须逐页加盖报价人的公章）。</w:t>
            </w:r>
          </w:p>
          <w:p>
            <w:pPr>
              <w:pStyle w:val="149"/>
              <w:spacing w:line="400" w:lineRule="exact"/>
              <w:ind w:firstLine="420" w:firstLineChars="200"/>
              <w:rPr>
                <w:rFonts w:hint="eastAsia" w:hAnsi="宋体"/>
                <w:color w:val="auto"/>
                <w:sz w:val="21"/>
                <w:szCs w:val="21"/>
                <w:highlight w:val="none"/>
                <w:lang w:val="en-US" w:eastAsia="zh-CN"/>
              </w:rPr>
            </w:pPr>
            <w:r>
              <w:rPr>
                <w:rFonts w:hint="eastAsia" w:hAnsi="宋体"/>
                <w:color w:val="auto"/>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9"/>
              <w:spacing w:line="400" w:lineRule="exact"/>
              <w:ind w:firstLine="420" w:firstLineChars="200"/>
              <w:rPr>
                <w:rFonts w:hint="default" w:hAnsi="宋体" w:eastAsia="宋体"/>
                <w:color w:val="auto"/>
                <w:sz w:val="21"/>
                <w:szCs w:val="21"/>
                <w:highlight w:val="none"/>
                <w:lang w:val="en-US" w:eastAsia="zh-CN"/>
              </w:rPr>
            </w:pPr>
            <w:r>
              <w:rPr>
                <w:rFonts w:hint="eastAsia" w:hAnsi="宋体"/>
                <w:color w:val="auto"/>
                <w:kern w:val="2"/>
                <w:sz w:val="21"/>
                <w:szCs w:val="21"/>
                <w:highlight w:val="none"/>
                <w:u w:val="single"/>
                <w:lang w:eastAsia="zh-CN"/>
              </w:rPr>
              <w:t>首讯公司2022年安全咨询服务</w:t>
            </w:r>
            <w:r>
              <w:rPr>
                <w:rFonts w:hint="eastAsia" w:hAnsi="宋体"/>
                <w:color w:val="auto"/>
                <w:kern w:val="2"/>
                <w:sz w:val="21"/>
                <w:szCs w:val="21"/>
                <w:highlight w:val="none"/>
                <w:u w:val="single"/>
              </w:rPr>
              <w:t>竞争性比选响应文件</w:t>
            </w:r>
            <w:r>
              <w:rPr>
                <w:rFonts w:hint="eastAsia" w:hAnsi="宋体"/>
                <w:color w:val="auto"/>
                <w:kern w:val="2"/>
                <w:sz w:val="21"/>
                <w:szCs w:val="21"/>
              </w:rPr>
              <w:t>（加盖报价人的公章）</w:t>
            </w:r>
          </w:p>
        </w:tc>
      </w:tr>
      <w:bookmarkEnd w:id="126"/>
    </w:tbl>
    <w:p>
      <w:pPr>
        <w:rPr>
          <w:rFonts w:hint="eastAsia"/>
          <w:color w:val="auto"/>
          <w:highlight w:val="none"/>
        </w:rPr>
      </w:pPr>
      <w:r>
        <w:rPr>
          <w:rFonts w:hint="eastAsia"/>
          <w:color w:val="auto"/>
          <w:highlight w:val="none"/>
        </w:rPr>
        <w:br w:type="page"/>
      </w:r>
    </w:p>
    <w:p>
      <w:pPr>
        <w:pStyle w:val="3"/>
        <w:spacing w:before="0" w:after="0" w:line="360" w:lineRule="auto"/>
        <w:jc w:val="center"/>
        <w:rPr>
          <w:rFonts w:hint="eastAsia" w:ascii="宋体" w:hAnsi="宋体" w:cs="宋体"/>
          <w:color w:val="auto"/>
          <w:highlight w:val="none"/>
        </w:rPr>
      </w:pPr>
      <w:bookmarkStart w:id="137" w:name="_Toc7273"/>
      <w:r>
        <w:rPr>
          <w:rFonts w:hint="eastAsia" w:ascii="宋体" w:hAnsi="宋体" w:cs="宋体"/>
          <w:color w:val="auto"/>
          <w:highlight w:val="none"/>
        </w:rPr>
        <w:t>第三章 评标办法（</w:t>
      </w:r>
      <w:r>
        <w:rPr>
          <w:rFonts w:hint="eastAsia" w:ascii="宋体" w:hAnsi="宋体" w:cs="宋体"/>
          <w:color w:val="auto"/>
          <w:highlight w:val="none"/>
          <w:lang w:val="en-US" w:eastAsia="zh-CN"/>
        </w:rPr>
        <w:t>综合评估法</w:t>
      </w:r>
      <w:r>
        <w:rPr>
          <w:rFonts w:hint="eastAsia" w:ascii="宋体" w:hAnsi="宋体" w:cs="宋体"/>
          <w:color w:val="auto"/>
          <w:highlight w:val="none"/>
        </w:rPr>
        <w:t>）</w:t>
      </w:r>
      <w:bookmarkEnd w:id="128"/>
      <w:bookmarkEnd w:id="129"/>
      <w:bookmarkEnd w:id="130"/>
      <w:bookmarkEnd w:id="131"/>
      <w:bookmarkEnd w:id="132"/>
      <w:bookmarkEnd w:id="133"/>
      <w:bookmarkEnd w:id="134"/>
      <w:bookmarkEnd w:id="135"/>
      <w:bookmarkEnd w:id="136"/>
      <w:bookmarkEnd w:id="137"/>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color w:val="auto"/>
                <w:highlight w:val="none"/>
              </w:rPr>
            </w:pPr>
            <w:r>
              <w:rPr>
                <w:b/>
                <w:color w:val="auto"/>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color w:val="auto"/>
                <w:highlight w:val="none"/>
              </w:rPr>
            </w:pPr>
            <w:r>
              <w:rPr>
                <w:b/>
                <w:color w:val="auto"/>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color w:val="auto"/>
                <w:highlight w:val="none"/>
              </w:rPr>
            </w:pPr>
            <w:r>
              <w:rPr>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color w:val="auto"/>
                <w:highlight w:val="none"/>
              </w:rPr>
            </w:pPr>
            <w:r>
              <w:rPr>
                <w:color w:val="auto"/>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color w:val="auto"/>
                <w:highlight w:val="none"/>
              </w:rPr>
            </w:pPr>
            <w:r>
              <w:rPr>
                <w:color w:val="auto"/>
                <w:highlight w:val="none"/>
              </w:rPr>
              <w:t>如出现</w:t>
            </w:r>
            <w:r>
              <w:rPr>
                <w:rFonts w:hint="eastAsia" w:ascii="宋体" w:hAnsi="宋体" w:eastAsia="宋体" w:cs="宋体"/>
                <w:color w:val="auto"/>
                <w:kern w:val="0"/>
                <w:sz w:val="21"/>
                <w:szCs w:val="21"/>
                <w:highlight w:val="none"/>
              </w:rPr>
              <w:t>综合评分相等时，</w:t>
            </w:r>
            <w:r>
              <w:rPr>
                <w:color w:val="auto"/>
                <w:highlight w:val="none"/>
              </w:rPr>
              <w:t>评审小组按以下原则</w:t>
            </w:r>
            <w:r>
              <w:rPr>
                <w:rFonts w:hint="eastAsia"/>
                <w:color w:val="auto"/>
                <w:highlight w:val="none"/>
                <w:lang w:val="en-US" w:eastAsia="zh-CN"/>
              </w:rPr>
              <w:t>顺序</w:t>
            </w:r>
            <w:r>
              <w:rPr>
                <w:color w:val="auto"/>
                <w:highlight w:val="none"/>
              </w:rPr>
              <w:t>确定第一中标候选人：</w:t>
            </w:r>
          </w:p>
          <w:p>
            <w:pPr>
              <w:numPr>
                <w:ilvl w:val="0"/>
                <w:numId w:val="3"/>
              </w:numPr>
              <w:spacing w:line="360" w:lineRule="auto"/>
              <w:ind w:firstLine="210" w:firstLineChars="100"/>
              <w:rPr>
                <w:rFonts w:hint="eastAsia" w:ascii="宋体" w:hAnsi="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以</w:t>
            </w: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技术</w:t>
            </w:r>
            <w:r>
              <w:rPr>
                <w:rFonts w:hint="eastAsia" w:ascii="宋体" w:hAnsi="宋体" w:cs="宋体"/>
                <w:color w:val="auto"/>
                <w:sz w:val="21"/>
                <w:szCs w:val="21"/>
                <w:highlight w:val="none"/>
                <w:lang w:val="en-US" w:eastAsia="zh-CN"/>
              </w:rPr>
              <w:t>部分</w:t>
            </w:r>
            <w:r>
              <w:rPr>
                <w:rFonts w:hint="eastAsia" w:ascii="宋体" w:hAnsi="宋体" w:eastAsia="宋体" w:cs="宋体"/>
                <w:color w:val="auto"/>
                <w:sz w:val="21"/>
                <w:szCs w:val="21"/>
                <w:highlight w:val="none"/>
              </w:rPr>
              <w:t>得分高</w:t>
            </w:r>
            <w:r>
              <w:rPr>
                <w:rFonts w:hint="eastAsia" w:ascii="宋体" w:hAnsi="宋体" w:eastAsia="宋体" w:cs="宋体"/>
                <w:color w:val="auto"/>
                <w:kern w:val="0"/>
                <w:sz w:val="21"/>
                <w:szCs w:val="21"/>
                <w:highlight w:val="none"/>
              </w:rPr>
              <w:t>优先</w:t>
            </w:r>
            <w:r>
              <w:rPr>
                <w:rFonts w:hint="eastAsia" w:ascii="宋体" w:hAnsi="宋体" w:cs="宋体"/>
                <w:color w:val="auto"/>
                <w:kern w:val="0"/>
                <w:sz w:val="21"/>
                <w:szCs w:val="21"/>
                <w:highlight w:val="none"/>
                <w:lang w:eastAsia="zh-CN"/>
              </w:rPr>
              <w:t>；</w:t>
            </w:r>
          </w:p>
          <w:p>
            <w:pPr>
              <w:numPr>
                <w:ilvl w:val="0"/>
                <w:numId w:val="3"/>
              </w:numPr>
              <w:spacing w:line="360" w:lineRule="auto"/>
              <w:ind w:firstLine="210" w:firstLineChars="100"/>
              <w:rPr>
                <w:color w:val="auto"/>
                <w:highlight w:val="none"/>
              </w:rPr>
            </w:pPr>
            <w:r>
              <w:rPr>
                <w:rFonts w:hint="eastAsia" w:ascii="宋体" w:hAnsi="宋体" w:eastAsia="宋体" w:cs="宋体"/>
                <w:color w:val="auto"/>
                <w:kern w:val="0"/>
                <w:sz w:val="21"/>
                <w:szCs w:val="21"/>
                <w:highlight w:val="none"/>
              </w:rPr>
              <w:t>以</w:t>
            </w:r>
            <w:r>
              <w:rPr>
                <w:rFonts w:hint="eastAsia" w:ascii="宋体" w:hAnsi="宋体" w:cs="宋体"/>
                <w:color w:val="auto"/>
                <w:sz w:val="21"/>
                <w:szCs w:val="21"/>
                <w:highlight w:val="none"/>
                <w:lang w:val="en-US" w:eastAsia="zh-CN"/>
              </w:rPr>
              <w:t>报价人商务部分</w:t>
            </w:r>
            <w:r>
              <w:rPr>
                <w:rFonts w:hint="eastAsia" w:ascii="宋体" w:hAnsi="宋体" w:eastAsia="宋体" w:cs="宋体"/>
                <w:color w:val="auto"/>
                <w:sz w:val="21"/>
                <w:szCs w:val="21"/>
                <w:highlight w:val="none"/>
              </w:rPr>
              <w:t>得分高</w:t>
            </w:r>
            <w:r>
              <w:rPr>
                <w:rFonts w:hint="eastAsia" w:ascii="宋体" w:hAnsi="宋体" w:eastAsia="宋体" w:cs="宋体"/>
                <w:color w:val="auto"/>
                <w:kern w:val="0"/>
                <w:sz w:val="21"/>
                <w:szCs w:val="21"/>
                <w:highlight w:val="none"/>
              </w:rPr>
              <w:t>优先</w:t>
            </w:r>
            <w:r>
              <w:rPr>
                <w:rFonts w:hint="eastAsia" w:ascii="宋体" w:hAnsi="宋体" w:cs="宋体"/>
                <w:color w:val="auto"/>
                <w:kern w:val="0"/>
                <w:sz w:val="21"/>
                <w:szCs w:val="21"/>
                <w:highlight w:val="none"/>
                <w:lang w:eastAsia="zh-CN"/>
              </w:rPr>
              <w:t>；</w:t>
            </w:r>
          </w:p>
          <w:p>
            <w:pPr>
              <w:numPr>
                <w:ilvl w:val="0"/>
                <w:numId w:val="3"/>
              </w:numPr>
              <w:spacing w:line="360" w:lineRule="auto"/>
              <w:ind w:firstLine="210" w:firstLineChars="100"/>
              <w:rPr>
                <w:color w:val="auto"/>
                <w:highlight w:val="none"/>
              </w:rPr>
            </w:pPr>
            <w:r>
              <w:rPr>
                <w:rFonts w:hint="eastAsia" w:ascii="宋体" w:hAnsi="宋体" w:cs="宋体"/>
                <w:color w:val="auto"/>
                <w:kern w:val="0"/>
                <w:sz w:val="21"/>
                <w:szCs w:val="21"/>
                <w:highlight w:val="none"/>
                <w:lang w:val="en-US" w:eastAsia="zh-CN"/>
              </w:rPr>
              <w:t>以报价人提交响应文件的较早的优先</w:t>
            </w:r>
            <w:r>
              <w:rPr>
                <w:rFonts w:hint="eastAsia" w:ascii="宋体" w:hAnsi="宋体" w:eastAsia="宋体" w:cs="宋体"/>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报价</w:t>
            </w:r>
            <w:r>
              <w:rPr>
                <w:color w:val="auto"/>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报价</w:t>
            </w:r>
            <w:r>
              <w:rPr>
                <w:color w:val="auto"/>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竞争性</w:t>
            </w:r>
            <w:r>
              <w:rPr>
                <w:color w:val="auto"/>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w:t>
            </w:r>
            <w:r>
              <w:rPr>
                <w:rFonts w:hint="eastAsia"/>
                <w:color w:val="auto"/>
                <w:highlight w:val="none"/>
                <w:lang w:val="en-US" w:eastAsia="zh-CN"/>
              </w:rPr>
              <w:t>八</w:t>
            </w:r>
            <w:r>
              <w:rPr>
                <w:color w:val="auto"/>
                <w:highlight w:val="none"/>
              </w:rPr>
              <w:t>章“</w:t>
            </w:r>
            <w:r>
              <w:rPr>
                <w:rFonts w:hint="eastAsia"/>
                <w:color w:val="auto"/>
                <w:highlight w:val="none"/>
              </w:rPr>
              <w:t>竞争性</w:t>
            </w:r>
            <w:r>
              <w:rPr>
                <w:color w:val="auto"/>
                <w:highlight w:val="none"/>
              </w:rPr>
              <w:t>比选响应文件格式”的要求，字迹</w:t>
            </w:r>
            <w:r>
              <w:rPr>
                <w:rFonts w:hint="eastAsia"/>
                <w:color w:val="auto"/>
                <w:highlight w:val="none"/>
                <w:lang w:val="en-US" w:eastAsia="zh-CN"/>
              </w:rPr>
              <w:t>及相关证件扫描件</w:t>
            </w:r>
            <w:r>
              <w:rPr>
                <w:color w:val="auto"/>
                <w:highlight w:val="none"/>
              </w:rPr>
              <w:t>清晰可辨。</w:t>
            </w:r>
          </w:p>
          <w:p>
            <w:pPr>
              <w:spacing w:line="400" w:lineRule="exact"/>
              <w:rPr>
                <w:color w:val="auto"/>
                <w:highlight w:val="none"/>
              </w:rPr>
            </w:pPr>
            <w:r>
              <w:rPr>
                <w:color w:val="auto"/>
                <w:highlight w:val="none"/>
              </w:rPr>
              <w:t>1.</w:t>
            </w:r>
            <w:r>
              <w:rPr>
                <w:rFonts w:hint="eastAsia"/>
                <w:color w:val="auto"/>
                <w:highlight w:val="none"/>
              </w:rPr>
              <w:t>报价</w:t>
            </w:r>
            <w:r>
              <w:rPr>
                <w:color w:val="auto"/>
                <w:highlight w:val="none"/>
              </w:rPr>
              <w:t>函的所有数据均符合</w:t>
            </w:r>
            <w:r>
              <w:rPr>
                <w:rFonts w:hint="eastAsia"/>
                <w:color w:val="auto"/>
                <w:highlight w:val="none"/>
              </w:rPr>
              <w:t>比选</w:t>
            </w:r>
            <w:r>
              <w:rPr>
                <w:color w:val="auto"/>
                <w:highlight w:val="none"/>
              </w:rPr>
              <w:t>文件的规定；</w:t>
            </w:r>
          </w:p>
          <w:p>
            <w:pPr>
              <w:spacing w:line="400" w:lineRule="exact"/>
              <w:rPr>
                <w:rFonts w:hint="eastAsia" w:eastAsia="宋体"/>
                <w:color w:val="auto"/>
                <w:highlight w:val="none"/>
                <w:lang w:eastAsia="zh-CN"/>
              </w:rPr>
            </w:pPr>
            <w:r>
              <w:rPr>
                <w:color w:val="auto"/>
                <w:highlight w:val="none"/>
              </w:rPr>
              <w:t>2.</w:t>
            </w:r>
            <w:r>
              <w:rPr>
                <w:rFonts w:hint="eastAsia"/>
                <w:color w:val="auto"/>
                <w:highlight w:val="none"/>
              </w:rPr>
              <w:t>竞争性</w:t>
            </w:r>
            <w:r>
              <w:rPr>
                <w:color w:val="auto"/>
                <w:highlight w:val="none"/>
              </w:rPr>
              <w:t>比选响应文件附表齐全完整，内容均按规定填写</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color w:val="auto"/>
                <w:highlight w:val="none"/>
                <w:lang w:eastAsia="zh-CN"/>
              </w:rPr>
            </w:pPr>
            <w:r>
              <w:rPr>
                <w:color w:val="auto"/>
                <w:highlight w:val="none"/>
              </w:rPr>
              <w:t>已标价</w:t>
            </w:r>
            <w:r>
              <w:rPr>
                <w:rFonts w:hint="eastAsia"/>
                <w:color w:val="auto"/>
                <w:highlight w:val="none"/>
                <w:lang w:eastAsia="zh-CN"/>
              </w:rPr>
              <w:t>报价清单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color w:val="auto"/>
                <w:highlight w:val="none"/>
              </w:rPr>
            </w:pPr>
            <w:r>
              <w:rPr>
                <w:color w:val="auto"/>
                <w:highlight w:val="none"/>
              </w:rPr>
              <w:t>符合第五章“</w:t>
            </w:r>
            <w:r>
              <w:rPr>
                <w:rFonts w:hint="eastAsia"/>
                <w:color w:val="auto"/>
                <w:highlight w:val="none"/>
                <w:lang w:eastAsia="zh-CN"/>
              </w:rPr>
              <w:t>报价清单</w:t>
            </w:r>
            <w:r>
              <w:rPr>
                <w:color w:val="auto"/>
                <w:highlight w:val="none"/>
              </w:rPr>
              <w:t>”给出的范围及数量</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auto"/>
                <w:highlight w:val="none"/>
              </w:rPr>
            </w:pPr>
            <w:r>
              <w:rPr>
                <w:color w:val="auto"/>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color w:val="auto"/>
                <w:highlight w:val="none"/>
              </w:rPr>
            </w:pPr>
            <w:r>
              <w:rPr>
                <w:rFonts w:hint="eastAsia"/>
                <w:color w:val="auto"/>
                <w:highlight w:val="none"/>
              </w:rPr>
              <w:t>竞争性</w:t>
            </w:r>
            <w:r>
              <w:rPr>
                <w:color w:val="auto"/>
                <w:highlight w:val="none"/>
              </w:rPr>
              <w:t>比选响应文件报价表中的报价与</w:t>
            </w:r>
            <w:r>
              <w:rPr>
                <w:rFonts w:hint="eastAsia"/>
                <w:color w:val="auto"/>
                <w:highlight w:val="none"/>
              </w:rPr>
              <w:t>报价</w:t>
            </w:r>
            <w:r>
              <w:rPr>
                <w:color w:val="auto"/>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rFonts w:hint="eastAsia"/>
                <w:color w:val="auto"/>
                <w:highlight w:val="none"/>
              </w:rPr>
              <w:t>竞争性</w:t>
            </w:r>
            <w:r>
              <w:rPr>
                <w:color w:val="auto"/>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color w:val="auto"/>
                <w:highlight w:val="none"/>
                <w:lang w:eastAsia="zh-CN"/>
              </w:rPr>
            </w:pPr>
            <w:r>
              <w:rPr>
                <w:rFonts w:hint="eastAsia"/>
                <w:color w:val="auto"/>
                <w:highlight w:val="none"/>
              </w:rPr>
              <w:t>竞争性</w:t>
            </w:r>
            <w:r>
              <w:rPr>
                <w:color w:val="auto"/>
                <w:highlight w:val="none"/>
              </w:rPr>
              <w:t>比选响应文件正本中法定代表人或授权代理人签署姓名齐全，符合</w:t>
            </w:r>
            <w:r>
              <w:rPr>
                <w:rFonts w:hint="eastAsia"/>
                <w:color w:val="auto"/>
                <w:highlight w:val="none"/>
              </w:rPr>
              <w:t>比选</w:t>
            </w:r>
            <w:r>
              <w:rPr>
                <w:color w:val="auto"/>
                <w:highlight w:val="none"/>
              </w:rPr>
              <w:t>文件规定</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color w:val="auto"/>
                <w:highlight w:val="none"/>
              </w:rPr>
            </w:pPr>
            <w:r>
              <w:rPr>
                <w:color w:val="auto"/>
                <w:highlight w:val="none"/>
              </w:rPr>
              <w:t>其它材料</w:t>
            </w:r>
          </w:p>
        </w:tc>
        <w:tc>
          <w:tcPr>
            <w:tcW w:w="5004" w:type="dxa"/>
            <w:tcBorders>
              <w:top w:val="single" w:color="auto" w:sz="4" w:space="0"/>
              <w:left w:val="single" w:color="auto" w:sz="4" w:space="0"/>
            </w:tcBorders>
            <w:vAlign w:val="center"/>
          </w:tcPr>
          <w:p>
            <w:pPr>
              <w:spacing w:line="400" w:lineRule="exact"/>
              <w:rPr>
                <w:color w:val="auto"/>
                <w:highlight w:val="none"/>
              </w:rPr>
            </w:pPr>
            <w:r>
              <w:rPr>
                <w:color w:val="auto"/>
                <w:highlight w:val="none"/>
              </w:rPr>
              <w:t>与</w:t>
            </w:r>
            <w:r>
              <w:rPr>
                <w:rFonts w:hint="eastAsia"/>
                <w:color w:val="auto"/>
                <w:highlight w:val="none"/>
              </w:rPr>
              <w:t>采购人</w:t>
            </w:r>
            <w:r>
              <w:rPr>
                <w:color w:val="auto"/>
                <w:highlight w:val="none"/>
              </w:rPr>
              <w:t>存在利害关系可能影响</w:t>
            </w:r>
            <w:r>
              <w:rPr>
                <w:rFonts w:hint="eastAsia"/>
                <w:color w:val="auto"/>
                <w:highlight w:val="none"/>
              </w:rPr>
              <w:t>比选</w:t>
            </w:r>
            <w:r>
              <w:rPr>
                <w:color w:val="auto"/>
                <w:highlight w:val="none"/>
              </w:rPr>
              <w:t>公正性的法人、其他组织或者个人，不得参加</w:t>
            </w:r>
            <w:r>
              <w:rPr>
                <w:rFonts w:hint="eastAsia"/>
                <w:color w:val="auto"/>
                <w:highlight w:val="none"/>
              </w:rPr>
              <w:t>报价</w:t>
            </w:r>
            <w:r>
              <w:rPr>
                <w:color w:val="auto"/>
                <w:highlight w:val="none"/>
              </w:rPr>
              <w:t>；单位负责人为同一人或者存在控股、管理关系的不同单位，不得同时参加</w:t>
            </w:r>
            <w:r>
              <w:rPr>
                <w:rFonts w:hint="eastAsia"/>
                <w:color w:val="auto"/>
                <w:highlight w:val="none"/>
              </w:rPr>
              <w:t>报价</w:t>
            </w:r>
            <w:r>
              <w:rPr>
                <w:color w:val="auto"/>
                <w:highlight w:val="none"/>
              </w:rPr>
              <w:t>，否则相关</w:t>
            </w:r>
            <w:r>
              <w:rPr>
                <w:rFonts w:hint="eastAsia"/>
                <w:color w:val="auto"/>
                <w:highlight w:val="none"/>
              </w:rPr>
              <w:t>报价</w:t>
            </w:r>
            <w:r>
              <w:rPr>
                <w:color w:val="auto"/>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8</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szCs w:val="21"/>
                <w:highlight w:val="none"/>
                <w:lang w:val="en-US" w:eastAsia="zh-CN"/>
              </w:rPr>
              <w:t>项目主要管理人员</w:t>
            </w:r>
            <w:r>
              <w:rPr>
                <w:color w:val="auto"/>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color w:val="auto"/>
                <w:highlight w:val="none"/>
                <w:lang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cs="宋体"/>
                <w:color w:val="auto"/>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color w:val="auto"/>
                <w:highlight w:val="none"/>
                <w:lang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kern w:val="1"/>
                <w:highlight w:val="none"/>
              </w:rPr>
            </w:pPr>
            <w:r>
              <w:rPr>
                <w:color w:val="auto"/>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rFonts w:hint="eastAsia" w:eastAsia="宋体"/>
                <w:color w:val="auto"/>
                <w:highlight w:val="none"/>
                <w:lang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4</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color w:val="auto"/>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符合比选文件给出的范围及数量，且报价不得超过</w:t>
            </w:r>
            <w:r>
              <w:rPr>
                <w:rFonts w:hint="eastAsia"/>
                <w:color w:val="auto"/>
                <w:highlight w:val="none"/>
              </w:rPr>
              <w:t>采购人</w:t>
            </w:r>
            <w:r>
              <w:rPr>
                <w:color w:val="auto"/>
                <w:highlight w:val="none"/>
              </w:rPr>
              <w:t>公布的最高限</w:t>
            </w:r>
            <w:r>
              <w:rPr>
                <w:rFonts w:hint="eastAsia"/>
                <w:color w:val="auto"/>
                <w:highlight w:val="none"/>
              </w:rPr>
              <w:t>利润分成比例</w:t>
            </w:r>
            <w:r>
              <w:rPr>
                <w:color w:val="auto"/>
                <w:highlight w:val="none"/>
              </w:rPr>
              <w:t>，但也不得低于</w:t>
            </w:r>
            <w:r>
              <w:rPr>
                <w:rFonts w:hint="eastAsia"/>
                <w:color w:val="auto"/>
                <w:highlight w:val="none"/>
              </w:rPr>
              <w:t>报价</w:t>
            </w:r>
            <w:r>
              <w:rPr>
                <w:color w:val="auto"/>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5</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6</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color w:val="auto"/>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color w:val="auto"/>
                <w:highlight w:val="none"/>
              </w:rPr>
            </w:pPr>
            <w:r>
              <w:rPr>
                <w:color w:val="auto"/>
                <w:highlight w:val="none"/>
              </w:rPr>
              <w:t>符合第二章“</w:t>
            </w:r>
            <w:r>
              <w:rPr>
                <w:rFonts w:hint="eastAsia"/>
                <w:color w:val="auto"/>
                <w:highlight w:val="none"/>
              </w:rPr>
              <w:t>报价</w:t>
            </w:r>
            <w:r>
              <w:rPr>
                <w:color w:val="auto"/>
                <w:highlight w:val="none"/>
              </w:rPr>
              <w:t>人须知”第</w:t>
            </w:r>
            <w:r>
              <w:rPr>
                <w:rFonts w:hint="eastAsia"/>
                <w:color w:val="auto"/>
                <w:highlight w:val="none"/>
                <w:lang w:val="en-US" w:eastAsia="zh-CN"/>
              </w:rPr>
              <w:t>7</w:t>
            </w:r>
            <w:r>
              <w:rPr>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color w:val="auto"/>
                <w:highlight w:val="none"/>
                <w:lang w:eastAsia="zh-CN"/>
              </w:rPr>
            </w:pPr>
            <w:r>
              <w:rPr>
                <w:rFonts w:hint="eastAsia"/>
                <w:color w:val="auto"/>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highlight w:val="none"/>
              </w:rPr>
            </w:pPr>
            <w:r>
              <w:rPr>
                <w:rFonts w:hint="eastAsia" w:ascii="宋体" w:hAnsi="宋体" w:eastAsia="宋体" w:cs="宋体"/>
                <w:color w:val="auto"/>
                <w:kern w:val="0"/>
                <w:sz w:val="21"/>
                <w:szCs w:val="21"/>
                <w:highlight w:val="none"/>
              </w:rPr>
              <w:t>分值构成</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分值构成</w:t>
            </w:r>
          </w:p>
          <w:p>
            <w:pP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rPr>
              <w:t>（总分100分）</w:t>
            </w:r>
          </w:p>
        </w:tc>
        <w:tc>
          <w:tcPr>
            <w:tcW w:w="5004" w:type="dxa"/>
            <w:tcBorders>
              <w:top w:val="single" w:color="auto" w:sz="4" w:space="0"/>
              <w:left w:val="single" w:color="auto" w:sz="4" w:space="0"/>
              <w:bottom w:val="single" w:color="auto" w:sz="4" w:space="0"/>
            </w:tcBorders>
            <w:vAlign w:val="top"/>
          </w:tcPr>
          <w:p>
            <w:pPr>
              <w:numPr>
                <w:ilvl w:val="0"/>
                <w:numId w:val="0"/>
              </w:numP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en-US" w:eastAsia="zh-CN"/>
              </w:rPr>
              <w:t>报价部分</w:t>
            </w:r>
            <w:r>
              <w:rPr>
                <w:rFonts w:hint="eastAsia" w:ascii="宋体" w:hAnsi="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p>
          <w:p>
            <w:pPr>
              <w:numPr>
                <w:ilvl w:val="0"/>
                <w:numId w:val="0"/>
              </w:numP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 w:val="21"/>
                <w:szCs w:val="21"/>
                <w:highlight w:val="none"/>
                <w:lang w:val="en-US" w:eastAsia="zh-CN"/>
              </w:rPr>
              <w:t>2.技术部分B：20分；</w:t>
            </w:r>
          </w:p>
          <w:p>
            <w:pPr>
              <w:numPr>
                <w:ilvl w:val="0"/>
                <w:numId w:val="0"/>
              </w:numPr>
              <w:autoSpaceDE w:val="0"/>
              <w:autoSpaceDN w:val="0"/>
              <w:adjustRightInd w:val="0"/>
              <w:spacing w:line="320" w:lineRule="exact"/>
              <w:ind w:firstLine="420" w:firstLineChars="200"/>
              <w:jc w:val="left"/>
              <w:rPr>
                <w:color w:val="auto"/>
                <w:highlight w:val="none"/>
              </w:rPr>
            </w:pPr>
            <w:r>
              <w:rPr>
                <w:rFonts w:hint="eastAsia" w:ascii="宋体" w:hAnsi="宋体" w:cs="宋体"/>
                <w:color w:val="auto"/>
                <w:kern w:val="0"/>
                <w:sz w:val="21"/>
                <w:szCs w:val="21"/>
                <w:highlight w:val="none"/>
                <w:lang w:val="en-US" w:eastAsia="zh-CN"/>
              </w:rPr>
              <w:t>3.商务部分C：30分；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default"/>
                <w:color w:val="auto"/>
                <w:highlight w:val="none"/>
                <w:lang w:val="en-US" w:eastAsia="zh-CN"/>
              </w:rPr>
            </w:pPr>
            <w:r>
              <w:rPr>
                <w:rFonts w:hint="eastAsia"/>
                <w:color w:val="auto"/>
                <w:highlight w:val="none"/>
                <w:lang w:val="en-US" w:eastAsia="zh-CN"/>
              </w:rPr>
              <w:t>6</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val="en-US" w:eastAsia="zh-CN"/>
              </w:rPr>
              <w:t>A</w:t>
            </w:r>
            <w:r>
              <w:rPr>
                <w:rFonts w:hint="eastAsia" w:ascii="宋体" w:hAnsi="宋体" w:eastAsia="宋体" w:cs="宋体"/>
                <w:color w:val="auto"/>
                <w:kern w:val="0"/>
                <w:sz w:val="21"/>
                <w:szCs w:val="21"/>
                <w:highlight w:val="none"/>
                <w:lang w:val="en-US" w:eastAsia="zh-CN"/>
              </w:rPr>
              <w:t>.报价部分评分标准</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lang w:val="en-US" w:eastAsia="zh-CN"/>
              </w:rPr>
              <w:t>报价</w:t>
            </w:r>
            <w:r>
              <w:rPr>
                <w:rFonts w:hint="eastAsia" w:ascii="宋体" w:hAnsi="宋体" w:cs="宋体"/>
                <w:color w:val="auto"/>
                <w:kern w:val="0"/>
                <w:sz w:val="21"/>
                <w:szCs w:val="21"/>
                <w:highlight w:val="none"/>
                <w:lang w:val="en-US" w:eastAsia="zh-CN"/>
              </w:rPr>
              <w:t>部分</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0</w:t>
            </w:r>
            <w:r>
              <w:rPr>
                <w:rFonts w:hint="eastAsia" w:ascii="宋体" w:hAnsi="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lang w:val="en-US" w:eastAsia="zh-CN"/>
              </w:rPr>
              <w:t>）</w:t>
            </w:r>
          </w:p>
        </w:tc>
        <w:tc>
          <w:tcPr>
            <w:tcW w:w="5004" w:type="dxa"/>
            <w:tcBorders>
              <w:top w:val="single" w:color="auto" w:sz="4" w:space="0"/>
              <w:left w:val="single" w:color="auto" w:sz="4" w:space="0"/>
              <w:bottom w:val="single" w:color="auto" w:sz="4" w:space="0"/>
            </w:tcBorders>
            <w:vAlign w:val="center"/>
          </w:tcPr>
          <w:p>
            <w:pPr>
              <w:wordWrap w:val="0"/>
              <w:adjustRightInd w:val="0"/>
              <w:snapToGrid w:val="0"/>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1.满足招标文件要求，有效的投标报价的平均值为评标基准价。</w:t>
            </w:r>
          </w:p>
          <w:p>
            <w:pPr>
              <w:wordWrap w:val="0"/>
              <w:adjustRightInd w:val="0"/>
              <w:snapToGrid w:val="0"/>
              <w:spacing w:line="40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2.偏差率=100%×（投标人报价－评标基准价）/评标基准价。</w:t>
            </w:r>
          </w:p>
          <w:p>
            <w:pPr>
              <w:pStyle w:val="169"/>
              <w:ind w:firstLine="426"/>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3.经评审的有效投标报价与评标基准价相比，等于基准价的得50分，每增加1%扣0.5分，每减少1%扣0.25分，</w:t>
            </w:r>
            <w:r>
              <w:rPr>
                <w:rFonts w:hint="eastAsia" w:asciiTheme="minorEastAsia" w:hAnsiTheme="minorEastAsia" w:eastAsiaTheme="minorEastAsia" w:cstheme="minorEastAsia"/>
                <w:szCs w:val="21"/>
                <w:highlight w:val="none"/>
                <w:lang w:val="en-US" w:eastAsia="zh-CN"/>
              </w:rPr>
              <w:t>线性计分，</w:t>
            </w:r>
            <w:r>
              <w:rPr>
                <w:rFonts w:hint="eastAsia" w:asciiTheme="minorEastAsia" w:hAnsiTheme="minorEastAsia" w:eastAsiaTheme="minorEastAsia" w:cstheme="minorEastAsia"/>
                <w:szCs w:val="21"/>
                <w:highlight w:val="none"/>
              </w:rPr>
              <w:t>扣完为止。</w:t>
            </w:r>
          </w:p>
          <w:p>
            <w:pPr>
              <w:numPr>
                <w:ilvl w:val="-1"/>
                <w:numId w:val="0"/>
              </w:numPr>
              <w:autoSpaceDE/>
              <w:autoSpaceDN/>
              <w:adjustRightInd/>
              <w:spacing w:line="400" w:lineRule="exact"/>
              <w:ind w:left="0" w:leftChars="0" w:firstLine="420" w:firstLineChars="200"/>
              <w:rPr>
                <w:color w:val="auto"/>
                <w:highlight w:val="none"/>
              </w:rPr>
            </w:pPr>
            <w:r>
              <w:rPr>
                <w:rFonts w:hint="eastAsia" w:asciiTheme="minorEastAsia" w:hAnsiTheme="minorEastAsia" w:eastAsiaTheme="minorEastAsia" w:cstheme="minorEastAsia"/>
                <w:szCs w:val="21"/>
                <w:highlight w:val="none"/>
              </w:rPr>
              <w:t>4.保留2位小数。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default"/>
                <w:color w:val="auto"/>
                <w:highlight w:val="none"/>
                <w:lang w:val="en-US" w:eastAsia="zh-CN"/>
              </w:rPr>
            </w:pPr>
            <w:r>
              <w:rPr>
                <w:rFonts w:hint="eastAsia"/>
                <w:color w:val="auto"/>
                <w:highlight w:val="none"/>
                <w:lang w:val="en-US" w:eastAsia="zh-CN"/>
              </w:rPr>
              <w:t>7</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eastAsia="zh-CN"/>
              </w:rPr>
              <w:t>B</w:t>
            </w:r>
            <w:r>
              <w:rPr>
                <w:rFonts w:hint="eastAsia" w:ascii="宋体" w:hAnsi="宋体" w:eastAsia="宋体" w:cs="宋体"/>
                <w:color w:val="auto"/>
                <w:kern w:val="0"/>
                <w:sz w:val="21"/>
                <w:szCs w:val="21"/>
                <w:highlight w:val="none"/>
              </w:rPr>
              <w:t>.技术部分评分标准</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rPr>
              <w:t>技术</w:t>
            </w:r>
            <w:r>
              <w:rPr>
                <w:rFonts w:hint="eastAsia" w:ascii="宋体" w:hAnsi="宋体" w:cs="宋体"/>
                <w:color w:val="auto"/>
                <w:kern w:val="0"/>
                <w:sz w:val="21"/>
                <w:szCs w:val="21"/>
                <w:highlight w:val="none"/>
                <w:lang w:val="en-US" w:eastAsia="zh-CN"/>
              </w:rPr>
              <w:t>部分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0分）</w:t>
            </w:r>
          </w:p>
        </w:tc>
        <w:tc>
          <w:tcPr>
            <w:tcW w:w="5004" w:type="dxa"/>
            <w:tcBorders>
              <w:top w:val="single" w:color="auto" w:sz="4" w:space="0"/>
              <w:left w:val="single" w:color="auto" w:sz="4" w:space="0"/>
              <w:bottom w:val="single" w:color="auto" w:sz="4" w:space="0"/>
            </w:tcBorders>
            <w:vAlign w:val="center"/>
          </w:tcPr>
          <w:p>
            <w:pPr>
              <w:numPr>
                <w:ilvl w:val="0"/>
                <w:numId w:val="4"/>
              </w:numPr>
              <w:autoSpaceDE w:val="0"/>
              <w:autoSpaceDN w:val="0"/>
              <w:adjustRightInd w:val="0"/>
              <w:spacing w:line="320" w:lineRule="exact"/>
              <w:jc w:val="left"/>
            </w:pPr>
            <w:r>
              <w:rPr>
                <w:rFonts w:hint="eastAsia"/>
                <w:lang w:val="en-US" w:eastAsia="zh-CN"/>
              </w:rPr>
              <w:t>评分要点：结合采购人实际情况，对本项目的理解是否透彻；安全和环保管理体系修订、安全风险分级管控和隐患排查治理双重预防机制建设、培训、先进经验交流学习等方面工作的目标是否明确，工作流程是否清晰，工作方法是否针对性强，人力配置是否齐全。</w:t>
            </w:r>
          </w:p>
          <w:p>
            <w:pPr>
              <w:numPr>
                <w:ilvl w:val="0"/>
                <w:numId w:val="4"/>
              </w:numPr>
              <w:autoSpaceDE w:val="0"/>
              <w:autoSpaceDN w:val="0"/>
              <w:adjustRightInd w:val="0"/>
              <w:spacing w:line="320" w:lineRule="exact"/>
              <w:jc w:val="left"/>
            </w:pPr>
            <w:r>
              <w:rPr>
                <w:rFonts w:hint="eastAsia" w:ascii="宋体" w:hAnsi="宋体" w:eastAsia="宋体" w:cs="宋体"/>
                <w:color w:val="auto"/>
                <w:kern w:val="2"/>
                <w:sz w:val="21"/>
                <w:szCs w:val="21"/>
                <w:highlight w:val="none"/>
                <w:lang w:val="en-US" w:eastAsia="zh-CN"/>
              </w:rPr>
              <w:t>根据需求进行项目总体设计，</w:t>
            </w:r>
            <w:r>
              <w:rPr>
                <w:rFonts w:hint="eastAsia" w:ascii="宋体" w:hAnsi="宋体" w:cs="宋体"/>
                <w:color w:val="auto"/>
                <w:kern w:val="2"/>
                <w:sz w:val="21"/>
                <w:szCs w:val="21"/>
                <w:highlight w:val="none"/>
                <w:lang w:val="en-US" w:eastAsia="zh-CN"/>
              </w:rPr>
              <w:t>报价人</w:t>
            </w:r>
            <w:r>
              <w:rPr>
                <w:rFonts w:hint="eastAsia" w:ascii="宋体" w:hAnsi="宋体" w:eastAsia="宋体" w:cs="宋体"/>
                <w:color w:val="auto"/>
                <w:kern w:val="2"/>
                <w:sz w:val="21"/>
                <w:szCs w:val="21"/>
                <w:highlight w:val="none"/>
                <w:lang w:val="en-US" w:eastAsia="zh-CN"/>
              </w:rPr>
              <w:t>提供涵盖“工作内容”的实施方案，优秀得18-20分，中等得14-17分，一般得11-1</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分，差得1-10分，不可行或未提供得0分。本项最高得分20分。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0" w:hRule="atLeas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default"/>
                <w:color w:val="auto"/>
                <w:highlight w:val="none"/>
                <w:lang w:val="en-US" w:eastAsia="zh-CN"/>
              </w:rPr>
            </w:pPr>
            <w:r>
              <w:rPr>
                <w:rFonts w:hint="eastAsia"/>
                <w:color w:val="auto"/>
                <w:highlight w:val="none"/>
                <w:lang w:val="en-US" w:eastAsia="zh-CN"/>
              </w:rPr>
              <w:t>8</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eastAsia="zh-CN"/>
              </w:rPr>
              <w:t>C</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评分标准</w:t>
            </w:r>
          </w:p>
        </w:tc>
        <w:tc>
          <w:tcPr>
            <w:tcW w:w="2117"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jc w:val="center"/>
              <w:rPr>
                <w:color w:val="auto"/>
                <w:highlight w:val="none"/>
              </w:rPr>
            </w:pPr>
            <w:r>
              <w:rPr>
                <w:rFonts w:hint="eastAsia" w:ascii="宋体" w:hAnsi="宋体" w:cs="宋体"/>
                <w:color w:val="auto"/>
                <w:kern w:val="0"/>
                <w:sz w:val="21"/>
                <w:szCs w:val="21"/>
                <w:highlight w:val="none"/>
                <w:lang w:val="en-US" w:eastAsia="zh-CN"/>
              </w:rPr>
              <w:t>商务部分</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0分）</w:t>
            </w:r>
          </w:p>
        </w:tc>
        <w:tc>
          <w:tcPr>
            <w:tcW w:w="5004" w:type="dxa"/>
            <w:tcBorders>
              <w:top w:val="single" w:color="auto" w:sz="4" w:space="0"/>
              <w:left w:val="single" w:color="auto" w:sz="4" w:space="0"/>
              <w:bottom w:val="single" w:color="auto" w:sz="4" w:space="0"/>
            </w:tcBorders>
            <w:vAlign w:val="center"/>
          </w:tcPr>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1.人员配置</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（10分）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项目组组长：具有高级工程师职称、注册安全工程师、安全评价师资质之一的，得2分；同时具有高级工程师职称、注册安全工程师、安全评价师，得5分，得5分。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项目成员：</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（1）具有注册消防工程师资质的，得1分。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（2）具有一级建造师资质的，得1分。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（3）具有注册安全工程师资质的，得1分。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（4）具有高级工程师职称或入选省级（含）以上安全生产专家库（有效聘期内）的，得2分。</w:t>
            </w:r>
          </w:p>
          <w:p>
            <w:pPr>
              <w:autoSpaceDE w:val="0"/>
              <w:autoSpaceDN w:val="0"/>
              <w:adjustRightInd w:val="0"/>
              <w:spacing w:line="320" w:lineRule="exact"/>
              <w:ind w:firstLine="420" w:firstLineChars="200"/>
              <w:jc w:val="left"/>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注：同一人具有不同类别评分项的，不重复计分，仅按对应的类别最高分值进行计分。</w:t>
            </w:r>
            <w:r>
              <w:rPr>
                <w:rFonts w:hint="eastAsia" w:ascii="宋体" w:hAnsi="宋体" w:cs="宋体"/>
                <w:color w:val="auto"/>
                <w:kern w:val="2"/>
                <w:sz w:val="21"/>
                <w:szCs w:val="21"/>
                <w:highlight w:val="none"/>
                <w:lang w:val="en-US" w:eastAsia="zh-CN"/>
              </w:rPr>
              <w:t>需提供项目组人员近期社保证明。</w:t>
            </w:r>
          </w:p>
          <w:p>
            <w:pPr>
              <w:autoSpaceDE w:val="0"/>
              <w:autoSpaceDN w:val="0"/>
              <w:adjustRightInd w:val="0"/>
              <w:spacing w:line="320" w:lineRule="exact"/>
              <w:ind w:firstLine="420" w:firstLineChars="200"/>
              <w:jc w:val="left"/>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2.报价人业绩（20分）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2020年1月1日至今，政府部门和企业委托的安全生产服务类项目业绩：</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（1）具有政府部门或企业委托的安全技术服务类业绩且单个合同金额在50万元以上的，如第三方协助安全监管、风险管控、隐患排查治理等安全生产服务业绩，每个得2分，最高得10分</w:t>
            </w:r>
            <w:r>
              <w:rPr>
                <w:rFonts w:hint="eastAsia" w:ascii="宋体" w:hAnsi="宋体" w:cs="宋体"/>
                <w:color w:val="auto"/>
                <w:kern w:val="2"/>
                <w:sz w:val="21"/>
                <w:szCs w:val="21"/>
                <w:highlight w:val="none"/>
                <w:lang w:val="en-US" w:eastAsia="zh-CN"/>
              </w:rPr>
              <w:t>；</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（2）具有企业委托的安全管理体系或安全管理制度建设业绩的，每个得2分，满分4分；</w:t>
            </w:r>
          </w:p>
          <w:p>
            <w:pPr>
              <w:autoSpaceDE w:val="0"/>
              <w:autoSpaceDN w:val="0"/>
              <w:adjustRightInd w:val="0"/>
              <w:spacing w:line="320" w:lineRule="exact"/>
              <w:ind w:firstLine="420" w:firstLineChars="20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（3）具有企业委托的安全生产标准化、安全培训、应急预案等其他安全生产服务业绩的，每个得2分，满分6分</w:t>
            </w:r>
            <w:r>
              <w:rPr>
                <w:rFonts w:hint="eastAsia" w:ascii="宋体" w:hAnsi="宋体" w:cs="宋体"/>
                <w:color w:val="auto"/>
                <w:kern w:val="2"/>
                <w:sz w:val="21"/>
                <w:szCs w:val="21"/>
                <w:highlight w:val="none"/>
                <w:lang w:val="en-US" w:eastAsia="zh-CN"/>
              </w:rPr>
              <w:t>。</w:t>
            </w:r>
          </w:p>
          <w:p>
            <w:pPr>
              <w:autoSpaceDE w:val="0"/>
              <w:autoSpaceDN w:val="0"/>
              <w:adjustRightInd w:val="0"/>
              <w:spacing w:line="320" w:lineRule="exact"/>
              <w:ind w:firstLine="420" w:firstLineChars="200"/>
              <w:jc w:val="left"/>
              <w:rPr>
                <w:highlight w:val="yellow"/>
              </w:rPr>
            </w:pPr>
            <w:r>
              <w:rPr>
                <w:rFonts w:hint="eastAsia" w:asciiTheme="minorEastAsia" w:hAnsiTheme="minorEastAsia" w:eastAsiaTheme="minorEastAsia" w:cstheme="minorEastAsia"/>
                <w:sz w:val="21"/>
                <w:szCs w:val="21"/>
                <w:highlight w:val="none"/>
              </w:rPr>
              <w:t>注：需提供以上业绩合同扫描件并加盖公章。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1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w:t>
            </w:r>
          </w:p>
          <w:p>
            <w:pPr>
              <w:autoSpaceDE w:val="0"/>
              <w:autoSpaceDN w:val="0"/>
              <w:adjustRightInd w:val="0"/>
              <w:spacing w:line="320" w:lineRule="exact"/>
              <w:jc w:val="center"/>
              <w:rPr>
                <w:color w:val="auto"/>
                <w:highlight w:val="none"/>
              </w:rPr>
            </w:pPr>
            <w:r>
              <w:rPr>
                <w:rFonts w:hint="eastAsia" w:ascii="宋体" w:hAnsi="宋体" w:eastAsia="宋体" w:cs="宋体"/>
                <w:color w:val="auto"/>
                <w:kern w:val="0"/>
                <w:sz w:val="21"/>
                <w:szCs w:val="21"/>
                <w:highlight w:val="none"/>
              </w:rPr>
              <w:t>程序</w:t>
            </w:r>
          </w:p>
        </w:tc>
        <w:tc>
          <w:tcPr>
            <w:tcW w:w="7121" w:type="dxa"/>
            <w:gridSpan w:val="2"/>
            <w:tcBorders>
              <w:top w:val="single" w:color="auto" w:sz="4" w:space="0"/>
              <w:left w:val="single" w:color="auto" w:sz="4" w:space="0"/>
              <w:bottom w:val="single" w:color="auto" w:sz="4" w:space="0"/>
            </w:tcBorders>
            <w:vAlign w:val="center"/>
          </w:tcPr>
          <w:p>
            <w:pP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1.初步评审前，按规定对所有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递交的竞争性比选响应文件进行初步评审（形式、资格、响应评审）。</w:t>
            </w:r>
          </w:p>
          <w:p>
            <w:pP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2.初步评审合格的才进行详细评审。</w:t>
            </w:r>
          </w:p>
          <w:p>
            <w:pPr>
              <w:autoSpaceDE w:val="0"/>
              <w:autoSpaceDN w:val="0"/>
              <w:adjustRightInd w:val="0"/>
              <w:spacing w:line="32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3.根据综合得分由高至低进行排序，</w:t>
            </w:r>
            <w:r>
              <w:rPr>
                <w:rFonts w:hint="eastAsia" w:ascii="宋体" w:hAnsi="宋体" w:cs="宋体"/>
                <w:color w:val="auto"/>
                <w:kern w:val="0"/>
                <w:szCs w:val="21"/>
                <w:highlight w:val="none"/>
              </w:rPr>
              <w:t>推荐2名中标候选人</w:t>
            </w:r>
            <w:r>
              <w:rPr>
                <w:rFonts w:hint="eastAsia" w:ascii="宋体" w:hAnsi="宋体" w:eastAsia="宋体" w:cs="宋体"/>
                <w:color w:val="auto"/>
                <w:kern w:val="0"/>
                <w:sz w:val="21"/>
                <w:szCs w:val="21"/>
                <w:highlight w:val="none"/>
              </w:rPr>
              <w:t>。</w:t>
            </w:r>
          </w:p>
          <w:p>
            <w:pPr>
              <w:autoSpaceDE w:val="0"/>
              <w:autoSpaceDN w:val="0"/>
              <w:adjustRightInd w:val="0"/>
              <w:spacing w:line="320" w:lineRule="exact"/>
              <w:ind w:firstLine="420" w:firstLineChars="200"/>
              <w:jc w:val="left"/>
              <w:rPr>
                <w:color w:val="auto"/>
                <w:highlight w:val="none"/>
              </w:rPr>
            </w:pPr>
            <w:r>
              <w:rPr>
                <w:rFonts w:hint="eastAsia" w:ascii="宋体" w:hAnsi="宋体" w:eastAsia="宋体" w:cs="宋体"/>
                <w:color w:val="auto"/>
                <w:kern w:val="0"/>
                <w:sz w:val="21"/>
                <w:szCs w:val="21"/>
                <w:highlight w:val="none"/>
              </w:rPr>
              <w:t>4.如经过对所有</w:t>
            </w:r>
            <w:r>
              <w:rPr>
                <w:rFonts w:hint="eastAsia" w:ascii="宋体" w:hAnsi="宋体" w:cs="宋体"/>
                <w:color w:val="auto"/>
                <w:kern w:val="0"/>
                <w:sz w:val="21"/>
                <w:szCs w:val="21"/>
                <w:highlight w:val="none"/>
                <w:lang w:val="en-US" w:eastAsia="zh-CN"/>
              </w:rPr>
              <w:t>报价人</w:t>
            </w:r>
            <w:r>
              <w:rPr>
                <w:rFonts w:hint="eastAsia" w:ascii="宋体" w:hAnsi="宋体" w:eastAsia="宋体" w:cs="宋体"/>
                <w:color w:val="auto"/>
                <w:kern w:val="0"/>
                <w:sz w:val="21"/>
                <w:szCs w:val="21"/>
                <w:highlight w:val="none"/>
              </w:rPr>
              <w:t>的竞争性比选响应文件进行评审，有效</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不足三个使得</w:t>
            </w:r>
            <w:r>
              <w:rPr>
                <w:rFonts w:hint="eastAsia" w:ascii="宋体" w:hAnsi="宋体" w:eastAsia="宋体" w:cs="宋体"/>
                <w:color w:val="auto"/>
                <w:kern w:val="0"/>
                <w:sz w:val="21"/>
                <w:szCs w:val="21"/>
                <w:highlight w:val="none"/>
                <w:lang w:val="en-US" w:eastAsia="zh-CN"/>
              </w:rPr>
              <w:t>比选</w:t>
            </w:r>
            <w:r>
              <w:rPr>
                <w:rFonts w:hint="eastAsia" w:ascii="宋体" w:hAnsi="宋体" w:eastAsia="宋体" w:cs="宋体"/>
                <w:color w:val="auto"/>
                <w:kern w:val="0"/>
                <w:sz w:val="21"/>
                <w:szCs w:val="21"/>
                <w:highlight w:val="none"/>
              </w:rPr>
              <w:t>明显缺乏竞争的，评标委员会可以否决全部</w:t>
            </w:r>
            <w:r>
              <w:rPr>
                <w:rFonts w:hint="eastAsia" w:ascii="宋体" w:hAnsi="宋体" w:eastAsia="宋体" w:cs="宋体"/>
                <w:color w:val="auto"/>
                <w:kern w:val="0"/>
                <w:sz w:val="21"/>
                <w:szCs w:val="21"/>
                <w:highlight w:val="none"/>
                <w:lang w:val="en-US" w:eastAsia="zh-CN"/>
              </w:rPr>
              <w:t>比选文件</w:t>
            </w:r>
            <w:r>
              <w:rPr>
                <w:rFonts w:hint="eastAsia" w:ascii="宋体" w:hAnsi="宋体" w:eastAsia="宋体" w:cs="宋体"/>
                <w:color w:val="auto"/>
                <w:kern w:val="0"/>
                <w:sz w:val="21"/>
                <w:szCs w:val="21"/>
                <w:highlight w:val="none"/>
              </w:rPr>
              <w:t>。如果评标委员会裁定仍具有竞争性，则按照规定程序进行评审，推荐</w:t>
            </w:r>
            <w:r>
              <w:rPr>
                <w:rFonts w:hint="eastAsia"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名中标候选人。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1" w:lineRule="exact"/>
              <w:jc w:val="center"/>
              <w:rPr>
                <w:color w:val="auto"/>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得分</w:t>
            </w:r>
          </w:p>
        </w:tc>
        <w:tc>
          <w:tcPr>
            <w:tcW w:w="7121" w:type="dxa"/>
            <w:gridSpan w:val="2"/>
            <w:tcBorders>
              <w:top w:val="single" w:color="auto" w:sz="4" w:space="0"/>
              <w:left w:val="single" w:color="auto" w:sz="4" w:space="0"/>
              <w:bottom w:val="single" w:color="auto" w:sz="4" w:space="0"/>
            </w:tcBorders>
            <w:vAlign w:val="center"/>
          </w:tcPr>
          <w:p>
            <w:pPr>
              <w:ind w:firstLine="420" w:firstLineChars="0"/>
              <w:jc w:val="center"/>
              <w:rPr>
                <w:color w:val="auto"/>
                <w:highlight w:val="none"/>
              </w:rPr>
            </w:pPr>
            <w:r>
              <w:rPr>
                <w:rFonts w:hint="eastAsia" w:ascii="宋体" w:hAnsi="宋体" w:cs="宋体"/>
                <w:color w:val="auto"/>
                <w:sz w:val="21"/>
                <w:szCs w:val="21"/>
                <w:highlight w:val="none"/>
                <w:lang w:val="en-US" w:eastAsia="zh-CN"/>
              </w:rPr>
              <w:t>报价人</w:t>
            </w:r>
            <w:r>
              <w:rPr>
                <w:rFonts w:hint="eastAsia" w:ascii="宋体" w:hAnsi="宋体" w:eastAsia="宋体" w:cs="宋体"/>
                <w:color w:val="auto"/>
                <w:sz w:val="21"/>
                <w:szCs w:val="21"/>
                <w:highlight w:val="none"/>
              </w:rPr>
              <w:t>得分=A+B</w:t>
            </w:r>
            <w:r>
              <w:rPr>
                <w:rFonts w:hint="eastAsia" w:ascii="宋体" w:hAnsi="宋体" w:eastAsia="宋体" w:cs="宋体"/>
                <w:color w:val="auto"/>
                <w:sz w:val="21"/>
                <w:szCs w:val="21"/>
                <w:highlight w:val="none"/>
                <w:lang w:val="en-US" w:eastAsia="zh-CN"/>
              </w:rPr>
              <w:t>+C</w:t>
            </w:r>
          </w:p>
        </w:tc>
      </w:tr>
    </w:tbl>
    <w:p>
      <w:pPr>
        <w:rPr>
          <w:rFonts w:hint="eastAsia" w:ascii="宋体" w:hAnsi="宋体" w:cs="宋体"/>
          <w:color w:val="auto"/>
          <w:highlight w:val="none"/>
        </w:rPr>
      </w:pPr>
    </w:p>
    <w:p>
      <w:pPr>
        <w:spacing w:line="360" w:lineRule="auto"/>
        <w:ind w:firstLine="480"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color w:val="000000" w:themeColor="text1"/>
          <w:sz w:val="24"/>
          <w:szCs w:val="28"/>
          <w14:textFill>
            <w14:solidFill>
              <w14:schemeClr w14:val="tx1"/>
            </w14:solidFill>
          </w14:textFill>
        </w:rPr>
        <w:t>综合评估法，是指</w:t>
      </w:r>
      <w:r>
        <w:rPr>
          <w:rFonts w:hint="eastAsia" w:asciiTheme="minorEastAsia" w:hAnsiTheme="minorEastAsia" w:eastAsiaTheme="minorEastAsia" w:cstheme="minorEastAsia"/>
          <w:color w:val="000000" w:themeColor="text1"/>
          <w:sz w:val="24"/>
          <w:szCs w:val="28"/>
          <w:lang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24"/>
          <w:szCs w:val="28"/>
          <w14:textFill>
            <w14:solidFill>
              <w14:schemeClr w14:val="tx1"/>
            </w14:solidFill>
          </w14:textFill>
        </w:rPr>
        <w:t>满足招标文件全部实质性要求且按照评审因素的量化指标评审得分最高的报价人为中标候选人的评标方法。报价人总得分为价格、商务、技术等评定因素分别按照相应权重值计算分项得分后相加，满分为100分。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（一）符合性审查</w:t>
      </w:r>
    </w:p>
    <w:p>
      <w:pPr>
        <w:snapToGrid w:val="0"/>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评标委员会应当对符合资格的报价人的</w:t>
      </w:r>
      <w:r>
        <w:rPr>
          <w:rFonts w:hint="eastAsia" w:asciiTheme="minorEastAsia" w:hAnsiTheme="minorEastAsia" w:eastAsiaTheme="minorEastAsia" w:cstheme="minorEastAsia"/>
          <w:kern w:val="0"/>
          <w:sz w:val="24"/>
          <w:lang w:eastAsia="zh-CN"/>
        </w:rPr>
        <w:t>响应文件</w:t>
      </w:r>
      <w:r>
        <w:rPr>
          <w:rFonts w:hint="eastAsia" w:asciiTheme="minorEastAsia" w:hAnsiTheme="minorEastAsia" w:eastAsiaTheme="minorEastAsia" w:cstheme="minorEastAsia"/>
          <w:kern w:val="0"/>
          <w:sz w:val="24"/>
        </w:rPr>
        <w:t>进行符合性审查，以确定其是否满足招标文件的实质性要求。</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（二）澄清有关问题。对</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的范围或者改变</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的实质性内容。</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（三）比较与评价。按招标文件中规定的评标方法和标准，对资格审查和符合性审查合格的</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进行商务和技术评估。</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评标委员会各成员独立对每个有效报价人（通过资格审查、符合性审查的报价人）的</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 w:val="24"/>
          <w:lang w:eastAsia="zh-CN"/>
        </w:rPr>
        <w:t>响应文件</w:t>
      </w:r>
      <w:r>
        <w:rPr>
          <w:rFonts w:hint="eastAsia" w:asciiTheme="minorEastAsia" w:hAnsiTheme="minorEastAsia" w:eastAsiaTheme="minorEastAsia" w:cstheme="minorEastAsia"/>
          <w:sz w:val="24"/>
        </w:rPr>
        <w:t>进行再次核对，确属打分有误的，应及时进行修正。</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复核后，评标委员会汇总每个报价人每项评分因素的得分。</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（四）推荐中标候选人名单。</w:t>
      </w:r>
    </w:p>
    <w:p>
      <w:pPr>
        <w:snapToGri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按评审后得分由高到低的排列顺序推荐综合得分排名第一</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第二</w:t>
      </w:r>
      <w:r>
        <w:rPr>
          <w:rFonts w:hint="eastAsia" w:asciiTheme="minorEastAsia" w:hAnsiTheme="minorEastAsia" w:eastAsiaTheme="minorEastAsia" w:cstheme="minorEastAsia"/>
          <w:sz w:val="24"/>
        </w:rPr>
        <w:t>的报价人为本项目中标候选人。</w:t>
      </w:r>
    </w:p>
    <w:p>
      <w:pPr>
        <w:snapToGrid w:val="0"/>
        <w:spacing w:line="360" w:lineRule="auto"/>
        <w:ind w:firstLine="482" w:firstLineChars="200"/>
        <w:rPr>
          <w:rFonts w:asciiTheme="minorEastAsia" w:hAnsiTheme="minorEastAsia" w:eastAsiaTheme="minorEastAsia" w:cstheme="minorEastAsia"/>
          <w:color w:val="000000" w:themeColor="text1"/>
          <w:sz w:val="24"/>
          <w:szCs w:val="28"/>
          <w14:textFill>
            <w14:solidFill>
              <w14:schemeClr w14:val="tx1"/>
            </w14:solidFill>
          </w14:textFill>
        </w:rPr>
      </w:pPr>
      <w:r>
        <w:rPr>
          <w:rFonts w:hint="eastAsia" w:asciiTheme="minorEastAsia" w:hAnsiTheme="minorEastAsia" w:eastAsiaTheme="minorEastAsia" w:cstheme="minorEastAsia"/>
          <w:b/>
          <w:bCs/>
          <w:color w:val="000000" w:themeColor="text1"/>
          <w:sz w:val="24"/>
          <w:szCs w:val="28"/>
          <w14:textFill>
            <w14:solidFill>
              <w14:schemeClr w14:val="tx1"/>
            </w14:solidFill>
          </w14:textFill>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2"/>
        <w:numPr>
          <w:ilvl w:val="0"/>
          <w:numId w:val="0"/>
        </w:numPr>
        <w:jc w:val="center"/>
        <w:outlineLvl w:val="0"/>
        <w:rPr>
          <w:rFonts w:hint="default"/>
          <w:color w:val="auto"/>
          <w:highlight w:val="none"/>
          <w:lang w:val="en-US" w:eastAsia="zh-CN"/>
        </w:rPr>
      </w:pPr>
      <w:r>
        <w:rPr>
          <w:rFonts w:hint="eastAsia"/>
          <w:color w:val="auto"/>
          <w:highlight w:val="none"/>
        </w:rPr>
        <w:br w:type="page"/>
      </w:r>
      <w:bookmarkStart w:id="138" w:name="_Toc6879"/>
      <w:r>
        <w:rPr>
          <w:rStyle w:val="82"/>
          <w:rFonts w:hint="eastAsia"/>
          <w:b/>
          <w:bCs/>
          <w:color w:val="auto"/>
          <w:highlight w:val="none"/>
          <w:lang w:val="en-US" w:eastAsia="zh-CN"/>
        </w:rPr>
        <w:t>第四章 报价说明</w:t>
      </w:r>
      <w:bookmarkEnd w:id="138"/>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应与</w:t>
      </w:r>
      <w:r>
        <w:rPr>
          <w:rFonts w:hint="eastAsia" w:ascii="宋体" w:hAnsi="宋体" w:cs="宋体"/>
          <w:b w:val="0"/>
          <w:bCs w:val="0"/>
          <w:color w:val="auto"/>
          <w:sz w:val="21"/>
          <w:szCs w:val="21"/>
          <w:highlight w:val="none"/>
          <w:lang w:val="en-US" w:eastAsia="zh-CN"/>
        </w:rPr>
        <w:t>本项目</w:t>
      </w:r>
      <w:r>
        <w:rPr>
          <w:rFonts w:hint="eastAsia" w:ascii="宋体" w:hAnsi="宋体" w:eastAsia="宋体" w:cs="宋体"/>
          <w:b w:val="0"/>
          <w:bCs w:val="0"/>
          <w:color w:val="auto"/>
          <w:sz w:val="21"/>
          <w:szCs w:val="21"/>
          <w:highlight w:val="none"/>
          <w:lang w:val="en-US" w:eastAsia="zh-CN"/>
        </w:rPr>
        <w:t>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、对作业和材料</w:t>
      </w:r>
      <w:r>
        <w:rPr>
          <w:rFonts w:hint="eastAsia" w:ascii="宋体" w:hAnsi="宋体" w:cs="宋体"/>
          <w:b w:val="0"/>
          <w:bCs w:val="0"/>
          <w:color w:val="auto"/>
          <w:sz w:val="21"/>
          <w:szCs w:val="21"/>
          <w:highlight w:val="none"/>
          <w:lang w:val="en-US" w:eastAsia="zh-CN"/>
        </w:rPr>
        <w:t>设备</w:t>
      </w:r>
      <w:r>
        <w:rPr>
          <w:rFonts w:hint="eastAsia" w:ascii="宋体" w:hAnsi="宋体" w:eastAsia="宋体" w:cs="宋体"/>
          <w:b w:val="0"/>
          <w:bCs w:val="0"/>
          <w:color w:val="auto"/>
          <w:sz w:val="21"/>
          <w:szCs w:val="21"/>
          <w:highlight w:val="none"/>
          <w:lang w:val="en-US" w:eastAsia="zh-CN"/>
        </w:rPr>
        <w:t>的技术标准和要求及一般说明或规定，未重复写入</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内，在给</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各细目报价前，应参阅</w:t>
      </w:r>
      <w:r>
        <w:rPr>
          <w:rFonts w:hint="eastAsia" w:ascii="宋体" w:hAnsi="宋体" w:cs="宋体"/>
          <w:b w:val="0"/>
          <w:bCs w:val="0"/>
          <w:color w:val="auto"/>
          <w:sz w:val="21"/>
          <w:szCs w:val="21"/>
          <w:highlight w:val="none"/>
          <w:lang w:val="en-US" w:eastAsia="zh-CN"/>
        </w:rPr>
        <w:t>并满足</w:t>
      </w:r>
      <w:r>
        <w:rPr>
          <w:rFonts w:hint="eastAsia" w:ascii="宋体" w:hAnsi="宋体" w:eastAsia="宋体" w:cs="宋体"/>
          <w:b w:val="0"/>
          <w:bCs w:val="0"/>
          <w:color w:val="auto"/>
          <w:sz w:val="21"/>
          <w:szCs w:val="21"/>
          <w:highlight w:val="none"/>
          <w:lang w:val="en-US" w:eastAsia="zh-CN"/>
        </w:rPr>
        <w:t>设计文件及竞争性比选文件中技术标准和要求的有关部分</w:t>
      </w:r>
      <w:r>
        <w:rPr>
          <w:rFonts w:hint="eastAsia" w:ascii="宋体" w:hAnsi="宋体" w:cs="宋体"/>
          <w:b w:val="0"/>
          <w:bCs w:val="0"/>
          <w:color w:val="auto"/>
          <w:sz w:val="21"/>
          <w:szCs w:val="21"/>
          <w:highlight w:val="none"/>
          <w:lang w:val="en-US" w:eastAsia="zh-CN"/>
        </w:rPr>
        <w:t>，如不满足相关</w:t>
      </w:r>
      <w:r>
        <w:rPr>
          <w:rFonts w:hint="eastAsia" w:ascii="宋体" w:hAnsi="宋体" w:eastAsia="宋体" w:cs="宋体"/>
          <w:b w:val="0"/>
          <w:bCs w:val="0"/>
          <w:color w:val="auto"/>
          <w:sz w:val="21"/>
          <w:szCs w:val="21"/>
          <w:highlight w:val="none"/>
          <w:lang w:val="en-US" w:eastAsia="zh-CN"/>
        </w:rPr>
        <w:t>技术标准和要求</w:t>
      </w:r>
      <w:r>
        <w:rPr>
          <w:rFonts w:hint="eastAsia" w:ascii="宋体" w:hAnsi="宋体" w:cs="宋体"/>
          <w:b w:val="0"/>
          <w:bCs w:val="0"/>
          <w:color w:val="auto"/>
          <w:sz w:val="21"/>
          <w:szCs w:val="21"/>
          <w:highlight w:val="none"/>
          <w:lang w:val="en-US" w:eastAsia="zh-CN"/>
        </w:rPr>
        <w:t>，由此对采购人造成的一切损失由报价人承担</w:t>
      </w:r>
      <w:r>
        <w:rPr>
          <w:rFonts w:hint="eastAsia" w:ascii="宋体" w:hAnsi="宋体" w:eastAsia="宋体" w:cs="宋体"/>
          <w:b w:val="0"/>
          <w:bCs w:val="0"/>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、对于符合要求的竞争性比选响应文件，在签订合同协议书前，如发现</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color w:val="auto"/>
          <w:sz w:val="21"/>
          <w:szCs w:val="21"/>
          <w:highlight w:val="none"/>
          <w:lang w:val="en-US" w:eastAsia="zh-CN"/>
        </w:rPr>
        <w:t>报价做废标处理</w:t>
      </w:r>
      <w:r>
        <w:rPr>
          <w:rFonts w:hint="eastAsia" w:ascii="宋体" w:hAnsi="宋体" w:eastAsia="宋体" w:cs="宋体"/>
          <w:b w:val="0"/>
          <w:bCs w:val="0"/>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color w:val="auto"/>
          <w:highlight w:val="none"/>
          <w:lang w:val="en-US" w:eastAsia="zh-CN"/>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报价清单</w:t>
      </w:r>
      <w:r>
        <w:rPr>
          <w:rFonts w:hint="eastAsia" w:ascii="宋体" w:hAnsi="宋体" w:eastAsia="宋体" w:cs="宋体"/>
          <w:b w:val="0"/>
          <w:bCs w:val="0"/>
          <w:color w:val="auto"/>
          <w:sz w:val="21"/>
          <w:szCs w:val="21"/>
          <w:highlight w:val="none"/>
          <w:lang w:val="en-US" w:eastAsia="zh-CN"/>
        </w:rPr>
        <w:t>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r>
        <w:rPr>
          <w:rFonts w:hint="eastAsia" w:ascii="宋体" w:hAnsi="宋体" w:cs="宋体"/>
          <w:b w:val="0"/>
          <w:bCs w:val="0"/>
          <w:color w:val="auto"/>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实际采购数量以采购人最终需求数量为准，报价清单中单价在合同执行过程中保持固定不变，报价人不得以实际采购数量的变化提出调整合同单价。</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lang w:val="en-US" w:eastAsia="zh-CN"/>
        </w:rPr>
        <w:t>报价清单中各项金额均以人民币（元）结算。</w:t>
      </w:r>
    </w:p>
    <w:p>
      <w:pPr>
        <w:pStyle w:val="2"/>
        <w:keepNext w:val="0"/>
        <w:keepLines w:val="0"/>
        <w:pageBreakBefore w:val="0"/>
        <w:widowControl w:val="0"/>
        <w:kinsoku/>
        <w:wordWrap/>
        <w:overflowPunct/>
        <w:topLinePunct w:val="0"/>
        <w:autoSpaceDE/>
        <w:autoSpaceDN/>
        <w:bidi w:val="0"/>
        <w:adjustRightInd/>
        <w:snapToGrid/>
        <w:spacing w:before="0" w:after="0"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需缴纳的一切税费均由报价单位承担，所有税费均由服务单位自行缴纳</w:t>
      </w:r>
      <w:r>
        <w:rPr>
          <w:rFonts w:hint="eastAsia" w:ascii="宋体" w:hAnsi="宋体" w:cs="宋体"/>
          <w:b w:val="0"/>
          <w:bCs w:val="0"/>
          <w:color w:val="auto"/>
          <w:sz w:val="21"/>
          <w:szCs w:val="21"/>
          <w:highlight w:val="none"/>
          <w:lang w:val="en-US" w:eastAsia="zh-CN"/>
        </w:rPr>
        <w:t>。</w:t>
      </w:r>
    </w:p>
    <w:p>
      <w:pPr>
        <w:rPr>
          <w:rFonts w:hint="eastAsia"/>
          <w:color w:val="auto"/>
          <w:highlight w:val="none"/>
          <w:lang w:val="en-US" w:eastAsia="zh-CN"/>
        </w:rPr>
      </w:pPr>
      <w:r>
        <w:rPr>
          <w:rFonts w:hint="eastAsia"/>
          <w:color w:val="auto"/>
          <w:highlight w:val="none"/>
          <w:lang w:val="en-US" w:eastAsia="zh-CN"/>
        </w:rPr>
        <w:br w:type="page"/>
      </w:r>
    </w:p>
    <w:p>
      <w:pPr>
        <w:pStyle w:val="3"/>
        <w:spacing w:before="0" w:after="0" w:line="360" w:lineRule="auto"/>
        <w:jc w:val="center"/>
        <w:rPr>
          <w:rFonts w:hint="eastAsia" w:ascii="宋体" w:hAnsi="宋体" w:eastAsia="宋体" w:cs="宋体"/>
          <w:color w:val="auto"/>
          <w:highlight w:val="none"/>
          <w:lang w:eastAsia="zh-CN"/>
        </w:rPr>
      </w:pPr>
      <w:bookmarkStart w:id="139" w:name="_Toc514858705"/>
      <w:bookmarkStart w:id="140" w:name="_Toc144974834"/>
      <w:bookmarkStart w:id="141" w:name="_Toc247085855"/>
      <w:bookmarkStart w:id="142" w:name="_Toc152045772"/>
      <w:bookmarkStart w:id="143" w:name="_Toc2000409"/>
      <w:bookmarkStart w:id="144" w:name="_Toc152042554"/>
      <w:bookmarkStart w:id="145" w:name="_Toc246996340"/>
      <w:bookmarkStart w:id="146" w:name="_Toc246997083"/>
      <w:bookmarkStart w:id="147" w:name="_Toc179632789"/>
      <w:bookmarkStart w:id="148" w:name="_Toc4638"/>
      <w:bookmarkStart w:id="149" w:name="_Toc152042575"/>
      <w:bookmarkStart w:id="150" w:name="_Toc247085872"/>
      <w:bookmarkStart w:id="151" w:name="_Toc179632806"/>
      <w:bookmarkStart w:id="152" w:name="_Toc246996354"/>
      <w:bookmarkStart w:id="153" w:name="_Toc246997097"/>
      <w:bookmarkStart w:id="154" w:name="_Toc152045786"/>
      <w:bookmarkStart w:id="155" w:name="_Toc144974855"/>
      <w:r>
        <w:rPr>
          <w:rFonts w:hint="eastAsia" w:ascii="宋体" w:hAnsi="宋体" w:cs="宋体"/>
          <w:color w:val="auto"/>
          <w:highlight w:val="none"/>
        </w:rPr>
        <w:t xml:space="preserve">第五章 </w:t>
      </w:r>
      <w:bookmarkEnd w:id="139"/>
      <w:bookmarkEnd w:id="140"/>
      <w:bookmarkEnd w:id="141"/>
      <w:bookmarkEnd w:id="142"/>
      <w:bookmarkEnd w:id="143"/>
      <w:bookmarkEnd w:id="144"/>
      <w:bookmarkEnd w:id="145"/>
      <w:bookmarkEnd w:id="146"/>
      <w:bookmarkEnd w:id="147"/>
      <w:r>
        <w:rPr>
          <w:rFonts w:hint="eastAsia" w:ascii="宋体" w:hAnsi="宋体" w:cs="宋体"/>
          <w:color w:val="auto"/>
          <w:highlight w:val="none"/>
          <w:lang w:eastAsia="zh-CN"/>
        </w:rPr>
        <w:t>报价清单</w:t>
      </w:r>
      <w:bookmarkEnd w:id="148"/>
    </w:p>
    <w:p>
      <w:pPr>
        <w:ind w:firstLine="420"/>
        <w:jc w:val="left"/>
        <w:rPr>
          <w:rFonts w:hint="eastAsia" w:ascii="宋体" w:hAnsi="宋体" w:cs="宋体"/>
          <w:b/>
          <w:color w:val="auto"/>
          <w:highlight w:val="none"/>
        </w:rPr>
      </w:pPr>
      <w:bookmarkStart w:id="156" w:name="_Toc144974851"/>
      <w:bookmarkStart w:id="157" w:name="_Toc179632800"/>
      <w:bookmarkStart w:id="158" w:name="_Toc247096438"/>
      <w:bookmarkStart w:id="159" w:name="_Toc152045782"/>
      <w:bookmarkStart w:id="160" w:name="_Toc152042571"/>
      <w:bookmarkStart w:id="161" w:name="_Toc246997093"/>
      <w:bookmarkStart w:id="162" w:name="_Toc247085866"/>
      <w:bookmarkStart w:id="163" w:name="_Toc246996350"/>
    </w:p>
    <w:tbl>
      <w:tblPr>
        <w:tblStyle w:val="44"/>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首讯公司2022年安全咨询服务</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详见第二章报价人须知1.服务内容，及第</w:t>
            </w:r>
            <w:r>
              <w:rPr>
                <w:rFonts w:hint="eastAsia" w:asciiTheme="minorEastAsia" w:hAnsiTheme="minorEastAsia" w:eastAsiaTheme="minorEastAsia" w:cstheme="minorEastAsia"/>
                <w:sz w:val="24"/>
                <w:szCs w:val="28"/>
                <w:highlight w:val="none"/>
                <w:lang w:val="en-US" w:eastAsia="zh-CN"/>
              </w:rPr>
              <w:t>七</w:t>
            </w:r>
            <w:r>
              <w:rPr>
                <w:rFonts w:hint="eastAsia" w:asciiTheme="minorEastAsia" w:hAnsiTheme="minorEastAsia" w:eastAsiaTheme="minorEastAsia" w:cstheme="minorEastAsia"/>
                <w:sz w:val="24"/>
                <w:szCs w:val="28"/>
                <w:highlight w:val="none"/>
              </w:rPr>
              <w:t>章 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2</w:t>
            </w: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jc w:val="center"/>
        <w:rPr>
          <w:rFonts w:hint="eastAsia" w:ascii="宋体" w:hAnsi="宋体" w:eastAsia="宋体" w:cs="宋体"/>
          <w:b/>
          <w:color w:val="auto"/>
          <w:highlight w:val="none"/>
          <w:lang w:val="en-US" w:eastAsia="zh-CN"/>
        </w:rPr>
      </w:pPr>
    </w:p>
    <w:p>
      <w:pPr>
        <w:rPr>
          <w:rFonts w:hint="eastAsia"/>
          <w:color w:val="auto"/>
          <w:highlight w:val="none"/>
        </w:rPr>
      </w:pPr>
      <w:r>
        <w:rPr>
          <w:rFonts w:hint="eastAsia" w:ascii="宋体" w:hAnsi="宋体" w:cs="宋体"/>
          <w:b/>
          <w:color w:val="auto"/>
          <w:highlight w:val="none"/>
        </w:rPr>
        <w:br w:type="page"/>
      </w:r>
    </w:p>
    <w:p>
      <w:pPr>
        <w:pStyle w:val="3"/>
        <w:spacing w:before="0" w:after="0" w:line="360" w:lineRule="auto"/>
        <w:jc w:val="center"/>
        <w:rPr>
          <w:rFonts w:hint="eastAsia" w:ascii="宋体" w:hAnsi="宋体" w:cs="宋体"/>
          <w:color w:val="auto"/>
          <w:highlight w:val="none"/>
        </w:rPr>
      </w:pPr>
      <w:bookmarkStart w:id="164" w:name="_Toc447827048"/>
      <w:bookmarkStart w:id="165" w:name="_Toc2000410"/>
      <w:bookmarkStart w:id="166" w:name="_Toc513633963"/>
      <w:bookmarkStart w:id="167" w:name="_Toc28333"/>
      <w:bookmarkStart w:id="168" w:name="_Toc514858706"/>
      <w:bookmarkStart w:id="169" w:name="_Toc503951042"/>
      <w:r>
        <w:rPr>
          <w:rFonts w:hint="eastAsia" w:ascii="宋体" w:hAnsi="宋体" w:cs="宋体"/>
          <w:color w:val="auto"/>
          <w:highlight w:val="none"/>
        </w:rPr>
        <w:t>第六章  图  纸</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jc w:val="center"/>
        <w:rPr>
          <w:rFonts w:hint="eastAsia" w:ascii="宋体" w:hAnsi="宋体" w:cs="宋体"/>
          <w:b/>
          <w:color w:val="auto"/>
          <w:highlight w:val="none"/>
        </w:rPr>
      </w:pPr>
      <w:r>
        <w:rPr>
          <w:rFonts w:hint="eastAsia" w:ascii="宋体" w:hAnsi="宋体" w:cs="宋体"/>
          <w:b/>
          <w:color w:val="auto"/>
          <w:kern w:val="0"/>
          <w:sz w:val="24"/>
          <w:highlight w:val="none"/>
          <w:lang w:val="en-US" w:eastAsia="zh-CN"/>
        </w:rPr>
        <w:t>无</w:t>
      </w:r>
      <w:r>
        <w:rPr>
          <w:rFonts w:hint="eastAsia" w:ascii="宋体" w:hAnsi="宋体" w:cs="宋体"/>
          <w:b/>
          <w:color w:val="auto"/>
          <w:kern w:val="0"/>
          <w:sz w:val="24"/>
          <w:highlight w:val="none"/>
        </w:rPr>
        <w:t>。</w:t>
      </w:r>
    </w:p>
    <w:p>
      <w:pPr>
        <w:spacing w:line="400" w:lineRule="exact"/>
        <w:rPr>
          <w:rFonts w:hint="eastAsia" w:ascii="宋体" w:hAnsi="宋体" w:cs="宋体"/>
          <w:color w:val="auto"/>
          <w:highlight w:val="none"/>
        </w:rPr>
      </w:pPr>
      <w:r>
        <w:rPr>
          <w:rFonts w:hint="eastAsia" w:ascii="宋体" w:hAnsi="宋体" w:cs="宋体"/>
          <w:color w:val="auto"/>
          <w:highlight w:val="none"/>
        </w:rPr>
        <w:br w:type="page"/>
      </w:r>
      <w:bookmarkStart w:id="170" w:name="_Toc152042574"/>
      <w:bookmarkStart w:id="171" w:name="_Toc152045785"/>
      <w:bookmarkStart w:id="172" w:name="_Toc144974854"/>
    </w:p>
    <w:p>
      <w:pPr>
        <w:pStyle w:val="3"/>
        <w:spacing w:before="0" w:after="0" w:line="360" w:lineRule="auto"/>
        <w:jc w:val="center"/>
        <w:rPr>
          <w:rFonts w:hint="eastAsia" w:ascii="宋体" w:hAnsi="宋体" w:cs="宋体"/>
          <w:color w:val="auto"/>
          <w:highlight w:val="none"/>
        </w:rPr>
      </w:pPr>
      <w:bookmarkStart w:id="173" w:name="_Toc503951043"/>
      <w:bookmarkStart w:id="174" w:name="_Toc247085870"/>
      <w:bookmarkStart w:id="175" w:name="_Toc246996353"/>
      <w:bookmarkStart w:id="176" w:name="_Toc514858707"/>
      <w:bookmarkStart w:id="177" w:name="_Toc904"/>
      <w:bookmarkStart w:id="178" w:name="_Toc246997096"/>
      <w:bookmarkStart w:id="179" w:name="_Toc447827049"/>
      <w:bookmarkStart w:id="180" w:name="_Toc513633964"/>
      <w:bookmarkStart w:id="181" w:name="_Toc179632804"/>
      <w:bookmarkStart w:id="182" w:name="_Toc2000411"/>
      <w:r>
        <w:rPr>
          <w:rFonts w:hint="eastAsia" w:ascii="宋体" w:hAnsi="宋体" w:cs="宋体"/>
          <w:color w:val="auto"/>
          <w:highlight w:val="none"/>
        </w:rPr>
        <w:t>第七章  技术标准和工作要求</w:t>
      </w:r>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49"/>
    <w:bookmarkEnd w:id="150"/>
    <w:bookmarkEnd w:id="151"/>
    <w:bookmarkEnd w:id="152"/>
    <w:bookmarkEnd w:id="153"/>
    <w:bookmarkEnd w:id="154"/>
    <w:bookmarkEnd w:id="155"/>
    <w:p>
      <w:pPr>
        <w:rPr>
          <w:rFonts w:hint="eastAsia" w:eastAsia="宋体"/>
          <w:b/>
          <w:bCs/>
          <w:color w:val="auto"/>
          <w:sz w:val="21"/>
          <w:szCs w:val="21"/>
          <w:highlight w:val="none"/>
          <w:lang w:val="en-US" w:eastAsia="zh-CN"/>
        </w:rPr>
      </w:pPr>
      <w:bookmarkStart w:id="183" w:name="_Toc2000412"/>
      <w:bookmarkStart w:id="184" w:name="_Toc514430114"/>
      <w:bookmarkStart w:id="185" w:name="_Toc514858708"/>
      <w:bookmarkStart w:id="186" w:name="_Toc507320039"/>
      <w:bookmarkStart w:id="187" w:name="_Toc246996355"/>
      <w:bookmarkStart w:id="188" w:name="_Toc152042576"/>
      <w:bookmarkStart w:id="189" w:name="_Toc179632807"/>
      <w:bookmarkStart w:id="190" w:name="_Toc247085873"/>
      <w:bookmarkStart w:id="191" w:name="_Toc246997098"/>
      <w:bookmarkStart w:id="192" w:name="_Toc152045787"/>
      <w:bookmarkStart w:id="193" w:name="_Toc144974856"/>
      <w:r>
        <w:rPr>
          <w:rFonts w:hint="eastAsia"/>
          <w:b/>
          <w:bCs/>
          <w:color w:val="auto"/>
          <w:highlight w:val="none"/>
          <w:lang w:val="en-US" w:eastAsia="zh-CN"/>
        </w:rPr>
        <w:t>一</w:t>
      </w:r>
      <w:r>
        <w:rPr>
          <w:rFonts w:hint="eastAsia"/>
          <w:b/>
          <w:bCs/>
          <w:color w:val="auto"/>
          <w:sz w:val="21"/>
          <w:szCs w:val="21"/>
          <w:highlight w:val="none"/>
          <w:lang w:val="en-US" w:eastAsia="zh-CN"/>
        </w:rPr>
        <w:t>、安全和环保管理体系修订。</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1、安全管理体系技术服务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按照交通运输工程建设企业安全生产标准化评价实施细则和相关法律法规要求，对企业进行诊断、梳理、指导，建立完善安全管理制度，规范安全管理工作，确保在企业不断整改优化管理。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（1）全员安全生产责任制汇编：按照全员安全生产责任制的要求，在企业提供全员岗位工作职责的基础上，明确公司领导、各部门、各岗位的安全生产职责。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（2）安全管理制度汇编：结合企业现有管理制度体系优化公司安全管理工作要求，包括通用安全要求和各种业态的专业安全要求。</w:t>
      </w:r>
      <w:r>
        <w:rPr>
          <w:rFonts w:hint="eastAsia" w:ascii="宋体" w:hAnsi="宋体" w:cs="宋体"/>
          <w:color w:val="auto"/>
          <w:sz w:val="21"/>
          <w:szCs w:val="21"/>
          <w:highlight w:val="none"/>
          <w:lang w:val="en-US" w:eastAsia="zh-CN"/>
        </w:rPr>
        <w:t>大致</w:t>
      </w:r>
      <w:r>
        <w:rPr>
          <w:rFonts w:hint="eastAsia" w:ascii="宋体" w:hAnsi="宋体" w:cs="宋体"/>
          <w:color w:val="auto"/>
          <w:sz w:val="21"/>
          <w:szCs w:val="21"/>
          <w:highlight w:val="none"/>
        </w:rPr>
        <w:t>包括如下制度：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——安全生产目标指标管理制度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——全员安全生产责任制管理制度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——安全会议管理制度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——安全生产法律法规管理制度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——文件管理制度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——安全生产费用管理制度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——安全教育培训管理制度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——设备设施管理制度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——特种设备管理制度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——从业人员管理制度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——安全值班管理制度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——危险作业安全管理制度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——消防安全管理制度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——相关方安全管理制度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——安全生产风险分级管控制度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——隐患排查治理管理制度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——职业健康管理制度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——劳动防护用品管理制度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——应急管理制度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——事故管理制度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——安全生产考核奖惩管理制度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---与</w:t>
      </w:r>
      <w:r>
        <w:rPr>
          <w:rFonts w:hint="eastAsia" w:ascii="宋体" w:hAnsi="宋体" w:cs="宋体"/>
          <w:color w:val="auto"/>
          <w:sz w:val="21"/>
          <w:szCs w:val="21"/>
          <w:highlight w:val="none"/>
        </w:rPr>
        <w:t>企业安全</w:t>
      </w:r>
      <w:r>
        <w:rPr>
          <w:rFonts w:hint="eastAsia" w:ascii="宋体" w:hAnsi="宋体" w:cs="宋体"/>
          <w:color w:val="auto"/>
          <w:sz w:val="21"/>
          <w:szCs w:val="21"/>
          <w:highlight w:val="none"/>
          <w:lang w:val="en-US" w:eastAsia="zh-CN"/>
        </w:rPr>
        <w:t>生产</w:t>
      </w:r>
      <w:r>
        <w:rPr>
          <w:rFonts w:hint="eastAsia" w:ascii="宋体" w:hAnsi="宋体" w:cs="宋体"/>
          <w:color w:val="auto"/>
          <w:sz w:val="21"/>
          <w:szCs w:val="21"/>
          <w:highlight w:val="none"/>
        </w:rPr>
        <w:t>管理相关的</w:t>
      </w:r>
      <w:r>
        <w:rPr>
          <w:rFonts w:hint="eastAsia" w:ascii="宋体" w:hAnsi="宋体" w:cs="宋体"/>
          <w:color w:val="auto"/>
          <w:sz w:val="21"/>
          <w:szCs w:val="21"/>
          <w:highlight w:val="none"/>
          <w:lang w:val="en-US" w:eastAsia="zh-CN"/>
        </w:rPr>
        <w:t>其他</w:t>
      </w:r>
      <w:r>
        <w:rPr>
          <w:rFonts w:hint="eastAsia" w:ascii="宋体" w:hAnsi="宋体" w:cs="宋体"/>
          <w:color w:val="auto"/>
          <w:sz w:val="21"/>
          <w:szCs w:val="21"/>
          <w:highlight w:val="none"/>
        </w:rPr>
        <w:t>制度。</w:t>
      </w:r>
    </w:p>
    <w:p>
      <w:pPr>
        <w:pStyle w:val="2"/>
        <w:ind w:firstLine="420" w:firstLineChars="200"/>
        <w:rPr>
          <w:rFonts w:hint="eastAsia" w:eastAsia="宋体"/>
          <w:b w:val="0"/>
          <w:bCs w:val="0"/>
          <w:sz w:val="21"/>
          <w:szCs w:val="21"/>
          <w:highlight w:val="none"/>
          <w:lang w:eastAsia="zh-CN"/>
        </w:rPr>
      </w:pP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环保</w:t>
      </w:r>
      <w:r>
        <w:rPr>
          <w:rFonts w:hint="eastAsia" w:ascii="宋体" w:hAnsi="宋体" w:cs="宋体"/>
          <w:b w:val="0"/>
          <w:bCs w:val="0"/>
          <w:color w:val="auto"/>
          <w:sz w:val="21"/>
          <w:szCs w:val="21"/>
          <w:highlight w:val="none"/>
          <w:lang w:eastAsia="zh-CN"/>
        </w:rPr>
        <w:t>管理制度汇编：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——环境保护管理办法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——机构及职责分工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——监督管理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——保护环境和污染防治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——污染源治理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——应急管理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——工作考核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——信息报送</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val="0"/>
          <w:sz w:val="21"/>
          <w:szCs w:val="21"/>
          <w:highlight w:val="none"/>
        </w:rPr>
      </w:pPr>
      <w:r>
        <w:rPr>
          <w:rFonts w:hint="eastAsia" w:ascii="宋体" w:hAnsi="宋体" w:cs="宋体"/>
          <w:color w:val="auto"/>
          <w:sz w:val="21"/>
          <w:szCs w:val="21"/>
          <w:highlight w:val="none"/>
          <w:lang w:val="en-US" w:eastAsia="zh-CN"/>
        </w:rPr>
        <w:t>---与</w:t>
      </w:r>
      <w:r>
        <w:rPr>
          <w:rFonts w:hint="eastAsia" w:ascii="宋体" w:hAnsi="宋体" w:cs="宋体"/>
          <w:color w:val="auto"/>
          <w:sz w:val="21"/>
          <w:szCs w:val="21"/>
          <w:highlight w:val="none"/>
        </w:rPr>
        <w:t>企业</w:t>
      </w:r>
      <w:r>
        <w:rPr>
          <w:rFonts w:hint="eastAsia" w:ascii="宋体" w:hAnsi="宋体" w:cs="宋体"/>
          <w:color w:val="auto"/>
          <w:sz w:val="21"/>
          <w:szCs w:val="21"/>
          <w:highlight w:val="none"/>
          <w:lang w:val="en-US" w:eastAsia="zh-CN"/>
        </w:rPr>
        <w:t>环境保护</w:t>
      </w:r>
      <w:r>
        <w:rPr>
          <w:rFonts w:hint="eastAsia" w:ascii="宋体" w:hAnsi="宋体" w:cs="宋体"/>
          <w:color w:val="auto"/>
          <w:sz w:val="21"/>
          <w:szCs w:val="21"/>
          <w:highlight w:val="none"/>
        </w:rPr>
        <w:t>相关的</w:t>
      </w:r>
      <w:r>
        <w:rPr>
          <w:rFonts w:hint="eastAsia" w:ascii="宋体" w:hAnsi="宋体" w:cs="宋体"/>
          <w:color w:val="auto"/>
          <w:sz w:val="21"/>
          <w:szCs w:val="21"/>
          <w:highlight w:val="none"/>
          <w:lang w:val="en-US" w:eastAsia="zh-CN"/>
        </w:rPr>
        <w:t>其他</w:t>
      </w:r>
      <w:r>
        <w:rPr>
          <w:rFonts w:hint="eastAsia" w:ascii="宋体" w:hAnsi="宋体" w:cs="宋体"/>
          <w:color w:val="auto"/>
          <w:sz w:val="21"/>
          <w:szCs w:val="21"/>
          <w:highlight w:val="none"/>
        </w:rPr>
        <w:t>制度。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（3）记录表格：规定执行各项安全管理制度应保留的格式文件，随安全管理制度同时发布。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综合应急预案：是公司为应对各种生产安全事故而制定的综合性工作方案，明确公司的应急预案组织机构、信息报告、响应程序、保障措施等要求。协助企业结合最新法规、标准制定公司安全生产综合应急预案。</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二</w:t>
      </w:r>
      <w:r>
        <w:rPr>
          <w:rFonts w:hint="eastAsia" w:ascii="宋体" w:hAnsi="宋体" w:cs="宋体"/>
          <w:b/>
          <w:bCs/>
          <w:color w:val="auto"/>
          <w:sz w:val="21"/>
          <w:szCs w:val="21"/>
          <w:highlight w:val="none"/>
        </w:rPr>
        <w:t>、风险评估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（1）编制企业风险辨识清单（总清单）；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color w:val="auto"/>
          <w:sz w:val="21"/>
          <w:szCs w:val="21"/>
          <w:highlight w:val="none"/>
        </w:rPr>
      </w:pPr>
      <w:r>
        <w:rPr>
          <w:rFonts w:hint="eastAsia" w:ascii="宋体" w:hAnsi="宋体" w:cs="宋体"/>
          <w:color w:val="auto"/>
          <w:sz w:val="21"/>
          <w:szCs w:val="21"/>
          <w:highlight w:val="none"/>
        </w:rPr>
        <w:t>（2）每季度开展一次安全检查和风险研判：对企业现场进行检查并依据《重庆市安全生产风险隐患管理办法》、《重庆市突发事件风险管理操作指南（试行）》等要求，对施工项目部安全风险点进行辨识,采用LEC法等方法实行安全生产风险评估和分级，针对重大风险、较大风险提出控制措施建议，出具问题清单及风险研判报告。</w:t>
      </w:r>
      <w:r>
        <w:rPr>
          <w:rFonts w:hint="default" w:ascii="宋体" w:hAnsi="宋体" w:cs="宋体"/>
          <w:color w:val="auto"/>
          <w:sz w:val="21"/>
          <w:szCs w:val="21"/>
          <w:highlight w:val="none"/>
        </w:rPr>
        <w:t>并邀请专家评审。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根据建筑施工项目特点，结合国家相关法律法规和标准规范要求，检查包括但不限于以下主要内容：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对项目部安全生产主题责任落实情况、履职情况进行检查。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对施工单位危大工程“五个必须”环节管控是否严格按危大工程管理规定落实情况进行检查。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对各类专项方案进行检查。（专项方案的编审程序是否合规、施工现场与专项方案是否相符等）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对施工现场安全防护用品及防护措施进行检查。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施工现场危险性较大的分部分项工程安全管理、实体情况进行检查。（根据《危险性较大的分部分项工程安全管理规定》（中华人民共和国住房和城乡建设部令第37号）、住房城乡建设部办公厅关于实施《危险性较大的分部分项工程安全管理规定》有关问题的通知（建办质〔2018〕31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对建设施工现场是否存在“违章指挥、违章作业、违反劳动纪律”等三违现象进行检查。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7</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对特种作业人员和特种设备操作人员是否持证上岗进行检查。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对施工现场机械设备进行检查。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9</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对施工现场实体安全防护情况进行检查。（基坑、安全通道、防高坠及物体打击、脚手架、支模架、幕墙、四口五临边安全防护、施工现场临时用电等）。</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三、两单两卡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深入贯彻落实习近平总书记关于安全生产重要指示批示精神，牢固树立安全发展理念，持续反思“两个不到位、两个不扎实”突出问题，坚持预防治理根本出路，以“知风险、明职责、会操作、能应急”为工作要求，建立公司一线岗位从业人员岗位风险清单、岗位职责清单、岗位操作卡、岗位应急处置卡（简称“两单两卡”），通过教育培训、日常管理、严格奖惩等方式，使公司一线从业人员对自身岗位“两单两卡”记得住、说得明、做得到，打通</w:t>
      </w:r>
      <w:r>
        <w:rPr>
          <w:rFonts w:hint="eastAsia" w:ascii="宋体" w:hAnsi="宋体" w:cs="宋体"/>
          <w:color w:val="auto"/>
          <w:sz w:val="21"/>
          <w:szCs w:val="21"/>
          <w:highlight w:val="none"/>
          <w:lang w:val="en-US" w:eastAsia="zh-CN"/>
        </w:rPr>
        <w:t>首讯</w:t>
      </w:r>
      <w:r>
        <w:rPr>
          <w:rFonts w:hint="eastAsia" w:ascii="宋体" w:hAnsi="宋体" w:cs="宋体"/>
          <w:color w:val="auto"/>
          <w:sz w:val="21"/>
          <w:szCs w:val="21"/>
          <w:highlight w:val="none"/>
        </w:rPr>
        <w:t>公司安全管理的“最后一米”，逐步实现从“要我安全”到“我要安全”“我会安全”的转变。</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四、安全培训</w:t>
      </w:r>
      <w:r>
        <w:rPr>
          <w:rFonts w:hint="default" w:ascii="宋体" w:hAnsi="宋体" w:cs="宋体"/>
          <w:b/>
          <w:bCs/>
          <w:color w:val="auto"/>
          <w:sz w:val="21"/>
          <w:szCs w:val="21"/>
          <w:highlight w:val="none"/>
          <w:lang w:eastAsia="zh-CN"/>
        </w:rPr>
        <w:t>（不少于2次）</w:t>
      </w:r>
    </w:p>
    <w:p>
      <w:pPr>
        <w:pStyle w:val="2"/>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（1）针对公司中高层领导安全培训；</w:t>
      </w:r>
    </w:p>
    <w:p>
      <w:pPr>
        <w:pStyle w:val="2"/>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（2）针对公司一般管理人员、机电站站长、一线员工培训；</w:t>
      </w:r>
    </w:p>
    <w:p>
      <w:pPr>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（3）针对项目组人员培训建筑施工安全生产方针政策、法律法规和标准规范；</w:t>
      </w:r>
    </w:p>
    <w:p>
      <w:pPr>
        <w:pStyle w:val="2"/>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（4）向同行业外部单位学习安全管理经验。</w:t>
      </w:r>
    </w:p>
    <w:p>
      <w:pPr>
        <w:pStyle w:val="2"/>
        <w:ind w:firstLine="420" w:firstLineChars="200"/>
        <w:rPr>
          <w:rFonts w:hint="eastAsia"/>
          <w:b w:val="0"/>
          <w:bCs w:val="0"/>
          <w:sz w:val="21"/>
          <w:szCs w:val="21"/>
          <w:highlight w:val="none"/>
          <w:lang w:val="en-US" w:eastAsia="zh-CN"/>
        </w:rPr>
      </w:pPr>
      <w:r>
        <w:rPr>
          <w:rFonts w:hint="eastAsia" w:ascii="宋体" w:hAnsi="宋体" w:cs="宋体"/>
          <w:b w:val="0"/>
          <w:bCs w:val="0"/>
          <w:color w:val="auto"/>
          <w:sz w:val="21"/>
          <w:szCs w:val="21"/>
          <w:highlight w:val="none"/>
          <w:lang w:val="en-US" w:eastAsia="zh-CN"/>
        </w:rPr>
        <w:t>（5）开展</w:t>
      </w:r>
      <w:r>
        <w:rPr>
          <w:rFonts w:hint="default"/>
          <w:b w:val="0"/>
          <w:bCs w:val="0"/>
          <w:sz w:val="21"/>
          <w:szCs w:val="21"/>
          <w:highlight w:val="none"/>
          <w:lang w:val="en-US" w:eastAsia="zh-CN"/>
        </w:rPr>
        <w:t>企业“对标对表”调研活动</w:t>
      </w:r>
      <w:r>
        <w:rPr>
          <w:rFonts w:hint="eastAsia"/>
          <w:b w:val="0"/>
          <w:bCs w:val="0"/>
          <w:sz w:val="21"/>
          <w:szCs w:val="21"/>
          <w:highlight w:val="none"/>
          <w:lang w:val="en-US" w:eastAsia="zh-CN"/>
        </w:rPr>
        <w:t>，形成提高公司安全管理水平相关指导性资料。</w:t>
      </w:r>
    </w:p>
    <w:p>
      <w:pPr>
        <w:ind w:firstLine="422" w:firstLineChars="200"/>
        <w:rPr>
          <w:rFonts w:hint="default"/>
          <w:b/>
          <w:bCs/>
          <w:sz w:val="21"/>
          <w:szCs w:val="21"/>
          <w:highlight w:val="none"/>
          <w:lang w:val="en-US" w:eastAsia="zh-CN"/>
        </w:rPr>
      </w:pPr>
      <w:r>
        <w:rPr>
          <w:rFonts w:hint="eastAsia"/>
          <w:b/>
          <w:bCs/>
          <w:sz w:val="21"/>
          <w:szCs w:val="21"/>
          <w:highlight w:val="none"/>
          <w:lang w:val="en-US" w:eastAsia="zh-CN"/>
        </w:rPr>
        <w:t>五、其他安全活动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rPr>
      </w:pPr>
      <w:r>
        <w:rPr>
          <w:rFonts w:hint="eastAsia" w:ascii="宋体" w:hAnsi="宋体" w:cs="宋体"/>
          <w:color w:val="auto"/>
          <w:sz w:val="21"/>
          <w:szCs w:val="21"/>
          <w:highlight w:val="none"/>
          <w:lang w:val="en-US" w:eastAsia="zh-CN"/>
        </w:rPr>
        <w:t>比如开展全员安全小程序月月练、 安全生产“我问你答”竞赛、事故案例警示教育、应急演练等对公司安全管理有提升的活动。</w:t>
      </w:r>
      <w:r>
        <w:rPr>
          <w:rFonts w:hint="eastAsia" w:ascii="宋体" w:hAnsi="宋体" w:cs="宋体"/>
          <w:color w:val="auto"/>
          <w:highlight w:val="none"/>
        </w:rPr>
        <w:br w:type="page"/>
      </w:r>
      <w:bookmarkEnd w:id="183"/>
      <w:bookmarkEnd w:id="184"/>
      <w:bookmarkEnd w:id="185"/>
      <w:bookmarkStart w:id="194" w:name="_Toc513633965"/>
    </w:p>
    <w:p>
      <w:pPr>
        <w:pStyle w:val="3"/>
        <w:spacing w:before="0" w:after="0" w:line="360" w:lineRule="auto"/>
        <w:jc w:val="center"/>
        <w:rPr>
          <w:rFonts w:hint="eastAsia" w:ascii="宋体" w:hAnsi="宋体" w:cs="宋体"/>
          <w:color w:val="auto"/>
          <w:highlight w:val="none"/>
        </w:rPr>
      </w:pPr>
      <w:bookmarkStart w:id="195" w:name="_Toc514858709"/>
      <w:bookmarkStart w:id="196" w:name="_Toc2000413"/>
      <w:bookmarkStart w:id="197" w:name="_Toc15881"/>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p>
    <w:p>
      <w:pPr>
        <w:pStyle w:val="3"/>
        <w:spacing w:before="0" w:after="0" w:line="360" w:lineRule="auto"/>
        <w:jc w:val="center"/>
        <w:rPr>
          <w:rFonts w:hint="eastAsia" w:ascii="宋体" w:hAnsi="宋体" w:cs="宋体"/>
          <w:color w:val="auto"/>
          <w:highlight w:val="none"/>
        </w:rPr>
      </w:pP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竞争性比选响应文件格式</w:t>
      </w:r>
      <w:bookmarkEnd w:id="194"/>
      <w:bookmarkEnd w:id="195"/>
      <w:bookmarkEnd w:id="196"/>
      <w:bookmarkEnd w:id="197"/>
    </w:p>
    <w:p>
      <w:pPr>
        <w:rPr>
          <w:rFonts w:hint="eastAsia"/>
          <w:color w:val="auto"/>
          <w:highlight w:val="none"/>
        </w:rPr>
      </w:pPr>
      <w:r>
        <w:rPr>
          <w:rFonts w:hint="eastAsia" w:ascii="宋体" w:hAnsi="宋体" w:cs="宋体"/>
          <w:color w:val="auto"/>
          <w:highlight w:val="none"/>
        </w:rPr>
        <w:br w:type="page"/>
      </w:r>
    </w:p>
    <w:p>
      <w:pPr>
        <w:jc w:val="center"/>
        <w:rPr>
          <w:rFonts w:hint="eastAsia" w:ascii="宋体" w:hAnsi="宋体" w:cs="宋体"/>
          <w:color w:val="auto"/>
          <w:sz w:val="52"/>
          <w:szCs w:val="52"/>
          <w:highlight w:val="none"/>
          <w:u w:val="single"/>
        </w:rPr>
      </w:pPr>
      <w:bookmarkStart w:id="198" w:name="_Toc514858710"/>
      <w:bookmarkStart w:id="199" w:name="_Toc513633967"/>
      <w:bookmarkStart w:id="200" w:name="_Toc513646738"/>
      <w:bookmarkStart w:id="201" w:name="_Toc503951046"/>
      <w:bookmarkStart w:id="202" w:name="_Toc503971829"/>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r>
        <w:rPr>
          <w:rFonts w:hint="eastAsia" w:ascii="宋体" w:hAnsi="宋体" w:cs="宋体"/>
          <w:color w:val="auto"/>
          <w:sz w:val="52"/>
          <w:szCs w:val="52"/>
          <w:highlight w:val="none"/>
          <w:u w:val="single"/>
        </w:rPr>
        <w:t>（项目名称）</w:t>
      </w:r>
      <w:bookmarkEnd w:id="198"/>
      <w:bookmarkEnd w:id="199"/>
      <w:bookmarkEnd w:id="200"/>
      <w:bookmarkEnd w:id="201"/>
      <w:bookmarkEnd w:id="202"/>
      <w:r>
        <w:rPr>
          <w:rFonts w:hint="eastAsia" w:ascii="宋体" w:hAnsi="宋体" w:cs="宋体"/>
          <w:color w:val="auto"/>
          <w:sz w:val="52"/>
          <w:szCs w:val="52"/>
          <w:highlight w:val="none"/>
          <w:u w:val="single"/>
        </w:rPr>
        <w:t xml:space="preserve"> </w:t>
      </w:r>
    </w:p>
    <w:p>
      <w:pPr>
        <w:rPr>
          <w:rFonts w:hint="eastAsia" w:ascii="宋体" w:hAnsi="宋体" w:cs="宋体"/>
          <w:color w:val="auto"/>
          <w:sz w:val="20"/>
          <w:szCs w:val="20"/>
          <w:highlight w:val="none"/>
        </w:rPr>
      </w:pPr>
    </w:p>
    <w:p>
      <w:pPr>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 xml:space="preserve"> </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jc w:val="center"/>
        <w:rPr>
          <w:rFonts w:hint="eastAsia" w:ascii="宋体" w:hAnsi="宋体" w:cs="宋体"/>
          <w:b/>
          <w:color w:val="auto"/>
          <w:sz w:val="72"/>
          <w:szCs w:val="44"/>
          <w:highlight w:val="none"/>
        </w:rPr>
      </w:pPr>
      <w:r>
        <w:rPr>
          <w:rFonts w:hint="eastAsia" w:ascii="宋体" w:hAnsi="宋体" w:cs="宋体"/>
          <w:b/>
          <w:color w:val="auto"/>
          <w:sz w:val="72"/>
          <w:szCs w:val="44"/>
          <w:highlight w:val="none"/>
        </w:rPr>
        <w:t>竞争性比选响应文件</w:t>
      </w:r>
    </w:p>
    <w:p>
      <w:pPr>
        <w:jc w:val="center"/>
        <w:rPr>
          <w:rFonts w:hint="eastAsia" w:ascii="宋体" w:hAnsi="宋体" w:cs="宋体"/>
          <w:b/>
          <w:color w:val="auto"/>
          <w:sz w:val="32"/>
          <w:szCs w:val="32"/>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报价人：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（盖单位鲜公章）</w:t>
      </w:r>
    </w:p>
    <w:p>
      <w:pPr>
        <w:ind w:firstLine="1400" w:firstLineChars="500"/>
        <w:jc w:val="both"/>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u w:val="single"/>
        </w:rPr>
        <w:t xml:space="preserve">                </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w:t>
      </w:r>
    </w:p>
    <w:p>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hint="eastAsia"/>
          <w:color w:val="auto"/>
          <w:highlight w:val="none"/>
        </w:rPr>
      </w:pPr>
      <w:r>
        <w:rPr>
          <w:rFonts w:hint="eastAsia"/>
          <w:color w:val="auto"/>
          <w:highlight w:val="none"/>
        </w:rPr>
        <w:br w:type="page"/>
      </w:r>
    </w:p>
    <w:p>
      <w:pPr>
        <w:pStyle w:val="4"/>
        <w:jc w:val="center"/>
        <w:rPr>
          <w:rFonts w:hint="eastAsia" w:ascii="宋体" w:hAnsi="宋体" w:eastAsia="宋体" w:cs="宋体"/>
          <w:color w:val="auto"/>
          <w:highlight w:val="none"/>
        </w:rPr>
      </w:pPr>
      <w:bookmarkStart w:id="203" w:name="_Toc1368"/>
      <w:bookmarkStart w:id="204" w:name="_Toc3606"/>
      <w:bookmarkStart w:id="205" w:name="_Toc12189"/>
      <w:bookmarkStart w:id="206" w:name="_Toc5459"/>
      <w:bookmarkStart w:id="207" w:name="_Toc18761"/>
      <w:bookmarkStart w:id="208" w:name="_Toc27055"/>
      <w:bookmarkStart w:id="209" w:name="_Toc11329273"/>
      <w:bookmarkStart w:id="210" w:name="_Toc28780"/>
      <w:r>
        <w:rPr>
          <w:rFonts w:hint="eastAsia" w:ascii="宋体" w:hAnsi="宋体" w:eastAsia="宋体" w:cs="宋体"/>
          <w:color w:val="auto"/>
          <w:highlight w:val="none"/>
        </w:rPr>
        <w:t>目    录</w:t>
      </w:r>
      <w:bookmarkEnd w:id="186"/>
      <w:bookmarkEnd w:id="187"/>
      <w:bookmarkEnd w:id="188"/>
      <w:bookmarkEnd w:id="189"/>
      <w:bookmarkEnd w:id="190"/>
      <w:bookmarkEnd w:id="191"/>
      <w:bookmarkEnd w:id="192"/>
      <w:bookmarkEnd w:id="193"/>
      <w:bookmarkEnd w:id="203"/>
      <w:bookmarkEnd w:id="204"/>
      <w:bookmarkEnd w:id="205"/>
      <w:bookmarkEnd w:id="206"/>
      <w:bookmarkEnd w:id="207"/>
      <w:bookmarkEnd w:id="208"/>
      <w:bookmarkEnd w:id="209"/>
      <w:bookmarkEnd w:id="210"/>
    </w:p>
    <w:p>
      <w:pPr>
        <w:numPr>
          <w:ilvl w:val="0"/>
          <w:numId w:val="5"/>
        </w:numPr>
        <w:spacing w:line="40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竞争性响应声明书</w:t>
      </w:r>
    </w:p>
    <w:p>
      <w:pPr>
        <w:numPr>
          <w:ilvl w:val="0"/>
          <w:numId w:val="5"/>
        </w:numPr>
        <w:spacing w:line="400" w:lineRule="exact"/>
        <w:rPr>
          <w:rFonts w:hint="default" w:ascii="宋体" w:hAnsi="宋体" w:cs="宋体"/>
          <w:color w:val="auto"/>
          <w:highlight w:val="none"/>
          <w:lang w:val="en-US" w:eastAsia="zh-CN"/>
        </w:rPr>
      </w:pPr>
      <w:r>
        <w:rPr>
          <w:rFonts w:hint="default" w:ascii="宋体" w:hAnsi="宋体" w:cs="宋体"/>
          <w:color w:val="auto"/>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color w:val="auto"/>
          <w:highlight w:val="none"/>
          <w:lang w:val="en-US" w:eastAsia="zh-CN"/>
        </w:rPr>
        <w:t>三</w:t>
      </w:r>
      <w:r>
        <w:rPr>
          <w:rFonts w:hint="eastAsia" w:ascii="宋体" w:hAnsi="宋体" w:cs="宋体"/>
          <w:color w:val="auto"/>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color w:val="auto"/>
          <w:highlight w:val="none"/>
        </w:rPr>
      </w:pPr>
      <w:r>
        <w:rPr>
          <w:rFonts w:hint="eastAsia" w:ascii="宋体" w:hAnsi="宋体" w:cs="宋体"/>
          <w:color w:val="auto"/>
          <w:highlight w:val="none"/>
          <w:lang w:val="en-US" w:eastAsia="zh-CN"/>
        </w:rPr>
        <w:t>四、</w:t>
      </w:r>
      <w:r>
        <w:rPr>
          <w:rFonts w:hint="eastAsia" w:ascii="宋体" w:hAnsi="宋体" w:cs="宋体"/>
          <w:color w:val="auto"/>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highlight w:val="none"/>
          <w:lang w:val="en-US" w:eastAsia="zh-CN"/>
        </w:rPr>
        <w:t>六</w:t>
      </w:r>
      <w:r>
        <w:rPr>
          <w:rFonts w:hint="eastAsia" w:ascii="宋体" w:hAnsi="宋体" w:cs="宋体"/>
          <w:color w:val="auto"/>
          <w:highlight w:val="none"/>
        </w:rPr>
        <w:t>、</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方案</w:t>
      </w:r>
    </w:p>
    <w:p>
      <w:pPr>
        <w:spacing w:line="400" w:lineRule="exact"/>
        <w:rPr>
          <w:rFonts w:hint="eastAsia" w:ascii="宋体" w:hAnsi="宋体" w:cs="宋体"/>
          <w:color w:val="auto"/>
          <w:highlight w:val="none"/>
        </w:rPr>
      </w:pPr>
      <w:r>
        <w:rPr>
          <w:rFonts w:hint="eastAsia" w:ascii="宋体" w:hAnsi="宋体" w:cs="宋体"/>
          <w:color w:val="auto"/>
          <w:szCs w:val="21"/>
          <w:highlight w:val="none"/>
          <w:lang w:val="en-US" w:eastAsia="zh-CN"/>
        </w:rPr>
        <w:t>七、报价人基本信息及</w:t>
      </w:r>
      <w:r>
        <w:rPr>
          <w:rFonts w:hint="eastAsia" w:ascii="宋体" w:hAnsi="宋体" w:cs="宋体"/>
          <w:color w:val="auto"/>
          <w:szCs w:val="21"/>
          <w:highlight w:val="none"/>
        </w:rPr>
        <w:t>其他材料</w:t>
      </w:r>
    </w:p>
    <w:p>
      <w:pPr>
        <w:spacing w:line="400" w:lineRule="exact"/>
        <w:rPr>
          <w:rFonts w:hint="eastAsia" w:ascii="宋体" w:hAnsi="宋体" w:cs="宋体"/>
          <w:color w:val="auto"/>
          <w:highlight w:val="none"/>
        </w:rPr>
      </w:pPr>
      <w:r>
        <w:rPr>
          <w:rFonts w:ascii="宋体" w:hAnsi="宋体" w:cs="宋体"/>
          <w:color w:val="auto"/>
          <w:highlight w:val="none"/>
        </w:rPr>
        <w:br w:type="page"/>
      </w:r>
    </w:p>
    <w:p>
      <w:pPr>
        <w:pStyle w:val="4"/>
        <w:spacing w:before="0" w:after="0" w:line="360" w:lineRule="auto"/>
        <w:jc w:val="center"/>
        <w:rPr>
          <w:rFonts w:hint="eastAsia" w:ascii="宋体" w:hAnsi="宋体" w:eastAsia="宋体" w:cs="宋体"/>
          <w:color w:val="auto"/>
          <w:sz w:val="28"/>
          <w:highlight w:val="none"/>
        </w:rPr>
      </w:pPr>
      <w:bookmarkStart w:id="211" w:name="_Toc11329274"/>
      <w:bookmarkStart w:id="212" w:name="_Toc8870"/>
      <w:bookmarkStart w:id="213" w:name="_Toc28490"/>
      <w:bookmarkStart w:id="214" w:name="_Toc15863"/>
      <w:bookmarkStart w:id="215" w:name="_Toc5274"/>
      <w:bookmarkStart w:id="216" w:name="_Toc29547"/>
      <w:bookmarkStart w:id="217" w:name="_Toc26784"/>
      <w:bookmarkStart w:id="218" w:name="_Toc20552"/>
      <w:bookmarkStart w:id="219" w:name="_Toc25874"/>
      <w:bookmarkStart w:id="220" w:name="_Toc503951048"/>
      <w:bookmarkStart w:id="221" w:name="_Toc447827053"/>
      <w:bookmarkStart w:id="222" w:name="_Toc513633969"/>
      <w:r>
        <w:rPr>
          <w:rFonts w:hint="eastAsia" w:ascii="宋体" w:hAnsi="宋体" w:eastAsia="宋体" w:cs="宋体"/>
          <w:color w:val="auto"/>
          <w:sz w:val="28"/>
          <w:highlight w:val="none"/>
        </w:rPr>
        <w:t>一、</w:t>
      </w:r>
      <w:bookmarkEnd w:id="211"/>
      <w:bookmarkEnd w:id="212"/>
      <w:r>
        <w:rPr>
          <w:rFonts w:hint="eastAsia" w:ascii="宋体" w:hAnsi="宋体" w:eastAsia="宋体" w:cs="宋体"/>
          <w:color w:val="auto"/>
          <w:sz w:val="28"/>
          <w:highlight w:val="none"/>
          <w:lang w:eastAsia="zh-CN"/>
        </w:rPr>
        <w:t>竞争比选</w:t>
      </w:r>
      <w:r>
        <w:rPr>
          <w:rFonts w:hint="eastAsia" w:ascii="宋体" w:hAnsi="宋体" w:eastAsia="宋体" w:cs="宋体"/>
          <w:color w:val="auto"/>
          <w:sz w:val="28"/>
          <w:highlight w:val="none"/>
        </w:rPr>
        <w:t>响应声明书</w:t>
      </w:r>
      <w:bookmarkEnd w:id="213"/>
      <w:bookmarkEnd w:id="214"/>
      <w:bookmarkEnd w:id="215"/>
      <w:bookmarkEnd w:id="216"/>
      <w:bookmarkEnd w:id="217"/>
      <w:bookmarkEnd w:id="218"/>
      <w:bookmarkEnd w:id="219"/>
    </w:p>
    <w:p>
      <w:pPr>
        <w:tabs>
          <w:tab w:val="left" w:pos="900"/>
        </w:tabs>
        <w:spacing w:line="300" w:lineRule="auto"/>
        <w:rPr>
          <w:rFonts w:hint="eastAsia" w:ascii="Arial" w:hAnsi="Arial" w:cs="Arial"/>
          <w:color w:val="auto"/>
          <w:sz w:val="24"/>
          <w:highlight w:val="none"/>
        </w:rPr>
      </w:pPr>
      <w:r>
        <w:rPr>
          <w:rFonts w:ascii="Arial" w:hAnsi="Arial" w:cs="Arial"/>
          <w:color w:val="auto"/>
          <w:sz w:val="24"/>
          <w:highlight w:val="none"/>
        </w:rPr>
        <w:t xml:space="preserve"> </w:t>
      </w:r>
      <w:r>
        <w:rPr>
          <w:rFonts w:hint="eastAsia" w:ascii="Arial" w:hAnsi="Arial" w:cs="Arial"/>
          <w:b/>
          <w:color w:val="auto"/>
          <w:sz w:val="24"/>
          <w:highlight w:val="none"/>
        </w:rPr>
        <w:t>致：</w:t>
      </w:r>
      <w:r>
        <w:rPr>
          <w:rFonts w:hint="eastAsia" w:ascii="Arial" w:hAnsi="Arial" w:cs="Arial"/>
          <w:b/>
          <w:bCs/>
          <w:color w:val="auto"/>
          <w:sz w:val="24"/>
          <w:highlight w:val="none"/>
          <w:u w:val="single"/>
          <w:lang w:eastAsia="zh-CN"/>
        </w:rPr>
        <w:t>重庆首讯科技股份有限公司</w:t>
      </w:r>
    </w:p>
    <w:p>
      <w:pPr>
        <w:spacing w:line="700" w:lineRule="atLeast"/>
        <w:ind w:firstLine="480" w:firstLineChars="200"/>
        <w:rPr>
          <w:rFonts w:hint="eastAsia" w:ascii="Arial" w:hAnsi="Arial" w:cs="Arial"/>
          <w:color w:val="auto"/>
          <w:sz w:val="24"/>
          <w:highlight w:val="none"/>
        </w:rPr>
      </w:pPr>
      <w:r>
        <w:rPr>
          <w:rFonts w:hint="eastAsia" w:ascii="Arial" w:hAnsi="Arial" w:cs="Arial"/>
          <w:color w:val="auto"/>
          <w:sz w:val="24"/>
          <w:highlight w:val="none"/>
        </w:rPr>
        <w:t>根据贵方为</w:t>
      </w:r>
      <w:r>
        <w:rPr>
          <w:rFonts w:hint="eastAsia" w:ascii="Arial" w:hAnsi="Arial" w:cs="Arial"/>
          <w:color w:val="auto"/>
          <w:sz w:val="24"/>
          <w:highlight w:val="none"/>
          <w:u w:val="single"/>
          <w:lang w:val="en-US" w:eastAsia="zh-CN"/>
        </w:rPr>
        <w:t>首讯公司2022年安全咨询服务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项目及服务的</w:t>
      </w:r>
      <w:r>
        <w:rPr>
          <w:rFonts w:hint="eastAsia" w:ascii="Arial" w:hAnsi="Arial" w:cs="Arial"/>
          <w:color w:val="auto"/>
          <w:sz w:val="24"/>
          <w:highlight w:val="none"/>
          <w:lang w:eastAsia="zh-CN"/>
        </w:rPr>
        <w:t>竞争比选</w:t>
      </w:r>
      <w:r>
        <w:rPr>
          <w:rFonts w:hint="eastAsia" w:ascii="Arial" w:hAnsi="Arial" w:cs="Arial"/>
          <w:color w:val="auto"/>
          <w:sz w:val="24"/>
          <w:highlight w:val="none"/>
        </w:rPr>
        <w:t>邀请，签字代表</w:t>
      </w:r>
      <w:r>
        <w:rPr>
          <w:rFonts w:ascii="Arial" w:hAnsi="Arial" w:cs="Arial"/>
          <w:color w:val="auto"/>
          <w:sz w:val="24"/>
          <w:highlight w:val="none"/>
          <w:u w:val="single"/>
        </w:rPr>
        <w:t xml:space="preserve">          </w:t>
      </w:r>
      <w:r>
        <w:rPr>
          <w:rFonts w:hint="eastAsia" w:ascii="Arial" w:hAnsi="Arial" w:cs="Arial"/>
          <w:color w:val="auto"/>
          <w:sz w:val="24"/>
          <w:highlight w:val="none"/>
          <w:u w:val="single"/>
        </w:rPr>
        <w:t>（全名、职务）</w:t>
      </w:r>
      <w:r>
        <w:rPr>
          <w:rFonts w:hint="eastAsia" w:ascii="Arial" w:hAnsi="Arial" w:cs="Arial"/>
          <w:color w:val="auto"/>
          <w:sz w:val="24"/>
          <w:highlight w:val="none"/>
        </w:rPr>
        <w:t>经正式授权并代表</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ascii="Arial" w:hAnsi="Arial" w:cs="Arial"/>
          <w:color w:val="auto"/>
          <w:sz w:val="24"/>
          <w:highlight w:val="none"/>
          <w:u w:val="single"/>
        </w:rPr>
        <w:t xml:space="preserve"> </w:t>
      </w:r>
      <w:r>
        <w:rPr>
          <w:rFonts w:hint="eastAsia" w:ascii="Arial" w:hAnsi="Arial" w:cs="Arial"/>
          <w:color w:val="auto"/>
          <w:sz w:val="24"/>
          <w:highlight w:val="none"/>
          <w:u w:val="single"/>
        </w:rPr>
        <w:t>（</w:t>
      </w:r>
      <w:r>
        <w:rPr>
          <w:rFonts w:hint="eastAsia" w:ascii="Arial" w:hAnsi="Arial" w:cs="Arial"/>
          <w:color w:val="auto"/>
          <w:sz w:val="24"/>
          <w:highlight w:val="none"/>
          <w:u w:val="single"/>
          <w:lang w:eastAsia="zh-CN"/>
        </w:rPr>
        <w:t>竞争比选</w:t>
      </w:r>
      <w:r>
        <w:rPr>
          <w:rFonts w:hint="eastAsia" w:ascii="Arial" w:hAnsi="Arial" w:cs="Arial"/>
          <w:color w:val="auto"/>
          <w:sz w:val="24"/>
          <w:highlight w:val="none"/>
          <w:u w:val="single"/>
        </w:rPr>
        <w:t>响应单位名称）</w:t>
      </w:r>
      <w:r>
        <w:rPr>
          <w:rFonts w:ascii="Arial" w:hAnsi="Arial" w:cs="Arial"/>
          <w:color w:val="auto"/>
          <w:sz w:val="24"/>
          <w:highlight w:val="none"/>
          <w:u w:val="single"/>
        </w:rPr>
        <w:t xml:space="preserve"> </w:t>
      </w:r>
      <w:r>
        <w:rPr>
          <w:rFonts w:hint="eastAsia" w:ascii="Arial" w:hAnsi="Arial" w:cs="Arial"/>
          <w:color w:val="auto"/>
          <w:sz w:val="24"/>
          <w:highlight w:val="none"/>
        </w:rPr>
        <w:t>提交</w:t>
      </w:r>
      <w:r>
        <w:rPr>
          <w:rFonts w:hint="eastAsia" w:ascii="Arial" w:hAnsi="Arial" w:cs="Arial"/>
          <w:color w:val="auto"/>
          <w:sz w:val="24"/>
          <w:highlight w:val="none"/>
          <w:lang w:val="en-US" w:eastAsia="zh-CN"/>
        </w:rPr>
        <w:t>报价</w:t>
      </w:r>
      <w:r>
        <w:rPr>
          <w:rFonts w:hint="eastAsia" w:ascii="Arial" w:hAnsi="Arial" w:cs="Arial"/>
          <w:color w:val="auto"/>
          <w:sz w:val="24"/>
          <w:highlight w:val="none"/>
        </w:rPr>
        <w:t>文件。</w:t>
      </w:r>
    </w:p>
    <w:p>
      <w:pPr>
        <w:spacing w:line="700" w:lineRule="atLeast"/>
        <w:ind w:firstLine="480" w:firstLineChars="200"/>
        <w:rPr>
          <w:rFonts w:hint="eastAsia" w:ascii="Arial" w:hAnsi="Arial" w:eastAsia="宋体" w:cs="Arial"/>
          <w:color w:val="auto"/>
          <w:sz w:val="24"/>
          <w:highlight w:val="none"/>
          <w:u w:val="single"/>
          <w:lang w:val="en-US" w:eastAsia="zh-CN"/>
        </w:rPr>
      </w:pPr>
      <w:r>
        <w:rPr>
          <w:rFonts w:hint="eastAsia" w:ascii="Arial" w:hAnsi="Arial" w:cs="Arial"/>
          <w:color w:val="auto"/>
          <w:sz w:val="24"/>
          <w:highlight w:val="none"/>
          <w:u w:val="single"/>
          <w:lang w:val="en-US" w:eastAsia="zh-CN"/>
        </w:rPr>
        <w:t>我方愿以：</w:t>
      </w:r>
      <w:r>
        <w:rPr>
          <w:rFonts w:hint="eastAsia" w:ascii="Arial" w:hAnsi="Arial" w:cs="Arial"/>
          <w:color w:val="000000" w:themeColor="text1"/>
          <w:sz w:val="24"/>
          <w:highlight w:val="none"/>
          <w:u w:val="single"/>
          <w14:textFill>
            <w14:solidFill>
              <w14:schemeClr w14:val="tx1"/>
            </w14:solidFill>
          </w14:textFill>
        </w:rPr>
        <w:t xml:space="preserve">              元（大写              元）</w:t>
      </w:r>
      <w:r>
        <w:rPr>
          <w:rFonts w:hint="eastAsia" w:ascii="Arial" w:hAnsi="Arial" w:cs="Arial"/>
          <w:color w:val="000000" w:themeColor="text1"/>
          <w:sz w:val="24"/>
          <w:highlight w:val="none"/>
          <w14:textFill>
            <w14:solidFill>
              <w14:schemeClr w14:val="tx1"/>
            </w14:solidFill>
          </w14:textFill>
        </w:rPr>
        <w:t>的总报价（含增值税），按照竞争性比选文件的要求，承担本次竞争性比选</w:t>
      </w:r>
      <w:r>
        <w:rPr>
          <w:rFonts w:hint="eastAsia" w:ascii="Arial" w:hAnsi="Arial" w:cs="Arial"/>
          <w:color w:val="000000" w:themeColor="text1"/>
          <w:sz w:val="24"/>
          <w:highlight w:val="none"/>
          <w:lang w:val="en-US" w:eastAsia="zh-CN"/>
          <w14:textFill>
            <w14:solidFill>
              <w14:schemeClr w14:val="tx1"/>
            </w14:solidFill>
          </w14:textFill>
        </w:rPr>
        <w:t>含</w:t>
      </w:r>
      <w:r>
        <w:rPr>
          <w:rFonts w:hint="eastAsia" w:ascii="Arial" w:hAnsi="Arial" w:cs="Arial"/>
          <w:color w:val="000000" w:themeColor="text1"/>
          <w:sz w:val="24"/>
          <w:highlight w:val="none"/>
          <w14:textFill>
            <w14:solidFill>
              <w14:schemeClr w14:val="tx1"/>
            </w14:solidFill>
          </w14:textFill>
        </w:rPr>
        <w:t>要求的服务</w:t>
      </w:r>
      <w:r>
        <w:rPr>
          <w:rFonts w:hint="eastAsia" w:ascii="Arial" w:hAnsi="Arial" w:cs="Arial"/>
          <w:color w:val="000000" w:themeColor="text1"/>
          <w:sz w:val="24"/>
          <w:highlight w:val="none"/>
          <w:lang w:val="en-US" w:eastAsia="zh-CN"/>
          <w14:textFill>
            <w14:solidFill>
              <w14:schemeClr w14:val="tx1"/>
            </w14:solidFill>
          </w14:textFill>
        </w:rPr>
        <w:t>任务</w:t>
      </w:r>
      <w:r>
        <w:rPr>
          <w:rFonts w:hint="eastAsia" w:ascii="Arial" w:hAnsi="Arial" w:cs="Arial"/>
          <w:color w:val="000000" w:themeColor="text1"/>
          <w:sz w:val="24"/>
          <w:highlight w:val="none"/>
          <w:lang w:eastAsia="zh-CN"/>
          <w14:textFill>
            <w14:solidFill>
              <w14:schemeClr w14:val="tx1"/>
            </w14:solidFill>
          </w14:textFill>
        </w:rPr>
        <w:t>。</w:t>
      </w:r>
    </w:p>
    <w:p>
      <w:pP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 xml:space="preserve">    </w:t>
      </w:r>
    </w:p>
    <w:p>
      <w:pPr>
        <w:tabs>
          <w:tab w:val="left" w:pos="540"/>
          <w:tab w:val="left" w:pos="900"/>
        </w:tabs>
        <w:spacing w:line="300" w:lineRule="auto"/>
        <w:ind w:firstLine="480" w:firstLineChars="200"/>
        <w:rPr>
          <w:rFonts w:ascii="Arial" w:hAnsi="Arial" w:cs="Arial"/>
          <w:color w:val="auto"/>
          <w:sz w:val="24"/>
          <w:highlight w:val="none"/>
        </w:rPr>
      </w:pPr>
      <w:r>
        <w:rPr>
          <w:rFonts w:hint="eastAsia" w:ascii="Arial" w:hAnsi="Arial" w:cs="Arial"/>
          <w:color w:val="auto"/>
          <w:sz w:val="24"/>
          <w:highlight w:val="none"/>
        </w:rPr>
        <w:t>据此函，签字代表宣布同意如下：</w:t>
      </w:r>
    </w:p>
    <w:p>
      <w:pPr>
        <w:tabs>
          <w:tab w:val="left" w:pos="540"/>
          <w:tab w:val="left" w:pos="900"/>
        </w:tabs>
        <w:spacing w:line="300" w:lineRule="auto"/>
        <w:rPr>
          <w:rFonts w:ascii="Arial" w:hAnsi="Arial" w:cs="Arial"/>
          <w:color w:val="auto"/>
          <w:sz w:val="24"/>
          <w:highlight w:val="none"/>
        </w:rPr>
      </w:pPr>
      <w:r>
        <w:rPr>
          <w:rFonts w:ascii="Arial" w:hAnsi="Arial" w:cs="Arial"/>
          <w:color w:val="auto"/>
          <w:sz w:val="24"/>
          <w:highlight w:val="none"/>
        </w:rPr>
        <w:t>1</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响应单位将按</w:t>
      </w:r>
      <w:r>
        <w:rPr>
          <w:rFonts w:hint="eastAsia" w:ascii="Arial" w:hAnsi="Arial" w:cs="Arial"/>
          <w:color w:val="auto"/>
          <w:sz w:val="24"/>
          <w:highlight w:val="none"/>
          <w:lang w:eastAsia="zh-CN"/>
        </w:rPr>
        <w:t>竞争比选</w:t>
      </w:r>
      <w:r>
        <w:rPr>
          <w:rFonts w:hint="eastAsia" w:ascii="Arial" w:hAnsi="Arial" w:cs="Arial"/>
          <w:color w:val="auto"/>
          <w:sz w:val="24"/>
          <w:highlight w:val="none"/>
        </w:rPr>
        <w:t>文件规定履行合同责任和义务。</w:t>
      </w:r>
    </w:p>
    <w:p>
      <w:pPr>
        <w:tabs>
          <w:tab w:val="left" w:pos="900"/>
        </w:tabs>
        <w:spacing w:line="300" w:lineRule="auto"/>
        <w:rPr>
          <w:rFonts w:ascii="Arial" w:hAnsi="Arial" w:cs="Arial"/>
          <w:b/>
          <w:color w:val="auto"/>
          <w:sz w:val="24"/>
          <w:highlight w:val="none"/>
        </w:rPr>
      </w:pPr>
      <w:r>
        <w:rPr>
          <w:rFonts w:ascii="Arial" w:hAnsi="Arial" w:cs="Arial"/>
          <w:color w:val="auto"/>
          <w:sz w:val="24"/>
          <w:highlight w:val="none"/>
        </w:rPr>
        <w:t>2</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响应单位已详细审查全部</w:t>
      </w:r>
      <w:r>
        <w:rPr>
          <w:rFonts w:hint="eastAsia" w:ascii="Arial" w:hAnsi="Arial" w:cs="Arial"/>
          <w:color w:val="auto"/>
          <w:sz w:val="24"/>
          <w:highlight w:val="none"/>
          <w:lang w:eastAsia="zh-CN"/>
        </w:rPr>
        <w:t>竞争比选</w:t>
      </w:r>
      <w:r>
        <w:rPr>
          <w:rFonts w:hint="eastAsia" w:ascii="Arial" w:hAnsi="Arial" w:cs="Arial"/>
          <w:color w:val="auto"/>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3、</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响应单位同意提供</w:t>
      </w:r>
      <w:r>
        <w:rPr>
          <w:rFonts w:hint="eastAsia" w:ascii="Arial" w:hAnsi="Arial" w:cs="Arial"/>
          <w:color w:val="auto"/>
          <w:sz w:val="24"/>
          <w:highlight w:val="none"/>
          <w:lang w:val="en-US" w:eastAsia="zh-CN"/>
        </w:rPr>
        <w:t>采购</w:t>
      </w:r>
      <w:r>
        <w:rPr>
          <w:rFonts w:hint="eastAsia" w:ascii="Arial" w:hAnsi="Arial" w:cs="Arial"/>
          <w:color w:val="auto"/>
          <w:sz w:val="24"/>
          <w:highlight w:val="none"/>
        </w:rPr>
        <w:t>人可能要求的与其</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响应文件有关的一切数据或资料，完全理解</w:t>
      </w:r>
      <w:r>
        <w:rPr>
          <w:rFonts w:hint="eastAsia" w:ascii="Arial" w:hAnsi="Arial" w:cs="Arial"/>
          <w:color w:val="auto"/>
          <w:sz w:val="24"/>
          <w:highlight w:val="none"/>
          <w:lang w:val="en-US" w:eastAsia="zh-CN"/>
        </w:rPr>
        <w:t>采购</w:t>
      </w:r>
      <w:r>
        <w:rPr>
          <w:rFonts w:hint="eastAsia" w:ascii="Arial" w:hAnsi="Arial" w:cs="Arial"/>
          <w:color w:val="auto"/>
          <w:sz w:val="24"/>
          <w:highlight w:val="none"/>
        </w:rPr>
        <w:t>人不一定要接受最低报价的</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响应或收到的任何</w:t>
      </w:r>
      <w:r>
        <w:rPr>
          <w:rFonts w:hint="eastAsia" w:ascii="Arial" w:hAnsi="Arial" w:cs="Arial"/>
          <w:color w:val="auto"/>
          <w:sz w:val="24"/>
          <w:highlight w:val="none"/>
          <w:lang w:val="en-US" w:eastAsia="zh-CN"/>
        </w:rPr>
        <w:t>报价</w:t>
      </w:r>
      <w:r>
        <w:rPr>
          <w:rFonts w:hint="eastAsia" w:ascii="Arial" w:hAnsi="Arial" w:cs="Arial"/>
          <w:color w:val="auto"/>
          <w:sz w:val="24"/>
          <w:highlight w:val="none"/>
        </w:rPr>
        <w:t>。</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4、与本</w:t>
      </w: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响应有关的一切正式往来通讯请寄：</w:t>
      </w:r>
    </w:p>
    <w:p>
      <w:pPr>
        <w:tabs>
          <w:tab w:val="left" w:pos="900"/>
        </w:tabs>
        <w:spacing w:line="300" w:lineRule="auto"/>
        <w:rPr>
          <w:rFonts w:ascii="Arial" w:hAnsi="Arial" w:cs="Arial"/>
          <w:b/>
          <w:color w:val="auto"/>
          <w:sz w:val="24"/>
          <w:highlight w:val="none"/>
        </w:rPr>
      </w:pPr>
      <w:r>
        <w:rPr>
          <w:rFonts w:hint="eastAsia" w:ascii="Arial" w:hAnsi="Arial" w:cs="Arial"/>
          <w:color w:val="auto"/>
          <w:sz w:val="24"/>
          <w:highlight w:val="none"/>
        </w:rPr>
        <w:t>地址：</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邮编：</w:t>
      </w:r>
      <w:r>
        <w:rPr>
          <w:rFonts w:ascii="Arial" w:hAnsi="Arial" w:cs="Arial"/>
          <w:color w:val="auto"/>
          <w:sz w:val="24"/>
          <w:highlight w:val="none"/>
          <w:u w:val="single"/>
        </w:rPr>
        <w:t xml:space="preserve">            </w:t>
      </w:r>
      <w:r>
        <w:rPr>
          <w:rFonts w:ascii="Arial" w:hAnsi="Arial" w:cs="Arial"/>
          <w:b/>
          <w:color w:val="auto"/>
          <w:sz w:val="24"/>
          <w:highlight w:val="none"/>
        </w:rPr>
        <w:t xml:space="preserve">  </w:t>
      </w:r>
    </w:p>
    <w:p>
      <w:pPr>
        <w:tabs>
          <w:tab w:val="left" w:pos="900"/>
        </w:tabs>
        <w:spacing w:line="300" w:lineRule="auto"/>
        <w:rPr>
          <w:rFonts w:ascii="Arial" w:hAnsi="Arial" w:cs="Arial"/>
          <w:color w:val="auto"/>
          <w:sz w:val="24"/>
          <w:highlight w:val="none"/>
          <w:u w:val="single"/>
        </w:rPr>
      </w:pPr>
      <w:r>
        <w:rPr>
          <w:rFonts w:hint="eastAsia" w:ascii="Arial" w:hAnsi="Arial" w:cs="Arial"/>
          <w:color w:val="auto"/>
          <w:sz w:val="24"/>
          <w:highlight w:val="none"/>
        </w:rPr>
        <w:t>电话：</w:t>
      </w:r>
      <w:r>
        <w:rPr>
          <w:rFonts w:ascii="Arial" w:hAnsi="Arial" w:cs="Arial"/>
          <w:color w:val="auto"/>
          <w:sz w:val="24"/>
          <w:highlight w:val="none"/>
          <w:u w:val="single"/>
        </w:rPr>
        <w:t xml:space="preserve">                   </w:t>
      </w:r>
      <w:r>
        <w:rPr>
          <w:rFonts w:ascii="Arial" w:hAnsi="Arial" w:cs="Arial"/>
          <w:color w:val="auto"/>
          <w:sz w:val="24"/>
          <w:highlight w:val="none"/>
        </w:rPr>
        <w:t xml:space="preserve">         </w:t>
      </w:r>
      <w:r>
        <w:rPr>
          <w:rFonts w:hint="eastAsia" w:ascii="Arial" w:hAnsi="Arial" w:cs="Arial"/>
          <w:color w:val="auto"/>
          <w:sz w:val="24"/>
          <w:highlight w:val="none"/>
        </w:rPr>
        <w:t>传真：</w:t>
      </w:r>
      <w:r>
        <w:rPr>
          <w:rFonts w:ascii="Arial" w:hAnsi="Arial" w:cs="Arial"/>
          <w:color w:val="auto"/>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w:t>
      </w:r>
      <w:r>
        <w:rPr>
          <w:rFonts w:hint="eastAsia" w:ascii="Arial" w:hAnsi="Arial" w:cs="Arial"/>
          <w:color w:val="auto"/>
          <w:sz w:val="24"/>
          <w:highlight w:val="none"/>
          <w:lang w:val="en-US" w:eastAsia="zh-CN"/>
        </w:rPr>
        <w:t>鲜</w:t>
      </w:r>
      <w:r>
        <w:rPr>
          <w:rFonts w:hint="eastAsia" w:ascii="Arial" w:hAnsi="Arial" w:cs="Arial"/>
          <w:color w:val="auto"/>
          <w:sz w:val="24"/>
          <w:highlight w:val="none"/>
        </w:rPr>
        <w:t>公章）：</w:t>
      </w:r>
      <w:r>
        <w:rPr>
          <w:rFonts w:ascii="Arial" w:hAnsi="Arial" w:cs="Arial"/>
          <w:color w:val="auto"/>
          <w:sz w:val="24"/>
          <w:highlight w:val="none"/>
          <w:u w:val="singl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rPr>
        <w:t>日期：</w:t>
      </w:r>
      <w:r>
        <w:rPr>
          <w:rFonts w:hint="eastAsia" w:ascii="Arial" w:hAnsi="Arial" w:cs="Arial"/>
          <w:color w:val="auto"/>
          <w:sz w:val="24"/>
          <w:highlight w:val="none"/>
          <w:u w:val="single"/>
        </w:rPr>
        <w:t xml:space="preserve">     </w:t>
      </w:r>
      <w:r>
        <w:rPr>
          <w:rFonts w:hint="eastAsia" w:ascii="Arial" w:hAnsi="Arial" w:cs="Arial"/>
          <w:color w:val="auto"/>
          <w:sz w:val="24"/>
          <w:highlight w:val="none"/>
        </w:rPr>
        <w:t>年</w:t>
      </w:r>
      <w:r>
        <w:rPr>
          <w:rFonts w:ascii="Arial" w:hAnsi="Arial" w:cs="Arial"/>
          <w:color w:val="auto"/>
          <w:sz w:val="24"/>
          <w:highlight w:val="none"/>
          <w:u w:val="single"/>
        </w:rPr>
        <w:t xml:space="preserve">      </w:t>
      </w:r>
      <w:r>
        <w:rPr>
          <w:rFonts w:hint="eastAsia" w:ascii="Arial" w:hAnsi="Arial" w:cs="Arial"/>
          <w:color w:val="auto"/>
          <w:sz w:val="24"/>
          <w:highlight w:val="none"/>
        </w:rPr>
        <w:t>月</w:t>
      </w:r>
      <w:r>
        <w:rPr>
          <w:rFonts w:ascii="Arial" w:hAnsi="Arial" w:cs="Arial"/>
          <w:color w:val="auto"/>
          <w:sz w:val="24"/>
          <w:highlight w:val="none"/>
          <w:u w:val="single"/>
        </w:rPr>
        <w:t xml:space="preserve">    </w:t>
      </w:r>
      <w:r>
        <w:rPr>
          <w:rFonts w:hint="eastAsia" w:ascii="Arial" w:hAnsi="Arial" w:cs="Arial"/>
          <w:color w:val="auto"/>
          <w:sz w:val="24"/>
          <w:highlight w:val="none"/>
          <w:u w:val="single"/>
        </w:rPr>
        <w:t xml:space="preserve">  </w:t>
      </w:r>
      <w:r>
        <w:rPr>
          <w:rFonts w:hint="eastAsia" w:ascii="Arial" w:hAnsi="Arial" w:cs="Arial"/>
          <w:color w:val="auto"/>
          <w:sz w:val="24"/>
          <w:highlight w:val="none"/>
        </w:rPr>
        <w:t>日</w:t>
      </w:r>
      <w:r>
        <w:rPr>
          <w:rFonts w:ascii="Arial" w:hAnsi="Arial" w:cs="Arial"/>
          <w:color w:val="auto"/>
          <w:sz w:val="24"/>
          <w:highlight w:val="none"/>
        </w:rPr>
        <w:t xml:space="preserve"> </w:t>
      </w:r>
      <w:bookmarkStart w:id="223" w:name="_Toc27815"/>
      <w:bookmarkStart w:id="224" w:name="_Toc491883232"/>
    </w:p>
    <w:p>
      <w:pPr>
        <w:rPr>
          <w:rFonts w:hint="eastAsia" w:ascii="Arial" w:hAnsi="Arial" w:cs="Arial"/>
          <w:color w:val="auto"/>
          <w:sz w:val="24"/>
          <w:highlight w:val="none"/>
        </w:rPr>
      </w:pPr>
      <w:r>
        <w:rPr>
          <w:rFonts w:hint="eastAsia" w:ascii="Arial" w:hAnsi="Arial" w:cs="Arial"/>
          <w:color w:val="auto"/>
          <w:sz w:val="24"/>
          <w:highlight w:val="none"/>
        </w:rPr>
        <w:br w:type="page"/>
      </w:r>
    </w:p>
    <w:p>
      <w:pPr>
        <w:pStyle w:val="4"/>
        <w:jc w:val="center"/>
        <w:rPr>
          <w:rFonts w:hint="eastAsia" w:ascii="宋体" w:hAnsi="宋体" w:eastAsia="宋体" w:cs="宋体"/>
          <w:color w:val="auto"/>
          <w:sz w:val="28"/>
          <w:szCs w:val="28"/>
          <w:highlight w:val="none"/>
        </w:rPr>
      </w:pPr>
      <w:bookmarkStart w:id="225" w:name="_Toc7724"/>
      <w:bookmarkStart w:id="226" w:name="_Toc3141"/>
      <w:bookmarkStart w:id="227" w:name="_Toc736"/>
      <w:bookmarkStart w:id="228" w:name="_Toc30192"/>
      <w:r>
        <w:rPr>
          <w:rFonts w:hint="eastAsia" w:ascii="宋体" w:hAnsi="宋体" w:eastAsia="宋体" w:cs="宋体"/>
          <w:color w:val="auto"/>
          <w:sz w:val="28"/>
          <w:szCs w:val="28"/>
          <w:highlight w:val="none"/>
        </w:rPr>
        <w:t>二、法定代表人身份证明或法定代表人授权委托书</w:t>
      </w:r>
      <w:bookmarkEnd w:id="223"/>
      <w:bookmarkEnd w:id="225"/>
      <w:bookmarkEnd w:id="226"/>
      <w:bookmarkEnd w:id="227"/>
      <w:bookmarkEnd w:id="228"/>
    </w:p>
    <w:p>
      <w:pPr>
        <w:pStyle w:val="4"/>
        <w:jc w:val="center"/>
        <w:rPr>
          <w:rFonts w:hint="eastAsia" w:ascii="宋体" w:hAnsi="宋体" w:eastAsia="宋体" w:cs="宋体"/>
          <w:color w:val="auto"/>
          <w:sz w:val="24"/>
          <w:szCs w:val="24"/>
          <w:highlight w:val="none"/>
        </w:rPr>
      </w:pPr>
      <w:bookmarkStart w:id="229" w:name="_Toc12240"/>
      <w:bookmarkStart w:id="230" w:name="_Toc14141"/>
      <w:bookmarkStart w:id="231" w:name="_Toc5529"/>
      <w:bookmarkStart w:id="232" w:name="_Toc15857"/>
      <w:bookmarkStart w:id="233" w:name="_Toc19701"/>
      <w:r>
        <w:rPr>
          <w:rFonts w:hint="eastAsia" w:ascii="宋体" w:hAnsi="宋体" w:eastAsia="宋体" w:cs="宋体"/>
          <w:color w:val="auto"/>
          <w:sz w:val="24"/>
          <w:szCs w:val="24"/>
          <w:highlight w:val="none"/>
        </w:rPr>
        <w:t>（一）法定代表人身份证明</w:t>
      </w:r>
      <w:bookmarkEnd w:id="224"/>
      <w:bookmarkEnd w:id="229"/>
      <w:bookmarkEnd w:id="230"/>
      <w:bookmarkEnd w:id="231"/>
      <w:bookmarkEnd w:id="232"/>
      <w:bookmarkEnd w:id="233"/>
    </w:p>
    <w:p>
      <w:pPr>
        <w:spacing w:line="440" w:lineRule="exact"/>
        <w:rPr>
          <w:rFonts w:ascii="宋体" w:hAnsi="宋体"/>
          <w:color w:val="auto"/>
          <w:highlight w:val="none"/>
        </w:rPr>
      </w:pPr>
      <w:r>
        <w:rPr>
          <w:rFonts w:hint="eastAsia" w:ascii="宋体" w:hAnsi="宋体"/>
          <w:color w:val="auto"/>
          <w:highlight w:val="none"/>
          <w:lang w:eastAsia="zh-CN"/>
        </w:rPr>
        <w:t>报价人</w:t>
      </w:r>
      <w:r>
        <w:rPr>
          <w:rFonts w:ascii="宋体" w:hAnsi="宋体"/>
          <w:color w:val="auto"/>
          <w:highlight w:val="none"/>
        </w:rPr>
        <w:t>名称：</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ascii="宋体" w:hAnsi="宋体"/>
          <w:color w:val="auto"/>
          <w:highlight w:val="none"/>
        </w:rPr>
        <w:t>性别：</w:t>
      </w:r>
      <w:bookmarkStart w:id="234" w:name="_Toc27897"/>
      <w:bookmarkStart w:id="235" w:name="_Toc352691662"/>
      <w:bookmarkStart w:id="236" w:name="_Toc369531698"/>
      <w:r>
        <w:rPr>
          <w:rFonts w:ascii="宋体" w:hAnsi="宋体"/>
          <w:color w:val="auto"/>
          <w:highlight w:val="none"/>
          <w:u w:val="single"/>
        </w:rPr>
        <w:t xml:space="preserve">        </w:t>
      </w:r>
      <w:r>
        <w:rPr>
          <w:rFonts w:ascii="宋体" w:hAnsi="宋体"/>
          <w:color w:val="auto"/>
          <w:highlight w:val="none"/>
        </w:rPr>
        <w:t>年</w:t>
      </w:r>
      <w:bookmarkEnd w:id="234"/>
      <w:bookmarkEnd w:id="235"/>
      <w:bookmarkEnd w:id="236"/>
      <w:r>
        <w:rPr>
          <w:rFonts w:ascii="宋体" w:hAnsi="宋体"/>
          <w:color w:val="auto"/>
          <w:highlight w:val="none"/>
        </w:rPr>
        <w:t>龄</w:t>
      </w:r>
      <w:bookmarkStart w:id="237" w:name="_Toc369531699"/>
      <w:bookmarkStart w:id="238" w:name="_Toc144974858"/>
      <w:bookmarkStart w:id="239" w:name="_Toc152042578"/>
      <w:bookmarkStart w:id="240" w:name="_Toc384308377"/>
      <w:bookmarkStart w:id="241" w:name="_Toc247514248"/>
      <w:bookmarkStart w:id="242" w:name="_Toc361508754"/>
      <w:bookmarkStart w:id="243" w:name="_Toc300835211"/>
      <w:bookmarkStart w:id="244" w:name="_Toc15573"/>
      <w:bookmarkStart w:id="245" w:name="_Toc352691663"/>
      <w:bookmarkStart w:id="246" w:name="_Toc247527829"/>
      <w:bookmarkStart w:id="247" w:name="_Toc152045789"/>
      <w:r>
        <w:rPr>
          <w:rFonts w:ascii="宋体" w:hAnsi="宋体"/>
          <w:color w:val="auto"/>
          <w:highlight w:val="none"/>
        </w:rPr>
        <w:t>：</w:t>
      </w:r>
      <w:bookmarkEnd w:id="237"/>
      <w:bookmarkEnd w:id="238"/>
      <w:bookmarkEnd w:id="239"/>
      <w:bookmarkEnd w:id="240"/>
      <w:bookmarkEnd w:id="241"/>
      <w:bookmarkEnd w:id="242"/>
      <w:bookmarkEnd w:id="243"/>
      <w:bookmarkEnd w:id="244"/>
      <w:bookmarkEnd w:id="245"/>
      <w:bookmarkEnd w:id="246"/>
      <w:bookmarkEnd w:id="247"/>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lang w:eastAsia="zh-CN"/>
        </w:rPr>
        <w:t>报价人</w:t>
      </w:r>
      <w:r>
        <w:rPr>
          <w:rFonts w:ascii="宋体" w:hAnsi="宋体"/>
          <w:color w:val="auto"/>
          <w:highlight w:val="none"/>
        </w:rPr>
        <w:t>名称）的法定代表人。</w:t>
      </w:r>
    </w:p>
    <w:p>
      <w:pPr>
        <w:spacing w:line="440" w:lineRule="exact"/>
        <w:ind w:firstLine="420" w:firstLineChars="200"/>
        <w:rPr>
          <w:rFonts w:ascii="宋体" w:hAnsi="宋体"/>
          <w:color w:val="auto"/>
          <w:highlight w:val="none"/>
        </w:rPr>
      </w:pPr>
      <w:r>
        <w:rPr>
          <w:rFonts w:ascii="宋体" w:hAnsi="宋体"/>
          <w:color w:val="auto"/>
          <w:highlight w:val="none"/>
        </w:rPr>
        <w:t>特此证明。</w:t>
      </w:r>
    </w:p>
    <w:p>
      <w:pPr>
        <w:spacing w:line="440" w:lineRule="exact"/>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附：法定代表人身份证复印件</w:t>
      </w:r>
      <w:r>
        <w:rPr>
          <w:rFonts w:hint="eastAsia" w:ascii="宋体" w:hAnsi="宋体"/>
          <w:color w:val="auto"/>
          <w:highlight w:val="none"/>
        </w:rPr>
        <w:t>（正、反面）</w:t>
      </w:r>
      <w:r>
        <w:rPr>
          <w:rFonts w:ascii="宋体" w:hAnsi="宋体"/>
          <w:color w:val="auto"/>
          <w:highlight w:val="none"/>
        </w:rPr>
        <w:t>。</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lang w:eastAsia="zh-CN"/>
        </w:rPr>
        <w:t>报价人</w:t>
      </w:r>
      <w:r>
        <w:rPr>
          <w:rFonts w:ascii="宋体" w:hAnsi="宋体"/>
          <w:color w:val="auto"/>
          <w:highlight w:val="none"/>
        </w:rPr>
        <w:t>：</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注：本身份证明需由</w:t>
      </w:r>
      <w:r>
        <w:rPr>
          <w:rFonts w:hint="eastAsia" w:ascii="宋体" w:hAnsi="宋体"/>
          <w:color w:val="auto"/>
          <w:highlight w:val="none"/>
          <w:lang w:eastAsia="zh-CN"/>
        </w:rPr>
        <w:t>报价人</w:t>
      </w:r>
      <w:r>
        <w:rPr>
          <w:rFonts w:ascii="宋体" w:hAnsi="宋体"/>
          <w:color w:val="auto"/>
          <w:highlight w:val="none"/>
        </w:rPr>
        <w:t>加盖单位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w:t>
      </w:r>
    </w:p>
    <w:p>
      <w:pPr>
        <w:rPr>
          <w:color w:val="auto"/>
          <w:highlight w:val="none"/>
        </w:rPr>
      </w:pPr>
      <w:r>
        <w:rPr>
          <w:rFonts w:ascii="宋体" w:hAnsi="宋体"/>
          <w:color w:val="auto"/>
          <w:sz w:val="20"/>
          <w:highlight w:val="none"/>
        </w:rPr>
        <w:br w:type="page"/>
      </w:r>
    </w:p>
    <w:p>
      <w:pPr>
        <w:pStyle w:val="4"/>
        <w:jc w:val="center"/>
        <w:rPr>
          <w:rFonts w:ascii="宋体" w:hAnsi="宋体"/>
          <w:color w:val="auto"/>
          <w:sz w:val="28"/>
          <w:szCs w:val="28"/>
          <w:highlight w:val="none"/>
        </w:rPr>
      </w:pPr>
      <w:bookmarkStart w:id="248" w:name="_Toc491883233"/>
      <w:bookmarkStart w:id="249" w:name="_Toc58"/>
      <w:bookmarkStart w:id="250" w:name="_Toc2523"/>
      <w:bookmarkStart w:id="251" w:name="_Toc8768"/>
      <w:bookmarkStart w:id="252" w:name="_Toc23815"/>
      <w:bookmarkStart w:id="253" w:name="_Toc23491"/>
      <w:r>
        <w:rPr>
          <w:rFonts w:hint="eastAsia" w:ascii="宋体" w:hAnsi="宋体" w:eastAsia="宋体" w:cs="宋体"/>
          <w:color w:val="auto"/>
          <w:sz w:val="24"/>
          <w:szCs w:val="24"/>
          <w:highlight w:val="none"/>
        </w:rPr>
        <w:t>（二）</w:t>
      </w:r>
      <w:bookmarkEnd w:id="248"/>
      <w:r>
        <w:rPr>
          <w:rFonts w:hint="eastAsia" w:ascii="宋体" w:hAnsi="宋体" w:eastAsia="宋体" w:cs="宋体"/>
          <w:color w:val="auto"/>
          <w:sz w:val="24"/>
          <w:szCs w:val="24"/>
          <w:highlight w:val="none"/>
        </w:rPr>
        <w:t>法定代表人授权委托书</w:t>
      </w:r>
      <w:bookmarkEnd w:id="249"/>
      <w:bookmarkEnd w:id="250"/>
      <w:bookmarkEnd w:id="251"/>
      <w:bookmarkEnd w:id="252"/>
      <w:bookmarkEnd w:id="253"/>
    </w:p>
    <w:p>
      <w:pPr>
        <w:topLinePunct/>
        <w:spacing w:line="440" w:lineRule="exact"/>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lang w:eastAsia="zh-CN"/>
        </w:rPr>
        <w:t>报价人</w:t>
      </w:r>
      <w:r>
        <w:rPr>
          <w:rFonts w:ascii="宋体" w:hAnsi="宋体"/>
          <w:color w:val="auto"/>
          <w:highlight w:val="none"/>
        </w:rPr>
        <w:t>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（姓名）为我方代理人。代理人根据授权，以我方名义签署、澄清确认、递交、撤回、修改招标项目</w:t>
      </w:r>
      <w:r>
        <w:rPr>
          <w:rFonts w:hint="eastAsia" w:ascii="宋体" w:hAnsi="宋体"/>
          <w:color w:val="auto"/>
          <w:highlight w:val="none"/>
          <w:lang w:val="en-US" w:eastAsia="zh-CN"/>
        </w:rPr>
        <w:t>比选</w:t>
      </w:r>
      <w:r>
        <w:rPr>
          <w:rFonts w:ascii="宋体" w:hAnsi="宋体"/>
          <w:color w:val="auto"/>
          <w:highlight w:val="none"/>
        </w:rPr>
        <w:t>文件、签订合同和处理有关事宜，其法律后果由我方承担。</w:t>
      </w:r>
    </w:p>
    <w:p>
      <w:pPr>
        <w:spacing w:line="440" w:lineRule="exact"/>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spacing w:line="440" w:lineRule="exact"/>
        <w:ind w:firstLine="420" w:firstLineChars="200"/>
        <w:rPr>
          <w:rFonts w:ascii="宋体" w:hAnsi="宋体"/>
          <w:color w:val="auto"/>
          <w:highlight w:val="none"/>
        </w:rPr>
      </w:pPr>
      <w:r>
        <w:rPr>
          <w:rFonts w:ascii="宋体" w:hAnsi="宋体"/>
          <w:color w:val="auto"/>
          <w:highlight w:val="none"/>
        </w:rPr>
        <w:t>代理人无转委托权。</w:t>
      </w:r>
    </w:p>
    <w:p>
      <w:pPr>
        <w:spacing w:line="440" w:lineRule="exact"/>
        <w:ind w:firstLine="420" w:firstLineChars="200"/>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附：法定代表人身份证复印件及委托代理人身份证复印件</w:t>
      </w:r>
      <w:r>
        <w:rPr>
          <w:rFonts w:hint="eastAsia" w:ascii="宋体" w:hAnsi="宋体"/>
          <w:color w:val="auto"/>
          <w:highlight w:val="none"/>
        </w:rPr>
        <w:t>（正、反面）</w:t>
      </w: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rPr>
          <w:rFonts w:ascii="宋体" w:hAnsi="宋体"/>
          <w:color w:val="auto"/>
          <w:highlight w:val="none"/>
        </w:rPr>
      </w:pPr>
    </w:p>
    <w:p>
      <w:pPr>
        <w:spacing w:line="440" w:lineRule="exact"/>
        <w:ind w:firstLine="2692" w:firstLineChars="1282"/>
        <w:rPr>
          <w:rFonts w:ascii="宋体" w:hAnsi="宋体"/>
          <w:color w:val="auto"/>
          <w:highlight w:val="none"/>
        </w:rPr>
      </w:pPr>
      <w:r>
        <w:rPr>
          <w:rFonts w:hint="eastAsia" w:ascii="宋体" w:hAnsi="宋体"/>
          <w:color w:val="auto"/>
          <w:highlight w:val="none"/>
          <w:lang w:eastAsia="zh-CN"/>
        </w:rPr>
        <w:t>报  价  人</w:t>
      </w:r>
      <w:r>
        <w:rPr>
          <w:rFonts w:ascii="宋体" w:hAnsi="宋体"/>
          <w:color w:val="auto"/>
          <w:highlight w:val="none"/>
        </w:rPr>
        <w:t>：</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w:t>
      </w:r>
      <w:r>
        <w:rPr>
          <w:rFonts w:hint="eastAsia" w:ascii="宋体" w:hAnsi="宋体"/>
          <w:color w:val="auto"/>
          <w:highlight w:val="none"/>
        </w:rPr>
        <w:t>盖</w:t>
      </w:r>
      <w:r>
        <w:rPr>
          <w:rFonts w:ascii="宋体" w:hAnsi="宋体"/>
          <w:color w:val="auto"/>
          <w:highlight w:val="none"/>
        </w:rPr>
        <w:t>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r>
        <w:rPr>
          <w:rFonts w:hint="eastAsia" w:ascii="宋体" w:hAnsi="宋体"/>
          <w:color w:val="auto"/>
          <w:highlight w:val="none"/>
        </w:rPr>
        <w:t xml:space="preserve"> </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highlight w:val="none"/>
        </w:rPr>
        <w:t>（签字）</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pPr>
        <w:spacing w:line="440" w:lineRule="exact"/>
        <w:ind w:firstLine="2692" w:firstLineChars="1282"/>
        <w:rPr>
          <w:rFonts w:ascii="宋体" w:hAnsi="宋体"/>
          <w:color w:val="auto"/>
          <w:highlight w:val="none"/>
        </w:rPr>
      </w:pP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rPr>
          <w:rFonts w:ascii="宋体" w:hAnsi="宋体"/>
          <w:color w:val="auto"/>
          <w:highlight w:val="none"/>
        </w:rPr>
      </w:pPr>
    </w:p>
    <w:p>
      <w:pPr>
        <w:rPr>
          <w:rFonts w:ascii="宋体" w:hAnsi="宋体"/>
          <w:color w:val="auto"/>
          <w:highlight w:val="none"/>
        </w:rPr>
      </w:pPr>
    </w:p>
    <w:p>
      <w:pPr>
        <w:spacing w:line="440" w:lineRule="exact"/>
        <w:rPr>
          <w:rFonts w:ascii="宋体" w:hAnsi="宋体"/>
          <w:color w:val="auto"/>
          <w:highlight w:val="none"/>
        </w:rPr>
      </w:pPr>
      <w:r>
        <w:rPr>
          <w:rFonts w:ascii="宋体" w:hAnsi="宋体"/>
          <w:color w:val="auto"/>
          <w:highlight w:val="none"/>
        </w:rPr>
        <w:t>注：本授权委托书需由</w:t>
      </w:r>
      <w:r>
        <w:rPr>
          <w:rFonts w:hint="eastAsia" w:ascii="宋体" w:hAnsi="宋体"/>
          <w:color w:val="auto"/>
          <w:highlight w:val="none"/>
          <w:lang w:eastAsia="zh-CN"/>
        </w:rPr>
        <w:t>报价人</w:t>
      </w:r>
      <w:r>
        <w:rPr>
          <w:rFonts w:ascii="宋体" w:hAnsi="宋体"/>
          <w:color w:val="auto"/>
          <w:highlight w:val="none"/>
        </w:rPr>
        <w:t>加盖单位</w:t>
      </w:r>
      <w:r>
        <w:rPr>
          <w:rFonts w:hint="eastAsia" w:ascii="宋体" w:hAnsi="宋体"/>
          <w:color w:val="auto"/>
          <w:highlight w:val="none"/>
          <w:lang w:val="en-US" w:eastAsia="zh-CN"/>
        </w:rPr>
        <w:t>鲜</w:t>
      </w:r>
      <w:r>
        <w:rPr>
          <w:rFonts w:hint="eastAsia" w:ascii="宋体" w:hAnsi="宋体"/>
          <w:color w:val="auto"/>
          <w:highlight w:val="none"/>
        </w:rPr>
        <w:t>公章</w:t>
      </w:r>
      <w:r>
        <w:rPr>
          <w:rFonts w:ascii="宋体" w:hAnsi="宋体"/>
          <w:color w:val="auto"/>
          <w:highlight w:val="none"/>
        </w:rPr>
        <w:t>并由其法定代表人和委托代理人签字。</w:t>
      </w:r>
      <w:bookmarkStart w:id="254" w:name="_Toc10088"/>
      <w:bookmarkStart w:id="255" w:name="_Toc11329275"/>
    </w:p>
    <w:p>
      <w:pPr>
        <w:rPr>
          <w:color w:val="auto"/>
          <w:highlight w:val="none"/>
        </w:rPr>
      </w:pPr>
      <w:r>
        <w:rPr>
          <w:rFonts w:ascii="宋体" w:hAnsi="宋体"/>
          <w:color w:val="auto"/>
          <w:highlight w:val="none"/>
        </w:rPr>
        <w:br w:type="page"/>
      </w:r>
    </w:p>
    <w:bookmarkEnd w:id="220"/>
    <w:bookmarkEnd w:id="221"/>
    <w:bookmarkEnd w:id="222"/>
    <w:bookmarkEnd w:id="254"/>
    <w:bookmarkEnd w:id="255"/>
    <w:p>
      <w:pPr>
        <w:pStyle w:val="4"/>
        <w:spacing w:before="0" w:after="0" w:line="360" w:lineRule="auto"/>
        <w:jc w:val="cente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三、报价一览表</w:t>
      </w:r>
    </w:p>
    <w:tbl>
      <w:tblPr>
        <w:tblStyle w:val="44"/>
        <w:tblW w:w="9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465"/>
        <w:gridCol w:w="153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序号</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项目名称</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报价（元）</w:t>
            </w: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w:t>
            </w:r>
          </w:p>
        </w:tc>
        <w:tc>
          <w:tcPr>
            <w:tcW w:w="3465"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首讯公司2022年安全咨询服务</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sz w:val="24"/>
                <w:szCs w:val="28"/>
                <w:highlight w:val="none"/>
              </w:rPr>
              <w:t>详见第二章报价人须知1.服务内容，及第</w:t>
            </w:r>
            <w:r>
              <w:rPr>
                <w:rFonts w:hint="eastAsia" w:asciiTheme="minorEastAsia" w:hAnsiTheme="minorEastAsia" w:eastAsiaTheme="minorEastAsia" w:cstheme="minorEastAsia"/>
                <w:sz w:val="24"/>
                <w:szCs w:val="28"/>
                <w:highlight w:val="none"/>
                <w:lang w:val="en-US" w:eastAsia="zh-CN"/>
              </w:rPr>
              <w:t>七</w:t>
            </w:r>
            <w:r>
              <w:rPr>
                <w:rFonts w:hint="eastAsia" w:asciiTheme="minorEastAsia" w:hAnsiTheme="minorEastAsia" w:eastAsiaTheme="minorEastAsia" w:cstheme="minorEastAsia"/>
                <w:sz w:val="24"/>
                <w:szCs w:val="28"/>
                <w:highlight w:val="none"/>
              </w:rPr>
              <w:t>章 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5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465" w:type="dxa"/>
            <w:vAlign w:val="center"/>
          </w:tcPr>
          <w:p>
            <w:pPr>
              <w:spacing w:line="360" w:lineRule="auto"/>
              <w:jc w:val="center"/>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合计（元）</w:t>
            </w:r>
          </w:p>
        </w:tc>
        <w:tc>
          <w:tcPr>
            <w:tcW w:w="1539"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c>
          <w:tcPr>
            <w:tcW w:w="3786" w:type="dxa"/>
            <w:vAlign w:val="center"/>
          </w:tcPr>
          <w:p>
            <w:pPr>
              <w:spacing w:line="360" w:lineRule="auto"/>
              <w:jc w:val="center"/>
              <w:rPr>
                <w:rFonts w:asciiTheme="minorEastAsia" w:hAnsiTheme="minorEastAsia" w:eastAsiaTheme="minorEastAsia" w:cstheme="minorEastAsia"/>
                <w:b/>
                <w:bCs/>
                <w:color w:val="000000" w:themeColor="text1"/>
                <w:sz w:val="24"/>
                <w:highlight w:val="none"/>
                <w14:textFill>
                  <w14:solidFill>
                    <w14:schemeClr w14:val="tx1"/>
                  </w14:solidFill>
                </w14:textFill>
              </w:rPr>
            </w:pPr>
          </w:p>
        </w:tc>
      </w:tr>
    </w:tbl>
    <w:p>
      <w:pPr>
        <w:rPr>
          <w:rFonts w:hint="eastAsia"/>
          <w:lang w:val="en-US" w:eastAsia="zh-CN"/>
        </w:rPr>
      </w:pPr>
    </w:p>
    <w:p>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br w:type="page"/>
      </w:r>
    </w:p>
    <w:p>
      <w:pPr>
        <w:pStyle w:val="4"/>
        <w:spacing w:before="0" w:after="0" w:line="360" w:lineRule="auto"/>
        <w:jc w:val="cente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四、资格审查资料</w:t>
      </w:r>
    </w:p>
    <w:p>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br w:type="page"/>
      </w:r>
    </w:p>
    <w:p>
      <w:pPr>
        <w:pStyle w:val="4"/>
        <w:spacing w:before="0" w:after="0" w:line="360" w:lineRule="auto"/>
        <w:jc w:val="cente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五、报价人须知前附表规定要求的资料</w:t>
      </w:r>
    </w:p>
    <w:p>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br w:type="page"/>
      </w:r>
    </w:p>
    <w:p>
      <w:pPr>
        <w:pStyle w:val="4"/>
        <w:spacing w:before="0" w:after="0" w:line="360" w:lineRule="auto"/>
        <w:jc w:val="cente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六、服务方案</w:t>
      </w:r>
    </w:p>
    <w:p>
      <w:pPr>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br w:type="page"/>
      </w:r>
    </w:p>
    <w:p>
      <w:pPr>
        <w:pStyle w:val="4"/>
        <w:spacing w:before="0" w:after="0" w:line="360" w:lineRule="auto"/>
        <w:jc w:val="center"/>
        <w:rPr>
          <w:rFonts w:hint="default"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七、报价人基本信息及其他材料</w:t>
      </w:r>
    </w:p>
    <w:p>
      <w:pPr>
        <w:pStyle w:val="5"/>
        <w:spacing w:before="0" w:after="0" w:line="360" w:lineRule="auto"/>
        <w:jc w:val="center"/>
        <w:rPr>
          <w:sz w:val="28"/>
          <w:szCs w:val="28"/>
        </w:rPr>
      </w:pPr>
      <w:bookmarkStart w:id="256" w:name="_Toc452107137"/>
      <w:bookmarkStart w:id="257" w:name="_Toc4375"/>
      <w:bookmarkStart w:id="258" w:name="_Toc50811085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6"/>
      <w:bookmarkEnd w:id="257"/>
      <w:bookmarkEnd w:id="258"/>
    </w:p>
    <w:p>
      <w:pPr>
        <w:pStyle w:val="27"/>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jc w:val="both"/>
        <w:textAlignment w:val="auto"/>
        <w:rPr>
          <w:rFonts w:hint="eastAsia" w:ascii="宋体" w:hAnsi="宋体" w:cs="宋体"/>
          <w:color w:val="auto"/>
          <w:kern w:val="0"/>
          <w:szCs w:val="21"/>
          <w:highlight w:val="none"/>
        </w:rPr>
      </w:pPr>
    </w:p>
    <w:sectPr>
      <w:footerReference r:id="rId8" w:type="first"/>
      <w:footerReference r:id="rId7"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857F599B-32F6-4C76-9A8F-64133526555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E9B2"/>
    <w:multiLevelType w:val="singleLevel"/>
    <w:tmpl w:val="8285E9B2"/>
    <w:lvl w:ilvl="0" w:tentative="0">
      <w:start w:val="1"/>
      <w:numFmt w:val="decimal"/>
      <w:lvlText w:val="%1."/>
      <w:lvlJc w:val="left"/>
      <w:pPr>
        <w:tabs>
          <w:tab w:val="left" w:pos="312"/>
        </w:tabs>
      </w:pPr>
    </w:lvl>
  </w:abstractNum>
  <w:abstractNum w:abstractNumId="1">
    <w:nsid w:val="A520F98F"/>
    <w:multiLevelType w:val="singleLevel"/>
    <w:tmpl w:val="A520F98F"/>
    <w:lvl w:ilvl="0" w:tentative="0">
      <w:start w:val="1"/>
      <w:numFmt w:val="decimal"/>
      <w:suff w:val="nothing"/>
      <w:lvlText w:val="（%1）"/>
      <w:lvlJc w:val="left"/>
    </w:lvl>
  </w:abstractNum>
  <w:abstractNum w:abstractNumId="2">
    <w:nsid w:val="B1D81936"/>
    <w:multiLevelType w:val="singleLevel"/>
    <w:tmpl w:val="B1D81936"/>
    <w:lvl w:ilvl="0" w:tentative="0">
      <w:start w:val="1"/>
      <w:numFmt w:val="decimal"/>
      <w:lvlText w:val="%1."/>
      <w:lvlJc w:val="left"/>
      <w:pPr>
        <w:tabs>
          <w:tab w:val="left" w:pos="312"/>
        </w:tabs>
      </w:p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86208"/>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306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1E1"/>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60D0"/>
    <w:rsid w:val="00527B46"/>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5A5A"/>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13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3224"/>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0B1E00"/>
    <w:rsid w:val="015D18DC"/>
    <w:rsid w:val="017A38C2"/>
    <w:rsid w:val="01852BD3"/>
    <w:rsid w:val="018A0F14"/>
    <w:rsid w:val="018A6C3C"/>
    <w:rsid w:val="01A8609A"/>
    <w:rsid w:val="01E847E5"/>
    <w:rsid w:val="01FF31C9"/>
    <w:rsid w:val="02195A53"/>
    <w:rsid w:val="029139AF"/>
    <w:rsid w:val="029D41FE"/>
    <w:rsid w:val="02A14C7A"/>
    <w:rsid w:val="02A800C5"/>
    <w:rsid w:val="02C6499B"/>
    <w:rsid w:val="02C91CAA"/>
    <w:rsid w:val="0343188F"/>
    <w:rsid w:val="037D0CD2"/>
    <w:rsid w:val="038B3366"/>
    <w:rsid w:val="03981B5E"/>
    <w:rsid w:val="03996EAD"/>
    <w:rsid w:val="03C43707"/>
    <w:rsid w:val="03F60BFA"/>
    <w:rsid w:val="04023CC8"/>
    <w:rsid w:val="04114FD7"/>
    <w:rsid w:val="04226EB2"/>
    <w:rsid w:val="042674F4"/>
    <w:rsid w:val="042D3C13"/>
    <w:rsid w:val="04557501"/>
    <w:rsid w:val="04557BDD"/>
    <w:rsid w:val="04722D72"/>
    <w:rsid w:val="047A0BBC"/>
    <w:rsid w:val="047F655D"/>
    <w:rsid w:val="04BE3120"/>
    <w:rsid w:val="04C12ED8"/>
    <w:rsid w:val="04DC5749"/>
    <w:rsid w:val="04E26FED"/>
    <w:rsid w:val="04E41F94"/>
    <w:rsid w:val="04E71358"/>
    <w:rsid w:val="04F04544"/>
    <w:rsid w:val="04FD6633"/>
    <w:rsid w:val="05004428"/>
    <w:rsid w:val="052A7682"/>
    <w:rsid w:val="052E2B3B"/>
    <w:rsid w:val="05436F4F"/>
    <w:rsid w:val="054416D2"/>
    <w:rsid w:val="05507F0F"/>
    <w:rsid w:val="055E6E53"/>
    <w:rsid w:val="05871A0A"/>
    <w:rsid w:val="05A42E7B"/>
    <w:rsid w:val="05A70EA9"/>
    <w:rsid w:val="05CA6079"/>
    <w:rsid w:val="05D55D36"/>
    <w:rsid w:val="060C2525"/>
    <w:rsid w:val="060F639F"/>
    <w:rsid w:val="062756FD"/>
    <w:rsid w:val="065F7A31"/>
    <w:rsid w:val="06615ED8"/>
    <w:rsid w:val="067C53E7"/>
    <w:rsid w:val="067D0139"/>
    <w:rsid w:val="067F3525"/>
    <w:rsid w:val="06820F5E"/>
    <w:rsid w:val="069F2AC2"/>
    <w:rsid w:val="06AE2ABA"/>
    <w:rsid w:val="06C75DF5"/>
    <w:rsid w:val="06DD02BB"/>
    <w:rsid w:val="06E32249"/>
    <w:rsid w:val="06E71F51"/>
    <w:rsid w:val="06F965AD"/>
    <w:rsid w:val="07050666"/>
    <w:rsid w:val="0717146F"/>
    <w:rsid w:val="071C4DB7"/>
    <w:rsid w:val="0735457E"/>
    <w:rsid w:val="07362674"/>
    <w:rsid w:val="073B54B2"/>
    <w:rsid w:val="07537EF9"/>
    <w:rsid w:val="07686B6F"/>
    <w:rsid w:val="07815EE7"/>
    <w:rsid w:val="07BA63F1"/>
    <w:rsid w:val="081748AE"/>
    <w:rsid w:val="08635851"/>
    <w:rsid w:val="0879136E"/>
    <w:rsid w:val="08C2359B"/>
    <w:rsid w:val="08E91129"/>
    <w:rsid w:val="09041814"/>
    <w:rsid w:val="0910197C"/>
    <w:rsid w:val="092D7BDC"/>
    <w:rsid w:val="09332D2B"/>
    <w:rsid w:val="093E2D64"/>
    <w:rsid w:val="09472203"/>
    <w:rsid w:val="098B1DA7"/>
    <w:rsid w:val="09907951"/>
    <w:rsid w:val="099F43E4"/>
    <w:rsid w:val="09A31A61"/>
    <w:rsid w:val="09BA7A85"/>
    <w:rsid w:val="09C83FDD"/>
    <w:rsid w:val="09D83A6D"/>
    <w:rsid w:val="09DC0EB0"/>
    <w:rsid w:val="09DE1094"/>
    <w:rsid w:val="09E2475B"/>
    <w:rsid w:val="0A100F2D"/>
    <w:rsid w:val="0A1E4380"/>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112E71"/>
    <w:rsid w:val="0C1E7DBD"/>
    <w:rsid w:val="0C22464A"/>
    <w:rsid w:val="0C2B72AE"/>
    <w:rsid w:val="0C2C7CAB"/>
    <w:rsid w:val="0C623EAC"/>
    <w:rsid w:val="0C9241DD"/>
    <w:rsid w:val="0C946488"/>
    <w:rsid w:val="0CAD24AF"/>
    <w:rsid w:val="0CB27F34"/>
    <w:rsid w:val="0D0D3F93"/>
    <w:rsid w:val="0D12389F"/>
    <w:rsid w:val="0D2820B7"/>
    <w:rsid w:val="0D662EE5"/>
    <w:rsid w:val="0D860EC5"/>
    <w:rsid w:val="0D9339BE"/>
    <w:rsid w:val="0D9E6A67"/>
    <w:rsid w:val="0D9F0DC4"/>
    <w:rsid w:val="0DC02AA1"/>
    <w:rsid w:val="0DDE695A"/>
    <w:rsid w:val="0DF73A5B"/>
    <w:rsid w:val="0E053A26"/>
    <w:rsid w:val="0E164CA8"/>
    <w:rsid w:val="0E231949"/>
    <w:rsid w:val="0E2D072E"/>
    <w:rsid w:val="0E3B295D"/>
    <w:rsid w:val="0E47249B"/>
    <w:rsid w:val="0E551882"/>
    <w:rsid w:val="0E7306EC"/>
    <w:rsid w:val="0EB254B2"/>
    <w:rsid w:val="0EF728F3"/>
    <w:rsid w:val="0EFB3F5D"/>
    <w:rsid w:val="0EFE3186"/>
    <w:rsid w:val="0F041CC7"/>
    <w:rsid w:val="0F042317"/>
    <w:rsid w:val="0F1209F8"/>
    <w:rsid w:val="0F4C19DA"/>
    <w:rsid w:val="0F4C7D05"/>
    <w:rsid w:val="0F4F31AF"/>
    <w:rsid w:val="0F5F17BD"/>
    <w:rsid w:val="0F90531D"/>
    <w:rsid w:val="0FAD64B5"/>
    <w:rsid w:val="0FB21FD4"/>
    <w:rsid w:val="0FB8461F"/>
    <w:rsid w:val="0FC06B1C"/>
    <w:rsid w:val="0FD9321F"/>
    <w:rsid w:val="0FFF5930"/>
    <w:rsid w:val="10033834"/>
    <w:rsid w:val="105F05EB"/>
    <w:rsid w:val="10634C16"/>
    <w:rsid w:val="106809B9"/>
    <w:rsid w:val="10981559"/>
    <w:rsid w:val="10A265EF"/>
    <w:rsid w:val="10DC09D3"/>
    <w:rsid w:val="10EC4A0F"/>
    <w:rsid w:val="11156FC6"/>
    <w:rsid w:val="11485B0D"/>
    <w:rsid w:val="114C7209"/>
    <w:rsid w:val="1154158B"/>
    <w:rsid w:val="117076B2"/>
    <w:rsid w:val="11842025"/>
    <w:rsid w:val="118865E2"/>
    <w:rsid w:val="119921B4"/>
    <w:rsid w:val="119E6579"/>
    <w:rsid w:val="11D435DD"/>
    <w:rsid w:val="11DA3C43"/>
    <w:rsid w:val="121360EF"/>
    <w:rsid w:val="1220326C"/>
    <w:rsid w:val="123A67B6"/>
    <w:rsid w:val="123B7AF5"/>
    <w:rsid w:val="123E5365"/>
    <w:rsid w:val="125670E6"/>
    <w:rsid w:val="125E1A9C"/>
    <w:rsid w:val="126D6927"/>
    <w:rsid w:val="1276289F"/>
    <w:rsid w:val="1288522D"/>
    <w:rsid w:val="1288550F"/>
    <w:rsid w:val="129D6A95"/>
    <w:rsid w:val="12AF4046"/>
    <w:rsid w:val="12C37784"/>
    <w:rsid w:val="12CE506D"/>
    <w:rsid w:val="12E22E2E"/>
    <w:rsid w:val="12F65490"/>
    <w:rsid w:val="12F73D2A"/>
    <w:rsid w:val="12F9698E"/>
    <w:rsid w:val="130467AE"/>
    <w:rsid w:val="13112273"/>
    <w:rsid w:val="131C7C5D"/>
    <w:rsid w:val="133E0119"/>
    <w:rsid w:val="13511DF6"/>
    <w:rsid w:val="138B4634"/>
    <w:rsid w:val="138F1214"/>
    <w:rsid w:val="13BF412F"/>
    <w:rsid w:val="13D101C7"/>
    <w:rsid w:val="1400440E"/>
    <w:rsid w:val="141445CA"/>
    <w:rsid w:val="142669A3"/>
    <w:rsid w:val="143805F9"/>
    <w:rsid w:val="143E60BA"/>
    <w:rsid w:val="14446C04"/>
    <w:rsid w:val="144729D8"/>
    <w:rsid w:val="145C5B42"/>
    <w:rsid w:val="147572D6"/>
    <w:rsid w:val="148E78CB"/>
    <w:rsid w:val="149F4D92"/>
    <w:rsid w:val="14A13E6D"/>
    <w:rsid w:val="14AB614D"/>
    <w:rsid w:val="14B96C2B"/>
    <w:rsid w:val="14E911D9"/>
    <w:rsid w:val="14FC7061"/>
    <w:rsid w:val="15113F9B"/>
    <w:rsid w:val="15233B0C"/>
    <w:rsid w:val="15436E45"/>
    <w:rsid w:val="15507C7E"/>
    <w:rsid w:val="15664AEF"/>
    <w:rsid w:val="158E23E1"/>
    <w:rsid w:val="159D7EA6"/>
    <w:rsid w:val="159F1BF9"/>
    <w:rsid w:val="15A25A36"/>
    <w:rsid w:val="15B71B1D"/>
    <w:rsid w:val="15C520DD"/>
    <w:rsid w:val="15E63361"/>
    <w:rsid w:val="160B0227"/>
    <w:rsid w:val="162D644C"/>
    <w:rsid w:val="16532C2E"/>
    <w:rsid w:val="16585909"/>
    <w:rsid w:val="166D5E8F"/>
    <w:rsid w:val="16864176"/>
    <w:rsid w:val="16E04880"/>
    <w:rsid w:val="16F86032"/>
    <w:rsid w:val="17081A7A"/>
    <w:rsid w:val="17147661"/>
    <w:rsid w:val="17292C0C"/>
    <w:rsid w:val="176F50FE"/>
    <w:rsid w:val="17D10049"/>
    <w:rsid w:val="17DD0B49"/>
    <w:rsid w:val="17F1563C"/>
    <w:rsid w:val="17F23C73"/>
    <w:rsid w:val="180F3B80"/>
    <w:rsid w:val="181B1411"/>
    <w:rsid w:val="181C1400"/>
    <w:rsid w:val="18223BBF"/>
    <w:rsid w:val="18310248"/>
    <w:rsid w:val="18406E44"/>
    <w:rsid w:val="185B395E"/>
    <w:rsid w:val="185C1918"/>
    <w:rsid w:val="185F6723"/>
    <w:rsid w:val="1880349D"/>
    <w:rsid w:val="18D435BC"/>
    <w:rsid w:val="18E261BC"/>
    <w:rsid w:val="18FC2292"/>
    <w:rsid w:val="19135591"/>
    <w:rsid w:val="19136D59"/>
    <w:rsid w:val="19193365"/>
    <w:rsid w:val="19261639"/>
    <w:rsid w:val="195D5C0E"/>
    <w:rsid w:val="19640F3E"/>
    <w:rsid w:val="19B64CC2"/>
    <w:rsid w:val="19BA69A5"/>
    <w:rsid w:val="19CF1C75"/>
    <w:rsid w:val="19D07B0B"/>
    <w:rsid w:val="19DF6D3F"/>
    <w:rsid w:val="19E24459"/>
    <w:rsid w:val="1A2A28FB"/>
    <w:rsid w:val="1A305FF4"/>
    <w:rsid w:val="1A3D7EBE"/>
    <w:rsid w:val="1A4353A0"/>
    <w:rsid w:val="1A557489"/>
    <w:rsid w:val="1A6525DA"/>
    <w:rsid w:val="1A704DC9"/>
    <w:rsid w:val="1A994A56"/>
    <w:rsid w:val="1AD60F9B"/>
    <w:rsid w:val="1AEA13C7"/>
    <w:rsid w:val="1AF13750"/>
    <w:rsid w:val="1AF31BBE"/>
    <w:rsid w:val="1AF45443"/>
    <w:rsid w:val="1B075A0C"/>
    <w:rsid w:val="1B621C93"/>
    <w:rsid w:val="1B67066F"/>
    <w:rsid w:val="1B7229E4"/>
    <w:rsid w:val="1B7549F6"/>
    <w:rsid w:val="1B7A5EC7"/>
    <w:rsid w:val="1B8E4B82"/>
    <w:rsid w:val="1B8E5EC0"/>
    <w:rsid w:val="1BB90E2F"/>
    <w:rsid w:val="1C087134"/>
    <w:rsid w:val="1C127CD4"/>
    <w:rsid w:val="1C54737D"/>
    <w:rsid w:val="1C6D5910"/>
    <w:rsid w:val="1C776E36"/>
    <w:rsid w:val="1CB33990"/>
    <w:rsid w:val="1CD326F1"/>
    <w:rsid w:val="1CF6260F"/>
    <w:rsid w:val="1CF83AEA"/>
    <w:rsid w:val="1CF911FC"/>
    <w:rsid w:val="1D291FA4"/>
    <w:rsid w:val="1D6914D5"/>
    <w:rsid w:val="1D7C7A22"/>
    <w:rsid w:val="1D7E09CF"/>
    <w:rsid w:val="1D9F1A69"/>
    <w:rsid w:val="1DA949C5"/>
    <w:rsid w:val="1DB64010"/>
    <w:rsid w:val="1DBF20BB"/>
    <w:rsid w:val="1DE41480"/>
    <w:rsid w:val="1DF77DC1"/>
    <w:rsid w:val="1DF8756C"/>
    <w:rsid w:val="1DFE7D4B"/>
    <w:rsid w:val="1E2139B7"/>
    <w:rsid w:val="1E4364C2"/>
    <w:rsid w:val="1E490AF9"/>
    <w:rsid w:val="1E644990"/>
    <w:rsid w:val="1E6B1BDF"/>
    <w:rsid w:val="1E7A14A8"/>
    <w:rsid w:val="1E7F32B0"/>
    <w:rsid w:val="1EB76C5D"/>
    <w:rsid w:val="1EBA058B"/>
    <w:rsid w:val="1EBB622E"/>
    <w:rsid w:val="1EEA13A6"/>
    <w:rsid w:val="1EFE64E9"/>
    <w:rsid w:val="1F59624F"/>
    <w:rsid w:val="1F6207D0"/>
    <w:rsid w:val="1FD02D82"/>
    <w:rsid w:val="1FE1627D"/>
    <w:rsid w:val="1FEA603B"/>
    <w:rsid w:val="20016901"/>
    <w:rsid w:val="20133D98"/>
    <w:rsid w:val="20226856"/>
    <w:rsid w:val="20293E2F"/>
    <w:rsid w:val="20686E43"/>
    <w:rsid w:val="206E3E8E"/>
    <w:rsid w:val="207224C8"/>
    <w:rsid w:val="20735FD9"/>
    <w:rsid w:val="2076639A"/>
    <w:rsid w:val="2093114F"/>
    <w:rsid w:val="209B57AA"/>
    <w:rsid w:val="20A121FD"/>
    <w:rsid w:val="20AC7CC7"/>
    <w:rsid w:val="20C20004"/>
    <w:rsid w:val="20C94961"/>
    <w:rsid w:val="20D83D6E"/>
    <w:rsid w:val="20DE5531"/>
    <w:rsid w:val="20E1180E"/>
    <w:rsid w:val="20E93F65"/>
    <w:rsid w:val="20EA6084"/>
    <w:rsid w:val="20F01139"/>
    <w:rsid w:val="20F1461D"/>
    <w:rsid w:val="210C684B"/>
    <w:rsid w:val="212B522B"/>
    <w:rsid w:val="21593573"/>
    <w:rsid w:val="21661C41"/>
    <w:rsid w:val="21736537"/>
    <w:rsid w:val="21977807"/>
    <w:rsid w:val="219A6D4B"/>
    <w:rsid w:val="219B0F11"/>
    <w:rsid w:val="21C2735E"/>
    <w:rsid w:val="21E12EE9"/>
    <w:rsid w:val="21E57FA3"/>
    <w:rsid w:val="21FB5A74"/>
    <w:rsid w:val="22334040"/>
    <w:rsid w:val="22614853"/>
    <w:rsid w:val="226827C0"/>
    <w:rsid w:val="227C6EFF"/>
    <w:rsid w:val="22942795"/>
    <w:rsid w:val="22985136"/>
    <w:rsid w:val="22A10D06"/>
    <w:rsid w:val="22B665A5"/>
    <w:rsid w:val="22C63A72"/>
    <w:rsid w:val="22C925E0"/>
    <w:rsid w:val="22E46F4A"/>
    <w:rsid w:val="22F20159"/>
    <w:rsid w:val="22F37464"/>
    <w:rsid w:val="23005537"/>
    <w:rsid w:val="23103EFD"/>
    <w:rsid w:val="231C75B9"/>
    <w:rsid w:val="233C2C53"/>
    <w:rsid w:val="23486890"/>
    <w:rsid w:val="235C09CB"/>
    <w:rsid w:val="236F1F61"/>
    <w:rsid w:val="23AB4CDF"/>
    <w:rsid w:val="23C37A75"/>
    <w:rsid w:val="23FD2236"/>
    <w:rsid w:val="24127E3E"/>
    <w:rsid w:val="24220F3E"/>
    <w:rsid w:val="2423604B"/>
    <w:rsid w:val="242565A4"/>
    <w:rsid w:val="243A3F7E"/>
    <w:rsid w:val="24436391"/>
    <w:rsid w:val="2450121E"/>
    <w:rsid w:val="2487622C"/>
    <w:rsid w:val="24973094"/>
    <w:rsid w:val="24A42016"/>
    <w:rsid w:val="24A76F10"/>
    <w:rsid w:val="24AD6D9A"/>
    <w:rsid w:val="24D3085A"/>
    <w:rsid w:val="24DD793C"/>
    <w:rsid w:val="251418FC"/>
    <w:rsid w:val="251C4037"/>
    <w:rsid w:val="254A3495"/>
    <w:rsid w:val="259F294D"/>
    <w:rsid w:val="25A845B3"/>
    <w:rsid w:val="25DA3E7C"/>
    <w:rsid w:val="25E66CC5"/>
    <w:rsid w:val="25EB71B7"/>
    <w:rsid w:val="26154215"/>
    <w:rsid w:val="261A0BE6"/>
    <w:rsid w:val="263C7691"/>
    <w:rsid w:val="265E2776"/>
    <w:rsid w:val="26666FDC"/>
    <w:rsid w:val="268153A1"/>
    <w:rsid w:val="269D2467"/>
    <w:rsid w:val="26AB763C"/>
    <w:rsid w:val="26B267E7"/>
    <w:rsid w:val="26D63A44"/>
    <w:rsid w:val="26F131DC"/>
    <w:rsid w:val="26F65310"/>
    <w:rsid w:val="27052D05"/>
    <w:rsid w:val="27082804"/>
    <w:rsid w:val="270832AE"/>
    <w:rsid w:val="27357F9F"/>
    <w:rsid w:val="275F3568"/>
    <w:rsid w:val="279623B0"/>
    <w:rsid w:val="27A4553F"/>
    <w:rsid w:val="27B07189"/>
    <w:rsid w:val="27D35135"/>
    <w:rsid w:val="27DF283E"/>
    <w:rsid w:val="27EF069B"/>
    <w:rsid w:val="27EF1935"/>
    <w:rsid w:val="27FA08F6"/>
    <w:rsid w:val="2801540B"/>
    <w:rsid w:val="280A1B75"/>
    <w:rsid w:val="28206C63"/>
    <w:rsid w:val="283962F8"/>
    <w:rsid w:val="287A36F4"/>
    <w:rsid w:val="288458E7"/>
    <w:rsid w:val="28A33A20"/>
    <w:rsid w:val="28A47F17"/>
    <w:rsid w:val="28AA3EC8"/>
    <w:rsid w:val="28BF00E8"/>
    <w:rsid w:val="28C1211B"/>
    <w:rsid w:val="290212C1"/>
    <w:rsid w:val="290D5ED8"/>
    <w:rsid w:val="294F2F3E"/>
    <w:rsid w:val="29656DCE"/>
    <w:rsid w:val="298B4B23"/>
    <w:rsid w:val="29915199"/>
    <w:rsid w:val="29980385"/>
    <w:rsid w:val="299A7528"/>
    <w:rsid w:val="29B71FDB"/>
    <w:rsid w:val="29CF18DD"/>
    <w:rsid w:val="29D273F6"/>
    <w:rsid w:val="29D65D23"/>
    <w:rsid w:val="29D875FE"/>
    <w:rsid w:val="29F130EF"/>
    <w:rsid w:val="2A00655D"/>
    <w:rsid w:val="2A194E5D"/>
    <w:rsid w:val="2A21554B"/>
    <w:rsid w:val="2A3C5F83"/>
    <w:rsid w:val="2A594BC2"/>
    <w:rsid w:val="2A960C6E"/>
    <w:rsid w:val="2A9F7561"/>
    <w:rsid w:val="2AA90FA0"/>
    <w:rsid w:val="2AAE38A4"/>
    <w:rsid w:val="2AB31CE2"/>
    <w:rsid w:val="2AB55266"/>
    <w:rsid w:val="2B1047B2"/>
    <w:rsid w:val="2B347A72"/>
    <w:rsid w:val="2B487382"/>
    <w:rsid w:val="2B552F60"/>
    <w:rsid w:val="2B7841A6"/>
    <w:rsid w:val="2B885195"/>
    <w:rsid w:val="2BB367B9"/>
    <w:rsid w:val="2BD66F2D"/>
    <w:rsid w:val="2C031463"/>
    <w:rsid w:val="2C13380B"/>
    <w:rsid w:val="2C184D47"/>
    <w:rsid w:val="2C796A89"/>
    <w:rsid w:val="2C7C0AB6"/>
    <w:rsid w:val="2C9C56AD"/>
    <w:rsid w:val="2CBD3A96"/>
    <w:rsid w:val="2CC74339"/>
    <w:rsid w:val="2CCC23F7"/>
    <w:rsid w:val="2CCE1414"/>
    <w:rsid w:val="2CF93ABF"/>
    <w:rsid w:val="2D1E27A3"/>
    <w:rsid w:val="2D394FF5"/>
    <w:rsid w:val="2D4C56CF"/>
    <w:rsid w:val="2D766528"/>
    <w:rsid w:val="2DED7BE2"/>
    <w:rsid w:val="2E230605"/>
    <w:rsid w:val="2E30169A"/>
    <w:rsid w:val="2E310CE0"/>
    <w:rsid w:val="2E6A704D"/>
    <w:rsid w:val="2E8A6255"/>
    <w:rsid w:val="2E99606A"/>
    <w:rsid w:val="2EAC5A26"/>
    <w:rsid w:val="2F0B1048"/>
    <w:rsid w:val="2F0E7D4A"/>
    <w:rsid w:val="2F141AAA"/>
    <w:rsid w:val="2FCA4353"/>
    <w:rsid w:val="2FE55D75"/>
    <w:rsid w:val="2FF17BCE"/>
    <w:rsid w:val="2FF23F99"/>
    <w:rsid w:val="30236367"/>
    <w:rsid w:val="30331BC6"/>
    <w:rsid w:val="303E7E03"/>
    <w:rsid w:val="304A182B"/>
    <w:rsid w:val="307003A6"/>
    <w:rsid w:val="30700C52"/>
    <w:rsid w:val="30757C00"/>
    <w:rsid w:val="307D5D65"/>
    <w:rsid w:val="30B34CE3"/>
    <w:rsid w:val="30CB1C83"/>
    <w:rsid w:val="30ED2830"/>
    <w:rsid w:val="316B2857"/>
    <w:rsid w:val="31832D29"/>
    <w:rsid w:val="319D5339"/>
    <w:rsid w:val="319F2F47"/>
    <w:rsid w:val="31CE4181"/>
    <w:rsid w:val="31D20CDE"/>
    <w:rsid w:val="31E60B34"/>
    <w:rsid w:val="31F37E23"/>
    <w:rsid w:val="31FE689A"/>
    <w:rsid w:val="32223DC6"/>
    <w:rsid w:val="325A02A1"/>
    <w:rsid w:val="329032EF"/>
    <w:rsid w:val="329970EF"/>
    <w:rsid w:val="32B35AAA"/>
    <w:rsid w:val="33135210"/>
    <w:rsid w:val="3326373F"/>
    <w:rsid w:val="333D1567"/>
    <w:rsid w:val="333F453A"/>
    <w:rsid w:val="3341209D"/>
    <w:rsid w:val="334459AC"/>
    <w:rsid w:val="33705A64"/>
    <w:rsid w:val="33A055AF"/>
    <w:rsid w:val="33A51E80"/>
    <w:rsid w:val="33EE589E"/>
    <w:rsid w:val="33FD7097"/>
    <w:rsid w:val="340329A9"/>
    <w:rsid w:val="34113C0A"/>
    <w:rsid w:val="341838FD"/>
    <w:rsid w:val="342645AD"/>
    <w:rsid w:val="342B057B"/>
    <w:rsid w:val="34335C8F"/>
    <w:rsid w:val="344C7528"/>
    <w:rsid w:val="34601B2A"/>
    <w:rsid w:val="34617CD8"/>
    <w:rsid w:val="34753860"/>
    <w:rsid w:val="34A61339"/>
    <w:rsid w:val="34AE3A24"/>
    <w:rsid w:val="34CC3006"/>
    <w:rsid w:val="34F11083"/>
    <w:rsid w:val="34F3793E"/>
    <w:rsid w:val="351C1918"/>
    <w:rsid w:val="35574E9C"/>
    <w:rsid w:val="35605BF1"/>
    <w:rsid w:val="35697F42"/>
    <w:rsid w:val="356A0417"/>
    <w:rsid w:val="35712E34"/>
    <w:rsid w:val="35A46254"/>
    <w:rsid w:val="35ED793B"/>
    <w:rsid w:val="35F84740"/>
    <w:rsid w:val="36383125"/>
    <w:rsid w:val="366C082D"/>
    <w:rsid w:val="368C388A"/>
    <w:rsid w:val="36BA4838"/>
    <w:rsid w:val="36C90DD1"/>
    <w:rsid w:val="36E669DD"/>
    <w:rsid w:val="36EB0E1B"/>
    <w:rsid w:val="36EE2207"/>
    <w:rsid w:val="37410586"/>
    <w:rsid w:val="374634AB"/>
    <w:rsid w:val="37704489"/>
    <w:rsid w:val="37710026"/>
    <w:rsid w:val="37847EBF"/>
    <w:rsid w:val="37925427"/>
    <w:rsid w:val="37A55DCC"/>
    <w:rsid w:val="37CA04FF"/>
    <w:rsid w:val="37D30771"/>
    <w:rsid w:val="37EC0BB8"/>
    <w:rsid w:val="3809330B"/>
    <w:rsid w:val="382C74E3"/>
    <w:rsid w:val="38A569B7"/>
    <w:rsid w:val="38AE3B6E"/>
    <w:rsid w:val="38F70143"/>
    <w:rsid w:val="394C68A5"/>
    <w:rsid w:val="394F0825"/>
    <w:rsid w:val="395E479A"/>
    <w:rsid w:val="39675804"/>
    <w:rsid w:val="398377B4"/>
    <w:rsid w:val="398E6CC1"/>
    <w:rsid w:val="39A36C2D"/>
    <w:rsid w:val="39AA29B9"/>
    <w:rsid w:val="39AA6DB1"/>
    <w:rsid w:val="39DA2245"/>
    <w:rsid w:val="39E71AEC"/>
    <w:rsid w:val="39F60058"/>
    <w:rsid w:val="3A104089"/>
    <w:rsid w:val="3A8217DE"/>
    <w:rsid w:val="3A822B01"/>
    <w:rsid w:val="3A825D5D"/>
    <w:rsid w:val="3A8B1791"/>
    <w:rsid w:val="3AB8426E"/>
    <w:rsid w:val="3ACF765C"/>
    <w:rsid w:val="3AD278CD"/>
    <w:rsid w:val="3AD841A2"/>
    <w:rsid w:val="3AFA4BE5"/>
    <w:rsid w:val="3B2A44B8"/>
    <w:rsid w:val="3B2B6476"/>
    <w:rsid w:val="3B620744"/>
    <w:rsid w:val="3B64220D"/>
    <w:rsid w:val="3B8F6E75"/>
    <w:rsid w:val="3BBC038E"/>
    <w:rsid w:val="3BFE3F02"/>
    <w:rsid w:val="3C2972FD"/>
    <w:rsid w:val="3C5B4444"/>
    <w:rsid w:val="3C850BDC"/>
    <w:rsid w:val="3C852047"/>
    <w:rsid w:val="3C9A3F1A"/>
    <w:rsid w:val="3CA13116"/>
    <w:rsid w:val="3CA5607A"/>
    <w:rsid w:val="3CA925AE"/>
    <w:rsid w:val="3CF877AB"/>
    <w:rsid w:val="3D2B24EF"/>
    <w:rsid w:val="3D306CB2"/>
    <w:rsid w:val="3D32729D"/>
    <w:rsid w:val="3D485E54"/>
    <w:rsid w:val="3D667959"/>
    <w:rsid w:val="3D8230F2"/>
    <w:rsid w:val="3D886E2C"/>
    <w:rsid w:val="3DAA5519"/>
    <w:rsid w:val="3DC413E8"/>
    <w:rsid w:val="3DCA34BB"/>
    <w:rsid w:val="3DD83D60"/>
    <w:rsid w:val="3E044CAE"/>
    <w:rsid w:val="3E0A667E"/>
    <w:rsid w:val="3E12201C"/>
    <w:rsid w:val="3E244EE5"/>
    <w:rsid w:val="3E3913D7"/>
    <w:rsid w:val="3E427218"/>
    <w:rsid w:val="3E7E6AF2"/>
    <w:rsid w:val="3E947004"/>
    <w:rsid w:val="3EA72ABE"/>
    <w:rsid w:val="3EA96969"/>
    <w:rsid w:val="3EAD4174"/>
    <w:rsid w:val="3EAD7F9C"/>
    <w:rsid w:val="3EB32892"/>
    <w:rsid w:val="3EBC3336"/>
    <w:rsid w:val="3ED37070"/>
    <w:rsid w:val="3EDE79C6"/>
    <w:rsid w:val="3EF65530"/>
    <w:rsid w:val="3F064AE9"/>
    <w:rsid w:val="3F3B0C43"/>
    <w:rsid w:val="3F3E7B79"/>
    <w:rsid w:val="3F4C62B0"/>
    <w:rsid w:val="3F7279F0"/>
    <w:rsid w:val="3F8F0AF3"/>
    <w:rsid w:val="3F9717D1"/>
    <w:rsid w:val="3F9F5E33"/>
    <w:rsid w:val="3FB2485B"/>
    <w:rsid w:val="400D176C"/>
    <w:rsid w:val="402A34B8"/>
    <w:rsid w:val="40360CD1"/>
    <w:rsid w:val="40361D66"/>
    <w:rsid w:val="406060C3"/>
    <w:rsid w:val="40613E30"/>
    <w:rsid w:val="40736573"/>
    <w:rsid w:val="407B6F98"/>
    <w:rsid w:val="407D7357"/>
    <w:rsid w:val="409B4A07"/>
    <w:rsid w:val="40BF6E39"/>
    <w:rsid w:val="40C25B7F"/>
    <w:rsid w:val="40D73BA8"/>
    <w:rsid w:val="40DE1D45"/>
    <w:rsid w:val="40F6517C"/>
    <w:rsid w:val="40F66678"/>
    <w:rsid w:val="410E1C56"/>
    <w:rsid w:val="411020CF"/>
    <w:rsid w:val="4120577A"/>
    <w:rsid w:val="41485875"/>
    <w:rsid w:val="415624BA"/>
    <w:rsid w:val="416C142E"/>
    <w:rsid w:val="417C08A3"/>
    <w:rsid w:val="418238EE"/>
    <w:rsid w:val="41B93320"/>
    <w:rsid w:val="41FD121E"/>
    <w:rsid w:val="421A7627"/>
    <w:rsid w:val="422C6F42"/>
    <w:rsid w:val="4233112B"/>
    <w:rsid w:val="42401E98"/>
    <w:rsid w:val="42423B6A"/>
    <w:rsid w:val="42811338"/>
    <w:rsid w:val="42872311"/>
    <w:rsid w:val="428B5762"/>
    <w:rsid w:val="42A4583D"/>
    <w:rsid w:val="42D47C2B"/>
    <w:rsid w:val="42DA32B5"/>
    <w:rsid w:val="42E32F98"/>
    <w:rsid w:val="431840BE"/>
    <w:rsid w:val="433543AC"/>
    <w:rsid w:val="43420FE8"/>
    <w:rsid w:val="434513F0"/>
    <w:rsid w:val="43702851"/>
    <w:rsid w:val="438003D7"/>
    <w:rsid w:val="438254A7"/>
    <w:rsid w:val="43C964C9"/>
    <w:rsid w:val="43CA4F48"/>
    <w:rsid w:val="43D971F8"/>
    <w:rsid w:val="43FF7B85"/>
    <w:rsid w:val="4424604A"/>
    <w:rsid w:val="442967DE"/>
    <w:rsid w:val="445014AB"/>
    <w:rsid w:val="44611A27"/>
    <w:rsid w:val="44722751"/>
    <w:rsid w:val="44CE660D"/>
    <w:rsid w:val="44E5468B"/>
    <w:rsid w:val="45032E9D"/>
    <w:rsid w:val="454F0B76"/>
    <w:rsid w:val="45795008"/>
    <w:rsid w:val="4579514B"/>
    <w:rsid w:val="457E2BBE"/>
    <w:rsid w:val="457F72E8"/>
    <w:rsid w:val="45AB3F41"/>
    <w:rsid w:val="45DE083B"/>
    <w:rsid w:val="45E076C0"/>
    <w:rsid w:val="45ED51BC"/>
    <w:rsid w:val="45F36067"/>
    <w:rsid w:val="460C0745"/>
    <w:rsid w:val="463122D8"/>
    <w:rsid w:val="4632053D"/>
    <w:rsid w:val="46577675"/>
    <w:rsid w:val="4662415A"/>
    <w:rsid w:val="4662498C"/>
    <w:rsid w:val="4681009E"/>
    <w:rsid w:val="46954FDF"/>
    <w:rsid w:val="46A022D9"/>
    <w:rsid w:val="46A9554B"/>
    <w:rsid w:val="46B21457"/>
    <w:rsid w:val="46BE1A6C"/>
    <w:rsid w:val="46BE6647"/>
    <w:rsid w:val="46EE3897"/>
    <w:rsid w:val="471B3499"/>
    <w:rsid w:val="4721080E"/>
    <w:rsid w:val="4730142A"/>
    <w:rsid w:val="478E4BD2"/>
    <w:rsid w:val="47B512A0"/>
    <w:rsid w:val="47BA4C42"/>
    <w:rsid w:val="47D70B8B"/>
    <w:rsid w:val="47DD756D"/>
    <w:rsid w:val="47EB55C4"/>
    <w:rsid w:val="48037A8A"/>
    <w:rsid w:val="482C50CD"/>
    <w:rsid w:val="48377D23"/>
    <w:rsid w:val="484023B4"/>
    <w:rsid w:val="484D0E76"/>
    <w:rsid w:val="486634EE"/>
    <w:rsid w:val="48807890"/>
    <w:rsid w:val="48A57DFD"/>
    <w:rsid w:val="48A64B98"/>
    <w:rsid w:val="48BC156D"/>
    <w:rsid w:val="48D93D7E"/>
    <w:rsid w:val="48F765BE"/>
    <w:rsid w:val="48F801E9"/>
    <w:rsid w:val="490445F2"/>
    <w:rsid w:val="49320F23"/>
    <w:rsid w:val="495D72B2"/>
    <w:rsid w:val="49AF5757"/>
    <w:rsid w:val="49B753C7"/>
    <w:rsid w:val="49DD73AE"/>
    <w:rsid w:val="49F95BD6"/>
    <w:rsid w:val="49FA6E23"/>
    <w:rsid w:val="4A0923DF"/>
    <w:rsid w:val="4A7A7858"/>
    <w:rsid w:val="4AA73240"/>
    <w:rsid w:val="4AB72272"/>
    <w:rsid w:val="4AD703A4"/>
    <w:rsid w:val="4B0D56B0"/>
    <w:rsid w:val="4B305E1B"/>
    <w:rsid w:val="4B471718"/>
    <w:rsid w:val="4B663FE5"/>
    <w:rsid w:val="4B7F5343"/>
    <w:rsid w:val="4B9978EB"/>
    <w:rsid w:val="4BB92D8E"/>
    <w:rsid w:val="4BD07B58"/>
    <w:rsid w:val="4BE87BA5"/>
    <w:rsid w:val="4BE91B3A"/>
    <w:rsid w:val="4C3176AB"/>
    <w:rsid w:val="4C415DC1"/>
    <w:rsid w:val="4C48137E"/>
    <w:rsid w:val="4C52192A"/>
    <w:rsid w:val="4C6E278E"/>
    <w:rsid w:val="4CA50074"/>
    <w:rsid w:val="4CAA39A1"/>
    <w:rsid w:val="4CFF538B"/>
    <w:rsid w:val="4D4230D1"/>
    <w:rsid w:val="4D450975"/>
    <w:rsid w:val="4D4D7800"/>
    <w:rsid w:val="4D7251FF"/>
    <w:rsid w:val="4DA16835"/>
    <w:rsid w:val="4DB75AF6"/>
    <w:rsid w:val="4DDC79D2"/>
    <w:rsid w:val="4DE50C0B"/>
    <w:rsid w:val="4DF86401"/>
    <w:rsid w:val="4E11105D"/>
    <w:rsid w:val="4E16225A"/>
    <w:rsid w:val="4E204940"/>
    <w:rsid w:val="4E253AB8"/>
    <w:rsid w:val="4E472C92"/>
    <w:rsid w:val="4E4A131D"/>
    <w:rsid w:val="4E824D97"/>
    <w:rsid w:val="4E9D5C2D"/>
    <w:rsid w:val="4EBA57C1"/>
    <w:rsid w:val="4F047E0A"/>
    <w:rsid w:val="4F133DD7"/>
    <w:rsid w:val="4F2A57CF"/>
    <w:rsid w:val="4F477F24"/>
    <w:rsid w:val="4F923BD2"/>
    <w:rsid w:val="4F9F2878"/>
    <w:rsid w:val="4FA91AAC"/>
    <w:rsid w:val="4FBD0FF5"/>
    <w:rsid w:val="4FC854D7"/>
    <w:rsid w:val="50111814"/>
    <w:rsid w:val="50142DE1"/>
    <w:rsid w:val="5015687B"/>
    <w:rsid w:val="501926CA"/>
    <w:rsid w:val="503109FF"/>
    <w:rsid w:val="505E3D68"/>
    <w:rsid w:val="50D13748"/>
    <w:rsid w:val="512C07D1"/>
    <w:rsid w:val="516A440A"/>
    <w:rsid w:val="51BA5A6F"/>
    <w:rsid w:val="51C42E16"/>
    <w:rsid w:val="51D412F6"/>
    <w:rsid w:val="525351F4"/>
    <w:rsid w:val="525A6FBC"/>
    <w:rsid w:val="526C0997"/>
    <w:rsid w:val="52707792"/>
    <w:rsid w:val="52855A65"/>
    <w:rsid w:val="52A03358"/>
    <w:rsid w:val="53311AB3"/>
    <w:rsid w:val="53317F44"/>
    <w:rsid w:val="533D33D1"/>
    <w:rsid w:val="534907F0"/>
    <w:rsid w:val="53511F1B"/>
    <w:rsid w:val="53670B33"/>
    <w:rsid w:val="537735FB"/>
    <w:rsid w:val="53775B6A"/>
    <w:rsid w:val="537A7055"/>
    <w:rsid w:val="53852D75"/>
    <w:rsid w:val="538F5737"/>
    <w:rsid w:val="53D43855"/>
    <w:rsid w:val="53D6214F"/>
    <w:rsid w:val="53EE1101"/>
    <w:rsid w:val="53FC4E8E"/>
    <w:rsid w:val="5401256C"/>
    <w:rsid w:val="541717DC"/>
    <w:rsid w:val="54222D80"/>
    <w:rsid w:val="54271D5C"/>
    <w:rsid w:val="54722583"/>
    <w:rsid w:val="54976AA9"/>
    <w:rsid w:val="549A3F89"/>
    <w:rsid w:val="54B26300"/>
    <w:rsid w:val="54DE0134"/>
    <w:rsid w:val="54E1262F"/>
    <w:rsid w:val="550246E3"/>
    <w:rsid w:val="551D7BF3"/>
    <w:rsid w:val="55256476"/>
    <w:rsid w:val="553C46BA"/>
    <w:rsid w:val="55494082"/>
    <w:rsid w:val="557D0FD7"/>
    <w:rsid w:val="557D5B60"/>
    <w:rsid w:val="55834A19"/>
    <w:rsid w:val="559B4861"/>
    <w:rsid w:val="55F27046"/>
    <w:rsid w:val="55F526C6"/>
    <w:rsid w:val="56066DC9"/>
    <w:rsid w:val="563F4179"/>
    <w:rsid w:val="564E1228"/>
    <w:rsid w:val="56753820"/>
    <w:rsid w:val="56A6131D"/>
    <w:rsid w:val="56A82B00"/>
    <w:rsid w:val="56BC5AD0"/>
    <w:rsid w:val="56D00C68"/>
    <w:rsid w:val="57022BD1"/>
    <w:rsid w:val="57212B27"/>
    <w:rsid w:val="572809C2"/>
    <w:rsid w:val="573214BA"/>
    <w:rsid w:val="574519EF"/>
    <w:rsid w:val="57480C4D"/>
    <w:rsid w:val="574C27F3"/>
    <w:rsid w:val="57791B45"/>
    <w:rsid w:val="57895A45"/>
    <w:rsid w:val="57A916CC"/>
    <w:rsid w:val="57C5313B"/>
    <w:rsid w:val="57D003BF"/>
    <w:rsid w:val="57D807D4"/>
    <w:rsid w:val="57EA7969"/>
    <w:rsid w:val="57F740F4"/>
    <w:rsid w:val="57FA3D86"/>
    <w:rsid w:val="58131D55"/>
    <w:rsid w:val="58366D88"/>
    <w:rsid w:val="583B61DC"/>
    <w:rsid w:val="58626B84"/>
    <w:rsid w:val="58750691"/>
    <w:rsid w:val="58AB575D"/>
    <w:rsid w:val="58BC728D"/>
    <w:rsid w:val="58DD0763"/>
    <w:rsid w:val="591F0ED8"/>
    <w:rsid w:val="59364F97"/>
    <w:rsid w:val="59415A4D"/>
    <w:rsid w:val="59445F91"/>
    <w:rsid w:val="59815208"/>
    <w:rsid w:val="59F001A4"/>
    <w:rsid w:val="5A0315C2"/>
    <w:rsid w:val="5A0F3CCD"/>
    <w:rsid w:val="5A1E2DE7"/>
    <w:rsid w:val="5A20427A"/>
    <w:rsid w:val="5A395FB6"/>
    <w:rsid w:val="5A436A2D"/>
    <w:rsid w:val="5A7229EA"/>
    <w:rsid w:val="5A8A38B2"/>
    <w:rsid w:val="5AC40692"/>
    <w:rsid w:val="5B0A066E"/>
    <w:rsid w:val="5B123FA7"/>
    <w:rsid w:val="5B2335F4"/>
    <w:rsid w:val="5B5E18A4"/>
    <w:rsid w:val="5B613C0E"/>
    <w:rsid w:val="5B955E96"/>
    <w:rsid w:val="5B9B3675"/>
    <w:rsid w:val="5BA26571"/>
    <w:rsid w:val="5BCA6564"/>
    <w:rsid w:val="5BD66D67"/>
    <w:rsid w:val="5BF91E54"/>
    <w:rsid w:val="5C107D40"/>
    <w:rsid w:val="5C1E3775"/>
    <w:rsid w:val="5C381264"/>
    <w:rsid w:val="5C4D1947"/>
    <w:rsid w:val="5C516D01"/>
    <w:rsid w:val="5C573EDE"/>
    <w:rsid w:val="5C5F4C5A"/>
    <w:rsid w:val="5C666A3C"/>
    <w:rsid w:val="5C672644"/>
    <w:rsid w:val="5C8132C7"/>
    <w:rsid w:val="5CA23A25"/>
    <w:rsid w:val="5CC26330"/>
    <w:rsid w:val="5CD67F41"/>
    <w:rsid w:val="5CDF760E"/>
    <w:rsid w:val="5D017C51"/>
    <w:rsid w:val="5D1C04EB"/>
    <w:rsid w:val="5D4165A3"/>
    <w:rsid w:val="5D463591"/>
    <w:rsid w:val="5D4F2A78"/>
    <w:rsid w:val="5D5741CB"/>
    <w:rsid w:val="5D792AE4"/>
    <w:rsid w:val="5D804F27"/>
    <w:rsid w:val="5D861A18"/>
    <w:rsid w:val="5D897BA9"/>
    <w:rsid w:val="5D972330"/>
    <w:rsid w:val="5DC25C67"/>
    <w:rsid w:val="5DCA795F"/>
    <w:rsid w:val="5DD97571"/>
    <w:rsid w:val="5DF5102F"/>
    <w:rsid w:val="5E0A643D"/>
    <w:rsid w:val="5E1C73BD"/>
    <w:rsid w:val="5E2F58D3"/>
    <w:rsid w:val="5E5A06FD"/>
    <w:rsid w:val="5E9342EC"/>
    <w:rsid w:val="5EA27CF7"/>
    <w:rsid w:val="5EBC3C1E"/>
    <w:rsid w:val="5EC80351"/>
    <w:rsid w:val="5F3815EE"/>
    <w:rsid w:val="5F5C32D6"/>
    <w:rsid w:val="5FAA23A3"/>
    <w:rsid w:val="5FB10E83"/>
    <w:rsid w:val="5FE45AFE"/>
    <w:rsid w:val="600E788A"/>
    <w:rsid w:val="60182CB2"/>
    <w:rsid w:val="60234C2A"/>
    <w:rsid w:val="604130CF"/>
    <w:rsid w:val="60663C94"/>
    <w:rsid w:val="60794FD4"/>
    <w:rsid w:val="60814FEF"/>
    <w:rsid w:val="60AE4E89"/>
    <w:rsid w:val="60D32F5A"/>
    <w:rsid w:val="60E973AF"/>
    <w:rsid w:val="610C47AA"/>
    <w:rsid w:val="610E2B4C"/>
    <w:rsid w:val="61652467"/>
    <w:rsid w:val="61862140"/>
    <w:rsid w:val="619776D4"/>
    <w:rsid w:val="619945D7"/>
    <w:rsid w:val="61C24BFD"/>
    <w:rsid w:val="61DE43D4"/>
    <w:rsid w:val="61E06967"/>
    <w:rsid w:val="61ED083B"/>
    <w:rsid w:val="624216A0"/>
    <w:rsid w:val="626343A0"/>
    <w:rsid w:val="626736F9"/>
    <w:rsid w:val="626B4082"/>
    <w:rsid w:val="626B6B00"/>
    <w:rsid w:val="627C555A"/>
    <w:rsid w:val="628E1BE9"/>
    <w:rsid w:val="62AF2E6E"/>
    <w:rsid w:val="62B56103"/>
    <w:rsid w:val="62D06FF9"/>
    <w:rsid w:val="62D765EB"/>
    <w:rsid w:val="631D301E"/>
    <w:rsid w:val="63293243"/>
    <w:rsid w:val="6356796F"/>
    <w:rsid w:val="636B22CC"/>
    <w:rsid w:val="636C198B"/>
    <w:rsid w:val="63B65AC7"/>
    <w:rsid w:val="63C713E9"/>
    <w:rsid w:val="63C82E3E"/>
    <w:rsid w:val="63D62198"/>
    <w:rsid w:val="63D7428B"/>
    <w:rsid w:val="63DA6A02"/>
    <w:rsid w:val="63E92F01"/>
    <w:rsid w:val="63F71F71"/>
    <w:rsid w:val="640C4C0D"/>
    <w:rsid w:val="643B5584"/>
    <w:rsid w:val="64406FC4"/>
    <w:rsid w:val="645830D7"/>
    <w:rsid w:val="64606F6A"/>
    <w:rsid w:val="64675414"/>
    <w:rsid w:val="646C6DE3"/>
    <w:rsid w:val="647258C3"/>
    <w:rsid w:val="64932629"/>
    <w:rsid w:val="64AA2E73"/>
    <w:rsid w:val="64B8434A"/>
    <w:rsid w:val="64C5008F"/>
    <w:rsid w:val="64E8446E"/>
    <w:rsid w:val="64F735D8"/>
    <w:rsid w:val="65376B47"/>
    <w:rsid w:val="654042F5"/>
    <w:rsid w:val="65475601"/>
    <w:rsid w:val="65EC1626"/>
    <w:rsid w:val="65F66C79"/>
    <w:rsid w:val="65FD7CC9"/>
    <w:rsid w:val="660447CA"/>
    <w:rsid w:val="661029C7"/>
    <w:rsid w:val="66380310"/>
    <w:rsid w:val="665622BC"/>
    <w:rsid w:val="66653739"/>
    <w:rsid w:val="666C4EE6"/>
    <w:rsid w:val="66792487"/>
    <w:rsid w:val="66A02FE8"/>
    <w:rsid w:val="66D15C09"/>
    <w:rsid w:val="66FB0FDC"/>
    <w:rsid w:val="66FC5AFF"/>
    <w:rsid w:val="6709462E"/>
    <w:rsid w:val="6777196F"/>
    <w:rsid w:val="678A1ED0"/>
    <w:rsid w:val="679E4D0E"/>
    <w:rsid w:val="67AB61F8"/>
    <w:rsid w:val="67BA7741"/>
    <w:rsid w:val="67E6170C"/>
    <w:rsid w:val="680D0CA5"/>
    <w:rsid w:val="681014F3"/>
    <w:rsid w:val="682054F9"/>
    <w:rsid w:val="6878475E"/>
    <w:rsid w:val="68A45648"/>
    <w:rsid w:val="68A5668C"/>
    <w:rsid w:val="68D27297"/>
    <w:rsid w:val="68DC2023"/>
    <w:rsid w:val="68FE0C44"/>
    <w:rsid w:val="6911241F"/>
    <w:rsid w:val="69903316"/>
    <w:rsid w:val="69B67115"/>
    <w:rsid w:val="69B82DF4"/>
    <w:rsid w:val="69EF53B4"/>
    <w:rsid w:val="6A126DD2"/>
    <w:rsid w:val="6A420E56"/>
    <w:rsid w:val="6A840BF8"/>
    <w:rsid w:val="6A924E32"/>
    <w:rsid w:val="6A94008C"/>
    <w:rsid w:val="6AC635A8"/>
    <w:rsid w:val="6AE37195"/>
    <w:rsid w:val="6AE60947"/>
    <w:rsid w:val="6AEF6EB8"/>
    <w:rsid w:val="6AF179D8"/>
    <w:rsid w:val="6B0B374F"/>
    <w:rsid w:val="6B0E6D92"/>
    <w:rsid w:val="6B17074E"/>
    <w:rsid w:val="6B1F0CCB"/>
    <w:rsid w:val="6B4B404C"/>
    <w:rsid w:val="6B6234E5"/>
    <w:rsid w:val="6BA95F10"/>
    <w:rsid w:val="6BAC2BAE"/>
    <w:rsid w:val="6BBD11F5"/>
    <w:rsid w:val="6BCE1834"/>
    <w:rsid w:val="6BD12800"/>
    <w:rsid w:val="6C022DB1"/>
    <w:rsid w:val="6C0504CD"/>
    <w:rsid w:val="6C1208F3"/>
    <w:rsid w:val="6C5E02FC"/>
    <w:rsid w:val="6C721812"/>
    <w:rsid w:val="6C8B0F52"/>
    <w:rsid w:val="6CDD07BE"/>
    <w:rsid w:val="6CDD0DD0"/>
    <w:rsid w:val="6CFA7DB1"/>
    <w:rsid w:val="6D0127E4"/>
    <w:rsid w:val="6D135E16"/>
    <w:rsid w:val="6D1C168A"/>
    <w:rsid w:val="6D347A31"/>
    <w:rsid w:val="6D3668DD"/>
    <w:rsid w:val="6D471CAB"/>
    <w:rsid w:val="6DAC0977"/>
    <w:rsid w:val="6DB941BD"/>
    <w:rsid w:val="6DC60F63"/>
    <w:rsid w:val="6DD76259"/>
    <w:rsid w:val="6DF40ED9"/>
    <w:rsid w:val="6E343B64"/>
    <w:rsid w:val="6E4C770B"/>
    <w:rsid w:val="6E5F1098"/>
    <w:rsid w:val="6E6F2793"/>
    <w:rsid w:val="6E703D8E"/>
    <w:rsid w:val="6E84323D"/>
    <w:rsid w:val="6E866AA3"/>
    <w:rsid w:val="6E8A2915"/>
    <w:rsid w:val="6E942A76"/>
    <w:rsid w:val="6EA41FA2"/>
    <w:rsid w:val="6EB2181E"/>
    <w:rsid w:val="6EB44AD4"/>
    <w:rsid w:val="6F313FE8"/>
    <w:rsid w:val="6F341EA2"/>
    <w:rsid w:val="6F381CAC"/>
    <w:rsid w:val="6F547DC8"/>
    <w:rsid w:val="6F555E8B"/>
    <w:rsid w:val="6F6128C1"/>
    <w:rsid w:val="6F9C6902"/>
    <w:rsid w:val="6FA0729C"/>
    <w:rsid w:val="6FD45156"/>
    <w:rsid w:val="6FF9096F"/>
    <w:rsid w:val="70070910"/>
    <w:rsid w:val="70100CA2"/>
    <w:rsid w:val="70106DE6"/>
    <w:rsid w:val="701B7EF3"/>
    <w:rsid w:val="702B1097"/>
    <w:rsid w:val="702B68F1"/>
    <w:rsid w:val="70393572"/>
    <w:rsid w:val="704F4B3D"/>
    <w:rsid w:val="70741DA4"/>
    <w:rsid w:val="70782DDA"/>
    <w:rsid w:val="70A24D48"/>
    <w:rsid w:val="70BA64EF"/>
    <w:rsid w:val="70C900DF"/>
    <w:rsid w:val="70E611B1"/>
    <w:rsid w:val="70F80524"/>
    <w:rsid w:val="710A2419"/>
    <w:rsid w:val="71326D32"/>
    <w:rsid w:val="714C2CD0"/>
    <w:rsid w:val="715A596A"/>
    <w:rsid w:val="717C247D"/>
    <w:rsid w:val="717F26E4"/>
    <w:rsid w:val="71816B8E"/>
    <w:rsid w:val="71832D29"/>
    <w:rsid w:val="71907818"/>
    <w:rsid w:val="71B252F9"/>
    <w:rsid w:val="71CA611F"/>
    <w:rsid w:val="71CD7943"/>
    <w:rsid w:val="71E95916"/>
    <w:rsid w:val="71F950A9"/>
    <w:rsid w:val="7203413E"/>
    <w:rsid w:val="723C62EB"/>
    <w:rsid w:val="7250588C"/>
    <w:rsid w:val="726F5278"/>
    <w:rsid w:val="727E786A"/>
    <w:rsid w:val="72851E13"/>
    <w:rsid w:val="72887FD4"/>
    <w:rsid w:val="729A6D07"/>
    <w:rsid w:val="72BD0544"/>
    <w:rsid w:val="72C0472D"/>
    <w:rsid w:val="72D11D5C"/>
    <w:rsid w:val="72E85DAD"/>
    <w:rsid w:val="72EF6671"/>
    <w:rsid w:val="732303D9"/>
    <w:rsid w:val="73532CC9"/>
    <w:rsid w:val="739F3D64"/>
    <w:rsid w:val="73D73D11"/>
    <w:rsid w:val="73EA68D4"/>
    <w:rsid w:val="744975DD"/>
    <w:rsid w:val="746920A5"/>
    <w:rsid w:val="74945DFE"/>
    <w:rsid w:val="74CB1EDB"/>
    <w:rsid w:val="74DE73F5"/>
    <w:rsid w:val="75185519"/>
    <w:rsid w:val="751E77AF"/>
    <w:rsid w:val="753B4B84"/>
    <w:rsid w:val="75620003"/>
    <w:rsid w:val="7597473F"/>
    <w:rsid w:val="75D07F8B"/>
    <w:rsid w:val="75EE5669"/>
    <w:rsid w:val="764A7999"/>
    <w:rsid w:val="76571277"/>
    <w:rsid w:val="767821EC"/>
    <w:rsid w:val="76957051"/>
    <w:rsid w:val="76BD4232"/>
    <w:rsid w:val="76C10199"/>
    <w:rsid w:val="76C57BCB"/>
    <w:rsid w:val="76F927CD"/>
    <w:rsid w:val="770C0F88"/>
    <w:rsid w:val="771160B2"/>
    <w:rsid w:val="773A73E7"/>
    <w:rsid w:val="773B2934"/>
    <w:rsid w:val="773E064E"/>
    <w:rsid w:val="774E1211"/>
    <w:rsid w:val="777B71D8"/>
    <w:rsid w:val="77821DB2"/>
    <w:rsid w:val="77A54D53"/>
    <w:rsid w:val="77BF2228"/>
    <w:rsid w:val="77D75F2B"/>
    <w:rsid w:val="77FC6767"/>
    <w:rsid w:val="78016613"/>
    <w:rsid w:val="780B00DB"/>
    <w:rsid w:val="780D6694"/>
    <w:rsid w:val="781A0BEC"/>
    <w:rsid w:val="78202415"/>
    <w:rsid w:val="78213FC9"/>
    <w:rsid w:val="78472EBC"/>
    <w:rsid w:val="78701D9C"/>
    <w:rsid w:val="7898372A"/>
    <w:rsid w:val="78A1562B"/>
    <w:rsid w:val="78B032FC"/>
    <w:rsid w:val="78FA0671"/>
    <w:rsid w:val="790068CB"/>
    <w:rsid w:val="791B4C63"/>
    <w:rsid w:val="793A634F"/>
    <w:rsid w:val="79474F43"/>
    <w:rsid w:val="796B5873"/>
    <w:rsid w:val="798635EB"/>
    <w:rsid w:val="79991EA7"/>
    <w:rsid w:val="79A5750A"/>
    <w:rsid w:val="7A0C1011"/>
    <w:rsid w:val="7A0E7A81"/>
    <w:rsid w:val="7A276F33"/>
    <w:rsid w:val="7A321CDB"/>
    <w:rsid w:val="7A567B6E"/>
    <w:rsid w:val="7A6E32C8"/>
    <w:rsid w:val="7AAA22AC"/>
    <w:rsid w:val="7AAC7FD7"/>
    <w:rsid w:val="7AC900CF"/>
    <w:rsid w:val="7B052FBD"/>
    <w:rsid w:val="7B397C08"/>
    <w:rsid w:val="7B5A5A6C"/>
    <w:rsid w:val="7B5C250E"/>
    <w:rsid w:val="7B5C38E7"/>
    <w:rsid w:val="7B6D0F87"/>
    <w:rsid w:val="7B6D7B5D"/>
    <w:rsid w:val="7B72691F"/>
    <w:rsid w:val="7B783FD8"/>
    <w:rsid w:val="7B9A3DB8"/>
    <w:rsid w:val="7BA113AB"/>
    <w:rsid w:val="7BD52290"/>
    <w:rsid w:val="7BD568A0"/>
    <w:rsid w:val="7BF20E1E"/>
    <w:rsid w:val="7C3A1BEA"/>
    <w:rsid w:val="7C5728ED"/>
    <w:rsid w:val="7C9408F4"/>
    <w:rsid w:val="7CAA0846"/>
    <w:rsid w:val="7CB14063"/>
    <w:rsid w:val="7CB83597"/>
    <w:rsid w:val="7CB90CC2"/>
    <w:rsid w:val="7CFB2CE9"/>
    <w:rsid w:val="7D0C34C4"/>
    <w:rsid w:val="7D1670F6"/>
    <w:rsid w:val="7D212CA5"/>
    <w:rsid w:val="7D255EE2"/>
    <w:rsid w:val="7D293184"/>
    <w:rsid w:val="7D4B3EE6"/>
    <w:rsid w:val="7D6112EF"/>
    <w:rsid w:val="7D68620F"/>
    <w:rsid w:val="7D69777E"/>
    <w:rsid w:val="7D927DC0"/>
    <w:rsid w:val="7DB34706"/>
    <w:rsid w:val="7DFB2CE1"/>
    <w:rsid w:val="7E0F41A9"/>
    <w:rsid w:val="7E1A0A9F"/>
    <w:rsid w:val="7E3C401A"/>
    <w:rsid w:val="7E641213"/>
    <w:rsid w:val="7E74499D"/>
    <w:rsid w:val="7E843482"/>
    <w:rsid w:val="7EE33139"/>
    <w:rsid w:val="7EF34773"/>
    <w:rsid w:val="7F0D08DC"/>
    <w:rsid w:val="7F173D26"/>
    <w:rsid w:val="7F663995"/>
    <w:rsid w:val="7F666017"/>
    <w:rsid w:val="7F714EE5"/>
    <w:rsid w:val="7F7F2734"/>
    <w:rsid w:val="7F9D261C"/>
    <w:rsid w:val="7FA63F96"/>
    <w:rsid w:val="7FA7279D"/>
    <w:rsid w:val="7FB9287C"/>
    <w:rsid w:val="7FC55840"/>
    <w:rsid w:val="7FCC47FD"/>
    <w:rsid w:val="7FD31973"/>
    <w:rsid w:val="7FE15B01"/>
    <w:rsid w:val="7FFB1B6E"/>
    <w:rsid w:val="F7FF0A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w:basedOn w:val="1"/>
    <w:next w:val="1"/>
    <w:link w:val="64"/>
    <w:qFormat/>
    <w:uiPriority w:val="0"/>
    <w:pPr>
      <w:spacing w:after="120"/>
    </w:pPr>
    <w:rPr>
      <w:kern w:val="0"/>
      <w:sz w:val="20"/>
    </w:rPr>
  </w:style>
  <w:style w:type="paragraph" w:styleId="18">
    <w:name w:val="Body Text Indent"/>
    <w:basedOn w:val="1"/>
    <w:next w:val="1"/>
    <w:link w:val="74"/>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17"/>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8"/>
    <w:unhideWhenUsed/>
    <w:qFormat/>
    <w:uiPriority w:val="0"/>
    <w:pPr>
      <w:ind w:left="420"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7"/>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8"/>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qFormat/>
    <w:uiPriority w:val="0"/>
    <w:rPr>
      <w:rFonts w:ascii="微软雅黑" w:hAnsi="微软雅黑" w:eastAsia="微软雅黑" w:cs="微软雅黑"/>
      <w:color w:val="000000"/>
      <w:sz w:val="22"/>
      <w:szCs w:val="22"/>
      <w:u w:val="none"/>
    </w:rPr>
  </w:style>
  <w:style w:type="paragraph" w:customStyle="1" w:styleId="169">
    <w:name w:val="表格内正文，无编号"/>
    <w:basedOn w:val="1"/>
    <w:qFormat/>
    <w:uiPriority w:val="0"/>
    <w:pPr>
      <w:spacing w:line="400" w:lineRule="exact"/>
      <w:ind w:firstLine="643"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28</Pages>
  <Words>10190</Words>
  <Characters>10597</Characters>
  <Lines>397</Lines>
  <Paragraphs>112</Paragraphs>
  <TotalTime>7</TotalTime>
  <ScaleCrop>false</ScaleCrop>
  <LinksUpToDate>false</LinksUpToDate>
  <CharactersWithSpaces>11418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♂杰♂</cp:lastModifiedBy>
  <cp:lastPrinted>2020-05-11T15:11:00Z</cp:lastPrinted>
  <dcterms:modified xsi:type="dcterms:W3CDTF">2022-05-26T02:25:50Z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ED1152307E304A8AB7386522AE35BA3F</vt:lpwstr>
  </property>
</Properties>
</file>