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1695"/>
          <w:tab w:val="left" w:pos="3370"/>
          <w:tab w:val="left" w:pos="5555"/>
        </w:tabs>
        <w:autoSpaceDE w:val="0"/>
        <w:autoSpaceDN w:val="0"/>
        <w:adjustRightInd w:val="0"/>
        <w:snapToGrid w:val="0"/>
        <w:spacing w:line="360" w:lineRule="auto"/>
        <w:jc w:val="center"/>
        <w:rPr>
          <w:rFonts w:hint="eastAsia" w:ascii="宋体" w:hAnsi="宋体" w:cs="MingLiU"/>
          <w:b/>
          <w:kern w:val="0"/>
          <w:sz w:val="44"/>
          <w:szCs w:val="44"/>
        </w:rPr>
      </w:pPr>
      <w:r>
        <w:rPr>
          <w:rFonts w:hint="eastAsia" w:ascii="宋体" w:hAnsi="宋体" w:cs="MingLiU"/>
          <w:b/>
          <w:kern w:val="0"/>
          <w:sz w:val="44"/>
          <w:szCs w:val="44"/>
        </w:rPr>
        <w:t>重庆高速中油富渝能源发展有限公司        加油站土建日常维修项目</w:t>
      </w:r>
    </w:p>
    <w:p>
      <w:pPr>
        <w:tabs>
          <w:tab w:val="left" w:pos="1695"/>
          <w:tab w:val="left" w:pos="3370"/>
          <w:tab w:val="left" w:pos="5555"/>
        </w:tabs>
        <w:autoSpaceDE w:val="0"/>
        <w:autoSpaceDN w:val="0"/>
        <w:adjustRightInd w:val="0"/>
        <w:snapToGrid w:val="0"/>
        <w:spacing w:line="360" w:lineRule="auto"/>
        <w:jc w:val="center"/>
        <w:rPr>
          <w:rFonts w:hint="eastAsia" w:ascii="宋体" w:hAnsi="宋体" w:cs="MingLiU"/>
          <w:b/>
          <w:kern w:val="0"/>
          <w:sz w:val="44"/>
          <w:szCs w:val="44"/>
        </w:rPr>
      </w:pPr>
      <w:r>
        <w:rPr>
          <w:rFonts w:hint="eastAsia" w:ascii="宋体" w:hAnsi="宋体" w:cs="MingLiU"/>
          <w:b/>
          <w:kern w:val="0"/>
          <w:sz w:val="44"/>
          <w:szCs w:val="44"/>
        </w:rPr>
        <w:t xml:space="preserve"> </w:t>
      </w: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center"/>
        <w:rPr>
          <w:rFonts w:hint="eastAsia" w:ascii="宋体" w:hAnsi="宋体" w:cs="MingLiU"/>
          <w:kern w:val="0"/>
          <w:sz w:val="84"/>
          <w:szCs w:val="44"/>
        </w:rPr>
      </w:pPr>
      <w:r>
        <w:rPr>
          <w:rFonts w:hint="eastAsia" w:ascii="宋体" w:hAnsi="宋体" w:cs="MingLiU"/>
          <w:kern w:val="0"/>
          <w:sz w:val="84"/>
          <w:szCs w:val="44"/>
        </w:rPr>
        <w:t>竞争性比选文件</w:t>
      </w: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tabs>
          <w:tab w:val="left" w:pos="6219"/>
        </w:tabs>
        <w:autoSpaceDE w:val="0"/>
        <w:autoSpaceDN w:val="0"/>
        <w:adjustRightInd w:val="0"/>
        <w:snapToGrid w:val="0"/>
        <w:spacing w:line="360" w:lineRule="auto"/>
        <w:jc w:val="left"/>
        <w:rPr>
          <w:rFonts w:hint="eastAsia" w:ascii="宋体" w:hAnsi="宋体" w:cs="MingLiU"/>
          <w:w w:val="99"/>
          <w:kern w:val="0"/>
          <w:sz w:val="28"/>
          <w:szCs w:val="28"/>
        </w:rPr>
      </w:pPr>
      <w:r>
        <w:rPr>
          <w:rFonts w:hint="eastAsia" w:ascii="宋体" w:hAnsi="宋体" w:cs="MingLiU"/>
          <w:w w:val="99"/>
          <w:kern w:val="0"/>
          <w:sz w:val="28"/>
          <w:szCs w:val="28"/>
        </w:rPr>
        <w:t>比　　选　 人：</w:t>
      </w:r>
      <w:r>
        <w:rPr>
          <w:rFonts w:hint="eastAsia" w:ascii="宋体" w:hAnsi="宋体" w:cs="MingLiU"/>
          <w:w w:val="99"/>
          <w:kern w:val="0"/>
          <w:sz w:val="28"/>
          <w:szCs w:val="28"/>
          <w:u w:val="single"/>
        </w:rPr>
        <w:t>重庆高速中油富渝能源发展有限公司</w:t>
      </w:r>
      <w:r>
        <w:rPr>
          <w:rFonts w:hint="eastAsia" w:ascii="宋体" w:hAnsi="宋体" w:cs="MingLiU"/>
          <w:w w:val="99"/>
          <w:kern w:val="0"/>
          <w:sz w:val="28"/>
          <w:szCs w:val="28"/>
        </w:rPr>
        <w:t>（盖单位章）</w:t>
      </w: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8"/>
          <w:szCs w:val="28"/>
        </w:rPr>
      </w:pPr>
    </w:p>
    <w:p>
      <w:pPr>
        <w:tabs>
          <w:tab w:val="left" w:pos="3200"/>
          <w:tab w:val="left" w:pos="4320"/>
          <w:tab w:val="left" w:pos="5420"/>
        </w:tabs>
        <w:autoSpaceDE w:val="0"/>
        <w:autoSpaceDN w:val="0"/>
        <w:adjustRightInd w:val="0"/>
        <w:snapToGrid w:val="0"/>
        <w:spacing w:line="360" w:lineRule="auto"/>
        <w:rPr>
          <w:rFonts w:hint="eastAsia" w:ascii="宋体" w:hAnsi="宋体" w:cs="MingLiU"/>
          <w:kern w:val="0"/>
          <w:sz w:val="20"/>
          <w:szCs w:val="20"/>
        </w:rPr>
      </w:pPr>
    </w:p>
    <w:p>
      <w:pPr>
        <w:tabs>
          <w:tab w:val="left" w:pos="3200"/>
          <w:tab w:val="left" w:pos="4320"/>
          <w:tab w:val="left" w:pos="5420"/>
        </w:tabs>
        <w:autoSpaceDE w:val="0"/>
        <w:autoSpaceDN w:val="0"/>
        <w:adjustRightInd w:val="0"/>
        <w:snapToGrid w:val="0"/>
        <w:spacing w:line="360" w:lineRule="auto"/>
        <w:ind w:firstLine="3792" w:firstLineChars="1600"/>
        <w:rPr>
          <w:rFonts w:hint="eastAsia" w:ascii="宋体" w:hAnsi="宋体" w:cs="MingLiU"/>
          <w:w w:val="99"/>
          <w:kern w:val="0"/>
          <w:sz w:val="24"/>
        </w:rPr>
      </w:pPr>
      <w:r>
        <w:rPr>
          <w:rFonts w:hint="eastAsia" w:ascii="宋体" w:hAnsi="宋体" w:cs="MingLiU"/>
          <w:w w:val="99"/>
          <w:kern w:val="0"/>
          <w:sz w:val="24"/>
        </w:rPr>
        <w:t>2021年</w:t>
      </w:r>
      <w:r>
        <w:rPr>
          <w:rFonts w:hint="eastAsia" w:ascii="宋体" w:hAnsi="宋体" w:cs="MingLiU"/>
          <w:w w:val="99"/>
          <w:kern w:val="0"/>
          <w:sz w:val="24"/>
          <w:lang w:val="en-US" w:eastAsia="zh-CN"/>
        </w:rPr>
        <w:t>7</w:t>
      </w:r>
      <w:r>
        <w:rPr>
          <w:rFonts w:hint="eastAsia" w:ascii="宋体" w:hAnsi="宋体" w:cs="MingLiU"/>
          <w:w w:val="99"/>
          <w:kern w:val="0"/>
          <w:sz w:val="24"/>
        </w:rPr>
        <w:t>月</w:t>
      </w:r>
    </w:p>
    <w:p>
      <w:pPr>
        <w:rPr>
          <w:rFonts w:ascii="宋体" w:hAnsi="宋体"/>
          <w:szCs w:val="20"/>
        </w:rPr>
        <w:sectPr>
          <w:footerReference r:id="rId3" w:type="default"/>
          <w:footerReference r:id="rId4" w:type="even"/>
          <w:pgSz w:w="11906" w:h="16838"/>
          <w:pgMar w:top="1418" w:right="1361" w:bottom="1418" w:left="1418" w:header="851" w:footer="992" w:gutter="0"/>
          <w:pgNumType w:start="1"/>
          <w:cols w:space="720" w:num="1"/>
          <w:docGrid w:type="lines" w:linePitch="312" w:charSpace="0"/>
        </w:sectPr>
      </w:pPr>
    </w:p>
    <w:p>
      <w:pPr>
        <w:pStyle w:val="2"/>
        <w:jc w:val="center"/>
        <w:rPr>
          <w:rFonts w:hint="eastAsia" w:ascii="宋体" w:hAnsi="宋体" w:cs="MingLiU"/>
          <w:snapToGrid w:val="0"/>
          <w:kern w:val="0"/>
        </w:rPr>
      </w:pPr>
      <w:bookmarkStart w:id="0" w:name="_Toc287607735"/>
      <w:bookmarkStart w:id="1" w:name="_Toc224103306"/>
      <w:bookmarkStart w:id="2" w:name="_Toc34310512"/>
      <w:r>
        <w:rPr>
          <w:rFonts w:hint="eastAsia" w:ascii="宋体" w:hAnsi="宋体"/>
          <w:snapToGrid w:val="0"/>
          <w:kern w:val="0"/>
        </w:rPr>
        <w:t xml:space="preserve">第一章 </w:t>
      </w:r>
      <w:bookmarkEnd w:id="0"/>
      <w:bookmarkEnd w:id="1"/>
      <w:r>
        <w:rPr>
          <w:rFonts w:hint="eastAsia" w:ascii="宋体" w:hAnsi="宋体"/>
          <w:snapToGrid w:val="0"/>
          <w:kern w:val="0"/>
        </w:rPr>
        <w:t>竞争性比选公告</w:t>
      </w:r>
      <w:bookmarkEnd w:id="2"/>
    </w:p>
    <w:p>
      <w:pPr>
        <w:tabs>
          <w:tab w:val="left" w:pos="3425"/>
          <w:tab w:val="left" w:pos="5520"/>
        </w:tabs>
        <w:autoSpaceDE w:val="0"/>
        <w:autoSpaceDN w:val="0"/>
        <w:adjustRightInd w:val="0"/>
        <w:snapToGrid w:val="0"/>
        <w:spacing w:line="360" w:lineRule="auto"/>
        <w:jc w:val="center"/>
        <w:rPr>
          <w:rFonts w:hint="eastAsia" w:ascii="宋体" w:hAnsi="宋体" w:cs="MingLiU"/>
          <w:b/>
          <w:w w:val="99"/>
          <w:kern w:val="0"/>
          <w:sz w:val="28"/>
          <w:szCs w:val="28"/>
        </w:rPr>
      </w:pPr>
      <w:bookmarkStart w:id="3" w:name="_Toc277082543"/>
      <w:bookmarkStart w:id="4" w:name="_Toc224103307"/>
      <w:bookmarkStart w:id="5" w:name="_Toc34310513"/>
      <w:bookmarkStart w:id="6" w:name="_Toc287607736"/>
      <w:bookmarkStart w:id="7" w:name="_Toc34309286"/>
      <w:r>
        <w:rPr>
          <w:rFonts w:hint="eastAsia" w:ascii="宋体" w:hAnsi="宋体" w:cs="MingLiU"/>
          <w:b/>
          <w:w w:val="99"/>
          <w:kern w:val="0"/>
          <w:sz w:val="28"/>
          <w:szCs w:val="28"/>
        </w:rPr>
        <w:t>重庆高速中油富渝能源发展有限公司加油站土建日常维修项目</w:t>
      </w:r>
    </w:p>
    <w:p>
      <w:pPr>
        <w:tabs>
          <w:tab w:val="left" w:pos="3425"/>
          <w:tab w:val="left" w:pos="5520"/>
        </w:tabs>
        <w:autoSpaceDE w:val="0"/>
        <w:autoSpaceDN w:val="0"/>
        <w:adjustRightInd w:val="0"/>
        <w:snapToGrid w:val="0"/>
        <w:spacing w:line="360" w:lineRule="auto"/>
        <w:jc w:val="center"/>
        <w:rPr>
          <w:rFonts w:hint="eastAsia" w:ascii="宋体" w:hAnsi="宋体" w:cs="MingLiU"/>
          <w:b/>
          <w:kern w:val="0"/>
          <w:sz w:val="28"/>
          <w:szCs w:val="28"/>
        </w:rPr>
      </w:pPr>
      <w:r>
        <w:rPr>
          <w:rFonts w:hint="eastAsia" w:ascii="宋体" w:hAnsi="宋体" w:cs="宋体"/>
          <w:b/>
          <w:kern w:val="0"/>
          <w:sz w:val="32"/>
          <w:szCs w:val="32"/>
        </w:rPr>
        <w:t>竞争性比选公告</w:t>
      </w:r>
    </w:p>
    <w:p>
      <w:pPr>
        <w:pStyle w:val="3"/>
        <w:spacing w:before="0" w:after="0" w:line="400" w:lineRule="exact"/>
        <w:rPr>
          <w:rFonts w:ascii="宋体" w:hAnsi="宋体"/>
          <w:snapToGrid w:val="0"/>
          <w:sz w:val="28"/>
        </w:rPr>
      </w:pPr>
      <w:r>
        <w:rPr>
          <w:rFonts w:ascii="宋体" w:hAnsi="宋体"/>
          <w:snapToGrid w:val="0"/>
          <w:sz w:val="28"/>
        </w:rPr>
        <w:t>1.</w:t>
      </w:r>
      <w:r>
        <w:rPr>
          <w:rFonts w:hint="eastAsia" w:ascii="宋体" w:hAnsi="宋体"/>
          <w:snapToGrid w:val="0"/>
          <w:sz w:val="28"/>
        </w:rPr>
        <w:t>比选条件</w:t>
      </w:r>
      <w:bookmarkEnd w:id="3"/>
      <w:bookmarkEnd w:id="4"/>
      <w:bookmarkEnd w:id="5"/>
      <w:bookmarkEnd w:id="6"/>
      <w:bookmarkEnd w:id="7"/>
    </w:p>
    <w:p>
      <w:pPr>
        <w:tabs>
          <w:tab w:val="left" w:pos="4305"/>
          <w:tab w:val="left" w:pos="4640"/>
          <w:tab w:val="left" w:pos="7240"/>
        </w:tabs>
        <w:autoSpaceDE w:val="0"/>
        <w:autoSpaceDN w:val="0"/>
        <w:adjustRightInd w:val="0"/>
        <w:spacing w:line="400" w:lineRule="exact"/>
        <w:ind w:firstLine="420"/>
        <w:jc w:val="left"/>
        <w:rPr>
          <w:rFonts w:ascii="宋体" w:hAnsi="宋体" w:cs="MingLiU"/>
          <w:snapToGrid w:val="0"/>
          <w:kern w:val="0"/>
          <w:szCs w:val="21"/>
        </w:rPr>
      </w:pPr>
      <w:r>
        <w:rPr>
          <w:rFonts w:hint="eastAsia" w:ascii="宋体" w:hAnsi="宋体" w:cs="MingLiU"/>
          <w:snapToGrid w:val="0"/>
          <w:kern w:val="0"/>
          <w:szCs w:val="21"/>
        </w:rPr>
        <w:t>本比选项目</w:t>
      </w:r>
      <w:r>
        <w:rPr>
          <w:rFonts w:hint="eastAsia" w:ascii="宋体" w:hAnsi="宋体" w:cs="MingLiU"/>
          <w:snapToGrid w:val="0"/>
          <w:kern w:val="0"/>
          <w:szCs w:val="21"/>
          <w:u w:val="single"/>
        </w:rPr>
        <w:t>重庆高速中油富渝能源发展有限公司加油站土建日常维修项目</w:t>
      </w:r>
      <w:r>
        <w:rPr>
          <w:rFonts w:hint="eastAsia" w:ascii="宋体" w:hAnsi="宋体" w:cs="MingLiU"/>
          <w:snapToGrid w:val="0"/>
          <w:kern w:val="0"/>
          <w:szCs w:val="21"/>
        </w:rPr>
        <w:t>已纳入</w:t>
      </w:r>
      <w:r>
        <w:rPr>
          <w:rFonts w:hint="eastAsia" w:ascii="宋体" w:hAnsi="宋体" w:cs="MingLiU"/>
          <w:snapToGrid w:val="0"/>
          <w:kern w:val="0"/>
          <w:szCs w:val="21"/>
          <w:u w:val="single"/>
        </w:rPr>
        <w:t>重庆高速中油富渝能源发展有限公司202</w:t>
      </w:r>
      <w:r>
        <w:rPr>
          <w:rFonts w:hint="eastAsia" w:ascii="宋体" w:hAnsi="宋体" w:cs="MingLiU"/>
          <w:snapToGrid w:val="0"/>
          <w:kern w:val="0"/>
          <w:szCs w:val="21"/>
          <w:u w:val="single"/>
          <w:lang w:val="en-US" w:eastAsia="zh-CN"/>
        </w:rPr>
        <w:t>1</w:t>
      </w:r>
      <w:r>
        <w:rPr>
          <w:rFonts w:hint="eastAsia" w:ascii="宋体" w:hAnsi="宋体" w:cs="MingLiU"/>
          <w:snapToGrid w:val="0"/>
          <w:kern w:val="0"/>
          <w:szCs w:val="21"/>
          <w:u w:val="single"/>
        </w:rPr>
        <w:t>年投资计划</w:t>
      </w:r>
      <w:r>
        <w:rPr>
          <w:rFonts w:hint="eastAsia" w:ascii="宋体" w:hAnsi="宋体" w:cs="MingLiU"/>
          <w:snapToGrid w:val="0"/>
          <w:kern w:val="0"/>
          <w:szCs w:val="21"/>
        </w:rPr>
        <w:t>，项目业主及比选人为</w:t>
      </w:r>
      <w:r>
        <w:rPr>
          <w:rFonts w:hint="eastAsia" w:ascii="宋体" w:hAnsi="宋体" w:cs="MingLiU"/>
          <w:snapToGrid w:val="0"/>
          <w:kern w:val="0"/>
          <w:szCs w:val="21"/>
          <w:u w:val="single"/>
        </w:rPr>
        <w:t>重庆高速中油富渝能源发展有限公司</w:t>
      </w:r>
      <w:r>
        <w:rPr>
          <w:rFonts w:hint="eastAsia" w:ascii="宋体" w:hAnsi="宋体" w:cs="MingLiU"/>
          <w:snapToGrid w:val="0"/>
          <w:kern w:val="0"/>
          <w:szCs w:val="21"/>
        </w:rPr>
        <w:t xml:space="preserve">。建设资金来自 </w:t>
      </w:r>
      <w:r>
        <w:rPr>
          <w:rFonts w:hint="eastAsia" w:ascii="宋体" w:hAnsi="宋体" w:cs="MingLiU"/>
          <w:snapToGrid w:val="0"/>
          <w:kern w:val="0"/>
          <w:szCs w:val="21"/>
          <w:u w:val="single"/>
        </w:rPr>
        <w:t>业主自筹</w:t>
      </w:r>
      <w:r>
        <w:rPr>
          <w:rFonts w:hint="eastAsia" w:ascii="宋体" w:hAnsi="宋体" w:cs="MingLiU"/>
          <w:snapToGrid w:val="0"/>
          <w:kern w:val="0"/>
          <w:szCs w:val="21"/>
        </w:rPr>
        <w:t>，出资比例为</w:t>
      </w:r>
      <w:r>
        <w:rPr>
          <w:rFonts w:hint="eastAsia" w:ascii="宋体" w:hAnsi="宋体"/>
          <w:snapToGrid w:val="0"/>
          <w:kern w:val="0"/>
          <w:szCs w:val="21"/>
          <w:u w:val="single"/>
        </w:rPr>
        <w:t xml:space="preserve">100% </w:t>
      </w:r>
      <w:r>
        <w:rPr>
          <w:rFonts w:hint="eastAsia" w:ascii="宋体" w:hAnsi="宋体" w:cs="MingLiU"/>
          <w:snapToGrid w:val="0"/>
          <w:kern w:val="0"/>
          <w:szCs w:val="21"/>
        </w:rPr>
        <w:t>。项目已具备比选条件，现对本项目进行竞争性比选。</w:t>
      </w:r>
    </w:p>
    <w:p>
      <w:pPr>
        <w:pStyle w:val="3"/>
        <w:spacing w:before="0" w:after="0" w:line="400" w:lineRule="exact"/>
        <w:rPr>
          <w:rFonts w:ascii="宋体" w:hAnsi="宋体"/>
          <w:snapToGrid w:val="0"/>
          <w:sz w:val="28"/>
        </w:rPr>
      </w:pPr>
      <w:bookmarkStart w:id="8" w:name="_Toc287607737"/>
      <w:bookmarkStart w:id="9" w:name="_Toc224103308"/>
      <w:bookmarkStart w:id="10" w:name="_Toc34310514"/>
      <w:bookmarkStart w:id="11" w:name="_Toc34309287"/>
      <w:bookmarkStart w:id="12" w:name="_Toc277082544"/>
      <w:r>
        <w:rPr>
          <w:rFonts w:ascii="宋体" w:hAnsi="宋体"/>
          <w:snapToGrid w:val="0"/>
          <w:sz w:val="28"/>
        </w:rPr>
        <w:t>2.</w:t>
      </w:r>
      <w:r>
        <w:rPr>
          <w:rFonts w:hint="eastAsia" w:ascii="宋体" w:hAnsi="宋体"/>
          <w:snapToGrid w:val="0"/>
          <w:sz w:val="28"/>
        </w:rPr>
        <w:t>项目概况与竞争性比选范围</w:t>
      </w:r>
      <w:bookmarkEnd w:id="8"/>
      <w:bookmarkEnd w:id="9"/>
      <w:bookmarkEnd w:id="10"/>
      <w:bookmarkEnd w:id="11"/>
      <w:bookmarkEnd w:id="12"/>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u w:val="single"/>
        </w:rPr>
      </w:pPr>
      <w:r>
        <w:rPr>
          <w:rFonts w:hint="eastAsia" w:ascii="宋体" w:hAnsi="宋体" w:cs="MingLiU"/>
          <w:snapToGrid w:val="0"/>
          <w:kern w:val="0"/>
          <w:szCs w:val="21"/>
        </w:rPr>
        <w:t>2.1工程地址：重庆高速中油富渝能源发展有限公司所属加油站。</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2.2工程概况：比选人任务书下达的所属加油站</w:t>
      </w:r>
      <w:r>
        <w:rPr>
          <w:rFonts w:hint="eastAsia" w:ascii="宋体" w:hAnsi="宋体" w:cs="MingLiU"/>
          <w:snapToGrid w:val="0"/>
          <w:kern w:val="0"/>
          <w:szCs w:val="21"/>
          <w:lang w:val="en-US" w:eastAsia="zh-CN"/>
        </w:rPr>
        <w:t>土建</w:t>
      </w:r>
      <w:r>
        <w:rPr>
          <w:rFonts w:hint="eastAsia" w:ascii="宋体" w:hAnsi="宋体" w:cs="MingLiU"/>
          <w:snapToGrid w:val="0"/>
          <w:kern w:val="0"/>
          <w:szCs w:val="21"/>
        </w:rPr>
        <w:t>日常维修。</w:t>
      </w:r>
    </w:p>
    <w:p>
      <w:pPr>
        <w:tabs>
          <w:tab w:val="left" w:pos="4305"/>
          <w:tab w:val="left" w:pos="4640"/>
          <w:tab w:val="left" w:pos="7240"/>
        </w:tabs>
        <w:autoSpaceDE w:val="0"/>
        <w:autoSpaceDN w:val="0"/>
        <w:adjustRightInd w:val="0"/>
        <w:spacing w:line="400" w:lineRule="exact"/>
        <w:ind w:firstLine="420"/>
        <w:jc w:val="left"/>
        <w:rPr>
          <w:rFonts w:hint="eastAsia" w:ascii="宋体" w:hAnsi="宋体" w:cs="宋体"/>
          <w:kern w:val="1"/>
          <w:szCs w:val="21"/>
        </w:rPr>
      </w:pPr>
      <w:r>
        <w:rPr>
          <w:rFonts w:hint="eastAsia" w:ascii="宋体" w:hAnsi="宋体" w:cs="MingLiU"/>
          <w:snapToGrid w:val="0"/>
          <w:kern w:val="0"/>
          <w:szCs w:val="21"/>
        </w:rPr>
        <w:t>2.3比选范围：包括便利店、办公室、营业室内、外装修，罩棚、室内、外管道等的日常维修。以比选人提供的维修工作单为准</w:t>
      </w:r>
      <w:r>
        <w:rPr>
          <w:rFonts w:hint="eastAsia" w:ascii="宋体" w:hAnsi="宋体" w:cs="宋体"/>
          <w:kern w:val="1"/>
          <w:szCs w:val="21"/>
        </w:rPr>
        <w:t>。</w:t>
      </w:r>
    </w:p>
    <w:p>
      <w:pPr>
        <w:tabs>
          <w:tab w:val="left" w:pos="4305"/>
          <w:tab w:val="left" w:pos="4640"/>
          <w:tab w:val="left" w:pos="7240"/>
        </w:tabs>
        <w:autoSpaceDE w:val="0"/>
        <w:autoSpaceDN w:val="0"/>
        <w:adjustRightInd w:val="0"/>
        <w:spacing w:line="400" w:lineRule="exact"/>
        <w:ind w:firstLine="420"/>
        <w:jc w:val="left"/>
        <w:rPr>
          <w:rFonts w:hint="eastAsia" w:ascii="宋体" w:hAnsi="宋体" w:cs="宋体"/>
          <w:kern w:val="1"/>
          <w:szCs w:val="21"/>
        </w:rPr>
      </w:pPr>
      <w:r>
        <w:rPr>
          <w:rFonts w:hint="eastAsia" w:ascii="宋体" w:hAnsi="宋体" w:cs="宋体"/>
          <w:kern w:val="1"/>
          <w:szCs w:val="21"/>
        </w:rPr>
        <w:t>2.4服务周期：自合同签订之日起至2021年12月31日。</w:t>
      </w:r>
    </w:p>
    <w:p>
      <w:pPr>
        <w:pStyle w:val="3"/>
        <w:spacing w:before="0" w:after="0" w:line="400" w:lineRule="exact"/>
        <w:rPr>
          <w:rFonts w:ascii="宋体" w:hAnsi="宋体"/>
          <w:snapToGrid w:val="0"/>
          <w:sz w:val="28"/>
        </w:rPr>
      </w:pPr>
      <w:bookmarkStart w:id="13" w:name="_Toc224103309"/>
      <w:bookmarkStart w:id="14" w:name="_Toc34309288"/>
      <w:bookmarkStart w:id="15" w:name="_Toc277082545"/>
      <w:bookmarkStart w:id="16" w:name="_Toc287607738"/>
      <w:bookmarkStart w:id="17" w:name="_Toc34310515"/>
      <w:r>
        <w:rPr>
          <w:rFonts w:ascii="宋体" w:hAnsi="宋体"/>
          <w:snapToGrid w:val="0"/>
          <w:sz w:val="28"/>
        </w:rPr>
        <w:t>3.</w:t>
      </w:r>
      <w:r>
        <w:rPr>
          <w:rFonts w:hint="eastAsia" w:ascii="宋体" w:hAnsi="宋体"/>
          <w:snapToGrid w:val="0"/>
          <w:sz w:val="28"/>
        </w:rPr>
        <w:t>比选申请人资格要求</w:t>
      </w:r>
      <w:bookmarkEnd w:id="13"/>
      <w:bookmarkEnd w:id="14"/>
      <w:bookmarkEnd w:id="15"/>
      <w:bookmarkEnd w:id="16"/>
      <w:bookmarkEnd w:id="17"/>
    </w:p>
    <w:p>
      <w:pPr>
        <w:tabs>
          <w:tab w:val="left" w:pos="525"/>
          <w:tab w:val="left" w:pos="5080"/>
        </w:tabs>
        <w:autoSpaceDE w:val="0"/>
        <w:autoSpaceDN w:val="0"/>
        <w:adjustRightInd w:val="0"/>
        <w:spacing w:line="400" w:lineRule="exact"/>
        <w:ind w:firstLine="420" w:firstLineChars="200"/>
        <w:jc w:val="left"/>
        <w:rPr>
          <w:rFonts w:hint="eastAsia" w:ascii="宋体" w:hAnsi="宋体" w:cs="MingLiU"/>
          <w:snapToGrid w:val="0"/>
          <w:color w:val="auto"/>
          <w:kern w:val="0"/>
          <w:szCs w:val="21"/>
        </w:rPr>
      </w:pPr>
      <w:r>
        <w:rPr>
          <w:rFonts w:ascii="宋体" w:hAnsi="宋体"/>
          <w:snapToGrid w:val="0"/>
          <w:color w:val="auto"/>
          <w:kern w:val="0"/>
          <w:szCs w:val="21"/>
        </w:rPr>
        <w:t>3.1</w:t>
      </w:r>
      <w:r>
        <w:rPr>
          <w:rFonts w:hint="eastAsia" w:ascii="宋体" w:hAnsi="宋体"/>
          <w:snapToGrid w:val="0"/>
          <w:color w:val="auto"/>
          <w:kern w:val="0"/>
          <w:szCs w:val="21"/>
        </w:rPr>
        <w:t>比选申请人须满足资质要求：具有独立法人资格、</w:t>
      </w:r>
      <w:r>
        <w:rPr>
          <w:rFonts w:hint="eastAsia" w:ascii="宋体" w:hAnsi="宋体" w:cs="MingLiU"/>
          <w:snapToGrid w:val="0"/>
          <w:color w:val="auto"/>
          <w:kern w:val="0"/>
          <w:szCs w:val="21"/>
        </w:rPr>
        <w:t>有效的营业执照，</w:t>
      </w:r>
      <w:r>
        <w:rPr>
          <w:rFonts w:hint="eastAsia" w:ascii="宋体" w:hAnsi="宋体" w:cs="MingLiU"/>
          <w:snapToGrid w:val="0"/>
          <w:color w:val="auto"/>
          <w:kern w:val="0"/>
          <w:szCs w:val="21"/>
          <w:lang w:eastAsia="zh-CN"/>
        </w:rPr>
        <w:t>安全生产许可证，</w:t>
      </w:r>
      <w:r>
        <w:rPr>
          <w:rFonts w:hint="eastAsia" w:ascii="宋体" w:hAnsi="宋体" w:cs="MingLiU"/>
          <w:snapToGrid w:val="0"/>
          <w:color w:val="auto"/>
          <w:kern w:val="0"/>
          <w:szCs w:val="21"/>
        </w:rPr>
        <w:t>具备行政主管部门颁发的建筑工程施工总承包叁级及以上资质，并在人员、设备、资金等方面具有承担本项目施工的能力。</w:t>
      </w:r>
    </w:p>
    <w:p>
      <w:pPr>
        <w:tabs>
          <w:tab w:val="left" w:pos="525"/>
          <w:tab w:val="left" w:pos="5080"/>
        </w:tabs>
        <w:autoSpaceDE w:val="0"/>
        <w:autoSpaceDN w:val="0"/>
        <w:adjustRightInd w:val="0"/>
        <w:spacing w:line="400" w:lineRule="exact"/>
        <w:ind w:firstLine="420" w:firstLineChars="200"/>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w:t>
      </w:r>
      <w:r>
        <w:rPr>
          <w:rFonts w:hint="eastAsia" w:ascii="宋体" w:hAnsi="宋体" w:cs="宋体"/>
          <w:color w:val="auto"/>
          <w:sz w:val="21"/>
          <w:szCs w:val="21"/>
          <w:lang w:val="en-US" w:eastAsia="zh-CN"/>
        </w:rPr>
        <w:t>比选业绩要求：2019年1月1日至今完成过类似加油站日常维修项目业绩一个。（提供合同复印件并加盖公章）</w:t>
      </w:r>
    </w:p>
    <w:p>
      <w:pPr>
        <w:tabs>
          <w:tab w:val="left" w:pos="2060"/>
          <w:tab w:val="left" w:pos="8205"/>
        </w:tabs>
        <w:autoSpaceDE w:val="0"/>
        <w:autoSpaceDN w:val="0"/>
        <w:adjustRightInd w:val="0"/>
        <w:spacing w:line="400" w:lineRule="exact"/>
        <w:ind w:firstLine="405" w:firstLineChars="193"/>
        <w:jc w:val="left"/>
        <w:rPr>
          <w:rFonts w:ascii="宋体" w:hAnsi="宋体" w:cs="MingLiU"/>
          <w:snapToGrid w:val="0"/>
          <w:kern w:val="0"/>
          <w:szCs w:val="21"/>
        </w:rPr>
      </w:pPr>
      <w:r>
        <w:rPr>
          <w:rFonts w:ascii="宋体" w:hAnsi="宋体"/>
          <w:snapToGrid w:val="0"/>
          <w:kern w:val="0"/>
          <w:szCs w:val="21"/>
        </w:rPr>
        <w:t>3.</w:t>
      </w:r>
      <w:r>
        <w:rPr>
          <w:rFonts w:hint="eastAsia" w:ascii="宋体" w:hAnsi="宋体"/>
          <w:snapToGrid w:val="0"/>
          <w:kern w:val="0"/>
          <w:szCs w:val="21"/>
          <w:lang w:val="en-US" w:eastAsia="zh-CN"/>
        </w:rPr>
        <w:t>3</w:t>
      </w:r>
      <w:r>
        <w:rPr>
          <w:rFonts w:hint="eastAsia" w:ascii="宋体" w:hAnsi="宋体"/>
          <w:snapToGrid w:val="0"/>
          <w:kern w:val="0"/>
          <w:szCs w:val="21"/>
        </w:rPr>
        <w:t>是否允许联合体投标：</w:t>
      </w:r>
      <w:r>
        <w:rPr>
          <w:rFonts w:hint="eastAsia" w:ascii="宋体" w:hAnsi="宋体"/>
          <w:snapToGrid w:val="0"/>
          <w:kern w:val="0"/>
          <w:szCs w:val="21"/>
          <w:u w:val="single"/>
        </w:rPr>
        <w:t>不允许</w:t>
      </w:r>
      <w:r>
        <w:rPr>
          <w:rFonts w:hint="eastAsia" w:ascii="宋体" w:hAnsi="宋体" w:cs="MingLiU"/>
          <w:snapToGrid w:val="0"/>
          <w:kern w:val="0"/>
          <w:szCs w:val="21"/>
        </w:rPr>
        <w:t>。</w:t>
      </w:r>
    </w:p>
    <w:p>
      <w:pPr>
        <w:pStyle w:val="3"/>
        <w:spacing w:before="0" w:after="0" w:line="400" w:lineRule="exact"/>
        <w:rPr>
          <w:rFonts w:ascii="宋体" w:hAnsi="宋体"/>
          <w:snapToGrid w:val="0"/>
          <w:sz w:val="28"/>
        </w:rPr>
      </w:pPr>
      <w:r>
        <w:rPr>
          <w:rFonts w:hint="eastAsia" w:ascii="宋体" w:hAnsi="宋体"/>
          <w:snapToGrid w:val="0"/>
          <w:sz w:val="28"/>
          <w:lang w:val="en-US" w:eastAsia="zh-CN"/>
        </w:rPr>
        <w:t>4.</w:t>
      </w:r>
      <w:r>
        <w:rPr>
          <w:rFonts w:hint="eastAsia" w:ascii="宋体" w:hAnsi="宋体"/>
          <w:snapToGrid w:val="0"/>
          <w:sz w:val="28"/>
        </w:rPr>
        <w:t>竞争性比选文件的获取</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bookmarkStart w:id="18" w:name="_Toc144974484"/>
      <w:bookmarkStart w:id="19" w:name="_Toc152042292"/>
      <w:bookmarkStart w:id="20" w:name="_Toc152045516"/>
      <w:r>
        <w:rPr>
          <w:rFonts w:hint="eastAsia" w:ascii="宋体" w:hAnsi="宋体" w:cs="MingLiU"/>
          <w:snapToGrid w:val="0"/>
          <w:kern w:val="0"/>
          <w:szCs w:val="21"/>
          <w:lang w:val="en-US" w:eastAsia="zh-CN"/>
        </w:rPr>
        <w:t>4.1</w:t>
      </w:r>
      <w:r>
        <w:rPr>
          <w:rFonts w:hint="eastAsia" w:ascii="宋体" w:hAnsi="宋体" w:cs="MingLiU"/>
          <w:snapToGrid w:val="0"/>
          <w:kern w:val="0"/>
          <w:szCs w:val="21"/>
        </w:rPr>
        <w:t xml:space="preserve">竞争性比选文件发布时间：2021年 </w:t>
      </w:r>
      <w:r>
        <w:rPr>
          <w:rFonts w:hint="eastAsia" w:ascii="宋体" w:hAnsi="宋体" w:cs="MingLiU"/>
          <w:snapToGrid w:val="0"/>
          <w:kern w:val="0"/>
          <w:szCs w:val="21"/>
          <w:lang w:val="en-US" w:eastAsia="zh-CN"/>
        </w:rPr>
        <w:t>7</w:t>
      </w:r>
      <w:r>
        <w:rPr>
          <w:rFonts w:hint="eastAsia" w:ascii="宋体" w:hAnsi="宋体" w:cs="MingLiU"/>
          <w:snapToGrid w:val="0"/>
          <w:kern w:val="0"/>
          <w:szCs w:val="21"/>
        </w:rPr>
        <w:t xml:space="preserve"> 月 </w:t>
      </w:r>
      <w:r>
        <w:rPr>
          <w:rFonts w:hint="eastAsia" w:ascii="宋体" w:hAnsi="宋体" w:cs="MingLiU"/>
          <w:snapToGrid w:val="0"/>
          <w:kern w:val="0"/>
          <w:szCs w:val="21"/>
          <w:lang w:val="en-US" w:eastAsia="zh-CN"/>
        </w:rPr>
        <w:t>9</w:t>
      </w:r>
      <w:r>
        <w:rPr>
          <w:rFonts w:hint="eastAsia" w:ascii="宋体" w:hAnsi="宋体" w:cs="MingLiU"/>
          <w:snapToGrid w:val="0"/>
          <w:kern w:val="0"/>
          <w:szCs w:val="21"/>
        </w:rPr>
        <w:t xml:space="preserve"> 日上午10时00分至2021年 </w:t>
      </w:r>
      <w:r>
        <w:rPr>
          <w:rFonts w:hint="eastAsia" w:ascii="宋体" w:hAnsi="宋体" w:cs="MingLiU"/>
          <w:snapToGrid w:val="0"/>
          <w:kern w:val="0"/>
          <w:szCs w:val="21"/>
          <w:lang w:val="en-US" w:eastAsia="zh-CN"/>
        </w:rPr>
        <w:t>7</w:t>
      </w:r>
      <w:r>
        <w:rPr>
          <w:rFonts w:hint="eastAsia" w:ascii="宋体" w:hAnsi="宋体" w:cs="MingLiU"/>
          <w:snapToGrid w:val="0"/>
          <w:kern w:val="0"/>
          <w:szCs w:val="21"/>
        </w:rPr>
        <w:t xml:space="preserve"> 月 </w:t>
      </w:r>
      <w:r>
        <w:rPr>
          <w:rFonts w:hint="eastAsia" w:ascii="宋体" w:hAnsi="宋体" w:cs="MingLiU"/>
          <w:snapToGrid w:val="0"/>
          <w:kern w:val="0"/>
          <w:szCs w:val="21"/>
          <w:lang w:val="en-US" w:eastAsia="zh-CN"/>
        </w:rPr>
        <w:t>13</w:t>
      </w:r>
      <w:r>
        <w:rPr>
          <w:rFonts w:hint="eastAsia" w:ascii="宋体" w:hAnsi="宋体" w:cs="MingLiU"/>
          <w:snapToGrid w:val="0"/>
          <w:kern w:val="0"/>
          <w:szCs w:val="21"/>
        </w:rPr>
        <w:t xml:space="preserve"> 日下午17时00分内（法定公休日、法定节假日除外）。本项目竞争性比选公告及结果公示在高速集团官网：（</w:t>
      </w:r>
      <w:r>
        <w:rPr>
          <w:rFonts w:hint="eastAsia" w:ascii="宋体" w:hAnsi="宋体" w:cs="MingLiU"/>
          <w:snapToGrid w:val="0"/>
          <w:kern w:val="0"/>
          <w:szCs w:val="21"/>
        </w:rPr>
        <w:fldChar w:fldCharType="begin"/>
      </w:r>
      <w:r>
        <w:rPr>
          <w:rFonts w:hint="eastAsia" w:ascii="宋体" w:hAnsi="宋体" w:cs="MingLiU"/>
          <w:snapToGrid w:val="0"/>
          <w:kern w:val="0"/>
          <w:szCs w:val="21"/>
        </w:rPr>
        <w:instrText xml:space="preserve"> HYPERLINK "http://43.240.248.114:8088/sys/portal/page.jsp" </w:instrText>
      </w:r>
      <w:r>
        <w:rPr>
          <w:rFonts w:hint="eastAsia" w:ascii="宋体" w:hAnsi="宋体" w:cs="MingLiU"/>
          <w:snapToGrid w:val="0"/>
          <w:kern w:val="0"/>
          <w:szCs w:val="21"/>
        </w:rPr>
        <w:fldChar w:fldCharType="separate"/>
      </w:r>
      <w:r>
        <w:rPr>
          <w:rFonts w:hint="eastAsia" w:ascii="宋体" w:hAnsi="宋体" w:cs="MingLiU"/>
          <w:snapToGrid w:val="0"/>
          <w:kern w:val="0"/>
          <w:szCs w:val="21"/>
        </w:rPr>
        <w:t>http://43.240.248.114:8088/sys/portal/page.jsp</w:t>
      </w:r>
      <w:r>
        <w:rPr>
          <w:rFonts w:hint="eastAsia" w:ascii="宋体" w:hAnsi="宋体" w:cs="MingLiU"/>
          <w:snapToGrid w:val="0"/>
          <w:kern w:val="0"/>
          <w:szCs w:val="21"/>
        </w:rPr>
        <w:fldChar w:fldCharType="end"/>
      </w:r>
      <w:r>
        <w:rPr>
          <w:rFonts w:hint="eastAsia" w:ascii="宋体" w:hAnsi="宋体" w:cs="MingLiU"/>
          <w:snapToGrid w:val="0"/>
          <w:kern w:val="0"/>
          <w:szCs w:val="21"/>
        </w:rPr>
        <w:t>）</w:t>
      </w:r>
      <w:r>
        <w:rPr>
          <w:rFonts w:hint="eastAsia" w:ascii="宋体" w:hAnsi="宋体" w:cs="MingLiU"/>
          <w:snapToGrid w:val="0"/>
          <w:kern w:val="0"/>
          <w:szCs w:val="21"/>
          <w:lang w:eastAsia="zh-CN"/>
        </w:rPr>
        <w:t>及</w:t>
      </w:r>
      <w:r>
        <w:rPr>
          <w:rFonts w:hint="eastAsia" w:ascii="宋体" w:hAnsi="宋体" w:cs="MingLiU"/>
          <w:snapToGrid w:val="0"/>
          <w:kern w:val="0"/>
          <w:szCs w:val="21"/>
        </w:rPr>
        <w:t>重庆高速公路集团有限公司招投标管理平台（http://43.240.249.108:8088）上发布。</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lang w:val="en-US" w:eastAsia="zh-CN"/>
        </w:rPr>
        <w:t>4.2</w:t>
      </w:r>
      <w:r>
        <w:rPr>
          <w:rFonts w:hint="eastAsia" w:ascii="宋体" w:hAnsi="宋体" w:cs="MingLiU"/>
          <w:snapToGrid w:val="0"/>
          <w:kern w:val="0"/>
          <w:szCs w:val="21"/>
        </w:rPr>
        <w:t xml:space="preserve">竞争性比选文件获取：凡有意参加竞争性比选的供应商，请于公告发布之日（2021年 </w:t>
      </w:r>
      <w:r>
        <w:rPr>
          <w:rFonts w:hint="eastAsia" w:ascii="宋体" w:hAnsi="宋体" w:cs="MingLiU"/>
          <w:snapToGrid w:val="0"/>
          <w:kern w:val="0"/>
          <w:szCs w:val="21"/>
          <w:lang w:val="en-US" w:eastAsia="zh-CN"/>
        </w:rPr>
        <w:t>7</w:t>
      </w:r>
      <w:r>
        <w:rPr>
          <w:rFonts w:hint="eastAsia" w:ascii="宋体" w:hAnsi="宋体" w:cs="MingLiU"/>
          <w:snapToGrid w:val="0"/>
          <w:kern w:val="0"/>
          <w:szCs w:val="21"/>
        </w:rPr>
        <w:t xml:space="preserve"> 月 </w:t>
      </w:r>
      <w:r>
        <w:rPr>
          <w:rFonts w:hint="eastAsia" w:ascii="宋体" w:hAnsi="宋体" w:cs="MingLiU"/>
          <w:snapToGrid w:val="0"/>
          <w:kern w:val="0"/>
          <w:szCs w:val="21"/>
          <w:lang w:val="en-US" w:eastAsia="zh-CN"/>
        </w:rPr>
        <w:t>9</w:t>
      </w:r>
      <w:r>
        <w:rPr>
          <w:rFonts w:hint="eastAsia" w:ascii="宋体" w:hAnsi="宋体" w:cs="MingLiU"/>
          <w:snapToGrid w:val="0"/>
          <w:kern w:val="0"/>
          <w:szCs w:val="21"/>
        </w:rPr>
        <w:t xml:space="preserve"> 日-2021年 </w:t>
      </w:r>
      <w:r>
        <w:rPr>
          <w:rFonts w:hint="eastAsia" w:ascii="宋体" w:hAnsi="宋体" w:cs="MingLiU"/>
          <w:snapToGrid w:val="0"/>
          <w:kern w:val="0"/>
          <w:szCs w:val="21"/>
          <w:lang w:val="en-US" w:eastAsia="zh-CN"/>
        </w:rPr>
        <w:t>7</w:t>
      </w:r>
      <w:r>
        <w:rPr>
          <w:rFonts w:hint="eastAsia" w:ascii="宋体" w:hAnsi="宋体" w:cs="MingLiU"/>
          <w:snapToGrid w:val="0"/>
          <w:kern w:val="0"/>
          <w:szCs w:val="21"/>
        </w:rPr>
        <w:t xml:space="preserve"> 月 </w:t>
      </w:r>
      <w:r>
        <w:rPr>
          <w:rFonts w:hint="eastAsia" w:ascii="宋体" w:hAnsi="宋体" w:cs="MingLiU"/>
          <w:snapToGrid w:val="0"/>
          <w:kern w:val="0"/>
          <w:szCs w:val="21"/>
          <w:lang w:val="en-US" w:eastAsia="zh-CN"/>
        </w:rPr>
        <w:t>13</w:t>
      </w:r>
      <w:r>
        <w:rPr>
          <w:rFonts w:hint="eastAsia" w:ascii="宋体" w:hAnsi="宋体" w:cs="MingLiU"/>
          <w:snapToGrid w:val="0"/>
          <w:kern w:val="0"/>
          <w:szCs w:val="21"/>
        </w:rPr>
        <w:t xml:space="preserve"> 日09:00时—17:00时）凭盖章的介绍信或者授权委托书及身份证复印件到重庆市渝北区龙溪街道锦龙支路19号一幢208办公室肖琅天报名领取本项目竞争性比选文件以及图纸、补遗等比选前公布的所有项目资料，无论供应商领取与否，均视为已知晓所有比选实质性要求内容。</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lang w:val="en-US" w:eastAsia="zh-CN"/>
        </w:rPr>
        <w:t>4.3</w:t>
      </w:r>
      <w:r>
        <w:rPr>
          <w:rFonts w:hint="eastAsia" w:ascii="宋体" w:hAnsi="宋体" w:cs="MingLiU"/>
          <w:snapToGrid w:val="0"/>
          <w:kern w:val="0"/>
          <w:szCs w:val="21"/>
        </w:rPr>
        <w:t xml:space="preserve">竞争性比选截止和开标时间：凡有意参加竞争性比选的供应商于2021年 </w:t>
      </w:r>
      <w:r>
        <w:rPr>
          <w:rFonts w:hint="eastAsia" w:ascii="宋体" w:hAnsi="宋体" w:cs="MingLiU"/>
          <w:snapToGrid w:val="0"/>
          <w:kern w:val="0"/>
          <w:szCs w:val="21"/>
          <w:lang w:val="en-US" w:eastAsia="zh-CN"/>
        </w:rPr>
        <w:t>7</w:t>
      </w:r>
      <w:r>
        <w:rPr>
          <w:rFonts w:hint="eastAsia" w:ascii="宋体" w:hAnsi="宋体" w:cs="MingLiU"/>
          <w:snapToGrid w:val="0"/>
          <w:kern w:val="0"/>
          <w:szCs w:val="21"/>
        </w:rPr>
        <w:t xml:space="preserve"> 月 </w:t>
      </w:r>
      <w:r>
        <w:rPr>
          <w:rFonts w:hint="eastAsia" w:ascii="宋体" w:hAnsi="宋体" w:cs="MingLiU"/>
          <w:snapToGrid w:val="0"/>
          <w:kern w:val="0"/>
          <w:szCs w:val="21"/>
          <w:lang w:val="en-US" w:eastAsia="zh-CN"/>
        </w:rPr>
        <w:t>9</w:t>
      </w:r>
      <w:r>
        <w:rPr>
          <w:rFonts w:hint="eastAsia" w:ascii="宋体" w:hAnsi="宋体" w:cs="MingLiU"/>
          <w:snapToGrid w:val="0"/>
          <w:kern w:val="0"/>
          <w:szCs w:val="21"/>
        </w:rPr>
        <w:t xml:space="preserve"> 日14时00分至2021年 </w:t>
      </w:r>
      <w:r>
        <w:rPr>
          <w:rFonts w:hint="eastAsia" w:ascii="宋体" w:hAnsi="宋体" w:cs="MingLiU"/>
          <w:snapToGrid w:val="0"/>
          <w:kern w:val="0"/>
          <w:szCs w:val="21"/>
          <w:lang w:val="en-US" w:eastAsia="zh-CN"/>
        </w:rPr>
        <w:t>7</w:t>
      </w:r>
      <w:r>
        <w:rPr>
          <w:rFonts w:hint="eastAsia" w:ascii="宋体" w:hAnsi="宋体" w:cs="MingLiU"/>
          <w:snapToGrid w:val="0"/>
          <w:kern w:val="0"/>
          <w:szCs w:val="21"/>
        </w:rPr>
        <w:t xml:space="preserve"> 月 </w:t>
      </w:r>
      <w:r>
        <w:rPr>
          <w:rFonts w:hint="eastAsia" w:ascii="宋体" w:hAnsi="宋体" w:cs="MingLiU"/>
          <w:snapToGrid w:val="0"/>
          <w:kern w:val="0"/>
          <w:szCs w:val="21"/>
          <w:lang w:val="en-US" w:eastAsia="zh-CN"/>
        </w:rPr>
        <w:t>13</w:t>
      </w:r>
      <w:r>
        <w:rPr>
          <w:rFonts w:hint="eastAsia" w:ascii="宋体" w:hAnsi="宋体" w:cs="MingLiU"/>
          <w:snapToGrid w:val="0"/>
          <w:kern w:val="0"/>
          <w:szCs w:val="21"/>
        </w:rPr>
        <w:t xml:space="preserve"> 日14时30分将投标文件交予重庆市渝北区龙溪街道锦龙支路19号1幢208室肖琅天处。逾期不予接收（北京时间）。</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lang w:val="en-US" w:eastAsia="zh-CN"/>
        </w:rPr>
        <w:t>4.4</w:t>
      </w:r>
      <w:r>
        <w:rPr>
          <w:rFonts w:hint="eastAsia" w:ascii="宋体" w:hAnsi="宋体" w:cs="MingLiU"/>
          <w:snapToGrid w:val="0"/>
          <w:kern w:val="0"/>
          <w:szCs w:val="21"/>
        </w:rPr>
        <w:t>竞争性比选地点：重庆高速中油富渝能源发展有限公司（重庆市渝北区龙溪街道锦龙支路19号1幢）。</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lang w:val="en-US" w:eastAsia="zh-CN"/>
        </w:rPr>
        <w:t>4.5</w:t>
      </w:r>
      <w:r>
        <w:rPr>
          <w:rFonts w:hint="eastAsia" w:ascii="宋体" w:hAnsi="宋体" w:cs="MingLiU"/>
          <w:snapToGrid w:val="0"/>
          <w:kern w:val="0"/>
          <w:szCs w:val="21"/>
        </w:rPr>
        <w:t>各比选申请人应根据本次竞争性比选的具体要求，编制规范的竞争性比选申请文件（竞争性比选申请文件，要求填写规范，密封完好并在封口处加盖公章，所有竞争性比选申请文件均只能作一次性提交，提交后不得更改。）</w:t>
      </w:r>
    </w:p>
    <w:bookmarkEnd w:id="18"/>
    <w:bookmarkEnd w:id="19"/>
    <w:bookmarkEnd w:id="20"/>
    <w:p>
      <w:pPr>
        <w:pStyle w:val="3"/>
        <w:spacing w:before="0" w:after="0" w:line="400" w:lineRule="exact"/>
        <w:rPr>
          <w:rFonts w:ascii="宋体" w:hAnsi="宋体"/>
          <w:snapToGrid w:val="0"/>
          <w:sz w:val="28"/>
        </w:rPr>
      </w:pPr>
      <w:r>
        <w:rPr>
          <w:rFonts w:hint="eastAsia" w:ascii="宋体" w:hAnsi="宋体"/>
          <w:snapToGrid w:val="0"/>
          <w:sz w:val="28"/>
          <w:lang w:val="en-US" w:eastAsia="zh-CN"/>
        </w:rPr>
        <w:t>5.</w:t>
      </w:r>
      <w:r>
        <w:rPr>
          <w:rFonts w:hint="eastAsia" w:ascii="宋体" w:hAnsi="宋体"/>
          <w:snapToGrid w:val="0"/>
          <w:sz w:val="28"/>
        </w:rPr>
        <w:t>监督部门</w:t>
      </w:r>
    </w:p>
    <w:p>
      <w:pPr>
        <w:pStyle w:val="8"/>
        <w:spacing w:line="360" w:lineRule="auto"/>
        <w:ind w:left="0" w:firstLine="420" w:firstLineChars="200"/>
        <w:jc w:val="left"/>
        <w:rPr>
          <w:rFonts w:hint="eastAsia" w:ascii="宋体" w:hAnsi="宋体" w:eastAsia="宋体" w:cs="MingLiU"/>
          <w:snapToGrid w:val="0"/>
          <w:kern w:val="0"/>
          <w:sz w:val="21"/>
          <w:szCs w:val="21"/>
          <w:lang w:val="en-US" w:eastAsia="zh-CN" w:bidi="ar-SA"/>
        </w:rPr>
      </w:pPr>
      <w:r>
        <w:rPr>
          <w:rFonts w:hint="eastAsia" w:ascii="宋体" w:hAnsi="宋体" w:eastAsia="宋体" w:cs="MingLiU"/>
          <w:snapToGrid w:val="0"/>
          <w:kern w:val="0"/>
          <w:sz w:val="21"/>
          <w:szCs w:val="21"/>
          <w:lang w:val="en-US" w:eastAsia="zh-CN" w:bidi="ar-SA"/>
        </w:rPr>
        <w:t>本竞争性比选项目的监督部门为重庆高速中油富渝能源发展有限公司。</w:t>
      </w:r>
    </w:p>
    <w:p>
      <w:pPr>
        <w:pStyle w:val="3"/>
        <w:spacing w:before="0" w:after="0" w:line="400" w:lineRule="exact"/>
        <w:rPr>
          <w:rFonts w:ascii="宋体" w:hAnsi="宋体"/>
          <w:snapToGrid w:val="0"/>
          <w:sz w:val="28"/>
        </w:rPr>
      </w:pPr>
      <w:r>
        <w:rPr>
          <w:rFonts w:hint="eastAsia" w:ascii="宋体" w:hAnsi="宋体"/>
          <w:snapToGrid w:val="0"/>
          <w:sz w:val="28"/>
          <w:lang w:val="en-US" w:eastAsia="zh-CN"/>
        </w:rPr>
        <w:t>6.</w:t>
      </w:r>
      <w:r>
        <w:rPr>
          <w:rFonts w:hint="eastAsia" w:ascii="宋体" w:hAnsi="宋体"/>
          <w:snapToGrid w:val="0"/>
          <w:sz w:val="28"/>
        </w:rPr>
        <w:t>竞争性比选申请文件组成及密封、份数要求</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lang w:val="en-US" w:eastAsia="zh-CN"/>
        </w:rPr>
        <w:t>6.1</w:t>
      </w:r>
      <w:r>
        <w:rPr>
          <w:rFonts w:hint="eastAsia" w:ascii="宋体" w:hAnsi="宋体" w:cs="MingLiU"/>
          <w:snapToGrid w:val="0"/>
          <w:kern w:val="0"/>
          <w:szCs w:val="21"/>
        </w:rPr>
        <w:t>竞争性比选申请文件组成：</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①报价函</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②法定代表人身份证明及授权委托书</w:t>
      </w:r>
    </w:p>
    <w:p>
      <w:pPr>
        <w:tabs>
          <w:tab w:val="left" w:pos="4305"/>
          <w:tab w:val="left" w:pos="4640"/>
          <w:tab w:val="left" w:pos="7240"/>
        </w:tabs>
        <w:autoSpaceDE w:val="0"/>
        <w:autoSpaceDN w:val="0"/>
        <w:adjustRightInd w:val="0"/>
        <w:spacing w:line="400" w:lineRule="exact"/>
        <w:ind w:firstLine="420"/>
        <w:jc w:val="left"/>
        <w:rPr>
          <w:rFonts w:hint="eastAsia" w:ascii="宋体" w:hAnsi="宋体" w:eastAsia="宋体" w:cs="MingLiU"/>
          <w:snapToGrid w:val="0"/>
          <w:kern w:val="0"/>
          <w:szCs w:val="21"/>
          <w:lang w:eastAsia="zh-CN"/>
        </w:rPr>
      </w:pPr>
      <w:r>
        <w:rPr>
          <w:rFonts w:hint="eastAsia" w:ascii="宋体" w:hAnsi="宋体" w:cs="MingLiU"/>
          <w:snapToGrid w:val="0"/>
          <w:kern w:val="0"/>
          <w:szCs w:val="21"/>
        </w:rPr>
        <w:t>③有效的营业执照</w:t>
      </w:r>
      <w:r>
        <w:rPr>
          <w:rFonts w:hint="eastAsia" w:ascii="宋体" w:hAnsi="宋体" w:cs="MingLiU"/>
          <w:snapToGrid w:val="0"/>
          <w:color w:val="auto"/>
          <w:kern w:val="0"/>
          <w:szCs w:val="21"/>
          <w:lang w:eastAsia="zh-CN"/>
        </w:rPr>
        <w:t>及安全生产许可证</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④有效的资质证书</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⑤业绩证明</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⑥技术部分</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（注：以上所有文件均须比选申请人法定代表人或其授权代理人签署并加盖单位公章）</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lang w:val="en-US" w:eastAsia="zh-CN"/>
        </w:rPr>
        <w:t>6.2</w:t>
      </w:r>
      <w:r>
        <w:rPr>
          <w:rFonts w:hint="eastAsia" w:ascii="宋体" w:hAnsi="宋体" w:cs="MingLiU"/>
          <w:snapToGrid w:val="0"/>
          <w:kern w:val="0"/>
          <w:szCs w:val="21"/>
        </w:rPr>
        <w:t>密封要求：</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将竞争性比选申请文件密封到一个封套中，再在封套上写明以下内容：</w:t>
      </w:r>
    </w:p>
    <w:p>
      <w:pPr>
        <w:tabs>
          <w:tab w:val="left" w:pos="4305"/>
          <w:tab w:val="left" w:pos="4640"/>
          <w:tab w:val="left" w:pos="7240"/>
        </w:tabs>
        <w:autoSpaceDE w:val="0"/>
        <w:autoSpaceDN w:val="0"/>
        <w:adjustRightInd w:val="0"/>
        <w:spacing w:line="400" w:lineRule="exact"/>
        <w:ind w:firstLine="420"/>
        <w:jc w:val="center"/>
        <w:rPr>
          <w:rFonts w:hint="eastAsia" w:ascii="宋体" w:hAnsi="宋体" w:cs="MingLiU"/>
          <w:snapToGrid w:val="0"/>
          <w:kern w:val="0"/>
          <w:szCs w:val="21"/>
          <w:u w:val="single"/>
        </w:rPr>
      </w:pPr>
      <w:r>
        <w:rPr>
          <w:rFonts w:hint="eastAsia" w:ascii="宋体" w:hAnsi="宋体" w:cs="MingLiU"/>
          <w:snapToGrid w:val="0"/>
          <w:kern w:val="0"/>
          <w:szCs w:val="21"/>
          <w:u w:val="single"/>
        </w:rPr>
        <w:t>《重庆高速中油富渝能源发展有限公司加油站</w:t>
      </w:r>
      <w:r>
        <w:rPr>
          <w:rFonts w:hint="eastAsia" w:ascii="宋体" w:hAnsi="宋体" w:cs="MingLiU"/>
          <w:snapToGrid w:val="0"/>
          <w:kern w:val="0"/>
          <w:szCs w:val="21"/>
          <w:u w:val="single"/>
          <w:lang w:eastAsia="zh-CN"/>
        </w:rPr>
        <w:t>土建</w:t>
      </w:r>
      <w:r>
        <w:rPr>
          <w:rFonts w:hint="eastAsia" w:ascii="宋体" w:hAnsi="宋体" w:cs="MingLiU"/>
          <w:snapToGrid w:val="0"/>
          <w:kern w:val="0"/>
          <w:szCs w:val="21"/>
          <w:u w:val="single"/>
        </w:rPr>
        <w:t>日常维修项目》</w:t>
      </w:r>
    </w:p>
    <w:p>
      <w:pPr>
        <w:tabs>
          <w:tab w:val="left" w:pos="4305"/>
          <w:tab w:val="left" w:pos="4640"/>
          <w:tab w:val="left" w:pos="7240"/>
        </w:tabs>
        <w:autoSpaceDE w:val="0"/>
        <w:autoSpaceDN w:val="0"/>
        <w:adjustRightInd w:val="0"/>
        <w:spacing w:line="400" w:lineRule="exact"/>
        <w:ind w:firstLine="420"/>
        <w:jc w:val="center"/>
        <w:rPr>
          <w:rFonts w:hint="eastAsia" w:ascii="宋体" w:hAnsi="宋体" w:cs="MingLiU"/>
          <w:snapToGrid w:val="0"/>
          <w:kern w:val="0"/>
          <w:szCs w:val="21"/>
          <w:u w:val="single"/>
        </w:rPr>
      </w:pPr>
      <w:r>
        <w:rPr>
          <w:rFonts w:hint="eastAsia" w:ascii="宋体" w:hAnsi="宋体" w:cs="MingLiU"/>
          <w:snapToGrid w:val="0"/>
          <w:kern w:val="0"/>
          <w:szCs w:val="21"/>
          <w:u w:val="single"/>
        </w:rPr>
        <w:t>竞争性比选申请文件</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在2021年  月  日 14 时 00 分前不得开启（盖单位章）</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lang w:val="en-US" w:eastAsia="zh-CN"/>
        </w:rPr>
        <w:t>6.3</w:t>
      </w:r>
      <w:r>
        <w:rPr>
          <w:rFonts w:hint="eastAsia" w:ascii="宋体" w:hAnsi="宋体" w:cs="MingLiU"/>
          <w:snapToGrid w:val="0"/>
          <w:kern w:val="0"/>
          <w:szCs w:val="21"/>
        </w:rPr>
        <w:t>份数要求：</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竞争性比选申请文件一式两份，其中正本一份，副本一份，每套纸质竞争性比选文件须在封面清楚地标明“正本”或“副本”的字样，副本应为正本的完整复印件，副本与正本不一致时以正本为准。</w:t>
      </w:r>
    </w:p>
    <w:p>
      <w:pPr>
        <w:pStyle w:val="3"/>
        <w:spacing w:before="0" w:after="0" w:line="400" w:lineRule="exact"/>
        <w:rPr>
          <w:rFonts w:ascii="宋体" w:hAnsi="宋体"/>
          <w:snapToGrid w:val="0"/>
          <w:sz w:val="28"/>
        </w:rPr>
      </w:pPr>
      <w:r>
        <w:rPr>
          <w:rFonts w:hint="eastAsia" w:ascii="宋体" w:hAnsi="宋体"/>
          <w:snapToGrid w:val="0"/>
          <w:sz w:val="28"/>
        </w:rPr>
        <w:t>七</w:t>
      </w:r>
      <w:r>
        <w:rPr>
          <w:rFonts w:ascii="宋体" w:hAnsi="宋体"/>
          <w:snapToGrid w:val="0"/>
          <w:sz w:val="28"/>
        </w:rPr>
        <w:t>、评</w:t>
      </w:r>
      <w:r>
        <w:rPr>
          <w:rFonts w:hint="eastAsia" w:ascii="宋体" w:hAnsi="宋体"/>
          <w:snapToGrid w:val="0"/>
          <w:sz w:val="28"/>
        </w:rPr>
        <w:t>标办法</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本次竞争性比选采用综合评估法。</w:t>
      </w:r>
    </w:p>
    <w:p>
      <w:pPr>
        <w:pStyle w:val="3"/>
        <w:spacing w:before="0" w:after="0" w:line="400" w:lineRule="exact"/>
        <w:rPr>
          <w:rFonts w:ascii="宋体" w:hAnsi="宋体"/>
          <w:snapToGrid w:val="0"/>
          <w:sz w:val="28"/>
        </w:rPr>
      </w:pPr>
      <w:bookmarkStart w:id="21" w:name="_Toc19552714"/>
      <w:r>
        <w:rPr>
          <w:rFonts w:hint="eastAsia" w:ascii="宋体" w:hAnsi="宋体"/>
          <w:snapToGrid w:val="0"/>
          <w:sz w:val="28"/>
        </w:rPr>
        <w:t>八、联系方式</w:t>
      </w:r>
      <w:bookmarkEnd w:id="21"/>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比选人：重庆高速中油富渝能源发展有限公司</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地址：重庆市渝北区龙溪街道锦龙支路19号</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联系人：肖琅天     电话：13452139220</w:t>
      </w:r>
    </w:p>
    <w:p>
      <w:pPr>
        <w:pStyle w:val="2"/>
        <w:spacing w:line="360" w:lineRule="auto"/>
        <w:jc w:val="center"/>
        <w:rPr>
          <w:rFonts w:hint="eastAsia" w:ascii="宋体" w:hAnsi="宋体"/>
          <w:snapToGrid w:val="0"/>
          <w:kern w:val="0"/>
        </w:rPr>
      </w:pPr>
      <w:bookmarkStart w:id="22" w:name="_Toc224103315"/>
      <w:bookmarkStart w:id="23" w:name="_Toc287607744"/>
      <w:bookmarkStart w:id="24" w:name="_Toc34310520"/>
      <w:r>
        <w:rPr>
          <w:rFonts w:hint="eastAsia" w:ascii="宋体" w:hAnsi="宋体"/>
          <w:snapToGrid w:val="0"/>
          <w:kern w:val="0"/>
        </w:rPr>
        <w:t xml:space="preserve">第二章 </w:t>
      </w:r>
      <w:r>
        <w:rPr>
          <w:rFonts w:hint="eastAsia" w:ascii="宋体" w:hAnsi="宋体"/>
          <w:kern w:val="0"/>
        </w:rPr>
        <w:t>比选申请人须知</w:t>
      </w:r>
      <w:bookmarkEnd w:id="22"/>
      <w:bookmarkEnd w:id="23"/>
      <w:bookmarkEnd w:id="24"/>
    </w:p>
    <w:tbl>
      <w:tblPr>
        <w:tblStyle w:val="15"/>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980"/>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blHeader/>
          <w:jc w:val="center"/>
        </w:trPr>
        <w:tc>
          <w:tcPr>
            <w:tcW w:w="1008" w:type="dxa"/>
            <w:vAlign w:val="center"/>
          </w:tcPr>
          <w:p>
            <w:pPr>
              <w:spacing w:line="380" w:lineRule="exact"/>
              <w:rPr>
                <w:rFonts w:hint="eastAsia" w:ascii="宋体" w:hAnsi="宋体" w:cs="宋体"/>
                <w:b/>
                <w:kern w:val="0"/>
                <w:szCs w:val="21"/>
              </w:rPr>
            </w:pPr>
            <w:r>
              <w:rPr>
                <w:rFonts w:hint="eastAsia" w:ascii="宋体" w:hAnsi="宋体" w:cs="宋体"/>
                <w:b/>
                <w:kern w:val="0"/>
                <w:szCs w:val="21"/>
              </w:rPr>
              <w:t>条款号</w:t>
            </w:r>
          </w:p>
        </w:tc>
        <w:tc>
          <w:tcPr>
            <w:tcW w:w="1980" w:type="dxa"/>
            <w:vAlign w:val="center"/>
          </w:tcPr>
          <w:p>
            <w:pPr>
              <w:spacing w:line="380" w:lineRule="exact"/>
              <w:jc w:val="center"/>
              <w:rPr>
                <w:rFonts w:hint="eastAsia" w:ascii="宋体" w:hAnsi="宋体" w:cs="宋体"/>
                <w:b/>
                <w:kern w:val="0"/>
                <w:szCs w:val="21"/>
              </w:rPr>
            </w:pPr>
            <w:r>
              <w:rPr>
                <w:rFonts w:hint="eastAsia" w:ascii="宋体" w:hAnsi="宋体" w:cs="宋体"/>
                <w:b/>
                <w:kern w:val="0"/>
                <w:szCs w:val="21"/>
              </w:rPr>
              <w:t>条款名称</w:t>
            </w:r>
          </w:p>
        </w:tc>
        <w:tc>
          <w:tcPr>
            <w:tcW w:w="6744" w:type="dxa"/>
            <w:vAlign w:val="center"/>
          </w:tcPr>
          <w:p>
            <w:pPr>
              <w:spacing w:line="380" w:lineRule="exact"/>
              <w:jc w:val="center"/>
              <w:rPr>
                <w:rFonts w:hint="eastAsia"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1.1.2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szCs w:val="21"/>
              </w:rPr>
              <w:t>比选</w:t>
            </w:r>
            <w:r>
              <w:rPr>
                <w:rFonts w:hint="eastAsia" w:ascii="宋体" w:hAnsi="宋体" w:cs="宋体"/>
                <w:kern w:val="0"/>
                <w:szCs w:val="21"/>
              </w:rPr>
              <w:t>人</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名称：</w:t>
            </w:r>
            <w:r>
              <w:rPr>
                <w:rFonts w:hint="eastAsia" w:ascii="宋体" w:hAnsi="宋体" w:cs="MingLiU"/>
                <w:snapToGrid w:val="0"/>
                <w:kern w:val="0"/>
                <w:szCs w:val="21"/>
                <w:u w:val="single"/>
              </w:rPr>
              <w:t>重庆高速中油富渝能源发展有限公司</w:t>
            </w:r>
          </w:p>
          <w:p>
            <w:pPr>
              <w:spacing w:line="380" w:lineRule="exact"/>
              <w:rPr>
                <w:rFonts w:hint="eastAsia" w:ascii="宋体" w:hAnsi="宋体" w:cs="宋体"/>
                <w:kern w:val="0"/>
                <w:szCs w:val="21"/>
              </w:rPr>
            </w:pPr>
            <w:r>
              <w:rPr>
                <w:rFonts w:hint="eastAsia" w:ascii="宋体" w:hAnsi="宋体" w:cs="宋体"/>
                <w:kern w:val="0"/>
                <w:szCs w:val="21"/>
              </w:rPr>
              <w:t>地址：</w:t>
            </w:r>
            <w:r>
              <w:rPr>
                <w:rFonts w:hint="eastAsia" w:ascii="宋体" w:hAnsi="宋体" w:cs="宋体"/>
                <w:kern w:val="1"/>
                <w:szCs w:val="21"/>
                <w:u w:val="single"/>
              </w:rPr>
              <w:t>重庆渝北区龙溪街道锦龙支路19号</w:t>
            </w:r>
          </w:p>
          <w:p>
            <w:pPr>
              <w:spacing w:line="380" w:lineRule="exact"/>
              <w:rPr>
                <w:rFonts w:hint="eastAsia" w:ascii="宋体" w:hAnsi="宋体" w:cs="宋体"/>
                <w:kern w:val="1"/>
                <w:szCs w:val="21"/>
                <w:u w:val="single"/>
              </w:rPr>
            </w:pPr>
            <w:r>
              <w:rPr>
                <w:rFonts w:hint="eastAsia" w:ascii="宋体" w:hAnsi="宋体" w:cs="宋体"/>
                <w:kern w:val="1"/>
                <w:szCs w:val="21"/>
              </w:rPr>
              <w:t>联系人：</w:t>
            </w:r>
            <w:r>
              <w:rPr>
                <w:rFonts w:hint="eastAsia" w:ascii="宋体" w:hAnsi="宋体" w:cs="宋体"/>
                <w:kern w:val="1"/>
                <w:szCs w:val="21"/>
                <w:u w:val="single"/>
                <w:lang w:val="en-US" w:eastAsia="zh-CN"/>
              </w:rPr>
              <w:t xml:space="preserve">   </w:t>
            </w:r>
            <w:r>
              <w:rPr>
                <w:rFonts w:hint="eastAsia" w:ascii="宋体" w:hAnsi="宋体" w:cs="宋体"/>
                <w:kern w:val="1"/>
                <w:szCs w:val="21"/>
                <w:u w:val="single"/>
              </w:rPr>
              <w:t xml:space="preserve">肖琅天           </w:t>
            </w:r>
          </w:p>
          <w:p>
            <w:pPr>
              <w:spacing w:line="380" w:lineRule="exact"/>
              <w:rPr>
                <w:rFonts w:hint="eastAsia" w:ascii="宋体" w:hAnsi="宋体" w:cs="宋体"/>
                <w:kern w:val="0"/>
                <w:szCs w:val="21"/>
              </w:rPr>
            </w:pPr>
            <w:r>
              <w:rPr>
                <w:rFonts w:hint="eastAsia" w:ascii="宋体" w:hAnsi="宋体" w:cs="宋体"/>
                <w:kern w:val="1"/>
                <w:szCs w:val="21"/>
              </w:rPr>
              <w:t>电话：</w:t>
            </w:r>
            <w:r>
              <w:rPr>
                <w:rFonts w:hint="eastAsia" w:ascii="宋体" w:hAnsi="宋体" w:cs="宋体"/>
                <w:kern w:val="1"/>
                <w:szCs w:val="21"/>
                <w:u w:val="single"/>
                <w:lang w:val="en-US" w:eastAsia="zh-CN"/>
              </w:rPr>
              <w:t xml:space="preserve">  </w:t>
            </w:r>
            <w:r>
              <w:rPr>
                <w:rFonts w:hint="eastAsia" w:ascii="宋体" w:hAnsi="宋体" w:cs="宋体"/>
                <w:kern w:val="1"/>
                <w:szCs w:val="21"/>
                <w:u w:val="single"/>
              </w:rPr>
              <w:t xml:space="preserve">13452139220   </w:t>
            </w:r>
            <w:r>
              <w:rPr>
                <w:rFonts w:hint="eastAsia" w:ascii="宋体" w:hAnsi="宋体" w:cs="MingLiU"/>
                <w:snapToGrid w:val="0"/>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1.1.3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项目名称</w:t>
            </w:r>
          </w:p>
        </w:tc>
        <w:tc>
          <w:tcPr>
            <w:tcW w:w="6744" w:type="dxa"/>
            <w:vAlign w:val="center"/>
          </w:tcPr>
          <w:p>
            <w:pPr>
              <w:spacing w:line="380" w:lineRule="exact"/>
              <w:rPr>
                <w:rFonts w:hint="eastAsia" w:ascii="宋体" w:hAnsi="宋体" w:cs="宋体"/>
                <w:sz w:val="18"/>
                <w:szCs w:val="18"/>
              </w:rPr>
            </w:pPr>
            <w:r>
              <w:rPr>
                <w:rFonts w:hint="eastAsia" w:ascii="宋体" w:hAnsi="宋体" w:cs="MingLiU"/>
                <w:snapToGrid w:val="0"/>
                <w:kern w:val="0"/>
                <w:szCs w:val="21"/>
              </w:rPr>
              <w:t>重庆高速中油富渝能源发展有限公司加油站</w:t>
            </w:r>
            <w:r>
              <w:rPr>
                <w:rFonts w:hint="eastAsia" w:ascii="宋体" w:hAnsi="宋体" w:cs="MingLiU"/>
                <w:snapToGrid w:val="0"/>
                <w:kern w:val="0"/>
                <w:szCs w:val="21"/>
                <w:lang w:eastAsia="zh-CN"/>
              </w:rPr>
              <w:t>土建</w:t>
            </w:r>
            <w:r>
              <w:rPr>
                <w:rFonts w:hint="eastAsia" w:ascii="宋体" w:hAnsi="宋体" w:cs="MingLiU"/>
                <w:snapToGrid w:val="0"/>
                <w:kern w:val="0"/>
                <w:szCs w:val="21"/>
              </w:rPr>
              <w:t xml:space="preserve">日常维修项目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1.1.4</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建设地点</w:t>
            </w:r>
          </w:p>
        </w:tc>
        <w:tc>
          <w:tcPr>
            <w:tcW w:w="6744" w:type="dxa"/>
            <w:vAlign w:val="center"/>
          </w:tcPr>
          <w:p>
            <w:pPr>
              <w:spacing w:line="380" w:lineRule="exact"/>
              <w:rPr>
                <w:rFonts w:hint="eastAsia" w:ascii="宋体" w:hAnsi="宋体" w:cs="宋体"/>
                <w:szCs w:val="21"/>
              </w:rPr>
            </w:pPr>
            <w:r>
              <w:rPr>
                <w:rFonts w:hint="eastAsia" w:ascii="宋体" w:hAnsi="宋体" w:cs="MingLiU"/>
                <w:snapToGrid w:val="0"/>
                <w:kern w:val="0"/>
                <w:szCs w:val="21"/>
              </w:rPr>
              <w:t>重庆高速中油富渝能源发展有限公司公司所属加油站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1.2.1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资金来源</w:t>
            </w:r>
          </w:p>
        </w:tc>
        <w:tc>
          <w:tcPr>
            <w:tcW w:w="6744" w:type="dxa"/>
            <w:vAlign w:val="center"/>
          </w:tcPr>
          <w:p>
            <w:pPr>
              <w:spacing w:line="380" w:lineRule="exact"/>
              <w:jc w:val="left"/>
              <w:rPr>
                <w:rFonts w:hint="eastAsia" w:ascii="宋体" w:hAnsi="宋体" w:cs="宋体"/>
                <w:szCs w:val="21"/>
              </w:rPr>
            </w:pPr>
            <w:r>
              <w:rPr>
                <w:rFonts w:hint="eastAsia" w:ascii="宋体" w:hAnsi="宋体" w:cs="宋体"/>
                <w:kern w:val="0"/>
                <w:szCs w:val="21"/>
              </w:rPr>
              <w:t xml:space="preserve">业主自筹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1.2.2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出资比例</w:t>
            </w:r>
          </w:p>
        </w:tc>
        <w:tc>
          <w:tcPr>
            <w:tcW w:w="6744" w:type="dxa"/>
            <w:vAlign w:val="center"/>
          </w:tcPr>
          <w:p>
            <w:pPr>
              <w:spacing w:line="380" w:lineRule="exact"/>
              <w:rPr>
                <w:rFonts w:hint="eastAsia" w:ascii="宋体" w:hAnsi="宋体" w:cs="宋体"/>
                <w:szCs w:val="21"/>
              </w:rPr>
            </w:pPr>
            <w:r>
              <w:rPr>
                <w:rFonts w:hint="eastAsia" w:ascii="宋体" w:hAnsi="宋体" w:cs="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1.2.3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资金落实情况</w:t>
            </w:r>
          </w:p>
        </w:tc>
        <w:tc>
          <w:tcPr>
            <w:tcW w:w="6744" w:type="dxa"/>
            <w:vAlign w:val="center"/>
          </w:tcPr>
          <w:p>
            <w:pPr>
              <w:spacing w:line="380" w:lineRule="exact"/>
              <w:rPr>
                <w:rFonts w:hint="eastAsia" w:ascii="宋体" w:hAnsi="宋体" w:cs="宋体"/>
                <w:szCs w:val="21"/>
              </w:rPr>
            </w:pPr>
            <w:r>
              <w:rPr>
                <w:rFonts w:hint="eastAsia" w:ascii="宋体" w:hAnsi="宋体" w:cs="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1.3.1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比选范围</w:t>
            </w:r>
          </w:p>
        </w:tc>
        <w:tc>
          <w:tcPr>
            <w:tcW w:w="6744" w:type="dxa"/>
            <w:vAlign w:val="center"/>
          </w:tcPr>
          <w:p>
            <w:pPr>
              <w:spacing w:line="380" w:lineRule="exact"/>
              <w:rPr>
                <w:rFonts w:hint="eastAsia" w:ascii="宋体" w:hAnsi="宋体" w:cs="宋体"/>
                <w:szCs w:val="21"/>
              </w:rPr>
            </w:pPr>
            <w:r>
              <w:rPr>
                <w:rFonts w:hint="eastAsia" w:ascii="宋体" w:hAnsi="宋体" w:cs="MingLiU"/>
                <w:snapToGrid w:val="0"/>
                <w:kern w:val="0"/>
                <w:szCs w:val="21"/>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1.3.2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服务周期</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1"/>
                <w:szCs w:val="21"/>
              </w:rPr>
              <w:t>自合同签订之日起至2021年12月31日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1.3.3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质量要求</w:t>
            </w:r>
          </w:p>
        </w:tc>
        <w:tc>
          <w:tcPr>
            <w:tcW w:w="6744" w:type="dxa"/>
            <w:vAlign w:val="center"/>
          </w:tcPr>
          <w:p>
            <w:pPr>
              <w:spacing w:line="380" w:lineRule="exact"/>
              <w:rPr>
                <w:rFonts w:hint="eastAsia" w:ascii="宋体" w:hAnsi="宋体" w:cs="宋体"/>
                <w:szCs w:val="21"/>
              </w:rPr>
            </w:pPr>
            <w:r>
              <w:rPr>
                <w:rFonts w:hint="eastAsia" w:ascii="宋体" w:hAnsi="宋体"/>
                <w:szCs w:val="21"/>
              </w:rPr>
              <w:t>达到国家现行有关施工质量验收规范要求，并达到合格标准。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008" w:type="dxa"/>
            <w:vAlign w:val="center"/>
          </w:tcPr>
          <w:p>
            <w:pPr>
              <w:spacing w:line="380" w:lineRule="exact"/>
              <w:rPr>
                <w:rFonts w:hint="eastAsia" w:ascii="宋体" w:hAnsi="宋体" w:cs="宋体"/>
                <w:kern w:val="0"/>
                <w:szCs w:val="21"/>
              </w:rPr>
            </w:pPr>
            <w:r>
              <w:rPr>
                <w:rFonts w:hint="eastAsia" w:ascii="宋体" w:hAnsi="宋体" w:cs="宋体"/>
                <w:kern w:val="0"/>
                <w:szCs w:val="21"/>
              </w:rPr>
              <w:t>1.4.1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比选申请人资质条件、能力和信誉</w:t>
            </w:r>
          </w:p>
        </w:tc>
        <w:tc>
          <w:tcPr>
            <w:tcW w:w="6744" w:type="dxa"/>
          </w:tcPr>
          <w:p>
            <w:pPr>
              <w:spacing w:line="380" w:lineRule="exact"/>
              <w:rPr>
                <w:rFonts w:hint="eastAsia" w:ascii="宋体" w:hAnsi="宋体"/>
                <w:szCs w:val="21"/>
              </w:rPr>
            </w:pPr>
            <w:r>
              <w:rPr>
                <w:rFonts w:hint="eastAsia" w:ascii="宋体" w:hAnsi="宋体"/>
                <w:szCs w:val="21"/>
              </w:rPr>
              <w:t>本工程比选实行资格后审，比选申请人应同时满足以下资格条件：</w:t>
            </w:r>
          </w:p>
          <w:p>
            <w:pPr>
              <w:spacing w:line="380" w:lineRule="exact"/>
              <w:ind w:firstLine="315"/>
              <w:rPr>
                <w:rFonts w:hint="eastAsia" w:ascii="宋体" w:hAnsi="宋体"/>
                <w:szCs w:val="21"/>
              </w:rPr>
            </w:pPr>
            <w:r>
              <w:rPr>
                <w:rFonts w:hint="eastAsia" w:ascii="宋体" w:hAnsi="宋体"/>
                <w:szCs w:val="21"/>
              </w:rPr>
              <w:t>1.资质要求：具有独立法人资格、有效的营业执照；具备行政主管部门颁发的建筑工程施工总承包叁级及以上资质，并在人员、设备、资金等方面具有承担本项目施工的能力；具备建设行政主管部门或交通行政主管部门颁发的有效的安全生产许可证。</w:t>
            </w:r>
          </w:p>
          <w:p>
            <w:pPr>
              <w:spacing w:line="380" w:lineRule="exact"/>
              <w:rPr>
                <w:rFonts w:hint="eastAsia" w:ascii="宋体" w:hAnsi="宋体"/>
                <w:b/>
                <w:szCs w:val="21"/>
              </w:rPr>
            </w:pPr>
            <w:r>
              <w:rPr>
                <w:rFonts w:hint="eastAsia" w:ascii="宋体" w:hAnsi="宋体"/>
                <w:b/>
                <w:szCs w:val="21"/>
              </w:rPr>
              <w:t>（须提供有效的营业执照、资质证书的复印件或扫描件）</w:t>
            </w:r>
          </w:p>
          <w:p>
            <w:pPr>
              <w:spacing w:line="380" w:lineRule="exact"/>
              <w:ind w:firstLine="315"/>
              <w:rPr>
                <w:rFonts w:hint="eastAsia" w:ascii="宋体" w:hAnsi="宋体"/>
                <w:szCs w:val="21"/>
              </w:rPr>
            </w:pPr>
            <w:r>
              <w:rPr>
                <w:rFonts w:hint="eastAsia" w:ascii="宋体" w:hAnsi="宋体"/>
                <w:szCs w:val="21"/>
              </w:rPr>
              <w:t>2.信誉要求：</w:t>
            </w:r>
          </w:p>
          <w:p>
            <w:pPr>
              <w:spacing w:line="380" w:lineRule="exact"/>
              <w:ind w:firstLine="315"/>
              <w:rPr>
                <w:rFonts w:hint="eastAsia" w:ascii="宋体" w:hAnsi="宋体"/>
                <w:szCs w:val="21"/>
              </w:rPr>
            </w:pPr>
            <w:r>
              <w:rPr>
                <w:rFonts w:hint="eastAsia" w:ascii="宋体" w:hAnsi="宋体"/>
                <w:szCs w:val="21"/>
              </w:rPr>
              <w:t>（1）最近三年没有出现违法违规或失信行为；</w:t>
            </w:r>
          </w:p>
          <w:p>
            <w:pPr>
              <w:spacing w:line="380" w:lineRule="exact"/>
              <w:ind w:firstLine="315"/>
              <w:rPr>
                <w:rFonts w:hint="eastAsia" w:ascii="宋体" w:hAnsi="宋体"/>
                <w:szCs w:val="21"/>
              </w:rPr>
            </w:pPr>
            <w:r>
              <w:rPr>
                <w:rFonts w:hint="eastAsia" w:ascii="宋体" w:hAnsi="宋体"/>
                <w:szCs w:val="21"/>
              </w:rPr>
              <w:t>（2）最近三年没有拖欠劳务费的败诉记录；</w:t>
            </w:r>
          </w:p>
          <w:p>
            <w:pPr>
              <w:spacing w:line="380" w:lineRule="exact"/>
              <w:ind w:firstLine="315"/>
              <w:rPr>
                <w:rFonts w:hint="eastAsia" w:ascii="宋体" w:hAnsi="宋体"/>
                <w:szCs w:val="21"/>
              </w:rPr>
            </w:pPr>
            <w:r>
              <w:rPr>
                <w:rFonts w:hint="eastAsia" w:ascii="宋体" w:hAnsi="宋体"/>
                <w:szCs w:val="21"/>
              </w:rPr>
              <w:t>（3）最近三年最没有无故弃标的不良记录；</w:t>
            </w:r>
          </w:p>
          <w:p>
            <w:pPr>
              <w:spacing w:line="380" w:lineRule="exact"/>
              <w:ind w:firstLine="315"/>
              <w:rPr>
                <w:rFonts w:hint="eastAsia" w:ascii="宋体" w:hAnsi="宋体"/>
                <w:szCs w:val="21"/>
              </w:rPr>
            </w:pPr>
            <w:r>
              <w:rPr>
                <w:rFonts w:hint="eastAsia" w:ascii="宋体" w:hAnsi="宋体"/>
                <w:szCs w:val="21"/>
              </w:rPr>
              <w:t>（4）受到行政处罚的不在其行政处罚期内。</w:t>
            </w:r>
          </w:p>
          <w:p>
            <w:pPr>
              <w:spacing w:line="380" w:lineRule="exact"/>
              <w:ind w:firstLine="315"/>
              <w:rPr>
                <w:rFonts w:hint="eastAsia" w:ascii="宋体" w:hAnsi="宋体"/>
                <w:b/>
                <w:szCs w:val="21"/>
              </w:rPr>
            </w:pPr>
            <w:r>
              <w:rPr>
                <w:rFonts w:hint="eastAsia" w:ascii="宋体" w:hAnsi="宋体"/>
                <w:b/>
                <w:szCs w:val="21"/>
              </w:rPr>
              <w:t>（须由比选申请人对上述信誉要求作出承诺即可）</w:t>
            </w:r>
          </w:p>
          <w:p>
            <w:pPr>
              <w:spacing w:line="380" w:lineRule="exact"/>
              <w:ind w:firstLine="315"/>
              <w:rPr>
                <w:rFonts w:hint="eastAsia" w:ascii="宋体" w:hAnsi="宋体"/>
                <w:szCs w:val="21"/>
              </w:rPr>
            </w:pPr>
            <w:r>
              <w:rPr>
                <w:rFonts w:hint="eastAsia" w:ascii="宋体" w:hAnsi="宋体"/>
                <w:szCs w:val="21"/>
              </w:rPr>
              <w:t>3.投入本项目管理人员要求：</w:t>
            </w:r>
          </w:p>
          <w:p>
            <w:pPr>
              <w:spacing w:line="380" w:lineRule="exact"/>
              <w:ind w:firstLine="315"/>
              <w:rPr>
                <w:rFonts w:hint="eastAsia" w:ascii="宋体" w:hAnsi="宋体"/>
                <w:b/>
                <w:szCs w:val="21"/>
              </w:rPr>
            </w:pPr>
            <w:r>
              <w:rPr>
                <w:rFonts w:hint="eastAsia" w:ascii="宋体" w:hAnsi="宋体"/>
                <w:szCs w:val="21"/>
              </w:rPr>
              <w:t>（1）项目经理1名：具有建筑工程专业贰级及以上注册建造师执业资格，且须在比选申请单位注册的；</w:t>
            </w:r>
            <w:r>
              <w:rPr>
                <w:rFonts w:hint="eastAsia" w:ascii="宋体" w:hAnsi="宋体"/>
                <w:b/>
                <w:szCs w:val="21"/>
              </w:rPr>
              <w:t>（须提供项目经理身份证、建造师注册证的复印件或扫描件）</w:t>
            </w:r>
          </w:p>
          <w:p>
            <w:pPr>
              <w:spacing w:line="380" w:lineRule="exact"/>
              <w:rPr>
                <w:rFonts w:hint="eastAsia" w:ascii="宋体" w:hAnsi="宋体"/>
                <w:b/>
                <w:szCs w:val="21"/>
              </w:rPr>
            </w:pPr>
            <w:r>
              <w:rPr>
                <w:rFonts w:hint="eastAsia" w:ascii="宋体" w:hAnsi="宋体"/>
                <w:szCs w:val="21"/>
                <w:lang w:val="en-US" w:eastAsia="zh-CN"/>
              </w:rPr>
              <w:t xml:space="preserve">    </w:t>
            </w:r>
            <w:r>
              <w:rPr>
                <w:rFonts w:hint="eastAsia" w:ascii="宋体" w:hAnsi="宋体"/>
                <w:szCs w:val="21"/>
              </w:rPr>
              <w:t>（2）其他主要管理人员：</w:t>
            </w:r>
            <w:r>
              <w:rPr>
                <w:rFonts w:hint="eastAsia" w:ascii="宋体" w:hAnsi="宋体"/>
                <w:szCs w:val="21"/>
              </w:rPr>
              <w:cr/>
            </w:r>
            <w:r>
              <w:rPr>
                <w:rFonts w:hint="eastAsia" w:ascii="宋体" w:hAnsi="宋体"/>
                <w:szCs w:val="21"/>
              </w:rPr>
              <w:t>本项目其他主要管理人员竞标不作详细要求，由各比选申请人自行承诺中选后在签订合同之前，须按照建设行政主管部门的要求组建施工项目部，配置项目管理班子，出具任命文件。比选申请人须在比选申请文件中附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1.4.2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是否接受联合体投标</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1.9.1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踏勘现场</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1.10.1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投标预备会</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1.10.2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比选申请人提出问题的截止时间</w:t>
            </w:r>
          </w:p>
        </w:tc>
        <w:tc>
          <w:tcPr>
            <w:tcW w:w="6744" w:type="dxa"/>
            <w:vAlign w:val="center"/>
          </w:tcPr>
          <w:p>
            <w:pPr>
              <w:spacing w:line="380" w:lineRule="exact"/>
              <w:rPr>
                <w:rFonts w:hint="eastAsia" w:ascii="宋体" w:hAnsi="宋体" w:cs="宋体"/>
                <w:szCs w:val="21"/>
              </w:rPr>
            </w:pPr>
            <w:r>
              <w:rPr>
                <w:rFonts w:hint="eastAsia" w:ascii="宋体" w:hAnsi="宋体" w:cs="宋体"/>
                <w:szCs w:val="21"/>
                <w:u w:val="single"/>
              </w:rPr>
              <w:t>2021</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7</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9</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17:00</w:t>
            </w:r>
            <w:r>
              <w:rPr>
                <w:rFonts w:hint="eastAsia" w:ascii="宋体" w:hAnsi="宋体" w:cs="宋体"/>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1.10.3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比选人对比选文件澄清的时间及形式</w:t>
            </w:r>
          </w:p>
        </w:tc>
        <w:tc>
          <w:tcPr>
            <w:tcW w:w="6744" w:type="dxa"/>
            <w:vAlign w:val="center"/>
          </w:tcPr>
          <w:p>
            <w:pPr>
              <w:spacing w:line="380" w:lineRule="exact"/>
              <w:rPr>
                <w:rFonts w:hint="eastAsia" w:ascii="宋体" w:hAnsi="宋体" w:cs="宋体"/>
                <w:szCs w:val="21"/>
              </w:rPr>
            </w:pPr>
            <w:r>
              <w:rPr>
                <w:rFonts w:hint="eastAsia" w:ascii="宋体" w:hAnsi="宋体" w:cs="宋体"/>
                <w:szCs w:val="21"/>
                <w:u w:val="single"/>
              </w:rPr>
              <w:t>2021</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7</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13</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17:00</w:t>
            </w:r>
            <w:r>
              <w:rPr>
                <w:rFonts w:hint="eastAsia" w:ascii="宋体" w:hAnsi="宋体" w:cs="宋体"/>
                <w:szCs w:val="21"/>
              </w:rPr>
              <w:t>前，本项目竞争性比选公告及结果公示在高速集团官网（</w:t>
            </w:r>
            <w:r>
              <w:fldChar w:fldCharType="begin"/>
            </w:r>
            <w:r>
              <w:instrText xml:space="preserve"> HYPERLINK "http://43.240.248.114:8088/sys/portal/page.jsp" </w:instrText>
            </w:r>
            <w:r>
              <w:fldChar w:fldCharType="separate"/>
            </w:r>
            <w:r>
              <w:rPr>
                <w:rFonts w:hint="eastAsia" w:ascii="宋体" w:hAnsi="宋体" w:cs="宋体"/>
                <w:szCs w:val="21"/>
              </w:rPr>
              <w:t>http://43.240.248.114:8088/sys/portal/page.jsp</w:t>
            </w:r>
            <w:r>
              <w:rPr>
                <w:rFonts w:hint="eastAsia" w:ascii="宋体" w:hAnsi="宋体" w:cs="宋体"/>
                <w:szCs w:val="21"/>
              </w:rPr>
              <w:fldChar w:fldCharType="end"/>
            </w:r>
            <w:r>
              <w:rPr>
                <w:rFonts w:hint="eastAsia" w:ascii="宋体" w:hAnsi="宋体" w:cs="宋体"/>
                <w:szCs w:val="21"/>
              </w:rPr>
              <w:t>）</w:t>
            </w:r>
            <w:r>
              <w:rPr>
                <w:rFonts w:hint="eastAsia" w:ascii="宋体" w:hAnsi="宋体" w:cs="宋体"/>
                <w:szCs w:val="21"/>
                <w:lang w:eastAsia="zh-CN"/>
              </w:rPr>
              <w:t>及</w:t>
            </w:r>
            <w:r>
              <w:rPr>
                <w:rFonts w:hint="eastAsia" w:ascii="宋体" w:hAnsi="宋体" w:cs="宋体"/>
                <w:szCs w:val="21"/>
              </w:rPr>
              <w:t>重庆高速公路集团有限公司招投标管理平台（http://43.240.249.108:8088）上发布。</w:t>
            </w:r>
          </w:p>
          <w:p>
            <w:pPr>
              <w:spacing w:line="38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1.11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分包</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2.1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构成</w:t>
            </w:r>
            <w:r>
              <w:rPr>
                <w:rFonts w:hint="eastAsia" w:ascii="宋体" w:hAnsi="宋体"/>
                <w:szCs w:val="21"/>
              </w:rPr>
              <w:t>比选</w:t>
            </w:r>
            <w:r>
              <w:rPr>
                <w:rFonts w:hint="eastAsia" w:ascii="宋体" w:hAnsi="宋体" w:cs="宋体"/>
                <w:kern w:val="0"/>
                <w:szCs w:val="21"/>
              </w:rPr>
              <w:t>文件的其他材料</w:t>
            </w:r>
          </w:p>
        </w:tc>
        <w:tc>
          <w:tcPr>
            <w:tcW w:w="6744" w:type="dxa"/>
            <w:vAlign w:val="center"/>
          </w:tcPr>
          <w:p>
            <w:pPr>
              <w:spacing w:line="380" w:lineRule="exact"/>
              <w:rPr>
                <w:rFonts w:hint="eastAsia" w:ascii="宋体" w:hAnsi="宋体" w:cs="宋体"/>
                <w:szCs w:val="21"/>
              </w:rPr>
            </w:pPr>
            <w:r>
              <w:rPr>
                <w:rFonts w:hint="eastAsia" w:ascii="宋体" w:hAnsi="宋体"/>
                <w:szCs w:val="21"/>
              </w:rPr>
              <w:t>比选</w:t>
            </w:r>
            <w:r>
              <w:rPr>
                <w:rFonts w:hint="eastAsia" w:ascii="宋体" w:hAnsi="宋体"/>
                <w:kern w:val="0"/>
                <w:szCs w:val="21"/>
              </w:rPr>
              <w:t>人发出的更正公告（如有）。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2.2.2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比选截止时间</w:t>
            </w:r>
          </w:p>
        </w:tc>
        <w:tc>
          <w:tcPr>
            <w:tcW w:w="6744" w:type="dxa"/>
            <w:vAlign w:val="center"/>
          </w:tcPr>
          <w:p>
            <w:pPr>
              <w:spacing w:line="380" w:lineRule="exact"/>
              <w:rPr>
                <w:rFonts w:hint="eastAsia" w:ascii="宋体" w:hAnsi="宋体" w:cs="宋体"/>
                <w:kern w:val="0"/>
                <w:szCs w:val="21"/>
              </w:rPr>
            </w:pPr>
            <w:r>
              <w:rPr>
                <w:rFonts w:hint="eastAsia" w:ascii="宋体" w:hAnsi="宋体"/>
                <w:szCs w:val="21"/>
                <w:u w:val="single"/>
              </w:rPr>
              <w:t>2021</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 xml:space="preserve"> 7</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 xml:space="preserve">13 </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17 </w:t>
            </w:r>
            <w:r>
              <w:rPr>
                <w:rFonts w:hint="eastAsia" w:ascii="宋体" w:hAnsi="宋体"/>
                <w:szCs w:val="21"/>
              </w:rPr>
              <w:t>时</w:t>
            </w:r>
            <w:r>
              <w:rPr>
                <w:rFonts w:hint="eastAsia" w:ascii="宋体" w:hAnsi="宋体"/>
                <w:szCs w:val="21"/>
                <w:u w:val="single"/>
              </w:rPr>
              <w:t xml:space="preserve"> 00 </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3.1.1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构成比选申请文件的其他材料</w:t>
            </w:r>
          </w:p>
        </w:tc>
        <w:tc>
          <w:tcPr>
            <w:tcW w:w="6744" w:type="dxa"/>
            <w:vAlign w:val="center"/>
          </w:tcPr>
          <w:p>
            <w:pPr>
              <w:spacing w:line="380" w:lineRule="exact"/>
              <w:ind w:firstLine="342" w:firstLineChars="163"/>
              <w:rPr>
                <w:rFonts w:hint="eastAsia" w:ascii="宋体" w:hAnsi="宋体" w:cs="宋体"/>
                <w:szCs w:val="21"/>
              </w:rPr>
            </w:pPr>
            <w:r>
              <w:rPr>
                <w:rFonts w:hint="eastAsia" w:ascii="宋体" w:hAnsi="宋体" w:cs="宋体"/>
                <w:szCs w:val="21"/>
              </w:rPr>
              <w:t>比选申请人的书面澄清、说明和补正（但不得改变比选申请文件的实质性内容）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3.2</w:t>
            </w:r>
          </w:p>
        </w:tc>
        <w:tc>
          <w:tcPr>
            <w:tcW w:w="1980" w:type="dxa"/>
            <w:vAlign w:val="center"/>
          </w:tcPr>
          <w:p>
            <w:pPr>
              <w:spacing w:line="380" w:lineRule="exact"/>
              <w:jc w:val="center"/>
              <w:rPr>
                <w:rFonts w:hint="eastAsia" w:ascii="宋体" w:hAnsi="宋体" w:eastAsia="宋体" w:cs="宋体"/>
                <w:szCs w:val="21"/>
                <w:lang w:eastAsia="zh-CN"/>
              </w:rPr>
            </w:pPr>
            <w:r>
              <w:rPr>
                <w:rFonts w:hint="eastAsia" w:ascii="宋体" w:hAnsi="宋体" w:cs="宋体"/>
                <w:szCs w:val="21"/>
                <w:lang w:eastAsia="zh-CN"/>
              </w:rPr>
              <w:t>最高投标限价</w:t>
            </w:r>
          </w:p>
        </w:tc>
        <w:tc>
          <w:tcPr>
            <w:tcW w:w="6744" w:type="dxa"/>
            <w:vAlign w:val="center"/>
          </w:tcPr>
          <w:p>
            <w:pPr>
              <w:spacing w:line="380" w:lineRule="exact"/>
              <w:ind w:firstLine="420" w:firstLineChars="200"/>
              <w:rPr>
                <w:rFonts w:hint="eastAsia" w:ascii="宋体" w:hAnsi="宋体" w:cs="宋体"/>
                <w:szCs w:val="21"/>
              </w:rPr>
            </w:pPr>
            <w:r>
              <w:rPr>
                <w:rFonts w:hint="eastAsia" w:ascii="宋体" w:cs="宋体"/>
                <w:color w:val="000000"/>
                <w:kern w:val="0"/>
                <w:szCs w:val="21"/>
                <w:lang w:bidi="ar"/>
              </w:rPr>
              <w:t>本项目</w:t>
            </w:r>
            <w:r>
              <w:rPr>
                <w:rFonts w:hint="eastAsia" w:ascii="宋体" w:cs="宋体"/>
                <w:color w:val="000000"/>
                <w:kern w:val="0"/>
                <w:szCs w:val="21"/>
                <w:lang w:eastAsia="zh-CN" w:bidi="ar"/>
              </w:rPr>
              <w:t>将</w:t>
            </w:r>
            <w:r>
              <w:rPr>
                <w:rFonts w:hint="eastAsia" w:ascii="宋体" w:cs="宋体"/>
                <w:color w:val="000000"/>
                <w:kern w:val="0"/>
                <w:szCs w:val="21"/>
                <w:lang w:bidi="ar"/>
              </w:rPr>
              <w:t>设置最高投标总限价（含单价限价及总价限价），投标人根据招标人给出的限价结合市场、企业自身情况等条件自行填写总报价及清单报价（总报价、清单报价以“元”为单位，并保留两位小数）。</w:t>
            </w:r>
          </w:p>
          <w:p>
            <w:pPr>
              <w:spacing w:line="380" w:lineRule="exact"/>
              <w:ind w:firstLine="420" w:firstLineChars="200"/>
              <w:rPr>
                <w:rFonts w:hint="eastAsia" w:ascii="宋体" w:hAnsi="宋体" w:cs="宋体"/>
                <w:szCs w:val="21"/>
              </w:rPr>
            </w:pPr>
            <w:r>
              <w:rPr>
                <w:rFonts w:hint="eastAsia" w:ascii="宋体" w:hAnsi="宋体" w:cs="宋体"/>
                <w:szCs w:val="21"/>
              </w:rPr>
              <w:t>本项目</w:t>
            </w:r>
            <w:r>
              <w:rPr>
                <w:rFonts w:hint="eastAsia" w:ascii="宋体" w:cs="宋体"/>
                <w:color w:val="000000"/>
                <w:kern w:val="0"/>
                <w:szCs w:val="21"/>
                <w:lang w:bidi="ar"/>
              </w:rPr>
              <w:t>最高投标总限价</w:t>
            </w:r>
            <w:r>
              <w:rPr>
                <w:rFonts w:hint="eastAsia" w:ascii="宋体" w:hAnsi="宋体" w:cs="宋体"/>
                <w:szCs w:val="21"/>
              </w:rPr>
              <w:t>为人民币：</w:t>
            </w:r>
            <w:r>
              <w:rPr>
                <w:rFonts w:hint="eastAsia" w:ascii="宋体" w:hAnsi="宋体" w:cs="宋体"/>
                <w:szCs w:val="21"/>
                <w:u w:val="single"/>
                <w:lang w:eastAsia="zh-CN"/>
              </w:rPr>
              <w:t>472,667.90</w:t>
            </w:r>
            <w:r>
              <w:rPr>
                <w:rFonts w:hint="eastAsia" w:ascii="宋体" w:hAnsi="宋体" w:cs="宋体"/>
                <w:szCs w:val="21"/>
              </w:rPr>
              <w:t>元（大写：</w:t>
            </w:r>
            <w:r>
              <w:rPr>
                <w:rFonts w:hint="eastAsia" w:ascii="宋体" w:hAnsi="宋体" w:cs="宋体"/>
                <w:szCs w:val="21"/>
                <w:lang w:eastAsia="zh-CN"/>
              </w:rPr>
              <w:t>肆拾柒万贰仟陆佰陆拾柒</w:t>
            </w:r>
            <w:r>
              <w:rPr>
                <w:rFonts w:hint="eastAsia" w:ascii="宋体" w:hAnsi="宋体" w:cs="宋体"/>
                <w:szCs w:val="21"/>
              </w:rPr>
              <w:t>元</w:t>
            </w:r>
            <w:r>
              <w:rPr>
                <w:rFonts w:hint="eastAsia" w:ascii="宋体" w:hAnsi="宋体" w:cs="宋体"/>
                <w:szCs w:val="21"/>
                <w:lang w:eastAsia="zh-CN"/>
              </w:rPr>
              <w:t>玖</w:t>
            </w:r>
            <w:r>
              <w:rPr>
                <w:rFonts w:hint="eastAsia" w:ascii="宋体" w:hAnsi="宋体" w:cs="宋体"/>
                <w:szCs w:val="21"/>
              </w:rPr>
              <w:t>角）。</w:t>
            </w:r>
          </w:p>
          <w:p>
            <w:pPr>
              <w:widowControl/>
              <w:spacing w:line="360" w:lineRule="exact"/>
              <w:ind w:firstLine="420" w:firstLineChars="200"/>
              <w:jc w:val="left"/>
              <w:rPr>
                <w:rFonts w:hint="eastAsia" w:ascii="宋体" w:hAnsi="宋体" w:cs="宋体"/>
                <w:szCs w:val="21"/>
              </w:rPr>
            </w:pPr>
            <w:r>
              <w:rPr>
                <w:rFonts w:hint="eastAsia" w:ascii="宋体" w:cs="宋体"/>
                <w:color w:val="000000"/>
                <w:kern w:val="0"/>
                <w:szCs w:val="21"/>
                <w:lang w:bidi="ar"/>
              </w:rPr>
              <w:t>注：投标人的投标总报价及每一项单价均不得超过招标人发布的最高限价，否则视为重大偏差，按否决投标处理（每一项单价限价详见工程量清单）。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比选有效期</w:t>
            </w:r>
          </w:p>
        </w:tc>
        <w:tc>
          <w:tcPr>
            <w:tcW w:w="6744" w:type="dxa"/>
            <w:vAlign w:val="center"/>
          </w:tcPr>
          <w:p>
            <w:pPr>
              <w:spacing w:line="380" w:lineRule="exact"/>
              <w:rPr>
                <w:rFonts w:hint="eastAsia" w:ascii="宋体" w:hAnsi="宋体" w:cs="宋体"/>
                <w:szCs w:val="21"/>
              </w:rPr>
            </w:pPr>
            <w:r>
              <w:rPr>
                <w:rFonts w:hint="eastAsia" w:ascii="宋体" w:hAnsi="宋体"/>
                <w:szCs w:val="21"/>
                <w:u w:val="single"/>
              </w:rPr>
              <w:t xml:space="preserve"> 90 </w:t>
            </w:r>
            <w:r>
              <w:rPr>
                <w:rFonts w:hint="eastAsia" w:ascii="宋体" w:hAnsi="宋体"/>
                <w:szCs w:val="21"/>
              </w:rPr>
              <w:t>日历天（从提交比选申请文件截止日起计算）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3.5</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资格审查资料</w:t>
            </w:r>
          </w:p>
        </w:tc>
        <w:tc>
          <w:tcPr>
            <w:tcW w:w="6744" w:type="dxa"/>
            <w:vAlign w:val="center"/>
          </w:tcPr>
          <w:p>
            <w:pPr>
              <w:spacing w:line="380" w:lineRule="exact"/>
              <w:jc w:val="left"/>
              <w:rPr>
                <w:rFonts w:hint="eastAsia" w:ascii="宋体" w:hAnsi="宋体" w:cs="MingLiU"/>
                <w:kern w:val="0"/>
                <w:szCs w:val="21"/>
              </w:rPr>
            </w:pPr>
            <w:r>
              <w:rPr>
                <w:rFonts w:hint="eastAsia" w:ascii="宋体" w:hAnsi="宋体" w:cs="宋体"/>
                <w:kern w:val="0"/>
                <w:szCs w:val="21"/>
              </w:rPr>
              <w:t>本须知第1.4.1项规定提供的证明材料。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3.6</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是否允许递交备选比选申请方案</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3.7.3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签字盖章要求</w:t>
            </w:r>
          </w:p>
        </w:tc>
        <w:tc>
          <w:tcPr>
            <w:tcW w:w="6744" w:type="dxa"/>
            <w:vAlign w:val="center"/>
          </w:tcPr>
          <w:p>
            <w:pPr>
              <w:spacing w:line="380" w:lineRule="exact"/>
              <w:rPr>
                <w:rFonts w:hint="eastAsia" w:ascii="宋体" w:hAnsi="宋体" w:cs="宋体"/>
                <w:szCs w:val="21"/>
              </w:rPr>
            </w:pPr>
            <w:r>
              <w:rPr>
                <w:rFonts w:hint="eastAsia" w:ascii="宋体" w:hAnsi="宋体" w:cs="宋体"/>
                <w:kern w:val="0"/>
                <w:szCs w:val="21"/>
              </w:rPr>
              <w:t>所有资料应逐页加盖比选申请单位公章，格式要求中应签字地方须由代理人或法人签字。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3.7.4</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比选申请文件的副本份数</w:t>
            </w:r>
          </w:p>
        </w:tc>
        <w:tc>
          <w:tcPr>
            <w:tcW w:w="6744" w:type="dxa"/>
            <w:vAlign w:val="center"/>
          </w:tcPr>
          <w:p>
            <w:pPr>
              <w:autoSpaceDE w:val="0"/>
              <w:autoSpaceDN w:val="0"/>
              <w:adjustRightInd w:val="0"/>
              <w:spacing w:line="380" w:lineRule="exact"/>
              <w:jc w:val="left"/>
              <w:rPr>
                <w:rFonts w:hint="eastAsia" w:ascii="宋体" w:hAnsi="宋体"/>
                <w:szCs w:val="21"/>
              </w:rPr>
            </w:pPr>
            <w:r>
              <w:rPr>
                <w:rFonts w:hint="eastAsia" w:ascii="宋体" w:hAnsi="宋体"/>
                <w:szCs w:val="21"/>
              </w:rPr>
              <w:t>比选申请文件2份（正本1份、副本1份，正本可为副本的复印件）。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tcBorders>
              <w:bottom w:val="single" w:color="auto" w:sz="4" w:space="0"/>
            </w:tcBorders>
            <w:vAlign w:val="center"/>
          </w:tcPr>
          <w:p>
            <w:pPr>
              <w:spacing w:line="380" w:lineRule="exact"/>
              <w:jc w:val="center"/>
              <w:rPr>
                <w:rFonts w:hint="eastAsia" w:ascii="宋体" w:hAnsi="宋体" w:cs="宋体"/>
                <w:kern w:val="0"/>
                <w:szCs w:val="21"/>
              </w:rPr>
            </w:pPr>
            <w:r>
              <w:rPr>
                <w:rFonts w:hint="eastAsia" w:ascii="宋体" w:hAnsi="宋体" w:cs="宋体"/>
                <w:kern w:val="0"/>
                <w:szCs w:val="21"/>
              </w:rPr>
              <w:t>3.7.5</w:t>
            </w:r>
          </w:p>
        </w:tc>
        <w:tc>
          <w:tcPr>
            <w:tcW w:w="1980" w:type="dxa"/>
            <w:tcBorders>
              <w:bottom w:val="single" w:color="auto" w:sz="4" w:space="0"/>
            </w:tcBorders>
            <w:vAlign w:val="center"/>
          </w:tcPr>
          <w:p>
            <w:pPr>
              <w:spacing w:line="380" w:lineRule="exact"/>
              <w:rPr>
                <w:rFonts w:hint="eastAsia" w:ascii="宋体" w:hAnsi="宋体" w:cs="宋体"/>
                <w:kern w:val="0"/>
                <w:szCs w:val="21"/>
              </w:rPr>
            </w:pPr>
            <w:r>
              <w:rPr>
                <w:rFonts w:hint="eastAsia" w:ascii="宋体" w:hAnsi="宋体" w:cs="宋体"/>
                <w:kern w:val="0"/>
                <w:szCs w:val="21"/>
              </w:rPr>
              <w:t xml:space="preserve">  装订要求</w:t>
            </w:r>
          </w:p>
        </w:tc>
        <w:tc>
          <w:tcPr>
            <w:tcW w:w="6744" w:type="dxa"/>
            <w:tcBorders>
              <w:bottom w:val="single" w:color="auto" w:sz="4" w:space="0"/>
            </w:tcBorders>
            <w:vAlign w:val="center"/>
          </w:tcPr>
          <w:p>
            <w:pPr>
              <w:adjustRightInd w:val="0"/>
              <w:spacing w:line="380" w:lineRule="exact"/>
              <w:rPr>
                <w:rFonts w:hint="eastAsia" w:ascii="宋体" w:hAnsi="宋体"/>
                <w:szCs w:val="21"/>
              </w:rPr>
            </w:pPr>
            <w:r>
              <w:rPr>
                <w:rFonts w:hint="eastAsia" w:ascii="宋体" w:hAnsi="宋体"/>
                <w:szCs w:val="21"/>
              </w:rPr>
              <w:t xml:space="preserve">应按照第五章规定格式排版，正本与副本应分别装订成册，并应编制目录。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ind w:firstLine="210" w:firstLineChars="100"/>
              <w:rPr>
                <w:rFonts w:hint="eastAsia" w:ascii="宋体" w:hAnsi="宋体" w:cs="宋体"/>
                <w:kern w:val="0"/>
                <w:szCs w:val="21"/>
              </w:rPr>
            </w:pPr>
            <w:r>
              <w:rPr>
                <w:rFonts w:hint="eastAsia" w:ascii="宋体" w:hAnsi="宋体" w:cs="宋体"/>
                <w:kern w:val="0"/>
                <w:szCs w:val="21"/>
              </w:rPr>
              <w:t>4.1.1</w:t>
            </w:r>
          </w:p>
        </w:tc>
        <w:tc>
          <w:tcPr>
            <w:tcW w:w="1980" w:type="dxa"/>
            <w:vAlign w:val="center"/>
          </w:tcPr>
          <w:p>
            <w:pPr>
              <w:spacing w:line="380" w:lineRule="exact"/>
              <w:rPr>
                <w:rFonts w:hint="eastAsia" w:ascii="宋体" w:hAnsi="宋体" w:cs="宋体"/>
                <w:kern w:val="0"/>
                <w:szCs w:val="21"/>
              </w:rPr>
            </w:pPr>
            <w:r>
              <w:rPr>
                <w:rFonts w:hint="eastAsia" w:ascii="宋体" w:hAnsi="宋体" w:cs="MingLiU"/>
                <w:kern w:val="0"/>
                <w:szCs w:val="21"/>
              </w:rPr>
              <w:t>比选申请文件的密封</w:t>
            </w:r>
          </w:p>
        </w:tc>
        <w:tc>
          <w:tcPr>
            <w:tcW w:w="6744" w:type="dxa"/>
            <w:vAlign w:val="center"/>
          </w:tcPr>
          <w:p>
            <w:pPr>
              <w:spacing w:line="380" w:lineRule="exact"/>
              <w:rPr>
                <w:rFonts w:hint="eastAsia" w:ascii="宋体" w:hAnsi="宋体"/>
                <w:b/>
                <w:szCs w:val="21"/>
              </w:rPr>
            </w:pPr>
            <w:r>
              <w:rPr>
                <w:rFonts w:hint="eastAsia" w:ascii="宋体" w:hAnsi="宋体"/>
                <w:szCs w:val="21"/>
              </w:rPr>
              <w:t>比选申请文件正本与副本密封在一个封套（或文件袋）中。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4.1.2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封套上写明</w:t>
            </w:r>
          </w:p>
        </w:tc>
        <w:tc>
          <w:tcPr>
            <w:tcW w:w="6744" w:type="dxa"/>
            <w:vAlign w:val="center"/>
          </w:tcPr>
          <w:p>
            <w:pPr>
              <w:spacing w:line="380" w:lineRule="exact"/>
              <w:ind w:firstLine="420" w:firstLineChars="200"/>
              <w:jc w:val="center"/>
              <w:rPr>
                <w:rFonts w:hint="eastAsia" w:ascii="宋体" w:hAnsi="宋体" w:cs="宋体"/>
                <w:szCs w:val="21"/>
                <w:u w:val="single"/>
              </w:rPr>
            </w:pPr>
            <w:r>
              <w:rPr>
                <w:rFonts w:hint="eastAsia" w:ascii="宋体" w:hAnsi="宋体" w:cs="宋体"/>
                <w:szCs w:val="21"/>
                <w:u w:val="single"/>
              </w:rPr>
              <w:t>重庆高速中油富渝能源发展有限公司加油站</w:t>
            </w:r>
            <w:r>
              <w:rPr>
                <w:rFonts w:hint="eastAsia" w:ascii="宋体" w:hAnsi="宋体" w:cs="宋体"/>
                <w:szCs w:val="21"/>
                <w:u w:val="single"/>
                <w:lang w:eastAsia="zh-CN"/>
              </w:rPr>
              <w:t>土建</w:t>
            </w:r>
            <w:r>
              <w:rPr>
                <w:rFonts w:hint="eastAsia" w:ascii="宋体" w:hAnsi="宋体" w:cs="宋体"/>
                <w:szCs w:val="21"/>
                <w:u w:val="single"/>
              </w:rPr>
              <w:t>日常维修项目</w:t>
            </w:r>
          </w:p>
          <w:p>
            <w:pPr>
              <w:spacing w:line="380" w:lineRule="exact"/>
              <w:ind w:firstLine="420" w:firstLineChars="200"/>
              <w:jc w:val="center"/>
              <w:rPr>
                <w:rFonts w:hint="eastAsia" w:ascii="宋体" w:hAnsi="宋体" w:cs="宋体"/>
                <w:szCs w:val="21"/>
                <w:u w:val="single"/>
              </w:rPr>
            </w:pPr>
            <w:r>
              <w:rPr>
                <w:rFonts w:hint="eastAsia" w:ascii="宋体" w:hAnsi="宋体" w:cs="宋体"/>
                <w:szCs w:val="21"/>
                <w:u w:val="single"/>
              </w:rPr>
              <w:t>比选申请文件</w:t>
            </w:r>
          </w:p>
          <w:p>
            <w:pPr>
              <w:spacing w:line="380" w:lineRule="exact"/>
              <w:ind w:firstLine="420" w:firstLineChars="200"/>
              <w:jc w:val="center"/>
              <w:rPr>
                <w:rFonts w:ascii="宋体" w:hAnsi="宋体" w:cs="宋体"/>
                <w:szCs w:val="21"/>
                <w:u w:val="single"/>
              </w:rPr>
            </w:pPr>
            <w:r>
              <w:rPr>
                <w:rFonts w:hint="eastAsia" w:ascii="宋体" w:hAnsi="宋体" w:cs="宋体"/>
                <w:szCs w:val="21"/>
                <w:u w:val="single"/>
              </w:rPr>
              <w:t>在2020年   月   日   时   分前不得开启</w:t>
            </w:r>
          </w:p>
          <w:p>
            <w:pPr>
              <w:spacing w:line="380" w:lineRule="exact"/>
              <w:ind w:firstLine="420" w:firstLineChars="200"/>
              <w:jc w:val="center"/>
              <w:rPr>
                <w:rFonts w:hint="eastAsia" w:ascii="宋体" w:hAnsi="宋体" w:cs="宋体"/>
                <w:szCs w:val="21"/>
              </w:rPr>
            </w:pPr>
            <w:r>
              <w:rPr>
                <w:rFonts w:hint="eastAsia" w:ascii="宋体" w:hAnsi="宋体" w:cs="宋体"/>
                <w:szCs w:val="21"/>
                <w:u w:val="single"/>
              </w:rPr>
              <w:t>比选申请单位名称全称（加盖单位公章）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4.2.2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递交比选申请文件地点</w:t>
            </w:r>
          </w:p>
        </w:tc>
        <w:tc>
          <w:tcPr>
            <w:tcW w:w="6744" w:type="dxa"/>
            <w:vAlign w:val="center"/>
          </w:tcPr>
          <w:p>
            <w:pPr>
              <w:spacing w:line="380" w:lineRule="exact"/>
              <w:rPr>
                <w:rFonts w:hint="eastAsia" w:ascii="宋体" w:hAnsi="宋体" w:cs="宋体"/>
                <w:color w:val="FF0000"/>
                <w:szCs w:val="21"/>
              </w:rPr>
            </w:pPr>
            <w:r>
              <w:rPr>
                <w:rFonts w:hint="eastAsia" w:ascii="宋体" w:hAnsi="宋体" w:cs="宋体"/>
                <w:kern w:val="0"/>
                <w:szCs w:val="21"/>
                <w:u w:val="single"/>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4.2.3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是否退还比选申请文件</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否。截止开标时间，若比选申请人不足3家，当场退还其比选申请文件。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5.1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开标时间和</w:t>
            </w:r>
          </w:p>
          <w:p>
            <w:pPr>
              <w:spacing w:line="380" w:lineRule="exact"/>
              <w:jc w:val="center"/>
              <w:rPr>
                <w:rFonts w:hint="eastAsia" w:ascii="宋体" w:hAnsi="宋体" w:cs="宋体"/>
                <w:kern w:val="0"/>
                <w:szCs w:val="21"/>
              </w:rPr>
            </w:pPr>
            <w:r>
              <w:rPr>
                <w:rFonts w:hint="eastAsia" w:ascii="宋体" w:hAnsi="宋体" w:cs="宋体"/>
                <w:kern w:val="0"/>
                <w:szCs w:val="21"/>
              </w:rPr>
              <w:t>地点</w:t>
            </w:r>
          </w:p>
        </w:tc>
        <w:tc>
          <w:tcPr>
            <w:tcW w:w="6744" w:type="dxa"/>
            <w:vAlign w:val="center"/>
          </w:tcPr>
          <w:p>
            <w:pPr>
              <w:spacing w:line="380" w:lineRule="exact"/>
              <w:rPr>
                <w:rFonts w:hint="eastAsia" w:ascii="宋体" w:hAnsi="宋体" w:cs="宋体"/>
                <w:kern w:val="0"/>
                <w:szCs w:val="21"/>
                <w:u w:val="single"/>
              </w:rPr>
            </w:pPr>
            <w:r>
              <w:rPr>
                <w:rFonts w:hint="eastAsia" w:ascii="宋体" w:hAnsi="宋体" w:cs="宋体"/>
                <w:kern w:val="0"/>
                <w:szCs w:val="21"/>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szCs w:val="21"/>
              </w:rPr>
            </w:pPr>
            <w:r>
              <w:rPr>
                <w:rFonts w:hint="eastAsia" w:ascii="宋体" w:hAnsi="宋体"/>
                <w:szCs w:val="21"/>
              </w:rPr>
              <w:t>5.2</w:t>
            </w:r>
          </w:p>
        </w:tc>
        <w:tc>
          <w:tcPr>
            <w:tcW w:w="1980" w:type="dxa"/>
            <w:vAlign w:val="center"/>
          </w:tcPr>
          <w:p>
            <w:pPr>
              <w:spacing w:line="380" w:lineRule="exact"/>
              <w:jc w:val="center"/>
              <w:rPr>
                <w:rFonts w:hint="eastAsia" w:ascii="宋体" w:hAnsi="宋体"/>
                <w:szCs w:val="21"/>
              </w:rPr>
            </w:pPr>
            <w:r>
              <w:rPr>
                <w:rFonts w:hint="eastAsia" w:ascii="宋体" w:hAnsi="宋体"/>
                <w:szCs w:val="21"/>
              </w:rPr>
              <w:t>开标程序</w:t>
            </w:r>
          </w:p>
        </w:tc>
        <w:tc>
          <w:tcPr>
            <w:tcW w:w="6744" w:type="dxa"/>
            <w:vAlign w:val="center"/>
          </w:tcPr>
          <w:p>
            <w:pPr>
              <w:autoSpaceDE w:val="0"/>
              <w:autoSpaceDN w:val="0"/>
              <w:adjustRightInd w:val="0"/>
              <w:spacing w:line="380" w:lineRule="exact"/>
              <w:jc w:val="left"/>
              <w:rPr>
                <w:rFonts w:hint="eastAsia" w:ascii="宋体" w:hAnsi="宋体"/>
                <w:szCs w:val="21"/>
              </w:rPr>
            </w:pPr>
            <w:r>
              <w:rPr>
                <w:rFonts w:hint="eastAsia" w:ascii="宋体" w:hAnsi="宋体"/>
                <w:szCs w:val="21"/>
              </w:rPr>
              <w:t>主持人按下列程序进行开标：</w:t>
            </w:r>
          </w:p>
          <w:p>
            <w:pPr>
              <w:autoSpaceDE w:val="0"/>
              <w:autoSpaceDN w:val="0"/>
              <w:adjustRightInd w:val="0"/>
              <w:spacing w:line="380" w:lineRule="exact"/>
              <w:jc w:val="left"/>
              <w:rPr>
                <w:rFonts w:hint="eastAsia" w:ascii="宋体" w:hAnsi="宋体"/>
                <w:szCs w:val="21"/>
              </w:rPr>
            </w:pPr>
            <w:r>
              <w:rPr>
                <w:rFonts w:hint="eastAsia" w:ascii="宋体" w:hAnsi="宋体"/>
                <w:szCs w:val="21"/>
              </w:rPr>
              <w:t>1. 宣布开标纪律；</w:t>
            </w:r>
          </w:p>
          <w:p>
            <w:pPr>
              <w:autoSpaceDE w:val="0"/>
              <w:autoSpaceDN w:val="0"/>
              <w:adjustRightInd w:val="0"/>
              <w:spacing w:line="380" w:lineRule="exact"/>
              <w:jc w:val="left"/>
              <w:rPr>
                <w:rFonts w:hint="eastAsia" w:ascii="宋体" w:hAnsi="宋体"/>
                <w:szCs w:val="21"/>
              </w:rPr>
            </w:pPr>
            <w:r>
              <w:rPr>
                <w:rFonts w:hint="eastAsia" w:ascii="宋体" w:hAnsi="宋体"/>
                <w:szCs w:val="21"/>
              </w:rPr>
              <w:t>2. 宣布开标人、记录人、比选人等有关人员姓名；</w:t>
            </w:r>
          </w:p>
          <w:p>
            <w:pPr>
              <w:autoSpaceDE w:val="0"/>
              <w:autoSpaceDN w:val="0"/>
              <w:adjustRightInd w:val="0"/>
              <w:spacing w:line="380" w:lineRule="exact"/>
              <w:jc w:val="left"/>
              <w:rPr>
                <w:rFonts w:hint="eastAsia" w:ascii="宋体" w:hAnsi="宋体"/>
                <w:szCs w:val="21"/>
              </w:rPr>
            </w:pPr>
            <w:r>
              <w:rPr>
                <w:rFonts w:hint="eastAsia" w:ascii="宋体" w:hAnsi="宋体"/>
                <w:szCs w:val="21"/>
              </w:rPr>
              <w:t>3. 公布在比选截止时间前递交比选申请文件的比选申请人名称，并点名确认比选申请人是否派人到场；</w:t>
            </w:r>
          </w:p>
          <w:p>
            <w:pPr>
              <w:autoSpaceDE w:val="0"/>
              <w:autoSpaceDN w:val="0"/>
              <w:adjustRightInd w:val="0"/>
              <w:spacing w:line="380" w:lineRule="exact"/>
              <w:jc w:val="left"/>
              <w:rPr>
                <w:rFonts w:hint="eastAsia" w:ascii="宋体" w:hAnsi="宋体"/>
                <w:szCs w:val="21"/>
              </w:rPr>
            </w:pPr>
            <w:r>
              <w:rPr>
                <w:rFonts w:hint="eastAsia" w:ascii="宋体" w:hAnsi="宋体"/>
                <w:szCs w:val="21"/>
              </w:rPr>
              <w:t>4. 由监标人或比选申请人代表检查比选申请文件的密封情况；</w:t>
            </w:r>
          </w:p>
          <w:p>
            <w:pPr>
              <w:spacing w:line="380" w:lineRule="exact"/>
              <w:rPr>
                <w:rFonts w:hint="eastAsia" w:ascii="宋体" w:hAnsi="宋体"/>
                <w:szCs w:val="21"/>
              </w:rPr>
            </w:pPr>
            <w:r>
              <w:rPr>
                <w:rFonts w:hint="eastAsia" w:ascii="宋体" w:hAnsi="宋体"/>
                <w:szCs w:val="21"/>
              </w:rPr>
              <w:t>6. 公布最高限价；</w:t>
            </w:r>
          </w:p>
          <w:p>
            <w:pPr>
              <w:spacing w:line="380" w:lineRule="exact"/>
              <w:rPr>
                <w:rFonts w:hint="eastAsia" w:ascii="宋体" w:hAnsi="宋体"/>
                <w:szCs w:val="21"/>
              </w:rPr>
            </w:pPr>
            <w:r>
              <w:rPr>
                <w:rFonts w:hint="eastAsia" w:ascii="宋体" w:hAnsi="宋体"/>
                <w:szCs w:val="21"/>
              </w:rPr>
              <w:t>7. 开启比选申请文件顺序：随机开启；</w:t>
            </w:r>
          </w:p>
          <w:p>
            <w:pPr>
              <w:spacing w:line="380" w:lineRule="exact"/>
              <w:rPr>
                <w:rFonts w:hint="eastAsia" w:ascii="宋体" w:hAnsi="宋体"/>
                <w:szCs w:val="21"/>
              </w:rPr>
            </w:pPr>
            <w:r>
              <w:rPr>
                <w:rFonts w:hint="eastAsia" w:ascii="宋体" w:hAnsi="宋体"/>
                <w:szCs w:val="21"/>
              </w:rPr>
              <w:t>8. 按照宣布的开标顺序当众开标，公布比选申请人名称、竞标报价、密封情况、比选申请文件份数等内容，并记录在案；</w:t>
            </w:r>
          </w:p>
          <w:p>
            <w:pPr>
              <w:spacing w:line="380" w:lineRule="exact"/>
              <w:rPr>
                <w:rFonts w:hint="eastAsia" w:ascii="宋体" w:hAnsi="宋体"/>
                <w:szCs w:val="21"/>
              </w:rPr>
            </w:pPr>
            <w:r>
              <w:rPr>
                <w:rFonts w:hint="eastAsia" w:ascii="宋体" w:hAnsi="宋体"/>
                <w:szCs w:val="21"/>
              </w:rPr>
              <w:t>9. 比选申请人代表、比选人代表、记录人等有关人员在开标记录上签字确认；</w:t>
            </w:r>
          </w:p>
          <w:p>
            <w:pPr>
              <w:autoSpaceDE w:val="0"/>
              <w:autoSpaceDN w:val="0"/>
              <w:adjustRightInd w:val="0"/>
              <w:spacing w:line="380" w:lineRule="exact"/>
              <w:jc w:val="left"/>
              <w:rPr>
                <w:rFonts w:hint="eastAsia" w:ascii="宋体" w:hAnsi="宋体"/>
                <w:szCs w:val="21"/>
              </w:rPr>
            </w:pPr>
            <w:r>
              <w:rPr>
                <w:rFonts w:hint="eastAsia" w:ascii="宋体" w:hAnsi="宋体"/>
                <w:szCs w:val="21"/>
              </w:rPr>
              <w:t>10. 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6.1.1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评标委员会的组建</w:t>
            </w:r>
          </w:p>
        </w:tc>
        <w:tc>
          <w:tcPr>
            <w:tcW w:w="6744" w:type="dxa"/>
            <w:vAlign w:val="center"/>
          </w:tcPr>
          <w:p>
            <w:pPr>
              <w:autoSpaceDE w:val="0"/>
              <w:autoSpaceDN w:val="0"/>
              <w:adjustRightInd w:val="0"/>
              <w:spacing w:line="380" w:lineRule="exact"/>
              <w:ind w:left="4" w:leftChars="2"/>
              <w:jc w:val="left"/>
              <w:rPr>
                <w:rFonts w:hint="eastAsia" w:ascii="宋体" w:hAnsi="宋体" w:cs="宋体"/>
                <w:kern w:val="0"/>
                <w:szCs w:val="21"/>
              </w:rPr>
            </w:pPr>
            <w:r>
              <w:rPr>
                <w:rFonts w:hint="eastAsia" w:ascii="宋体" w:hAnsi="宋体" w:cs="宋体"/>
                <w:kern w:val="0"/>
                <w:szCs w:val="21"/>
              </w:rPr>
              <w:t>评标委员会构成：专家3人。</w:t>
            </w:r>
          </w:p>
          <w:p>
            <w:pPr>
              <w:autoSpaceDE w:val="0"/>
              <w:autoSpaceDN w:val="0"/>
              <w:adjustRightInd w:val="0"/>
              <w:spacing w:line="380" w:lineRule="exact"/>
              <w:ind w:left="4" w:leftChars="2"/>
              <w:jc w:val="left"/>
              <w:rPr>
                <w:rFonts w:hint="eastAsia" w:ascii="宋体" w:hAnsi="宋体"/>
                <w:kern w:val="0"/>
                <w:szCs w:val="21"/>
              </w:rPr>
            </w:pPr>
            <w:r>
              <w:rPr>
                <w:rFonts w:hint="eastAsia" w:ascii="宋体" w:hAnsi="宋体" w:cs="宋体"/>
                <w:kern w:val="0"/>
                <w:szCs w:val="21"/>
              </w:rPr>
              <w:t>评标专家确定方式：从高速集团评标专家库中随机抽取。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7.1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是否授权评标委员会确定成交人</w:t>
            </w:r>
          </w:p>
        </w:tc>
        <w:tc>
          <w:tcPr>
            <w:tcW w:w="6744" w:type="dxa"/>
            <w:vAlign w:val="center"/>
          </w:tcPr>
          <w:p>
            <w:pPr>
              <w:spacing w:line="380" w:lineRule="exact"/>
              <w:rPr>
                <w:rFonts w:ascii="宋体" w:hAnsi="宋体"/>
                <w:b/>
                <w:szCs w:val="21"/>
              </w:rPr>
            </w:pPr>
            <w:r>
              <w:rPr>
                <w:rFonts w:hint="eastAsia" w:ascii="宋体" w:hAnsi="宋体"/>
                <w:szCs w:val="21"/>
              </w:rPr>
              <w:t>否，推荐的成交候选人数：3名，不足3名则按相应家数推荐成交候选人。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7.2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成交候选人公示</w:t>
            </w:r>
          </w:p>
        </w:tc>
        <w:tc>
          <w:tcPr>
            <w:tcW w:w="6744" w:type="dxa"/>
            <w:vAlign w:val="center"/>
          </w:tcPr>
          <w:p>
            <w:pPr>
              <w:spacing w:line="380" w:lineRule="exact"/>
              <w:rPr>
                <w:rFonts w:hint="eastAsia" w:ascii="宋体" w:hAnsi="宋体"/>
                <w:szCs w:val="21"/>
              </w:rPr>
            </w:pPr>
            <w:r>
              <w:rPr>
                <w:rFonts w:hint="eastAsia" w:ascii="宋体" w:hAnsi="宋体"/>
                <w:szCs w:val="21"/>
              </w:rPr>
              <w:t>在重庆高速公路集团有限公司招投标管理平台上公示：成交候选人排序、名称和竞标总报价。</w:t>
            </w:r>
          </w:p>
          <w:p>
            <w:pPr>
              <w:spacing w:line="380" w:lineRule="exact"/>
              <w:rPr>
                <w:rFonts w:hint="eastAsia" w:ascii="宋体" w:hAnsi="宋体"/>
                <w:szCs w:val="21"/>
              </w:rPr>
            </w:pPr>
            <w:r>
              <w:rPr>
                <w:rFonts w:hint="eastAsia" w:ascii="宋体" w:hAnsi="宋体"/>
                <w:szCs w:val="21"/>
              </w:rPr>
              <w:t>公示期限：3个工作日。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7.3.1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履约担保</w:t>
            </w:r>
          </w:p>
        </w:tc>
        <w:tc>
          <w:tcPr>
            <w:tcW w:w="6744" w:type="dxa"/>
            <w:vAlign w:val="center"/>
          </w:tcPr>
          <w:p>
            <w:pPr>
              <w:spacing w:line="380" w:lineRule="exact"/>
              <w:rPr>
                <w:rFonts w:hint="eastAsia" w:ascii="宋体" w:hAnsi="宋体"/>
                <w:szCs w:val="21"/>
              </w:rPr>
            </w:pPr>
            <w:r>
              <w:rPr>
                <w:rFonts w:hint="eastAsia" w:ascii="宋体" w:hAnsi="宋体" w:cs="宋体"/>
                <w:kern w:val="0"/>
                <w:szCs w:val="21"/>
              </w:rPr>
              <w:t>1、履约担保的形式：无。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7.4</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合同签订时间</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成交人应在收到领取成交通知书的通知后3日内领取成交通知书，领取成交通知书后5日内，必须与比选人签订合同。否则均视为无正当理由放弃中标资格。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kern w:val="0"/>
                <w:szCs w:val="21"/>
              </w:rPr>
            </w:pPr>
            <w:r>
              <w:rPr>
                <w:rFonts w:hint="eastAsia" w:ascii="宋体" w:hAnsi="宋体"/>
                <w:kern w:val="0"/>
                <w:szCs w:val="21"/>
              </w:rPr>
              <w:t>8.1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重新比选</w:t>
            </w:r>
          </w:p>
        </w:tc>
        <w:tc>
          <w:tcPr>
            <w:tcW w:w="6744" w:type="dxa"/>
            <w:vAlign w:val="center"/>
          </w:tcPr>
          <w:p>
            <w:pPr>
              <w:autoSpaceDE w:val="0"/>
              <w:autoSpaceDN w:val="0"/>
              <w:adjustRightInd w:val="0"/>
              <w:spacing w:line="380" w:lineRule="exact"/>
              <w:jc w:val="left"/>
              <w:rPr>
                <w:rFonts w:ascii="宋体" w:hAnsi="宋体" w:cs="MingLiU"/>
                <w:snapToGrid w:val="0"/>
                <w:kern w:val="0"/>
                <w:szCs w:val="21"/>
              </w:rPr>
            </w:pPr>
            <w:r>
              <w:rPr>
                <w:rFonts w:hint="eastAsia" w:ascii="宋体" w:hAnsi="宋体" w:cs="MingLiU"/>
                <w:snapToGrid w:val="0"/>
                <w:kern w:val="0"/>
                <w:szCs w:val="21"/>
              </w:rPr>
              <w:t>有下列情形之一的，比选人将重新比选：</w:t>
            </w:r>
          </w:p>
          <w:p>
            <w:pPr>
              <w:autoSpaceDE w:val="0"/>
              <w:autoSpaceDN w:val="0"/>
              <w:adjustRightInd w:val="0"/>
              <w:spacing w:line="380" w:lineRule="exact"/>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1</w:t>
            </w:r>
            <w:r>
              <w:rPr>
                <w:rFonts w:hint="eastAsia" w:ascii="宋体" w:hAnsi="宋体" w:cs="MingLiU"/>
                <w:snapToGrid w:val="0"/>
                <w:kern w:val="0"/>
                <w:szCs w:val="21"/>
              </w:rPr>
              <w:t>）比选截止时间止，比选申请人少于</w:t>
            </w:r>
            <w:r>
              <w:rPr>
                <w:rFonts w:ascii="宋体" w:hAnsi="宋体"/>
                <w:snapToGrid w:val="0"/>
                <w:kern w:val="0"/>
                <w:szCs w:val="21"/>
              </w:rPr>
              <w:t xml:space="preserve"> 3 </w:t>
            </w:r>
            <w:r>
              <w:rPr>
                <w:rFonts w:hint="eastAsia" w:ascii="宋体" w:hAnsi="宋体" w:cs="MingLiU"/>
                <w:snapToGrid w:val="0"/>
                <w:kern w:val="0"/>
                <w:szCs w:val="21"/>
              </w:rPr>
              <w:t>个的；</w:t>
            </w:r>
          </w:p>
          <w:p>
            <w:pPr>
              <w:autoSpaceDE w:val="0"/>
              <w:autoSpaceDN w:val="0"/>
              <w:adjustRightInd w:val="0"/>
              <w:spacing w:line="380" w:lineRule="exact"/>
              <w:jc w:val="left"/>
              <w:rPr>
                <w:rFonts w:hint="eastAsia" w:ascii="宋体" w:hAnsi="宋体" w:cs="宋体"/>
                <w:kern w:val="0"/>
                <w:szCs w:val="21"/>
              </w:rPr>
            </w:pPr>
            <w:r>
              <w:rPr>
                <w:rFonts w:hint="eastAsia" w:ascii="宋体" w:hAnsi="宋体" w:cs="MingLiU"/>
                <w:snapToGrid w:val="0"/>
                <w:kern w:val="0"/>
                <w:szCs w:val="21"/>
              </w:rPr>
              <w:t>（</w:t>
            </w:r>
            <w:r>
              <w:rPr>
                <w:rFonts w:ascii="宋体" w:hAnsi="宋体"/>
                <w:snapToGrid w:val="0"/>
                <w:kern w:val="0"/>
                <w:szCs w:val="21"/>
              </w:rPr>
              <w:t>2</w:t>
            </w:r>
            <w:r>
              <w:rPr>
                <w:rFonts w:hint="eastAsia" w:ascii="宋体" w:hAnsi="宋体" w:cs="MingLiU"/>
                <w:snapToGrid w:val="0"/>
                <w:kern w:val="0"/>
                <w:szCs w:val="21"/>
              </w:rPr>
              <w:t>）经评标委员会评审后否决所有比选的。</w:t>
            </w:r>
          </w:p>
        </w:tc>
      </w:tr>
    </w:tbl>
    <w:p>
      <w:pPr>
        <w:rPr>
          <w:rFonts w:ascii="宋体" w:hAnsi="宋体" w:cs="仿宋_GB2312"/>
          <w:kern w:val="0"/>
          <w:sz w:val="20"/>
          <w:szCs w:val="20"/>
        </w:rPr>
        <w:sectPr>
          <w:pgSz w:w="11907" w:h="16839"/>
          <w:pgMar w:top="1440" w:right="1800" w:bottom="1440" w:left="1800" w:header="720" w:footer="720" w:gutter="0"/>
          <w:pgNumType w:start="1"/>
          <w:cols w:space="720" w:num="1"/>
          <w:docGrid w:type="lines" w:linePitch="286" w:charSpace="0"/>
        </w:sectPr>
      </w:pPr>
    </w:p>
    <w:p>
      <w:pPr>
        <w:pStyle w:val="2"/>
        <w:numPr>
          <w:ilvl w:val="0"/>
          <w:numId w:val="0"/>
        </w:numPr>
        <w:tabs>
          <w:tab w:val="left" w:pos="3360"/>
        </w:tabs>
        <w:spacing w:before="0" w:after="0" w:line="360" w:lineRule="auto"/>
        <w:jc w:val="center"/>
        <w:rPr>
          <w:rFonts w:ascii="宋体" w:hAnsi="宋体"/>
          <w:color w:val="000000"/>
        </w:rPr>
      </w:pPr>
      <w:bookmarkStart w:id="25" w:name="_Toc287607854"/>
      <w:bookmarkStart w:id="26" w:name="_Toc34310524"/>
      <w:r>
        <w:rPr>
          <w:rFonts w:hint="eastAsia" w:ascii="宋体" w:hAnsi="宋体"/>
          <w:color w:val="000000"/>
          <w:lang w:eastAsia="zh-CN"/>
        </w:rPr>
        <w:t>第三章</w:t>
      </w:r>
      <w:r>
        <w:rPr>
          <w:rFonts w:hint="eastAsia" w:ascii="宋体" w:hAnsi="宋体"/>
          <w:color w:val="000000"/>
          <w:lang w:val="en-US" w:eastAsia="zh-CN"/>
        </w:rPr>
        <w:t xml:space="preserve"> </w:t>
      </w:r>
      <w:r>
        <w:rPr>
          <w:rFonts w:hint="eastAsia" w:ascii="宋体" w:hAnsi="宋体"/>
          <w:color w:val="000000"/>
        </w:rPr>
        <w:t>竞争性比选方法（综合评估法）</w:t>
      </w:r>
    </w:p>
    <w:p>
      <w:pPr>
        <w:jc w:val="center"/>
        <w:rPr>
          <w:rFonts w:ascii="宋体" w:hAnsi="宋体" w:cs="宋体"/>
          <w:b/>
          <w:color w:val="000000"/>
          <w:kern w:val="0"/>
          <w:sz w:val="32"/>
          <w:szCs w:val="32"/>
          <w:lang w:bidi="ar"/>
        </w:rPr>
      </w:pPr>
      <w:r>
        <w:rPr>
          <w:rFonts w:hint="eastAsia" w:ascii="宋体" w:hAnsi="宋体" w:cs="宋体"/>
          <w:b/>
          <w:color w:val="000000"/>
          <w:kern w:val="0"/>
          <w:sz w:val="32"/>
          <w:szCs w:val="32"/>
          <w:lang w:bidi="ar"/>
        </w:rPr>
        <w:t>评标办法（综合评估法）</w:t>
      </w:r>
    </w:p>
    <w:tbl>
      <w:tblPr>
        <w:tblStyle w:val="15"/>
        <w:tblW w:w="8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54"/>
        <w:gridCol w:w="733"/>
        <w:gridCol w:w="760"/>
        <w:gridCol w:w="7"/>
        <w:gridCol w:w="833"/>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33" w:type="dxa"/>
            <w:gridSpan w:val="2"/>
            <w:vAlign w:val="center"/>
          </w:tcPr>
          <w:p>
            <w:pPr>
              <w:jc w:val="center"/>
              <w:rPr>
                <w:rFonts w:ascii="宋体" w:hAnsi="宋体"/>
                <w:b/>
                <w:szCs w:val="21"/>
              </w:rPr>
            </w:pPr>
            <w:r>
              <w:rPr>
                <w:rFonts w:ascii="宋体" w:hAnsi="宋体"/>
                <w:b/>
                <w:szCs w:val="21"/>
              </w:rPr>
              <w:t>条款名称</w:t>
            </w:r>
          </w:p>
        </w:tc>
        <w:tc>
          <w:tcPr>
            <w:tcW w:w="7550" w:type="dxa"/>
            <w:gridSpan w:val="5"/>
            <w:vAlign w:val="center"/>
          </w:tcPr>
          <w:p>
            <w:pPr>
              <w:jc w:val="center"/>
              <w:rPr>
                <w:rFonts w:ascii="宋体" w:hAnsi="宋体"/>
                <w:b/>
                <w:szCs w:val="21"/>
              </w:rPr>
            </w:pPr>
            <w:r>
              <w:rPr>
                <w:rFonts w:ascii="宋体" w:hAnsi="宋体"/>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33" w:type="dxa"/>
            <w:gridSpan w:val="2"/>
            <w:vAlign w:val="center"/>
          </w:tcPr>
          <w:p>
            <w:pPr>
              <w:jc w:val="center"/>
              <w:rPr>
                <w:rFonts w:ascii="宋体" w:hAnsi="宋体"/>
                <w:szCs w:val="21"/>
              </w:rPr>
            </w:pPr>
            <w:r>
              <w:rPr>
                <w:rFonts w:ascii="宋体" w:hAnsi="宋体"/>
                <w:szCs w:val="21"/>
              </w:rPr>
              <w:t>初步评审</w:t>
            </w:r>
          </w:p>
        </w:tc>
        <w:tc>
          <w:tcPr>
            <w:tcW w:w="7550" w:type="dxa"/>
            <w:gridSpan w:val="5"/>
            <w:vAlign w:val="center"/>
          </w:tcPr>
          <w:p>
            <w:pPr>
              <w:spacing w:line="324" w:lineRule="auto"/>
              <w:rPr>
                <w:rFonts w:ascii="宋体" w:hAnsi="宋体"/>
                <w:szCs w:val="21"/>
              </w:rPr>
            </w:pPr>
            <w:r>
              <w:rPr>
                <w:rFonts w:hint="eastAsia" w:ascii="宋体" w:hAnsi="宋体"/>
                <w:szCs w:val="21"/>
              </w:rPr>
              <w:t>（1）竞争性比选申请文件</w:t>
            </w:r>
            <w:r>
              <w:rPr>
                <w:rFonts w:ascii="宋体" w:hAnsi="宋体"/>
                <w:szCs w:val="21"/>
              </w:rPr>
              <w:t>按照</w:t>
            </w:r>
            <w:r>
              <w:rPr>
                <w:rFonts w:hint="eastAsia" w:ascii="宋体" w:hAnsi="宋体"/>
                <w:szCs w:val="21"/>
              </w:rPr>
              <w:t>竞争性比选文件</w:t>
            </w:r>
            <w:r>
              <w:rPr>
                <w:rFonts w:ascii="宋体" w:hAnsi="宋体"/>
                <w:szCs w:val="21"/>
              </w:rPr>
              <w:t>规定的格式、内容填写，字迹清晰可辨；</w:t>
            </w:r>
            <w:r>
              <w:rPr>
                <w:rFonts w:hint="eastAsia" w:ascii="宋体" w:hAnsi="宋体"/>
                <w:szCs w:val="21"/>
              </w:rPr>
              <w:t xml:space="preserve"> </w:t>
            </w:r>
          </w:p>
          <w:p>
            <w:pPr>
              <w:spacing w:line="324" w:lineRule="auto"/>
              <w:rPr>
                <w:rFonts w:ascii="宋体" w:hAnsi="宋体"/>
                <w:szCs w:val="21"/>
              </w:rPr>
            </w:pPr>
            <w:r>
              <w:rPr>
                <w:rFonts w:hint="eastAsia" w:ascii="宋体" w:hAnsi="宋体"/>
                <w:szCs w:val="21"/>
              </w:rPr>
              <w:t>（2）竞争性比选申请文件</w:t>
            </w:r>
            <w:r>
              <w:rPr>
                <w:rFonts w:ascii="宋体" w:hAnsi="宋体"/>
                <w:szCs w:val="21"/>
              </w:rPr>
              <w:t>上法定代表人或其授权代理人的签字、</w:t>
            </w:r>
            <w:r>
              <w:rPr>
                <w:rFonts w:hint="eastAsia" w:ascii="宋体" w:hAnsi="宋体"/>
                <w:szCs w:val="21"/>
              </w:rPr>
              <w:t>比选申请人</w:t>
            </w:r>
            <w:r>
              <w:rPr>
                <w:rFonts w:ascii="宋体" w:hAnsi="宋体"/>
                <w:szCs w:val="21"/>
              </w:rPr>
              <w:t>的单位章齐全，符合</w:t>
            </w:r>
            <w:r>
              <w:rPr>
                <w:rFonts w:hint="eastAsia" w:ascii="宋体" w:hAnsi="宋体"/>
                <w:szCs w:val="21"/>
              </w:rPr>
              <w:t>竞争性比选文件</w:t>
            </w:r>
            <w:r>
              <w:rPr>
                <w:rFonts w:ascii="宋体" w:hAnsi="宋体"/>
                <w:szCs w:val="21"/>
              </w:rPr>
              <w:t>规定；</w:t>
            </w:r>
          </w:p>
          <w:p>
            <w:pPr>
              <w:spacing w:line="324" w:lineRule="auto"/>
              <w:rPr>
                <w:rFonts w:ascii="宋体" w:hAnsi="宋体"/>
                <w:szCs w:val="21"/>
              </w:rPr>
            </w:pPr>
            <w:r>
              <w:rPr>
                <w:rFonts w:hint="eastAsia" w:ascii="宋体" w:hAnsi="宋体"/>
                <w:szCs w:val="21"/>
              </w:rPr>
              <w:t>（3）比选申请人按照前述要求提供了法定代表人的授权委托书或法定代表人身份证明。</w:t>
            </w:r>
          </w:p>
          <w:p>
            <w:pPr>
              <w:spacing w:line="324" w:lineRule="auto"/>
              <w:rPr>
                <w:rFonts w:ascii="宋体" w:hAnsi="宋体"/>
                <w:szCs w:val="21"/>
              </w:rPr>
            </w:pPr>
            <w:r>
              <w:rPr>
                <w:rFonts w:hint="eastAsia" w:ascii="宋体" w:hAnsi="宋体"/>
                <w:szCs w:val="21"/>
              </w:rPr>
              <w:t>（4）比选申请人未提供虚假资料；</w:t>
            </w:r>
          </w:p>
          <w:p>
            <w:pPr>
              <w:spacing w:line="324" w:lineRule="auto"/>
              <w:rPr>
                <w:rFonts w:ascii="宋体" w:hAnsi="宋体"/>
                <w:szCs w:val="21"/>
              </w:rPr>
            </w:pPr>
            <w:r>
              <w:rPr>
                <w:rFonts w:hint="eastAsia" w:ascii="宋体" w:hAnsi="宋体"/>
                <w:szCs w:val="21"/>
              </w:rPr>
              <w:t>（5）在报价函上填写了竞标总价（包括大写金额和小写金额），竞标总价不高于比选人公布的最高竞标限价，且报价唯一；</w:t>
            </w:r>
          </w:p>
          <w:p>
            <w:pPr>
              <w:spacing w:line="324" w:lineRule="auto"/>
              <w:rPr>
                <w:rFonts w:ascii="宋体" w:hAnsi="宋体"/>
                <w:szCs w:val="21"/>
              </w:rPr>
            </w:pPr>
            <w:r>
              <w:rPr>
                <w:rFonts w:hint="eastAsia" w:ascii="宋体" w:hAnsi="宋体"/>
                <w:szCs w:val="21"/>
              </w:rPr>
              <w:t>（6）比选申请人没有围标串标行为。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466" w:type="dxa"/>
            <w:gridSpan w:val="3"/>
            <w:vAlign w:val="center"/>
          </w:tcPr>
          <w:p>
            <w:pPr>
              <w:rPr>
                <w:rFonts w:ascii="宋体" w:hAnsi="宋体"/>
                <w:b/>
                <w:szCs w:val="21"/>
              </w:rPr>
            </w:pPr>
            <w:r>
              <w:rPr>
                <w:rFonts w:ascii="宋体" w:hAnsi="宋体"/>
                <w:b/>
                <w:szCs w:val="21"/>
              </w:rPr>
              <w:t>条款名称</w:t>
            </w:r>
          </w:p>
        </w:tc>
        <w:tc>
          <w:tcPr>
            <w:tcW w:w="6817" w:type="dxa"/>
            <w:gridSpan w:val="4"/>
            <w:vAlign w:val="center"/>
          </w:tcPr>
          <w:p>
            <w:pPr>
              <w:jc w:val="center"/>
              <w:rPr>
                <w:rFonts w:ascii="宋体" w:hAnsi="宋体"/>
                <w:b/>
                <w:szCs w:val="21"/>
              </w:rPr>
            </w:pPr>
            <w:r>
              <w:rPr>
                <w:rFonts w:ascii="宋体" w:hAnsi="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gridSpan w:val="3"/>
            <w:vAlign w:val="center"/>
          </w:tcPr>
          <w:p>
            <w:pPr>
              <w:spacing w:line="400" w:lineRule="exact"/>
              <w:jc w:val="center"/>
              <w:rPr>
                <w:rFonts w:ascii="宋体" w:hAnsi="宋体"/>
                <w:szCs w:val="21"/>
              </w:rPr>
            </w:pPr>
            <w:r>
              <w:rPr>
                <w:rFonts w:ascii="宋体" w:hAnsi="宋体"/>
                <w:szCs w:val="21"/>
              </w:rPr>
              <w:t xml:space="preserve"> </w:t>
            </w:r>
            <w:r>
              <w:rPr>
                <w:rFonts w:hint="eastAsia" w:ascii="宋体" w:hAnsi="宋体"/>
                <w:szCs w:val="21"/>
              </w:rPr>
              <w:t>详细评审</w:t>
            </w:r>
          </w:p>
        </w:tc>
        <w:tc>
          <w:tcPr>
            <w:tcW w:w="6817" w:type="dxa"/>
            <w:gridSpan w:val="4"/>
            <w:vAlign w:val="center"/>
          </w:tcPr>
          <w:p>
            <w:pPr>
              <w:snapToGrid w:val="0"/>
              <w:spacing w:line="360" w:lineRule="exact"/>
              <w:rPr>
                <w:szCs w:val="20"/>
                <w:u w:val="single"/>
              </w:rPr>
            </w:pPr>
            <w:r>
              <w:rPr>
                <w:rFonts w:hint="eastAsia"/>
                <w:szCs w:val="20"/>
                <w:u w:val="single"/>
              </w:rPr>
              <w:t>投标总报价：70 分</w:t>
            </w:r>
          </w:p>
          <w:p>
            <w:pPr>
              <w:snapToGrid w:val="0"/>
              <w:spacing w:line="360" w:lineRule="exact"/>
              <w:rPr>
                <w:szCs w:val="20"/>
                <w:u w:val="single"/>
              </w:rPr>
            </w:pPr>
            <w:r>
              <w:rPr>
                <w:rFonts w:hint="eastAsia"/>
                <w:szCs w:val="20"/>
                <w:u w:val="single"/>
              </w:rPr>
              <w:t>服务方案： 30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466" w:type="dxa"/>
            <w:gridSpan w:val="3"/>
            <w:vAlign w:val="center"/>
          </w:tcPr>
          <w:p>
            <w:pPr>
              <w:spacing w:line="400" w:lineRule="exact"/>
              <w:jc w:val="center"/>
              <w:rPr>
                <w:rFonts w:ascii="宋体" w:hAnsi="宋体"/>
                <w:szCs w:val="21"/>
              </w:rPr>
            </w:pPr>
            <w:r>
              <w:rPr>
                <w:rFonts w:ascii="宋体" w:hAnsi="宋体"/>
                <w:szCs w:val="21"/>
              </w:rPr>
              <w:t xml:space="preserve"> </w:t>
            </w:r>
            <w:r>
              <w:rPr>
                <w:rFonts w:hint="eastAsia" w:ascii="宋体" w:hAnsi="宋体"/>
                <w:szCs w:val="21"/>
              </w:rPr>
              <w:t>澄清</w:t>
            </w:r>
          </w:p>
        </w:tc>
        <w:tc>
          <w:tcPr>
            <w:tcW w:w="6817" w:type="dxa"/>
            <w:gridSpan w:val="4"/>
            <w:vAlign w:val="center"/>
          </w:tcPr>
          <w:p>
            <w:pPr>
              <w:spacing w:line="400" w:lineRule="exact"/>
              <w:ind w:right="420" w:rightChars="200"/>
              <w:rPr>
                <w:rFonts w:ascii="宋体" w:hAnsi="宋体"/>
                <w:szCs w:val="21"/>
              </w:rPr>
            </w:pPr>
            <w:r>
              <w:rPr>
                <w:rFonts w:hint="eastAsia" w:ascii="宋体" w:hAnsi="宋体"/>
                <w:szCs w:val="21"/>
              </w:rPr>
              <w:t>发生以下任一情形的，作废标处理：</w:t>
            </w:r>
          </w:p>
          <w:p>
            <w:pPr>
              <w:spacing w:line="400" w:lineRule="exact"/>
              <w:ind w:right="420" w:right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）比选申请人拒绝确认算术性修正后的报价；</w:t>
            </w:r>
          </w:p>
          <w:p>
            <w:pPr>
              <w:spacing w:line="400" w:lineRule="exact"/>
              <w:ind w:right="420" w:right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）修正后的最终投标报价超过最高竞标限价；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466" w:type="dxa"/>
            <w:gridSpan w:val="3"/>
            <w:vAlign w:val="center"/>
          </w:tcPr>
          <w:p>
            <w:pPr>
              <w:spacing w:line="400" w:lineRule="exact"/>
              <w:jc w:val="center"/>
              <w:rPr>
                <w:rFonts w:ascii="宋体" w:hAnsi="宋体"/>
                <w:szCs w:val="21"/>
              </w:rPr>
            </w:pPr>
            <w:r>
              <w:rPr>
                <w:rFonts w:hint="eastAsia" w:ascii="宋体" w:hAnsi="宋体"/>
                <w:szCs w:val="21"/>
              </w:rPr>
              <w:t>视为比选申请人相互串通投标的情形</w:t>
            </w:r>
          </w:p>
        </w:tc>
        <w:tc>
          <w:tcPr>
            <w:tcW w:w="6817" w:type="dxa"/>
            <w:gridSpan w:val="4"/>
            <w:vAlign w:val="center"/>
          </w:tcPr>
          <w:p>
            <w:pPr>
              <w:spacing w:line="400" w:lineRule="exact"/>
              <w:ind w:right="420" w:rightChars="200"/>
              <w:rPr>
                <w:rFonts w:ascii="宋体" w:hAnsi="宋体"/>
                <w:b/>
                <w:szCs w:val="21"/>
              </w:rPr>
            </w:pPr>
            <w:r>
              <w:rPr>
                <w:rFonts w:hint="eastAsia" w:ascii="宋体" w:hAnsi="宋体"/>
                <w:b/>
                <w:szCs w:val="21"/>
              </w:rPr>
              <w:t>有下列情况之一的，视为比选申请人相互串通投标，做废标处理。</w:t>
            </w:r>
          </w:p>
          <w:p>
            <w:pPr>
              <w:numPr>
                <w:ilvl w:val="0"/>
                <w:numId w:val="1"/>
              </w:numPr>
              <w:spacing w:line="400" w:lineRule="exact"/>
              <w:ind w:right="420" w:rightChars="200"/>
              <w:rPr>
                <w:rFonts w:ascii="宋体" w:hAnsi="宋体"/>
                <w:szCs w:val="21"/>
              </w:rPr>
            </w:pPr>
            <w:r>
              <w:rPr>
                <w:rFonts w:hint="eastAsia" w:ascii="宋体" w:hAnsi="宋体"/>
                <w:szCs w:val="21"/>
              </w:rPr>
              <w:t>不同比选申请人的竞争性比选申请文件由同一单位或者个人编制；</w:t>
            </w:r>
          </w:p>
          <w:p>
            <w:pPr>
              <w:numPr>
                <w:ilvl w:val="0"/>
                <w:numId w:val="1"/>
              </w:numPr>
              <w:spacing w:line="400" w:lineRule="exact"/>
              <w:ind w:right="420" w:rightChars="200"/>
              <w:rPr>
                <w:rFonts w:ascii="宋体" w:hAnsi="宋体"/>
                <w:szCs w:val="21"/>
              </w:rPr>
            </w:pPr>
            <w:r>
              <w:rPr>
                <w:rFonts w:hint="eastAsia" w:ascii="宋体" w:hAnsi="宋体"/>
                <w:szCs w:val="21"/>
              </w:rPr>
              <w:t>不同比选申请人委托同一单位或者个人办理投标事宜；</w:t>
            </w:r>
          </w:p>
          <w:p>
            <w:pPr>
              <w:numPr>
                <w:ilvl w:val="0"/>
                <w:numId w:val="1"/>
              </w:numPr>
              <w:spacing w:line="400" w:lineRule="exact"/>
              <w:ind w:right="420" w:rightChars="200"/>
              <w:rPr>
                <w:rFonts w:ascii="宋体" w:hAnsi="宋体"/>
                <w:szCs w:val="21"/>
              </w:rPr>
            </w:pPr>
            <w:r>
              <w:rPr>
                <w:rFonts w:hint="eastAsia" w:ascii="宋体" w:hAnsi="宋体"/>
                <w:szCs w:val="21"/>
              </w:rPr>
              <w:t>不同比选申请人的竞争性比选申请文件载明的项目管理成员为同一人；</w:t>
            </w:r>
          </w:p>
          <w:p>
            <w:pPr>
              <w:numPr>
                <w:ilvl w:val="0"/>
                <w:numId w:val="1"/>
              </w:numPr>
              <w:spacing w:line="400" w:lineRule="exact"/>
              <w:ind w:right="420" w:rightChars="200"/>
              <w:rPr>
                <w:rFonts w:ascii="宋体" w:hAnsi="宋体"/>
                <w:szCs w:val="21"/>
              </w:rPr>
            </w:pPr>
            <w:r>
              <w:rPr>
                <w:rFonts w:hint="eastAsia" w:ascii="宋体" w:hAnsi="宋体"/>
                <w:szCs w:val="21"/>
              </w:rPr>
              <w:t>不同比选申请人的竞争性比选申请文件异常一致或者投标报价呈规律性差异；</w:t>
            </w:r>
          </w:p>
          <w:p>
            <w:pPr>
              <w:numPr>
                <w:ilvl w:val="0"/>
                <w:numId w:val="1"/>
              </w:numPr>
              <w:spacing w:line="400" w:lineRule="exact"/>
              <w:ind w:right="420" w:rightChars="200"/>
              <w:rPr>
                <w:rFonts w:ascii="宋体" w:hAnsi="宋体"/>
                <w:szCs w:val="21"/>
              </w:rPr>
            </w:pPr>
            <w:r>
              <w:rPr>
                <w:rFonts w:hint="eastAsia" w:ascii="宋体" w:hAnsi="宋体"/>
                <w:szCs w:val="21"/>
              </w:rPr>
              <w:t>不同比选申请人的竞争性比选申请文件相互混装；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066" w:type="dxa"/>
            <w:gridSpan w:val="6"/>
            <w:vAlign w:val="center"/>
          </w:tcPr>
          <w:p>
            <w:pPr>
              <w:spacing w:line="360" w:lineRule="exact"/>
              <w:rPr>
                <w:rFonts w:ascii="宋体" w:hAnsi="宋体"/>
                <w:b/>
                <w:szCs w:val="21"/>
              </w:rPr>
            </w:pPr>
            <w:r>
              <w:rPr>
                <w:rFonts w:hint="eastAsia" w:ascii="宋体" w:hAnsi="宋体"/>
                <w:b/>
                <w:szCs w:val="21"/>
              </w:rPr>
              <w:t>服务方案得分(30分)</w:t>
            </w:r>
          </w:p>
        </w:tc>
        <w:tc>
          <w:tcPr>
            <w:tcW w:w="5217" w:type="dxa"/>
            <w:vMerge w:val="restart"/>
            <w:vAlign w:val="center"/>
          </w:tcPr>
          <w:p>
            <w:pPr>
              <w:spacing w:line="360" w:lineRule="exact"/>
              <w:jc w:val="center"/>
              <w:rPr>
                <w:rFonts w:ascii="宋体" w:hAnsi="宋体"/>
                <w:b/>
                <w:szCs w:val="21"/>
              </w:rPr>
            </w:pPr>
            <w:r>
              <w:rPr>
                <w:rFonts w:ascii="宋体" w:hAnsi="宋体"/>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79" w:type="dxa"/>
            <w:vAlign w:val="center"/>
          </w:tcPr>
          <w:p>
            <w:pPr>
              <w:spacing w:line="240" w:lineRule="exact"/>
              <w:jc w:val="center"/>
              <w:rPr>
                <w:rFonts w:ascii="宋体" w:hAnsi="宋体"/>
                <w:b/>
                <w:szCs w:val="21"/>
              </w:rPr>
            </w:pPr>
            <w:r>
              <w:rPr>
                <w:rFonts w:ascii="宋体" w:hAnsi="宋体"/>
                <w:b/>
                <w:szCs w:val="21"/>
              </w:rPr>
              <w:t>序号</w:t>
            </w:r>
          </w:p>
        </w:tc>
        <w:tc>
          <w:tcPr>
            <w:tcW w:w="1647" w:type="dxa"/>
            <w:gridSpan w:val="3"/>
            <w:vAlign w:val="center"/>
          </w:tcPr>
          <w:p>
            <w:pPr>
              <w:spacing w:line="240" w:lineRule="exact"/>
              <w:jc w:val="center"/>
              <w:rPr>
                <w:rFonts w:ascii="宋体" w:hAnsi="宋体"/>
                <w:b/>
                <w:szCs w:val="21"/>
              </w:rPr>
            </w:pPr>
            <w:r>
              <w:rPr>
                <w:rFonts w:ascii="宋体" w:hAnsi="宋体"/>
                <w:b/>
                <w:szCs w:val="21"/>
              </w:rPr>
              <w:t>评审</w:t>
            </w:r>
          </w:p>
          <w:p>
            <w:pPr>
              <w:spacing w:line="240" w:lineRule="exact"/>
              <w:jc w:val="center"/>
              <w:rPr>
                <w:rFonts w:ascii="宋体" w:hAnsi="宋体"/>
                <w:b/>
                <w:szCs w:val="21"/>
              </w:rPr>
            </w:pPr>
            <w:r>
              <w:rPr>
                <w:rFonts w:ascii="宋体" w:hAnsi="宋体"/>
                <w:b/>
                <w:szCs w:val="21"/>
              </w:rPr>
              <w:t>因素</w:t>
            </w:r>
          </w:p>
        </w:tc>
        <w:tc>
          <w:tcPr>
            <w:tcW w:w="840" w:type="dxa"/>
            <w:gridSpan w:val="2"/>
            <w:vAlign w:val="center"/>
          </w:tcPr>
          <w:p>
            <w:pPr>
              <w:spacing w:line="240" w:lineRule="exact"/>
              <w:jc w:val="center"/>
              <w:rPr>
                <w:rFonts w:ascii="宋体" w:hAnsi="宋体"/>
                <w:b/>
                <w:szCs w:val="21"/>
              </w:rPr>
            </w:pPr>
            <w:r>
              <w:rPr>
                <w:rFonts w:ascii="宋体" w:hAnsi="宋体"/>
                <w:b/>
                <w:szCs w:val="21"/>
              </w:rPr>
              <w:t>评审因素评分值</w:t>
            </w:r>
          </w:p>
        </w:tc>
        <w:tc>
          <w:tcPr>
            <w:tcW w:w="5217" w:type="dxa"/>
            <w:vMerge w:val="continue"/>
            <w:vAlign w:val="center"/>
          </w:tcPr>
          <w:p>
            <w:pPr>
              <w:spacing w:line="360" w:lineRule="exact"/>
              <w:ind w:firstLine="210" w:firstLineChars="1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79" w:type="dxa"/>
            <w:vAlign w:val="center"/>
          </w:tcPr>
          <w:p>
            <w:pPr>
              <w:spacing w:line="324" w:lineRule="auto"/>
              <w:rPr>
                <w:rFonts w:ascii="宋体" w:hAnsi="宋体" w:cs="宋体"/>
                <w:kern w:val="0"/>
                <w:szCs w:val="21"/>
              </w:rPr>
            </w:pPr>
            <w:r>
              <w:rPr>
                <w:rFonts w:ascii="宋体" w:hAnsi="宋体" w:cs="宋体"/>
                <w:kern w:val="0"/>
                <w:szCs w:val="21"/>
              </w:rPr>
              <w:t>A</w:t>
            </w:r>
          </w:p>
        </w:tc>
        <w:tc>
          <w:tcPr>
            <w:tcW w:w="1647" w:type="dxa"/>
            <w:gridSpan w:val="3"/>
            <w:vAlign w:val="center"/>
          </w:tcPr>
          <w:p>
            <w:pPr>
              <w:spacing w:line="360" w:lineRule="exact"/>
              <w:rPr>
                <w:rFonts w:hint="eastAsia" w:ascii="宋体" w:hAnsi="宋体" w:cs="宋体"/>
              </w:rPr>
            </w:pPr>
            <w:r>
              <w:rPr>
                <w:rFonts w:hint="eastAsia" w:ascii="宋体" w:hAnsi="宋体" w:cs="宋体"/>
                <w:kern w:val="0"/>
                <w:szCs w:val="21"/>
              </w:rPr>
              <w:t>内容完整性和编制水平</w:t>
            </w:r>
          </w:p>
          <w:p>
            <w:pPr>
              <w:spacing w:line="324" w:lineRule="auto"/>
              <w:jc w:val="left"/>
              <w:rPr>
                <w:rFonts w:ascii="宋体" w:hAnsi="宋体" w:cs="宋体"/>
                <w:kern w:val="0"/>
                <w:szCs w:val="21"/>
              </w:rPr>
            </w:pPr>
            <w:r>
              <w:rPr>
                <w:rFonts w:hint="eastAsia" w:ascii="宋体" w:hAnsi="宋体" w:cs="宋体"/>
                <w:kern w:val="0"/>
                <w:szCs w:val="21"/>
              </w:rPr>
              <w:t>制定服务工作方案，要求维修服务目标明确，服务程序科学规范，服务方法可行有效，人员安排精干高效，质量控制措施可操作性强。</w:t>
            </w:r>
          </w:p>
        </w:tc>
        <w:tc>
          <w:tcPr>
            <w:tcW w:w="840" w:type="dxa"/>
            <w:gridSpan w:val="2"/>
            <w:vAlign w:val="center"/>
          </w:tcPr>
          <w:p>
            <w:pPr>
              <w:spacing w:line="324" w:lineRule="auto"/>
              <w:jc w:val="left"/>
              <w:rPr>
                <w:rFonts w:ascii="宋体" w:hAnsi="宋体" w:cs="宋体"/>
                <w:kern w:val="0"/>
                <w:szCs w:val="21"/>
              </w:rPr>
            </w:pPr>
            <w:r>
              <w:rPr>
                <w:rFonts w:hint="eastAsia" w:ascii="宋体" w:hAnsi="宋体" w:cs="宋体"/>
                <w:kern w:val="0"/>
                <w:szCs w:val="21"/>
                <w:lang w:val="en-US" w:eastAsia="zh-CN"/>
              </w:rPr>
              <w:t>6</w:t>
            </w:r>
            <w:r>
              <w:rPr>
                <w:rFonts w:hint="eastAsia" w:ascii="宋体" w:hAnsi="宋体" w:cs="宋体"/>
                <w:kern w:val="0"/>
                <w:szCs w:val="21"/>
              </w:rPr>
              <w:t>分</w:t>
            </w:r>
          </w:p>
        </w:tc>
        <w:tc>
          <w:tcPr>
            <w:tcW w:w="5217" w:type="dxa"/>
            <w:vAlign w:val="center"/>
          </w:tcPr>
          <w:p>
            <w:pPr>
              <w:spacing w:line="324" w:lineRule="auto"/>
              <w:rPr>
                <w:rFonts w:ascii="宋体" w:hAnsi="宋体"/>
                <w:szCs w:val="21"/>
              </w:rPr>
            </w:pPr>
            <w:r>
              <w:rPr>
                <w:rFonts w:hint="eastAsia" w:ascii="宋体" w:hAnsi="宋体"/>
                <w:bCs/>
                <w:color w:val="000000"/>
                <w:szCs w:val="21"/>
              </w:rPr>
              <w:t>根据编制水平的优劣打分0-</w:t>
            </w:r>
            <w:r>
              <w:rPr>
                <w:rFonts w:hint="eastAsia" w:ascii="宋体" w:hAnsi="宋体"/>
                <w:bCs/>
                <w:color w:val="000000"/>
                <w:szCs w:val="21"/>
                <w:lang w:val="en-US" w:eastAsia="zh-CN"/>
              </w:rPr>
              <w:t>6</w:t>
            </w:r>
            <w:r>
              <w:rPr>
                <w:rFonts w:hint="eastAsia" w:ascii="宋体" w:hAnsi="宋体"/>
                <w:bCs/>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579" w:type="dxa"/>
            <w:vAlign w:val="center"/>
          </w:tcPr>
          <w:p>
            <w:pPr>
              <w:spacing w:line="324" w:lineRule="auto"/>
              <w:rPr>
                <w:rFonts w:ascii="宋体" w:hAnsi="宋体" w:cs="宋体"/>
                <w:kern w:val="0"/>
                <w:szCs w:val="21"/>
              </w:rPr>
            </w:pPr>
            <w:r>
              <w:rPr>
                <w:rFonts w:ascii="宋体" w:hAnsi="宋体" w:cs="宋体"/>
                <w:kern w:val="0"/>
                <w:szCs w:val="21"/>
              </w:rPr>
              <w:t>B</w:t>
            </w:r>
          </w:p>
        </w:tc>
        <w:tc>
          <w:tcPr>
            <w:tcW w:w="1654" w:type="dxa"/>
            <w:gridSpan w:val="4"/>
            <w:vAlign w:val="center"/>
          </w:tcPr>
          <w:p>
            <w:pPr>
              <w:spacing w:line="360" w:lineRule="exact"/>
              <w:jc w:val="left"/>
              <w:rPr>
                <w:rFonts w:hint="eastAsia" w:ascii="宋体" w:hAnsi="宋体" w:cs="宋体"/>
              </w:rPr>
            </w:pPr>
            <w:r>
              <w:rPr>
                <w:rFonts w:hint="eastAsia" w:ascii="宋体" w:hAnsi="宋体" w:cs="宋体"/>
                <w:kern w:val="0"/>
              </w:rPr>
              <w:t>服务方式与技术措施</w:t>
            </w:r>
            <w:r>
              <w:rPr>
                <w:rFonts w:hint="eastAsia" w:ascii="宋体" w:hAnsi="宋体" w:cs="宋体"/>
              </w:rPr>
              <w:t>：</w:t>
            </w:r>
          </w:p>
          <w:p>
            <w:pPr>
              <w:spacing w:line="324" w:lineRule="auto"/>
              <w:jc w:val="left"/>
              <w:rPr>
                <w:rFonts w:ascii="宋体" w:hAnsi="宋体" w:cs="宋体"/>
                <w:kern w:val="0"/>
                <w:szCs w:val="21"/>
              </w:rPr>
            </w:pPr>
            <w:r>
              <w:rPr>
                <w:rFonts w:hint="eastAsia" w:ascii="宋体" w:hAnsi="宋体" w:cs="宋体"/>
              </w:rPr>
              <w:t>服务</w:t>
            </w:r>
            <w:r>
              <w:rPr>
                <w:rFonts w:hint="eastAsia" w:ascii="宋体" w:hAnsi="宋体" w:cs="宋体"/>
                <w:kern w:val="0"/>
                <w:szCs w:val="21"/>
              </w:rPr>
              <w:t>方法可行有效，拟组建的项目班子成员设置合理；包含班子设置、人员安排、</w:t>
            </w:r>
            <w:r>
              <w:rPr>
                <w:rFonts w:hint="eastAsia" w:ascii="宋体" w:hAnsi="宋体" w:cs="宋体"/>
              </w:rPr>
              <w:t>人员分工等。</w:t>
            </w:r>
          </w:p>
        </w:tc>
        <w:tc>
          <w:tcPr>
            <w:tcW w:w="833" w:type="dxa"/>
            <w:vAlign w:val="center"/>
          </w:tcPr>
          <w:p>
            <w:pPr>
              <w:spacing w:line="324" w:lineRule="auto"/>
              <w:jc w:val="left"/>
              <w:rPr>
                <w:rFonts w:ascii="宋体" w:hAnsi="宋体" w:cs="宋体"/>
                <w:kern w:val="0"/>
                <w:szCs w:val="21"/>
              </w:rPr>
            </w:pPr>
            <w:r>
              <w:rPr>
                <w:rFonts w:hint="eastAsia" w:ascii="宋体" w:hAnsi="宋体" w:cs="宋体"/>
                <w:kern w:val="0"/>
                <w:szCs w:val="21"/>
                <w:lang w:val="en-US" w:eastAsia="zh-CN"/>
              </w:rPr>
              <w:t>6</w:t>
            </w:r>
            <w:r>
              <w:rPr>
                <w:rFonts w:hint="eastAsia" w:ascii="宋体" w:hAnsi="宋体" w:cs="宋体"/>
                <w:kern w:val="0"/>
                <w:szCs w:val="21"/>
              </w:rPr>
              <w:t>分</w:t>
            </w:r>
          </w:p>
        </w:tc>
        <w:tc>
          <w:tcPr>
            <w:tcW w:w="5217" w:type="dxa"/>
            <w:vAlign w:val="center"/>
          </w:tcPr>
          <w:p>
            <w:pPr>
              <w:spacing w:line="324" w:lineRule="auto"/>
              <w:rPr>
                <w:rFonts w:ascii="宋体" w:hAnsi="宋体"/>
                <w:szCs w:val="21"/>
              </w:rPr>
            </w:pPr>
            <w:r>
              <w:rPr>
                <w:rFonts w:hint="eastAsia" w:ascii="宋体" w:hAnsi="宋体"/>
                <w:szCs w:val="21"/>
              </w:rPr>
              <w:t>根据编制水平的优劣打分0-</w:t>
            </w:r>
            <w:r>
              <w:rPr>
                <w:rFonts w:hint="eastAsia" w:ascii="宋体" w:hAnsi="宋体"/>
                <w:szCs w:val="21"/>
                <w:lang w:val="en-US" w:eastAsia="zh-CN"/>
              </w:rPr>
              <w:t>6</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79" w:type="dxa"/>
            <w:vAlign w:val="center"/>
          </w:tcPr>
          <w:p>
            <w:pPr>
              <w:spacing w:line="324" w:lineRule="auto"/>
              <w:rPr>
                <w:rFonts w:ascii="宋体" w:hAnsi="宋体" w:cs="宋体"/>
                <w:kern w:val="0"/>
                <w:szCs w:val="21"/>
              </w:rPr>
            </w:pPr>
            <w:r>
              <w:rPr>
                <w:rFonts w:ascii="宋体" w:hAnsi="宋体" w:cs="宋体"/>
                <w:kern w:val="0"/>
                <w:szCs w:val="21"/>
              </w:rPr>
              <w:t>C</w:t>
            </w:r>
          </w:p>
        </w:tc>
        <w:tc>
          <w:tcPr>
            <w:tcW w:w="1654" w:type="dxa"/>
            <w:gridSpan w:val="4"/>
            <w:vAlign w:val="center"/>
          </w:tcPr>
          <w:p>
            <w:pPr>
              <w:spacing w:line="360" w:lineRule="exact"/>
              <w:jc w:val="left"/>
              <w:rPr>
                <w:rFonts w:hint="eastAsia" w:ascii="宋体" w:hAnsi="宋体" w:cs="宋体"/>
              </w:rPr>
            </w:pPr>
            <w:r>
              <w:rPr>
                <w:rFonts w:hint="eastAsia" w:ascii="宋体" w:hAnsi="宋体" w:cs="宋体"/>
                <w:kern w:val="0"/>
              </w:rPr>
              <w:t>质量管理体系与措施</w:t>
            </w:r>
          </w:p>
          <w:p>
            <w:pPr>
              <w:spacing w:line="324" w:lineRule="auto"/>
              <w:jc w:val="left"/>
              <w:rPr>
                <w:rFonts w:ascii="宋体" w:hAnsi="宋体" w:cs="宋体"/>
                <w:kern w:val="0"/>
                <w:szCs w:val="21"/>
              </w:rPr>
            </w:pPr>
            <w:r>
              <w:rPr>
                <w:rFonts w:hint="eastAsia" w:ascii="宋体" w:hAnsi="宋体" w:cs="宋体"/>
                <w:kern w:val="0"/>
                <w:szCs w:val="21"/>
              </w:rPr>
              <w:t>包含：现场施工控制目标、工作依据、工作内容、工作程序、服务质量控制措施及承诺等；</w:t>
            </w:r>
          </w:p>
        </w:tc>
        <w:tc>
          <w:tcPr>
            <w:tcW w:w="833" w:type="dxa"/>
            <w:vAlign w:val="center"/>
          </w:tcPr>
          <w:p>
            <w:pPr>
              <w:spacing w:line="324" w:lineRule="auto"/>
              <w:jc w:val="left"/>
              <w:rPr>
                <w:rFonts w:ascii="宋体" w:hAnsi="宋体" w:cs="宋体"/>
                <w:kern w:val="0"/>
                <w:szCs w:val="21"/>
              </w:rPr>
            </w:pPr>
            <w:r>
              <w:rPr>
                <w:rFonts w:hint="eastAsia" w:ascii="宋体" w:hAnsi="宋体" w:cs="宋体"/>
                <w:kern w:val="0"/>
                <w:szCs w:val="21"/>
                <w:lang w:val="en-US" w:eastAsia="zh-CN"/>
              </w:rPr>
              <w:t>4</w:t>
            </w:r>
            <w:r>
              <w:rPr>
                <w:rFonts w:hint="eastAsia" w:ascii="宋体" w:hAnsi="宋体" w:cs="宋体"/>
                <w:kern w:val="0"/>
                <w:szCs w:val="21"/>
              </w:rPr>
              <w:t>分</w:t>
            </w:r>
          </w:p>
        </w:tc>
        <w:tc>
          <w:tcPr>
            <w:tcW w:w="5217" w:type="dxa"/>
            <w:vAlign w:val="center"/>
          </w:tcPr>
          <w:p>
            <w:pPr>
              <w:spacing w:line="324" w:lineRule="auto"/>
              <w:rPr>
                <w:rFonts w:ascii="宋体" w:hAnsi="宋体"/>
                <w:szCs w:val="21"/>
              </w:rPr>
            </w:pPr>
            <w:r>
              <w:rPr>
                <w:rFonts w:hint="eastAsia" w:ascii="宋体" w:hAnsi="宋体"/>
                <w:szCs w:val="21"/>
              </w:rPr>
              <w:t>根据优劣打分0-</w:t>
            </w:r>
            <w:r>
              <w:rPr>
                <w:rFonts w:hint="eastAsia" w:ascii="宋体" w:hAnsi="宋体"/>
                <w:szCs w:val="21"/>
                <w:lang w:val="en-US" w:eastAsia="zh-CN"/>
              </w:rPr>
              <w:t>4</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79" w:type="dxa"/>
            <w:vAlign w:val="center"/>
          </w:tcPr>
          <w:p>
            <w:pPr>
              <w:spacing w:line="324" w:lineRule="auto"/>
              <w:rPr>
                <w:rFonts w:ascii="宋体" w:hAnsi="宋体" w:cs="宋体"/>
                <w:kern w:val="0"/>
                <w:szCs w:val="21"/>
              </w:rPr>
            </w:pPr>
            <w:r>
              <w:rPr>
                <w:rFonts w:hint="eastAsia" w:ascii="宋体" w:hAnsi="宋体" w:cs="宋体"/>
                <w:kern w:val="0"/>
                <w:szCs w:val="21"/>
              </w:rPr>
              <w:t>D</w:t>
            </w:r>
          </w:p>
        </w:tc>
        <w:tc>
          <w:tcPr>
            <w:tcW w:w="1654" w:type="dxa"/>
            <w:gridSpan w:val="4"/>
            <w:vAlign w:val="center"/>
          </w:tcPr>
          <w:p>
            <w:pPr>
              <w:spacing w:line="360" w:lineRule="exact"/>
              <w:jc w:val="left"/>
              <w:rPr>
                <w:rFonts w:hint="eastAsia" w:ascii="宋体" w:hAnsi="宋体" w:cs="宋体"/>
              </w:rPr>
            </w:pPr>
            <w:r>
              <w:rPr>
                <w:rFonts w:hint="eastAsia" w:ascii="宋体" w:hAnsi="宋体" w:cs="宋体"/>
                <w:kern w:val="0"/>
              </w:rPr>
              <w:t>安全管理体系与措施</w:t>
            </w:r>
          </w:p>
          <w:p>
            <w:pPr>
              <w:spacing w:line="324" w:lineRule="auto"/>
              <w:jc w:val="left"/>
              <w:rPr>
                <w:rFonts w:ascii="宋体"/>
                <w:szCs w:val="20"/>
                <w:shd w:val="clear" w:color="000000" w:fill="FFFFFF"/>
              </w:rPr>
            </w:pPr>
            <w:r>
              <w:rPr>
                <w:rFonts w:hint="eastAsia" w:ascii="宋体" w:hAnsi="宋体"/>
              </w:rPr>
              <w:t>安全管理体系健全有效，施工安全专项方案及安全管理保证措施具有针对性、文明施工和防止扰民措施是否得当等。</w:t>
            </w:r>
          </w:p>
        </w:tc>
        <w:tc>
          <w:tcPr>
            <w:tcW w:w="833" w:type="dxa"/>
            <w:vAlign w:val="center"/>
          </w:tcPr>
          <w:p>
            <w:pPr>
              <w:spacing w:line="324" w:lineRule="auto"/>
              <w:jc w:val="left"/>
              <w:rPr>
                <w:rFonts w:ascii="宋体" w:hAnsi="宋体" w:cs="宋体"/>
                <w:kern w:val="0"/>
                <w:szCs w:val="21"/>
              </w:rPr>
            </w:pPr>
            <w:r>
              <w:rPr>
                <w:rFonts w:hint="eastAsia" w:ascii="宋体" w:hAnsi="宋体" w:cs="宋体"/>
                <w:kern w:val="0"/>
                <w:szCs w:val="21"/>
                <w:lang w:val="en-US" w:eastAsia="zh-CN"/>
              </w:rPr>
              <w:t>4</w:t>
            </w:r>
            <w:r>
              <w:rPr>
                <w:rFonts w:hint="eastAsia" w:ascii="宋体" w:hAnsi="宋体" w:cs="宋体"/>
                <w:kern w:val="0"/>
                <w:szCs w:val="21"/>
              </w:rPr>
              <w:t>分</w:t>
            </w:r>
          </w:p>
        </w:tc>
        <w:tc>
          <w:tcPr>
            <w:tcW w:w="5217" w:type="dxa"/>
            <w:vAlign w:val="center"/>
          </w:tcPr>
          <w:p>
            <w:pPr>
              <w:spacing w:line="324" w:lineRule="auto"/>
              <w:rPr>
                <w:rFonts w:ascii="宋体"/>
                <w:szCs w:val="20"/>
                <w:shd w:val="clear" w:color="000000" w:fill="FFFFFF"/>
              </w:rPr>
            </w:pPr>
            <w:r>
              <w:rPr>
                <w:rFonts w:hint="eastAsia" w:ascii="宋体" w:hAnsi="宋体" w:cs="宋体"/>
                <w:color w:val="000000"/>
              </w:rPr>
              <w:t>根据优劣打分0-</w:t>
            </w:r>
            <w:r>
              <w:rPr>
                <w:rFonts w:hint="eastAsia" w:ascii="宋体" w:hAnsi="宋体" w:cs="宋体"/>
                <w:color w:val="000000"/>
                <w:lang w:val="en-US" w:eastAsia="zh-CN"/>
              </w:rPr>
              <w:t>4</w:t>
            </w:r>
            <w:r>
              <w:rPr>
                <w:rFonts w:hint="eastAsia" w:ascii="宋体" w:hAnsi="宋体" w:cs="宋体"/>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79" w:type="dxa"/>
            <w:vAlign w:val="center"/>
          </w:tcPr>
          <w:p>
            <w:pPr>
              <w:spacing w:line="324" w:lineRule="auto"/>
              <w:rPr>
                <w:rFonts w:ascii="宋体" w:hAnsi="宋体" w:cs="宋体"/>
                <w:kern w:val="0"/>
                <w:szCs w:val="21"/>
              </w:rPr>
            </w:pPr>
            <w:r>
              <w:rPr>
                <w:rFonts w:hint="eastAsia" w:ascii="宋体" w:hAnsi="宋体" w:cs="宋体"/>
                <w:kern w:val="0"/>
                <w:szCs w:val="21"/>
              </w:rPr>
              <w:t>E</w:t>
            </w:r>
          </w:p>
        </w:tc>
        <w:tc>
          <w:tcPr>
            <w:tcW w:w="1654" w:type="dxa"/>
            <w:gridSpan w:val="4"/>
            <w:vAlign w:val="center"/>
          </w:tcPr>
          <w:p>
            <w:pPr>
              <w:spacing w:line="360" w:lineRule="exact"/>
              <w:jc w:val="left"/>
              <w:rPr>
                <w:rFonts w:hint="eastAsia" w:ascii="宋体" w:hAnsi="宋体" w:cs="宋体"/>
              </w:rPr>
            </w:pPr>
            <w:r>
              <w:rPr>
                <w:rFonts w:hint="eastAsia" w:ascii="宋体" w:hAnsi="宋体" w:cs="宋体"/>
                <w:kern w:val="0"/>
              </w:rPr>
              <w:t>环境保护管理体系措施</w:t>
            </w:r>
          </w:p>
          <w:p>
            <w:pPr>
              <w:spacing w:line="324" w:lineRule="auto"/>
              <w:jc w:val="left"/>
              <w:rPr>
                <w:rFonts w:ascii="宋体" w:hAnsi="宋体" w:cs="宋体"/>
                <w:color w:val="000000"/>
                <w:kern w:val="0"/>
                <w:szCs w:val="21"/>
              </w:rPr>
            </w:pPr>
            <w:r>
              <w:rPr>
                <w:rFonts w:hint="eastAsia" w:ascii="宋体" w:hAnsi="宋体" w:cs="宋体"/>
              </w:rPr>
              <w:t xml:space="preserve">  </w:t>
            </w:r>
            <w:r>
              <w:rPr>
                <w:rFonts w:hint="eastAsia" w:ascii="宋体" w:hAnsi="宋体"/>
              </w:rPr>
              <w:t>环境管理体系健全有效，环境管理保证措施具有针对性，环境保护管理体系措施是否得当。</w:t>
            </w:r>
          </w:p>
        </w:tc>
        <w:tc>
          <w:tcPr>
            <w:tcW w:w="833" w:type="dxa"/>
            <w:vAlign w:val="center"/>
          </w:tcPr>
          <w:p>
            <w:pPr>
              <w:spacing w:line="324" w:lineRule="auto"/>
              <w:jc w:val="left"/>
              <w:rPr>
                <w:rFonts w:ascii="宋体" w:hAnsi="宋体" w:cs="宋体"/>
                <w:kern w:val="0"/>
                <w:szCs w:val="21"/>
              </w:rPr>
            </w:pPr>
            <w:r>
              <w:rPr>
                <w:rFonts w:hint="eastAsia" w:ascii="宋体" w:hAnsi="宋体" w:cs="宋体"/>
                <w:kern w:val="0"/>
                <w:szCs w:val="21"/>
                <w:lang w:val="en-US" w:eastAsia="zh-CN"/>
              </w:rPr>
              <w:t>3</w:t>
            </w:r>
            <w:r>
              <w:rPr>
                <w:rFonts w:hint="eastAsia" w:ascii="宋体" w:hAnsi="宋体" w:cs="宋体"/>
                <w:kern w:val="0"/>
                <w:szCs w:val="21"/>
              </w:rPr>
              <w:t>分</w:t>
            </w:r>
          </w:p>
        </w:tc>
        <w:tc>
          <w:tcPr>
            <w:tcW w:w="5217" w:type="dxa"/>
            <w:vAlign w:val="center"/>
          </w:tcPr>
          <w:p>
            <w:pPr>
              <w:spacing w:line="324" w:lineRule="auto"/>
              <w:rPr>
                <w:rFonts w:ascii="宋体" w:hAnsi="宋体" w:cs="宋体"/>
                <w:color w:val="000000"/>
              </w:rPr>
            </w:pPr>
            <w:r>
              <w:rPr>
                <w:rFonts w:hint="eastAsia" w:ascii="宋体" w:hAnsi="宋体" w:cs="宋体"/>
                <w:color w:val="000000"/>
              </w:rPr>
              <w:t>根据编制水平的优劣打分0-</w:t>
            </w:r>
            <w:r>
              <w:rPr>
                <w:rFonts w:hint="eastAsia" w:ascii="宋体" w:hAnsi="宋体" w:cs="宋体"/>
                <w:color w:val="000000"/>
                <w:lang w:val="en-US" w:eastAsia="zh-CN"/>
              </w:rPr>
              <w:t>3</w:t>
            </w:r>
            <w:r>
              <w:rPr>
                <w:rFonts w:hint="eastAsia" w:ascii="宋体" w:hAnsi="宋体" w:cs="宋体"/>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79" w:type="dxa"/>
            <w:vAlign w:val="center"/>
          </w:tcPr>
          <w:p>
            <w:pPr>
              <w:spacing w:line="324" w:lineRule="auto"/>
              <w:rPr>
                <w:rFonts w:hint="default" w:ascii="宋体" w:hAnsi="宋体" w:eastAsia="宋体" w:cs="宋体"/>
                <w:kern w:val="0"/>
                <w:szCs w:val="21"/>
                <w:lang w:val="en-US" w:eastAsia="zh-CN"/>
              </w:rPr>
            </w:pPr>
            <w:r>
              <w:rPr>
                <w:rFonts w:hint="eastAsia" w:ascii="宋体" w:hAnsi="宋体" w:cs="宋体"/>
                <w:kern w:val="0"/>
                <w:szCs w:val="21"/>
                <w:lang w:val="en-US" w:eastAsia="zh-CN"/>
              </w:rPr>
              <w:t>F</w:t>
            </w:r>
          </w:p>
        </w:tc>
        <w:tc>
          <w:tcPr>
            <w:tcW w:w="1654" w:type="dxa"/>
            <w:gridSpan w:val="4"/>
            <w:vAlign w:val="center"/>
          </w:tcPr>
          <w:p>
            <w:pPr>
              <w:spacing w:line="360" w:lineRule="exact"/>
              <w:jc w:val="left"/>
              <w:rPr>
                <w:rFonts w:hint="eastAsia" w:ascii="宋体" w:hAnsi="宋体" w:cs="宋体"/>
                <w:kern w:val="0"/>
              </w:rPr>
            </w:pPr>
            <w:r>
              <w:rPr>
                <w:rFonts w:hint="eastAsia" w:ascii="宋体" w:hAnsi="宋体" w:cs="宋体"/>
                <w:kern w:val="0"/>
              </w:rPr>
              <w:t>工程进度计划与措施</w:t>
            </w:r>
          </w:p>
          <w:p>
            <w:pPr>
              <w:spacing w:line="324" w:lineRule="auto"/>
              <w:jc w:val="left"/>
              <w:rPr>
                <w:rFonts w:hint="eastAsia" w:ascii="宋体" w:hAnsi="宋体" w:cs="宋体"/>
              </w:rPr>
            </w:pPr>
            <w:r>
              <w:rPr>
                <w:rFonts w:hint="eastAsia" w:ascii="宋体" w:hAnsi="宋体"/>
              </w:rPr>
              <w:t>如何满足委派维修项目进度要求，可行、合理地实现进度安排的保证措施，如何保证工期安排，确保质量、降低成本、缩短工期、减轻劳动强度、提高工效等方面。</w:t>
            </w:r>
          </w:p>
        </w:tc>
        <w:tc>
          <w:tcPr>
            <w:tcW w:w="833" w:type="dxa"/>
            <w:vAlign w:val="center"/>
          </w:tcPr>
          <w:p>
            <w:pPr>
              <w:spacing w:line="324" w:lineRule="auto"/>
              <w:jc w:val="left"/>
              <w:rPr>
                <w:rFonts w:hint="default" w:ascii="宋体" w:hAnsi="宋体" w:cs="宋体"/>
                <w:kern w:val="0"/>
                <w:szCs w:val="21"/>
                <w:lang w:val="en-US" w:eastAsia="zh-CN"/>
              </w:rPr>
            </w:pPr>
            <w:r>
              <w:rPr>
                <w:rFonts w:hint="eastAsia" w:ascii="宋体" w:hAnsi="宋体" w:cs="宋体"/>
                <w:kern w:val="0"/>
                <w:szCs w:val="21"/>
                <w:lang w:val="en-US" w:eastAsia="zh-CN"/>
              </w:rPr>
              <w:t>3分</w:t>
            </w:r>
          </w:p>
        </w:tc>
        <w:tc>
          <w:tcPr>
            <w:tcW w:w="5217" w:type="dxa"/>
            <w:vAlign w:val="center"/>
          </w:tcPr>
          <w:p>
            <w:pPr>
              <w:spacing w:line="324" w:lineRule="auto"/>
              <w:rPr>
                <w:rFonts w:hint="eastAsia" w:ascii="宋体" w:hAnsi="宋体" w:cs="宋体"/>
                <w:color w:val="000000"/>
              </w:rPr>
            </w:pPr>
            <w:r>
              <w:rPr>
                <w:rFonts w:hint="eastAsia" w:ascii="宋体" w:hAnsi="宋体" w:cs="宋体"/>
                <w:color w:val="000000"/>
              </w:rPr>
              <w:t>根据编制水平的优劣打分0-</w:t>
            </w:r>
            <w:r>
              <w:rPr>
                <w:rFonts w:hint="eastAsia" w:ascii="宋体" w:hAnsi="宋体" w:cs="宋体"/>
                <w:color w:val="000000"/>
                <w:lang w:val="en-US" w:eastAsia="zh-CN"/>
              </w:rPr>
              <w:t>3</w:t>
            </w:r>
            <w:r>
              <w:rPr>
                <w:rFonts w:hint="eastAsia" w:ascii="宋体" w:hAnsi="宋体" w:cs="宋体"/>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79" w:type="dxa"/>
            <w:vAlign w:val="center"/>
          </w:tcPr>
          <w:p>
            <w:pPr>
              <w:spacing w:line="324" w:lineRule="auto"/>
              <w:rPr>
                <w:rFonts w:hint="default" w:ascii="宋体" w:hAnsi="宋体" w:cs="宋体"/>
                <w:kern w:val="0"/>
                <w:szCs w:val="21"/>
                <w:lang w:val="en-US" w:eastAsia="zh-CN"/>
              </w:rPr>
            </w:pPr>
            <w:r>
              <w:rPr>
                <w:rFonts w:hint="eastAsia" w:ascii="宋体" w:hAnsi="宋体" w:cs="宋体"/>
                <w:kern w:val="0"/>
                <w:szCs w:val="21"/>
                <w:lang w:val="en-US" w:eastAsia="zh-CN"/>
              </w:rPr>
              <w:t>G</w:t>
            </w:r>
          </w:p>
        </w:tc>
        <w:tc>
          <w:tcPr>
            <w:tcW w:w="1654" w:type="dxa"/>
            <w:gridSpan w:val="4"/>
            <w:vAlign w:val="center"/>
          </w:tcPr>
          <w:p>
            <w:pPr>
              <w:spacing w:line="360" w:lineRule="exact"/>
              <w:jc w:val="left"/>
              <w:rPr>
                <w:rFonts w:hint="eastAsia" w:ascii="宋体" w:hAnsi="宋体" w:cs="宋体"/>
                <w:kern w:val="0"/>
              </w:rPr>
            </w:pPr>
            <w:r>
              <w:rPr>
                <w:rFonts w:hint="eastAsia" w:ascii="宋体" w:hAnsi="宋体" w:cs="宋体"/>
                <w:kern w:val="0"/>
              </w:rPr>
              <w:t>资源配备计划与先进性</w:t>
            </w:r>
          </w:p>
          <w:p>
            <w:pPr>
              <w:spacing w:line="324" w:lineRule="auto"/>
              <w:jc w:val="left"/>
              <w:rPr>
                <w:rFonts w:hint="eastAsia" w:ascii="宋体" w:hAnsi="宋体"/>
              </w:rPr>
            </w:pPr>
            <w:r>
              <w:rPr>
                <w:rFonts w:hint="eastAsia" w:ascii="宋体" w:hAnsi="宋体" w:cs="宋体"/>
                <w:kern w:val="0"/>
              </w:rPr>
              <w:t xml:space="preserve">  </w:t>
            </w:r>
            <w:r>
              <w:rPr>
                <w:rFonts w:hint="eastAsia" w:ascii="宋体" w:hAnsi="宋体" w:cs="宋体"/>
              </w:rPr>
              <w:t>如何保证</w:t>
            </w:r>
            <w:r>
              <w:rPr>
                <w:rFonts w:hint="eastAsia" w:ascii="宋体" w:hAnsi="宋体"/>
              </w:rPr>
              <w:t>施工机械设备、临时设施等配备满足施工需要，各专业劳动力和工种如何配置、投入计划安排合理，针对本项目特点，提供给建设方的合理化建议，有利于保障工程质量、进度、安全方面的先进技术和措施。</w:t>
            </w:r>
          </w:p>
        </w:tc>
        <w:tc>
          <w:tcPr>
            <w:tcW w:w="833" w:type="dxa"/>
            <w:vAlign w:val="center"/>
          </w:tcPr>
          <w:p>
            <w:pPr>
              <w:spacing w:line="324" w:lineRule="auto"/>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4分</w:t>
            </w:r>
          </w:p>
        </w:tc>
        <w:tc>
          <w:tcPr>
            <w:tcW w:w="5217" w:type="dxa"/>
            <w:vAlign w:val="center"/>
          </w:tcPr>
          <w:p>
            <w:pPr>
              <w:spacing w:line="324" w:lineRule="auto"/>
              <w:rPr>
                <w:rFonts w:hint="eastAsia" w:ascii="宋体" w:hAnsi="宋体" w:cs="宋体"/>
                <w:color w:val="000000"/>
              </w:rPr>
            </w:pPr>
            <w:r>
              <w:rPr>
                <w:rFonts w:hint="eastAsia" w:ascii="宋体" w:hAnsi="宋体" w:cs="宋体"/>
                <w:color w:val="000000"/>
              </w:rPr>
              <w:t>根据编制水平的优劣打分0-</w:t>
            </w:r>
            <w:r>
              <w:rPr>
                <w:rFonts w:hint="eastAsia" w:ascii="宋体" w:hAnsi="宋体" w:cs="宋体"/>
                <w:color w:val="000000"/>
                <w:lang w:val="en-US" w:eastAsia="zh-CN"/>
              </w:rPr>
              <w:t>4</w:t>
            </w:r>
            <w:r>
              <w:rPr>
                <w:rFonts w:hint="eastAsia" w:ascii="宋体" w:hAnsi="宋体" w:cs="宋体"/>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79" w:type="dxa"/>
            <w:vMerge w:val="restart"/>
            <w:vAlign w:val="center"/>
          </w:tcPr>
          <w:p>
            <w:pPr>
              <w:spacing w:line="324" w:lineRule="auto"/>
              <w:rPr>
                <w:rFonts w:hint="eastAsia" w:ascii="宋体" w:hAnsi="宋体" w:eastAsia="宋体" w:cs="宋体"/>
                <w:kern w:val="0"/>
                <w:szCs w:val="21"/>
                <w:lang w:eastAsia="zh-CN"/>
              </w:rPr>
            </w:pPr>
            <w:r>
              <w:rPr>
                <w:rFonts w:hint="eastAsia" w:ascii="宋体" w:hAnsi="宋体" w:cs="宋体"/>
                <w:kern w:val="0"/>
                <w:szCs w:val="21"/>
                <w:lang w:val="en-US" w:eastAsia="zh-CN"/>
              </w:rPr>
              <w:t>H</w:t>
            </w:r>
          </w:p>
        </w:tc>
        <w:tc>
          <w:tcPr>
            <w:tcW w:w="1654" w:type="dxa"/>
            <w:gridSpan w:val="4"/>
            <w:vMerge w:val="restart"/>
            <w:vAlign w:val="center"/>
          </w:tcPr>
          <w:p>
            <w:pPr>
              <w:spacing w:line="324" w:lineRule="auto"/>
              <w:rPr>
                <w:rFonts w:ascii="宋体" w:hAnsi="宋体" w:cs="宋体"/>
                <w:kern w:val="0"/>
                <w:szCs w:val="21"/>
              </w:rPr>
            </w:pPr>
            <w:r>
              <w:rPr>
                <w:rFonts w:hint="eastAsia"/>
                <w:szCs w:val="21"/>
              </w:rPr>
              <w:t>竞标价</w:t>
            </w:r>
          </w:p>
        </w:tc>
        <w:tc>
          <w:tcPr>
            <w:tcW w:w="833" w:type="dxa"/>
            <w:vMerge w:val="restart"/>
            <w:vAlign w:val="center"/>
          </w:tcPr>
          <w:p>
            <w:pPr>
              <w:spacing w:line="324" w:lineRule="auto"/>
              <w:rPr>
                <w:rFonts w:ascii="宋体" w:hAnsi="宋体" w:cs="宋体"/>
                <w:kern w:val="0"/>
                <w:szCs w:val="21"/>
              </w:rPr>
            </w:pPr>
            <w:r>
              <w:rPr>
                <w:rFonts w:hint="eastAsia" w:ascii="宋体" w:hAnsi="宋体" w:cs="宋体"/>
                <w:kern w:val="0"/>
                <w:szCs w:val="21"/>
              </w:rPr>
              <w:t>70分</w:t>
            </w:r>
          </w:p>
        </w:tc>
        <w:tc>
          <w:tcPr>
            <w:tcW w:w="5217" w:type="dxa"/>
          </w:tcPr>
          <w:p>
            <w:pPr>
              <w:spacing w:line="324" w:lineRule="auto"/>
              <w:rPr>
                <w:rFonts w:ascii="宋体" w:hAnsi="宋体" w:cs="宋体"/>
                <w:kern w:val="0"/>
                <w:szCs w:val="21"/>
              </w:rPr>
            </w:pPr>
            <w:r>
              <w:rPr>
                <w:rFonts w:hint="eastAsia"/>
                <w:szCs w:val="21"/>
              </w:rPr>
              <w:t>竞标价的确定：竞标价＝报价函文字报价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79" w:type="dxa"/>
            <w:vMerge w:val="continue"/>
            <w:vAlign w:val="center"/>
          </w:tcPr>
          <w:p>
            <w:pPr>
              <w:spacing w:line="324" w:lineRule="auto"/>
              <w:rPr>
                <w:rFonts w:ascii="宋体" w:hAnsi="宋体" w:cs="宋体"/>
                <w:kern w:val="0"/>
                <w:szCs w:val="21"/>
              </w:rPr>
            </w:pPr>
          </w:p>
        </w:tc>
        <w:tc>
          <w:tcPr>
            <w:tcW w:w="1654" w:type="dxa"/>
            <w:gridSpan w:val="4"/>
            <w:vMerge w:val="continue"/>
            <w:vAlign w:val="center"/>
          </w:tcPr>
          <w:p>
            <w:pPr>
              <w:spacing w:line="324" w:lineRule="auto"/>
              <w:rPr>
                <w:rFonts w:ascii="宋体" w:hAnsi="宋体" w:cs="宋体"/>
                <w:kern w:val="0"/>
                <w:szCs w:val="21"/>
              </w:rPr>
            </w:pPr>
          </w:p>
        </w:tc>
        <w:tc>
          <w:tcPr>
            <w:tcW w:w="833" w:type="dxa"/>
            <w:vMerge w:val="continue"/>
            <w:vAlign w:val="center"/>
          </w:tcPr>
          <w:p>
            <w:pPr>
              <w:spacing w:line="324" w:lineRule="auto"/>
              <w:rPr>
                <w:rFonts w:ascii="宋体" w:hAnsi="宋体" w:cs="宋体"/>
                <w:kern w:val="0"/>
                <w:szCs w:val="21"/>
              </w:rPr>
            </w:pPr>
          </w:p>
        </w:tc>
        <w:tc>
          <w:tcPr>
            <w:tcW w:w="5217" w:type="dxa"/>
          </w:tcPr>
          <w:p>
            <w:pPr>
              <w:spacing w:line="360" w:lineRule="auto"/>
              <w:rPr>
                <w:rFonts w:ascii="宋体" w:hAnsi="宋体" w:cs="宋体"/>
                <w:szCs w:val="28"/>
              </w:rPr>
            </w:pPr>
            <w:r>
              <w:rPr>
                <w:rFonts w:hint="eastAsia" w:ascii="宋体" w:hAnsi="宋体" w:cs="宋体"/>
                <w:szCs w:val="28"/>
              </w:rPr>
              <w:t>4、本项目的最高限价为：</w:t>
            </w:r>
            <w:r>
              <w:rPr>
                <w:rFonts w:hint="eastAsia" w:ascii="宋体" w:hAnsi="宋体" w:cs="宋体"/>
                <w:szCs w:val="21"/>
                <w:u w:val="single"/>
                <w:lang w:eastAsia="zh-CN"/>
              </w:rPr>
              <w:t>472,667.90</w:t>
            </w:r>
            <w:r>
              <w:rPr>
                <w:rFonts w:hint="eastAsia" w:ascii="宋体" w:hAnsi="宋体" w:cs="宋体"/>
                <w:szCs w:val="28"/>
              </w:rPr>
              <w:t>万元，根据国家现行法律法规、《重庆市招标投标条例》及高速集团、资产公司相关规定，拟采取竞争性比选方式确定项目</w:t>
            </w:r>
            <w:r>
              <w:rPr>
                <w:rFonts w:hint="eastAsia" w:ascii="宋体" w:hAnsi="宋体" w:cs="宋体"/>
                <w:szCs w:val="28"/>
                <w:lang w:eastAsia="zh-CN"/>
              </w:rPr>
              <w:t>维修施工</w:t>
            </w:r>
            <w:r>
              <w:rPr>
                <w:rFonts w:hint="eastAsia" w:ascii="宋体" w:hAnsi="宋体" w:cs="宋体"/>
                <w:szCs w:val="28"/>
              </w:rPr>
              <w:t>单位，比选对象为满足竞争性比选文件的所有比选申请人。</w:t>
            </w:r>
            <w:bookmarkStart w:id="76" w:name="_GoBack"/>
            <w:bookmarkEnd w:id="76"/>
          </w:p>
          <w:p>
            <w:pPr>
              <w:spacing w:line="360" w:lineRule="auto"/>
              <w:rPr>
                <w:rFonts w:ascii="宋体" w:hAnsi="宋体"/>
                <w:szCs w:val="21"/>
              </w:rPr>
            </w:pPr>
            <w:r>
              <w:rPr>
                <w:rFonts w:hint="eastAsia" w:ascii="宋体" w:hAnsi="宋体"/>
                <w:szCs w:val="21"/>
              </w:rPr>
              <w:t>竞标价</w:t>
            </w:r>
            <w:r>
              <w:rPr>
                <w:rFonts w:ascii="宋体" w:hAnsi="宋体"/>
                <w:szCs w:val="21"/>
              </w:rPr>
              <w:t>得分的计算程序：</w:t>
            </w:r>
          </w:p>
          <w:p>
            <w:pPr>
              <w:spacing w:line="360" w:lineRule="auto"/>
              <w:rPr>
                <w:rFonts w:ascii="宋体" w:hAnsi="宋体"/>
                <w:szCs w:val="21"/>
              </w:rPr>
            </w:pPr>
            <w:r>
              <w:rPr>
                <w:rFonts w:hint="eastAsia" w:ascii="宋体" w:hAnsi="宋体"/>
                <w:szCs w:val="21"/>
              </w:rPr>
              <w:t>（1）有效竞标价的确定：不大于最高竞标限价A的竞标价，高于最高竞标限价的投标报价按废标处理，不予进一步评审，并不参与评标基准价的计算。</w:t>
            </w:r>
          </w:p>
          <w:p>
            <w:pPr>
              <w:spacing w:line="360" w:lineRule="auto"/>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竞标基准价</w:t>
            </w:r>
            <w:r>
              <w:rPr>
                <w:rFonts w:ascii="宋体" w:hAnsi="宋体"/>
                <w:szCs w:val="21"/>
              </w:rPr>
              <w:t>（</w:t>
            </w:r>
            <w:r>
              <w:rPr>
                <w:rFonts w:hint="eastAsia" w:ascii="宋体" w:hAnsi="宋体"/>
                <w:szCs w:val="21"/>
              </w:rPr>
              <w:t>D</w:t>
            </w:r>
            <w:r>
              <w:rPr>
                <w:rFonts w:ascii="宋体" w:hAnsi="宋体"/>
                <w:szCs w:val="21"/>
              </w:rPr>
              <w:t>）的计算：</w:t>
            </w:r>
          </w:p>
          <w:p>
            <w:pPr>
              <w:spacing w:line="360" w:lineRule="auto"/>
              <w:rPr>
                <w:rFonts w:ascii="宋体" w:hAnsi="宋体"/>
                <w:szCs w:val="21"/>
              </w:rPr>
            </w:pPr>
            <w:r>
              <w:rPr>
                <w:rFonts w:hint="eastAsia" w:ascii="宋体" w:hAnsi="宋体"/>
                <w:szCs w:val="21"/>
              </w:rPr>
              <w:t>a．所有通过初步评审合格的竞争性比选申请人（比选人设有最高限价的，则竞标总报价高于最高限价的除外）的竞标总报价中去掉六分之一（不能整除的按小数点前整数取整，不足六家报价则不去掉）的最低价和相同家数的最高价后的算术平均值即为竞标总报价的评标基准价。</w:t>
            </w:r>
          </w:p>
          <w:p>
            <w:pPr>
              <w:spacing w:line="360" w:lineRule="auto"/>
              <w:rPr>
                <w:rFonts w:ascii="宋体" w:hAnsi="宋体"/>
                <w:szCs w:val="21"/>
              </w:rPr>
            </w:pPr>
            <w:r>
              <w:rPr>
                <w:rFonts w:hint="eastAsia" w:ascii="宋体" w:hAnsi="宋体"/>
                <w:szCs w:val="21"/>
              </w:rPr>
              <w:t>以上计算取小数点后两位，第三位四舍五入。</w:t>
            </w:r>
          </w:p>
          <w:p>
            <w:pPr>
              <w:spacing w:line="360" w:lineRule="auto"/>
              <w:rPr>
                <w:rFonts w:ascii="宋体" w:hAnsi="宋体"/>
                <w:szCs w:val="21"/>
              </w:rPr>
            </w:pPr>
            <w:r>
              <w:rPr>
                <w:rFonts w:ascii="宋体" w:hAnsi="宋体"/>
                <w:szCs w:val="21"/>
              </w:rPr>
              <w:t>（</w:t>
            </w:r>
            <w:r>
              <w:rPr>
                <w:rFonts w:hint="eastAsia" w:ascii="宋体" w:hAnsi="宋体"/>
                <w:szCs w:val="21"/>
              </w:rPr>
              <w:t>3</w:t>
            </w:r>
            <w:r>
              <w:rPr>
                <w:rFonts w:ascii="宋体" w:hAnsi="宋体"/>
                <w:szCs w:val="21"/>
              </w:rPr>
              <w:t>）当</w:t>
            </w:r>
            <w:r>
              <w:rPr>
                <w:rFonts w:hint="eastAsia" w:ascii="宋体" w:hAnsi="宋体"/>
                <w:szCs w:val="21"/>
              </w:rPr>
              <w:t>比选申请人竞标价</w:t>
            </w:r>
            <w:r>
              <w:rPr>
                <w:rFonts w:ascii="宋体" w:hAnsi="宋体"/>
                <w:szCs w:val="21"/>
              </w:rPr>
              <w:t>等于D时得满分（</w:t>
            </w:r>
            <w:r>
              <w:rPr>
                <w:rFonts w:hint="eastAsia" w:ascii="宋体" w:hAnsi="宋体"/>
                <w:szCs w:val="21"/>
              </w:rPr>
              <w:t>70</w:t>
            </w:r>
            <w:r>
              <w:rPr>
                <w:rFonts w:ascii="宋体" w:hAnsi="宋体"/>
                <w:szCs w:val="21"/>
              </w:rPr>
              <w:t>分），</w:t>
            </w:r>
            <w:r>
              <w:rPr>
                <w:rFonts w:hint="eastAsia" w:ascii="宋体" w:hAnsi="宋体"/>
                <w:color w:val="000000"/>
                <w:szCs w:val="21"/>
              </w:rPr>
              <w:t>在此基础上，投标总报价与评标准基价相比，每增加1%扣</w:t>
            </w:r>
            <w:r>
              <w:rPr>
                <w:rFonts w:hint="eastAsia" w:ascii="宋体" w:hAnsi="宋体"/>
                <w:color w:val="000000"/>
                <w:szCs w:val="21"/>
                <w:u w:val="single"/>
                <w:lang w:val="en-US" w:eastAsia="zh-CN"/>
              </w:rPr>
              <w:t>2</w:t>
            </w:r>
            <w:r>
              <w:rPr>
                <w:rFonts w:hint="eastAsia" w:ascii="宋体" w:hAnsi="宋体"/>
                <w:color w:val="000000"/>
                <w:szCs w:val="21"/>
              </w:rPr>
              <w:t>分，每减少1%扣</w:t>
            </w:r>
            <w:r>
              <w:rPr>
                <w:rFonts w:hint="eastAsia" w:ascii="宋体" w:hAnsi="宋体"/>
                <w:color w:val="000000"/>
                <w:szCs w:val="21"/>
                <w:u w:val="single"/>
              </w:rPr>
              <w:t>　</w:t>
            </w:r>
            <w:r>
              <w:rPr>
                <w:rFonts w:hint="eastAsia" w:ascii="宋体" w:hAnsi="宋体"/>
                <w:color w:val="000000"/>
                <w:szCs w:val="21"/>
                <w:u w:val="single"/>
                <w:lang w:val="en-US" w:eastAsia="zh-CN"/>
              </w:rPr>
              <w:t>1</w:t>
            </w:r>
            <w:r>
              <w:rPr>
                <w:rFonts w:hint="eastAsia" w:ascii="宋体" w:hAnsi="宋体"/>
                <w:color w:val="000000"/>
                <w:szCs w:val="21"/>
                <w:u w:val="single"/>
              </w:rPr>
              <w:t>　</w:t>
            </w:r>
            <w:r>
              <w:rPr>
                <w:rFonts w:hint="eastAsia" w:ascii="宋体" w:hAnsi="宋体"/>
                <w:color w:val="000000"/>
                <w:szCs w:val="21"/>
              </w:rPr>
              <w:t>分。</w:t>
            </w:r>
          </w:p>
          <w:p>
            <w:pPr>
              <w:spacing w:line="360" w:lineRule="auto"/>
              <w:ind w:firstLine="480"/>
              <w:rPr>
                <w:rFonts w:ascii="宋体" w:hAnsi="宋体"/>
                <w:szCs w:val="21"/>
              </w:rPr>
            </w:pPr>
            <w:r>
              <w:rPr>
                <w:rFonts w:hint="eastAsia" w:ascii="宋体" w:hAnsi="宋体"/>
                <w:szCs w:val="21"/>
              </w:rPr>
              <w:t>竞标价</w:t>
            </w:r>
            <w:r>
              <w:rPr>
                <w:rFonts w:ascii="宋体" w:hAnsi="宋体"/>
                <w:szCs w:val="21"/>
              </w:rPr>
              <w:t>得分用</w:t>
            </w:r>
            <w:r>
              <w:rPr>
                <w:rFonts w:hint="eastAsia" w:ascii="宋体" w:hAnsi="宋体"/>
                <w:szCs w:val="21"/>
              </w:rPr>
              <w:t>公</w:t>
            </w:r>
            <w:r>
              <w:rPr>
                <w:rFonts w:ascii="宋体" w:hAnsi="宋体"/>
                <w:szCs w:val="21"/>
              </w:rPr>
              <w:t>式表示如下：</w:t>
            </w:r>
          </w:p>
          <w:p>
            <w:pPr>
              <w:spacing w:line="360" w:lineRule="auto"/>
              <w:ind w:firstLine="480"/>
              <w:jc w:val="center"/>
              <w:rPr>
                <w:rFonts w:ascii="宋体" w:hAnsi="宋体"/>
                <w:szCs w:val="21"/>
              </w:rPr>
            </w:pPr>
            <w:r>
              <w:rPr>
                <w:rFonts w:ascii="宋体" w:hAnsi="宋体"/>
                <w:szCs w:val="21"/>
              </w:rPr>
              <w:object>
                <v:shape id="_x0000_i1025" o:spt="75" type="#_x0000_t75" style="height:31.8pt;width:139.8pt;" o:ole="t" fillcolor="#595959"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p>
          <w:p>
            <w:pPr>
              <w:spacing w:line="360" w:lineRule="auto"/>
              <w:ind w:firstLine="480"/>
              <w:rPr>
                <w:rFonts w:ascii="宋体" w:hAnsi="宋体"/>
                <w:szCs w:val="21"/>
              </w:rPr>
            </w:pPr>
            <w:r>
              <w:rPr>
                <w:rFonts w:ascii="宋体" w:hAnsi="宋体"/>
                <w:szCs w:val="21"/>
              </w:rPr>
              <w:t>式中：F</w:t>
            </w:r>
            <w:r>
              <w:rPr>
                <w:rFonts w:ascii="宋体" w:hAnsi="宋体"/>
                <w:szCs w:val="21"/>
                <w:vertAlign w:val="subscript"/>
              </w:rPr>
              <w:t>1</w:t>
            </w:r>
            <w:r>
              <w:rPr>
                <w:rFonts w:ascii="宋体" w:hAnsi="宋体"/>
                <w:szCs w:val="21"/>
              </w:rPr>
              <w:t>=</w:t>
            </w:r>
            <w:r>
              <w:rPr>
                <w:rFonts w:hint="eastAsia" w:ascii="宋体" w:hAnsi="宋体"/>
                <w:szCs w:val="21"/>
              </w:rPr>
              <w:t>竞标价</w:t>
            </w:r>
            <w:r>
              <w:rPr>
                <w:rFonts w:ascii="宋体" w:hAnsi="宋体"/>
                <w:szCs w:val="21"/>
              </w:rPr>
              <w:t>得分；</w:t>
            </w:r>
          </w:p>
          <w:p>
            <w:pPr>
              <w:tabs>
                <w:tab w:val="left" w:pos="5060"/>
              </w:tabs>
              <w:spacing w:line="360" w:lineRule="auto"/>
              <w:ind w:firstLine="480"/>
              <w:rPr>
                <w:rFonts w:ascii="宋体" w:hAnsi="宋体"/>
                <w:szCs w:val="21"/>
              </w:rPr>
            </w:pPr>
            <w:r>
              <w:rPr>
                <w:rFonts w:ascii="宋体" w:hAnsi="宋体"/>
                <w:szCs w:val="21"/>
              </w:rPr>
              <w:t>F=</w:t>
            </w:r>
            <w:r>
              <w:rPr>
                <w:rFonts w:hint="eastAsia" w:ascii="宋体" w:hAnsi="宋体"/>
                <w:szCs w:val="21"/>
              </w:rPr>
              <w:t>70</w:t>
            </w:r>
            <w:r>
              <w:rPr>
                <w:rFonts w:ascii="宋体" w:hAnsi="宋体"/>
                <w:szCs w:val="21"/>
              </w:rPr>
              <w:t>；</w:t>
            </w:r>
          </w:p>
          <w:p>
            <w:pPr>
              <w:spacing w:line="360" w:lineRule="auto"/>
              <w:ind w:firstLine="480"/>
              <w:rPr>
                <w:rFonts w:ascii="宋体" w:hAnsi="宋体"/>
                <w:szCs w:val="21"/>
              </w:rPr>
            </w:pPr>
            <w:r>
              <w:rPr>
                <w:rFonts w:ascii="宋体" w:hAnsi="宋体"/>
                <w:szCs w:val="21"/>
              </w:rPr>
              <w:t>D</w:t>
            </w:r>
            <w:r>
              <w:rPr>
                <w:rFonts w:ascii="宋体" w:hAnsi="宋体"/>
                <w:szCs w:val="21"/>
                <w:vertAlign w:val="subscript"/>
              </w:rPr>
              <w:t>1</w:t>
            </w:r>
            <w:r>
              <w:rPr>
                <w:rFonts w:ascii="宋体" w:hAnsi="宋体"/>
                <w:szCs w:val="21"/>
              </w:rPr>
              <w:t>=</w:t>
            </w:r>
            <w:r>
              <w:rPr>
                <w:rFonts w:hint="eastAsia" w:ascii="宋体" w:hAnsi="宋体"/>
                <w:szCs w:val="21"/>
              </w:rPr>
              <w:t>比选申请人</w:t>
            </w:r>
            <w:r>
              <w:rPr>
                <w:rFonts w:ascii="宋体" w:hAnsi="宋体"/>
                <w:szCs w:val="21"/>
              </w:rPr>
              <w:t>的</w:t>
            </w:r>
            <w:r>
              <w:rPr>
                <w:rFonts w:hint="eastAsia" w:ascii="宋体" w:hAnsi="宋体"/>
                <w:szCs w:val="21"/>
              </w:rPr>
              <w:t>竞标价</w:t>
            </w:r>
            <w:r>
              <w:rPr>
                <w:rFonts w:ascii="宋体" w:hAnsi="宋体"/>
                <w:szCs w:val="21"/>
              </w:rPr>
              <w:t>；</w:t>
            </w:r>
          </w:p>
          <w:p>
            <w:pPr>
              <w:spacing w:line="360" w:lineRule="auto"/>
              <w:ind w:firstLine="480"/>
              <w:rPr>
                <w:rFonts w:ascii="宋体" w:hAnsi="宋体"/>
                <w:szCs w:val="21"/>
              </w:rPr>
            </w:pPr>
            <w:r>
              <w:rPr>
                <w:rFonts w:ascii="宋体" w:hAnsi="宋体"/>
                <w:szCs w:val="21"/>
              </w:rPr>
              <w:t>D=评标基准价。</w:t>
            </w:r>
          </w:p>
          <w:p>
            <w:pPr>
              <w:tabs>
                <w:tab w:val="left" w:pos="5920"/>
              </w:tabs>
              <w:snapToGrid w:val="0"/>
              <w:spacing w:line="360" w:lineRule="auto"/>
              <w:ind w:firstLine="480"/>
              <w:rPr>
                <w:rFonts w:ascii="宋体" w:hAnsi="宋体"/>
                <w:szCs w:val="21"/>
              </w:rPr>
            </w:pPr>
            <w:r>
              <w:rPr>
                <w:rFonts w:ascii="宋体" w:hAnsi="宋体"/>
                <w:szCs w:val="21"/>
              </w:rPr>
              <w:t>若D</w:t>
            </w:r>
            <w:r>
              <w:rPr>
                <w:rFonts w:ascii="宋体" w:hAnsi="宋体"/>
                <w:szCs w:val="21"/>
                <w:vertAlign w:val="subscript"/>
              </w:rPr>
              <w:t>1</w:t>
            </w:r>
            <w:r>
              <w:rPr>
                <w:rFonts w:hint="eastAsia" w:ascii="宋体" w:hAnsi="宋体"/>
                <w:sz w:val="36"/>
                <w:szCs w:val="36"/>
                <w:vertAlign w:val="subscript"/>
              </w:rPr>
              <w:t>＞</w:t>
            </w:r>
            <w:r>
              <w:rPr>
                <w:rFonts w:ascii="宋体" w:hAnsi="宋体"/>
                <w:szCs w:val="21"/>
              </w:rPr>
              <w:t>D，则E=</w:t>
            </w:r>
            <w:r>
              <w:rPr>
                <w:rFonts w:hint="eastAsia" w:ascii="宋体" w:hAnsi="宋体"/>
                <w:szCs w:val="21"/>
                <w:lang w:val="en-US" w:eastAsia="zh-CN"/>
              </w:rPr>
              <w:t>2</w:t>
            </w:r>
            <w:r>
              <w:rPr>
                <w:rFonts w:ascii="宋体" w:hAnsi="宋体"/>
                <w:szCs w:val="21"/>
              </w:rPr>
              <w:t>；若D</w:t>
            </w:r>
            <w:r>
              <w:rPr>
                <w:rFonts w:ascii="宋体" w:hAnsi="宋体"/>
                <w:szCs w:val="21"/>
                <w:vertAlign w:val="subscript"/>
              </w:rPr>
              <w:t>1</w:t>
            </w:r>
            <w:r>
              <w:rPr>
                <w:rFonts w:ascii="宋体" w:hAnsi="宋体"/>
                <w:szCs w:val="21"/>
              </w:rPr>
              <w:t>&lt;D，则E=</w:t>
            </w:r>
            <w:r>
              <w:rPr>
                <w:rFonts w:hint="eastAsia" w:ascii="宋体" w:hAnsi="宋体"/>
                <w:szCs w:val="21"/>
                <w:lang w:val="en-US" w:eastAsia="zh-CN"/>
              </w:rPr>
              <w:t>1</w:t>
            </w:r>
            <w:r>
              <w:rPr>
                <w:rFonts w:ascii="宋体" w:hAnsi="宋体"/>
                <w:szCs w:val="21"/>
              </w:rPr>
              <w:t>。</w:t>
            </w:r>
          </w:p>
          <w:p>
            <w:pPr>
              <w:spacing w:line="324" w:lineRule="auto"/>
              <w:rPr>
                <w:rFonts w:ascii="宋体" w:hAnsi="宋体" w:cs="宋体"/>
                <w:kern w:val="0"/>
                <w:szCs w:val="21"/>
              </w:rPr>
            </w:pPr>
            <w:r>
              <w:rPr>
                <w:rFonts w:hint="eastAsia" w:ascii="宋体" w:hAnsi="宋体"/>
                <w:szCs w:val="21"/>
              </w:rPr>
              <w:t>即使某竞争性比选申请文件竞标报价未通过初步评审及资格审查，如其报价处于参与评标基准价的计算的投标报价的有效范围以内，其报价仍应参与评标基准价的计算。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233" w:type="dxa"/>
            <w:gridSpan w:val="5"/>
            <w:vAlign w:val="center"/>
          </w:tcPr>
          <w:p>
            <w:pPr>
              <w:spacing w:line="324" w:lineRule="auto"/>
              <w:rPr>
                <w:szCs w:val="21"/>
              </w:rPr>
            </w:pPr>
            <w:r>
              <w:rPr>
                <w:rFonts w:hint="eastAsia"/>
                <w:szCs w:val="21"/>
              </w:rPr>
              <w:t>成交候选人最终得分</w:t>
            </w:r>
          </w:p>
        </w:tc>
        <w:tc>
          <w:tcPr>
            <w:tcW w:w="6050" w:type="dxa"/>
            <w:gridSpan w:val="2"/>
            <w:vAlign w:val="center"/>
          </w:tcPr>
          <w:p>
            <w:pPr>
              <w:spacing w:line="324" w:lineRule="auto"/>
              <w:rPr>
                <w:rFonts w:ascii="宋体" w:hAnsi="宋体" w:cs="宋体"/>
                <w:kern w:val="0"/>
                <w:szCs w:val="21"/>
              </w:rPr>
            </w:pPr>
            <w:r>
              <w:rPr>
                <w:rFonts w:hint="eastAsia" w:ascii="宋体" w:hAnsi="宋体"/>
                <w:szCs w:val="21"/>
              </w:rPr>
              <w:t>竞争性比选申请人评标得分＝综合得分（竞标</w:t>
            </w:r>
            <w:r>
              <w:rPr>
                <w:rFonts w:hint="eastAsia" w:ascii="宋体" w:hAnsi="宋体"/>
                <w:color w:val="000000"/>
              </w:rPr>
              <w:t>报价</w:t>
            </w:r>
            <w:r>
              <w:rPr>
                <w:rFonts w:hint="eastAsia" w:ascii="宋体" w:hAnsi="宋体" w:cs="宋体"/>
                <w:color w:val="000000"/>
                <w:kern w:val="0"/>
              </w:rPr>
              <w:t>得分</w:t>
            </w:r>
            <w:r>
              <w:rPr>
                <w:rFonts w:hint="eastAsia" w:ascii="宋体" w:hAnsi="宋体"/>
                <w:szCs w:val="21"/>
              </w:rPr>
              <w:t>+</w:t>
            </w:r>
            <w:r>
              <w:rPr>
                <w:rFonts w:hint="eastAsia" w:ascii="宋体" w:hAnsi="宋体" w:cs="宋体"/>
                <w:color w:val="000000"/>
                <w:kern w:val="0"/>
                <w:szCs w:val="21"/>
              </w:rPr>
              <w:t>服务方案得分</w:t>
            </w:r>
            <w:r>
              <w:rPr>
                <w:rFonts w:hint="eastAsia" w:ascii="宋体" w:hAnsi="宋体"/>
                <w:szCs w:val="21"/>
              </w:rPr>
              <w:t>）</w:t>
            </w:r>
          </w:p>
        </w:tc>
      </w:tr>
    </w:tbl>
    <w:p>
      <w:pPr>
        <w:pStyle w:val="12"/>
        <w:tabs>
          <w:tab w:val="right" w:leader="dot" w:pos="8805"/>
          <w:tab w:val="clear" w:pos="9117"/>
        </w:tabs>
        <w:rPr>
          <w:rFonts w:ascii="宋体" w:hAnsi="宋体" w:cs="宋体"/>
          <w:color w:val="000000"/>
          <w:kern w:val="0"/>
          <w:sz w:val="32"/>
          <w:szCs w:val="32"/>
          <w:lang w:bidi="ar"/>
        </w:rPr>
      </w:pPr>
    </w:p>
    <w:p>
      <w:pPr>
        <w:rPr>
          <w:rFonts w:ascii="宋体" w:hAnsi="宋体" w:cs="宋体"/>
          <w:color w:val="000000"/>
          <w:kern w:val="0"/>
          <w:sz w:val="32"/>
          <w:szCs w:val="32"/>
          <w:lang w:bidi="ar"/>
        </w:rPr>
      </w:pPr>
    </w:p>
    <w:p>
      <w:pPr>
        <w:pStyle w:val="5"/>
        <w:rPr>
          <w:rFonts w:ascii="宋体" w:hAnsi="宋体" w:cs="宋体"/>
          <w:color w:val="000000"/>
          <w:kern w:val="0"/>
          <w:sz w:val="32"/>
          <w:szCs w:val="32"/>
          <w:lang w:bidi="ar"/>
        </w:rPr>
      </w:pPr>
    </w:p>
    <w:p/>
    <w:p>
      <w:pPr>
        <w:pStyle w:val="2"/>
      </w:pPr>
    </w:p>
    <w:p/>
    <w:p>
      <w:pPr>
        <w:pStyle w:val="2"/>
      </w:pPr>
    </w:p>
    <w:p/>
    <w:p>
      <w:pPr>
        <w:pStyle w:val="2"/>
        <w:spacing w:line="360" w:lineRule="auto"/>
        <w:jc w:val="center"/>
        <w:rPr>
          <w:rFonts w:hint="eastAsia" w:ascii="宋体" w:hAnsi="宋体"/>
          <w:kern w:val="0"/>
        </w:rPr>
      </w:pPr>
      <w:r>
        <w:rPr>
          <w:rFonts w:hint="eastAsia" w:ascii="宋体" w:hAnsi="宋体"/>
          <w:kern w:val="0"/>
        </w:rPr>
        <w:t>第四章 合同条款及格式</w:t>
      </w:r>
      <w:bookmarkEnd w:id="25"/>
      <w:bookmarkEnd w:id="26"/>
    </w:p>
    <w:p>
      <w:pPr>
        <w:rPr>
          <w:rFonts w:hint="eastAsia" w:ascii="宋体" w:hAnsi="宋体"/>
          <w:szCs w:val="20"/>
        </w:rPr>
      </w:pPr>
    </w:p>
    <w:p>
      <w:pPr>
        <w:jc w:val="center"/>
        <w:rPr>
          <w:rFonts w:hint="eastAsia" w:ascii="宋体" w:hAnsi="宋体" w:cs="宋体"/>
          <w:b/>
          <w:sz w:val="32"/>
          <w:szCs w:val="32"/>
        </w:rPr>
      </w:pPr>
      <w:r>
        <w:rPr>
          <w:rFonts w:hint="eastAsia" w:ascii="宋体" w:hAnsi="宋体"/>
          <w:szCs w:val="20"/>
        </w:rPr>
        <w:br w:type="page"/>
      </w:r>
      <w:bookmarkStart w:id="27" w:name="招标文件04章合同条款及格式01_01"/>
      <w:bookmarkEnd w:id="27"/>
      <w:bookmarkStart w:id="28" w:name="招标文件04章合同条款及格式02"/>
      <w:bookmarkEnd w:id="28"/>
      <w:bookmarkStart w:id="29" w:name="招标文件04章合同条款及格式01"/>
      <w:bookmarkEnd w:id="29"/>
      <w:bookmarkStart w:id="30" w:name="招标文件04章合同条款及格式02_01"/>
      <w:bookmarkEnd w:id="30"/>
      <w:bookmarkStart w:id="31" w:name="page1"/>
      <w:bookmarkEnd w:id="31"/>
      <w:r>
        <w:rPr>
          <w:rFonts w:hint="eastAsia" w:ascii="宋体" w:hAnsi="宋体" w:cs="宋体"/>
          <w:b/>
          <w:sz w:val="32"/>
          <w:szCs w:val="32"/>
        </w:rPr>
        <w:t>建筑维修服务合同</w:t>
      </w:r>
    </w:p>
    <w:p>
      <w:pPr>
        <w:widowControl/>
        <w:spacing w:line="360" w:lineRule="exact"/>
        <w:rPr>
          <w:rFonts w:hint="eastAsia" w:ascii="宋体" w:hAnsi="宋体" w:cs="宋体"/>
          <w:szCs w:val="21"/>
        </w:rPr>
      </w:pPr>
      <w:bookmarkStart w:id="32" w:name="_Hlt269645337"/>
      <w:bookmarkStart w:id="33" w:name="_Toc287607860"/>
      <w:r>
        <w:rPr>
          <w:rFonts w:hint="eastAsia" w:ascii="宋体" w:hAnsi="宋体" w:cs="宋体"/>
          <w:szCs w:val="21"/>
        </w:rPr>
        <w:t>甲方(发包方) :</w:t>
      </w:r>
    </w:p>
    <w:p>
      <w:pPr>
        <w:widowControl/>
        <w:spacing w:line="360" w:lineRule="exact"/>
        <w:rPr>
          <w:rFonts w:hint="eastAsia" w:ascii="宋体" w:hAnsi="宋体" w:cs="宋体"/>
          <w:szCs w:val="21"/>
        </w:rPr>
      </w:pPr>
      <w:r>
        <w:rPr>
          <w:rFonts w:hint="eastAsia" w:ascii="宋体" w:hAnsi="宋体" w:cs="宋体"/>
          <w:szCs w:val="21"/>
        </w:rPr>
        <w:t>法定代表人</w:t>
      </w:r>
    </w:p>
    <w:p>
      <w:pPr>
        <w:widowControl/>
        <w:spacing w:line="360" w:lineRule="exact"/>
        <w:rPr>
          <w:rFonts w:hint="eastAsia" w:ascii="宋体" w:hAnsi="宋体" w:cs="宋体"/>
          <w:szCs w:val="21"/>
        </w:rPr>
      </w:pPr>
      <w:r>
        <w:rPr>
          <w:rFonts w:hint="eastAsia" w:ascii="宋体" w:hAnsi="宋体" w:cs="宋体"/>
          <w:szCs w:val="21"/>
        </w:rPr>
        <w:t>地址:</w:t>
      </w:r>
    </w:p>
    <w:p>
      <w:pPr>
        <w:widowControl/>
        <w:spacing w:line="360" w:lineRule="exact"/>
        <w:rPr>
          <w:rFonts w:hint="eastAsia" w:ascii="宋体" w:hAnsi="宋体" w:cs="宋体"/>
          <w:szCs w:val="21"/>
        </w:rPr>
      </w:pPr>
      <w:r>
        <w:rPr>
          <w:rFonts w:hint="eastAsia" w:ascii="宋体" w:hAnsi="宋体" w:cs="宋体"/>
          <w:szCs w:val="21"/>
        </w:rPr>
        <w:t>联系方式:</w:t>
      </w:r>
    </w:p>
    <w:p>
      <w:pPr>
        <w:widowControl/>
        <w:spacing w:line="360" w:lineRule="exact"/>
        <w:rPr>
          <w:rFonts w:hint="eastAsia" w:ascii="宋体" w:hAnsi="宋体" w:cs="宋体"/>
          <w:szCs w:val="21"/>
        </w:rPr>
      </w:pPr>
      <w:r>
        <w:rPr>
          <w:rFonts w:hint="eastAsia" w:ascii="宋体" w:hAnsi="宋体" w:cs="宋体"/>
          <w:szCs w:val="21"/>
        </w:rPr>
        <w:t>乙方(承包方) :</w:t>
      </w:r>
    </w:p>
    <w:p>
      <w:pPr>
        <w:widowControl/>
        <w:spacing w:line="360" w:lineRule="exact"/>
        <w:rPr>
          <w:rFonts w:hint="eastAsia" w:ascii="宋体" w:hAnsi="宋体" w:cs="宋体"/>
          <w:szCs w:val="21"/>
        </w:rPr>
      </w:pPr>
      <w:r>
        <w:rPr>
          <w:rFonts w:hint="eastAsia" w:ascii="宋体" w:hAnsi="宋体" w:cs="宋体"/>
          <w:szCs w:val="21"/>
        </w:rPr>
        <w:t>法定代表人</w:t>
      </w:r>
    </w:p>
    <w:p>
      <w:pPr>
        <w:widowControl/>
        <w:spacing w:line="360" w:lineRule="exact"/>
        <w:rPr>
          <w:rFonts w:hint="eastAsia" w:ascii="宋体" w:hAnsi="宋体" w:cs="宋体"/>
          <w:szCs w:val="21"/>
        </w:rPr>
      </w:pPr>
      <w:r>
        <w:rPr>
          <w:rFonts w:hint="eastAsia" w:ascii="宋体" w:hAnsi="宋体" w:cs="宋体"/>
          <w:szCs w:val="21"/>
        </w:rPr>
        <w:t>地址:</w:t>
      </w:r>
    </w:p>
    <w:p>
      <w:pPr>
        <w:widowControl/>
        <w:spacing w:line="360" w:lineRule="exact"/>
        <w:rPr>
          <w:rFonts w:hint="eastAsia" w:ascii="宋体" w:hAnsi="宋体" w:cs="宋体"/>
          <w:szCs w:val="21"/>
        </w:rPr>
      </w:pPr>
      <w:r>
        <w:rPr>
          <w:rFonts w:hint="eastAsia" w:ascii="宋体" w:hAnsi="宋体" w:cs="宋体"/>
          <w:szCs w:val="21"/>
        </w:rPr>
        <w:t>联系方式:</w:t>
      </w:r>
    </w:p>
    <w:p>
      <w:pPr>
        <w:widowControl/>
        <w:spacing w:line="360" w:lineRule="auto"/>
        <w:rPr>
          <w:rFonts w:hint="eastAsia" w:ascii="宋体" w:hAnsi="宋体" w:cs="宋体"/>
          <w:sz w:val="24"/>
        </w:rPr>
      </w:pPr>
    </w:p>
    <w:p>
      <w:pPr>
        <w:widowControl/>
        <w:spacing w:line="360" w:lineRule="exact"/>
        <w:ind w:firstLine="420" w:firstLineChars="200"/>
        <w:rPr>
          <w:rFonts w:hint="eastAsia" w:ascii="宋体" w:hAnsi="宋体" w:cs="宋体"/>
          <w:szCs w:val="21"/>
        </w:rPr>
      </w:pPr>
      <w:r>
        <w:rPr>
          <w:rFonts w:hint="eastAsia" w:ascii="宋体" w:hAnsi="宋体" w:cs="宋体"/>
          <w:szCs w:val="21"/>
        </w:rPr>
        <w:t>按照《中华人民共和国合同法》及有关法律,法规的规定,结合本工程具体情况，双方达成如下协议。</w:t>
      </w:r>
    </w:p>
    <w:p>
      <w:pPr>
        <w:pStyle w:val="4"/>
        <w:spacing w:before="0" w:after="0" w:line="360" w:lineRule="exact"/>
        <w:rPr>
          <w:rFonts w:hint="eastAsia" w:ascii="宋体" w:hAnsi="宋体" w:cs="宋体"/>
          <w:sz w:val="21"/>
          <w:szCs w:val="21"/>
        </w:rPr>
      </w:pPr>
      <w:bookmarkStart w:id="34" w:name="_Toc23609"/>
      <w:r>
        <w:rPr>
          <w:rFonts w:hint="eastAsia" w:ascii="宋体" w:hAnsi="宋体" w:cs="宋体"/>
          <w:sz w:val="21"/>
          <w:szCs w:val="21"/>
        </w:rPr>
        <w:t>第1条工程概况</w:t>
      </w:r>
      <w:bookmarkEnd w:id="34"/>
    </w:p>
    <w:p>
      <w:pPr>
        <w:widowControl/>
        <w:spacing w:line="360" w:lineRule="exact"/>
        <w:ind w:firstLine="420" w:firstLineChars="200"/>
        <w:rPr>
          <w:rFonts w:hint="eastAsia" w:ascii="宋体" w:hAnsi="宋体" w:cs="宋体"/>
          <w:szCs w:val="21"/>
          <w:lang w:eastAsia="zh-CN"/>
        </w:rPr>
      </w:pPr>
      <w:r>
        <w:rPr>
          <w:rFonts w:hint="eastAsia" w:ascii="宋体" w:hAnsi="宋体" w:cs="宋体"/>
          <w:szCs w:val="21"/>
        </w:rPr>
        <w:t>1.1工程名称:重庆高速中油富渝能源发展有限公司加油站</w:t>
      </w:r>
      <w:r>
        <w:rPr>
          <w:rFonts w:hint="eastAsia" w:ascii="宋体" w:hAnsi="宋体" w:cs="宋体"/>
          <w:szCs w:val="21"/>
          <w:lang w:eastAsia="zh-CN"/>
        </w:rPr>
        <w:t>土建</w:t>
      </w:r>
    </w:p>
    <w:p>
      <w:pPr>
        <w:widowControl/>
        <w:spacing w:line="360" w:lineRule="exact"/>
        <w:ind w:firstLine="420" w:firstLineChars="200"/>
        <w:rPr>
          <w:rFonts w:hint="eastAsia" w:ascii="宋体" w:hAnsi="宋体" w:cs="宋体"/>
          <w:szCs w:val="21"/>
        </w:rPr>
      </w:pPr>
      <w:r>
        <w:rPr>
          <w:rFonts w:hint="eastAsia" w:ascii="宋体" w:hAnsi="宋体" w:cs="宋体"/>
          <w:szCs w:val="21"/>
        </w:rPr>
        <w:t>日常维修项目</w:t>
      </w:r>
    </w:p>
    <w:p>
      <w:pPr>
        <w:widowControl/>
        <w:spacing w:line="360" w:lineRule="exact"/>
        <w:ind w:firstLine="420" w:firstLineChars="200"/>
        <w:rPr>
          <w:rFonts w:hint="eastAsia" w:ascii="宋体" w:hAnsi="宋体" w:cs="宋体"/>
          <w:szCs w:val="21"/>
        </w:rPr>
      </w:pPr>
      <w:r>
        <w:rPr>
          <w:rFonts w:hint="eastAsia" w:ascii="宋体" w:hAnsi="宋体" w:cs="宋体"/>
          <w:szCs w:val="21"/>
        </w:rPr>
        <w:t>1.2工程地点:重庆高速中油富渝能源发展有限公司所属加油站</w:t>
      </w:r>
    </w:p>
    <w:p>
      <w:pPr>
        <w:widowControl/>
        <w:spacing w:line="360" w:lineRule="exact"/>
        <w:ind w:firstLine="420" w:firstLineChars="200"/>
        <w:rPr>
          <w:rFonts w:hint="eastAsia" w:ascii="宋体" w:hAnsi="宋体" w:cs="宋体"/>
          <w:szCs w:val="21"/>
        </w:rPr>
      </w:pPr>
      <w:r>
        <w:rPr>
          <w:rFonts w:hint="eastAsia" w:ascii="宋体" w:hAnsi="宋体" w:cs="宋体"/>
          <w:szCs w:val="21"/>
        </w:rPr>
        <w:t>1.3服务方式: 按发包人所下发的维修工作单内容进行</w:t>
      </w:r>
    </w:p>
    <w:p>
      <w:pPr>
        <w:widowControl/>
        <w:spacing w:line="360" w:lineRule="exact"/>
        <w:ind w:firstLine="420" w:firstLineChars="200"/>
        <w:rPr>
          <w:rFonts w:hint="eastAsia" w:ascii="宋体" w:hAnsi="宋体" w:cs="宋体"/>
          <w:szCs w:val="21"/>
        </w:rPr>
      </w:pPr>
      <w:r>
        <w:rPr>
          <w:rFonts w:hint="eastAsia" w:ascii="宋体" w:hAnsi="宋体" w:cs="宋体"/>
          <w:szCs w:val="21"/>
        </w:rPr>
        <w:t>1.4服务周期：</w:t>
      </w:r>
      <w:r>
        <w:rPr>
          <w:rFonts w:hint="eastAsia" w:ascii="宋体" w:hAnsi="宋体" w:cs="宋体"/>
          <w:kern w:val="1"/>
          <w:szCs w:val="21"/>
        </w:rPr>
        <w:t>自合同签订之日起至2021年12月31日</w:t>
      </w:r>
      <w:r>
        <w:rPr>
          <w:rFonts w:hint="eastAsia" w:ascii="宋体" w:hAnsi="宋体" w:cs="宋体"/>
          <w:szCs w:val="21"/>
        </w:rPr>
        <w:t>。</w:t>
      </w:r>
    </w:p>
    <w:p>
      <w:pPr>
        <w:widowControl/>
        <w:spacing w:line="360" w:lineRule="exact"/>
        <w:ind w:firstLine="420" w:firstLineChars="200"/>
        <w:rPr>
          <w:rFonts w:hint="eastAsia" w:ascii="宋体" w:hAnsi="宋体" w:cs="宋体"/>
          <w:szCs w:val="21"/>
        </w:rPr>
      </w:pPr>
      <w:r>
        <w:rPr>
          <w:rFonts w:hint="eastAsia" w:ascii="宋体" w:hAnsi="宋体" w:cs="宋体"/>
          <w:szCs w:val="21"/>
        </w:rPr>
        <w:t>1.5工程质量 :达到国家现行有关施工质量验收规范要求，并达到合格标准。</w:t>
      </w:r>
    </w:p>
    <w:p>
      <w:pPr>
        <w:widowControl/>
        <w:spacing w:line="360" w:lineRule="exact"/>
        <w:ind w:firstLine="420" w:firstLineChars="200"/>
        <w:rPr>
          <w:rFonts w:hint="eastAsia" w:ascii="宋体" w:hAnsi="宋体" w:cs="宋体"/>
          <w:szCs w:val="21"/>
        </w:rPr>
      </w:pPr>
      <w:r>
        <w:rPr>
          <w:rFonts w:hint="eastAsia" w:ascii="宋体" w:hAnsi="宋体" w:cs="宋体"/>
          <w:szCs w:val="21"/>
        </w:rPr>
        <w:t>1.6合同价款:以发包人发出的维修工作单及实际完工工程量分类进行结算。</w:t>
      </w:r>
    </w:p>
    <w:p>
      <w:pPr>
        <w:pStyle w:val="4"/>
        <w:spacing w:before="0" w:after="0" w:line="360" w:lineRule="exact"/>
        <w:rPr>
          <w:rFonts w:hint="eastAsia" w:ascii="宋体" w:hAnsi="宋体" w:cs="宋体"/>
          <w:sz w:val="21"/>
          <w:szCs w:val="21"/>
        </w:rPr>
      </w:pPr>
      <w:bookmarkStart w:id="35" w:name="_Toc32000"/>
      <w:r>
        <w:rPr>
          <w:rFonts w:hint="eastAsia" w:ascii="宋体" w:hAnsi="宋体" w:cs="宋体"/>
          <w:sz w:val="21"/>
          <w:szCs w:val="21"/>
        </w:rPr>
        <w:t>第2条甲方工作</w:t>
      </w:r>
      <w:bookmarkEnd w:id="35"/>
    </w:p>
    <w:p>
      <w:pPr>
        <w:widowControl/>
        <w:spacing w:line="360" w:lineRule="exact"/>
        <w:ind w:firstLine="420" w:firstLineChars="200"/>
        <w:rPr>
          <w:rFonts w:hint="eastAsia" w:ascii="宋体" w:hAnsi="宋体" w:cs="宋体"/>
          <w:szCs w:val="21"/>
        </w:rPr>
      </w:pPr>
      <w:r>
        <w:rPr>
          <w:rFonts w:hint="eastAsia" w:ascii="宋体" w:hAnsi="宋体" w:cs="宋体"/>
          <w:szCs w:val="21"/>
        </w:rPr>
        <w:t>2.1开工前1天,向乙方进行现场交底。向乙方提供施工所和需的水、电、气及电讯等设备，并说明使用注意事项。</w:t>
      </w:r>
    </w:p>
    <w:p>
      <w:pPr>
        <w:widowControl/>
        <w:spacing w:line="360" w:lineRule="exact"/>
        <w:ind w:firstLine="420" w:firstLineChars="200"/>
        <w:rPr>
          <w:rFonts w:hint="eastAsia" w:ascii="宋体" w:hAnsi="宋体" w:cs="宋体"/>
          <w:szCs w:val="21"/>
        </w:rPr>
      </w:pPr>
      <w:r>
        <w:rPr>
          <w:rFonts w:hint="eastAsia" w:ascii="宋体" w:hAnsi="宋体" w:cs="宋体"/>
          <w:szCs w:val="21"/>
        </w:rPr>
        <w:t>2.2甲方应指派相关工作人员为驻工地代表 ,负责合同履行。对工程质量、进度进行监督检查，办理验收、变更、登记手续和其他事宜。涉及工程审批手续的由甲方负责办理。</w:t>
      </w:r>
    </w:p>
    <w:p>
      <w:pPr>
        <w:widowControl/>
        <w:spacing w:line="360" w:lineRule="exact"/>
        <w:ind w:firstLine="420" w:firstLineChars="200"/>
        <w:rPr>
          <w:rFonts w:hint="eastAsia" w:ascii="宋体" w:hAnsi="宋体" w:cs="宋体"/>
          <w:szCs w:val="21"/>
        </w:rPr>
      </w:pPr>
      <w:r>
        <w:rPr>
          <w:rFonts w:hint="eastAsia" w:ascii="宋体" w:hAnsi="宋体" w:cs="宋体"/>
          <w:szCs w:val="21"/>
        </w:rPr>
        <w:t>2.3如确定需要拆改原建筑物结构或设备管线，由甲方负责到有关部门办理相应审批手续。</w:t>
      </w:r>
    </w:p>
    <w:p>
      <w:pPr>
        <w:pStyle w:val="4"/>
        <w:spacing w:before="0" w:after="0" w:line="360" w:lineRule="exact"/>
        <w:rPr>
          <w:rFonts w:hint="eastAsia" w:ascii="宋体" w:hAnsi="宋体" w:cs="宋体"/>
          <w:sz w:val="21"/>
          <w:szCs w:val="21"/>
        </w:rPr>
      </w:pPr>
      <w:bookmarkStart w:id="36" w:name="_Toc30260"/>
      <w:r>
        <w:rPr>
          <w:rFonts w:hint="eastAsia" w:ascii="宋体" w:hAnsi="宋体" w:cs="宋体"/>
          <w:sz w:val="21"/>
          <w:szCs w:val="21"/>
        </w:rPr>
        <w:t>第3条乙方职责</w:t>
      </w:r>
      <w:bookmarkEnd w:id="36"/>
    </w:p>
    <w:p>
      <w:pPr>
        <w:widowControl/>
        <w:spacing w:line="360" w:lineRule="exact"/>
        <w:ind w:firstLine="420" w:firstLineChars="200"/>
        <w:rPr>
          <w:rFonts w:hint="eastAsia" w:ascii="宋体" w:hAnsi="宋体" w:cs="宋体"/>
          <w:szCs w:val="21"/>
        </w:rPr>
      </w:pPr>
      <w:r>
        <w:rPr>
          <w:rFonts w:hint="eastAsia" w:ascii="宋体" w:hAnsi="宋体" w:cs="宋体"/>
          <w:szCs w:val="21"/>
        </w:rPr>
        <w:t>3.1工程质量方面 :乙方应加强施工中的质量控制措施和管理，确保工程质量达到合格等级。</w:t>
      </w:r>
    </w:p>
    <w:p>
      <w:pPr>
        <w:widowControl/>
        <w:spacing w:line="360" w:lineRule="exact"/>
        <w:ind w:firstLine="420" w:firstLineChars="200"/>
        <w:rPr>
          <w:rFonts w:hint="eastAsia" w:ascii="宋体" w:hAnsi="宋体" w:cs="宋体"/>
          <w:szCs w:val="21"/>
        </w:rPr>
      </w:pPr>
      <w:r>
        <w:rPr>
          <w:rFonts w:hint="eastAsia" w:ascii="宋体" w:hAnsi="宋体" w:cs="宋体"/>
          <w:szCs w:val="21"/>
        </w:rPr>
        <w:t>3.2劳动安全方面 ;乙方应加强施工现场人员的劳动管理和劳动教育，注意劳动安全,做好施工现场防火、防盗、防触电等工作,不得随意破坏施工现场的安全围护设施，如发生工伤事故、意外事故、因施工造成第三人受损等，均由乙方自行负责。同时乙方施工人员必须服从和遵守甲方的有关管理规定及规章制度。</w:t>
      </w:r>
    </w:p>
    <w:p>
      <w:pPr>
        <w:widowControl/>
        <w:spacing w:line="360" w:lineRule="exact"/>
        <w:ind w:firstLine="420" w:firstLineChars="200"/>
        <w:rPr>
          <w:rFonts w:hint="eastAsia" w:ascii="宋体" w:hAnsi="宋体" w:cs="宋体"/>
          <w:szCs w:val="21"/>
        </w:rPr>
      </w:pPr>
      <w:r>
        <w:rPr>
          <w:rFonts w:hint="eastAsia" w:ascii="宋体" w:hAnsi="宋体" w:cs="宋体"/>
          <w:szCs w:val="21"/>
        </w:rPr>
        <w:t>3.3文明施工方面 :材料堆放及现场施工应服从甲方管理，做到材料堆放整齐、规范 ,施工现场保证工完场地清，保持施工现场整洁通畅。施工现场严禁打架、斗殴。工作前严禁喝酒。若因此造成财产损失、人身伤亡及其他与之相关的事件，由乙方承担相应赔偿责任。若甲方代为垫付,有权于垫付后向乙方追偿。</w:t>
      </w:r>
    </w:p>
    <w:p>
      <w:pPr>
        <w:widowControl/>
        <w:spacing w:line="360" w:lineRule="exact"/>
        <w:ind w:firstLine="420" w:firstLineChars="200"/>
        <w:rPr>
          <w:rFonts w:hint="eastAsia" w:ascii="宋体" w:hAnsi="宋体" w:cs="宋体"/>
          <w:szCs w:val="21"/>
        </w:rPr>
      </w:pPr>
      <w:r>
        <w:rPr>
          <w:rFonts w:hint="eastAsia" w:ascii="宋体" w:hAnsi="宋体" w:cs="宋体"/>
          <w:szCs w:val="21"/>
        </w:rPr>
        <w:t>3.4成品保护方面:乙方应加强保护工作，既要防止成品被别人破坏，又要防止损害别人的成品。属乙方自己的成品,破坏后由乙方自行负责 ;乙方破坏其他人的成品,损失由乙方承担，损失和费用从工程款中扣除。</w:t>
      </w:r>
    </w:p>
    <w:p>
      <w:pPr>
        <w:widowControl/>
        <w:spacing w:line="360" w:lineRule="exact"/>
        <w:ind w:firstLine="420" w:firstLineChars="200"/>
        <w:rPr>
          <w:rFonts w:hint="eastAsia" w:ascii="宋体" w:hAnsi="宋体" w:cs="宋体"/>
          <w:szCs w:val="21"/>
        </w:rPr>
      </w:pPr>
      <w:r>
        <w:rPr>
          <w:rFonts w:hint="eastAsia" w:ascii="宋体" w:hAnsi="宋体" w:cs="宋体"/>
          <w:szCs w:val="21"/>
        </w:rPr>
        <w:t>3.5 负责保护周围建筑物及装修、设备管线、绿地等不受损坏，乙方如有损坏则应承担相应费用。</w:t>
      </w:r>
    </w:p>
    <w:p>
      <w:pPr>
        <w:widowControl/>
        <w:spacing w:line="360" w:lineRule="exact"/>
        <w:ind w:firstLine="420" w:firstLineChars="200"/>
        <w:rPr>
          <w:rFonts w:hint="eastAsia" w:ascii="宋体" w:hAnsi="宋体" w:cs="宋体"/>
          <w:szCs w:val="21"/>
        </w:rPr>
      </w:pPr>
      <w:r>
        <w:rPr>
          <w:rFonts w:hint="eastAsia" w:ascii="宋体" w:hAnsi="宋体" w:cs="宋体"/>
          <w:szCs w:val="21"/>
        </w:rPr>
        <w:t>3.6 配合有关部门做好现场保卫、消防、垃圾处理与清运等工作，相关费用由乙方承担。</w:t>
      </w:r>
    </w:p>
    <w:p>
      <w:pPr>
        <w:widowControl/>
        <w:spacing w:line="360" w:lineRule="exact"/>
        <w:ind w:firstLine="420" w:firstLineChars="200"/>
        <w:rPr>
          <w:rFonts w:hint="eastAsia" w:ascii="宋体" w:hAnsi="宋体" w:cs="宋体"/>
          <w:szCs w:val="21"/>
        </w:rPr>
      </w:pPr>
      <w:r>
        <w:rPr>
          <w:rFonts w:hint="eastAsia" w:ascii="宋体" w:hAnsi="宋体" w:cs="宋体"/>
          <w:szCs w:val="21"/>
        </w:rPr>
        <w:t>3.7乙方应为施工人员购买人身保险 ,工程施工期间所发生伤亡、造成第三人伤亡等一切事故，均由乙方承担，所发生的一切费用均由乙方全部支付。</w:t>
      </w:r>
    </w:p>
    <w:p>
      <w:pPr>
        <w:widowControl/>
        <w:spacing w:line="360" w:lineRule="exact"/>
        <w:ind w:firstLine="420" w:firstLineChars="200"/>
        <w:rPr>
          <w:rFonts w:hint="eastAsia" w:ascii="宋体" w:hAnsi="宋体" w:cs="宋体"/>
          <w:szCs w:val="21"/>
        </w:rPr>
      </w:pPr>
      <w:r>
        <w:rPr>
          <w:rFonts w:hint="eastAsia" w:ascii="宋体" w:hAnsi="宋体" w:cs="宋体"/>
          <w:szCs w:val="21"/>
        </w:rPr>
        <w:t>3.8指派</w:t>
      </w:r>
      <w:r>
        <w:rPr>
          <w:rFonts w:hint="eastAsia" w:ascii="宋体" w:hAnsi="宋体" w:cs="宋体"/>
          <w:szCs w:val="21"/>
          <w:u w:val="single"/>
        </w:rPr>
        <w:t xml:space="preserve">      </w:t>
      </w:r>
      <w:r>
        <w:rPr>
          <w:rFonts w:hint="eastAsia" w:ascii="宋体" w:hAnsi="宋体" w:cs="宋体"/>
          <w:szCs w:val="21"/>
        </w:rPr>
        <w:t>为乙方负责人 ,负责合同履行。按要求组织施工保质、保量、按期完成施工任务，解决由乙方负责的各项事宜。</w:t>
      </w:r>
    </w:p>
    <w:p>
      <w:pPr>
        <w:pStyle w:val="4"/>
        <w:spacing w:before="0" w:after="0" w:line="360" w:lineRule="exact"/>
        <w:rPr>
          <w:rFonts w:hint="eastAsia" w:ascii="宋体" w:hAnsi="宋体" w:cs="宋体"/>
          <w:sz w:val="21"/>
          <w:szCs w:val="21"/>
        </w:rPr>
      </w:pPr>
      <w:r>
        <w:rPr>
          <w:rFonts w:hint="eastAsia" w:ascii="宋体" w:hAnsi="宋体" w:cs="宋体"/>
          <w:sz w:val="21"/>
          <w:szCs w:val="21"/>
        </w:rPr>
        <w:t>第4条工期约定</w:t>
      </w:r>
    </w:p>
    <w:p>
      <w:pPr>
        <w:widowControl/>
        <w:spacing w:line="360" w:lineRule="exact"/>
        <w:ind w:firstLine="420" w:firstLineChars="200"/>
        <w:rPr>
          <w:rFonts w:hint="eastAsia" w:ascii="宋体" w:hAnsi="宋体" w:cs="宋体"/>
          <w:szCs w:val="21"/>
        </w:rPr>
      </w:pPr>
      <w:r>
        <w:rPr>
          <w:rFonts w:hint="eastAsia" w:ascii="宋体" w:hAnsi="宋体" w:cs="宋体"/>
          <w:szCs w:val="21"/>
        </w:rPr>
        <w:t>4.1甲方要求以维修工作单约定的工期提前竣工时，应征得乙方同意，并支付乙方因赶工而增加的施工费用。</w:t>
      </w:r>
    </w:p>
    <w:p>
      <w:pPr>
        <w:widowControl/>
        <w:spacing w:line="360" w:lineRule="exact"/>
        <w:ind w:firstLine="420" w:firstLineChars="200"/>
        <w:rPr>
          <w:rFonts w:hint="eastAsia" w:ascii="宋体" w:hAnsi="宋体" w:cs="宋体"/>
          <w:szCs w:val="21"/>
        </w:rPr>
      </w:pPr>
      <w:r>
        <w:rPr>
          <w:rFonts w:hint="eastAsia" w:ascii="宋体" w:hAnsi="宋体" w:cs="宋体"/>
          <w:szCs w:val="21"/>
        </w:rPr>
        <w:t>4.2因甲方未按约定完成相关工作，影响乙方工期，致使工期顺延的，甲方需支付相应工期顺延的费用。</w:t>
      </w:r>
    </w:p>
    <w:p>
      <w:pPr>
        <w:pStyle w:val="4"/>
        <w:spacing w:before="0" w:after="0" w:line="360" w:lineRule="exact"/>
        <w:rPr>
          <w:rFonts w:hint="eastAsia" w:ascii="宋体" w:hAnsi="宋体" w:cs="宋体"/>
          <w:sz w:val="21"/>
          <w:szCs w:val="21"/>
        </w:rPr>
      </w:pPr>
      <w:r>
        <w:rPr>
          <w:rFonts w:hint="eastAsia" w:ascii="宋体" w:hAnsi="宋体" w:cs="宋体"/>
          <w:sz w:val="21"/>
          <w:szCs w:val="21"/>
        </w:rPr>
        <w:t>第5条工程质量及验收标准</w:t>
      </w:r>
    </w:p>
    <w:p>
      <w:pPr>
        <w:widowControl/>
        <w:spacing w:line="360" w:lineRule="exact"/>
        <w:ind w:firstLine="420" w:firstLineChars="200"/>
        <w:rPr>
          <w:rFonts w:hint="eastAsia" w:ascii="宋体" w:hAnsi="宋体" w:cs="宋体"/>
          <w:szCs w:val="21"/>
        </w:rPr>
      </w:pPr>
      <w:r>
        <w:rPr>
          <w:rFonts w:hint="eastAsia" w:ascii="宋体" w:hAnsi="宋体" w:cs="宋体"/>
          <w:szCs w:val="21"/>
        </w:rPr>
        <w:t>5.1维修工程以维修工作单所包括的内容及施工图纸、做法说明、设计变更和《建筑装饰工程施工及验收规范》( JGJ73-91 )、《建筑安装工程质量检验评定同意标准》( GBJ300-88 )等国家指定的施工及验收规范为质量评定验收标准。</w:t>
      </w:r>
    </w:p>
    <w:p>
      <w:pPr>
        <w:widowControl/>
        <w:spacing w:line="360" w:lineRule="exact"/>
        <w:ind w:firstLine="420" w:firstLineChars="200"/>
        <w:rPr>
          <w:rFonts w:hint="eastAsia" w:ascii="宋体" w:hAnsi="宋体" w:cs="宋体"/>
          <w:szCs w:val="21"/>
        </w:rPr>
      </w:pPr>
      <w:r>
        <w:rPr>
          <w:rFonts w:hint="eastAsia" w:ascii="宋体" w:hAnsi="宋体" w:cs="宋体"/>
          <w:szCs w:val="21"/>
        </w:rPr>
        <w:t>5.2维修工程质量达到国家现行有关施工质量验收规范要求，并达到合格标准。。</w:t>
      </w:r>
    </w:p>
    <w:p>
      <w:pPr>
        <w:widowControl/>
        <w:spacing w:line="360" w:lineRule="exact"/>
        <w:ind w:firstLine="420" w:firstLineChars="200"/>
        <w:rPr>
          <w:rFonts w:hint="eastAsia" w:ascii="宋体" w:hAnsi="宋体" w:cs="宋体"/>
          <w:szCs w:val="21"/>
        </w:rPr>
      </w:pPr>
      <w:r>
        <w:rPr>
          <w:rFonts w:hint="eastAsia" w:ascii="宋体" w:hAnsi="宋体" w:cs="宋体"/>
          <w:szCs w:val="21"/>
        </w:rPr>
        <w:t>5.3甲方应在乙方完工后10日（如遇节假日顺延）内进行工程验收工作，如逾期不验收，应向乙方支付相关的逾期费用。</w:t>
      </w:r>
    </w:p>
    <w:p>
      <w:pPr>
        <w:widowControl/>
        <w:spacing w:line="360" w:lineRule="exact"/>
        <w:ind w:firstLine="420" w:firstLineChars="200"/>
        <w:rPr>
          <w:rFonts w:hint="eastAsia" w:ascii="宋体" w:hAnsi="宋体" w:cs="宋体"/>
          <w:szCs w:val="21"/>
        </w:rPr>
      </w:pPr>
      <w:r>
        <w:rPr>
          <w:rFonts w:hint="eastAsia" w:ascii="宋体" w:hAnsi="宋体" w:cs="宋体"/>
          <w:szCs w:val="21"/>
        </w:rPr>
        <w:t>5.4由于乙方原因造成质量事故,工程返工费用由乙方承担。</w:t>
      </w:r>
    </w:p>
    <w:p>
      <w:pPr>
        <w:pStyle w:val="4"/>
        <w:spacing w:before="0" w:after="0" w:line="360" w:lineRule="exact"/>
        <w:rPr>
          <w:rFonts w:hint="eastAsia" w:ascii="宋体" w:hAnsi="宋体" w:cs="宋体"/>
          <w:sz w:val="21"/>
          <w:szCs w:val="21"/>
        </w:rPr>
      </w:pPr>
      <w:r>
        <w:rPr>
          <w:rFonts w:hint="eastAsia" w:ascii="宋体" w:hAnsi="宋体" w:cs="宋体"/>
          <w:sz w:val="21"/>
          <w:szCs w:val="21"/>
        </w:rPr>
        <w:t>第6条工程款支付、结算</w:t>
      </w:r>
    </w:p>
    <w:p>
      <w:pPr>
        <w:widowControl/>
        <w:spacing w:line="360" w:lineRule="exact"/>
        <w:ind w:firstLine="420" w:firstLineChars="200"/>
        <w:rPr>
          <w:rFonts w:hint="eastAsia" w:ascii="宋体" w:hAnsi="宋体" w:cs="宋体"/>
          <w:szCs w:val="21"/>
        </w:rPr>
      </w:pPr>
      <w:r>
        <w:rPr>
          <w:rFonts w:hint="eastAsia" w:ascii="宋体" w:hAnsi="宋体" w:cs="宋体"/>
          <w:szCs w:val="21"/>
        </w:rPr>
        <w:t>6.1该项目合同价款暂定金额为</w:t>
      </w:r>
      <w:r>
        <w:rPr>
          <w:rFonts w:hint="eastAsia" w:ascii="宋体" w:hAnsi="宋体" w:cs="宋体"/>
          <w:szCs w:val="21"/>
          <w:lang w:val="en-US" w:eastAsia="zh-CN"/>
        </w:rPr>
        <w:t xml:space="preserve">        </w:t>
      </w:r>
      <w:r>
        <w:rPr>
          <w:rFonts w:hint="eastAsia" w:ascii="宋体" w:hAnsi="宋体" w:cs="宋体"/>
          <w:szCs w:val="21"/>
        </w:rPr>
        <w:t>元。</w:t>
      </w:r>
    </w:p>
    <w:p>
      <w:pPr>
        <w:widowControl/>
        <w:spacing w:line="360" w:lineRule="exact"/>
        <w:ind w:firstLine="420" w:firstLineChars="200"/>
        <w:rPr>
          <w:rFonts w:hint="eastAsia" w:ascii="宋体" w:hAnsi="宋体" w:cs="宋体"/>
          <w:szCs w:val="21"/>
        </w:rPr>
      </w:pPr>
      <w:r>
        <w:rPr>
          <w:rFonts w:hint="eastAsia" w:ascii="宋体" w:hAnsi="宋体" w:cs="宋体"/>
          <w:szCs w:val="21"/>
        </w:rPr>
        <w:t>6.2本工程无预付款。</w:t>
      </w:r>
    </w:p>
    <w:p>
      <w:pPr>
        <w:widowControl/>
        <w:spacing w:line="360" w:lineRule="exact"/>
        <w:ind w:firstLine="420" w:firstLineChars="200"/>
        <w:rPr>
          <w:rFonts w:hint="eastAsia" w:ascii="宋体" w:hAnsi="宋体" w:cs="宋体"/>
          <w:szCs w:val="21"/>
        </w:rPr>
      </w:pPr>
      <w:r>
        <w:rPr>
          <w:rFonts w:hint="eastAsia" w:ascii="宋体" w:hAnsi="宋体" w:cs="宋体"/>
          <w:szCs w:val="21"/>
        </w:rPr>
        <w:t>6.3该项目工程款按季度支付，发包人所发出的维修工作单所包括的工程施工完毕经双方验收合格后，甲方在一周内按核定工程量总款的97%支付工程款。剩余的工程款作为质保金,质保期满后支付。</w:t>
      </w:r>
    </w:p>
    <w:p>
      <w:pPr>
        <w:widowControl/>
        <w:spacing w:line="360" w:lineRule="exact"/>
        <w:ind w:firstLine="420" w:firstLineChars="200"/>
        <w:rPr>
          <w:rFonts w:hint="eastAsia" w:ascii="宋体" w:hAnsi="宋体" w:cs="宋体"/>
          <w:szCs w:val="21"/>
        </w:rPr>
      </w:pPr>
      <w:r>
        <w:rPr>
          <w:rFonts w:hint="eastAsia" w:ascii="宋体" w:hAnsi="宋体" w:cs="宋体"/>
          <w:szCs w:val="21"/>
        </w:rPr>
        <w:t>6.4工程骏工后，经甲方验收完毕后结算。</w:t>
      </w:r>
    </w:p>
    <w:p>
      <w:pPr>
        <w:widowControl/>
        <w:spacing w:line="360" w:lineRule="exact"/>
        <w:ind w:firstLine="420" w:firstLineChars="200"/>
        <w:rPr>
          <w:rFonts w:hint="eastAsia" w:ascii="宋体" w:hAnsi="宋体" w:cs="宋体"/>
          <w:szCs w:val="21"/>
        </w:rPr>
      </w:pPr>
      <w:r>
        <w:rPr>
          <w:rFonts w:hint="eastAsia" w:ascii="宋体" w:hAnsi="宋体" w:cs="宋体"/>
          <w:szCs w:val="21"/>
        </w:rPr>
        <w:t>6.5乙方应向甲方开具发票。</w:t>
      </w:r>
    </w:p>
    <w:p>
      <w:pPr>
        <w:spacing w:line="320" w:lineRule="exact"/>
        <w:rPr>
          <w:rFonts w:hint="eastAsia" w:ascii="宋体" w:hAnsi="宋体" w:cs="宋体"/>
          <w:color w:val="auto"/>
          <w:sz w:val="21"/>
          <w:szCs w:val="21"/>
          <w:highlight w:val="none"/>
          <w:shd w:val="clear" w:color="auto" w:fill="auto"/>
        </w:rPr>
      </w:pPr>
      <w:r>
        <w:rPr>
          <w:rFonts w:hint="eastAsia" w:ascii="宋体" w:hAnsi="宋体" w:cs="宋体"/>
          <w:color w:val="auto"/>
          <w:sz w:val="21"/>
          <w:szCs w:val="21"/>
          <w:lang w:val="en-US" w:eastAsia="zh-CN"/>
        </w:rPr>
        <w:t xml:space="preserve">   </w:t>
      </w:r>
      <w:r>
        <w:rPr>
          <w:rFonts w:hint="eastAsia" w:ascii="宋体" w:hAnsi="宋体" w:cs="宋体"/>
          <w:color w:val="auto"/>
          <w:sz w:val="21"/>
          <w:szCs w:val="21"/>
          <w:highlight w:val="none"/>
          <w:shd w:val="clear" w:color="auto" w:fill="auto"/>
          <w:lang w:val="en-US" w:eastAsia="zh-CN"/>
        </w:rPr>
        <w:t xml:space="preserve"> </w:t>
      </w:r>
      <w:r>
        <w:rPr>
          <w:rFonts w:hint="eastAsia" w:ascii="宋体" w:hAnsi="宋体" w:cs="宋体"/>
          <w:color w:val="auto"/>
          <w:sz w:val="21"/>
          <w:szCs w:val="21"/>
          <w:highlight w:val="none"/>
          <w:shd w:val="clear" w:color="auto" w:fill="auto"/>
        </w:rPr>
        <w:t>6.6结算方式</w:t>
      </w:r>
    </w:p>
    <w:p>
      <w:pPr>
        <w:widowControl/>
        <w:spacing w:line="360" w:lineRule="exact"/>
        <w:rPr>
          <w:rFonts w:hint="eastAsia" w:ascii="宋体" w:hAnsi="宋体" w:cs="宋体"/>
          <w:color w:val="auto"/>
          <w:sz w:val="21"/>
          <w:szCs w:val="21"/>
          <w:highlight w:val="none"/>
          <w:shd w:val="clear" w:color="auto" w:fill="auto"/>
        </w:rPr>
      </w:pPr>
      <w:r>
        <w:rPr>
          <w:rFonts w:hint="eastAsia"/>
          <w:color w:val="auto"/>
          <w:sz w:val="21"/>
          <w:szCs w:val="21"/>
          <w:highlight w:val="none"/>
          <w:shd w:val="clear" w:color="auto" w:fill="auto"/>
          <w:lang w:val="en-US" w:eastAsia="zh-CN"/>
        </w:rPr>
        <w:t xml:space="preserve">     </w:t>
      </w:r>
      <w:r>
        <w:rPr>
          <w:rFonts w:hint="eastAsia" w:ascii="宋体" w:hAnsi="宋体" w:cs="宋体"/>
          <w:color w:val="auto"/>
          <w:sz w:val="21"/>
          <w:szCs w:val="21"/>
          <w:highlight w:val="none"/>
          <w:shd w:val="clear" w:color="auto" w:fill="auto"/>
          <w:lang w:val="en-US" w:eastAsia="zh-CN"/>
        </w:rPr>
        <w:t>6.6.1</w:t>
      </w:r>
      <w:r>
        <w:rPr>
          <w:rFonts w:hint="eastAsia" w:ascii="宋体" w:hAnsi="宋体" w:cs="宋体"/>
          <w:color w:val="auto"/>
          <w:sz w:val="21"/>
          <w:szCs w:val="21"/>
          <w:highlight w:val="none"/>
          <w:shd w:val="clear" w:color="auto" w:fill="auto"/>
        </w:rPr>
        <w:t>结算总价=以中标人投标报价时的分部分项工程量清单中子项综合单价×子项工程量。</w:t>
      </w:r>
    </w:p>
    <w:p>
      <w:pPr>
        <w:widowControl/>
        <w:spacing w:line="360" w:lineRule="exact"/>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lang w:val="en-US" w:eastAsia="zh-CN"/>
        </w:rPr>
        <w:t xml:space="preserve">    </w:t>
      </w:r>
      <w:r>
        <w:rPr>
          <w:rFonts w:hint="eastAsia" w:ascii="宋体" w:hAnsi="宋体" w:cs="宋体"/>
          <w:color w:val="auto"/>
          <w:sz w:val="21"/>
          <w:szCs w:val="21"/>
          <w:highlight w:val="none"/>
          <w:shd w:val="clear" w:color="auto" w:fill="auto"/>
        </w:rPr>
        <w:t>(1)子项工程量：按《建设工程工程量清单计价规范》（GB50500-2013）及其配套文件约定的计量规则计算的实际合格工程量，并符合招标文件中的有关计量规定。</w:t>
      </w:r>
    </w:p>
    <w:p>
      <w:pPr>
        <w:widowControl/>
        <w:spacing w:line="360" w:lineRule="exact"/>
        <w:ind w:firstLine="420" w:firstLineChars="200"/>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(2)子项综合单价以中标人投标报价时的分部分项工程量清单中子项综合单价</w:t>
      </w:r>
      <w:r>
        <w:rPr>
          <w:rFonts w:hint="eastAsia" w:ascii="宋体" w:hAnsi="宋体" w:cs="宋体"/>
          <w:color w:val="auto"/>
          <w:sz w:val="21"/>
          <w:szCs w:val="21"/>
          <w:highlight w:val="none"/>
          <w:shd w:val="clear" w:color="auto" w:fill="auto"/>
          <w:lang w:eastAsia="zh-CN"/>
        </w:rPr>
        <w:t>（全费用单价）</w:t>
      </w:r>
      <w:r>
        <w:rPr>
          <w:rFonts w:hint="eastAsia" w:ascii="宋体" w:hAnsi="宋体" w:cs="宋体"/>
          <w:color w:val="auto"/>
          <w:sz w:val="21"/>
          <w:szCs w:val="21"/>
          <w:highlight w:val="none"/>
          <w:shd w:val="clear" w:color="auto" w:fill="auto"/>
        </w:rPr>
        <w:t>为结算依据。</w:t>
      </w:r>
    </w:p>
    <w:p>
      <w:pPr>
        <w:widowControl/>
        <w:spacing w:line="360" w:lineRule="exact"/>
        <w:ind w:firstLine="420" w:firstLineChars="200"/>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lang w:val="en-US" w:eastAsia="zh-CN"/>
        </w:rPr>
        <w:t xml:space="preserve"> 6.6.2</w:t>
      </w:r>
      <w:r>
        <w:rPr>
          <w:rFonts w:hint="eastAsia" w:ascii="宋体" w:hAnsi="宋体" w:cs="宋体"/>
          <w:color w:val="auto"/>
          <w:sz w:val="21"/>
          <w:szCs w:val="21"/>
          <w:highlight w:val="none"/>
          <w:shd w:val="clear" w:color="auto" w:fill="auto"/>
        </w:rPr>
        <w:t>设计变更及调整、施工过程中出现新增项目（含招标范围以外的项目）价款结算办法：</w:t>
      </w:r>
    </w:p>
    <w:p>
      <w:pPr>
        <w:widowControl/>
        <w:spacing w:line="360" w:lineRule="exact"/>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lang w:val="en-US" w:eastAsia="zh-CN"/>
        </w:rPr>
        <w:t xml:space="preserve">    </w:t>
      </w:r>
      <w:r>
        <w:rPr>
          <w:rFonts w:hint="eastAsia" w:ascii="宋体" w:hAnsi="宋体" w:cs="宋体"/>
          <w:color w:val="auto"/>
          <w:sz w:val="21"/>
          <w:szCs w:val="21"/>
          <w:highlight w:val="none"/>
          <w:shd w:val="clear" w:color="auto" w:fill="auto"/>
        </w:rPr>
        <w:t>(1)已标价工程量清单或预算书有相同项目的，按照相同项目单价认定；</w:t>
      </w:r>
    </w:p>
    <w:p>
      <w:pPr>
        <w:widowControl/>
        <w:spacing w:line="360" w:lineRule="exact"/>
        <w:ind w:firstLine="420" w:firstLineChars="200"/>
        <w:rPr>
          <w:rFonts w:hint="eastAsia" w:ascii="宋体" w:hAnsi="宋体" w:eastAsia="宋体" w:cs="宋体"/>
          <w:color w:val="auto"/>
          <w:sz w:val="21"/>
          <w:szCs w:val="21"/>
          <w:highlight w:val="none"/>
          <w:shd w:val="clear" w:color="auto" w:fill="auto"/>
          <w:lang w:eastAsia="zh-CN"/>
        </w:rPr>
      </w:pPr>
      <w:r>
        <w:rPr>
          <w:rFonts w:hint="eastAsia" w:ascii="宋体" w:hAnsi="宋体" w:cs="宋体"/>
          <w:color w:val="auto"/>
          <w:sz w:val="21"/>
          <w:szCs w:val="21"/>
          <w:highlight w:val="none"/>
          <w:shd w:val="clear" w:color="auto" w:fill="auto"/>
        </w:rPr>
        <w:t>(2)已标价工程量清单或预算书中无相同项目，但有类似项目的，参照类似项目的单价认定；</w:t>
      </w:r>
    </w:p>
    <w:p>
      <w:pPr>
        <w:widowControl/>
        <w:spacing w:line="360" w:lineRule="exact"/>
        <w:ind w:firstLine="420" w:firstLineChars="200"/>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w:t>
      </w:r>
      <w:r>
        <w:rPr>
          <w:rFonts w:hint="eastAsia" w:ascii="宋体" w:hAnsi="宋体" w:cs="宋体"/>
          <w:color w:val="auto"/>
          <w:sz w:val="21"/>
          <w:szCs w:val="21"/>
          <w:highlight w:val="none"/>
          <w:shd w:val="clear" w:color="auto" w:fill="auto"/>
          <w:lang w:val="en-US" w:eastAsia="zh-CN"/>
        </w:rPr>
        <w:t>3</w:t>
      </w:r>
      <w:r>
        <w:rPr>
          <w:rFonts w:hint="eastAsia" w:ascii="宋体" w:hAnsi="宋体" w:cs="宋体"/>
          <w:color w:val="auto"/>
          <w:sz w:val="21"/>
          <w:szCs w:val="21"/>
          <w:highlight w:val="none"/>
          <w:shd w:val="clear" w:color="auto" w:fill="auto"/>
        </w:rPr>
        <w:t>)已标价工程量清单或预算书中无相同项目及类似项目单价的，按照合理的成本与利润构成的原则，由合同当事人按照</w:t>
      </w:r>
      <w:r>
        <w:rPr>
          <w:rFonts w:hint="eastAsia" w:ascii="宋体" w:hAnsi="宋体" w:cs="宋体"/>
          <w:color w:val="auto"/>
          <w:sz w:val="21"/>
          <w:szCs w:val="21"/>
          <w:highlight w:val="none"/>
          <w:shd w:val="clear" w:color="auto" w:fill="auto"/>
          <w:lang w:eastAsia="zh-CN"/>
        </w:rPr>
        <w:t>合同原则</w:t>
      </w:r>
      <w:r>
        <w:rPr>
          <w:rFonts w:hint="eastAsia" w:ascii="宋体" w:hAnsi="宋体" w:cs="宋体"/>
          <w:color w:val="auto"/>
          <w:sz w:val="21"/>
          <w:szCs w:val="21"/>
          <w:highlight w:val="none"/>
          <w:shd w:val="clear" w:color="auto" w:fill="auto"/>
        </w:rPr>
        <w:t>商定或确定变更工作的单价。</w:t>
      </w:r>
    </w:p>
    <w:p>
      <w:pPr>
        <w:pStyle w:val="4"/>
        <w:spacing w:before="0" w:after="0" w:line="360" w:lineRule="exact"/>
        <w:rPr>
          <w:rFonts w:hint="eastAsia" w:ascii="宋体" w:hAnsi="宋体" w:cs="宋体"/>
          <w:sz w:val="21"/>
          <w:szCs w:val="21"/>
        </w:rPr>
      </w:pPr>
      <w:r>
        <w:rPr>
          <w:rFonts w:hint="eastAsia" w:ascii="宋体" w:hAnsi="宋体" w:cs="宋体"/>
          <w:sz w:val="21"/>
          <w:szCs w:val="21"/>
        </w:rPr>
        <w:t>第7条质量保证期</w:t>
      </w:r>
    </w:p>
    <w:p>
      <w:pPr>
        <w:widowControl/>
        <w:spacing w:line="360" w:lineRule="auto"/>
        <w:ind w:firstLine="420" w:firstLineChars="200"/>
        <w:rPr>
          <w:rFonts w:hint="eastAsia" w:ascii="宋体" w:hAnsi="宋体" w:cs="宋体"/>
          <w:szCs w:val="21"/>
        </w:rPr>
      </w:pPr>
      <w:r>
        <w:rPr>
          <w:rFonts w:hint="eastAsia" w:ascii="宋体" w:hAnsi="宋体" w:cs="宋体"/>
          <w:szCs w:val="21"/>
        </w:rPr>
        <w:t>发包人所发出的维修工作工程质保期半年。质保期内,工程因自然力等主客观因素出现松动、脱落等现象，乙方需在48小时内到现场维修，若乙方途期不到场，甲方可先行维修，所支出费用由乙方承担。</w:t>
      </w:r>
    </w:p>
    <w:p>
      <w:pPr>
        <w:pStyle w:val="4"/>
        <w:spacing w:before="0" w:after="0" w:line="360" w:lineRule="exact"/>
        <w:rPr>
          <w:rFonts w:hint="eastAsia" w:ascii="宋体" w:hAnsi="宋体" w:cs="宋体"/>
          <w:sz w:val="21"/>
          <w:szCs w:val="21"/>
        </w:rPr>
      </w:pPr>
      <w:r>
        <w:rPr>
          <w:rFonts w:hint="eastAsia" w:ascii="宋体" w:hAnsi="宋体" w:cs="宋体"/>
          <w:sz w:val="21"/>
          <w:szCs w:val="21"/>
        </w:rPr>
        <w:t>第8条工程材料</w:t>
      </w:r>
    </w:p>
    <w:p>
      <w:pPr>
        <w:widowControl/>
        <w:spacing w:line="360" w:lineRule="exact"/>
        <w:ind w:firstLine="420" w:firstLineChars="200"/>
        <w:rPr>
          <w:rFonts w:hint="eastAsia" w:ascii="宋体" w:hAnsi="宋体" w:cs="宋体"/>
          <w:szCs w:val="21"/>
        </w:rPr>
      </w:pPr>
      <w:r>
        <w:rPr>
          <w:rFonts w:hint="eastAsia" w:ascii="宋体" w:hAnsi="宋体" w:cs="宋体"/>
          <w:szCs w:val="21"/>
        </w:rPr>
        <w:t>8.1工程材料应由乙方负责采购，并经甲方认质认价后方可进行采购。</w:t>
      </w:r>
    </w:p>
    <w:p>
      <w:pPr>
        <w:pStyle w:val="4"/>
        <w:spacing w:before="0" w:after="0" w:line="360" w:lineRule="exact"/>
        <w:rPr>
          <w:rFonts w:hint="eastAsia" w:ascii="宋体" w:hAnsi="宋体" w:cs="宋体"/>
          <w:sz w:val="21"/>
          <w:szCs w:val="21"/>
        </w:rPr>
      </w:pPr>
      <w:r>
        <w:rPr>
          <w:rFonts w:hint="eastAsia" w:ascii="宋体" w:hAnsi="宋体" w:cs="宋体"/>
          <w:sz w:val="21"/>
          <w:szCs w:val="21"/>
        </w:rPr>
        <w:t>第9条安全生产和防火约定</w:t>
      </w:r>
    </w:p>
    <w:p>
      <w:pPr>
        <w:widowControl/>
        <w:spacing w:line="360" w:lineRule="exact"/>
        <w:ind w:firstLine="420" w:firstLineChars="200"/>
        <w:rPr>
          <w:rFonts w:hint="eastAsia" w:ascii="宋体" w:hAnsi="宋体" w:cs="宋体"/>
          <w:szCs w:val="21"/>
        </w:rPr>
      </w:pPr>
      <w:r>
        <w:rPr>
          <w:rFonts w:hint="eastAsia" w:ascii="宋体" w:hAnsi="宋体" w:cs="宋体"/>
          <w:szCs w:val="21"/>
        </w:rPr>
        <w:t>9.1甲方提供的施工图纸或做法说明,应符合《中华人民共和国消防条例》和有关防火设计规范。</w:t>
      </w:r>
    </w:p>
    <w:p>
      <w:pPr>
        <w:widowControl/>
        <w:spacing w:line="360" w:lineRule="exact"/>
        <w:ind w:firstLine="420" w:firstLineChars="200"/>
        <w:rPr>
          <w:rFonts w:hint="eastAsia" w:ascii="宋体" w:hAnsi="宋体" w:cs="宋体"/>
          <w:szCs w:val="21"/>
        </w:rPr>
      </w:pPr>
      <w:r>
        <w:rPr>
          <w:rFonts w:hint="eastAsia" w:ascii="宋体" w:hAnsi="宋体" w:cs="宋体"/>
          <w:szCs w:val="21"/>
        </w:rPr>
        <w:t>9.2乙方在施工期间应严格遭守《建筑安装工程安全技术规程》、《建筑安装工人安全操作规程》、《中华人民共和国消防条例》和其他相关的法规、规范。由于乙方在施工生产过程中违反有关安全操作规程、消防条例,导致发生安全或火灾事故，乙方承担由此引发的一切经济损失。</w:t>
      </w:r>
    </w:p>
    <w:p>
      <w:pPr>
        <w:pStyle w:val="4"/>
        <w:spacing w:before="0" w:after="0" w:line="360" w:lineRule="exact"/>
        <w:rPr>
          <w:rFonts w:hint="eastAsia" w:ascii="宋体" w:hAnsi="宋体" w:cs="宋体"/>
          <w:sz w:val="21"/>
          <w:szCs w:val="21"/>
        </w:rPr>
      </w:pPr>
      <w:r>
        <w:rPr>
          <w:rFonts w:hint="eastAsia" w:ascii="宋体" w:hAnsi="宋体" w:cs="宋体"/>
          <w:sz w:val="21"/>
          <w:szCs w:val="21"/>
        </w:rPr>
        <w:t>第10条违约责任</w:t>
      </w:r>
    </w:p>
    <w:p>
      <w:pPr>
        <w:widowControl/>
        <w:spacing w:line="360" w:lineRule="exact"/>
        <w:ind w:firstLine="420" w:firstLineChars="200"/>
        <w:rPr>
          <w:rFonts w:hint="eastAsia" w:ascii="宋体" w:hAnsi="宋体" w:cs="宋体"/>
          <w:szCs w:val="21"/>
        </w:rPr>
      </w:pPr>
      <w:r>
        <w:rPr>
          <w:rFonts w:hint="eastAsia" w:ascii="宋体" w:hAnsi="宋体" w:cs="宋体"/>
          <w:szCs w:val="21"/>
        </w:rPr>
        <w:t>10.1由于乙方原因，逾期竣工，每逾期一天，乙方应向甲方支付维修工程款2%的违约金。</w:t>
      </w:r>
    </w:p>
    <w:p>
      <w:pPr>
        <w:widowControl/>
        <w:spacing w:line="360" w:lineRule="exact"/>
        <w:ind w:firstLine="420" w:firstLineChars="200"/>
        <w:rPr>
          <w:rFonts w:hint="eastAsia" w:ascii="宋体" w:hAnsi="宋体" w:cs="宋体"/>
          <w:szCs w:val="21"/>
        </w:rPr>
      </w:pPr>
      <w:r>
        <w:rPr>
          <w:rFonts w:hint="eastAsia" w:ascii="宋体" w:hAnsi="宋体" w:cs="宋体"/>
          <w:szCs w:val="21"/>
        </w:rPr>
        <w:t>10.2乙方应要善保护甲方提供的设备及现场堆放的物资、陈设和工程成品，如造成损失，应照价赔偿。</w:t>
      </w:r>
    </w:p>
    <w:p>
      <w:pPr>
        <w:widowControl/>
        <w:spacing w:line="360" w:lineRule="exact"/>
        <w:ind w:firstLine="420" w:firstLineChars="200"/>
        <w:rPr>
          <w:rFonts w:hint="eastAsia" w:ascii="宋体" w:hAnsi="宋体" w:cs="宋体"/>
          <w:szCs w:val="21"/>
        </w:rPr>
      </w:pPr>
      <w:r>
        <w:rPr>
          <w:rFonts w:hint="eastAsia" w:ascii="宋体" w:hAnsi="宋体" w:cs="宋体"/>
          <w:szCs w:val="21"/>
        </w:rPr>
        <w:t>10.3甲方未办理任何手续,擅自同意拆改原建筑物结构或者设备管线，由此发生的损失或事故(包括司款) ,由甲方负责并承担损失。</w:t>
      </w:r>
    </w:p>
    <w:p>
      <w:pPr>
        <w:widowControl/>
        <w:spacing w:line="360" w:lineRule="exact"/>
        <w:ind w:firstLine="420" w:firstLineChars="200"/>
        <w:rPr>
          <w:rFonts w:hint="eastAsia" w:ascii="宋体" w:hAnsi="宋体" w:cs="宋体"/>
          <w:szCs w:val="21"/>
        </w:rPr>
      </w:pPr>
      <w:r>
        <w:rPr>
          <w:rFonts w:hint="eastAsia" w:ascii="宋体" w:hAnsi="宋体" w:cs="宋体"/>
          <w:szCs w:val="21"/>
        </w:rPr>
        <w:t>10.4未经甲方同意，乙方擅自拆改原建筑物结构或设备管线，由此发生的损失或事故(包括罚款) ，由乙方负责并承担损失。</w:t>
      </w:r>
    </w:p>
    <w:p>
      <w:pPr>
        <w:widowControl/>
        <w:spacing w:line="360" w:lineRule="exact"/>
        <w:ind w:firstLine="420" w:firstLineChars="200"/>
        <w:rPr>
          <w:rFonts w:hint="eastAsia" w:ascii="宋体" w:hAnsi="宋体" w:cs="宋体"/>
          <w:szCs w:val="21"/>
        </w:rPr>
      </w:pPr>
      <w:r>
        <w:rPr>
          <w:rFonts w:hint="eastAsia" w:ascii="宋体" w:hAnsi="宋体" w:cs="宋体"/>
          <w:szCs w:val="21"/>
        </w:rPr>
        <w:t>10.5未办理验收手续,甲方提前使用或擅自动用的,所造成的损失由甲方承担。</w:t>
      </w:r>
    </w:p>
    <w:p>
      <w:pPr>
        <w:widowControl/>
        <w:spacing w:line="360" w:lineRule="exact"/>
        <w:ind w:firstLine="420" w:firstLineChars="200"/>
        <w:rPr>
          <w:rFonts w:hint="eastAsia" w:ascii="宋体" w:hAnsi="宋体" w:cs="宋体"/>
          <w:szCs w:val="21"/>
        </w:rPr>
      </w:pPr>
      <w:r>
        <w:rPr>
          <w:rFonts w:hint="eastAsia" w:ascii="宋体" w:hAnsi="宋体" w:cs="宋体"/>
          <w:szCs w:val="21"/>
        </w:rPr>
        <w:t>10.6因一方原因，本维修服务合同无法继续履行时,应书面通知另一方，办理合同终止协议，并由责任方赔偿对方由此造成的经济损失。</w:t>
      </w:r>
    </w:p>
    <w:p>
      <w:pPr>
        <w:pStyle w:val="4"/>
        <w:spacing w:before="0" w:after="0" w:line="360" w:lineRule="exact"/>
        <w:rPr>
          <w:rFonts w:hint="eastAsia" w:ascii="宋体" w:hAnsi="宋体" w:cs="宋体"/>
          <w:sz w:val="21"/>
          <w:szCs w:val="21"/>
        </w:rPr>
      </w:pPr>
      <w:r>
        <w:rPr>
          <w:rFonts w:hint="eastAsia" w:ascii="宋体" w:hAnsi="宋体" w:cs="宋体"/>
          <w:sz w:val="21"/>
          <w:szCs w:val="21"/>
        </w:rPr>
        <w:t>第11条争议 解决</w:t>
      </w:r>
    </w:p>
    <w:p>
      <w:pPr>
        <w:widowControl/>
        <w:spacing w:line="360" w:lineRule="exact"/>
        <w:ind w:firstLine="420" w:firstLineChars="200"/>
        <w:rPr>
          <w:rFonts w:hint="eastAsia" w:ascii="宋体" w:hAnsi="宋体" w:cs="宋体"/>
          <w:szCs w:val="21"/>
        </w:rPr>
      </w:pPr>
      <w:r>
        <w:rPr>
          <w:rFonts w:hint="eastAsia" w:ascii="宋体" w:hAnsi="宋体" w:cs="宋体"/>
          <w:szCs w:val="21"/>
        </w:rPr>
        <w:t>11.1本合同履行期间，双方发生争议时，在不影响工程进度的前提下，双方可以采取协商解决或请有关部门进行调解。</w:t>
      </w:r>
    </w:p>
    <w:p>
      <w:pPr>
        <w:widowControl/>
        <w:spacing w:line="360" w:lineRule="exact"/>
        <w:ind w:firstLine="420" w:firstLineChars="200"/>
        <w:rPr>
          <w:rFonts w:hint="eastAsia" w:ascii="宋体" w:hAnsi="宋体" w:cs="宋体"/>
          <w:szCs w:val="21"/>
        </w:rPr>
      </w:pPr>
      <w:r>
        <w:rPr>
          <w:rFonts w:hint="eastAsia" w:ascii="宋体" w:hAnsi="宋体" w:cs="宋体"/>
          <w:szCs w:val="21"/>
        </w:rPr>
        <w:t>11.2因本合同引起的或与本合同有关的任何争议 ,由合同各方协商解决,也可由有关部门 调解。协商或调解不成的，按下列方式解决：</w:t>
      </w:r>
    </w:p>
    <w:p>
      <w:pPr>
        <w:widowControl/>
        <w:spacing w:line="360" w:lineRule="exact"/>
        <w:ind w:firstLine="420" w:firstLineChars="200"/>
        <w:rPr>
          <w:rFonts w:hint="eastAsia" w:ascii="宋体" w:hAnsi="宋体" w:cs="宋体"/>
          <w:szCs w:val="21"/>
        </w:rPr>
      </w:pPr>
      <w:r>
        <w:rPr>
          <w:rFonts w:hint="eastAsia" w:ascii="宋体" w:hAnsi="宋体" w:cs="宋体"/>
          <w:szCs w:val="21"/>
        </w:rPr>
        <w:t>11.2.1提交位于</w:t>
      </w:r>
      <w:r>
        <w:rPr>
          <w:rFonts w:hint="eastAsia" w:ascii="宋体" w:hAnsi="宋体" w:cs="宋体"/>
          <w:szCs w:val="21"/>
          <w:u w:val="single"/>
        </w:rPr>
        <w:t xml:space="preserve">  重庆市  </w:t>
      </w:r>
      <w:r>
        <w:rPr>
          <w:rFonts w:hint="eastAsia" w:ascii="宋体" w:hAnsi="宋体" w:cs="宋体"/>
          <w:szCs w:val="21"/>
        </w:rPr>
        <w:t xml:space="preserve">(地点)的 </w:t>
      </w:r>
      <w:r>
        <w:rPr>
          <w:rFonts w:hint="eastAsia" w:ascii="宋体" w:hAnsi="宋体" w:cs="宋体"/>
          <w:szCs w:val="21"/>
          <w:u w:val="single"/>
        </w:rPr>
        <w:t xml:space="preserve">  重庆  </w:t>
      </w:r>
      <w:r>
        <w:rPr>
          <w:rFonts w:hint="eastAsia" w:ascii="宋体" w:hAnsi="宋体" w:cs="宋体"/>
          <w:szCs w:val="21"/>
        </w:rPr>
        <w:t>仲裁委员会仲裁。仲裁裁决是终局的，对各方均有约束力;</w:t>
      </w:r>
    </w:p>
    <w:p>
      <w:pPr>
        <w:pStyle w:val="4"/>
        <w:spacing w:before="0" w:after="0" w:line="360" w:lineRule="exact"/>
        <w:rPr>
          <w:rFonts w:hint="eastAsia" w:ascii="宋体" w:hAnsi="宋体" w:cs="宋体"/>
          <w:sz w:val="21"/>
          <w:szCs w:val="21"/>
        </w:rPr>
      </w:pPr>
      <w:r>
        <w:rPr>
          <w:rFonts w:hint="eastAsia" w:ascii="宋体" w:hAnsi="宋体" w:cs="宋体"/>
          <w:sz w:val="21"/>
          <w:szCs w:val="21"/>
        </w:rPr>
        <w:t>第12条其他约定</w:t>
      </w:r>
    </w:p>
    <w:p>
      <w:pPr>
        <w:widowControl/>
        <w:spacing w:line="360" w:lineRule="exact"/>
        <w:ind w:firstLine="420" w:firstLineChars="200"/>
        <w:rPr>
          <w:rFonts w:hint="eastAsia" w:ascii="宋体" w:hAnsi="宋体" w:cs="宋体"/>
          <w:szCs w:val="21"/>
        </w:rPr>
      </w:pPr>
      <w:r>
        <w:rPr>
          <w:rFonts w:hint="eastAsia" w:ascii="宋体" w:hAnsi="宋体" w:cs="宋体"/>
          <w:szCs w:val="21"/>
        </w:rPr>
        <w:t>12.1在施工中乙方要时刻注意施工安全,同时尽量避免在施工区域内产生施工的嗓声，以免影响加油站的正常生产和工人的人身安全。</w:t>
      </w:r>
    </w:p>
    <w:p>
      <w:pPr>
        <w:widowControl/>
        <w:spacing w:line="360" w:lineRule="exact"/>
        <w:ind w:firstLine="420" w:firstLineChars="200"/>
        <w:rPr>
          <w:rFonts w:hint="eastAsia" w:ascii="宋体" w:hAnsi="宋体" w:cs="宋体"/>
          <w:szCs w:val="21"/>
        </w:rPr>
      </w:pPr>
      <w:r>
        <w:rPr>
          <w:rFonts w:hint="eastAsia" w:ascii="宋体" w:hAnsi="宋体" w:cs="宋体"/>
          <w:szCs w:val="21"/>
        </w:rPr>
        <w:t>12.2乙方严格按程序施工,每道程序必须经甲方验收合格后再施工下一道程序，从而确保工程质量。</w:t>
      </w:r>
    </w:p>
    <w:p>
      <w:pPr>
        <w:widowControl/>
        <w:spacing w:line="360" w:lineRule="exact"/>
        <w:ind w:firstLine="420" w:firstLineChars="200"/>
        <w:rPr>
          <w:rFonts w:hint="eastAsia" w:ascii="宋体" w:hAnsi="宋体" w:cs="宋体"/>
          <w:szCs w:val="21"/>
        </w:rPr>
      </w:pPr>
      <w:r>
        <w:rPr>
          <w:rFonts w:hint="eastAsia" w:ascii="宋体" w:hAnsi="宋体" w:cs="宋体"/>
          <w:szCs w:val="21"/>
        </w:rPr>
        <w:t>12.3在施工中,本工程如有变更部分甲方应及时通知乙方，并给予办理经济签证。</w:t>
      </w:r>
    </w:p>
    <w:p>
      <w:pPr>
        <w:widowControl/>
        <w:spacing w:line="360" w:lineRule="exact"/>
        <w:ind w:firstLine="420" w:firstLineChars="200"/>
        <w:rPr>
          <w:rFonts w:hint="eastAsia" w:ascii="宋体" w:hAnsi="宋体" w:cs="宋体"/>
          <w:szCs w:val="21"/>
        </w:rPr>
      </w:pPr>
      <w:r>
        <w:rPr>
          <w:rFonts w:hint="eastAsia" w:ascii="宋体" w:hAnsi="宋体" w:cs="宋体"/>
          <w:szCs w:val="21"/>
        </w:rPr>
        <w:t>12.4如因甲方需变更工程而未及时通知造成已完工程返工，甲方应承担乙方返工的相应费用。</w:t>
      </w:r>
    </w:p>
    <w:p>
      <w:pPr>
        <w:widowControl/>
        <w:spacing w:line="360" w:lineRule="exact"/>
        <w:ind w:firstLine="420" w:firstLineChars="200"/>
        <w:rPr>
          <w:rFonts w:hint="eastAsia" w:ascii="宋体" w:hAnsi="宋体" w:cs="宋体"/>
          <w:szCs w:val="21"/>
        </w:rPr>
      </w:pPr>
      <w:r>
        <w:rPr>
          <w:rFonts w:hint="eastAsia" w:ascii="宋体" w:hAnsi="宋体" w:cs="宋体"/>
          <w:szCs w:val="21"/>
        </w:rPr>
        <w:t>第13条附则</w:t>
      </w:r>
    </w:p>
    <w:p>
      <w:pPr>
        <w:widowControl/>
        <w:spacing w:line="360" w:lineRule="exact"/>
        <w:ind w:firstLine="420" w:firstLineChars="200"/>
        <w:rPr>
          <w:rFonts w:hint="eastAsia" w:ascii="宋体" w:hAnsi="宋体" w:cs="宋体"/>
          <w:szCs w:val="21"/>
        </w:rPr>
      </w:pPr>
      <w:r>
        <w:rPr>
          <w:rFonts w:hint="eastAsia" w:ascii="宋体" w:hAnsi="宋体" w:cs="宋体"/>
          <w:szCs w:val="21"/>
        </w:rPr>
        <w:t>13.1其他未尽事宜，双方本希平等的、自愿、公平、诚实、信用的原则,协商解决。</w:t>
      </w:r>
    </w:p>
    <w:p>
      <w:pPr>
        <w:widowControl/>
        <w:spacing w:line="360" w:lineRule="exact"/>
        <w:ind w:firstLine="420" w:firstLineChars="200"/>
        <w:rPr>
          <w:rFonts w:hint="eastAsia" w:ascii="宋体" w:hAnsi="宋体" w:cs="宋体"/>
          <w:szCs w:val="21"/>
        </w:rPr>
      </w:pPr>
      <w:r>
        <w:rPr>
          <w:rFonts w:hint="eastAsia" w:ascii="宋体" w:hAnsi="宋体" w:cs="宋体"/>
          <w:szCs w:val="21"/>
        </w:rPr>
        <w:t>13.2本合同一式捌份，签订后甲方陆份，乙方贰份。</w:t>
      </w:r>
    </w:p>
    <w:p>
      <w:pPr>
        <w:spacing w:before="156" w:beforeLines="50" w:after="156" w:afterLines="50" w:line="440" w:lineRule="exact"/>
        <w:rPr>
          <w:rFonts w:hint="eastAsia" w:ascii="宋体" w:hAnsi="宋体" w:cs="宋体"/>
          <w:sz w:val="30"/>
          <w:szCs w:val="30"/>
        </w:rPr>
      </w:pPr>
    </w:p>
    <w:p>
      <w:pPr>
        <w:rPr>
          <w:rFonts w:hint="eastAsia" w:eastAsia="黑体"/>
          <w:b/>
          <w:sz w:val="28"/>
          <w:szCs w:val="28"/>
        </w:rPr>
      </w:pPr>
      <w:r>
        <w:rPr>
          <w:rFonts w:hint="eastAsia" w:eastAsia="黑体"/>
          <w:b/>
          <w:sz w:val="28"/>
          <w:szCs w:val="28"/>
        </w:rPr>
        <w:t>附件</w:t>
      </w:r>
      <w:r>
        <w:rPr>
          <w:rFonts w:hint="eastAsia" w:eastAsia="黑体"/>
          <w:b/>
          <w:sz w:val="28"/>
          <w:szCs w:val="28"/>
          <w:lang w:eastAsia="zh-CN"/>
        </w:rPr>
        <w:t>一</w:t>
      </w:r>
      <w:r>
        <w:rPr>
          <w:rFonts w:hint="eastAsia" w:eastAsia="黑体"/>
          <w:b/>
          <w:sz w:val="28"/>
          <w:szCs w:val="28"/>
        </w:rPr>
        <w:t>：</w:t>
      </w:r>
    </w:p>
    <w:p>
      <w:pPr>
        <w:jc w:val="center"/>
        <w:rPr>
          <w:rFonts w:ascii="宋体" w:hAnsi="宋体"/>
          <w:b/>
          <w:sz w:val="36"/>
          <w:szCs w:val="44"/>
        </w:rPr>
      </w:pPr>
      <w:r>
        <w:rPr>
          <w:rFonts w:hint="eastAsia" w:ascii="宋体" w:hAnsi="宋体"/>
          <w:b/>
          <w:sz w:val="36"/>
          <w:szCs w:val="44"/>
        </w:rPr>
        <w:t>工程质量保修书</w:t>
      </w:r>
    </w:p>
    <w:p>
      <w:pPr>
        <w:spacing w:line="380" w:lineRule="exact"/>
        <w:ind w:firstLine="420" w:firstLineChars="200"/>
        <w:rPr>
          <w:rFonts w:ascii="宋体" w:hAnsi="宋体" w:cs="宋体"/>
          <w:szCs w:val="21"/>
        </w:rPr>
      </w:pPr>
      <w:r>
        <w:rPr>
          <w:rFonts w:hint="eastAsia" w:ascii="宋体" w:hAnsi="宋体" w:cs="宋体"/>
          <w:szCs w:val="21"/>
        </w:rPr>
        <w:t xml:space="preserve">发包人（全称）：                                 </w:t>
      </w:r>
    </w:p>
    <w:p>
      <w:pPr>
        <w:spacing w:line="380" w:lineRule="exact"/>
        <w:ind w:firstLine="420" w:firstLineChars="200"/>
        <w:rPr>
          <w:rFonts w:ascii="宋体" w:hAnsi="宋体" w:cs="宋体"/>
          <w:szCs w:val="21"/>
        </w:rPr>
      </w:pPr>
      <w:r>
        <w:rPr>
          <w:rFonts w:hint="eastAsia" w:ascii="宋体" w:hAnsi="宋体" w:cs="宋体"/>
          <w:szCs w:val="21"/>
        </w:rPr>
        <w:t xml:space="preserve">承包人（全称）：                                 </w:t>
      </w:r>
    </w:p>
    <w:p>
      <w:pPr>
        <w:spacing w:line="380" w:lineRule="exact"/>
        <w:ind w:firstLine="420" w:firstLineChars="200"/>
        <w:rPr>
          <w:rFonts w:ascii="宋体" w:hAnsi="宋体" w:cs="宋体"/>
          <w:szCs w:val="21"/>
        </w:rPr>
      </w:pPr>
      <w:r>
        <w:rPr>
          <w:rFonts w:hint="eastAsia" w:ascii="宋体" w:hAnsi="宋体" w:cs="宋体"/>
          <w:szCs w:val="21"/>
        </w:rPr>
        <w:t>发包人和承包人根据《中华人民共和国建筑法》和《建设工程质量管理条例》，经协商一致就</w:t>
      </w:r>
      <w:r>
        <w:rPr>
          <w:rFonts w:hint="eastAsia" w:ascii="宋体" w:hAnsi="宋体" w:cs="宋体"/>
          <w:szCs w:val="21"/>
          <w:u w:val="single"/>
        </w:rPr>
        <w:t xml:space="preserve">  </w:t>
      </w:r>
      <w:r>
        <w:rPr>
          <w:rFonts w:hint="eastAsia" w:ascii="宋体" w:hAnsi="宋体" w:cs="宋体"/>
          <w:szCs w:val="21"/>
        </w:rPr>
        <w:t>（工程全称）签订工程质量保修书。</w:t>
      </w:r>
    </w:p>
    <w:p>
      <w:pPr>
        <w:spacing w:line="380" w:lineRule="exact"/>
        <w:ind w:firstLine="420" w:firstLineChars="200"/>
        <w:rPr>
          <w:rFonts w:ascii="宋体" w:hAnsi="宋体" w:cs="宋体"/>
          <w:szCs w:val="21"/>
        </w:rPr>
      </w:pPr>
      <w:r>
        <w:rPr>
          <w:rFonts w:hint="eastAsia" w:ascii="宋体" w:hAnsi="宋体" w:cs="宋体"/>
          <w:szCs w:val="21"/>
        </w:rPr>
        <w:t>一、工程质量保修范围和内容</w:t>
      </w:r>
    </w:p>
    <w:p>
      <w:pPr>
        <w:spacing w:line="380" w:lineRule="exact"/>
        <w:ind w:firstLine="420" w:firstLineChars="200"/>
        <w:rPr>
          <w:rFonts w:ascii="宋体" w:hAnsi="宋体" w:cs="宋体"/>
          <w:szCs w:val="21"/>
        </w:rPr>
      </w:pPr>
      <w:r>
        <w:rPr>
          <w:rFonts w:hint="eastAsia" w:ascii="宋体" w:hAnsi="宋体" w:cs="宋体"/>
          <w:szCs w:val="21"/>
        </w:rPr>
        <w:t>承包人在质量保修期内，按照有关法律规定和合同约定，承担工程质量保修责任。</w:t>
      </w:r>
    </w:p>
    <w:p>
      <w:pPr>
        <w:spacing w:line="380" w:lineRule="exact"/>
        <w:ind w:firstLine="420" w:firstLineChars="200"/>
        <w:rPr>
          <w:rFonts w:ascii="宋体" w:hAnsi="宋体" w:cs="宋体"/>
          <w:szCs w:val="21"/>
        </w:rPr>
      </w:pPr>
      <w:r>
        <w:rPr>
          <w:rFonts w:hint="eastAsia" w:ascii="宋体" w:hAnsi="宋体" w:cs="宋体"/>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szCs w:val="21"/>
          <w:u w:val="single"/>
        </w:rPr>
        <w:t xml:space="preserve">                                   </w:t>
      </w:r>
      <w:r>
        <w:rPr>
          <w:rFonts w:hint="eastAsia" w:ascii="宋体" w:hAnsi="宋体" w:cs="宋体"/>
          <w:szCs w:val="21"/>
        </w:rPr>
        <w:t>。</w:t>
      </w:r>
    </w:p>
    <w:p>
      <w:pPr>
        <w:spacing w:line="380" w:lineRule="exact"/>
        <w:ind w:firstLine="420" w:firstLineChars="200"/>
        <w:rPr>
          <w:rFonts w:ascii="宋体" w:hAnsi="宋体" w:cs="宋体"/>
          <w:szCs w:val="21"/>
        </w:rPr>
      </w:pPr>
      <w:r>
        <w:rPr>
          <w:rFonts w:hint="eastAsia" w:ascii="宋体" w:hAnsi="宋体" w:cs="宋体"/>
          <w:szCs w:val="21"/>
        </w:rPr>
        <w:t>二、质量保修期</w:t>
      </w:r>
    </w:p>
    <w:p>
      <w:pPr>
        <w:spacing w:line="380" w:lineRule="exact"/>
        <w:ind w:firstLine="420" w:firstLineChars="200"/>
        <w:rPr>
          <w:rFonts w:ascii="宋体" w:hAnsi="宋体" w:cs="宋体"/>
          <w:szCs w:val="21"/>
        </w:rPr>
      </w:pPr>
      <w:r>
        <w:rPr>
          <w:rFonts w:hint="eastAsia" w:ascii="宋体" w:hAnsi="宋体" w:cs="宋体"/>
          <w:szCs w:val="21"/>
        </w:rPr>
        <w:t>根据《建设工程质量管理条例》及有关规定，工程的质量保修期如下：</w:t>
      </w:r>
    </w:p>
    <w:p>
      <w:pPr>
        <w:spacing w:line="380" w:lineRule="exact"/>
        <w:ind w:firstLine="420" w:firstLineChars="200"/>
        <w:rPr>
          <w:rFonts w:ascii="宋体" w:hAnsi="宋体" w:cs="宋体"/>
          <w:szCs w:val="21"/>
        </w:rPr>
      </w:pPr>
      <w:r>
        <w:rPr>
          <w:rFonts w:hint="eastAsia" w:ascii="宋体" w:hAnsi="宋体" w:cs="宋体"/>
          <w:szCs w:val="21"/>
        </w:rPr>
        <w:t>1．地基基础工程和主体结构工程为设计文件规定的工程合理使用年限；</w:t>
      </w:r>
    </w:p>
    <w:p>
      <w:pPr>
        <w:spacing w:line="380" w:lineRule="exact"/>
        <w:ind w:firstLine="420" w:firstLineChars="200"/>
        <w:rPr>
          <w:rFonts w:ascii="宋体" w:hAnsi="宋体" w:cs="宋体"/>
          <w:szCs w:val="21"/>
        </w:rPr>
      </w:pPr>
      <w:r>
        <w:rPr>
          <w:rFonts w:hint="eastAsia" w:ascii="宋体" w:hAnsi="宋体" w:cs="宋体"/>
          <w:szCs w:val="21"/>
        </w:rPr>
        <w:t>2．屋面防水工程、有防水要求的卫生间、房间和外墙面的防渗为</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年；</w:t>
      </w:r>
    </w:p>
    <w:p>
      <w:pPr>
        <w:spacing w:line="380" w:lineRule="exact"/>
        <w:ind w:firstLine="420" w:firstLineChars="200"/>
        <w:rPr>
          <w:rFonts w:ascii="宋体" w:hAnsi="宋体" w:cs="宋体"/>
          <w:szCs w:val="21"/>
        </w:rPr>
      </w:pPr>
      <w:r>
        <w:rPr>
          <w:rFonts w:hint="eastAsia" w:ascii="宋体" w:hAnsi="宋体" w:cs="宋体"/>
          <w:szCs w:val="21"/>
        </w:rPr>
        <w:t>3．装修工程为</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年；</w:t>
      </w:r>
    </w:p>
    <w:p>
      <w:pPr>
        <w:spacing w:line="380" w:lineRule="exact"/>
        <w:ind w:firstLine="420" w:firstLineChars="200"/>
        <w:rPr>
          <w:rFonts w:ascii="宋体" w:hAnsi="宋体" w:cs="宋体"/>
          <w:szCs w:val="21"/>
        </w:rPr>
      </w:pPr>
      <w:r>
        <w:rPr>
          <w:rFonts w:hint="eastAsia" w:ascii="宋体" w:hAnsi="宋体" w:cs="宋体"/>
          <w:szCs w:val="21"/>
        </w:rPr>
        <w:t>4．电气管线、给排水管道、设备安装工程为</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年；</w:t>
      </w:r>
    </w:p>
    <w:p>
      <w:pPr>
        <w:spacing w:line="380" w:lineRule="exact"/>
        <w:ind w:firstLine="420" w:firstLineChars="200"/>
        <w:rPr>
          <w:rFonts w:ascii="宋体" w:hAnsi="宋体" w:cs="宋体"/>
          <w:szCs w:val="21"/>
        </w:rPr>
      </w:pPr>
      <w:r>
        <w:rPr>
          <w:rFonts w:hint="eastAsia" w:ascii="宋体" w:hAnsi="宋体" w:cs="宋体"/>
          <w:szCs w:val="21"/>
        </w:rPr>
        <w:t>5．供热与供冷系统为</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个采暖期、供冷期；</w:t>
      </w:r>
    </w:p>
    <w:p>
      <w:pPr>
        <w:spacing w:line="380" w:lineRule="exact"/>
        <w:ind w:firstLine="420" w:firstLineChars="200"/>
        <w:rPr>
          <w:rFonts w:ascii="宋体" w:hAnsi="宋体" w:cs="宋体"/>
          <w:szCs w:val="21"/>
        </w:rPr>
      </w:pPr>
      <w:r>
        <w:rPr>
          <w:rFonts w:hint="eastAsia" w:ascii="宋体" w:hAnsi="宋体" w:cs="宋体"/>
          <w:szCs w:val="21"/>
        </w:rPr>
        <w:t>6．住宅小区内的给排水设施、道路等配套工程为</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年；</w:t>
      </w:r>
    </w:p>
    <w:p>
      <w:pPr>
        <w:spacing w:line="380" w:lineRule="exact"/>
        <w:ind w:firstLine="420" w:firstLineChars="200"/>
        <w:rPr>
          <w:rFonts w:ascii="宋体" w:hAnsi="宋体" w:cs="宋体"/>
          <w:szCs w:val="21"/>
        </w:rPr>
      </w:pPr>
      <w:r>
        <w:rPr>
          <w:rFonts w:hint="eastAsia" w:ascii="宋体" w:hAnsi="宋体" w:cs="宋体"/>
          <w:szCs w:val="21"/>
        </w:rPr>
        <w:t>7．其他项目保修期限约定如下：</w:t>
      </w:r>
      <w:r>
        <w:rPr>
          <w:rFonts w:hint="eastAsia" w:ascii="宋体" w:hAnsi="宋体" w:cs="宋体"/>
          <w:szCs w:val="21"/>
          <w:u w:val="single"/>
        </w:rPr>
        <w:t xml:space="preserve">                                         </w:t>
      </w:r>
      <w:r>
        <w:rPr>
          <w:rFonts w:hint="eastAsia" w:ascii="宋体" w:hAnsi="宋体" w:cs="宋体"/>
          <w:szCs w:val="21"/>
        </w:rPr>
        <w:t>。</w:t>
      </w:r>
    </w:p>
    <w:p>
      <w:pPr>
        <w:spacing w:line="380" w:lineRule="exact"/>
        <w:ind w:firstLine="420" w:firstLineChars="200"/>
        <w:rPr>
          <w:rFonts w:ascii="宋体" w:hAnsi="宋体" w:cs="宋体"/>
          <w:szCs w:val="21"/>
        </w:rPr>
      </w:pPr>
      <w:r>
        <w:rPr>
          <w:rFonts w:hint="eastAsia" w:ascii="宋体" w:hAnsi="宋体" w:cs="宋体"/>
          <w:szCs w:val="21"/>
        </w:rPr>
        <w:t>质量保修期自工程竣工验收合格之日起计算。</w:t>
      </w:r>
    </w:p>
    <w:p>
      <w:pPr>
        <w:spacing w:line="380" w:lineRule="exact"/>
        <w:ind w:firstLine="420" w:firstLineChars="200"/>
        <w:rPr>
          <w:rFonts w:ascii="宋体" w:hAnsi="宋体" w:cs="宋体"/>
          <w:szCs w:val="21"/>
        </w:rPr>
      </w:pPr>
      <w:r>
        <w:rPr>
          <w:rFonts w:hint="eastAsia" w:ascii="宋体" w:hAnsi="宋体" w:cs="宋体"/>
          <w:szCs w:val="21"/>
        </w:rPr>
        <w:t>三、缺陷责任期</w:t>
      </w:r>
    </w:p>
    <w:p>
      <w:pPr>
        <w:spacing w:line="380" w:lineRule="exact"/>
        <w:ind w:firstLine="420" w:firstLineChars="200"/>
        <w:rPr>
          <w:rFonts w:ascii="宋体" w:hAnsi="宋体" w:cs="宋体"/>
          <w:szCs w:val="21"/>
        </w:rPr>
      </w:pPr>
      <w:r>
        <w:rPr>
          <w:rFonts w:hint="eastAsia" w:ascii="宋体" w:hAnsi="宋体" w:cs="宋体"/>
          <w:szCs w:val="21"/>
        </w:rPr>
        <w:t>工程缺陷责任期为</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个月，缺陷责任期自工程竣工验收合格之日起计算。单位工程先于全部工程进行验收，单位工程缺陷责任期自单位工程验收合格之日起算。</w:t>
      </w:r>
    </w:p>
    <w:p>
      <w:pPr>
        <w:spacing w:line="380" w:lineRule="exact"/>
        <w:ind w:firstLine="420" w:firstLineChars="200"/>
        <w:rPr>
          <w:rFonts w:ascii="宋体" w:hAnsi="宋体" w:cs="宋体"/>
          <w:szCs w:val="21"/>
        </w:rPr>
      </w:pPr>
      <w:r>
        <w:rPr>
          <w:rFonts w:hint="eastAsia" w:ascii="宋体" w:hAnsi="宋体" w:cs="宋体"/>
          <w:szCs w:val="21"/>
        </w:rPr>
        <w:t>缺陷责任期终止后，发包人应退还剩余的质量保证金。</w:t>
      </w:r>
    </w:p>
    <w:p>
      <w:pPr>
        <w:spacing w:line="380" w:lineRule="exact"/>
        <w:ind w:firstLine="420" w:firstLineChars="200"/>
        <w:rPr>
          <w:rFonts w:ascii="宋体" w:hAnsi="宋体" w:cs="宋体"/>
          <w:szCs w:val="21"/>
        </w:rPr>
      </w:pPr>
      <w:r>
        <w:rPr>
          <w:rFonts w:hint="eastAsia" w:ascii="宋体" w:hAnsi="宋体" w:cs="宋体"/>
          <w:szCs w:val="21"/>
        </w:rPr>
        <w:t>四、质量保修责任</w:t>
      </w:r>
    </w:p>
    <w:p>
      <w:pPr>
        <w:spacing w:line="380" w:lineRule="exact"/>
        <w:ind w:firstLine="420" w:firstLineChars="200"/>
        <w:rPr>
          <w:rFonts w:ascii="宋体" w:hAnsi="宋体" w:cs="宋体"/>
          <w:szCs w:val="21"/>
        </w:rPr>
      </w:pPr>
      <w:r>
        <w:rPr>
          <w:rFonts w:hint="eastAsia" w:ascii="宋体" w:hAnsi="宋体" w:cs="宋体"/>
          <w:szCs w:val="21"/>
        </w:rPr>
        <w:t>1．属于保修范围、内容的项目，承包人应当在接到保修通知之日起7天内派人保修。承包人不在约定期限内派人保修的，发包人可以委托他人修理。</w:t>
      </w:r>
    </w:p>
    <w:p>
      <w:pPr>
        <w:spacing w:line="380" w:lineRule="exact"/>
        <w:ind w:firstLine="420" w:firstLineChars="200"/>
        <w:rPr>
          <w:rFonts w:ascii="宋体" w:hAnsi="宋体" w:cs="宋体"/>
          <w:szCs w:val="21"/>
        </w:rPr>
      </w:pPr>
      <w:r>
        <w:rPr>
          <w:rFonts w:hint="eastAsia" w:ascii="宋体" w:hAnsi="宋体" w:cs="宋体"/>
          <w:szCs w:val="21"/>
        </w:rPr>
        <w:t>2．发生紧急事故需抢修的，承包人在接到事故通知后，应当立即到达事故现场抢修。</w:t>
      </w:r>
    </w:p>
    <w:p>
      <w:pPr>
        <w:spacing w:line="380" w:lineRule="exact"/>
        <w:ind w:firstLine="420" w:firstLineChars="200"/>
        <w:rPr>
          <w:rFonts w:ascii="宋体" w:hAnsi="宋体" w:cs="宋体"/>
          <w:szCs w:val="21"/>
        </w:rPr>
      </w:pPr>
      <w:r>
        <w:rPr>
          <w:rFonts w:hint="eastAsia" w:ascii="宋体" w:hAnsi="宋体" w:cs="宋体"/>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80" w:lineRule="exact"/>
        <w:ind w:firstLine="420" w:firstLineChars="200"/>
        <w:rPr>
          <w:rFonts w:ascii="宋体" w:hAnsi="宋体" w:cs="宋体"/>
          <w:szCs w:val="21"/>
        </w:rPr>
      </w:pPr>
      <w:r>
        <w:rPr>
          <w:rFonts w:hint="eastAsia" w:ascii="宋体" w:hAnsi="宋体" w:cs="宋体"/>
          <w:szCs w:val="21"/>
        </w:rPr>
        <w:t>4．质量保修完成后，由发包人组织验收。</w:t>
      </w:r>
    </w:p>
    <w:p>
      <w:pPr>
        <w:spacing w:line="380" w:lineRule="exact"/>
        <w:ind w:firstLine="420" w:firstLineChars="200"/>
        <w:rPr>
          <w:rFonts w:ascii="宋体" w:hAnsi="宋体" w:cs="宋体"/>
          <w:szCs w:val="21"/>
        </w:rPr>
      </w:pPr>
      <w:r>
        <w:rPr>
          <w:rFonts w:hint="eastAsia" w:ascii="宋体" w:hAnsi="宋体" w:cs="宋体"/>
          <w:szCs w:val="21"/>
        </w:rPr>
        <w:t>五、保修费用</w:t>
      </w:r>
    </w:p>
    <w:p>
      <w:pPr>
        <w:spacing w:line="380" w:lineRule="exact"/>
        <w:ind w:firstLine="420" w:firstLineChars="200"/>
        <w:rPr>
          <w:rFonts w:ascii="宋体" w:hAnsi="宋体" w:cs="宋体"/>
          <w:szCs w:val="21"/>
        </w:rPr>
      </w:pPr>
      <w:r>
        <w:rPr>
          <w:rFonts w:hint="eastAsia" w:ascii="宋体" w:hAnsi="宋体" w:cs="宋体"/>
          <w:szCs w:val="21"/>
        </w:rPr>
        <w:t>保修费用由造成质量缺陷的责任方承担。</w:t>
      </w:r>
    </w:p>
    <w:p>
      <w:pPr>
        <w:spacing w:line="380" w:lineRule="exact"/>
        <w:ind w:firstLine="420" w:firstLineChars="200"/>
        <w:rPr>
          <w:rFonts w:ascii="宋体" w:hAnsi="宋体" w:cs="宋体"/>
          <w:szCs w:val="21"/>
        </w:rPr>
      </w:pPr>
      <w:r>
        <w:rPr>
          <w:rFonts w:hint="eastAsia" w:ascii="宋体" w:hAnsi="宋体" w:cs="宋体"/>
          <w:szCs w:val="21"/>
        </w:rPr>
        <w:t>六、双方约定的其他工程质量保修事项：</w:t>
      </w:r>
      <w:r>
        <w:rPr>
          <w:rFonts w:hint="eastAsia" w:ascii="宋体" w:hAnsi="宋体" w:cs="宋体"/>
          <w:szCs w:val="21"/>
          <w:u w:val="single"/>
        </w:rPr>
        <w:t xml:space="preserve">                                 </w:t>
      </w:r>
      <w:r>
        <w:rPr>
          <w:rFonts w:hint="eastAsia" w:ascii="宋体" w:hAnsi="宋体" w:cs="宋体"/>
          <w:szCs w:val="21"/>
        </w:rPr>
        <w:t>。</w:t>
      </w:r>
    </w:p>
    <w:p>
      <w:pPr>
        <w:spacing w:line="380" w:lineRule="exact"/>
        <w:ind w:firstLine="420" w:firstLineChars="200"/>
        <w:rPr>
          <w:rFonts w:ascii="宋体" w:hAnsi="宋体" w:cs="宋体"/>
          <w:szCs w:val="21"/>
        </w:rPr>
      </w:pPr>
      <w:r>
        <w:rPr>
          <w:rFonts w:hint="eastAsia" w:ascii="宋体" w:hAnsi="宋体" w:cs="宋体"/>
          <w:szCs w:val="21"/>
        </w:rPr>
        <w:t>工程质量保修书由发包人、承包人在工程竣工验收前共同签署，作为施工合同附件，其有效期限至保修期满。</w:t>
      </w:r>
    </w:p>
    <w:p>
      <w:pPr>
        <w:spacing w:line="360" w:lineRule="auto"/>
        <w:ind w:firstLine="420"/>
        <w:rPr>
          <w:rFonts w:ascii="宋体" w:hAnsi="宋体" w:cs="宋体"/>
          <w:szCs w:val="21"/>
        </w:rPr>
      </w:pP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发包人(盖单位章)：</w:t>
      </w:r>
      <w:r>
        <w:rPr>
          <w:rFonts w:hint="eastAsia" w:ascii="宋体" w:hAnsi="宋体" w:cs="宋体"/>
          <w:szCs w:val="21"/>
          <w:u w:val="single"/>
        </w:rPr>
        <w:t xml:space="preserve">        </w:t>
      </w:r>
      <w:r>
        <w:rPr>
          <w:rFonts w:hint="eastAsia" w:ascii="宋体" w:hAnsi="宋体" w:cs="宋体"/>
          <w:szCs w:val="21"/>
        </w:rPr>
        <w:t xml:space="preserve"> 承包人(盖单位章)：</w:t>
      </w:r>
      <w:r>
        <w:rPr>
          <w:rFonts w:hint="eastAsia" w:ascii="宋体" w:hAnsi="宋体" w:cs="宋体"/>
          <w:szCs w:val="21"/>
          <w:u w:val="single"/>
        </w:rPr>
        <w:t xml:space="preserve">           </w:t>
      </w:r>
    </w:p>
    <w:p>
      <w:pPr>
        <w:spacing w:line="360" w:lineRule="auto"/>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         </w:t>
      </w:r>
      <w:r>
        <w:rPr>
          <w:rFonts w:hint="eastAsia" w:ascii="宋体" w:hAnsi="宋体" w:cs="宋体"/>
          <w:szCs w:val="21"/>
        </w:rPr>
        <w:t xml:space="preserve"> 地  址：</w:t>
      </w:r>
      <w:r>
        <w:rPr>
          <w:rFonts w:hint="eastAsia" w:ascii="宋体" w:hAnsi="宋体" w:cs="宋体"/>
          <w:szCs w:val="21"/>
          <w:u w:val="single"/>
        </w:rPr>
        <w:t xml:space="preserve">           </w:t>
      </w:r>
    </w:p>
    <w:p>
      <w:pPr>
        <w:spacing w:line="360" w:lineRule="auto"/>
        <w:rPr>
          <w:rFonts w:ascii="宋体" w:hAnsi="宋体" w:cs="宋体"/>
          <w:szCs w:val="21"/>
        </w:rPr>
      </w:pPr>
      <w:r>
        <w:rPr>
          <w:rFonts w:hint="eastAsia" w:ascii="宋体" w:hAnsi="宋体" w:cs="宋体"/>
          <w:szCs w:val="21"/>
        </w:rPr>
        <w:t>法定代表人(签字或盖章)：</w:t>
      </w:r>
      <w:r>
        <w:rPr>
          <w:rFonts w:hint="eastAsia" w:ascii="宋体" w:hAnsi="宋体" w:cs="宋体"/>
          <w:szCs w:val="21"/>
          <w:u w:val="single"/>
        </w:rPr>
        <w:t xml:space="preserve">       </w:t>
      </w:r>
      <w:r>
        <w:rPr>
          <w:rFonts w:hint="eastAsia" w:ascii="宋体" w:hAnsi="宋体" w:cs="宋体"/>
          <w:szCs w:val="21"/>
        </w:rPr>
        <w:t xml:space="preserve"> 法定代表人(签字或盖章)：</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委托代理人(签字或盖章)：</w:t>
      </w:r>
      <w:r>
        <w:rPr>
          <w:rFonts w:hint="eastAsia" w:ascii="宋体" w:hAnsi="宋体" w:cs="宋体"/>
          <w:szCs w:val="21"/>
          <w:u w:val="single"/>
        </w:rPr>
        <w:t xml:space="preserve">    </w:t>
      </w:r>
      <w:r>
        <w:rPr>
          <w:rFonts w:hint="eastAsia" w:ascii="宋体" w:hAnsi="宋体" w:cs="宋体"/>
          <w:szCs w:val="21"/>
        </w:rPr>
        <w:t>委托代理人(签字或盖章)：</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r>
        <w:rPr>
          <w:rFonts w:hint="eastAsia" w:ascii="宋体" w:hAnsi="宋体" w:cs="宋体"/>
          <w:szCs w:val="21"/>
        </w:rPr>
        <w:t xml:space="preserve"> 电  话：</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r>
        <w:rPr>
          <w:rFonts w:hint="eastAsia" w:ascii="宋体" w:hAnsi="宋体" w:cs="宋体"/>
          <w:szCs w:val="21"/>
        </w:rPr>
        <w:t xml:space="preserve"> 传  真：</w:t>
      </w:r>
      <w:r>
        <w:rPr>
          <w:rFonts w:hint="eastAsia" w:ascii="宋体" w:hAnsi="宋体" w:cs="宋体"/>
          <w:szCs w:val="21"/>
          <w:u w:val="single"/>
        </w:rPr>
        <w:t xml:space="preserve">          </w:t>
      </w:r>
    </w:p>
    <w:p>
      <w:pPr>
        <w:spacing w:line="360" w:lineRule="auto"/>
        <w:rPr>
          <w:rFonts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 xml:space="preserve"> 开户银行：</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账  号：</w:t>
      </w:r>
      <w:r>
        <w:rPr>
          <w:rFonts w:hint="eastAsia" w:ascii="宋体" w:hAnsi="宋体" w:cs="宋体"/>
          <w:szCs w:val="21"/>
          <w:u w:val="single"/>
        </w:rPr>
        <w:t xml:space="preserve">          </w:t>
      </w:r>
      <w:r>
        <w:rPr>
          <w:rFonts w:hint="eastAsia" w:ascii="宋体" w:hAnsi="宋体" w:cs="宋体"/>
          <w:szCs w:val="21"/>
        </w:rPr>
        <w:t xml:space="preserve">  账  号：</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       </w:t>
      </w:r>
      <w:r>
        <w:rPr>
          <w:rFonts w:hint="eastAsia" w:ascii="宋体" w:hAnsi="宋体" w:cs="宋体"/>
          <w:szCs w:val="21"/>
        </w:rPr>
        <w:t xml:space="preserve"> 邮政编码：</w:t>
      </w:r>
      <w:r>
        <w:rPr>
          <w:rFonts w:hint="eastAsia" w:ascii="宋体" w:hAnsi="宋体" w:cs="宋体"/>
          <w:szCs w:val="21"/>
          <w:u w:val="single"/>
        </w:rPr>
        <w:t xml:space="preserve">         </w:t>
      </w:r>
    </w:p>
    <w:p>
      <w:pPr>
        <w:pStyle w:val="2"/>
        <w:jc w:val="center"/>
        <w:rPr>
          <w:rFonts w:hint="eastAsia" w:ascii="宋体" w:hAnsi="宋体"/>
          <w:sz w:val="48"/>
          <w:szCs w:val="48"/>
        </w:rPr>
      </w:pPr>
    </w:p>
    <w:p>
      <w:pPr>
        <w:rPr>
          <w:rFonts w:hint="eastAsia" w:ascii="宋体" w:hAnsi="宋体"/>
        </w:rPr>
      </w:pPr>
    </w:p>
    <w:bookmarkEnd w:id="32"/>
    <w:bookmarkEnd w:id="33"/>
    <w:p>
      <w:pPr>
        <w:pStyle w:val="2"/>
        <w:jc w:val="center"/>
        <w:rPr>
          <w:rFonts w:ascii="宋体" w:hAnsi="宋体"/>
        </w:rPr>
        <w:sectPr>
          <w:footerReference r:id="rId5" w:type="default"/>
          <w:footerReference r:id="rId6" w:type="even"/>
          <w:pgSz w:w="11906" w:h="16838"/>
          <w:pgMar w:top="1418" w:right="1361" w:bottom="1418" w:left="1418" w:header="851" w:footer="851" w:gutter="0"/>
          <w:cols w:space="720" w:num="1"/>
          <w:docGrid w:type="lines" w:linePitch="312" w:charSpace="0"/>
        </w:sectPr>
      </w:pPr>
      <w:bookmarkStart w:id="37" w:name="招标文件08章投标文件格式"/>
      <w:bookmarkEnd w:id="37"/>
      <w:bookmarkStart w:id="38" w:name="第04卷"/>
      <w:bookmarkEnd w:id="38"/>
      <w:bookmarkStart w:id="39" w:name="招标文件07章技术标准和要求03"/>
      <w:bookmarkEnd w:id="39"/>
      <w:bookmarkStart w:id="40" w:name="_Toc287607865"/>
    </w:p>
    <w:p>
      <w:pPr>
        <w:pStyle w:val="2"/>
        <w:jc w:val="center"/>
        <w:rPr>
          <w:rFonts w:hint="eastAsia" w:ascii="宋体" w:hAnsi="宋体"/>
        </w:rPr>
      </w:pPr>
      <w:bookmarkStart w:id="41" w:name="_Toc34310528"/>
      <w:r>
        <w:rPr>
          <w:rFonts w:hint="eastAsia" w:ascii="宋体" w:hAnsi="宋体"/>
        </w:rPr>
        <w:t>第五章　比选申请文件格式</w:t>
      </w:r>
      <w:bookmarkEnd w:id="40"/>
      <w:bookmarkEnd w:id="41"/>
    </w:p>
    <w:p>
      <w:pPr>
        <w:ind w:firstLine="1120" w:firstLineChars="350"/>
        <w:rPr>
          <w:rFonts w:hint="eastAsia" w:ascii="宋体" w:hAnsi="宋体"/>
          <w:sz w:val="32"/>
          <w:szCs w:val="32"/>
        </w:rPr>
      </w:pPr>
    </w:p>
    <w:p>
      <w:pPr>
        <w:jc w:val="right"/>
        <w:rPr>
          <w:rFonts w:hint="eastAsia" w:ascii="宋体" w:hAnsi="宋体" w:cs="宋体"/>
          <w:b/>
          <w:sz w:val="32"/>
          <w:szCs w:val="36"/>
        </w:rPr>
      </w:pPr>
      <w:r>
        <w:rPr>
          <w:rFonts w:ascii="宋体" w:hAnsi="宋体"/>
          <w:szCs w:val="20"/>
        </w:rPr>
        <w:br w:type="page"/>
      </w:r>
      <w:bookmarkStart w:id="42" w:name="_Toc224103493"/>
      <w:r>
        <w:rPr>
          <w:rFonts w:hint="eastAsia" w:ascii="宋体" w:hAnsi="宋体" w:cs="宋体"/>
          <w:b/>
          <w:sz w:val="32"/>
          <w:szCs w:val="36"/>
        </w:rPr>
        <w:t>正本（或副本）</w:t>
      </w:r>
    </w:p>
    <w:p>
      <w:pPr>
        <w:jc w:val="center"/>
        <w:rPr>
          <w:rFonts w:hint="eastAsia" w:ascii="宋体" w:hAnsi="宋体" w:cs="宋体"/>
          <w:b/>
          <w:sz w:val="40"/>
          <w:szCs w:val="44"/>
          <w:u w:val="single"/>
        </w:rPr>
      </w:pPr>
    </w:p>
    <w:p>
      <w:pPr>
        <w:jc w:val="center"/>
        <w:rPr>
          <w:rFonts w:ascii="宋体" w:hAnsi="宋体" w:cs="宋体"/>
          <w:b/>
          <w:sz w:val="40"/>
          <w:szCs w:val="44"/>
          <w:u w:val="single"/>
        </w:rPr>
      </w:pPr>
    </w:p>
    <w:p>
      <w:pPr>
        <w:jc w:val="center"/>
        <w:rPr>
          <w:rFonts w:hint="eastAsia" w:ascii="宋体" w:hAnsi="宋体" w:cs="宋体"/>
          <w:b/>
          <w:sz w:val="32"/>
          <w:szCs w:val="44"/>
          <w:u w:val="single"/>
        </w:rPr>
      </w:pPr>
      <w:r>
        <w:rPr>
          <w:rFonts w:hint="eastAsia" w:ascii="宋体" w:hAnsi="宋体" w:cs="宋体"/>
          <w:b/>
          <w:sz w:val="32"/>
          <w:szCs w:val="44"/>
          <w:u w:val="single"/>
        </w:rPr>
        <w:t>重庆高速中油富渝能源发展有限公司加油站</w:t>
      </w:r>
      <w:r>
        <w:rPr>
          <w:rFonts w:hint="eastAsia" w:ascii="宋体" w:hAnsi="宋体" w:cs="宋体"/>
          <w:b/>
          <w:sz w:val="32"/>
          <w:szCs w:val="44"/>
          <w:u w:val="single"/>
          <w:lang w:eastAsia="zh-CN"/>
        </w:rPr>
        <w:t>土建</w:t>
      </w:r>
      <w:r>
        <w:rPr>
          <w:rFonts w:hint="eastAsia" w:ascii="宋体" w:hAnsi="宋体" w:cs="宋体"/>
          <w:b/>
          <w:sz w:val="32"/>
          <w:szCs w:val="44"/>
          <w:u w:val="single"/>
        </w:rPr>
        <w:t>日常维修项目</w:t>
      </w:r>
    </w:p>
    <w:p>
      <w:pPr>
        <w:jc w:val="center"/>
        <w:rPr>
          <w:rFonts w:hint="eastAsia" w:ascii="宋体" w:hAnsi="宋体" w:cs="宋体"/>
          <w:b/>
          <w:sz w:val="40"/>
          <w:szCs w:val="44"/>
        </w:rPr>
      </w:pPr>
      <w:r>
        <w:rPr>
          <w:rFonts w:hint="eastAsia" w:ascii="宋体" w:hAnsi="宋体" w:cs="宋体"/>
          <w:b/>
          <w:sz w:val="40"/>
          <w:szCs w:val="44"/>
          <w:u w:val="single"/>
        </w:rPr>
        <w:t>比选申请文件</w:t>
      </w: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u w:val="single"/>
        </w:rPr>
      </w:pPr>
      <w:r>
        <w:rPr>
          <w:rFonts w:hint="eastAsia" w:ascii="宋体" w:hAnsi="宋体" w:cs="宋体"/>
          <w:sz w:val="32"/>
          <w:szCs w:val="32"/>
          <w:u w:val="single"/>
        </w:rPr>
        <w:t>比选申请单位名称全称（盖单位公章）</w:t>
      </w:r>
    </w:p>
    <w:p>
      <w:pPr>
        <w:jc w:val="center"/>
        <w:rPr>
          <w:rFonts w:hint="eastAsia" w:ascii="宋体" w:hAnsi="宋体" w:cs="宋体"/>
          <w:sz w:val="32"/>
          <w:szCs w:val="32"/>
          <w:u w:val="single"/>
        </w:rPr>
      </w:pPr>
    </w:p>
    <w:p>
      <w:pPr>
        <w:pStyle w:val="26"/>
        <w:rPr>
          <w:rFonts w:hint="eastAsia" w:ascii="宋体" w:hAnsi="宋体" w:eastAsia="宋体"/>
          <w:color w:val="auto"/>
        </w:rPr>
      </w:pPr>
    </w:p>
    <w:p>
      <w:pPr>
        <w:pStyle w:val="26"/>
        <w:rPr>
          <w:rFonts w:hint="eastAsia" w:ascii="宋体" w:hAnsi="宋体" w:eastAsia="宋体"/>
          <w:color w:val="auto"/>
        </w:rPr>
      </w:pPr>
    </w:p>
    <w:p>
      <w:pPr>
        <w:jc w:val="center"/>
        <w:rPr>
          <w:rFonts w:hint="eastAsia" w:ascii="宋体" w:hAnsi="宋体"/>
          <w:szCs w:val="20"/>
        </w:rPr>
        <w:sectPr>
          <w:pgSz w:w="11906" w:h="16838"/>
          <w:pgMar w:top="1418" w:right="1361" w:bottom="1418" w:left="1418" w:header="851" w:footer="851" w:gutter="0"/>
          <w:cols w:space="720" w:num="1"/>
          <w:docGrid w:type="lines" w:linePitch="312" w:charSpace="0"/>
        </w:sectPr>
      </w:pPr>
    </w:p>
    <w:p>
      <w:pPr>
        <w:jc w:val="center"/>
        <w:rPr>
          <w:rFonts w:hint="eastAsia" w:ascii="宋体" w:hAnsi="宋体"/>
          <w:b/>
          <w:sz w:val="30"/>
          <w:szCs w:val="30"/>
        </w:rPr>
      </w:pPr>
      <w:r>
        <w:rPr>
          <w:rFonts w:hint="eastAsia" w:ascii="宋体" w:hAnsi="宋体"/>
          <w:b/>
          <w:sz w:val="30"/>
          <w:szCs w:val="30"/>
        </w:rPr>
        <w:t>目    录</w:t>
      </w:r>
      <w:bookmarkEnd w:id="42"/>
    </w:p>
    <w:p>
      <w:pPr>
        <w:autoSpaceDE w:val="0"/>
        <w:autoSpaceDN w:val="0"/>
        <w:adjustRightInd w:val="0"/>
        <w:snapToGrid w:val="0"/>
        <w:spacing w:line="360" w:lineRule="auto"/>
        <w:jc w:val="left"/>
        <w:rPr>
          <w:rFonts w:hint="eastAsia" w:ascii="宋体" w:hAnsi="宋体" w:cs="MingLiU"/>
          <w:kern w:val="0"/>
          <w:sz w:val="24"/>
        </w:rPr>
      </w:pPr>
    </w:p>
    <w:p>
      <w:pPr>
        <w:autoSpaceDE w:val="0"/>
        <w:autoSpaceDN w:val="0"/>
        <w:adjustRightInd w:val="0"/>
        <w:snapToGrid w:val="0"/>
        <w:spacing w:line="360" w:lineRule="auto"/>
        <w:jc w:val="left"/>
        <w:rPr>
          <w:rFonts w:hint="eastAsia" w:ascii="宋体" w:hAnsi="宋体" w:cs="MingLiU"/>
          <w:kern w:val="0"/>
          <w:sz w:val="24"/>
        </w:rPr>
      </w:pPr>
      <w:r>
        <w:rPr>
          <w:rFonts w:hint="eastAsia" w:ascii="宋体" w:hAnsi="宋体" w:cs="MingLiU"/>
          <w:kern w:val="0"/>
          <w:sz w:val="24"/>
        </w:rPr>
        <w:t>一、报价书及报价书附录</w:t>
      </w:r>
    </w:p>
    <w:p>
      <w:pPr>
        <w:autoSpaceDE w:val="0"/>
        <w:autoSpaceDN w:val="0"/>
        <w:adjustRightInd w:val="0"/>
        <w:snapToGrid w:val="0"/>
        <w:spacing w:line="360" w:lineRule="auto"/>
        <w:jc w:val="left"/>
        <w:rPr>
          <w:rFonts w:hint="eastAsia" w:ascii="宋体" w:hAnsi="宋体" w:cs="MingLiU"/>
          <w:kern w:val="0"/>
          <w:sz w:val="24"/>
        </w:rPr>
      </w:pPr>
      <w:r>
        <w:rPr>
          <w:rFonts w:hint="eastAsia" w:ascii="宋体" w:hAnsi="宋体" w:cs="MingLiU"/>
          <w:kern w:val="0"/>
          <w:sz w:val="24"/>
        </w:rPr>
        <w:t>二、法定代表人身份证明及授权委托书</w:t>
      </w:r>
    </w:p>
    <w:p>
      <w:pPr>
        <w:autoSpaceDE w:val="0"/>
        <w:autoSpaceDN w:val="0"/>
        <w:adjustRightInd w:val="0"/>
        <w:snapToGrid w:val="0"/>
        <w:spacing w:line="360" w:lineRule="auto"/>
        <w:jc w:val="left"/>
        <w:rPr>
          <w:rFonts w:hint="eastAsia" w:ascii="宋体" w:hAnsi="宋体" w:cs="MingLiU"/>
          <w:kern w:val="0"/>
          <w:sz w:val="24"/>
        </w:rPr>
      </w:pPr>
      <w:r>
        <w:rPr>
          <w:rFonts w:hint="eastAsia" w:ascii="宋体" w:hAnsi="宋体" w:cs="MingLiU"/>
          <w:kern w:val="0"/>
          <w:sz w:val="24"/>
        </w:rPr>
        <w:t>三、比选申请人基本情况表</w:t>
      </w:r>
    </w:p>
    <w:p>
      <w:pPr>
        <w:autoSpaceDE w:val="0"/>
        <w:autoSpaceDN w:val="0"/>
        <w:adjustRightInd w:val="0"/>
        <w:snapToGrid w:val="0"/>
        <w:spacing w:line="360" w:lineRule="auto"/>
        <w:jc w:val="left"/>
        <w:rPr>
          <w:rFonts w:hint="eastAsia" w:ascii="宋体" w:hAnsi="宋体" w:cs="MingLiU"/>
          <w:kern w:val="0"/>
          <w:sz w:val="24"/>
        </w:rPr>
      </w:pPr>
      <w:r>
        <w:rPr>
          <w:rFonts w:hint="eastAsia" w:ascii="宋体" w:hAnsi="宋体" w:cs="MingLiU"/>
          <w:kern w:val="0"/>
          <w:sz w:val="24"/>
        </w:rPr>
        <w:t>四、比选申请人信誉承诺书</w:t>
      </w:r>
    </w:p>
    <w:p>
      <w:pPr>
        <w:autoSpaceDE w:val="0"/>
        <w:autoSpaceDN w:val="0"/>
        <w:adjustRightInd w:val="0"/>
        <w:snapToGrid w:val="0"/>
        <w:spacing w:line="360" w:lineRule="auto"/>
        <w:jc w:val="left"/>
        <w:rPr>
          <w:rFonts w:hint="eastAsia" w:ascii="宋体" w:hAnsi="宋体" w:cs="MingLiU"/>
          <w:kern w:val="0"/>
          <w:sz w:val="24"/>
        </w:rPr>
      </w:pPr>
      <w:r>
        <w:rPr>
          <w:rFonts w:hint="eastAsia" w:ascii="宋体" w:hAnsi="宋体" w:cs="MingLiU"/>
          <w:kern w:val="0"/>
          <w:sz w:val="24"/>
        </w:rPr>
        <w:t>五、其它管理人员承诺函</w:t>
      </w:r>
    </w:p>
    <w:p>
      <w:pPr>
        <w:autoSpaceDE w:val="0"/>
        <w:autoSpaceDN w:val="0"/>
        <w:adjustRightInd w:val="0"/>
        <w:snapToGrid w:val="0"/>
        <w:spacing w:line="360" w:lineRule="auto"/>
        <w:jc w:val="left"/>
        <w:rPr>
          <w:rFonts w:hint="eastAsia" w:ascii="宋体" w:hAnsi="宋体" w:cs="MingLiU"/>
          <w:kern w:val="0"/>
          <w:sz w:val="24"/>
        </w:rPr>
      </w:pPr>
      <w:r>
        <w:rPr>
          <w:rFonts w:hint="eastAsia" w:ascii="宋体" w:hAnsi="宋体" w:cs="MingLiU"/>
          <w:kern w:val="0"/>
          <w:sz w:val="24"/>
        </w:rPr>
        <w:t>六、其他材料</w:t>
      </w:r>
    </w:p>
    <w:p>
      <w:pPr>
        <w:autoSpaceDE w:val="0"/>
        <w:autoSpaceDN w:val="0"/>
        <w:adjustRightInd w:val="0"/>
        <w:snapToGrid w:val="0"/>
        <w:spacing w:line="360" w:lineRule="auto"/>
        <w:jc w:val="left"/>
        <w:rPr>
          <w:rFonts w:hint="eastAsia" w:ascii="宋体" w:hAnsi="宋体" w:eastAsia="宋体" w:cs="MingLiU"/>
          <w:kern w:val="0"/>
          <w:sz w:val="24"/>
          <w:lang w:eastAsia="zh-CN"/>
        </w:rPr>
      </w:pPr>
      <w:r>
        <w:rPr>
          <w:rFonts w:hint="eastAsia" w:ascii="宋体" w:hAnsi="宋体" w:cs="MingLiU"/>
          <w:kern w:val="0"/>
          <w:sz w:val="24"/>
        </w:rPr>
        <w:t>七、</w:t>
      </w:r>
      <w:r>
        <w:rPr>
          <w:rFonts w:hint="eastAsia" w:ascii="宋体" w:hAnsi="宋体" w:cs="MingLiU"/>
          <w:kern w:val="0"/>
          <w:sz w:val="24"/>
          <w:lang w:eastAsia="zh-CN"/>
        </w:rPr>
        <w:t>投标报价清单</w:t>
      </w:r>
    </w:p>
    <w:p>
      <w:pPr>
        <w:autoSpaceDE w:val="0"/>
        <w:autoSpaceDN w:val="0"/>
        <w:adjustRightInd w:val="0"/>
        <w:snapToGrid w:val="0"/>
        <w:spacing w:line="360" w:lineRule="auto"/>
        <w:jc w:val="left"/>
        <w:rPr>
          <w:rFonts w:hint="eastAsia" w:ascii="宋体" w:hAnsi="宋体"/>
          <w:sz w:val="24"/>
        </w:rPr>
      </w:pPr>
      <w:r>
        <w:rPr>
          <w:rFonts w:hint="eastAsia" w:ascii="宋体" w:hAnsi="宋体" w:cs="MingLiU"/>
          <w:kern w:val="0"/>
          <w:sz w:val="24"/>
          <w:lang w:eastAsia="zh-CN"/>
        </w:rPr>
        <w:t>八、</w:t>
      </w:r>
      <w:r>
        <w:rPr>
          <w:rFonts w:hint="eastAsia" w:ascii="宋体" w:hAnsi="宋体" w:cs="MingLiU"/>
          <w:kern w:val="0"/>
          <w:sz w:val="24"/>
        </w:rPr>
        <w:t>日常维修服</w:t>
      </w:r>
      <w:r>
        <w:rPr>
          <w:rFonts w:hint="eastAsia" w:ascii="宋体" w:hAnsi="宋体"/>
          <w:sz w:val="24"/>
        </w:rPr>
        <w:t>务方案</w:t>
      </w:r>
    </w:p>
    <w:p>
      <w:pPr>
        <w:autoSpaceDE w:val="0"/>
        <w:autoSpaceDN w:val="0"/>
        <w:adjustRightInd w:val="0"/>
        <w:spacing w:line="360" w:lineRule="auto"/>
        <w:ind w:right="-20"/>
        <w:jc w:val="left"/>
        <w:rPr>
          <w:rFonts w:hint="eastAsia" w:ascii="宋体" w:hAnsi="宋体" w:cs="MingLiU"/>
          <w:b/>
          <w:kern w:val="0"/>
          <w:sz w:val="24"/>
        </w:rPr>
      </w:pPr>
    </w:p>
    <w:p>
      <w:pPr>
        <w:pStyle w:val="4"/>
        <w:jc w:val="center"/>
        <w:rPr>
          <w:rFonts w:hint="eastAsia" w:ascii="宋体" w:hAnsi="宋体" w:cs="MingLiU"/>
          <w:kern w:val="0"/>
          <w:sz w:val="24"/>
        </w:rPr>
      </w:pPr>
      <w:r>
        <w:rPr>
          <w:rFonts w:ascii="宋体" w:hAnsi="宋体"/>
          <w:kern w:val="0"/>
          <w:sz w:val="28"/>
          <w:szCs w:val="28"/>
        </w:rPr>
        <w:br w:type="page"/>
      </w:r>
      <w:bookmarkStart w:id="43" w:name="_Toc34310529"/>
      <w:bookmarkStart w:id="44" w:name="_Toc224103495"/>
      <w:bookmarkStart w:id="45" w:name="_Toc34309302"/>
      <w:bookmarkStart w:id="46" w:name="_Toc287607867"/>
      <w:bookmarkStart w:id="47" w:name="_Toc277082643"/>
      <w:r>
        <w:rPr>
          <w:rFonts w:hint="eastAsia" w:ascii="宋体" w:hAnsi="宋体"/>
          <w:sz w:val="28"/>
        </w:rPr>
        <w:t>一、报价书及报价书附录</w:t>
      </w:r>
      <w:bookmarkEnd w:id="43"/>
    </w:p>
    <w:p>
      <w:pPr>
        <w:pStyle w:val="4"/>
        <w:jc w:val="center"/>
        <w:rPr>
          <w:rFonts w:ascii="宋体" w:hAnsi="宋体"/>
          <w:sz w:val="28"/>
        </w:rPr>
      </w:pPr>
      <w:bookmarkStart w:id="48" w:name="_Toc34310530"/>
      <w:r>
        <w:rPr>
          <w:rFonts w:hint="eastAsia" w:ascii="宋体" w:hAnsi="宋体"/>
          <w:sz w:val="28"/>
        </w:rPr>
        <w:t xml:space="preserve">（一） </w:t>
      </w:r>
      <w:bookmarkEnd w:id="44"/>
      <w:bookmarkEnd w:id="45"/>
      <w:bookmarkEnd w:id="46"/>
      <w:bookmarkEnd w:id="47"/>
      <w:bookmarkEnd w:id="48"/>
      <w:r>
        <w:rPr>
          <w:rFonts w:hint="eastAsia" w:ascii="宋体" w:hAnsi="宋体"/>
          <w:sz w:val="28"/>
        </w:rPr>
        <w:t>报价书</w:t>
      </w:r>
    </w:p>
    <w:p>
      <w:pPr>
        <w:autoSpaceDE w:val="0"/>
        <w:autoSpaceDN w:val="0"/>
        <w:adjustRightInd w:val="0"/>
        <w:spacing w:line="200" w:lineRule="exact"/>
        <w:jc w:val="left"/>
        <w:rPr>
          <w:rFonts w:ascii="宋体" w:hAnsi="宋体" w:cs="MingLiU"/>
          <w:kern w:val="0"/>
          <w:sz w:val="20"/>
          <w:szCs w:val="20"/>
        </w:rPr>
      </w:pPr>
    </w:p>
    <w:p>
      <w:pPr>
        <w:autoSpaceDE w:val="0"/>
        <w:autoSpaceDN w:val="0"/>
        <w:adjustRightInd w:val="0"/>
        <w:spacing w:before="19" w:line="220" w:lineRule="exact"/>
        <w:jc w:val="left"/>
        <w:rPr>
          <w:rFonts w:ascii="宋体" w:hAnsi="宋体" w:cs="MingLiU"/>
          <w:snapToGrid w:val="0"/>
          <w:kern w:val="0"/>
          <w:sz w:val="22"/>
          <w:szCs w:val="22"/>
        </w:rPr>
      </w:pPr>
    </w:p>
    <w:p>
      <w:pPr>
        <w:tabs>
          <w:tab w:val="left" w:pos="2640"/>
        </w:tabs>
        <w:autoSpaceDE w:val="0"/>
        <w:autoSpaceDN w:val="0"/>
        <w:adjustRightInd w:val="0"/>
        <w:spacing w:line="220" w:lineRule="exact"/>
        <w:ind w:left="120" w:right="-20"/>
        <w:jc w:val="left"/>
        <w:rPr>
          <w:rFonts w:ascii="宋体" w:hAnsi="宋体" w:cs="MingLiU"/>
          <w:snapToGrid w:val="0"/>
          <w:kern w:val="0"/>
          <w:szCs w:val="21"/>
        </w:rPr>
      </w:pPr>
      <w:r>
        <w:rPr>
          <w:rFonts w:ascii="宋体" w:hAnsi="宋体" w:cs="MingLiU"/>
          <w:snapToGrid w:val="0"/>
          <w:w w:val="200"/>
          <w:kern w:val="0"/>
          <w:szCs w:val="21"/>
          <w:u w:val="single"/>
        </w:rPr>
        <w:t xml:space="preserve"> </w:t>
      </w:r>
      <w:r>
        <w:rPr>
          <w:rFonts w:ascii="宋体" w:hAnsi="宋体"/>
          <w:snapToGrid w:val="0"/>
          <w:kern w:val="0"/>
          <w:szCs w:val="21"/>
          <w:u w:val="single"/>
        </w:rPr>
        <w:tab/>
      </w:r>
      <w:r>
        <w:rPr>
          <w:rFonts w:hint="eastAsia" w:ascii="宋体" w:hAnsi="宋体" w:cs="MingLiU"/>
          <w:snapToGrid w:val="0"/>
          <w:kern w:val="0"/>
          <w:szCs w:val="21"/>
        </w:rPr>
        <w:t>（比选人名称）：</w:t>
      </w:r>
    </w:p>
    <w:p>
      <w:pPr>
        <w:autoSpaceDE w:val="0"/>
        <w:autoSpaceDN w:val="0"/>
        <w:adjustRightInd w:val="0"/>
        <w:spacing w:before="15" w:line="140" w:lineRule="exact"/>
        <w:jc w:val="left"/>
        <w:rPr>
          <w:rFonts w:ascii="宋体" w:hAnsi="宋体" w:cs="MingLiU"/>
          <w:snapToGrid w:val="0"/>
          <w:kern w:val="0"/>
          <w:sz w:val="14"/>
          <w:szCs w:val="14"/>
        </w:rPr>
      </w:pPr>
    </w:p>
    <w:p>
      <w:pPr>
        <w:autoSpaceDE w:val="0"/>
        <w:autoSpaceDN w:val="0"/>
        <w:adjustRightInd w:val="0"/>
        <w:spacing w:line="200" w:lineRule="exact"/>
        <w:jc w:val="left"/>
        <w:rPr>
          <w:rFonts w:ascii="宋体" w:hAnsi="宋体" w:cs="MingLiU"/>
          <w:snapToGrid w:val="0"/>
          <w:kern w:val="0"/>
          <w:sz w:val="20"/>
          <w:szCs w:val="20"/>
        </w:rPr>
      </w:pPr>
    </w:p>
    <w:p>
      <w:pPr>
        <w:autoSpaceDE w:val="0"/>
        <w:autoSpaceDN w:val="0"/>
        <w:adjustRightInd w:val="0"/>
        <w:spacing w:line="200" w:lineRule="exact"/>
        <w:jc w:val="left"/>
        <w:rPr>
          <w:rFonts w:ascii="宋体" w:hAnsi="宋体" w:cs="MingLiU"/>
          <w:snapToGrid w:val="0"/>
          <w:kern w:val="0"/>
          <w:sz w:val="20"/>
          <w:szCs w:val="20"/>
        </w:rPr>
      </w:pPr>
    </w:p>
    <w:p>
      <w:pPr>
        <w:tabs>
          <w:tab w:val="left" w:pos="2655"/>
          <w:tab w:val="left" w:pos="3520"/>
          <w:tab w:val="left" w:pos="4920"/>
          <w:tab w:val="left" w:pos="5715"/>
          <w:tab w:val="left" w:pos="6945"/>
          <w:tab w:val="left" w:pos="7980"/>
        </w:tabs>
        <w:autoSpaceDE w:val="0"/>
        <w:autoSpaceDN w:val="0"/>
        <w:adjustRightInd w:val="0"/>
        <w:spacing w:line="360" w:lineRule="exact"/>
        <w:ind w:right="94" w:firstLine="630" w:firstLineChars="300"/>
        <w:jc w:val="left"/>
        <w:rPr>
          <w:rFonts w:ascii="宋体" w:hAnsi="宋体" w:cs="MingLiU"/>
          <w:snapToGrid w:val="0"/>
          <w:kern w:val="0"/>
          <w:szCs w:val="21"/>
        </w:rPr>
      </w:pPr>
      <w:r>
        <w:rPr>
          <w:rFonts w:ascii="宋体" w:hAnsi="宋体"/>
          <w:snapToGrid w:val="0"/>
          <w:kern w:val="0"/>
          <w:szCs w:val="21"/>
        </w:rPr>
        <w:t>1</w:t>
      </w:r>
      <w:r>
        <w:rPr>
          <w:rFonts w:hint="eastAsia" w:ascii="宋体" w:hAnsi="宋体" w:cs="MingLiU"/>
          <w:snapToGrid w:val="0"/>
          <w:kern w:val="0"/>
          <w:szCs w:val="21"/>
        </w:rPr>
        <w:t>．我方已仔细研究了</w:t>
      </w:r>
      <w:r>
        <w:rPr>
          <w:rFonts w:ascii="宋体" w:hAnsi="宋体" w:cs="MingLiU"/>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hint="eastAsia" w:ascii="宋体" w:hAnsi="宋体" w:cs="MingLiU"/>
          <w:snapToGrid w:val="0"/>
          <w:kern w:val="0"/>
          <w:szCs w:val="21"/>
        </w:rPr>
        <w:t>（项目名称）比选文件的全部内容，愿意</w:t>
      </w:r>
      <w:r>
        <w:rPr>
          <w:rFonts w:hint="eastAsia" w:ascii="宋体" w:hAnsi="宋体" w:cs="MingLiU"/>
          <w:snapToGrid w:val="0"/>
          <w:kern w:val="0"/>
          <w:szCs w:val="21"/>
          <w:lang w:val="en-US" w:eastAsia="zh-CN"/>
        </w:rPr>
        <w:t xml:space="preserve">  </w:t>
      </w:r>
      <w:r>
        <w:rPr>
          <w:rFonts w:ascii="宋体" w:hAnsi="宋体"/>
          <w:snapToGrid w:val="0"/>
          <w:kern w:val="0"/>
          <w:szCs w:val="21"/>
          <w:u w:val="single"/>
        </w:rPr>
        <w:tab/>
      </w:r>
      <w:r>
        <w:rPr>
          <w:rFonts w:hint="eastAsia" w:ascii="宋体" w:hAnsi="宋体"/>
          <w:snapToGrid w:val="0"/>
          <w:kern w:val="0"/>
          <w:szCs w:val="21"/>
          <w:u w:val="single"/>
          <w:lang w:val="en-US" w:eastAsia="zh-CN"/>
        </w:rPr>
        <w:t xml:space="preserve">    </w:t>
      </w:r>
      <w:r>
        <w:rPr>
          <w:rFonts w:hint="eastAsia" w:ascii="宋体" w:hAnsi="宋体" w:cs="MingLiU"/>
          <w:snapToGrid w:val="0"/>
          <w:kern w:val="0"/>
          <w:szCs w:val="21"/>
          <w:u w:val="none"/>
          <w:lang w:eastAsia="zh-CN"/>
        </w:rPr>
        <w:t>元</w:t>
      </w:r>
      <w:r>
        <w:rPr>
          <w:rFonts w:hint="eastAsia" w:ascii="宋体" w:hAnsi="宋体" w:cs="MingLiU"/>
          <w:snapToGrid w:val="0"/>
          <w:kern w:val="0"/>
          <w:szCs w:val="21"/>
        </w:rPr>
        <w:t>作为竞标总报价</w:t>
      </w:r>
      <w:r>
        <w:rPr>
          <w:rFonts w:hint="eastAsia" w:ascii="宋体" w:hAnsi="宋体" w:cs="MingLiU"/>
          <w:snapToGrid w:val="0"/>
          <w:kern w:val="0"/>
          <w:szCs w:val="21"/>
          <w:lang w:eastAsia="zh-CN"/>
        </w:rPr>
        <w:t>（大写：</w:t>
      </w:r>
      <w:r>
        <w:rPr>
          <w:rFonts w:ascii="宋体" w:hAnsi="宋体"/>
          <w:snapToGrid w:val="0"/>
          <w:kern w:val="0"/>
          <w:szCs w:val="21"/>
          <w:u w:val="single"/>
        </w:rPr>
        <w:tab/>
      </w:r>
      <w:r>
        <w:rPr>
          <w:rFonts w:hint="eastAsia" w:ascii="宋体" w:hAnsi="宋体"/>
          <w:snapToGrid w:val="0"/>
          <w:kern w:val="0"/>
          <w:szCs w:val="21"/>
          <w:u w:val="single"/>
          <w:lang w:val="en-US" w:eastAsia="zh-CN"/>
        </w:rPr>
        <w:t xml:space="preserve">                           </w:t>
      </w:r>
      <w:r>
        <w:rPr>
          <w:rFonts w:hint="eastAsia" w:ascii="宋体" w:hAnsi="宋体" w:cs="MingLiU"/>
          <w:snapToGrid w:val="0"/>
          <w:kern w:val="0"/>
          <w:szCs w:val="21"/>
          <w:lang w:eastAsia="zh-CN"/>
        </w:rPr>
        <w:t>）</w:t>
      </w:r>
      <w:r>
        <w:rPr>
          <w:rFonts w:hint="eastAsia" w:ascii="宋体" w:hAnsi="宋体" w:cs="MingLiU"/>
          <w:snapToGrid w:val="0"/>
          <w:kern w:val="0"/>
          <w:szCs w:val="21"/>
        </w:rPr>
        <w:t>，并按合同约定实施和完成委派的维修工程，修补工程中的任何缺陷，工程质量达到</w:t>
      </w:r>
      <w:r>
        <w:rPr>
          <w:rFonts w:hint="eastAsia" w:ascii="宋体" w:hAnsi="宋体" w:cs="宋体"/>
          <w:szCs w:val="21"/>
          <w:u w:val="single"/>
        </w:rPr>
        <w:t>国家现行有关施工质量验收规范要求，并达到合格标准。服务周期：</w:t>
      </w:r>
      <w:r>
        <w:rPr>
          <w:rFonts w:hint="eastAsia" w:ascii="宋体" w:hAnsi="宋体" w:cs="宋体"/>
          <w:kern w:val="1"/>
          <w:szCs w:val="21"/>
          <w:u w:val="single"/>
        </w:rPr>
        <w:t>自合同签订之日起至2021年12月31日</w:t>
      </w:r>
      <w:r>
        <w:rPr>
          <w:rFonts w:hint="eastAsia" w:ascii="宋体" w:hAnsi="宋体" w:cs="宋体"/>
          <w:szCs w:val="21"/>
          <w:u w:val="single"/>
        </w:rPr>
        <w:t>。</w:t>
      </w:r>
      <w:r>
        <w:rPr>
          <w:rFonts w:hint="eastAsia" w:ascii="宋体" w:hAnsi="宋体" w:cs="MingLiU"/>
          <w:snapToGrid w:val="0"/>
          <w:kern w:val="0"/>
          <w:szCs w:val="21"/>
          <w:u w:val="single"/>
        </w:rPr>
        <w:t xml:space="preserve"> </w:t>
      </w:r>
    </w:p>
    <w:p>
      <w:pPr>
        <w:autoSpaceDE w:val="0"/>
        <w:autoSpaceDN w:val="0"/>
        <w:adjustRightInd w:val="0"/>
        <w:spacing w:line="360" w:lineRule="exact"/>
        <w:ind w:left="540" w:right="-20"/>
        <w:jc w:val="left"/>
        <w:rPr>
          <w:rFonts w:ascii="宋体" w:hAnsi="宋体" w:cs="MingLiU"/>
          <w:snapToGrid w:val="0"/>
          <w:kern w:val="0"/>
          <w:szCs w:val="21"/>
        </w:rPr>
      </w:pPr>
      <w:r>
        <w:rPr>
          <w:rFonts w:ascii="宋体" w:hAnsi="宋体"/>
          <w:snapToGrid w:val="0"/>
          <w:kern w:val="0"/>
          <w:szCs w:val="21"/>
        </w:rPr>
        <w:t>2</w:t>
      </w:r>
      <w:r>
        <w:rPr>
          <w:rFonts w:hint="eastAsia" w:ascii="宋体" w:hAnsi="宋体" w:cs="MingLiU"/>
          <w:snapToGrid w:val="0"/>
          <w:kern w:val="0"/>
          <w:szCs w:val="21"/>
        </w:rPr>
        <w:t>．我方承诺在比选有效期内不修改、撤销比选申请文件。</w:t>
      </w:r>
    </w:p>
    <w:p>
      <w:pPr>
        <w:autoSpaceDE w:val="0"/>
        <w:autoSpaceDN w:val="0"/>
        <w:adjustRightInd w:val="0"/>
        <w:spacing w:line="360" w:lineRule="exact"/>
        <w:ind w:left="540" w:right="-20"/>
        <w:jc w:val="left"/>
        <w:rPr>
          <w:rFonts w:ascii="宋体" w:hAnsi="宋体" w:cs="MingLiU"/>
          <w:snapToGrid w:val="0"/>
          <w:kern w:val="0"/>
          <w:szCs w:val="21"/>
        </w:rPr>
      </w:pPr>
      <w:r>
        <w:rPr>
          <w:rFonts w:hint="eastAsia" w:ascii="宋体" w:hAnsi="宋体"/>
          <w:snapToGrid w:val="0"/>
          <w:kern w:val="0"/>
          <w:szCs w:val="21"/>
        </w:rPr>
        <w:t>3</w:t>
      </w:r>
      <w:r>
        <w:rPr>
          <w:rFonts w:hint="eastAsia" w:ascii="宋体" w:hAnsi="宋体" w:cs="MingLiU"/>
          <w:snapToGrid w:val="0"/>
          <w:kern w:val="0"/>
          <w:szCs w:val="21"/>
        </w:rPr>
        <w:t>．如我方中标：</w:t>
      </w:r>
    </w:p>
    <w:p>
      <w:pPr>
        <w:autoSpaceDE w:val="0"/>
        <w:autoSpaceDN w:val="0"/>
        <w:adjustRightInd w:val="0"/>
        <w:spacing w:line="360" w:lineRule="exact"/>
        <w:ind w:left="838" w:right="-80"/>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1</w:t>
      </w:r>
      <w:r>
        <w:rPr>
          <w:rFonts w:hint="eastAsia" w:ascii="宋体" w:hAnsi="宋体" w:cs="MingLiU"/>
          <w:snapToGrid w:val="0"/>
          <w:kern w:val="0"/>
          <w:szCs w:val="21"/>
        </w:rPr>
        <w:t>）我方承诺在收到成交通知书后，在成交通知书规定的期限内与你方签订合同。</w:t>
      </w:r>
    </w:p>
    <w:p>
      <w:pPr>
        <w:autoSpaceDE w:val="0"/>
        <w:autoSpaceDN w:val="0"/>
        <w:adjustRightInd w:val="0"/>
        <w:spacing w:line="360" w:lineRule="exact"/>
        <w:ind w:left="838" w:right="-20"/>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2</w:t>
      </w:r>
      <w:r>
        <w:rPr>
          <w:rFonts w:hint="eastAsia" w:ascii="宋体" w:hAnsi="宋体" w:cs="MingLiU"/>
          <w:snapToGrid w:val="0"/>
          <w:kern w:val="0"/>
          <w:szCs w:val="21"/>
        </w:rPr>
        <w:t>）随同本报价书递交的报价书附录属于合同文件的组成部分。</w:t>
      </w:r>
    </w:p>
    <w:p>
      <w:pPr>
        <w:autoSpaceDE w:val="0"/>
        <w:autoSpaceDN w:val="0"/>
        <w:adjustRightInd w:val="0"/>
        <w:spacing w:line="360" w:lineRule="exact"/>
        <w:ind w:left="838" w:right="-20"/>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3</w:t>
      </w:r>
      <w:r>
        <w:rPr>
          <w:rFonts w:hint="eastAsia" w:ascii="宋体" w:hAnsi="宋体" w:cs="MingLiU"/>
          <w:snapToGrid w:val="0"/>
          <w:kern w:val="0"/>
          <w:szCs w:val="21"/>
        </w:rPr>
        <w:t>）我方承诺按照比选文件规定向你方递交履约担保。</w:t>
      </w:r>
    </w:p>
    <w:p>
      <w:pPr>
        <w:autoSpaceDE w:val="0"/>
        <w:autoSpaceDN w:val="0"/>
        <w:adjustRightInd w:val="0"/>
        <w:spacing w:line="360" w:lineRule="exact"/>
        <w:ind w:left="838" w:right="-20"/>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4</w:t>
      </w:r>
      <w:r>
        <w:rPr>
          <w:rFonts w:hint="eastAsia" w:ascii="宋体" w:hAnsi="宋体" w:cs="MingLiU"/>
          <w:snapToGrid w:val="0"/>
          <w:kern w:val="0"/>
          <w:szCs w:val="21"/>
        </w:rPr>
        <w:t>）我方承诺在合同约定的期限内完成并移交全部合同工程。</w:t>
      </w:r>
    </w:p>
    <w:p>
      <w:pPr>
        <w:tabs>
          <w:tab w:val="left" w:pos="4940"/>
        </w:tabs>
        <w:autoSpaceDE w:val="0"/>
        <w:autoSpaceDN w:val="0"/>
        <w:adjustRightInd w:val="0"/>
        <w:spacing w:line="360" w:lineRule="exact"/>
        <w:ind w:left="540" w:right="-20"/>
        <w:jc w:val="left"/>
        <w:rPr>
          <w:rFonts w:ascii="宋体" w:hAnsi="宋体" w:cs="MingLiU"/>
          <w:snapToGrid w:val="0"/>
          <w:kern w:val="0"/>
          <w:szCs w:val="21"/>
        </w:rPr>
      </w:pPr>
      <w:r>
        <w:rPr>
          <w:rFonts w:hint="eastAsia" w:ascii="宋体" w:hAnsi="宋体" w:cs="MingLiU"/>
          <w:snapToGrid w:val="0"/>
          <w:kern w:val="0"/>
          <w:szCs w:val="21"/>
        </w:rPr>
        <w:t>4．</w:t>
      </w:r>
      <w:r>
        <w:rPr>
          <w:rFonts w:ascii="宋体" w:hAnsi="宋体" w:cs="MingLiU"/>
          <w:snapToGrid w:val="0"/>
          <w:w w:val="200"/>
          <w:kern w:val="0"/>
          <w:szCs w:val="21"/>
          <w:u w:val="single"/>
        </w:rPr>
        <w:t xml:space="preserve"> </w:t>
      </w:r>
      <w:r>
        <w:rPr>
          <w:rFonts w:ascii="宋体" w:hAnsi="宋体"/>
          <w:snapToGrid w:val="0"/>
          <w:kern w:val="0"/>
          <w:szCs w:val="21"/>
          <w:u w:val="single"/>
        </w:rPr>
        <w:tab/>
      </w:r>
      <w:r>
        <w:rPr>
          <w:rFonts w:hint="eastAsia" w:ascii="宋体" w:hAnsi="宋体" w:cs="MingLiU"/>
          <w:snapToGrid w:val="0"/>
          <w:kern w:val="0"/>
          <w:szCs w:val="21"/>
        </w:rPr>
        <w:t>（其他补充说明）。</w:t>
      </w:r>
    </w:p>
    <w:p>
      <w:pPr>
        <w:tabs>
          <w:tab w:val="left" w:pos="7140"/>
          <w:tab w:val="left" w:pos="7560"/>
          <w:tab w:val="left" w:pos="8300"/>
        </w:tabs>
        <w:autoSpaceDE w:val="0"/>
        <w:autoSpaceDN w:val="0"/>
        <w:adjustRightInd w:val="0"/>
        <w:spacing w:line="370" w:lineRule="auto"/>
        <w:ind w:right="210" w:firstLine="1984" w:firstLineChars="945"/>
        <w:rPr>
          <w:rFonts w:hint="eastAsia" w:ascii="宋体" w:hAnsi="宋体" w:cs="MingLiU"/>
          <w:snapToGrid w:val="0"/>
          <w:kern w:val="0"/>
          <w:szCs w:val="21"/>
        </w:rPr>
      </w:pPr>
    </w:p>
    <w:p>
      <w:pPr>
        <w:tabs>
          <w:tab w:val="left" w:pos="7140"/>
          <w:tab w:val="left" w:pos="7560"/>
          <w:tab w:val="left" w:pos="8300"/>
        </w:tabs>
        <w:autoSpaceDE w:val="0"/>
        <w:autoSpaceDN w:val="0"/>
        <w:adjustRightInd w:val="0"/>
        <w:spacing w:line="370" w:lineRule="auto"/>
        <w:ind w:right="210" w:firstLine="2835" w:firstLineChars="1350"/>
        <w:rPr>
          <w:rFonts w:hint="eastAsia" w:ascii="宋体" w:hAnsi="宋体" w:cs="MingLiU"/>
          <w:snapToGrid w:val="0"/>
          <w:kern w:val="0"/>
          <w:szCs w:val="21"/>
        </w:rPr>
      </w:pPr>
    </w:p>
    <w:p>
      <w:pPr>
        <w:tabs>
          <w:tab w:val="left" w:pos="7140"/>
          <w:tab w:val="left" w:pos="7560"/>
          <w:tab w:val="left" w:pos="8300"/>
        </w:tabs>
        <w:autoSpaceDE w:val="0"/>
        <w:autoSpaceDN w:val="0"/>
        <w:adjustRightInd w:val="0"/>
        <w:spacing w:line="370" w:lineRule="auto"/>
        <w:ind w:right="210" w:firstLine="1984" w:firstLineChars="945"/>
        <w:rPr>
          <w:rFonts w:hint="eastAsia" w:ascii="宋体" w:hAnsi="宋体"/>
          <w:snapToGrid w:val="0"/>
          <w:kern w:val="0"/>
          <w:szCs w:val="21"/>
        </w:rPr>
      </w:pPr>
      <w:r>
        <w:rPr>
          <w:rFonts w:hint="eastAsia" w:ascii="宋体" w:hAnsi="宋体" w:cs="MingLiU"/>
          <w:snapToGrid w:val="0"/>
          <w:kern w:val="0"/>
          <w:szCs w:val="21"/>
        </w:rPr>
        <w:t>比选申请人：</w:t>
      </w:r>
      <w:r>
        <w:rPr>
          <w:rFonts w:hint="eastAsia" w:ascii="宋体" w:hAnsi="宋体" w:cs="MingLiU"/>
          <w:snapToGrid w:val="0"/>
          <w:kern w:val="0"/>
          <w:szCs w:val="21"/>
          <w:u w:val="single"/>
        </w:rPr>
        <w:t xml:space="preserve">                　　　　　     </w:t>
      </w:r>
      <w:r>
        <w:rPr>
          <w:rFonts w:hint="eastAsia" w:ascii="宋体" w:hAnsi="宋体" w:cs="MingLiU"/>
          <w:snapToGrid w:val="0"/>
          <w:kern w:val="0"/>
          <w:szCs w:val="21"/>
        </w:rPr>
        <w:t>（盖单位章）</w:t>
      </w:r>
      <w:r>
        <w:rPr>
          <w:rFonts w:ascii="宋体" w:hAnsi="宋体"/>
          <w:snapToGrid w:val="0"/>
          <w:kern w:val="0"/>
          <w:szCs w:val="21"/>
        </w:rPr>
        <w:t xml:space="preserve"> </w:t>
      </w:r>
    </w:p>
    <w:p>
      <w:pPr>
        <w:tabs>
          <w:tab w:val="left" w:pos="7140"/>
          <w:tab w:val="left" w:pos="7560"/>
          <w:tab w:val="left" w:pos="8300"/>
        </w:tabs>
        <w:autoSpaceDE w:val="0"/>
        <w:autoSpaceDN w:val="0"/>
        <w:adjustRightInd w:val="0"/>
        <w:spacing w:line="370" w:lineRule="auto"/>
        <w:ind w:right="210" w:firstLine="1995" w:firstLineChars="950"/>
        <w:rPr>
          <w:rFonts w:hint="eastAsia" w:ascii="宋体" w:hAnsi="宋体"/>
          <w:snapToGrid w:val="0"/>
          <w:kern w:val="0"/>
          <w:szCs w:val="21"/>
        </w:rPr>
      </w:pPr>
      <w:r>
        <w:rPr>
          <w:rFonts w:hint="eastAsia" w:ascii="宋体" w:hAnsi="宋体" w:cs="MingLiU"/>
          <w:snapToGrid w:val="0"/>
          <w:kern w:val="0"/>
          <w:szCs w:val="21"/>
        </w:rPr>
        <w:t>法定代表人或其委托代理人：</w:t>
      </w:r>
      <w:r>
        <w:rPr>
          <w:rFonts w:hint="eastAsia" w:ascii="宋体" w:hAnsi="宋体" w:cs="MingLiU"/>
          <w:snapToGrid w:val="0"/>
          <w:kern w:val="0"/>
          <w:szCs w:val="21"/>
          <w:u w:val="single"/>
        </w:rPr>
        <w:t xml:space="preserve">   </w:t>
      </w:r>
      <w:r>
        <w:rPr>
          <w:rFonts w:ascii="宋体" w:hAnsi="宋体"/>
          <w:snapToGrid w:val="0"/>
          <w:kern w:val="0"/>
          <w:szCs w:val="21"/>
          <w:u w:val="single"/>
        </w:rPr>
        <w:tab/>
      </w:r>
      <w:r>
        <w:rPr>
          <w:rFonts w:hint="eastAsia" w:ascii="宋体" w:hAnsi="宋体" w:cs="MingLiU"/>
          <w:snapToGrid w:val="0"/>
          <w:kern w:val="0"/>
          <w:szCs w:val="21"/>
        </w:rPr>
        <w:t>（签字）</w:t>
      </w:r>
      <w:r>
        <w:rPr>
          <w:rFonts w:ascii="宋体" w:hAnsi="宋体"/>
          <w:snapToGrid w:val="0"/>
          <w:kern w:val="0"/>
          <w:szCs w:val="21"/>
        </w:rPr>
        <w:t xml:space="preserve"> </w:t>
      </w:r>
    </w:p>
    <w:p>
      <w:pPr>
        <w:tabs>
          <w:tab w:val="left" w:pos="7035"/>
          <w:tab w:val="left" w:pos="7560"/>
          <w:tab w:val="left" w:pos="8300"/>
        </w:tabs>
        <w:autoSpaceDE w:val="0"/>
        <w:autoSpaceDN w:val="0"/>
        <w:adjustRightInd w:val="0"/>
        <w:spacing w:line="370" w:lineRule="auto"/>
        <w:ind w:right="210" w:firstLine="1984" w:firstLineChars="945"/>
        <w:rPr>
          <w:rFonts w:ascii="宋体" w:hAnsi="宋体" w:cs="MingLiU"/>
          <w:snapToGrid w:val="0"/>
          <w:kern w:val="0"/>
          <w:szCs w:val="21"/>
        </w:rPr>
      </w:pPr>
      <w:r>
        <w:rPr>
          <w:rFonts w:hint="eastAsia" w:ascii="宋体" w:hAnsi="宋体" w:cs="MingLiU"/>
          <w:snapToGrid w:val="0"/>
          <w:kern w:val="0"/>
          <w:szCs w:val="21"/>
        </w:rPr>
        <w:t>地址：</w:t>
      </w:r>
      <w:r>
        <w:rPr>
          <w:rFonts w:ascii="宋体" w:hAnsi="宋体" w:cs="MingLiU"/>
          <w:snapToGrid w:val="0"/>
          <w:w w:val="200"/>
          <w:kern w:val="0"/>
          <w:szCs w:val="21"/>
          <w:u w:val="single"/>
        </w:rPr>
        <w:t xml:space="preserve"> </w:t>
      </w:r>
      <w:r>
        <w:rPr>
          <w:rFonts w:ascii="宋体" w:hAnsi="宋体"/>
          <w:snapToGrid w:val="0"/>
          <w:kern w:val="0"/>
          <w:szCs w:val="21"/>
          <w:u w:val="single"/>
        </w:rPr>
        <w:tab/>
      </w:r>
    </w:p>
    <w:p>
      <w:pPr>
        <w:tabs>
          <w:tab w:val="left" w:pos="8300"/>
        </w:tabs>
        <w:autoSpaceDE w:val="0"/>
        <w:autoSpaceDN w:val="0"/>
        <w:adjustRightInd w:val="0"/>
        <w:spacing w:before="1"/>
        <w:ind w:left="1985" w:right="-20"/>
        <w:jc w:val="left"/>
        <w:rPr>
          <w:rFonts w:ascii="宋体" w:hAnsi="宋体" w:cs="MingLiU"/>
          <w:snapToGrid w:val="0"/>
          <w:kern w:val="0"/>
          <w:szCs w:val="21"/>
        </w:rPr>
      </w:pPr>
      <w:r>
        <w:rPr>
          <w:rFonts w:hint="eastAsia" w:ascii="宋体" w:hAnsi="宋体" w:cs="MingLiU"/>
          <w:snapToGrid w:val="0"/>
          <w:kern w:val="0"/>
          <w:szCs w:val="21"/>
        </w:rPr>
        <w:t>网址：</w:t>
      </w:r>
      <w:r>
        <w:rPr>
          <w:rFonts w:ascii="宋体" w:hAnsi="宋体" w:cs="MingLiU"/>
          <w:snapToGrid w:val="0"/>
          <w:w w:val="200"/>
          <w:kern w:val="0"/>
          <w:szCs w:val="21"/>
          <w:u w:val="single"/>
        </w:rPr>
        <w:t xml:space="preserve"> </w:t>
      </w:r>
      <w:r>
        <w:rPr>
          <w:rFonts w:hint="eastAsia" w:ascii="宋体" w:hAnsi="宋体"/>
          <w:snapToGrid w:val="0"/>
          <w:kern w:val="0"/>
          <w:szCs w:val="21"/>
          <w:u w:val="single"/>
        </w:rPr>
        <w:t>　　　　　　　　　　　　　　　　　　　　</w:t>
      </w:r>
    </w:p>
    <w:p>
      <w:pPr>
        <w:autoSpaceDE w:val="0"/>
        <w:autoSpaceDN w:val="0"/>
        <w:adjustRightInd w:val="0"/>
        <w:spacing w:before="14" w:line="200" w:lineRule="exact"/>
        <w:jc w:val="left"/>
        <w:rPr>
          <w:rFonts w:ascii="宋体" w:hAnsi="宋体" w:cs="MingLiU"/>
          <w:snapToGrid w:val="0"/>
          <w:kern w:val="0"/>
          <w:sz w:val="20"/>
          <w:szCs w:val="20"/>
        </w:rPr>
      </w:pPr>
    </w:p>
    <w:p>
      <w:pPr>
        <w:tabs>
          <w:tab w:val="left" w:pos="8300"/>
        </w:tabs>
        <w:autoSpaceDE w:val="0"/>
        <w:autoSpaceDN w:val="0"/>
        <w:adjustRightInd w:val="0"/>
        <w:spacing w:line="220" w:lineRule="exact"/>
        <w:ind w:left="1985" w:right="-20"/>
        <w:jc w:val="left"/>
        <w:rPr>
          <w:rFonts w:ascii="宋体" w:hAnsi="宋体" w:cs="MingLiU"/>
          <w:snapToGrid w:val="0"/>
          <w:kern w:val="0"/>
          <w:szCs w:val="21"/>
        </w:rPr>
      </w:pPr>
      <w:r>
        <w:rPr>
          <w:rFonts w:hint="eastAsia" w:ascii="宋体" w:hAnsi="宋体" w:cs="MingLiU"/>
          <w:snapToGrid w:val="0"/>
          <w:kern w:val="0"/>
          <w:szCs w:val="21"/>
        </w:rPr>
        <w:t>电话：</w:t>
      </w:r>
      <w:r>
        <w:rPr>
          <w:rFonts w:ascii="宋体" w:hAnsi="宋体" w:cs="MingLiU"/>
          <w:snapToGrid w:val="0"/>
          <w:w w:val="200"/>
          <w:kern w:val="0"/>
          <w:szCs w:val="21"/>
          <w:u w:val="single"/>
        </w:rPr>
        <w:t xml:space="preserve"> </w:t>
      </w:r>
      <w:r>
        <w:rPr>
          <w:rFonts w:hint="eastAsia" w:ascii="宋体" w:hAnsi="宋体"/>
          <w:snapToGrid w:val="0"/>
          <w:kern w:val="0"/>
          <w:szCs w:val="21"/>
          <w:u w:val="single"/>
        </w:rPr>
        <w:t>　　　　　　　　　　　　　　　　　　　　</w:t>
      </w:r>
    </w:p>
    <w:p>
      <w:pPr>
        <w:autoSpaceDE w:val="0"/>
        <w:autoSpaceDN w:val="0"/>
        <w:adjustRightInd w:val="0"/>
        <w:spacing w:before="13" w:line="200" w:lineRule="exact"/>
        <w:jc w:val="left"/>
        <w:rPr>
          <w:rFonts w:ascii="宋体" w:hAnsi="宋体" w:cs="MingLiU"/>
          <w:snapToGrid w:val="0"/>
          <w:kern w:val="0"/>
          <w:sz w:val="20"/>
          <w:szCs w:val="20"/>
        </w:rPr>
      </w:pPr>
    </w:p>
    <w:p>
      <w:pPr>
        <w:tabs>
          <w:tab w:val="left" w:pos="8300"/>
        </w:tabs>
        <w:autoSpaceDE w:val="0"/>
        <w:autoSpaceDN w:val="0"/>
        <w:adjustRightInd w:val="0"/>
        <w:spacing w:line="220" w:lineRule="exact"/>
        <w:ind w:left="1985" w:right="-20"/>
        <w:jc w:val="left"/>
        <w:rPr>
          <w:rFonts w:ascii="宋体" w:hAnsi="宋体" w:cs="MingLiU"/>
          <w:snapToGrid w:val="0"/>
          <w:kern w:val="0"/>
          <w:szCs w:val="21"/>
        </w:rPr>
      </w:pPr>
      <w:r>
        <w:rPr>
          <w:rFonts w:hint="eastAsia" w:ascii="宋体" w:hAnsi="宋体" w:cs="MingLiU"/>
          <w:snapToGrid w:val="0"/>
          <w:kern w:val="0"/>
          <w:szCs w:val="21"/>
        </w:rPr>
        <w:t>传真：</w:t>
      </w:r>
      <w:r>
        <w:rPr>
          <w:rFonts w:ascii="宋体" w:hAnsi="宋体" w:cs="MingLiU"/>
          <w:snapToGrid w:val="0"/>
          <w:w w:val="200"/>
          <w:kern w:val="0"/>
          <w:szCs w:val="21"/>
          <w:u w:val="single"/>
        </w:rPr>
        <w:t xml:space="preserve"> </w:t>
      </w:r>
      <w:r>
        <w:rPr>
          <w:rFonts w:hint="eastAsia" w:ascii="宋体" w:hAnsi="宋体"/>
          <w:snapToGrid w:val="0"/>
          <w:kern w:val="0"/>
          <w:szCs w:val="21"/>
          <w:u w:val="single"/>
        </w:rPr>
        <w:t>　　　　　　　　　　　　　　　　　　　　</w:t>
      </w:r>
    </w:p>
    <w:p>
      <w:pPr>
        <w:tabs>
          <w:tab w:val="left" w:pos="8300"/>
        </w:tabs>
        <w:autoSpaceDE w:val="0"/>
        <w:autoSpaceDN w:val="0"/>
        <w:adjustRightInd w:val="0"/>
        <w:spacing w:line="220" w:lineRule="exact"/>
        <w:ind w:left="3796" w:right="-20"/>
        <w:jc w:val="left"/>
        <w:rPr>
          <w:rFonts w:hint="eastAsia" w:ascii="宋体" w:hAnsi="宋体" w:cs="MingLiU"/>
          <w:snapToGrid w:val="0"/>
          <w:kern w:val="0"/>
          <w:szCs w:val="21"/>
        </w:rPr>
      </w:pPr>
    </w:p>
    <w:p>
      <w:pPr>
        <w:tabs>
          <w:tab w:val="left" w:pos="8300"/>
        </w:tabs>
        <w:autoSpaceDE w:val="0"/>
        <w:autoSpaceDN w:val="0"/>
        <w:adjustRightInd w:val="0"/>
        <w:spacing w:line="220" w:lineRule="exact"/>
        <w:ind w:left="1985" w:right="-20"/>
        <w:jc w:val="left"/>
        <w:rPr>
          <w:rFonts w:ascii="宋体" w:hAnsi="宋体" w:cs="MingLiU"/>
          <w:snapToGrid w:val="0"/>
          <w:kern w:val="0"/>
          <w:sz w:val="20"/>
          <w:szCs w:val="20"/>
        </w:rPr>
      </w:pPr>
      <w:r>
        <w:rPr>
          <w:rFonts w:hint="eastAsia" w:ascii="宋体" w:hAnsi="宋体" w:cs="MingLiU"/>
          <w:snapToGrid w:val="0"/>
          <w:kern w:val="0"/>
          <w:szCs w:val="21"/>
        </w:rPr>
        <w:t>邮政编码：</w:t>
      </w:r>
      <w:r>
        <w:rPr>
          <w:rFonts w:ascii="宋体" w:hAnsi="宋体" w:cs="MingLiU"/>
          <w:snapToGrid w:val="0"/>
          <w:w w:val="200"/>
          <w:kern w:val="0"/>
          <w:szCs w:val="21"/>
          <w:u w:val="single"/>
        </w:rPr>
        <w:t xml:space="preserve"> </w:t>
      </w:r>
      <w:r>
        <w:rPr>
          <w:rFonts w:hint="eastAsia" w:ascii="宋体" w:hAnsi="宋体" w:cs="MingLiU"/>
          <w:snapToGrid w:val="0"/>
          <w:w w:val="200"/>
          <w:kern w:val="0"/>
          <w:szCs w:val="21"/>
          <w:u w:val="single"/>
        </w:rPr>
        <w:t>　　　　　　　　　</w:t>
      </w:r>
    </w:p>
    <w:p>
      <w:pPr>
        <w:autoSpaceDE w:val="0"/>
        <w:autoSpaceDN w:val="0"/>
        <w:adjustRightInd w:val="0"/>
        <w:spacing w:line="200" w:lineRule="exact"/>
        <w:jc w:val="left"/>
        <w:rPr>
          <w:rFonts w:ascii="宋体" w:hAnsi="宋体" w:cs="MingLiU"/>
          <w:snapToGrid w:val="0"/>
          <w:kern w:val="0"/>
          <w:sz w:val="20"/>
          <w:szCs w:val="20"/>
        </w:rPr>
      </w:pPr>
    </w:p>
    <w:p>
      <w:pPr>
        <w:autoSpaceDE w:val="0"/>
        <w:autoSpaceDN w:val="0"/>
        <w:adjustRightInd w:val="0"/>
        <w:spacing w:before="14" w:line="240" w:lineRule="exact"/>
        <w:jc w:val="left"/>
        <w:rPr>
          <w:rFonts w:ascii="宋体" w:hAnsi="宋体" w:cs="MingLiU"/>
          <w:snapToGrid w:val="0"/>
          <w:kern w:val="0"/>
          <w:sz w:val="24"/>
        </w:rPr>
      </w:pPr>
    </w:p>
    <w:p>
      <w:pPr>
        <w:tabs>
          <w:tab w:val="left" w:pos="6000"/>
          <w:tab w:val="left" w:pos="7040"/>
          <w:tab w:val="left" w:pos="8100"/>
        </w:tabs>
        <w:autoSpaceDE w:val="0"/>
        <w:autoSpaceDN w:val="0"/>
        <w:adjustRightInd w:val="0"/>
        <w:spacing w:line="220" w:lineRule="exact"/>
        <w:ind w:right="-20" w:firstLine="4924" w:firstLineChars="2345"/>
        <w:jc w:val="left"/>
        <w:rPr>
          <w:rFonts w:hint="eastAsia" w:ascii="宋体" w:hAnsi="宋体" w:cs="MingLiU"/>
          <w:snapToGrid w:val="0"/>
          <w:kern w:val="0"/>
          <w:szCs w:val="21"/>
        </w:rPr>
      </w:pPr>
      <w:r>
        <w:rPr>
          <w:rFonts w:hint="eastAsia" w:ascii="宋体" w:hAnsi="宋体" w:cs="MingLiU"/>
          <w:snapToGrid w:val="0"/>
          <w:kern w:val="0"/>
          <w:szCs w:val="21"/>
          <w:u w:val="single"/>
        </w:rPr>
        <w:t xml:space="preserve">        </w:t>
      </w:r>
      <w:r>
        <w:rPr>
          <w:rFonts w:hint="eastAsia" w:ascii="宋体" w:hAnsi="宋体" w:cs="MingLiU"/>
          <w:snapToGrid w:val="0"/>
          <w:kern w:val="0"/>
          <w:szCs w:val="21"/>
        </w:rPr>
        <w:t>年</w:t>
      </w:r>
      <w:r>
        <w:rPr>
          <w:rFonts w:ascii="宋体" w:hAnsi="宋体" w:cs="MingLiU"/>
          <w:snapToGrid w:val="0"/>
          <w:w w:val="200"/>
          <w:kern w:val="0"/>
          <w:szCs w:val="21"/>
          <w:u w:val="single"/>
        </w:rPr>
        <w:t xml:space="preserve"> </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月</w:t>
      </w:r>
      <w:r>
        <w:rPr>
          <w:rFonts w:ascii="宋体" w:hAnsi="宋体" w:cs="MingLiU"/>
          <w:snapToGrid w:val="0"/>
          <w:w w:val="200"/>
          <w:kern w:val="0"/>
          <w:szCs w:val="21"/>
          <w:u w:val="single"/>
        </w:rPr>
        <w:t xml:space="preserve"> </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日</w:t>
      </w:r>
    </w:p>
    <w:p>
      <w:pPr>
        <w:rPr>
          <w:rFonts w:hint="eastAsia" w:ascii="宋体" w:hAnsi="宋体"/>
          <w:snapToGrid w:val="0"/>
          <w:w w:val="99"/>
        </w:rPr>
      </w:pPr>
      <w:bookmarkStart w:id="49" w:name="_Toc224103496"/>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pStyle w:val="4"/>
        <w:jc w:val="center"/>
        <w:rPr>
          <w:rFonts w:ascii="宋体" w:hAnsi="宋体"/>
          <w:sz w:val="28"/>
        </w:rPr>
        <w:sectPr>
          <w:pgSz w:w="11906" w:h="16838"/>
          <w:pgMar w:top="1418" w:right="1361" w:bottom="1418" w:left="1418" w:header="851" w:footer="851" w:gutter="0"/>
          <w:cols w:space="720" w:num="1"/>
          <w:docGrid w:type="lines" w:linePitch="312" w:charSpace="0"/>
        </w:sectPr>
      </w:pPr>
      <w:bookmarkStart w:id="50" w:name="_Toc277082644"/>
      <w:bookmarkStart w:id="51" w:name="_Toc287607868"/>
    </w:p>
    <w:p>
      <w:pPr>
        <w:pStyle w:val="4"/>
        <w:jc w:val="center"/>
        <w:rPr>
          <w:rFonts w:hint="eastAsia" w:ascii="宋体" w:hAnsi="宋体"/>
          <w:sz w:val="28"/>
        </w:rPr>
      </w:pPr>
      <w:bookmarkStart w:id="52" w:name="_Toc34309303"/>
      <w:bookmarkStart w:id="53" w:name="_Toc34310531"/>
      <w:r>
        <w:rPr>
          <w:rFonts w:hint="eastAsia" w:ascii="宋体" w:hAnsi="宋体"/>
          <w:sz w:val="28"/>
        </w:rPr>
        <w:t>（二） 报价书附录</w:t>
      </w:r>
      <w:bookmarkEnd w:id="49"/>
      <w:bookmarkEnd w:id="50"/>
      <w:bookmarkEnd w:id="51"/>
      <w:bookmarkEnd w:id="52"/>
      <w:bookmarkEnd w:id="53"/>
    </w:p>
    <w:tbl>
      <w:tblPr>
        <w:tblStyle w:val="15"/>
        <w:tblW w:w="9265" w:type="dxa"/>
        <w:tblInd w:w="112" w:type="dxa"/>
        <w:tblLayout w:type="fixed"/>
        <w:tblCellMar>
          <w:top w:w="0" w:type="dxa"/>
          <w:left w:w="0" w:type="dxa"/>
          <w:bottom w:w="0" w:type="dxa"/>
          <w:right w:w="0" w:type="dxa"/>
        </w:tblCellMar>
      </w:tblPr>
      <w:tblGrid>
        <w:gridCol w:w="941"/>
        <w:gridCol w:w="3378"/>
        <w:gridCol w:w="3909"/>
        <w:gridCol w:w="1037"/>
      </w:tblGrid>
      <w:tr>
        <w:tblPrEx>
          <w:tblCellMar>
            <w:top w:w="0" w:type="dxa"/>
            <w:left w:w="0" w:type="dxa"/>
            <w:bottom w:w="0" w:type="dxa"/>
            <w:right w:w="0" w:type="dxa"/>
          </w:tblCellMar>
        </w:tblPrEx>
        <w:trPr>
          <w:trHeight w:val="472" w:hRule="atLeast"/>
        </w:trPr>
        <w:tc>
          <w:tcPr>
            <w:tcW w:w="941" w:type="dxa"/>
            <w:tcBorders>
              <w:top w:val="single" w:color="000000" w:sz="4" w:space="0"/>
              <w:left w:val="single" w:color="000000" w:sz="4" w:space="0"/>
              <w:bottom w:val="single" w:color="000000" w:sz="6" w:space="0"/>
              <w:right w:val="single" w:color="000000" w:sz="6" w:space="0"/>
            </w:tcBorders>
          </w:tcPr>
          <w:p>
            <w:pPr>
              <w:autoSpaceDE w:val="0"/>
              <w:autoSpaceDN w:val="0"/>
              <w:adjustRightInd w:val="0"/>
              <w:spacing w:before="73"/>
              <w:ind w:left="109" w:right="-20"/>
              <w:jc w:val="left"/>
              <w:rPr>
                <w:rFonts w:ascii="宋体" w:hAnsi="宋体"/>
                <w:snapToGrid w:val="0"/>
                <w:kern w:val="0"/>
                <w:sz w:val="24"/>
              </w:rPr>
            </w:pPr>
            <w:r>
              <w:rPr>
                <w:rFonts w:hint="eastAsia" w:ascii="宋体" w:hAnsi="宋体" w:cs="MingLiU"/>
                <w:snapToGrid w:val="0"/>
                <w:kern w:val="0"/>
                <w:szCs w:val="21"/>
              </w:rPr>
              <w:t>序号</w:t>
            </w:r>
          </w:p>
        </w:tc>
        <w:tc>
          <w:tcPr>
            <w:tcW w:w="3378" w:type="dxa"/>
            <w:tcBorders>
              <w:top w:val="single" w:color="000000" w:sz="4" w:space="0"/>
              <w:left w:val="single" w:color="000000" w:sz="6" w:space="0"/>
              <w:bottom w:val="single" w:color="000000" w:sz="6" w:space="0"/>
              <w:right w:val="single" w:color="000000" w:sz="6" w:space="0"/>
            </w:tcBorders>
          </w:tcPr>
          <w:p>
            <w:pPr>
              <w:autoSpaceDE w:val="0"/>
              <w:autoSpaceDN w:val="0"/>
              <w:adjustRightInd w:val="0"/>
              <w:spacing w:before="73"/>
              <w:ind w:left="741" w:right="-20"/>
              <w:jc w:val="left"/>
              <w:rPr>
                <w:rFonts w:ascii="宋体" w:hAnsi="宋体"/>
                <w:snapToGrid w:val="0"/>
                <w:kern w:val="0"/>
                <w:sz w:val="24"/>
              </w:rPr>
            </w:pPr>
            <w:r>
              <w:rPr>
                <w:rFonts w:hint="eastAsia" w:ascii="宋体" w:hAnsi="宋体" w:cs="MingLiU"/>
                <w:snapToGrid w:val="0"/>
                <w:kern w:val="0"/>
                <w:szCs w:val="21"/>
              </w:rPr>
              <w:t>条款名称</w:t>
            </w:r>
          </w:p>
        </w:tc>
        <w:tc>
          <w:tcPr>
            <w:tcW w:w="3909" w:type="dxa"/>
            <w:tcBorders>
              <w:top w:val="single" w:color="000000" w:sz="4" w:space="0"/>
              <w:left w:val="single" w:color="000000" w:sz="6" w:space="0"/>
              <w:bottom w:val="single" w:color="000000" w:sz="6" w:space="0"/>
              <w:right w:val="single" w:color="000000" w:sz="6" w:space="0"/>
            </w:tcBorders>
          </w:tcPr>
          <w:p>
            <w:pPr>
              <w:autoSpaceDE w:val="0"/>
              <w:autoSpaceDN w:val="0"/>
              <w:adjustRightInd w:val="0"/>
              <w:spacing w:before="73"/>
              <w:ind w:left="914" w:right="894"/>
              <w:jc w:val="center"/>
              <w:rPr>
                <w:rFonts w:ascii="宋体" w:hAnsi="宋体"/>
                <w:snapToGrid w:val="0"/>
                <w:kern w:val="0"/>
                <w:sz w:val="24"/>
              </w:rPr>
            </w:pPr>
            <w:r>
              <w:rPr>
                <w:rFonts w:hint="eastAsia" w:ascii="宋体" w:hAnsi="宋体" w:cs="MingLiU"/>
                <w:snapToGrid w:val="0"/>
                <w:kern w:val="0"/>
                <w:szCs w:val="21"/>
              </w:rPr>
              <w:t>约定内容</w:t>
            </w:r>
          </w:p>
        </w:tc>
        <w:tc>
          <w:tcPr>
            <w:tcW w:w="1037" w:type="dxa"/>
            <w:tcBorders>
              <w:top w:val="single" w:color="000000" w:sz="4" w:space="0"/>
              <w:left w:val="single" w:color="000000" w:sz="6" w:space="0"/>
              <w:bottom w:val="single" w:color="000000" w:sz="6" w:space="0"/>
              <w:right w:val="single" w:color="000000" w:sz="4" w:space="0"/>
            </w:tcBorders>
          </w:tcPr>
          <w:p>
            <w:pPr>
              <w:autoSpaceDE w:val="0"/>
              <w:autoSpaceDN w:val="0"/>
              <w:adjustRightInd w:val="0"/>
              <w:spacing w:before="73"/>
              <w:ind w:left="143" w:right="-20"/>
              <w:jc w:val="left"/>
              <w:rPr>
                <w:rFonts w:ascii="宋体" w:hAnsi="宋体"/>
                <w:snapToGrid w:val="0"/>
                <w:kern w:val="0"/>
                <w:sz w:val="24"/>
              </w:rPr>
            </w:pPr>
            <w:r>
              <w:rPr>
                <w:rFonts w:hint="eastAsia" w:ascii="宋体" w:hAnsi="宋体" w:cs="MingLiU"/>
                <w:snapToGrid w:val="0"/>
                <w:kern w:val="0"/>
                <w:szCs w:val="21"/>
              </w:rPr>
              <w:t>备注</w:t>
            </w:r>
          </w:p>
        </w:tc>
      </w:tr>
      <w:tr>
        <w:tblPrEx>
          <w:tblCellMar>
            <w:top w:w="0" w:type="dxa"/>
            <w:left w:w="0" w:type="dxa"/>
            <w:bottom w:w="0" w:type="dxa"/>
            <w:right w:w="0" w:type="dxa"/>
          </w:tblCellMar>
        </w:tblPrEx>
        <w:trPr>
          <w:trHeight w:val="472" w:hRule="atLeast"/>
        </w:trPr>
        <w:tc>
          <w:tcPr>
            <w:tcW w:w="941" w:type="dxa"/>
            <w:tcBorders>
              <w:top w:val="single" w:color="000000" w:sz="6" w:space="0"/>
              <w:left w:val="single" w:color="000000" w:sz="4" w:space="0"/>
              <w:bottom w:val="single" w:color="000000" w:sz="6" w:space="0"/>
              <w:right w:val="single" w:color="000000" w:sz="6" w:space="0"/>
            </w:tcBorders>
          </w:tcPr>
          <w:p>
            <w:pPr>
              <w:autoSpaceDE w:val="0"/>
              <w:autoSpaceDN w:val="0"/>
              <w:adjustRightInd w:val="0"/>
              <w:spacing w:line="160" w:lineRule="exact"/>
              <w:jc w:val="left"/>
              <w:rPr>
                <w:rFonts w:ascii="宋体" w:hAnsi="宋体"/>
                <w:snapToGrid w:val="0"/>
                <w:kern w:val="0"/>
                <w:sz w:val="16"/>
                <w:szCs w:val="16"/>
              </w:rPr>
            </w:pPr>
          </w:p>
          <w:p>
            <w:pPr>
              <w:autoSpaceDE w:val="0"/>
              <w:autoSpaceDN w:val="0"/>
              <w:adjustRightInd w:val="0"/>
              <w:ind w:left="266" w:right="246"/>
              <w:jc w:val="center"/>
              <w:rPr>
                <w:rFonts w:ascii="宋体" w:hAnsi="宋体"/>
                <w:snapToGrid w:val="0"/>
                <w:kern w:val="0"/>
                <w:sz w:val="24"/>
              </w:rPr>
            </w:pPr>
            <w:r>
              <w:rPr>
                <w:rFonts w:ascii="宋体" w:hAnsi="宋体"/>
                <w:snapToGrid w:val="0"/>
                <w:kern w:val="0"/>
                <w:szCs w:val="21"/>
              </w:rPr>
              <w:t>1</w:t>
            </w:r>
          </w:p>
        </w:tc>
        <w:tc>
          <w:tcPr>
            <w:tcW w:w="337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before="73"/>
              <w:ind w:left="744" w:right="-20"/>
              <w:jc w:val="left"/>
              <w:rPr>
                <w:rFonts w:hint="eastAsia" w:ascii="宋体" w:hAnsi="宋体"/>
                <w:snapToGrid w:val="0"/>
                <w:kern w:val="0"/>
                <w:sz w:val="24"/>
              </w:rPr>
            </w:pPr>
            <w:r>
              <w:rPr>
                <w:rFonts w:hint="eastAsia" w:ascii="宋体" w:hAnsi="宋体" w:cs="MingLiU"/>
                <w:snapToGrid w:val="0"/>
                <w:kern w:val="0"/>
                <w:szCs w:val="21"/>
              </w:rPr>
              <w:t>项目负责人</w:t>
            </w:r>
          </w:p>
        </w:tc>
        <w:tc>
          <w:tcPr>
            <w:tcW w:w="3909" w:type="dxa"/>
            <w:tcBorders>
              <w:top w:val="single" w:color="000000" w:sz="6" w:space="0"/>
              <w:left w:val="single" w:color="000000" w:sz="6" w:space="0"/>
              <w:bottom w:val="single" w:color="000000" w:sz="6" w:space="0"/>
              <w:right w:val="single" w:color="000000" w:sz="6" w:space="0"/>
            </w:tcBorders>
          </w:tcPr>
          <w:p>
            <w:pPr>
              <w:tabs>
                <w:tab w:val="left" w:pos="1880"/>
              </w:tabs>
              <w:autoSpaceDE w:val="0"/>
              <w:autoSpaceDN w:val="0"/>
              <w:adjustRightInd w:val="0"/>
              <w:spacing w:before="73"/>
              <w:ind w:left="103" w:right="-20"/>
              <w:jc w:val="left"/>
              <w:rPr>
                <w:rFonts w:ascii="宋体" w:hAnsi="宋体"/>
                <w:snapToGrid w:val="0"/>
                <w:kern w:val="0"/>
                <w:sz w:val="24"/>
              </w:rPr>
            </w:pPr>
            <w:r>
              <w:rPr>
                <w:rFonts w:hint="eastAsia" w:ascii="宋体" w:hAnsi="宋体" w:cs="MingLiU"/>
                <w:snapToGrid w:val="0"/>
                <w:kern w:val="0"/>
                <w:szCs w:val="21"/>
              </w:rPr>
              <w:t>姓名：</w:t>
            </w:r>
            <w:r>
              <w:rPr>
                <w:rFonts w:ascii="宋体" w:hAnsi="宋体" w:cs="MingLiU"/>
                <w:snapToGrid w:val="0"/>
                <w:w w:val="200"/>
                <w:kern w:val="0"/>
                <w:szCs w:val="21"/>
                <w:u w:val="single"/>
              </w:rPr>
              <w:t xml:space="preserve"> </w:t>
            </w:r>
            <w:r>
              <w:rPr>
                <w:rFonts w:ascii="宋体" w:hAnsi="宋体"/>
                <w:snapToGrid w:val="0"/>
                <w:kern w:val="0"/>
                <w:szCs w:val="21"/>
                <w:u w:val="single"/>
              </w:rPr>
              <w:tab/>
            </w:r>
          </w:p>
        </w:tc>
        <w:tc>
          <w:tcPr>
            <w:tcW w:w="1037" w:type="dxa"/>
            <w:tcBorders>
              <w:top w:val="single" w:color="000000" w:sz="6" w:space="0"/>
              <w:left w:val="single" w:color="000000" w:sz="6" w:space="0"/>
              <w:bottom w:val="single" w:color="000000" w:sz="6" w:space="0"/>
              <w:right w:val="single" w:color="000000" w:sz="4" w:space="0"/>
            </w:tcBorders>
          </w:tcPr>
          <w:p>
            <w:pPr>
              <w:autoSpaceDE w:val="0"/>
              <w:autoSpaceDN w:val="0"/>
              <w:adjustRightInd w:val="0"/>
              <w:jc w:val="left"/>
              <w:rPr>
                <w:rFonts w:ascii="宋体" w:hAnsi="宋体"/>
                <w:snapToGrid w:val="0"/>
                <w:kern w:val="0"/>
                <w:sz w:val="24"/>
              </w:rPr>
            </w:pPr>
          </w:p>
        </w:tc>
      </w:tr>
      <w:tr>
        <w:tblPrEx>
          <w:tblCellMar>
            <w:top w:w="0" w:type="dxa"/>
            <w:left w:w="0" w:type="dxa"/>
            <w:bottom w:w="0" w:type="dxa"/>
            <w:right w:w="0" w:type="dxa"/>
          </w:tblCellMar>
        </w:tblPrEx>
        <w:trPr>
          <w:trHeight w:val="472" w:hRule="atLeast"/>
        </w:trPr>
        <w:tc>
          <w:tcPr>
            <w:tcW w:w="941" w:type="dxa"/>
            <w:tcBorders>
              <w:top w:val="single" w:color="000000" w:sz="6" w:space="0"/>
              <w:left w:val="single" w:color="000000" w:sz="4" w:space="0"/>
              <w:bottom w:val="single" w:color="000000" w:sz="6" w:space="0"/>
              <w:right w:val="single" w:color="000000" w:sz="6" w:space="0"/>
            </w:tcBorders>
          </w:tcPr>
          <w:p>
            <w:pPr>
              <w:autoSpaceDE w:val="0"/>
              <w:autoSpaceDN w:val="0"/>
              <w:adjustRightInd w:val="0"/>
              <w:spacing w:line="160" w:lineRule="exact"/>
              <w:jc w:val="left"/>
              <w:rPr>
                <w:rFonts w:ascii="宋体" w:hAnsi="宋体"/>
                <w:snapToGrid w:val="0"/>
                <w:kern w:val="0"/>
                <w:sz w:val="16"/>
                <w:szCs w:val="16"/>
              </w:rPr>
            </w:pPr>
          </w:p>
          <w:p>
            <w:pPr>
              <w:autoSpaceDE w:val="0"/>
              <w:autoSpaceDN w:val="0"/>
              <w:adjustRightInd w:val="0"/>
              <w:ind w:left="266" w:right="246"/>
              <w:jc w:val="center"/>
              <w:rPr>
                <w:rFonts w:ascii="宋体" w:hAnsi="宋体"/>
                <w:snapToGrid w:val="0"/>
                <w:kern w:val="0"/>
                <w:sz w:val="24"/>
              </w:rPr>
            </w:pPr>
            <w:r>
              <w:rPr>
                <w:rFonts w:ascii="宋体" w:hAnsi="宋体"/>
                <w:snapToGrid w:val="0"/>
                <w:kern w:val="0"/>
                <w:szCs w:val="21"/>
              </w:rPr>
              <w:t>2</w:t>
            </w:r>
          </w:p>
        </w:tc>
        <w:tc>
          <w:tcPr>
            <w:tcW w:w="337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before="73"/>
              <w:ind w:right="928"/>
              <w:jc w:val="both"/>
              <w:rPr>
                <w:rFonts w:ascii="宋体" w:hAnsi="宋体"/>
                <w:snapToGrid w:val="0"/>
                <w:kern w:val="0"/>
                <w:sz w:val="24"/>
              </w:rPr>
            </w:pPr>
            <w:r>
              <w:rPr>
                <w:rFonts w:hint="eastAsia" w:ascii="宋体" w:hAnsi="宋体" w:cs="MingLiU"/>
                <w:snapToGrid w:val="0"/>
                <w:kern w:val="0"/>
                <w:szCs w:val="21"/>
                <w:lang w:val="en-US" w:eastAsia="zh-CN"/>
              </w:rPr>
              <w:t xml:space="preserve">       </w:t>
            </w:r>
            <w:r>
              <w:rPr>
                <w:rFonts w:hint="eastAsia" w:ascii="宋体" w:hAnsi="宋体" w:cs="MingLiU"/>
                <w:snapToGrid w:val="0"/>
                <w:kern w:val="0"/>
                <w:szCs w:val="21"/>
              </w:rPr>
              <w:t>服务周期</w:t>
            </w:r>
          </w:p>
        </w:tc>
        <w:tc>
          <w:tcPr>
            <w:tcW w:w="3909" w:type="dxa"/>
            <w:tcBorders>
              <w:top w:val="single" w:color="000000" w:sz="6" w:space="0"/>
              <w:left w:val="single" w:color="000000" w:sz="6" w:space="0"/>
              <w:bottom w:val="single" w:color="000000" w:sz="6" w:space="0"/>
              <w:right w:val="single" w:color="000000" w:sz="6" w:space="0"/>
            </w:tcBorders>
          </w:tcPr>
          <w:p>
            <w:pPr>
              <w:tabs>
                <w:tab w:val="left" w:pos="1560"/>
              </w:tabs>
              <w:autoSpaceDE w:val="0"/>
              <w:autoSpaceDN w:val="0"/>
              <w:adjustRightInd w:val="0"/>
              <w:spacing w:before="73"/>
              <w:ind w:left="103" w:right="-20"/>
              <w:jc w:val="left"/>
              <w:rPr>
                <w:rFonts w:hint="eastAsia" w:ascii="宋体" w:hAnsi="宋体"/>
                <w:snapToGrid w:val="0"/>
                <w:kern w:val="0"/>
                <w:sz w:val="24"/>
              </w:rPr>
            </w:pPr>
            <w:r>
              <w:rPr>
                <w:rFonts w:hint="eastAsia" w:ascii="宋体" w:hAnsi="宋体" w:cs="宋体"/>
                <w:kern w:val="1"/>
                <w:szCs w:val="21"/>
              </w:rPr>
              <w:t>自合同签订之日起至2021年12月31日</w:t>
            </w:r>
          </w:p>
        </w:tc>
        <w:tc>
          <w:tcPr>
            <w:tcW w:w="1037" w:type="dxa"/>
            <w:tcBorders>
              <w:top w:val="single" w:color="000000" w:sz="6" w:space="0"/>
              <w:left w:val="single" w:color="000000" w:sz="6" w:space="0"/>
              <w:bottom w:val="single" w:color="000000" w:sz="6" w:space="0"/>
              <w:right w:val="single" w:color="000000" w:sz="4" w:space="0"/>
            </w:tcBorders>
          </w:tcPr>
          <w:p>
            <w:pPr>
              <w:autoSpaceDE w:val="0"/>
              <w:autoSpaceDN w:val="0"/>
              <w:adjustRightInd w:val="0"/>
              <w:jc w:val="left"/>
              <w:rPr>
                <w:rFonts w:ascii="宋体" w:hAnsi="宋体"/>
                <w:snapToGrid w:val="0"/>
                <w:kern w:val="0"/>
                <w:sz w:val="24"/>
              </w:rPr>
            </w:pPr>
          </w:p>
        </w:tc>
      </w:tr>
      <w:tr>
        <w:tblPrEx>
          <w:tblCellMar>
            <w:top w:w="0" w:type="dxa"/>
            <w:left w:w="0" w:type="dxa"/>
            <w:bottom w:w="0" w:type="dxa"/>
            <w:right w:w="0" w:type="dxa"/>
          </w:tblCellMar>
        </w:tblPrEx>
        <w:trPr>
          <w:trHeight w:val="472" w:hRule="atLeast"/>
        </w:trPr>
        <w:tc>
          <w:tcPr>
            <w:tcW w:w="941" w:type="dxa"/>
            <w:tcBorders>
              <w:top w:val="single" w:color="000000" w:sz="6" w:space="0"/>
              <w:left w:val="single" w:color="000000" w:sz="4" w:space="0"/>
              <w:bottom w:val="single" w:color="000000" w:sz="6" w:space="0"/>
              <w:right w:val="single" w:color="000000" w:sz="6" w:space="0"/>
            </w:tcBorders>
            <w:vAlign w:val="center"/>
          </w:tcPr>
          <w:p>
            <w:pPr>
              <w:tabs>
                <w:tab w:val="left" w:pos="2051"/>
              </w:tabs>
              <w:autoSpaceDE w:val="0"/>
              <w:autoSpaceDN w:val="0"/>
              <w:adjustRightInd w:val="0"/>
              <w:ind w:left="160" w:leftChars="76" w:right="110"/>
              <w:jc w:val="center"/>
              <w:rPr>
                <w:rFonts w:ascii="宋体" w:hAnsi="宋体"/>
                <w:snapToGrid w:val="0"/>
                <w:kern w:val="0"/>
                <w:szCs w:val="21"/>
              </w:rPr>
            </w:pPr>
            <w:r>
              <w:rPr>
                <w:rFonts w:ascii="宋体" w:hAnsi="宋体"/>
                <w:snapToGrid w:val="0"/>
                <w:kern w:val="0"/>
                <w:szCs w:val="21"/>
              </w:rPr>
              <w:t>…</w:t>
            </w:r>
          </w:p>
        </w:tc>
        <w:tc>
          <w:tcPr>
            <w:tcW w:w="3378" w:type="dxa"/>
            <w:tcBorders>
              <w:top w:val="single" w:color="000000" w:sz="6" w:space="0"/>
              <w:left w:val="single" w:color="000000" w:sz="6" w:space="0"/>
              <w:bottom w:val="single" w:color="000000" w:sz="6" w:space="0"/>
              <w:right w:val="single" w:color="000000" w:sz="6" w:space="0"/>
            </w:tcBorders>
            <w:vAlign w:val="center"/>
          </w:tcPr>
          <w:p>
            <w:pPr>
              <w:tabs>
                <w:tab w:val="left" w:pos="2051"/>
              </w:tabs>
              <w:autoSpaceDE w:val="0"/>
              <w:autoSpaceDN w:val="0"/>
              <w:adjustRightInd w:val="0"/>
              <w:ind w:left="160" w:leftChars="76" w:right="110"/>
              <w:jc w:val="center"/>
              <w:rPr>
                <w:rFonts w:ascii="宋体" w:hAnsi="宋体"/>
                <w:snapToGrid w:val="0"/>
                <w:kern w:val="0"/>
                <w:szCs w:val="21"/>
              </w:rPr>
            </w:pPr>
            <w:r>
              <w:rPr>
                <w:rFonts w:ascii="宋体" w:hAnsi="宋体"/>
                <w:snapToGrid w:val="0"/>
                <w:kern w:val="0"/>
                <w:szCs w:val="21"/>
              </w:rPr>
              <w:t>……</w:t>
            </w:r>
          </w:p>
        </w:tc>
        <w:tc>
          <w:tcPr>
            <w:tcW w:w="3909" w:type="dxa"/>
            <w:tcBorders>
              <w:top w:val="single" w:color="000000" w:sz="6" w:space="0"/>
              <w:left w:val="single" w:color="000000" w:sz="6" w:space="0"/>
              <w:bottom w:val="single" w:color="000000" w:sz="6" w:space="0"/>
              <w:right w:val="single" w:color="000000" w:sz="6" w:space="0"/>
            </w:tcBorders>
            <w:vAlign w:val="center"/>
          </w:tcPr>
          <w:p>
            <w:pPr>
              <w:tabs>
                <w:tab w:val="left" w:pos="2051"/>
              </w:tabs>
              <w:autoSpaceDE w:val="0"/>
              <w:autoSpaceDN w:val="0"/>
              <w:adjustRightInd w:val="0"/>
              <w:ind w:left="160" w:leftChars="76" w:right="110"/>
              <w:jc w:val="center"/>
              <w:rPr>
                <w:rFonts w:ascii="宋体" w:hAnsi="宋体"/>
                <w:snapToGrid w:val="0"/>
                <w:kern w:val="0"/>
                <w:szCs w:val="21"/>
              </w:rPr>
            </w:pPr>
            <w:r>
              <w:rPr>
                <w:rFonts w:ascii="宋体" w:hAnsi="宋体"/>
                <w:snapToGrid w:val="0"/>
                <w:kern w:val="0"/>
                <w:szCs w:val="21"/>
              </w:rPr>
              <w:t>……</w:t>
            </w:r>
          </w:p>
        </w:tc>
        <w:tc>
          <w:tcPr>
            <w:tcW w:w="1037" w:type="dxa"/>
            <w:tcBorders>
              <w:top w:val="single" w:color="000000" w:sz="6" w:space="0"/>
              <w:left w:val="single" w:color="000000" w:sz="6" w:space="0"/>
              <w:bottom w:val="single" w:color="000000" w:sz="6" w:space="0"/>
              <w:right w:val="single" w:color="000000" w:sz="4" w:space="0"/>
            </w:tcBorders>
            <w:vAlign w:val="center"/>
          </w:tcPr>
          <w:p>
            <w:pPr>
              <w:autoSpaceDE w:val="0"/>
              <w:autoSpaceDN w:val="0"/>
              <w:adjustRightInd w:val="0"/>
              <w:jc w:val="center"/>
              <w:rPr>
                <w:rFonts w:ascii="宋体" w:hAnsi="宋体"/>
                <w:snapToGrid w:val="0"/>
                <w:kern w:val="0"/>
                <w:sz w:val="24"/>
              </w:rPr>
            </w:pPr>
          </w:p>
        </w:tc>
      </w:tr>
      <w:tr>
        <w:tblPrEx>
          <w:tblCellMar>
            <w:top w:w="0" w:type="dxa"/>
            <w:left w:w="0" w:type="dxa"/>
            <w:bottom w:w="0" w:type="dxa"/>
            <w:right w:w="0" w:type="dxa"/>
          </w:tblCellMar>
        </w:tblPrEx>
        <w:trPr>
          <w:trHeight w:val="472" w:hRule="atLeast"/>
        </w:trPr>
        <w:tc>
          <w:tcPr>
            <w:tcW w:w="941" w:type="dxa"/>
            <w:tcBorders>
              <w:top w:val="single" w:color="000000" w:sz="6" w:space="0"/>
              <w:left w:val="single" w:color="000000" w:sz="4" w:space="0"/>
              <w:bottom w:val="single" w:color="000000" w:sz="6" w:space="0"/>
              <w:right w:val="single" w:color="000000" w:sz="6" w:space="0"/>
            </w:tcBorders>
            <w:vAlign w:val="center"/>
          </w:tcPr>
          <w:p>
            <w:pPr>
              <w:tabs>
                <w:tab w:val="left" w:pos="2051"/>
              </w:tabs>
              <w:autoSpaceDE w:val="0"/>
              <w:autoSpaceDN w:val="0"/>
              <w:adjustRightInd w:val="0"/>
              <w:ind w:left="160" w:leftChars="76" w:right="110"/>
              <w:jc w:val="center"/>
              <w:rPr>
                <w:rFonts w:ascii="宋体" w:hAnsi="宋体"/>
                <w:snapToGrid w:val="0"/>
                <w:kern w:val="0"/>
                <w:szCs w:val="21"/>
              </w:rPr>
            </w:pPr>
            <w:r>
              <w:rPr>
                <w:rFonts w:ascii="宋体" w:hAnsi="宋体"/>
                <w:snapToGrid w:val="0"/>
                <w:kern w:val="0"/>
                <w:szCs w:val="21"/>
              </w:rPr>
              <w:t>…</w:t>
            </w:r>
          </w:p>
        </w:tc>
        <w:tc>
          <w:tcPr>
            <w:tcW w:w="3378" w:type="dxa"/>
            <w:tcBorders>
              <w:top w:val="single" w:color="000000" w:sz="6" w:space="0"/>
              <w:left w:val="single" w:color="000000" w:sz="6" w:space="0"/>
              <w:bottom w:val="single" w:color="000000" w:sz="6" w:space="0"/>
              <w:right w:val="single" w:color="000000" w:sz="6" w:space="0"/>
            </w:tcBorders>
            <w:vAlign w:val="center"/>
          </w:tcPr>
          <w:p>
            <w:pPr>
              <w:tabs>
                <w:tab w:val="left" w:pos="2051"/>
              </w:tabs>
              <w:autoSpaceDE w:val="0"/>
              <w:autoSpaceDN w:val="0"/>
              <w:adjustRightInd w:val="0"/>
              <w:ind w:left="160" w:leftChars="76" w:right="110"/>
              <w:jc w:val="center"/>
              <w:rPr>
                <w:rFonts w:ascii="宋体" w:hAnsi="宋体"/>
                <w:snapToGrid w:val="0"/>
                <w:kern w:val="0"/>
                <w:szCs w:val="21"/>
              </w:rPr>
            </w:pPr>
            <w:r>
              <w:rPr>
                <w:rFonts w:ascii="宋体" w:hAnsi="宋体"/>
                <w:snapToGrid w:val="0"/>
                <w:kern w:val="0"/>
                <w:szCs w:val="21"/>
              </w:rPr>
              <w:t>……</w:t>
            </w:r>
          </w:p>
        </w:tc>
        <w:tc>
          <w:tcPr>
            <w:tcW w:w="3909" w:type="dxa"/>
            <w:tcBorders>
              <w:top w:val="single" w:color="000000" w:sz="6" w:space="0"/>
              <w:left w:val="single" w:color="000000" w:sz="6" w:space="0"/>
              <w:bottom w:val="single" w:color="000000" w:sz="6" w:space="0"/>
              <w:right w:val="single" w:color="000000" w:sz="6" w:space="0"/>
            </w:tcBorders>
            <w:vAlign w:val="center"/>
          </w:tcPr>
          <w:p>
            <w:pPr>
              <w:tabs>
                <w:tab w:val="left" w:pos="2051"/>
              </w:tabs>
              <w:autoSpaceDE w:val="0"/>
              <w:autoSpaceDN w:val="0"/>
              <w:adjustRightInd w:val="0"/>
              <w:ind w:left="160" w:leftChars="76" w:right="110"/>
              <w:jc w:val="center"/>
              <w:rPr>
                <w:rFonts w:ascii="宋体" w:hAnsi="宋体"/>
                <w:snapToGrid w:val="0"/>
                <w:kern w:val="0"/>
                <w:szCs w:val="21"/>
              </w:rPr>
            </w:pPr>
            <w:r>
              <w:rPr>
                <w:rFonts w:ascii="宋体" w:hAnsi="宋体"/>
                <w:snapToGrid w:val="0"/>
                <w:kern w:val="0"/>
                <w:szCs w:val="21"/>
              </w:rPr>
              <w:t>……</w:t>
            </w:r>
          </w:p>
        </w:tc>
        <w:tc>
          <w:tcPr>
            <w:tcW w:w="1037" w:type="dxa"/>
            <w:tcBorders>
              <w:top w:val="single" w:color="000000" w:sz="6" w:space="0"/>
              <w:left w:val="single" w:color="000000" w:sz="6" w:space="0"/>
              <w:bottom w:val="single" w:color="000000" w:sz="6" w:space="0"/>
              <w:right w:val="single" w:color="000000" w:sz="4" w:space="0"/>
            </w:tcBorders>
            <w:vAlign w:val="center"/>
          </w:tcPr>
          <w:p>
            <w:pPr>
              <w:autoSpaceDE w:val="0"/>
              <w:autoSpaceDN w:val="0"/>
              <w:adjustRightInd w:val="0"/>
              <w:jc w:val="center"/>
              <w:rPr>
                <w:rFonts w:ascii="宋体" w:hAnsi="宋体"/>
                <w:snapToGrid w:val="0"/>
                <w:kern w:val="0"/>
                <w:sz w:val="24"/>
              </w:rPr>
            </w:pPr>
          </w:p>
        </w:tc>
      </w:tr>
    </w:tbl>
    <w:p>
      <w:pPr>
        <w:autoSpaceDE w:val="0"/>
        <w:autoSpaceDN w:val="0"/>
        <w:adjustRightInd w:val="0"/>
        <w:spacing w:line="200" w:lineRule="exact"/>
        <w:jc w:val="left"/>
        <w:rPr>
          <w:rFonts w:ascii="宋体" w:hAnsi="宋体"/>
          <w:snapToGrid w:val="0"/>
          <w:kern w:val="0"/>
          <w:sz w:val="20"/>
          <w:szCs w:val="20"/>
        </w:rPr>
      </w:pPr>
    </w:p>
    <w:p>
      <w:pPr>
        <w:autoSpaceDE w:val="0"/>
        <w:autoSpaceDN w:val="0"/>
        <w:adjustRightInd w:val="0"/>
        <w:spacing w:line="200" w:lineRule="exact"/>
        <w:jc w:val="left"/>
        <w:rPr>
          <w:rFonts w:ascii="宋体" w:hAnsi="宋体"/>
          <w:snapToGrid w:val="0"/>
          <w:kern w:val="0"/>
          <w:sz w:val="20"/>
          <w:szCs w:val="20"/>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pStyle w:val="4"/>
        <w:jc w:val="center"/>
        <w:rPr>
          <w:rFonts w:ascii="宋体" w:hAnsi="宋体"/>
          <w:sz w:val="28"/>
        </w:rPr>
      </w:pPr>
      <w:bookmarkStart w:id="54" w:name="_Toc34310532"/>
      <w:bookmarkStart w:id="55" w:name="_Toc224103497"/>
      <w:bookmarkStart w:id="56" w:name="_Toc34309304"/>
      <w:bookmarkStart w:id="57" w:name="_Toc277082645"/>
      <w:bookmarkStart w:id="58" w:name="_Toc287607869"/>
    </w:p>
    <w:p>
      <w:pPr>
        <w:pStyle w:val="4"/>
        <w:jc w:val="center"/>
        <w:rPr>
          <w:rFonts w:hint="eastAsia" w:ascii="宋体" w:hAnsi="宋体"/>
        </w:rPr>
      </w:pPr>
      <w:r>
        <w:rPr>
          <w:rFonts w:hint="eastAsia" w:ascii="宋体" w:hAnsi="宋体"/>
          <w:sz w:val="28"/>
        </w:rPr>
        <w:t>二、法定代表人身份证明及授权委托书</w:t>
      </w:r>
      <w:bookmarkEnd w:id="54"/>
      <w:bookmarkEnd w:id="55"/>
      <w:bookmarkEnd w:id="56"/>
      <w:bookmarkEnd w:id="57"/>
      <w:bookmarkEnd w:id="58"/>
    </w:p>
    <w:p>
      <w:pPr>
        <w:jc w:val="center"/>
        <w:rPr>
          <w:rFonts w:hint="eastAsia" w:ascii="宋体" w:hAnsi="宋体"/>
          <w:b/>
          <w:sz w:val="28"/>
        </w:rPr>
      </w:pPr>
    </w:p>
    <w:p>
      <w:pPr>
        <w:jc w:val="center"/>
        <w:rPr>
          <w:rFonts w:hint="eastAsia" w:ascii="宋体" w:hAnsi="宋体"/>
          <w:b/>
        </w:rPr>
      </w:pPr>
      <w:r>
        <w:rPr>
          <w:rFonts w:hint="eastAsia" w:ascii="宋体" w:hAnsi="宋体"/>
          <w:b/>
          <w:sz w:val="28"/>
        </w:rPr>
        <w:t>（一）法定代表人身份证明</w:t>
      </w:r>
    </w:p>
    <w:p>
      <w:pPr>
        <w:ind w:left="765"/>
        <w:rPr>
          <w:rFonts w:hint="eastAsia" w:ascii="宋体" w:hAnsi="宋体"/>
        </w:rPr>
      </w:pPr>
    </w:p>
    <w:p>
      <w:pPr>
        <w:ind w:left="765"/>
        <w:rPr>
          <w:rFonts w:hint="eastAsia" w:ascii="宋体" w:hAnsi="宋体"/>
        </w:rPr>
      </w:pPr>
    </w:p>
    <w:p>
      <w:pPr>
        <w:ind w:left="765"/>
        <w:rPr>
          <w:rFonts w:hint="eastAsia" w:ascii="宋体" w:hAnsi="宋体"/>
        </w:rPr>
      </w:pPr>
    </w:p>
    <w:p>
      <w:pPr>
        <w:tabs>
          <w:tab w:val="left" w:pos="556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比选申请人名称：</w:t>
      </w:r>
      <w:r>
        <w:rPr>
          <w:rFonts w:ascii="宋体" w:hAnsi="宋体" w:cs="MingLiU"/>
          <w:w w:val="200"/>
          <w:kern w:val="0"/>
          <w:szCs w:val="21"/>
          <w:u w:val="single"/>
        </w:rPr>
        <w:t xml:space="preserve"> </w:t>
      </w:r>
      <w:r>
        <w:rPr>
          <w:rFonts w:ascii="宋体" w:hAnsi="宋体"/>
          <w:kern w:val="0"/>
          <w:szCs w:val="21"/>
          <w:u w:val="single"/>
        </w:rPr>
        <w:tab/>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单位性质：</w:t>
      </w:r>
      <w:r>
        <w:rPr>
          <w:rFonts w:ascii="宋体" w:hAnsi="宋体" w:cs="MingLiU"/>
          <w:w w:val="200"/>
          <w:kern w:val="0"/>
          <w:szCs w:val="21"/>
          <w:u w:val="single"/>
        </w:rPr>
        <w:t xml:space="preserve"> </w:t>
      </w:r>
      <w:r>
        <w:rPr>
          <w:rFonts w:ascii="宋体" w:hAnsi="宋体"/>
          <w:kern w:val="0"/>
          <w:szCs w:val="21"/>
          <w:u w:val="single"/>
        </w:rPr>
        <w:tab/>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地址：</w:t>
      </w:r>
      <w:r>
        <w:rPr>
          <w:rFonts w:ascii="宋体" w:hAnsi="宋体" w:cs="MingLiU"/>
          <w:w w:val="200"/>
          <w:kern w:val="0"/>
          <w:szCs w:val="21"/>
          <w:u w:val="single"/>
        </w:rPr>
        <w:t xml:space="preserve"> </w:t>
      </w:r>
      <w:r>
        <w:rPr>
          <w:rFonts w:ascii="宋体" w:hAnsi="宋体"/>
          <w:kern w:val="0"/>
          <w:szCs w:val="21"/>
          <w:u w:val="single"/>
        </w:rPr>
        <w:tab/>
      </w:r>
    </w:p>
    <w:p>
      <w:pPr>
        <w:tabs>
          <w:tab w:val="left" w:pos="2520"/>
          <w:tab w:val="left" w:pos="3836"/>
        </w:tabs>
        <w:autoSpaceDE w:val="0"/>
        <w:autoSpaceDN w:val="0"/>
        <w:adjustRightInd w:val="0"/>
        <w:snapToGrid w:val="0"/>
        <w:spacing w:line="360" w:lineRule="auto"/>
        <w:ind w:firstLine="390" w:firstLineChars="186"/>
        <w:jc w:val="left"/>
        <w:rPr>
          <w:rFonts w:ascii="宋体" w:hAnsi="宋体" w:cs="MingLiU"/>
          <w:kern w:val="0"/>
          <w:szCs w:val="21"/>
        </w:rPr>
      </w:pPr>
      <w:r>
        <w:rPr>
          <w:rFonts w:hint="eastAsia" w:ascii="宋体" w:hAnsi="宋体" w:cs="MingLiU"/>
          <w:kern w:val="0"/>
          <w:szCs w:val="21"/>
        </w:rPr>
        <w:t>成立时间：</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spacing w:val="-1"/>
          <w:kern w:val="0"/>
          <w:szCs w:val="21"/>
        </w:rPr>
        <w:t>年</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kern w:val="0"/>
          <w:szCs w:val="21"/>
          <w:u w:val="single"/>
        </w:rPr>
        <w:t xml:space="preserve"> </w:t>
      </w:r>
      <w:r>
        <w:rPr>
          <w:rFonts w:ascii="宋体" w:hAnsi="宋体"/>
          <w:kern w:val="0"/>
          <w:szCs w:val="21"/>
        </w:rPr>
        <w:t xml:space="preserve"> </w:t>
      </w:r>
      <w:r>
        <w:rPr>
          <w:rFonts w:hint="eastAsia" w:ascii="宋体" w:hAnsi="宋体" w:cs="MingLiU"/>
          <w:spacing w:val="-1"/>
          <w:kern w:val="0"/>
          <w:szCs w:val="21"/>
        </w:rPr>
        <w:t>月</w:t>
      </w:r>
      <w:r>
        <w:rPr>
          <w:rFonts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日</w:t>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经营期限：</w:t>
      </w:r>
      <w:r>
        <w:rPr>
          <w:rFonts w:ascii="宋体" w:hAnsi="宋体" w:cs="MingLiU"/>
          <w:w w:val="200"/>
          <w:kern w:val="0"/>
          <w:szCs w:val="21"/>
          <w:u w:val="single"/>
        </w:rPr>
        <w:t xml:space="preserve"> </w:t>
      </w:r>
      <w:r>
        <w:rPr>
          <w:rFonts w:ascii="宋体" w:hAnsi="宋体"/>
          <w:kern w:val="0"/>
          <w:szCs w:val="21"/>
          <w:u w:val="single"/>
        </w:rPr>
        <w:tab/>
      </w:r>
    </w:p>
    <w:p>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ascii="宋体" w:hAnsi="宋体" w:cs="MingLiU"/>
          <w:kern w:val="0"/>
          <w:szCs w:val="21"/>
        </w:rPr>
      </w:pPr>
      <w:r>
        <w:rPr>
          <w:rFonts w:hint="eastAsia" w:ascii="宋体" w:hAnsi="宋体" w:cs="MingLiU"/>
          <w:kern w:val="0"/>
          <w:szCs w:val="21"/>
        </w:rPr>
        <w:t>姓名：</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kern w:val="0"/>
          <w:szCs w:val="21"/>
        </w:rPr>
        <w:t>性别</w:t>
      </w:r>
      <w:r>
        <w:rPr>
          <w:rFonts w:hint="eastAsia" w:ascii="宋体" w:hAnsi="宋体" w:cs="MingLiU"/>
          <w:spacing w:val="-1"/>
          <w:kern w:val="0"/>
          <w:szCs w:val="21"/>
        </w:rPr>
        <w:t>：</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spacing w:val="-1"/>
          <w:kern w:val="0"/>
          <w:szCs w:val="21"/>
        </w:rPr>
        <w:t>年</w:t>
      </w:r>
      <w:r>
        <w:rPr>
          <w:rFonts w:hint="eastAsia" w:ascii="宋体" w:hAnsi="宋体" w:cs="MingLiU"/>
          <w:kern w:val="0"/>
          <w:szCs w:val="21"/>
        </w:rPr>
        <w:t>龄：</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职务：</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系</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kern w:val="0"/>
          <w:szCs w:val="21"/>
        </w:rPr>
        <w:t>（比选申请人名称）的法定代表人。</w:t>
      </w:r>
    </w:p>
    <w:p>
      <w:pPr>
        <w:autoSpaceDE w:val="0"/>
        <w:autoSpaceDN w:val="0"/>
        <w:adjustRightInd w:val="0"/>
        <w:snapToGrid w:val="0"/>
        <w:spacing w:line="360" w:lineRule="auto"/>
        <w:ind w:firstLine="186" w:firstLineChars="186"/>
        <w:jc w:val="left"/>
        <w:rPr>
          <w:rFonts w:ascii="宋体" w:hAnsi="宋体" w:cs="MingLiU"/>
          <w:kern w:val="0"/>
          <w:sz w:val="10"/>
          <w:szCs w:val="10"/>
        </w:rPr>
      </w:pPr>
    </w:p>
    <w:p>
      <w:pPr>
        <w:autoSpaceDE w:val="0"/>
        <w:autoSpaceDN w:val="0"/>
        <w:adjustRightInd w:val="0"/>
        <w:snapToGrid w:val="0"/>
        <w:spacing w:line="360" w:lineRule="auto"/>
        <w:ind w:firstLine="810" w:firstLineChars="386"/>
        <w:jc w:val="left"/>
        <w:rPr>
          <w:rFonts w:ascii="宋体" w:hAnsi="宋体" w:cs="MingLiU"/>
          <w:kern w:val="0"/>
          <w:szCs w:val="21"/>
        </w:rPr>
      </w:pPr>
      <w:r>
        <w:rPr>
          <w:rFonts w:hint="eastAsia" w:ascii="宋体" w:hAnsi="宋体" w:cs="MingLiU"/>
          <w:kern w:val="0"/>
          <w:szCs w:val="21"/>
        </w:rPr>
        <w:t>特此证明。</w:t>
      </w:r>
    </w:p>
    <w:p>
      <w:pPr>
        <w:autoSpaceDE w:val="0"/>
        <w:autoSpaceDN w:val="0"/>
        <w:adjustRightInd w:val="0"/>
        <w:snapToGrid w:val="0"/>
        <w:spacing w:line="360" w:lineRule="auto"/>
        <w:jc w:val="left"/>
        <w:rPr>
          <w:rFonts w:ascii="宋体" w:hAnsi="宋体" w:cs="MingLiU"/>
          <w:kern w:val="0"/>
          <w:sz w:val="18"/>
          <w:szCs w:val="18"/>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tabs>
          <w:tab w:val="left" w:pos="5460"/>
        </w:tabs>
        <w:autoSpaceDE w:val="0"/>
        <w:autoSpaceDN w:val="0"/>
        <w:adjustRightInd w:val="0"/>
        <w:snapToGrid w:val="0"/>
        <w:spacing w:line="360" w:lineRule="auto"/>
        <w:ind w:firstLine="2100"/>
        <w:jc w:val="left"/>
        <w:rPr>
          <w:rFonts w:ascii="宋体" w:hAnsi="宋体" w:cs="MingLiU"/>
          <w:kern w:val="0"/>
          <w:szCs w:val="21"/>
        </w:rPr>
      </w:pPr>
      <w:r>
        <w:rPr>
          <w:rFonts w:hint="eastAsia" w:ascii="宋体" w:hAnsi="宋体" w:cs="MingLiU"/>
          <w:kern w:val="0"/>
          <w:szCs w:val="21"/>
        </w:rPr>
        <w:t>比选申请人：</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spacing w:val="-1"/>
          <w:kern w:val="0"/>
          <w:szCs w:val="21"/>
        </w:rPr>
        <w:t>（</w:t>
      </w:r>
      <w:r>
        <w:rPr>
          <w:rFonts w:hint="eastAsia" w:ascii="宋体" w:hAnsi="宋体" w:cs="MingLiU"/>
          <w:kern w:val="0"/>
          <w:szCs w:val="21"/>
        </w:rPr>
        <w:t>盖单位章）</w:t>
      </w:r>
    </w:p>
    <w:p>
      <w:pPr>
        <w:autoSpaceDE w:val="0"/>
        <w:autoSpaceDN w:val="0"/>
        <w:adjustRightInd w:val="0"/>
        <w:snapToGrid w:val="0"/>
        <w:spacing w:line="360" w:lineRule="auto"/>
        <w:jc w:val="left"/>
        <w:rPr>
          <w:rFonts w:ascii="宋体" w:hAnsi="宋体" w:cs="MingLiU"/>
          <w:kern w:val="0"/>
          <w:sz w:val="20"/>
          <w:szCs w:val="20"/>
        </w:rPr>
      </w:pPr>
    </w:p>
    <w:p>
      <w:pPr>
        <w:tabs>
          <w:tab w:val="left" w:pos="4935"/>
          <w:tab w:val="left" w:pos="5460"/>
          <w:tab w:val="left" w:pos="6400"/>
        </w:tabs>
        <w:autoSpaceDE w:val="0"/>
        <w:autoSpaceDN w:val="0"/>
        <w:adjustRightInd w:val="0"/>
        <w:snapToGrid w:val="0"/>
        <w:spacing w:line="360" w:lineRule="auto"/>
        <w:ind w:firstLine="3780"/>
        <w:jc w:val="left"/>
        <w:rPr>
          <w:rFonts w:ascii="宋体" w:hAnsi="宋体" w:cs="MingLiU"/>
          <w:kern w:val="0"/>
          <w:szCs w:val="21"/>
        </w:rPr>
      </w:pP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spacing w:val="-1"/>
          <w:kern w:val="0"/>
          <w:szCs w:val="21"/>
        </w:rPr>
        <w:t>年</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cs="MingLiU"/>
          <w:kern w:val="0"/>
          <w:szCs w:val="21"/>
        </w:rPr>
        <w:t>月</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cs="MingLiU"/>
          <w:kern w:val="0"/>
          <w:szCs w:val="21"/>
        </w:rPr>
        <w:t>日</w:t>
      </w: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sectPr>
          <w:pgSz w:w="11906" w:h="16838"/>
          <w:pgMar w:top="1418" w:right="1361" w:bottom="1418" w:left="1418" w:header="851" w:footer="851" w:gutter="0"/>
          <w:cols w:space="720" w:num="1"/>
          <w:docGrid w:type="lines" w:linePitch="312" w:charSpace="0"/>
        </w:sect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r>
        <w:rPr>
          <w:rFonts w:hint="eastAsia" w:ascii="宋体" w:hAnsi="宋体" w:cs="MingLiU"/>
          <w:b/>
          <w:kern w:val="0"/>
          <w:sz w:val="28"/>
          <w:szCs w:val="28"/>
        </w:rPr>
        <w:t>（二）授权委托书</w:t>
      </w:r>
    </w:p>
    <w:p>
      <w:pPr>
        <w:autoSpaceDE w:val="0"/>
        <w:autoSpaceDN w:val="0"/>
        <w:adjustRightInd w:val="0"/>
        <w:snapToGrid w:val="0"/>
        <w:spacing w:line="360" w:lineRule="auto"/>
        <w:jc w:val="left"/>
        <w:rPr>
          <w:rFonts w:ascii="宋体" w:hAnsi="宋体" w:cs="MingLiU"/>
          <w:kern w:val="0"/>
          <w:sz w:val="20"/>
          <w:szCs w:val="20"/>
        </w:rPr>
      </w:pPr>
    </w:p>
    <w:p>
      <w:pPr>
        <w:tabs>
          <w:tab w:val="left" w:pos="4215"/>
          <w:tab w:val="left" w:pos="4305"/>
          <w:tab w:val="left" w:pos="800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本人</w:t>
      </w:r>
      <w:r>
        <w:rPr>
          <w:rFonts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（姓名）系</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比选申请人</w:t>
      </w:r>
      <w:r>
        <w:rPr>
          <w:rFonts w:hint="eastAsia" w:ascii="宋体" w:hAnsi="宋体" w:cs="MingLiU"/>
          <w:kern w:val="0"/>
          <w:szCs w:val="21"/>
        </w:rPr>
        <w:t>名称</w:t>
      </w:r>
      <w:r>
        <w:rPr>
          <w:rFonts w:hint="eastAsia" w:ascii="宋体" w:hAnsi="宋体" w:cs="MingLiU"/>
          <w:spacing w:val="1"/>
          <w:kern w:val="0"/>
          <w:szCs w:val="21"/>
        </w:rPr>
        <w:t>）</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cs="MingLiU"/>
          <w:kern w:val="0"/>
          <w:szCs w:val="21"/>
          <w:u w:val="single"/>
        </w:rPr>
        <w:t xml:space="preserve">     </w:t>
      </w:r>
      <w:r>
        <w:rPr>
          <w:rFonts w:hint="eastAsia" w:ascii="宋体" w:hAnsi="宋体" w:cs="MingLiU"/>
          <w:kern w:val="0"/>
          <w:szCs w:val="21"/>
        </w:rPr>
        <w:t>（姓</w:t>
      </w:r>
      <w:r>
        <w:rPr>
          <w:rFonts w:ascii="宋体" w:hAnsi="宋体"/>
          <w:kern w:val="0"/>
          <w:szCs w:val="21"/>
        </w:rPr>
        <w:t xml:space="preserve"> </w:t>
      </w:r>
      <w:r>
        <w:rPr>
          <w:rFonts w:hint="eastAsia" w:ascii="宋体" w:hAnsi="宋体" w:cs="MingLiU"/>
          <w:kern w:val="0"/>
          <w:szCs w:val="21"/>
        </w:rPr>
        <w:t>名）为我方代理人。代理人根据授权，以我方名义签署、澄清、说明、补正、递交、撤回、</w:t>
      </w:r>
      <w:r>
        <w:rPr>
          <w:rFonts w:ascii="宋体" w:hAnsi="宋体"/>
          <w:kern w:val="0"/>
          <w:szCs w:val="21"/>
        </w:rPr>
        <w:t xml:space="preserve"> </w:t>
      </w:r>
      <w:r>
        <w:rPr>
          <w:rFonts w:hint="eastAsia" w:ascii="宋体" w:hAnsi="宋体" w:cs="MingLiU"/>
          <w:kern w:val="0"/>
          <w:szCs w:val="21"/>
        </w:rPr>
        <w:t>修改</w:t>
      </w:r>
      <w:r>
        <w:rPr>
          <w:rFonts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（项</w:t>
      </w:r>
      <w:r>
        <w:rPr>
          <w:rFonts w:hint="eastAsia" w:ascii="宋体" w:hAnsi="宋体" w:cs="MingLiU"/>
          <w:spacing w:val="-1"/>
          <w:kern w:val="0"/>
          <w:szCs w:val="21"/>
        </w:rPr>
        <w:t>目</w:t>
      </w:r>
      <w:r>
        <w:rPr>
          <w:rFonts w:hint="eastAsia" w:ascii="宋体" w:hAnsi="宋体" w:cs="MingLiU"/>
          <w:kern w:val="0"/>
          <w:szCs w:val="21"/>
        </w:rPr>
        <w:t>名称）比选申请文件、签订合同和处理有关事宜，</w:t>
      </w:r>
      <w:r>
        <w:rPr>
          <w:rFonts w:ascii="宋体" w:hAnsi="宋体"/>
          <w:kern w:val="0"/>
          <w:szCs w:val="21"/>
        </w:rPr>
        <w:t xml:space="preserve"> </w:t>
      </w:r>
      <w:r>
        <w:rPr>
          <w:rFonts w:hint="eastAsia" w:ascii="宋体" w:hAnsi="宋体" w:cs="MingLiU"/>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w:t>
      </w:r>
      <w:r>
        <w:rPr>
          <w:rFonts w:ascii="宋体" w:hAnsi="宋体"/>
          <w:kern w:val="0"/>
          <w:szCs w:val="21"/>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附：法定代表人身份证明。</w:t>
      </w:r>
    </w:p>
    <w:p>
      <w:pPr>
        <w:autoSpaceDE w:val="0"/>
        <w:autoSpaceDN w:val="0"/>
        <w:adjustRightInd w:val="0"/>
        <w:snapToGrid w:val="0"/>
        <w:spacing w:line="360" w:lineRule="auto"/>
        <w:jc w:val="left"/>
        <w:rPr>
          <w:rFonts w:ascii="宋体" w:hAnsi="宋体" w:cs="MingLiU"/>
          <w:kern w:val="0"/>
          <w:sz w:val="12"/>
          <w:szCs w:val="12"/>
        </w:rPr>
      </w:pPr>
    </w:p>
    <w:p>
      <w:pPr>
        <w:autoSpaceDE w:val="0"/>
        <w:autoSpaceDN w:val="0"/>
        <w:adjustRightInd w:val="0"/>
        <w:snapToGrid w:val="0"/>
        <w:spacing w:line="360" w:lineRule="auto"/>
        <w:jc w:val="left"/>
        <w:rPr>
          <w:rFonts w:ascii="宋体" w:hAnsi="宋体" w:cs="MingLiU"/>
          <w:kern w:val="0"/>
          <w:sz w:val="20"/>
          <w:szCs w:val="20"/>
        </w:rPr>
      </w:pPr>
    </w:p>
    <w:p>
      <w:pPr>
        <w:tabs>
          <w:tab w:val="left" w:pos="4200"/>
          <w:tab w:val="left" w:pos="4620"/>
        </w:tabs>
        <w:autoSpaceDE w:val="0"/>
        <w:autoSpaceDN w:val="0"/>
        <w:adjustRightInd w:val="0"/>
        <w:snapToGrid w:val="0"/>
        <w:spacing w:line="360" w:lineRule="auto"/>
        <w:ind w:firstLine="1694"/>
        <w:jc w:val="left"/>
        <w:rPr>
          <w:rFonts w:hint="eastAsia" w:ascii="宋体" w:hAnsi="宋体"/>
          <w:kern w:val="0"/>
          <w:szCs w:val="21"/>
        </w:rPr>
      </w:pPr>
      <w:r>
        <w:rPr>
          <w:rFonts w:hint="eastAsia" w:ascii="宋体" w:hAnsi="宋体" w:cs="MingLiU"/>
          <w:kern w:val="0"/>
          <w:szCs w:val="21"/>
        </w:rPr>
        <w:t>比选申请人：</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单位章）</w:t>
      </w:r>
      <w:r>
        <w:rPr>
          <w:rFonts w:ascii="宋体" w:hAnsi="宋体"/>
          <w:kern w:val="0"/>
          <w:szCs w:val="21"/>
        </w:rPr>
        <w:t xml:space="preserve"> </w:t>
      </w:r>
    </w:p>
    <w:p>
      <w:pPr>
        <w:tabs>
          <w:tab w:val="left" w:pos="630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法定代表人：</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（签字）</w:t>
      </w:r>
    </w:p>
    <w:p>
      <w:pPr>
        <w:tabs>
          <w:tab w:val="left" w:pos="6730"/>
        </w:tabs>
        <w:autoSpaceDE w:val="0"/>
        <w:autoSpaceDN w:val="0"/>
        <w:adjustRightInd w:val="0"/>
        <w:snapToGrid w:val="0"/>
        <w:spacing w:line="360" w:lineRule="auto"/>
        <w:ind w:firstLine="1680"/>
        <w:jc w:val="left"/>
        <w:rPr>
          <w:rFonts w:hint="eastAsia" w:ascii="宋体" w:hAnsi="宋体"/>
          <w:kern w:val="0"/>
          <w:szCs w:val="21"/>
          <w:u w:val="single"/>
        </w:rPr>
      </w:pPr>
      <w:r>
        <w:rPr>
          <w:rFonts w:hint="eastAsia" w:ascii="宋体" w:hAnsi="宋体" w:cs="MingLiU"/>
          <w:kern w:val="0"/>
          <w:szCs w:val="21"/>
        </w:rPr>
        <w:t>身份证号码：</w:t>
      </w:r>
      <w:r>
        <w:rPr>
          <w:rFonts w:ascii="宋体" w:hAnsi="宋体"/>
          <w:kern w:val="0"/>
          <w:szCs w:val="21"/>
          <w:u w:val="single"/>
        </w:rPr>
        <w:tab/>
      </w:r>
    </w:p>
    <w:p>
      <w:pPr>
        <w:tabs>
          <w:tab w:val="left" w:pos="526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委托代理人：</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（签</w:t>
      </w:r>
      <w:r>
        <w:rPr>
          <w:rFonts w:hint="eastAsia" w:ascii="宋体" w:hAnsi="宋体" w:cs="MingLiU"/>
          <w:spacing w:val="-1"/>
          <w:kern w:val="0"/>
          <w:szCs w:val="21"/>
        </w:rPr>
        <w:t>字</w:t>
      </w:r>
      <w:r>
        <w:rPr>
          <w:rFonts w:hint="eastAsia" w:ascii="宋体" w:hAnsi="宋体" w:cs="MingLiU"/>
          <w:kern w:val="0"/>
          <w:szCs w:val="21"/>
        </w:rPr>
        <w:t>）</w:t>
      </w:r>
    </w:p>
    <w:p>
      <w:pPr>
        <w:tabs>
          <w:tab w:val="left" w:pos="6825"/>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身份证号码：</w:t>
      </w:r>
      <w:r>
        <w:rPr>
          <w:rFonts w:ascii="宋体" w:hAnsi="宋体"/>
          <w:kern w:val="0"/>
          <w:szCs w:val="21"/>
          <w:u w:val="single"/>
        </w:rPr>
        <w:tab/>
      </w: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MingLiU"/>
          <w:kern w:val="0"/>
          <w:szCs w:val="21"/>
        </w:rPr>
      </w:pPr>
      <w:r>
        <w:rPr>
          <w:rFonts w:hint="eastAsia"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年</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月</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日</w:t>
      </w: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r>
        <w:rPr>
          <w:rFonts w:hint="eastAsia" w:ascii="宋体" w:hAnsi="宋体"/>
          <w:kern w:val="0"/>
          <w:lang w:val="en-US" w:eastAsia="zh-CN"/>
        </w:rPr>
        <w:pict>
          <v:line id="Line 6" o:spid="_x0000_s1026" o:spt="20" style="position:absolute;left:0pt;margin-left:-5.25pt;margin-top:18.6pt;height:0pt;width:225.75pt;z-index:251659264;mso-width-relative:page;mso-height-relative:page;" coordsize="21600,21600">
            <v:path arrowok="t"/>
            <v:fill focussize="0,0"/>
            <v:stroke weight="0.25pt"/>
            <v:imagedata o:title=""/>
            <o:lock v:ext="edit"/>
          </v:line>
        </w:pict>
      </w:r>
    </w:p>
    <w:p>
      <w:pPr>
        <w:tabs>
          <w:tab w:val="left" w:pos="5760"/>
        </w:tabs>
        <w:autoSpaceDE w:val="0"/>
        <w:autoSpaceDN w:val="0"/>
        <w:adjustRightInd w:val="0"/>
        <w:spacing w:line="300" w:lineRule="exact"/>
        <w:ind w:left="735" w:right="11" w:hanging="735" w:hangingChars="350"/>
        <w:rPr>
          <w:rFonts w:hint="eastAsia" w:ascii="宋体" w:hAnsi="宋体" w:cs="MingLiU"/>
          <w:kern w:val="0"/>
          <w:szCs w:val="21"/>
        </w:rPr>
      </w:pPr>
      <w:r>
        <w:rPr>
          <w:rFonts w:hint="eastAsia" w:ascii="宋体" w:hAnsi="宋体" w:cs="MingLiU"/>
          <w:kern w:val="0"/>
          <w:szCs w:val="21"/>
        </w:rPr>
        <w:t>注：法定代表人参加投标活动并签署文件的不需要授权委托书，只需提供法定代表人身份证明；非法定代表人参加投标活动及签署文件的除提供法定代表人身份证明外还须提供授权委托书。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00" w:lineRule="exact"/>
        <w:ind w:left="718" w:leftChars="199" w:right="11" w:hanging="300" w:hangingChars="150"/>
        <w:rPr>
          <w:rFonts w:hint="eastAsia" w:ascii="宋体" w:hAnsi="宋体" w:cs="MingLiU"/>
          <w:snapToGrid w:val="0"/>
          <w:kern w:val="0"/>
          <w:sz w:val="20"/>
          <w:szCs w:val="20"/>
        </w:rPr>
      </w:pPr>
    </w:p>
    <w:p>
      <w:pPr>
        <w:tabs>
          <w:tab w:val="left" w:pos="5760"/>
        </w:tabs>
        <w:autoSpaceDE w:val="0"/>
        <w:autoSpaceDN w:val="0"/>
        <w:adjustRightInd w:val="0"/>
        <w:spacing w:line="300" w:lineRule="exact"/>
        <w:ind w:left="718" w:leftChars="199" w:right="11" w:hanging="300" w:hangingChars="150"/>
        <w:rPr>
          <w:rFonts w:hint="eastAsia" w:ascii="宋体" w:hAnsi="宋体" w:cs="MingLiU"/>
          <w:snapToGrid w:val="0"/>
          <w:kern w:val="0"/>
          <w:sz w:val="20"/>
          <w:szCs w:val="20"/>
        </w:rPr>
      </w:pPr>
    </w:p>
    <w:p>
      <w:pPr>
        <w:pStyle w:val="3"/>
        <w:jc w:val="center"/>
        <w:rPr>
          <w:rFonts w:ascii="宋体" w:hAnsi="宋体"/>
          <w:bCs w:val="0"/>
        </w:rPr>
        <w:sectPr>
          <w:pgSz w:w="11906" w:h="16838"/>
          <w:pgMar w:top="1418" w:right="1361" w:bottom="1418" w:left="1418" w:header="851" w:footer="851" w:gutter="0"/>
          <w:cols w:space="720" w:num="1"/>
          <w:docGrid w:type="lines" w:linePitch="312" w:charSpace="0"/>
        </w:sectPr>
      </w:pPr>
    </w:p>
    <w:p>
      <w:pPr>
        <w:pStyle w:val="4"/>
        <w:jc w:val="center"/>
        <w:rPr>
          <w:rFonts w:hint="eastAsia" w:ascii="宋体" w:hAnsi="宋体"/>
          <w:sz w:val="28"/>
        </w:rPr>
      </w:pPr>
      <w:bookmarkStart w:id="59" w:name="_Toc34310533"/>
      <w:bookmarkStart w:id="60" w:name="_Toc34309305"/>
      <w:r>
        <w:rPr>
          <w:rFonts w:hint="eastAsia" w:ascii="宋体" w:hAnsi="宋体"/>
          <w:sz w:val="28"/>
        </w:rPr>
        <w:t>三、比选申请人基本情况表</w:t>
      </w:r>
      <w:bookmarkEnd w:id="59"/>
      <w:bookmarkEnd w:id="60"/>
    </w:p>
    <w:tbl>
      <w:tblPr>
        <w:tblStyle w:val="15"/>
        <w:tblW w:w="8568" w:type="dxa"/>
        <w:jc w:val="center"/>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789"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bookmarkStart w:id="61" w:name="_Toc224103513"/>
            <w:bookmarkStart w:id="62" w:name="_Toc287607885"/>
            <w:r>
              <w:rPr>
                <w:rFonts w:hint="eastAsia" w:ascii="宋体" w:hAnsi="宋体" w:cs="MingLiU"/>
                <w:kern w:val="0"/>
                <w:szCs w:val="21"/>
              </w:rPr>
              <w:t>比选申请人名称</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771"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注册地址</w:t>
            </w:r>
          </w:p>
        </w:tc>
        <w:tc>
          <w:tcPr>
            <w:tcW w:w="3205"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邮政编码</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625" w:hRule="exact"/>
          <w:jc w:val="center"/>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联系人</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电</w:t>
            </w:r>
            <w:r>
              <w:rPr>
                <w:rFonts w:ascii="宋体" w:hAnsi="宋体"/>
                <w:kern w:val="0"/>
                <w:szCs w:val="21"/>
              </w:rPr>
              <w:t xml:space="preserve"> </w:t>
            </w:r>
            <w:r>
              <w:rPr>
                <w:rFonts w:ascii="宋体" w:hAnsi="宋体"/>
                <w:spacing w:val="1"/>
                <w:kern w:val="0"/>
                <w:szCs w:val="21"/>
              </w:rPr>
              <w:t xml:space="preserve"> </w:t>
            </w:r>
            <w:r>
              <w:rPr>
                <w:rFonts w:hint="eastAsia" w:ascii="宋体" w:hAnsi="宋体" w:cs="MingLiU"/>
                <w:kern w:val="0"/>
                <w:szCs w:val="21"/>
              </w:rPr>
              <w:t>话</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618" w:hRule="exact"/>
          <w:jc w:val="center"/>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pPr>
              <w:tabs>
                <w:tab w:val="left" w:pos="540"/>
              </w:tabs>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传</w:t>
            </w:r>
            <w:r>
              <w:rPr>
                <w:rFonts w:ascii="宋体" w:hAnsi="宋体"/>
                <w:kern w:val="0"/>
                <w:szCs w:val="21"/>
              </w:rPr>
              <w:tab/>
            </w:r>
            <w:r>
              <w:rPr>
                <w:rFonts w:hint="eastAsia" w:ascii="宋体" w:hAnsi="宋体" w:cs="MingLiU"/>
                <w:kern w:val="0"/>
                <w:szCs w:val="21"/>
              </w:rPr>
              <w:t>真</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网</w:t>
            </w:r>
            <w:r>
              <w:rPr>
                <w:rFonts w:ascii="宋体" w:hAnsi="宋体"/>
                <w:kern w:val="0"/>
                <w:szCs w:val="21"/>
              </w:rPr>
              <w:t xml:space="preserve"> </w:t>
            </w:r>
            <w:r>
              <w:rPr>
                <w:rFonts w:ascii="宋体" w:hAnsi="宋体"/>
                <w:spacing w:val="1"/>
                <w:kern w:val="0"/>
                <w:szCs w:val="21"/>
              </w:rPr>
              <w:t xml:space="preserve"> </w:t>
            </w:r>
            <w:r>
              <w:rPr>
                <w:rFonts w:hint="eastAsia" w:ascii="宋体" w:hAnsi="宋体" w:cs="MingLiU"/>
                <w:kern w:val="0"/>
                <w:szCs w:val="21"/>
              </w:rPr>
              <w:t>址</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471"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组织结构</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633"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782"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608"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成立时间</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4991"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员工总人数：</w:t>
            </w:r>
          </w:p>
        </w:tc>
      </w:tr>
      <w:tr>
        <w:tblPrEx>
          <w:tblCellMar>
            <w:top w:w="0" w:type="dxa"/>
            <w:left w:w="0" w:type="dxa"/>
            <w:bottom w:w="0" w:type="dxa"/>
            <w:right w:w="0" w:type="dxa"/>
          </w:tblCellMar>
        </w:tblPrEx>
        <w:trPr>
          <w:trHeight w:val="772"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kern w:val="0"/>
                <w:szCs w:val="21"/>
              </w:rPr>
            </w:pPr>
            <w:r>
              <w:rPr>
                <w:rFonts w:hint="eastAsia" w:ascii="宋体" w:hAnsi="宋体" w:cs="MingLiU"/>
                <w:kern w:val="0"/>
                <w:szCs w:val="21"/>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其中</w:t>
            </w: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项目经理</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768"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营业执照号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792"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注册资金</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774"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开户银行</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615"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kern w:val="0"/>
                <w:szCs w:val="21"/>
              </w:rPr>
            </w:pPr>
            <w:r>
              <w:rPr>
                <w:rFonts w:hint="eastAsia" w:ascii="宋体" w:hAnsi="宋体"/>
                <w:kern w:val="0"/>
                <w:szCs w:val="21"/>
              </w:rPr>
              <w:t>账号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tabs>
                <w:tab w:val="left" w:pos="1240"/>
              </w:tabs>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技</w:t>
            </w:r>
            <w:r>
              <w:rPr>
                <w:rFonts w:ascii="宋体" w:hAnsi="宋体"/>
                <w:kern w:val="0"/>
                <w:szCs w:val="21"/>
              </w:rPr>
              <w:tab/>
            </w:r>
            <w:r>
              <w:rPr>
                <w:rFonts w:hint="eastAsia" w:ascii="宋体" w:hAnsi="宋体" w:cs="MingLiU"/>
                <w:kern w:val="0"/>
                <w:szCs w:val="21"/>
              </w:rPr>
              <w:t>工</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1559"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kern w:val="0"/>
                <w:szCs w:val="21"/>
              </w:rPr>
            </w:pPr>
          </w:p>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经营范围</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750"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备注</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bookmarkEnd w:id="61"/>
      <w:bookmarkEnd w:id="62"/>
    </w:tbl>
    <w:p>
      <w:pPr>
        <w:ind w:firstLine="420" w:firstLineChars="200"/>
        <w:rPr>
          <w:rFonts w:hint="eastAsia" w:ascii="宋体" w:hAnsi="宋体"/>
          <w:kern w:val="0"/>
        </w:rPr>
      </w:pPr>
      <w:r>
        <w:rPr>
          <w:rFonts w:hint="eastAsia" w:ascii="宋体" w:hAnsi="宋体"/>
          <w:kern w:val="0"/>
        </w:rPr>
        <w:t>注：附有效的营业执照、资质证书、安全生产许可证的复印件或扫描件。</w:t>
      </w:r>
    </w:p>
    <w:p>
      <w:pPr>
        <w:ind w:firstLine="420" w:firstLineChars="200"/>
        <w:rPr>
          <w:rFonts w:hint="eastAsia" w:ascii="宋体" w:hAnsi="宋体"/>
          <w:kern w:val="0"/>
        </w:rPr>
      </w:pPr>
    </w:p>
    <w:p>
      <w:pPr>
        <w:ind w:firstLine="420" w:firstLineChars="200"/>
        <w:rPr>
          <w:rFonts w:hint="eastAsia" w:ascii="宋体" w:hAnsi="宋体"/>
          <w:kern w:val="0"/>
        </w:rPr>
      </w:pPr>
    </w:p>
    <w:p>
      <w:pPr>
        <w:ind w:firstLine="420" w:firstLineChars="200"/>
        <w:rPr>
          <w:rFonts w:hint="eastAsia" w:ascii="宋体" w:hAnsi="宋体"/>
          <w:kern w:val="0"/>
        </w:rPr>
      </w:pPr>
    </w:p>
    <w:p>
      <w:pPr>
        <w:ind w:firstLine="420" w:firstLineChars="200"/>
        <w:rPr>
          <w:rFonts w:hint="eastAsia" w:ascii="宋体" w:hAnsi="宋体"/>
          <w:kern w:val="0"/>
        </w:rPr>
      </w:pPr>
    </w:p>
    <w:p>
      <w:pPr>
        <w:jc w:val="center"/>
        <w:rPr>
          <w:rFonts w:ascii="宋体" w:hAnsi="宋体"/>
          <w:b/>
          <w:sz w:val="28"/>
          <w:szCs w:val="28"/>
        </w:rPr>
        <w:sectPr>
          <w:pgSz w:w="11906" w:h="16838"/>
          <w:pgMar w:top="1418" w:right="1361" w:bottom="1418" w:left="1418" w:header="851" w:footer="851" w:gutter="0"/>
          <w:cols w:space="720" w:num="1"/>
          <w:docGrid w:type="lines" w:linePitch="312" w:charSpace="0"/>
        </w:sectPr>
      </w:pPr>
      <w:bookmarkStart w:id="63" w:name="_Toc277082659"/>
      <w:bookmarkStart w:id="64" w:name="_Toc287607887"/>
    </w:p>
    <w:p>
      <w:pPr>
        <w:pStyle w:val="4"/>
        <w:jc w:val="center"/>
        <w:rPr>
          <w:rFonts w:hint="eastAsia" w:ascii="宋体" w:hAnsi="宋体"/>
          <w:sz w:val="28"/>
        </w:rPr>
      </w:pPr>
      <w:bookmarkStart w:id="65" w:name="_Toc34309306"/>
      <w:bookmarkStart w:id="66" w:name="_Toc34310534"/>
      <w:r>
        <w:rPr>
          <w:rFonts w:hint="eastAsia" w:ascii="宋体" w:hAnsi="宋体"/>
          <w:sz w:val="28"/>
        </w:rPr>
        <w:t>四、比选申请人信誉承诺书</w:t>
      </w:r>
      <w:bookmarkEnd w:id="65"/>
      <w:bookmarkEnd w:id="66"/>
    </w:p>
    <w:p>
      <w:pPr>
        <w:spacing w:line="440" w:lineRule="exact"/>
        <w:rPr>
          <w:rFonts w:hint="eastAsia"/>
          <w:szCs w:val="21"/>
        </w:rPr>
      </w:pPr>
      <w:r>
        <w:rPr>
          <w:rFonts w:hint="eastAsia"/>
          <w:szCs w:val="21"/>
        </w:rPr>
        <w:t>致：重庆高速中油富渝能源发展有限公司</w:t>
      </w:r>
    </w:p>
    <w:p>
      <w:pPr>
        <w:spacing w:line="440" w:lineRule="exact"/>
        <w:ind w:firstLine="420" w:firstLineChars="200"/>
        <w:rPr>
          <w:rFonts w:hint="eastAsia"/>
          <w:szCs w:val="21"/>
        </w:rPr>
      </w:pPr>
      <w:r>
        <w:rPr>
          <w:rFonts w:hint="eastAsia"/>
          <w:szCs w:val="21"/>
        </w:rPr>
        <w:t xml:space="preserve">我单位参加 </w:t>
      </w:r>
      <w:r>
        <w:rPr>
          <w:rFonts w:hint="eastAsia"/>
          <w:szCs w:val="21"/>
          <w:u w:val="single"/>
        </w:rPr>
        <w:t xml:space="preserve">             （项目名称）</w:t>
      </w:r>
      <w:r>
        <w:rPr>
          <w:rFonts w:hint="eastAsia"/>
          <w:szCs w:val="21"/>
        </w:rPr>
        <w:t>的比选，对以下内容作出真实性承诺：</w:t>
      </w:r>
    </w:p>
    <w:p>
      <w:pPr>
        <w:spacing w:line="440" w:lineRule="exact"/>
        <w:ind w:firstLine="420" w:firstLineChars="200"/>
        <w:rPr>
          <w:rFonts w:hint="eastAsia"/>
          <w:szCs w:val="21"/>
        </w:rPr>
      </w:pPr>
      <w:r>
        <w:rPr>
          <w:rFonts w:hint="eastAsia"/>
          <w:szCs w:val="21"/>
        </w:rPr>
        <w:t>（1）最近三年没有出现违法违规或失信行为；</w:t>
      </w:r>
    </w:p>
    <w:p>
      <w:pPr>
        <w:spacing w:line="440" w:lineRule="exact"/>
        <w:ind w:firstLine="420" w:firstLineChars="200"/>
        <w:rPr>
          <w:rFonts w:hint="eastAsia"/>
          <w:szCs w:val="21"/>
        </w:rPr>
      </w:pPr>
      <w:r>
        <w:rPr>
          <w:rFonts w:hint="eastAsia"/>
          <w:szCs w:val="21"/>
        </w:rPr>
        <w:t>（2）最近三年没有拖欠劳务费的败诉记录；</w:t>
      </w:r>
    </w:p>
    <w:p>
      <w:pPr>
        <w:spacing w:line="440" w:lineRule="exact"/>
        <w:ind w:firstLine="420" w:firstLineChars="200"/>
        <w:rPr>
          <w:rFonts w:hint="eastAsia"/>
          <w:szCs w:val="21"/>
        </w:rPr>
      </w:pPr>
      <w:r>
        <w:rPr>
          <w:rFonts w:hint="eastAsia"/>
          <w:szCs w:val="21"/>
        </w:rPr>
        <w:t>（3）最近三年最没有无故弃标的不良记录；</w:t>
      </w:r>
    </w:p>
    <w:p>
      <w:pPr>
        <w:spacing w:line="440" w:lineRule="exact"/>
        <w:ind w:firstLine="420" w:firstLineChars="200"/>
        <w:rPr>
          <w:rFonts w:hint="eastAsia"/>
          <w:szCs w:val="21"/>
        </w:rPr>
      </w:pPr>
      <w:r>
        <w:rPr>
          <w:rFonts w:hint="eastAsia"/>
          <w:szCs w:val="21"/>
        </w:rPr>
        <w:t>（4）受到行政处罚的不在其行政处罚期内。</w:t>
      </w:r>
    </w:p>
    <w:p>
      <w:pPr>
        <w:spacing w:line="440" w:lineRule="exact"/>
        <w:ind w:firstLine="420" w:firstLineChars="200"/>
        <w:rPr>
          <w:rFonts w:hint="eastAsia"/>
          <w:szCs w:val="21"/>
        </w:rPr>
      </w:pPr>
      <w:r>
        <w:rPr>
          <w:rFonts w:hint="eastAsia"/>
          <w:szCs w:val="21"/>
        </w:rPr>
        <w:t>我司将按照竞争性比选文件提供合格的材料。若违背竞争性比选文件及合同要求，我司将按照约定接受处罚。</w:t>
      </w:r>
    </w:p>
    <w:p>
      <w:pPr>
        <w:pStyle w:val="26"/>
        <w:rPr>
          <w:rFonts w:hint="eastAsia" w:ascii="宋体" w:hAnsi="宋体" w:cs="宋体"/>
          <w:b/>
          <w:color w:val="auto"/>
          <w:sz w:val="28"/>
          <w:szCs w:val="28"/>
        </w:rPr>
      </w:pPr>
    </w:p>
    <w:p>
      <w:pPr>
        <w:spacing w:line="440" w:lineRule="exact"/>
        <w:ind w:firstLine="3990" w:firstLineChars="1900"/>
        <w:jc w:val="right"/>
        <w:rPr>
          <w:szCs w:val="21"/>
        </w:rPr>
      </w:pPr>
      <w:r>
        <w:rPr>
          <w:szCs w:val="21"/>
        </w:rPr>
        <w:t xml:space="preserve"> </w:t>
      </w:r>
      <w:r>
        <w:rPr>
          <w:rFonts w:hint="eastAsia"/>
          <w:szCs w:val="21"/>
        </w:rPr>
        <w:t>比选申请人：</w:t>
      </w:r>
      <w:r>
        <w:rPr>
          <w:szCs w:val="21"/>
          <w:u w:val="single"/>
        </w:rPr>
        <w:t xml:space="preserve">                 </w:t>
      </w:r>
      <w:r>
        <w:rPr>
          <w:rFonts w:hint="eastAsia"/>
          <w:szCs w:val="21"/>
        </w:rPr>
        <w:t>（盖单位章）</w:t>
      </w:r>
    </w:p>
    <w:p>
      <w:pPr>
        <w:pStyle w:val="26"/>
        <w:rPr>
          <w:color w:val="auto"/>
          <w:szCs w:val="21"/>
        </w:rPr>
      </w:pPr>
      <w:r>
        <w:rPr>
          <w:color w:val="auto"/>
          <w:szCs w:val="21"/>
        </w:rPr>
        <w:t xml:space="preserve">                                 </w:t>
      </w:r>
      <w:r>
        <w:rPr>
          <w:rFonts w:hint="eastAsia"/>
          <w:color w:val="auto"/>
          <w:szCs w:val="21"/>
        </w:rPr>
        <w:t xml:space="preserve">   </w:t>
      </w:r>
      <w:r>
        <w:rPr>
          <w:color w:val="auto"/>
          <w:szCs w:val="21"/>
        </w:rPr>
        <w:t xml:space="preserve"> </w:t>
      </w:r>
    </w:p>
    <w:p>
      <w:pPr>
        <w:pStyle w:val="26"/>
        <w:jc w:val="right"/>
        <w:rPr>
          <w:rFonts w:hint="eastAsia" w:ascii="宋体" w:hAnsi="宋体" w:eastAsia="宋体" w:cs="宋体"/>
          <w:color w:val="auto"/>
          <w:szCs w:val="21"/>
        </w:rPr>
      </w:pPr>
      <w:r>
        <w:rPr>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pStyle w:val="26"/>
        <w:jc w:val="right"/>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 </w:t>
      </w:r>
    </w:p>
    <w:p>
      <w:pPr>
        <w:tabs>
          <w:tab w:val="left" w:pos="900"/>
          <w:tab w:val="left" w:pos="1080"/>
        </w:tabs>
        <w:spacing w:line="300" w:lineRule="auto"/>
        <w:jc w:val="center"/>
        <w:outlineLvl w:val="0"/>
        <w:rPr>
          <w:rFonts w:hint="eastAsia" w:ascii="宋体" w:hAnsi="宋体" w:cs="宋体"/>
          <w:b/>
          <w:sz w:val="28"/>
          <w:szCs w:val="28"/>
        </w:rPr>
      </w:pPr>
    </w:p>
    <w:p>
      <w:pPr>
        <w:rPr>
          <w:rFonts w:ascii="宋体" w:hAnsi="宋体"/>
          <w:b/>
          <w:sz w:val="28"/>
          <w:szCs w:val="28"/>
        </w:rPr>
        <w:sectPr>
          <w:pgSz w:w="11906" w:h="16838"/>
          <w:pgMar w:top="1418" w:right="1361" w:bottom="1418" w:left="1418" w:header="851" w:footer="851" w:gutter="0"/>
          <w:cols w:space="720" w:num="1"/>
          <w:docGrid w:type="lines" w:linePitch="312" w:charSpace="0"/>
        </w:sectPr>
      </w:pPr>
    </w:p>
    <w:p>
      <w:pPr>
        <w:autoSpaceDE w:val="0"/>
        <w:autoSpaceDN w:val="0"/>
        <w:adjustRightInd w:val="0"/>
        <w:snapToGrid w:val="0"/>
        <w:spacing w:line="360" w:lineRule="auto"/>
        <w:jc w:val="center"/>
        <w:rPr>
          <w:rFonts w:hint="eastAsia" w:ascii="宋体" w:hAnsi="宋体" w:cs="MingLiU"/>
          <w:b/>
          <w:kern w:val="0"/>
          <w:sz w:val="28"/>
          <w:szCs w:val="28"/>
        </w:rPr>
      </w:pPr>
      <w:bookmarkStart w:id="67" w:name="_Toc34310535"/>
      <w:bookmarkStart w:id="68" w:name="_Toc34309307"/>
      <w:r>
        <w:rPr>
          <w:rFonts w:hint="eastAsia" w:ascii="宋体" w:hAnsi="宋体"/>
          <w:b/>
          <w:sz w:val="28"/>
          <w:szCs w:val="28"/>
        </w:rPr>
        <w:t>五、</w:t>
      </w:r>
      <w:bookmarkEnd w:id="63"/>
      <w:bookmarkEnd w:id="64"/>
      <w:bookmarkEnd w:id="67"/>
      <w:bookmarkEnd w:id="68"/>
      <w:r>
        <w:rPr>
          <w:rFonts w:hint="eastAsia" w:ascii="宋体" w:hAnsi="宋体" w:cs="MingLiU"/>
          <w:b/>
          <w:kern w:val="0"/>
          <w:sz w:val="28"/>
          <w:szCs w:val="28"/>
        </w:rPr>
        <w:t>其它管理人员承诺函</w:t>
      </w:r>
    </w:p>
    <w:p>
      <w:pPr>
        <w:adjustRightInd w:val="0"/>
        <w:snapToGrid w:val="0"/>
        <w:spacing w:line="360" w:lineRule="auto"/>
        <w:ind w:firstLine="562" w:firstLineChars="200"/>
        <w:jc w:val="center"/>
        <w:rPr>
          <w:rFonts w:hint="eastAsia" w:ascii="宋体" w:hAnsi="宋体"/>
          <w:b/>
          <w:sz w:val="28"/>
          <w:szCs w:val="28"/>
        </w:rPr>
      </w:pPr>
      <w:r>
        <w:rPr>
          <w:rFonts w:hint="eastAsia" w:ascii="宋体" w:hAnsi="宋体"/>
          <w:b/>
          <w:sz w:val="28"/>
          <w:szCs w:val="28"/>
        </w:rPr>
        <w:t>（格式自拟）</w:t>
      </w:r>
    </w:p>
    <w:p>
      <w:pPr>
        <w:ind w:firstLine="420" w:firstLineChars="200"/>
        <w:rPr>
          <w:rFonts w:hint="eastAsia" w:ascii="宋体" w:hAnsi="宋体"/>
        </w:rPr>
      </w:pPr>
    </w:p>
    <w:p>
      <w:pPr>
        <w:tabs>
          <w:tab w:val="left" w:pos="900"/>
          <w:tab w:val="left" w:pos="1080"/>
        </w:tabs>
        <w:spacing w:line="300" w:lineRule="auto"/>
        <w:jc w:val="center"/>
        <w:outlineLvl w:val="0"/>
        <w:rPr>
          <w:rFonts w:ascii="宋体" w:hAnsi="宋体"/>
          <w:b/>
          <w:bCs/>
          <w:sz w:val="32"/>
          <w:szCs w:val="32"/>
        </w:rPr>
        <w:sectPr>
          <w:pgSz w:w="11906" w:h="16838"/>
          <w:pgMar w:top="1418" w:right="1361" w:bottom="1418" w:left="1418" w:header="851" w:footer="851" w:gutter="0"/>
          <w:cols w:space="720" w:num="1"/>
          <w:docGrid w:type="lines" w:linePitch="312" w:charSpace="0"/>
        </w:sectPr>
      </w:pPr>
      <w:bookmarkStart w:id="69" w:name="_Toc224103519"/>
      <w:bookmarkStart w:id="70" w:name="_Toc287607892"/>
      <w:bookmarkStart w:id="71" w:name="_Toc277082662"/>
    </w:p>
    <w:bookmarkEnd w:id="69"/>
    <w:bookmarkEnd w:id="70"/>
    <w:bookmarkEnd w:id="71"/>
    <w:p>
      <w:pPr>
        <w:pStyle w:val="4"/>
        <w:jc w:val="center"/>
        <w:rPr>
          <w:rFonts w:ascii="宋体" w:hAnsi="宋体"/>
          <w:sz w:val="28"/>
        </w:rPr>
        <w:sectPr>
          <w:pgSz w:w="11906" w:h="16838"/>
          <w:pgMar w:top="1418" w:right="1361" w:bottom="1418" w:left="1418" w:header="851" w:footer="851" w:gutter="0"/>
          <w:cols w:space="720" w:num="1"/>
          <w:docGrid w:type="lines" w:linePitch="312" w:charSpace="0"/>
        </w:sectPr>
      </w:pPr>
      <w:bookmarkStart w:id="72" w:name="_Toc34309308"/>
      <w:bookmarkStart w:id="73" w:name="_Toc34310536"/>
      <w:r>
        <w:rPr>
          <w:rFonts w:hint="eastAsia" w:ascii="宋体" w:hAnsi="宋体"/>
          <w:sz w:val="28"/>
        </w:rPr>
        <w:t>六、其他材料</w:t>
      </w:r>
      <w:bookmarkEnd w:id="72"/>
      <w:bookmarkEnd w:id="73"/>
    </w:p>
    <w:p>
      <w:pPr>
        <w:pStyle w:val="4"/>
        <w:jc w:val="center"/>
        <w:rPr>
          <w:rFonts w:hint="eastAsia" w:ascii="宋体" w:hAnsi="宋体" w:eastAsia="宋体"/>
          <w:sz w:val="28"/>
          <w:lang w:eastAsia="zh-CN"/>
        </w:rPr>
      </w:pPr>
      <w:bookmarkStart w:id="74" w:name="_Toc34310537"/>
      <w:bookmarkStart w:id="75" w:name="_Toc34309309"/>
      <w:r>
        <w:rPr>
          <w:rFonts w:hint="eastAsia" w:ascii="宋体" w:hAnsi="宋体"/>
          <w:sz w:val="28"/>
        </w:rPr>
        <w:t>七、</w:t>
      </w:r>
      <w:r>
        <w:rPr>
          <w:rFonts w:hint="eastAsia" w:ascii="宋体" w:hAnsi="宋体"/>
          <w:sz w:val="28"/>
          <w:lang w:eastAsia="zh-CN"/>
        </w:rPr>
        <w:t>投标报价清单</w:t>
      </w:r>
    </w:p>
    <w:p>
      <w:pPr>
        <w:pStyle w:val="4"/>
        <w:jc w:val="center"/>
        <w:rPr>
          <w:rFonts w:hint="eastAsia" w:ascii="宋体" w:hAnsi="宋体"/>
          <w:sz w:val="28"/>
          <w:lang w:eastAsia="zh-CN"/>
        </w:rPr>
      </w:pPr>
    </w:p>
    <w:p>
      <w:pPr>
        <w:pStyle w:val="4"/>
        <w:jc w:val="center"/>
        <w:rPr>
          <w:rFonts w:hint="eastAsia" w:ascii="宋体" w:hAnsi="宋体"/>
          <w:sz w:val="28"/>
          <w:lang w:eastAsia="zh-CN"/>
        </w:rPr>
      </w:pPr>
    </w:p>
    <w:p>
      <w:pPr>
        <w:pStyle w:val="4"/>
        <w:jc w:val="center"/>
        <w:rPr>
          <w:rFonts w:hint="eastAsia" w:ascii="宋体" w:hAnsi="宋体"/>
          <w:sz w:val="28"/>
          <w:lang w:eastAsia="zh-CN"/>
        </w:rPr>
      </w:pPr>
    </w:p>
    <w:p>
      <w:pPr>
        <w:pStyle w:val="4"/>
        <w:jc w:val="center"/>
        <w:rPr>
          <w:rFonts w:hint="eastAsia" w:ascii="宋体" w:hAnsi="宋体"/>
          <w:sz w:val="28"/>
          <w:lang w:eastAsia="zh-CN"/>
        </w:rPr>
      </w:pPr>
    </w:p>
    <w:p>
      <w:pPr>
        <w:pStyle w:val="4"/>
        <w:jc w:val="center"/>
        <w:rPr>
          <w:rFonts w:hint="eastAsia" w:ascii="宋体" w:hAnsi="宋体"/>
          <w:sz w:val="28"/>
          <w:lang w:eastAsia="zh-CN"/>
        </w:rPr>
      </w:pPr>
    </w:p>
    <w:p>
      <w:pPr>
        <w:pStyle w:val="4"/>
        <w:jc w:val="center"/>
        <w:rPr>
          <w:rFonts w:hint="eastAsia" w:ascii="宋体" w:hAnsi="宋体"/>
          <w:sz w:val="28"/>
          <w:lang w:eastAsia="zh-CN"/>
        </w:rPr>
      </w:pPr>
    </w:p>
    <w:p>
      <w:pPr>
        <w:pStyle w:val="4"/>
        <w:jc w:val="center"/>
        <w:rPr>
          <w:rFonts w:hint="eastAsia" w:ascii="宋体" w:hAnsi="宋体"/>
          <w:sz w:val="28"/>
          <w:lang w:eastAsia="zh-CN"/>
        </w:rPr>
      </w:pPr>
    </w:p>
    <w:p>
      <w:pPr>
        <w:pStyle w:val="4"/>
        <w:jc w:val="center"/>
        <w:rPr>
          <w:rFonts w:hint="eastAsia" w:ascii="宋体" w:hAnsi="宋体"/>
          <w:sz w:val="28"/>
          <w:lang w:eastAsia="zh-CN"/>
        </w:rPr>
      </w:pPr>
    </w:p>
    <w:p>
      <w:pPr>
        <w:pStyle w:val="4"/>
        <w:jc w:val="center"/>
        <w:rPr>
          <w:rFonts w:hint="eastAsia" w:ascii="宋体" w:hAnsi="宋体"/>
          <w:sz w:val="28"/>
          <w:lang w:eastAsia="zh-CN"/>
        </w:rPr>
      </w:pPr>
    </w:p>
    <w:p>
      <w:pPr>
        <w:pStyle w:val="4"/>
        <w:jc w:val="center"/>
        <w:rPr>
          <w:rFonts w:hint="eastAsia" w:ascii="宋体" w:hAnsi="宋体"/>
          <w:sz w:val="28"/>
          <w:lang w:eastAsia="zh-CN"/>
        </w:rPr>
      </w:pPr>
    </w:p>
    <w:p>
      <w:pPr>
        <w:pStyle w:val="4"/>
        <w:jc w:val="center"/>
        <w:rPr>
          <w:rFonts w:hint="eastAsia" w:ascii="宋体" w:hAnsi="宋体"/>
          <w:sz w:val="28"/>
          <w:lang w:eastAsia="zh-CN"/>
        </w:rPr>
      </w:pPr>
    </w:p>
    <w:p>
      <w:pPr>
        <w:pStyle w:val="4"/>
        <w:jc w:val="center"/>
        <w:rPr>
          <w:rFonts w:hint="eastAsia" w:ascii="宋体" w:hAnsi="宋体"/>
          <w:sz w:val="28"/>
          <w:lang w:eastAsia="zh-CN"/>
        </w:rPr>
      </w:pPr>
    </w:p>
    <w:p>
      <w:pPr>
        <w:pStyle w:val="4"/>
        <w:jc w:val="center"/>
        <w:rPr>
          <w:rFonts w:hint="eastAsia" w:ascii="宋体" w:hAnsi="宋体"/>
          <w:sz w:val="28"/>
          <w:lang w:eastAsia="zh-CN"/>
        </w:rPr>
      </w:pPr>
    </w:p>
    <w:p>
      <w:pPr>
        <w:pStyle w:val="4"/>
        <w:jc w:val="center"/>
        <w:rPr>
          <w:rFonts w:hint="eastAsia" w:ascii="宋体" w:hAnsi="宋体"/>
          <w:sz w:val="28"/>
          <w:lang w:eastAsia="zh-CN"/>
        </w:rPr>
      </w:pPr>
    </w:p>
    <w:p>
      <w:pPr>
        <w:pStyle w:val="4"/>
        <w:jc w:val="center"/>
        <w:rPr>
          <w:rFonts w:hint="eastAsia" w:ascii="宋体" w:hAnsi="宋体"/>
          <w:sz w:val="28"/>
          <w:lang w:eastAsia="zh-CN"/>
        </w:rPr>
      </w:pPr>
    </w:p>
    <w:p>
      <w:pPr>
        <w:pStyle w:val="4"/>
        <w:jc w:val="center"/>
        <w:rPr>
          <w:rFonts w:hint="eastAsia" w:ascii="宋体" w:hAnsi="宋体"/>
          <w:sz w:val="28"/>
        </w:rPr>
      </w:pPr>
      <w:r>
        <w:rPr>
          <w:rFonts w:hint="eastAsia" w:ascii="宋体" w:hAnsi="宋体"/>
          <w:sz w:val="28"/>
          <w:lang w:eastAsia="zh-CN"/>
        </w:rPr>
        <w:t>八、</w:t>
      </w:r>
      <w:r>
        <w:rPr>
          <w:rFonts w:hint="eastAsia" w:ascii="宋体" w:hAnsi="宋体"/>
          <w:sz w:val="28"/>
        </w:rPr>
        <w:t>维修服务方案</w:t>
      </w:r>
      <w:bookmarkEnd w:id="74"/>
      <w:bookmarkEnd w:id="75"/>
    </w:p>
    <w:p>
      <w:pPr>
        <w:rPr>
          <w:rFonts w:hint="eastAsia" w:ascii="宋体" w:hAnsi="宋体"/>
        </w:rPr>
      </w:pPr>
      <w:r>
        <w:rPr>
          <w:rFonts w:hint="eastAsia" w:ascii="宋体" w:hAnsi="宋体"/>
        </w:rPr>
        <w:t>目录及内容由比选申请人根据比选文件自行编制。</w:t>
      </w:r>
    </w:p>
    <w:sectPr>
      <w:pgSz w:w="11906" w:h="16838"/>
      <w:pgMar w:top="1418" w:right="1361" w:bottom="1418" w:left="1418"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eastAsia="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2"/>
      <w:rPr>
        <w:rStyle w:val="17"/>
      </w:rPr>
    </w:pPr>
    <w:r>
      <w:fldChar w:fldCharType="begin"/>
    </w:r>
    <w:r>
      <w:rPr>
        <w:rStyle w:val="17"/>
      </w:rPr>
      <w:instrText xml:space="preserve">PAGE  </w:instrText>
    </w:r>
    <w:r>
      <w:fldChar w:fldCharType="separate"/>
    </w:r>
    <w:r>
      <w:rPr>
        <w:rStyle w:val="17"/>
      </w:rPr>
      <w:t>1</w: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tab/>
    </w:r>
    <w:r>
      <w:t xml:space="preserve">- </w:t>
    </w:r>
    <w:r>
      <w:fldChar w:fldCharType="begin"/>
    </w:r>
    <w:r>
      <w:instrText xml:space="preserve"> PAGE </w:instrText>
    </w:r>
    <w:r>
      <w:fldChar w:fldCharType="separate"/>
    </w:r>
    <w:r>
      <w:t>26</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2"/>
      <w:rPr>
        <w:rStyle w:val="17"/>
      </w:rPr>
    </w:pPr>
    <w:r>
      <w:fldChar w:fldCharType="begin"/>
    </w:r>
    <w:r>
      <w:rPr>
        <w:rStyle w:val="17"/>
      </w:rPr>
      <w:instrText xml:space="preserve">PAGE  </w:instrText>
    </w:r>
    <w:r>
      <w:fldChar w:fldCharType="separate"/>
    </w:r>
    <w:r>
      <w:rPr>
        <w:rStyle w:val="17"/>
      </w:rPr>
      <w:t>39</w:t>
    </w:r>
    <w: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38164C5"/>
    <w:rsid w:val="00055EE0"/>
    <w:rsid w:val="0008533F"/>
    <w:rsid w:val="000C09FC"/>
    <w:rsid w:val="000D2564"/>
    <w:rsid w:val="000F3C2B"/>
    <w:rsid w:val="00191AF7"/>
    <w:rsid w:val="001C6C44"/>
    <w:rsid w:val="001D0262"/>
    <w:rsid w:val="00264D4D"/>
    <w:rsid w:val="002D30D4"/>
    <w:rsid w:val="002F20F1"/>
    <w:rsid w:val="002F7418"/>
    <w:rsid w:val="00301A39"/>
    <w:rsid w:val="00356C86"/>
    <w:rsid w:val="003A2076"/>
    <w:rsid w:val="003A5E68"/>
    <w:rsid w:val="00410AE3"/>
    <w:rsid w:val="00422850"/>
    <w:rsid w:val="00425B80"/>
    <w:rsid w:val="00473BE5"/>
    <w:rsid w:val="0049007A"/>
    <w:rsid w:val="004B2A6C"/>
    <w:rsid w:val="004F01A7"/>
    <w:rsid w:val="00503AF4"/>
    <w:rsid w:val="00514AF4"/>
    <w:rsid w:val="00536C39"/>
    <w:rsid w:val="00586283"/>
    <w:rsid w:val="005C55E4"/>
    <w:rsid w:val="005D59AD"/>
    <w:rsid w:val="00653C00"/>
    <w:rsid w:val="006A4E10"/>
    <w:rsid w:val="006B18C7"/>
    <w:rsid w:val="006B3E52"/>
    <w:rsid w:val="006E4E00"/>
    <w:rsid w:val="006F6E41"/>
    <w:rsid w:val="00710AF7"/>
    <w:rsid w:val="007151B5"/>
    <w:rsid w:val="0074574F"/>
    <w:rsid w:val="007575BC"/>
    <w:rsid w:val="00763647"/>
    <w:rsid w:val="00773066"/>
    <w:rsid w:val="007D2E44"/>
    <w:rsid w:val="007D79E0"/>
    <w:rsid w:val="007E105C"/>
    <w:rsid w:val="008518A3"/>
    <w:rsid w:val="00853B24"/>
    <w:rsid w:val="008619EA"/>
    <w:rsid w:val="00861A46"/>
    <w:rsid w:val="008E2C5A"/>
    <w:rsid w:val="008F27D3"/>
    <w:rsid w:val="0090078F"/>
    <w:rsid w:val="00910BD9"/>
    <w:rsid w:val="00914D95"/>
    <w:rsid w:val="00936079"/>
    <w:rsid w:val="00963009"/>
    <w:rsid w:val="00980F89"/>
    <w:rsid w:val="00995925"/>
    <w:rsid w:val="009A2106"/>
    <w:rsid w:val="009E3F24"/>
    <w:rsid w:val="00A1003C"/>
    <w:rsid w:val="00A24111"/>
    <w:rsid w:val="00A325A4"/>
    <w:rsid w:val="00A513D0"/>
    <w:rsid w:val="00A53C82"/>
    <w:rsid w:val="00A7567E"/>
    <w:rsid w:val="00AC3342"/>
    <w:rsid w:val="00AF62F5"/>
    <w:rsid w:val="00B55A29"/>
    <w:rsid w:val="00B732E7"/>
    <w:rsid w:val="00B95DD3"/>
    <w:rsid w:val="00BC1E56"/>
    <w:rsid w:val="00BD5E5B"/>
    <w:rsid w:val="00BE1995"/>
    <w:rsid w:val="00BF5DDE"/>
    <w:rsid w:val="00C025EE"/>
    <w:rsid w:val="00C07D64"/>
    <w:rsid w:val="00C336B6"/>
    <w:rsid w:val="00D31D53"/>
    <w:rsid w:val="00D47923"/>
    <w:rsid w:val="00DD4653"/>
    <w:rsid w:val="00E41CA2"/>
    <w:rsid w:val="00E6440E"/>
    <w:rsid w:val="00E878C9"/>
    <w:rsid w:val="00F7556F"/>
    <w:rsid w:val="00F86546"/>
    <w:rsid w:val="00FC59E4"/>
    <w:rsid w:val="00FD5E80"/>
    <w:rsid w:val="00FE5112"/>
    <w:rsid w:val="02245A2E"/>
    <w:rsid w:val="034F5961"/>
    <w:rsid w:val="03BC205F"/>
    <w:rsid w:val="079E5B07"/>
    <w:rsid w:val="084F5F19"/>
    <w:rsid w:val="08BA4B3E"/>
    <w:rsid w:val="08DF4A17"/>
    <w:rsid w:val="099752BC"/>
    <w:rsid w:val="0CD662FC"/>
    <w:rsid w:val="0D542155"/>
    <w:rsid w:val="0DC01203"/>
    <w:rsid w:val="10D40D7A"/>
    <w:rsid w:val="14DE2D99"/>
    <w:rsid w:val="17605D15"/>
    <w:rsid w:val="197D347F"/>
    <w:rsid w:val="1A2608F3"/>
    <w:rsid w:val="1B3670C9"/>
    <w:rsid w:val="1EEF3A2E"/>
    <w:rsid w:val="1F8D4273"/>
    <w:rsid w:val="2155209F"/>
    <w:rsid w:val="23F04E5F"/>
    <w:rsid w:val="24AC4CBC"/>
    <w:rsid w:val="252523EB"/>
    <w:rsid w:val="25615EC3"/>
    <w:rsid w:val="257A0922"/>
    <w:rsid w:val="2718624C"/>
    <w:rsid w:val="30E0186A"/>
    <w:rsid w:val="3248246D"/>
    <w:rsid w:val="338E16CF"/>
    <w:rsid w:val="3A3C1D29"/>
    <w:rsid w:val="3DD613AB"/>
    <w:rsid w:val="3EB4450C"/>
    <w:rsid w:val="422A641D"/>
    <w:rsid w:val="42B62223"/>
    <w:rsid w:val="451B7C9B"/>
    <w:rsid w:val="47C752C3"/>
    <w:rsid w:val="4818281E"/>
    <w:rsid w:val="49344281"/>
    <w:rsid w:val="4A7C2D11"/>
    <w:rsid w:val="4DBE34E1"/>
    <w:rsid w:val="50672DED"/>
    <w:rsid w:val="50AF330B"/>
    <w:rsid w:val="53B30FB2"/>
    <w:rsid w:val="53F711CB"/>
    <w:rsid w:val="546B5AA2"/>
    <w:rsid w:val="54CF466B"/>
    <w:rsid w:val="56E313A2"/>
    <w:rsid w:val="57C61748"/>
    <w:rsid w:val="590D63B4"/>
    <w:rsid w:val="5BF47B67"/>
    <w:rsid w:val="626611B0"/>
    <w:rsid w:val="638164C5"/>
    <w:rsid w:val="640530EB"/>
    <w:rsid w:val="64812D16"/>
    <w:rsid w:val="650A2DED"/>
    <w:rsid w:val="662B058D"/>
    <w:rsid w:val="67D849F1"/>
    <w:rsid w:val="6A1C21AE"/>
    <w:rsid w:val="6ADA1183"/>
    <w:rsid w:val="6E442B22"/>
    <w:rsid w:val="722B00E6"/>
    <w:rsid w:val="73176D00"/>
    <w:rsid w:val="73F57D9B"/>
    <w:rsid w:val="753B3AB5"/>
    <w:rsid w:val="75BB29DC"/>
    <w:rsid w:val="7A322190"/>
    <w:rsid w:val="7E7C3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1"/>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0"/>
  </w:style>
  <w:style w:type="table" w:default="1" w:styleId="15">
    <w:name w:val="Normal Table"/>
    <w:unhideWhenUsed/>
    <w:qFormat/>
    <w:uiPriority w:val="99"/>
    <w:tblPr>
      <w:tblCellMar>
        <w:top w:w="0" w:type="dxa"/>
        <w:left w:w="108" w:type="dxa"/>
        <w:bottom w:w="0" w:type="dxa"/>
        <w:right w:w="108" w:type="dxa"/>
      </w:tblCellMar>
    </w:tblPr>
  </w:style>
  <w:style w:type="paragraph" w:styleId="5">
    <w:name w:val="Body Text"/>
    <w:basedOn w:val="1"/>
    <w:next w:val="1"/>
    <w:unhideWhenUsed/>
    <w:qFormat/>
    <w:uiPriority w:val="99"/>
    <w:pPr>
      <w:tabs>
        <w:tab w:val="left" w:pos="1080"/>
      </w:tabs>
      <w:autoSpaceDE w:val="0"/>
      <w:autoSpaceDN w:val="0"/>
      <w:adjustRightInd w:val="0"/>
    </w:pPr>
    <w:rPr>
      <w:rFonts w:ascii="宋体"/>
      <w:color w:val="000000"/>
      <w:kern w:val="0"/>
      <w:sz w:val="24"/>
      <w:szCs w:val="21"/>
      <w:lang w:val="zh-CN" w:eastAsia="zh-CN"/>
    </w:rPr>
  </w:style>
  <w:style w:type="paragraph" w:styleId="6">
    <w:name w:val="toc 3"/>
    <w:basedOn w:val="4"/>
    <w:next w:val="1"/>
    <w:unhideWhenUsed/>
    <w:qFormat/>
    <w:uiPriority w:val="39"/>
    <w:pPr>
      <w:keepNext w:val="0"/>
      <w:keepLines w:val="0"/>
      <w:spacing w:before="0" w:after="0" w:line="240" w:lineRule="auto"/>
      <w:ind w:left="420"/>
      <w:jc w:val="left"/>
      <w:outlineLvl w:val="9"/>
    </w:pPr>
    <w:rPr>
      <w:b w:val="0"/>
      <w:bCs w:val="0"/>
      <w:iCs/>
      <w:sz w:val="21"/>
      <w:szCs w:val="20"/>
    </w:rPr>
  </w:style>
  <w:style w:type="paragraph" w:styleId="7">
    <w:name w:val="Plain Text"/>
    <w:basedOn w:val="1"/>
    <w:unhideWhenUsed/>
    <w:qFormat/>
    <w:uiPriority w:val="99"/>
    <w:rPr>
      <w:rFonts w:ascii="宋体" w:hAnsi="Courier New" w:cs="Courier New"/>
      <w:szCs w:val="21"/>
    </w:rPr>
  </w:style>
  <w:style w:type="paragraph" w:styleId="8">
    <w:name w:val="Date"/>
    <w:basedOn w:val="1"/>
    <w:next w:val="1"/>
    <w:unhideWhenUsed/>
    <w:qFormat/>
    <w:uiPriority w:val="99"/>
    <w:pPr>
      <w:ind w:left="100"/>
    </w:pPr>
    <w:rPr>
      <w:kern w:val="1"/>
    </w:rPr>
  </w:style>
  <w:style w:type="paragraph" w:styleId="9">
    <w:name w:val="Balloon Text"/>
    <w:basedOn w:val="1"/>
    <w:link w:val="19"/>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tabs>
        <w:tab w:val="right" w:leader="dot" w:pos="9117"/>
      </w:tabs>
      <w:spacing w:before="120" w:after="120"/>
      <w:jc w:val="left"/>
    </w:pPr>
    <w:rPr>
      <w:caps/>
      <w:sz w:val="28"/>
      <w:szCs w:val="20"/>
    </w:rPr>
  </w:style>
  <w:style w:type="paragraph" w:styleId="13">
    <w:name w:val="Subtitle"/>
    <w:basedOn w:val="1"/>
    <w:qFormat/>
    <w:uiPriority w:val="11"/>
    <w:pPr>
      <w:widowControl/>
      <w:jc w:val="center"/>
    </w:pPr>
    <w:rPr>
      <w:kern w:val="0"/>
      <w:sz w:val="20"/>
      <w:u w:val="single"/>
      <w:lang w:eastAsia="en-US"/>
    </w:rPr>
  </w:style>
  <w:style w:type="paragraph" w:styleId="14">
    <w:name w:val="toc 2"/>
    <w:basedOn w:val="3"/>
    <w:next w:val="1"/>
    <w:unhideWhenUsed/>
    <w:qFormat/>
    <w:uiPriority w:val="39"/>
    <w:pPr>
      <w:keepNext w:val="0"/>
      <w:keepLines w:val="0"/>
      <w:tabs>
        <w:tab w:val="right" w:leader="dot" w:pos="9117"/>
      </w:tabs>
      <w:spacing w:before="0" w:after="0" w:line="360" w:lineRule="auto"/>
      <w:ind w:left="210"/>
      <w:jc w:val="left"/>
      <w:outlineLvl w:val="9"/>
    </w:pPr>
    <w:rPr>
      <w:rFonts w:ascii="Times New Roman" w:hAnsi="Times New Roman"/>
      <w:b w:val="0"/>
      <w:bCs w:val="0"/>
      <w:smallCaps/>
      <w:sz w:val="24"/>
      <w:szCs w:val="20"/>
    </w:rPr>
  </w:style>
  <w:style w:type="character" w:styleId="17">
    <w:name w:val="page number"/>
    <w:basedOn w:val="16"/>
    <w:unhideWhenUsed/>
    <w:qFormat/>
    <w:uiPriority w:val="99"/>
  </w:style>
  <w:style w:type="character" w:styleId="18">
    <w:name w:val="Hyperlink"/>
    <w:qFormat/>
    <w:uiPriority w:val="99"/>
    <w:rPr>
      <w:color w:val="0000FF"/>
      <w:u w:val="single"/>
    </w:rPr>
  </w:style>
  <w:style w:type="character" w:customStyle="1" w:styleId="19">
    <w:name w:val="批注框文本 Char"/>
    <w:link w:val="9"/>
    <w:semiHidden/>
    <w:qFormat/>
    <w:uiPriority w:val="99"/>
    <w:rPr>
      <w:kern w:val="2"/>
      <w:sz w:val="18"/>
      <w:szCs w:val="18"/>
    </w:rPr>
  </w:style>
  <w:style w:type="character" w:customStyle="1" w:styleId="20">
    <w:name w:val="页眉 Char"/>
    <w:link w:val="11"/>
    <w:qFormat/>
    <w:uiPriority w:val="0"/>
    <w:rPr>
      <w:kern w:val="2"/>
      <w:sz w:val="18"/>
      <w:szCs w:val="18"/>
    </w:rPr>
  </w:style>
  <w:style w:type="character" w:customStyle="1" w:styleId="21">
    <w:name w:val="标题 3 Char"/>
    <w:link w:val="4"/>
    <w:qFormat/>
    <w:uiPriority w:val="9"/>
    <w:rPr>
      <w:b/>
      <w:bCs/>
      <w:kern w:val="2"/>
      <w:sz w:val="32"/>
      <w:szCs w:val="32"/>
    </w:rPr>
  </w:style>
  <w:style w:type="character" w:customStyle="1" w:styleId="22">
    <w:name w:val="页脚 Char"/>
    <w:link w:val="10"/>
    <w:qFormat/>
    <w:uiPriority w:val="99"/>
    <w:rPr>
      <w:kern w:val="2"/>
      <w:sz w:val="18"/>
      <w:szCs w:val="18"/>
    </w:rPr>
  </w:style>
  <w:style w:type="paragraph" w:customStyle="1" w:styleId="23">
    <w:name w:val="pa-34"/>
    <w:basedOn w:val="1"/>
    <w:qFormat/>
    <w:uiPriority w:val="0"/>
    <w:pPr>
      <w:widowControl/>
      <w:spacing w:line="360" w:lineRule="atLeast"/>
      <w:ind w:firstLine="420"/>
      <w:jc w:val="left"/>
    </w:pPr>
    <w:rPr>
      <w:rFonts w:ascii="宋体" w:hAnsi="宋体" w:cs="宋体"/>
      <w:kern w:val="0"/>
      <w:sz w:val="24"/>
    </w:rPr>
  </w:style>
  <w:style w:type="paragraph" w:customStyle="1" w:styleId="24">
    <w:name w:val="纯文本1"/>
    <w:basedOn w:val="1"/>
    <w:qFormat/>
    <w:uiPriority w:val="0"/>
    <w:rPr>
      <w:rFonts w:ascii="宋体" w:hAnsi="Courier New" w:cs="Courier New"/>
      <w:szCs w:val="21"/>
    </w:rPr>
  </w:style>
  <w:style w:type="paragraph" w:customStyle="1" w:styleId="2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1947</Words>
  <Characters>11100</Characters>
  <Lines>92</Lines>
  <Paragraphs>26</Paragraphs>
  <TotalTime>2</TotalTime>
  <ScaleCrop>false</ScaleCrop>
  <LinksUpToDate>false</LinksUpToDate>
  <CharactersWithSpaces>13021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2020-03-27T05:19:00Z</dcterms:created>
  <dc:creator>Administrator</dc:creator>
  <cp:lastModifiedBy>WPS_1606287783</cp:lastModifiedBy>
  <cp:lastPrinted>2021-06-24T01:07:00Z</cp:lastPrinted>
  <dcterms:modified xsi:type="dcterms:W3CDTF">2021-07-06T06:27:30Z</dcterms:modified>
  <dc:title>重庆市地方税务局第二稽查局屋顶装饰装修工程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330CDC8EF275437BB11D4503D9F4E0AD</vt:lpwstr>
  </property>
</Properties>
</file>