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重庆梁平至四川开江高速公路（重庆段）全过程跟踪审计（含竣工决算审计）招标公告</w:t>
      </w:r>
    </w:p>
    <w:p>
      <w:pPr>
        <w:jc w:val="left"/>
        <w:rPr>
          <w:rFonts w:hint="eastAsia"/>
          <w:b/>
          <w:bCs/>
          <w:sz w:val="28"/>
          <w:szCs w:val="28"/>
        </w:rPr>
      </w:pPr>
      <w:r>
        <w:rPr>
          <w:rFonts w:hint="eastAsia"/>
          <w:b/>
          <w:bCs/>
          <w:sz w:val="28"/>
          <w:szCs w:val="28"/>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本招标项目</w:t>
      </w:r>
      <w:r>
        <w:rPr>
          <w:rFonts w:hint="eastAsia"/>
          <w:u w:val="single"/>
        </w:rPr>
        <w:t>重庆梁平至四川开江高速公路</w:t>
      </w:r>
      <w:r>
        <w:rPr>
          <w:rFonts w:hint="eastAsia"/>
        </w:rPr>
        <w:t xml:space="preserve">已由 </w:t>
      </w:r>
      <w:r>
        <w:rPr>
          <w:rFonts w:hint="eastAsia"/>
          <w:u w:val="single"/>
        </w:rPr>
        <w:t>重庆市发展和改革委员会</w:t>
      </w:r>
      <w:r>
        <w:rPr>
          <w:rFonts w:hint="eastAsia"/>
        </w:rPr>
        <w:t xml:space="preserve"> 以 </w:t>
      </w:r>
      <w:r>
        <w:rPr>
          <w:rFonts w:hint="eastAsia"/>
          <w:u w:val="single"/>
        </w:rPr>
        <w:t>渝发改交通【2020】1102号</w:t>
      </w:r>
      <w:r>
        <w:rPr>
          <w:rFonts w:hint="eastAsia"/>
        </w:rPr>
        <w:t xml:space="preserve"> 批准建设，项目业主为 </w:t>
      </w:r>
      <w:r>
        <w:rPr>
          <w:rFonts w:hint="eastAsia"/>
          <w:u w:val="single"/>
        </w:rPr>
        <w:t>重庆梁开高速公路有限公司</w:t>
      </w:r>
      <w:r>
        <w:rPr>
          <w:rFonts w:hint="eastAsia"/>
        </w:rPr>
        <w:t xml:space="preserve"> ，建设资金来自 </w:t>
      </w:r>
      <w:r>
        <w:rPr>
          <w:rFonts w:hint="eastAsia"/>
          <w:u w:val="single"/>
        </w:rPr>
        <w:t>自筹资本金、中央车购税补贴、银行贷款</w:t>
      </w:r>
      <w:r>
        <w:rPr>
          <w:rFonts w:hint="eastAsia"/>
        </w:rPr>
        <w:t xml:space="preserve"> ，项目出资比例为 </w:t>
      </w:r>
      <w:r>
        <w:rPr>
          <w:rFonts w:hint="eastAsia"/>
          <w:u w:val="single"/>
        </w:rPr>
        <w:t>100%</w:t>
      </w:r>
      <w:r>
        <w:rPr>
          <w:rFonts w:hint="eastAsia"/>
        </w:rPr>
        <w:t xml:space="preserve"> ，招标人</w:t>
      </w:r>
      <w:r>
        <w:rPr>
          <w:rFonts w:hint="eastAsia"/>
          <w:u w:val="single"/>
        </w:rPr>
        <w:t>重庆梁开高速公路有限公司</w:t>
      </w:r>
      <w:r>
        <w:rPr>
          <w:rFonts w:hint="eastAsia"/>
        </w:rPr>
        <w:t>。</w:t>
      </w:r>
    </w:p>
    <w:p>
      <w:pPr>
        <w:jc w:val="left"/>
        <w:rPr>
          <w:rFonts w:hint="eastAsia"/>
          <w:b/>
          <w:bCs/>
          <w:sz w:val="28"/>
          <w:szCs w:val="28"/>
        </w:rPr>
      </w:pPr>
      <w:r>
        <w:rPr>
          <w:rFonts w:hint="eastAsia"/>
          <w:b/>
          <w:bCs/>
          <w:sz w:val="28"/>
          <w:szCs w:val="28"/>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2.1 建设地点：重庆梁平区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2.2 项目概况与建设规模：重庆梁平至四川开江高速公路（重庆段）项目路线起于梁平石莲接G42高速（K0+000～K45+155.81），经荫平、屏锦、聚奎一线东侧布线至齐河，与张南高速公路相交，再沿礼让、明达、龙门、新盛一线西侧布线，至川渝省界后与四川段路线相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u w:val="single"/>
        </w:rPr>
      </w:pPr>
      <w:r>
        <w:rPr>
          <w:rFonts w:hint="eastAsia"/>
        </w:rPr>
        <w:t>2.3 本次招标项目建筑安装工程费估算金额：</w:t>
      </w:r>
      <w:r>
        <w:rPr>
          <w:rFonts w:hint="eastAsia"/>
          <w:u w:val="single"/>
        </w:rPr>
        <w:t>约 42.38亿元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本次招标项目全过程跟踪审计估算金额：</w:t>
      </w:r>
      <w:bookmarkStart w:id="0" w:name="_GoBack"/>
      <w:r>
        <w:rPr>
          <w:rFonts w:hint="eastAsia"/>
          <w:u w:val="single"/>
        </w:rPr>
        <w:t>148万元</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2.4 招标范围： 包括本项目的 （1）建设程序合法合规性咨询；（2）对概预算批复投资进行拆分和分析，对调整概算进行审核；（3）全面分析施工总承包合同的计价和风险条款，结合投资协议、特许经营权协议 、 项目公司经济类制度提出针对性的咨询建议；（4）协助委托方建立各类费用的合同台账，进行动态管理；（5）定期清理各类费用的合同签订及支付情况，检查合同签订是否合规、合理，费用支付、结算是否规范，并与概算批复投资进行动态对比分析，提出针对性的咨询建议；（6）派出专业人员进入（不常驻）施工现场进行监管，参加与本工程项目造价有关的洽谈；（7）计量支付：根据委托方提供的O#台账，作为计量、变更的基础，按实际进度完成情况，进行工程进度计量阶段审查；（8）工程变更：分类（开口与非开口费用）进行审核，负责相关工程预算文件及新增单价文件的编制、审查，协助建设单位对重大设计变更按规定程序报批；（9）材料调差：按合同约定定期或在竣工结算时一并进行审核；（10）工程索赔：及时提出止损意见，及时反馈索赔理由是否成立，审核报送索赔费用；（11）竣工结算：对总承包合同、部分专项合同（如施工便道、水系路系恢复）等费用，分批、分类及时进行结算审核；（12）协助完成招标工作；（13）新增项目的价格审核及评价，材料认（审）价，工程进度款审核，专业分包造价控制；（14）配合完成资产移交表的制度、审核；（15）监督征地拆迁补偿方案执行情况及实施过程的规范性、合法性，核定征地工作量，审计征地拆迁补偿合同的签订，核查征地拆迁补偿费用的金额、发放和资金流向，审计征地拆迁补偿的相关手续完备性，线外与征地拆迁补偿相关项目的审计等；（16）全面梳理项目发生的各类成本费用，编制（审核）竣工决算资料，包括财务竣工决算报表，交通行业竣工决算系列报表等；（17）配合建设期PPP项目绩效考核工作；（1 8 ）其他与审计咨询有关的工作。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2.5 服务期要求： 从合同签订之日起至本项目所有工程竣工决算审计完成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2.6 标段划分：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b/>
          <w:bCs/>
          <w:sz w:val="28"/>
          <w:szCs w:val="28"/>
        </w:rPr>
      </w:pPr>
      <w:r>
        <w:rPr>
          <w:rFonts w:hint="eastAsia"/>
          <w:b/>
          <w:bCs/>
          <w:sz w:val="28"/>
          <w:szCs w:val="28"/>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3.1 本次招标要求投标人须具备以下条件：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3.1.1 本次招标要求投标人具备以下资质：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须同时具备建设行政主管部门颁发的《工程造价咨询企业甲级资质》和财政部颁发的《会计师事务所（或分所）执业证书》。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 1.2 投标人还应在人员、业绩、设备、资金等方面具有相应的全过程跟踪审计（含竣工决算审计）能力，详见招标文件第二章投标人须知前附表第 1.4.1项内容。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3.2 本次招标 接受联合体投标。 联合体投标的，应满足下列要求：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① 联合体投标的牵头人须具备《工程造价咨询企业甲级资质》，联合体成员须具备《会计师事务所（或分所）执业证书》；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②联合体组成单位数量不得超过二家；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③联合体各方需要签订联合体协议。签订联合体协议后，组成联合体的成员单位不得再以自己名义对本项目单独递交响应文件，也不得与其他单位组成新的联合体参加本项目比选响应。</w:t>
      </w:r>
    </w:p>
    <w:p>
      <w:pPr>
        <w:jc w:val="left"/>
        <w:rPr>
          <w:rFonts w:hint="eastAsia"/>
          <w:b/>
          <w:bCs/>
          <w:sz w:val="28"/>
          <w:szCs w:val="28"/>
        </w:rPr>
      </w:pPr>
      <w:r>
        <w:rPr>
          <w:rFonts w:hint="eastAsia"/>
          <w:b/>
          <w:bCs/>
          <w:sz w:val="28"/>
          <w:szCs w:val="28"/>
        </w:rPr>
        <w:t>4.招标文件的获取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CA数字证书办理，办理方式请参见重庆市公共资源交易网（www.cqggzy.com）导航栏“主体信息”页面中“市场主体信息登记”、“CA 数字证书办理”。若投标人未及时完成市场主体信息登记和CA数字证书办理导致无法完成全流程电子招投标的，责任自负。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4.2 投标人可在重庆市公共资源交易网（www.cqggzy.com)本项目招标公告网页下方“我要提问”栏提处疑问，提问时间从本公告发布至2022­06­20 17:00:00（北京时间）前。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4.3 招标人应于2022­06­22 17:00:00（北京时间）前在重庆市公共资源交易网（www.cqggzy.com)发布澄清。</w:t>
      </w:r>
    </w:p>
    <w:p>
      <w:pPr>
        <w:jc w:val="left"/>
        <w:rPr>
          <w:rFonts w:hint="eastAsia"/>
          <w:b/>
          <w:bCs/>
          <w:sz w:val="28"/>
          <w:szCs w:val="28"/>
        </w:rPr>
      </w:pPr>
      <w:r>
        <w:rPr>
          <w:rFonts w:hint="eastAsia"/>
          <w:b/>
          <w:bCs/>
          <w:sz w:val="28"/>
          <w:szCs w:val="28"/>
        </w:rPr>
        <w:t>5.投标文件递交的内容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5.1 投标文件递交的截止时间（投标截止时间，下同）为2022­07­07 09:30，投标人应当在投标截止时间前，通过互联网使用CA数字证书登录重庆市电子招投标系统，将加密的电子投标文件上传。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5.2 未按要求加密的电子投标文件，将无法上传至重庆市电子招投标系统，逾期未完成投标文件上传的，视为撤回投标文件。</w:t>
      </w:r>
    </w:p>
    <w:p>
      <w:pPr>
        <w:jc w:val="left"/>
        <w:rPr>
          <w:rFonts w:hint="eastAsia"/>
          <w:b/>
          <w:bCs/>
          <w:sz w:val="28"/>
          <w:szCs w:val="28"/>
        </w:rPr>
      </w:pPr>
      <w:r>
        <w:rPr>
          <w:rFonts w:hint="eastAsia"/>
          <w:b/>
          <w:bCs/>
          <w:sz w:val="28"/>
          <w:szCs w:val="28"/>
        </w:rPr>
        <w:t>6.发布公告的媒介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次招标公告同时在重庆市公共资源交易网（www.cqggzy.com）、重庆高速公路集团有限公司招投标管理平台（http://43.240.249.108:8088）以及重庆高速集团官网上发布（http://www.cegc.com.cn/gw）发布。[提示：依法必须招标项目的招标公告，必须在重庆市公共资源交易监督网上发布。]</w:t>
      </w:r>
    </w:p>
    <w:p>
      <w:pPr>
        <w:jc w:val="left"/>
        <w:rPr>
          <w:rFonts w:hint="eastAsia"/>
          <w:b/>
          <w:bCs/>
          <w:sz w:val="28"/>
          <w:szCs w:val="28"/>
        </w:rPr>
      </w:pPr>
      <w:r>
        <w:rPr>
          <w:rFonts w:hint="eastAsia"/>
          <w:b/>
          <w:bCs/>
          <w:sz w:val="28"/>
          <w:szCs w:val="28"/>
        </w:rPr>
        <w:t>7.联系方式</w:t>
      </w:r>
    </w:p>
    <w:p>
      <w:pPr>
        <w:tabs>
          <w:tab w:val="left" w:pos="5140"/>
          <w:tab w:val="left" w:pos="8520"/>
        </w:tabs>
        <w:autoSpaceDE w:val="0"/>
        <w:autoSpaceDN w:val="0"/>
        <w:adjustRightInd w:val="0"/>
        <w:snapToGrid w:val="0"/>
        <w:spacing w:line="360" w:lineRule="auto"/>
        <w:ind w:left="0" w:leftChars="0" w:firstLine="0" w:firstLineChars="0"/>
        <w:jc w:val="left"/>
        <w:rPr>
          <w:rFonts w:ascii="宋体" w:hAnsi="宋体"/>
          <w:snapToGrid w:val="0"/>
          <w:kern w:val="0"/>
          <w:szCs w:val="21"/>
        </w:rPr>
      </w:pPr>
      <w:r>
        <w:rPr>
          <w:rFonts w:ascii="宋体" w:hAnsi="宋体"/>
          <w:snapToGrid w:val="0"/>
          <w:kern w:val="0"/>
          <w:szCs w:val="21"/>
        </w:rPr>
        <w:t>招 标 人：</w:t>
      </w:r>
      <w:r>
        <w:rPr>
          <w:rFonts w:hint="eastAsia" w:ascii="宋体" w:hAnsi="宋体"/>
          <w:snapToGrid w:val="0"/>
          <w:kern w:val="0"/>
          <w:szCs w:val="21"/>
          <w:u w:val="single"/>
        </w:rPr>
        <w:t>重庆梁开高速公路有限公司</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招标代理机构：</w:t>
      </w:r>
      <w:r>
        <w:rPr>
          <w:rFonts w:hint="eastAsia" w:ascii="宋体" w:hAnsi="宋体"/>
          <w:snapToGrid w:val="0"/>
          <w:kern w:val="0"/>
          <w:szCs w:val="21"/>
          <w:u w:val="single"/>
        </w:rPr>
        <w:t>重庆天廷工程咨询有限公司</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360" w:lineRule="auto"/>
        <w:ind w:left="0" w:leftChars="0" w:firstLine="0" w:firstLineChars="0"/>
        <w:jc w:val="left"/>
        <w:rPr>
          <w:rFonts w:ascii="宋体" w:hAnsi="宋体"/>
          <w:snapToGrid w:val="0"/>
          <w:kern w:val="0"/>
          <w:szCs w:val="21"/>
        </w:rPr>
      </w:pPr>
      <w:r>
        <w:rPr>
          <w:rFonts w:ascii="宋体" w:hAnsi="宋体"/>
          <w:snapToGrid w:val="0"/>
          <w:kern w:val="0"/>
          <w:szCs w:val="21"/>
        </w:rPr>
        <w:t>地    址：</w:t>
      </w:r>
      <w:r>
        <w:rPr>
          <w:rFonts w:hint="eastAsia" w:ascii="宋体" w:hAnsi="宋体"/>
          <w:snapToGrid w:val="0"/>
          <w:kern w:val="0"/>
          <w:szCs w:val="21"/>
          <w:u w:val="single"/>
        </w:rPr>
        <w:t>重庆市梁平区双桂街道迎宾路339号</w:t>
      </w:r>
      <w:r>
        <w:rPr>
          <w:rFonts w:ascii="宋体" w:hAnsi="宋体"/>
          <w:snapToGrid w:val="0"/>
          <w:kern w:val="0"/>
          <w:szCs w:val="21"/>
        </w:rPr>
        <w:t xml:space="preserve"> 地    址：</w:t>
      </w:r>
      <w:r>
        <w:rPr>
          <w:rFonts w:hint="eastAsia" w:ascii="宋体" w:hAnsi="宋体"/>
          <w:snapToGrid w:val="0"/>
          <w:kern w:val="0"/>
          <w:position w:val="-3"/>
          <w:szCs w:val="21"/>
          <w:u w:val="single"/>
        </w:rPr>
        <w:t>重庆市渝中区长江一路61号地产大厦一号楼25层</w:t>
      </w:r>
    </w:p>
    <w:p>
      <w:pPr>
        <w:tabs>
          <w:tab w:val="left" w:pos="5140"/>
          <w:tab w:val="left" w:pos="8420"/>
        </w:tabs>
        <w:autoSpaceDE w:val="0"/>
        <w:autoSpaceDN w:val="0"/>
        <w:adjustRightInd w:val="0"/>
        <w:snapToGrid w:val="0"/>
        <w:spacing w:line="360" w:lineRule="auto"/>
        <w:ind w:left="0" w:leftChars="0" w:firstLine="0" w:firstLineChars="0"/>
        <w:jc w:val="left"/>
        <w:rPr>
          <w:rFonts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rPr>
        <w:t>左先生</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联 系 人：</w:t>
      </w:r>
      <w:r>
        <w:rPr>
          <w:rFonts w:hint="eastAsia" w:ascii="宋体" w:hAnsi="宋体"/>
          <w:snapToGrid w:val="0"/>
          <w:kern w:val="0"/>
          <w:szCs w:val="21"/>
          <w:u w:val="single"/>
        </w:rPr>
        <w:t>冯女士</w:t>
      </w:r>
    </w:p>
    <w:p>
      <w:pPr>
        <w:tabs>
          <w:tab w:val="left" w:pos="5140"/>
          <w:tab w:val="left" w:pos="8420"/>
        </w:tabs>
        <w:autoSpaceDE w:val="0"/>
        <w:autoSpaceDN w:val="0"/>
        <w:adjustRightInd w:val="0"/>
        <w:snapToGrid w:val="0"/>
        <w:spacing w:line="360" w:lineRule="auto"/>
        <w:ind w:left="0" w:leftChars="0" w:firstLine="0" w:firstLineChars="0"/>
        <w:jc w:val="left"/>
        <w:rPr>
          <w:rFonts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rPr>
        <w:t>15215065207</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hint="eastAsia" w:ascii="宋体" w:hAnsi="宋体"/>
          <w:snapToGrid w:val="0"/>
          <w:kern w:val="0"/>
          <w:szCs w:val="21"/>
          <w:u w:val="single"/>
        </w:rPr>
        <w:t>023-63852038、63600137（传真）</w:t>
      </w:r>
    </w:p>
    <w:p>
      <w:pPr>
        <w:ind w:firstLine="6510" w:firstLineChars="3100"/>
        <w:rPr>
          <w:rFonts w:hint="eastAsia"/>
        </w:rPr>
      </w:pPr>
    </w:p>
    <w:p>
      <w:pPr>
        <w:ind w:firstLine="6510" w:firstLineChars="3100"/>
        <w:rPr>
          <w:rFonts w:hint="eastAsia"/>
        </w:rPr>
      </w:pPr>
      <w:r>
        <w:rPr>
          <w:rFonts w:hint="eastAsia"/>
        </w:rPr>
        <w:t>2022年06月16日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MDRjYjhlNjk1MjYzNzBjZGI3YzYzNDRjZDE2YjUifQ=="/>
  </w:docVars>
  <w:rsids>
    <w:rsidRoot w:val="00000000"/>
    <w:rsid w:val="02F54FC6"/>
    <w:rsid w:val="06093606"/>
    <w:rsid w:val="115B2DE0"/>
    <w:rsid w:val="1AD91A80"/>
    <w:rsid w:val="1C9B0535"/>
    <w:rsid w:val="1F0A152E"/>
    <w:rsid w:val="26FC5089"/>
    <w:rsid w:val="32DA54BB"/>
    <w:rsid w:val="33890C8F"/>
    <w:rsid w:val="34A828D4"/>
    <w:rsid w:val="3E387DC1"/>
    <w:rsid w:val="46B67B95"/>
    <w:rsid w:val="52C44228"/>
    <w:rsid w:val="5F571ABE"/>
    <w:rsid w:val="76DA32A9"/>
    <w:rsid w:val="7EFA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2" w:lineRule="auto"/>
      <w:outlineLvl w:val="1"/>
    </w:pPr>
    <w:rPr>
      <w:rFonts w:ascii="Arial" w:hAnsi="Arial" w:eastAsia="黑体"/>
      <w:b/>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2184</Words>
  <Characters>2474</Characters>
  <Lines>0</Lines>
  <Paragraphs>0</Paragraphs>
  <TotalTime>2</TotalTime>
  <ScaleCrop>false</ScaleCrop>
  <LinksUpToDate>false</LinksUpToDate>
  <CharactersWithSpaces>2597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2022-06-13T02:52:00Z</dcterms:created>
  <dc:creator>冯瑶</dc:creator>
  <cp:lastModifiedBy>重庆天廷工程咨询有限公司</cp:lastModifiedBy>
  <dcterms:modified xsi:type="dcterms:W3CDTF">2022-06-16T02:23:51Z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0C9A56EB74ED4C8B98F55839E9FCD2D8</vt:lpwstr>
  </property>
</Properties>
</file>