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hint="eastAsia" w:ascii="方正小标宋_GBK" w:hAnsi="方正小标宋_GBK" w:eastAsia="方正小标宋_GBK"/>
          <w:bCs/>
          <w:kern w:val="0"/>
          <w:sz w:val="36"/>
          <w:szCs w:val="44"/>
        </w:rPr>
      </w:pPr>
      <w:r>
        <w:rPr>
          <w:rFonts w:hint="eastAsia" w:ascii="方正小标宋_GBK" w:hAnsi="方正小标宋_GBK" w:eastAsia="方正小标宋_GBK"/>
          <w:bCs/>
          <w:kern w:val="0"/>
          <w:sz w:val="36"/>
          <w:szCs w:val="44"/>
        </w:rPr>
        <w:t>重庆</w:t>
      </w:r>
      <w:r>
        <w:rPr>
          <w:rFonts w:hint="eastAsia" w:ascii="方正小标宋_GBK" w:hAnsi="方正小标宋_GBK" w:eastAsia="方正小标宋_GBK"/>
          <w:bCs/>
          <w:kern w:val="0"/>
          <w:sz w:val="36"/>
          <w:szCs w:val="44"/>
          <w:lang w:eastAsia="zh-CN"/>
        </w:rPr>
        <w:t>嘉陵江利泽航电开发有限公司</w:t>
      </w:r>
    </w:p>
    <w:p>
      <w:pPr>
        <w:autoSpaceDE w:val="0"/>
        <w:autoSpaceDN w:val="0"/>
        <w:adjustRightInd w:val="0"/>
        <w:spacing w:line="520" w:lineRule="exact"/>
        <w:jc w:val="center"/>
        <w:rPr>
          <w:rFonts w:hint="eastAsia" w:ascii="方正小标宋_GBK" w:hAnsi="方正小标宋_GBK" w:eastAsia="方正小标宋_GBK" w:cs="Times New Roman"/>
          <w:bCs/>
          <w:kern w:val="0"/>
          <w:sz w:val="36"/>
          <w:szCs w:val="44"/>
        </w:rPr>
      </w:pPr>
      <w:r>
        <w:rPr>
          <w:rFonts w:hint="eastAsia" w:ascii="方正小标宋_GBK" w:hAnsi="方正小标宋_GBK" w:eastAsia="方正小标宋_GBK"/>
          <w:bCs/>
          <w:kern w:val="0"/>
          <w:sz w:val="36"/>
          <w:szCs w:val="44"/>
        </w:rPr>
        <w:t>关于</w:t>
      </w:r>
      <w:r>
        <w:rPr>
          <w:rFonts w:hint="eastAsia" w:ascii="方正小标宋_GBK" w:hAnsi="方正小标宋_GBK" w:eastAsia="方正小标宋_GBK" w:cs="Times New Roman"/>
          <w:bCs/>
          <w:kern w:val="0"/>
          <w:sz w:val="36"/>
          <w:szCs w:val="44"/>
          <w:lang w:val="en-US" w:eastAsia="zh-CN"/>
        </w:rPr>
        <w:t>嘉陵江梯级渠化利泽航运枢纽</w:t>
      </w:r>
      <w:r>
        <w:rPr>
          <w:rFonts w:hint="eastAsia" w:ascii="方正小标宋_GBK" w:hAnsi="方正小标宋_GBK" w:eastAsia="方正小标宋_GBK" w:cs="Times New Roman"/>
          <w:bCs/>
          <w:kern w:val="0"/>
          <w:sz w:val="36"/>
          <w:szCs w:val="44"/>
        </w:rPr>
        <w:t>工程</w:t>
      </w:r>
      <w:r>
        <w:rPr>
          <w:rFonts w:hint="eastAsia" w:ascii="方正小标宋_GBK" w:hAnsi="方正小标宋_GBK" w:eastAsia="方正小标宋_GBK" w:cs="Times New Roman"/>
          <w:bCs/>
          <w:kern w:val="0"/>
          <w:sz w:val="36"/>
          <w:szCs w:val="44"/>
          <w:lang w:val="en-US" w:eastAsia="zh-CN"/>
        </w:rPr>
        <w:t>武胜库区</w:t>
      </w:r>
    </w:p>
    <w:p>
      <w:pPr>
        <w:autoSpaceDE w:val="0"/>
        <w:autoSpaceDN w:val="0"/>
        <w:adjustRightInd w:val="0"/>
        <w:spacing w:line="520" w:lineRule="exact"/>
        <w:jc w:val="center"/>
        <w:rPr>
          <w:rFonts w:hint="eastAsia" w:ascii="方正小标宋_GBK" w:hAnsi="方正小标宋_GBK" w:eastAsia="方正小标宋_GBK"/>
          <w:bCs/>
          <w:kern w:val="0"/>
          <w:sz w:val="36"/>
          <w:szCs w:val="44"/>
        </w:rPr>
      </w:pPr>
      <w:r>
        <w:rPr>
          <w:rFonts w:hint="eastAsia" w:ascii="方正小标宋_GBK" w:hAnsi="方正小标宋_GBK" w:eastAsia="方正小标宋_GBK"/>
          <w:bCs/>
          <w:kern w:val="0"/>
          <w:sz w:val="36"/>
          <w:szCs w:val="44"/>
        </w:rPr>
        <w:t>生态</w:t>
      </w:r>
      <w:r>
        <w:rPr>
          <w:rFonts w:hint="eastAsia" w:ascii="方正小标宋_GBK" w:hAnsi="方正小标宋_GBK" w:eastAsia="方正小标宋_GBK"/>
          <w:bCs/>
          <w:kern w:val="0"/>
          <w:sz w:val="36"/>
          <w:szCs w:val="44"/>
          <w:lang w:val="en-US" w:eastAsia="zh-CN"/>
        </w:rPr>
        <w:t>保护</w:t>
      </w:r>
      <w:r>
        <w:rPr>
          <w:rFonts w:hint="eastAsia" w:ascii="方正小标宋_GBK" w:hAnsi="方正小标宋_GBK" w:eastAsia="方正小标宋_GBK"/>
          <w:bCs/>
          <w:kern w:val="0"/>
          <w:sz w:val="36"/>
          <w:szCs w:val="44"/>
        </w:rPr>
        <w:t>红线不可避让</w:t>
      </w:r>
      <w:r>
        <w:rPr>
          <w:rFonts w:hint="eastAsia" w:ascii="方正小标宋_GBK" w:hAnsi="方正小标宋_GBK" w:eastAsia="方正小标宋_GBK"/>
          <w:bCs/>
          <w:kern w:val="0"/>
          <w:sz w:val="36"/>
          <w:szCs w:val="44"/>
          <w:lang w:val="en-US" w:eastAsia="zh-CN"/>
        </w:rPr>
        <w:t>论证</w:t>
      </w:r>
      <w:r>
        <w:rPr>
          <w:rFonts w:hint="eastAsia" w:ascii="方正小标宋_GBK" w:hAnsi="方正小标宋_GBK" w:eastAsia="方正小标宋_GBK"/>
          <w:bCs/>
          <w:kern w:val="0"/>
          <w:sz w:val="36"/>
          <w:szCs w:val="44"/>
        </w:rPr>
        <w:t>报告编制询价邀请函</w:t>
      </w:r>
    </w:p>
    <w:p>
      <w:pPr>
        <w:autoSpaceDE w:val="0"/>
        <w:autoSpaceDN w:val="0"/>
        <w:adjustRightInd w:val="0"/>
        <w:spacing w:line="520" w:lineRule="exact"/>
        <w:ind w:firstLine="640" w:firstLineChars="200"/>
        <w:rPr>
          <w:rFonts w:eastAsia="仿宋_GB2312"/>
          <w:kern w:val="0"/>
          <w:sz w:val="32"/>
          <w:szCs w:val="32"/>
        </w:rPr>
      </w:pPr>
    </w:p>
    <w:p>
      <w:pPr>
        <w:autoSpaceDE w:val="0"/>
        <w:autoSpaceDN w:val="0"/>
        <w:adjustRightInd w:val="0"/>
        <w:spacing w:line="520" w:lineRule="exact"/>
        <w:rPr>
          <w:rFonts w:hint="eastAsia" w:ascii="黑体" w:hAnsi="黑体" w:eastAsia="黑体"/>
          <w:kern w:val="0"/>
          <w:sz w:val="32"/>
          <w:szCs w:val="32"/>
        </w:rPr>
      </w:pPr>
      <w:r>
        <w:rPr>
          <w:rFonts w:hint="eastAsia" w:ascii="黑体" w:hAnsi="黑体" w:eastAsia="黑体"/>
          <w:kern w:val="0"/>
          <w:sz w:val="32"/>
          <w:szCs w:val="32"/>
          <w:u w:val="single"/>
        </w:rPr>
        <w:t>各相关单位</w:t>
      </w:r>
      <w:r>
        <w:rPr>
          <w:rFonts w:hint="eastAsia" w:ascii="黑体" w:hAnsi="黑体" w:eastAsia="黑体"/>
          <w:kern w:val="0"/>
          <w:sz w:val="32"/>
          <w:szCs w:val="32"/>
        </w:rPr>
        <w:t>：</w:t>
      </w:r>
    </w:p>
    <w:p>
      <w:pPr>
        <w:autoSpaceDE w:val="0"/>
        <w:autoSpaceDN w:val="0"/>
        <w:adjustRightInd w:val="0"/>
        <w:spacing w:line="520" w:lineRule="exact"/>
        <w:ind w:firstLine="640" w:firstLineChars="200"/>
        <w:rPr>
          <w:rFonts w:eastAsia="仿宋_GB2312"/>
          <w:kern w:val="0"/>
          <w:sz w:val="32"/>
          <w:szCs w:val="32"/>
        </w:rPr>
      </w:pPr>
      <w:r>
        <w:rPr>
          <w:rFonts w:hint="eastAsia" w:ascii="Times New Roman" w:hAnsi="Times New Roman" w:eastAsia="仿宋_GB2312" w:cs="Times New Roman"/>
          <w:kern w:val="0"/>
          <w:sz w:val="32"/>
          <w:szCs w:val="32"/>
          <w:lang w:val="en-US" w:eastAsia="zh-CN"/>
        </w:rPr>
        <w:t>现就嘉陵江梯级渠化利泽航运枢纽</w:t>
      </w:r>
      <w:r>
        <w:rPr>
          <w:rFonts w:hint="eastAsia" w:ascii="Times New Roman" w:hAnsi="Times New Roman" w:eastAsia="仿宋_GB2312" w:cs="Times New Roman"/>
          <w:kern w:val="0"/>
          <w:sz w:val="32"/>
          <w:szCs w:val="32"/>
        </w:rPr>
        <w:t>工程</w:t>
      </w:r>
      <w:r>
        <w:rPr>
          <w:rFonts w:hint="eastAsia" w:ascii="Times New Roman" w:hAnsi="Times New Roman" w:eastAsia="仿宋_GB2312" w:cs="Times New Roman"/>
          <w:kern w:val="0"/>
          <w:sz w:val="32"/>
          <w:szCs w:val="32"/>
          <w:lang w:val="en-US" w:eastAsia="zh-CN"/>
        </w:rPr>
        <w:t>武胜库区</w:t>
      </w:r>
      <w:r>
        <w:rPr>
          <w:rFonts w:hint="eastAsia" w:eastAsia="仿宋_GB2312"/>
          <w:kern w:val="0"/>
          <w:sz w:val="32"/>
          <w:szCs w:val="32"/>
        </w:rPr>
        <w:t>生态</w:t>
      </w:r>
      <w:r>
        <w:rPr>
          <w:rFonts w:hint="eastAsia" w:eastAsia="仿宋_GB2312"/>
          <w:kern w:val="0"/>
          <w:sz w:val="32"/>
          <w:szCs w:val="32"/>
          <w:lang w:val="en-US" w:eastAsia="zh-CN"/>
        </w:rPr>
        <w:t>保护</w:t>
      </w:r>
      <w:r>
        <w:rPr>
          <w:rFonts w:hint="eastAsia" w:eastAsia="仿宋_GB2312"/>
          <w:kern w:val="0"/>
          <w:sz w:val="32"/>
          <w:szCs w:val="32"/>
        </w:rPr>
        <w:t>红线不可避让</w:t>
      </w:r>
      <w:r>
        <w:rPr>
          <w:rFonts w:hint="eastAsia" w:eastAsia="仿宋_GB2312"/>
          <w:kern w:val="0"/>
          <w:sz w:val="32"/>
          <w:szCs w:val="32"/>
          <w:lang w:val="en-US" w:eastAsia="zh-CN"/>
        </w:rPr>
        <w:t>论证</w:t>
      </w:r>
      <w:r>
        <w:rPr>
          <w:rFonts w:hint="eastAsia" w:eastAsia="仿宋_GB2312"/>
          <w:kern w:val="0"/>
          <w:sz w:val="32"/>
          <w:szCs w:val="32"/>
        </w:rPr>
        <w:t>报告编制工作</w:t>
      </w:r>
      <w:r>
        <w:rPr>
          <w:rFonts w:hint="eastAsia" w:eastAsia="仿宋_GB2312"/>
          <w:kern w:val="0"/>
          <w:sz w:val="32"/>
          <w:szCs w:val="32"/>
          <w:lang w:eastAsia="zh-CN"/>
        </w:rPr>
        <w:t>，</w:t>
      </w:r>
      <w:r>
        <w:rPr>
          <w:rFonts w:hint="eastAsia" w:eastAsia="仿宋_GB2312"/>
          <w:kern w:val="0"/>
          <w:sz w:val="32"/>
          <w:szCs w:val="32"/>
        </w:rPr>
        <w:t>特向贵单位发出询价邀请，如有意愿，请予报价。</w:t>
      </w:r>
    </w:p>
    <w:p>
      <w:pPr>
        <w:numPr>
          <w:ilvl w:val="0"/>
          <w:numId w:val="1"/>
        </w:numPr>
        <w:autoSpaceDE w:val="0"/>
        <w:autoSpaceDN w:val="0"/>
        <w:adjustRightInd w:val="0"/>
        <w:spacing w:line="520" w:lineRule="exact"/>
        <w:ind w:firstLine="640" w:firstLineChars="200"/>
        <w:outlineLvl w:val="0"/>
        <w:rPr>
          <w:rFonts w:hint="eastAsia" w:ascii="黑体" w:hAnsi="黑体" w:eastAsia="黑体"/>
          <w:bCs/>
          <w:kern w:val="0"/>
          <w:sz w:val="32"/>
          <w:szCs w:val="32"/>
        </w:rPr>
      </w:pPr>
      <w:r>
        <w:rPr>
          <w:rFonts w:hint="eastAsia" w:ascii="黑体" w:hAnsi="黑体" w:eastAsia="黑体" w:cs="Times New Roman"/>
          <w:bCs/>
          <w:kern w:val="0"/>
          <w:sz w:val="32"/>
          <w:szCs w:val="32"/>
          <w:lang w:val="en-US" w:eastAsia="zh-CN"/>
        </w:rPr>
        <w:t>嘉陵江梯级渠化利泽航运枢纽</w:t>
      </w:r>
      <w:r>
        <w:rPr>
          <w:rFonts w:hint="eastAsia" w:ascii="黑体" w:hAnsi="黑体" w:eastAsia="黑体"/>
          <w:bCs/>
          <w:kern w:val="0"/>
          <w:sz w:val="32"/>
          <w:szCs w:val="32"/>
        </w:rPr>
        <w:t>工程简介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嘉陵江梯级渠化利泽航运枢纽是实现交通运输部确定的全面渠化嘉陵江目标的关键项目，</w:t>
      </w:r>
      <w:r>
        <w:rPr>
          <w:rFonts w:hint="eastAsia" w:ascii="Times New Roman" w:hAnsi="Times New Roman" w:eastAsia="仿宋_GB2312" w:cs="Times New Roman"/>
          <w:kern w:val="0"/>
          <w:sz w:val="32"/>
          <w:szCs w:val="32"/>
          <w:lang w:val="en-US" w:eastAsia="zh-CN"/>
        </w:rPr>
        <w:t>是成渝双城经济圈建设示范项目，</w:t>
      </w:r>
      <w:r>
        <w:rPr>
          <w:rFonts w:hint="eastAsia" w:ascii="Times New Roman" w:hAnsi="Times New Roman" w:eastAsia="仿宋_GB2312" w:cs="Times New Roman"/>
          <w:kern w:val="0"/>
          <w:sz w:val="32"/>
          <w:szCs w:val="32"/>
        </w:rPr>
        <w:t>是解决四川省通江达海问题的门槛工程</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其</w:t>
      </w:r>
      <w:r>
        <w:rPr>
          <w:rFonts w:hint="eastAsia" w:ascii="Times New Roman" w:hAnsi="Times New Roman" w:eastAsia="仿宋_GB2312" w:cs="Times New Roman"/>
          <w:kern w:val="0"/>
          <w:sz w:val="32"/>
          <w:szCs w:val="32"/>
        </w:rPr>
        <w:t>坝址位于重庆市合川区大石街道利泽场，库区淹没涉及重庆市合川区和四川省武胜县。</w:t>
      </w:r>
    </w:p>
    <w:p>
      <w:pPr>
        <w:tabs>
          <w:tab w:val="left" w:pos="1040"/>
          <w:tab w:val="left" w:pos="2952"/>
          <w:tab w:val="left" w:pos="4126"/>
        </w:tabs>
        <w:spacing w:line="52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枢纽正常蓄水位为210.725米，船闸按照Ⅳ级航道标准设计，枢纽建成后可渠化航道29.7公里（其中重庆</w:t>
      </w:r>
      <w:r>
        <w:rPr>
          <w:rFonts w:hint="eastAsia" w:ascii="Times New Roman" w:hAnsi="Times New Roman" w:eastAsia="仿宋_GB2312" w:cs="Times New Roman"/>
          <w:kern w:val="0"/>
          <w:sz w:val="32"/>
          <w:szCs w:val="32"/>
          <w:lang w:val="en-US" w:eastAsia="zh-CN"/>
        </w:rPr>
        <w:t>市合川区</w:t>
      </w:r>
      <w:r>
        <w:rPr>
          <w:rFonts w:hint="eastAsia" w:ascii="Times New Roman" w:hAnsi="Times New Roman" w:eastAsia="仿宋_GB2312" w:cs="Times New Roman"/>
          <w:kern w:val="0"/>
          <w:sz w:val="32"/>
          <w:szCs w:val="32"/>
        </w:rPr>
        <w:t>境内12.7公里，四川省武胜县境内17公里）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电站装机7.4万千瓦。</w:t>
      </w:r>
    </w:p>
    <w:p>
      <w:pPr>
        <w:spacing w:line="520" w:lineRule="exact"/>
        <w:ind w:firstLine="640"/>
        <w:rPr>
          <w:rFonts w:hint="eastAsia" w:eastAsia="仿宋_GB2312"/>
          <w:kern w:val="0"/>
          <w:sz w:val="32"/>
          <w:szCs w:val="32"/>
        </w:rPr>
      </w:pPr>
      <w:r>
        <w:rPr>
          <w:rFonts w:hint="eastAsia" w:eastAsia="仿宋_GB2312"/>
          <w:kern w:val="0"/>
          <w:sz w:val="32"/>
          <w:szCs w:val="32"/>
        </w:rPr>
        <w:t>项目进展为</w:t>
      </w:r>
      <w:r>
        <w:rPr>
          <w:rFonts w:hint="eastAsia" w:ascii="Times New Roman" w:hAnsi="Times New Roman" w:eastAsia="仿宋_GB2312" w:cs="Times New Roman"/>
          <w:kern w:val="0"/>
          <w:sz w:val="32"/>
          <w:szCs w:val="32"/>
          <w:lang w:val="en-US" w:eastAsia="zh-CN"/>
        </w:rPr>
        <w:t>工程可研、初设、环评均已获批，左岸一期工程已开工建设。</w:t>
      </w:r>
    </w:p>
    <w:p>
      <w:pPr>
        <w:numPr>
          <w:ilvl w:val="0"/>
          <w:numId w:val="1"/>
        </w:numPr>
        <w:autoSpaceDE w:val="0"/>
        <w:autoSpaceDN w:val="0"/>
        <w:adjustRightInd w:val="0"/>
        <w:spacing w:line="520" w:lineRule="exact"/>
        <w:ind w:firstLine="640" w:firstLineChars="200"/>
        <w:outlineLvl w:val="0"/>
        <w:rPr>
          <w:rFonts w:hint="eastAsia" w:ascii="黑体" w:hAnsi="黑体" w:eastAsia="黑体"/>
          <w:bCs/>
          <w:kern w:val="0"/>
          <w:sz w:val="32"/>
          <w:szCs w:val="32"/>
        </w:rPr>
      </w:pPr>
      <w:r>
        <w:rPr>
          <w:rFonts w:hint="eastAsia" w:ascii="黑体" w:hAnsi="黑体" w:eastAsia="黑体"/>
          <w:bCs/>
          <w:kern w:val="0"/>
          <w:sz w:val="32"/>
          <w:szCs w:val="32"/>
        </w:rPr>
        <w:t>报告编制要求：</w:t>
      </w:r>
    </w:p>
    <w:p>
      <w:pPr>
        <w:numPr>
          <w:ilvl w:val="0"/>
          <w:numId w:val="2"/>
        </w:numPr>
        <w:autoSpaceDE w:val="0"/>
        <w:autoSpaceDN w:val="0"/>
        <w:adjustRightInd w:val="0"/>
        <w:spacing w:line="520" w:lineRule="exact"/>
        <w:ind w:firstLine="640" w:firstLineChars="200"/>
        <w:rPr>
          <w:rFonts w:hint="eastAsia" w:eastAsia="仿宋_GB2312"/>
          <w:kern w:val="0"/>
          <w:sz w:val="32"/>
          <w:szCs w:val="32"/>
        </w:rPr>
      </w:pPr>
      <w:r>
        <w:rPr>
          <w:rFonts w:hint="eastAsia" w:eastAsia="仿宋_GB2312"/>
          <w:kern w:val="0"/>
          <w:sz w:val="32"/>
          <w:szCs w:val="32"/>
        </w:rPr>
        <w:t>按照现行国家规范性文件和技术规程的要求，编制完成</w:t>
      </w:r>
      <w:r>
        <w:rPr>
          <w:rFonts w:hint="eastAsia" w:eastAsia="仿宋_GB2312"/>
          <w:kern w:val="0"/>
          <w:sz w:val="32"/>
          <w:szCs w:val="32"/>
          <w:lang w:val="en-US" w:eastAsia="zh-CN"/>
        </w:rPr>
        <w:t>嘉陵江梯级渠化</w:t>
      </w:r>
      <w:r>
        <w:rPr>
          <w:rFonts w:hint="eastAsia" w:eastAsia="仿宋_GB2312"/>
          <w:kern w:val="0"/>
          <w:sz w:val="32"/>
          <w:szCs w:val="32"/>
          <w:lang w:eastAsia="zh-CN"/>
        </w:rPr>
        <w:t>利泽</w:t>
      </w:r>
      <w:r>
        <w:rPr>
          <w:rFonts w:hint="eastAsia" w:eastAsia="仿宋_GB2312"/>
          <w:kern w:val="0"/>
          <w:sz w:val="32"/>
          <w:szCs w:val="32"/>
        </w:rPr>
        <w:t>航</w:t>
      </w:r>
      <w:r>
        <w:rPr>
          <w:rFonts w:hint="eastAsia" w:eastAsia="仿宋_GB2312"/>
          <w:kern w:val="0"/>
          <w:sz w:val="32"/>
          <w:szCs w:val="32"/>
          <w:lang w:eastAsia="zh-CN"/>
        </w:rPr>
        <w:t>运</w:t>
      </w:r>
      <w:r>
        <w:rPr>
          <w:rFonts w:hint="eastAsia" w:eastAsia="仿宋_GB2312"/>
          <w:kern w:val="0"/>
          <w:sz w:val="32"/>
          <w:szCs w:val="32"/>
        </w:rPr>
        <w:t>枢纽工程生态</w:t>
      </w:r>
      <w:r>
        <w:rPr>
          <w:rFonts w:hint="eastAsia" w:eastAsia="仿宋_GB2312"/>
          <w:kern w:val="0"/>
          <w:sz w:val="32"/>
          <w:szCs w:val="32"/>
          <w:lang w:val="en-US" w:eastAsia="zh-CN"/>
        </w:rPr>
        <w:t>保护</w:t>
      </w:r>
      <w:r>
        <w:rPr>
          <w:rFonts w:hint="eastAsia" w:eastAsia="仿宋_GB2312"/>
          <w:kern w:val="0"/>
          <w:sz w:val="32"/>
          <w:szCs w:val="32"/>
        </w:rPr>
        <w:t>红线不可避让</w:t>
      </w:r>
      <w:r>
        <w:rPr>
          <w:rFonts w:hint="eastAsia" w:eastAsia="仿宋_GB2312"/>
          <w:kern w:val="0"/>
          <w:sz w:val="32"/>
          <w:szCs w:val="32"/>
          <w:lang w:val="en-US" w:eastAsia="zh-CN"/>
        </w:rPr>
        <w:t>论证</w:t>
      </w:r>
      <w:r>
        <w:rPr>
          <w:rFonts w:hint="eastAsia" w:eastAsia="仿宋_GB2312"/>
          <w:kern w:val="0"/>
          <w:sz w:val="32"/>
          <w:szCs w:val="32"/>
        </w:rPr>
        <w:t>报告。</w:t>
      </w:r>
    </w:p>
    <w:p>
      <w:pPr>
        <w:numPr>
          <w:ilvl w:val="0"/>
          <w:numId w:val="2"/>
        </w:numPr>
        <w:autoSpaceDE w:val="0"/>
        <w:autoSpaceDN w:val="0"/>
        <w:adjustRightInd w:val="0"/>
        <w:spacing w:line="520" w:lineRule="exact"/>
        <w:ind w:firstLine="640" w:firstLineChars="200"/>
        <w:outlineLvl w:val="0"/>
        <w:rPr>
          <w:rFonts w:hint="eastAsia" w:eastAsia="仿宋_GB2312"/>
          <w:kern w:val="0"/>
          <w:sz w:val="32"/>
          <w:szCs w:val="32"/>
        </w:rPr>
      </w:pPr>
      <w:r>
        <w:rPr>
          <w:rFonts w:hint="eastAsia" w:eastAsia="仿宋_GB2312"/>
          <w:kern w:val="0"/>
          <w:sz w:val="32"/>
          <w:szCs w:val="32"/>
        </w:rPr>
        <w:t>报告应符合合法合规原则，占用生态</w:t>
      </w:r>
      <w:r>
        <w:rPr>
          <w:rFonts w:hint="eastAsia" w:eastAsia="仿宋_GB2312"/>
          <w:kern w:val="0"/>
          <w:sz w:val="32"/>
          <w:szCs w:val="32"/>
          <w:lang w:val="en-US" w:eastAsia="zh-CN"/>
        </w:rPr>
        <w:t>保护</w:t>
      </w:r>
      <w:r>
        <w:rPr>
          <w:rFonts w:hint="eastAsia" w:eastAsia="仿宋_GB2312"/>
          <w:kern w:val="0"/>
          <w:sz w:val="32"/>
          <w:szCs w:val="32"/>
        </w:rPr>
        <w:t>红线必须符合国家规定。依据生态保护红线划定成果和项目建设情况，论证项目占用生态保护红线的合法合规性、不可避让性。</w:t>
      </w:r>
    </w:p>
    <w:p>
      <w:pPr>
        <w:numPr>
          <w:ilvl w:val="0"/>
          <w:numId w:val="2"/>
        </w:numPr>
        <w:autoSpaceDE w:val="0"/>
        <w:autoSpaceDN w:val="0"/>
        <w:adjustRightInd w:val="0"/>
        <w:spacing w:line="520" w:lineRule="exact"/>
        <w:ind w:firstLine="640" w:firstLineChars="200"/>
        <w:outlineLvl w:val="0"/>
        <w:rPr>
          <w:rFonts w:hint="eastAsia" w:eastAsia="仿宋_GB2312"/>
          <w:kern w:val="0"/>
          <w:sz w:val="32"/>
          <w:szCs w:val="32"/>
        </w:rPr>
      </w:pPr>
      <w:r>
        <w:rPr>
          <w:rFonts w:hint="eastAsia" w:eastAsia="仿宋_GB2312"/>
          <w:kern w:val="0"/>
          <w:sz w:val="32"/>
          <w:szCs w:val="32"/>
        </w:rPr>
        <w:t>本报告的主要内容包括但不限于：①论证占用生态保护红线的合法合规性；②对比论证占用生态保护红线的不可避让性。</w:t>
      </w:r>
      <w:r>
        <w:rPr>
          <w:rFonts w:hint="eastAsia" w:eastAsia="仿宋_GB2312"/>
          <w:kern w:val="0"/>
          <w:sz w:val="32"/>
          <w:szCs w:val="32"/>
          <w:lang w:val="en-US" w:eastAsia="zh-CN"/>
        </w:rPr>
        <w:t>③满足生态保护红线不可避让专题报告编制工作的服务工作（包括生态调查报告等服务型子报告）。</w:t>
      </w:r>
    </w:p>
    <w:p>
      <w:pPr>
        <w:numPr>
          <w:ilvl w:val="0"/>
          <w:numId w:val="2"/>
        </w:numPr>
        <w:autoSpaceDE w:val="0"/>
        <w:autoSpaceDN w:val="0"/>
        <w:adjustRightInd w:val="0"/>
        <w:spacing w:line="520" w:lineRule="exact"/>
        <w:ind w:firstLine="640" w:firstLineChars="200"/>
        <w:rPr>
          <w:rFonts w:hint="eastAsia" w:eastAsia="仿宋_GB2312"/>
          <w:kern w:val="0"/>
          <w:sz w:val="32"/>
          <w:szCs w:val="32"/>
        </w:rPr>
      </w:pPr>
      <w:r>
        <w:rPr>
          <w:rFonts w:hint="eastAsia" w:eastAsia="仿宋_GB2312"/>
          <w:kern w:val="0"/>
          <w:sz w:val="32"/>
          <w:szCs w:val="32"/>
        </w:rPr>
        <w:t>确保本报告通过相关主管部门组织的审查，并取得</w:t>
      </w:r>
      <w:r>
        <w:rPr>
          <w:rFonts w:hint="eastAsia" w:eastAsia="仿宋_GB2312"/>
          <w:kern w:val="0"/>
          <w:sz w:val="32"/>
          <w:szCs w:val="32"/>
          <w:lang w:val="en-US" w:eastAsia="zh-CN"/>
        </w:rPr>
        <w:t>审查、</w:t>
      </w:r>
      <w:r>
        <w:rPr>
          <w:rFonts w:hint="eastAsia" w:eastAsia="仿宋_GB2312"/>
          <w:kern w:val="0"/>
          <w:sz w:val="32"/>
          <w:szCs w:val="32"/>
        </w:rPr>
        <w:t>批复</w:t>
      </w:r>
      <w:r>
        <w:rPr>
          <w:rFonts w:hint="eastAsia" w:eastAsia="仿宋_GB2312"/>
          <w:kern w:val="0"/>
          <w:sz w:val="32"/>
          <w:szCs w:val="32"/>
          <w:lang w:val="en-US" w:eastAsia="zh-CN"/>
        </w:rPr>
        <w:t>类</w:t>
      </w:r>
      <w:r>
        <w:rPr>
          <w:rFonts w:hint="eastAsia" w:eastAsia="仿宋_GB2312"/>
          <w:kern w:val="0"/>
          <w:sz w:val="32"/>
          <w:szCs w:val="32"/>
        </w:rPr>
        <w:t>文件。</w:t>
      </w:r>
    </w:p>
    <w:p>
      <w:pPr>
        <w:numPr>
          <w:ilvl w:val="0"/>
          <w:numId w:val="2"/>
        </w:numPr>
        <w:autoSpaceDE w:val="0"/>
        <w:autoSpaceDN w:val="0"/>
        <w:adjustRightInd w:val="0"/>
        <w:spacing w:line="520" w:lineRule="exact"/>
        <w:ind w:firstLine="640" w:firstLineChars="200"/>
        <w:rPr>
          <w:rFonts w:hint="eastAsia" w:eastAsia="仿宋_GB2312"/>
          <w:color w:val="auto"/>
          <w:kern w:val="0"/>
          <w:sz w:val="32"/>
          <w:szCs w:val="32"/>
        </w:rPr>
      </w:pPr>
      <w:r>
        <w:rPr>
          <w:rFonts w:hint="eastAsia" w:eastAsia="仿宋_GB2312"/>
          <w:color w:val="auto"/>
          <w:kern w:val="0"/>
          <w:sz w:val="32"/>
          <w:szCs w:val="32"/>
          <w:lang w:val="en-US" w:eastAsia="zh-CN"/>
        </w:rPr>
        <w:t>本项目占用涉及饮用水源和水土保持类型生态红线范围约3000亩，其中拟报批征收集体土地约45亩，其余均为国有土地（河流水面及滩涂）。报告编制单位应充分考虑相关因素进行不可避让性论证，确保编制报告通过审查并获得批复。</w:t>
      </w:r>
    </w:p>
    <w:p>
      <w:pPr>
        <w:numPr>
          <w:ilvl w:val="0"/>
          <w:numId w:val="1"/>
        </w:numPr>
        <w:autoSpaceDE w:val="0"/>
        <w:autoSpaceDN w:val="0"/>
        <w:adjustRightInd w:val="0"/>
        <w:spacing w:line="520" w:lineRule="exact"/>
        <w:ind w:firstLine="640" w:firstLineChars="200"/>
        <w:outlineLvl w:val="0"/>
        <w:rPr>
          <w:rFonts w:hint="eastAsia" w:ascii="黑体" w:hAnsi="黑体" w:eastAsia="黑体"/>
          <w:bCs/>
          <w:color w:val="auto"/>
          <w:kern w:val="0"/>
          <w:sz w:val="32"/>
          <w:szCs w:val="32"/>
        </w:rPr>
      </w:pPr>
      <w:r>
        <w:rPr>
          <w:rFonts w:hint="eastAsia" w:ascii="黑体" w:hAnsi="黑体" w:eastAsia="黑体"/>
          <w:bCs/>
          <w:color w:val="auto"/>
          <w:kern w:val="0"/>
          <w:sz w:val="32"/>
          <w:szCs w:val="32"/>
        </w:rPr>
        <w:t>报价单位有关要求</w:t>
      </w:r>
    </w:p>
    <w:p>
      <w:pPr>
        <w:numPr>
          <w:ilvl w:val="0"/>
          <w:numId w:val="3"/>
        </w:numPr>
        <w:autoSpaceDE w:val="0"/>
        <w:autoSpaceDN w:val="0"/>
        <w:adjustRightInd w:val="0"/>
        <w:spacing w:line="520" w:lineRule="exact"/>
        <w:ind w:firstLine="640" w:firstLineChars="200"/>
        <w:rPr>
          <w:rFonts w:hint="eastAsia" w:eastAsia="仿宋_GB2312"/>
          <w:color w:val="auto"/>
          <w:kern w:val="0"/>
          <w:sz w:val="32"/>
          <w:szCs w:val="32"/>
        </w:rPr>
      </w:pPr>
      <w:r>
        <w:rPr>
          <w:rFonts w:hint="eastAsia" w:eastAsia="仿宋_GB2312"/>
          <w:color w:val="auto"/>
          <w:kern w:val="0"/>
          <w:sz w:val="32"/>
          <w:szCs w:val="32"/>
        </w:rPr>
        <w:t>具有不可避让生态</w:t>
      </w:r>
      <w:r>
        <w:rPr>
          <w:rFonts w:hint="eastAsia" w:eastAsia="仿宋_GB2312"/>
          <w:color w:val="auto"/>
          <w:kern w:val="0"/>
          <w:sz w:val="32"/>
          <w:szCs w:val="32"/>
          <w:lang w:val="en-US" w:eastAsia="zh-CN"/>
        </w:rPr>
        <w:t>保护</w:t>
      </w:r>
      <w:r>
        <w:rPr>
          <w:rFonts w:hint="eastAsia" w:eastAsia="仿宋_GB2312"/>
          <w:color w:val="auto"/>
          <w:kern w:val="0"/>
          <w:sz w:val="32"/>
          <w:szCs w:val="32"/>
        </w:rPr>
        <w:t>红线专题报告编制的能力</w:t>
      </w:r>
      <w:r>
        <w:rPr>
          <w:rFonts w:hint="eastAsia" w:eastAsia="仿宋_GB2312"/>
          <w:color w:val="auto"/>
          <w:kern w:val="0"/>
          <w:sz w:val="32"/>
          <w:szCs w:val="32"/>
          <w:lang w:eastAsia="zh-CN"/>
        </w:rPr>
        <w:t>；</w:t>
      </w:r>
    </w:p>
    <w:p>
      <w:pPr>
        <w:numPr>
          <w:ilvl w:val="0"/>
          <w:numId w:val="3"/>
        </w:numPr>
        <w:autoSpaceDE w:val="0"/>
        <w:autoSpaceDN w:val="0"/>
        <w:adjustRightInd w:val="0"/>
        <w:spacing w:line="520" w:lineRule="exact"/>
        <w:ind w:firstLine="640" w:firstLineChars="200"/>
        <w:rPr>
          <w:rFonts w:hint="eastAsia" w:eastAsia="仿宋_GB2312"/>
          <w:color w:val="auto"/>
          <w:kern w:val="0"/>
          <w:sz w:val="32"/>
          <w:szCs w:val="32"/>
        </w:rPr>
      </w:pPr>
      <w:bookmarkStart w:id="0" w:name="_GoBack"/>
      <w:bookmarkEnd w:id="0"/>
      <w:r>
        <w:rPr>
          <w:rFonts w:hint="eastAsia" w:eastAsia="仿宋_GB2312"/>
          <w:color w:val="auto"/>
          <w:kern w:val="0"/>
          <w:sz w:val="32"/>
          <w:szCs w:val="32"/>
          <w:lang w:eastAsia="zh-CN"/>
        </w:rPr>
        <w:t>开展过类似项目工作有相关业绩经验。</w:t>
      </w:r>
    </w:p>
    <w:p>
      <w:pPr>
        <w:numPr>
          <w:ilvl w:val="0"/>
          <w:numId w:val="1"/>
        </w:numPr>
        <w:autoSpaceDE w:val="0"/>
        <w:autoSpaceDN w:val="0"/>
        <w:adjustRightInd w:val="0"/>
        <w:spacing w:line="520" w:lineRule="exact"/>
        <w:ind w:firstLine="640" w:firstLineChars="200"/>
        <w:outlineLvl w:val="0"/>
        <w:rPr>
          <w:rFonts w:hint="eastAsia" w:ascii="黑体" w:hAnsi="黑体" w:eastAsia="黑体"/>
          <w:bCs/>
          <w:color w:val="auto"/>
          <w:kern w:val="0"/>
          <w:sz w:val="32"/>
          <w:szCs w:val="32"/>
        </w:rPr>
      </w:pPr>
      <w:r>
        <w:rPr>
          <w:rFonts w:hint="eastAsia" w:ascii="黑体" w:hAnsi="黑体" w:eastAsia="黑体"/>
          <w:bCs/>
          <w:color w:val="auto"/>
          <w:kern w:val="0"/>
          <w:sz w:val="32"/>
          <w:szCs w:val="32"/>
        </w:rPr>
        <w:t>费用组成：</w:t>
      </w:r>
    </w:p>
    <w:p>
      <w:pPr>
        <w:autoSpaceDE w:val="0"/>
        <w:autoSpaceDN w:val="0"/>
        <w:adjustRightInd w:val="0"/>
        <w:spacing w:line="520" w:lineRule="exact"/>
        <w:outlineLvl w:val="0"/>
        <w:rPr>
          <w:rFonts w:ascii="黑体" w:hAnsi="黑体" w:eastAsia="黑体"/>
          <w:bCs/>
          <w:color w:val="auto"/>
          <w:kern w:val="0"/>
          <w:sz w:val="32"/>
          <w:szCs w:val="32"/>
        </w:rPr>
      </w:pPr>
      <w:r>
        <w:rPr>
          <w:rFonts w:hint="eastAsia" w:eastAsia="仿宋_GB2312"/>
          <w:color w:val="auto"/>
          <w:kern w:val="0"/>
          <w:sz w:val="32"/>
          <w:szCs w:val="32"/>
        </w:rPr>
        <w:t xml:space="preserve">    本合同采用总价包干形式。包括现场调查、采样、资料收集、提交资料、数据分析、报告编制（含服务型</w:t>
      </w:r>
      <w:r>
        <w:rPr>
          <w:rFonts w:hint="eastAsia" w:eastAsia="仿宋_GB2312"/>
          <w:color w:val="auto"/>
          <w:kern w:val="0"/>
          <w:sz w:val="32"/>
          <w:szCs w:val="32"/>
          <w:lang w:val="en-US" w:eastAsia="zh-CN"/>
        </w:rPr>
        <w:t>子</w:t>
      </w:r>
      <w:r>
        <w:rPr>
          <w:rFonts w:hint="eastAsia" w:eastAsia="仿宋_GB2312"/>
          <w:color w:val="auto"/>
          <w:kern w:val="0"/>
          <w:sz w:val="32"/>
          <w:szCs w:val="32"/>
        </w:rPr>
        <w:t>报告编制）、现场核查、评审会务费用、专家咨询费等以及后期服务等为完成本项目不可避让生态</w:t>
      </w:r>
      <w:r>
        <w:rPr>
          <w:rFonts w:hint="eastAsia" w:eastAsia="仿宋_GB2312"/>
          <w:color w:val="auto"/>
          <w:kern w:val="0"/>
          <w:sz w:val="32"/>
          <w:szCs w:val="32"/>
          <w:lang w:val="en-US" w:eastAsia="zh-CN"/>
        </w:rPr>
        <w:t>保护</w:t>
      </w:r>
      <w:r>
        <w:rPr>
          <w:rFonts w:hint="eastAsia" w:eastAsia="仿宋_GB2312"/>
          <w:color w:val="auto"/>
          <w:kern w:val="0"/>
          <w:sz w:val="32"/>
          <w:szCs w:val="32"/>
        </w:rPr>
        <w:t>红线专题报告编制，取得报告批复所含工作内容的全部费用</w:t>
      </w:r>
      <w:r>
        <w:rPr>
          <w:rFonts w:eastAsia="仿宋_GB2312"/>
          <w:color w:val="auto"/>
          <w:kern w:val="0"/>
          <w:sz w:val="32"/>
          <w:szCs w:val="32"/>
        </w:rPr>
        <w:t>。</w:t>
      </w:r>
    </w:p>
    <w:p>
      <w:pPr>
        <w:numPr>
          <w:ilvl w:val="0"/>
          <w:numId w:val="1"/>
        </w:numPr>
        <w:autoSpaceDE w:val="0"/>
        <w:autoSpaceDN w:val="0"/>
        <w:adjustRightInd w:val="0"/>
        <w:spacing w:line="520" w:lineRule="exact"/>
        <w:ind w:firstLine="640" w:firstLineChars="200"/>
        <w:outlineLvl w:val="0"/>
        <w:rPr>
          <w:rFonts w:ascii="黑体" w:hAnsi="黑体" w:eastAsia="黑体"/>
          <w:bCs/>
          <w:color w:val="auto"/>
          <w:kern w:val="0"/>
          <w:sz w:val="32"/>
          <w:szCs w:val="32"/>
        </w:rPr>
      </w:pPr>
      <w:r>
        <w:rPr>
          <w:rFonts w:hint="eastAsia" w:ascii="黑体" w:hAnsi="黑体" w:eastAsia="黑体"/>
          <w:bCs/>
          <w:color w:val="auto"/>
          <w:kern w:val="0"/>
          <w:sz w:val="32"/>
          <w:szCs w:val="32"/>
        </w:rPr>
        <w:t>项目地点：</w:t>
      </w:r>
      <w:r>
        <w:rPr>
          <w:rFonts w:hint="eastAsia" w:eastAsia="仿宋_GB2312"/>
          <w:color w:val="auto"/>
          <w:kern w:val="0"/>
          <w:sz w:val="32"/>
          <w:szCs w:val="32"/>
          <w:lang w:eastAsia="zh-CN"/>
        </w:rPr>
        <w:t>四川省武胜县</w:t>
      </w:r>
      <w:r>
        <w:rPr>
          <w:rFonts w:eastAsia="仿宋_GB2312"/>
          <w:color w:val="auto"/>
          <w:kern w:val="0"/>
          <w:sz w:val="32"/>
          <w:szCs w:val="32"/>
        </w:rPr>
        <w:t>。</w:t>
      </w:r>
    </w:p>
    <w:p>
      <w:pPr>
        <w:numPr>
          <w:ilvl w:val="0"/>
          <w:numId w:val="1"/>
        </w:numPr>
        <w:snapToGrid w:val="0"/>
        <w:spacing w:line="380" w:lineRule="exact"/>
        <w:ind w:firstLine="640" w:firstLineChars="200"/>
        <w:jc w:val="left"/>
        <w:rPr>
          <w:rFonts w:hint="eastAsia" w:ascii="黑体" w:hAnsi="黑体" w:eastAsia="黑体"/>
          <w:bCs/>
          <w:color w:val="auto"/>
          <w:kern w:val="0"/>
          <w:sz w:val="32"/>
          <w:szCs w:val="32"/>
        </w:rPr>
      </w:pPr>
      <w:r>
        <w:rPr>
          <w:rFonts w:hint="eastAsia" w:ascii="黑体" w:hAnsi="黑体" w:eastAsia="黑体"/>
          <w:bCs/>
          <w:color w:val="auto"/>
          <w:kern w:val="0"/>
          <w:sz w:val="32"/>
          <w:szCs w:val="32"/>
        </w:rPr>
        <w:t>工作时间要求：</w:t>
      </w:r>
    </w:p>
    <w:p>
      <w:pPr>
        <w:autoSpaceDE w:val="0"/>
        <w:autoSpaceDN w:val="0"/>
        <w:adjustRightInd w:val="0"/>
        <w:spacing w:line="520" w:lineRule="exact"/>
        <w:ind w:firstLine="640" w:firstLineChars="200"/>
        <w:jc w:val="left"/>
        <w:outlineLvl w:val="0"/>
        <w:rPr>
          <w:rFonts w:hint="eastAsia" w:eastAsia="仿宋_GB2312"/>
          <w:color w:val="auto"/>
          <w:kern w:val="0"/>
          <w:sz w:val="32"/>
          <w:szCs w:val="32"/>
        </w:rPr>
      </w:pPr>
      <w:r>
        <w:rPr>
          <w:rFonts w:hint="eastAsia" w:eastAsia="仿宋_GB2312"/>
          <w:color w:val="auto"/>
          <w:kern w:val="0"/>
          <w:sz w:val="32"/>
          <w:szCs w:val="32"/>
        </w:rPr>
        <w:t>1、合同签订后，15日内提供《</w:t>
      </w:r>
      <w:r>
        <w:rPr>
          <w:rFonts w:hint="eastAsia" w:ascii="Times New Roman" w:hAnsi="Times New Roman" w:eastAsia="仿宋_GB2312" w:cs="Times New Roman"/>
          <w:color w:val="auto"/>
          <w:kern w:val="0"/>
          <w:sz w:val="32"/>
          <w:szCs w:val="32"/>
          <w:lang w:val="en-US" w:eastAsia="zh-CN"/>
        </w:rPr>
        <w:t>嘉陵江梯级渠化利泽航运枢纽</w:t>
      </w:r>
      <w:r>
        <w:rPr>
          <w:rFonts w:hint="eastAsia" w:ascii="Times New Roman" w:hAnsi="Times New Roman" w:eastAsia="仿宋_GB2312" w:cs="Times New Roman"/>
          <w:color w:val="auto"/>
          <w:kern w:val="0"/>
          <w:sz w:val="32"/>
          <w:szCs w:val="32"/>
        </w:rPr>
        <w:t>工程</w:t>
      </w:r>
      <w:r>
        <w:rPr>
          <w:rFonts w:hint="eastAsia" w:ascii="Times New Roman" w:hAnsi="Times New Roman" w:eastAsia="仿宋_GB2312" w:cs="Times New Roman"/>
          <w:color w:val="auto"/>
          <w:kern w:val="0"/>
          <w:sz w:val="32"/>
          <w:szCs w:val="32"/>
          <w:lang w:val="en-US" w:eastAsia="zh-CN"/>
        </w:rPr>
        <w:t>武胜库区</w:t>
      </w:r>
      <w:r>
        <w:rPr>
          <w:rFonts w:hint="eastAsia" w:eastAsia="仿宋_GB2312"/>
          <w:color w:val="auto"/>
          <w:kern w:val="0"/>
          <w:sz w:val="32"/>
          <w:szCs w:val="32"/>
        </w:rPr>
        <w:t>生态</w:t>
      </w:r>
      <w:r>
        <w:rPr>
          <w:rFonts w:hint="eastAsia" w:eastAsia="仿宋_GB2312"/>
          <w:color w:val="auto"/>
          <w:kern w:val="0"/>
          <w:sz w:val="32"/>
          <w:szCs w:val="32"/>
          <w:lang w:val="en-US" w:eastAsia="zh-CN"/>
        </w:rPr>
        <w:t>保护</w:t>
      </w:r>
      <w:r>
        <w:rPr>
          <w:rFonts w:hint="eastAsia" w:eastAsia="仿宋_GB2312"/>
          <w:color w:val="auto"/>
          <w:kern w:val="0"/>
          <w:sz w:val="32"/>
          <w:szCs w:val="32"/>
        </w:rPr>
        <w:t>红线不可避让</w:t>
      </w:r>
      <w:r>
        <w:rPr>
          <w:rFonts w:hint="eastAsia" w:eastAsia="仿宋_GB2312"/>
          <w:color w:val="auto"/>
          <w:kern w:val="0"/>
          <w:sz w:val="32"/>
          <w:szCs w:val="32"/>
          <w:lang w:val="en-US" w:eastAsia="zh-CN"/>
        </w:rPr>
        <w:t>论证</w:t>
      </w:r>
      <w:r>
        <w:rPr>
          <w:rFonts w:hint="eastAsia" w:eastAsia="仿宋_GB2312"/>
          <w:color w:val="auto"/>
          <w:kern w:val="0"/>
          <w:sz w:val="32"/>
          <w:szCs w:val="32"/>
        </w:rPr>
        <w:t>报告》（送审稿）10份；</w:t>
      </w:r>
    </w:p>
    <w:p>
      <w:pPr>
        <w:autoSpaceDE w:val="0"/>
        <w:autoSpaceDN w:val="0"/>
        <w:adjustRightInd w:val="0"/>
        <w:spacing w:line="520" w:lineRule="exact"/>
        <w:ind w:firstLine="640" w:firstLineChars="200"/>
        <w:jc w:val="left"/>
        <w:outlineLvl w:val="0"/>
        <w:rPr>
          <w:rFonts w:hint="eastAsia" w:eastAsia="仿宋_GB2312"/>
          <w:color w:val="auto"/>
          <w:kern w:val="0"/>
          <w:sz w:val="32"/>
          <w:szCs w:val="32"/>
        </w:rPr>
      </w:pPr>
      <w:r>
        <w:rPr>
          <w:rFonts w:hint="eastAsia" w:eastAsia="仿宋_GB2312"/>
          <w:color w:val="auto"/>
          <w:kern w:val="0"/>
          <w:sz w:val="32"/>
          <w:szCs w:val="32"/>
        </w:rPr>
        <w:t>2、通过主管部门审查后15日内，提供《</w:t>
      </w:r>
      <w:r>
        <w:rPr>
          <w:rFonts w:hint="eastAsia" w:ascii="Times New Roman" w:hAnsi="Times New Roman" w:eastAsia="仿宋_GB2312" w:cs="Times New Roman"/>
          <w:color w:val="auto"/>
          <w:kern w:val="0"/>
          <w:sz w:val="32"/>
          <w:szCs w:val="32"/>
          <w:lang w:val="en-US" w:eastAsia="zh-CN"/>
        </w:rPr>
        <w:t>嘉陵江梯级渠化利泽航运枢纽</w:t>
      </w:r>
      <w:r>
        <w:rPr>
          <w:rFonts w:hint="eastAsia" w:ascii="Times New Roman" w:hAnsi="Times New Roman" w:eastAsia="仿宋_GB2312" w:cs="Times New Roman"/>
          <w:color w:val="auto"/>
          <w:kern w:val="0"/>
          <w:sz w:val="32"/>
          <w:szCs w:val="32"/>
        </w:rPr>
        <w:t>工程</w:t>
      </w:r>
      <w:r>
        <w:rPr>
          <w:rFonts w:hint="eastAsia" w:ascii="Times New Roman" w:hAnsi="Times New Roman" w:eastAsia="仿宋_GB2312" w:cs="Times New Roman"/>
          <w:color w:val="auto"/>
          <w:kern w:val="0"/>
          <w:sz w:val="32"/>
          <w:szCs w:val="32"/>
          <w:lang w:val="en-US" w:eastAsia="zh-CN"/>
        </w:rPr>
        <w:t>武胜库区</w:t>
      </w:r>
      <w:r>
        <w:rPr>
          <w:rFonts w:hint="eastAsia" w:eastAsia="仿宋_GB2312"/>
          <w:color w:val="auto"/>
          <w:kern w:val="0"/>
          <w:sz w:val="32"/>
          <w:szCs w:val="32"/>
        </w:rPr>
        <w:t>生态</w:t>
      </w:r>
      <w:r>
        <w:rPr>
          <w:rFonts w:hint="eastAsia" w:eastAsia="仿宋_GB2312"/>
          <w:color w:val="auto"/>
          <w:kern w:val="0"/>
          <w:sz w:val="32"/>
          <w:szCs w:val="32"/>
          <w:lang w:val="en-US" w:eastAsia="zh-CN"/>
        </w:rPr>
        <w:t>保护</w:t>
      </w:r>
      <w:r>
        <w:rPr>
          <w:rFonts w:hint="eastAsia" w:eastAsia="仿宋_GB2312"/>
          <w:color w:val="auto"/>
          <w:kern w:val="0"/>
          <w:sz w:val="32"/>
          <w:szCs w:val="32"/>
        </w:rPr>
        <w:t>红线不可避让专题报告》（报批稿）8份。以上报告提供时，均需提供电子文档光盘资料2份。</w:t>
      </w:r>
    </w:p>
    <w:p>
      <w:pPr>
        <w:autoSpaceDE w:val="0"/>
        <w:autoSpaceDN w:val="0"/>
        <w:adjustRightInd w:val="0"/>
        <w:spacing w:line="520" w:lineRule="exact"/>
        <w:ind w:firstLine="640" w:firstLineChars="200"/>
        <w:jc w:val="left"/>
        <w:outlineLvl w:val="0"/>
        <w:rPr>
          <w:rFonts w:eastAsia="黑体"/>
          <w:bCs/>
          <w:color w:val="auto"/>
          <w:kern w:val="0"/>
          <w:sz w:val="32"/>
          <w:szCs w:val="32"/>
        </w:rPr>
      </w:pPr>
      <w:r>
        <w:rPr>
          <w:rFonts w:hint="eastAsia" w:eastAsia="仿宋_GB2312"/>
          <w:color w:val="auto"/>
          <w:kern w:val="0"/>
          <w:sz w:val="32"/>
          <w:szCs w:val="32"/>
        </w:rPr>
        <w:t>3、协助发包人</w:t>
      </w:r>
      <w:r>
        <w:rPr>
          <w:rFonts w:hint="eastAsia" w:eastAsia="仿宋_GB2312"/>
          <w:color w:val="auto"/>
          <w:kern w:val="0"/>
          <w:sz w:val="32"/>
          <w:szCs w:val="32"/>
          <w:lang w:val="en-US" w:eastAsia="zh-CN"/>
        </w:rPr>
        <w:t>按四川省规定</w:t>
      </w:r>
      <w:r>
        <w:rPr>
          <w:rFonts w:hint="eastAsia" w:eastAsia="仿宋_GB2312"/>
          <w:color w:val="auto"/>
          <w:kern w:val="0"/>
          <w:sz w:val="32"/>
          <w:szCs w:val="32"/>
        </w:rPr>
        <w:t>取得同意</w:t>
      </w:r>
      <w:r>
        <w:rPr>
          <w:rFonts w:hint="eastAsia" w:ascii="Times New Roman" w:hAnsi="Times New Roman" w:eastAsia="仿宋_GB2312" w:cs="Times New Roman"/>
          <w:color w:val="auto"/>
          <w:kern w:val="0"/>
          <w:sz w:val="32"/>
          <w:szCs w:val="32"/>
          <w:lang w:val="en-US" w:eastAsia="zh-CN"/>
        </w:rPr>
        <w:t>嘉陵江梯级渠化利泽航运枢纽</w:t>
      </w:r>
      <w:r>
        <w:rPr>
          <w:rFonts w:hint="eastAsia" w:ascii="Times New Roman" w:hAnsi="Times New Roman" w:eastAsia="仿宋_GB2312" w:cs="Times New Roman"/>
          <w:color w:val="auto"/>
          <w:kern w:val="0"/>
          <w:sz w:val="32"/>
          <w:szCs w:val="32"/>
        </w:rPr>
        <w:t>工程</w:t>
      </w:r>
      <w:r>
        <w:rPr>
          <w:rFonts w:hint="eastAsia" w:ascii="Times New Roman" w:hAnsi="Times New Roman" w:eastAsia="仿宋_GB2312" w:cs="Times New Roman"/>
          <w:color w:val="auto"/>
          <w:kern w:val="0"/>
          <w:sz w:val="32"/>
          <w:szCs w:val="32"/>
          <w:lang w:val="en-US" w:eastAsia="zh-CN"/>
        </w:rPr>
        <w:t>武胜库区</w:t>
      </w:r>
      <w:r>
        <w:rPr>
          <w:rFonts w:hint="eastAsia" w:eastAsia="仿宋_GB2312"/>
          <w:color w:val="auto"/>
          <w:kern w:val="0"/>
          <w:sz w:val="32"/>
          <w:szCs w:val="32"/>
        </w:rPr>
        <w:t>占用生态</w:t>
      </w:r>
      <w:r>
        <w:rPr>
          <w:rFonts w:hint="eastAsia" w:eastAsia="仿宋_GB2312"/>
          <w:color w:val="auto"/>
          <w:kern w:val="0"/>
          <w:sz w:val="32"/>
          <w:szCs w:val="32"/>
          <w:lang w:val="en-US" w:eastAsia="zh-CN"/>
        </w:rPr>
        <w:t>保护</w:t>
      </w:r>
      <w:r>
        <w:rPr>
          <w:rFonts w:hint="eastAsia" w:eastAsia="仿宋_GB2312"/>
          <w:color w:val="auto"/>
          <w:kern w:val="0"/>
          <w:sz w:val="32"/>
          <w:szCs w:val="32"/>
        </w:rPr>
        <w:t>红线不可避让</w:t>
      </w:r>
      <w:r>
        <w:rPr>
          <w:rFonts w:hint="eastAsia" w:eastAsia="仿宋_GB2312"/>
          <w:color w:val="auto"/>
          <w:kern w:val="0"/>
          <w:sz w:val="32"/>
          <w:szCs w:val="32"/>
          <w:lang w:val="en-US" w:eastAsia="zh-CN"/>
        </w:rPr>
        <w:t>的</w:t>
      </w:r>
      <w:r>
        <w:rPr>
          <w:rFonts w:hint="eastAsia" w:eastAsia="仿宋_GB2312"/>
          <w:color w:val="auto"/>
          <w:kern w:val="0"/>
          <w:sz w:val="32"/>
          <w:szCs w:val="32"/>
        </w:rPr>
        <w:t>批复文件。</w:t>
      </w:r>
    </w:p>
    <w:p>
      <w:pPr>
        <w:numPr>
          <w:ilvl w:val="0"/>
          <w:numId w:val="1"/>
        </w:numPr>
        <w:autoSpaceDE w:val="0"/>
        <w:autoSpaceDN w:val="0"/>
        <w:adjustRightInd w:val="0"/>
        <w:spacing w:line="520" w:lineRule="exact"/>
        <w:ind w:firstLine="640" w:firstLineChars="200"/>
        <w:outlineLvl w:val="0"/>
        <w:rPr>
          <w:rFonts w:eastAsia="黑体"/>
          <w:bCs/>
          <w:color w:val="auto"/>
          <w:kern w:val="0"/>
          <w:sz w:val="32"/>
          <w:szCs w:val="32"/>
        </w:rPr>
      </w:pPr>
      <w:r>
        <w:rPr>
          <w:rFonts w:hint="eastAsia" w:ascii="黑体" w:hAnsi="黑体" w:eastAsia="黑体"/>
          <w:bCs/>
          <w:color w:val="auto"/>
          <w:kern w:val="0"/>
          <w:sz w:val="32"/>
          <w:szCs w:val="32"/>
        </w:rPr>
        <w:t>报价时提供以下资料：</w:t>
      </w:r>
    </w:p>
    <w:p>
      <w:pPr>
        <w:numPr>
          <w:ilvl w:val="0"/>
          <w:numId w:val="4"/>
        </w:numPr>
        <w:autoSpaceDE w:val="0"/>
        <w:autoSpaceDN w:val="0"/>
        <w:adjustRightInd w:val="0"/>
        <w:spacing w:line="520" w:lineRule="exact"/>
        <w:ind w:firstLine="640" w:firstLineChars="200"/>
        <w:jc w:val="left"/>
        <w:outlineLvl w:val="0"/>
        <w:rPr>
          <w:rFonts w:eastAsia="仿宋_GB2312"/>
          <w:bCs/>
          <w:color w:val="auto"/>
          <w:kern w:val="0"/>
          <w:sz w:val="32"/>
          <w:szCs w:val="32"/>
        </w:rPr>
      </w:pPr>
      <w:r>
        <w:rPr>
          <w:rFonts w:eastAsia="仿宋_GB2312"/>
          <w:bCs/>
          <w:color w:val="auto"/>
          <w:kern w:val="0"/>
          <w:sz w:val="32"/>
          <w:szCs w:val="32"/>
        </w:rPr>
        <w:t>完成本项目</w:t>
      </w:r>
      <w:r>
        <w:rPr>
          <w:rFonts w:hint="eastAsia" w:eastAsia="仿宋_GB2312"/>
          <w:bCs/>
          <w:color w:val="auto"/>
          <w:kern w:val="0"/>
          <w:sz w:val="32"/>
          <w:szCs w:val="32"/>
        </w:rPr>
        <w:t>的</w:t>
      </w:r>
      <w:r>
        <w:rPr>
          <w:rFonts w:eastAsia="仿宋_GB2312"/>
          <w:bCs/>
          <w:color w:val="auto"/>
          <w:kern w:val="0"/>
          <w:sz w:val="32"/>
          <w:szCs w:val="32"/>
        </w:rPr>
        <w:t>报价（盖鲜章）。</w:t>
      </w:r>
    </w:p>
    <w:p>
      <w:pPr>
        <w:numPr>
          <w:ilvl w:val="0"/>
          <w:numId w:val="4"/>
        </w:numPr>
        <w:autoSpaceDE w:val="0"/>
        <w:autoSpaceDN w:val="0"/>
        <w:adjustRightInd w:val="0"/>
        <w:spacing w:line="520" w:lineRule="exact"/>
        <w:ind w:firstLine="640" w:firstLineChars="200"/>
        <w:jc w:val="left"/>
        <w:outlineLvl w:val="0"/>
        <w:rPr>
          <w:rFonts w:eastAsia="黑体"/>
          <w:bCs/>
          <w:color w:val="auto"/>
          <w:kern w:val="0"/>
          <w:sz w:val="32"/>
          <w:szCs w:val="32"/>
        </w:rPr>
      </w:pPr>
      <w:r>
        <w:rPr>
          <w:rFonts w:eastAsia="仿宋_GB2312"/>
          <w:bCs/>
          <w:color w:val="auto"/>
          <w:kern w:val="0"/>
          <w:sz w:val="32"/>
          <w:szCs w:val="32"/>
        </w:rPr>
        <w:t>营业执照正、副本复印件（盖鲜章）；</w:t>
      </w:r>
    </w:p>
    <w:p>
      <w:pPr>
        <w:numPr>
          <w:ilvl w:val="0"/>
          <w:numId w:val="1"/>
        </w:numPr>
        <w:autoSpaceDE w:val="0"/>
        <w:autoSpaceDN w:val="0"/>
        <w:adjustRightInd w:val="0"/>
        <w:spacing w:line="520" w:lineRule="exact"/>
        <w:ind w:firstLine="640" w:firstLineChars="200"/>
        <w:outlineLvl w:val="0"/>
        <w:rPr>
          <w:rFonts w:eastAsia="黑体"/>
          <w:bCs/>
          <w:color w:val="auto"/>
          <w:kern w:val="0"/>
          <w:sz w:val="32"/>
          <w:szCs w:val="32"/>
        </w:rPr>
      </w:pPr>
      <w:r>
        <w:rPr>
          <w:rFonts w:hint="eastAsia" w:eastAsia="黑体"/>
          <w:bCs/>
          <w:color w:val="auto"/>
          <w:kern w:val="0"/>
          <w:sz w:val="32"/>
          <w:szCs w:val="32"/>
        </w:rPr>
        <w:t>评标办法</w:t>
      </w:r>
    </w:p>
    <w:p>
      <w:pPr>
        <w:autoSpaceDE w:val="0"/>
        <w:autoSpaceDN w:val="0"/>
        <w:adjustRightInd w:val="0"/>
        <w:spacing w:line="520" w:lineRule="exact"/>
        <w:ind w:firstLine="640" w:firstLineChars="200"/>
        <w:outlineLvl w:val="0"/>
        <w:rPr>
          <w:rFonts w:eastAsia="黑体"/>
          <w:bCs/>
          <w:color w:val="auto"/>
          <w:kern w:val="0"/>
          <w:sz w:val="32"/>
          <w:szCs w:val="32"/>
        </w:rPr>
      </w:pPr>
      <w:r>
        <w:rPr>
          <w:rFonts w:hint="eastAsia" w:eastAsia="黑体"/>
          <w:bCs/>
          <w:color w:val="auto"/>
          <w:kern w:val="0"/>
          <w:sz w:val="32"/>
          <w:szCs w:val="32"/>
        </w:rPr>
        <w:t>采用经评审的最低价法。</w:t>
      </w:r>
    </w:p>
    <w:p>
      <w:pPr>
        <w:numPr>
          <w:ilvl w:val="0"/>
          <w:numId w:val="1"/>
        </w:numPr>
        <w:autoSpaceDE w:val="0"/>
        <w:autoSpaceDN w:val="0"/>
        <w:adjustRightInd w:val="0"/>
        <w:spacing w:line="520" w:lineRule="exact"/>
        <w:ind w:firstLine="640" w:firstLineChars="200"/>
        <w:outlineLvl w:val="0"/>
        <w:rPr>
          <w:rFonts w:hint="eastAsia" w:ascii="黑体" w:hAnsi="黑体" w:eastAsia="黑体"/>
          <w:bCs/>
          <w:color w:val="auto"/>
          <w:kern w:val="0"/>
          <w:sz w:val="32"/>
          <w:szCs w:val="32"/>
        </w:rPr>
      </w:pPr>
      <w:r>
        <w:rPr>
          <w:rFonts w:hint="eastAsia" w:ascii="黑体" w:hAnsi="黑体" w:eastAsia="黑体"/>
          <w:bCs/>
          <w:color w:val="auto"/>
          <w:kern w:val="0"/>
          <w:sz w:val="32"/>
          <w:szCs w:val="32"/>
        </w:rPr>
        <w:t>注意事项：</w:t>
      </w:r>
    </w:p>
    <w:p>
      <w:pPr>
        <w:autoSpaceDE w:val="0"/>
        <w:autoSpaceDN w:val="0"/>
        <w:adjustRightInd w:val="0"/>
        <w:spacing w:line="520" w:lineRule="exact"/>
        <w:ind w:firstLine="643" w:firstLineChars="200"/>
        <w:rPr>
          <w:rFonts w:hint="eastAsia" w:eastAsia="仿宋_GB2312"/>
          <w:color w:val="auto"/>
          <w:kern w:val="0"/>
          <w:sz w:val="32"/>
          <w:szCs w:val="32"/>
        </w:rPr>
      </w:pPr>
      <w:r>
        <w:rPr>
          <w:rFonts w:eastAsia="仿宋_GB2312"/>
          <w:b/>
          <w:color w:val="auto"/>
          <w:kern w:val="0"/>
          <w:sz w:val="32"/>
          <w:szCs w:val="32"/>
        </w:rPr>
        <w:t>1、</w:t>
      </w:r>
      <w:r>
        <w:rPr>
          <w:rFonts w:eastAsia="仿宋_GB2312"/>
          <w:color w:val="auto"/>
          <w:kern w:val="0"/>
          <w:sz w:val="32"/>
          <w:szCs w:val="32"/>
        </w:rPr>
        <w:t>请于20</w:t>
      </w:r>
      <w:r>
        <w:rPr>
          <w:rFonts w:hint="eastAsia" w:eastAsia="仿宋_GB2312"/>
          <w:color w:val="auto"/>
          <w:kern w:val="0"/>
          <w:sz w:val="32"/>
          <w:szCs w:val="32"/>
        </w:rPr>
        <w:t>2</w:t>
      </w:r>
      <w:r>
        <w:rPr>
          <w:rFonts w:hint="eastAsia" w:eastAsia="仿宋_GB2312"/>
          <w:color w:val="auto"/>
          <w:kern w:val="0"/>
          <w:sz w:val="32"/>
          <w:szCs w:val="32"/>
          <w:lang w:val="en-US" w:eastAsia="zh-CN"/>
        </w:rPr>
        <w:t>1</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rPr>
        <w:t>1</w:t>
      </w:r>
      <w:r>
        <w:rPr>
          <w:rFonts w:hint="eastAsia" w:eastAsia="仿宋_GB2312"/>
          <w:color w:val="auto"/>
          <w:kern w:val="0"/>
          <w:sz w:val="32"/>
          <w:szCs w:val="32"/>
          <w:lang w:val="en-US" w:eastAsia="zh-CN"/>
        </w:rPr>
        <w:t>7</w:t>
      </w:r>
      <w:r>
        <w:rPr>
          <w:rFonts w:eastAsia="仿宋_GB2312"/>
          <w:color w:val="auto"/>
          <w:kern w:val="0"/>
          <w:sz w:val="32"/>
          <w:szCs w:val="32"/>
        </w:rPr>
        <w:t>日</w:t>
      </w:r>
      <w:r>
        <w:rPr>
          <w:rFonts w:hint="eastAsia" w:eastAsia="仿宋_GB2312"/>
          <w:color w:val="auto"/>
          <w:kern w:val="0"/>
          <w:sz w:val="32"/>
          <w:szCs w:val="32"/>
        </w:rPr>
        <w:t>17:00时前，</w:t>
      </w:r>
      <w:r>
        <w:rPr>
          <w:rFonts w:eastAsia="仿宋_GB2312"/>
          <w:color w:val="auto"/>
          <w:kern w:val="0"/>
          <w:sz w:val="32"/>
          <w:szCs w:val="32"/>
        </w:rPr>
        <w:t>将有关资料和报价</w:t>
      </w:r>
      <w:r>
        <w:rPr>
          <w:rFonts w:hint="eastAsia" w:eastAsia="仿宋_GB2312"/>
          <w:color w:val="auto"/>
          <w:kern w:val="0"/>
          <w:sz w:val="32"/>
          <w:szCs w:val="32"/>
        </w:rPr>
        <w:t>密封</w:t>
      </w:r>
      <w:r>
        <w:rPr>
          <w:rFonts w:eastAsia="仿宋_GB2312"/>
          <w:color w:val="auto"/>
          <w:kern w:val="0"/>
          <w:sz w:val="32"/>
          <w:szCs w:val="32"/>
        </w:rPr>
        <w:t>送达重庆</w:t>
      </w:r>
      <w:r>
        <w:rPr>
          <w:rFonts w:hint="eastAsia" w:eastAsia="仿宋_GB2312"/>
          <w:color w:val="auto"/>
          <w:kern w:val="0"/>
          <w:sz w:val="32"/>
          <w:szCs w:val="32"/>
          <w:lang w:val="en-US" w:eastAsia="zh-CN"/>
        </w:rPr>
        <w:t>嘉陵江利泽航电开发</w:t>
      </w:r>
      <w:r>
        <w:rPr>
          <w:rFonts w:eastAsia="仿宋_GB2312"/>
          <w:color w:val="auto"/>
          <w:kern w:val="0"/>
          <w:sz w:val="32"/>
          <w:szCs w:val="32"/>
        </w:rPr>
        <w:t>有限公司</w:t>
      </w:r>
      <w:r>
        <w:rPr>
          <w:rFonts w:hint="eastAsia" w:eastAsia="仿宋_GB2312"/>
          <w:color w:val="auto"/>
          <w:kern w:val="0"/>
          <w:sz w:val="32"/>
          <w:szCs w:val="32"/>
          <w:lang w:val="en-US" w:eastAsia="zh-CN"/>
        </w:rPr>
        <w:t>移民工作部</w:t>
      </w:r>
      <w:r>
        <w:rPr>
          <w:rFonts w:eastAsia="仿宋_GB2312"/>
          <w:color w:val="auto"/>
          <w:kern w:val="0"/>
          <w:sz w:val="32"/>
          <w:szCs w:val="32"/>
        </w:rPr>
        <w:t>。</w:t>
      </w:r>
      <w:r>
        <w:rPr>
          <w:rFonts w:hint="eastAsia" w:eastAsia="仿宋_GB2312"/>
          <w:color w:val="auto"/>
          <w:kern w:val="0"/>
          <w:sz w:val="32"/>
          <w:szCs w:val="32"/>
        </w:rPr>
        <w:t>（按高速集团网上报价要求完善报价方式。）</w:t>
      </w:r>
    </w:p>
    <w:p>
      <w:pPr>
        <w:autoSpaceDE w:val="0"/>
        <w:autoSpaceDN w:val="0"/>
        <w:adjustRightInd w:val="0"/>
        <w:spacing w:line="520" w:lineRule="exact"/>
        <w:ind w:firstLine="640" w:firstLineChars="200"/>
        <w:rPr>
          <w:rFonts w:eastAsia="仿宋_GB2312"/>
          <w:color w:val="auto"/>
          <w:kern w:val="0"/>
          <w:sz w:val="32"/>
          <w:szCs w:val="32"/>
        </w:rPr>
      </w:pPr>
      <w:r>
        <w:rPr>
          <w:rFonts w:eastAsia="仿宋_GB2312"/>
          <w:color w:val="auto"/>
          <w:kern w:val="0"/>
          <w:sz w:val="32"/>
          <w:szCs w:val="32"/>
        </w:rPr>
        <w:t>2、联系地址：重庆市</w:t>
      </w:r>
      <w:r>
        <w:rPr>
          <w:rFonts w:hint="eastAsia" w:eastAsia="仿宋_GB2312"/>
          <w:color w:val="auto"/>
          <w:kern w:val="0"/>
          <w:sz w:val="32"/>
          <w:szCs w:val="32"/>
          <w:lang w:val="en-US" w:eastAsia="zh-CN"/>
        </w:rPr>
        <w:t>合川区钱塘镇迎宾大道中段</w:t>
      </w:r>
      <w:r>
        <w:rPr>
          <w:rFonts w:eastAsia="仿宋_GB2312"/>
          <w:color w:val="auto"/>
          <w:kern w:val="0"/>
          <w:sz w:val="32"/>
          <w:szCs w:val="32"/>
        </w:rPr>
        <w:t>。</w:t>
      </w:r>
    </w:p>
    <w:p>
      <w:pPr>
        <w:autoSpaceDE w:val="0"/>
        <w:autoSpaceDN w:val="0"/>
        <w:adjustRightInd w:val="0"/>
        <w:spacing w:line="520" w:lineRule="exact"/>
        <w:ind w:firstLine="640" w:firstLineChars="200"/>
        <w:rPr>
          <w:rFonts w:hint="eastAsia" w:eastAsia="仿宋_GB2312"/>
          <w:color w:val="auto"/>
          <w:kern w:val="0"/>
          <w:sz w:val="32"/>
          <w:szCs w:val="32"/>
        </w:rPr>
      </w:pPr>
      <w:r>
        <w:rPr>
          <w:rFonts w:eastAsia="仿宋_GB2312"/>
          <w:color w:val="auto"/>
          <w:kern w:val="0"/>
          <w:sz w:val="32"/>
          <w:szCs w:val="32"/>
        </w:rPr>
        <w:t>3、联系人及联系方式：联系人：</w:t>
      </w:r>
      <w:r>
        <w:rPr>
          <w:rFonts w:hint="eastAsia" w:eastAsia="仿宋_GB2312"/>
          <w:color w:val="auto"/>
          <w:kern w:val="0"/>
          <w:sz w:val="32"/>
          <w:szCs w:val="32"/>
          <w:lang w:val="en-US" w:eastAsia="zh-CN"/>
        </w:rPr>
        <w:t>余清华</w:t>
      </w:r>
      <w:r>
        <w:rPr>
          <w:rFonts w:eastAsia="仿宋_GB2312"/>
          <w:color w:val="auto"/>
          <w:kern w:val="0"/>
          <w:sz w:val="32"/>
          <w:szCs w:val="32"/>
        </w:rPr>
        <w:t xml:space="preserve"> 电话：</w:t>
      </w:r>
      <w:r>
        <w:rPr>
          <w:rFonts w:hint="eastAsia" w:eastAsia="仿宋_GB2312"/>
          <w:color w:val="auto"/>
          <w:kern w:val="0"/>
          <w:sz w:val="32"/>
          <w:szCs w:val="32"/>
          <w:lang w:val="en-US" w:eastAsia="zh-CN"/>
        </w:rPr>
        <w:t>13340292023</w:t>
      </w:r>
      <w:r>
        <w:rPr>
          <w:rFonts w:hint="eastAsia" w:eastAsia="仿宋_GB2312"/>
          <w:color w:val="auto"/>
          <w:kern w:val="0"/>
          <w:sz w:val="32"/>
          <w:szCs w:val="32"/>
        </w:rPr>
        <w:t>。</w:t>
      </w:r>
    </w:p>
    <w:p>
      <w:pPr>
        <w:autoSpaceDE w:val="0"/>
        <w:autoSpaceDN w:val="0"/>
        <w:adjustRightInd w:val="0"/>
        <w:spacing w:line="520" w:lineRule="exact"/>
        <w:ind w:firstLine="640" w:firstLineChars="200"/>
        <w:rPr>
          <w:rFonts w:hint="eastAsia" w:eastAsia="仿宋_GB2312"/>
          <w:color w:val="auto"/>
          <w:kern w:val="0"/>
          <w:sz w:val="32"/>
        </w:rPr>
      </w:pPr>
      <w:r>
        <w:rPr>
          <w:rFonts w:hint="eastAsia" w:eastAsia="仿宋_GB2312"/>
          <w:color w:val="auto"/>
          <w:kern w:val="0"/>
          <w:sz w:val="32"/>
        </w:rPr>
        <w:t>4、本项目发包人和合同签订单位为：重庆</w:t>
      </w:r>
      <w:r>
        <w:rPr>
          <w:rFonts w:hint="eastAsia" w:eastAsia="仿宋_GB2312"/>
          <w:color w:val="auto"/>
          <w:kern w:val="0"/>
          <w:sz w:val="32"/>
          <w:lang w:val="en-US" w:eastAsia="zh-CN"/>
        </w:rPr>
        <w:t>嘉陵江利泽航电开发</w:t>
      </w:r>
      <w:r>
        <w:rPr>
          <w:rFonts w:hint="eastAsia" w:eastAsia="仿宋_GB2312"/>
          <w:color w:val="auto"/>
          <w:kern w:val="0"/>
          <w:sz w:val="32"/>
        </w:rPr>
        <w:t>有限公司（为重庆航运建设发展（集团）有限公司的控股子公司）。</w:t>
      </w:r>
    </w:p>
    <w:p>
      <w:pPr>
        <w:autoSpaceDE w:val="0"/>
        <w:autoSpaceDN w:val="0"/>
        <w:adjustRightInd w:val="0"/>
        <w:spacing w:line="520" w:lineRule="exact"/>
        <w:ind w:firstLine="640" w:firstLineChars="200"/>
        <w:rPr>
          <w:rFonts w:eastAsia="仿宋_GB2312"/>
          <w:color w:val="auto"/>
          <w:kern w:val="0"/>
          <w:sz w:val="32"/>
        </w:rPr>
      </w:pPr>
      <w:r>
        <w:rPr>
          <w:rFonts w:hint="eastAsia" w:eastAsia="仿宋_GB2312"/>
          <w:color w:val="auto"/>
          <w:kern w:val="0"/>
          <w:sz w:val="32"/>
        </w:rPr>
        <w:t>5、本项目最高限价为</w:t>
      </w:r>
      <w:r>
        <w:rPr>
          <w:rFonts w:hint="eastAsia" w:eastAsia="仿宋_GB2312"/>
          <w:color w:val="auto"/>
          <w:kern w:val="0"/>
          <w:sz w:val="32"/>
          <w:lang w:val="en-US" w:eastAsia="zh-CN"/>
        </w:rPr>
        <w:t>28</w:t>
      </w:r>
      <w:r>
        <w:rPr>
          <w:rFonts w:hint="eastAsia" w:eastAsia="仿宋_GB2312"/>
          <w:color w:val="auto"/>
          <w:kern w:val="0"/>
          <w:sz w:val="32"/>
        </w:rPr>
        <w:t>万元。</w:t>
      </w:r>
    </w:p>
    <w:p>
      <w:pPr>
        <w:autoSpaceDE w:val="0"/>
        <w:autoSpaceDN w:val="0"/>
        <w:adjustRightInd w:val="0"/>
        <w:spacing w:line="520" w:lineRule="exact"/>
        <w:ind w:firstLine="3520" w:firstLineChars="1100"/>
        <w:rPr>
          <w:rFonts w:hint="eastAsia" w:eastAsia="仿宋_GB2312"/>
          <w:color w:val="auto"/>
          <w:kern w:val="0"/>
          <w:sz w:val="32"/>
        </w:rPr>
      </w:pPr>
    </w:p>
    <w:p>
      <w:pPr>
        <w:autoSpaceDE w:val="0"/>
        <w:autoSpaceDN w:val="0"/>
        <w:adjustRightInd w:val="0"/>
        <w:spacing w:line="520" w:lineRule="exact"/>
        <w:ind w:firstLine="3840" w:firstLineChars="1200"/>
        <w:rPr>
          <w:rFonts w:eastAsia="仿宋_GB2312"/>
          <w:color w:val="auto"/>
          <w:kern w:val="0"/>
          <w:sz w:val="32"/>
        </w:rPr>
      </w:pPr>
      <w:r>
        <w:rPr>
          <w:rFonts w:hint="eastAsia" w:eastAsia="仿宋_GB2312"/>
          <w:color w:val="auto"/>
          <w:kern w:val="0"/>
          <w:sz w:val="32"/>
        </w:rPr>
        <w:t>重庆</w:t>
      </w:r>
      <w:r>
        <w:rPr>
          <w:rFonts w:hint="eastAsia" w:eastAsia="仿宋_GB2312"/>
          <w:color w:val="auto"/>
          <w:kern w:val="0"/>
          <w:sz w:val="32"/>
          <w:lang w:val="en-US" w:eastAsia="zh-CN"/>
        </w:rPr>
        <w:t>嘉陵江利泽航电开发</w:t>
      </w:r>
      <w:r>
        <w:rPr>
          <w:rFonts w:hint="eastAsia" w:eastAsia="仿宋_GB2312"/>
          <w:color w:val="auto"/>
          <w:kern w:val="0"/>
          <w:sz w:val="32"/>
        </w:rPr>
        <w:t>有限公司</w:t>
      </w:r>
    </w:p>
    <w:p>
      <w:pPr>
        <w:autoSpaceDE w:val="0"/>
        <w:autoSpaceDN w:val="0"/>
        <w:adjustRightInd w:val="0"/>
        <w:spacing w:line="520" w:lineRule="exact"/>
        <w:ind w:firstLine="640" w:firstLineChars="200"/>
        <w:rPr>
          <w:rFonts w:eastAsia="仿宋_GB2312"/>
          <w:color w:val="auto"/>
          <w:sz w:val="32"/>
          <w:highlight w:val="yellow"/>
        </w:rPr>
      </w:pPr>
      <w:r>
        <w:rPr>
          <w:rFonts w:eastAsia="仿宋_GB2312"/>
          <w:color w:val="auto"/>
          <w:kern w:val="0"/>
          <w:sz w:val="32"/>
          <w:szCs w:val="32"/>
        </w:rPr>
        <w:t xml:space="preserve">                     </w:t>
      </w:r>
      <w:r>
        <w:rPr>
          <w:rFonts w:hint="eastAsia" w:eastAsia="仿宋_GB2312"/>
          <w:color w:val="auto"/>
          <w:kern w:val="0"/>
          <w:sz w:val="32"/>
          <w:szCs w:val="32"/>
        </w:rPr>
        <w:t xml:space="preserve">         202</w:t>
      </w:r>
      <w:r>
        <w:rPr>
          <w:rFonts w:hint="eastAsia" w:eastAsia="仿宋_GB2312"/>
          <w:color w:val="auto"/>
          <w:kern w:val="0"/>
          <w:sz w:val="32"/>
          <w:szCs w:val="32"/>
          <w:lang w:val="en-US" w:eastAsia="zh-CN"/>
        </w:rPr>
        <w:t>1</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lang w:val="en-US" w:eastAsia="zh-CN"/>
        </w:rPr>
        <w:t>8</w:t>
      </w:r>
      <w:r>
        <w:rPr>
          <w:rFonts w:eastAsia="仿宋_GB2312"/>
          <w:color w:val="auto"/>
          <w:kern w:val="0"/>
          <w:sz w:val="32"/>
          <w:szCs w:val="32"/>
        </w:rPr>
        <w:t>日</w:t>
      </w:r>
    </w:p>
    <w:p>
      <w:pPr>
        <w:rPr>
          <w:color w:val="auto"/>
        </w:rPr>
      </w:pPr>
    </w:p>
    <w:sectPr>
      <w:headerReference r:id="rId3" w:type="default"/>
      <w:footerReference r:id="rId4" w:type="default"/>
      <w:footerReference r:id="rId5" w:type="even"/>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eastAsia="仿宋_GB2312"/>
        <w:sz w:val="28"/>
      </w:rPr>
    </w:pPr>
    <w:r>
      <w:rPr>
        <w:rStyle w:val="5"/>
        <w:rFonts w:eastAsia="仿宋_GB2312"/>
        <w:sz w:val="28"/>
      </w:rPr>
      <w:t>第</w:t>
    </w:r>
    <w:r>
      <w:rPr>
        <w:rFonts w:eastAsia="仿宋_GB2312"/>
        <w:sz w:val="28"/>
      </w:rPr>
      <w:fldChar w:fldCharType="begin"/>
    </w:r>
    <w:r>
      <w:rPr>
        <w:rStyle w:val="5"/>
        <w:rFonts w:eastAsia="仿宋_GB2312"/>
        <w:sz w:val="28"/>
      </w:rPr>
      <w:instrText xml:space="preserve">PAGE  </w:instrText>
    </w:r>
    <w:r>
      <w:rPr>
        <w:rFonts w:eastAsia="仿宋_GB2312"/>
        <w:sz w:val="28"/>
      </w:rPr>
      <w:fldChar w:fldCharType="separate"/>
    </w:r>
    <w:r>
      <w:rPr>
        <w:rStyle w:val="5"/>
        <w:rFonts w:eastAsia="仿宋_GB2312"/>
        <w:sz w:val="28"/>
      </w:rPr>
      <w:t>2</w:t>
    </w:r>
    <w:r>
      <w:rPr>
        <w:rFonts w:eastAsia="仿宋_GB2312"/>
        <w:sz w:val="28"/>
      </w:rPr>
      <w:fldChar w:fldCharType="end"/>
    </w:r>
    <w:r>
      <w:rPr>
        <w:rStyle w:val="5"/>
        <w:rFonts w:eastAsia="仿宋_GB2312"/>
        <w:sz w:val="28"/>
      </w:rPr>
      <w:t>页，共</w:t>
    </w:r>
    <w:r>
      <w:rPr>
        <w:rStyle w:val="5"/>
        <w:rFonts w:hint="eastAsia" w:eastAsia="仿宋_GB2312"/>
        <w:sz w:val="28"/>
        <w:lang w:val="en-US" w:eastAsia="zh-CN"/>
      </w:rPr>
      <w:t>4</w:t>
    </w:r>
    <w:r>
      <w:rPr>
        <w:rStyle w:val="5"/>
        <w:rFonts w:eastAsia="仿宋_GB2312"/>
        <w:sz w:val="28"/>
      </w:rPr>
      <w:t>页</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21A9EC2F"/>
    <w:multiLevelType w:val="singleLevel"/>
    <w:tmpl w:val="21A9EC2F"/>
    <w:lvl w:ilvl="0" w:tentative="0">
      <w:start w:val="1"/>
      <w:numFmt w:val="decimal"/>
      <w:suff w:val="nothing"/>
      <w:lvlText w:val="%1、"/>
      <w:lvlJc w:val="left"/>
    </w:lvl>
  </w:abstractNum>
  <w:abstractNum w:abstractNumId="3">
    <w:nsid w:val="604185F2"/>
    <w:multiLevelType w:val="singleLevel"/>
    <w:tmpl w:val="604185F2"/>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D3B79"/>
    <w:rsid w:val="14DC47B4"/>
    <w:rsid w:val="15EC6F5E"/>
    <w:rsid w:val="16F00D8A"/>
    <w:rsid w:val="4C8C2273"/>
    <w:rsid w:val="5B620869"/>
    <w:rsid w:val="65D3580A"/>
    <w:rsid w:val="788829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paragraph" w:customStyle="1" w:styleId="7">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2021-03-08T02:57:41Z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