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376" w:lineRule="atLeast"/>
        <w:jc w:val="center"/>
        <w:rPr>
          <w:rFonts w:ascii="微软雅黑" w:hAnsi="微软雅黑" w:eastAsia="微软雅黑"/>
          <w:color w:val="auto"/>
          <w:sz w:val="32"/>
          <w:szCs w:val="32"/>
          <w:highlight w:val="none"/>
        </w:rPr>
      </w:pPr>
      <w:r>
        <w:rPr>
          <w:rFonts w:hint="eastAsia" w:ascii="微软雅黑" w:hAnsi="微软雅黑" w:eastAsia="微软雅黑"/>
          <w:color w:val="auto"/>
          <w:sz w:val="32"/>
          <w:szCs w:val="32"/>
          <w:highlight w:val="none"/>
        </w:rPr>
        <w:t>公务车辆定点维修厂公开招标文件</w:t>
      </w:r>
    </w:p>
    <w:p>
      <w:pPr>
        <w:pStyle w:val="5"/>
        <w:shd w:val="clear" w:color="auto" w:fill="FFFFFF"/>
        <w:spacing w:before="0" w:beforeAutospacing="0" w:after="0" w:afterAutospacing="0" w:line="376" w:lineRule="atLeast"/>
        <w:jc w:val="center"/>
        <w:rPr>
          <w:rFonts w:hint="eastAsia" w:ascii="微软雅黑" w:hAnsi="微软雅黑" w:eastAsia="微软雅黑"/>
          <w:color w:val="auto"/>
          <w:sz w:val="32"/>
          <w:szCs w:val="32"/>
          <w:highlight w:val="none"/>
          <w:lang w:eastAsia="zh-CN"/>
        </w:rPr>
      </w:pPr>
      <w:r>
        <w:rPr>
          <w:rFonts w:hint="eastAsia" w:ascii="微软雅黑" w:hAnsi="微软雅黑" w:eastAsia="微软雅黑"/>
          <w:color w:val="auto"/>
          <w:sz w:val="32"/>
          <w:szCs w:val="32"/>
          <w:highlight w:val="none"/>
          <w:lang w:eastAsia="zh-CN"/>
        </w:rPr>
        <w:t>（</w:t>
      </w:r>
      <w:r>
        <w:rPr>
          <w:rFonts w:hint="eastAsia" w:ascii="微软雅黑" w:hAnsi="微软雅黑" w:eastAsia="微软雅黑"/>
          <w:color w:val="auto"/>
          <w:sz w:val="32"/>
          <w:szCs w:val="32"/>
          <w:highlight w:val="none"/>
          <w:lang w:val="en-US" w:eastAsia="zh-CN"/>
        </w:rPr>
        <w:t>小型车辆</w:t>
      </w:r>
      <w:r>
        <w:rPr>
          <w:rFonts w:hint="eastAsia" w:ascii="微软雅黑" w:hAnsi="微软雅黑" w:eastAsia="微软雅黑"/>
          <w:color w:val="auto"/>
          <w:sz w:val="32"/>
          <w:szCs w:val="32"/>
          <w:highlight w:val="none"/>
          <w:lang w:eastAsia="zh-CN"/>
        </w:rPr>
        <w:t>）</w:t>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lang w:eastAsia="zh-CN"/>
        </w:rPr>
        <w:t>重庆高速公路集团有限公司南方营运分公司武隆管理中心</w:t>
      </w:r>
      <w:bookmarkStart w:id="0" w:name="_GoBack"/>
      <w:bookmarkEnd w:id="0"/>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2020年</w:t>
      </w:r>
      <w:r>
        <w:rPr>
          <w:rFonts w:hint="eastAsia" w:ascii="微软雅黑" w:hAnsi="微软雅黑" w:eastAsia="微软雅黑"/>
          <w:color w:val="auto"/>
          <w:sz w:val="18"/>
          <w:szCs w:val="18"/>
          <w:highlight w:val="none"/>
          <w:lang w:val="en-US" w:eastAsia="zh-CN"/>
        </w:rPr>
        <w:t>12</w:t>
      </w:r>
      <w:r>
        <w:rPr>
          <w:rFonts w:hint="eastAsia" w:ascii="微软雅黑" w:hAnsi="微软雅黑" w:eastAsia="微软雅黑"/>
          <w:color w:val="auto"/>
          <w:sz w:val="18"/>
          <w:szCs w:val="18"/>
          <w:highlight w:val="none"/>
        </w:rPr>
        <w:t>月</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目 录</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第一章 招标公告 </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第二章 投标人须知 </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第三章 投标人应当提交的资格证明文件 </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第四章 开标、评标办法、评分标准与合同主要条款 </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第五章 附件 </w:t>
      </w:r>
    </w:p>
    <w:p>
      <w:pPr>
        <w:spacing w:line="440" w:lineRule="exact"/>
        <w:ind w:firstLine="360" w:firstLineChars="200"/>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 </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第一章 招标公告</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xml:space="preserve">    为提高车辆维修维质量，确保公司车辆安全运行，拟对公司车辆保养定点维修厂实行公开招标，欢迎符合资格的投标人参加投标。</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一、 项目名称</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w:t>
      </w:r>
      <w:r>
        <w:rPr>
          <w:rFonts w:hint="eastAsia" w:ascii="微软雅黑" w:hAnsi="微软雅黑" w:eastAsia="微软雅黑"/>
          <w:color w:val="auto"/>
          <w:sz w:val="18"/>
          <w:szCs w:val="18"/>
          <w:highlight w:val="none"/>
          <w:lang w:eastAsia="zh-CN"/>
        </w:rPr>
        <w:t>重庆高速公路集团有限公司南方营运分公司武隆管理中心</w:t>
      </w:r>
      <w:r>
        <w:rPr>
          <w:rFonts w:hint="eastAsia" w:ascii="微软雅黑" w:hAnsi="微软雅黑" w:eastAsia="微软雅黑"/>
          <w:color w:val="auto"/>
          <w:sz w:val="18"/>
          <w:szCs w:val="18"/>
          <w:highlight w:val="none"/>
        </w:rPr>
        <w:t>车辆定点维修厂招标</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二、 项目内容</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xml:space="preserve">    </w:t>
      </w:r>
      <w:r>
        <w:rPr>
          <w:rFonts w:hint="eastAsia" w:ascii="微软雅黑" w:hAnsi="微软雅黑" w:eastAsia="微软雅黑"/>
          <w:color w:val="auto"/>
          <w:sz w:val="18"/>
          <w:szCs w:val="18"/>
          <w:highlight w:val="none"/>
          <w:lang w:eastAsia="zh-CN"/>
        </w:rPr>
        <w:t>重庆高速公路集团有限公司南方营运分公司武隆管理中心</w:t>
      </w:r>
      <w:r>
        <w:rPr>
          <w:rFonts w:hint="eastAsia" w:ascii="微软雅黑" w:hAnsi="微软雅黑" w:eastAsia="微软雅黑"/>
          <w:color w:val="auto"/>
          <w:sz w:val="18"/>
          <w:szCs w:val="18"/>
          <w:highlight w:val="none"/>
        </w:rPr>
        <w:t>公务车辆定点维修保养。服务范围包括车辆大修、中小修、专项修理以及维护保养、事故维修、救急、理赔等。车型包括</w:t>
      </w:r>
      <w:r>
        <w:rPr>
          <w:rFonts w:hint="eastAsia" w:ascii="微软雅黑" w:hAnsi="微软雅黑" w:eastAsia="微软雅黑"/>
          <w:color w:val="auto"/>
          <w:sz w:val="18"/>
          <w:szCs w:val="18"/>
          <w:highlight w:val="none"/>
          <w:lang w:val="en-US" w:eastAsia="zh-CN"/>
        </w:rPr>
        <w:t>皮卡车</w:t>
      </w:r>
      <w:r>
        <w:rPr>
          <w:rFonts w:hint="eastAsia" w:ascii="微软雅黑" w:hAnsi="微软雅黑" w:eastAsia="微软雅黑"/>
          <w:color w:val="auto"/>
          <w:sz w:val="18"/>
          <w:szCs w:val="18"/>
          <w:highlight w:val="none"/>
        </w:rPr>
        <w:t>、轿车</w:t>
      </w:r>
      <w:r>
        <w:rPr>
          <w:rFonts w:hint="eastAsia" w:ascii="微软雅黑" w:hAnsi="微软雅黑" w:eastAsia="微软雅黑"/>
          <w:color w:val="auto"/>
          <w:sz w:val="18"/>
          <w:szCs w:val="18"/>
          <w:highlight w:val="none"/>
          <w:lang w:eastAsia="zh-CN"/>
        </w:rPr>
        <w:t>，</w:t>
      </w:r>
      <w:r>
        <w:rPr>
          <w:rFonts w:hint="eastAsia" w:ascii="微软雅黑" w:hAnsi="微软雅黑" w:eastAsia="微软雅黑"/>
          <w:color w:val="auto"/>
          <w:sz w:val="18"/>
          <w:szCs w:val="18"/>
          <w:highlight w:val="none"/>
        </w:rPr>
        <w:t>数量以实际保养维修辆数为准。</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三、 投标资质要求</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1、具备企业法人资格，具有合法的经营证照和有关资质证书、证明文件【包括：营业执照；法人代表授权书；与招标项目要求相对应的资质证书、经营场地面积证明文件等】;</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2、具有车辆维修经营资格，且具有汽车维修能力及零配件供应保障能力，在重庆市区拥有固定维修场所并提供该机构的详细地址资料；</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3、投标人经营范围具有二类及以上汽车维修资格并且入围</w:t>
      </w:r>
      <w:r>
        <w:rPr>
          <w:rFonts w:hint="eastAsia" w:ascii="微软雅黑" w:hAnsi="微软雅黑" w:eastAsia="微软雅黑"/>
          <w:b/>
          <w:bCs/>
          <w:color w:val="auto"/>
          <w:sz w:val="18"/>
          <w:szCs w:val="18"/>
          <w:highlight w:val="none"/>
        </w:rPr>
        <w:t>重庆市2019-2022年市级党政机关、事业单位公务用车维修定点服务商采购名单</w:t>
      </w:r>
      <w:r>
        <w:rPr>
          <w:rFonts w:hint="eastAsia" w:ascii="微软雅黑" w:hAnsi="微软雅黑" w:eastAsia="微软雅黑"/>
          <w:color w:val="auto"/>
          <w:sz w:val="18"/>
          <w:szCs w:val="18"/>
          <w:highlight w:val="none"/>
        </w:rPr>
        <w:t>；</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4、投标人须具有一般纳税人资格，在经营活动中没有违法记录；</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5、投标人应具有与服务项目规模相符合的自有资金，并具有履行合同必需的设备、技术力量、专业技术及良好的银行信誉和财务状况；</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6、法律、行政法规规定的其他条件。</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四、 招标公告发布信息</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招标文件发布时间: 2020年</w:t>
      </w:r>
      <w:r>
        <w:rPr>
          <w:rFonts w:hint="eastAsia" w:ascii="微软雅黑" w:hAnsi="微软雅黑" w:eastAsia="微软雅黑"/>
          <w:color w:val="auto"/>
          <w:sz w:val="18"/>
          <w:szCs w:val="18"/>
          <w:highlight w:val="none"/>
          <w:lang w:val="en-US" w:eastAsia="zh-CN"/>
        </w:rPr>
        <w:t xml:space="preserve">   </w:t>
      </w:r>
      <w:r>
        <w:rPr>
          <w:rFonts w:hint="eastAsia" w:ascii="微软雅黑" w:hAnsi="微软雅黑" w:eastAsia="微软雅黑"/>
          <w:color w:val="auto"/>
          <w:sz w:val="18"/>
          <w:szCs w:val="18"/>
          <w:highlight w:val="none"/>
        </w:rPr>
        <w:t>月</w:t>
      </w:r>
      <w:r>
        <w:rPr>
          <w:rFonts w:hint="eastAsia" w:ascii="微软雅黑" w:hAnsi="微软雅黑" w:eastAsia="微软雅黑"/>
          <w:color w:val="auto"/>
          <w:sz w:val="18"/>
          <w:szCs w:val="18"/>
          <w:highlight w:val="none"/>
          <w:lang w:val="en-US" w:eastAsia="zh-CN"/>
        </w:rPr>
        <w:t xml:space="preserve">    </w:t>
      </w:r>
      <w:r>
        <w:rPr>
          <w:rFonts w:hint="eastAsia" w:ascii="微软雅黑" w:hAnsi="微软雅黑" w:eastAsia="微软雅黑"/>
          <w:color w:val="auto"/>
          <w:sz w:val="18"/>
          <w:szCs w:val="18"/>
          <w:highlight w:val="none"/>
        </w:rPr>
        <w:t>日</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招标公告在</w:t>
      </w:r>
      <w:r>
        <w:rPr>
          <w:rFonts w:hint="eastAsia" w:ascii="宋体" w:hAnsi="宋体" w:cs="宋体"/>
          <w:color w:val="auto"/>
          <w:sz w:val="18"/>
          <w:szCs w:val="18"/>
          <w:highlight w:val="none"/>
        </w:rPr>
        <w:t>重庆高速公路集团有限公司</w:t>
      </w:r>
      <w:r>
        <w:rPr>
          <w:rFonts w:hint="eastAsia" w:ascii="宋体" w:hAnsi="宋体" w:cs="宋体"/>
          <w:color w:val="auto"/>
          <w:sz w:val="18"/>
          <w:szCs w:val="18"/>
          <w:highlight w:val="none"/>
          <w:lang w:val="en-US" w:eastAsia="zh-CN"/>
        </w:rPr>
        <w:t>官网</w:t>
      </w:r>
      <w:r>
        <w:rPr>
          <w:rFonts w:hint="eastAsia" w:ascii="宋体" w:hAnsi="宋体" w:cs="宋体"/>
          <w:color w:val="auto"/>
          <w:sz w:val="18"/>
          <w:szCs w:val="18"/>
          <w:highlight w:val="none"/>
        </w:rPr>
        <w:t>（</w:t>
      </w:r>
      <w:r>
        <w:rPr>
          <w:rFonts w:ascii="宋体" w:hAnsi="宋体" w:eastAsia="宋体" w:cs="宋体"/>
          <w:color w:val="auto"/>
          <w:sz w:val="24"/>
          <w:szCs w:val="24"/>
          <w:highlight w:val="none"/>
        </w:rPr>
        <w:t>http://www.cegc.com.cn/gw/index</w:t>
      </w:r>
      <w:r>
        <w:rPr>
          <w:rFonts w:hint="eastAsia" w:ascii="宋体" w:hAnsi="宋体" w:cs="宋体"/>
          <w:color w:val="auto"/>
          <w:sz w:val="18"/>
          <w:szCs w:val="18"/>
          <w:highlight w:val="none"/>
        </w:rPr>
        <w:t>）上发布。</w:t>
      </w:r>
    </w:p>
    <w:p>
      <w:pPr>
        <w:pStyle w:val="5"/>
        <w:numPr>
          <w:ilvl w:val="0"/>
          <w:numId w:val="1"/>
        </w:numPr>
        <w:shd w:val="clear" w:color="auto" w:fill="FFFFFF"/>
        <w:spacing w:before="0" w:beforeAutospacing="0" w:after="0" w:afterAutospacing="0" w:line="376" w:lineRule="atLeast"/>
        <w:rPr>
          <w:rFonts w:hint="eastAsia"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投标文件接收信息</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lang w:val="en-US" w:eastAsia="zh-CN"/>
        </w:rPr>
        <w:t>投标报名截止时间：2020年12月20日 下午15：00</w:t>
      </w:r>
    </w:p>
    <w:p>
      <w:pPr>
        <w:pStyle w:val="5"/>
        <w:numPr>
          <w:ilvl w:val="0"/>
          <w:numId w:val="0"/>
        </w:numPr>
        <w:shd w:val="clear" w:color="auto" w:fill="FFFFFF"/>
        <w:spacing w:before="0" w:beforeAutospacing="0" w:after="0" w:afterAutospacing="0" w:line="376" w:lineRule="atLeast"/>
        <w:rPr>
          <w:rFonts w:hint="eastAsia" w:ascii="微软雅黑" w:hAnsi="微软雅黑" w:eastAsia="微软雅黑"/>
          <w:color w:val="auto"/>
          <w:sz w:val="18"/>
          <w:szCs w:val="18"/>
          <w:highlight w:val="none"/>
          <w:lang w:val="en-US"/>
        </w:rPr>
      </w:pPr>
      <w:r>
        <w:rPr>
          <w:rFonts w:hint="eastAsia" w:ascii="微软雅黑" w:hAnsi="微软雅黑" w:eastAsia="微软雅黑"/>
          <w:color w:val="auto"/>
          <w:sz w:val="18"/>
          <w:szCs w:val="18"/>
          <w:highlight w:val="none"/>
          <w:lang w:val="en-US" w:eastAsia="zh-CN"/>
        </w:rPr>
        <w:t>投标报名方式：电话告知报名信息登记</w:t>
      </w:r>
    </w:p>
    <w:p>
      <w:pPr>
        <w:pStyle w:val="5"/>
        <w:numPr>
          <w:ilvl w:val="0"/>
          <w:numId w:val="0"/>
        </w:numPr>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投标文件接收时间 : 2020年</w:t>
      </w:r>
      <w:r>
        <w:rPr>
          <w:rFonts w:hint="eastAsia" w:ascii="微软雅黑" w:hAnsi="微软雅黑" w:eastAsia="微软雅黑"/>
          <w:color w:val="auto"/>
          <w:sz w:val="18"/>
          <w:szCs w:val="18"/>
          <w:highlight w:val="none"/>
          <w:lang w:val="en-US" w:eastAsia="zh-CN"/>
        </w:rPr>
        <w:t>12 月 21日</w:t>
      </w:r>
      <w:r>
        <w:rPr>
          <w:rFonts w:hint="eastAsia" w:ascii="微软雅黑" w:hAnsi="微软雅黑" w:eastAsia="微软雅黑"/>
          <w:color w:val="auto"/>
          <w:sz w:val="18"/>
          <w:szCs w:val="18"/>
          <w:highlight w:val="none"/>
        </w:rPr>
        <w:t xml:space="preserve"> 上午 9 :00--10：00</w:t>
      </w:r>
    </w:p>
    <w:p>
      <w:pPr>
        <w:pStyle w:val="5"/>
        <w:shd w:val="clear" w:color="auto" w:fill="FFFFFF"/>
        <w:spacing w:before="0" w:beforeAutospacing="0" w:after="0" w:afterAutospacing="0" w:line="376" w:lineRule="atLeast"/>
        <w:rPr>
          <w:rFonts w:hint="eastAsia" w:ascii="微软雅黑" w:hAnsi="微软雅黑" w:eastAsia="微软雅黑"/>
          <w:color w:val="auto"/>
          <w:sz w:val="18"/>
          <w:szCs w:val="18"/>
          <w:highlight w:val="none"/>
          <w:lang w:eastAsia="zh-CN"/>
        </w:rPr>
      </w:pPr>
      <w:r>
        <w:rPr>
          <w:rFonts w:hint="eastAsia" w:ascii="微软雅黑" w:hAnsi="微软雅黑" w:eastAsia="微软雅黑"/>
          <w:color w:val="auto"/>
          <w:sz w:val="18"/>
          <w:szCs w:val="18"/>
          <w:highlight w:val="none"/>
        </w:rPr>
        <w:t>投标文件接收地点：</w:t>
      </w:r>
      <w:r>
        <w:rPr>
          <w:rFonts w:hint="eastAsia" w:ascii="微软雅黑" w:hAnsi="微软雅黑" w:eastAsia="微软雅黑"/>
          <w:color w:val="auto"/>
          <w:sz w:val="18"/>
          <w:szCs w:val="18"/>
          <w:highlight w:val="none"/>
          <w:lang w:eastAsia="zh-CN"/>
        </w:rPr>
        <w:t>重庆高速公路集团有限公司南方营运分公司武隆管理中心</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xml:space="preserve">投标文件接收人： </w:t>
      </w:r>
      <w:r>
        <w:rPr>
          <w:rFonts w:hint="eastAsia" w:ascii="微软雅黑" w:hAnsi="微软雅黑" w:eastAsia="微软雅黑"/>
          <w:color w:val="auto"/>
          <w:sz w:val="18"/>
          <w:szCs w:val="18"/>
          <w:highlight w:val="none"/>
          <w:lang w:val="en-US" w:eastAsia="zh-CN"/>
        </w:rPr>
        <w:t xml:space="preserve">谢江涛 </w:t>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六、投标文件开标信息</w:t>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开标时间：2020年</w:t>
      </w:r>
      <w:r>
        <w:rPr>
          <w:rFonts w:hint="eastAsia" w:ascii="微软雅黑" w:hAnsi="微软雅黑" w:eastAsia="微软雅黑"/>
          <w:color w:val="auto"/>
          <w:sz w:val="18"/>
          <w:szCs w:val="18"/>
          <w:highlight w:val="none"/>
          <w:lang w:val="en-US" w:eastAsia="zh-CN"/>
        </w:rPr>
        <w:t xml:space="preserve"> 12</w:t>
      </w:r>
      <w:r>
        <w:rPr>
          <w:rFonts w:hint="eastAsia" w:ascii="微软雅黑" w:hAnsi="微软雅黑" w:eastAsia="微软雅黑"/>
          <w:color w:val="auto"/>
          <w:sz w:val="18"/>
          <w:szCs w:val="18"/>
          <w:highlight w:val="none"/>
        </w:rPr>
        <w:t>月</w:t>
      </w:r>
      <w:r>
        <w:rPr>
          <w:rFonts w:hint="eastAsia" w:ascii="微软雅黑" w:hAnsi="微软雅黑" w:eastAsia="微软雅黑"/>
          <w:color w:val="auto"/>
          <w:sz w:val="18"/>
          <w:szCs w:val="18"/>
          <w:highlight w:val="none"/>
          <w:lang w:val="en-US" w:eastAsia="zh-CN"/>
        </w:rPr>
        <w:t xml:space="preserve"> 21日</w:t>
      </w:r>
      <w:r>
        <w:rPr>
          <w:rFonts w:hint="eastAsia" w:ascii="微软雅黑" w:hAnsi="微软雅黑" w:eastAsia="微软雅黑"/>
          <w:color w:val="auto"/>
          <w:sz w:val="18"/>
          <w:szCs w:val="18"/>
          <w:highlight w:val="none"/>
        </w:rPr>
        <w:t>上午 10 :00</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开标地点：</w:t>
      </w:r>
      <w:r>
        <w:rPr>
          <w:rFonts w:hint="eastAsia" w:ascii="微软雅黑" w:hAnsi="微软雅黑" w:eastAsia="微软雅黑"/>
          <w:color w:val="auto"/>
          <w:sz w:val="18"/>
          <w:szCs w:val="18"/>
          <w:highlight w:val="none"/>
          <w:lang w:val="en-US" w:eastAsia="zh-CN"/>
        </w:rPr>
        <w:t>武隆管理中心</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七、本次招标联系事项</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xml:space="preserve">联系人：   </w:t>
      </w:r>
      <w:r>
        <w:rPr>
          <w:rFonts w:hint="eastAsia" w:ascii="微软雅黑" w:hAnsi="微软雅黑" w:eastAsia="微软雅黑"/>
          <w:color w:val="auto"/>
          <w:sz w:val="18"/>
          <w:szCs w:val="18"/>
          <w:highlight w:val="none"/>
          <w:lang w:val="en-US" w:eastAsia="zh-CN"/>
        </w:rPr>
        <w:t>谢江涛</w:t>
      </w:r>
    </w:p>
    <w:p>
      <w:pPr>
        <w:pStyle w:val="5"/>
        <w:shd w:val="clear" w:color="auto" w:fill="FFFFFF"/>
        <w:spacing w:before="0" w:beforeAutospacing="0" w:after="0" w:afterAutospacing="0" w:line="376" w:lineRule="atLeast"/>
        <w:rPr>
          <w:rFonts w:hint="eastAsia" w:ascii="微软雅黑" w:hAnsi="微软雅黑" w:eastAsia="微软雅黑"/>
          <w:color w:val="auto"/>
          <w:sz w:val="15"/>
          <w:szCs w:val="15"/>
          <w:highlight w:val="none"/>
          <w:lang w:val="en-US" w:eastAsia="zh-CN"/>
        </w:rPr>
      </w:pPr>
      <w:r>
        <w:rPr>
          <w:rFonts w:hint="eastAsia" w:ascii="微软雅黑" w:hAnsi="微软雅黑" w:eastAsia="微软雅黑"/>
          <w:color w:val="auto"/>
          <w:sz w:val="18"/>
          <w:szCs w:val="18"/>
          <w:highlight w:val="none"/>
        </w:rPr>
        <w:t>电话：</w:t>
      </w:r>
      <w:r>
        <w:rPr>
          <w:rFonts w:hint="eastAsia" w:ascii="微软雅黑" w:hAnsi="微软雅黑" w:eastAsia="微软雅黑"/>
          <w:color w:val="auto"/>
          <w:sz w:val="15"/>
          <w:szCs w:val="15"/>
          <w:highlight w:val="none"/>
        </w:rPr>
        <w:t xml:space="preserve">  </w:t>
      </w:r>
      <w:r>
        <w:rPr>
          <w:rFonts w:hint="eastAsia" w:ascii="微软雅黑" w:hAnsi="微软雅黑" w:eastAsia="微软雅黑"/>
          <w:color w:val="auto"/>
          <w:sz w:val="15"/>
          <w:szCs w:val="15"/>
          <w:highlight w:val="none"/>
          <w:lang w:eastAsia="zh-CN"/>
        </w:rPr>
        <w:t>17725053299</w:t>
      </w:r>
    </w:p>
    <w:p>
      <w:pPr>
        <w:pStyle w:val="5"/>
        <w:shd w:val="clear" w:color="auto" w:fill="FFFFFF"/>
        <w:spacing w:before="0" w:beforeAutospacing="0" w:after="0" w:afterAutospacing="0" w:line="376" w:lineRule="atLeast"/>
        <w:rPr>
          <w:rFonts w:hint="eastAsia" w:ascii="微软雅黑" w:hAnsi="微软雅黑" w:eastAsia="微软雅黑"/>
          <w:color w:val="auto"/>
          <w:sz w:val="18"/>
          <w:szCs w:val="18"/>
          <w:highlight w:val="none"/>
          <w:lang w:eastAsia="zh-CN"/>
        </w:rPr>
      </w:pPr>
      <w:r>
        <w:rPr>
          <w:rFonts w:hint="eastAsia" w:ascii="微软雅黑" w:hAnsi="微软雅黑" w:eastAsia="微软雅黑"/>
          <w:color w:val="auto"/>
          <w:sz w:val="18"/>
          <w:szCs w:val="18"/>
          <w:highlight w:val="none"/>
          <w:lang w:eastAsia="zh-CN"/>
        </w:rPr>
        <w:t>重庆高速公路集团有限公司南方营运分公司</w:t>
      </w:r>
      <w:r>
        <w:rPr>
          <w:rFonts w:hint="eastAsia" w:ascii="微软雅黑" w:hAnsi="微软雅黑" w:eastAsia="微软雅黑"/>
          <w:color w:val="auto"/>
          <w:sz w:val="18"/>
          <w:szCs w:val="18"/>
          <w:highlight w:val="none"/>
        </w:rPr>
        <w:t>地址：重庆市</w:t>
      </w:r>
      <w:r>
        <w:rPr>
          <w:rFonts w:hint="eastAsia" w:ascii="微软雅黑" w:hAnsi="微软雅黑" w:eastAsia="微软雅黑"/>
          <w:color w:val="auto"/>
          <w:sz w:val="18"/>
          <w:szCs w:val="18"/>
          <w:highlight w:val="none"/>
          <w:lang w:val="en-US" w:eastAsia="zh-CN"/>
        </w:rPr>
        <w:t>G65武隆收费站</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邮政编码：40</w:t>
      </w:r>
      <w:r>
        <w:rPr>
          <w:rFonts w:hint="eastAsia" w:ascii="微软雅黑" w:hAnsi="微软雅黑" w:eastAsia="微软雅黑"/>
          <w:color w:val="auto"/>
          <w:sz w:val="18"/>
          <w:szCs w:val="18"/>
          <w:highlight w:val="none"/>
          <w:lang w:val="en-US" w:eastAsia="zh-CN"/>
        </w:rPr>
        <w:t>8500</w:t>
      </w:r>
      <w:r>
        <w:rPr>
          <w:rFonts w:hint="eastAsia" w:ascii="微软雅黑" w:hAnsi="微软雅黑" w:eastAsia="微软雅黑"/>
          <w:color w:val="auto"/>
          <w:sz w:val="18"/>
          <w:szCs w:val="18"/>
          <w:highlight w:val="none"/>
        </w:rPr>
        <w:t> </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第二章 投标人须知</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1、适用范围                                                  </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本招标文件仅适用于本次招标中所叙述的服务内容采购。</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2.定义</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2.1“采购人”本项目系指</w:t>
      </w:r>
      <w:r>
        <w:rPr>
          <w:rFonts w:hint="eastAsia" w:ascii="微软雅黑" w:hAnsi="微软雅黑" w:eastAsia="微软雅黑"/>
          <w:color w:val="auto"/>
          <w:sz w:val="18"/>
          <w:szCs w:val="18"/>
          <w:highlight w:val="none"/>
          <w:lang w:eastAsia="zh-CN"/>
        </w:rPr>
        <w:t>重庆高速公路集团有限公司南方营运分公司武隆管理中心</w:t>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2.2“投标人”系指无条件接受招标文件的各项要求，具备规定资质要求的汽车维修企业。</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2.3 “车辆”系指</w:t>
      </w:r>
      <w:r>
        <w:rPr>
          <w:rFonts w:hint="eastAsia" w:ascii="微软雅黑" w:hAnsi="微软雅黑" w:eastAsia="微软雅黑"/>
          <w:color w:val="auto"/>
          <w:sz w:val="18"/>
          <w:szCs w:val="18"/>
          <w:highlight w:val="none"/>
          <w:lang w:eastAsia="zh-CN"/>
        </w:rPr>
        <w:t>重庆高速公路集团有限公司南方营运分公司武隆管理中心</w:t>
      </w:r>
      <w:r>
        <w:rPr>
          <w:rFonts w:hint="eastAsia" w:ascii="微软雅黑" w:hAnsi="微软雅黑" w:eastAsia="微软雅黑"/>
          <w:color w:val="auto"/>
          <w:sz w:val="18"/>
          <w:szCs w:val="18"/>
          <w:highlight w:val="none"/>
        </w:rPr>
        <w:t>的公务用车。</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2.4 “维修”系指招标文件规定的车辆大、中、小型修理，一、二、三级维护，以及其它汽车维修服务。</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3.合格投标人</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3.1 重庆市有能力的二类资质等级以上（含二类）汽车维修企业（需入围</w:t>
      </w:r>
      <w:r>
        <w:rPr>
          <w:rFonts w:hint="eastAsia" w:ascii="微软雅黑" w:hAnsi="微软雅黑" w:eastAsia="微软雅黑"/>
          <w:b w:val="0"/>
          <w:bCs w:val="0"/>
          <w:color w:val="auto"/>
          <w:sz w:val="18"/>
          <w:szCs w:val="18"/>
          <w:highlight w:val="none"/>
        </w:rPr>
        <w:t>重庆市2019-2022年市级党政机关、事业单位公务用车维修定点服务商采购名单）。</w:t>
      </w:r>
      <w:r>
        <w:rPr>
          <w:rFonts w:hint="eastAsia" w:ascii="微软雅黑" w:hAnsi="微软雅黑" w:eastAsia="微软雅黑"/>
          <w:b w:val="0"/>
          <w:bCs w:val="0"/>
          <w:color w:val="auto"/>
          <w:sz w:val="18"/>
          <w:szCs w:val="18"/>
          <w:highlight w:val="none"/>
        </w:rPr>
        <w:br w:type="textWrapping"/>
      </w:r>
      <w:r>
        <w:rPr>
          <w:rFonts w:hint="eastAsia" w:ascii="微软雅黑" w:hAnsi="微软雅黑" w:eastAsia="微软雅黑"/>
          <w:color w:val="auto"/>
          <w:sz w:val="18"/>
          <w:szCs w:val="18"/>
          <w:highlight w:val="none"/>
        </w:rPr>
        <w:t>3.2投标人应遵守有关国家法律、法规和条例，具备《中华人民共和国政府采购法》第二十二条规定的条件。</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3.3投标人应具有本招标文件规定资质并提供相应的资格证明文件。</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4.投标委托</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如投标人代表不是法定代表人，须持有《法定代表人授权书》。</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5.投标费用</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无论投标的过程和结果如何，投标人自行承担所有与参加投标有关的全部费用。</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6.招标文件构成</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6.1招标文件由招标文件目录所列内容组成。</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6.2投标人应详细阅读招标文件的全部内容。不按招标文件的要求提供的投标文件和资料，将导致投标被拒绝。</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7.招标文件的澄清、修改</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7.1任何要求对招标文件进行澄清的投标人，均应在2020年</w:t>
      </w:r>
      <w:r>
        <w:rPr>
          <w:rFonts w:hint="eastAsia" w:ascii="微软雅黑" w:hAnsi="微软雅黑" w:eastAsia="微软雅黑"/>
          <w:color w:val="auto"/>
          <w:sz w:val="18"/>
          <w:szCs w:val="18"/>
          <w:highlight w:val="none"/>
          <w:lang w:val="en-US" w:eastAsia="zh-CN"/>
        </w:rPr>
        <w:t>12</w:t>
      </w:r>
      <w:r>
        <w:rPr>
          <w:rFonts w:hint="eastAsia" w:ascii="微软雅黑" w:hAnsi="微软雅黑" w:eastAsia="微软雅黑"/>
          <w:color w:val="auto"/>
          <w:sz w:val="18"/>
          <w:szCs w:val="18"/>
          <w:highlight w:val="none"/>
        </w:rPr>
        <w:t>月</w:t>
      </w:r>
      <w:r>
        <w:rPr>
          <w:rFonts w:hint="eastAsia" w:ascii="微软雅黑" w:hAnsi="微软雅黑" w:eastAsia="微软雅黑"/>
          <w:color w:val="auto"/>
          <w:sz w:val="18"/>
          <w:szCs w:val="18"/>
          <w:highlight w:val="none"/>
          <w:lang w:val="en-US" w:eastAsia="zh-CN"/>
        </w:rPr>
        <w:t>21</w:t>
      </w:r>
      <w:r>
        <w:rPr>
          <w:rFonts w:hint="eastAsia" w:ascii="微软雅黑" w:hAnsi="微软雅黑" w:eastAsia="微软雅黑"/>
          <w:color w:val="auto"/>
          <w:sz w:val="18"/>
          <w:szCs w:val="18"/>
          <w:highlight w:val="none"/>
        </w:rPr>
        <w:t>日前，按照《招标公告》中的地址，将书面正式文件送达我公司。我公司对规定时间前收到的澄清要求，将予以答复。答复中包括所提问题，但不包括问题的来源。</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7.2在投标截止时间3日前任何时候，无论出于何种原因，我公司均可对招标文件进行修改。</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7.3澄清或者修改的内容为招标文件的组成部分。</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7.4我公司可以视采购具体情况，在招标文件要求提交投标文件截止时间的1日前，有权决定推迟投标截止时间和开标时间。</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7.5我公司根据招标采购项目的具体情况，视情况决定是否有必要组织投标人现场考察，如果进行现场考察，我公司将通知所有投标人。</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7.6所有答复、修改、变更内容均以书面形式公布在我公司网站上，不再另行通知，请投标人关注网站内容的更新。</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8.投标文件计量单位</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投标文件中所用的计量单位，除招标文件中有特殊要求外，应采用国家法定计量单位。</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9.投标文件的有效期</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自开标日起60天内，投标文件应保持有效。</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10、投标文件份数和签署</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10.1 投标人应提交一式叁份投标文件（一份正本，贰份副本），每份投标文件须清楚地标明“正本”或“副本”字样。一旦正本和副本不符，以正本为准。</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10.2 投标文件的正本和所有的副本均由投标人法定代表人或授权代表签字。</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11、投标文件的密封和标记</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11.1 投标人应将投标文件正本和所有副本密封包装。《开标一览表》单独密封递交，以便唱标。</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11.2密封包装应注明投标项目名称、项目编号、投标人名称、地址。并在密封处加盖投标人公章。以便如果投标文件被宣布为“迟到”时，能原封退回。如果密封包装未按要求密封和加写标记，我公司对误投或提前启封概不负责。 文件启封后不退。</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12、投标截止时间</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12.1投标人应当在招标文件要求提交投标文件截止时间前，将投标文件密封送达投标地点。</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12.2我公司可以按照本文件规定通过修改招标文件推迟投标截止时间。在此情况下，受投标截止时间制约的所有权利和义务均应延长至新的截止时间。</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13、投标人有下列情况之一的，我公司将拒绝接收投标人的投标文件</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13.1未通过资格审查的；</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13.2未按招标文件要求密封和标记的；</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13.3在招标文件要求提交投标文件的截止时间之后送达的。</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14、联合投标</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本项目不接受联合投标。</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15、诚实信用</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15.1投标人之间不得相互串通投标报价，不得妨碍其他投标人的公平竞争，不得损害采购人或者其他投标人的合法权益。</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15.2投标人不得向我公司评标委员会成员行贿或者采取其他不正当手段以谋取中标。即使在签订合同后，如果我公司有证据表明投标人有此行为的，将终止合同。</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16、质疑和投诉</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16.1投标人认为招标文件、采购过程和中标结果使自己的合法权益受到损害的，可以在知道或者应知其权益受到损害之日起7个工作日内，以书面形式向我公司此次车辆维修招标工作处提出质疑，但需对质疑内容的真实性承担责任。</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16.2我公司在收到投标人的书面质疑后7个工作日内作出答复，并以书面形式通知质疑投标人和其他有关投标人，但答复的内容不涉及商业秘密。</w:t>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 </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第三章 投标人应当提交的资格证明文件</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1、证明投标人合格和资格的文件（复印件加盖公章，原件备查）</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1.1投标人应提交证明其有资格参加投标和中标后有能力履行合同的文件，并作为其投标文件的一部分。</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1.2投标人资格证明文件包括（但不限于）</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(1)★投标函(原件)</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(2)★资格声明(原件)</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(3)★被授权人参加投标的须提供《法定代表人授权委托书》原件和被授权人身份证复印件(原件备查)；若法定代表人参加投标，只须提供本人身份证复印件(原件备查)</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(4)★营业执照副本(复印件加盖投标人公章)</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(5)★依法缴纳职工社会保障资金的证明材料(复印件加盖投标人公章)(税务、银行或社会保险基金管理部门出具的近一个月缴纳职工社会保障资金的缴款凭证或缴款证明)</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(6)★投标人近三个月内任意一份依法纳税的缴款凭证(复印件加盖投标人公章)</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(7)★投标人及被授权委托人本次投标活动前3年内在经营活动中没有违法记录的书面声明（原件加盖投标人公章及法定代表人章）</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(8)★汽车维修行业技术审查合格证（二级及以上汽车维修资质）</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(9)★投标人廉洁承诺书</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(10)投标人2019年1月1日以来类似项目合同(复印件加盖投标人公章)</w:t>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(11)投标人维修厂所属职工中高级职称证明（复印件并签字）及该员工最近三个月社保缴费明细（复印件）。</w:t>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(12)甲方提供的材料报价表及自定的维修特色服务细则、维修保修细则。</w:t>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(13)投标人认为需要提供的其他商务资料</w:t>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2、投标文件的正本和副本中均须提供资格证明文件。上述打★号为必备项，若有缺失，将导致投标被拒绝且不允许在开标后补正；上述未打★号为备查项，若缺项，则投标文件仍然有效，但将影响评分结果。</w:t>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 </w:t>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 </w:t>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第四章 开标、评标办法、评分标准与合同主要条款</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1、开标</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1.1 我公司将在</w:t>
      </w:r>
      <w:r>
        <w:rPr>
          <w:rFonts w:hint="eastAsia" w:ascii="微软雅黑" w:hAnsi="微软雅黑" w:eastAsia="微软雅黑"/>
          <w:color w:val="auto"/>
          <w:sz w:val="18"/>
          <w:szCs w:val="18"/>
          <w:highlight w:val="none"/>
          <w:lang w:val="en-US" w:eastAsia="zh-CN"/>
        </w:rPr>
        <w:t xml:space="preserve"> 12</w:t>
      </w:r>
      <w:r>
        <w:rPr>
          <w:rFonts w:hint="eastAsia" w:ascii="微软雅黑" w:hAnsi="微软雅黑" w:eastAsia="微软雅黑"/>
          <w:color w:val="auto"/>
          <w:sz w:val="18"/>
          <w:szCs w:val="18"/>
          <w:highlight w:val="none"/>
        </w:rPr>
        <w:t>月</w:t>
      </w:r>
      <w:r>
        <w:rPr>
          <w:rFonts w:hint="eastAsia" w:ascii="微软雅黑" w:hAnsi="微软雅黑" w:eastAsia="微软雅黑"/>
          <w:color w:val="auto"/>
          <w:sz w:val="18"/>
          <w:szCs w:val="18"/>
          <w:highlight w:val="none"/>
          <w:lang w:val="en-US" w:eastAsia="zh-CN"/>
        </w:rPr>
        <w:t xml:space="preserve"> 21日</w:t>
      </w:r>
      <w:r>
        <w:rPr>
          <w:rFonts w:hint="eastAsia" w:ascii="微软雅黑" w:hAnsi="微软雅黑" w:eastAsia="微软雅黑"/>
          <w:color w:val="auto"/>
          <w:sz w:val="18"/>
          <w:szCs w:val="18"/>
          <w:highlight w:val="none"/>
        </w:rPr>
        <w:t>上午10点在</w:t>
      </w:r>
      <w:r>
        <w:rPr>
          <w:rFonts w:hint="eastAsia" w:ascii="微软雅黑" w:hAnsi="微软雅黑" w:eastAsia="微软雅黑"/>
          <w:color w:val="auto"/>
          <w:sz w:val="18"/>
          <w:szCs w:val="18"/>
          <w:highlight w:val="none"/>
          <w:lang w:val="en-US" w:eastAsia="zh-CN"/>
        </w:rPr>
        <w:t>武隆管理中心会议</w:t>
      </w:r>
      <w:r>
        <w:rPr>
          <w:rFonts w:hint="eastAsia" w:ascii="微软雅黑" w:hAnsi="微软雅黑" w:eastAsia="微软雅黑"/>
          <w:color w:val="auto"/>
          <w:sz w:val="18"/>
          <w:szCs w:val="18"/>
          <w:highlight w:val="none"/>
        </w:rPr>
        <w:t>室进行公开开标，请各位投标人参加。开标只对投标人所报价格进行开标确认。</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1.2开标时，开标一览表内容与投标文件中其他内容不一致的，以开标一览表为准。</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1.3投标文件的大写金额与小写金额不一致的，以大写金额为准；总价金额与按单价金额计算不一致的，以单价金额计算为准；单价金额小数点有明显错位的，应以总价为准，并修改单价；对不同文字文本投标文件的解释发生异议的，以中文文本为准。</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2.评标</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2.1评标组织</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(1)评标工作由</w:t>
      </w:r>
      <w:r>
        <w:rPr>
          <w:rFonts w:hint="eastAsia" w:ascii="微软雅黑" w:hAnsi="微软雅黑" w:eastAsia="微软雅黑"/>
          <w:color w:val="auto"/>
          <w:sz w:val="18"/>
          <w:szCs w:val="18"/>
          <w:highlight w:val="none"/>
          <w:lang w:eastAsia="zh-CN"/>
        </w:rPr>
        <w:t>重庆高速公路集团有限公司南方营运分公司武隆管理中心</w:t>
      </w:r>
      <w:r>
        <w:rPr>
          <w:rFonts w:hint="eastAsia" w:ascii="微软雅黑" w:hAnsi="微软雅黑" w:eastAsia="微软雅黑"/>
          <w:color w:val="auto"/>
          <w:sz w:val="18"/>
          <w:szCs w:val="18"/>
          <w:highlight w:val="none"/>
        </w:rPr>
        <w:t>负责组织，具体评标事务将组建评标小组负责，并独立履行职责。</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(2)评标小组由</w:t>
      </w:r>
      <w:r>
        <w:rPr>
          <w:rFonts w:hint="eastAsia" w:ascii="微软雅黑" w:hAnsi="微软雅黑" w:eastAsia="微软雅黑"/>
          <w:color w:val="auto"/>
          <w:sz w:val="18"/>
          <w:szCs w:val="18"/>
          <w:highlight w:val="none"/>
          <w:lang w:eastAsia="zh-CN"/>
        </w:rPr>
        <w:t>南方公司运行巡查部</w:t>
      </w:r>
      <w:r>
        <w:rPr>
          <w:rFonts w:hint="eastAsia" w:ascii="微软雅黑" w:hAnsi="微软雅黑" w:eastAsia="微软雅黑"/>
          <w:color w:val="auto"/>
          <w:sz w:val="18"/>
          <w:szCs w:val="18"/>
          <w:highlight w:val="none"/>
        </w:rPr>
        <w:t>、管理中心等部门的人员组成，独立开展评审工作。</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2.2评标方法</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(1) 评标采用综合评分法。</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(2) 评标考虑的主要因素及其权值是：项目 评分标准</w:t>
      </w:r>
      <w:r>
        <w:rPr>
          <w:rFonts w:hint="eastAsia" w:ascii="微软雅黑" w:hAnsi="微软雅黑" w:eastAsia="微软雅黑"/>
          <w:color w:val="auto"/>
          <w:sz w:val="18"/>
          <w:szCs w:val="18"/>
          <w:highlight w:val="none"/>
        </w:rPr>
        <w:br w:type="textWrapping"/>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项 目 评分标准</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a报价</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w:t>
      </w:r>
      <w:r>
        <w:rPr>
          <w:rFonts w:hint="eastAsia" w:ascii="微软雅黑" w:hAnsi="微软雅黑" w:eastAsia="微软雅黑"/>
          <w:color w:val="auto"/>
          <w:sz w:val="18"/>
          <w:szCs w:val="18"/>
          <w:highlight w:val="none"/>
          <w:lang w:val="en-US" w:eastAsia="zh-CN"/>
        </w:rPr>
        <w:t>60</w:t>
      </w:r>
      <w:r>
        <w:rPr>
          <w:rFonts w:hint="eastAsia" w:ascii="微软雅黑" w:hAnsi="微软雅黑" w:eastAsia="微软雅黑"/>
          <w:color w:val="auto"/>
          <w:sz w:val="18"/>
          <w:szCs w:val="18"/>
          <w:highlight w:val="none"/>
        </w:rPr>
        <w:t>分） 主要考量甲方提供的材料报价和维修工时费。（报价表附后）</w:t>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其中材料报价表评分细则为：甲方提供材料表内每一单项材料分为</w:t>
      </w:r>
      <w:r>
        <w:rPr>
          <w:rFonts w:hint="eastAsia" w:ascii="微软雅黑" w:hAnsi="微软雅黑" w:eastAsia="微软雅黑"/>
          <w:color w:val="auto"/>
          <w:sz w:val="18"/>
          <w:szCs w:val="18"/>
          <w:highlight w:val="none"/>
          <w:lang w:val="en-US" w:eastAsia="zh-CN"/>
        </w:rPr>
        <w:t>2</w:t>
      </w:r>
      <w:r>
        <w:rPr>
          <w:rFonts w:hint="eastAsia" w:ascii="微软雅黑" w:hAnsi="微软雅黑" w:eastAsia="微软雅黑"/>
          <w:color w:val="auto"/>
          <w:sz w:val="18"/>
          <w:szCs w:val="18"/>
          <w:highlight w:val="none"/>
        </w:rPr>
        <w:t>分，工时报价</w:t>
      </w:r>
      <w:r>
        <w:rPr>
          <w:rFonts w:hint="eastAsia" w:ascii="微软雅黑" w:hAnsi="微软雅黑" w:eastAsia="微软雅黑"/>
          <w:color w:val="auto"/>
          <w:sz w:val="18"/>
          <w:szCs w:val="18"/>
          <w:highlight w:val="none"/>
          <w:lang w:val="en-US" w:eastAsia="zh-CN"/>
        </w:rPr>
        <w:t>1</w:t>
      </w:r>
      <w:r>
        <w:rPr>
          <w:rFonts w:hint="eastAsia" w:ascii="微软雅黑" w:hAnsi="微软雅黑" w:eastAsia="微软雅黑"/>
          <w:color w:val="auto"/>
          <w:sz w:val="18"/>
          <w:szCs w:val="18"/>
          <w:highlight w:val="none"/>
        </w:rPr>
        <w:t>分(标准工时。每一单项材料报价最低者得</w:t>
      </w:r>
      <w:r>
        <w:rPr>
          <w:rFonts w:hint="eastAsia" w:ascii="微软雅黑" w:hAnsi="微软雅黑" w:eastAsia="微软雅黑"/>
          <w:color w:val="auto"/>
          <w:sz w:val="18"/>
          <w:szCs w:val="18"/>
          <w:highlight w:val="none"/>
          <w:lang w:val="en-US" w:eastAsia="zh-CN"/>
        </w:rPr>
        <w:t>2</w:t>
      </w:r>
      <w:r>
        <w:rPr>
          <w:rFonts w:hint="eastAsia" w:ascii="微软雅黑" w:hAnsi="微软雅黑" w:eastAsia="微软雅黑"/>
          <w:color w:val="auto"/>
          <w:sz w:val="18"/>
          <w:szCs w:val="18"/>
          <w:highlight w:val="none"/>
        </w:rPr>
        <w:t>分，按最低价格为标准每多1%价格，得分扣除0.1分。工时费得分标准同上。</w:t>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报价表中的车辆维修材料，报价配件必须为车辆原厂配件，指定的润滑油和蓄电瓶必须为有正式进货渠道的正品。</w:t>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评标组有权利要求投标人提供配件材料备查。</w:t>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本条考评标准得分满分为</w:t>
      </w:r>
      <w:r>
        <w:rPr>
          <w:rFonts w:hint="eastAsia" w:ascii="微软雅黑" w:hAnsi="微软雅黑" w:eastAsia="微软雅黑"/>
          <w:color w:val="auto"/>
          <w:sz w:val="18"/>
          <w:szCs w:val="18"/>
          <w:highlight w:val="none"/>
          <w:lang w:val="en-US" w:eastAsia="zh-CN"/>
        </w:rPr>
        <w:t>60</w:t>
      </w:r>
      <w:r>
        <w:rPr>
          <w:rFonts w:hint="eastAsia" w:ascii="微软雅黑" w:hAnsi="微软雅黑" w:eastAsia="微软雅黑"/>
          <w:color w:val="auto"/>
          <w:sz w:val="18"/>
          <w:szCs w:val="18"/>
          <w:highlight w:val="none"/>
        </w:rPr>
        <w:t>分。</w:t>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b服务</w:t>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w:t>
      </w:r>
      <w:r>
        <w:rPr>
          <w:rFonts w:hint="eastAsia" w:ascii="微软雅黑" w:hAnsi="微软雅黑" w:eastAsia="微软雅黑"/>
          <w:color w:val="auto"/>
          <w:sz w:val="18"/>
          <w:szCs w:val="18"/>
          <w:highlight w:val="none"/>
          <w:lang w:val="en-US" w:eastAsia="zh-CN"/>
        </w:rPr>
        <w:t>10</w:t>
      </w:r>
      <w:r>
        <w:rPr>
          <w:rFonts w:hint="eastAsia" w:ascii="微软雅黑" w:hAnsi="微软雅黑" w:eastAsia="微软雅黑"/>
          <w:color w:val="auto"/>
          <w:sz w:val="18"/>
          <w:szCs w:val="18"/>
          <w:highlight w:val="none"/>
        </w:rPr>
        <w:t>分） 评标委员会综合评定投标人其他方面内容。主要考评内容包括曾受奖惩情况、与长期客户签订的维修服务、是否提供独具特色的维修服务项目、维修服务计划、免费服务项目以及其他有利于招标方的优惠和活动。</w:t>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具体细则由评审组根据投标人所出示的具体材料以及面谈的结果进行打分。</w:t>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本条考评标准得分满分为10分。</w:t>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d员工资质及环境条件</w:t>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w:t>
      </w:r>
      <w:r>
        <w:rPr>
          <w:rFonts w:hint="eastAsia" w:ascii="微软雅黑" w:hAnsi="微软雅黑" w:eastAsia="微软雅黑"/>
          <w:color w:val="auto"/>
          <w:sz w:val="18"/>
          <w:szCs w:val="18"/>
          <w:highlight w:val="none"/>
          <w:lang w:val="en-US" w:eastAsia="zh-CN"/>
        </w:rPr>
        <w:t>30</w:t>
      </w:r>
      <w:r>
        <w:rPr>
          <w:rFonts w:hint="eastAsia" w:ascii="微软雅黑" w:hAnsi="微软雅黑" w:eastAsia="微软雅黑"/>
          <w:color w:val="auto"/>
          <w:sz w:val="18"/>
          <w:szCs w:val="18"/>
          <w:highlight w:val="none"/>
        </w:rPr>
        <w:t>分） 评标委员会综合评定投标人所属维修厂的技术人员资质组成，场地环境条件及专业设备等情况评定分数（满分</w:t>
      </w:r>
      <w:r>
        <w:rPr>
          <w:rFonts w:hint="eastAsia" w:ascii="微软雅黑" w:hAnsi="微软雅黑" w:eastAsia="微软雅黑"/>
          <w:color w:val="auto"/>
          <w:sz w:val="18"/>
          <w:szCs w:val="18"/>
          <w:highlight w:val="none"/>
          <w:lang w:val="en-US" w:eastAsia="zh-CN"/>
        </w:rPr>
        <w:t>30</w:t>
      </w:r>
      <w:r>
        <w:rPr>
          <w:rFonts w:hint="eastAsia" w:ascii="微软雅黑" w:hAnsi="微软雅黑" w:eastAsia="微软雅黑"/>
          <w:color w:val="auto"/>
          <w:sz w:val="18"/>
          <w:szCs w:val="18"/>
          <w:highlight w:val="none"/>
        </w:rPr>
        <w:t>分）。</w:t>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具体细则为各投标人所属员工具备高级职称</w:t>
      </w:r>
      <w:r>
        <w:rPr>
          <w:rFonts w:hint="eastAsia" w:ascii="微软雅黑" w:hAnsi="微软雅黑" w:eastAsia="微软雅黑"/>
          <w:color w:val="auto"/>
          <w:sz w:val="18"/>
          <w:szCs w:val="18"/>
          <w:highlight w:val="none"/>
          <w:lang w:val="en-US" w:eastAsia="zh-CN"/>
        </w:rPr>
        <w:t>1名</w:t>
      </w:r>
      <w:r>
        <w:rPr>
          <w:rFonts w:hint="eastAsia" w:ascii="微软雅黑" w:hAnsi="微软雅黑" w:eastAsia="微软雅黑"/>
          <w:color w:val="auto"/>
          <w:sz w:val="18"/>
          <w:szCs w:val="18"/>
          <w:highlight w:val="none"/>
        </w:rPr>
        <w:t>者得</w:t>
      </w:r>
      <w:r>
        <w:rPr>
          <w:rFonts w:hint="eastAsia" w:ascii="微软雅黑" w:hAnsi="微软雅黑" w:eastAsia="微软雅黑"/>
          <w:color w:val="auto"/>
          <w:sz w:val="18"/>
          <w:szCs w:val="18"/>
          <w:highlight w:val="none"/>
          <w:lang w:val="en-US" w:eastAsia="zh-CN"/>
        </w:rPr>
        <w:t>4</w:t>
      </w:r>
      <w:r>
        <w:rPr>
          <w:rFonts w:hint="eastAsia" w:ascii="微软雅黑" w:hAnsi="微软雅黑" w:eastAsia="微软雅黑"/>
          <w:color w:val="auto"/>
          <w:sz w:val="18"/>
          <w:szCs w:val="18"/>
          <w:highlight w:val="none"/>
        </w:rPr>
        <w:t>分，中级职称</w:t>
      </w:r>
      <w:r>
        <w:rPr>
          <w:rFonts w:hint="eastAsia" w:ascii="微软雅黑" w:hAnsi="微软雅黑" w:eastAsia="微软雅黑"/>
          <w:color w:val="auto"/>
          <w:sz w:val="18"/>
          <w:szCs w:val="18"/>
          <w:highlight w:val="none"/>
          <w:lang w:val="en-US" w:eastAsia="zh-CN"/>
        </w:rPr>
        <w:t>1名</w:t>
      </w:r>
      <w:r>
        <w:rPr>
          <w:rFonts w:hint="eastAsia" w:ascii="微软雅黑" w:hAnsi="微软雅黑" w:eastAsia="微软雅黑"/>
          <w:color w:val="auto"/>
          <w:sz w:val="18"/>
          <w:szCs w:val="18"/>
          <w:highlight w:val="none"/>
        </w:rPr>
        <w:t>者得</w:t>
      </w:r>
      <w:r>
        <w:rPr>
          <w:rFonts w:hint="eastAsia" w:ascii="微软雅黑" w:hAnsi="微软雅黑" w:eastAsia="微软雅黑"/>
          <w:color w:val="auto"/>
          <w:sz w:val="18"/>
          <w:szCs w:val="18"/>
          <w:highlight w:val="none"/>
          <w:lang w:val="en-US" w:eastAsia="zh-CN"/>
        </w:rPr>
        <w:t>2</w:t>
      </w:r>
      <w:r>
        <w:rPr>
          <w:rFonts w:hint="eastAsia" w:ascii="微软雅黑" w:hAnsi="微软雅黑" w:eastAsia="微软雅黑"/>
          <w:color w:val="auto"/>
          <w:sz w:val="18"/>
          <w:szCs w:val="18"/>
          <w:highlight w:val="none"/>
        </w:rPr>
        <w:t>分，最高得</w:t>
      </w:r>
      <w:r>
        <w:rPr>
          <w:rFonts w:hint="eastAsia" w:ascii="微软雅黑" w:hAnsi="微软雅黑" w:eastAsia="微软雅黑"/>
          <w:color w:val="auto"/>
          <w:sz w:val="18"/>
          <w:szCs w:val="18"/>
          <w:highlight w:val="none"/>
          <w:lang w:val="en-US" w:eastAsia="zh-CN"/>
        </w:rPr>
        <w:t>20</w:t>
      </w:r>
      <w:r>
        <w:rPr>
          <w:rFonts w:hint="eastAsia" w:ascii="微软雅黑" w:hAnsi="微软雅黑" w:eastAsia="微软雅黑"/>
          <w:color w:val="auto"/>
          <w:sz w:val="18"/>
          <w:szCs w:val="18"/>
          <w:highlight w:val="none"/>
        </w:rPr>
        <w:t>分。场地和设备（包含车辆举升机，空压机，换油设备，故障码诊断仪等）满足同时维修五台以上车辆（不包含钣金、漆面维修）为合格，得5分，不合格不得分。维修环境，包括维修车间整洁、物资摆放、驾休室的设置、车辆停放等综合打分，最高5分，最低0分。(投标后，开标前，将组织到投标人处查看)</w:t>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备注：上述所需提供的材料如是复印件，原件需备查。</w:t>
      </w:r>
    </w:p>
    <w:p>
      <w:pPr>
        <w:pStyle w:val="5"/>
        <w:shd w:val="clear" w:color="auto" w:fill="FFFFFF"/>
        <w:spacing w:before="0" w:beforeAutospacing="0" w:after="0" w:afterAutospacing="0" w:line="376" w:lineRule="atLeast"/>
        <w:rPr>
          <w:rFonts w:hint="eastAsia"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2.3评标过程的保密性</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(1)我公司将采取必要措施，保证评标在严格保密的情况下进行。</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(2)任何单位和个人不得非法干预、影响评标办法的确定，以及评标过程和结果。</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(3)凡是与审查、澄清、评价和投标的有关资料等，均不向投标人及与评标无关的其他人员透露。</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2.4评标程序</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（1）投标文件初审。初审分为资格性检查和符合性检查。</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A、资格性检查。依据法律法规和招标文件的规定，对投标文件中资格证明文件等进行审查，以确定供应商是否具备投标资格。</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B、符合性检查。依据招标文件规定，从投标文件的有效性、完整性和对招标文件的响应程度进行审查，以确定是否对招标文件的实质性要求作出响应。</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(2)澄清有关问题。对投标文件中含义不明确、同类问题表述不一致或者明显文字和计算错误的内容，评标委员会可以要求投标人作出必要的澄清、说明或者纠正。</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(3)比较与评价。按照招标文件中规定的评标方法和评分标准，对符合性检查合格的投标文件进行商务和技术评估，综合比较与评价。</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xml:space="preserve">(4) 确定中标人。本次评标采用综合评分中标法，评审小组根据投标人的报价、服务、维修能力和环境等项目进行打分，按得分的高低排序。确定排名第一的为中标人。排名第一的中标人放弃中标、因不可抗力提出不能履行合同，可以由评分排名靠后的候选人依分数高者中标。 </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我公司自中标供应商确定之日5个工作日内，发出中标通知书。</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4、合同主要条款</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4.1车辆维修服务项目:一级、二级、三级车辆维护，大、中、小修理，和其他有关的汽车维修服务项目，包括交通事故车辆维修和理赔。</w:t>
      </w:r>
    </w:p>
    <w:p>
      <w:pPr>
        <w:pStyle w:val="5"/>
        <w:shd w:val="clear" w:color="auto" w:fill="FFFFFF"/>
        <w:spacing w:before="0" w:beforeAutospacing="0" w:after="0" w:afterAutospacing="0" w:line="376" w:lineRule="atLeast"/>
        <w:rPr>
          <w:rFonts w:hint="eastAsia"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4.2费用</w:t>
      </w:r>
      <w:r>
        <w:rPr>
          <w:rFonts w:hint="eastAsia" w:ascii="微软雅黑" w:hAnsi="微软雅黑" w:eastAsia="微软雅黑"/>
          <w:color w:val="auto"/>
          <w:sz w:val="18"/>
          <w:szCs w:val="18"/>
          <w:highlight w:val="none"/>
          <w:lang w:val="en-US" w:eastAsia="zh-CN"/>
        </w:rPr>
        <w:t>:中标单位在定点维修服务的合同期限内，涉及的车辆维修材料及项目维修必须按照投标中的材料报价及项目维修报价执行。</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4.3质量保证（见附件甲方维修要求及质保标准）</w:t>
      </w:r>
      <w:r>
        <w:rPr>
          <w:rFonts w:hint="eastAsia" w:ascii="微软雅黑" w:hAnsi="微软雅黑" w:eastAsia="微软雅黑"/>
          <w:color w:val="auto"/>
          <w:sz w:val="18"/>
          <w:szCs w:val="18"/>
          <w:highlight w:val="none"/>
          <w:lang w:eastAsia="zh-CN"/>
        </w:rPr>
        <w:t>。</w:t>
      </w:r>
      <w:r>
        <w:rPr>
          <w:rFonts w:hint="eastAsia" w:ascii="微软雅黑" w:hAnsi="微软雅黑" w:eastAsia="微软雅黑"/>
          <w:color w:val="auto"/>
          <w:sz w:val="18"/>
          <w:szCs w:val="18"/>
          <w:highlight w:val="none"/>
          <w:lang w:val="en-US" w:eastAsia="zh-CN"/>
        </w:rPr>
        <w:t>中标维修单位需向我司缴纳2万元服务质保金，履约期结束后，我司将退还服务质保金。</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4.4结算方式：本合同范围内的维修费用由中标修理厂每月提供增值税</w:t>
      </w:r>
      <w:r>
        <w:rPr>
          <w:rFonts w:hint="eastAsia" w:ascii="微软雅黑" w:hAnsi="微软雅黑" w:eastAsia="微软雅黑"/>
          <w:color w:val="auto"/>
          <w:sz w:val="18"/>
          <w:szCs w:val="18"/>
          <w:highlight w:val="none"/>
          <w:lang w:eastAsia="zh-CN"/>
        </w:rPr>
        <w:t>普通</w:t>
      </w:r>
      <w:r>
        <w:rPr>
          <w:rFonts w:hint="eastAsia" w:ascii="微软雅黑" w:hAnsi="微软雅黑" w:eastAsia="微软雅黑"/>
          <w:color w:val="auto"/>
          <w:sz w:val="18"/>
          <w:szCs w:val="18"/>
          <w:highlight w:val="none"/>
        </w:rPr>
        <w:t>发票，由车管员审核后报销，使用转账方式支付。</w:t>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 xml:space="preserve">4.5违约责任 </w:t>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4.6解决合同纠纷的方式</w:t>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4.7 合同年限.：初定为自签订合同之日起</w:t>
      </w:r>
      <w:r>
        <w:rPr>
          <w:rFonts w:hint="eastAsia" w:ascii="微软雅黑" w:hAnsi="微软雅黑" w:eastAsia="微软雅黑"/>
          <w:color w:val="auto"/>
          <w:sz w:val="18"/>
          <w:szCs w:val="18"/>
          <w:highlight w:val="none"/>
          <w:lang w:val="en-US" w:eastAsia="zh-CN"/>
        </w:rPr>
        <w:t>2</w:t>
      </w:r>
      <w:r>
        <w:rPr>
          <w:rFonts w:hint="eastAsia" w:ascii="微软雅黑" w:hAnsi="微软雅黑" w:eastAsia="微软雅黑"/>
          <w:color w:val="auto"/>
          <w:sz w:val="18"/>
          <w:szCs w:val="18"/>
          <w:highlight w:val="none"/>
        </w:rPr>
        <w:t>年内有效。经招标人考核，符合招标人车辆维修技术要求和服务要求的，可延长此合同1年。</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第五章 附件</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一、投标函</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xml:space="preserve">                                         </w:t>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 xml:space="preserve">                                           投  标  函</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致：</w:t>
      </w:r>
      <w:r>
        <w:rPr>
          <w:rFonts w:hint="eastAsia" w:ascii="微软雅黑" w:hAnsi="微软雅黑" w:eastAsia="微软雅黑"/>
          <w:color w:val="auto"/>
          <w:sz w:val="18"/>
          <w:szCs w:val="18"/>
          <w:highlight w:val="none"/>
          <w:lang w:eastAsia="zh-CN"/>
        </w:rPr>
        <w:t>重庆高速公路集团有限公司南方营运分公司武隆管理中心</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xml:space="preserve">      根据贵方         招标文件，正式授权下述签字人             (姓名和职务)代表投标人           （投标人名称），提交下述文件正本一式壹份，副本一式贰份</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xml:space="preserve">     1、投标价格表（附后）。</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xml:space="preserve">     2、法人授权委托书</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xml:space="preserve">     3、我方承诺：</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xml:space="preserve">    (1)我方将按招标文件的规定履行合同责任和义务。</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xml:space="preserve">    (2)我方已经仔细审查全部招标文件，包括修改文件以及全部参考资料和有关附件。</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xml:space="preserve">    (3)本投标文件有效期从开标日起至中标后签订正式合同止。</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xml:space="preserve">    (4)我方同意提供按照贵方要求的投标有关的一切数据或资料，完全理解贵方不一定要接受最低价的投标或收到的任何投标。</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xml:space="preserve">    (5)我方愿意遵守有关规定和收费标准。</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xml:space="preserve">    (6)该项投标在开标后的全过程中保持有效，不作更改和变动。</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xml:space="preserve">    4、与本投标有关的正式通讯地址为：</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xml:space="preserve">     地   址：                      </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xml:space="preserve">     电   话：                      </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xml:space="preserve">     传   真：                      </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xml:space="preserve">                                                       法定代表人或授权代表（签字）：        </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xml:space="preserve">                                                             投标人（章）：                </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xml:space="preserve">                                                     日    期：       年    月    </w:t>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二、法定代表人授权委托书</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xml:space="preserve">                             </w:t>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 xml:space="preserve">                                      法定代表人授权委托书</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重庆高速公路集团有限公司：</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xml:space="preserve">     本授权书声明：                 （投标人名称）法定代表人             （法定代表人姓名、职务）代表本公司授权在下面签字的              （被授权人姓名、职务）为本公司的合法代理人，就贵方组织的项目名称 投标，以本公司名义处理一切与之有关的事务。</w:t>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 xml:space="preserve">     本授权书于    年    月    日签字或盖章生效，特此声明。</w:t>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 xml:space="preserve">                                                                投标人名称（章）：</w:t>
      </w:r>
      <w:r>
        <w:rPr>
          <w:rFonts w:hint="eastAsia" w:ascii="微软雅黑" w:hAnsi="微软雅黑" w:eastAsia="微软雅黑"/>
          <w:color w:val="auto"/>
          <w:sz w:val="18"/>
          <w:szCs w:val="18"/>
          <w:highlight w:val="none"/>
        </w:rPr>
        <w:br w:type="textWrapping"/>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 xml:space="preserve">                                                           法定代表人签字（或盖章）：</w:t>
      </w:r>
      <w:r>
        <w:rPr>
          <w:rFonts w:hint="eastAsia" w:ascii="微软雅黑" w:hAnsi="微软雅黑" w:eastAsia="微软雅黑"/>
          <w:color w:val="auto"/>
          <w:sz w:val="18"/>
          <w:szCs w:val="18"/>
          <w:highlight w:val="none"/>
        </w:rPr>
        <w:br w:type="textWrapping"/>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 xml:space="preserve">                                                                被授权人签字：</w:t>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xml:space="preserve">                                                        日        期：        年    月    日</w:t>
      </w:r>
      <w:r>
        <w:rPr>
          <w:rFonts w:hint="eastAsia" w:ascii="微软雅黑" w:hAnsi="微软雅黑" w:eastAsia="微软雅黑"/>
          <w:color w:val="auto"/>
          <w:sz w:val="18"/>
          <w:szCs w:val="18"/>
          <w:highlight w:val="none"/>
        </w:rPr>
        <w:br w:type="textWrapping"/>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 xml:space="preserve">                                                               身份证复印件：</w:t>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br w:type="textWrapping"/>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hint="eastAsia"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hint="eastAsia"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hint="eastAsia"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hint="eastAsia"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hint="eastAsia"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hint="eastAsia"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hint="eastAsia"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hint="eastAsia"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hint="eastAsia"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hint="eastAsia"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hint="eastAsia"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hint="eastAsia"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hint="eastAsia"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hint="eastAsia"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三、开标一览表和投标分项报价表格式</w:t>
      </w:r>
      <w:r>
        <w:rPr>
          <w:rFonts w:hint="eastAsia" w:ascii="微软雅黑" w:hAnsi="微软雅黑" w:eastAsia="微软雅黑"/>
          <w:color w:val="auto"/>
          <w:sz w:val="18"/>
          <w:szCs w:val="18"/>
          <w:highlight w:val="none"/>
        </w:rPr>
        <w:br w:type="textWrapping"/>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 xml:space="preserve">                                        开 标 一 览 表</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序号 投标人名称 资质等级 优惠承诺 备注</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xml:space="preserve">                                                         日期：</w:t>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 xml:space="preserve">                法定代表人或授权代表签字：                    盖 章（公章）：</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注：“开标一览表”不需装订，投标时请单独密封递交。</w:t>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四、供应商廉洁自律承诺书</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xml:space="preserve">                    </w:t>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 xml:space="preserve">                 </w:t>
      </w:r>
      <w:r>
        <w:rPr>
          <w:rFonts w:hint="eastAsia" w:ascii="微软雅黑" w:hAnsi="微软雅黑" w:eastAsia="微软雅黑"/>
          <w:color w:val="auto"/>
          <w:sz w:val="18"/>
          <w:szCs w:val="18"/>
          <w:highlight w:val="none"/>
          <w:lang w:eastAsia="zh-CN"/>
        </w:rPr>
        <w:t>重庆高速公路集团有限公司南方营运分公司武隆管理中心</w:t>
      </w:r>
      <w:r>
        <w:rPr>
          <w:rFonts w:hint="eastAsia" w:ascii="微软雅黑" w:hAnsi="微软雅黑" w:eastAsia="微软雅黑"/>
          <w:color w:val="auto"/>
          <w:sz w:val="18"/>
          <w:szCs w:val="18"/>
          <w:highlight w:val="none"/>
        </w:rPr>
        <w:t>车辆维修定点修理厂廉洁自律承诺书</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xml:space="preserve">     本次采购是公开、公平、公正项目，给予每个供应商平等竞争的机会。作为参与此次采购活动的供应商,我公司现郑重做出以下承诺：</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xml:space="preserve">    一、遵守《中华人民共和国政府采购法》及省、市有关政府采购的各项法律、法规和制度。</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xml:space="preserve">    二、客观真实反映自身情况，按规定接受资格审查, 不提供虚假材料，不夸大自身技术和提供服务的能力。</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xml:space="preserve">    三、以合法正当的手段参与采购的公平竞争。不与采购人、其他供应商恶意串通，不以不正当手段诋毁、排挤其他供应商，不向采购人、评审委员会行贿或者提供其他不正当利益。</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xml:space="preserve">    四、在采购活动中，认真履行规定义务,包括:遵守采购程序，按要求编写投标、响应文件，并保证投标、响应文件内容的真实可靠；按时递交投标、响应文件，缴纳相关保证金；不影响正常的采购秩序；按规定的时间和程序与采购人签订采购合同；按时缴纳履约保证金，并严格履行合同。</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xml:space="preserve">    五、自觉接受贵公司党群工作处的监督检查。</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xml:space="preserve">    如违反以上承诺，我公司愿承担一切法律责任。</w:t>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 xml:space="preserve">                                                                 承诺单位（盖章）</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xml:space="preserve">                                                            法定代表人（授权代表）签字</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xml:space="preserve">                                                                    年  月  日</w:t>
      </w:r>
    </w:p>
    <w:p>
      <w:pPr>
        <w:pStyle w:val="5"/>
        <w:shd w:val="clear" w:color="auto" w:fill="FFFFFF"/>
        <w:spacing w:before="0" w:beforeAutospacing="0" w:after="0" w:afterAutospacing="0" w:line="376" w:lineRule="atLeast"/>
        <w:rPr>
          <w:rFonts w:hint="eastAsia"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hint="eastAsia"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hint="eastAsia"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hint="eastAsia"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hint="eastAsia"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hint="eastAsia" w:ascii="微软雅黑" w:hAnsi="微软雅黑" w:eastAsia="微软雅黑"/>
          <w:color w:val="auto"/>
          <w:sz w:val="18"/>
          <w:szCs w:val="18"/>
          <w:highlight w:val="none"/>
        </w:rPr>
      </w:pP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五、参加采购活动前 3 年内在经营活动中没有重大违法记录的书面声明(参考格式)</w:t>
      </w:r>
    </w:p>
    <w:p>
      <w:pPr>
        <w:pStyle w:val="5"/>
        <w:shd w:val="clear" w:color="auto" w:fill="FFFFFF"/>
        <w:spacing w:before="0" w:beforeAutospacing="0" w:after="0" w:afterAutospacing="0" w:line="376" w:lineRule="atLeast"/>
        <w:jc w:val="center"/>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  声  明</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我公司郑重声明：参加本次采购活动前 3 年内，我公司及被授权委托代理人在经营活动中没有因违法经营受到刑事处罚或者责令停产停业、吊销许可证或者执照、较大数额罚款等行政处罚。</w:t>
      </w:r>
      <w:r>
        <w:rPr>
          <w:rFonts w:hint="eastAsia" w:ascii="微软雅黑" w:hAnsi="微软雅黑" w:eastAsia="微软雅黑"/>
          <w:color w:val="auto"/>
          <w:sz w:val="18"/>
          <w:szCs w:val="18"/>
          <w:highlight w:val="none"/>
        </w:rPr>
        <w:br w:type="textWrapping"/>
      </w:r>
    </w:p>
    <w:p>
      <w:pPr>
        <w:pStyle w:val="5"/>
        <w:shd w:val="clear" w:color="auto" w:fill="FFFFFF"/>
        <w:spacing w:before="0" w:beforeAutospacing="0" w:after="0" w:afterAutospacing="0" w:line="376" w:lineRule="atLeas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 xml:space="preserve">                                                   供应商名称（公章）：</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授权代表签字：_______________________</w:t>
      </w:r>
      <w:r>
        <w:rPr>
          <w:rFonts w:hint="eastAsia" w:ascii="微软雅黑" w:hAnsi="微软雅黑" w:eastAsia="微软雅黑"/>
          <w:color w:val="auto"/>
          <w:sz w:val="18"/>
          <w:szCs w:val="18"/>
          <w:highlight w:val="none"/>
        </w:rPr>
        <w:br w:type="textWrapping"/>
      </w:r>
      <w:r>
        <w:rPr>
          <w:rFonts w:hint="eastAsia" w:ascii="微软雅黑" w:hAnsi="微软雅黑" w:eastAsia="微软雅黑"/>
          <w:color w:val="auto"/>
          <w:sz w:val="18"/>
          <w:szCs w:val="18"/>
          <w:highlight w:val="none"/>
        </w:rPr>
        <w:t>                                                                  日期：______年    月    日</w:t>
      </w:r>
    </w:p>
    <w:p>
      <w:pPr>
        <w:rPr>
          <w:color w:val="auto"/>
          <w:highlight w:val="none"/>
        </w:rPr>
      </w:pPr>
    </w:p>
    <w:p>
      <w:pPr>
        <w:rPr>
          <w:color w:val="auto"/>
          <w:highlight w:val="none"/>
        </w:rPr>
      </w:pPr>
    </w:p>
    <w:p>
      <w:pPr>
        <w:rPr>
          <w:color w:val="auto"/>
          <w:highlight w:val="none"/>
        </w:rPr>
      </w:pPr>
      <w:r>
        <w:rPr>
          <w:rFonts w:hint="eastAsia"/>
          <w:color w:val="auto"/>
          <w:highlight w:val="none"/>
        </w:rPr>
        <w:t>材料报价及项目维修报价表：</w:t>
      </w:r>
    </w:p>
    <w:tbl>
      <w:tblPr>
        <w:tblStyle w:val="6"/>
        <w:tblW w:w="869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2505"/>
        <w:gridCol w:w="1181"/>
        <w:gridCol w:w="992"/>
        <w:gridCol w:w="850"/>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815" w:type="dxa"/>
          </w:tcPr>
          <w:p>
            <w:pPr>
              <w:jc w:val="center"/>
              <w:rPr>
                <w:color w:val="auto"/>
                <w:highlight w:val="none"/>
              </w:rPr>
            </w:pPr>
            <w:r>
              <w:rPr>
                <w:rFonts w:hint="eastAsia"/>
                <w:color w:val="auto"/>
                <w:highlight w:val="none"/>
              </w:rPr>
              <w:t>材料名称或维修项目</w:t>
            </w:r>
          </w:p>
        </w:tc>
        <w:tc>
          <w:tcPr>
            <w:tcW w:w="2505" w:type="dxa"/>
            <w:vAlign w:val="center"/>
          </w:tcPr>
          <w:p>
            <w:pPr>
              <w:jc w:val="center"/>
              <w:rPr>
                <w:color w:val="auto"/>
                <w:highlight w:val="none"/>
              </w:rPr>
            </w:pPr>
            <w:r>
              <w:rPr>
                <w:rFonts w:hint="eastAsia"/>
                <w:color w:val="auto"/>
                <w:highlight w:val="none"/>
              </w:rPr>
              <w:t>材料型号</w:t>
            </w:r>
          </w:p>
        </w:tc>
        <w:tc>
          <w:tcPr>
            <w:tcW w:w="1181" w:type="dxa"/>
            <w:vAlign w:val="center"/>
          </w:tcPr>
          <w:p>
            <w:pPr>
              <w:jc w:val="center"/>
              <w:rPr>
                <w:rFonts w:hint="eastAsia" w:eastAsiaTheme="minorEastAsia"/>
                <w:color w:val="auto"/>
                <w:highlight w:val="none"/>
                <w:lang w:eastAsia="zh-CN"/>
              </w:rPr>
            </w:pPr>
            <w:r>
              <w:rPr>
                <w:rFonts w:hint="eastAsia"/>
                <w:color w:val="auto"/>
                <w:highlight w:val="none"/>
              </w:rPr>
              <w:t>材料价格</w:t>
            </w:r>
            <w:r>
              <w:rPr>
                <w:rFonts w:hint="eastAsia"/>
                <w:color w:val="auto"/>
                <w:highlight w:val="none"/>
                <w:lang w:eastAsia="zh-CN"/>
              </w:rPr>
              <w:t>（</w:t>
            </w:r>
            <w:r>
              <w:rPr>
                <w:rFonts w:hint="eastAsia"/>
                <w:color w:val="auto"/>
                <w:highlight w:val="none"/>
                <w:lang w:val="en-US" w:eastAsia="zh-CN"/>
              </w:rPr>
              <w:t>单价</w:t>
            </w:r>
            <w:r>
              <w:rPr>
                <w:rFonts w:hint="eastAsia"/>
                <w:color w:val="auto"/>
                <w:highlight w:val="none"/>
                <w:lang w:eastAsia="zh-CN"/>
              </w:rPr>
              <w:t>）</w:t>
            </w:r>
          </w:p>
        </w:tc>
        <w:tc>
          <w:tcPr>
            <w:tcW w:w="992" w:type="dxa"/>
            <w:vAlign w:val="center"/>
          </w:tcPr>
          <w:p>
            <w:pPr>
              <w:jc w:val="center"/>
              <w:rPr>
                <w:color w:val="auto"/>
                <w:highlight w:val="none"/>
              </w:rPr>
            </w:pPr>
            <w:r>
              <w:rPr>
                <w:rFonts w:hint="eastAsia"/>
                <w:color w:val="auto"/>
                <w:highlight w:val="none"/>
              </w:rPr>
              <w:t>挂牌  工时费</w:t>
            </w:r>
          </w:p>
        </w:tc>
        <w:tc>
          <w:tcPr>
            <w:tcW w:w="850" w:type="dxa"/>
            <w:vAlign w:val="center"/>
          </w:tcPr>
          <w:p>
            <w:pPr>
              <w:jc w:val="center"/>
              <w:rPr>
                <w:color w:val="auto"/>
                <w:highlight w:val="none"/>
              </w:rPr>
            </w:pPr>
            <w:r>
              <w:rPr>
                <w:rFonts w:hint="eastAsia"/>
                <w:color w:val="auto"/>
                <w:highlight w:val="none"/>
              </w:rPr>
              <w:t>工时费折扣率</w:t>
            </w:r>
          </w:p>
        </w:tc>
        <w:tc>
          <w:tcPr>
            <w:tcW w:w="1347" w:type="dxa"/>
            <w:vAlign w:val="center"/>
          </w:tcPr>
          <w:p>
            <w:pPr>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815" w:type="dxa"/>
            <w:vAlign w:val="center"/>
          </w:tcPr>
          <w:p>
            <w:pPr>
              <w:keepNext w:val="0"/>
              <w:keepLines w:val="0"/>
              <w:widowControl/>
              <w:suppressLineNumbers w:val="0"/>
              <w:jc w:val="center"/>
              <w:textAlignment w:val="center"/>
              <w:rPr>
                <w:rFonts w:hint="eastAsia" w:ascii="微软雅黑" w:hAnsi="微软雅黑" w:eastAsia="微软雅黑" w:cs="微软雅黑"/>
                <w:i w:val="0"/>
                <w:color w:val="auto"/>
                <w:kern w:val="0"/>
                <w:sz w:val="15"/>
                <w:szCs w:val="15"/>
                <w:highlight w:val="none"/>
                <w:u w:val="none"/>
                <w:lang w:val="en-US" w:eastAsia="zh-CN" w:bidi="ar"/>
              </w:rPr>
            </w:pPr>
            <w:r>
              <w:rPr>
                <w:rFonts w:hint="eastAsia" w:ascii="微软雅黑" w:hAnsi="微软雅黑" w:eastAsia="微软雅黑" w:cs="微软雅黑"/>
                <w:i w:val="0"/>
                <w:color w:val="auto"/>
                <w:kern w:val="0"/>
                <w:sz w:val="15"/>
                <w:szCs w:val="15"/>
                <w:highlight w:val="none"/>
                <w:u w:val="none"/>
                <w:lang w:val="en-US" w:eastAsia="zh-CN" w:bidi="ar"/>
              </w:rPr>
              <w:t>发动机机油</w:t>
            </w:r>
          </w:p>
        </w:tc>
        <w:tc>
          <w:tcPr>
            <w:tcW w:w="2505" w:type="dxa"/>
            <w:vAlign w:val="center"/>
          </w:tcPr>
          <w:p>
            <w:pPr>
              <w:keepNext w:val="0"/>
              <w:keepLines w:val="0"/>
              <w:widowControl/>
              <w:suppressLineNumbers w:val="0"/>
              <w:jc w:val="center"/>
              <w:textAlignment w:val="center"/>
              <w:rPr>
                <w:rFonts w:hint="eastAsia" w:ascii="微软雅黑" w:hAnsi="微软雅黑" w:eastAsia="微软雅黑" w:cs="微软雅黑"/>
                <w:i w:val="0"/>
                <w:color w:val="auto"/>
                <w:kern w:val="0"/>
                <w:sz w:val="15"/>
                <w:szCs w:val="15"/>
                <w:highlight w:val="none"/>
                <w:u w:val="none"/>
                <w:lang w:val="en-US" w:eastAsia="zh-CN" w:bidi="ar"/>
              </w:rPr>
            </w:pPr>
            <w:r>
              <w:rPr>
                <w:rFonts w:hint="eastAsia" w:ascii="微软雅黑" w:hAnsi="微软雅黑" w:eastAsia="微软雅黑" w:cs="微软雅黑"/>
                <w:i w:val="0"/>
                <w:color w:val="auto"/>
                <w:kern w:val="0"/>
                <w:sz w:val="15"/>
                <w:szCs w:val="15"/>
                <w:highlight w:val="none"/>
                <w:u w:val="none"/>
                <w:lang w:val="en-US" w:eastAsia="zh-CN" w:bidi="ar"/>
              </w:rPr>
              <w:t>康普顿15W-40（桶）</w:t>
            </w:r>
          </w:p>
        </w:tc>
        <w:tc>
          <w:tcPr>
            <w:tcW w:w="1181" w:type="dxa"/>
          </w:tcPr>
          <w:p>
            <w:pPr>
              <w:keepNext w:val="0"/>
              <w:keepLines w:val="0"/>
              <w:widowControl/>
              <w:suppressLineNumbers w:val="0"/>
              <w:jc w:val="center"/>
              <w:textAlignment w:val="center"/>
              <w:rPr>
                <w:rFonts w:hint="eastAsia" w:ascii="微软雅黑" w:hAnsi="微软雅黑" w:eastAsia="微软雅黑" w:cs="微软雅黑"/>
                <w:i w:val="0"/>
                <w:color w:val="auto"/>
                <w:kern w:val="0"/>
                <w:sz w:val="15"/>
                <w:szCs w:val="15"/>
                <w:highlight w:val="none"/>
                <w:u w:val="none"/>
                <w:lang w:val="en-US" w:eastAsia="zh-CN" w:bidi="ar"/>
              </w:rPr>
            </w:pPr>
          </w:p>
        </w:tc>
        <w:tc>
          <w:tcPr>
            <w:tcW w:w="992" w:type="dxa"/>
          </w:tcPr>
          <w:p>
            <w:pPr>
              <w:keepNext w:val="0"/>
              <w:keepLines w:val="0"/>
              <w:widowControl/>
              <w:suppressLineNumbers w:val="0"/>
              <w:jc w:val="center"/>
              <w:textAlignment w:val="center"/>
              <w:rPr>
                <w:rFonts w:hint="eastAsia" w:ascii="微软雅黑" w:hAnsi="微软雅黑" w:eastAsia="微软雅黑" w:cs="微软雅黑"/>
                <w:i w:val="0"/>
                <w:color w:val="auto"/>
                <w:kern w:val="0"/>
                <w:sz w:val="15"/>
                <w:szCs w:val="15"/>
                <w:highlight w:val="none"/>
                <w:u w:val="none"/>
                <w:lang w:val="en-US" w:eastAsia="zh-CN" w:bidi="ar"/>
              </w:rPr>
            </w:pPr>
          </w:p>
        </w:tc>
        <w:tc>
          <w:tcPr>
            <w:tcW w:w="850" w:type="dxa"/>
          </w:tcPr>
          <w:p>
            <w:pPr>
              <w:keepNext w:val="0"/>
              <w:keepLines w:val="0"/>
              <w:widowControl/>
              <w:suppressLineNumbers w:val="0"/>
              <w:jc w:val="center"/>
              <w:textAlignment w:val="center"/>
              <w:rPr>
                <w:rFonts w:hint="eastAsia" w:ascii="微软雅黑" w:hAnsi="微软雅黑" w:eastAsia="微软雅黑" w:cs="微软雅黑"/>
                <w:i w:val="0"/>
                <w:color w:val="auto"/>
                <w:kern w:val="0"/>
                <w:sz w:val="15"/>
                <w:szCs w:val="15"/>
                <w:highlight w:val="none"/>
                <w:u w:val="none"/>
                <w:lang w:val="en-US" w:eastAsia="zh-CN" w:bidi="ar"/>
              </w:rPr>
            </w:pPr>
          </w:p>
        </w:tc>
        <w:tc>
          <w:tcPr>
            <w:tcW w:w="1347" w:type="dxa"/>
            <w:vAlign w:val="center"/>
          </w:tcPr>
          <w:p>
            <w:pPr>
              <w:keepNext w:val="0"/>
              <w:keepLines w:val="0"/>
              <w:widowControl/>
              <w:suppressLineNumbers w:val="0"/>
              <w:jc w:val="center"/>
              <w:textAlignment w:val="center"/>
              <w:rPr>
                <w:rFonts w:hint="default" w:ascii="微软雅黑" w:hAnsi="微软雅黑" w:eastAsia="微软雅黑" w:cs="微软雅黑"/>
                <w:i w:val="0"/>
                <w:color w:val="auto"/>
                <w:kern w:val="0"/>
                <w:sz w:val="15"/>
                <w:szCs w:val="15"/>
                <w:highlight w:val="none"/>
                <w:u w:val="none"/>
                <w:lang w:val="en-US" w:eastAsia="zh-CN" w:bidi="ar"/>
              </w:rPr>
            </w:pPr>
            <w:r>
              <w:rPr>
                <w:rFonts w:hint="eastAsia" w:ascii="微软雅黑" w:hAnsi="微软雅黑" w:eastAsia="微软雅黑" w:cs="微软雅黑"/>
                <w:i w:val="0"/>
                <w:color w:val="auto"/>
                <w:kern w:val="0"/>
                <w:sz w:val="15"/>
                <w:szCs w:val="15"/>
                <w:highlight w:val="none"/>
                <w:u w:val="none"/>
                <w:lang w:val="en-US" w:eastAsia="zh-CN" w:bidi="ar"/>
              </w:rPr>
              <w:t>4升/桶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815" w:type="dxa"/>
            <w:vAlign w:val="center"/>
          </w:tcPr>
          <w:p>
            <w:pPr>
              <w:keepNext w:val="0"/>
              <w:keepLines w:val="0"/>
              <w:widowControl/>
              <w:suppressLineNumbers w:val="0"/>
              <w:jc w:val="center"/>
              <w:textAlignment w:val="center"/>
              <w:rPr>
                <w:rFonts w:hint="eastAsia" w:ascii="微软雅黑" w:hAnsi="微软雅黑" w:eastAsia="微软雅黑" w:cs="微软雅黑"/>
                <w:i w:val="0"/>
                <w:color w:val="auto"/>
                <w:kern w:val="0"/>
                <w:sz w:val="15"/>
                <w:szCs w:val="15"/>
                <w:highlight w:val="none"/>
                <w:u w:val="none"/>
                <w:lang w:val="en-US" w:eastAsia="zh-CN" w:bidi="ar"/>
              </w:rPr>
            </w:pPr>
            <w:r>
              <w:rPr>
                <w:rFonts w:hint="eastAsia" w:ascii="微软雅黑" w:hAnsi="微软雅黑" w:eastAsia="微软雅黑" w:cs="微软雅黑"/>
                <w:i w:val="0"/>
                <w:color w:val="auto"/>
                <w:kern w:val="0"/>
                <w:sz w:val="15"/>
                <w:szCs w:val="15"/>
                <w:highlight w:val="none"/>
                <w:u w:val="none"/>
                <w:lang w:val="en-US" w:eastAsia="zh-CN" w:bidi="ar"/>
              </w:rPr>
              <w:t>庆龄牌（繁体牌）QL1030B2，换汽车蓄电瓶</w:t>
            </w:r>
          </w:p>
        </w:tc>
        <w:tc>
          <w:tcPr>
            <w:tcW w:w="2505" w:type="dxa"/>
            <w:vAlign w:val="center"/>
          </w:tcPr>
          <w:p>
            <w:pPr>
              <w:keepNext w:val="0"/>
              <w:keepLines w:val="0"/>
              <w:widowControl/>
              <w:suppressLineNumbers w:val="0"/>
              <w:jc w:val="center"/>
              <w:textAlignment w:val="center"/>
              <w:rPr>
                <w:rFonts w:hint="eastAsia" w:ascii="微软雅黑" w:hAnsi="微软雅黑" w:eastAsia="微软雅黑" w:cs="微软雅黑"/>
                <w:i w:val="0"/>
                <w:color w:val="auto"/>
                <w:kern w:val="0"/>
                <w:sz w:val="15"/>
                <w:szCs w:val="15"/>
                <w:highlight w:val="none"/>
                <w:u w:val="none"/>
                <w:lang w:val="en-US" w:eastAsia="zh-CN" w:bidi="ar"/>
              </w:rPr>
            </w:pPr>
            <w:r>
              <w:rPr>
                <w:rFonts w:hint="eastAsia" w:ascii="微软雅黑" w:hAnsi="微软雅黑" w:eastAsia="微软雅黑" w:cs="微软雅黑"/>
                <w:i w:val="0"/>
                <w:color w:val="auto"/>
                <w:kern w:val="0"/>
                <w:sz w:val="15"/>
                <w:szCs w:val="15"/>
                <w:highlight w:val="none"/>
                <w:u w:val="none"/>
                <w:lang w:val="en-US" w:eastAsia="zh-CN" w:bidi="ar"/>
              </w:rPr>
              <w:t>冠军（个）</w:t>
            </w:r>
          </w:p>
        </w:tc>
        <w:tc>
          <w:tcPr>
            <w:tcW w:w="1181" w:type="dxa"/>
          </w:tcPr>
          <w:p>
            <w:pPr>
              <w:keepNext w:val="0"/>
              <w:keepLines w:val="0"/>
              <w:widowControl/>
              <w:suppressLineNumbers w:val="0"/>
              <w:jc w:val="center"/>
              <w:textAlignment w:val="center"/>
              <w:rPr>
                <w:rFonts w:hint="eastAsia" w:ascii="微软雅黑" w:hAnsi="微软雅黑" w:eastAsia="微软雅黑" w:cs="微软雅黑"/>
                <w:i w:val="0"/>
                <w:color w:val="auto"/>
                <w:kern w:val="0"/>
                <w:sz w:val="15"/>
                <w:szCs w:val="15"/>
                <w:highlight w:val="none"/>
                <w:u w:val="none"/>
                <w:lang w:val="en-US" w:eastAsia="zh-CN" w:bidi="ar"/>
              </w:rPr>
            </w:pPr>
          </w:p>
        </w:tc>
        <w:tc>
          <w:tcPr>
            <w:tcW w:w="992" w:type="dxa"/>
          </w:tcPr>
          <w:p>
            <w:pPr>
              <w:keepNext w:val="0"/>
              <w:keepLines w:val="0"/>
              <w:widowControl/>
              <w:suppressLineNumbers w:val="0"/>
              <w:jc w:val="center"/>
              <w:textAlignment w:val="center"/>
              <w:rPr>
                <w:rFonts w:hint="eastAsia" w:ascii="微软雅黑" w:hAnsi="微软雅黑" w:eastAsia="微软雅黑" w:cs="微软雅黑"/>
                <w:i w:val="0"/>
                <w:color w:val="auto"/>
                <w:kern w:val="0"/>
                <w:sz w:val="15"/>
                <w:szCs w:val="15"/>
                <w:highlight w:val="none"/>
                <w:u w:val="none"/>
                <w:lang w:val="en-US" w:eastAsia="zh-CN" w:bidi="ar"/>
              </w:rPr>
            </w:pPr>
          </w:p>
        </w:tc>
        <w:tc>
          <w:tcPr>
            <w:tcW w:w="850" w:type="dxa"/>
          </w:tcPr>
          <w:p>
            <w:pPr>
              <w:keepNext w:val="0"/>
              <w:keepLines w:val="0"/>
              <w:widowControl/>
              <w:suppressLineNumbers w:val="0"/>
              <w:jc w:val="center"/>
              <w:textAlignment w:val="center"/>
              <w:rPr>
                <w:rFonts w:hint="eastAsia" w:ascii="微软雅黑" w:hAnsi="微软雅黑" w:eastAsia="微软雅黑" w:cs="微软雅黑"/>
                <w:i w:val="0"/>
                <w:color w:val="auto"/>
                <w:kern w:val="0"/>
                <w:sz w:val="15"/>
                <w:szCs w:val="15"/>
                <w:highlight w:val="none"/>
                <w:u w:val="none"/>
                <w:lang w:val="en-US" w:eastAsia="zh-CN" w:bidi="ar"/>
              </w:rPr>
            </w:pPr>
          </w:p>
        </w:tc>
        <w:tc>
          <w:tcPr>
            <w:tcW w:w="1347" w:type="dxa"/>
          </w:tcPr>
          <w:p>
            <w:pPr>
              <w:keepNext w:val="0"/>
              <w:keepLines w:val="0"/>
              <w:widowControl/>
              <w:suppressLineNumbers w:val="0"/>
              <w:jc w:val="center"/>
              <w:textAlignment w:val="center"/>
              <w:rPr>
                <w:rFonts w:hint="eastAsia" w:ascii="微软雅黑" w:hAnsi="微软雅黑" w:eastAsia="微软雅黑" w:cs="微软雅黑"/>
                <w:i w:val="0"/>
                <w:color w:val="auto"/>
                <w:kern w:val="0"/>
                <w:sz w:val="15"/>
                <w:szCs w:val="15"/>
                <w:highlight w:val="none"/>
                <w:u w:val="none"/>
                <w:lang w:val="en-US" w:eastAsia="zh-CN" w:bidi="ar"/>
              </w:rPr>
            </w:pPr>
          </w:p>
          <w:p>
            <w:pPr>
              <w:keepNext w:val="0"/>
              <w:keepLines w:val="0"/>
              <w:widowControl/>
              <w:suppressLineNumbers w:val="0"/>
              <w:ind w:firstLine="300" w:firstLineChars="200"/>
              <w:jc w:val="both"/>
              <w:textAlignment w:val="center"/>
              <w:rPr>
                <w:rFonts w:hint="default" w:ascii="微软雅黑" w:hAnsi="微软雅黑" w:eastAsia="微软雅黑" w:cs="微软雅黑"/>
                <w:i w:val="0"/>
                <w:color w:val="auto"/>
                <w:kern w:val="0"/>
                <w:sz w:val="15"/>
                <w:szCs w:val="15"/>
                <w:highlight w:val="none"/>
                <w:u w:val="none"/>
                <w:lang w:val="en-US" w:eastAsia="zh-CN" w:bidi="ar"/>
              </w:rPr>
            </w:pPr>
            <w:r>
              <w:rPr>
                <w:rFonts w:hint="eastAsia" w:ascii="微软雅黑" w:hAnsi="微软雅黑" w:eastAsia="微软雅黑" w:cs="微软雅黑"/>
                <w:i w:val="0"/>
                <w:color w:val="auto"/>
                <w:kern w:val="0"/>
                <w:sz w:val="15"/>
                <w:szCs w:val="15"/>
                <w:highlight w:val="none"/>
                <w:u w:val="none"/>
                <w:lang w:val="en-US" w:eastAsia="zh-CN" w:bidi="ar"/>
              </w:rPr>
              <w:t>80ah以上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815" w:type="dxa"/>
            <w:vAlign w:val="center"/>
          </w:tcPr>
          <w:p>
            <w:pPr>
              <w:keepNext w:val="0"/>
              <w:keepLines w:val="0"/>
              <w:widowControl/>
              <w:suppressLineNumbers w:val="0"/>
              <w:jc w:val="center"/>
              <w:textAlignment w:val="center"/>
              <w:rPr>
                <w:rFonts w:hint="eastAsia" w:asciiTheme="minorHAnsi" w:hAnsiTheme="minorHAnsi" w:eastAsiaTheme="minorEastAsia" w:cstheme="minorBidi"/>
                <w:b/>
                <w:color w:val="auto"/>
                <w:kern w:val="2"/>
                <w:sz w:val="15"/>
                <w:szCs w:val="15"/>
                <w:highlight w:val="none"/>
                <w:lang w:val="en-US" w:eastAsia="zh-CN" w:bidi="ar-SA"/>
              </w:rPr>
            </w:pPr>
            <w:r>
              <w:rPr>
                <w:rFonts w:hint="eastAsia" w:ascii="微软雅黑" w:hAnsi="微软雅黑" w:eastAsia="微软雅黑" w:cs="微软雅黑"/>
                <w:i w:val="0"/>
                <w:color w:val="auto"/>
                <w:kern w:val="0"/>
                <w:sz w:val="15"/>
                <w:szCs w:val="15"/>
                <w:highlight w:val="none"/>
                <w:u w:val="none"/>
                <w:lang w:val="en-US" w:eastAsia="zh-CN" w:bidi="ar"/>
              </w:rPr>
              <w:t>庆龄牌（繁体牌）QL1030B2,更换前刹车片</w:t>
            </w:r>
          </w:p>
        </w:tc>
        <w:tc>
          <w:tcPr>
            <w:tcW w:w="2505" w:type="dxa"/>
            <w:vAlign w:val="center"/>
          </w:tcPr>
          <w:p>
            <w:pPr>
              <w:keepNext w:val="0"/>
              <w:keepLines w:val="0"/>
              <w:widowControl/>
              <w:suppressLineNumbers w:val="0"/>
              <w:jc w:val="center"/>
              <w:textAlignment w:val="center"/>
              <w:rPr>
                <w:rFonts w:hint="default" w:asciiTheme="minorHAnsi" w:hAnsiTheme="minorHAnsi" w:eastAsiaTheme="minorEastAsia" w:cstheme="minorBidi"/>
                <w:b/>
                <w:color w:val="auto"/>
                <w:kern w:val="2"/>
                <w:sz w:val="15"/>
                <w:szCs w:val="15"/>
                <w:highlight w:val="none"/>
                <w:lang w:val="en-US" w:eastAsia="zh-CN" w:bidi="ar-SA"/>
              </w:rPr>
            </w:pPr>
            <w:r>
              <w:rPr>
                <w:rFonts w:hint="eastAsia" w:ascii="微软雅黑" w:hAnsi="微软雅黑" w:eastAsia="微软雅黑" w:cs="微软雅黑"/>
                <w:i w:val="0"/>
                <w:color w:val="auto"/>
                <w:kern w:val="0"/>
                <w:sz w:val="15"/>
                <w:szCs w:val="15"/>
                <w:highlight w:val="none"/>
                <w:u w:val="none"/>
                <w:lang w:val="en-US" w:eastAsia="zh-CN" w:bidi="ar"/>
              </w:rPr>
              <w:t>左前和右前轮刹车片（对）</w:t>
            </w:r>
          </w:p>
        </w:tc>
        <w:tc>
          <w:tcPr>
            <w:tcW w:w="1181" w:type="dxa"/>
          </w:tcPr>
          <w:p>
            <w:pPr>
              <w:jc w:val="center"/>
              <w:rPr>
                <w:color w:val="auto"/>
                <w:sz w:val="15"/>
                <w:szCs w:val="15"/>
                <w:highlight w:val="none"/>
              </w:rPr>
            </w:pPr>
          </w:p>
        </w:tc>
        <w:tc>
          <w:tcPr>
            <w:tcW w:w="992" w:type="dxa"/>
          </w:tcPr>
          <w:p>
            <w:pPr>
              <w:jc w:val="center"/>
              <w:rPr>
                <w:color w:val="auto"/>
                <w:sz w:val="15"/>
                <w:szCs w:val="15"/>
                <w:highlight w:val="none"/>
              </w:rPr>
            </w:pPr>
          </w:p>
        </w:tc>
        <w:tc>
          <w:tcPr>
            <w:tcW w:w="850" w:type="dxa"/>
          </w:tcPr>
          <w:p>
            <w:pPr>
              <w:jc w:val="center"/>
              <w:rPr>
                <w:color w:val="auto"/>
                <w:sz w:val="15"/>
                <w:szCs w:val="15"/>
                <w:highlight w:val="none"/>
              </w:rPr>
            </w:pPr>
          </w:p>
        </w:tc>
        <w:tc>
          <w:tcPr>
            <w:tcW w:w="1347" w:type="dxa"/>
          </w:tcPr>
          <w:p>
            <w:pPr>
              <w:jc w:val="center"/>
              <w:rPr>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15" w:type="dxa"/>
            <w:vAlign w:val="center"/>
          </w:tcPr>
          <w:p>
            <w:pPr>
              <w:keepNext w:val="0"/>
              <w:keepLines w:val="0"/>
              <w:widowControl/>
              <w:suppressLineNumbers w:val="0"/>
              <w:jc w:val="center"/>
              <w:textAlignment w:val="center"/>
              <w:rPr>
                <w:color w:val="auto"/>
                <w:sz w:val="15"/>
                <w:szCs w:val="15"/>
                <w:highlight w:val="none"/>
              </w:rPr>
            </w:pPr>
            <w:r>
              <w:rPr>
                <w:rFonts w:hint="eastAsia" w:ascii="微软雅黑" w:hAnsi="微软雅黑" w:eastAsia="微软雅黑" w:cs="微软雅黑"/>
                <w:i w:val="0"/>
                <w:color w:val="auto"/>
                <w:kern w:val="0"/>
                <w:sz w:val="15"/>
                <w:szCs w:val="15"/>
                <w:highlight w:val="none"/>
                <w:u w:val="none"/>
                <w:lang w:val="en-US" w:eastAsia="zh-CN" w:bidi="ar"/>
              </w:rPr>
              <w:t>庆铃五十铃牌QL10202DWR,更换左右后轮下悬臂</w:t>
            </w:r>
          </w:p>
        </w:tc>
        <w:tc>
          <w:tcPr>
            <w:tcW w:w="2505" w:type="dxa"/>
            <w:vAlign w:val="center"/>
          </w:tcPr>
          <w:p>
            <w:pPr>
              <w:keepNext w:val="0"/>
              <w:keepLines w:val="0"/>
              <w:widowControl/>
              <w:suppressLineNumbers w:val="0"/>
              <w:jc w:val="center"/>
              <w:textAlignment w:val="center"/>
              <w:rPr>
                <w:rFonts w:hint="default"/>
                <w:color w:val="auto"/>
                <w:sz w:val="15"/>
                <w:szCs w:val="15"/>
                <w:highlight w:val="none"/>
                <w:lang w:val="en-US"/>
              </w:rPr>
            </w:pPr>
            <w:r>
              <w:rPr>
                <w:rFonts w:hint="eastAsia" w:ascii="微软雅黑" w:hAnsi="微软雅黑" w:eastAsia="微软雅黑" w:cs="微软雅黑"/>
                <w:i w:val="0"/>
                <w:color w:val="auto"/>
                <w:kern w:val="0"/>
                <w:sz w:val="15"/>
                <w:szCs w:val="15"/>
                <w:highlight w:val="none"/>
                <w:u w:val="none"/>
                <w:lang w:val="en-US" w:eastAsia="zh-CN" w:bidi="ar"/>
              </w:rPr>
              <w:t>左后轮和右后轮下悬臂（块）</w:t>
            </w:r>
          </w:p>
        </w:tc>
        <w:tc>
          <w:tcPr>
            <w:tcW w:w="1181" w:type="dxa"/>
          </w:tcPr>
          <w:p>
            <w:pPr>
              <w:jc w:val="center"/>
              <w:rPr>
                <w:color w:val="auto"/>
                <w:sz w:val="15"/>
                <w:szCs w:val="15"/>
                <w:highlight w:val="none"/>
              </w:rPr>
            </w:pPr>
          </w:p>
        </w:tc>
        <w:tc>
          <w:tcPr>
            <w:tcW w:w="992" w:type="dxa"/>
          </w:tcPr>
          <w:p>
            <w:pPr>
              <w:jc w:val="center"/>
              <w:rPr>
                <w:color w:val="auto"/>
                <w:sz w:val="15"/>
                <w:szCs w:val="15"/>
                <w:highlight w:val="none"/>
              </w:rPr>
            </w:pPr>
          </w:p>
        </w:tc>
        <w:tc>
          <w:tcPr>
            <w:tcW w:w="850" w:type="dxa"/>
          </w:tcPr>
          <w:p>
            <w:pPr>
              <w:jc w:val="center"/>
              <w:rPr>
                <w:color w:val="auto"/>
                <w:sz w:val="15"/>
                <w:szCs w:val="15"/>
                <w:highlight w:val="none"/>
              </w:rPr>
            </w:pPr>
          </w:p>
        </w:tc>
        <w:tc>
          <w:tcPr>
            <w:tcW w:w="1347" w:type="dxa"/>
          </w:tcPr>
          <w:p>
            <w:pPr>
              <w:jc w:val="center"/>
              <w:rPr>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815" w:type="dxa"/>
            <w:vAlign w:val="center"/>
          </w:tcPr>
          <w:p>
            <w:pPr>
              <w:keepNext w:val="0"/>
              <w:keepLines w:val="0"/>
              <w:widowControl/>
              <w:suppressLineNumbers w:val="0"/>
              <w:jc w:val="center"/>
              <w:textAlignment w:val="center"/>
              <w:rPr>
                <w:rFonts w:asciiTheme="minorHAnsi" w:hAnsiTheme="minorHAnsi" w:eastAsiaTheme="minorEastAsia" w:cstheme="minorBidi"/>
                <w:color w:val="auto"/>
                <w:kern w:val="2"/>
                <w:sz w:val="15"/>
                <w:szCs w:val="15"/>
                <w:highlight w:val="none"/>
                <w:lang w:val="en-US" w:eastAsia="zh-CN" w:bidi="ar-SA"/>
              </w:rPr>
            </w:pPr>
            <w:r>
              <w:rPr>
                <w:rFonts w:hint="eastAsia" w:ascii="微软雅黑" w:hAnsi="微软雅黑" w:eastAsia="微软雅黑" w:cs="微软雅黑"/>
                <w:i w:val="0"/>
                <w:color w:val="auto"/>
                <w:kern w:val="0"/>
                <w:sz w:val="15"/>
                <w:szCs w:val="15"/>
                <w:highlight w:val="none"/>
                <w:u w:val="none"/>
                <w:lang w:val="en-US" w:eastAsia="zh-CN" w:bidi="ar"/>
              </w:rPr>
              <w:t>大众朗逸2011款1.4T更换氧传感器</w:t>
            </w:r>
          </w:p>
        </w:tc>
        <w:tc>
          <w:tcPr>
            <w:tcW w:w="2505" w:type="dxa"/>
            <w:vAlign w:val="center"/>
          </w:tcPr>
          <w:p>
            <w:pPr>
              <w:keepNext w:val="0"/>
              <w:keepLines w:val="0"/>
              <w:widowControl/>
              <w:suppressLineNumbers w:val="0"/>
              <w:jc w:val="center"/>
              <w:textAlignment w:val="center"/>
              <w:rPr>
                <w:rFonts w:hint="default" w:asciiTheme="minorHAnsi" w:hAnsiTheme="minorHAnsi" w:eastAsiaTheme="minorEastAsia" w:cstheme="minorBidi"/>
                <w:color w:val="auto"/>
                <w:kern w:val="2"/>
                <w:sz w:val="15"/>
                <w:szCs w:val="15"/>
                <w:highlight w:val="none"/>
                <w:lang w:val="en-US" w:eastAsia="zh-CN" w:bidi="ar-SA"/>
              </w:rPr>
            </w:pPr>
            <w:r>
              <w:rPr>
                <w:rFonts w:hint="eastAsia" w:ascii="微软雅黑" w:hAnsi="微软雅黑" w:eastAsia="微软雅黑" w:cs="微软雅黑"/>
                <w:i w:val="0"/>
                <w:color w:val="auto"/>
                <w:kern w:val="0"/>
                <w:sz w:val="15"/>
                <w:szCs w:val="15"/>
                <w:highlight w:val="none"/>
                <w:u w:val="none"/>
                <w:lang w:val="en-US" w:eastAsia="zh-CN" w:bidi="ar"/>
              </w:rPr>
              <w:t>大众帕萨特2013款1.8T更换氧传感器（个）</w:t>
            </w:r>
          </w:p>
        </w:tc>
        <w:tc>
          <w:tcPr>
            <w:tcW w:w="1181" w:type="dxa"/>
          </w:tcPr>
          <w:p>
            <w:pPr>
              <w:jc w:val="center"/>
              <w:rPr>
                <w:color w:val="auto"/>
                <w:sz w:val="15"/>
                <w:szCs w:val="15"/>
                <w:highlight w:val="none"/>
              </w:rPr>
            </w:pPr>
          </w:p>
        </w:tc>
        <w:tc>
          <w:tcPr>
            <w:tcW w:w="992" w:type="dxa"/>
          </w:tcPr>
          <w:p>
            <w:pPr>
              <w:jc w:val="center"/>
              <w:rPr>
                <w:color w:val="auto"/>
                <w:sz w:val="15"/>
                <w:szCs w:val="15"/>
                <w:highlight w:val="none"/>
              </w:rPr>
            </w:pPr>
          </w:p>
        </w:tc>
        <w:tc>
          <w:tcPr>
            <w:tcW w:w="850" w:type="dxa"/>
          </w:tcPr>
          <w:p>
            <w:pPr>
              <w:jc w:val="center"/>
              <w:rPr>
                <w:color w:val="auto"/>
                <w:sz w:val="15"/>
                <w:szCs w:val="15"/>
                <w:highlight w:val="none"/>
              </w:rPr>
            </w:pPr>
          </w:p>
        </w:tc>
        <w:tc>
          <w:tcPr>
            <w:tcW w:w="1347" w:type="dxa"/>
          </w:tcPr>
          <w:p>
            <w:pPr>
              <w:jc w:val="center"/>
              <w:rPr>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815" w:type="dxa"/>
            <w:vAlign w:val="center"/>
          </w:tcPr>
          <w:p>
            <w:pPr>
              <w:keepNext w:val="0"/>
              <w:keepLines w:val="0"/>
              <w:widowControl/>
              <w:suppressLineNumbers w:val="0"/>
              <w:jc w:val="center"/>
              <w:textAlignment w:val="center"/>
              <w:rPr>
                <w:rFonts w:hint="default" w:asciiTheme="minorHAnsi" w:hAnsiTheme="minorHAnsi" w:eastAsiaTheme="minorEastAsia" w:cstheme="minorBidi"/>
                <w:color w:val="auto"/>
                <w:kern w:val="2"/>
                <w:sz w:val="15"/>
                <w:szCs w:val="15"/>
                <w:highlight w:val="none"/>
                <w:lang w:val="en-US" w:eastAsia="zh-CN" w:bidi="ar-SA"/>
              </w:rPr>
            </w:pPr>
            <w:r>
              <w:rPr>
                <w:rFonts w:hint="eastAsia" w:ascii="微软雅黑" w:hAnsi="微软雅黑" w:eastAsia="微软雅黑" w:cs="微软雅黑"/>
                <w:i w:val="0"/>
                <w:color w:val="auto"/>
                <w:kern w:val="0"/>
                <w:sz w:val="15"/>
                <w:szCs w:val="15"/>
                <w:highlight w:val="none"/>
                <w:u w:val="none"/>
                <w:lang w:val="en-US" w:eastAsia="zh-CN" w:bidi="ar"/>
              </w:rPr>
              <w:t>大众朗逸2011款1.4T更换减震</w:t>
            </w:r>
          </w:p>
        </w:tc>
        <w:tc>
          <w:tcPr>
            <w:tcW w:w="2505" w:type="dxa"/>
            <w:vAlign w:val="center"/>
          </w:tcPr>
          <w:p>
            <w:pPr>
              <w:keepNext w:val="0"/>
              <w:keepLines w:val="0"/>
              <w:widowControl/>
              <w:suppressLineNumbers w:val="0"/>
              <w:jc w:val="center"/>
              <w:textAlignment w:val="center"/>
              <w:rPr>
                <w:rFonts w:hint="eastAsia" w:asciiTheme="minorHAnsi" w:hAnsiTheme="minorHAnsi" w:eastAsiaTheme="minorEastAsia" w:cstheme="minorBidi"/>
                <w:color w:val="auto"/>
                <w:kern w:val="2"/>
                <w:sz w:val="15"/>
                <w:szCs w:val="15"/>
                <w:highlight w:val="none"/>
                <w:lang w:val="en-US" w:eastAsia="zh-CN" w:bidi="ar-SA"/>
              </w:rPr>
            </w:pPr>
            <w:r>
              <w:rPr>
                <w:rFonts w:hint="eastAsia" w:ascii="微软雅黑" w:hAnsi="微软雅黑" w:eastAsia="微软雅黑" w:cs="微软雅黑"/>
                <w:i w:val="0"/>
                <w:color w:val="auto"/>
                <w:kern w:val="0"/>
                <w:sz w:val="15"/>
                <w:szCs w:val="15"/>
                <w:highlight w:val="none"/>
                <w:u w:val="none"/>
                <w:lang w:val="en-US" w:eastAsia="zh-CN" w:bidi="ar"/>
              </w:rPr>
              <w:t>更换左前减震器（个）</w:t>
            </w:r>
          </w:p>
        </w:tc>
        <w:tc>
          <w:tcPr>
            <w:tcW w:w="1181" w:type="dxa"/>
          </w:tcPr>
          <w:p>
            <w:pPr>
              <w:jc w:val="center"/>
              <w:rPr>
                <w:color w:val="auto"/>
                <w:sz w:val="15"/>
                <w:szCs w:val="15"/>
                <w:highlight w:val="none"/>
              </w:rPr>
            </w:pPr>
          </w:p>
        </w:tc>
        <w:tc>
          <w:tcPr>
            <w:tcW w:w="992" w:type="dxa"/>
          </w:tcPr>
          <w:p>
            <w:pPr>
              <w:jc w:val="center"/>
              <w:rPr>
                <w:color w:val="auto"/>
                <w:sz w:val="15"/>
                <w:szCs w:val="15"/>
                <w:highlight w:val="none"/>
              </w:rPr>
            </w:pPr>
          </w:p>
        </w:tc>
        <w:tc>
          <w:tcPr>
            <w:tcW w:w="850" w:type="dxa"/>
          </w:tcPr>
          <w:p>
            <w:pPr>
              <w:jc w:val="center"/>
              <w:rPr>
                <w:color w:val="auto"/>
                <w:sz w:val="15"/>
                <w:szCs w:val="15"/>
                <w:highlight w:val="none"/>
              </w:rPr>
            </w:pPr>
          </w:p>
        </w:tc>
        <w:tc>
          <w:tcPr>
            <w:tcW w:w="1347" w:type="dxa"/>
          </w:tcPr>
          <w:p>
            <w:pPr>
              <w:jc w:val="center"/>
              <w:rPr>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815" w:type="dxa"/>
            <w:vAlign w:val="center"/>
          </w:tcPr>
          <w:p>
            <w:pPr>
              <w:keepNext w:val="0"/>
              <w:keepLines w:val="0"/>
              <w:widowControl/>
              <w:suppressLineNumbers w:val="0"/>
              <w:jc w:val="center"/>
              <w:textAlignment w:val="center"/>
              <w:rPr>
                <w:rFonts w:hint="eastAsia"/>
                <w:color w:val="auto"/>
                <w:sz w:val="15"/>
                <w:szCs w:val="15"/>
                <w:highlight w:val="none"/>
                <w:lang w:eastAsia="zh-CN"/>
              </w:rPr>
            </w:pPr>
            <w:r>
              <w:rPr>
                <w:rFonts w:hint="eastAsia" w:ascii="微软雅黑" w:hAnsi="微软雅黑" w:eastAsia="微软雅黑" w:cs="微软雅黑"/>
                <w:i w:val="0"/>
                <w:color w:val="auto"/>
                <w:kern w:val="0"/>
                <w:sz w:val="15"/>
                <w:szCs w:val="15"/>
                <w:highlight w:val="none"/>
                <w:u w:val="none"/>
                <w:lang w:val="en-US" w:eastAsia="zh-CN" w:bidi="ar"/>
              </w:rPr>
              <w:t>大众朗逸2011款1.4T更换刹车片</w:t>
            </w:r>
          </w:p>
        </w:tc>
        <w:tc>
          <w:tcPr>
            <w:tcW w:w="2505" w:type="dxa"/>
            <w:vAlign w:val="center"/>
          </w:tcPr>
          <w:p>
            <w:pPr>
              <w:keepNext w:val="0"/>
              <w:keepLines w:val="0"/>
              <w:widowControl/>
              <w:suppressLineNumbers w:val="0"/>
              <w:jc w:val="center"/>
              <w:textAlignment w:val="center"/>
              <w:rPr>
                <w:rFonts w:hint="eastAsia" w:asciiTheme="minorEastAsia" w:hAnsiTheme="minorEastAsia"/>
                <w:color w:val="auto"/>
                <w:sz w:val="15"/>
                <w:szCs w:val="15"/>
                <w:highlight w:val="none"/>
                <w:lang w:eastAsia="zh-CN"/>
              </w:rPr>
            </w:pPr>
            <w:r>
              <w:rPr>
                <w:rFonts w:hint="eastAsia" w:ascii="微软雅黑" w:hAnsi="微软雅黑" w:eastAsia="微软雅黑" w:cs="微软雅黑"/>
                <w:i w:val="0"/>
                <w:color w:val="auto"/>
                <w:kern w:val="0"/>
                <w:sz w:val="15"/>
                <w:szCs w:val="15"/>
                <w:highlight w:val="none"/>
                <w:u w:val="none"/>
                <w:lang w:val="en-US" w:eastAsia="zh-CN" w:bidi="ar"/>
              </w:rPr>
              <w:t>大众帕萨特更换前轮刹车蹄片（对）</w:t>
            </w:r>
          </w:p>
        </w:tc>
        <w:tc>
          <w:tcPr>
            <w:tcW w:w="1181" w:type="dxa"/>
          </w:tcPr>
          <w:p>
            <w:pPr>
              <w:jc w:val="center"/>
              <w:rPr>
                <w:color w:val="auto"/>
                <w:sz w:val="15"/>
                <w:szCs w:val="15"/>
                <w:highlight w:val="none"/>
              </w:rPr>
            </w:pPr>
          </w:p>
        </w:tc>
        <w:tc>
          <w:tcPr>
            <w:tcW w:w="992" w:type="dxa"/>
          </w:tcPr>
          <w:p>
            <w:pPr>
              <w:jc w:val="center"/>
              <w:rPr>
                <w:color w:val="auto"/>
                <w:sz w:val="15"/>
                <w:szCs w:val="15"/>
                <w:highlight w:val="none"/>
              </w:rPr>
            </w:pPr>
          </w:p>
        </w:tc>
        <w:tc>
          <w:tcPr>
            <w:tcW w:w="850" w:type="dxa"/>
          </w:tcPr>
          <w:p>
            <w:pPr>
              <w:jc w:val="center"/>
              <w:rPr>
                <w:color w:val="auto"/>
                <w:sz w:val="15"/>
                <w:szCs w:val="15"/>
                <w:highlight w:val="none"/>
              </w:rPr>
            </w:pPr>
          </w:p>
        </w:tc>
        <w:tc>
          <w:tcPr>
            <w:tcW w:w="1347" w:type="dxa"/>
          </w:tcPr>
          <w:p>
            <w:pPr>
              <w:jc w:val="center"/>
              <w:rPr>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815" w:type="dxa"/>
            <w:vAlign w:val="center"/>
          </w:tcPr>
          <w:p>
            <w:pPr>
              <w:keepNext w:val="0"/>
              <w:keepLines w:val="0"/>
              <w:widowControl/>
              <w:suppressLineNumbers w:val="0"/>
              <w:jc w:val="center"/>
              <w:textAlignment w:val="center"/>
              <w:rPr>
                <w:rFonts w:hint="eastAsia"/>
                <w:color w:val="auto"/>
                <w:sz w:val="15"/>
                <w:szCs w:val="15"/>
                <w:highlight w:val="none"/>
                <w:lang w:eastAsia="zh-CN"/>
              </w:rPr>
            </w:pPr>
            <w:r>
              <w:rPr>
                <w:rFonts w:hint="eastAsia" w:ascii="微软雅黑" w:hAnsi="微软雅黑" w:eastAsia="微软雅黑" w:cs="微软雅黑"/>
                <w:i w:val="0"/>
                <w:color w:val="auto"/>
                <w:kern w:val="0"/>
                <w:sz w:val="15"/>
                <w:szCs w:val="15"/>
                <w:highlight w:val="none"/>
                <w:u w:val="none"/>
                <w:lang w:val="en-US" w:eastAsia="zh-CN" w:bidi="ar"/>
              </w:rPr>
              <w:t>庆铃五十铃牌QL10202DWR，更换空调压缩机</w:t>
            </w:r>
          </w:p>
        </w:tc>
        <w:tc>
          <w:tcPr>
            <w:tcW w:w="2505" w:type="dxa"/>
            <w:vAlign w:val="center"/>
          </w:tcPr>
          <w:p>
            <w:pPr>
              <w:keepNext w:val="0"/>
              <w:keepLines w:val="0"/>
              <w:widowControl/>
              <w:suppressLineNumbers w:val="0"/>
              <w:jc w:val="center"/>
              <w:textAlignment w:val="center"/>
              <w:rPr>
                <w:rFonts w:hint="eastAsia" w:asciiTheme="minorEastAsia" w:hAnsiTheme="minorEastAsia"/>
                <w:color w:val="auto"/>
                <w:sz w:val="15"/>
                <w:szCs w:val="15"/>
                <w:highlight w:val="none"/>
                <w:lang w:eastAsia="zh-CN"/>
              </w:rPr>
            </w:pPr>
            <w:r>
              <w:rPr>
                <w:rFonts w:hint="eastAsia" w:ascii="微软雅黑" w:hAnsi="微软雅黑" w:eastAsia="微软雅黑" w:cs="微软雅黑"/>
                <w:i w:val="0"/>
                <w:color w:val="auto"/>
                <w:kern w:val="0"/>
                <w:sz w:val="15"/>
                <w:szCs w:val="15"/>
                <w:highlight w:val="none"/>
                <w:u w:val="none"/>
                <w:lang w:val="en-US" w:eastAsia="zh-CN" w:bidi="ar"/>
              </w:rPr>
              <w:t>更换空调压缩机总成（个）</w:t>
            </w:r>
          </w:p>
        </w:tc>
        <w:tc>
          <w:tcPr>
            <w:tcW w:w="1181" w:type="dxa"/>
          </w:tcPr>
          <w:p>
            <w:pPr>
              <w:jc w:val="center"/>
              <w:rPr>
                <w:color w:val="auto"/>
                <w:sz w:val="15"/>
                <w:szCs w:val="15"/>
                <w:highlight w:val="none"/>
              </w:rPr>
            </w:pPr>
          </w:p>
        </w:tc>
        <w:tc>
          <w:tcPr>
            <w:tcW w:w="992" w:type="dxa"/>
          </w:tcPr>
          <w:p>
            <w:pPr>
              <w:jc w:val="center"/>
              <w:rPr>
                <w:color w:val="auto"/>
                <w:sz w:val="15"/>
                <w:szCs w:val="15"/>
                <w:highlight w:val="none"/>
              </w:rPr>
            </w:pPr>
          </w:p>
        </w:tc>
        <w:tc>
          <w:tcPr>
            <w:tcW w:w="850" w:type="dxa"/>
          </w:tcPr>
          <w:p>
            <w:pPr>
              <w:jc w:val="center"/>
              <w:rPr>
                <w:color w:val="auto"/>
                <w:sz w:val="15"/>
                <w:szCs w:val="15"/>
                <w:highlight w:val="none"/>
              </w:rPr>
            </w:pPr>
          </w:p>
        </w:tc>
        <w:tc>
          <w:tcPr>
            <w:tcW w:w="1347" w:type="dxa"/>
          </w:tcPr>
          <w:p>
            <w:pPr>
              <w:jc w:val="center"/>
              <w:rPr>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815" w:type="dxa"/>
            <w:vAlign w:val="center"/>
          </w:tcPr>
          <w:p>
            <w:pPr>
              <w:keepNext w:val="0"/>
              <w:keepLines w:val="0"/>
              <w:widowControl/>
              <w:suppressLineNumbers w:val="0"/>
              <w:jc w:val="center"/>
              <w:textAlignment w:val="center"/>
              <w:rPr>
                <w:rFonts w:hint="eastAsia"/>
                <w:color w:val="auto"/>
                <w:sz w:val="15"/>
                <w:szCs w:val="15"/>
                <w:highlight w:val="none"/>
                <w:lang w:eastAsia="zh-CN"/>
              </w:rPr>
            </w:pPr>
            <w:r>
              <w:rPr>
                <w:rFonts w:hint="eastAsia" w:ascii="微软雅黑" w:hAnsi="微软雅黑" w:eastAsia="微软雅黑" w:cs="微软雅黑"/>
                <w:i w:val="0"/>
                <w:color w:val="auto"/>
                <w:kern w:val="0"/>
                <w:sz w:val="15"/>
                <w:szCs w:val="15"/>
                <w:highlight w:val="none"/>
                <w:u w:val="none"/>
                <w:lang w:val="en-US" w:eastAsia="zh-CN" w:bidi="ar"/>
              </w:rPr>
              <w:t>庆铃五十铃牌QL10202DWR,更换左前大灯（带LED）</w:t>
            </w:r>
          </w:p>
        </w:tc>
        <w:tc>
          <w:tcPr>
            <w:tcW w:w="2505" w:type="dxa"/>
            <w:vAlign w:val="center"/>
          </w:tcPr>
          <w:p>
            <w:pPr>
              <w:keepNext w:val="0"/>
              <w:keepLines w:val="0"/>
              <w:widowControl/>
              <w:suppressLineNumbers w:val="0"/>
              <w:jc w:val="center"/>
              <w:textAlignment w:val="center"/>
              <w:rPr>
                <w:rFonts w:hint="eastAsia" w:asciiTheme="minorEastAsia" w:hAnsiTheme="minorEastAsia"/>
                <w:color w:val="auto"/>
                <w:sz w:val="15"/>
                <w:szCs w:val="15"/>
                <w:highlight w:val="none"/>
                <w:lang w:eastAsia="zh-CN"/>
              </w:rPr>
            </w:pPr>
            <w:r>
              <w:rPr>
                <w:rFonts w:hint="eastAsia" w:ascii="微软雅黑" w:hAnsi="微软雅黑" w:eastAsia="微软雅黑" w:cs="微软雅黑"/>
                <w:i w:val="0"/>
                <w:color w:val="auto"/>
                <w:kern w:val="0"/>
                <w:sz w:val="15"/>
                <w:szCs w:val="15"/>
                <w:highlight w:val="none"/>
                <w:u w:val="none"/>
                <w:lang w:val="en-US" w:eastAsia="zh-CN" w:bidi="ar"/>
              </w:rPr>
              <w:t>更换左前大灯（带LED）（个）</w:t>
            </w:r>
          </w:p>
        </w:tc>
        <w:tc>
          <w:tcPr>
            <w:tcW w:w="1181" w:type="dxa"/>
          </w:tcPr>
          <w:p>
            <w:pPr>
              <w:jc w:val="center"/>
              <w:rPr>
                <w:color w:val="auto"/>
                <w:sz w:val="15"/>
                <w:szCs w:val="15"/>
                <w:highlight w:val="none"/>
              </w:rPr>
            </w:pPr>
          </w:p>
        </w:tc>
        <w:tc>
          <w:tcPr>
            <w:tcW w:w="992" w:type="dxa"/>
          </w:tcPr>
          <w:p>
            <w:pPr>
              <w:jc w:val="center"/>
              <w:rPr>
                <w:color w:val="auto"/>
                <w:sz w:val="15"/>
                <w:szCs w:val="15"/>
                <w:highlight w:val="none"/>
              </w:rPr>
            </w:pPr>
          </w:p>
        </w:tc>
        <w:tc>
          <w:tcPr>
            <w:tcW w:w="850" w:type="dxa"/>
          </w:tcPr>
          <w:p>
            <w:pPr>
              <w:jc w:val="center"/>
              <w:rPr>
                <w:color w:val="auto"/>
                <w:sz w:val="15"/>
                <w:szCs w:val="15"/>
                <w:highlight w:val="none"/>
              </w:rPr>
            </w:pPr>
          </w:p>
        </w:tc>
        <w:tc>
          <w:tcPr>
            <w:tcW w:w="1347" w:type="dxa"/>
          </w:tcPr>
          <w:p>
            <w:pPr>
              <w:jc w:val="center"/>
              <w:rPr>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815" w:type="dxa"/>
            <w:vAlign w:val="center"/>
          </w:tcPr>
          <w:p>
            <w:pPr>
              <w:keepNext w:val="0"/>
              <w:keepLines w:val="0"/>
              <w:widowControl/>
              <w:suppressLineNumbers w:val="0"/>
              <w:jc w:val="center"/>
              <w:textAlignment w:val="center"/>
              <w:rPr>
                <w:rFonts w:hint="eastAsia"/>
                <w:color w:val="auto"/>
                <w:sz w:val="15"/>
                <w:szCs w:val="15"/>
                <w:highlight w:val="none"/>
                <w:lang w:eastAsia="zh-CN"/>
              </w:rPr>
            </w:pPr>
            <w:r>
              <w:rPr>
                <w:rFonts w:hint="eastAsia" w:ascii="微软雅黑" w:hAnsi="微软雅黑" w:eastAsia="微软雅黑" w:cs="微软雅黑"/>
                <w:i w:val="0"/>
                <w:color w:val="auto"/>
                <w:kern w:val="0"/>
                <w:sz w:val="15"/>
                <w:szCs w:val="15"/>
                <w:highlight w:val="none"/>
                <w:u w:val="none"/>
                <w:lang w:val="en-US" w:eastAsia="zh-CN" w:bidi="ar"/>
              </w:rPr>
              <w:t>庆铃五十铃牌QL10202DWR更换三元催化器</w:t>
            </w:r>
          </w:p>
        </w:tc>
        <w:tc>
          <w:tcPr>
            <w:tcW w:w="2505" w:type="dxa"/>
            <w:vAlign w:val="center"/>
          </w:tcPr>
          <w:p>
            <w:pPr>
              <w:keepNext w:val="0"/>
              <w:keepLines w:val="0"/>
              <w:widowControl/>
              <w:suppressLineNumbers w:val="0"/>
              <w:jc w:val="center"/>
              <w:textAlignment w:val="center"/>
              <w:rPr>
                <w:rFonts w:hint="eastAsia" w:asciiTheme="minorEastAsia" w:hAnsiTheme="minorEastAsia"/>
                <w:color w:val="auto"/>
                <w:sz w:val="15"/>
                <w:szCs w:val="15"/>
                <w:highlight w:val="none"/>
                <w:lang w:eastAsia="zh-CN"/>
              </w:rPr>
            </w:pPr>
            <w:r>
              <w:rPr>
                <w:rFonts w:hint="eastAsia" w:ascii="微软雅黑" w:hAnsi="微软雅黑" w:eastAsia="微软雅黑" w:cs="微软雅黑"/>
                <w:i w:val="0"/>
                <w:color w:val="auto"/>
                <w:kern w:val="0"/>
                <w:sz w:val="15"/>
                <w:szCs w:val="15"/>
                <w:highlight w:val="none"/>
                <w:u w:val="none"/>
                <w:lang w:val="en-US" w:eastAsia="zh-CN" w:bidi="ar"/>
              </w:rPr>
              <w:t>三元催化器总成（个）</w:t>
            </w:r>
          </w:p>
        </w:tc>
        <w:tc>
          <w:tcPr>
            <w:tcW w:w="1181" w:type="dxa"/>
          </w:tcPr>
          <w:p>
            <w:pPr>
              <w:jc w:val="center"/>
              <w:rPr>
                <w:color w:val="auto"/>
                <w:sz w:val="15"/>
                <w:szCs w:val="15"/>
                <w:highlight w:val="none"/>
              </w:rPr>
            </w:pPr>
          </w:p>
        </w:tc>
        <w:tc>
          <w:tcPr>
            <w:tcW w:w="992" w:type="dxa"/>
          </w:tcPr>
          <w:p>
            <w:pPr>
              <w:jc w:val="center"/>
              <w:rPr>
                <w:color w:val="auto"/>
                <w:sz w:val="15"/>
                <w:szCs w:val="15"/>
                <w:highlight w:val="none"/>
              </w:rPr>
            </w:pPr>
          </w:p>
        </w:tc>
        <w:tc>
          <w:tcPr>
            <w:tcW w:w="850" w:type="dxa"/>
          </w:tcPr>
          <w:p>
            <w:pPr>
              <w:jc w:val="center"/>
              <w:rPr>
                <w:color w:val="auto"/>
                <w:sz w:val="15"/>
                <w:szCs w:val="15"/>
                <w:highlight w:val="none"/>
              </w:rPr>
            </w:pPr>
          </w:p>
        </w:tc>
        <w:tc>
          <w:tcPr>
            <w:tcW w:w="1347" w:type="dxa"/>
          </w:tcPr>
          <w:p>
            <w:pPr>
              <w:jc w:val="center"/>
              <w:rPr>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815" w:type="dxa"/>
            <w:vAlign w:val="center"/>
          </w:tcPr>
          <w:p>
            <w:pPr>
              <w:keepNext w:val="0"/>
              <w:keepLines w:val="0"/>
              <w:widowControl/>
              <w:suppressLineNumbers w:val="0"/>
              <w:jc w:val="center"/>
              <w:textAlignment w:val="center"/>
              <w:rPr>
                <w:rFonts w:hint="eastAsia"/>
                <w:color w:val="auto"/>
                <w:sz w:val="15"/>
                <w:szCs w:val="15"/>
                <w:highlight w:val="none"/>
                <w:lang w:eastAsia="zh-CN"/>
              </w:rPr>
            </w:pPr>
            <w:r>
              <w:rPr>
                <w:rFonts w:hint="eastAsia" w:ascii="微软雅黑" w:hAnsi="微软雅黑" w:eastAsia="微软雅黑" w:cs="微软雅黑"/>
                <w:i w:val="0"/>
                <w:color w:val="auto"/>
                <w:kern w:val="0"/>
                <w:sz w:val="15"/>
                <w:szCs w:val="15"/>
                <w:highlight w:val="none"/>
                <w:u w:val="none"/>
                <w:lang w:val="en-US" w:eastAsia="zh-CN" w:bidi="ar"/>
              </w:rPr>
              <w:t>庆铃五十铃牌QL10202DWR,更换传动轴总成/前驱</w:t>
            </w:r>
          </w:p>
        </w:tc>
        <w:tc>
          <w:tcPr>
            <w:tcW w:w="2505" w:type="dxa"/>
            <w:vAlign w:val="center"/>
          </w:tcPr>
          <w:p>
            <w:pPr>
              <w:keepNext w:val="0"/>
              <w:keepLines w:val="0"/>
              <w:widowControl/>
              <w:suppressLineNumbers w:val="0"/>
              <w:jc w:val="center"/>
              <w:textAlignment w:val="center"/>
              <w:rPr>
                <w:rFonts w:hint="eastAsia" w:asciiTheme="minorEastAsia" w:hAnsiTheme="minorEastAsia"/>
                <w:color w:val="auto"/>
                <w:sz w:val="15"/>
                <w:szCs w:val="15"/>
                <w:highlight w:val="none"/>
                <w:lang w:eastAsia="zh-CN"/>
              </w:rPr>
            </w:pPr>
            <w:r>
              <w:rPr>
                <w:rFonts w:hint="eastAsia" w:ascii="微软雅黑" w:hAnsi="微软雅黑" w:eastAsia="微软雅黑" w:cs="微软雅黑"/>
                <w:i w:val="0"/>
                <w:color w:val="auto"/>
                <w:kern w:val="0"/>
                <w:sz w:val="15"/>
                <w:szCs w:val="15"/>
                <w:highlight w:val="none"/>
                <w:u w:val="none"/>
                <w:lang w:val="en-US" w:eastAsia="zh-CN" w:bidi="ar"/>
              </w:rPr>
              <w:t>传动轴总成/前驱（个）</w:t>
            </w:r>
          </w:p>
        </w:tc>
        <w:tc>
          <w:tcPr>
            <w:tcW w:w="1181" w:type="dxa"/>
          </w:tcPr>
          <w:p>
            <w:pPr>
              <w:jc w:val="center"/>
              <w:rPr>
                <w:color w:val="auto"/>
                <w:sz w:val="15"/>
                <w:szCs w:val="15"/>
                <w:highlight w:val="none"/>
              </w:rPr>
            </w:pPr>
          </w:p>
        </w:tc>
        <w:tc>
          <w:tcPr>
            <w:tcW w:w="992" w:type="dxa"/>
          </w:tcPr>
          <w:p>
            <w:pPr>
              <w:jc w:val="center"/>
              <w:rPr>
                <w:color w:val="auto"/>
                <w:sz w:val="15"/>
                <w:szCs w:val="15"/>
                <w:highlight w:val="none"/>
              </w:rPr>
            </w:pPr>
          </w:p>
        </w:tc>
        <w:tc>
          <w:tcPr>
            <w:tcW w:w="850" w:type="dxa"/>
          </w:tcPr>
          <w:p>
            <w:pPr>
              <w:jc w:val="center"/>
              <w:rPr>
                <w:color w:val="auto"/>
                <w:sz w:val="15"/>
                <w:szCs w:val="15"/>
                <w:highlight w:val="none"/>
              </w:rPr>
            </w:pPr>
          </w:p>
        </w:tc>
        <w:tc>
          <w:tcPr>
            <w:tcW w:w="1347" w:type="dxa"/>
          </w:tcPr>
          <w:p>
            <w:pPr>
              <w:jc w:val="center"/>
              <w:rPr>
                <w:color w:val="auto"/>
                <w:sz w:val="15"/>
                <w:szCs w:val="15"/>
                <w:highlight w:val="none"/>
              </w:rPr>
            </w:pPr>
          </w:p>
        </w:tc>
      </w:tr>
    </w:tbl>
    <w:p>
      <w:pPr>
        <w:jc w:val="left"/>
        <w:rPr>
          <w:rFonts w:hint="eastAsia"/>
          <w:color w:val="auto"/>
          <w:highlight w:val="none"/>
        </w:rPr>
      </w:pPr>
      <w:r>
        <w:rPr>
          <w:rFonts w:hint="eastAsia"/>
          <w:color w:val="auto"/>
          <w:highlight w:val="none"/>
        </w:rPr>
        <w:t xml:space="preserve">   </w:t>
      </w:r>
    </w:p>
    <w:p>
      <w:pPr>
        <w:jc w:val="left"/>
        <w:rPr>
          <w:color w:val="auto"/>
          <w:highlight w:val="none"/>
        </w:rPr>
      </w:pPr>
      <w:r>
        <w:rPr>
          <w:rFonts w:hint="eastAsia"/>
          <w:color w:val="auto"/>
          <w:highlight w:val="none"/>
        </w:rPr>
        <w:t xml:space="preserve"> 注：未在此表中的维修项目，招标人将有权通过临时询价确定维修厂进行维修。</w:t>
      </w:r>
    </w:p>
    <w:p>
      <w:pPr>
        <w:jc w:val="left"/>
        <w:rPr>
          <w:color w:val="auto"/>
          <w:highlight w:val="none"/>
        </w:rPr>
      </w:pPr>
    </w:p>
    <w:p>
      <w:pPr>
        <w:jc w:val="left"/>
        <w:rPr>
          <w:color w:val="auto"/>
          <w:highlight w:val="none"/>
        </w:rPr>
      </w:pPr>
    </w:p>
    <w:p>
      <w:pPr>
        <w:jc w:val="left"/>
        <w:rPr>
          <w:rFonts w:hint="eastAsia"/>
          <w:color w:val="auto"/>
          <w:highlight w:val="none"/>
        </w:rPr>
      </w:pPr>
    </w:p>
    <w:p>
      <w:pPr>
        <w:jc w:val="left"/>
        <w:rPr>
          <w:rFonts w:hint="eastAsia"/>
          <w:color w:val="auto"/>
          <w:highlight w:val="none"/>
        </w:rPr>
      </w:pPr>
    </w:p>
    <w:p>
      <w:pPr>
        <w:jc w:val="left"/>
        <w:rPr>
          <w:color w:val="auto"/>
          <w:highlight w:val="none"/>
        </w:rPr>
      </w:pPr>
      <w:r>
        <w:rPr>
          <w:rFonts w:hint="eastAsia"/>
          <w:color w:val="auto"/>
          <w:highlight w:val="none"/>
        </w:rPr>
        <w:t>特色服务提供：</w:t>
      </w:r>
    </w:p>
    <w:p>
      <w:pPr>
        <w:jc w:val="left"/>
        <w:rPr>
          <w:color w:val="auto"/>
          <w:highlight w:val="none"/>
        </w:rPr>
      </w:pPr>
    </w:p>
    <w:p>
      <w:pPr>
        <w:jc w:val="left"/>
        <w:rPr>
          <w:color w:val="auto"/>
          <w:highlight w:val="none"/>
        </w:rPr>
      </w:pPr>
    </w:p>
    <w:p>
      <w:pPr>
        <w:jc w:val="left"/>
        <w:rPr>
          <w:color w:val="auto"/>
          <w:highlight w:val="none"/>
        </w:rPr>
      </w:pPr>
    </w:p>
    <w:p>
      <w:pPr>
        <w:jc w:val="left"/>
        <w:rPr>
          <w:color w:val="auto"/>
          <w:highlight w:val="none"/>
        </w:rPr>
      </w:pPr>
    </w:p>
    <w:p>
      <w:pPr>
        <w:jc w:val="left"/>
        <w:rPr>
          <w:rFonts w:hint="eastAsia"/>
          <w:b/>
          <w:color w:val="auto"/>
          <w:highlight w:val="none"/>
        </w:rPr>
      </w:pPr>
    </w:p>
    <w:p>
      <w:pPr>
        <w:jc w:val="left"/>
        <w:rPr>
          <w:rFonts w:hint="eastAsia"/>
          <w:b/>
          <w:color w:val="auto"/>
          <w:highlight w:val="none"/>
        </w:rPr>
      </w:pPr>
    </w:p>
    <w:p>
      <w:pPr>
        <w:jc w:val="left"/>
        <w:rPr>
          <w:rFonts w:hint="eastAsia"/>
          <w:b/>
          <w:color w:val="auto"/>
          <w:highlight w:val="none"/>
        </w:rPr>
      </w:pPr>
    </w:p>
    <w:p>
      <w:pPr>
        <w:jc w:val="left"/>
        <w:rPr>
          <w:rFonts w:hint="eastAsia"/>
          <w:b/>
          <w:color w:val="auto"/>
          <w:highlight w:val="none"/>
        </w:rPr>
      </w:pPr>
    </w:p>
    <w:p>
      <w:pPr>
        <w:jc w:val="left"/>
        <w:rPr>
          <w:rFonts w:hint="eastAsia"/>
          <w:b/>
          <w:color w:val="auto"/>
          <w:highlight w:val="none"/>
        </w:rPr>
      </w:pPr>
    </w:p>
    <w:p>
      <w:pPr>
        <w:jc w:val="left"/>
        <w:rPr>
          <w:rFonts w:hint="eastAsia"/>
          <w:b/>
          <w:color w:val="auto"/>
          <w:highlight w:val="none"/>
        </w:rPr>
      </w:pPr>
    </w:p>
    <w:p>
      <w:pPr>
        <w:jc w:val="left"/>
        <w:rPr>
          <w:rFonts w:hint="eastAsia"/>
          <w:b/>
          <w:color w:val="auto"/>
          <w:highlight w:val="none"/>
        </w:rPr>
      </w:pPr>
    </w:p>
    <w:p>
      <w:pPr>
        <w:jc w:val="left"/>
        <w:rPr>
          <w:rFonts w:hint="eastAsia"/>
          <w:b/>
          <w:color w:val="auto"/>
          <w:highlight w:val="none"/>
        </w:rPr>
      </w:pPr>
    </w:p>
    <w:p>
      <w:pPr>
        <w:jc w:val="left"/>
        <w:rPr>
          <w:rFonts w:hint="eastAsia"/>
          <w:b/>
          <w:color w:val="auto"/>
          <w:highlight w:val="none"/>
        </w:rPr>
      </w:pPr>
    </w:p>
    <w:p>
      <w:pPr>
        <w:jc w:val="left"/>
        <w:rPr>
          <w:rFonts w:hint="eastAsia"/>
          <w:b/>
          <w:color w:val="auto"/>
          <w:highlight w:val="none"/>
        </w:rPr>
      </w:pPr>
    </w:p>
    <w:p>
      <w:pPr>
        <w:jc w:val="left"/>
        <w:rPr>
          <w:rFonts w:hint="eastAsia"/>
          <w:b/>
          <w:color w:val="auto"/>
          <w:highlight w:val="none"/>
        </w:rPr>
      </w:pPr>
    </w:p>
    <w:p>
      <w:pPr>
        <w:jc w:val="left"/>
        <w:rPr>
          <w:rFonts w:hint="eastAsia"/>
          <w:b/>
          <w:color w:val="auto"/>
          <w:highlight w:val="none"/>
        </w:rPr>
      </w:pPr>
    </w:p>
    <w:p>
      <w:pPr>
        <w:jc w:val="left"/>
        <w:rPr>
          <w:rFonts w:hint="eastAsia"/>
          <w:b/>
          <w:color w:val="auto"/>
          <w:highlight w:val="none"/>
        </w:rPr>
      </w:pPr>
    </w:p>
    <w:p>
      <w:pPr>
        <w:jc w:val="left"/>
        <w:rPr>
          <w:rFonts w:hint="eastAsia"/>
          <w:b/>
          <w:color w:val="auto"/>
          <w:highlight w:val="none"/>
        </w:rPr>
      </w:pPr>
    </w:p>
    <w:p>
      <w:pPr>
        <w:jc w:val="left"/>
        <w:rPr>
          <w:rFonts w:hint="eastAsia"/>
          <w:b/>
          <w:color w:val="auto"/>
          <w:highlight w:val="none"/>
        </w:rPr>
      </w:pPr>
    </w:p>
    <w:p>
      <w:pPr>
        <w:jc w:val="left"/>
        <w:rPr>
          <w:rFonts w:hint="eastAsia"/>
          <w:b/>
          <w:color w:val="auto"/>
          <w:highlight w:val="none"/>
        </w:rPr>
      </w:pPr>
    </w:p>
    <w:p>
      <w:pPr>
        <w:jc w:val="left"/>
        <w:rPr>
          <w:rFonts w:hint="eastAsia"/>
          <w:b/>
          <w:color w:val="auto"/>
          <w:highlight w:val="none"/>
        </w:rPr>
      </w:pPr>
    </w:p>
    <w:p>
      <w:pPr>
        <w:jc w:val="left"/>
        <w:rPr>
          <w:rFonts w:hint="eastAsia"/>
          <w:b/>
          <w:color w:val="auto"/>
          <w:highlight w:val="none"/>
        </w:rPr>
      </w:pPr>
    </w:p>
    <w:p>
      <w:pPr>
        <w:jc w:val="left"/>
        <w:rPr>
          <w:rFonts w:hint="eastAsia"/>
          <w:b/>
          <w:color w:val="auto"/>
          <w:highlight w:val="none"/>
        </w:rPr>
      </w:pPr>
    </w:p>
    <w:p>
      <w:pPr>
        <w:jc w:val="left"/>
        <w:rPr>
          <w:rFonts w:hint="eastAsia"/>
          <w:b/>
          <w:color w:val="auto"/>
          <w:highlight w:val="none"/>
        </w:rPr>
      </w:pPr>
    </w:p>
    <w:p>
      <w:pPr>
        <w:jc w:val="left"/>
        <w:rPr>
          <w:rFonts w:hint="eastAsia"/>
          <w:b/>
          <w:color w:val="auto"/>
          <w:highlight w:val="none"/>
        </w:rPr>
      </w:pPr>
    </w:p>
    <w:p>
      <w:pPr>
        <w:jc w:val="left"/>
        <w:rPr>
          <w:rFonts w:hint="eastAsia"/>
          <w:b/>
          <w:color w:val="auto"/>
          <w:highlight w:val="none"/>
        </w:rPr>
      </w:pPr>
    </w:p>
    <w:p>
      <w:pPr>
        <w:jc w:val="left"/>
        <w:rPr>
          <w:b/>
          <w:color w:val="auto"/>
          <w:highlight w:val="none"/>
        </w:rPr>
      </w:pPr>
      <w:r>
        <w:rPr>
          <w:rFonts w:hint="eastAsia"/>
          <w:b/>
          <w:color w:val="auto"/>
          <w:highlight w:val="none"/>
        </w:rPr>
        <w:t>甲方维修要求及质保标准</w:t>
      </w:r>
    </w:p>
    <w:p>
      <w:pPr>
        <w:spacing w:line="360" w:lineRule="auto"/>
        <w:ind w:firstLine="560" w:firstLineChars="200"/>
        <w:jc w:val="left"/>
        <w:rPr>
          <w:rFonts w:cs="仿宋" w:asciiTheme="minorEastAsia" w:hAnsiTheme="minorEastAsia"/>
          <w:color w:val="auto"/>
          <w:szCs w:val="21"/>
          <w:highlight w:val="none"/>
        </w:rPr>
      </w:pPr>
      <w:r>
        <w:rPr>
          <w:rFonts w:hint="eastAsia" w:cs="仿宋" w:asciiTheme="minorEastAsia" w:hAnsiTheme="minorEastAsia"/>
          <w:color w:val="auto"/>
          <w:sz w:val="28"/>
          <w:szCs w:val="28"/>
          <w:highlight w:val="none"/>
        </w:rPr>
        <w:t>（</w:t>
      </w:r>
      <w:r>
        <w:rPr>
          <w:rFonts w:hint="eastAsia" w:cs="仿宋" w:asciiTheme="minorEastAsia" w:hAnsiTheme="minorEastAsia"/>
          <w:color w:val="auto"/>
          <w:szCs w:val="21"/>
          <w:highlight w:val="none"/>
        </w:rPr>
        <w:t>一）竣工出厂质量保证期</w:t>
      </w:r>
    </w:p>
    <w:p>
      <w:pPr>
        <w:spacing w:line="360" w:lineRule="auto"/>
        <w:ind w:firstLine="420" w:firstLineChars="200"/>
        <w:jc w:val="left"/>
        <w:rPr>
          <w:rFonts w:cs="仿宋" w:asciiTheme="minorEastAsia" w:hAnsiTheme="minorEastAsia"/>
          <w:color w:val="auto"/>
          <w:szCs w:val="21"/>
          <w:highlight w:val="none"/>
        </w:rPr>
      </w:pPr>
      <w:r>
        <w:rPr>
          <w:rFonts w:hint="eastAsia" w:cs="仿宋" w:asciiTheme="minorEastAsia" w:hAnsiTheme="minorEastAsia"/>
          <w:color w:val="auto"/>
          <w:szCs w:val="21"/>
          <w:highlight w:val="none"/>
        </w:rPr>
        <w:t>(1)竣工出厂质量保证期:总成大修质量保证期为车辆行驶40000公里或者按维修出厂日期起一年为止。</w:t>
      </w:r>
    </w:p>
    <w:p>
      <w:pPr>
        <w:spacing w:line="360" w:lineRule="auto"/>
        <w:ind w:firstLine="420" w:firstLineChars="200"/>
        <w:jc w:val="left"/>
        <w:rPr>
          <w:rFonts w:cs="仿宋" w:asciiTheme="minorEastAsia" w:hAnsiTheme="minorEastAsia"/>
          <w:color w:val="auto"/>
          <w:szCs w:val="21"/>
          <w:highlight w:val="none"/>
        </w:rPr>
      </w:pPr>
      <w:r>
        <w:rPr>
          <w:rFonts w:hint="eastAsia" w:cs="仿宋" w:asciiTheme="minorEastAsia" w:hAnsiTheme="minorEastAsia"/>
          <w:color w:val="auto"/>
          <w:szCs w:val="21"/>
          <w:highlight w:val="none"/>
        </w:rPr>
        <w:t>(2)竣工出厂质量保证期:二级维护（日常保养）质量保证期为车辆行驶8000公里或者按维修出厂日期起半年为止。</w:t>
      </w:r>
    </w:p>
    <w:p>
      <w:pPr>
        <w:spacing w:line="360" w:lineRule="auto"/>
        <w:ind w:firstLine="420" w:firstLineChars="200"/>
        <w:jc w:val="left"/>
        <w:rPr>
          <w:rFonts w:cs="仿宋" w:asciiTheme="minorEastAsia" w:hAnsiTheme="minorEastAsia"/>
          <w:color w:val="auto"/>
          <w:szCs w:val="21"/>
          <w:highlight w:val="none"/>
        </w:rPr>
      </w:pPr>
      <w:r>
        <w:rPr>
          <w:rFonts w:hint="eastAsia" w:cs="仿宋" w:asciiTheme="minorEastAsia" w:hAnsiTheme="minorEastAsia"/>
          <w:color w:val="auto"/>
          <w:szCs w:val="21"/>
          <w:highlight w:val="none"/>
        </w:rPr>
        <w:t>(3) 竣工出厂质量保证期:一级维护（小修及专项修理）质量保证期为车辆行驶5000公里或者按维修出厂日期起90天为止。</w:t>
      </w:r>
    </w:p>
    <w:p>
      <w:pPr>
        <w:spacing w:line="360" w:lineRule="auto"/>
        <w:ind w:firstLine="420" w:firstLineChars="200"/>
        <w:jc w:val="left"/>
        <w:rPr>
          <w:rFonts w:cs="仿宋" w:asciiTheme="minorEastAsia" w:hAnsiTheme="minorEastAsia"/>
          <w:b w:val="0"/>
          <w:bCs w:val="0"/>
          <w:color w:val="auto"/>
          <w:szCs w:val="21"/>
          <w:highlight w:val="none"/>
        </w:rPr>
      </w:pPr>
      <w:r>
        <w:rPr>
          <w:rFonts w:hint="eastAsia" w:cs="仿宋" w:asciiTheme="minorEastAsia" w:hAnsiTheme="minorEastAsia"/>
          <w:b w:val="0"/>
          <w:bCs w:val="0"/>
          <w:color w:val="auto"/>
          <w:szCs w:val="21"/>
          <w:highlight w:val="none"/>
        </w:rPr>
        <w:t>(4)配件材料（原厂配件、同质配件），并提供来源凭证。</w:t>
      </w:r>
    </w:p>
    <w:p>
      <w:pPr>
        <w:spacing w:line="360" w:lineRule="auto"/>
        <w:ind w:firstLine="420" w:firstLineChars="200"/>
        <w:jc w:val="left"/>
        <w:rPr>
          <w:rFonts w:cs="仿宋" w:asciiTheme="minorEastAsia" w:hAnsiTheme="minorEastAsia"/>
          <w:color w:val="auto"/>
          <w:szCs w:val="21"/>
          <w:highlight w:val="none"/>
        </w:rPr>
      </w:pPr>
      <w:r>
        <w:rPr>
          <w:rFonts w:hint="eastAsia" w:cs="仿宋" w:asciiTheme="minorEastAsia" w:hAnsiTheme="minorEastAsia"/>
          <w:color w:val="auto"/>
          <w:szCs w:val="21"/>
          <w:highlight w:val="none"/>
        </w:rPr>
        <w:t xml:space="preserve">   车辆日常保养所使用的发动机润滑油品牌和标号由我公司指定。</w:t>
      </w:r>
    </w:p>
    <w:p>
      <w:pPr>
        <w:spacing w:line="360" w:lineRule="auto"/>
        <w:ind w:firstLine="420" w:firstLineChars="200"/>
        <w:jc w:val="left"/>
        <w:rPr>
          <w:rFonts w:cs="仿宋" w:asciiTheme="minorEastAsia" w:hAnsiTheme="minorEastAsia"/>
          <w:color w:val="auto"/>
          <w:szCs w:val="21"/>
          <w:highlight w:val="none"/>
        </w:rPr>
      </w:pPr>
      <w:r>
        <w:rPr>
          <w:rFonts w:hint="eastAsia" w:cs="仿宋" w:asciiTheme="minorEastAsia" w:hAnsiTheme="minorEastAsia"/>
          <w:color w:val="auto"/>
          <w:szCs w:val="21"/>
          <w:highlight w:val="none"/>
        </w:rPr>
        <w:t xml:space="preserve"> (5)返修率不高于年总维修台次的5%。</w:t>
      </w:r>
    </w:p>
    <w:p>
      <w:pPr>
        <w:spacing w:line="360" w:lineRule="auto"/>
        <w:ind w:firstLine="420" w:firstLineChars="200"/>
        <w:jc w:val="left"/>
        <w:rPr>
          <w:rFonts w:cs="仿宋" w:asciiTheme="minorEastAsia" w:hAnsiTheme="minorEastAsia"/>
          <w:color w:val="auto"/>
          <w:szCs w:val="21"/>
          <w:highlight w:val="none"/>
        </w:rPr>
      </w:pPr>
      <w:r>
        <w:rPr>
          <w:rFonts w:hint="eastAsia" w:cs="仿宋" w:asciiTheme="minorEastAsia" w:hAnsiTheme="minorEastAsia"/>
          <w:color w:val="auto"/>
          <w:szCs w:val="21"/>
          <w:highlight w:val="none"/>
        </w:rPr>
        <w:t>（二）工  期</w:t>
      </w:r>
    </w:p>
    <w:p>
      <w:pPr>
        <w:spacing w:line="360" w:lineRule="auto"/>
        <w:ind w:firstLine="420" w:firstLineChars="200"/>
        <w:jc w:val="left"/>
        <w:rPr>
          <w:rFonts w:cs="仿宋" w:asciiTheme="minorEastAsia" w:hAnsiTheme="minorEastAsia"/>
          <w:color w:val="auto"/>
          <w:szCs w:val="21"/>
          <w:highlight w:val="none"/>
        </w:rPr>
      </w:pPr>
      <w:r>
        <w:rPr>
          <w:rFonts w:hint="eastAsia" w:cs="仿宋" w:asciiTheme="minorEastAsia" w:hAnsiTheme="minorEastAsia"/>
          <w:color w:val="auto"/>
          <w:szCs w:val="21"/>
          <w:highlight w:val="none"/>
        </w:rPr>
        <w:t>1、一般维修保养或小故障排除（不涉及换件）：一个工作日内完成；</w:t>
      </w:r>
    </w:p>
    <w:p>
      <w:pPr>
        <w:spacing w:line="360" w:lineRule="auto"/>
        <w:ind w:firstLine="420" w:firstLineChars="200"/>
        <w:jc w:val="left"/>
        <w:rPr>
          <w:rFonts w:cs="仿宋" w:asciiTheme="minorEastAsia" w:hAnsiTheme="minorEastAsia"/>
          <w:color w:val="auto"/>
          <w:szCs w:val="21"/>
          <w:highlight w:val="none"/>
        </w:rPr>
      </w:pPr>
      <w:r>
        <w:rPr>
          <w:rFonts w:hint="eastAsia" w:cs="仿宋" w:asciiTheme="minorEastAsia" w:hAnsiTheme="minorEastAsia"/>
          <w:color w:val="auto"/>
          <w:szCs w:val="21"/>
          <w:highlight w:val="none"/>
        </w:rPr>
        <w:t>2、半年维护保养：两工作日内完成；</w:t>
      </w:r>
    </w:p>
    <w:p>
      <w:pPr>
        <w:spacing w:line="360" w:lineRule="auto"/>
        <w:ind w:firstLine="420" w:firstLineChars="200"/>
        <w:jc w:val="left"/>
        <w:rPr>
          <w:rFonts w:cs="仿宋" w:asciiTheme="minorEastAsia" w:hAnsiTheme="minorEastAsia"/>
          <w:color w:val="auto"/>
          <w:szCs w:val="21"/>
          <w:highlight w:val="none"/>
        </w:rPr>
      </w:pPr>
      <w:r>
        <w:rPr>
          <w:rFonts w:hint="eastAsia" w:cs="仿宋" w:asciiTheme="minorEastAsia" w:hAnsiTheme="minorEastAsia"/>
          <w:color w:val="auto"/>
          <w:szCs w:val="21"/>
          <w:highlight w:val="none"/>
        </w:rPr>
        <w:t>3、二级维护保养和年度保养：两个工作日内完成；</w:t>
      </w:r>
    </w:p>
    <w:p>
      <w:pPr>
        <w:spacing w:line="360" w:lineRule="auto"/>
        <w:ind w:firstLine="420" w:firstLineChars="200"/>
        <w:jc w:val="left"/>
        <w:rPr>
          <w:rFonts w:cs="仿宋" w:asciiTheme="minorEastAsia" w:hAnsiTheme="minorEastAsia"/>
          <w:color w:val="auto"/>
          <w:szCs w:val="21"/>
          <w:highlight w:val="none"/>
        </w:rPr>
      </w:pPr>
      <w:r>
        <w:rPr>
          <w:rFonts w:hint="eastAsia" w:cs="仿宋" w:asciiTheme="minorEastAsia" w:hAnsiTheme="minorEastAsia"/>
          <w:color w:val="auto"/>
          <w:szCs w:val="21"/>
          <w:highlight w:val="none"/>
        </w:rPr>
        <w:t>4、发动机大修：七个工作日完成；</w:t>
      </w:r>
    </w:p>
    <w:p>
      <w:pPr>
        <w:spacing w:line="360" w:lineRule="auto"/>
        <w:ind w:firstLine="420" w:firstLineChars="200"/>
        <w:jc w:val="left"/>
        <w:rPr>
          <w:rFonts w:cs="仿宋" w:asciiTheme="minorEastAsia" w:hAnsiTheme="minorEastAsia"/>
          <w:color w:val="auto"/>
          <w:szCs w:val="21"/>
          <w:highlight w:val="none"/>
        </w:rPr>
      </w:pPr>
      <w:r>
        <w:rPr>
          <w:rFonts w:hint="eastAsia" w:cs="仿宋" w:asciiTheme="minorEastAsia" w:hAnsiTheme="minorEastAsia"/>
          <w:color w:val="auto"/>
          <w:szCs w:val="21"/>
          <w:highlight w:val="none"/>
        </w:rPr>
        <w:t>5、大型故障、总成修理、全车大修需经双方确认维修方案后具体工期完成。因甲方车辆年限问题，换件所需材料采购困难的双方协商确认后可以延长维修出厂日期，</w:t>
      </w:r>
    </w:p>
    <w:p>
      <w:pPr>
        <w:spacing w:line="360" w:lineRule="auto"/>
        <w:ind w:firstLine="420" w:firstLineChars="200"/>
        <w:jc w:val="left"/>
        <w:rPr>
          <w:rFonts w:cs="仿宋" w:asciiTheme="minorEastAsia" w:hAnsiTheme="minorEastAsia"/>
          <w:color w:val="auto"/>
          <w:szCs w:val="21"/>
          <w:highlight w:val="none"/>
        </w:rPr>
      </w:pPr>
      <w:r>
        <w:rPr>
          <w:rFonts w:hint="eastAsia" w:cs="仿宋" w:asciiTheme="minorEastAsia" w:hAnsiTheme="minorEastAsia"/>
          <w:color w:val="auto"/>
          <w:szCs w:val="21"/>
          <w:highlight w:val="none"/>
        </w:rPr>
        <w:t>（三）售后服务</w:t>
      </w:r>
    </w:p>
    <w:p>
      <w:pPr>
        <w:spacing w:line="360" w:lineRule="auto"/>
        <w:ind w:firstLine="420" w:firstLineChars="200"/>
        <w:jc w:val="left"/>
        <w:rPr>
          <w:rFonts w:cs="仿宋" w:asciiTheme="minorEastAsia" w:hAnsiTheme="minorEastAsia"/>
          <w:color w:val="auto"/>
          <w:szCs w:val="21"/>
          <w:highlight w:val="none"/>
        </w:rPr>
      </w:pPr>
      <w:r>
        <w:rPr>
          <w:rFonts w:hint="eastAsia" w:cs="仿宋" w:asciiTheme="minorEastAsia" w:hAnsiTheme="minorEastAsia"/>
          <w:color w:val="auto"/>
          <w:szCs w:val="21"/>
          <w:highlight w:val="none"/>
        </w:rPr>
        <w:t>供应商应向</w:t>
      </w:r>
      <w:r>
        <w:rPr>
          <w:rFonts w:hint="eastAsia" w:cs="仿宋" w:asciiTheme="minorEastAsia" w:hAnsiTheme="minorEastAsia"/>
          <w:color w:val="auto"/>
          <w:szCs w:val="21"/>
          <w:highlight w:val="none"/>
          <w:lang w:eastAsia="zh-CN"/>
        </w:rPr>
        <w:t>重庆高速公路集团有限公司南方营运分公司武隆管理中心</w:t>
      </w:r>
      <w:r>
        <w:rPr>
          <w:rFonts w:hint="eastAsia" w:cs="仿宋" w:asciiTheme="minorEastAsia" w:hAnsiTheme="minorEastAsia"/>
          <w:color w:val="auto"/>
          <w:szCs w:val="21"/>
          <w:highlight w:val="none"/>
        </w:rPr>
        <w:t>提供以下售后服务：</w:t>
      </w:r>
    </w:p>
    <w:p>
      <w:pPr>
        <w:spacing w:line="360" w:lineRule="auto"/>
        <w:ind w:firstLine="420" w:firstLineChars="200"/>
        <w:jc w:val="left"/>
        <w:rPr>
          <w:rFonts w:cs="仿宋" w:asciiTheme="minorEastAsia" w:hAnsiTheme="minorEastAsia"/>
          <w:color w:val="auto"/>
          <w:szCs w:val="21"/>
          <w:highlight w:val="none"/>
        </w:rPr>
      </w:pPr>
      <w:r>
        <w:rPr>
          <w:rFonts w:hint="eastAsia" w:cs="仿宋" w:asciiTheme="minorEastAsia" w:hAnsiTheme="minorEastAsia"/>
          <w:color w:val="auto"/>
          <w:szCs w:val="21"/>
          <w:highlight w:val="none"/>
        </w:rPr>
        <w:t>1、提供免费技术咨询服务；</w:t>
      </w:r>
    </w:p>
    <w:p>
      <w:pPr>
        <w:spacing w:line="360" w:lineRule="auto"/>
        <w:ind w:firstLine="420" w:firstLineChars="200"/>
        <w:jc w:val="left"/>
        <w:rPr>
          <w:rFonts w:cs="仿宋" w:asciiTheme="minorEastAsia" w:hAnsiTheme="minorEastAsia"/>
          <w:color w:val="auto"/>
          <w:szCs w:val="21"/>
          <w:highlight w:val="none"/>
        </w:rPr>
      </w:pPr>
      <w:r>
        <w:rPr>
          <w:rFonts w:hint="eastAsia" w:cs="仿宋" w:asciiTheme="minorEastAsia" w:hAnsiTheme="minorEastAsia"/>
          <w:color w:val="auto"/>
          <w:szCs w:val="21"/>
          <w:highlight w:val="none"/>
        </w:rPr>
        <w:t>2、出厂车辆跟踪服务；</w:t>
      </w:r>
    </w:p>
    <w:p>
      <w:pPr>
        <w:spacing w:line="360" w:lineRule="auto"/>
        <w:ind w:firstLine="420" w:firstLineChars="200"/>
        <w:jc w:val="left"/>
        <w:rPr>
          <w:rFonts w:cs="仿宋" w:asciiTheme="minorEastAsia" w:hAnsiTheme="minorEastAsia"/>
          <w:color w:val="auto"/>
          <w:szCs w:val="21"/>
          <w:highlight w:val="none"/>
        </w:rPr>
      </w:pPr>
      <w:r>
        <w:rPr>
          <w:rFonts w:hint="eastAsia" w:cs="仿宋" w:asciiTheme="minorEastAsia" w:hAnsiTheme="minorEastAsia"/>
          <w:color w:val="auto"/>
          <w:szCs w:val="21"/>
          <w:highlight w:val="none"/>
        </w:rPr>
        <w:t>3、协议范围内车辆在</w:t>
      </w:r>
      <w:r>
        <w:rPr>
          <w:rFonts w:hint="eastAsia" w:cs="仿宋" w:asciiTheme="minorEastAsia" w:hAnsiTheme="minorEastAsia"/>
          <w:color w:val="auto"/>
          <w:szCs w:val="21"/>
          <w:highlight w:val="none"/>
          <w:lang w:val="en-US" w:eastAsia="zh-CN"/>
        </w:rPr>
        <w:t>武隆管理中心辖区</w:t>
      </w:r>
      <w:r>
        <w:rPr>
          <w:rFonts w:hint="eastAsia" w:cs="仿宋" w:asciiTheme="minorEastAsia" w:hAnsiTheme="minorEastAsia"/>
          <w:color w:val="auto"/>
          <w:szCs w:val="21"/>
          <w:highlight w:val="none"/>
        </w:rPr>
        <w:t>内发生故障，供应商应在</w:t>
      </w:r>
      <w:r>
        <w:rPr>
          <w:rFonts w:hint="eastAsia" w:cs="仿宋" w:asciiTheme="minorEastAsia" w:hAnsiTheme="minorEastAsia"/>
          <w:color w:val="auto"/>
          <w:szCs w:val="21"/>
          <w:highlight w:val="none"/>
          <w:lang w:val="en-US" w:eastAsia="zh-CN"/>
        </w:rPr>
        <w:t>40</w:t>
      </w:r>
      <w:r>
        <w:rPr>
          <w:rFonts w:hint="eastAsia" w:cs="仿宋" w:asciiTheme="minorEastAsia" w:hAnsiTheme="minorEastAsia"/>
          <w:color w:val="auto"/>
          <w:szCs w:val="21"/>
          <w:highlight w:val="none"/>
        </w:rPr>
        <w:t>分钟内到达现场，免费上门服务；</w:t>
      </w:r>
    </w:p>
    <w:p>
      <w:pPr>
        <w:spacing w:line="360" w:lineRule="auto"/>
        <w:ind w:firstLine="420" w:firstLineChars="200"/>
        <w:jc w:val="left"/>
        <w:rPr>
          <w:rFonts w:cs="仿宋" w:asciiTheme="minorEastAsia" w:hAnsiTheme="minorEastAsia"/>
          <w:color w:val="auto"/>
          <w:szCs w:val="21"/>
          <w:highlight w:val="none"/>
        </w:rPr>
      </w:pPr>
      <w:r>
        <w:rPr>
          <w:rFonts w:hint="eastAsia" w:cs="仿宋" w:asciiTheme="minorEastAsia" w:hAnsiTheme="minorEastAsia"/>
          <w:color w:val="auto"/>
          <w:szCs w:val="21"/>
          <w:highlight w:val="none"/>
        </w:rPr>
        <w:t>4、安排专人实行24小时全天候服务，建立</w:t>
      </w:r>
      <w:r>
        <w:rPr>
          <w:rFonts w:hint="eastAsia" w:cs="仿宋" w:asciiTheme="minorEastAsia" w:hAnsiTheme="minorEastAsia"/>
          <w:color w:val="auto"/>
          <w:szCs w:val="21"/>
          <w:highlight w:val="none"/>
          <w:lang w:eastAsia="zh-CN"/>
        </w:rPr>
        <w:t>重庆高速公路集团有限公司南方营运分公司武隆管理中心</w:t>
      </w:r>
      <w:r>
        <w:rPr>
          <w:rFonts w:hint="eastAsia" w:cs="仿宋" w:asciiTheme="minorEastAsia" w:hAnsiTheme="minorEastAsia"/>
          <w:color w:val="auto"/>
          <w:szCs w:val="21"/>
          <w:highlight w:val="none"/>
        </w:rPr>
        <w:t>车辆维修技术档案，并定期报送相关职能部门。</w:t>
      </w:r>
    </w:p>
    <w:p>
      <w:pPr>
        <w:jc w:val="left"/>
        <w:rPr>
          <w:rFonts w:asciiTheme="minorEastAsia" w:hAnsiTheme="minorEastAsia"/>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F199F"/>
    <w:multiLevelType w:val="singleLevel"/>
    <w:tmpl w:val="5FCF199F"/>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30"/>
    <w:rsid w:val="00022F23"/>
    <w:rsid w:val="00023667"/>
    <w:rsid w:val="00024ABC"/>
    <w:rsid w:val="000569E6"/>
    <w:rsid w:val="000C3085"/>
    <w:rsid w:val="000C50B7"/>
    <w:rsid w:val="000F0125"/>
    <w:rsid w:val="001036A2"/>
    <w:rsid w:val="00104AEF"/>
    <w:rsid w:val="00114594"/>
    <w:rsid w:val="00150AB0"/>
    <w:rsid w:val="00151B50"/>
    <w:rsid w:val="001535DA"/>
    <w:rsid w:val="00167CE6"/>
    <w:rsid w:val="00182CE6"/>
    <w:rsid w:val="001A2FA9"/>
    <w:rsid w:val="001E6DB9"/>
    <w:rsid w:val="00201183"/>
    <w:rsid w:val="002472D8"/>
    <w:rsid w:val="00250646"/>
    <w:rsid w:val="002751D7"/>
    <w:rsid w:val="002B4A79"/>
    <w:rsid w:val="002D1DC7"/>
    <w:rsid w:val="003374F8"/>
    <w:rsid w:val="00346AB1"/>
    <w:rsid w:val="0036579E"/>
    <w:rsid w:val="003709FD"/>
    <w:rsid w:val="0038299E"/>
    <w:rsid w:val="00390A6F"/>
    <w:rsid w:val="003A0A4F"/>
    <w:rsid w:val="003B2EC9"/>
    <w:rsid w:val="003C2DC2"/>
    <w:rsid w:val="003C3FA1"/>
    <w:rsid w:val="003E5576"/>
    <w:rsid w:val="004506D6"/>
    <w:rsid w:val="00476E6F"/>
    <w:rsid w:val="004B4619"/>
    <w:rsid w:val="005058A3"/>
    <w:rsid w:val="005502BD"/>
    <w:rsid w:val="0059738A"/>
    <w:rsid w:val="005E1415"/>
    <w:rsid w:val="006248E2"/>
    <w:rsid w:val="0065630A"/>
    <w:rsid w:val="0067010E"/>
    <w:rsid w:val="00674268"/>
    <w:rsid w:val="006F4856"/>
    <w:rsid w:val="006F7021"/>
    <w:rsid w:val="00720B66"/>
    <w:rsid w:val="00724CDA"/>
    <w:rsid w:val="007C420D"/>
    <w:rsid w:val="00802A5C"/>
    <w:rsid w:val="008032E7"/>
    <w:rsid w:val="00810F3C"/>
    <w:rsid w:val="008E5671"/>
    <w:rsid w:val="00936B48"/>
    <w:rsid w:val="00987ED1"/>
    <w:rsid w:val="00A42137"/>
    <w:rsid w:val="00A61E8E"/>
    <w:rsid w:val="00A66A30"/>
    <w:rsid w:val="00AB374B"/>
    <w:rsid w:val="00B0409B"/>
    <w:rsid w:val="00B54A9D"/>
    <w:rsid w:val="00B574C2"/>
    <w:rsid w:val="00BA0825"/>
    <w:rsid w:val="00BD5E30"/>
    <w:rsid w:val="00C06999"/>
    <w:rsid w:val="00C3070C"/>
    <w:rsid w:val="00D01427"/>
    <w:rsid w:val="00D2250A"/>
    <w:rsid w:val="00D27478"/>
    <w:rsid w:val="00D42493"/>
    <w:rsid w:val="00D94BB5"/>
    <w:rsid w:val="00E114B3"/>
    <w:rsid w:val="00F04DAF"/>
    <w:rsid w:val="00F3119B"/>
    <w:rsid w:val="00F54A14"/>
    <w:rsid w:val="00F66288"/>
    <w:rsid w:val="00FB63C2"/>
    <w:rsid w:val="00FC3307"/>
    <w:rsid w:val="00FC5101"/>
    <w:rsid w:val="00FE5A23"/>
    <w:rsid w:val="01F60611"/>
    <w:rsid w:val="0201460B"/>
    <w:rsid w:val="04004F17"/>
    <w:rsid w:val="04635E25"/>
    <w:rsid w:val="04787230"/>
    <w:rsid w:val="09D37ECB"/>
    <w:rsid w:val="0AB14674"/>
    <w:rsid w:val="0D44636F"/>
    <w:rsid w:val="0EFA5E61"/>
    <w:rsid w:val="11BA567A"/>
    <w:rsid w:val="12527F22"/>
    <w:rsid w:val="126951E1"/>
    <w:rsid w:val="1547063F"/>
    <w:rsid w:val="16300639"/>
    <w:rsid w:val="17961944"/>
    <w:rsid w:val="1F8B6F94"/>
    <w:rsid w:val="247C3B20"/>
    <w:rsid w:val="2794668D"/>
    <w:rsid w:val="27EC7E50"/>
    <w:rsid w:val="283C45B3"/>
    <w:rsid w:val="2BA568A2"/>
    <w:rsid w:val="39354643"/>
    <w:rsid w:val="3A8176EA"/>
    <w:rsid w:val="3E113772"/>
    <w:rsid w:val="41D83A9B"/>
    <w:rsid w:val="43E609B5"/>
    <w:rsid w:val="453321DA"/>
    <w:rsid w:val="46196586"/>
    <w:rsid w:val="46B73DD8"/>
    <w:rsid w:val="4E0C7D15"/>
    <w:rsid w:val="4EA2174E"/>
    <w:rsid w:val="4F2521A0"/>
    <w:rsid w:val="556F33F8"/>
    <w:rsid w:val="559B6B82"/>
    <w:rsid w:val="55DA61F1"/>
    <w:rsid w:val="59895714"/>
    <w:rsid w:val="5D345950"/>
    <w:rsid w:val="63F32569"/>
    <w:rsid w:val="683B1F19"/>
    <w:rsid w:val="688470A6"/>
    <w:rsid w:val="71B95430"/>
    <w:rsid w:val="77533538"/>
    <w:rsid w:val="77A82EDA"/>
    <w:rsid w:val="7E5D7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FollowedHyperlink"/>
    <w:basedOn w:val="7"/>
    <w:unhideWhenUsed/>
    <w:qFormat/>
    <w:uiPriority w:val="99"/>
    <w:rPr>
      <w:color w:val="800080" w:themeColor="followedHyperlink"/>
      <w:u w:val="single"/>
      <w14:textFill>
        <w14:solidFill>
          <w14:schemeClr w14:val="folHlink"/>
        </w14:solidFill>
      </w14:textFill>
    </w:rPr>
  </w:style>
  <w:style w:type="character" w:styleId="9">
    <w:name w:val="Hyperlink"/>
    <w:basedOn w:val="7"/>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5ED559-C559-487B-9A51-B4EBEEAD3E44}">
  <ds:schemaRefs/>
</ds:datastoreItem>
</file>

<file path=docProps/app.xml><?xml version="1.0" encoding="utf-8"?>
<Properties xmlns="http://schemas.openxmlformats.org/officeDocument/2006/extended-properties" xmlns:vt="http://schemas.openxmlformats.org/officeDocument/2006/docPropsVTypes">
  <Template>Normal</Template>
  <Pages>11</Pages>
  <Words>1462</Words>
  <Characters>8335</Characters>
  <Lines>69</Lines>
  <Paragraphs>19</Paragraphs>
  <TotalTime>4</TotalTime>
  <ScaleCrop>false</ScaleCrop>
  <LinksUpToDate>false</LinksUpToDate>
  <CharactersWithSpaces>9778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2020-07-13T06:44:00Z</dcterms:created>
  <dc:creator>pc</dc:creator>
  <cp:lastModifiedBy>谢江涛</cp:lastModifiedBy>
  <cp:lastPrinted>2020-11-16T02:08:00Z</cp:lastPrinted>
  <dcterms:modified xsi:type="dcterms:W3CDTF">2020-12-16T02:23:05Z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