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方正小标宋_GBK" w:eastAsia="方正小标宋_GBK"/>
          <w:color w:val="auto"/>
          <w:sz w:val="44"/>
          <w:szCs w:val="44"/>
          <w:highlight w:val="none"/>
        </w:rPr>
      </w:pPr>
      <w:bookmarkStart w:id="10" w:name="_GoBack"/>
    </w:p>
    <w:bookmarkEnd w:id="10"/>
    <w:p>
      <w:pPr>
        <w:ind w:firstLine="880"/>
        <w:jc w:val="center"/>
        <w:rPr>
          <w:rFonts w:ascii="方正小标宋_GBK" w:eastAsia="方正小标宋_GBK"/>
          <w:color w:val="auto"/>
          <w:sz w:val="44"/>
          <w:szCs w:val="44"/>
          <w:highlight w:val="none"/>
        </w:rPr>
      </w:pPr>
    </w:p>
    <w:p>
      <w:pPr>
        <w:ind w:firstLine="0" w:firstLineChars="0"/>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重庆成渝高速公路有限公司</w:t>
      </w:r>
    </w:p>
    <w:p>
      <w:pPr>
        <w:ind w:firstLine="0" w:firstLineChars="0"/>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车辆保险</w:t>
      </w:r>
      <w:r>
        <w:rPr>
          <w:rFonts w:hint="eastAsia" w:ascii="方正小标宋_GBK" w:eastAsia="方正小标宋_GBK"/>
          <w:color w:val="auto"/>
          <w:sz w:val="44"/>
          <w:szCs w:val="44"/>
          <w:highlight w:val="none"/>
          <w:lang w:val="en-US" w:eastAsia="zh-CN"/>
        </w:rPr>
        <w:t>服务</w:t>
      </w:r>
      <w:r>
        <w:rPr>
          <w:rFonts w:hint="eastAsia" w:ascii="方正小标宋_GBK" w:eastAsia="方正小标宋_GBK"/>
          <w:color w:val="auto"/>
          <w:sz w:val="44"/>
          <w:szCs w:val="44"/>
          <w:highlight w:val="none"/>
        </w:rPr>
        <w:t>项目</w:t>
      </w:r>
    </w:p>
    <w:p>
      <w:pPr>
        <w:ind w:firstLine="880"/>
        <w:jc w:val="center"/>
        <w:rPr>
          <w:rFonts w:ascii="方正小标宋_GBK" w:eastAsia="方正小标宋_GBK"/>
          <w:color w:val="auto"/>
          <w:sz w:val="44"/>
          <w:szCs w:val="44"/>
          <w:highlight w:val="none"/>
        </w:rPr>
      </w:pPr>
    </w:p>
    <w:p>
      <w:pPr>
        <w:ind w:firstLine="880"/>
        <w:jc w:val="center"/>
        <w:rPr>
          <w:rFonts w:ascii="方正小标宋_GBK" w:eastAsia="方正小标宋_GBK"/>
          <w:color w:val="auto"/>
          <w:sz w:val="44"/>
          <w:szCs w:val="44"/>
          <w:highlight w:val="none"/>
        </w:rPr>
      </w:pPr>
    </w:p>
    <w:p>
      <w:pPr>
        <w:ind w:firstLine="880"/>
        <w:jc w:val="center"/>
        <w:rPr>
          <w:rFonts w:ascii="方正小标宋_GBK" w:eastAsia="方正小标宋_GBK"/>
          <w:color w:val="auto"/>
          <w:sz w:val="44"/>
          <w:szCs w:val="44"/>
          <w:highlight w:val="none"/>
        </w:rPr>
      </w:pPr>
    </w:p>
    <w:p>
      <w:pPr>
        <w:ind w:firstLine="0" w:firstLineChars="0"/>
        <w:jc w:val="center"/>
        <w:rPr>
          <w:rFonts w:hint="default" w:ascii="方正小标宋_GBK" w:eastAsia="方正小标宋_GBK"/>
          <w:color w:val="auto"/>
          <w:sz w:val="84"/>
          <w:szCs w:val="84"/>
          <w:highlight w:val="none"/>
          <w:lang w:val="en-US" w:eastAsia="zh-CN"/>
        </w:rPr>
      </w:pPr>
      <w:r>
        <w:rPr>
          <w:rFonts w:hint="eastAsia" w:ascii="方正小标宋_GBK" w:eastAsia="方正小标宋_GBK"/>
          <w:color w:val="auto"/>
          <w:sz w:val="84"/>
          <w:szCs w:val="84"/>
          <w:highlight w:val="none"/>
        </w:rPr>
        <w:t>竞争性比选</w:t>
      </w:r>
      <w:r>
        <w:rPr>
          <w:rFonts w:hint="eastAsia" w:ascii="方正小标宋_GBK" w:eastAsia="方正小标宋_GBK"/>
          <w:color w:val="auto"/>
          <w:sz w:val="84"/>
          <w:szCs w:val="84"/>
          <w:highlight w:val="none"/>
          <w:lang w:val="en-US" w:eastAsia="zh-CN"/>
        </w:rPr>
        <w:t>文件</w:t>
      </w:r>
    </w:p>
    <w:p>
      <w:pPr>
        <w:ind w:firstLine="1680"/>
        <w:jc w:val="center"/>
        <w:rPr>
          <w:rFonts w:ascii="方正小标宋_GBK" w:eastAsia="方正小标宋_GBK"/>
          <w:color w:val="auto"/>
          <w:sz w:val="84"/>
          <w:szCs w:val="84"/>
          <w:highlight w:val="none"/>
        </w:rPr>
      </w:pPr>
    </w:p>
    <w:p>
      <w:pPr>
        <w:ind w:firstLine="1680"/>
        <w:rPr>
          <w:rFonts w:ascii="方正小标宋_GBK" w:eastAsia="方正小标宋_GBK"/>
          <w:color w:val="auto"/>
          <w:sz w:val="84"/>
          <w:szCs w:val="84"/>
          <w:highlight w:val="none"/>
        </w:rPr>
      </w:pPr>
    </w:p>
    <w:p>
      <w:pPr>
        <w:ind w:firstLine="640"/>
        <w:rPr>
          <w:rFonts w:ascii="方正仿宋_GBK" w:eastAsia="方正仿宋_GBK"/>
          <w:color w:val="auto"/>
          <w:sz w:val="32"/>
          <w:szCs w:val="32"/>
          <w:highlight w:val="none"/>
        </w:rPr>
      </w:pPr>
    </w:p>
    <w:p>
      <w:pPr>
        <w:ind w:firstLine="640"/>
        <w:jc w:val="center"/>
        <w:rPr>
          <w:rFonts w:ascii="方正仿宋_GBK" w:eastAsia="方正仿宋_GBK"/>
          <w:color w:val="auto"/>
          <w:sz w:val="32"/>
          <w:szCs w:val="32"/>
          <w:highlight w:val="none"/>
        </w:rPr>
      </w:pPr>
    </w:p>
    <w:p>
      <w:pPr>
        <w:ind w:firstLine="0" w:firstLineChars="0"/>
        <w:jc w:val="center"/>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重庆成渝高速公路有限公司</w:t>
      </w:r>
    </w:p>
    <w:p>
      <w:pPr>
        <w:pStyle w:val="6"/>
        <w:snapToGrid w:val="0"/>
        <w:spacing w:line="560" w:lineRule="exact"/>
        <w:ind w:firstLine="0" w:firstLineChars="0"/>
        <w:jc w:val="center"/>
        <w:rPr>
          <w:rFonts w:ascii="方正黑体_GBK" w:hAnsi="方正黑体_GBK" w:eastAsia="方正黑体_GBK" w:cs="方正黑体_GBK"/>
          <w:b w:val="0"/>
          <w:color w:val="auto"/>
          <w:sz w:val="32"/>
          <w:szCs w:val="32"/>
          <w:highlight w:val="none"/>
        </w:rPr>
      </w:pPr>
      <w:r>
        <w:rPr>
          <w:rFonts w:hint="eastAsia" w:ascii="方正黑体_GBK" w:hAnsi="方正黑体_GBK" w:eastAsia="方正黑体_GBK" w:cs="方正黑体_GBK"/>
          <w:b w:val="0"/>
          <w:color w:val="auto"/>
          <w:sz w:val="32"/>
          <w:szCs w:val="32"/>
          <w:highlight w:val="none"/>
        </w:rPr>
        <w:t>二〇二三年</w:t>
      </w:r>
      <w:r>
        <w:rPr>
          <w:rFonts w:hint="eastAsia" w:ascii="方正黑体_GBK" w:hAnsi="方正黑体_GBK" w:eastAsia="方正黑体_GBK" w:cs="方正黑体_GBK"/>
          <w:b w:val="0"/>
          <w:color w:val="auto"/>
          <w:sz w:val="32"/>
          <w:szCs w:val="32"/>
          <w:highlight w:val="none"/>
          <w:lang w:val="en-US" w:eastAsia="zh-CN"/>
        </w:rPr>
        <w:t>五</w:t>
      </w:r>
      <w:r>
        <w:rPr>
          <w:rFonts w:hint="eastAsia" w:ascii="方正黑体_GBK" w:hAnsi="方正黑体_GBK" w:eastAsia="方正黑体_GBK" w:cs="方正黑体_GBK"/>
          <w:b w:val="0"/>
          <w:color w:val="auto"/>
          <w:sz w:val="32"/>
          <w:szCs w:val="32"/>
          <w:highlight w:val="none"/>
        </w:rPr>
        <w:t>月</w:t>
      </w:r>
    </w:p>
    <w:p>
      <w:pPr>
        <w:pStyle w:val="2"/>
        <w:rPr>
          <w:color w:val="auto"/>
          <w:highlight w:val="none"/>
        </w:rPr>
      </w:pPr>
      <w:r>
        <w:rPr>
          <w:rFonts w:hint="eastAsia"/>
          <w:color w:val="auto"/>
          <w:highlight w:val="none"/>
        </w:rPr>
        <w:t>第一篇 竞争性比选公告</w:t>
      </w:r>
    </w:p>
    <w:p>
      <w:pPr>
        <w:spacing w:line="560" w:lineRule="exact"/>
        <w:ind w:firstLine="640"/>
        <w:rPr>
          <w:rFonts w:ascii="仿宋" w:hAnsi="仿宋" w:cs="仿宋"/>
          <w:color w:val="auto"/>
          <w:sz w:val="32"/>
          <w:szCs w:val="32"/>
          <w:highlight w:val="none"/>
        </w:rPr>
      </w:pPr>
    </w:p>
    <w:p>
      <w:pPr>
        <w:ind w:firstLine="560"/>
        <w:rPr>
          <w:color w:val="auto"/>
          <w:highlight w:val="none"/>
        </w:rPr>
      </w:pPr>
      <w:r>
        <w:rPr>
          <w:rFonts w:hint="eastAsia"/>
          <w:color w:val="auto"/>
          <w:highlight w:val="none"/>
        </w:rPr>
        <w:t>按</w:t>
      </w:r>
      <w:r>
        <w:rPr>
          <w:rFonts w:hint="eastAsia"/>
          <w:color w:val="auto"/>
          <w:highlight w:val="none"/>
          <w:lang w:val="en-US" w:eastAsia="zh-CN"/>
        </w:rPr>
        <w:t>照高速集团及公司《“三重一大”事项集体决策实施办法》和《采购管理办法（试行）》等文件精神，确保公司车</w:t>
      </w:r>
      <w:r>
        <w:rPr>
          <w:rFonts w:hint="eastAsia"/>
          <w:color w:val="auto"/>
          <w:highlight w:val="none"/>
        </w:rPr>
        <w:t>辆保险承保单位选择的合理合规性，公司现</w:t>
      </w:r>
      <w:r>
        <w:rPr>
          <w:rFonts w:hint="eastAsia" w:cs="方正仿宋_GBK"/>
          <w:color w:val="auto"/>
          <w:highlight w:val="none"/>
        </w:rPr>
        <w:t>开展2023</w:t>
      </w:r>
      <w:r>
        <w:rPr>
          <w:rFonts w:hint="eastAsia" w:cs="方正仿宋_GBK"/>
          <w:color w:val="auto"/>
          <w:highlight w:val="none"/>
          <w:lang w:val="en-US" w:eastAsia="zh-CN"/>
        </w:rPr>
        <w:t>.6-2025.6</w:t>
      </w:r>
      <w:r>
        <w:rPr>
          <w:rFonts w:hint="eastAsia" w:cs="方正仿宋_GBK"/>
          <w:color w:val="auto"/>
          <w:highlight w:val="none"/>
        </w:rPr>
        <w:t>年度</w:t>
      </w:r>
      <w:r>
        <w:rPr>
          <w:rFonts w:hint="eastAsia"/>
          <w:color w:val="auto"/>
          <w:highlight w:val="none"/>
        </w:rPr>
        <w:t>车辆保险承保单位</w:t>
      </w:r>
      <w:r>
        <w:rPr>
          <w:rFonts w:hint="eastAsia" w:cs="方正仿宋_GBK"/>
          <w:color w:val="auto"/>
          <w:highlight w:val="none"/>
        </w:rPr>
        <w:t>竞争性择优选择询价工作，</w:t>
      </w:r>
      <w:r>
        <w:rPr>
          <w:rFonts w:hint="eastAsia"/>
          <w:color w:val="auto"/>
          <w:highlight w:val="none"/>
        </w:rPr>
        <w:t>通过公开竞争性比选方式确定承保单位，具体要求如下：</w:t>
      </w:r>
    </w:p>
    <w:p>
      <w:pPr>
        <w:pStyle w:val="3"/>
        <w:ind w:firstLine="643" w:firstLineChars="200"/>
        <w:rPr>
          <w:color w:val="auto"/>
          <w:highlight w:val="none"/>
        </w:rPr>
      </w:pPr>
      <w:r>
        <w:rPr>
          <w:rFonts w:hint="eastAsia"/>
          <w:color w:val="auto"/>
          <w:highlight w:val="none"/>
        </w:rPr>
        <w:t>一、项目概况与竞争性比选范围</w:t>
      </w:r>
    </w:p>
    <w:p>
      <w:pPr>
        <w:ind w:firstLine="562"/>
        <w:rPr>
          <w:rFonts w:hAnsi="方正仿宋_GBK" w:cs="方正仿宋_GBK"/>
          <w:b/>
          <w:bCs/>
          <w:color w:val="auto"/>
          <w:highlight w:val="none"/>
        </w:rPr>
      </w:pPr>
      <w:r>
        <w:rPr>
          <w:rFonts w:hAnsi="方正仿宋_GBK" w:cs="方正仿宋_GBK"/>
          <w:b/>
          <w:bCs/>
          <w:color w:val="auto"/>
          <w:highlight w:val="none"/>
        </w:rPr>
        <w:t>(</w:t>
      </w:r>
      <w:r>
        <w:rPr>
          <w:rFonts w:hint="eastAsia" w:hAnsi="方正仿宋_GBK" w:cs="方正仿宋_GBK"/>
          <w:b/>
          <w:bCs/>
          <w:color w:val="auto"/>
          <w:highlight w:val="none"/>
        </w:rPr>
        <w:t>一)项目概况</w:t>
      </w:r>
    </w:p>
    <w:p>
      <w:pPr>
        <w:ind w:firstLine="560"/>
        <w:rPr>
          <w:rFonts w:hint="eastAsia" w:eastAsia="仿宋"/>
          <w:color w:val="auto"/>
          <w:highlight w:val="none"/>
          <w:lang w:eastAsia="zh-CN"/>
        </w:rPr>
      </w:pPr>
      <w:r>
        <w:rPr>
          <w:rFonts w:hint="eastAsia"/>
          <w:color w:val="auto"/>
          <w:highlight w:val="none"/>
        </w:rPr>
        <w:t>项目名称：重庆成渝高速公司2</w:t>
      </w:r>
      <w:r>
        <w:rPr>
          <w:color w:val="auto"/>
          <w:highlight w:val="none"/>
        </w:rPr>
        <w:t>02</w:t>
      </w:r>
      <w:r>
        <w:rPr>
          <w:rFonts w:hint="eastAsia"/>
          <w:color w:val="auto"/>
          <w:highlight w:val="none"/>
        </w:rPr>
        <w:t>3年</w:t>
      </w:r>
      <w:r>
        <w:rPr>
          <w:rFonts w:hint="eastAsia"/>
          <w:color w:val="auto"/>
          <w:highlight w:val="none"/>
          <w:lang w:val="en-US" w:eastAsia="zh-CN"/>
        </w:rPr>
        <w:t>-2025年</w:t>
      </w:r>
      <w:r>
        <w:rPr>
          <w:rFonts w:hint="eastAsia"/>
          <w:color w:val="auto"/>
          <w:highlight w:val="none"/>
        </w:rPr>
        <w:t>车辆保险服务项目</w:t>
      </w:r>
      <w:r>
        <w:rPr>
          <w:rFonts w:hint="eastAsia"/>
          <w:color w:val="auto"/>
          <w:highlight w:val="none"/>
          <w:lang w:eastAsia="zh-CN"/>
        </w:rPr>
        <w:t>。</w:t>
      </w:r>
    </w:p>
    <w:p>
      <w:pPr>
        <w:ind w:firstLine="560"/>
        <w:rPr>
          <w:rFonts w:hAnsi="方正仿宋_GBK" w:cs="方正仿宋_GBK"/>
          <w:bCs/>
          <w:color w:val="auto"/>
          <w:highlight w:val="none"/>
        </w:rPr>
      </w:pPr>
      <w:r>
        <w:rPr>
          <w:rFonts w:hint="eastAsia"/>
          <w:color w:val="auto"/>
          <w:highlight w:val="none"/>
        </w:rPr>
        <w:t>本次公开竞争性比选涉及承保车辆</w:t>
      </w:r>
      <w:r>
        <w:rPr>
          <w:rFonts w:hint="eastAsia"/>
          <w:color w:val="auto"/>
          <w:highlight w:val="none"/>
          <w:lang w:val="en-US" w:eastAsia="zh-CN"/>
        </w:rPr>
        <w:t>57</w:t>
      </w:r>
      <w:r>
        <w:rPr>
          <w:rFonts w:hint="eastAsia" w:hAnsi="方正仿宋_GBK" w:cs="方正仿宋_GBK"/>
          <w:bCs/>
          <w:color w:val="auto"/>
          <w:highlight w:val="none"/>
        </w:rPr>
        <w:t>台，其</w:t>
      </w:r>
      <w:r>
        <w:rPr>
          <w:rFonts w:hint="eastAsia"/>
          <w:color w:val="auto"/>
          <w:highlight w:val="none"/>
        </w:rPr>
        <w:t>中，</w:t>
      </w:r>
      <w:r>
        <w:rPr>
          <w:rFonts w:hint="eastAsia"/>
          <w:color w:val="auto"/>
          <w:highlight w:val="none"/>
          <w:lang w:val="en-US" w:eastAsia="zh-CN"/>
        </w:rPr>
        <w:t>小型车（含轿车、越野车、商务车等）23台，其他</w:t>
      </w:r>
      <w:r>
        <w:rPr>
          <w:rFonts w:hint="eastAsia"/>
          <w:color w:val="auto"/>
          <w:highlight w:val="none"/>
        </w:rPr>
        <w:t>非营业客车</w:t>
      </w:r>
      <w:r>
        <w:rPr>
          <w:rFonts w:hint="eastAsia"/>
          <w:color w:val="auto"/>
          <w:highlight w:val="none"/>
          <w:lang w:val="en-US" w:eastAsia="zh-CN"/>
        </w:rPr>
        <w:t>12</w:t>
      </w:r>
      <w:r>
        <w:rPr>
          <w:rFonts w:hint="eastAsia"/>
          <w:color w:val="auto"/>
          <w:highlight w:val="none"/>
        </w:rPr>
        <w:t>台，非营业货车</w:t>
      </w:r>
      <w:r>
        <w:rPr>
          <w:rFonts w:hint="eastAsia"/>
          <w:color w:val="auto"/>
          <w:highlight w:val="none"/>
          <w:lang w:val="en-US" w:eastAsia="zh-CN"/>
        </w:rPr>
        <w:t>22</w:t>
      </w:r>
      <w:r>
        <w:rPr>
          <w:rFonts w:hint="eastAsia"/>
          <w:color w:val="auto"/>
          <w:highlight w:val="none"/>
        </w:rPr>
        <w:t>台。</w:t>
      </w:r>
    </w:p>
    <w:p>
      <w:pPr>
        <w:ind w:firstLine="562"/>
        <w:rPr>
          <w:rFonts w:hAnsi="方正仿宋_GBK" w:cs="方正仿宋_GBK"/>
          <w:b/>
          <w:bCs/>
          <w:color w:val="auto"/>
          <w:highlight w:val="none"/>
        </w:rPr>
      </w:pPr>
      <w:r>
        <w:rPr>
          <w:rFonts w:hint="eastAsia" w:hAnsi="方正仿宋_GBK" w:cs="方正仿宋_GBK"/>
          <w:b/>
          <w:bCs/>
          <w:color w:val="auto"/>
          <w:highlight w:val="none"/>
        </w:rPr>
        <w:t>（二）</w:t>
      </w:r>
      <w:r>
        <w:rPr>
          <w:rFonts w:hAnsi="方正仿宋_GBK" w:cs="方正仿宋_GBK"/>
          <w:b/>
          <w:bCs/>
          <w:color w:val="auto"/>
          <w:highlight w:val="none"/>
        </w:rPr>
        <w:t>竞争性比选范围</w:t>
      </w:r>
    </w:p>
    <w:p>
      <w:pPr>
        <w:ind w:firstLine="560"/>
        <w:rPr>
          <w:rFonts w:hAnsi="方正仿宋_GBK" w:cs="方正仿宋_GBK"/>
          <w:bCs/>
          <w:color w:val="auto"/>
          <w:highlight w:val="none"/>
        </w:rPr>
      </w:pPr>
      <w:r>
        <w:rPr>
          <w:rFonts w:hint="eastAsia" w:hAnsi="方正仿宋_GBK" w:cs="方正仿宋_GBK"/>
          <w:bCs/>
          <w:color w:val="auto"/>
          <w:highlight w:val="none"/>
        </w:rPr>
        <w:t>服务对象：</w:t>
      </w:r>
      <w:r>
        <w:rPr>
          <w:rFonts w:hint="eastAsia"/>
          <w:color w:val="auto"/>
          <w:highlight w:val="none"/>
        </w:rPr>
        <w:t>重庆成渝高速</w:t>
      </w:r>
      <w:r>
        <w:rPr>
          <w:rFonts w:hint="eastAsia"/>
          <w:color w:val="auto"/>
          <w:highlight w:val="none"/>
          <w:lang w:val="en-US" w:eastAsia="zh-CN"/>
        </w:rPr>
        <w:t>公路有限</w:t>
      </w:r>
      <w:r>
        <w:rPr>
          <w:rFonts w:hint="eastAsia" w:hAnsi="方正仿宋_GBK" w:cs="方正仿宋_GBK"/>
          <w:bCs/>
          <w:color w:val="auto"/>
          <w:highlight w:val="none"/>
        </w:rPr>
        <w:t>公司所属单位</w:t>
      </w:r>
      <w:r>
        <w:rPr>
          <w:rFonts w:hint="eastAsia" w:hAnsi="方正仿宋_GBK" w:cs="方正仿宋_GBK"/>
          <w:bCs/>
          <w:color w:val="auto"/>
          <w:highlight w:val="none"/>
          <w:lang w:eastAsia="zh-CN"/>
        </w:rPr>
        <w:t>（</w:t>
      </w:r>
      <w:r>
        <w:rPr>
          <w:rFonts w:hint="eastAsia" w:hAnsi="方正仿宋_GBK" w:cs="方正仿宋_GBK"/>
          <w:bCs/>
          <w:color w:val="auto"/>
          <w:highlight w:val="none"/>
          <w:lang w:val="en-US" w:eastAsia="zh-CN"/>
        </w:rPr>
        <w:t>含重庆市路苑公路服务有限公司）</w:t>
      </w:r>
      <w:r>
        <w:rPr>
          <w:rFonts w:hint="eastAsia" w:hAnsi="方正仿宋_GBK" w:cs="方正仿宋_GBK"/>
          <w:bCs/>
          <w:color w:val="auto"/>
          <w:highlight w:val="none"/>
        </w:rPr>
        <w:t>的机动车辆。</w:t>
      </w:r>
    </w:p>
    <w:p>
      <w:pPr>
        <w:ind w:firstLine="560"/>
        <w:rPr>
          <w:rFonts w:hAnsi="方正仿宋_GBK" w:cs="方正仿宋_GBK"/>
          <w:bCs/>
          <w:color w:val="auto"/>
          <w:highlight w:val="none"/>
        </w:rPr>
      </w:pPr>
      <w:r>
        <w:rPr>
          <w:rFonts w:hint="eastAsia" w:hAnsi="方正仿宋_GBK" w:cs="方正仿宋_GBK"/>
          <w:bCs/>
          <w:color w:val="auto"/>
          <w:highlight w:val="none"/>
        </w:rPr>
        <w:t>服务内容：</w:t>
      </w:r>
      <w:r>
        <w:rPr>
          <w:rFonts w:hint="eastAsia"/>
          <w:color w:val="auto"/>
          <w:highlight w:val="none"/>
        </w:rPr>
        <w:t>重庆成渝高速</w:t>
      </w:r>
      <w:r>
        <w:rPr>
          <w:rFonts w:hint="eastAsia"/>
          <w:color w:val="auto"/>
          <w:highlight w:val="none"/>
          <w:lang w:val="en-US" w:eastAsia="zh-CN"/>
        </w:rPr>
        <w:t>公路有限</w:t>
      </w:r>
      <w:r>
        <w:rPr>
          <w:rFonts w:hint="eastAsia" w:hAnsi="方正仿宋_GBK" w:cs="方正仿宋_GBK"/>
          <w:bCs/>
          <w:color w:val="auto"/>
          <w:highlight w:val="none"/>
        </w:rPr>
        <w:t>公司自有</w:t>
      </w:r>
      <w:r>
        <w:rPr>
          <w:rFonts w:hint="eastAsia" w:hAnsi="方正仿宋_GBK" w:cs="方正仿宋_GBK"/>
          <w:bCs/>
          <w:color w:val="auto"/>
          <w:highlight w:val="none"/>
          <w:lang w:eastAsia="zh-CN"/>
        </w:rPr>
        <w:t>（</w:t>
      </w:r>
      <w:r>
        <w:rPr>
          <w:rFonts w:hint="eastAsia" w:hAnsi="方正仿宋_GBK" w:cs="方正仿宋_GBK"/>
          <w:bCs/>
          <w:color w:val="auto"/>
          <w:highlight w:val="none"/>
          <w:lang w:val="en-US" w:eastAsia="zh-CN"/>
        </w:rPr>
        <w:t>含重庆市路苑公路服务有限公司）</w:t>
      </w:r>
      <w:r>
        <w:rPr>
          <w:rFonts w:hint="eastAsia" w:hAnsi="方正仿宋_GBK" w:cs="方正仿宋_GBK"/>
          <w:bCs/>
          <w:color w:val="auto"/>
          <w:highlight w:val="none"/>
        </w:rPr>
        <w:t>和授权使用以及新增的全部车辆保险（</w:t>
      </w:r>
      <w:r>
        <w:rPr>
          <w:rFonts w:hint="eastAsia" w:hAnsi="方正仿宋_GBK" w:cs="方正仿宋_GBK"/>
          <w:bCs/>
          <w:color w:val="auto"/>
          <w:highlight w:val="none"/>
          <w:lang w:val="en-US" w:eastAsia="zh-CN"/>
        </w:rPr>
        <w:t>含</w:t>
      </w:r>
      <w:r>
        <w:rPr>
          <w:rFonts w:hint="eastAsia" w:hAnsi="方正仿宋_GBK" w:cs="方正仿宋_GBK"/>
          <w:bCs/>
          <w:color w:val="auto"/>
          <w:highlight w:val="none"/>
        </w:rPr>
        <w:t>交强险、车损险、第三者责任险、乘坐险</w:t>
      </w:r>
      <w:r>
        <w:rPr>
          <w:rFonts w:hint="eastAsia" w:hAnsi="方正仿宋_GBK" w:cs="方正仿宋_GBK"/>
          <w:bCs/>
          <w:color w:val="auto"/>
          <w:highlight w:val="none"/>
          <w:lang w:val="en-US" w:eastAsia="zh-CN"/>
        </w:rPr>
        <w:t>等</w:t>
      </w:r>
      <w:r>
        <w:rPr>
          <w:rFonts w:hint="eastAsia" w:hAnsi="方正仿宋_GBK" w:cs="方正仿宋_GBK"/>
          <w:bCs/>
          <w:color w:val="auto"/>
          <w:highlight w:val="none"/>
        </w:rPr>
        <w:t>）。所有车辆</w:t>
      </w:r>
      <w:r>
        <w:rPr>
          <w:rFonts w:hint="eastAsia" w:hAnsi="方正仿宋_GBK" w:cs="方正仿宋_GBK"/>
          <w:bCs/>
          <w:color w:val="auto"/>
          <w:highlight w:val="none"/>
          <w:lang w:val="en-US" w:eastAsia="zh-CN"/>
        </w:rPr>
        <w:t>保险</w:t>
      </w:r>
      <w:r>
        <w:rPr>
          <w:rFonts w:hint="eastAsia" w:hAnsi="方正仿宋_GBK" w:cs="方正仿宋_GBK"/>
          <w:bCs/>
          <w:color w:val="auto"/>
          <w:highlight w:val="none"/>
        </w:rPr>
        <w:t>：第三者责任险</w:t>
      </w:r>
      <w:r>
        <w:rPr>
          <w:rFonts w:hint="eastAsia" w:hAnsi="方正仿宋_GBK" w:cs="方正仿宋_GBK"/>
          <w:bCs/>
          <w:color w:val="auto"/>
          <w:highlight w:val="none"/>
          <w:lang w:val="en-US" w:eastAsia="zh-CN"/>
        </w:rPr>
        <w:t>1</w:t>
      </w:r>
      <w:r>
        <w:rPr>
          <w:rFonts w:hAnsi="方正仿宋_GBK" w:cs="方正仿宋_GBK"/>
          <w:bCs/>
          <w:color w:val="auto"/>
          <w:highlight w:val="none"/>
        </w:rPr>
        <w:t>00万，车上司机责任险</w:t>
      </w:r>
      <w:r>
        <w:rPr>
          <w:rFonts w:hint="eastAsia" w:hAnsi="方正仿宋_GBK" w:cs="方正仿宋_GBK"/>
          <w:bCs/>
          <w:color w:val="auto"/>
          <w:highlight w:val="none"/>
          <w:lang w:val="en-US" w:eastAsia="zh-CN"/>
        </w:rPr>
        <w:t>10</w:t>
      </w:r>
      <w:r>
        <w:rPr>
          <w:rFonts w:hAnsi="方正仿宋_GBK" w:cs="方正仿宋_GBK"/>
          <w:bCs/>
          <w:color w:val="auto"/>
          <w:highlight w:val="none"/>
        </w:rPr>
        <w:t>万，车上乘客责任险</w:t>
      </w:r>
      <w:r>
        <w:rPr>
          <w:rFonts w:hint="eastAsia" w:hAnsi="方正仿宋_GBK" w:cs="方正仿宋_GBK"/>
          <w:bCs/>
          <w:color w:val="auto"/>
          <w:highlight w:val="none"/>
          <w:lang w:val="en-US" w:eastAsia="zh-CN"/>
        </w:rPr>
        <w:t>10</w:t>
      </w:r>
      <w:r>
        <w:rPr>
          <w:rFonts w:hAnsi="方正仿宋_GBK" w:cs="方正仿宋_GBK"/>
          <w:bCs/>
          <w:color w:val="auto"/>
          <w:highlight w:val="none"/>
        </w:rPr>
        <w:t>万*座位数；附属部分：车船税、交强险等。</w:t>
      </w:r>
    </w:p>
    <w:p>
      <w:pPr>
        <w:ind w:firstLine="560"/>
        <w:rPr>
          <w:rFonts w:hAnsi="方正仿宋_GBK" w:cs="方正仿宋_GBK"/>
          <w:bCs/>
          <w:color w:val="auto"/>
          <w:highlight w:val="none"/>
        </w:rPr>
      </w:pPr>
      <w:r>
        <w:rPr>
          <w:rFonts w:hAnsi="方正仿宋_GBK" w:cs="方正仿宋_GBK"/>
          <w:bCs/>
          <w:color w:val="auto"/>
          <w:highlight w:val="none"/>
        </w:rPr>
        <w:t>本项目</w:t>
      </w:r>
      <w:r>
        <w:rPr>
          <w:rFonts w:hint="eastAsia" w:hAnsi="方正仿宋_GBK" w:cs="方正仿宋_GBK"/>
          <w:bCs/>
          <w:color w:val="auto"/>
          <w:highlight w:val="none"/>
          <w:lang w:val="en-US" w:eastAsia="zh-CN"/>
        </w:rPr>
        <w:t>每</w:t>
      </w:r>
      <w:r>
        <w:rPr>
          <w:rFonts w:hAnsi="方正仿宋_GBK" w:cs="方正仿宋_GBK"/>
          <w:bCs/>
          <w:color w:val="auto"/>
          <w:highlight w:val="none"/>
        </w:rPr>
        <w:t>年</w:t>
      </w:r>
      <w:r>
        <w:rPr>
          <w:rFonts w:hint="eastAsia" w:hAnsi="方正仿宋_GBK" w:cs="方正仿宋_GBK"/>
          <w:bCs/>
          <w:color w:val="auto"/>
          <w:highlight w:val="none"/>
          <w:lang w:val="en-US" w:eastAsia="zh-CN"/>
        </w:rPr>
        <w:t>车辆保险费</w:t>
      </w:r>
      <w:r>
        <w:rPr>
          <w:rFonts w:hAnsi="方正仿宋_GBK" w:cs="方正仿宋_GBK"/>
          <w:bCs/>
          <w:color w:val="auto"/>
          <w:highlight w:val="none"/>
        </w:rPr>
        <w:t>的总预</w:t>
      </w:r>
      <w:r>
        <w:rPr>
          <w:rFonts w:hint="eastAsia" w:hAnsi="方正仿宋_GBK" w:cs="方正仿宋_GBK"/>
          <w:bCs/>
          <w:color w:val="auto"/>
          <w:highlight w:val="none"/>
          <w:lang w:val="en-US" w:eastAsia="zh-CN"/>
        </w:rPr>
        <w:t>算</w:t>
      </w:r>
      <w:r>
        <w:rPr>
          <w:rFonts w:hAnsi="方正仿宋_GBK" w:cs="方正仿宋_GBK"/>
          <w:bCs/>
          <w:color w:val="auto"/>
          <w:highlight w:val="none"/>
        </w:rPr>
        <w:t>金额为：</w:t>
      </w:r>
      <w:r>
        <w:rPr>
          <w:rFonts w:hint="eastAsia" w:hAnsi="方正仿宋_GBK" w:cs="方正仿宋_GBK"/>
          <w:bCs/>
          <w:color w:val="auto"/>
          <w:highlight w:val="none"/>
          <w:lang w:val="en-US" w:eastAsia="zh-CN"/>
        </w:rPr>
        <w:t>31</w:t>
      </w:r>
      <w:r>
        <w:rPr>
          <w:rFonts w:hAnsi="方正仿宋_GBK" w:cs="方正仿宋_GBK"/>
          <w:bCs/>
          <w:color w:val="auto"/>
          <w:highlight w:val="none"/>
        </w:rPr>
        <w:t>万元</w:t>
      </w:r>
      <w:r>
        <w:rPr>
          <w:rFonts w:hint="eastAsia" w:hAnsi="方正仿宋_GBK" w:cs="方正仿宋_GBK"/>
          <w:bCs/>
          <w:color w:val="auto"/>
          <w:highlight w:val="none"/>
          <w:lang w:eastAsia="zh-CN"/>
        </w:rPr>
        <w:t>（</w:t>
      </w:r>
      <w:r>
        <w:rPr>
          <w:rFonts w:hint="eastAsia" w:hAnsi="方正仿宋_GBK" w:cs="方正仿宋_GBK"/>
          <w:bCs/>
          <w:color w:val="auto"/>
          <w:highlight w:val="none"/>
          <w:lang w:val="en-US" w:eastAsia="zh-CN"/>
        </w:rPr>
        <w:t>含交强险及车船税约8.5万）</w:t>
      </w:r>
      <w:r>
        <w:rPr>
          <w:rFonts w:hAnsi="方正仿宋_GBK" w:cs="方正仿宋_GBK"/>
          <w:bCs/>
          <w:color w:val="auto"/>
          <w:highlight w:val="none"/>
        </w:rPr>
        <w:t xml:space="preserve">。  </w:t>
      </w:r>
    </w:p>
    <w:p>
      <w:pPr>
        <w:ind w:firstLine="560"/>
        <w:rPr>
          <w:rFonts w:hAnsi="方正仿宋_GBK" w:cs="方正仿宋_GBK"/>
          <w:bCs/>
          <w:color w:val="auto"/>
          <w:highlight w:val="none"/>
        </w:rPr>
      </w:pPr>
      <w:r>
        <w:rPr>
          <w:rFonts w:hint="eastAsia" w:hAnsi="方正仿宋_GBK" w:cs="方正仿宋_GBK"/>
          <w:bCs/>
          <w:color w:val="auto"/>
          <w:highlight w:val="none"/>
        </w:rPr>
        <w:t>服务期：</w:t>
      </w:r>
      <w:r>
        <w:rPr>
          <w:rFonts w:hint="eastAsia" w:hAnsi="方正仿宋_GBK" w:cs="方正仿宋_GBK"/>
          <w:bCs/>
          <w:color w:val="auto"/>
          <w:highlight w:val="none"/>
          <w:lang w:val="en-US" w:eastAsia="zh-CN"/>
        </w:rPr>
        <w:t>2</w:t>
      </w:r>
      <w:r>
        <w:rPr>
          <w:rFonts w:hAnsi="方正仿宋_GBK" w:cs="方正仿宋_GBK"/>
          <w:bCs/>
          <w:color w:val="auto"/>
          <w:highlight w:val="none"/>
        </w:rPr>
        <w:t>年。</w:t>
      </w:r>
    </w:p>
    <w:p>
      <w:pPr>
        <w:ind w:firstLine="562"/>
        <w:rPr>
          <w:b/>
          <w:color w:val="auto"/>
          <w:szCs w:val="21"/>
          <w:highlight w:val="none"/>
        </w:rPr>
      </w:pPr>
      <w:r>
        <w:rPr>
          <w:b/>
          <w:color w:val="auto"/>
          <w:szCs w:val="21"/>
          <w:highlight w:val="none"/>
        </w:rPr>
        <w:t>本次</w:t>
      </w:r>
      <w:r>
        <w:rPr>
          <w:rFonts w:hint="eastAsia"/>
          <w:b/>
          <w:color w:val="auto"/>
          <w:szCs w:val="21"/>
          <w:highlight w:val="none"/>
        </w:rPr>
        <w:t>竞争性比选</w:t>
      </w:r>
      <w:r>
        <w:rPr>
          <w:b/>
          <w:color w:val="auto"/>
          <w:szCs w:val="21"/>
          <w:highlight w:val="none"/>
        </w:rPr>
        <w:t>不接受联合体竞标，不允许分包和转包。</w:t>
      </w:r>
    </w:p>
    <w:p>
      <w:pPr>
        <w:ind w:firstLine="562"/>
        <w:rPr>
          <w:rFonts w:hAnsi="方正仿宋_GBK" w:cs="方正仿宋_GBK"/>
          <w:bCs/>
          <w:color w:val="auto"/>
          <w:highlight w:val="none"/>
        </w:rPr>
      </w:pPr>
      <w:r>
        <w:rPr>
          <w:rFonts w:hint="eastAsia"/>
          <w:b/>
          <w:bCs/>
          <w:color w:val="auto"/>
          <w:szCs w:val="21"/>
          <w:highlight w:val="none"/>
        </w:rPr>
        <w:t>本次比选为一个</w:t>
      </w:r>
      <w:r>
        <w:rPr>
          <w:rFonts w:hint="eastAsia"/>
          <w:b/>
          <w:bCs/>
          <w:color w:val="auto"/>
          <w:szCs w:val="21"/>
          <w:highlight w:val="none"/>
          <w:lang w:val="en-US" w:eastAsia="zh-CN"/>
        </w:rPr>
        <w:t>单位承保</w:t>
      </w:r>
      <w:r>
        <w:rPr>
          <w:rFonts w:hint="eastAsia"/>
          <w:b/>
          <w:bCs/>
          <w:color w:val="auto"/>
          <w:szCs w:val="21"/>
          <w:highlight w:val="none"/>
        </w:rPr>
        <w:t>。</w:t>
      </w:r>
    </w:p>
    <w:p>
      <w:pPr>
        <w:pStyle w:val="3"/>
        <w:ind w:firstLine="643" w:firstLineChars="200"/>
        <w:rPr>
          <w:color w:val="auto"/>
          <w:highlight w:val="none"/>
        </w:rPr>
      </w:pPr>
      <w:r>
        <w:rPr>
          <w:rFonts w:hint="eastAsia"/>
          <w:color w:val="auto"/>
          <w:highlight w:val="none"/>
        </w:rPr>
        <w:t>二、比选响应人资质条件要求</w:t>
      </w:r>
    </w:p>
    <w:p>
      <w:pPr>
        <w:ind w:firstLine="560"/>
        <w:rPr>
          <w:rFonts w:cs="方正仿宋_GBK"/>
          <w:color w:val="auto"/>
          <w:highlight w:val="none"/>
        </w:rPr>
      </w:pPr>
      <w:bookmarkStart w:id="0" w:name="_Toc246996163"/>
      <w:bookmarkStart w:id="1" w:name="_Toc179632533"/>
      <w:bookmarkStart w:id="2" w:name="_Toc247085677"/>
      <w:bookmarkStart w:id="3" w:name="_Toc157499355"/>
      <w:bookmarkStart w:id="4" w:name="_Toc246996906"/>
      <w:bookmarkStart w:id="5" w:name="_Toc491329987"/>
      <w:r>
        <w:rPr>
          <w:rFonts w:cs="方正仿宋_GBK"/>
          <w:color w:val="auto"/>
          <w:highlight w:val="none"/>
        </w:rPr>
        <w:t>1.</w:t>
      </w:r>
      <w:r>
        <w:rPr>
          <w:rFonts w:hint="eastAsia" w:cs="方正仿宋_GBK"/>
          <w:color w:val="auto"/>
          <w:highlight w:val="none"/>
        </w:rPr>
        <w:t>具有中国银行保险监督管理委员会批准开展财产保险业务的保险许可证；</w:t>
      </w:r>
    </w:p>
    <w:p>
      <w:pPr>
        <w:ind w:firstLine="560"/>
        <w:rPr>
          <w:rFonts w:cs="方正仿宋_GBK"/>
          <w:color w:val="auto"/>
          <w:highlight w:val="none"/>
        </w:rPr>
      </w:pPr>
      <w:r>
        <w:rPr>
          <w:rFonts w:cs="方正仿宋_GBK"/>
          <w:color w:val="auto"/>
          <w:highlight w:val="none"/>
        </w:rPr>
        <w:t>2.</w:t>
      </w:r>
      <w:r>
        <w:rPr>
          <w:rFonts w:hint="eastAsia" w:cs="方正仿宋_GBK"/>
          <w:color w:val="auto"/>
          <w:highlight w:val="none"/>
        </w:rPr>
        <w:t>具有合法有效的营业执照；</w:t>
      </w:r>
    </w:p>
    <w:p>
      <w:pPr>
        <w:wordWrap w:val="0"/>
        <w:ind w:firstLine="560"/>
        <w:rPr>
          <w:rFonts w:hint="eastAsia" w:eastAsia="仿宋" w:cs="方正仿宋_GBK"/>
          <w:color w:val="auto"/>
          <w:highlight w:val="none"/>
          <w:lang w:eastAsia="zh-CN"/>
        </w:rPr>
      </w:pPr>
      <w:r>
        <w:rPr>
          <w:rFonts w:cs="方正仿宋_GBK"/>
          <w:color w:val="auto"/>
          <w:highlight w:val="none"/>
        </w:rPr>
        <w:t>3.比选申请人承诺在“信用中国”网</w:t>
      </w:r>
      <w:r>
        <w:rPr>
          <w:rFonts w:hint="eastAsia" w:cs="方正仿宋_GBK"/>
          <w:color w:val="auto"/>
          <w:highlight w:val="none"/>
        </w:rPr>
        <w:t>（</w:t>
      </w:r>
      <w:r>
        <w:rPr>
          <w:rFonts w:cs="方正仿宋_GBK"/>
          <w:color w:val="auto"/>
          <w:highlight w:val="none"/>
        </w:rPr>
        <w:t>http://www.creditchina.gov.cn/）中未被列入失信被执行人名单，并附申请人在网页上的查询截图</w:t>
      </w:r>
      <w:r>
        <w:rPr>
          <w:rFonts w:hint="eastAsia" w:cs="方正仿宋_GBK"/>
          <w:color w:val="auto"/>
          <w:highlight w:val="none"/>
          <w:lang w:eastAsia="zh-CN"/>
        </w:rPr>
        <w:t>。</w:t>
      </w:r>
    </w:p>
    <w:p>
      <w:pPr>
        <w:pStyle w:val="3"/>
        <w:ind w:firstLine="643" w:firstLineChars="200"/>
        <w:rPr>
          <w:color w:val="auto"/>
          <w:highlight w:val="none"/>
        </w:rPr>
      </w:pPr>
      <w:r>
        <w:rPr>
          <w:rFonts w:hint="eastAsia"/>
          <w:color w:val="auto"/>
          <w:highlight w:val="none"/>
        </w:rPr>
        <w:t>三、竞争性比选有关规定</w:t>
      </w:r>
    </w:p>
    <w:p>
      <w:pPr>
        <w:wordWrap w:val="0"/>
        <w:ind w:firstLine="560"/>
        <w:rPr>
          <w:rFonts w:cs="方正仿宋_GBK"/>
          <w:color w:val="auto"/>
          <w:highlight w:val="none"/>
        </w:rPr>
      </w:pPr>
      <w:r>
        <w:rPr>
          <w:rFonts w:cs="方正仿宋_GBK"/>
          <w:color w:val="auto"/>
          <w:highlight w:val="none"/>
        </w:rPr>
        <w:t>1.</w:t>
      </w:r>
      <w:r>
        <w:rPr>
          <w:rFonts w:hint="eastAsia"/>
          <w:color w:val="auto"/>
          <w:highlight w:val="none"/>
        </w:rPr>
        <w:t xml:space="preserve"> </w:t>
      </w:r>
      <w:r>
        <w:rPr>
          <w:rFonts w:hint="eastAsia" w:cs="方正仿宋_GBK"/>
          <w:color w:val="auto"/>
          <w:highlight w:val="none"/>
        </w:rPr>
        <w:t>单位负责人为同一人或者存在直接控股、管理关系的不同单位，不得参加同一合同项（分包）下的竞争性比选采购活动</w:t>
      </w:r>
      <w:r>
        <w:rPr>
          <w:rFonts w:hint="eastAsia" w:cs="方正仿宋_GBK"/>
          <w:color w:val="auto"/>
          <w:highlight w:val="none"/>
          <w:lang w:eastAsia="zh-CN"/>
        </w:rPr>
        <w:t>，</w:t>
      </w:r>
      <w:r>
        <w:rPr>
          <w:rFonts w:hint="eastAsia" w:cs="方正仿宋_GBK"/>
          <w:color w:val="auto"/>
          <w:highlight w:val="none"/>
          <w:lang w:val="en-US" w:eastAsia="zh-CN"/>
        </w:rPr>
        <w:t>采购人仅接受响应人总公司唯一授权的分支机构</w:t>
      </w:r>
      <w:r>
        <w:rPr>
          <w:rFonts w:hint="eastAsia" w:cs="方正仿宋_GBK"/>
          <w:color w:val="auto"/>
          <w:highlight w:val="none"/>
        </w:rPr>
        <w:t>；</w:t>
      </w:r>
    </w:p>
    <w:p>
      <w:pPr>
        <w:wordWrap w:val="0"/>
        <w:ind w:firstLine="560"/>
        <w:rPr>
          <w:rFonts w:cs="方正仿宋_GBK"/>
          <w:color w:val="auto"/>
          <w:highlight w:val="none"/>
        </w:rPr>
      </w:pPr>
      <w:r>
        <w:rPr>
          <w:rFonts w:hint="eastAsia" w:cs="方正仿宋_GBK"/>
          <w:color w:val="auto"/>
          <w:highlight w:val="none"/>
        </w:rPr>
        <w:t>2</w:t>
      </w:r>
      <w:r>
        <w:rPr>
          <w:rFonts w:cs="方正仿宋_GBK"/>
          <w:color w:val="auto"/>
          <w:highlight w:val="none"/>
        </w:rPr>
        <w:t>.</w:t>
      </w:r>
      <w:r>
        <w:rPr>
          <w:rFonts w:hint="eastAsia"/>
          <w:color w:val="auto"/>
          <w:highlight w:val="none"/>
        </w:rPr>
        <w:t xml:space="preserve"> </w:t>
      </w:r>
      <w:r>
        <w:rPr>
          <w:rFonts w:hint="eastAsia" w:cs="方正仿宋_GBK"/>
          <w:color w:val="auto"/>
          <w:highlight w:val="none"/>
        </w:rPr>
        <w:t>超过递交响应文件截止时间递交的比选响应文件，恕不接收；</w:t>
      </w:r>
    </w:p>
    <w:p>
      <w:pPr>
        <w:wordWrap w:val="0"/>
        <w:ind w:firstLine="560"/>
        <w:rPr>
          <w:rFonts w:cs="方正仿宋_GBK"/>
          <w:color w:val="auto"/>
          <w:highlight w:val="none"/>
        </w:rPr>
      </w:pPr>
      <w:r>
        <w:rPr>
          <w:rFonts w:hint="eastAsia" w:cs="方正仿宋_GBK"/>
          <w:color w:val="auto"/>
          <w:highlight w:val="none"/>
        </w:rPr>
        <w:t>3</w:t>
      </w:r>
      <w:r>
        <w:rPr>
          <w:rFonts w:cs="方正仿宋_GBK"/>
          <w:color w:val="auto"/>
          <w:highlight w:val="none"/>
        </w:rPr>
        <w:t>.</w:t>
      </w:r>
      <w:r>
        <w:rPr>
          <w:rFonts w:hint="eastAsia" w:cs="方正仿宋_GBK"/>
          <w:color w:val="auto"/>
          <w:highlight w:val="none"/>
        </w:rPr>
        <w:t>比选费用：无论比选结果如何，响应人参与本项目比选的所有费用均应由响应人自行承担；</w:t>
      </w:r>
    </w:p>
    <w:p>
      <w:pPr>
        <w:wordWrap w:val="0"/>
        <w:ind w:firstLine="560"/>
        <w:rPr>
          <w:rFonts w:cs="方正仿宋_GBK"/>
          <w:color w:val="auto"/>
          <w:highlight w:val="none"/>
        </w:rPr>
      </w:pPr>
      <w:r>
        <w:rPr>
          <w:rFonts w:hint="eastAsia" w:cs="方正仿宋_GBK"/>
          <w:color w:val="auto"/>
          <w:highlight w:val="none"/>
        </w:rPr>
        <w:t>4.比选响应文件制作要求：</w:t>
      </w:r>
    </w:p>
    <w:p>
      <w:pPr>
        <w:wordWrap w:val="0"/>
        <w:ind w:firstLine="560"/>
        <w:rPr>
          <w:rFonts w:cs="方正仿宋_GBK"/>
          <w:color w:val="auto"/>
          <w:highlight w:val="none"/>
        </w:rPr>
      </w:pPr>
      <w:r>
        <w:rPr>
          <w:rFonts w:hint="eastAsia" w:cs="方正仿宋_GBK"/>
          <w:color w:val="auto"/>
          <w:highlight w:val="none"/>
        </w:rPr>
        <w:t>比选响应文件由报价文件、资格文件、商务文件三部分组成，各类文件按</w:t>
      </w:r>
      <w:r>
        <w:rPr>
          <w:rFonts w:cs="方正仿宋_GBK"/>
          <w:color w:val="auto"/>
          <w:highlight w:val="none"/>
        </w:rPr>
        <w:t>A4纸规格密封合并装订成一本</w:t>
      </w:r>
      <w:r>
        <w:rPr>
          <w:rFonts w:hint="eastAsia" w:cs="方正仿宋_GBK"/>
          <w:color w:val="auto"/>
          <w:highlight w:val="none"/>
          <w:lang w:eastAsia="zh-CN"/>
        </w:rPr>
        <w:t>。</w:t>
      </w:r>
      <w:r>
        <w:rPr>
          <w:rFonts w:cs="方正仿宋_GBK"/>
          <w:color w:val="auto"/>
          <w:highlight w:val="none"/>
        </w:rPr>
        <w:t>信封的封口须加盖比选申请人公章。未按规定密封将导致</w:t>
      </w:r>
      <w:r>
        <w:rPr>
          <w:rFonts w:hint="eastAsia" w:cs="方正仿宋_GBK"/>
          <w:color w:val="auto"/>
          <w:highlight w:val="none"/>
        </w:rPr>
        <w:t>比选响应</w:t>
      </w:r>
      <w:r>
        <w:rPr>
          <w:rFonts w:cs="方正仿宋_GBK"/>
          <w:color w:val="auto"/>
          <w:highlight w:val="none"/>
        </w:rPr>
        <w:t>文件被拒绝接收。</w:t>
      </w:r>
    </w:p>
    <w:p>
      <w:pPr>
        <w:pStyle w:val="3"/>
        <w:ind w:firstLine="643" w:firstLineChars="200"/>
        <w:rPr>
          <w:color w:val="auto"/>
          <w:highlight w:val="none"/>
        </w:rPr>
      </w:pPr>
      <w:r>
        <w:rPr>
          <w:rFonts w:hint="eastAsia"/>
          <w:color w:val="auto"/>
          <w:highlight w:val="none"/>
        </w:rPr>
        <w:t>四、竞争性比选响应文件</w:t>
      </w:r>
      <w:r>
        <w:rPr>
          <w:rFonts w:hint="eastAsia"/>
          <w:color w:val="auto"/>
          <w:highlight w:val="none"/>
          <w:lang w:val="en-US" w:eastAsia="zh-CN"/>
        </w:rPr>
        <w:t>领取、</w:t>
      </w:r>
      <w:r>
        <w:rPr>
          <w:rFonts w:hint="eastAsia"/>
          <w:color w:val="auto"/>
          <w:highlight w:val="none"/>
        </w:rPr>
        <w:t>递交及洽谈时间</w:t>
      </w:r>
    </w:p>
    <w:p>
      <w:pPr>
        <w:ind w:firstLine="560"/>
        <w:rPr>
          <w:rFonts w:hint="default"/>
          <w:color w:val="auto"/>
          <w:highlight w:val="none"/>
          <w:lang w:val="en-US" w:eastAsia="zh-CN"/>
        </w:rPr>
      </w:pPr>
      <w:r>
        <w:rPr>
          <w:rFonts w:hint="eastAsia"/>
          <w:color w:val="auto"/>
          <w:highlight w:val="none"/>
        </w:rPr>
        <w:t>1. 竞争性比选</w:t>
      </w:r>
      <w:r>
        <w:rPr>
          <w:rFonts w:hint="eastAsia"/>
          <w:color w:val="auto"/>
          <w:highlight w:val="none"/>
          <w:lang w:val="en-US" w:eastAsia="zh-CN"/>
        </w:rPr>
        <w:t>文件领取时间</w:t>
      </w:r>
    </w:p>
    <w:p>
      <w:pPr>
        <w:ind w:firstLine="560"/>
        <w:rPr>
          <w:rFonts w:hint="default" w:eastAsia="仿宋"/>
          <w:color w:val="auto"/>
          <w:highlight w:val="none"/>
          <w:lang w:val="en-US" w:eastAsia="zh-CN"/>
        </w:rPr>
      </w:pPr>
      <w:r>
        <w:rPr>
          <w:rFonts w:hint="eastAsia"/>
          <w:color w:val="auto"/>
          <w:highlight w:val="none"/>
          <w:lang w:val="en-US" w:eastAsia="zh-CN"/>
        </w:rPr>
        <w:t>符合条件的响应人于</w:t>
      </w:r>
      <w:r>
        <w:rPr>
          <w:color w:val="auto"/>
          <w:highlight w:val="none"/>
        </w:rPr>
        <w:t>202</w:t>
      </w:r>
      <w:r>
        <w:rPr>
          <w:rFonts w:hint="eastAsia"/>
          <w:color w:val="auto"/>
          <w:highlight w:val="none"/>
        </w:rPr>
        <w:t>3</w:t>
      </w:r>
      <w:r>
        <w:rPr>
          <w:color w:val="auto"/>
          <w:highlight w:val="none"/>
        </w:rPr>
        <w:t>年</w:t>
      </w:r>
      <w:r>
        <w:rPr>
          <w:rFonts w:hint="eastAsia"/>
          <w:color w:val="auto"/>
          <w:highlight w:val="none"/>
          <w:lang w:val="en-US" w:eastAsia="zh-CN"/>
        </w:rPr>
        <w:t>05</w:t>
      </w:r>
      <w:r>
        <w:rPr>
          <w:color w:val="auto"/>
          <w:highlight w:val="none"/>
        </w:rPr>
        <w:t xml:space="preserve">月 </w:t>
      </w:r>
      <w:r>
        <w:rPr>
          <w:rFonts w:hint="eastAsia"/>
          <w:color w:val="auto"/>
          <w:highlight w:val="none"/>
          <w:lang w:val="en-US" w:eastAsia="zh-CN"/>
        </w:rPr>
        <w:t>15</w:t>
      </w:r>
      <w:r>
        <w:rPr>
          <w:color w:val="auto"/>
          <w:highlight w:val="none"/>
        </w:rPr>
        <w:t>日</w:t>
      </w:r>
      <w:r>
        <w:rPr>
          <w:rFonts w:hint="eastAsia"/>
          <w:color w:val="auto"/>
          <w:highlight w:val="none"/>
          <w:lang w:val="en-US" w:eastAsia="zh-CN"/>
        </w:rPr>
        <w:t>10</w:t>
      </w:r>
      <w:r>
        <w:rPr>
          <w:color w:val="auto"/>
          <w:highlight w:val="none"/>
        </w:rPr>
        <w:t xml:space="preserve"> </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rPr>
        <w:t>前</w:t>
      </w:r>
      <w:r>
        <w:rPr>
          <w:rFonts w:hint="eastAsia"/>
          <w:color w:val="auto"/>
          <w:highlight w:val="none"/>
          <w:lang w:eastAsia="zh-CN"/>
        </w:rPr>
        <w:t>，</w:t>
      </w:r>
      <w:r>
        <w:rPr>
          <w:rFonts w:hint="eastAsia"/>
          <w:color w:val="auto"/>
          <w:highlight w:val="none"/>
          <w:lang w:val="en-US" w:eastAsia="zh-CN"/>
        </w:rPr>
        <w:t>在采购人处参与竟争性比选报名登记，领取加盖公章的《重庆成渝高速公路有限公司车辆保险服务项目竟争性比选文件》，该文件不收取费用。</w:t>
      </w:r>
    </w:p>
    <w:p>
      <w:pPr>
        <w:ind w:firstLine="560"/>
        <w:rPr>
          <w:color w:val="auto"/>
          <w:highlight w:val="none"/>
        </w:rPr>
      </w:pPr>
      <w:r>
        <w:rPr>
          <w:rFonts w:hint="eastAsia"/>
          <w:color w:val="auto"/>
          <w:highlight w:val="none"/>
          <w:lang w:val="en-US" w:eastAsia="zh-CN"/>
        </w:rPr>
        <w:t>2.</w:t>
      </w:r>
      <w:r>
        <w:rPr>
          <w:rFonts w:hint="eastAsia"/>
          <w:color w:val="auto"/>
          <w:highlight w:val="none"/>
        </w:rPr>
        <w:t>竞争性比选响应文件递交时间</w:t>
      </w:r>
    </w:p>
    <w:p>
      <w:pPr>
        <w:ind w:firstLine="560"/>
        <w:rPr>
          <w:color w:val="auto"/>
          <w:highlight w:val="none"/>
        </w:rPr>
      </w:pPr>
      <w:r>
        <w:rPr>
          <w:rFonts w:hint="eastAsia"/>
          <w:color w:val="auto"/>
          <w:highlight w:val="none"/>
        </w:rPr>
        <w:t>请各比选响应人于</w:t>
      </w:r>
      <w:r>
        <w:rPr>
          <w:color w:val="auto"/>
          <w:highlight w:val="none"/>
        </w:rPr>
        <w:t>202</w:t>
      </w:r>
      <w:r>
        <w:rPr>
          <w:rFonts w:hint="eastAsia"/>
          <w:color w:val="auto"/>
          <w:highlight w:val="none"/>
        </w:rPr>
        <w:t>3</w:t>
      </w:r>
      <w:r>
        <w:rPr>
          <w:color w:val="auto"/>
          <w:highlight w:val="none"/>
        </w:rPr>
        <w:t>年</w:t>
      </w:r>
      <w:r>
        <w:rPr>
          <w:rFonts w:hint="eastAsia"/>
          <w:color w:val="auto"/>
          <w:highlight w:val="none"/>
          <w:lang w:val="en-US" w:eastAsia="zh-CN"/>
        </w:rPr>
        <w:t>05</w:t>
      </w:r>
      <w:r>
        <w:rPr>
          <w:color w:val="auto"/>
          <w:highlight w:val="none"/>
        </w:rPr>
        <w:t xml:space="preserve">月 </w:t>
      </w:r>
      <w:r>
        <w:rPr>
          <w:rFonts w:hint="eastAsia"/>
          <w:color w:val="auto"/>
          <w:highlight w:val="none"/>
          <w:lang w:val="en-US" w:eastAsia="zh-CN"/>
        </w:rPr>
        <w:t>22</w:t>
      </w:r>
      <w:r>
        <w:rPr>
          <w:color w:val="auto"/>
          <w:highlight w:val="none"/>
        </w:rPr>
        <w:t>日</w:t>
      </w:r>
      <w:r>
        <w:rPr>
          <w:rFonts w:hint="eastAsia"/>
          <w:color w:val="auto"/>
          <w:highlight w:val="none"/>
          <w:lang w:val="en-US" w:eastAsia="zh-CN"/>
        </w:rPr>
        <w:t>10</w:t>
      </w:r>
      <w:r>
        <w:rPr>
          <w:color w:val="auto"/>
          <w:highlight w:val="none"/>
        </w:rPr>
        <w:t xml:space="preserve"> </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rPr>
        <w:t>前将竞争性比选响应文件递交到</w:t>
      </w:r>
      <w:r>
        <w:rPr>
          <w:rFonts w:hint="eastAsia"/>
          <w:color w:val="auto"/>
          <w:highlight w:val="none"/>
          <w:lang w:val="en-US" w:eastAsia="zh-CN"/>
        </w:rPr>
        <w:t>重庆成渝高速公路有限公司资产管理部</w:t>
      </w:r>
      <w:r>
        <w:rPr>
          <w:rFonts w:hint="eastAsia"/>
          <w:color w:val="auto"/>
          <w:highlight w:val="none"/>
        </w:rPr>
        <w:t>。</w:t>
      </w:r>
    </w:p>
    <w:p>
      <w:pPr>
        <w:numPr>
          <w:ilvl w:val="0"/>
          <w:numId w:val="1"/>
        </w:numPr>
        <w:ind w:firstLine="560"/>
        <w:rPr>
          <w:rFonts w:hint="eastAsia"/>
          <w:color w:val="auto"/>
          <w:highlight w:val="none"/>
          <w:lang w:val="en-US" w:eastAsia="zh-CN"/>
        </w:rPr>
      </w:pPr>
      <w:r>
        <w:rPr>
          <w:rFonts w:hint="eastAsia"/>
          <w:color w:val="auto"/>
          <w:highlight w:val="none"/>
          <w:lang w:val="en-US" w:eastAsia="zh-CN"/>
        </w:rPr>
        <w:t>若有疑问洽谈方式及时间</w:t>
      </w:r>
    </w:p>
    <w:p>
      <w:pPr>
        <w:numPr>
          <w:ilvl w:val="0"/>
          <w:numId w:val="0"/>
        </w:numPr>
        <w:ind w:firstLine="560" w:firstLineChars="200"/>
        <w:rPr>
          <w:rFonts w:hint="default" w:eastAsia="仿宋"/>
          <w:color w:val="auto"/>
          <w:highlight w:val="none"/>
          <w:lang w:val="en-US" w:eastAsia="zh-CN"/>
        </w:rPr>
      </w:pPr>
      <w:r>
        <w:rPr>
          <w:rFonts w:hint="eastAsia"/>
          <w:color w:val="auto"/>
          <w:highlight w:val="none"/>
          <w:lang w:val="en-US" w:eastAsia="zh-CN"/>
        </w:rPr>
        <w:t>请于</w:t>
      </w:r>
      <w:r>
        <w:rPr>
          <w:color w:val="auto"/>
          <w:highlight w:val="none"/>
        </w:rPr>
        <w:t>202</w:t>
      </w:r>
      <w:r>
        <w:rPr>
          <w:rFonts w:hint="eastAsia"/>
          <w:color w:val="auto"/>
          <w:highlight w:val="none"/>
        </w:rPr>
        <w:t>3</w:t>
      </w:r>
      <w:r>
        <w:rPr>
          <w:color w:val="auto"/>
          <w:highlight w:val="none"/>
        </w:rPr>
        <w:t>年</w:t>
      </w:r>
      <w:r>
        <w:rPr>
          <w:rFonts w:hint="eastAsia"/>
          <w:color w:val="auto"/>
          <w:highlight w:val="none"/>
          <w:lang w:val="en-US" w:eastAsia="zh-CN"/>
        </w:rPr>
        <w:t>05</w:t>
      </w:r>
      <w:r>
        <w:rPr>
          <w:color w:val="auto"/>
          <w:highlight w:val="none"/>
        </w:rPr>
        <w:t xml:space="preserve"> 月 </w:t>
      </w:r>
      <w:r>
        <w:rPr>
          <w:rFonts w:hint="eastAsia"/>
          <w:color w:val="auto"/>
          <w:highlight w:val="none"/>
          <w:lang w:val="en-US" w:eastAsia="zh-CN"/>
        </w:rPr>
        <w:t>19</w:t>
      </w:r>
      <w:r>
        <w:rPr>
          <w:color w:val="auto"/>
          <w:highlight w:val="none"/>
        </w:rPr>
        <w:t xml:space="preserve"> 日</w:t>
      </w:r>
      <w:r>
        <w:rPr>
          <w:rFonts w:hint="eastAsia"/>
          <w:color w:val="auto"/>
          <w:highlight w:val="none"/>
          <w:lang w:val="en-US" w:eastAsia="zh-CN"/>
        </w:rPr>
        <w:t>17</w:t>
      </w:r>
      <w:r>
        <w:rPr>
          <w:color w:val="auto"/>
          <w:highlight w:val="none"/>
        </w:rPr>
        <w:t xml:space="preserve"> </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r>
        <w:rPr>
          <w:rFonts w:hint="eastAsia"/>
          <w:color w:val="auto"/>
          <w:highlight w:val="none"/>
        </w:rPr>
        <w:t>前</w:t>
      </w:r>
      <w:r>
        <w:rPr>
          <w:rFonts w:hint="eastAsia"/>
          <w:color w:val="auto"/>
          <w:highlight w:val="none"/>
          <w:lang w:val="en-US" w:eastAsia="zh-CN"/>
        </w:rPr>
        <w:t>来电或上门咨询，联系人</w:t>
      </w:r>
      <w:r>
        <w:rPr>
          <w:rFonts w:hint="eastAsia"/>
          <w:color w:val="auto"/>
          <w:highlight w:val="none"/>
        </w:rPr>
        <w:t>：</w:t>
      </w:r>
      <w:r>
        <w:rPr>
          <w:rFonts w:hint="eastAsia"/>
          <w:color w:val="auto"/>
          <w:highlight w:val="none"/>
          <w:lang w:val="en-US" w:eastAsia="zh-CN"/>
        </w:rPr>
        <w:t>方彬、郑波； 联系</w:t>
      </w:r>
      <w:r>
        <w:rPr>
          <w:rFonts w:hint="eastAsia"/>
          <w:color w:val="auto"/>
          <w:highlight w:val="none"/>
        </w:rPr>
        <w:t>电话：</w:t>
      </w:r>
      <w:r>
        <w:rPr>
          <w:rFonts w:hint="eastAsia"/>
          <w:color w:val="auto"/>
          <w:highlight w:val="none"/>
          <w:lang w:val="en-US" w:eastAsia="zh-CN"/>
        </w:rPr>
        <w:t>023-89063802  13594636222</w:t>
      </w:r>
    </w:p>
    <w:p>
      <w:pPr>
        <w:ind w:firstLine="560"/>
        <w:rPr>
          <w:rFonts w:hint="default" w:eastAsia="仿宋"/>
          <w:color w:val="auto"/>
          <w:highlight w:val="none"/>
          <w:lang w:val="en-US" w:eastAsia="zh-CN"/>
        </w:rPr>
      </w:pPr>
      <w:r>
        <w:rPr>
          <w:rFonts w:hint="eastAsia"/>
          <w:color w:val="auto"/>
          <w:highlight w:val="none"/>
        </w:rPr>
        <w:t>地址：</w:t>
      </w:r>
      <w:r>
        <w:rPr>
          <w:rFonts w:hint="eastAsia"/>
          <w:color w:val="auto"/>
          <w:highlight w:val="none"/>
          <w:lang w:val="en-US" w:eastAsia="zh-CN"/>
        </w:rPr>
        <w:t>重庆市九龙坡区二朗兰花小区特一号</w:t>
      </w:r>
    </w:p>
    <w:p>
      <w:pPr>
        <w:ind w:firstLine="560"/>
        <w:rPr>
          <w:color w:val="auto"/>
          <w:highlight w:val="none"/>
        </w:rPr>
      </w:pPr>
      <w:r>
        <w:rPr>
          <w:rFonts w:hint="eastAsia"/>
          <w:color w:val="auto"/>
          <w:highlight w:val="none"/>
          <w:lang w:val="en-US" w:eastAsia="zh-CN"/>
        </w:rPr>
        <w:t>4.</w:t>
      </w:r>
      <w:r>
        <w:rPr>
          <w:rFonts w:hint="eastAsia"/>
          <w:color w:val="auto"/>
          <w:highlight w:val="none"/>
        </w:rPr>
        <w:t>竞争性比选响应文件</w:t>
      </w:r>
      <w:r>
        <w:rPr>
          <w:rFonts w:hint="eastAsia"/>
          <w:color w:val="auto"/>
          <w:highlight w:val="none"/>
          <w:lang w:val="en-US" w:eastAsia="zh-CN"/>
        </w:rPr>
        <w:t>递交</w:t>
      </w:r>
      <w:r>
        <w:rPr>
          <w:color w:val="auto"/>
          <w:highlight w:val="none"/>
        </w:rPr>
        <w:t>截止</w:t>
      </w:r>
      <w:r>
        <w:rPr>
          <w:rFonts w:hint="eastAsia"/>
          <w:color w:val="auto"/>
          <w:highlight w:val="none"/>
        </w:rPr>
        <w:t>时间</w:t>
      </w:r>
    </w:p>
    <w:p>
      <w:pPr>
        <w:ind w:firstLine="560"/>
        <w:rPr>
          <w:color w:val="auto"/>
          <w:highlight w:val="none"/>
        </w:rPr>
      </w:pPr>
      <w:r>
        <w:rPr>
          <w:color w:val="auto"/>
          <w:highlight w:val="none"/>
        </w:rPr>
        <w:t>202</w:t>
      </w:r>
      <w:r>
        <w:rPr>
          <w:rFonts w:hint="eastAsia"/>
          <w:color w:val="auto"/>
          <w:highlight w:val="none"/>
        </w:rPr>
        <w:t>3</w:t>
      </w:r>
      <w:r>
        <w:rPr>
          <w:color w:val="auto"/>
          <w:highlight w:val="none"/>
        </w:rPr>
        <w:t>年</w:t>
      </w:r>
      <w:r>
        <w:rPr>
          <w:rFonts w:hint="eastAsia"/>
          <w:color w:val="auto"/>
          <w:highlight w:val="none"/>
          <w:lang w:val="en-US" w:eastAsia="zh-CN"/>
        </w:rPr>
        <w:t>05</w:t>
      </w:r>
      <w:r>
        <w:rPr>
          <w:color w:val="auto"/>
          <w:highlight w:val="none"/>
        </w:rPr>
        <w:t xml:space="preserve"> 月 </w:t>
      </w:r>
      <w:r>
        <w:rPr>
          <w:rFonts w:hint="eastAsia"/>
          <w:color w:val="auto"/>
          <w:highlight w:val="none"/>
          <w:lang w:val="en-US" w:eastAsia="zh-CN"/>
        </w:rPr>
        <w:t>22</w:t>
      </w:r>
      <w:r>
        <w:rPr>
          <w:color w:val="auto"/>
          <w:highlight w:val="none"/>
        </w:rPr>
        <w:t xml:space="preserve"> 日，截止时间为</w:t>
      </w:r>
      <w:r>
        <w:rPr>
          <w:rFonts w:hint="eastAsia"/>
          <w:color w:val="auto"/>
          <w:highlight w:val="none"/>
          <w:lang w:val="en-US" w:eastAsia="zh-CN"/>
        </w:rPr>
        <w:t>10时30分</w:t>
      </w:r>
      <w:r>
        <w:rPr>
          <w:color w:val="auto"/>
          <w:highlight w:val="none"/>
        </w:rPr>
        <w:t xml:space="preserve"> (北京时间)</w:t>
      </w:r>
    </w:p>
    <w:p>
      <w:pPr>
        <w:ind w:firstLine="560"/>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竞争性比选响应文件</w:t>
      </w:r>
      <w:r>
        <w:rPr>
          <w:color w:val="auto"/>
          <w:highlight w:val="none"/>
        </w:rPr>
        <w:t>开标</w:t>
      </w:r>
      <w:r>
        <w:rPr>
          <w:rFonts w:hint="eastAsia"/>
          <w:color w:val="auto"/>
          <w:highlight w:val="none"/>
          <w:lang w:val="en-US" w:eastAsia="zh-CN"/>
        </w:rPr>
        <w:t>时间及</w:t>
      </w:r>
      <w:r>
        <w:rPr>
          <w:color w:val="auto"/>
          <w:highlight w:val="none"/>
        </w:rPr>
        <w:t>地点</w:t>
      </w:r>
    </w:p>
    <w:p>
      <w:pPr>
        <w:ind w:firstLine="560"/>
        <w:rPr>
          <w:rFonts w:hint="eastAsia"/>
          <w:color w:val="auto"/>
          <w:highlight w:val="none"/>
        </w:rPr>
      </w:pPr>
      <w:r>
        <w:rPr>
          <w:rFonts w:hint="eastAsia"/>
          <w:color w:val="auto"/>
          <w:highlight w:val="none"/>
        </w:rPr>
        <w:t>2023年</w:t>
      </w:r>
      <w:r>
        <w:rPr>
          <w:rFonts w:hint="eastAsia"/>
          <w:color w:val="auto"/>
          <w:highlight w:val="none"/>
          <w:lang w:val="en-US" w:eastAsia="zh-CN"/>
        </w:rPr>
        <w:t>05</w:t>
      </w:r>
      <w:r>
        <w:rPr>
          <w:color w:val="auto"/>
          <w:highlight w:val="none"/>
        </w:rPr>
        <w:t xml:space="preserve">月 </w:t>
      </w:r>
      <w:r>
        <w:rPr>
          <w:rFonts w:hint="eastAsia"/>
          <w:color w:val="auto"/>
          <w:highlight w:val="none"/>
          <w:lang w:val="en-US" w:eastAsia="zh-CN"/>
        </w:rPr>
        <w:t>22</w:t>
      </w:r>
      <w:r>
        <w:rPr>
          <w:color w:val="auto"/>
          <w:highlight w:val="none"/>
        </w:rPr>
        <w:t xml:space="preserve"> 日</w:t>
      </w:r>
      <w:r>
        <w:rPr>
          <w:rFonts w:hint="eastAsia"/>
          <w:color w:val="auto"/>
          <w:highlight w:val="none"/>
        </w:rPr>
        <w:t>10</w:t>
      </w:r>
      <w:r>
        <w:rPr>
          <w:color w:val="auto"/>
          <w:highlight w:val="none"/>
        </w:rPr>
        <w:t xml:space="preserve"> </w:t>
      </w:r>
      <w:r>
        <w:rPr>
          <w:rFonts w:hint="eastAsia"/>
          <w:color w:val="auto"/>
          <w:highlight w:val="none"/>
        </w:rPr>
        <w:t>时30</w:t>
      </w:r>
      <w:r>
        <w:rPr>
          <w:color w:val="auto"/>
          <w:highlight w:val="none"/>
        </w:rPr>
        <w:t xml:space="preserve"> </w:t>
      </w:r>
      <w:r>
        <w:rPr>
          <w:rFonts w:hint="eastAsia"/>
          <w:color w:val="auto"/>
          <w:highlight w:val="none"/>
        </w:rPr>
        <w:t>分，在重庆成渝高速公路有限公司</w:t>
      </w:r>
      <w:r>
        <w:rPr>
          <w:rFonts w:hint="eastAsia"/>
          <w:color w:val="auto"/>
          <w:highlight w:val="none"/>
          <w:lang w:val="en-US" w:eastAsia="zh-CN"/>
        </w:rPr>
        <w:t>一</w:t>
      </w:r>
      <w:r>
        <w:rPr>
          <w:rFonts w:hint="eastAsia"/>
          <w:color w:val="auto"/>
          <w:highlight w:val="none"/>
        </w:rPr>
        <w:t>楼开标室现场开标，现场开价只开价格部分，投标人对本单位投标报价进行现场确认。</w:t>
      </w:r>
    </w:p>
    <w:p>
      <w:pPr>
        <w:ind w:firstLine="560"/>
        <w:rPr>
          <w:color w:val="auto"/>
          <w:highlight w:val="none"/>
        </w:rPr>
      </w:pPr>
      <w:r>
        <w:rPr>
          <w:rFonts w:hint="eastAsia"/>
          <w:color w:val="auto"/>
          <w:highlight w:val="none"/>
        </w:rPr>
        <w:t>开标完成后，由评标小组进行综合评标，评标完成后按流程进行公示，公示完成确定中标人后，采购人在3个工作日内书面通知中标单位，未中标者不再另行通知。</w:t>
      </w:r>
    </w:p>
    <w:p>
      <w:pPr>
        <w:pStyle w:val="9"/>
        <w:rPr>
          <w:rFonts w:hint="eastAsia"/>
          <w:color w:val="auto"/>
          <w:highlight w:val="none"/>
        </w:rPr>
      </w:pPr>
    </w:p>
    <w:bookmarkEnd w:id="0"/>
    <w:bookmarkEnd w:id="1"/>
    <w:bookmarkEnd w:id="2"/>
    <w:bookmarkEnd w:id="3"/>
    <w:bookmarkEnd w:id="4"/>
    <w:bookmarkEnd w:id="5"/>
    <w:p>
      <w:pPr>
        <w:pStyle w:val="2"/>
        <w:rPr>
          <w:color w:val="auto"/>
          <w:highlight w:val="none"/>
        </w:rPr>
      </w:pPr>
      <w:r>
        <w:rPr>
          <w:rFonts w:hint="eastAsia"/>
          <w:color w:val="auto"/>
          <w:highlight w:val="none"/>
        </w:rPr>
        <w:t>第二篇 项目商务要求</w:t>
      </w:r>
    </w:p>
    <w:p>
      <w:pPr>
        <w:pStyle w:val="3"/>
        <w:ind w:firstLine="643" w:firstLineChars="200"/>
        <w:rPr>
          <w:color w:val="auto"/>
          <w:highlight w:val="none"/>
        </w:rPr>
      </w:pPr>
      <w:r>
        <w:rPr>
          <w:rFonts w:hint="eastAsia"/>
          <w:color w:val="auto"/>
          <w:highlight w:val="none"/>
        </w:rPr>
        <w:t>一、服务时间</w:t>
      </w:r>
    </w:p>
    <w:p>
      <w:pPr>
        <w:ind w:firstLine="560" w:firstLineChars="200"/>
        <w:rPr>
          <w:color w:val="auto"/>
          <w:highlight w:val="none"/>
        </w:rPr>
      </w:pPr>
      <w:r>
        <w:rPr>
          <w:rFonts w:hint="eastAsia"/>
          <w:color w:val="auto"/>
          <w:highlight w:val="none"/>
        </w:rPr>
        <w:t>本项目服务期为</w:t>
      </w:r>
      <w:r>
        <w:rPr>
          <w:rFonts w:hint="eastAsia"/>
          <w:color w:val="auto"/>
          <w:highlight w:val="none"/>
          <w:lang w:val="en-US" w:eastAsia="zh-CN"/>
        </w:rPr>
        <w:t>2</w:t>
      </w:r>
      <w:r>
        <w:rPr>
          <w:rFonts w:hint="eastAsia"/>
          <w:color w:val="auto"/>
          <w:highlight w:val="none"/>
        </w:rPr>
        <w:t>年，经本单位按照比选响应文件</w:t>
      </w:r>
      <w:r>
        <w:rPr>
          <w:rFonts w:hint="eastAsia"/>
          <w:color w:val="auto"/>
          <w:highlight w:val="none"/>
          <w:lang w:val="en-US" w:eastAsia="zh-CN"/>
        </w:rPr>
        <w:t>评比，符合文件</w:t>
      </w:r>
      <w:r>
        <w:rPr>
          <w:rFonts w:hint="eastAsia"/>
          <w:color w:val="auto"/>
          <w:highlight w:val="none"/>
        </w:rPr>
        <w:t>要求，</w:t>
      </w:r>
      <w:r>
        <w:rPr>
          <w:rFonts w:hint="eastAsia"/>
          <w:color w:val="auto"/>
          <w:highlight w:val="none"/>
          <w:lang w:val="en-US" w:eastAsia="zh-CN"/>
        </w:rPr>
        <w:t>发出中标通知书，与中标单位合作，每年到期前出具每台车辆保险单据，</w:t>
      </w:r>
      <w:r>
        <w:rPr>
          <w:rFonts w:hint="eastAsia"/>
          <w:color w:val="auto"/>
          <w:highlight w:val="none"/>
        </w:rPr>
        <w:t>报价人在报价前需充分考虑此潜在风险，并承担因此而可能造成的一切经济损失</w:t>
      </w:r>
      <w:r>
        <w:rPr>
          <w:rFonts w:hint="eastAsia"/>
          <w:color w:val="auto"/>
          <w:highlight w:val="none"/>
          <w:lang w:eastAsia="zh-CN"/>
        </w:rPr>
        <w:t>。</w:t>
      </w:r>
      <w:r>
        <w:rPr>
          <w:rFonts w:hint="eastAsia"/>
          <w:color w:val="auto"/>
          <w:highlight w:val="none"/>
          <w:lang w:val="en-US" w:eastAsia="zh-CN"/>
        </w:rPr>
        <w:t>一经报价中标，不得反悔，否则我司将报告高速集团列入黑名单，永不合作</w:t>
      </w:r>
      <w:r>
        <w:rPr>
          <w:rFonts w:hint="eastAsia"/>
          <w:color w:val="auto"/>
          <w:highlight w:val="none"/>
        </w:rPr>
        <w:t>。</w:t>
      </w:r>
    </w:p>
    <w:p>
      <w:pPr>
        <w:pStyle w:val="3"/>
        <w:ind w:firstLine="643" w:firstLineChars="200"/>
        <w:rPr>
          <w:color w:val="auto"/>
          <w:highlight w:val="none"/>
        </w:rPr>
      </w:pPr>
      <w:r>
        <w:rPr>
          <w:rFonts w:hint="eastAsia"/>
          <w:color w:val="auto"/>
          <w:highlight w:val="none"/>
        </w:rPr>
        <w:t>二、付款方式</w:t>
      </w:r>
    </w:p>
    <w:p>
      <w:pPr>
        <w:ind w:firstLine="560" w:firstLineChars="200"/>
        <w:rPr>
          <w:color w:val="auto"/>
          <w:highlight w:val="none"/>
        </w:rPr>
      </w:pPr>
      <w:r>
        <w:rPr>
          <w:rFonts w:hint="eastAsia"/>
          <w:color w:val="auto"/>
          <w:highlight w:val="none"/>
        </w:rPr>
        <w:t>投保单位在保险生效前支付车辆全额保费。</w:t>
      </w:r>
    </w:p>
    <w:p>
      <w:pPr>
        <w:pStyle w:val="3"/>
        <w:ind w:firstLine="643" w:firstLineChars="200"/>
        <w:rPr>
          <w:color w:val="auto"/>
          <w:highlight w:val="none"/>
        </w:rPr>
      </w:pPr>
      <w:r>
        <w:rPr>
          <w:rFonts w:hint="eastAsia"/>
          <w:color w:val="auto"/>
          <w:highlight w:val="none"/>
        </w:rPr>
        <w:t>三、报价要求</w:t>
      </w:r>
    </w:p>
    <w:p>
      <w:pPr>
        <w:ind w:firstLine="560" w:firstLineChars="200"/>
        <w:rPr>
          <w:rFonts w:hint="eastAsia" w:eastAsia="仿宋"/>
          <w:color w:val="auto"/>
          <w:highlight w:val="none"/>
          <w:lang w:eastAsia="zh-CN"/>
        </w:rPr>
      </w:pPr>
      <w:r>
        <w:rPr>
          <w:color w:val="auto"/>
          <w:highlight w:val="none"/>
        </w:rPr>
        <w:t>1.本次报价为</w:t>
      </w:r>
      <w:r>
        <w:rPr>
          <w:rFonts w:hint="eastAsia"/>
          <w:color w:val="auto"/>
          <w:highlight w:val="none"/>
        </w:rPr>
        <w:t>商业险自主定价</w:t>
      </w:r>
      <w:r>
        <w:rPr>
          <w:color w:val="auto"/>
          <w:highlight w:val="none"/>
        </w:rPr>
        <w:t>系数报价，交强险费率浮动因素及比率按最新《机动车交通事故责任强制保险费率浮动暂行办法》的规定执行</w:t>
      </w:r>
      <w:r>
        <w:rPr>
          <w:rFonts w:hint="eastAsia"/>
          <w:color w:val="auto"/>
          <w:highlight w:val="none"/>
          <w:lang w:eastAsia="zh-CN"/>
        </w:rPr>
        <w:t>。</w:t>
      </w:r>
    </w:p>
    <w:p>
      <w:pPr>
        <w:ind w:firstLine="560" w:firstLineChars="200"/>
        <w:rPr>
          <w:rFonts w:hint="eastAsia" w:eastAsia="仿宋"/>
          <w:color w:val="auto"/>
          <w:highlight w:val="none"/>
          <w:lang w:eastAsia="zh-CN"/>
        </w:rPr>
      </w:pPr>
      <w:r>
        <w:rPr>
          <w:color w:val="auto"/>
          <w:highlight w:val="none"/>
        </w:rPr>
        <w:t>2.自主定价系数</w:t>
      </w:r>
      <w:r>
        <w:rPr>
          <w:rFonts w:hint="eastAsia"/>
          <w:color w:val="auto"/>
          <w:highlight w:val="none"/>
          <w:lang w:eastAsia="zh-CN"/>
        </w:rPr>
        <w:t>。</w:t>
      </w:r>
      <w:r>
        <w:rPr>
          <w:rFonts w:hint="eastAsia"/>
          <w:color w:val="auto"/>
          <w:highlight w:val="none"/>
        </w:rPr>
        <w:t>注</w:t>
      </w:r>
      <w:r>
        <w:rPr>
          <w:color w:val="auto"/>
          <w:highlight w:val="none"/>
        </w:rPr>
        <w:t>:</w:t>
      </w:r>
      <w:r>
        <w:rPr>
          <w:rFonts w:hint="eastAsia"/>
          <w:color w:val="auto"/>
          <w:highlight w:val="none"/>
        </w:rPr>
        <w:t>（</w:t>
      </w:r>
      <w:r>
        <w:rPr>
          <w:color w:val="auto"/>
          <w:highlight w:val="none"/>
        </w:rPr>
        <w:t>1</w:t>
      </w:r>
      <w:r>
        <w:rPr>
          <w:rFonts w:hint="eastAsia"/>
          <w:color w:val="auto"/>
          <w:highlight w:val="none"/>
        </w:rPr>
        <w:t>）响应人</w:t>
      </w:r>
      <w:r>
        <w:rPr>
          <w:color w:val="auto"/>
          <w:highlight w:val="none"/>
        </w:rPr>
        <w:t>投标时报自主定价系数要符合监管机构有关规定</w:t>
      </w:r>
      <w:r>
        <w:rPr>
          <w:rFonts w:hint="eastAsia"/>
          <w:color w:val="auto"/>
          <w:highlight w:val="none"/>
          <w:lang w:eastAsia="zh-CN"/>
        </w:rPr>
        <w:t>。</w:t>
      </w:r>
      <w:r>
        <w:rPr>
          <w:rFonts w:hint="eastAsia"/>
          <w:color w:val="auto"/>
          <w:highlight w:val="none"/>
        </w:rPr>
        <w:t>（</w:t>
      </w:r>
      <w:r>
        <w:rPr>
          <w:color w:val="auto"/>
          <w:highlight w:val="none"/>
        </w:rPr>
        <w:t>2）遇监管机构对商业车险自主定价系数有动态监管要求，则以监管机构最新要求为准</w:t>
      </w:r>
      <w:r>
        <w:rPr>
          <w:rFonts w:hint="eastAsia"/>
          <w:color w:val="auto"/>
          <w:highlight w:val="none"/>
          <w:lang w:eastAsia="zh-CN"/>
        </w:rPr>
        <w:t>。</w:t>
      </w:r>
    </w:p>
    <w:p>
      <w:pPr>
        <w:pStyle w:val="3"/>
        <w:ind w:firstLine="643" w:firstLineChars="200"/>
        <w:rPr>
          <w:color w:val="auto"/>
          <w:highlight w:val="none"/>
        </w:rPr>
      </w:pPr>
      <w:r>
        <w:rPr>
          <w:rFonts w:hint="eastAsia"/>
          <w:color w:val="auto"/>
          <w:highlight w:val="none"/>
        </w:rPr>
        <w:t>四、服务要求</w:t>
      </w:r>
    </w:p>
    <w:p>
      <w:pPr>
        <w:ind w:firstLine="560" w:firstLineChars="200"/>
        <w:rPr>
          <w:rFonts w:hint="eastAsia"/>
          <w:color w:val="auto"/>
          <w:highlight w:val="none"/>
        </w:rPr>
      </w:pPr>
      <w:r>
        <w:rPr>
          <w:rFonts w:hint="eastAsia"/>
          <w:color w:val="auto"/>
          <w:highlight w:val="none"/>
        </w:rPr>
        <w:t>响应人应按照评审标准承保服务和理赔服务要求提供服务承诺。</w:t>
      </w:r>
    </w:p>
    <w:p>
      <w:pPr>
        <w:pStyle w:val="9"/>
        <w:rPr>
          <w:color w:val="auto"/>
          <w:highlight w:val="none"/>
        </w:rPr>
      </w:pPr>
    </w:p>
    <w:p>
      <w:pPr>
        <w:pStyle w:val="2"/>
        <w:rPr>
          <w:color w:val="auto"/>
          <w:highlight w:val="none"/>
        </w:rPr>
      </w:pPr>
      <w:r>
        <w:rPr>
          <w:rFonts w:hint="eastAsia"/>
          <w:color w:val="auto"/>
          <w:highlight w:val="none"/>
        </w:rPr>
        <w:t>第三篇 资格审查及评标办法</w:t>
      </w:r>
    </w:p>
    <w:p>
      <w:pPr>
        <w:pStyle w:val="3"/>
        <w:ind w:firstLine="643" w:firstLineChars="200"/>
        <w:rPr>
          <w:color w:val="auto"/>
          <w:highlight w:val="none"/>
        </w:rPr>
      </w:pPr>
      <w:r>
        <w:rPr>
          <w:rFonts w:hint="eastAsia"/>
          <w:color w:val="auto"/>
          <w:highlight w:val="none"/>
        </w:rPr>
        <w:t>一、资格审查</w:t>
      </w:r>
    </w:p>
    <w:p>
      <w:pPr>
        <w:ind w:firstLine="560"/>
        <w:rPr>
          <w:color w:val="auto"/>
          <w:highlight w:val="none"/>
        </w:rPr>
      </w:pPr>
      <w:r>
        <w:rPr>
          <w:rFonts w:hint="eastAsia"/>
          <w:color w:val="auto"/>
          <w:highlight w:val="none"/>
        </w:rPr>
        <w:t>由采购人依据法律法规和比选文件的规定，对响应文件中的资格证明文件进行审查，以确定响应人是否具备比选资格。资格性检查资料表如下：</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1926"/>
        <w:gridCol w:w="332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序号</w:t>
            </w:r>
          </w:p>
        </w:tc>
        <w:tc>
          <w:tcPr>
            <w:tcW w:w="2635" w:type="dxa"/>
            <w:gridSpan w:val="2"/>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检查因素</w:t>
            </w:r>
          </w:p>
        </w:tc>
        <w:tc>
          <w:tcPr>
            <w:tcW w:w="3325" w:type="dxa"/>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检查内容</w:t>
            </w:r>
          </w:p>
        </w:tc>
        <w:tc>
          <w:tcPr>
            <w:tcW w:w="1977" w:type="dxa"/>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5" w:hRule="atLeast"/>
        </w:trPr>
        <w:tc>
          <w:tcPr>
            <w:tcW w:w="676" w:type="dxa"/>
            <w:vMerge w:val="restart"/>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w:t>
            </w:r>
          </w:p>
        </w:tc>
        <w:tc>
          <w:tcPr>
            <w:tcW w:w="709" w:type="dxa"/>
            <w:vMerge w:val="restart"/>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比选响应人应符合的基本资格条件</w:t>
            </w:r>
          </w:p>
        </w:tc>
        <w:tc>
          <w:tcPr>
            <w:tcW w:w="1926"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（1）具有独立承担民事责任的能力</w:t>
            </w:r>
          </w:p>
        </w:tc>
        <w:tc>
          <w:tcPr>
            <w:tcW w:w="332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1.比选响应人提供响应人的有效营业执照（副本）。</w:t>
            </w:r>
          </w:p>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2.比选响应人提供单位负责人身份证明和单位负责人授权委托书。</w:t>
            </w:r>
          </w:p>
        </w:tc>
        <w:tc>
          <w:tcPr>
            <w:tcW w:w="1977"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1.比选响应人有效营业执照（副本</w:t>
            </w:r>
            <w:r>
              <w:rPr>
                <w:rFonts w:hint="eastAsia" w:ascii="仿宋" w:hAnsi="仿宋" w:cs="微软雅黑"/>
                <w:color w:val="auto"/>
                <w:sz w:val="21"/>
                <w:szCs w:val="21"/>
                <w:highlight w:val="none"/>
                <w:lang w:eastAsia="zh-CN"/>
              </w:rPr>
              <w:t>）</w:t>
            </w:r>
            <w:r>
              <w:rPr>
                <w:rFonts w:hint="eastAsia" w:ascii="仿宋" w:hAnsi="仿宋" w:cs="微软雅黑"/>
                <w:color w:val="auto"/>
                <w:sz w:val="21"/>
                <w:szCs w:val="21"/>
                <w:highlight w:val="none"/>
              </w:rPr>
              <w:t>2.</w:t>
            </w:r>
            <w:r>
              <w:rPr>
                <w:rFonts w:hint="eastAsia"/>
                <w:color w:val="auto"/>
                <w:highlight w:val="none"/>
              </w:rPr>
              <w:t xml:space="preserve"> </w:t>
            </w:r>
            <w:r>
              <w:rPr>
                <w:rFonts w:hint="eastAsia" w:ascii="仿宋" w:hAnsi="仿宋" w:cs="微软雅黑"/>
                <w:color w:val="auto"/>
                <w:sz w:val="21"/>
                <w:szCs w:val="21"/>
                <w:highlight w:val="none"/>
              </w:rPr>
              <w:t>比选响应人提供单位负责人身份证明和单位负责人授权委托书等资料、签字齐全，合法有效。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76" w:type="dxa"/>
            <w:vMerge w:val="continue"/>
            <w:vAlign w:val="center"/>
          </w:tcPr>
          <w:p>
            <w:pPr>
              <w:spacing w:line="240" w:lineRule="auto"/>
              <w:ind w:firstLine="0" w:firstLineChars="0"/>
              <w:rPr>
                <w:rFonts w:ascii="仿宋" w:hAnsi="仿宋" w:cs="微软雅黑"/>
                <w:color w:val="auto"/>
                <w:sz w:val="21"/>
                <w:szCs w:val="21"/>
                <w:highlight w:val="none"/>
              </w:rPr>
            </w:pPr>
          </w:p>
        </w:tc>
        <w:tc>
          <w:tcPr>
            <w:tcW w:w="709" w:type="dxa"/>
            <w:vMerge w:val="continue"/>
            <w:vAlign w:val="center"/>
          </w:tcPr>
          <w:p>
            <w:pPr>
              <w:spacing w:line="240" w:lineRule="auto"/>
              <w:ind w:firstLine="0" w:firstLineChars="0"/>
              <w:rPr>
                <w:rFonts w:ascii="仿宋" w:hAnsi="仿宋" w:cs="微软雅黑"/>
                <w:color w:val="auto"/>
                <w:sz w:val="21"/>
                <w:szCs w:val="21"/>
                <w:highlight w:val="none"/>
              </w:rPr>
            </w:pPr>
          </w:p>
        </w:tc>
        <w:tc>
          <w:tcPr>
            <w:tcW w:w="1926"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（2）具有良好的商业信誉和健全的财务会计制度</w:t>
            </w:r>
          </w:p>
        </w:tc>
        <w:tc>
          <w:tcPr>
            <w:tcW w:w="3325" w:type="dxa"/>
            <w:vMerge w:val="restart"/>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比选响应人提供“诚信声明”。</w:t>
            </w:r>
          </w:p>
          <w:p>
            <w:pPr>
              <w:spacing w:line="240" w:lineRule="auto"/>
              <w:ind w:firstLine="0" w:firstLineChars="0"/>
              <w:rPr>
                <w:rFonts w:ascii="仿宋" w:hAnsi="仿宋" w:cs="微软雅黑"/>
                <w:color w:val="auto"/>
                <w:sz w:val="21"/>
                <w:szCs w:val="21"/>
                <w:highlight w:val="none"/>
              </w:rPr>
            </w:pPr>
          </w:p>
        </w:tc>
        <w:tc>
          <w:tcPr>
            <w:tcW w:w="1977" w:type="dxa"/>
            <w:vMerge w:val="restart"/>
            <w:vAlign w:val="center"/>
          </w:tcPr>
          <w:p>
            <w:pPr>
              <w:spacing w:line="240" w:lineRule="auto"/>
              <w:ind w:firstLine="0" w:firstLineChars="0"/>
              <w:rPr>
                <w:rFonts w:ascii="仿宋" w:hAnsi="仿宋" w:cs="微软雅黑"/>
                <w:color w:val="auto"/>
                <w:sz w:val="21"/>
                <w:szCs w:val="21"/>
                <w:highlight w:val="none"/>
              </w:rPr>
            </w:pPr>
            <w:r>
              <w:rPr>
                <w:rFonts w:ascii="仿宋" w:hAnsi="仿宋" w:cs="微软雅黑"/>
                <w:color w:val="auto"/>
                <w:sz w:val="21"/>
                <w:szCs w:val="21"/>
                <w:highlight w:val="none"/>
              </w:rPr>
              <w:t>”</w:t>
            </w:r>
            <w:r>
              <w:rPr>
                <w:rFonts w:hint="eastAsia" w:ascii="仿宋" w:hAnsi="仿宋" w:cs="微软雅黑"/>
                <w:color w:val="auto"/>
                <w:sz w:val="21"/>
                <w:szCs w:val="21"/>
                <w:highlight w:val="none"/>
              </w:rPr>
              <w:t>诚信声明</w:t>
            </w:r>
            <w:r>
              <w:rPr>
                <w:rFonts w:ascii="仿宋" w:hAnsi="仿宋" w:cs="微软雅黑"/>
                <w:color w:val="auto"/>
                <w:sz w:val="21"/>
                <w:szCs w:val="21"/>
                <w:highlight w:val="none"/>
              </w:rPr>
              <w:t>”</w:t>
            </w:r>
            <w:r>
              <w:rPr>
                <w:rFonts w:hint="eastAsia" w:ascii="仿宋" w:hAnsi="仿宋" w:cs="微软雅黑"/>
                <w:color w:val="auto"/>
                <w:sz w:val="21"/>
                <w:szCs w:val="21"/>
                <w:highlight w:val="none"/>
              </w:rPr>
              <w:t>内容与本比选文件第四篇所列“诚信声明”内容一致、签字盖章齐全均在有效期内。</w:t>
            </w:r>
          </w:p>
          <w:p>
            <w:pPr>
              <w:spacing w:line="240" w:lineRule="auto"/>
              <w:ind w:firstLine="0" w:firstLineChars="0"/>
              <w:rPr>
                <w:rFonts w:ascii="仿宋" w:hAnsi="仿宋"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76"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709"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1926"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（3）具有履行合同所必需的设备和专业技术能力</w:t>
            </w:r>
          </w:p>
        </w:tc>
        <w:tc>
          <w:tcPr>
            <w:tcW w:w="3325"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1977"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676"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709"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1926"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（4）近三年内，在经营活动中没有重大违法记录</w:t>
            </w:r>
          </w:p>
        </w:tc>
        <w:tc>
          <w:tcPr>
            <w:tcW w:w="3325" w:type="dxa"/>
            <w:vMerge w:val="continue"/>
            <w:vAlign w:val="center"/>
          </w:tcPr>
          <w:p>
            <w:pPr>
              <w:spacing w:line="240" w:lineRule="auto"/>
              <w:ind w:firstLine="0" w:firstLineChars="0"/>
              <w:rPr>
                <w:rFonts w:ascii="仿宋" w:hAnsi="仿宋" w:cs="微软雅黑"/>
                <w:color w:val="auto"/>
                <w:sz w:val="21"/>
                <w:szCs w:val="21"/>
                <w:highlight w:val="none"/>
              </w:rPr>
            </w:pPr>
          </w:p>
        </w:tc>
        <w:tc>
          <w:tcPr>
            <w:tcW w:w="1977"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676"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x</w:t>
            </w:r>
          </w:p>
        </w:tc>
        <w:tc>
          <w:tcPr>
            <w:tcW w:w="709" w:type="dxa"/>
            <w:vMerge w:val="continue"/>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p>
        </w:tc>
        <w:tc>
          <w:tcPr>
            <w:tcW w:w="1926" w:type="dxa"/>
            <w:tcBorders>
              <w:bottom w:val="single" w:color="auto" w:sz="4" w:space="0"/>
            </w:tcBorders>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（5）比选响应人总公司注册资本金在100亿及以上</w:t>
            </w:r>
          </w:p>
        </w:tc>
        <w:tc>
          <w:tcPr>
            <w:tcW w:w="3325" w:type="dxa"/>
            <w:vAlign w:val="center"/>
          </w:tcPr>
          <w:p>
            <w:pPr>
              <w:topLinePunct/>
              <w:autoSpaceDN w:val="0"/>
              <w:adjustRightInd w:val="0"/>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比选响应人总公司在中华人民共和国境内注册，注册资金在100亿以上，经营范围在中华人民共和国境内的财产保险公司且在渝设立有省市级分公司</w:t>
            </w:r>
          </w:p>
        </w:tc>
        <w:tc>
          <w:tcPr>
            <w:tcW w:w="1977"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需提供全国企业信用信息公示系统注册资本金页面截图。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76"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w:t>
            </w:r>
          </w:p>
        </w:tc>
        <w:tc>
          <w:tcPr>
            <w:tcW w:w="2635" w:type="dxa"/>
            <w:gridSpan w:val="2"/>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特定资格条件</w:t>
            </w:r>
          </w:p>
        </w:tc>
        <w:tc>
          <w:tcPr>
            <w:tcW w:w="332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1.比选响应人应</w:t>
            </w:r>
            <w:r>
              <w:rPr>
                <w:rFonts w:hint="eastAsia" w:ascii="仿宋" w:hAnsi="仿宋" w:cs="微软雅黑"/>
                <w:color w:val="auto"/>
                <w:sz w:val="21"/>
                <w:szCs w:val="21"/>
                <w:highlight w:val="none"/>
                <w:lang w:val="zh-CN"/>
              </w:rPr>
              <w:t>具有合法有效的保险许可证。</w:t>
            </w:r>
          </w:p>
        </w:tc>
        <w:tc>
          <w:tcPr>
            <w:tcW w:w="1977"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特定资格条件资料</w:t>
            </w:r>
          </w:p>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齐全均在有效期内。</w:t>
            </w:r>
          </w:p>
        </w:tc>
      </w:tr>
    </w:tbl>
    <w:p>
      <w:pPr>
        <w:pStyle w:val="3"/>
        <w:ind w:firstLine="643" w:firstLineChars="200"/>
        <w:rPr>
          <w:color w:val="auto"/>
          <w:highlight w:val="none"/>
        </w:rPr>
      </w:pPr>
      <w:r>
        <w:rPr>
          <w:rFonts w:hint="eastAsia"/>
          <w:color w:val="auto"/>
          <w:highlight w:val="none"/>
        </w:rPr>
        <w:t>二、评标办法</w:t>
      </w:r>
    </w:p>
    <w:p>
      <w:pPr>
        <w:ind w:firstLine="560"/>
        <w:rPr>
          <w:color w:val="auto"/>
          <w:highlight w:val="none"/>
        </w:rPr>
      </w:pPr>
      <w:r>
        <w:rPr>
          <w:rFonts w:hint="eastAsia"/>
          <w:color w:val="auto"/>
          <w:highlight w:val="none"/>
        </w:rPr>
        <w:t>（一）评标方法定义</w:t>
      </w:r>
    </w:p>
    <w:p>
      <w:pPr>
        <w:ind w:firstLine="560"/>
        <w:rPr>
          <w:color w:val="auto"/>
          <w:highlight w:val="none"/>
        </w:rPr>
      </w:pPr>
      <w:r>
        <w:rPr>
          <w:rFonts w:hint="eastAsia"/>
          <w:color w:val="auto"/>
          <w:highlight w:val="none"/>
        </w:rPr>
        <w:t>本项目采用</w:t>
      </w:r>
      <w:r>
        <w:rPr>
          <w:rFonts w:hint="eastAsia"/>
          <w:b/>
          <w:bCs/>
          <w:color w:val="auto"/>
          <w:highlight w:val="none"/>
        </w:rPr>
        <w:t>综合评分法</w:t>
      </w:r>
      <w:r>
        <w:rPr>
          <w:rFonts w:hint="eastAsia"/>
          <w:color w:val="auto"/>
          <w:highlight w:val="none"/>
        </w:rPr>
        <w:t>进行评比。综合评分法是指响应文件满足比选文件全部实质性要求，且按照评审因素的量化指标评审得分最高的比选响应人为中标候选人的评标方法。</w:t>
      </w:r>
    </w:p>
    <w:p>
      <w:pPr>
        <w:ind w:firstLine="560"/>
        <w:rPr>
          <w:color w:val="auto"/>
          <w:highlight w:val="none"/>
        </w:rPr>
      </w:pPr>
      <w:r>
        <w:rPr>
          <w:color w:val="auto"/>
          <w:highlight w:val="none"/>
        </w:rPr>
        <w:t>（二）评标程序</w:t>
      </w:r>
    </w:p>
    <w:p>
      <w:pPr>
        <w:ind w:firstLine="560"/>
        <w:rPr>
          <w:color w:val="auto"/>
          <w:highlight w:val="none"/>
        </w:rPr>
      </w:pPr>
      <w:r>
        <w:rPr>
          <w:rFonts w:hint="eastAsia"/>
          <w:color w:val="auto"/>
          <w:highlight w:val="none"/>
        </w:rPr>
        <w:t>评标工作由采购人负责组织，具体评标事务由采购人依法组建的</w:t>
      </w:r>
      <w:r>
        <w:rPr>
          <w:rFonts w:hint="eastAsia"/>
          <w:color w:val="auto"/>
          <w:highlight w:val="none"/>
          <w:lang w:eastAsia="zh-CN"/>
        </w:rPr>
        <w:t>评标小组</w:t>
      </w:r>
      <w:r>
        <w:rPr>
          <w:rFonts w:hint="eastAsia"/>
          <w:color w:val="auto"/>
          <w:highlight w:val="none"/>
        </w:rPr>
        <w:t>负责。</w:t>
      </w:r>
    </w:p>
    <w:p>
      <w:pPr>
        <w:ind w:firstLine="560"/>
        <w:rPr>
          <w:color w:val="auto"/>
          <w:highlight w:val="none"/>
        </w:rPr>
      </w:pPr>
      <w:r>
        <w:rPr>
          <w:rFonts w:hint="eastAsia"/>
          <w:color w:val="auto"/>
          <w:highlight w:val="none"/>
          <w:lang w:eastAsia="zh-CN"/>
        </w:rPr>
        <w:t>评标小组</w:t>
      </w:r>
      <w:r>
        <w:rPr>
          <w:rFonts w:hint="eastAsia"/>
          <w:color w:val="auto"/>
          <w:highlight w:val="none"/>
        </w:rPr>
        <w:t>成员到位后，推举其中一位评审专家担任评审组长，并由评审组长牵头组织该项目评审工作。</w:t>
      </w:r>
      <w:r>
        <w:rPr>
          <w:rFonts w:hint="eastAsia"/>
          <w:color w:val="auto"/>
          <w:highlight w:val="none"/>
          <w:lang w:eastAsia="zh-CN"/>
        </w:rPr>
        <w:t>评标小组</w:t>
      </w:r>
      <w:r>
        <w:rPr>
          <w:rFonts w:hint="eastAsia"/>
          <w:color w:val="auto"/>
          <w:highlight w:val="none"/>
        </w:rPr>
        <w:t>按以下程序独立履行评审职责：</w:t>
      </w:r>
    </w:p>
    <w:p>
      <w:pPr>
        <w:ind w:firstLine="560"/>
        <w:rPr>
          <w:color w:val="auto"/>
          <w:highlight w:val="none"/>
        </w:rPr>
      </w:pPr>
      <w:r>
        <w:rPr>
          <w:rFonts w:hint="eastAsia"/>
          <w:color w:val="auto"/>
          <w:highlight w:val="none"/>
        </w:rPr>
        <w:t>1.符合性检查。</w:t>
      </w:r>
      <w:r>
        <w:rPr>
          <w:rFonts w:hint="eastAsia"/>
          <w:color w:val="auto"/>
          <w:highlight w:val="none"/>
          <w:lang w:eastAsia="zh-CN"/>
        </w:rPr>
        <w:t>评标小组</w:t>
      </w:r>
      <w:r>
        <w:rPr>
          <w:rFonts w:hint="eastAsia"/>
          <w:color w:val="auto"/>
          <w:highlight w:val="none"/>
        </w:rPr>
        <w:t>对符合资格要求的比选响应人的比选响应文件进行符合性审查，以确定其是否满足比选文件的实质性要求。符合性要求任意一条不满足的，将被判定为投标无效。符合性检查资料表如下：</w:t>
      </w:r>
    </w:p>
    <w:tbl>
      <w:tblPr>
        <w:tblStyle w:val="11"/>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699"/>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序号</w:t>
            </w:r>
          </w:p>
        </w:tc>
        <w:tc>
          <w:tcPr>
            <w:tcW w:w="3261" w:type="dxa"/>
            <w:gridSpan w:val="2"/>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评审因素</w:t>
            </w:r>
          </w:p>
        </w:tc>
        <w:tc>
          <w:tcPr>
            <w:tcW w:w="4675" w:type="dxa"/>
            <w:vAlign w:val="center"/>
          </w:tcPr>
          <w:p>
            <w:pPr>
              <w:topLinePunct/>
              <w:autoSpaceDN w:val="0"/>
              <w:adjustRightInd w:val="0"/>
              <w:snapToGrid w:val="0"/>
              <w:spacing w:line="240" w:lineRule="auto"/>
              <w:ind w:firstLine="0" w:firstLineChars="0"/>
              <w:rPr>
                <w:rFonts w:ascii="仿宋" w:hAnsi="仿宋" w:cs="微软雅黑"/>
                <w:b/>
                <w:color w:val="auto"/>
                <w:sz w:val="21"/>
                <w:szCs w:val="21"/>
                <w:highlight w:val="none"/>
              </w:rPr>
            </w:pPr>
            <w:r>
              <w:rPr>
                <w:rFonts w:hint="eastAsia" w:ascii="仿宋" w:hAnsi="仿宋" w:cs="微软雅黑"/>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vMerge w:val="restart"/>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w:t>
            </w:r>
          </w:p>
        </w:tc>
        <w:tc>
          <w:tcPr>
            <w:tcW w:w="1562" w:type="dxa"/>
            <w:vMerge w:val="restart"/>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有效性审查</w:t>
            </w:r>
          </w:p>
        </w:tc>
        <w:tc>
          <w:tcPr>
            <w:tcW w:w="1699"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比选响应文件签署</w:t>
            </w:r>
          </w:p>
        </w:tc>
        <w:tc>
          <w:tcPr>
            <w:tcW w:w="4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比选响应文件上单位负责人或其授权代表人的签字齐全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auto"/>
              <w:ind w:firstLine="0" w:firstLineChars="0"/>
              <w:rPr>
                <w:rFonts w:ascii="仿宋" w:hAnsi="仿宋" w:cs="微软雅黑"/>
                <w:color w:val="auto"/>
                <w:sz w:val="21"/>
                <w:szCs w:val="21"/>
                <w:highlight w:val="none"/>
              </w:rPr>
            </w:pPr>
          </w:p>
        </w:tc>
        <w:tc>
          <w:tcPr>
            <w:tcW w:w="1562" w:type="dxa"/>
            <w:vMerge w:val="continue"/>
            <w:vAlign w:val="center"/>
          </w:tcPr>
          <w:p>
            <w:pPr>
              <w:spacing w:line="240" w:lineRule="auto"/>
              <w:ind w:firstLine="0" w:firstLineChars="0"/>
              <w:rPr>
                <w:rFonts w:ascii="仿宋" w:hAnsi="仿宋" w:cs="微软雅黑"/>
                <w:color w:val="auto"/>
                <w:sz w:val="21"/>
                <w:szCs w:val="21"/>
                <w:highlight w:val="none"/>
              </w:rPr>
            </w:pPr>
          </w:p>
        </w:tc>
        <w:tc>
          <w:tcPr>
            <w:tcW w:w="1699"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报价唯一</w:t>
            </w:r>
          </w:p>
        </w:tc>
        <w:tc>
          <w:tcPr>
            <w:tcW w:w="4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w:t>
            </w:r>
          </w:p>
        </w:tc>
        <w:tc>
          <w:tcPr>
            <w:tcW w:w="1562"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完整性审查</w:t>
            </w:r>
          </w:p>
        </w:tc>
        <w:tc>
          <w:tcPr>
            <w:tcW w:w="1699"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w:t>
            </w:r>
            <w:r>
              <w:rPr>
                <w:rFonts w:hint="eastAsia" w:ascii="仿宋" w:hAnsi="仿宋" w:cs="微软雅黑"/>
                <w:color w:val="auto"/>
                <w:sz w:val="21"/>
                <w:szCs w:val="21"/>
                <w:highlight w:val="none"/>
                <w:lang w:val="en-US" w:eastAsia="zh-CN"/>
              </w:rPr>
              <w:t>纸质</w:t>
            </w:r>
            <w:r>
              <w:rPr>
                <w:rFonts w:hint="eastAsia" w:ascii="仿宋" w:hAnsi="仿宋" w:cs="微软雅黑"/>
                <w:color w:val="auto"/>
                <w:sz w:val="21"/>
                <w:szCs w:val="21"/>
                <w:highlight w:val="none"/>
              </w:rPr>
              <w:t>文件份数</w:t>
            </w:r>
          </w:p>
        </w:tc>
        <w:tc>
          <w:tcPr>
            <w:tcW w:w="4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比选响应文件</w:t>
            </w:r>
            <w:r>
              <w:rPr>
                <w:rFonts w:hint="eastAsia" w:ascii="仿宋" w:hAnsi="仿宋" w:cs="微软雅黑"/>
                <w:color w:val="auto"/>
                <w:sz w:val="21"/>
                <w:szCs w:val="21"/>
                <w:highlight w:val="none"/>
                <w:lang w:val="en-US" w:eastAsia="zh-CN"/>
              </w:rPr>
              <w:t>纸质文件1份，</w:t>
            </w:r>
            <w:r>
              <w:rPr>
                <w:rFonts w:hint="eastAsia" w:ascii="仿宋" w:hAnsi="仿宋" w:cs="微软雅黑"/>
                <w:color w:val="auto"/>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3</w:t>
            </w:r>
          </w:p>
        </w:tc>
        <w:tc>
          <w:tcPr>
            <w:tcW w:w="1562"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商务部分</w:t>
            </w:r>
          </w:p>
        </w:tc>
        <w:tc>
          <w:tcPr>
            <w:tcW w:w="1699"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比选响应文件内容</w:t>
            </w:r>
          </w:p>
        </w:tc>
        <w:tc>
          <w:tcPr>
            <w:tcW w:w="4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对本比选文件第二篇中内容作出响应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5"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4</w:t>
            </w:r>
          </w:p>
        </w:tc>
        <w:tc>
          <w:tcPr>
            <w:tcW w:w="1562"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有效期</w:t>
            </w:r>
          </w:p>
        </w:tc>
        <w:tc>
          <w:tcPr>
            <w:tcW w:w="1699"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比选响应文件内容</w:t>
            </w:r>
          </w:p>
        </w:tc>
        <w:tc>
          <w:tcPr>
            <w:tcW w:w="4675" w:type="dxa"/>
            <w:vAlign w:val="center"/>
          </w:tcPr>
          <w:p>
            <w:pPr>
              <w:spacing w:line="240" w:lineRule="auto"/>
              <w:ind w:firstLine="0" w:firstLineChars="0"/>
              <w:rPr>
                <w:rFonts w:hint="default" w:ascii="仿宋" w:hAnsi="仿宋" w:eastAsia="仿宋" w:cs="微软雅黑"/>
                <w:color w:val="auto"/>
                <w:sz w:val="21"/>
                <w:szCs w:val="21"/>
                <w:highlight w:val="none"/>
                <w:lang w:val="en-US" w:eastAsia="zh-CN"/>
              </w:rPr>
            </w:pPr>
            <w:r>
              <w:rPr>
                <w:rFonts w:hint="eastAsia" w:ascii="仿宋" w:hAnsi="仿宋" w:cs="微软雅黑"/>
                <w:color w:val="auto"/>
                <w:sz w:val="21"/>
                <w:szCs w:val="21"/>
                <w:highlight w:val="none"/>
              </w:rPr>
              <w:t>竞争性比选有效期为递交比选响应文件截止日期后九十天内</w:t>
            </w:r>
          </w:p>
        </w:tc>
      </w:tr>
    </w:tbl>
    <w:p>
      <w:pPr>
        <w:ind w:firstLine="560"/>
        <w:rPr>
          <w:color w:val="auto"/>
          <w:highlight w:val="none"/>
        </w:rPr>
      </w:pPr>
      <w:bookmarkStart w:id="6" w:name="_Toc340223153"/>
      <w:bookmarkStart w:id="7" w:name="_Toc267320057"/>
      <w:r>
        <w:rPr>
          <w:rFonts w:hint="eastAsia"/>
          <w:color w:val="auto"/>
          <w:highlight w:val="none"/>
          <w:lang w:val="en-US" w:eastAsia="zh-CN"/>
        </w:rPr>
        <w:t>2</w:t>
      </w:r>
      <w:r>
        <w:rPr>
          <w:rFonts w:hint="eastAsia"/>
          <w:color w:val="auto"/>
          <w:highlight w:val="none"/>
        </w:rPr>
        <w:t>.比较与评价。按比选文件中规定的评标方法和标准，对资格性检查和符合性检查合格的比选响应文件进行报价和商务评估。</w:t>
      </w:r>
    </w:p>
    <w:p>
      <w:pPr>
        <w:ind w:firstLine="560"/>
        <w:rPr>
          <w:color w:val="auto"/>
          <w:highlight w:val="none"/>
        </w:rPr>
      </w:pPr>
      <w:r>
        <w:rPr>
          <w:rFonts w:hint="eastAsia"/>
          <w:color w:val="auto"/>
          <w:highlight w:val="none"/>
          <w:lang w:eastAsia="zh-CN"/>
        </w:rPr>
        <w:t>评标小组</w:t>
      </w:r>
      <w:r>
        <w:rPr>
          <w:rFonts w:hint="eastAsia"/>
          <w:color w:val="auto"/>
          <w:highlight w:val="none"/>
        </w:rPr>
        <w:t>各成员独立对每个有效比选响应人的比选响应文件进行比较和评价，对需要共同认定的事项存在争议的，应当按照少数服从多数的原则作出结论。持不同意见的</w:t>
      </w:r>
      <w:r>
        <w:rPr>
          <w:rFonts w:hint="eastAsia"/>
          <w:color w:val="auto"/>
          <w:highlight w:val="none"/>
          <w:lang w:eastAsia="zh-CN"/>
        </w:rPr>
        <w:t>评标小组</w:t>
      </w:r>
      <w:r>
        <w:rPr>
          <w:rFonts w:hint="eastAsia"/>
          <w:color w:val="auto"/>
          <w:highlight w:val="none"/>
        </w:rPr>
        <w:t>成员应当在评标报告上签署不同意见及理由，否则视为同意评标报告。</w:t>
      </w:r>
    </w:p>
    <w:p>
      <w:pPr>
        <w:ind w:firstLine="560"/>
        <w:rPr>
          <w:color w:val="auto"/>
          <w:highlight w:val="none"/>
        </w:rPr>
      </w:pPr>
      <w:r>
        <w:rPr>
          <w:rFonts w:hint="eastAsia"/>
          <w:color w:val="auto"/>
          <w:highlight w:val="none"/>
        </w:rPr>
        <w:t>由采购人核对评标结果，复核后，</w:t>
      </w:r>
      <w:r>
        <w:rPr>
          <w:rFonts w:hint="eastAsia"/>
          <w:color w:val="auto"/>
          <w:highlight w:val="none"/>
          <w:lang w:eastAsia="zh-CN"/>
        </w:rPr>
        <w:t>评标小组</w:t>
      </w:r>
      <w:r>
        <w:rPr>
          <w:rFonts w:hint="eastAsia"/>
          <w:color w:val="auto"/>
          <w:highlight w:val="none"/>
        </w:rPr>
        <w:t>汇总每个比选响应人每项评分因素的得分。</w:t>
      </w:r>
    </w:p>
    <w:p>
      <w:pPr>
        <w:ind w:firstLine="56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评标小组</w:t>
      </w:r>
      <w:r>
        <w:rPr>
          <w:rFonts w:hint="eastAsia"/>
          <w:color w:val="auto"/>
          <w:highlight w:val="none"/>
        </w:rPr>
        <w:t>认为比选响应人的报价明显低于其他通过符合性审查比选响应人的报价，有可能影响产品质量或者不能诚信履约的，应当</w:t>
      </w:r>
      <w:r>
        <w:rPr>
          <w:rFonts w:hint="eastAsia"/>
          <w:color w:val="auto"/>
          <w:highlight w:val="none"/>
          <w:lang w:val="en-US" w:eastAsia="zh-CN"/>
        </w:rPr>
        <w:t>通知响应人在</w:t>
      </w:r>
      <w:r>
        <w:rPr>
          <w:rFonts w:hint="eastAsia"/>
          <w:color w:val="auto"/>
          <w:highlight w:val="none"/>
        </w:rPr>
        <w:t>合理的时间内提供书面说明，必要时提交相关证明材料；比选响应人不能证明其报价合理性的，</w:t>
      </w:r>
      <w:r>
        <w:rPr>
          <w:rFonts w:hint="eastAsia"/>
          <w:color w:val="auto"/>
          <w:highlight w:val="none"/>
          <w:lang w:eastAsia="zh-CN"/>
        </w:rPr>
        <w:t>评标小组</w:t>
      </w:r>
      <w:r>
        <w:rPr>
          <w:rFonts w:hint="eastAsia"/>
          <w:color w:val="auto"/>
          <w:highlight w:val="none"/>
        </w:rPr>
        <w:t>应当将其作为投标无效处理。</w:t>
      </w:r>
    </w:p>
    <w:p>
      <w:pPr>
        <w:ind w:firstLine="56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评标小组</w:t>
      </w:r>
      <w:r>
        <w:rPr>
          <w:rFonts w:hint="eastAsia"/>
          <w:color w:val="auto"/>
          <w:highlight w:val="none"/>
        </w:rPr>
        <w:t>各成员独立对通过</w:t>
      </w:r>
      <w:r>
        <w:rPr>
          <w:color w:val="auto"/>
          <w:highlight w:val="none"/>
        </w:rPr>
        <w:t>资格性和符合性审查的</w:t>
      </w:r>
      <w:r>
        <w:rPr>
          <w:rFonts w:hint="eastAsia"/>
          <w:color w:val="auto"/>
          <w:highlight w:val="none"/>
        </w:rPr>
        <w:t>比选响应文件进行评价、打分，然后汇总每个比选响应人每项评分因素的得分。</w:t>
      </w:r>
    </w:p>
    <w:p>
      <w:pPr>
        <w:ind w:firstLine="560"/>
        <w:rPr>
          <w:color w:val="auto"/>
          <w:highlight w:val="none"/>
        </w:rPr>
      </w:pPr>
      <w:r>
        <w:rPr>
          <w:rFonts w:hint="eastAsia"/>
          <w:color w:val="auto"/>
          <w:highlight w:val="none"/>
          <w:lang w:val="en-US" w:eastAsia="zh-CN"/>
        </w:rPr>
        <w:t>5</w:t>
      </w:r>
      <w:r>
        <w:rPr>
          <w:rFonts w:hint="eastAsia"/>
          <w:color w:val="auto"/>
          <w:highlight w:val="none"/>
        </w:rPr>
        <w:t>.推荐中标候选人名单。评标结果按评审后得分由高到低顺序排列</w:t>
      </w:r>
      <w:r>
        <w:rPr>
          <w:rFonts w:hint="eastAsia"/>
          <w:color w:val="auto"/>
          <w:highlight w:val="none"/>
          <w:lang w:eastAsia="zh-CN"/>
        </w:rPr>
        <w:t>；</w:t>
      </w:r>
      <w:r>
        <w:rPr>
          <w:rFonts w:hint="eastAsia"/>
          <w:color w:val="auto"/>
          <w:highlight w:val="none"/>
        </w:rPr>
        <w:t>得分相同的，按报价由低到高顺序排列</w:t>
      </w:r>
      <w:r>
        <w:rPr>
          <w:rFonts w:hint="eastAsia"/>
          <w:color w:val="auto"/>
          <w:highlight w:val="none"/>
          <w:lang w:eastAsia="zh-CN"/>
        </w:rPr>
        <w:t>；</w:t>
      </w:r>
      <w:r>
        <w:rPr>
          <w:rFonts w:hint="eastAsia"/>
          <w:color w:val="auto"/>
          <w:highlight w:val="none"/>
        </w:rPr>
        <w:t>得分且报价相同的</w:t>
      </w:r>
      <w:r>
        <w:rPr>
          <w:rFonts w:hint="eastAsia"/>
          <w:color w:val="auto"/>
          <w:highlight w:val="none"/>
          <w:lang w:eastAsia="zh-CN"/>
        </w:rPr>
        <w:t>，</w:t>
      </w:r>
      <w:r>
        <w:rPr>
          <w:rFonts w:hint="eastAsia"/>
          <w:color w:val="auto"/>
          <w:highlight w:val="none"/>
          <w:lang w:val="en-US" w:eastAsia="zh-CN"/>
        </w:rPr>
        <w:t>按比选响应人实力得分由高到低顺序排列；再相同的，按</w:t>
      </w:r>
      <w:r>
        <w:rPr>
          <w:rFonts w:hint="eastAsia"/>
          <w:color w:val="auto"/>
          <w:highlight w:val="none"/>
        </w:rPr>
        <w:t>比选响应</w:t>
      </w:r>
      <w:r>
        <w:rPr>
          <w:rFonts w:hint="eastAsia"/>
          <w:color w:val="auto"/>
          <w:highlight w:val="none"/>
          <w:lang w:val="en-US" w:eastAsia="zh-CN"/>
        </w:rPr>
        <w:t>人服务得分高低排列；再再相同的，由评标小组无记名投票方式确定一名</w:t>
      </w:r>
      <w:r>
        <w:rPr>
          <w:rFonts w:hint="eastAsia"/>
          <w:color w:val="auto"/>
          <w:highlight w:val="none"/>
        </w:rPr>
        <w:t>中标候选人。</w:t>
      </w:r>
    </w:p>
    <w:p>
      <w:pPr>
        <w:pStyle w:val="3"/>
        <w:ind w:firstLine="643" w:firstLineChars="200"/>
        <w:rPr>
          <w:color w:val="auto"/>
          <w:highlight w:val="none"/>
        </w:rPr>
      </w:pPr>
      <w:r>
        <w:rPr>
          <w:rFonts w:hint="eastAsia"/>
          <w:color w:val="auto"/>
          <w:highlight w:val="none"/>
        </w:rPr>
        <w:t>三、评审标准</w:t>
      </w:r>
      <w:bookmarkEnd w:id="6"/>
      <w:bookmarkEnd w:id="7"/>
      <w:bookmarkStart w:id="8" w:name="_Toc471306371"/>
      <w:bookmarkStart w:id="9" w:name="_Toc467236134"/>
    </w:p>
    <w:bookmarkEnd w:id="8"/>
    <w:bookmarkEnd w:id="9"/>
    <w:tbl>
      <w:tblPr>
        <w:tblStyle w:val="11"/>
        <w:tblW w:w="86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30"/>
        <w:gridCol w:w="994"/>
        <w:gridCol w:w="3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序号</w:t>
            </w:r>
          </w:p>
        </w:tc>
        <w:tc>
          <w:tcPr>
            <w:tcW w:w="1330" w:type="dxa"/>
            <w:vAlign w:val="center"/>
          </w:tcPr>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评分因素</w:t>
            </w:r>
          </w:p>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及权重</w:t>
            </w:r>
          </w:p>
        </w:tc>
        <w:tc>
          <w:tcPr>
            <w:tcW w:w="994" w:type="dxa"/>
            <w:vAlign w:val="center"/>
          </w:tcPr>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分值</w:t>
            </w:r>
          </w:p>
        </w:tc>
        <w:tc>
          <w:tcPr>
            <w:tcW w:w="3688" w:type="dxa"/>
            <w:vAlign w:val="center"/>
          </w:tcPr>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评分标准</w:t>
            </w:r>
          </w:p>
        </w:tc>
        <w:tc>
          <w:tcPr>
            <w:tcW w:w="1800" w:type="dxa"/>
            <w:vAlign w:val="center"/>
          </w:tcPr>
          <w:p>
            <w:pPr>
              <w:snapToGrid w:val="0"/>
              <w:spacing w:line="240" w:lineRule="auto"/>
              <w:ind w:firstLine="0" w:firstLineChars="0"/>
              <w:rPr>
                <w:rFonts w:ascii="仿宋" w:hAnsi="仿宋" w:cs="微软雅黑"/>
                <w:b/>
                <w:bCs/>
                <w:color w:val="auto"/>
                <w:sz w:val="21"/>
                <w:szCs w:val="21"/>
                <w:highlight w:val="none"/>
              </w:rPr>
            </w:pPr>
            <w:r>
              <w:rPr>
                <w:rFonts w:hint="eastAsia" w:ascii="仿宋" w:hAnsi="仿宋" w:cs="微软雅黑"/>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846"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（一）</w:t>
            </w:r>
          </w:p>
        </w:tc>
        <w:tc>
          <w:tcPr>
            <w:tcW w:w="1330"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投标报价</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w:t>
            </w:r>
            <w:r>
              <w:rPr>
                <w:rFonts w:hint="eastAsia" w:ascii="仿宋" w:hAnsi="仿宋" w:cs="微软雅黑"/>
                <w:color w:val="auto"/>
                <w:sz w:val="21"/>
                <w:szCs w:val="21"/>
                <w:highlight w:val="none"/>
                <w:lang w:val="en-US" w:eastAsia="zh-CN"/>
              </w:rPr>
              <w:t>8</w:t>
            </w:r>
            <w:r>
              <w:rPr>
                <w:rFonts w:hint="eastAsia" w:ascii="仿宋" w:hAnsi="仿宋" w:cs="微软雅黑"/>
                <w:color w:val="auto"/>
                <w:sz w:val="21"/>
                <w:szCs w:val="21"/>
                <w:highlight w:val="none"/>
              </w:rPr>
              <w:t>0%）</w:t>
            </w:r>
          </w:p>
        </w:tc>
        <w:tc>
          <w:tcPr>
            <w:tcW w:w="994" w:type="dxa"/>
            <w:vAlign w:val="center"/>
          </w:tcPr>
          <w:p>
            <w:pPr>
              <w:snapToGrid w:val="0"/>
              <w:spacing w:line="240" w:lineRule="auto"/>
              <w:ind w:firstLine="0" w:firstLineChars="0"/>
              <w:jc w:val="center"/>
              <w:rPr>
                <w:rFonts w:ascii="仿宋" w:hAnsi="仿宋" w:cs="微软雅黑"/>
                <w:color w:val="auto"/>
                <w:sz w:val="21"/>
                <w:szCs w:val="21"/>
                <w:highlight w:val="none"/>
              </w:rPr>
            </w:pPr>
            <w:r>
              <w:rPr>
                <w:rFonts w:hint="eastAsia" w:ascii="仿宋" w:hAnsi="仿宋" w:cs="微软雅黑"/>
                <w:color w:val="auto"/>
                <w:sz w:val="21"/>
                <w:szCs w:val="21"/>
                <w:highlight w:val="none"/>
                <w:lang w:val="en-US" w:eastAsia="zh-CN"/>
              </w:rPr>
              <w:t>8</w:t>
            </w:r>
            <w:r>
              <w:rPr>
                <w:rFonts w:ascii="仿宋" w:hAnsi="仿宋" w:cs="微软雅黑"/>
                <w:color w:val="auto"/>
                <w:sz w:val="21"/>
                <w:szCs w:val="21"/>
                <w:highlight w:val="none"/>
              </w:rPr>
              <w:t>0</w:t>
            </w:r>
          </w:p>
        </w:tc>
        <w:tc>
          <w:tcPr>
            <w:tcW w:w="3688" w:type="dxa"/>
            <w:vAlign w:val="center"/>
          </w:tcPr>
          <w:p>
            <w:pPr>
              <w:spacing w:line="240" w:lineRule="auto"/>
              <w:ind w:firstLine="0" w:firstLineChars="0"/>
              <w:jc w:val="left"/>
              <w:rPr>
                <w:rFonts w:ascii="仿宋" w:hAnsi="仿宋" w:cs="微软雅黑"/>
                <w:color w:val="auto"/>
                <w:sz w:val="21"/>
                <w:szCs w:val="21"/>
                <w:highlight w:val="none"/>
              </w:rPr>
            </w:pPr>
            <w:r>
              <w:rPr>
                <w:rFonts w:hint="eastAsia" w:ascii="仿宋" w:hAnsi="仿宋" w:cs="微软雅黑"/>
                <w:color w:val="auto"/>
                <w:sz w:val="21"/>
                <w:szCs w:val="21"/>
                <w:highlight w:val="none"/>
              </w:rPr>
              <w:t>本次报价只报商业险自主定价</w:t>
            </w:r>
            <w:r>
              <w:rPr>
                <w:rFonts w:ascii="仿宋" w:hAnsi="仿宋" w:cs="微软雅黑"/>
                <w:color w:val="auto"/>
                <w:sz w:val="21"/>
                <w:szCs w:val="21"/>
                <w:highlight w:val="none"/>
              </w:rPr>
              <w:t>系数</w:t>
            </w:r>
            <w:r>
              <w:rPr>
                <w:rFonts w:hint="eastAsia" w:ascii="仿宋" w:hAnsi="仿宋" w:cs="微软雅黑"/>
                <w:color w:val="auto"/>
                <w:sz w:val="21"/>
                <w:szCs w:val="21"/>
                <w:highlight w:val="none"/>
              </w:rPr>
              <w:t>，报价保留两位小数，如0.</w:t>
            </w:r>
            <w:r>
              <w:rPr>
                <w:rFonts w:ascii="仿宋" w:hAnsi="仿宋" w:cs="微软雅黑"/>
                <w:color w:val="auto"/>
                <w:sz w:val="21"/>
                <w:szCs w:val="21"/>
                <w:highlight w:val="none"/>
              </w:rPr>
              <w:t>XX</w:t>
            </w:r>
            <w:r>
              <w:rPr>
                <w:rFonts w:hint="eastAsia" w:ascii="仿宋" w:hAnsi="仿宋" w:cs="微软雅黑"/>
                <w:color w:val="auto"/>
                <w:sz w:val="21"/>
                <w:szCs w:val="21"/>
                <w:highlight w:val="none"/>
              </w:rPr>
              <w:t>； 有效的最低报价为评标基准价。按照下列公式计算每个参选人的投标价格得分：</w:t>
            </w:r>
          </w:p>
          <w:p>
            <w:pPr>
              <w:spacing w:line="240" w:lineRule="auto"/>
              <w:ind w:firstLine="0" w:firstLineChars="0"/>
              <w:jc w:val="left"/>
              <w:rPr>
                <w:rFonts w:ascii="仿宋" w:hAnsi="仿宋" w:cs="微软雅黑"/>
                <w:color w:val="auto"/>
                <w:sz w:val="21"/>
                <w:szCs w:val="21"/>
                <w:highlight w:val="none"/>
              </w:rPr>
            </w:pPr>
            <w:r>
              <w:rPr>
                <w:rFonts w:hint="eastAsia" w:ascii="仿宋" w:hAnsi="仿宋" w:cs="微软雅黑"/>
                <w:color w:val="auto"/>
                <w:sz w:val="21"/>
                <w:szCs w:val="21"/>
                <w:highlight w:val="none"/>
              </w:rPr>
              <w:t>参选人投标报价得分评分标准：自主定价系数最低的参选人得</w:t>
            </w:r>
            <w:r>
              <w:rPr>
                <w:rFonts w:hint="eastAsia" w:ascii="仿宋" w:hAnsi="仿宋" w:cs="微软雅黑"/>
                <w:color w:val="auto"/>
                <w:sz w:val="21"/>
                <w:szCs w:val="21"/>
                <w:highlight w:val="none"/>
                <w:lang w:val="en-US" w:eastAsia="zh-CN"/>
              </w:rPr>
              <w:t>8</w:t>
            </w:r>
            <w:r>
              <w:rPr>
                <w:rFonts w:hint="eastAsia" w:ascii="仿宋" w:hAnsi="仿宋" w:cs="微软雅黑"/>
                <w:color w:val="auto"/>
                <w:sz w:val="21"/>
                <w:szCs w:val="21"/>
                <w:highlight w:val="none"/>
              </w:rPr>
              <w:t>0分，每高于百分之一的扣2分，以此类推</w:t>
            </w:r>
            <w:r>
              <w:rPr>
                <w:rFonts w:ascii="仿宋" w:hAnsi="仿宋" w:cs="微软雅黑"/>
                <w:color w:val="auto"/>
                <w:sz w:val="21"/>
                <w:szCs w:val="21"/>
                <w:highlight w:val="none"/>
              </w:rPr>
              <w:t>。</w:t>
            </w:r>
          </w:p>
          <w:p>
            <w:pPr>
              <w:spacing w:line="240" w:lineRule="auto"/>
              <w:ind w:firstLine="0" w:firstLineChars="0"/>
              <w:jc w:val="left"/>
              <w:rPr>
                <w:rFonts w:ascii="仿宋" w:hAnsi="仿宋" w:cs="微软雅黑"/>
                <w:color w:val="auto"/>
                <w:sz w:val="21"/>
                <w:szCs w:val="21"/>
                <w:highlight w:val="none"/>
              </w:rPr>
            </w:pPr>
          </w:p>
          <w:p>
            <w:pPr>
              <w:spacing w:line="240" w:lineRule="auto"/>
              <w:ind w:firstLine="0" w:firstLineChars="0"/>
              <w:jc w:val="left"/>
              <w:rPr>
                <w:rFonts w:ascii="仿宋" w:hAnsi="仿宋" w:cs="微软雅黑"/>
                <w:color w:val="auto"/>
                <w:szCs w:val="21"/>
                <w:highlight w:val="none"/>
              </w:rPr>
            </w:pPr>
            <w:r>
              <w:rPr>
                <w:rFonts w:ascii="仿宋" w:hAnsi="仿宋" w:cs="微软雅黑"/>
                <w:color w:val="auto"/>
                <w:sz w:val="21"/>
                <w:szCs w:val="21"/>
                <w:highlight w:val="none"/>
              </w:rPr>
              <w:t>交强险按保险监管机关规定的最大优惠比例执行。</w:t>
            </w:r>
          </w:p>
          <w:p>
            <w:pPr>
              <w:snapToGrid w:val="0"/>
              <w:spacing w:line="240" w:lineRule="auto"/>
              <w:ind w:firstLine="0" w:firstLineChars="0"/>
              <w:rPr>
                <w:rFonts w:ascii="仿宋" w:hAnsi="仿宋" w:cs="微软雅黑"/>
                <w:color w:val="auto"/>
                <w:sz w:val="21"/>
                <w:szCs w:val="21"/>
                <w:highlight w:val="none"/>
              </w:rPr>
            </w:pPr>
          </w:p>
        </w:tc>
        <w:tc>
          <w:tcPr>
            <w:tcW w:w="1800" w:type="dxa"/>
            <w:vAlign w:val="center"/>
          </w:tcPr>
          <w:p>
            <w:pPr>
              <w:spacing w:line="240" w:lineRule="auto"/>
              <w:ind w:firstLine="0" w:firstLineChars="0"/>
              <w:jc w:val="center"/>
              <w:rPr>
                <w:rFonts w:hint="default" w:ascii="仿宋" w:hAnsi="仿宋" w:eastAsia="仿宋" w:cs="方正仿宋_GBK"/>
                <w:color w:val="auto"/>
                <w:sz w:val="21"/>
                <w:szCs w:val="21"/>
                <w:highlight w:val="none"/>
                <w:lang w:val="en-US" w:eastAsia="zh-CN"/>
              </w:rPr>
            </w:pPr>
            <w:r>
              <w:rPr>
                <w:rFonts w:hint="eastAsia" w:ascii="仿宋" w:hAnsi="仿宋" w:cs="方正仿宋_GBK"/>
                <w:color w:val="auto"/>
                <w:sz w:val="21"/>
                <w:szCs w:val="21"/>
                <w:highlight w:val="none"/>
                <w:lang w:val="en-US" w:eastAsia="zh-CN"/>
              </w:rPr>
              <w:t>违反保险</w:t>
            </w:r>
            <w:r>
              <w:rPr>
                <w:rFonts w:hint="eastAsia" w:ascii="仿宋" w:hAnsi="仿宋" w:cs="微软雅黑"/>
                <w:color w:val="auto"/>
                <w:sz w:val="21"/>
                <w:szCs w:val="21"/>
                <w:highlight w:val="none"/>
              </w:rPr>
              <w:t>《中国保险行业协会机动车商业保险示范条款（</w:t>
            </w:r>
            <w:r>
              <w:rPr>
                <w:rFonts w:ascii="仿宋" w:hAnsi="仿宋" w:cs="微软雅黑"/>
                <w:color w:val="auto"/>
                <w:sz w:val="21"/>
                <w:szCs w:val="21"/>
                <w:highlight w:val="none"/>
              </w:rPr>
              <w:t>2020 版）》</w:t>
            </w:r>
            <w:r>
              <w:rPr>
                <w:rFonts w:hint="eastAsia" w:ascii="仿宋" w:hAnsi="仿宋" w:cs="方正仿宋_GBK"/>
                <w:color w:val="auto"/>
                <w:sz w:val="21"/>
                <w:szCs w:val="21"/>
                <w:highlight w:val="none"/>
                <w:lang w:val="en-US" w:eastAsia="zh-CN"/>
              </w:rPr>
              <w:t>报价的，本项不得分。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46" w:type="dxa"/>
            <w:vMerge w:val="restart"/>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（二）</w:t>
            </w:r>
          </w:p>
        </w:tc>
        <w:tc>
          <w:tcPr>
            <w:tcW w:w="1330" w:type="dxa"/>
            <w:vMerge w:val="restart"/>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比选响应人实力</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w:t>
            </w:r>
            <w:r>
              <w:rPr>
                <w:rFonts w:hint="eastAsia" w:ascii="仿宋" w:hAnsi="仿宋" w:cs="微软雅黑"/>
                <w:color w:val="auto"/>
                <w:sz w:val="21"/>
                <w:szCs w:val="21"/>
                <w:highlight w:val="none"/>
                <w:lang w:val="en-US" w:eastAsia="zh-CN"/>
              </w:rPr>
              <w:t>1</w:t>
            </w:r>
            <w:r>
              <w:rPr>
                <w:rFonts w:hint="eastAsia" w:ascii="仿宋" w:hAnsi="仿宋" w:cs="微软雅黑"/>
                <w:color w:val="auto"/>
                <w:sz w:val="21"/>
                <w:szCs w:val="21"/>
                <w:highlight w:val="none"/>
              </w:rPr>
              <w:t>0%）</w:t>
            </w:r>
          </w:p>
        </w:tc>
        <w:tc>
          <w:tcPr>
            <w:tcW w:w="994" w:type="dxa"/>
            <w:vMerge w:val="restart"/>
            <w:vAlign w:val="center"/>
          </w:tcPr>
          <w:p>
            <w:pPr>
              <w:snapToGrid w:val="0"/>
              <w:spacing w:line="240" w:lineRule="auto"/>
              <w:ind w:firstLine="0" w:firstLineChars="0"/>
              <w:jc w:val="center"/>
              <w:rPr>
                <w:rFonts w:ascii="仿宋" w:hAnsi="仿宋" w:cs="微软雅黑"/>
                <w:color w:val="auto"/>
                <w:sz w:val="21"/>
                <w:szCs w:val="21"/>
                <w:highlight w:val="none"/>
              </w:rPr>
            </w:pPr>
            <w:r>
              <w:rPr>
                <w:rFonts w:hint="eastAsia" w:ascii="仿宋" w:hAnsi="仿宋" w:cs="微软雅黑"/>
                <w:color w:val="auto"/>
                <w:sz w:val="21"/>
                <w:szCs w:val="21"/>
                <w:highlight w:val="none"/>
                <w:lang w:val="en-US" w:eastAsia="zh-CN"/>
              </w:rPr>
              <w:t>1</w:t>
            </w:r>
            <w:r>
              <w:rPr>
                <w:rFonts w:hint="eastAsia" w:ascii="仿宋" w:hAnsi="仿宋" w:cs="微软雅黑"/>
                <w:color w:val="auto"/>
                <w:sz w:val="21"/>
                <w:szCs w:val="21"/>
                <w:highlight w:val="none"/>
              </w:rPr>
              <w:t>0</w:t>
            </w:r>
          </w:p>
        </w:tc>
        <w:tc>
          <w:tcPr>
            <w:tcW w:w="3688" w:type="dxa"/>
            <w:vAlign w:val="center"/>
          </w:tcPr>
          <w:p>
            <w:pPr>
              <w:snapToGrid w:val="0"/>
              <w:spacing w:line="240" w:lineRule="auto"/>
              <w:ind w:firstLine="0" w:firstLineChars="0"/>
              <w:rPr>
                <w:rFonts w:hint="eastAsia" w:ascii="仿宋" w:hAnsi="仿宋" w:cs="微软雅黑"/>
                <w:color w:val="auto"/>
                <w:sz w:val="21"/>
                <w:szCs w:val="21"/>
                <w:highlight w:val="none"/>
              </w:rPr>
            </w:pPr>
            <w:r>
              <w:rPr>
                <w:rFonts w:hint="eastAsia" w:ascii="仿宋" w:hAnsi="仿宋" w:cs="微软雅黑"/>
                <w:color w:val="auto"/>
                <w:sz w:val="21"/>
                <w:szCs w:val="21"/>
                <w:highlight w:val="none"/>
              </w:rPr>
              <w:t>1.比选响应人总公司的偿付能力情况（</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比选响应人总公司2022年度综合偿付率达到200%及以上，得</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分，150%（含）-200%得</w:t>
            </w:r>
            <w:r>
              <w:rPr>
                <w:rFonts w:hint="eastAsia" w:ascii="仿宋" w:hAnsi="仿宋" w:cs="微软雅黑"/>
                <w:color w:val="auto"/>
                <w:sz w:val="21"/>
                <w:szCs w:val="21"/>
                <w:highlight w:val="none"/>
                <w:lang w:val="en-US" w:eastAsia="zh-CN"/>
              </w:rPr>
              <w:t>1.5</w:t>
            </w:r>
            <w:r>
              <w:rPr>
                <w:rFonts w:hint="eastAsia" w:ascii="仿宋" w:hAnsi="仿宋" w:cs="微软雅黑"/>
                <w:color w:val="auto"/>
                <w:sz w:val="21"/>
                <w:szCs w:val="21"/>
                <w:highlight w:val="none"/>
              </w:rPr>
              <w:t>分，100%（含）-150%得1分，100%以下得0分。</w:t>
            </w:r>
          </w:p>
        </w:tc>
        <w:tc>
          <w:tcPr>
            <w:tcW w:w="1800"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提供比选响应人总公司2022年度偿付能力报告摘要（复印件并加盖比选响应人公章），未提供不得分。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vAlign w:val="center"/>
          </w:tcPr>
          <w:p>
            <w:pPr>
              <w:spacing w:line="240" w:lineRule="auto"/>
              <w:ind w:firstLine="0" w:firstLineChars="0"/>
              <w:jc w:val="center"/>
              <w:rPr>
                <w:rFonts w:ascii="仿宋" w:hAnsi="仿宋" w:cs="方正仿宋_GBK"/>
                <w:color w:val="auto"/>
                <w:sz w:val="21"/>
                <w:szCs w:val="21"/>
                <w:highlight w:val="none"/>
              </w:rPr>
            </w:pPr>
          </w:p>
        </w:tc>
        <w:tc>
          <w:tcPr>
            <w:tcW w:w="3688"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2.比选响应人总公司的注册资本金（</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hint="eastAsia" w:ascii="仿宋" w:hAnsi="仿宋" w:eastAsia="仿宋" w:cs="微软雅黑"/>
                <w:color w:val="auto"/>
                <w:sz w:val="21"/>
                <w:szCs w:val="21"/>
                <w:highlight w:val="none"/>
                <w:lang w:val="en-US" w:eastAsia="zh-CN"/>
              </w:rPr>
            </w:pPr>
            <w:r>
              <w:rPr>
                <w:rFonts w:hint="eastAsia" w:ascii="仿宋" w:hAnsi="仿宋" w:cs="微软雅黑"/>
                <w:color w:val="auto"/>
                <w:sz w:val="21"/>
                <w:szCs w:val="21"/>
                <w:highlight w:val="none"/>
              </w:rPr>
              <w:t>比选响应人总公司注册资本金200亿元及以上得</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分，150亿（含）-200亿得</w:t>
            </w:r>
            <w:r>
              <w:rPr>
                <w:rFonts w:hint="eastAsia" w:ascii="仿宋" w:hAnsi="仿宋" w:cs="微软雅黑"/>
                <w:color w:val="auto"/>
                <w:sz w:val="21"/>
                <w:szCs w:val="21"/>
                <w:highlight w:val="none"/>
                <w:lang w:val="en-US" w:eastAsia="zh-CN"/>
              </w:rPr>
              <w:t>1.5</w:t>
            </w:r>
            <w:r>
              <w:rPr>
                <w:rFonts w:hint="eastAsia" w:ascii="仿宋" w:hAnsi="仿宋" w:cs="微软雅黑"/>
                <w:color w:val="auto"/>
                <w:sz w:val="21"/>
                <w:szCs w:val="21"/>
                <w:highlight w:val="none"/>
              </w:rPr>
              <w:t>分，100亿（含）-150亿得1分</w:t>
            </w:r>
            <w:r>
              <w:rPr>
                <w:rFonts w:hint="eastAsia" w:ascii="仿宋" w:hAnsi="仿宋" w:cs="微软雅黑"/>
                <w:color w:val="auto"/>
                <w:sz w:val="21"/>
                <w:szCs w:val="21"/>
                <w:highlight w:val="none"/>
                <w:lang w:eastAsia="zh-CN"/>
              </w:rPr>
              <w:t>。</w:t>
            </w:r>
          </w:p>
        </w:tc>
        <w:tc>
          <w:tcPr>
            <w:tcW w:w="1800"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提供全国企业信用信息公示系统注册资本金页面截图。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vAlign w:val="center"/>
          </w:tcPr>
          <w:p>
            <w:pPr>
              <w:spacing w:line="240" w:lineRule="auto"/>
              <w:ind w:firstLine="0" w:firstLineChars="0"/>
              <w:jc w:val="center"/>
              <w:rPr>
                <w:rFonts w:ascii="仿宋" w:hAnsi="仿宋" w:cs="方正仿宋_GBK"/>
                <w:color w:val="auto"/>
                <w:sz w:val="21"/>
                <w:szCs w:val="21"/>
                <w:highlight w:val="none"/>
              </w:rPr>
            </w:pPr>
          </w:p>
        </w:tc>
        <w:tc>
          <w:tcPr>
            <w:tcW w:w="3688"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3.比选响应人在重庆市设有分支机构数量（</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3</w:t>
            </w:r>
            <w:r>
              <w:rPr>
                <w:rFonts w:hint="eastAsia" w:ascii="仿宋" w:hAnsi="仿宋" w:cs="微软雅黑"/>
                <w:color w:val="auto"/>
                <w:sz w:val="21"/>
                <w:szCs w:val="21"/>
                <w:highlight w:val="none"/>
                <w:lang w:val="en-US" w:eastAsia="zh-CN"/>
              </w:rPr>
              <w:t>5</w:t>
            </w:r>
            <w:r>
              <w:rPr>
                <w:rFonts w:hint="eastAsia" w:ascii="仿宋" w:hAnsi="仿宋" w:cs="微软雅黑"/>
                <w:color w:val="auto"/>
                <w:sz w:val="21"/>
                <w:szCs w:val="21"/>
                <w:highlight w:val="none"/>
              </w:rPr>
              <w:t>个及以上得</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30个（含）至3</w:t>
            </w:r>
            <w:r>
              <w:rPr>
                <w:rFonts w:hint="eastAsia" w:ascii="仿宋" w:hAnsi="仿宋" w:cs="微软雅黑"/>
                <w:color w:val="auto"/>
                <w:sz w:val="21"/>
                <w:szCs w:val="21"/>
                <w:highlight w:val="none"/>
                <w:lang w:val="en-US" w:eastAsia="zh-CN"/>
              </w:rPr>
              <w:t>4</w:t>
            </w:r>
            <w:r>
              <w:rPr>
                <w:rFonts w:hint="eastAsia" w:ascii="仿宋" w:hAnsi="仿宋" w:cs="微软雅黑"/>
                <w:color w:val="auto"/>
                <w:sz w:val="21"/>
                <w:szCs w:val="21"/>
                <w:highlight w:val="none"/>
              </w:rPr>
              <w:t>个得</w:t>
            </w:r>
            <w:r>
              <w:rPr>
                <w:rFonts w:hint="eastAsia" w:ascii="仿宋" w:hAnsi="仿宋" w:cs="微软雅黑"/>
                <w:color w:val="auto"/>
                <w:sz w:val="21"/>
                <w:szCs w:val="21"/>
                <w:highlight w:val="none"/>
                <w:lang w:val="en-US" w:eastAsia="zh-CN"/>
              </w:rPr>
              <w:t>1.5</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25个（含）至30个以下1分；</w:t>
            </w:r>
          </w:p>
          <w:p>
            <w:pPr>
              <w:snapToGrid w:val="0"/>
              <w:spacing w:line="240" w:lineRule="auto"/>
              <w:ind w:firstLine="0" w:firstLineChars="0"/>
              <w:rPr>
                <w:rFonts w:hint="eastAsia" w:ascii="仿宋" w:hAnsi="仿宋" w:eastAsia="仿宋" w:cs="微软雅黑"/>
                <w:color w:val="auto"/>
                <w:sz w:val="21"/>
                <w:szCs w:val="21"/>
                <w:highlight w:val="none"/>
                <w:lang w:eastAsia="zh-CN"/>
              </w:rPr>
            </w:pPr>
            <w:r>
              <w:rPr>
                <w:rFonts w:hint="eastAsia" w:ascii="仿宋" w:hAnsi="仿宋" w:cs="微软雅黑"/>
                <w:color w:val="auto"/>
                <w:sz w:val="21"/>
                <w:szCs w:val="21"/>
                <w:highlight w:val="none"/>
              </w:rPr>
              <w:t>25个以下得0分</w:t>
            </w:r>
            <w:r>
              <w:rPr>
                <w:rFonts w:hint="eastAsia" w:ascii="仿宋" w:hAnsi="仿宋" w:cs="微软雅黑"/>
                <w:color w:val="auto"/>
                <w:sz w:val="21"/>
                <w:szCs w:val="21"/>
                <w:highlight w:val="none"/>
                <w:lang w:eastAsia="zh-CN"/>
              </w:rPr>
              <w:t>。</w:t>
            </w:r>
          </w:p>
        </w:tc>
        <w:tc>
          <w:tcPr>
            <w:tcW w:w="1800"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需为保监局正式批复有营业执照的分支机构（不含营业服务部），请比选响应人列示分支机构名称、地址等（格式自拟），提供对应的营业执照，盖比选响应人公章。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vAlign w:val="center"/>
          </w:tcPr>
          <w:p>
            <w:pPr>
              <w:spacing w:line="240" w:lineRule="auto"/>
              <w:ind w:firstLine="0" w:firstLineChars="0"/>
              <w:jc w:val="center"/>
              <w:rPr>
                <w:rFonts w:ascii="仿宋" w:hAnsi="仿宋" w:cs="方正仿宋_GBK"/>
                <w:color w:val="auto"/>
                <w:sz w:val="21"/>
                <w:szCs w:val="21"/>
                <w:highlight w:val="none"/>
              </w:rPr>
            </w:pPr>
          </w:p>
        </w:tc>
        <w:tc>
          <w:tcPr>
            <w:tcW w:w="3688"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4.消费者投诉情况（</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比选响应人省级分公司在重庆市银保监局对外公布的《重庆银保监局办公室关于2022年四季度保险消费投诉情况的通报》中，亿元保费投诉量（件/亿元）从低到高排序，投诉量最少的得</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分，第二名至第三名得</w:t>
            </w:r>
            <w:r>
              <w:rPr>
                <w:rFonts w:hint="eastAsia" w:ascii="仿宋" w:hAnsi="仿宋" w:cs="微软雅黑"/>
                <w:color w:val="auto"/>
                <w:sz w:val="21"/>
                <w:szCs w:val="21"/>
                <w:highlight w:val="none"/>
                <w:lang w:val="en-US" w:eastAsia="zh-CN"/>
              </w:rPr>
              <w:t>1.5</w:t>
            </w:r>
            <w:r>
              <w:rPr>
                <w:rFonts w:hint="eastAsia" w:ascii="仿宋" w:hAnsi="仿宋" w:cs="微软雅黑"/>
                <w:color w:val="auto"/>
                <w:sz w:val="21"/>
                <w:szCs w:val="21"/>
                <w:highlight w:val="none"/>
              </w:rPr>
              <w:t>分，第四名至第五名得</w:t>
            </w:r>
            <w:r>
              <w:rPr>
                <w:rFonts w:hint="eastAsia" w:ascii="仿宋" w:hAnsi="仿宋" w:cs="微软雅黑"/>
                <w:color w:val="auto"/>
                <w:sz w:val="21"/>
                <w:szCs w:val="21"/>
                <w:highlight w:val="none"/>
                <w:lang w:val="en-US" w:eastAsia="zh-CN"/>
              </w:rPr>
              <w:t>1</w:t>
            </w:r>
            <w:r>
              <w:rPr>
                <w:rFonts w:hint="eastAsia" w:ascii="仿宋" w:hAnsi="仿宋" w:cs="微软雅黑"/>
                <w:color w:val="auto"/>
                <w:sz w:val="21"/>
                <w:szCs w:val="21"/>
                <w:highlight w:val="none"/>
              </w:rPr>
              <w:t>分，第六名及以后得0分。</w:t>
            </w:r>
          </w:p>
        </w:tc>
        <w:tc>
          <w:tcPr>
            <w:tcW w:w="1800"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提供重庆市银保监局对外公布的《重庆银保监局办公室关于</w:t>
            </w:r>
            <w:r>
              <w:rPr>
                <w:rFonts w:ascii="仿宋" w:hAnsi="仿宋" w:cs="微软雅黑"/>
                <w:color w:val="auto"/>
                <w:sz w:val="21"/>
                <w:szCs w:val="21"/>
                <w:highlight w:val="none"/>
              </w:rPr>
              <w:t>202</w:t>
            </w:r>
            <w:r>
              <w:rPr>
                <w:rFonts w:hint="eastAsia" w:ascii="仿宋" w:hAnsi="仿宋" w:cs="微软雅黑"/>
                <w:color w:val="auto"/>
                <w:sz w:val="21"/>
                <w:szCs w:val="21"/>
                <w:highlight w:val="none"/>
              </w:rPr>
              <w:t>2</w:t>
            </w:r>
            <w:r>
              <w:rPr>
                <w:rFonts w:ascii="仿宋" w:hAnsi="仿宋" w:cs="微软雅黑"/>
                <w:color w:val="auto"/>
                <w:sz w:val="21"/>
                <w:szCs w:val="21"/>
                <w:highlight w:val="none"/>
              </w:rPr>
              <w:t>年</w:t>
            </w:r>
            <w:r>
              <w:rPr>
                <w:rFonts w:hint="eastAsia" w:ascii="仿宋" w:hAnsi="仿宋" w:cs="微软雅黑"/>
                <w:color w:val="auto"/>
                <w:sz w:val="21"/>
                <w:szCs w:val="21"/>
                <w:highlight w:val="none"/>
              </w:rPr>
              <w:t>四</w:t>
            </w:r>
            <w:r>
              <w:rPr>
                <w:rFonts w:ascii="仿宋" w:hAnsi="仿宋" w:cs="微软雅黑"/>
                <w:color w:val="auto"/>
                <w:sz w:val="21"/>
                <w:szCs w:val="21"/>
                <w:highlight w:val="none"/>
              </w:rPr>
              <w:t>季度保险消费投诉情况的通报》</w:t>
            </w:r>
            <w:r>
              <w:rPr>
                <w:rFonts w:hint="eastAsia" w:ascii="仿宋" w:hAnsi="仿宋" w:cs="微软雅黑"/>
                <w:color w:val="auto"/>
                <w:sz w:val="21"/>
                <w:szCs w:val="21"/>
                <w:highlight w:val="none"/>
              </w:rPr>
              <w:t>文件复印件及相应附件表格，盖比选响应人公章。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vAlign w:val="center"/>
          </w:tcPr>
          <w:p>
            <w:pPr>
              <w:spacing w:line="240" w:lineRule="auto"/>
              <w:ind w:firstLine="0" w:firstLineChars="0"/>
              <w:jc w:val="center"/>
              <w:rPr>
                <w:rFonts w:ascii="仿宋" w:hAnsi="仿宋" w:cs="方正仿宋_GBK"/>
                <w:color w:val="auto"/>
                <w:sz w:val="21"/>
                <w:szCs w:val="21"/>
                <w:highlight w:val="none"/>
              </w:rPr>
            </w:pPr>
          </w:p>
        </w:tc>
        <w:tc>
          <w:tcPr>
            <w:tcW w:w="3688"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5.比选响应人总公司服务质量指数（</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比选响应人总公司在中国银保信官网（</w:t>
            </w:r>
            <w:r>
              <w:rPr>
                <w:rFonts w:ascii="仿宋" w:hAnsi="仿宋" w:cs="微软雅黑"/>
                <w:color w:val="auto"/>
                <w:sz w:val="21"/>
                <w:szCs w:val="21"/>
                <w:highlight w:val="none"/>
              </w:rPr>
              <w:t xml:space="preserve">http://www.cbit.com.cn </w:t>
            </w:r>
            <w:r>
              <w:rPr>
                <w:rFonts w:hint="eastAsia" w:ascii="仿宋" w:hAnsi="仿宋" w:cs="微软雅黑"/>
                <w:color w:val="auto"/>
                <w:sz w:val="21"/>
                <w:szCs w:val="21"/>
                <w:highlight w:val="none"/>
              </w:rPr>
              <w:t>）披露的</w:t>
            </w:r>
            <w:r>
              <w:rPr>
                <w:rFonts w:ascii="仿宋" w:hAnsi="仿宋" w:cs="微软雅黑"/>
                <w:color w:val="auto"/>
                <w:sz w:val="21"/>
                <w:szCs w:val="21"/>
                <w:highlight w:val="none"/>
              </w:rPr>
              <w:t>202</w:t>
            </w:r>
            <w:r>
              <w:rPr>
                <w:rFonts w:hint="eastAsia" w:ascii="仿宋" w:hAnsi="仿宋" w:cs="微软雅黑"/>
                <w:color w:val="auto"/>
                <w:sz w:val="21"/>
                <w:szCs w:val="21"/>
                <w:highlight w:val="none"/>
              </w:rPr>
              <w:t>2上半年保险服务质量指数进行排名，指数排名第一的得</w:t>
            </w:r>
            <w:r>
              <w:rPr>
                <w:rFonts w:hint="eastAsia" w:ascii="仿宋" w:hAnsi="仿宋" w:cs="微软雅黑"/>
                <w:color w:val="auto"/>
                <w:sz w:val="21"/>
                <w:szCs w:val="21"/>
                <w:highlight w:val="none"/>
                <w:lang w:val="en-US" w:eastAsia="zh-CN"/>
              </w:rPr>
              <w:t>2</w:t>
            </w:r>
            <w:r>
              <w:rPr>
                <w:rFonts w:hint="eastAsia" w:ascii="仿宋" w:hAnsi="仿宋" w:cs="微软雅黑"/>
                <w:color w:val="auto"/>
                <w:sz w:val="21"/>
                <w:szCs w:val="21"/>
                <w:highlight w:val="none"/>
              </w:rPr>
              <w:t>分，第二名</w:t>
            </w:r>
            <w:r>
              <w:rPr>
                <w:rFonts w:hint="eastAsia" w:ascii="仿宋" w:hAnsi="仿宋" w:cs="微软雅黑"/>
                <w:color w:val="auto"/>
                <w:sz w:val="21"/>
                <w:szCs w:val="21"/>
                <w:highlight w:val="none"/>
                <w:lang w:val="en-US" w:eastAsia="zh-CN"/>
              </w:rPr>
              <w:t>的得1.5分，</w:t>
            </w:r>
            <w:r>
              <w:rPr>
                <w:rFonts w:hint="eastAsia" w:ascii="仿宋" w:hAnsi="仿宋" w:cs="微软雅黑"/>
                <w:color w:val="auto"/>
                <w:sz w:val="21"/>
                <w:szCs w:val="21"/>
                <w:highlight w:val="none"/>
              </w:rPr>
              <w:t>第三名得</w:t>
            </w:r>
            <w:r>
              <w:rPr>
                <w:rFonts w:hint="eastAsia" w:ascii="仿宋" w:hAnsi="仿宋" w:cs="微软雅黑"/>
                <w:color w:val="auto"/>
                <w:sz w:val="21"/>
                <w:szCs w:val="21"/>
                <w:highlight w:val="none"/>
                <w:lang w:val="en-US" w:eastAsia="zh-CN"/>
              </w:rPr>
              <w:t>1</w:t>
            </w:r>
            <w:r>
              <w:rPr>
                <w:rFonts w:hint="eastAsia" w:ascii="仿宋" w:hAnsi="仿宋" w:cs="微软雅黑"/>
                <w:color w:val="auto"/>
                <w:sz w:val="21"/>
                <w:szCs w:val="21"/>
                <w:highlight w:val="none"/>
              </w:rPr>
              <w:t>分，第四名</w:t>
            </w:r>
            <w:r>
              <w:rPr>
                <w:rFonts w:hint="eastAsia" w:ascii="仿宋" w:hAnsi="仿宋" w:cs="微软雅黑"/>
                <w:color w:val="auto"/>
                <w:sz w:val="21"/>
                <w:szCs w:val="21"/>
                <w:highlight w:val="none"/>
                <w:lang w:val="en-US" w:eastAsia="zh-CN"/>
              </w:rPr>
              <w:t>0.5分，</w:t>
            </w:r>
            <w:r>
              <w:rPr>
                <w:rFonts w:hint="eastAsia" w:ascii="仿宋" w:hAnsi="仿宋" w:cs="微软雅黑"/>
                <w:color w:val="auto"/>
                <w:sz w:val="21"/>
                <w:szCs w:val="21"/>
                <w:highlight w:val="none"/>
              </w:rPr>
              <w:t>第五名以后得0分。提供中国银保信官网截图并加盖公章。</w:t>
            </w:r>
          </w:p>
        </w:tc>
        <w:tc>
          <w:tcPr>
            <w:tcW w:w="1800" w:type="dxa"/>
            <w:vAlign w:val="center"/>
          </w:tcPr>
          <w:p>
            <w:pPr>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提供中国银保信官网（</w:t>
            </w:r>
            <w:r>
              <w:rPr>
                <w:rFonts w:ascii="仿宋" w:hAnsi="仿宋" w:cs="微软雅黑"/>
                <w:color w:val="auto"/>
                <w:sz w:val="21"/>
                <w:szCs w:val="21"/>
                <w:highlight w:val="none"/>
              </w:rPr>
              <w:t xml:space="preserve">http://www.cbit.com.cn </w:t>
            </w:r>
            <w:r>
              <w:rPr>
                <w:rFonts w:hint="eastAsia" w:ascii="仿宋" w:hAnsi="仿宋" w:cs="微软雅黑"/>
                <w:color w:val="auto"/>
                <w:sz w:val="21"/>
                <w:szCs w:val="21"/>
                <w:highlight w:val="none"/>
              </w:rPr>
              <w:t>）披露的</w:t>
            </w:r>
            <w:r>
              <w:rPr>
                <w:rFonts w:ascii="仿宋" w:hAnsi="仿宋" w:cs="微软雅黑"/>
                <w:color w:val="auto"/>
                <w:sz w:val="21"/>
                <w:szCs w:val="21"/>
                <w:highlight w:val="none"/>
              </w:rPr>
              <w:t>202</w:t>
            </w:r>
            <w:r>
              <w:rPr>
                <w:rFonts w:hint="eastAsia" w:ascii="仿宋" w:hAnsi="仿宋" w:cs="微软雅黑"/>
                <w:color w:val="auto"/>
                <w:sz w:val="21"/>
                <w:szCs w:val="21"/>
                <w:highlight w:val="none"/>
              </w:rPr>
              <w:t>2上半年保险服务质量指数结果，盖比选响应人公章。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46" w:type="dxa"/>
            <w:vMerge w:val="restart"/>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（三）</w:t>
            </w:r>
          </w:p>
        </w:tc>
        <w:tc>
          <w:tcPr>
            <w:tcW w:w="1330" w:type="dxa"/>
            <w:vMerge w:val="restart"/>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比选响应人服务</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（10%）</w:t>
            </w:r>
          </w:p>
        </w:tc>
        <w:tc>
          <w:tcPr>
            <w:tcW w:w="994" w:type="dxa"/>
            <w:vMerge w:val="restart"/>
            <w:vAlign w:val="center"/>
          </w:tcPr>
          <w:p>
            <w:pPr>
              <w:snapToGrid w:val="0"/>
              <w:spacing w:line="240" w:lineRule="auto"/>
              <w:ind w:firstLine="0" w:firstLineChars="0"/>
              <w:jc w:val="center"/>
              <w:rPr>
                <w:rFonts w:ascii="仿宋" w:hAnsi="仿宋" w:cs="微软雅黑"/>
                <w:color w:val="auto"/>
                <w:sz w:val="21"/>
                <w:szCs w:val="21"/>
                <w:highlight w:val="none"/>
              </w:rPr>
            </w:pPr>
            <w:r>
              <w:rPr>
                <w:rFonts w:hint="eastAsia" w:ascii="仿宋" w:hAnsi="仿宋" w:cs="微软雅黑"/>
                <w:color w:val="auto"/>
                <w:sz w:val="21"/>
                <w:szCs w:val="21"/>
                <w:highlight w:val="none"/>
              </w:rPr>
              <w:t>10</w:t>
            </w:r>
          </w:p>
        </w:tc>
        <w:tc>
          <w:tcPr>
            <w:tcW w:w="3688" w:type="dxa"/>
            <w:vAlign w:val="center"/>
          </w:tcPr>
          <w:p>
            <w:pPr>
              <w:numPr>
                <w:ilvl w:val="0"/>
                <w:numId w:val="2"/>
              </w:num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承保服务（</w:t>
            </w:r>
            <w:r>
              <w:rPr>
                <w:rFonts w:hint="eastAsia" w:ascii="仿宋" w:hAnsi="仿宋" w:cs="微软雅黑"/>
                <w:color w:val="auto"/>
                <w:sz w:val="21"/>
                <w:szCs w:val="21"/>
                <w:highlight w:val="none"/>
                <w:lang w:val="en-US" w:eastAsia="zh-CN"/>
              </w:rPr>
              <w:t>3</w:t>
            </w:r>
            <w:r>
              <w:rPr>
                <w:rFonts w:hint="eastAsia" w:ascii="仿宋" w:hAnsi="仿宋" w:cs="微软雅黑"/>
                <w:color w:val="auto"/>
                <w:sz w:val="21"/>
                <w:szCs w:val="21"/>
                <w:highlight w:val="none"/>
              </w:rPr>
              <w:t>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A比选响应人针对本项目服务成立有分管领导亲自负责的专门服务团队5人及以上</w:t>
            </w:r>
          </w:p>
          <w:p>
            <w:pPr>
              <w:pStyle w:val="4"/>
              <w:spacing w:after="0"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B比选响应人为本次比选范围内的车辆设立专柜出单，享受VIP服务</w:t>
            </w:r>
          </w:p>
          <w:p>
            <w:pPr>
              <w:pStyle w:val="4"/>
              <w:spacing w:after="0" w:line="240" w:lineRule="auto"/>
              <w:ind w:firstLine="0" w:firstLineChars="0"/>
              <w:rPr>
                <w:rFonts w:hint="eastAsia" w:ascii="仿宋" w:hAnsi="仿宋" w:cs="微软雅黑"/>
                <w:color w:val="auto"/>
                <w:sz w:val="21"/>
                <w:szCs w:val="21"/>
                <w:highlight w:val="none"/>
              </w:rPr>
            </w:pPr>
            <w:r>
              <w:rPr>
                <w:rFonts w:hint="eastAsia" w:ascii="仿宋" w:hAnsi="仿宋" w:cs="微软雅黑"/>
                <w:color w:val="auto"/>
                <w:sz w:val="21"/>
                <w:szCs w:val="21"/>
                <w:highlight w:val="none"/>
              </w:rPr>
              <w:t>C对被保保险人保险到期提前30个工作日进行续保提醒服务。</w:t>
            </w:r>
          </w:p>
          <w:p>
            <w:pPr>
              <w:pStyle w:val="4"/>
              <w:spacing w:after="0" w:line="240" w:lineRule="auto"/>
              <w:ind w:firstLine="0" w:firstLineChars="0"/>
              <w:rPr>
                <w:rFonts w:hint="default" w:ascii="仿宋" w:hAnsi="仿宋" w:eastAsia="仿宋" w:cs="微软雅黑"/>
                <w:color w:val="auto"/>
                <w:sz w:val="21"/>
                <w:szCs w:val="21"/>
                <w:highlight w:val="none"/>
                <w:lang w:val="en-US" w:eastAsia="zh-CN"/>
              </w:rPr>
            </w:pPr>
            <w:r>
              <w:rPr>
                <w:rFonts w:hint="eastAsia" w:ascii="仿宋" w:hAnsi="仿宋" w:cs="微软雅黑"/>
                <w:color w:val="auto"/>
                <w:sz w:val="21"/>
                <w:szCs w:val="21"/>
                <w:highlight w:val="none"/>
                <w:lang w:val="en-US" w:eastAsia="zh-CN"/>
              </w:rPr>
              <w:t>每一项得1分，最高不超过3分。</w:t>
            </w:r>
          </w:p>
          <w:p>
            <w:pPr>
              <w:pStyle w:val="4"/>
              <w:spacing w:after="0" w:line="240" w:lineRule="auto"/>
              <w:ind w:firstLine="0" w:firstLineChars="0"/>
              <w:rPr>
                <w:rFonts w:hint="eastAsia" w:ascii="仿宋" w:hAnsi="仿宋" w:eastAsia="仿宋" w:cs="微软雅黑"/>
                <w:color w:val="auto"/>
                <w:sz w:val="21"/>
                <w:szCs w:val="21"/>
                <w:highlight w:val="none"/>
                <w:lang w:val="en-US" w:eastAsia="zh-CN"/>
              </w:rPr>
            </w:pPr>
          </w:p>
        </w:tc>
        <w:tc>
          <w:tcPr>
            <w:tcW w:w="1800" w:type="dxa"/>
            <w:vAlign w:val="center"/>
          </w:tcPr>
          <w:p>
            <w:pPr>
              <w:spacing w:line="240" w:lineRule="auto"/>
              <w:ind w:firstLine="0" w:firstLineChars="0"/>
              <w:rPr>
                <w:rFonts w:ascii="仿宋" w:hAnsi="仿宋" w:eastAsia="PMingLiU" w:cs="微软雅黑"/>
                <w:color w:val="auto"/>
                <w:sz w:val="21"/>
                <w:szCs w:val="21"/>
                <w:highlight w:val="none"/>
                <w:lang w:eastAsia="zh-TW"/>
              </w:rPr>
            </w:pPr>
            <w:r>
              <w:rPr>
                <w:rFonts w:hint="eastAsia" w:ascii="仿宋" w:hAnsi="仿宋" w:cs="微软雅黑"/>
                <w:color w:val="auto"/>
                <w:sz w:val="21"/>
                <w:szCs w:val="21"/>
                <w:highlight w:val="none"/>
              </w:rPr>
              <w:t>提供文字方案并盖比选响应人公章。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vAlign w:val="center"/>
          </w:tcPr>
          <w:p>
            <w:pPr>
              <w:snapToGrid w:val="0"/>
              <w:spacing w:line="240" w:lineRule="auto"/>
              <w:ind w:firstLine="420"/>
              <w:jc w:val="center"/>
              <w:rPr>
                <w:rFonts w:ascii="仿宋" w:hAnsi="仿宋" w:cs="微软雅黑"/>
                <w:color w:val="auto"/>
                <w:sz w:val="21"/>
                <w:szCs w:val="21"/>
                <w:highlight w:val="none"/>
              </w:rPr>
            </w:pPr>
          </w:p>
        </w:tc>
        <w:tc>
          <w:tcPr>
            <w:tcW w:w="3688" w:type="dxa"/>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理赔服务（3分）：</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A针对本项目理赔服务成立专门的服务小组，应有具体成员名单，包括姓名、职务、职称、工作职责、联系方式等；</w:t>
            </w:r>
          </w:p>
          <w:p>
            <w:pPr>
              <w:snapToGrid w:val="0"/>
              <w:spacing w:line="240" w:lineRule="auto"/>
              <w:ind w:firstLine="0" w:firstLineChars="0"/>
              <w:rPr>
                <w:rFonts w:hint="default" w:ascii="仿宋" w:hAnsi="仿宋" w:eastAsia="仿宋" w:cs="微软雅黑"/>
                <w:color w:val="auto"/>
                <w:sz w:val="21"/>
                <w:szCs w:val="21"/>
                <w:highlight w:val="none"/>
                <w:lang w:val="en-US" w:eastAsia="zh-CN"/>
              </w:rPr>
            </w:pPr>
            <w:r>
              <w:rPr>
                <w:rFonts w:hint="eastAsia" w:ascii="仿宋" w:hAnsi="仿宋" w:cs="微软雅黑"/>
                <w:color w:val="auto"/>
                <w:sz w:val="21"/>
                <w:szCs w:val="21"/>
                <w:highlight w:val="none"/>
              </w:rPr>
              <w:t>B设有全国通用报案电话并且365天×24小时报案、理赔服务电话，并保证随时有专人接听，受理索赔接报案</w:t>
            </w:r>
            <w:r>
              <w:rPr>
                <w:rFonts w:hint="eastAsia" w:ascii="仿宋" w:hAnsi="仿宋" w:cs="微软雅黑"/>
                <w:color w:val="auto"/>
                <w:sz w:val="21"/>
                <w:szCs w:val="21"/>
                <w:highlight w:val="none"/>
                <w:lang w:eastAsia="zh-CN"/>
              </w:rPr>
              <w:t>；</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C.比选响应人在接到投保单位的出险报案后，城区内1小时、城区外2小时到达事故现场；被保险车辆在异地发生保险事故后，定点保险公司能提供异地代查勘、代理赔服务，快速处理、异地都可赔付结案；</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D.有专人指导投保单位全程办理相关的索赔手续；</w:t>
            </w:r>
          </w:p>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E.有机动车辆简易赔案赔付的相关处理办法，为不堵塞交通，责任明确的小案件允许移位的；</w:t>
            </w:r>
          </w:p>
          <w:p>
            <w:pPr>
              <w:snapToGrid w:val="0"/>
              <w:spacing w:line="240" w:lineRule="auto"/>
              <w:ind w:firstLine="0" w:firstLineChars="0"/>
              <w:rPr>
                <w:rFonts w:ascii="仿宋" w:hAnsi="仿宋" w:cs="微软雅黑"/>
                <w:color w:val="auto"/>
                <w:sz w:val="21"/>
                <w:szCs w:val="21"/>
                <w:highlight w:val="none"/>
              </w:rPr>
            </w:pPr>
            <w:r>
              <w:rPr>
                <w:rFonts w:ascii="仿宋" w:hAnsi="仿宋" w:cs="微软雅黑"/>
                <w:color w:val="auto"/>
                <w:sz w:val="21"/>
                <w:szCs w:val="21"/>
                <w:highlight w:val="none"/>
              </w:rPr>
              <w:t>F.</w:t>
            </w:r>
            <w:r>
              <w:rPr>
                <w:rFonts w:hint="eastAsia" w:ascii="仿宋" w:hAnsi="仿宋" w:cs="微软雅黑"/>
                <w:color w:val="auto"/>
                <w:sz w:val="21"/>
                <w:szCs w:val="21"/>
                <w:highlight w:val="none"/>
              </w:rPr>
              <w:t>优化理赔服务方案</w:t>
            </w:r>
          </w:p>
          <w:p>
            <w:pPr>
              <w:pStyle w:val="4"/>
              <w:spacing w:after="0" w:line="240" w:lineRule="auto"/>
              <w:ind w:firstLine="0" w:firstLineChars="0"/>
              <w:rPr>
                <w:rFonts w:hint="eastAsia" w:ascii="仿宋" w:hAnsi="仿宋" w:cs="微软雅黑"/>
                <w:color w:val="auto"/>
                <w:sz w:val="21"/>
                <w:szCs w:val="21"/>
                <w:highlight w:val="none"/>
                <w:lang w:val="en-US" w:eastAsia="zh-CN"/>
              </w:rPr>
            </w:pPr>
            <w:r>
              <w:rPr>
                <w:rFonts w:hint="eastAsia" w:ascii="仿宋" w:hAnsi="仿宋" w:cs="微软雅黑"/>
                <w:color w:val="auto"/>
                <w:sz w:val="21"/>
                <w:szCs w:val="21"/>
                <w:highlight w:val="none"/>
              </w:rPr>
              <w:t>比选响应人根据</w:t>
            </w:r>
            <w:r>
              <w:rPr>
                <w:rFonts w:hint="eastAsia" w:ascii="仿宋" w:hAnsi="仿宋" w:cs="微软雅黑"/>
                <w:color w:val="auto"/>
                <w:sz w:val="21"/>
                <w:szCs w:val="21"/>
                <w:highlight w:val="none"/>
                <w:lang w:val="en-US" w:eastAsia="zh-CN"/>
              </w:rPr>
              <w:t>采购人制订针对性有效的个性化的理赔服务方案。</w:t>
            </w:r>
          </w:p>
          <w:p>
            <w:pPr>
              <w:pStyle w:val="4"/>
              <w:spacing w:after="0" w:line="240" w:lineRule="auto"/>
              <w:ind w:firstLine="0" w:firstLineChars="0"/>
              <w:rPr>
                <w:rFonts w:hint="eastAsia" w:ascii="仿宋" w:hAnsi="仿宋" w:cs="微软雅黑"/>
                <w:color w:val="auto"/>
                <w:sz w:val="21"/>
                <w:szCs w:val="21"/>
                <w:highlight w:val="none"/>
                <w:lang w:val="en-US" w:eastAsia="zh-CN"/>
              </w:rPr>
            </w:pPr>
            <w:r>
              <w:rPr>
                <w:rFonts w:hint="eastAsia" w:ascii="仿宋" w:hAnsi="仿宋" w:cs="微软雅黑"/>
                <w:color w:val="auto"/>
                <w:sz w:val="21"/>
                <w:szCs w:val="21"/>
                <w:highlight w:val="none"/>
                <w:lang w:val="en-US" w:eastAsia="zh-CN"/>
              </w:rPr>
              <w:t>每一项得0.5分，最高不超过3分。</w:t>
            </w:r>
          </w:p>
          <w:p>
            <w:pPr>
              <w:pStyle w:val="4"/>
              <w:spacing w:after="0" w:line="240" w:lineRule="auto"/>
              <w:ind w:firstLine="0" w:firstLineChars="0"/>
              <w:rPr>
                <w:rFonts w:ascii="仿宋" w:hAnsi="仿宋" w:cs="微软雅黑"/>
                <w:color w:val="auto"/>
                <w:sz w:val="21"/>
                <w:szCs w:val="21"/>
                <w:highlight w:val="none"/>
              </w:rPr>
            </w:pPr>
          </w:p>
        </w:tc>
        <w:tc>
          <w:tcPr>
            <w:tcW w:w="1800" w:type="dxa"/>
            <w:vAlign w:val="center"/>
          </w:tcPr>
          <w:p>
            <w:pPr>
              <w:spacing w:line="240" w:lineRule="auto"/>
              <w:ind w:firstLine="0" w:firstLineChars="0"/>
              <w:rPr>
                <w:rFonts w:ascii="仿宋" w:hAnsi="仿宋" w:cs="微软雅黑"/>
                <w:color w:val="auto"/>
                <w:sz w:val="21"/>
                <w:szCs w:val="21"/>
                <w:highlight w:val="none"/>
                <w:lang w:eastAsia="zh-TW"/>
              </w:rPr>
            </w:pPr>
            <w:r>
              <w:rPr>
                <w:rFonts w:hint="eastAsia" w:ascii="仿宋" w:hAnsi="仿宋" w:cs="微软雅黑"/>
                <w:color w:val="auto"/>
                <w:sz w:val="21"/>
                <w:szCs w:val="21"/>
                <w:highlight w:val="none"/>
              </w:rPr>
              <w:t>提供文字方案并盖比选响应人公章。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846"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1330" w:type="dxa"/>
            <w:vMerge w:val="continue"/>
            <w:vAlign w:val="center"/>
          </w:tcPr>
          <w:p>
            <w:pPr>
              <w:spacing w:line="240" w:lineRule="auto"/>
              <w:ind w:firstLine="0" w:firstLineChars="0"/>
              <w:rPr>
                <w:rFonts w:ascii="仿宋" w:hAnsi="仿宋" w:cs="方正仿宋_GBK"/>
                <w:color w:val="auto"/>
                <w:sz w:val="21"/>
                <w:szCs w:val="21"/>
                <w:highlight w:val="none"/>
              </w:rPr>
            </w:pPr>
          </w:p>
        </w:tc>
        <w:tc>
          <w:tcPr>
            <w:tcW w:w="994" w:type="dxa"/>
            <w:vMerge w:val="continue"/>
            <w:tcBorders>
              <w:bottom w:val="single" w:color="auto" w:sz="4" w:space="0"/>
            </w:tcBorders>
            <w:vAlign w:val="center"/>
          </w:tcPr>
          <w:p>
            <w:pPr>
              <w:snapToGrid w:val="0"/>
              <w:spacing w:line="240" w:lineRule="auto"/>
              <w:ind w:firstLine="0" w:firstLineChars="0"/>
              <w:jc w:val="center"/>
              <w:rPr>
                <w:rFonts w:ascii="仿宋" w:hAnsi="仿宋" w:cs="微软雅黑"/>
                <w:color w:val="auto"/>
                <w:sz w:val="21"/>
                <w:szCs w:val="21"/>
                <w:highlight w:val="none"/>
              </w:rPr>
            </w:pPr>
          </w:p>
        </w:tc>
        <w:tc>
          <w:tcPr>
            <w:tcW w:w="3688" w:type="dxa"/>
            <w:tcBorders>
              <w:top w:val="single" w:color="auto" w:sz="4" w:space="0"/>
              <w:bottom w:val="single" w:color="auto" w:sz="4" w:space="0"/>
              <w:right w:val="single" w:color="auto" w:sz="4" w:space="0"/>
            </w:tcBorders>
            <w:vAlign w:val="center"/>
          </w:tcPr>
          <w:p>
            <w:pPr>
              <w:snapToGrid w:val="0"/>
              <w:spacing w:line="240" w:lineRule="auto"/>
              <w:ind w:firstLine="0" w:firstLineChars="0"/>
              <w:rPr>
                <w:rFonts w:ascii="仿宋" w:hAnsi="仿宋" w:cs="微软雅黑"/>
                <w:color w:val="auto"/>
                <w:sz w:val="21"/>
                <w:szCs w:val="21"/>
                <w:highlight w:val="none"/>
              </w:rPr>
            </w:pPr>
            <w:r>
              <w:rPr>
                <w:rFonts w:hint="eastAsia" w:ascii="仿宋" w:hAnsi="仿宋" w:cs="微软雅黑"/>
                <w:color w:val="auto"/>
                <w:sz w:val="21"/>
                <w:szCs w:val="21"/>
                <w:highlight w:val="none"/>
              </w:rPr>
              <w:t>特色增值服务（</w:t>
            </w:r>
            <w:r>
              <w:rPr>
                <w:rFonts w:hint="eastAsia" w:ascii="仿宋" w:hAnsi="仿宋" w:cs="微软雅黑"/>
                <w:color w:val="auto"/>
                <w:sz w:val="21"/>
                <w:szCs w:val="21"/>
                <w:highlight w:val="none"/>
                <w:lang w:val="en-US" w:eastAsia="zh-CN"/>
              </w:rPr>
              <w:t>4</w:t>
            </w:r>
            <w:r>
              <w:rPr>
                <w:rFonts w:hint="eastAsia" w:ascii="仿宋" w:hAnsi="仿宋" w:cs="微软雅黑"/>
                <w:color w:val="auto"/>
                <w:sz w:val="21"/>
                <w:szCs w:val="21"/>
                <w:highlight w:val="none"/>
              </w:rPr>
              <w:t>分）</w:t>
            </w:r>
          </w:p>
          <w:p>
            <w:pPr>
              <w:snapToGrid w:val="0"/>
              <w:spacing w:line="240" w:lineRule="auto"/>
              <w:ind w:firstLine="0" w:firstLineChars="0"/>
              <w:rPr>
                <w:rFonts w:hint="default" w:ascii="仿宋" w:hAnsi="仿宋" w:eastAsia="仿宋" w:cs="微软雅黑"/>
                <w:color w:val="auto"/>
                <w:sz w:val="21"/>
                <w:szCs w:val="21"/>
                <w:highlight w:val="none"/>
                <w:lang w:val="en-US" w:eastAsia="zh-CN"/>
              </w:rPr>
            </w:pPr>
            <w:r>
              <w:rPr>
                <w:rFonts w:hint="eastAsia" w:ascii="仿宋" w:hAnsi="仿宋" w:cs="微软雅黑"/>
                <w:color w:val="auto"/>
                <w:sz w:val="21"/>
                <w:szCs w:val="21"/>
                <w:highlight w:val="none"/>
              </w:rPr>
              <w:t>各个比选响应人在符合国家法律法规前提下，给予被保险人有价值性、可行性的增值服务。经</w:t>
            </w:r>
            <w:r>
              <w:rPr>
                <w:rFonts w:hint="eastAsia" w:ascii="仿宋" w:hAnsi="仿宋" w:cs="微软雅黑"/>
                <w:color w:val="auto"/>
                <w:sz w:val="21"/>
                <w:szCs w:val="21"/>
                <w:highlight w:val="none"/>
                <w:lang w:eastAsia="zh-CN"/>
              </w:rPr>
              <w:t>评标小组</w:t>
            </w:r>
            <w:r>
              <w:rPr>
                <w:rFonts w:hint="eastAsia" w:ascii="仿宋" w:hAnsi="仿宋" w:cs="微软雅黑"/>
                <w:color w:val="auto"/>
                <w:sz w:val="21"/>
                <w:szCs w:val="21"/>
                <w:highlight w:val="none"/>
              </w:rPr>
              <w:t>综合评定，根据</w:t>
            </w:r>
            <w:r>
              <w:rPr>
                <w:rFonts w:hint="eastAsia" w:ascii="仿宋" w:hAnsi="仿宋" w:cs="微软雅黑"/>
                <w:color w:val="auto"/>
                <w:sz w:val="21"/>
                <w:szCs w:val="21"/>
                <w:highlight w:val="none"/>
                <w:lang w:val="en-US" w:eastAsia="zh-CN"/>
              </w:rPr>
              <w:t>各响应人</w:t>
            </w:r>
            <w:r>
              <w:rPr>
                <w:rFonts w:hint="eastAsia" w:ascii="仿宋" w:hAnsi="仿宋" w:cs="微软雅黑"/>
                <w:color w:val="auto"/>
                <w:sz w:val="21"/>
                <w:szCs w:val="21"/>
                <w:highlight w:val="none"/>
              </w:rPr>
              <w:t>提供增值服务进行研判对比</w:t>
            </w:r>
            <w:r>
              <w:rPr>
                <w:rFonts w:hint="eastAsia" w:ascii="仿宋" w:hAnsi="仿宋" w:cs="微软雅黑"/>
                <w:color w:val="auto"/>
                <w:sz w:val="21"/>
                <w:szCs w:val="21"/>
                <w:highlight w:val="none"/>
                <w:lang w:val="en-US" w:eastAsia="zh-CN"/>
              </w:rPr>
              <w:t>前4名</w:t>
            </w:r>
            <w:r>
              <w:rPr>
                <w:rFonts w:hint="eastAsia" w:ascii="仿宋" w:hAnsi="仿宋" w:cs="微软雅黑"/>
                <w:color w:val="auto"/>
                <w:sz w:val="21"/>
                <w:szCs w:val="21"/>
                <w:highlight w:val="none"/>
              </w:rPr>
              <w:t>打</w:t>
            </w:r>
            <w:r>
              <w:rPr>
                <w:rFonts w:hint="eastAsia" w:ascii="仿宋" w:hAnsi="仿宋" w:cs="微软雅黑"/>
                <w:color w:val="auto"/>
                <w:sz w:val="21"/>
                <w:szCs w:val="21"/>
                <w:highlight w:val="none"/>
                <w:lang w:val="en-US" w:eastAsia="zh-CN"/>
              </w:rPr>
              <w:t>4-1</w:t>
            </w:r>
            <w:r>
              <w:rPr>
                <w:rFonts w:hint="eastAsia" w:ascii="仿宋" w:hAnsi="仿宋" w:cs="微软雅黑"/>
                <w:color w:val="auto"/>
                <w:sz w:val="21"/>
                <w:szCs w:val="21"/>
                <w:highlight w:val="none"/>
              </w:rPr>
              <w:t>分</w:t>
            </w:r>
            <w:r>
              <w:rPr>
                <w:rFonts w:hint="eastAsia" w:ascii="仿宋" w:hAnsi="仿宋" w:cs="微软雅黑"/>
                <w:color w:val="auto"/>
                <w:sz w:val="21"/>
                <w:szCs w:val="21"/>
                <w:highlight w:val="none"/>
                <w:lang w:eastAsia="zh-CN"/>
              </w:rPr>
              <w:t>，</w:t>
            </w:r>
            <w:r>
              <w:rPr>
                <w:rFonts w:hint="eastAsia" w:ascii="仿宋" w:hAnsi="仿宋" w:cs="微软雅黑"/>
                <w:color w:val="auto"/>
                <w:sz w:val="21"/>
                <w:szCs w:val="21"/>
                <w:highlight w:val="none"/>
                <w:lang w:val="en-US" w:eastAsia="zh-CN"/>
              </w:rPr>
              <w:t>5名以下得0分。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cs="方正仿宋_GBK"/>
                <w:color w:val="auto"/>
                <w:sz w:val="21"/>
                <w:szCs w:val="21"/>
                <w:highlight w:val="none"/>
              </w:rPr>
            </w:pPr>
            <w:r>
              <w:rPr>
                <w:rFonts w:hint="eastAsia" w:ascii="仿宋" w:hAnsi="仿宋" w:cs="微软雅黑"/>
                <w:color w:val="auto"/>
                <w:sz w:val="21"/>
                <w:szCs w:val="21"/>
                <w:highlight w:val="none"/>
              </w:rPr>
              <w:t>提供文字方案并盖比选响应人公章。</w:t>
            </w:r>
          </w:p>
        </w:tc>
      </w:tr>
    </w:tbl>
    <w:p>
      <w:pPr>
        <w:pStyle w:val="3"/>
        <w:ind w:firstLine="643" w:firstLineChars="200"/>
        <w:rPr>
          <w:color w:val="auto"/>
          <w:highlight w:val="none"/>
        </w:rPr>
      </w:pPr>
      <w:r>
        <w:rPr>
          <w:rFonts w:hint="eastAsia"/>
          <w:color w:val="auto"/>
          <w:highlight w:val="none"/>
        </w:rPr>
        <w:t>四、投标无效条款</w:t>
      </w:r>
    </w:p>
    <w:p>
      <w:pPr>
        <w:ind w:firstLine="560"/>
        <w:rPr>
          <w:color w:val="auto"/>
          <w:highlight w:val="none"/>
        </w:rPr>
      </w:pPr>
      <w:r>
        <w:rPr>
          <w:rFonts w:hint="eastAsia"/>
          <w:color w:val="auto"/>
          <w:highlight w:val="none"/>
          <w:lang w:eastAsia="zh-CN"/>
        </w:rPr>
        <w:t>评标小组</w:t>
      </w:r>
      <w:r>
        <w:rPr>
          <w:rFonts w:hint="eastAsia"/>
          <w:color w:val="auto"/>
          <w:highlight w:val="none"/>
        </w:rPr>
        <w:t>评审时，比选响应人或其比选响应文件出现下列情况之一者，应为投标无效：</w:t>
      </w:r>
    </w:p>
    <w:p>
      <w:pPr>
        <w:ind w:firstLine="560"/>
        <w:rPr>
          <w:color w:val="auto"/>
          <w:highlight w:val="none"/>
        </w:rPr>
      </w:pPr>
      <w:r>
        <w:rPr>
          <w:rFonts w:hint="eastAsia"/>
          <w:color w:val="auto"/>
          <w:highlight w:val="none"/>
        </w:rPr>
        <w:t>（一）未按照比选文件的规定装订的。</w:t>
      </w:r>
    </w:p>
    <w:p>
      <w:pPr>
        <w:ind w:firstLine="560"/>
        <w:rPr>
          <w:color w:val="auto"/>
          <w:highlight w:val="none"/>
        </w:rPr>
      </w:pPr>
      <w:r>
        <w:rPr>
          <w:rFonts w:hint="eastAsia"/>
          <w:color w:val="auto"/>
          <w:highlight w:val="none"/>
        </w:rPr>
        <w:t>（二）比选响应文件未按招标文件要求签署、盖章的。</w:t>
      </w:r>
    </w:p>
    <w:p>
      <w:pPr>
        <w:ind w:firstLine="560"/>
        <w:rPr>
          <w:color w:val="auto"/>
          <w:highlight w:val="none"/>
        </w:rPr>
      </w:pPr>
      <w:r>
        <w:rPr>
          <w:rFonts w:hint="eastAsia"/>
          <w:color w:val="auto"/>
          <w:highlight w:val="none"/>
        </w:rPr>
        <w:t>（三）不具备比选文件中规定的资格或符合性要求的。</w:t>
      </w:r>
    </w:p>
    <w:p>
      <w:pPr>
        <w:ind w:firstLine="560"/>
        <w:rPr>
          <w:color w:val="auto"/>
          <w:highlight w:val="none"/>
        </w:rPr>
      </w:pPr>
      <w:r>
        <w:rPr>
          <w:rFonts w:hint="eastAsia"/>
          <w:color w:val="auto"/>
          <w:highlight w:val="none"/>
        </w:rPr>
        <w:t>（四）比选响应人的比选响应文件内容与项目商务要求条款有背离的。</w:t>
      </w:r>
    </w:p>
    <w:p>
      <w:pPr>
        <w:ind w:firstLine="560"/>
        <w:rPr>
          <w:color w:val="auto"/>
          <w:highlight w:val="none"/>
        </w:rPr>
      </w:pPr>
      <w:r>
        <w:rPr>
          <w:rFonts w:hint="eastAsia"/>
          <w:color w:val="auto"/>
          <w:highlight w:val="none"/>
        </w:rPr>
        <w:t>（五）报价明显低于其他通过符合性审查比选响应人的报价，且不能证明其报价合理性的。</w:t>
      </w:r>
    </w:p>
    <w:p>
      <w:pPr>
        <w:ind w:firstLine="560"/>
        <w:rPr>
          <w:color w:val="auto"/>
          <w:highlight w:val="none"/>
        </w:rPr>
      </w:pPr>
      <w:r>
        <w:rPr>
          <w:rFonts w:hint="eastAsia"/>
          <w:color w:val="auto"/>
          <w:highlight w:val="none"/>
        </w:rPr>
        <w:t>（六）比选响应文件含有采购人不能接受的附加条件的。</w:t>
      </w:r>
    </w:p>
    <w:p>
      <w:pPr>
        <w:ind w:firstLine="560"/>
        <w:rPr>
          <w:color w:val="auto"/>
          <w:highlight w:val="none"/>
        </w:rPr>
      </w:pPr>
      <w:r>
        <w:rPr>
          <w:rFonts w:hint="eastAsia"/>
          <w:color w:val="auto"/>
          <w:highlight w:val="none"/>
        </w:rPr>
        <w:t>（七）资格文件内容复印不清楚，采购人无法确认其内容的。</w:t>
      </w:r>
    </w:p>
    <w:p>
      <w:pPr>
        <w:ind w:firstLine="560"/>
        <w:rPr>
          <w:color w:val="auto"/>
          <w:highlight w:val="none"/>
        </w:rPr>
      </w:pPr>
      <w:r>
        <w:rPr>
          <w:rFonts w:hint="eastAsia"/>
          <w:color w:val="auto"/>
          <w:highlight w:val="none"/>
        </w:rPr>
        <w:t>（八）法律、法规和比选文件规定的其他无效情形。</w:t>
      </w:r>
    </w:p>
    <w:p>
      <w:pPr>
        <w:ind w:left="0" w:leftChars="0" w:firstLine="562" w:firstLineChars="200"/>
        <w:rPr>
          <w:b/>
          <w:color w:val="auto"/>
          <w:highlight w:val="none"/>
        </w:rPr>
      </w:pPr>
      <w:r>
        <w:rPr>
          <w:rFonts w:hint="eastAsia"/>
          <w:b/>
          <w:color w:val="auto"/>
          <w:highlight w:val="none"/>
        </w:rPr>
        <w:t>五、终止招标条款</w:t>
      </w:r>
    </w:p>
    <w:p>
      <w:pPr>
        <w:ind w:firstLine="560"/>
        <w:rPr>
          <w:color w:val="auto"/>
          <w:highlight w:val="none"/>
        </w:rPr>
      </w:pPr>
      <w:r>
        <w:rPr>
          <w:rFonts w:hint="eastAsia"/>
          <w:color w:val="auto"/>
          <w:highlight w:val="none"/>
          <w:lang w:eastAsia="zh-CN"/>
        </w:rPr>
        <w:t>评标小组</w:t>
      </w:r>
      <w:r>
        <w:rPr>
          <w:rFonts w:hint="eastAsia"/>
          <w:color w:val="auto"/>
          <w:highlight w:val="none"/>
        </w:rPr>
        <w:t>评审时出现以下情况之一的，应予废标：</w:t>
      </w:r>
    </w:p>
    <w:p>
      <w:pPr>
        <w:ind w:firstLine="560"/>
        <w:rPr>
          <w:color w:val="auto"/>
          <w:highlight w:val="none"/>
        </w:rPr>
      </w:pPr>
      <w:r>
        <w:rPr>
          <w:rFonts w:hint="eastAsia"/>
          <w:color w:val="auto"/>
          <w:highlight w:val="none"/>
        </w:rPr>
        <w:t>（一）符合专业条件的供应商或者对采购文件作实质响应的供应商不足</w:t>
      </w:r>
      <w:r>
        <w:rPr>
          <w:rFonts w:hint="eastAsia"/>
          <w:color w:val="auto"/>
          <w:highlight w:val="none"/>
          <w:lang w:val="en-US" w:eastAsia="zh-CN"/>
        </w:rPr>
        <w:t>三</w:t>
      </w:r>
      <w:r>
        <w:rPr>
          <w:rFonts w:hint="eastAsia"/>
          <w:color w:val="auto"/>
          <w:highlight w:val="none"/>
        </w:rPr>
        <w:t>家的。</w:t>
      </w:r>
    </w:p>
    <w:p>
      <w:pPr>
        <w:ind w:firstLine="560"/>
        <w:rPr>
          <w:color w:val="auto"/>
          <w:highlight w:val="none"/>
        </w:rPr>
      </w:pPr>
      <w:r>
        <w:rPr>
          <w:rFonts w:hint="eastAsia"/>
          <w:color w:val="auto"/>
          <w:highlight w:val="none"/>
        </w:rPr>
        <w:t>（二）出现影响采购公正的违法、违规行为的。</w:t>
      </w:r>
    </w:p>
    <w:p>
      <w:pPr>
        <w:ind w:firstLine="560"/>
        <w:rPr>
          <w:color w:val="auto"/>
          <w:highlight w:val="none"/>
        </w:rPr>
      </w:pPr>
      <w:r>
        <w:rPr>
          <w:rFonts w:hint="eastAsia"/>
          <w:color w:val="auto"/>
          <w:highlight w:val="none"/>
        </w:rPr>
        <w:t>（三）因重大变故，采购任务取消的。</w:t>
      </w:r>
    </w:p>
    <w:p>
      <w:pPr>
        <w:ind w:firstLine="560"/>
        <w:rPr>
          <w:rFonts w:ascii="方正仿宋_GBK" w:hAnsi="宋体" w:eastAsia="方正仿宋_GBK"/>
          <w:color w:val="auto"/>
          <w:highlight w:val="none"/>
        </w:rPr>
      </w:pPr>
      <w:r>
        <w:rPr>
          <w:rFonts w:hint="eastAsia"/>
          <w:color w:val="auto"/>
          <w:highlight w:val="none"/>
        </w:rPr>
        <w:t>项目废标后，除采购任务取消情形外，应当重新组织采购。</w:t>
      </w:r>
    </w:p>
    <w:p>
      <w:pPr>
        <w:ind w:firstLine="0" w:firstLineChars="0"/>
        <w:rPr>
          <w:b/>
          <w:color w:val="auto"/>
          <w:highlight w:val="none"/>
        </w:rPr>
      </w:pPr>
    </w:p>
    <w:p>
      <w:pPr>
        <w:ind w:firstLine="0" w:firstLineChars="0"/>
        <w:rPr>
          <w:color w:val="auto"/>
          <w:highlight w:val="none"/>
        </w:rPr>
      </w:pPr>
    </w:p>
    <w:p>
      <w:pPr>
        <w:ind w:firstLine="0" w:firstLineChars="0"/>
        <w:rPr>
          <w:color w:val="auto"/>
          <w:highlight w:val="none"/>
        </w:rPr>
      </w:pPr>
    </w:p>
    <w:p>
      <w:pPr>
        <w:widowControl/>
        <w:spacing w:line="240" w:lineRule="auto"/>
        <w:ind w:firstLine="0" w:firstLineChars="0"/>
        <w:rPr>
          <w:color w:val="auto"/>
          <w:highlight w:val="none"/>
        </w:rPr>
      </w:pPr>
      <w:r>
        <w:rPr>
          <w:color w:val="auto"/>
          <w:highlight w:val="none"/>
        </w:rPr>
        <w:br w:type="page"/>
      </w:r>
    </w:p>
    <w:p>
      <w:pPr>
        <w:pStyle w:val="2"/>
        <w:rPr>
          <w:color w:val="auto"/>
          <w:highlight w:val="none"/>
        </w:rPr>
      </w:pPr>
      <w:r>
        <w:rPr>
          <w:rFonts w:hint="eastAsia"/>
          <w:color w:val="auto"/>
          <w:highlight w:val="none"/>
        </w:rPr>
        <w:t>第四篇 比选响应文件格式要求</w:t>
      </w:r>
    </w:p>
    <w:p>
      <w:pPr>
        <w:ind w:firstLine="880"/>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【封面格式】</w:t>
      </w:r>
    </w:p>
    <w:p>
      <w:pPr>
        <w:ind w:firstLine="880"/>
        <w:jc w:val="center"/>
        <w:rPr>
          <w:rFonts w:ascii="方正小标宋_GBK" w:eastAsia="方正小标宋_GBK"/>
          <w:color w:val="auto"/>
          <w:sz w:val="44"/>
          <w:szCs w:val="44"/>
          <w:highlight w:val="none"/>
        </w:rPr>
      </w:pPr>
    </w:p>
    <w:p>
      <w:pPr>
        <w:ind w:firstLine="0" w:firstLineChars="0"/>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重庆成渝高速公路公司</w:t>
      </w:r>
    </w:p>
    <w:p>
      <w:pPr>
        <w:ind w:firstLine="0" w:firstLineChars="0"/>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车辆保险</w:t>
      </w:r>
      <w:r>
        <w:rPr>
          <w:rFonts w:hint="eastAsia" w:ascii="方正小标宋_GBK" w:eastAsia="方正小标宋_GBK"/>
          <w:color w:val="auto"/>
          <w:sz w:val="44"/>
          <w:szCs w:val="44"/>
          <w:highlight w:val="none"/>
          <w:lang w:val="en-US" w:eastAsia="zh-CN"/>
        </w:rPr>
        <w:t>服务</w:t>
      </w:r>
      <w:r>
        <w:rPr>
          <w:rFonts w:hint="eastAsia" w:ascii="方正小标宋_GBK" w:eastAsia="方正小标宋_GBK"/>
          <w:color w:val="auto"/>
          <w:sz w:val="44"/>
          <w:szCs w:val="44"/>
          <w:highlight w:val="none"/>
        </w:rPr>
        <w:t>项目</w:t>
      </w:r>
    </w:p>
    <w:p>
      <w:pPr>
        <w:ind w:firstLine="880"/>
        <w:jc w:val="center"/>
        <w:rPr>
          <w:rFonts w:ascii="方正小标宋_GBK" w:eastAsia="方正小标宋_GBK"/>
          <w:color w:val="auto"/>
          <w:sz w:val="44"/>
          <w:szCs w:val="44"/>
          <w:highlight w:val="none"/>
        </w:rPr>
      </w:pPr>
    </w:p>
    <w:p>
      <w:pPr>
        <w:ind w:firstLine="880"/>
        <w:jc w:val="center"/>
        <w:rPr>
          <w:rFonts w:ascii="方正小标宋_GBK" w:eastAsia="方正小标宋_GBK"/>
          <w:color w:val="auto"/>
          <w:sz w:val="44"/>
          <w:szCs w:val="44"/>
          <w:highlight w:val="none"/>
        </w:rPr>
      </w:pPr>
    </w:p>
    <w:p>
      <w:pPr>
        <w:ind w:firstLine="880"/>
        <w:jc w:val="center"/>
        <w:rPr>
          <w:rFonts w:ascii="方正小标宋_GBK" w:eastAsia="方正小标宋_GBK"/>
          <w:color w:val="auto"/>
          <w:sz w:val="44"/>
          <w:szCs w:val="44"/>
          <w:highlight w:val="none"/>
        </w:rPr>
      </w:pPr>
    </w:p>
    <w:p>
      <w:pPr>
        <w:ind w:firstLine="0" w:firstLineChars="0"/>
        <w:jc w:val="center"/>
        <w:rPr>
          <w:rFonts w:ascii="方正小标宋_GBK" w:eastAsia="方正小标宋_GBK"/>
          <w:color w:val="auto"/>
          <w:sz w:val="84"/>
          <w:szCs w:val="84"/>
          <w:highlight w:val="none"/>
        </w:rPr>
      </w:pPr>
      <w:r>
        <w:rPr>
          <w:rFonts w:hint="eastAsia" w:ascii="方正小标宋_GBK" w:eastAsia="方正小标宋_GBK"/>
          <w:color w:val="auto"/>
          <w:sz w:val="84"/>
          <w:szCs w:val="84"/>
          <w:highlight w:val="none"/>
        </w:rPr>
        <w:t>竞争性比选响应文件</w:t>
      </w:r>
    </w:p>
    <w:p>
      <w:pPr>
        <w:ind w:firstLine="1680"/>
        <w:jc w:val="center"/>
        <w:rPr>
          <w:rFonts w:ascii="方正小标宋_GBK" w:eastAsia="方正小标宋_GBK"/>
          <w:color w:val="auto"/>
          <w:sz w:val="84"/>
          <w:szCs w:val="84"/>
          <w:highlight w:val="none"/>
        </w:rPr>
      </w:pPr>
    </w:p>
    <w:p>
      <w:pPr>
        <w:ind w:firstLine="1680"/>
        <w:rPr>
          <w:rFonts w:ascii="方正小标宋_GBK" w:eastAsia="方正小标宋_GBK"/>
          <w:color w:val="auto"/>
          <w:sz w:val="84"/>
          <w:szCs w:val="84"/>
          <w:highlight w:val="none"/>
        </w:rPr>
      </w:pPr>
    </w:p>
    <w:p>
      <w:pPr>
        <w:ind w:firstLine="640"/>
        <w:jc w:val="center"/>
        <w:rPr>
          <w:rFonts w:ascii="方正仿宋_GBK" w:eastAsia="方正仿宋_GBK"/>
          <w:color w:val="auto"/>
          <w:sz w:val="32"/>
          <w:szCs w:val="32"/>
          <w:highlight w:val="none"/>
        </w:rPr>
      </w:pPr>
    </w:p>
    <w:p>
      <w:pPr>
        <w:ind w:firstLine="0" w:firstLineChars="0"/>
        <w:jc w:val="center"/>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重庆成渝高速公路有限公司</w:t>
      </w:r>
    </w:p>
    <w:p>
      <w:pPr>
        <w:pStyle w:val="6"/>
        <w:snapToGrid w:val="0"/>
        <w:spacing w:line="560" w:lineRule="exact"/>
        <w:ind w:firstLine="0" w:firstLineChars="0"/>
        <w:jc w:val="center"/>
        <w:rPr>
          <w:rFonts w:ascii="方正黑体_GBK" w:hAnsi="方正黑体_GBK" w:eastAsia="方正黑体_GBK" w:cs="方正黑体_GBK"/>
          <w:b w:val="0"/>
          <w:color w:val="auto"/>
          <w:sz w:val="32"/>
          <w:szCs w:val="32"/>
          <w:highlight w:val="none"/>
        </w:rPr>
      </w:pPr>
      <w:r>
        <w:rPr>
          <w:rFonts w:hint="eastAsia" w:ascii="方正黑体_GBK" w:hAnsi="方正黑体_GBK" w:eastAsia="方正黑体_GBK" w:cs="方正黑体_GBK"/>
          <w:b w:val="0"/>
          <w:color w:val="auto"/>
          <w:sz w:val="32"/>
          <w:szCs w:val="32"/>
          <w:highlight w:val="none"/>
        </w:rPr>
        <w:t>2023年X</w:t>
      </w:r>
      <w:r>
        <w:rPr>
          <w:rFonts w:ascii="方正黑体_GBK" w:hAnsi="方正黑体_GBK" w:eastAsia="方正黑体_GBK" w:cs="方正黑体_GBK"/>
          <w:b w:val="0"/>
          <w:color w:val="auto"/>
          <w:sz w:val="32"/>
          <w:szCs w:val="32"/>
          <w:highlight w:val="none"/>
        </w:rPr>
        <w:t>X</w:t>
      </w:r>
      <w:r>
        <w:rPr>
          <w:rFonts w:hint="eastAsia" w:ascii="方正黑体_GBK" w:hAnsi="方正黑体_GBK" w:eastAsia="方正黑体_GBK" w:cs="方正黑体_GBK"/>
          <w:b w:val="0"/>
          <w:color w:val="auto"/>
          <w:sz w:val="32"/>
          <w:szCs w:val="32"/>
          <w:highlight w:val="none"/>
        </w:rPr>
        <w:t>月X</w:t>
      </w:r>
      <w:r>
        <w:rPr>
          <w:rFonts w:ascii="方正黑体_GBK" w:hAnsi="方正黑体_GBK" w:eastAsia="方正黑体_GBK" w:cs="方正黑体_GBK"/>
          <w:b w:val="0"/>
          <w:color w:val="auto"/>
          <w:sz w:val="32"/>
          <w:szCs w:val="32"/>
          <w:highlight w:val="none"/>
        </w:rPr>
        <w:t>X</w:t>
      </w:r>
      <w:r>
        <w:rPr>
          <w:rFonts w:hint="eastAsia" w:ascii="方正黑体_GBK" w:hAnsi="方正黑体_GBK" w:eastAsia="方正黑体_GBK" w:cs="方正黑体_GBK"/>
          <w:b w:val="0"/>
          <w:color w:val="auto"/>
          <w:sz w:val="32"/>
          <w:szCs w:val="32"/>
          <w:highlight w:val="none"/>
        </w:rPr>
        <w:t>日</w:t>
      </w:r>
    </w:p>
    <w:p>
      <w:pPr>
        <w:ind w:firstLine="0" w:firstLineChars="0"/>
        <w:jc w:val="center"/>
        <w:rPr>
          <w:color w:val="auto"/>
          <w:highlight w:val="none"/>
        </w:rPr>
      </w:pPr>
      <w:r>
        <w:rPr>
          <w:rFonts w:hint="eastAsia"/>
          <w:color w:val="auto"/>
          <w:highlight w:val="none"/>
        </w:rPr>
        <w:t>目录</w:t>
      </w:r>
    </w:p>
    <w:p>
      <w:pPr>
        <w:ind w:firstLine="560" w:firstLineChars="200"/>
        <w:rPr>
          <w:color w:val="auto"/>
          <w:highlight w:val="none"/>
        </w:rPr>
      </w:pPr>
      <w:r>
        <w:rPr>
          <w:rFonts w:hint="eastAsia"/>
          <w:color w:val="auto"/>
          <w:highlight w:val="none"/>
        </w:rPr>
        <w:t>一、投标报价</w:t>
      </w:r>
    </w:p>
    <w:p>
      <w:pPr>
        <w:ind w:firstLine="560" w:firstLineChars="200"/>
        <w:rPr>
          <w:color w:val="auto"/>
          <w:highlight w:val="none"/>
        </w:rPr>
      </w:pPr>
      <w:r>
        <w:rPr>
          <w:rFonts w:hint="eastAsia"/>
          <w:color w:val="auto"/>
          <w:highlight w:val="none"/>
        </w:rPr>
        <w:t>二、资格文件</w:t>
      </w:r>
    </w:p>
    <w:p>
      <w:pPr>
        <w:ind w:firstLine="560" w:firstLineChars="200"/>
        <w:rPr>
          <w:color w:val="auto"/>
          <w:highlight w:val="none"/>
        </w:rPr>
      </w:pPr>
      <w:r>
        <w:rPr>
          <w:rFonts w:hint="eastAsia"/>
          <w:color w:val="auto"/>
          <w:highlight w:val="none"/>
        </w:rPr>
        <w:t>（一）基本资格条件</w:t>
      </w:r>
    </w:p>
    <w:p>
      <w:pPr>
        <w:ind w:firstLine="560" w:firstLineChars="200"/>
        <w:rPr>
          <w:color w:val="auto"/>
          <w:highlight w:val="none"/>
        </w:rPr>
      </w:pPr>
      <w:r>
        <w:rPr>
          <w:rFonts w:hint="eastAsia"/>
          <w:color w:val="auto"/>
          <w:highlight w:val="none"/>
        </w:rPr>
        <w:t>1.营业执照副本复印件</w:t>
      </w:r>
    </w:p>
    <w:p>
      <w:pPr>
        <w:ind w:firstLine="560" w:firstLineChars="200"/>
        <w:rPr>
          <w:color w:val="auto"/>
          <w:highlight w:val="none"/>
        </w:rPr>
      </w:pPr>
      <w:r>
        <w:rPr>
          <w:rFonts w:hint="eastAsia"/>
          <w:color w:val="auto"/>
          <w:highlight w:val="none"/>
        </w:rPr>
        <w:t>2.单位负责人身份证明书</w:t>
      </w:r>
    </w:p>
    <w:p>
      <w:pPr>
        <w:ind w:firstLine="560" w:firstLineChars="200"/>
        <w:rPr>
          <w:color w:val="auto"/>
          <w:highlight w:val="none"/>
        </w:rPr>
      </w:pPr>
      <w:r>
        <w:rPr>
          <w:rFonts w:hint="eastAsia"/>
          <w:color w:val="auto"/>
          <w:highlight w:val="none"/>
        </w:rPr>
        <w:t>3.单位负责人授权委托书</w:t>
      </w:r>
    </w:p>
    <w:p>
      <w:pPr>
        <w:ind w:firstLine="560" w:firstLineChars="200"/>
        <w:rPr>
          <w:color w:val="auto"/>
          <w:highlight w:val="none"/>
        </w:rPr>
      </w:pPr>
      <w:r>
        <w:rPr>
          <w:rFonts w:hint="eastAsia"/>
          <w:color w:val="auto"/>
          <w:highlight w:val="none"/>
        </w:rPr>
        <w:t>4.诚信声明（格式）</w:t>
      </w:r>
    </w:p>
    <w:p>
      <w:pPr>
        <w:ind w:firstLine="560" w:firstLineChars="200"/>
        <w:rPr>
          <w:color w:val="auto"/>
          <w:highlight w:val="none"/>
        </w:rPr>
      </w:pPr>
      <w:r>
        <w:rPr>
          <w:rFonts w:hint="eastAsia"/>
          <w:color w:val="auto"/>
          <w:highlight w:val="none"/>
        </w:rPr>
        <w:t>5.比选响应人总公司注册资本金证明</w:t>
      </w:r>
    </w:p>
    <w:p>
      <w:pPr>
        <w:ind w:firstLine="560" w:firstLineChars="200"/>
        <w:rPr>
          <w:color w:val="auto"/>
          <w:highlight w:val="none"/>
        </w:rPr>
      </w:pPr>
      <w:r>
        <w:rPr>
          <w:rFonts w:hint="eastAsia"/>
          <w:color w:val="auto"/>
          <w:highlight w:val="none"/>
        </w:rPr>
        <w:t>（二）特定资格条件证明材料复印件</w:t>
      </w:r>
    </w:p>
    <w:p>
      <w:pPr>
        <w:ind w:firstLine="560" w:firstLineChars="200"/>
        <w:rPr>
          <w:color w:val="auto"/>
          <w:highlight w:val="none"/>
        </w:rPr>
      </w:pPr>
      <w:r>
        <w:rPr>
          <w:rFonts w:hint="eastAsia"/>
          <w:color w:val="auto"/>
          <w:highlight w:val="none"/>
        </w:rPr>
        <w:t>三、商务文件</w:t>
      </w:r>
    </w:p>
    <w:p>
      <w:pPr>
        <w:ind w:firstLine="560" w:firstLineChars="200"/>
        <w:rPr>
          <w:color w:val="auto"/>
          <w:highlight w:val="none"/>
        </w:rPr>
      </w:pPr>
      <w:r>
        <w:rPr>
          <w:rFonts w:hint="eastAsia"/>
          <w:color w:val="auto"/>
          <w:highlight w:val="none"/>
        </w:rPr>
        <w:t>（一）比选响应人实力</w:t>
      </w:r>
    </w:p>
    <w:p>
      <w:pPr>
        <w:ind w:firstLine="560" w:firstLineChars="200"/>
        <w:rPr>
          <w:color w:val="auto"/>
          <w:highlight w:val="none"/>
        </w:rPr>
      </w:pPr>
      <w:r>
        <w:rPr>
          <w:rFonts w:hint="eastAsia"/>
          <w:color w:val="auto"/>
          <w:highlight w:val="none"/>
        </w:rPr>
        <w:t>（二）承保服务</w:t>
      </w:r>
    </w:p>
    <w:p>
      <w:pPr>
        <w:ind w:firstLine="560" w:firstLineChars="200"/>
        <w:rPr>
          <w:color w:val="auto"/>
          <w:highlight w:val="none"/>
        </w:rPr>
      </w:pPr>
      <w:r>
        <w:rPr>
          <w:rFonts w:hint="eastAsia"/>
          <w:color w:val="auto"/>
          <w:highlight w:val="none"/>
        </w:rPr>
        <w:t>（三）理赔服务</w:t>
      </w:r>
    </w:p>
    <w:p>
      <w:pPr>
        <w:ind w:firstLine="560" w:firstLineChars="200"/>
        <w:rPr>
          <w:color w:val="auto"/>
          <w:highlight w:val="none"/>
        </w:rPr>
      </w:pPr>
      <w:r>
        <w:rPr>
          <w:rFonts w:hint="eastAsia"/>
          <w:color w:val="auto"/>
          <w:highlight w:val="none"/>
        </w:rPr>
        <w:t>（四）特色增值服务</w:t>
      </w:r>
    </w:p>
    <w:p>
      <w:pPr>
        <w:ind w:firstLine="560" w:firstLineChars="200"/>
        <w:rPr>
          <w:color w:val="auto"/>
          <w:highlight w:val="none"/>
        </w:rPr>
      </w:pPr>
      <w:r>
        <w:rPr>
          <w:rFonts w:hint="eastAsia"/>
          <w:color w:val="auto"/>
          <w:highlight w:val="none"/>
        </w:rPr>
        <w:t>（五）其他</w:t>
      </w:r>
    </w:p>
    <w:p>
      <w:pPr>
        <w:widowControl/>
        <w:spacing w:line="240" w:lineRule="auto"/>
        <w:ind w:firstLine="0" w:firstLineChars="0"/>
        <w:rPr>
          <w:color w:val="auto"/>
          <w:highlight w:val="none"/>
        </w:rPr>
      </w:pPr>
      <w:r>
        <w:rPr>
          <w:color w:val="auto"/>
          <w:highlight w:val="none"/>
        </w:rPr>
        <w:br w:type="page"/>
      </w:r>
    </w:p>
    <w:p>
      <w:pPr>
        <w:pStyle w:val="3"/>
        <w:ind w:firstLine="643" w:firstLineChars="200"/>
        <w:rPr>
          <w:color w:val="auto"/>
          <w:highlight w:val="none"/>
        </w:rPr>
      </w:pPr>
      <w:r>
        <w:rPr>
          <w:rFonts w:hint="eastAsia"/>
          <w:color w:val="auto"/>
          <w:highlight w:val="none"/>
        </w:rPr>
        <w:t>一、投标报价</w:t>
      </w:r>
    </w:p>
    <w:p>
      <w:pPr>
        <w:spacing w:line="660" w:lineRule="exact"/>
        <w:ind w:firstLine="560"/>
        <w:jc w:val="center"/>
        <w:rPr>
          <w:rFonts w:ascii="仿宋" w:hAnsi="仿宋" w:cs="仿宋"/>
          <w:color w:val="auto"/>
          <w:szCs w:val="28"/>
          <w:highlight w:val="none"/>
        </w:rPr>
      </w:pPr>
      <w:r>
        <w:rPr>
          <w:rFonts w:hint="eastAsia" w:ascii="仿宋" w:hAnsi="仿宋" w:cs="仿宋"/>
          <w:color w:val="auto"/>
          <w:szCs w:val="28"/>
          <w:highlight w:val="none"/>
        </w:rPr>
        <w:t>商业险自主定价系数报价表</w:t>
      </w:r>
    </w:p>
    <w:p>
      <w:pPr>
        <w:ind w:firstLine="560"/>
        <w:rPr>
          <w:rFonts w:ascii="仿宋" w:hAnsi="仿宋" w:cs="Times New Roman"/>
          <w:color w:val="auto"/>
          <w:szCs w:val="28"/>
          <w:highlight w:val="none"/>
        </w:rPr>
      </w:pPr>
      <w:r>
        <w:rPr>
          <w:rFonts w:hint="eastAsia" w:ascii="仿宋" w:hAnsi="仿宋" w:cs="Times New Roman"/>
          <w:color w:val="auto"/>
          <w:szCs w:val="28"/>
          <w:highlight w:val="none"/>
        </w:rPr>
        <w:t>报价单位（公章）：</w:t>
      </w:r>
    </w:p>
    <w:tbl>
      <w:tblPr>
        <w:tblStyle w:val="12"/>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1594"/>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4219" w:type="dxa"/>
            <w:vAlign w:val="center"/>
          </w:tcPr>
          <w:p>
            <w:pPr>
              <w:pStyle w:val="10"/>
              <w:spacing w:line="400" w:lineRule="exact"/>
              <w:ind w:firstLine="0" w:firstLineChars="0"/>
              <w:jc w:val="center"/>
              <w:rPr>
                <w:rFonts w:ascii="仿宋" w:hAnsi="仿宋"/>
                <w:color w:val="auto"/>
                <w:kern w:val="0"/>
                <w:sz w:val="28"/>
                <w:szCs w:val="28"/>
                <w:highlight w:val="none"/>
              </w:rPr>
            </w:pPr>
            <w:r>
              <w:rPr>
                <w:rFonts w:hint="eastAsia" w:ascii="仿宋" w:hAnsi="仿宋"/>
                <w:color w:val="auto"/>
                <w:kern w:val="0"/>
                <w:sz w:val="28"/>
                <w:szCs w:val="28"/>
                <w:highlight w:val="none"/>
              </w:rPr>
              <w:t>项目名称</w:t>
            </w:r>
          </w:p>
        </w:tc>
        <w:tc>
          <w:tcPr>
            <w:tcW w:w="1594" w:type="dxa"/>
            <w:vAlign w:val="center"/>
          </w:tcPr>
          <w:p>
            <w:pPr>
              <w:pStyle w:val="10"/>
              <w:spacing w:line="400" w:lineRule="exact"/>
              <w:ind w:firstLine="0" w:firstLineChars="0"/>
              <w:jc w:val="center"/>
              <w:rPr>
                <w:rFonts w:ascii="仿宋" w:hAnsi="仿宋"/>
                <w:color w:val="auto"/>
                <w:kern w:val="0"/>
                <w:sz w:val="28"/>
                <w:szCs w:val="28"/>
                <w:highlight w:val="none"/>
              </w:rPr>
            </w:pPr>
            <w:r>
              <w:rPr>
                <w:rFonts w:hint="eastAsia" w:ascii="仿宋" w:hAnsi="仿宋"/>
                <w:color w:val="auto"/>
                <w:kern w:val="0"/>
                <w:sz w:val="28"/>
                <w:szCs w:val="28"/>
                <w:highlight w:val="none"/>
              </w:rPr>
              <w:t>承保车</w:t>
            </w:r>
          </w:p>
          <w:p>
            <w:pPr>
              <w:pStyle w:val="10"/>
              <w:spacing w:line="400" w:lineRule="exact"/>
              <w:ind w:firstLine="0" w:firstLineChars="0"/>
              <w:jc w:val="center"/>
              <w:rPr>
                <w:rFonts w:ascii="仿宋" w:hAnsi="仿宋"/>
                <w:color w:val="auto"/>
                <w:kern w:val="0"/>
                <w:sz w:val="28"/>
                <w:szCs w:val="28"/>
                <w:highlight w:val="none"/>
              </w:rPr>
            </w:pPr>
            <w:r>
              <w:rPr>
                <w:rFonts w:hint="eastAsia" w:ascii="仿宋" w:hAnsi="仿宋"/>
                <w:color w:val="auto"/>
                <w:kern w:val="0"/>
                <w:sz w:val="28"/>
                <w:szCs w:val="28"/>
                <w:highlight w:val="none"/>
              </w:rPr>
              <w:t>辆数量</w:t>
            </w:r>
          </w:p>
        </w:tc>
        <w:tc>
          <w:tcPr>
            <w:tcW w:w="2907" w:type="dxa"/>
            <w:vAlign w:val="center"/>
          </w:tcPr>
          <w:p>
            <w:pPr>
              <w:pStyle w:val="10"/>
              <w:spacing w:line="400" w:lineRule="exact"/>
              <w:ind w:firstLine="0" w:firstLineChars="0"/>
              <w:jc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rPr>
              <w:t>商业险</w:t>
            </w:r>
          </w:p>
          <w:p>
            <w:pPr>
              <w:pStyle w:val="10"/>
              <w:spacing w:line="400" w:lineRule="exact"/>
              <w:ind w:firstLine="0" w:firstLineChars="0"/>
              <w:jc w:val="center"/>
              <w:rPr>
                <w:rFonts w:hint="default" w:ascii="仿宋" w:hAnsi="仿宋" w:eastAsia="仿宋"/>
                <w:color w:val="auto"/>
                <w:kern w:val="0"/>
                <w:sz w:val="28"/>
                <w:szCs w:val="28"/>
                <w:highlight w:val="none"/>
                <w:lang w:val="en-US" w:eastAsia="zh-CN"/>
              </w:rPr>
            </w:pPr>
            <w:r>
              <w:rPr>
                <w:rFonts w:hint="eastAsia" w:ascii="仿宋" w:hAnsi="仿宋" w:cs="Times New Roman"/>
                <w:color w:val="auto"/>
                <w:kern w:val="0"/>
                <w:sz w:val="28"/>
                <w:szCs w:val="28"/>
                <w:highlight w:val="none"/>
              </w:rPr>
              <w:t>自主定价系数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4219" w:type="dxa"/>
            <w:vAlign w:val="center"/>
          </w:tcPr>
          <w:p>
            <w:pPr>
              <w:pStyle w:val="10"/>
              <w:ind w:firstLine="0" w:firstLineChars="0"/>
              <w:jc w:val="center"/>
              <w:rPr>
                <w:rFonts w:hint="default" w:ascii="仿宋" w:hAnsi="仿宋" w:eastAsia="仿宋"/>
                <w:color w:val="auto"/>
                <w:kern w:val="0"/>
                <w:sz w:val="28"/>
                <w:szCs w:val="28"/>
                <w:highlight w:val="none"/>
                <w:lang w:val="en-US" w:eastAsia="zh-CN"/>
              </w:rPr>
            </w:pPr>
          </w:p>
        </w:tc>
        <w:tc>
          <w:tcPr>
            <w:tcW w:w="1594" w:type="dxa"/>
            <w:vAlign w:val="center"/>
          </w:tcPr>
          <w:p>
            <w:pPr>
              <w:pStyle w:val="10"/>
              <w:ind w:firstLine="0" w:firstLineChars="0"/>
              <w:jc w:val="center"/>
              <w:rPr>
                <w:rFonts w:hint="default" w:ascii="仿宋" w:hAnsi="仿宋" w:eastAsia="仿宋"/>
                <w:color w:val="auto"/>
                <w:kern w:val="0"/>
                <w:sz w:val="28"/>
                <w:szCs w:val="28"/>
                <w:highlight w:val="none"/>
                <w:lang w:val="en-US" w:eastAsia="zh-CN"/>
              </w:rPr>
            </w:pPr>
          </w:p>
        </w:tc>
        <w:tc>
          <w:tcPr>
            <w:tcW w:w="2907" w:type="dxa"/>
            <w:vAlign w:val="center"/>
          </w:tcPr>
          <w:p>
            <w:pPr>
              <w:pStyle w:val="10"/>
              <w:ind w:firstLine="0" w:firstLineChars="0"/>
              <w:jc w:val="center"/>
              <w:rPr>
                <w:rFonts w:ascii="仿宋" w:hAnsi="仿宋"/>
                <w:color w:val="auto"/>
                <w:kern w:val="0"/>
                <w:sz w:val="28"/>
                <w:szCs w:val="28"/>
                <w:highlight w:val="none"/>
              </w:rPr>
            </w:pPr>
          </w:p>
        </w:tc>
      </w:tr>
    </w:tbl>
    <w:p>
      <w:pPr>
        <w:ind w:firstLine="0" w:firstLineChars="0"/>
        <w:rPr>
          <w:color w:val="auto"/>
          <w:highlight w:val="none"/>
        </w:rPr>
      </w:pPr>
    </w:p>
    <w:p>
      <w:pPr>
        <w:ind w:firstLine="0" w:firstLineChars="0"/>
        <w:rPr>
          <w:color w:val="auto"/>
          <w:highlight w:val="none"/>
        </w:rPr>
      </w:pPr>
    </w:p>
    <w:p>
      <w:pPr>
        <w:ind w:firstLine="0" w:firstLineChars="0"/>
        <w:jc w:val="center"/>
        <w:rPr>
          <w:rFonts w:hint="eastAsia"/>
          <w:color w:val="auto"/>
          <w:highlight w:val="none"/>
        </w:rPr>
      </w:pPr>
      <w:r>
        <w:rPr>
          <w:rFonts w:hint="eastAsia"/>
          <w:color w:val="auto"/>
          <w:highlight w:val="none"/>
        </w:rPr>
        <w:t>比选响应人：</w:t>
      </w:r>
    </w:p>
    <w:p>
      <w:pPr>
        <w:pStyle w:val="9"/>
        <w:rPr>
          <w:rFonts w:hint="default" w:eastAsia="仿宋"/>
          <w:color w:val="auto"/>
          <w:highlight w:val="none"/>
          <w:lang w:val="en-US" w:eastAsia="zh-CN"/>
        </w:rPr>
      </w:pPr>
      <w:r>
        <w:rPr>
          <w:rFonts w:hint="eastAsia"/>
          <w:color w:val="auto"/>
          <w:highlight w:val="none"/>
          <w:lang w:val="en-US" w:eastAsia="zh-CN"/>
        </w:rPr>
        <w:t xml:space="preserve">                    响应人电话：</w:t>
      </w:r>
    </w:p>
    <w:p>
      <w:pPr>
        <w:ind w:firstLine="0" w:firstLineChars="0"/>
        <w:jc w:val="center"/>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日期：</w:t>
      </w:r>
    </w:p>
    <w:p>
      <w:pPr>
        <w:widowControl/>
        <w:spacing w:line="240" w:lineRule="auto"/>
        <w:ind w:firstLine="0" w:firstLineChars="0"/>
        <w:rPr>
          <w:color w:val="auto"/>
          <w:highlight w:val="none"/>
        </w:rPr>
      </w:pPr>
      <w:r>
        <w:rPr>
          <w:color w:val="auto"/>
          <w:highlight w:val="none"/>
        </w:rPr>
        <w:br w:type="page"/>
      </w:r>
    </w:p>
    <w:p>
      <w:pPr>
        <w:pStyle w:val="3"/>
        <w:ind w:firstLine="643" w:firstLineChars="200"/>
        <w:rPr>
          <w:color w:val="auto"/>
          <w:highlight w:val="none"/>
        </w:rPr>
      </w:pPr>
      <w:r>
        <w:rPr>
          <w:rFonts w:hint="eastAsia"/>
          <w:color w:val="auto"/>
          <w:highlight w:val="none"/>
        </w:rPr>
        <w:t>二、资格文件</w:t>
      </w:r>
    </w:p>
    <w:p>
      <w:pPr>
        <w:ind w:firstLine="560" w:firstLineChars="200"/>
        <w:rPr>
          <w:color w:val="auto"/>
          <w:highlight w:val="none"/>
        </w:rPr>
      </w:pPr>
      <w:r>
        <w:rPr>
          <w:rFonts w:hint="eastAsia"/>
          <w:color w:val="auto"/>
          <w:highlight w:val="none"/>
        </w:rPr>
        <w:t>（一）基本资格条件</w:t>
      </w:r>
    </w:p>
    <w:p>
      <w:pPr>
        <w:ind w:firstLine="560" w:firstLineChars="200"/>
        <w:rPr>
          <w:color w:val="auto"/>
          <w:highlight w:val="none"/>
        </w:rPr>
      </w:pPr>
      <w:r>
        <w:rPr>
          <w:rFonts w:hint="eastAsia"/>
          <w:color w:val="auto"/>
          <w:highlight w:val="none"/>
        </w:rPr>
        <w:t>1.营业执照副本复印件</w:t>
      </w:r>
      <w:r>
        <w:rPr>
          <w:rFonts w:hint="eastAsia" w:ascii="仿宋" w:hAnsi="仿宋" w:cs="微软雅黑"/>
          <w:color w:val="auto"/>
          <w:szCs w:val="28"/>
          <w:highlight w:val="none"/>
          <w:lang w:val="zh-CN"/>
        </w:rPr>
        <w:t>（公章）</w:t>
      </w:r>
    </w:p>
    <w:p>
      <w:pPr>
        <w:widowControl/>
        <w:spacing w:line="240" w:lineRule="auto"/>
        <w:ind w:firstLine="0" w:firstLineChars="0"/>
        <w:rPr>
          <w:color w:val="auto"/>
          <w:highlight w:val="none"/>
        </w:rPr>
      </w:pPr>
      <w:r>
        <w:rPr>
          <w:color w:val="auto"/>
          <w:highlight w:val="none"/>
        </w:rPr>
        <w:br w:type="page"/>
      </w:r>
    </w:p>
    <w:p>
      <w:pPr>
        <w:ind w:firstLine="560" w:firstLineChars="200"/>
        <w:rPr>
          <w:color w:val="auto"/>
          <w:highlight w:val="none"/>
        </w:rPr>
      </w:pPr>
      <w:r>
        <w:rPr>
          <w:rFonts w:hint="eastAsia"/>
          <w:color w:val="auto"/>
          <w:highlight w:val="none"/>
        </w:rPr>
        <w:t>2.单位负责人身份证明书</w:t>
      </w:r>
    </w:p>
    <w:p>
      <w:pPr>
        <w:ind w:firstLine="0" w:firstLineChars="0"/>
        <w:rPr>
          <w:color w:val="auto"/>
          <w:highlight w:val="none"/>
        </w:rPr>
      </w:pPr>
    </w:p>
    <w:p>
      <w:pPr>
        <w:topLinePunct/>
        <w:autoSpaceDN w:val="0"/>
        <w:adjustRightInd w:val="0"/>
        <w:snapToGrid w:val="0"/>
        <w:spacing w:line="400" w:lineRule="exact"/>
        <w:ind w:firstLine="560"/>
        <w:jc w:val="center"/>
        <w:rPr>
          <w:rFonts w:ascii="仿宋" w:hAnsi="仿宋" w:cs="微软雅黑"/>
          <w:color w:val="auto"/>
          <w:szCs w:val="28"/>
          <w:highlight w:val="none"/>
          <w:lang w:val="zh-CN"/>
        </w:rPr>
      </w:pPr>
      <w:r>
        <w:rPr>
          <w:rFonts w:hint="eastAsia"/>
          <w:color w:val="auto"/>
          <w:szCs w:val="28"/>
          <w:highlight w:val="none"/>
        </w:rPr>
        <w:t>单位负责人</w:t>
      </w:r>
      <w:r>
        <w:rPr>
          <w:rFonts w:hint="eastAsia" w:ascii="仿宋" w:hAnsi="仿宋" w:cs="微软雅黑"/>
          <w:color w:val="auto"/>
          <w:szCs w:val="28"/>
          <w:highlight w:val="none"/>
          <w:lang w:val="zh-CN"/>
        </w:rPr>
        <w:t>身份证明书</w:t>
      </w: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u w:val="single"/>
          <w:lang w:val="zh-CN"/>
        </w:rPr>
        <w:t xml:space="preserve">      </w:t>
      </w:r>
      <w:r>
        <w:rPr>
          <w:rFonts w:hint="eastAsia" w:ascii="仿宋" w:hAnsi="仿宋" w:cs="微软雅黑"/>
          <w:color w:val="auto"/>
          <w:szCs w:val="28"/>
          <w:highlight w:val="none"/>
          <w:u w:val="single"/>
        </w:rPr>
        <w:t xml:space="preserve"> </w:t>
      </w:r>
      <w:r>
        <w:rPr>
          <w:rFonts w:hint="eastAsia" w:ascii="仿宋" w:hAnsi="仿宋" w:cs="微软雅黑"/>
          <w:color w:val="auto"/>
          <w:szCs w:val="28"/>
          <w:highlight w:val="none"/>
          <w:u w:val="single"/>
          <w:lang w:val="zh-CN"/>
        </w:rPr>
        <w:t xml:space="preserve">  </w:t>
      </w:r>
      <w:r>
        <w:rPr>
          <w:rFonts w:hint="eastAsia" w:ascii="仿宋" w:hAnsi="仿宋" w:cs="微软雅黑"/>
          <w:color w:val="auto"/>
          <w:szCs w:val="28"/>
          <w:highlight w:val="none"/>
          <w:lang w:val="zh-CN"/>
        </w:rPr>
        <w:t>（</w:t>
      </w:r>
      <w:r>
        <w:rPr>
          <w:rFonts w:hint="eastAsia"/>
          <w:color w:val="auto"/>
          <w:szCs w:val="28"/>
          <w:highlight w:val="none"/>
        </w:rPr>
        <w:t>单位负责人</w:t>
      </w:r>
      <w:r>
        <w:rPr>
          <w:rFonts w:hint="eastAsia" w:ascii="仿宋" w:hAnsi="仿宋" w:cs="微软雅黑"/>
          <w:color w:val="auto"/>
          <w:szCs w:val="28"/>
          <w:highlight w:val="none"/>
          <w:lang w:val="zh-CN"/>
        </w:rPr>
        <w:t>姓名）在</w:t>
      </w:r>
      <w:r>
        <w:rPr>
          <w:rFonts w:hint="eastAsia" w:ascii="仿宋" w:hAnsi="仿宋" w:cs="微软雅黑"/>
          <w:color w:val="auto"/>
          <w:szCs w:val="28"/>
          <w:highlight w:val="none"/>
          <w:u w:val="single"/>
          <w:lang w:val="zh-CN"/>
        </w:rPr>
        <w:t xml:space="preserve">             </w:t>
      </w:r>
      <w:r>
        <w:rPr>
          <w:rFonts w:hint="eastAsia" w:ascii="仿宋" w:hAnsi="仿宋" w:cs="微软雅黑"/>
          <w:color w:val="auto"/>
          <w:szCs w:val="28"/>
          <w:highlight w:val="none"/>
          <w:lang w:val="zh-CN"/>
        </w:rPr>
        <w:t>（比选响应人名称）任</w:t>
      </w:r>
      <w:r>
        <w:rPr>
          <w:rFonts w:hint="eastAsia" w:ascii="仿宋" w:hAnsi="仿宋" w:cs="微软雅黑"/>
          <w:color w:val="auto"/>
          <w:szCs w:val="28"/>
          <w:highlight w:val="none"/>
          <w:u w:val="single"/>
          <w:lang w:val="zh-CN"/>
        </w:rPr>
        <w:t xml:space="preserve">    </w:t>
      </w:r>
      <w:r>
        <w:rPr>
          <w:rFonts w:hint="eastAsia" w:ascii="仿宋" w:hAnsi="仿宋" w:cs="微软雅黑"/>
          <w:color w:val="auto"/>
          <w:szCs w:val="28"/>
          <w:highlight w:val="none"/>
          <w:lang w:val="zh-CN"/>
        </w:rPr>
        <w:t>（职务名称）职务，是__________________（比选响应人名称）的</w:t>
      </w:r>
      <w:r>
        <w:rPr>
          <w:rFonts w:hint="eastAsia"/>
          <w:color w:val="auto"/>
          <w:szCs w:val="28"/>
          <w:highlight w:val="none"/>
        </w:rPr>
        <w:t>单位负责人</w:t>
      </w:r>
      <w:r>
        <w:rPr>
          <w:rFonts w:hint="eastAsia" w:ascii="仿宋" w:hAnsi="仿宋" w:cs="微软雅黑"/>
          <w:color w:val="auto"/>
          <w:szCs w:val="28"/>
          <w:highlight w:val="none"/>
          <w:lang w:val="zh-CN"/>
        </w:rPr>
        <w:t>。</w:t>
      </w: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附：</w:t>
      </w:r>
      <w:r>
        <w:rPr>
          <w:rFonts w:hint="eastAsia"/>
          <w:color w:val="auto"/>
          <w:szCs w:val="28"/>
          <w:highlight w:val="none"/>
        </w:rPr>
        <w:t>单位负责人</w:t>
      </w:r>
      <w:r>
        <w:rPr>
          <w:rFonts w:hint="eastAsia" w:ascii="仿宋" w:hAnsi="仿宋" w:cs="微软雅黑"/>
          <w:color w:val="auto"/>
          <w:szCs w:val="28"/>
          <w:highlight w:val="none"/>
          <w:lang w:val="zh-CN"/>
        </w:rPr>
        <w:t>身份证复印件</w:t>
      </w: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特此证明。</w:t>
      </w:r>
    </w:p>
    <w:p>
      <w:pPr>
        <w:topLinePunct/>
        <w:autoSpaceDN w:val="0"/>
        <w:adjustRightInd w:val="0"/>
        <w:snapToGrid w:val="0"/>
        <w:spacing w:line="400" w:lineRule="exact"/>
        <w:ind w:firstLine="560"/>
        <w:rPr>
          <w:rFonts w:ascii="仿宋" w:hAnsi="仿宋" w:cs="微软雅黑"/>
          <w:color w:val="auto"/>
          <w:szCs w:val="28"/>
          <w:highlight w:val="none"/>
          <w:lang w:val="zh-CN"/>
        </w:rPr>
      </w:pP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 xml:space="preserve">                             比选响应人：</w:t>
      </w: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 xml:space="preserve">                             </w:t>
      </w:r>
      <w:r>
        <w:rPr>
          <w:rFonts w:ascii="仿宋" w:hAnsi="仿宋" w:cs="微软雅黑"/>
          <w:color w:val="auto"/>
          <w:szCs w:val="28"/>
          <w:highlight w:val="none"/>
          <w:lang w:val="zh-CN"/>
        </w:rPr>
        <w:t xml:space="preserve">    </w:t>
      </w:r>
      <w:r>
        <w:rPr>
          <w:rFonts w:hint="eastAsia" w:ascii="仿宋" w:hAnsi="仿宋" w:cs="微软雅黑"/>
          <w:color w:val="auto"/>
          <w:szCs w:val="28"/>
          <w:highlight w:val="none"/>
          <w:lang w:val="zh-CN"/>
        </w:rPr>
        <w:t xml:space="preserve"> 年   月   日</w:t>
      </w:r>
    </w:p>
    <w:p>
      <w:pPr>
        <w:topLinePunct/>
        <w:autoSpaceDN w:val="0"/>
        <w:adjustRightInd w:val="0"/>
        <w:snapToGrid w:val="0"/>
        <w:spacing w:line="400" w:lineRule="exact"/>
        <w:ind w:firstLine="560"/>
        <w:rPr>
          <w:rFonts w:ascii="仿宋" w:hAnsi="仿宋" w:cs="微软雅黑"/>
          <w:color w:val="auto"/>
          <w:szCs w:val="28"/>
          <w:highlight w:val="none"/>
          <w:lang w:val="zh-CN"/>
        </w:rPr>
      </w:pPr>
      <w:r>
        <w:rPr>
          <w:rFonts w:hint="eastAsia" w:ascii="仿宋" w:hAnsi="仿宋" w:cs="微软雅黑"/>
          <w:color w:val="auto"/>
          <w:szCs w:val="28"/>
          <w:highlight w:val="none"/>
          <w:lang w:val="zh-CN"/>
        </w:rPr>
        <w:t xml:space="preserve">                                               （公章）</w:t>
      </w:r>
    </w:p>
    <w:p>
      <w:pPr>
        <w:topLinePunct/>
        <w:autoSpaceDN w:val="0"/>
        <w:adjustRightInd w:val="0"/>
        <w:snapToGrid w:val="0"/>
        <w:spacing w:line="400" w:lineRule="exact"/>
        <w:ind w:firstLine="560"/>
        <w:rPr>
          <w:rFonts w:ascii="仿宋" w:hAnsi="仿宋" w:cs="微软雅黑"/>
          <w:color w:val="auto"/>
          <w:szCs w:val="28"/>
          <w:highlight w:val="none"/>
          <w:lang w:val="zh-CN"/>
        </w:rPr>
      </w:pPr>
    </w:p>
    <w:p>
      <w:pPr>
        <w:ind w:firstLine="0" w:firstLineChars="0"/>
        <w:rPr>
          <w:color w:val="auto"/>
          <w:highlight w:val="none"/>
        </w:rPr>
      </w:pPr>
    </w:p>
    <w:p>
      <w:pPr>
        <w:widowControl/>
        <w:spacing w:line="240" w:lineRule="auto"/>
        <w:ind w:firstLine="0" w:firstLineChars="0"/>
        <w:rPr>
          <w:color w:val="auto"/>
          <w:highlight w:val="none"/>
        </w:rPr>
      </w:pPr>
      <w:r>
        <w:rPr>
          <w:color w:val="auto"/>
          <w:highlight w:val="none"/>
        </w:rPr>
        <w:br w:type="page"/>
      </w:r>
    </w:p>
    <w:p>
      <w:pPr>
        <w:ind w:firstLine="560" w:firstLineChars="200"/>
        <w:rPr>
          <w:color w:val="auto"/>
          <w:highlight w:val="none"/>
        </w:rPr>
      </w:pPr>
      <w:r>
        <w:rPr>
          <w:rFonts w:hint="eastAsia"/>
          <w:color w:val="auto"/>
          <w:highlight w:val="none"/>
        </w:rPr>
        <w:t>3.单位负责人授权委托书</w:t>
      </w:r>
    </w:p>
    <w:p>
      <w:pPr>
        <w:topLinePunct/>
        <w:autoSpaceDN w:val="0"/>
        <w:adjustRightInd w:val="0"/>
        <w:snapToGrid w:val="0"/>
        <w:spacing w:line="400" w:lineRule="exact"/>
        <w:ind w:firstLine="480"/>
        <w:jc w:val="center"/>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单位负责人授权委托书</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项目名称：_______________</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日    期：_______________</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致：_____________________（采购人名称）</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_____________________（比选响应人名称）是中华人民共和国合法企业，法定地址______________________________。</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 xml:space="preserve"> _________（比选响应人单位负责人姓名）特授权_________（被授权人姓名及身份证代码）代表我单位全权办理对上述项目的谈判、签约等具体工作，并签署全部有关的文件、协议及合同。</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我单位对被授权人的签字负全部责任。</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在撤消授权的书面通知以前，本授权书一直有效。被授权人签署的所有文件（在授权书有效期内签署的）不因授权的撤消而失效。</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 xml:space="preserve">被授权人：                                 </w:t>
      </w:r>
      <w:r>
        <w:rPr>
          <w:rFonts w:hint="eastAsia" w:ascii="仿宋" w:hAnsi="仿宋" w:cs="微软雅黑"/>
          <w:color w:val="auto"/>
          <w:sz w:val="24"/>
          <w:szCs w:val="24"/>
          <w:highlight w:val="none"/>
        </w:rPr>
        <w:t xml:space="preserve">  </w:t>
      </w:r>
      <w:r>
        <w:rPr>
          <w:rFonts w:hint="eastAsia" w:ascii="仿宋" w:hAnsi="仿宋" w:cs="微软雅黑"/>
          <w:color w:val="auto"/>
          <w:sz w:val="24"/>
          <w:szCs w:val="24"/>
          <w:highlight w:val="none"/>
          <w:lang w:val="zh-CN"/>
        </w:rPr>
        <w:t xml:space="preserve"> 单位负责人：</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（签字或盖章）                                （签字或盖章）：</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（附：被授权人身份证复印件）</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 xml:space="preserve">                                                    </w:t>
      </w:r>
    </w:p>
    <w:p>
      <w:pPr>
        <w:topLinePunct/>
        <w:autoSpaceDN w:val="0"/>
        <w:adjustRightInd w:val="0"/>
        <w:snapToGrid w:val="0"/>
        <w:spacing w:line="400" w:lineRule="exact"/>
        <w:ind w:firstLine="5040" w:firstLineChars="210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比选响应人：（盖章）</w:t>
      </w:r>
    </w:p>
    <w:p>
      <w:pPr>
        <w:topLinePunct/>
        <w:autoSpaceDN w:val="0"/>
        <w:adjustRightInd w:val="0"/>
        <w:snapToGrid w:val="0"/>
        <w:spacing w:line="400" w:lineRule="exact"/>
        <w:ind w:firstLine="5040" w:firstLineChars="210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年   月   日</w:t>
      </w:r>
    </w:p>
    <w:p>
      <w:pPr>
        <w:ind w:firstLine="0" w:firstLineChars="0"/>
        <w:rPr>
          <w:rFonts w:ascii="仿宋" w:hAnsi="仿宋"/>
          <w:color w:val="auto"/>
          <w:highlight w:val="none"/>
        </w:rPr>
      </w:pPr>
    </w:p>
    <w:p>
      <w:pPr>
        <w:widowControl/>
        <w:spacing w:line="240" w:lineRule="auto"/>
        <w:ind w:firstLine="0" w:firstLineChars="0"/>
        <w:rPr>
          <w:rFonts w:ascii="仿宋" w:hAnsi="仿宋"/>
          <w:color w:val="auto"/>
          <w:highlight w:val="none"/>
        </w:rPr>
      </w:pPr>
      <w:r>
        <w:rPr>
          <w:rFonts w:ascii="仿宋" w:hAnsi="仿宋"/>
          <w:color w:val="auto"/>
          <w:highlight w:val="none"/>
        </w:rPr>
        <w:br w:type="page"/>
      </w:r>
    </w:p>
    <w:p>
      <w:pPr>
        <w:ind w:firstLine="560" w:firstLineChars="200"/>
        <w:rPr>
          <w:color w:val="auto"/>
          <w:highlight w:val="none"/>
        </w:rPr>
      </w:pPr>
      <w:r>
        <w:rPr>
          <w:rFonts w:hint="eastAsia"/>
          <w:color w:val="auto"/>
          <w:highlight w:val="none"/>
        </w:rPr>
        <w:t>4.诚信声明（格式）</w:t>
      </w:r>
    </w:p>
    <w:p>
      <w:pPr>
        <w:topLinePunct/>
        <w:autoSpaceDN w:val="0"/>
        <w:adjustRightInd w:val="0"/>
        <w:snapToGrid w:val="0"/>
        <w:spacing w:line="400" w:lineRule="exact"/>
        <w:ind w:firstLine="480"/>
        <w:jc w:val="center"/>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诚信声明</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采购项目名称：</w:t>
      </w:r>
      <w:r>
        <w:rPr>
          <w:rFonts w:hint="eastAsia" w:ascii="仿宋" w:hAnsi="仿宋" w:cs="微软雅黑"/>
          <w:color w:val="auto"/>
          <w:sz w:val="24"/>
          <w:szCs w:val="24"/>
          <w:highlight w:val="none"/>
          <w:u w:val="single"/>
          <w:lang w:val="zh-CN"/>
        </w:rPr>
        <w:t xml:space="preserve">                            </w:t>
      </w:r>
      <w:r>
        <w:rPr>
          <w:rFonts w:hint="eastAsia" w:ascii="仿宋" w:hAnsi="仿宋" w:cs="微软雅黑"/>
          <w:color w:val="auto"/>
          <w:sz w:val="24"/>
          <w:szCs w:val="24"/>
          <w:highlight w:val="none"/>
          <w:lang w:val="zh-CN"/>
        </w:rPr>
        <w:t xml:space="preserve">                    </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致：</w:t>
      </w:r>
      <w:r>
        <w:rPr>
          <w:rFonts w:hint="eastAsia" w:ascii="仿宋" w:hAnsi="仿宋" w:cs="微软雅黑"/>
          <w:color w:val="auto"/>
          <w:sz w:val="24"/>
          <w:szCs w:val="24"/>
          <w:highlight w:val="none"/>
          <w:u w:val="single"/>
          <w:lang w:val="zh-CN"/>
        </w:rPr>
        <w:t xml:space="preserve">                   </w:t>
      </w:r>
      <w:r>
        <w:rPr>
          <w:rFonts w:hint="eastAsia" w:ascii="仿宋" w:hAnsi="仿宋" w:cs="微软雅黑"/>
          <w:color w:val="auto"/>
          <w:sz w:val="24"/>
          <w:szCs w:val="24"/>
          <w:highlight w:val="none"/>
          <w:lang w:val="zh-CN"/>
        </w:rPr>
        <w:t>（采购人名称）：</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u w:val="single"/>
          <w:lang w:val="zh-CN"/>
        </w:rPr>
        <w:t xml:space="preserve">                      （</w:t>
      </w:r>
      <w:r>
        <w:rPr>
          <w:rFonts w:hint="eastAsia" w:ascii="仿宋" w:hAnsi="仿宋" w:cs="微软雅黑"/>
          <w:color w:val="auto"/>
          <w:sz w:val="24"/>
          <w:szCs w:val="24"/>
          <w:highlight w:val="none"/>
          <w:lang w:val="zh-CN"/>
        </w:rPr>
        <w:t>比选响应人名称）郑重声明，我公司具有良好的商业信誉和健全的财务会计制度，具有履行合同所必需的设备和专业技术能力，我公司还同时声明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我方对以上声明负全部法律责任。</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特此声明。</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 xml:space="preserve">                                  </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p>
    <w:p>
      <w:pPr>
        <w:topLinePunct/>
        <w:autoSpaceDN w:val="0"/>
        <w:adjustRightInd w:val="0"/>
        <w:snapToGrid w:val="0"/>
        <w:spacing w:line="400" w:lineRule="exact"/>
        <w:ind w:firstLine="4800" w:firstLineChars="200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比选响应人：（盖章）</w:t>
      </w:r>
    </w:p>
    <w:p>
      <w:pPr>
        <w:topLinePunct/>
        <w:autoSpaceDN w:val="0"/>
        <w:adjustRightInd w:val="0"/>
        <w:snapToGrid w:val="0"/>
        <w:spacing w:line="400" w:lineRule="exact"/>
        <w:ind w:firstLine="480"/>
        <w:rPr>
          <w:rFonts w:ascii="仿宋" w:hAnsi="仿宋" w:cs="微软雅黑"/>
          <w:color w:val="auto"/>
          <w:sz w:val="24"/>
          <w:szCs w:val="24"/>
          <w:highlight w:val="none"/>
          <w:lang w:val="zh-CN"/>
        </w:rPr>
      </w:pPr>
      <w:r>
        <w:rPr>
          <w:rFonts w:hint="eastAsia" w:ascii="仿宋" w:hAnsi="仿宋" w:cs="微软雅黑"/>
          <w:color w:val="auto"/>
          <w:sz w:val="24"/>
          <w:szCs w:val="24"/>
          <w:highlight w:val="none"/>
          <w:lang w:val="zh-CN"/>
        </w:rPr>
        <w:t xml:space="preserve">                                    年   月   日</w:t>
      </w:r>
    </w:p>
    <w:p>
      <w:pPr>
        <w:ind w:firstLine="0" w:firstLineChars="0"/>
        <w:rPr>
          <w:color w:val="auto"/>
          <w:highlight w:val="none"/>
        </w:rPr>
      </w:pPr>
    </w:p>
    <w:p>
      <w:pPr>
        <w:widowControl/>
        <w:spacing w:line="240" w:lineRule="auto"/>
        <w:ind w:firstLine="0" w:firstLineChars="0"/>
        <w:rPr>
          <w:color w:val="auto"/>
          <w:highlight w:val="none"/>
        </w:rPr>
      </w:pPr>
      <w:r>
        <w:rPr>
          <w:color w:val="auto"/>
          <w:highlight w:val="none"/>
        </w:rPr>
        <w:br w:type="page"/>
      </w:r>
    </w:p>
    <w:p>
      <w:pPr>
        <w:ind w:firstLine="560" w:firstLineChars="200"/>
        <w:rPr>
          <w:color w:val="auto"/>
          <w:highlight w:val="none"/>
        </w:rPr>
      </w:pPr>
      <w:r>
        <w:rPr>
          <w:rFonts w:hint="eastAsia"/>
          <w:color w:val="auto"/>
          <w:highlight w:val="none"/>
        </w:rPr>
        <w:t>5.</w:t>
      </w:r>
      <w:r>
        <w:rPr>
          <w:rFonts w:hint="eastAsia" w:ascii="仿宋" w:hAnsi="仿宋" w:cs="微软雅黑"/>
          <w:color w:val="auto"/>
          <w:sz w:val="21"/>
          <w:szCs w:val="21"/>
          <w:highlight w:val="none"/>
        </w:rPr>
        <w:t xml:space="preserve"> </w:t>
      </w:r>
      <w:r>
        <w:rPr>
          <w:rFonts w:hint="eastAsia"/>
          <w:color w:val="auto"/>
          <w:highlight w:val="none"/>
        </w:rPr>
        <w:t>比选响应人总公司注册资本金证明</w:t>
      </w:r>
    </w:p>
    <w:p>
      <w:pPr>
        <w:ind w:firstLine="560" w:firstLineChars="200"/>
        <w:rPr>
          <w:rFonts w:hint="eastAsia"/>
          <w:color w:val="auto"/>
          <w:highlight w:val="none"/>
        </w:rPr>
      </w:pPr>
    </w:p>
    <w:p>
      <w:pPr>
        <w:ind w:firstLine="560" w:firstLineChars="200"/>
        <w:rPr>
          <w:rFonts w:hint="eastAsia"/>
          <w:color w:val="auto"/>
          <w:highlight w:val="none"/>
        </w:rPr>
      </w:pPr>
      <w:r>
        <w:rPr>
          <w:rFonts w:hint="eastAsia"/>
          <w:color w:val="auto"/>
          <w:highlight w:val="none"/>
        </w:rPr>
        <w:t>（二）特定资格条件证明材料复印件</w:t>
      </w:r>
    </w:p>
    <w:p>
      <w:pPr>
        <w:ind w:firstLine="560" w:firstLineChars="200"/>
        <w:rPr>
          <w:rFonts w:hint="eastAsia"/>
          <w:color w:val="auto"/>
          <w:highlight w:val="none"/>
        </w:rPr>
      </w:pPr>
    </w:p>
    <w:p>
      <w:pPr>
        <w:pStyle w:val="3"/>
        <w:ind w:firstLine="643" w:firstLineChars="200"/>
        <w:rPr>
          <w:color w:val="auto"/>
          <w:highlight w:val="none"/>
        </w:rPr>
      </w:pPr>
      <w:r>
        <w:rPr>
          <w:rFonts w:hint="eastAsia"/>
          <w:color w:val="auto"/>
          <w:highlight w:val="none"/>
        </w:rPr>
        <w:t>三、商务文件（格式自拟）</w:t>
      </w:r>
    </w:p>
    <w:p>
      <w:pPr>
        <w:ind w:firstLine="560" w:firstLineChars="200"/>
        <w:rPr>
          <w:color w:val="auto"/>
          <w:highlight w:val="none"/>
        </w:rPr>
      </w:pPr>
      <w:r>
        <w:rPr>
          <w:rFonts w:hint="eastAsia"/>
          <w:color w:val="auto"/>
          <w:highlight w:val="none"/>
        </w:rPr>
        <w:t>（一）比选响应人实力</w:t>
      </w:r>
    </w:p>
    <w:p>
      <w:pPr>
        <w:ind w:firstLine="560" w:firstLineChars="200"/>
        <w:rPr>
          <w:color w:val="auto"/>
          <w:highlight w:val="none"/>
        </w:rPr>
      </w:pPr>
      <w:r>
        <w:rPr>
          <w:rFonts w:hint="eastAsia"/>
          <w:color w:val="auto"/>
          <w:highlight w:val="none"/>
        </w:rPr>
        <w:t>（二）承保服务</w:t>
      </w:r>
    </w:p>
    <w:p>
      <w:pPr>
        <w:ind w:firstLine="560" w:firstLineChars="200"/>
        <w:rPr>
          <w:color w:val="auto"/>
          <w:highlight w:val="none"/>
        </w:rPr>
      </w:pPr>
      <w:r>
        <w:rPr>
          <w:rFonts w:hint="eastAsia"/>
          <w:color w:val="auto"/>
          <w:highlight w:val="none"/>
        </w:rPr>
        <w:t>（三）理赔服务</w:t>
      </w:r>
    </w:p>
    <w:p>
      <w:pPr>
        <w:ind w:firstLine="560" w:firstLineChars="200"/>
        <w:rPr>
          <w:color w:val="auto"/>
          <w:highlight w:val="none"/>
        </w:rPr>
      </w:pPr>
      <w:r>
        <w:rPr>
          <w:rFonts w:hint="eastAsia"/>
          <w:color w:val="auto"/>
          <w:highlight w:val="none"/>
        </w:rPr>
        <w:t>（四）特色增值服务</w:t>
      </w:r>
    </w:p>
    <w:p>
      <w:pPr>
        <w:ind w:firstLine="560" w:firstLineChars="200"/>
        <w:rPr>
          <w:color w:val="auto"/>
          <w:highlight w:val="none"/>
        </w:rPr>
      </w:pPr>
      <w:r>
        <w:rPr>
          <w:rFonts w:hint="eastAsia"/>
          <w:color w:val="auto"/>
          <w:highlight w:val="none"/>
        </w:rPr>
        <w:t>（五）其他</w:t>
      </w:r>
    </w:p>
    <w:p>
      <w:pPr>
        <w:ind w:firstLine="0" w:firstLineChars="0"/>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6B27"/>
    <w:multiLevelType w:val="singleLevel"/>
    <w:tmpl w:val="9DEE6B27"/>
    <w:lvl w:ilvl="0" w:tentative="0">
      <w:start w:val="3"/>
      <w:numFmt w:val="decimal"/>
      <w:lvlText w:val="%1."/>
      <w:lvlJc w:val="left"/>
      <w:pPr>
        <w:tabs>
          <w:tab w:val="left" w:pos="312"/>
        </w:tabs>
      </w:pPr>
    </w:lvl>
  </w:abstractNum>
  <w:abstractNum w:abstractNumId="1">
    <w:nsid w:val="33FE4535"/>
    <w:multiLevelType w:val="singleLevel"/>
    <w:tmpl w:val="33FE453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zdjYTM4YjE3ZmI5NzRkOGE5MzJjOGQ5ODYyYTUifQ=="/>
  </w:docVars>
  <w:rsids>
    <w:rsidRoot w:val="007B1FD2"/>
    <w:rsid w:val="00021BF8"/>
    <w:rsid w:val="00027407"/>
    <w:rsid w:val="000824F6"/>
    <w:rsid w:val="000E7CA2"/>
    <w:rsid w:val="00102E95"/>
    <w:rsid w:val="00130EC5"/>
    <w:rsid w:val="0017448D"/>
    <w:rsid w:val="00193984"/>
    <w:rsid w:val="001B7A90"/>
    <w:rsid w:val="001D1297"/>
    <w:rsid w:val="001D57E8"/>
    <w:rsid w:val="001E509E"/>
    <w:rsid w:val="002479F1"/>
    <w:rsid w:val="00254FAF"/>
    <w:rsid w:val="002578F0"/>
    <w:rsid w:val="00272EB3"/>
    <w:rsid w:val="00283926"/>
    <w:rsid w:val="00287A10"/>
    <w:rsid w:val="0029678D"/>
    <w:rsid w:val="002E0895"/>
    <w:rsid w:val="002E1B68"/>
    <w:rsid w:val="00344D40"/>
    <w:rsid w:val="00382FBE"/>
    <w:rsid w:val="003B737F"/>
    <w:rsid w:val="003D1592"/>
    <w:rsid w:val="00442AED"/>
    <w:rsid w:val="004B7740"/>
    <w:rsid w:val="004C2F2D"/>
    <w:rsid w:val="004C4A38"/>
    <w:rsid w:val="005254AA"/>
    <w:rsid w:val="00571917"/>
    <w:rsid w:val="00576889"/>
    <w:rsid w:val="005E5FB5"/>
    <w:rsid w:val="005F78CA"/>
    <w:rsid w:val="00600EAC"/>
    <w:rsid w:val="00626577"/>
    <w:rsid w:val="00627BBE"/>
    <w:rsid w:val="00657E7A"/>
    <w:rsid w:val="006B51F6"/>
    <w:rsid w:val="006C78E3"/>
    <w:rsid w:val="006C7C57"/>
    <w:rsid w:val="006D64AF"/>
    <w:rsid w:val="006F4E37"/>
    <w:rsid w:val="007129F7"/>
    <w:rsid w:val="007A79D4"/>
    <w:rsid w:val="007B1B96"/>
    <w:rsid w:val="007B1FD2"/>
    <w:rsid w:val="007C4813"/>
    <w:rsid w:val="008C47DB"/>
    <w:rsid w:val="008D03F1"/>
    <w:rsid w:val="0092793A"/>
    <w:rsid w:val="0092798D"/>
    <w:rsid w:val="00951970"/>
    <w:rsid w:val="0097422B"/>
    <w:rsid w:val="00993240"/>
    <w:rsid w:val="009952A0"/>
    <w:rsid w:val="009A259E"/>
    <w:rsid w:val="009D29EB"/>
    <w:rsid w:val="00A06617"/>
    <w:rsid w:val="00A8227B"/>
    <w:rsid w:val="00AB4B42"/>
    <w:rsid w:val="00AD0E4C"/>
    <w:rsid w:val="00AD3221"/>
    <w:rsid w:val="00B33793"/>
    <w:rsid w:val="00B8562D"/>
    <w:rsid w:val="00B87670"/>
    <w:rsid w:val="00C2305C"/>
    <w:rsid w:val="00C42653"/>
    <w:rsid w:val="00C66851"/>
    <w:rsid w:val="00C80723"/>
    <w:rsid w:val="00C80D2A"/>
    <w:rsid w:val="00C87172"/>
    <w:rsid w:val="00C94BCD"/>
    <w:rsid w:val="00C95DF4"/>
    <w:rsid w:val="00CA7BEC"/>
    <w:rsid w:val="00CB66FE"/>
    <w:rsid w:val="00CD0A6B"/>
    <w:rsid w:val="00CE7883"/>
    <w:rsid w:val="00D048C2"/>
    <w:rsid w:val="00D06790"/>
    <w:rsid w:val="00D76D28"/>
    <w:rsid w:val="00D821F7"/>
    <w:rsid w:val="00D93B2C"/>
    <w:rsid w:val="00DC71A7"/>
    <w:rsid w:val="00DF4A76"/>
    <w:rsid w:val="00E132EA"/>
    <w:rsid w:val="00E20712"/>
    <w:rsid w:val="00E74236"/>
    <w:rsid w:val="00EA2EE7"/>
    <w:rsid w:val="00EB187B"/>
    <w:rsid w:val="00EB3069"/>
    <w:rsid w:val="00EC04F7"/>
    <w:rsid w:val="00F1301E"/>
    <w:rsid w:val="00F16DCC"/>
    <w:rsid w:val="00F32CC0"/>
    <w:rsid w:val="00FC57A1"/>
    <w:rsid w:val="00FF6872"/>
    <w:rsid w:val="03075F70"/>
    <w:rsid w:val="0A5F217C"/>
    <w:rsid w:val="0B312D85"/>
    <w:rsid w:val="0C4D4F79"/>
    <w:rsid w:val="0EEE1778"/>
    <w:rsid w:val="12454015"/>
    <w:rsid w:val="150A4793"/>
    <w:rsid w:val="189351AA"/>
    <w:rsid w:val="1D7F033D"/>
    <w:rsid w:val="202B6C74"/>
    <w:rsid w:val="213F6EF8"/>
    <w:rsid w:val="243D1C16"/>
    <w:rsid w:val="24C7567C"/>
    <w:rsid w:val="25BF3F93"/>
    <w:rsid w:val="2AAF2B22"/>
    <w:rsid w:val="2BB71FB5"/>
    <w:rsid w:val="2E221883"/>
    <w:rsid w:val="33112E79"/>
    <w:rsid w:val="3A801F2D"/>
    <w:rsid w:val="3B9463E1"/>
    <w:rsid w:val="3E26738D"/>
    <w:rsid w:val="3F1301FC"/>
    <w:rsid w:val="41D77AA1"/>
    <w:rsid w:val="42051E2E"/>
    <w:rsid w:val="42763DD1"/>
    <w:rsid w:val="433D773C"/>
    <w:rsid w:val="47255D5F"/>
    <w:rsid w:val="474F3369"/>
    <w:rsid w:val="48116D7D"/>
    <w:rsid w:val="4886507D"/>
    <w:rsid w:val="4963433B"/>
    <w:rsid w:val="503B1239"/>
    <w:rsid w:val="506E4391"/>
    <w:rsid w:val="50A84203"/>
    <w:rsid w:val="524515B4"/>
    <w:rsid w:val="52A41AA0"/>
    <w:rsid w:val="52BE117F"/>
    <w:rsid w:val="52C432D1"/>
    <w:rsid w:val="56BC7A6F"/>
    <w:rsid w:val="5ADF3283"/>
    <w:rsid w:val="5EA27086"/>
    <w:rsid w:val="5F78663D"/>
    <w:rsid w:val="62B544B0"/>
    <w:rsid w:val="67181625"/>
    <w:rsid w:val="69F501AD"/>
    <w:rsid w:val="6A877AAC"/>
    <w:rsid w:val="6EF9121B"/>
    <w:rsid w:val="74A32EB4"/>
    <w:rsid w:val="7825501F"/>
    <w:rsid w:val="78EA200A"/>
    <w:rsid w:val="7BC520D7"/>
    <w:rsid w:val="7ED7115B"/>
    <w:rsid w:val="7FF6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8"/>
    <w:qFormat/>
    <w:uiPriority w:val="9"/>
    <w:pPr>
      <w:keepNext/>
      <w:keepLines/>
      <w:ind w:firstLine="0" w:firstLineChars="0"/>
      <w:jc w:val="center"/>
      <w:outlineLvl w:val="0"/>
    </w:pPr>
    <w:rPr>
      <w:rFonts w:ascii="仿宋" w:hAnsi="仿宋"/>
      <w:b/>
      <w:bCs/>
      <w:kern w:val="44"/>
      <w:sz w:val="36"/>
      <w:szCs w:val="44"/>
    </w:rPr>
  </w:style>
  <w:style w:type="paragraph" w:styleId="3">
    <w:name w:val="heading 2"/>
    <w:basedOn w:val="1"/>
    <w:next w:val="1"/>
    <w:link w:val="19"/>
    <w:unhideWhenUsed/>
    <w:qFormat/>
    <w:uiPriority w:val="9"/>
    <w:pPr>
      <w:keepNext/>
      <w:keepLines/>
      <w:ind w:firstLine="0" w:firstLineChars="0"/>
      <w:outlineLvl w:val="1"/>
    </w:pPr>
    <w:rPr>
      <w:rFonts w:ascii="仿宋" w:hAnsi="仿宋"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unhideWhenUsed/>
    <w:qFormat/>
    <w:uiPriority w:val="99"/>
    <w:pPr>
      <w:spacing w:after="120"/>
    </w:pPr>
  </w:style>
  <w:style w:type="paragraph" w:styleId="5">
    <w:name w:val="Body Text Indent"/>
    <w:basedOn w:val="1"/>
    <w:link w:val="16"/>
    <w:semiHidden/>
    <w:unhideWhenUsed/>
    <w:qFormat/>
    <w:uiPriority w:val="99"/>
    <w:pPr>
      <w:spacing w:after="120"/>
      <w:ind w:left="420" w:leftChars="200"/>
    </w:pPr>
  </w:style>
  <w:style w:type="paragraph" w:styleId="6">
    <w:name w:val="Date"/>
    <w:basedOn w:val="1"/>
    <w:next w:val="1"/>
    <w:link w:val="14"/>
    <w:unhideWhenUsed/>
    <w:qFormat/>
    <w:uiPriority w:val="99"/>
    <w:pPr>
      <w:spacing w:line="312" w:lineRule="atLeast"/>
      <w:jc w:val="right"/>
    </w:pPr>
    <w:rPr>
      <w:b/>
      <w:spacing w:val="30"/>
      <w:sz w:val="36"/>
    </w:rPr>
  </w:style>
  <w:style w:type="paragraph" w:styleId="7">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qFormat/>
    <w:uiPriority w:val="0"/>
  </w:style>
  <w:style w:type="paragraph" w:styleId="10">
    <w:name w:val="Body Text First Indent 2"/>
    <w:basedOn w:val="5"/>
    <w:link w:val="17"/>
    <w:unhideWhenUsed/>
    <w:qFormat/>
    <w:uiPriority w:val="99"/>
    <w:pPr>
      <w:spacing w:after="0"/>
      <w:ind w:left="0" w:leftChars="0" w:firstLine="420"/>
    </w:pPr>
    <w:rPr>
      <w:rFonts w:ascii="宋体"/>
      <w:sz w:val="24"/>
      <w:szCs w:val="20"/>
    </w:rPr>
  </w:style>
  <w:style w:type="table" w:styleId="12">
    <w:name w:val="Table Grid"/>
    <w:basedOn w:val="11"/>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日期 字符"/>
    <w:basedOn w:val="13"/>
    <w:link w:val="6"/>
    <w:qFormat/>
    <w:uiPriority w:val="99"/>
    <w:rPr>
      <w:b/>
      <w:spacing w:val="30"/>
      <w:sz w:val="36"/>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6">
    <w:name w:val="正文文本缩进 字符"/>
    <w:basedOn w:val="13"/>
    <w:link w:val="5"/>
    <w:semiHidden/>
    <w:qFormat/>
    <w:uiPriority w:val="99"/>
  </w:style>
  <w:style w:type="character" w:customStyle="1" w:styleId="17">
    <w:name w:val="正文首行缩进 2 字符"/>
    <w:basedOn w:val="16"/>
    <w:link w:val="10"/>
    <w:qFormat/>
    <w:uiPriority w:val="99"/>
    <w:rPr>
      <w:rFonts w:ascii="宋体"/>
      <w:sz w:val="24"/>
      <w:szCs w:val="20"/>
    </w:rPr>
  </w:style>
  <w:style w:type="character" w:customStyle="1" w:styleId="18">
    <w:name w:val="标题 1 字符"/>
    <w:basedOn w:val="13"/>
    <w:link w:val="2"/>
    <w:qFormat/>
    <w:uiPriority w:val="9"/>
    <w:rPr>
      <w:rFonts w:ascii="仿宋" w:hAnsi="仿宋" w:eastAsia="仿宋"/>
      <w:b/>
      <w:bCs/>
      <w:kern w:val="44"/>
      <w:sz w:val="36"/>
      <w:szCs w:val="44"/>
    </w:rPr>
  </w:style>
  <w:style w:type="character" w:customStyle="1" w:styleId="19">
    <w:name w:val="标题 2 字符"/>
    <w:basedOn w:val="13"/>
    <w:link w:val="3"/>
    <w:qFormat/>
    <w:uiPriority w:val="9"/>
    <w:rPr>
      <w:rFonts w:ascii="仿宋" w:hAnsi="仿宋" w:eastAsia="仿宋" w:cstheme="majorBidi"/>
      <w:b/>
      <w:bCs/>
      <w:sz w:val="32"/>
      <w:szCs w:val="32"/>
    </w:rPr>
  </w:style>
  <w:style w:type="character" w:customStyle="1" w:styleId="20">
    <w:name w:val="正文文本 字符"/>
    <w:basedOn w:val="13"/>
    <w:link w:val="4"/>
    <w:qFormat/>
    <w:uiPriority w:val="99"/>
    <w:rPr>
      <w:rFonts w:eastAsia="仿宋"/>
      <w:sz w:val="28"/>
    </w:rPr>
  </w:style>
  <w:style w:type="character" w:customStyle="1" w:styleId="21">
    <w:name w:val="页眉 字符"/>
    <w:basedOn w:val="13"/>
    <w:link w:val="8"/>
    <w:qFormat/>
    <w:uiPriority w:val="99"/>
    <w:rPr>
      <w:rFonts w:eastAsia="仿宋"/>
      <w:sz w:val="18"/>
      <w:szCs w:val="18"/>
    </w:rPr>
  </w:style>
  <w:style w:type="character" w:customStyle="1" w:styleId="22">
    <w:name w:val="页脚 字符"/>
    <w:basedOn w:val="13"/>
    <w:link w:val="7"/>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PAIG</Company>
  <Pages>19</Pages>
  <Words>5942</Words>
  <Characters>6388</Characters>
  <Lines>53</Lines>
  <Paragraphs>14</Paragraphs>
  <TotalTime>184</TotalTime>
  <ScaleCrop>false</ScaleCrop>
  <LinksUpToDate>false</LinksUpToDate>
  <CharactersWithSpaces>6856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2023-03-23T11:49:00Z</dcterms:created>
  <dc:creator>谭丽(重要客户部)</dc:creator>
  <cp:lastModifiedBy>CYGS-ZB</cp:lastModifiedBy>
  <cp:lastPrinted>2023-04-18T03:20:00Z</cp:lastPrinted>
  <dcterms:modified xsi:type="dcterms:W3CDTF">2023-05-09T07:52:01Z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E8FF9A6784FA4A2FA39E0D9A451DF716</vt:lpwstr>
  </property>
</Properties>
</file>