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0"/>
          <w:szCs w:val="40"/>
          <w:lang w:val="en-US" w:eastAsia="zh-CN"/>
        </w:rPr>
      </w:pPr>
      <w:r>
        <w:rPr>
          <w:rFonts w:hint="eastAsia" w:ascii="宋体" w:hAnsi="宋体" w:eastAsia="宋体" w:cs="宋体"/>
          <w:sz w:val="32"/>
          <w:szCs w:val="32"/>
        </w:rPr>
        <w:t>重庆南川至两江新区高速公路支线（南川西环线）项目交工验收工程质量检测中标候选人公示</w:t>
      </w:r>
      <w:r>
        <w:rPr>
          <w:rFonts w:hint="eastAsia" w:ascii="宋体" w:hAnsi="宋体" w:eastAsia="宋体" w:cs="宋体"/>
          <w:sz w:val="32"/>
          <w:szCs w:val="32"/>
          <w:lang w:val="en-US" w:eastAsia="zh-CN"/>
        </w:rPr>
        <w:t>表</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rPr>
        <w:t>（公示期：</w:t>
      </w:r>
      <w:r>
        <w:rPr>
          <w:rFonts w:hint="eastAsia" w:ascii="宋体" w:hAnsi="宋体" w:eastAsia="宋体" w:cs="宋体"/>
          <w:sz w:val="32"/>
          <w:szCs w:val="32"/>
          <w:lang w:val="en-US" w:eastAsia="zh-CN"/>
        </w:rPr>
        <w:t>2023</w:t>
      </w:r>
      <w:r>
        <w:rPr>
          <w:rFonts w:hint="eastAsia" w:ascii="宋体" w:hAnsi="宋体" w:eastAsia="宋体" w:cs="宋体"/>
          <w:sz w:val="32"/>
          <w:szCs w:val="32"/>
        </w:rPr>
        <w:t>年</w:t>
      </w:r>
      <w:r>
        <w:rPr>
          <w:rFonts w:hint="eastAsia" w:ascii="宋体" w:hAnsi="宋体" w:eastAsia="宋体" w:cs="宋体"/>
          <w:sz w:val="32"/>
          <w:szCs w:val="32"/>
          <w:lang w:val="en-US" w:eastAsia="zh-CN"/>
        </w:rPr>
        <w:t>5</w:t>
      </w:r>
      <w:r>
        <w:rPr>
          <w:rFonts w:hint="eastAsia" w:ascii="宋体" w:hAnsi="宋体" w:eastAsia="宋体" w:cs="宋体"/>
          <w:sz w:val="32"/>
          <w:szCs w:val="32"/>
        </w:rPr>
        <w:t>月</w:t>
      </w:r>
      <w:r>
        <w:rPr>
          <w:rFonts w:hint="eastAsia" w:ascii="宋体" w:hAnsi="宋体" w:eastAsia="宋体" w:cs="宋体"/>
          <w:sz w:val="32"/>
          <w:szCs w:val="32"/>
          <w:lang w:val="en-US" w:eastAsia="zh-CN"/>
        </w:rPr>
        <w:t>12</w:t>
      </w:r>
      <w:r>
        <w:rPr>
          <w:rFonts w:hint="eastAsia" w:ascii="宋体" w:hAnsi="宋体" w:eastAsia="宋体" w:cs="宋体"/>
          <w:sz w:val="32"/>
          <w:szCs w:val="32"/>
        </w:rPr>
        <w:t>日至</w:t>
      </w:r>
      <w:r>
        <w:rPr>
          <w:rFonts w:hint="eastAsia" w:ascii="宋体" w:hAnsi="宋体" w:eastAsia="宋体" w:cs="宋体"/>
          <w:sz w:val="32"/>
          <w:szCs w:val="32"/>
          <w:lang w:val="en-US" w:eastAsia="zh-CN"/>
        </w:rPr>
        <w:t>2023</w:t>
      </w:r>
      <w:r>
        <w:rPr>
          <w:rFonts w:hint="eastAsia" w:ascii="宋体" w:hAnsi="宋体" w:eastAsia="宋体" w:cs="宋体"/>
          <w:sz w:val="32"/>
          <w:szCs w:val="32"/>
        </w:rPr>
        <w:t>年</w:t>
      </w:r>
      <w:r>
        <w:rPr>
          <w:rFonts w:hint="eastAsia" w:ascii="宋体" w:hAnsi="宋体" w:eastAsia="宋体" w:cs="宋体"/>
          <w:sz w:val="32"/>
          <w:szCs w:val="32"/>
          <w:lang w:val="en-US" w:eastAsia="zh-CN"/>
        </w:rPr>
        <w:t>5</w:t>
      </w:r>
      <w:r>
        <w:rPr>
          <w:rFonts w:hint="eastAsia" w:ascii="宋体" w:hAnsi="宋体" w:eastAsia="宋体" w:cs="宋体"/>
          <w:sz w:val="32"/>
          <w:szCs w:val="32"/>
        </w:rPr>
        <w:t>月</w:t>
      </w:r>
      <w:r>
        <w:rPr>
          <w:rFonts w:hint="eastAsia" w:ascii="宋体" w:hAnsi="宋体" w:eastAsia="宋体" w:cs="宋体"/>
          <w:sz w:val="32"/>
          <w:szCs w:val="32"/>
          <w:lang w:val="en-US" w:eastAsia="zh-CN"/>
        </w:rPr>
        <w:t>15</w:t>
      </w:r>
      <w:r>
        <w:rPr>
          <w:rFonts w:hint="eastAsia" w:ascii="宋体" w:hAnsi="宋体" w:eastAsia="宋体" w:cs="宋体"/>
          <w:sz w:val="32"/>
          <w:szCs w:val="32"/>
        </w:rPr>
        <w:t>日）</w:t>
      </w:r>
    </w:p>
    <w:tbl>
      <w:tblPr>
        <w:tblStyle w:val="6"/>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项目标段名称</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重庆南川至两江新区高速公路支线（南川西环线）项目交工验收工程质量检测</w:t>
            </w:r>
          </w:p>
        </w:tc>
        <w:tc>
          <w:tcPr>
            <w:tcW w:w="1307"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3167" w:type="dxa"/>
            <w:gridSpan w:val="2"/>
            <w:vMerge w:val="restart"/>
            <w:shd w:val="clear" w:color="auto" w:fill="auto"/>
            <w:vAlign w:val="center"/>
          </w:tcPr>
          <w:p>
            <w:pPr>
              <w:widowControl/>
              <w:jc w:val="center"/>
              <w:rPr>
                <w:rFonts w:hint="eastAsia" w:ascii="宋体" w:hAnsi="宋体" w:eastAsia="宋体" w:cs="宋体"/>
                <w:color w:val="auto"/>
                <w:kern w:val="0"/>
                <w:sz w:val="22"/>
                <w:lang w:val="en-US"/>
              </w:rPr>
            </w:pPr>
            <w:r>
              <w:rPr>
                <w:rFonts w:hint="eastAsia" w:ascii="宋体" w:hAnsi="宋体" w:eastAsia="宋体" w:cs="宋体"/>
                <w:color w:val="auto"/>
                <w:kern w:val="0"/>
                <w:sz w:val="22"/>
                <w:lang w:val="en-US" w:eastAsia="zh-CN"/>
              </w:rPr>
              <w:t xml:space="preserve">2834398.8元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项目编码</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50000120230410025100101</w:t>
            </w:r>
          </w:p>
        </w:tc>
        <w:tc>
          <w:tcPr>
            <w:tcW w:w="1307" w:type="dxa"/>
            <w:vMerge w:val="continue"/>
            <w:shd w:val="clear" w:color="auto" w:fill="auto"/>
            <w:vAlign w:val="center"/>
          </w:tcPr>
          <w:p>
            <w:pPr>
              <w:widowControl/>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招标公告编号</w:t>
            </w:r>
          </w:p>
        </w:tc>
        <w:tc>
          <w:tcPr>
            <w:tcW w:w="4551" w:type="dxa"/>
            <w:gridSpan w:val="5"/>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07" w:type="dxa"/>
            <w:vMerge w:val="continue"/>
            <w:shd w:val="clear" w:color="auto" w:fill="auto"/>
            <w:vAlign w:val="center"/>
          </w:tcPr>
          <w:p>
            <w:pPr>
              <w:widowControl/>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 xml:space="preserve">重庆南川环线高速公路有限公司 </w:t>
            </w:r>
            <w:r>
              <w:rPr>
                <w:rFonts w:hint="eastAsia" w:ascii="宋体" w:hAnsi="宋体" w:eastAsia="宋体" w:cs="宋体"/>
                <w:color w:val="auto"/>
                <w:kern w:val="0"/>
                <w:sz w:val="22"/>
              </w:rPr>
              <w:t xml:space="preserve">  </w:t>
            </w:r>
          </w:p>
        </w:tc>
        <w:tc>
          <w:tcPr>
            <w:tcW w:w="1307"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3167" w:type="dxa"/>
            <w:gridSpan w:val="2"/>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sz w:val="21"/>
                <w:szCs w:val="21"/>
                <w:lang w:val="en-US" w:eastAsia="zh-CN"/>
              </w:rPr>
              <w:t xml:space="preserve">17782031328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w:t>
            </w:r>
          </w:p>
        </w:tc>
        <w:tc>
          <w:tcPr>
            <w:tcW w:w="4551"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tc>
        <w:tc>
          <w:tcPr>
            <w:tcW w:w="1307"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3167"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080"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986" w:type="dxa"/>
            <w:vMerge w:val="restart"/>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317" w:type="dxa"/>
            <w:vMerge w:val="restart"/>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68" w:type="dxa"/>
            <w:gridSpan w:val="2"/>
            <w:vMerge w:val="restart"/>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4474" w:type="dxa"/>
            <w:gridSpan w:val="3"/>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工程</w:t>
            </w:r>
            <w:r>
              <w:rPr>
                <w:rFonts w:hint="eastAsia" w:ascii="宋体" w:hAnsi="宋体" w:eastAsia="宋体" w:cs="宋体"/>
                <w:color w:val="auto"/>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widowControl/>
              <w:jc w:val="left"/>
              <w:rPr>
                <w:rFonts w:hint="eastAsia" w:ascii="宋体" w:hAnsi="宋体" w:eastAsia="宋体" w:cs="宋体"/>
                <w:color w:val="auto"/>
                <w:kern w:val="0"/>
                <w:sz w:val="22"/>
              </w:rPr>
            </w:pPr>
          </w:p>
        </w:tc>
        <w:tc>
          <w:tcPr>
            <w:tcW w:w="1080" w:type="dxa"/>
            <w:vMerge w:val="continue"/>
            <w:vAlign w:val="center"/>
          </w:tcPr>
          <w:p>
            <w:pPr>
              <w:widowControl/>
              <w:jc w:val="left"/>
              <w:rPr>
                <w:rFonts w:hint="eastAsia" w:ascii="宋体" w:hAnsi="宋体" w:eastAsia="宋体" w:cs="宋体"/>
                <w:color w:val="auto"/>
                <w:kern w:val="0"/>
                <w:sz w:val="22"/>
              </w:rPr>
            </w:pPr>
          </w:p>
        </w:tc>
        <w:tc>
          <w:tcPr>
            <w:tcW w:w="986" w:type="dxa"/>
            <w:vMerge w:val="continue"/>
            <w:vAlign w:val="center"/>
          </w:tcPr>
          <w:p>
            <w:pPr>
              <w:widowControl/>
              <w:jc w:val="left"/>
              <w:rPr>
                <w:rFonts w:hint="eastAsia" w:ascii="宋体" w:hAnsi="宋体" w:eastAsia="宋体" w:cs="宋体"/>
                <w:color w:val="auto"/>
                <w:kern w:val="0"/>
                <w:sz w:val="22"/>
              </w:rPr>
            </w:pPr>
          </w:p>
        </w:tc>
        <w:tc>
          <w:tcPr>
            <w:tcW w:w="1317" w:type="dxa"/>
            <w:vMerge w:val="continue"/>
            <w:vAlign w:val="center"/>
          </w:tcPr>
          <w:p>
            <w:pPr>
              <w:widowControl/>
              <w:jc w:val="left"/>
              <w:rPr>
                <w:rFonts w:hint="eastAsia" w:ascii="宋体" w:hAnsi="宋体" w:eastAsia="宋体" w:cs="宋体"/>
                <w:color w:val="auto"/>
                <w:kern w:val="0"/>
                <w:sz w:val="22"/>
              </w:rPr>
            </w:pPr>
          </w:p>
        </w:tc>
        <w:tc>
          <w:tcPr>
            <w:tcW w:w="1168" w:type="dxa"/>
            <w:gridSpan w:val="2"/>
            <w:vMerge w:val="continue"/>
            <w:vAlign w:val="center"/>
          </w:tcPr>
          <w:p>
            <w:pPr>
              <w:widowControl/>
              <w:jc w:val="left"/>
              <w:rPr>
                <w:rFonts w:hint="eastAsia" w:ascii="宋体" w:hAnsi="宋体" w:eastAsia="宋体" w:cs="宋体"/>
                <w:color w:val="auto"/>
                <w:kern w:val="0"/>
                <w:sz w:val="22"/>
              </w:rPr>
            </w:pPr>
          </w:p>
        </w:tc>
        <w:tc>
          <w:tcPr>
            <w:tcW w:w="1307"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姓名</w:t>
            </w:r>
          </w:p>
        </w:tc>
        <w:tc>
          <w:tcPr>
            <w:tcW w:w="1543"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证书名称</w:t>
            </w:r>
          </w:p>
        </w:tc>
        <w:tc>
          <w:tcPr>
            <w:tcW w:w="1624"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116" w:type="dxa"/>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第一名</w:t>
            </w:r>
          </w:p>
        </w:tc>
        <w:tc>
          <w:tcPr>
            <w:tcW w:w="1080"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四川振通检测股份</w:t>
            </w:r>
          </w:p>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有限公司</w:t>
            </w:r>
            <w:r>
              <w:rPr>
                <w:rFonts w:hint="eastAsia" w:ascii="宋体" w:hAnsi="宋体" w:eastAsia="宋体" w:cs="宋体"/>
                <w:color w:val="auto"/>
                <w:kern w:val="0"/>
                <w:sz w:val="18"/>
                <w:szCs w:val="18"/>
                <w:lang w:eastAsia="zh-CN"/>
              </w:rPr>
              <w:t>、四川京炜交通</w:t>
            </w:r>
          </w:p>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工程技术有限</w:t>
            </w:r>
          </w:p>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公司</w:t>
            </w:r>
          </w:p>
        </w:tc>
        <w:tc>
          <w:tcPr>
            <w:tcW w:w="98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2551384.16</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郑伟、于亚芹</w:t>
            </w:r>
          </w:p>
        </w:tc>
        <w:tc>
          <w:tcPr>
            <w:tcW w:w="1543"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公路工程试验检测工程师</w:t>
            </w:r>
          </w:p>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证书、公路水运工程试验</w:t>
            </w:r>
          </w:p>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检测师证书；试验检测工程师证书</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（公路）检师06013220、201812012519；（公路）检师1137263J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116" w:type="dxa"/>
            <w:shd w:val="clear" w:color="auto" w:fill="auto"/>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第二名</w:t>
            </w:r>
          </w:p>
        </w:tc>
        <w:tc>
          <w:tcPr>
            <w:tcW w:w="1080"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中路高科交通检测</w:t>
            </w:r>
          </w:p>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检验认证有限公司</w:t>
            </w:r>
          </w:p>
        </w:tc>
        <w:tc>
          <w:tcPr>
            <w:tcW w:w="98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2607769 </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陈海波、于江浩</w:t>
            </w:r>
          </w:p>
        </w:tc>
        <w:tc>
          <w:tcPr>
            <w:tcW w:w="1543"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公路工程试验检测工程师、（公路）检师；（公路）检师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201812000424、（公路）检师1034614Q；（公路）检师0916701J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116" w:type="dxa"/>
            <w:shd w:val="clear" w:color="auto" w:fill="auto"/>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第三名</w:t>
            </w:r>
          </w:p>
        </w:tc>
        <w:tc>
          <w:tcPr>
            <w:tcW w:w="1080"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招商局重庆公路工</w:t>
            </w:r>
          </w:p>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程检测有限有限公</w:t>
            </w:r>
          </w:p>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司</w:t>
            </w:r>
          </w:p>
        </w:tc>
        <w:tc>
          <w:tcPr>
            <w:tcW w:w="98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2551046.66 </w:t>
            </w:r>
          </w:p>
        </w:tc>
        <w:tc>
          <w:tcPr>
            <w:tcW w:w="131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徐莹、袁源</w:t>
            </w:r>
          </w:p>
        </w:tc>
        <w:tc>
          <w:tcPr>
            <w:tcW w:w="1543" w:type="dxa"/>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公路水运工程试验检测师；公路水运工程试验检测师</w:t>
            </w:r>
          </w:p>
        </w:tc>
        <w:tc>
          <w:tcPr>
            <w:tcW w:w="1624" w:type="dxa"/>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201811016779；31620191101030017837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9025" w:type="dxa"/>
            <w:gridSpan w:val="8"/>
            <w:shd w:val="clear" w:color="auto" w:fill="auto"/>
            <w:vAlign w:val="center"/>
          </w:tcPr>
          <w:p>
            <w:pPr>
              <w:widowControl/>
              <w:jc w:val="left"/>
              <w:rPr>
                <w:rFonts w:hint="eastAsia" w:ascii="宋体" w:hAnsi="宋体" w:eastAsia="宋体" w:cs="宋体"/>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9025" w:type="dxa"/>
            <w:gridSpan w:val="8"/>
            <w:shd w:val="clear" w:color="auto" w:fill="auto"/>
            <w:vAlign w:val="center"/>
          </w:tcPr>
          <w:p>
            <w:pPr>
              <w:widowControl/>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 xml:space="preserve">第一中标候选人： </w:t>
            </w:r>
          </w:p>
          <w:p>
            <w:pPr>
              <w:pStyle w:val="2"/>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企业业绩：</w:t>
            </w:r>
            <w:r>
              <w:rPr>
                <w:rFonts w:hint="eastAsia" w:ascii="宋体" w:hAnsi="宋体" w:eastAsia="宋体" w:cs="宋体"/>
                <w:b w:val="0"/>
                <w:bCs w:val="0"/>
                <w:color w:val="auto"/>
                <w:kern w:val="0"/>
                <w:sz w:val="22"/>
                <w:lang w:val="en-US" w:eastAsia="zh-CN"/>
              </w:rPr>
              <w:t>四川省仁寿至屏山新市公路井研至新市段及马边支线交工验收检测,G4216线屏山新市至金阳段高速公路项目交工验收质量检测,乐山至西昌高速公路马边至昭觉段交工验收质量检测,成都至宜宾高速公路工程交工验收质量检测,G5京昆高速公路绵阳至成都段扩容项目过程质量抽检及交工验收质量检测、桥梁钢结构第三方检测,贵州省遵义至余庆高速公路项目机电工程交工验收质量鉴定检测,贵州省凯里环城高速公路北段PPP项目机电工程交工检测,</w:t>
            </w:r>
            <w:bookmarkStart w:id="0" w:name="_GoBack"/>
            <w:bookmarkEnd w:id="0"/>
            <w:r>
              <w:rPr>
                <w:rFonts w:hint="eastAsia" w:ascii="宋体" w:hAnsi="宋体" w:eastAsia="宋体" w:cs="宋体"/>
                <w:b w:val="0"/>
                <w:bCs w:val="0"/>
                <w:color w:val="auto"/>
                <w:kern w:val="0"/>
                <w:sz w:val="22"/>
                <w:lang w:val="en-US" w:eastAsia="zh-CN"/>
              </w:rPr>
              <w:t>云南腾冲至陇川高速公路交工验收质量检测TLJGJC-2标段。</w:t>
            </w:r>
          </w:p>
          <w:p>
            <w:pPr>
              <w:rPr>
                <w:rFonts w:hint="eastAsia"/>
                <w:b/>
                <w:bCs/>
                <w:lang w:val="en-US" w:eastAsia="zh-CN"/>
              </w:rPr>
            </w:pPr>
            <w:r>
              <w:rPr>
                <w:rFonts w:hint="eastAsia" w:ascii="宋体" w:hAnsi="宋体" w:eastAsia="宋体" w:cs="宋体"/>
                <w:b/>
                <w:bCs/>
                <w:color w:val="auto"/>
                <w:kern w:val="0"/>
                <w:sz w:val="22"/>
                <w:lang w:val="en-US" w:eastAsia="zh-CN"/>
              </w:rPr>
              <w:t>项目负责人业绩：</w:t>
            </w:r>
            <w:r>
              <w:rPr>
                <w:rFonts w:hint="eastAsia" w:ascii="宋体" w:hAnsi="宋体" w:eastAsia="宋体" w:cs="宋体"/>
                <w:b w:val="0"/>
                <w:bCs w:val="0"/>
                <w:color w:val="auto"/>
                <w:kern w:val="0"/>
                <w:sz w:val="22"/>
                <w:lang w:val="en-US" w:eastAsia="zh-CN"/>
              </w:rPr>
              <w:t>成都至宜宾高速公路工程交工验收质量检测；贵州省遵义至余庆高速公路项目机电工程交工验收质量鉴定检测、贵州省凯里环城高速公路北段 PPP 项目机电工程交工检测、云南腾冲至陇川高速公路交工验收质量检测 TLJGJC-2 标段。</w:t>
            </w:r>
          </w:p>
          <w:p>
            <w:pPr>
              <w:rPr>
                <w:rFonts w:hint="eastAsia"/>
                <w:lang w:val="en-US" w:eastAsia="zh-CN"/>
              </w:rPr>
            </w:pP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第二中标候选人：</w:t>
            </w:r>
          </w:p>
          <w:p>
            <w:pPr>
              <w:pStyle w:val="2"/>
              <w:rPr>
                <w:rFonts w:hint="eastAsia"/>
                <w:lang w:val="en-US" w:eastAsia="zh-CN"/>
              </w:rPr>
            </w:pPr>
          </w:p>
          <w:p>
            <w:pPr>
              <w:pStyle w:val="20"/>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bCs/>
                <w:color w:val="auto"/>
                <w:kern w:val="2"/>
                <w:sz w:val="21"/>
                <w:szCs w:val="22"/>
                <w:lang w:val="en-US" w:eastAsia="zh-CN" w:bidi="ar-SA"/>
              </w:rPr>
              <w:t>企业业绩：</w:t>
            </w:r>
            <w:r>
              <w:rPr>
                <w:rFonts w:hint="eastAsia" w:ascii="宋体" w:hAnsi="宋体" w:eastAsia="宋体" w:cs="宋体"/>
                <w:b w:val="0"/>
                <w:bCs w:val="0"/>
                <w:color w:val="auto"/>
                <w:kern w:val="0"/>
                <w:sz w:val="22"/>
                <w:szCs w:val="22"/>
                <w:lang w:val="en-US" w:eastAsia="zh-CN" w:bidi="ar-SA"/>
              </w:rPr>
              <w:t>G1816 乌海至玛沁国家高速公路景泰至中川机场段公路建设项目 JZTJJC2 合同段交工质量验收检测及竣工质量鉴定检测项目、贵州省都匀至安顺公路交工验收及桥梁荷载试验桥梁外观与实体检测服务招标第JC1 标段、武定至倘甸至寻甸高速公路项目交工验收质量检测第 1 合同段、云南省香格里拉至丽江高速公路交工质量检测 JGJC-2 标段、思茅至澜沧高速公路交工验收质量检测服务第 1 标段、海西高速公路网古武线永定至上杭段机电工程交工验收前质量检测服务 JGJC1 合同段、辽宁省取消高速公路省界收费站项目机电工程及网络安全交工检测、国高网莆炎高速公路永泰梧桐至尤溪中仙公路（福州段）机电工程竣（交）工验收前质量检测服务第 JGJC3、四川省汶川至马尔康高速公路项目机电工程交工验收质量检测项目第 JDJC 标段合同段</w:t>
            </w:r>
            <w:r>
              <w:rPr>
                <w:rFonts w:hint="eastAsia" w:ascii="宋体" w:hAnsi="宋体" w:cs="宋体"/>
                <w:b w:val="0"/>
                <w:bCs w:val="0"/>
                <w:color w:val="auto"/>
                <w:kern w:val="0"/>
                <w:sz w:val="22"/>
                <w:szCs w:val="22"/>
                <w:lang w:val="en-US" w:eastAsia="zh-CN" w:bidi="ar-SA"/>
              </w:rPr>
              <w:t>。</w:t>
            </w:r>
          </w:p>
          <w:p>
            <w:pPr>
              <w:pStyle w:val="20"/>
              <w:rPr>
                <w:rFonts w:hint="eastAsia" w:ascii="宋体" w:hAnsi="宋体" w:eastAsia="宋体" w:cs="宋体"/>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项目负责人业绩：</w:t>
            </w:r>
            <w:r>
              <w:rPr>
                <w:rFonts w:hint="eastAsia" w:ascii="宋体" w:hAnsi="宋体" w:eastAsia="宋体" w:cs="宋体"/>
                <w:color w:val="auto"/>
                <w:kern w:val="2"/>
                <w:sz w:val="21"/>
                <w:szCs w:val="22"/>
                <w:lang w:val="en-US" w:eastAsia="zh-CN" w:bidi="ar-SA"/>
              </w:rPr>
              <w:t>云南省香格里拉至丽江高速公路交工质量检测JGJC-2标段、兰海国家高速公路重庆至遵义段（贵州境）扩容工程交（竣）工验收及桥梁荷载试验、桥梁外观与实体检测服务第JGJC3标段；海西高速公路网古武线永定至上杭段机电工程交工验收前质量检测服务JGJC1合同段、辽宁省取消高速公路省界收费站项目机电工程及网络安全交工检测、国高网莆炎高速公路永泰梧桐至尤溪中仙公路（福州段）机电工程竣（交）工验收前质量检测服务第JGJC3 合同段、四川省汶川至马尔康高速公路项目机电工程交工验收质量检测项目第 JDJC 标段</w:t>
            </w:r>
            <w:r>
              <w:rPr>
                <w:rFonts w:hint="eastAsia" w:ascii="宋体" w:hAnsi="宋体" w:cs="宋体"/>
                <w:color w:val="auto"/>
                <w:kern w:val="2"/>
                <w:sz w:val="21"/>
                <w:szCs w:val="22"/>
                <w:lang w:val="en-US" w:eastAsia="zh-CN" w:bidi="ar-SA"/>
              </w:rPr>
              <w:t>。</w:t>
            </w:r>
          </w:p>
          <w:p>
            <w:pPr>
              <w:rPr>
                <w:rFonts w:hint="eastAsia"/>
                <w:lang w:val="en-US" w:eastAsia="zh-CN"/>
              </w:rPr>
            </w:pP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第三中标候选人：</w:t>
            </w:r>
          </w:p>
          <w:p>
            <w:pPr>
              <w:pStyle w:val="2"/>
              <w:rPr>
                <w:rFonts w:hint="eastAsia"/>
                <w:lang w:val="en-US" w:eastAsia="zh-CN"/>
              </w:rPr>
            </w:pPr>
          </w:p>
          <w:p>
            <w:pPr>
              <w:pStyle w:val="20"/>
              <w:rPr>
                <w:rFonts w:hint="eastAsia" w:ascii="宋体" w:hAnsi="宋体" w:eastAsia="宋体" w:cs="宋体"/>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企业业绩：</w:t>
            </w:r>
            <w:r>
              <w:rPr>
                <w:rFonts w:hint="eastAsia" w:ascii="宋体" w:hAnsi="宋体" w:eastAsia="宋体" w:cs="宋体"/>
                <w:color w:val="auto"/>
                <w:kern w:val="2"/>
                <w:sz w:val="21"/>
                <w:szCs w:val="22"/>
                <w:lang w:val="en-US" w:eastAsia="zh-CN" w:bidi="ar-SA"/>
              </w:rPr>
              <w:t>广西壮族自治区河池至百色高速公路竣（交）工实体工程质量检测服务、重庆南川至两江新区高速公路交工验收质量检测第NLJG-1 合同段、叙永至威信（四川境）高速公路项目过程质量抽检及交工验收质量检测 YSJC 合同段、柳格国高（G3011）敦煌至当金山口高速公路试验段交工验收质量检测及竣工质量鉴定检测、贺州至巴马高速公路（象州至来宾段）竣（交）工实体质量检测服务、宜宾至六盘水高速公路镇雄（滇黔界）至赫章段交（竣）工验收及桥梁荷载检测、G0615 线久治（川青界）至马尔康段高速公路项目交工验收质量检测、林拉高等级公路及尾工工程路网管控中心机电工程交工质量检测项目、奉溪高速公路寂静互通机电设施工程交工质量检测、重庆城口(陕渝界)“至开州高速公路C段机电设施交工质量检测、重庆三环高速公路合川至长寿段机电工程交工质量检测</w:t>
            </w:r>
            <w:r>
              <w:rPr>
                <w:rFonts w:hint="eastAsia" w:ascii="宋体" w:hAnsi="宋体" w:cs="宋体"/>
                <w:color w:val="auto"/>
                <w:kern w:val="2"/>
                <w:sz w:val="21"/>
                <w:szCs w:val="22"/>
                <w:lang w:val="en-US" w:eastAsia="zh-CN" w:bidi="ar-SA"/>
              </w:rPr>
              <w:t>。</w:t>
            </w:r>
          </w:p>
          <w:p>
            <w:pPr>
              <w:rPr>
                <w:rFonts w:hint="eastAsia"/>
                <w:lang w:val="en-US" w:eastAsia="zh-CN"/>
              </w:rPr>
            </w:pPr>
          </w:p>
          <w:p>
            <w:pPr>
              <w:pStyle w:val="20"/>
              <w:rPr>
                <w:rFonts w:hint="eastAsia" w:ascii="宋体" w:hAnsi="宋体" w:eastAsia="宋体" w:cs="宋体"/>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项目负责人业绩：</w:t>
            </w:r>
            <w:r>
              <w:rPr>
                <w:rFonts w:hint="eastAsia" w:ascii="宋体" w:hAnsi="宋体" w:eastAsia="宋体" w:cs="宋体"/>
                <w:color w:val="auto"/>
                <w:kern w:val="2"/>
                <w:sz w:val="21"/>
                <w:szCs w:val="22"/>
                <w:lang w:val="en-US" w:eastAsia="zh-CN" w:bidi="ar-SA"/>
              </w:rPr>
              <w:t>广西壮族自治区河池至百色高速公路竣（交）工实体工程质量检测服务；重庆城口(陕渝界)“至开州高速公路 C 段机电设施交工质量检测；林拉高等级公路及尾工工程路网管控中心机电工程交工质量检测项目</w:t>
            </w:r>
            <w:r>
              <w:rPr>
                <w:rFonts w:hint="eastAsia" w:ascii="宋体" w:hAnsi="宋体" w:cs="宋体"/>
                <w:color w:val="auto"/>
                <w:kern w:val="2"/>
                <w:sz w:val="21"/>
                <w:szCs w:val="22"/>
                <w:lang w:val="en-US" w:eastAsia="zh-CN" w:bidi="ar-SA"/>
              </w:rPr>
              <w:t>。</w:t>
            </w:r>
          </w:p>
          <w:p>
            <w:pPr>
              <w:pStyle w:val="20"/>
              <w:rPr>
                <w:rFonts w:hint="eastAsia" w:ascii="宋体" w:hAnsi="宋体" w:eastAsia="宋体" w:cs="宋体"/>
                <w:color w:val="auto"/>
                <w:kern w:val="2"/>
                <w:sz w:val="21"/>
                <w:szCs w:val="22"/>
                <w:lang w:val="en-US" w:eastAsia="zh-CN" w:bidi="ar-SA"/>
              </w:rPr>
            </w:pPr>
          </w:p>
          <w:p>
            <w:pPr>
              <w:keepNext w:val="0"/>
              <w:keepLines w:val="0"/>
              <w:widowControl/>
              <w:suppressLineNumbers w:val="0"/>
              <w:jc w:val="left"/>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lang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9025" w:type="dxa"/>
            <w:gridSpan w:val="8"/>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9025" w:type="dxa"/>
            <w:gridSpan w:val="8"/>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投标人或者其他利害关系人对评标结果有异议的，应在中标候选人公示期内以书面形式向招标人：重庆南川环线高速公路有限公司</w:t>
            </w:r>
            <w:r>
              <w:rPr>
                <w:rFonts w:hint="eastAsia" w:ascii="宋体" w:hAnsi="宋体" w:eastAsia="宋体" w:cs="宋体"/>
                <w:color w:val="auto"/>
                <w:kern w:val="0"/>
                <w:sz w:val="22"/>
                <w:lang w:val="en-US" w:eastAsia="zh-CN"/>
              </w:rPr>
              <w:t>，联系电话：023-89136401。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pStyle w:val="20"/>
              <w:rPr>
                <w:rFonts w:hint="eastAsia" w:ascii="宋体" w:hAnsi="宋体" w:eastAsia="宋体" w:cs="宋体"/>
                <w:color w:val="auto"/>
                <w:kern w:val="0"/>
                <w:sz w:val="22"/>
              </w:rPr>
            </w:pPr>
          </w:p>
          <w:p>
            <w:pPr>
              <w:pStyle w:val="20"/>
              <w:rPr>
                <w:rFonts w:hint="eastAsia" w:ascii="宋体" w:hAnsi="宋体" w:eastAsia="宋体" w:cs="宋体"/>
                <w:color w:val="auto"/>
                <w:lang w:eastAsia="zh-CN"/>
              </w:rPr>
            </w:pPr>
            <w:r>
              <w:rPr>
                <w:rFonts w:hint="eastAsia" w:ascii="宋体" w:hAnsi="宋体" w:eastAsia="宋体" w:cs="宋体"/>
                <w:color w:val="auto"/>
                <w:kern w:val="0"/>
                <w:sz w:val="22"/>
                <w:lang w:val="en-US" w:eastAsia="zh-CN"/>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重庆南川环线高速公路有限公司   </w:t>
            </w: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日    </w:t>
            </w:r>
          </w:p>
        </w:tc>
        <w:tc>
          <w:tcPr>
            <w:tcW w:w="5149"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p>
          <w:p>
            <w:pPr>
              <w:widowControl/>
              <w:jc w:val="both"/>
              <w:rPr>
                <w:rFonts w:hint="eastAsia" w:ascii="宋体" w:hAnsi="宋体" w:eastAsia="宋体" w:cs="宋体"/>
                <w:color w:val="auto"/>
                <w:kern w:val="0"/>
                <w:sz w:val="22"/>
              </w:rPr>
            </w:pP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0"/>
              <w:rPr>
                <w:rFonts w:hint="eastAsia" w:ascii="宋体" w:hAnsi="宋体" w:eastAsia="宋体" w:cs="宋体"/>
                <w:color w:val="auto"/>
                <w:lang w:eastAsia="zh-CN"/>
              </w:rPr>
            </w:pPr>
          </w:p>
          <w:p>
            <w:pPr>
              <w:widowControl/>
              <w:jc w:val="center"/>
              <w:rPr>
                <w:rFonts w:hint="eastAsia" w:ascii="宋体" w:hAnsi="宋体" w:eastAsia="宋体" w:cs="宋体"/>
                <w:color w:val="auto"/>
                <w:kern w:val="0"/>
                <w:sz w:val="22"/>
                <w:lang w:eastAsia="zh-CN"/>
              </w:rPr>
            </w:pPr>
          </w:p>
          <w:p>
            <w:pPr>
              <w:pStyle w:val="20"/>
              <w:rPr>
                <w:rFonts w:hint="eastAsia" w:ascii="宋体" w:hAnsi="宋体" w:eastAsia="宋体" w:cs="宋体"/>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日</w:t>
            </w:r>
          </w:p>
        </w:tc>
      </w:tr>
    </w:tbl>
    <w:p>
      <w:pPr>
        <w:widowControl/>
        <w:jc w:val="center"/>
        <w:rPr>
          <w:rFonts w:hint="eastAsia" w:ascii="宋体" w:hAnsi="宋体" w:eastAsia="宋体" w:cs="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2EC5C65"/>
    <w:rsid w:val="034D0DC7"/>
    <w:rsid w:val="038076F6"/>
    <w:rsid w:val="03C44D37"/>
    <w:rsid w:val="040F2B9F"/>
    <w:rsid w:val="0429305B"/>
    <w:rsid w:val="043B3CCE"/>
    <w:rsid w:val="047F1DAB"/>
    <w:rsid w:val="054144F3"/>
    <w:rsid w:val="05F10935"/>
    <w:rsid w:val="06041154"/>
    <w:rsid w:val="072E314F"/>
    <w:rsid w:val="0733430F"/>
    <w:rsid w:val="082F696A"/>
    <w:rsid w:val="084819CC"/>
    <w:rsid w:val="08884840"/>
    <w:rsid w:val="08F21A03"/>
    <w:rsid w:val="09834A1F"/>
    <w:rsid w:val="0A0C3409"/>
    <w:rsid w:val="0A7A6114"/>
    <w:rsid w:val="0AB80DB3"/>
    <w:rsid w:val="0AD80180"/>
    <w:rsid w:val="0AE02F88"/>
    <w:rsid w:val="0AFE4225"/>
    <w:rsid w:val="0B294CDA"/>
    <w:rsid w:val="0B725406"/>
    <w:rsid w:val="0BD460E0"/>
    <w:rsid w:val="0E090577"/>
    <w:rsid w:val="0E95291F"/>
    <w:rsid w:val="0EA53929"/>
    <w:rsid w:val="0F474788"/>
    <w:rsid w:val="0F7110E9"/>
    <w:rsid w:val="100608F1"/>
    <w:rsid w:val="10722812"/>
    <w:rsid w:val="1198540D"/>
    <w:rsid w:val="11AC68AA"/>
    <w:rsid w:val="11D034EC"/>
    <w:rsid w:val="12AB74DC"/>
    <w:rsid w:val="14947D5C"/>
    <w:rsid w:val="15791A87"/>
    <w:rsid w:val="158226E9"/>
    <w:rsid w:val="158F37A3"/>
    <w:rsid w:val="160805D7"/>
    <w:rsid w:val="16322361"/>
    <w:rsid w:val="16484750"/>
    <w:rsid w:val="166B41F1"/>
    <w:rsid w:val="178C4AB0"/>
    <w:rsid w:val="18C67B43"/>
    <w:rsid w:val="18D44E1B"/>
    <w:rsid w:val="198C002F"/>
    <w:rsid w:val="19C14582"/>
    <w:rsid w:val="1A182FA5"/>
    <w:rsid w:val="1B1D05C9"/>
    <w:rsid w:val="1B706B41"/>
    <w:rsid w:val="1C613D3A"/>
    <w:rsid w:val="1E110AAE"/>
    <w:rsid w:val="1E2433C8"/>
    <w:rsid w:val="1EBE0C60"/>
    <w:rsid w:val="1FEF0C54"/>
    <w:rsid w:val="200B73C7"/>
    <w:rsid w:val="21015917"/>
    <w:rsid w:val="21442F49"/>
    <w:rsid w:val="22594812"/>
    <w:rsid w:val="23160915"/>
    <w:rsid w:val="242C0AC7"/>
    <w:rsid w:val="252048E1"/>
    <w:rsid w:val="255527BA"/>
    <w:rsid w:val="273121C1"/>
    <w:rsid w:val="27762747"/>
    <w:rsid w:val="2801574A"/>
    <w:rsid w:val="2836069A"/>
    <w:rsid w:val="28461C9C"/>
    <w:rsid w:val="287324BA"/>
    <w:rsid w:val="2887022B"/>
    <w:rsid w:val="29600ED3"/>
    <w:rsid w:val="2A067935"/>
    <w:rsid w:val="2AED63FF"/>
    <w:rsid w:val="2B6851C9"/>
    <w:rsid w:val="2C1A340F"/>
    <w:rsid w:val="2C3F2C8B"/>
    <w:rsid w:val="2CEA4F93"/>
    <w:rsid w:val="2D65783D"/>
    <w:rsid w:val="2DFC3979"/>
    <w:rsid w:val="2E2C5CFC"/>
    <w:rsid w:val="2EBD258D"/>
    <w:rsid w:val="2EDE0244"/>
    <w:rsid w:val="2F25085E"/>
    <w:rsid w:val="2F334741"/>
    <w:rsid w:val="2FED074C"/>
    <w:rsid w:val="3270151F"/>
    <w:rsid w:val="3290545A"/>
    <w:rsid w:val="337E22EA"/>
    <w:rsid w:val="338A2F69"/>
    <w:rsid w:val="339B0D78"/>
    <w:rsid w:val="33C00B55"/>
    <w:rsid w:val="33E056E7"/>
    <w:rsid w:val="33FE5081"/>
    <w:rsid w:val="34014CC9"/>
    <w:rsid w:val="34310729"/>
    <w:rsid w:val="346B1830"/>
    <w:rsid w:val="34880F47"/>
    <w:rsid w:val="351B09A1"/>
    <w:rsid w:val="381256F7"/>
    <w:rsid w:val="394A036E"/>
    <w:rsid w:val="39D71B1E"/>
    <w:rsid w:val="3A1B6D32"/>
    <w:rsid w:val="3A3B00FC"/>
    <w:rsid w:val="3CB1626A"/>
    <w:rsid w:val="3D3B0A08"/>
    <w:rsid w:val="3DF92F26"/>
    <w:rsid w:val="3EF94F1B"/>
    <w:rsid w:val="3FF746D7"/>
    <w:rsid w:val="402106FF"/>
    <w:rsid w:val="404341AD"/>
    <w:rsid w:val="40471EFB"/>
    <w:rsid w:val="40477F08"/>
    <w:rsid w:val="40B2339E"/>
    <w:rsid w:val="410D78FE"/>
    <w:rsid w:val="43767507"/>
    <w:rsid w:val="43DE0C50"/>
    <w:rsid w:val="43EF502F"/>
    <w:rsid w:val="44F56185"/>
    <w:rsid w:val="456E1846"/>
    <w:rsid w:val="458A02B7"/>
    <w:rsid w:val="46024FFD"/>
    <w:rsid w:val="466C06C8"/>
    <w:rsid w:val="473016F6"/>
    <w:rsid w:val="47596E9F"/>
    <w:rsid w:val="47E524E0"/>
    <w:rsid w:val="47F92D32"/>
    <w:rsid w:val="47FA230E"/>
    <w:rsid w:val="48027833"/>
    <w:rsid w:val="4812474D"/>
    <w:rsid w:val="48B42A45"/>
    <w:rsid w:val="48CC36A0"/>
    <w:rsid w:val="48FC21D7"/>
    <w:rsid w:val="49AD702E"/>
    <w:rsid w:val="4A140D28"/>
    <w:rsid w:val="4AC9760C"/>
    <w:rsid w:val="4B1D633D"/>
    <w:rsid w:val="4C7B50C0"/>
    <w:rsid w:val="4D300D98"/>
    <w:rsid w:val="4ED32720"/>
    <w:rsid w:val="4EFE2381"/>
    <w:rsid w:val="4FFB3C11"/>
    <w:rsid w:val="50661029"/>
    <w:rsid w:val="509727E6"/>
    <w:rsid w:val="515F3303"/>
    <w:rsid w:val="52302459"/>
    <w:rsid w:val="5318693D"/>
    <w:rsid w:val="533D13FE"/>
    <w:rsid w:val="53956916"/>
    <w:rsid w:val="55794BB0"/>
    <w:rsid w:val="56A22532"/>
    <w:rsid w:val="574B7F6D"/>
    <w:rsid w:val="58315BDC"/>
    <w:rsid w:val="59803E57"/>
    <w:rsid w:val="59BE6F2B"/>
    <w:rsid w:val="5A050A99"/>
    <w:rsid w:val="5A967B10"/>
    <w:rsid w:val="5AED2009"/>
    <w:rsid w:val="5BA72C22"/>
    <w:rsid w:val="5BCD63C7"/>
    <w:rsid w:val="5CB32EB5"/>
    <w:rsid w:val="5CFD0323"/>
    <w:rsid w:val="5D694D67"/>
    <w:rsid w:val="5D795E2A"/>
    <w:rsid w:val="5DDD7335"/>
    <w:rsid w:val="5DFD7C97"/>
    <w:rsid w:val="5F1424E8"/>
    <w:rsid w:val="5F3D1192"/>
    <w:rsid w:val="60642993"/>
    <w:rsid w:val="61670F69"/>
    <w:rsid w:val="61743D61"/>
    <w:rsid w:val="6223037D"/>
    <w:rsid w:val="62A50C62"/>
    <w:rsid w:val="63924BE7"/>
    <w:rsid w:val="63F20A4B"/>
    <w:rsid w:val="63F86CD6"/>
    <w:rsid w:val="64B30DB6"/>
    <w:rsid w:val="657C50E7"/>
    <w:rsid w:val="65AF2D06"/>
    <w:rsid w:val="65DC2D1D"/>
    <w:rsid w:val="6622541B"/>
    <w:rsid w:val="66707909"/>
    <w:rsid w:val="67147067"/>
    <w:rsid w:val="675D37C0"/>
    <w:rsid w:val="683706DE"/>
    <w:rsid w:val="69793BB8"/>
    <w:rsid w:val="6992522B"/>
    <w:rsid w:val="69F34AD9"/>
    <w:rsid w:val="69F566BD"/>
    <w:rsid w:val="6C6677E4"/>
    <w:rsid w:val="6C922387"/>
    <w:rsid w:val="6CD3474E"/>
    <w:rsid w:val="6D836174"/>
    <w:rsid w:val="6DD644F6"/>
    <w:rsid w:val="6FAA35E5"/>
    <w:rsid w:val="6FC90C65"/>
    <w:rsid w:val="70150F5F"/>
    <w:rsid w:val="7031057E"/>
    <w:rsid w:val="70E976A8"/>
    <w:rsid w:val="71066FB1"/>
    <w:rsid w:val="719165C1"/>
    <w:rsid w:val="73F7416F"/>
    <w:rsid w:val="74655CAA"/>
    <w:rsid w:val="751C65D5"/>
    <w:rsid w:val="76B24303"/>
    <w:rsid w:val="7775502F"/>
    <w:rsid w:val="77C43611"/>
    <w:rsid w:val="78A06A6B"/>
    <w:rsid w:val="78F9553C"/>
    <w:rsid w:val="792C5912"/>
    <w:rsid w:val="79663B9A"/>
    <w:rsid w:val="79A9134B"/>
    <w:rsid w:val="7AF52483"/>
    <w:rsid w:val="7B5900A9"/>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ascii="monospace" w:hAnsi="monospace" w:eastAsia="monospace" w:cs="monospace"/>
      <w:sz w:val="20"/>
    </w:rPr>
  </w:style>
  <w:style w:type="character" w:styleId="13">
    <w:name w:val="HTML Acronym"/>
    <w:basedOn w:val="7"/>
    <w:semiHidden/>
    <w:unhideWhenUsed/>
    <w:qFormat/>
    <w:uiPriority w:val="99"/>
    <w:rPr>
      <w:rFonts w:ascii="微软雅黑" w:hAnsi="微软雅黑" w:eastAsia="微软雅黑" w:cs="微软雅黑"/>
      <w:color w:val="FFFFFF"/>
      <w:sz w:val="19"/>
      <w:szCs w:val="19"/>
      <w:u w:val="none"/>
      <w:shd w:val="clear" w:fill="59C2E6"/>
    </w:rPr>
  </w:style>
  <w:style w:type="character" w:styleId="14">
    <w:name w:val="HTML Variable"/>
    <w:basedOn w:val="7"/>
    <w:semiHidden/>
    <w:unhideWhenUsed/>
    <w:qFormat/>
    <w:uiPriority w:val="99"/>
    <w:rPr>
      <w:bdr w:val="single" w:color="999999" w:sz="6" w:space="0"/>
      <w:shd w:val="clear" w:fill="FFFFFF"/>
      <w:vertAlign w:val="baseline"/>
    </w:rPr>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rPr>
      <w:rFonts w:ascii="微软雅黑" w:hAnsi="微软雅黑" w:eastAsia="微软雅黑" w:cs="微软雅黑"/>
      <w:color w:val="FFFFFF"/>
      <w:sz w:val="19"/>
      <w:szCs w:val="19"/>
      <w:u w:val="none"/>
      <w:shd w:val="clear" w:fill="59C2E6"/>
    </w:rPr>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 w:type="paragraph" w:customStyle="1" w:styleId="2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mini-outputtext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1115</Words>
  <Characters>1314</Characters>
  <Lines>5</Lines>
  <Paragraphs>1</Paragraphs>
  <TotalTime>15</TotalTime>
  <ScaleCrop>false</ScaleCrop>
  <LinksUpToDate>false</LinksUpToDate>
  <CharactersWithSpaces>1466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2023-05-12T01:49:26Z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