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黑体_GBK" w:hAnsi="仿宋" w:eastAsia="方正黑体_GBK" w:cs="仿宋"/>
          <w:sz w:val="32"/>
          <w:szCs w:val="32"/>
          <w:lang w:val="en-US" w:eastAsia="zh-CN"/>
        </w:rPr>
      </w:pPr>
    </w:p>
    <w:p>
      <w:pPr>
        <w:spacing w:line="480" w:lineRule="exact"/>
        <w:jc w:val="center"/>
        <w:outlineLvl w:val="0"/>
        <w:rPr>
          <w:rFonts w:hint="eastAsia" w:ascii="宋体" w:hAnsi="宋体"/>
          <w:b/>
          <w:sz w:val="36"/>
          <w:szCs w:val="36"/>
        </w:rPr>
      </w:pPr>
      <w:r>
        <w:rPr>
          <w:rFonts w:hint="eastAsia" w:ascii="宋体" w:hAnsi="宋体"/>
          <w:b/>
          <w:sz w:val="36"/>
          <w:szCs w:val="36"/>
        </w:rPr>
        <w:t>重庆高速资产经营管理有限公司</w:t>
      </w:r>
    </w:p>
    <w:p>
      <w:pPr>
        <w:spacing w:line="480" w:lineRule="exact"/>
        <w:jc w:val="center"/>
        <w:outlineLvl w:val="0"/>
        <w:rPr>
          <w:rFonts w:hint="eastAsia" w:ascii="宋体" w:hAnsi="宋体" w:eastAsia="宋体"/>
          <w:b/>
          <w:sz w:val="36"/>
          <w:szCs w:val="36"/>
          <w:lang w:val="en-US" w:eastAsia="zh-CN"/>
        </w:rPr>
      </w:pPr>
      <w:r>
        <w:rPr>
          <w:rFonts w:hint="eastAsia" w:ascii="宋体" w:hAnsi="宋体"/>
          <w:b/>
          <w:sz w:val="36"/>
          <w:szCs w:val="36"/>
        </w:rPr>
        <w:t>复兴服务区仓库招商出租</w:t>
      </w:r>
      <w:r>
        <w:rPr>
          <w:rFonts w:hint="eastAsia" w:ascii="宋体" w:hAnsi="宋体"/>
          <w:b/>
          <w:sz w:val="36"/>
          <w:szCs w:val="36"/>
          <w:lang w:val="en-US" w:eastAsia="zh-CN"/>
        </w:rPr>
        <w:t>项目</w:t>
      </w:r>
    </w:p>
    <w:p>
      <w:pPr>
        <w:spacing w:line="480" w:lineRule="exact"/>
        <w:rPr>
          <w:rFonts w:hint="eastAsia" w:ascii="宋体" w:hAnsi="宋体"/>
        </w:rPr>
      </w:pPr>
    </w:p>
    <w:p>
      <w:pPr>
        <w:spacing w:line="480" w:lineRule="exact"/>
        <w:rPr>
          <w:rFonts w:hint="eastAsia" w:ascii="宋体" w:hAnsi="宋体"/>
        </w:rPr>
      </w:pPr>
    </w:p>
    <w:p>
      <w:pPr>
        <w:spacing w:line="480" w:lineRule="exact"/>
        <w:rPr>
          <w:rFonts w:hint="eastAsia" w:ascii="宋体" w:hAnsi="宋体"/>
        </w:rPr>
      </w:pPr>
    </w:p>
    <w:p>
      <w:pPr>
        <w:spacing w:line="480" w:lineRule="exact"/>
        <w:rPr>
          <w:rFonts w:hint="eastAsia" w:ascii="宋体" w:hAnsi="宋体"/>
        </w:rPr>
      </w:pPr>
    </w:p>
    <w:p>
      <w:pPr>
        <w:spacing w:line="480" w:lineRule="exact"/>
        <w:rPr>
          <w:rFonts w:hint="eastAsia" w:ascii="宋体" w:hAnsi="宋体"/>
        </w:rPr>
      </w:pPr>
    </w:p>
    <w:p>
      <w:pPr>
        <w:spacing w:line="480" w:lineRule="exact"/>
        <w:rPr>
          <w:rFonts w:hint="eastAsia" w:ascii="宋体" w:hAnsi="宋体"/>
        </w:rPr>
      </w:pPr>
    </w:p>
    <w:p>
      <w:pPr>
        <w:spacing w:line="480" w:lineRule="exact"/>
        <w:rPr>
          <w:rFonts w:hint="eastAsia" w:ascii="宋体" w:hAnsi="宋体"/>
        </w:rPr>
      </w:pPr>
    </w:p>
    <w:p>
      <w:pPr>
        <w:spacing w:line="480" w:lineRule="exact"/>
        <w:rPr>
          <w:rFonts w:hint="eastAsia" w:ascii="宋体" w:hAnsi="宋体"/>
        </w:rPr>
      </w:pPr>
    </w:p>
    <w:p>
      <w:pPr>
        <w:spacing w:line="480" w:lineRule="exact"/>
        <w:rPr>
          <w:rFonts w:hint="eastAsia" w:ascii="宋体" w:hAnsi="宋体"/>
        </w:rPr>
      </w:pPr>
    </w:p>
    <w:p>
      <w:pPr>
        <w:spacing w:line="480" w:lineRule="exact"/>
        <w:rPr>
          <w:rFonts w:hint="eastAsia" w:ascii="宋体" w:hAnsi="宋体"/>
        </w:rPr>
      </w:pPr>
    </w:p>
    <w:p>
      <w:pPr>
        <w:spacing w:line="480" w:lineRule="exact"/>
        <w:rPr>
          <w:rFonts w:hint="eastAsia" w:ascii="宋体" w:hAnsi="宋体"/>
        </w:rPr>
      </w:pPr>
    </w:p>
    <w:p>
      <w:pPr>
        <w:jc w:val="center"/>
        <w:rPr>
          <w:rFonts w:hint="eastAsia" w:ascii="宋体" w:hAnsi="宋体" w:cs="宋体"/>
          <w:b/>
          <w:spacing w:val="20"/>
          <w:sz w:val="84"/>
          <w:szCs w:val="84"/>
        </w:rPr>
      </w:pPr>
      <w:bookmarkStart w:id="0" w:name="_Toc33050210"/>
      <w:bookmarkStart w:id="1" w:name="_Toc19388"/>
      <w:bookmarkStart w:id="2" w:name="_Toc33050569"/>
      <w:bookmarkStart w:id="3" w:name="_Toc33050454"/>
      <w:r>
        <w:rPr>
          <w:rFonts w:hint="eastAsia" w:ascii="宋体" w:hAnsi="宋体" w:cs="宋体"/>
          <w:b/>
          <w:spacing w:val="20"/>
          <w:sz w:val="84"/>
          <w:szCs w:val="84"/>
        </w:rPr>
        <w:t>竞争性比选文件</w:t>
      </w:r>
    </w:p>
    <w:bookmarkEnd w:id="0"/>
    <w:bookmarkEnd w:id="1"/>
    <w:bookmarkEnd w:id="2"/>
    <w:bookmarkEnd w:id="3"/>
    <w:p>
      <w:pPr>
        <w:spacing w:line="480" w:lineRule="exact"/>
        <w:rPr>
          <w:rFonts w:hint="eastAsia" w:ascii="宋体" w:hAnsi="宋体"/>
        </w:rPr>
      </w:pPr>
    </w:p>
    <w:p>
      <w:pPr>
        <w:spacing w:line="480" w:lineRule="exact"/>
        <w:rPr>
          <w:rFonts w:hint="eastAsia" w:ascii="宋体" w:hAnsi="宋体"/>
        </w:rPr>
      </w:pPr>
    </w:p>
    <w:p>
      <w:pPr>
        <w:spacing w:line="480" w:lineRule="exact"/>
        <w:jc w:val="center"/>
        <w:rPr>
          <w:rFonts w:hint="eastAsia" w:ascii="宋体" w:hAnsi="宋体"/>
          <w:b/>
          <w:sz w:val="36"/>
          <w:szCs w:val="36"/>
        </w:rPr>
      </w:pPr>
    </w:p>
    <w:p>
      <w:pPr>
        <w:spacing w:line="480" w:lineRule="exact"/>
        <w:jc w:val="center"/>
        <w:rPr>
          <w:rFonts w:hint="eastAsia" w:ascii="宋体" w:hAnsi="宋体"/>
          <w:b/>
          <w:sz w:val="36"/>
          <w:szCs w:val="36"/>
        </w:rPr>
      </w:pPr>
    </w:p>
    <w:p>
      <w:pPr>
        <w:spacing w:line="480" w:lineRule="exact"/>
        <w:jc w:val="center"/>
        <w:rPr>
          <w:rFonts w:hint="eastAsia" w:ascii="宋体" w:hAnsi="宋体"/>
          <w:b/>
          <w:sz w:val="36"/>
          <w:szCs w:val="36"/>
        </w:rPr>
      </w:pPr>
    </w:p>
    <w:p>
      <w:pPr>
        <w:spacing w:line="480" w:lineRule="exact"/>
        <w:jc w:val="center"/>
        <w:rPr>
          <w:rFonts w:hint="eastAsia" w:ascii="宋体" w:hAnsi="宋体"/>
          <w:b/>
          <w:sz w:val="36"/>
          <w:szCs w:val="36"/>
        </w:rPr>
      </w:pPr>
    </w:p>
    <w:p>
      <w:pPr>
        <w:spacing w:line="480" w:lineRule="exact"/>
        <w:jc w:val="center"/>
        <w:rPr>
          <w:rFonts w:hint="eastAsia" w:ascii="宋体" w:hAnsi="宋体"/>
          <w:b/>
          <w:sz w:val="36"/>
          <w:szCs w:val="36"/>
        </w:rPr>
      </w:pPr>
    </w:p>
    <w:p>
      <w:pPr>
        <w:spacing w:line="480" w:lineRule="exact"/>
        <w:jc w:val="center"/>
        <w:rPr>
          <w:rFonts w:hint="eastAsia" w:ascii="宋体" w:hAnsi="宋体"/>
          <w:b/>
          <w:sz w:val="36"/>
          <w:szCs w:val="36"/>
        </w:rPr>
      </w:pPr>
    </w:p>
    <w:p>
      <w:pPr>
        <w:spacing w:line="480" w:lineRule="exact"/>
        <w:rPr>
          <w:rFonts w:hint="eastAsia" w:ascii="宋体" w:hAnsi="宋体"/>
          <w:b/>
          <w:sz w:val="36"/>
          <w:szCs w:val="36"/>
        </w:rPr>
      </w:pPr>
    </w:p>
    <w:p>
      <w:pPr>
        <w:spacing w:line="480" w:lineRule="exact"/>
        <w:jc w:val="center"/>
        <w:outlineLvl w:val="1"/>
        <w:rPr>
          <w:rFonts w:hint="eastAsia" w:ascii="宋体" w:hAnsi="宋体"/>
          <w:b/>
          <w:sz w:val="30"/>
          <w:szCs w:val="30"/>
        </w:rPr>
      </w:pPr>
      <w:bookmarkStart w:id="4" w:name="_Toc33050455"/>
      <w:bookmarkStart w:id="5" w:name="_Toc33050570"/>
      <w:bookmarkStart w:id="6" w:name="_Toc10766"/>
      <w:bookmarkStart w:id="7" w:name="_Toc33050211"/>
      <w:r>
        <w:rPr>
          <w:rFonts w:hint="eastAsia" w:ascii="宋体" w:hAnsi="宋体"/>
          <w:b/>
          <w:sz w:val="30"/>
          <w:szCs w:val="30"/>
        </w:rPr>
        <w:t>比选人：重庆高速资产经营管理有限公司</w:t>
      </w:r>
      <w:bookmarkEnd w:id="4"/>
      <w:bookmarkEnd w:id="5"/>
      <w:bookmarkEnd w:id="6"/>
      <w:bookmarkEnd w:id="7"/>
    </w:p>
    <w:p>
      <w:pPr>
        <w:spacing w:line="480" w:lineRule="exact"/>
        <w:jc w:val="center"/>
        <w:outlineLvl w:val="1"/>
        <w:rPr>
          <w:rFonts w:hint="eastAsia" w:ascii="宋体" w:hAnsi="宋体"/>
          <w:b/>
          <w:sz w:val="30"/>
          <w:szCs w:val="30"/>
        </w:rPr>
      </w:pPr>
      <w:bookmarkStart w:id="8" w:name="_Toc33050212"/>
      <w:bookmarkStart w:id="9" w:name="_Toc33050571"/>
      <w:bookmarkStart w:id="10" w:name="_Toc33050456"/>
      <w:bookmarkStart w:id="11" w:name="_Toc27578"/>
      <w:r>
        <w:rPr>
          <w:rFonts w:hint="eastAsia" w:ascii="宋体" w:hAnsi="宋体"/>
          <w:b/>
          <w:sz w:val="30"/>
          <w:szCs w:val="30"/>
        </w:rPr>
        <w:t>202</w:t>
      </w:r>
      <w:r>
        <w:rPr>
          <w:rFonts w:hint="eastAsia" w:ascii="宋体" w:hAnsi="宋体"/>
          <w:b/>
          <w:sz w:val="30"/>
          <w:szCs w:val="30"/>
          <w:lang w:val="en-US" w:eastAsia="zh-CN"/>
        </w:rPr>
        <w:t>3</w:t>
      </w:r>
      <w:r>
        <w:rPr>
          <w:rFonts w:hint="eastAsia" w:ascii="宋体" w:hAnsi="宋体"/>
          <w:b/>
          <w:sz w:val="30"/>
          <w:szCs w:val="30"/>
        </w:rPr>
        <w:t>年</w:t>
      </w:r>
      <w:r>
        <w:rPr>
          <w:rFonts w:hint="eastAsia" w:ascii="宋体" w:hAnsi="宋体"/>
          <w:b/>
          <w:sz w:val="30"/>
          <w:szCs w:val="30"/>
          <w:lang w:val="en-US" w:eastAsia="zh-CN"/>
        </w:rPr>
        <w:t>5</w:t>
      </w:r>
      <w:r>
        <w:rPr>
          <w:rFonts w:hint="eastAsia" w:ascii="宋体" w:hAnsi="宋体"/>
          <w:b/>
          <w:sz w:val="30"/>
          <w:szCs w:val="30"/>
        </w:rPr>
        <w:t>月</w:t>
      </w:r>
      <w:bookmarkEnd w:id="8"/>
      <w:bookmarkEnd w:id="9"/>
      <w:bookmarkEnd w:id="10"/>
      <w:bookmarkEnd w:id="11"/>
    </w:p>
    <w:p>
      <w:pPr>
        <w:spacing w:line="480" w:lineRule="exact"/>
        <w:ind w:right="480"/>
        <w:rPr>
          <w:rFonts w:hint="eastAsia" w:hAnsi="宋体"/>
          <w:sz w:val="24"/>
          <w:szCs w:val="24"/>
        </w:rPr>
      </w:pPr>
      <w:r>
        <w:rPr>
          <w:rFonts w:hint="eastAsia" w:hAnsi="宋体"/>
          <w:sz w:val="24"/>
          <w:szCs w:val="24"/>
        </w:rPr>
        <w:t xml:space="preserve"> </w:t>
      </w:r>
    </w:p>
    <w:p>
      <w:pPr>
        <w:pStyle w:val="35"/>
        <w:keepNext w:val="0"/>
        <w:keepLines w:val="0"/>
        <w:pageBreakBefore w:val="0"/>
        <w:widowControl/>
        <w:kinsoku/>
        <w:wordWrap/>
        <w:overflowPunct/>
        <w:topLinePunct w:val="0"/>
        <w:autoSpaceDE/>
        <w:autoSpaceDN/>
        <w:bidi w:val="0"/>
        <w:adjustRightInd/>
        <w:snapToGrid/>
        <w:spacing w:line="480" w:lineRule="exact"/>
        <w:ind w:firstLine="480"/>
        <w:textAlignment w:val="auto"/>
        <w:rPr>
          <w:rFonts w:hint="eastAsia" w:eastAsia="宋体" w:cs="宋体"/>
          <w:sz w:val="24"/>
          <w:lang w:eastAsia="zh-CN"/>
        </w:rPr>
      </w:pPr>
      <w:r>
        <w:rPr>
          <w:rFonts w:hint="eastAsia"/>
          <w:sz w:val="24"/>
          <w:szCs w:val="24"/>
          <w:lang w:val="en-US" w:eastAsia="zh-CN"/>
        </w:rPr>
        <w:t>项目标的为位于重庆绕城高速公路</w:t>
      </w:r>
      <w:r>
        <w:rPr>
          <w:rFonts w:hint="eastAsia"/>
          <w:sz w:val="24"/>
          <w:szCs w:val="24"/>
        </w:rPr>
        <w:t>复兴服务区</w:t>
      </w:r>
      <w:r>
        <w:rPr>
          <w:rFonts w:hint="eastAsia"/>
          <w:sz w:val="24"/>
          <w:szCs w:val="24"/>
          <w:lang w:val="en-US" w:eastAsia="zh-CN"/>
        </w:rPr>
        <w:t>内的</w:t>
      </w:r>
      <w:r>
        <w:rPr>
          <w:rFonts w:hint="eastAsia"/>
          <w:sz w:val="24"/>
          <w:szCs w:val="24"/>
        </w:rPr>
        <w:t>仓库</w:t>
      </w:r>
      <w:r>
        <w:rPr>
          <w:rFonts w:hint="eastAsia"/>
          <w:sz w:val="24"/>
          <w:szCs w:val="24"/>
          <w:lang w:val="en-US" w:eastAsia="zh-CN"/>
        </w:rPr>
        <w:t>一座</w:t>
      </w:r>
      <w:r>
        <w:rPr>
          <w:rFonts w:hint="eastAsia"/>
          <w:sz w:val="24"/>
          <w:szCs w:val="24"/>
          <w:lang w:eastAsia="zh-CN"/>
        </w:rPr>
        <w:t>，</w:t>
      </w:r>
      <w:r>
        <w:rPr>
          <w:rFonts w:hint="eastAsia"/>
          <w:sz w:val="24"/>
          <w:szCs w:val="24"/>
          <w:lang w:val="en-US" w:eastAsia="zh-CN"/>
        </w:rPr>
        <w:t>是重庆高速资产经营管理有限公司（以下简称“资产公司”）经营管理的国有资产，该标的地理位置优越，是资产公司致力于服务仓储物流行业而落地的</w:t>
      </w:r>
      <w:r>
        <w:rPr>
          <w:rFonts w:hint="eastAsia"/>
          <w:sz w:val="24"/>
          <w:szCs w:val="24"/>
        </w:rPr>
        <w:t>，</w:t>
      </w:r>
      <w:r>
        <w:rPr>
          <w:rFonts w:hint="eastAsia"/>
          <w:sz w:val="24"/>
          <w:szCs w:val="24"/>
          <w:lang w:val="en-US" w:eastAsia="zh-CN"/>
        </w:rPr>
        <w:t>现鉴于该标的</w:t>
      </w:r>
      <w:r>
        <w:rPr>
          <w:rFonts w:hint="eastAsia"/>
          <w:sz w:val="24"/>
          <w:szCs w:val="24"/>
        </w:rPr>
        <w:t>原承租方租赁合同即将到期，为</w:t>
      </w:r>
      <w:r>
        <w:rPr>
          <w:rFonts w:hint="eastAsia"/>
          <w:sz w:val="24"/>
          <w:szCs w:val="24"/>
          <w:lang w:val="en-US" w:eastAsia="zh-CN"/>
        </w:rPr>
        <w:t>保障国有资产的保值和增值，按照相关规定，</w:t>
      </w:r>
      <w:r>
        <w:rPr>
          <w:rFonts w:hint="eastAsia"/>
          <w:sz w:val="24"/>
          <w:szCs w:val="24"/>
        </w:rPr>
        <w:t>我司</w:t>
      </w:r>
      <w:r>
        <w:rPr>
          <w:rFonts w:hint="eastAsia"/>
          <w:sz w:val="24"/>
          <w:szCs w:val="24"/>
          <w:lang w:val="en-US" w:eastAsia="zh-CN"/>
        </w:rPr>
        <w:t>拟</w:t>
      </w:r>
      <w:r>
        <w:rPr>
          <w:rFonts w:hint="eastAsia"/>
          <w:sz w:val="24"/>
          <w:szCs w:val="24"/>
        </w:rPr>
        <w:t>采取公开竞争比选方式</w:t>
      </w:r>
      <w:r>
        <w:rPr>
          <w:rFonts w:hint="eastAsia"/>
          <w:sz w:val="24"/>
          <w:szCs w:val="24"/>
          <w:lang w:val="en-US" w:eastAsia="zh-CN"/>
        </w:rPr>
        <w:t>遴选优质的承租方</w:t>
      </w:r>
      <w:r>
        <w:rPr>
          <w:rFonts w:hint="eastAsia"/>
          <w:sz w:val="24"/>
          <w:szCs w:val="24"/>
        </w:rPr>
        <w:t>。</w:t>
      </w:r>
      <w:r>
        <w:rPr>
          <w:rFonts w:hint="eastAsia"/>
          <w:sz w:val="24"/>
          <w:szCs w:val="24"/>
          <w:lang w:eastAsia="zh-CN"/>
        </w:rPr>
        <w:t>（</w:t>
      </w:r>
      <w:r>
        <w:rPr>
          <w:rFonts w:hint="eastAsia"/>
          <w:sz w:val="24"/>
          <w:szCs w:val="24"/>
          <w:lang w:val="en-US" w:eastAsia="zh-CN"/>
        </w:rPr>
        <w:t>资产公司全权委托高速管家（重庆）实业有限公司开展招标代理工作</w:t>
      </w:r>
      <w:r>
        <w:rPr>
          <w:rFonts w:hint="eastAsia"/>
          <w:sz w:val="24"/>
          <w:szCs w:val="24"/>
          <w:lang w:eastAsia="zh-CN"/>
        </w:rPr>
        <w:t>）</w:t>
      </w:r>
    </w:p>
    <w:p>
      <w:pPr>
        <w:spacing w:line="480" w:lineRule="exact"/>
        <w:ind w:right="482" w:firstLine="602" w:firstLineChars="200"/>
        <w:outlineLvl w:val="0"/>
        <w:rPr>
          <w:rFonts w:hint="eastAsia" w:ascii="宋体" w:hAnsi="宋体"/>
          <w:b/>
          <w:sz w:val="30"/>
          <w:szCs w:val="30"/>
        </w:rPr>
      </w:pPr>
      <w:r>
        <w:rPr>
          <w:rFonts w:hint="eastAsia" w:ascii="宋体" w:hAnsi="宋体"/>
          <w:b/>
          <w:sz w:val="30"/>
          <w:szCs w:val="30"/>
        </w:rPr>
        <w:t>一、项目概况</w:t>
      </w:r>
    </w:p>
    <w:p>
      <w:pPr>
        <w:spacing w:line="480" w:lineRule="exact"/>
        <w:ind w:right="482" w:firstLine="480" w:firstLineChars="200"/>
        <w:outlineLvl w:val="0"/>
        <w:rPr>
          <w:rFonts w:hint="eastAsia" w:ascii="宋体" w:hAnsi="宋体"/>
          <w:b/>
          <w:sz w:val="30"/>
          <w:szCs w:val="30"/>
        </w:rPr>
      </w:pPr>
      <w:r>
        <w:rPr>
          <w:rFonts w:hint="eastAsia" w:ascii="宋体" w:hAnsi="宋体" w:cs="Tahoma"/>
          <w:color w:val="000000"/>
          <w:kern w:val="0"/>
          <w:sz w:val="24"/>
          <w:szCs w:val="24"/>
        </w:rPr>
        <w:t>（一）项目名称：重庆高速资产经营管理有限公司复兴服务区仓</w:t>
      </w:r>
      <w:r>
        <w:rPr>
          <w:rFonts w:hint="eastAsia" w:ascii="宋体" w:hAnsi="宋体" w:cs="Tahoma"/>
          <w:color w:val="000000"/>
          <w:kern w:val="0"/>
          <w:sz w:val="24"/>
          <w:szCs w:val="24"/>
          <w:lang w:val="en-US" w:eastAsia="zh-CN"/>
        </w:rPr>
        <w:t>库</w:t>
      </w:r>
      <w:r>
        <w:rPr>
          <w:rFonts w:hint="eastAsia" w:ascii="宋体" w:hAnsi="宋体" w:cs="Tahoma"/>
          <w:color w:val="000000"/>
          <w:kern w:val="0"/>
          <w:sz w:val="24"/>
          <w:szCs w:val="24"/>
        </w:rPr>
        <w:t>招商出租</w:t>
      </w:r>
    </w:p>
    <w:p>
      <w:pPr>
        <w:spacing w:line="480" w:lineRule="exact"/>
        <w:ind w:firstLine="480" w:firstLineChars="200"/>
        <w:outlineLvl w:val="2"/>
        <w:rPr>
          <w:rFonts w:hint="eastAsia" w:ascii="宋体" w:hAnsi="宋体" w:cs="Tahoma"/>
          <w:color w:val="000000"/>
          <w:kern w:val="0"/>
          <w:sz w:val="24"/>
          <w:szCs w:val="24"/>
        </w:rPr>
      </w:pPr>
      <w:r>
        <w:rPr>
          <w:rFonts w:hint="eastAsia" w:ascii="宋体" w:hAnsi="宋体" w:cs="Tahoma"/>
          <w:color w:val="000000"/>
          <w:kern w:val="0"/>
          <w:sz w:val="24"/>
          <w:szCs w:val="24"/>
        </w:rPr>
        <w:t>（二）项目地点：重庆绕城高速公路复兴服务区内（顺时针左侧服务区）</w:t>
      </w:r>
    </w:p>
    <w:p>
      <w:pPr>
        <w:pStyle w:val="12"/>
        <w:spacing w:line="480" w:lineRule="exact"/>
        <w:ind w:firstLine="480" w:firstLineChars="200"/>
        <w:rPr>
          <w:rFonts w:hint="eastAsia" w:ascii="宋体" w:hAnsi="宋体" w:cs="Tahoma"/>
          <w:color w:val="000000"/>
          <w:kern w:val="0"/>
          <w:sz w:val="24"/>
          <w:szCs w:val="24"/>
        </w:rPr>
      </w:pPr>
      <w:r>
        <w:rPr>
          <w:rFonts w:hint="eastAsia" w:ascii="宋体" w:hAnsi="宋体" w:cs="Tahoma"/>
          <w:color w:val="000000"/>
          <w:kern w:val="0"/>
          <w:sz w:val="24"/>
          <w:szCs w:val="24"/>
        </w:rPr>
        <w:t>（三）土地用途：交通运输划拨用地</w:t>
      </w:r>
    </w:p>
    <w:p>
      <w:pPr>
        <w:spacing w:line="480" w:lineRule="exact"/>
        <w:ind w:firstLine="480" w:firstLineChars="200"/>
        <w:rPr>
          <w:rFonts w:hint="eastAsia" w:ascii="宋体" w:hAnsi="宋体" w:cs="Tahoma"/>
          <w:color w:val="000000"/>
          <w:kern w:val="0"/>
          <w:sz w:val="24"/>
          <w:szCs w:val="24"/>
        </w:rPr>
      </w:pPr>
      <w:r>
        <w:rPr>
          <w:rFonts w:hint="eastAsia" w:ascii="宋体" w:hAnsi="宋体" w:cs="Tahoma"/>
          <w:color w:val="000000"/>
          <w:kern w:val="0"/>
          <w:sz w:val="24"/>
          <w:szCs w:val="24"/>
        </w:rPr>
        <w:t>（四）房屋结构：钢</w:t>
      </w:r>
    </w:p>
    <w:p>
      <w:pPr>
        <w:spacing w:line="480" w:lineRule="exact"/>
        <w:ind w:firstLine="480" w:firstLineChars="200"/>
        <w:rPr>
          <w:rFonts w:hint="eastAsia" w:ascii="宋体" w:hAnsi="宋体" w:cs="Tahoma"/>
          <w:color w:val="000000"/>
          <w:kern w:val="0"/>
          <w:sz w:val="24"/>
          <w:szCs w:val="24"/>
        </w:rPr>
      </w:pPr>
      <w:r>
        <w:rPr>
          <w:rFonts w:hint="eastAsia" w:ascii="宋体" w:hAnsi="宋体" w:cs="Tahoma"/>
          <w:color w:val="000000"/>
          <w:kern w:val="0"/>
          <w:sz w:val="24"/>
          <w:szCs w:val="24"/>
        </w:rPr>
        <w:t>（五）房屋用途：</w:t>
      </w:r>
      <w:r>
        <w:rPr>
          <w:rFonts w:hint="eastAsia" w:ascii="宋体" w:hAnsi="宋体" w:cs="Tahoma"/>
          <w:color w:val="000000"/>
          <w:kern w:val="0"/>
          <w:sz w:val="24"/>
          <w:szCs w:val="24"/>
          <w:lang w:val="en-US" w:eastAsia="zh-CN"/>
        </w:rPr>
        <w:t>丙类仓库</w:t>
      </w:r>
    </w:p>
    <w:p>
      <w:pPr>
        <w:spacing w:line="480" w:lineRule="exact"/>
        <w:ind w:firstLine="480" w:firstLineChars="200"/>
        <w:outlineLvl w:val="2"/>
        <w:rPr>
          <w:rFonts w:hint="eastAsia" w:ascii="宋体" w:hAnsi="宋体" w:cs="Tahoma"/>
          <w:color w:val="000000"/>
          <w:kern w:val="0"/>
          <w:sz w:val="24"/>
          <w:szCs w:val="24"/>
        </w:rPr>
      </w:pPr>
      <w:r>
        <w:rPr>
          <w:rFonts w:hint="eastAsia" w:ascii="宋体" w:hAnsi="宋体" w:cs="Tahoma"/>
          <w:color w:val="000000"/>
          <w:kern w:val="0"/>
          <w:sz w:val="24"/>
          <w:szCs w:val="24"/>
        </w:rPr>
        <w:t>（六）项目</w:t>
      </w:r>
      <w:r>
        <w:rPr>
          <w:rFonts w:hint="eastAsia" w:ascii="宋体" w:hAnsi="宋体" w:cs="Tahoma"/>
          <w:color w:val="000000"/>
          <w:kern w:val="0"/>
          <w:sz w:val="24"/>
          <w:szCs w:val="24"/>
          <w:lang w:val="en-US" w:eastAsia="zh-CN"/>
        </w:rPr>
        <w:t>租赁</w:t>
      </w:r>
      <w:r>
        <w:rPr>
          <w:rFonts w:hint="eastAsia" w:ascii="宋体" w:hAnsi="宋体" w:cs="Tahoma"/>
          <w:color w:val="000000"/>
          <w:kern w:val="0"/>
          <w:sz w:val="24"/>
          <w:szCs w:val="24"/>
        </w:rPr>
        <w:t>范围</w:t>
      </w:r>
      <w:r>
        <w:rPr>
          <w:rFonts w:hint="eastAsia" w:ascii="宋体" w:hAnsi="宋体" w:cs="Tahoma"/>
          <w:color w:val="000000"/>
          <w:kern w:val="0"/>
          <w:sz w:val="24"/>
          <w:szCs w:val="24"/>
          <w:lang w:eastAsia="zh-CN"/>
        </w:rPr>
        <w:t>、</w:t>
      </w:r>
      <w:r>
        <w:rPr>
          <w:rFonts w:hint="eastAsia" w:ascii="宋体" w:hAnsi="宋体" w:cs="Tahoma"/>
          <w:color w:val="000000"/>
          <w:kern w:val="0"/>
          <w:sz w:val="24"/>
          <w:szCs w:val="24"/>
          <w:lang w:val="en-US" w:eastAsia="zh-CN"/>
        </w:rPr>
        <w:t>要求及期限</w:t>
      </w:r>
    </w:p>
    <w:p>
      <w:pPr>
        <w:spacing w:line="480" w:lineRule="exact"/>
        <w:ind w:firstLine="480" w:firstLineChars="200"/>
        <w:rPr>
          <w:rFonts w:hint="eastAsia" w:ascii="宋体" w:hAnsi="宋体" w:cs="宋体"/>
          <w:color w:val="auto"/>
          <w:sz w:val="24"/>
          <w:szCs w:val="24"/>
        </w:rPr>
      </w:pPr>
      <w:r>
        <w:rPr>
          <w:rFonts w:hint="eastAsia" w:ascii="宋体" w:hAnsi="宋体" w:cs="宋体"/>
          <w:sz w:val="24"/>
          <w:szCs w:val="24"/>
        </w:rPr>
        <w:t>1.项目范围：重庆</w:t>
      </w:r>
      <w:r>
        <w:rPr>
          <w:rFonts w:hint="eastAsia" w:ascii="宋体" w:hAnsi="宋体" w:cs="宋体"/>
          <w:color w:val="auto"/>
          <w:sz w:val="24"/>
          <w:szCs w:val="24"/>
        </w:rPr>
        <w:t>绕城高速公路复兴服务区内（顺时针左侧服务区）仓库4600</w:t>
      </w:r>
      <w:r>
        <w:rPr>
          <w:rFonts w:hint="eastAsia" w:ascii="宋体" w:hAnsi="宋体" w:cs="宋体"/>
          <w:color w:val="auto"/>
          <w:sz w:val="24"/>
          <w:szCs w:val="24"/>
          <w:lang w:val="en-US" w:eastAsia="zh-CN"/>
        </w:rPr>
        <w:t>㎡。A区（面积：2116平方米）、B区（2484平方米），可分A、B区租，可合租。</w:t>
      </w:r>
      <w:r>
        <w:rPr>
          <w:rFonts w:hint="eastAsia" w:ascii="宋体" w:hAnsi="宋体" w:cs="宋体"/>
          <w:color w:val="auto"/>
          <w:sz w:val="24"/>
          <w:szCs w:val="24"/>
        </w:rPr>
        <w:t>租赁区域平面图见附件1</w:t>
      </w:r>
      <w:r>
        <w:rPr>
          <w:rFonts w:hint="eastAsia" w:ascii="宋体" w:hAnsi="宋体" w:cs="宋体"/>
          <w:color w:val="auto"/>
          <w:sz w:val="24"/>
          <w:szCs w:val="24"/>
          <w:lang w:eastAsia="zh-CN"/>
        </w:rPr>
        <w:t>。</w:t>
      </w:r>
    </w:p>
    <w:p>
      <w:pPr>
        <w:pStyle w:val="12"/>
        <w:spacing w:line="480" w:lineRule="exact"/>
        <w:ind w:firstLine="480" w:firstLineChars="200"/>
        <w:rPr>
          <w:rFonts w:hint="eastAsia" w:ascii="宋体" w:hAnsi="宋体" w:cs="宋体"/>
          <w:color w:val="auto"/>
          <w:sz w:val="24"/>
          <w:szCs w:val="24"/>
        </w:rPr>
      </w:pPr>
      <w:r>
        <w:rPr>
          <w:rFonts w:hint="eastAsia" w:ascii="宋体" w:hAnsi="宋体" w:cs="宋体"/>
          <w:sz w:val="24"/>
          <w:szCs w:val="24"/>
        </w:rPr>
        <w:t>2.项目</w:t>
      </w:r>
      <w:r>
        <w:rPr>
          <w:rFonts w:hint="eastAsia" w:ascii="宋体" w:hAnsi="宋体" w:cs="宋体"/>
          <w:sz w:val="24"/>
          <w:szCs w:val="24"/>
          <w:lang w:val="en-US" w:eastAsia="zh-CN"/>
        </w:rPr>
        <w:t>租赁要求</w:t>
      </w:r>
      <w:r>
        <w:rPr>
          <w:rFonts w:hint="eastAsia" w:ascii="宋体" w:hAnsi="宋体" w:cs="宋体"/>
          <w:sz w:val="24"/>
          <w:szCs w:val="24"/>
        </w:rPr>
        <w:t>：</w:t>
      </w:r>
      <w:r>
        <w:rPr>
          <w:rFonts w:hint="eastAsia" w:ascii="宋体" w:hAnsi="宋体" w:cs="宋体"/>
          <w:color w:val="auto"/>
          <w:sz w:val="24"/>
          <w:szCs w:val="24"/>
        </w:rPr>
        <w:t>承租方须按照丙类仓库的规定存放物品</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禁止</w:t>
      </w:r>
      <w:r>
        <w:rPr>
          <w:rFonts w:hint="eastAsia" w:ascii="宋体" w:hAnsi="宋体" w:cs="宋体"/>
          <w:color w:val="auto"/>
          <w:sz w:val="24"/>
          <w:szCs w:val="24"/>
        </w:rPr>
        <w:t>重型货车进入</w:t>
      </w:r>
      <w:r>
        <w:rPr>
          <w:rFonts w:hint="eastAsia" w:ascii="宋体" w:hAnsi="宋体" w:cs="宋体"/>
          <w:color w:val="auto"/>
          <w:sz w:val="24"/>
          <w:szCs w:val="24"/>
          <w:lang w:val="en-US" w:eastAsia="zh-CN"/>
        </w:rPr>
        <w:t>该区域装卸货物</w:t>
      </w:r>
      <w:r>
        <w:rPr>
          <w:rFonts w:hint="eastAsia" w:ascii="宋体" w:hAnsi="宋体" w:cs="宋体"/>
          <w:color w:val="auto"/>
          <w:sz w:val="24"/>
          <w:szCs w:val="24"/>
          <w:lang w:eastAsia="zh-CN"/>
        </w:rPr>
        <w:t>；</w:t>
      </w:r>
      <w:r>
        <w:rPr>
          <w:rFonts w:hint="eastAsia" w:ascii="宋体" w:hAnsi="宋体" w:cs="宋体"/>
          <w:color w:val="auto"/>
          <w:sz w:val="24"/>
          <w:szCs w:val="24"/>
        </w:rPr>
        <w:t>租赁标的物</w:t>
      </w:r>
      <w:r>
        <w:rPr>
          <w:rFonts w:hint="eastAsia" w:ascii="宋体" w:hAnsi="宋体" w:cs="宋体"/>
          <w:color w:val="auto"/>
          <w:sz w:val="24"/>
          <w:szCs w:val="24"/>
          <w:lang w:val="en-US" w:eastAsia="zh-CN"/>
        </w:rPr>
        <w:t>不包括场地及相关设施的</w:t>
      </w:r>
      <w:r>
        <w:rPr>
          <w:rFonts w:hint="eastAsia" w:ascii="宋体" w:hAnsi="宋体" w:cs="宋体"/>
          <w:color w:val="auto"/>
          <w:sz w:val="24"/>
          <w:szCs w:val="24"/>
        </w:rPr>
        <w:t>广告发布权</w:t>
      </w:r>
      <w:r>
        <w:rPr>
          <w:rFonts w:hint="eastAsia" w:ascii="宋体" w:hAnsi="宋体" w:cs="宋体"/>
          <w:color w:val="auto"/>
          <w:sz w:val="24"/>
          <w:szCs w:val="24"/>
          <w:lang w:val="en-US" w:eastAsia="zh-CN"/>
        </w:rPr>
        <w:t>等其它经营；</w:t>
      </w:r>
      <w:r>
        <w:rPr>
          <w:rFonts w:hint="eastAsia" w:ascii="宋体" w:hAnsi="宋体" w:cs="宋体"/>
          <w:color w:val="auto"/>
          <w:sz w:val="24"/>
          <w:szCs w:val="24"/>
        </w:rPr>
        <w:t>如承租方需转变经营项目，须经</w:t>
      </w:r>
      <w:r>
        <w:rPr>
          <w:rFonts w:hint="eastAsia" w:ascii="宋体" w:hAnsi="宋体" w:cs="宋体"/>
          <w:color w:val="auto"/>
          <w:sz w:val="24"/>
          <w:szCs w:val="24"/>
          <w:lang w:val="en-US" w:eastAsia="zh-CN"/>
        </w:rPr>
        <w:t>资产公司书</w:t>
      </w:r>
      <w:r>
        <w:rPr>
          <w:rFonts w:hint="eastAsia" w:ascii="宋体" w:hAnsi="宋体" w:cs="宋体"/>
          <w:color w:val="auto"/>
          <w:sz w:val="24"/>
          <w:szCs w:val="24"/>
        </w:rPr>
        <w:t>面同意。</w:t>
      </w:r>
    </w:p>
    <w:p>
      <w:pPr>
        <w:spacing w:line="480" w:lineRule="exact"/>
        <w:ind w:firstLine="480" w:firstLineChars="200"/>
        <w:rPr>
          <w:rFonts w:hint="default" w:ascii="宋体" w:hAnsi="宋体" w:eastAsia="宋体" w:cs="宋体"/>
          <w:color w:val="auto"/>
          <w:sz w:val="24"/>
          <w:szCs w:val="24"/>
          <w:u w:val="none"/>
          <w:lang w:val="en-US" w:eastAsia="zh-CN"/>
        </w:rPr>
      </w:pPr>
      <w:r>
        <w:rPr>
          <w:rFonts w:hint="eastAsia" w:ascii="宋体" w:hAnsi="宋体" w:cs="宋体"/>
          <w:color w:val="auto"/>
          <w:sz w:val="24"/>
          <w:szCs w:val="24"/>
        </w:rPr>
        <w:t>3.仓库租赁期限：</w:t>
      </w:r>
      <w:r>
        <w:rPr>
          <w:rFonts w:hint="eastAsia" w:ascii="宋体" w:hAnsi="宋体" w:cs="宋体"/>
          <w:color w:val="auto"/>
          <w:sz w:val="24"/>
          <w:szCs w:val="24"/>
          <w:lang w:val="en-US" w:eastAsia="zh-CN"/>
        </w:rPr>
        <w:t>1年。</w:t>
      </w:r>
    </w:p>
    <w:p>
      <w:pPr>
        <w:spacing w:line="480" w:lineRule="exact"/>
        <w:ind w:right="482" w:firstLine="602" w:firstLineChars="200"/>
        <w:outlineLvl w:val="0"/>
        <w:rPr>
          <w:rFonts w:hint="eastAsia" w:ascii="宋体" w:hAnsi="宋体"/>
          <w:b/>
          <w:sz w:val="30"/>
          <w:szCs w:val="30"/>
        </w:rPr>
      </w:pPr>
      <w:r>
        <w:rPr>
          <w:rFonts w:hint="eastAsia" w:ascii="宋体" w:hAnsi="宋体"/>
          <w:b/>
          <w:color w:val="000000"/>
          <w:sz w:val="30"/>
          <w:szCs w:val="30"/>
        </w:rPr>
        <w:t>二</w:t>
      </w:r>
      <w:r>
        <w:rPr>
          <w:rFonts w:hint="eastAsia" w:ascii="宋体" w:hAnsi="宋体"/>
          <w:b/>
          <w:sz w:val="30"/>
          <w:szCs w:val="30"/>
        </w:rPr>
        <w:t>、比选申请人资格要求</w:t>
      </w:r>
    </w:p>
    <w:p>
      <w:pPr>
        <w:pStyle w:val="36"/>
        <w:spacing w:line="480" w:lineRule="exact"/>
        <w:ind w:left="0" w:firstLine="480" w:firstLineChars="200"/>
        <w:outlineLvl w:val="1"/>
        <w:rPr>
          <w:rFonts w:hint="eastAsia" w:ascii="宋体" w:hAnsi="宋体"/>
          <w:sz w:val="24"/>
        </w:rPr>
      </w:pPr>
      <w:r>
        <w:rPr>
          <w:rFonts w:hint="eastAsia" w:ascii="宋体" w:hAnsi="宋体"/>
          <w:sz w:val="24"/>
        </w:rPr>
        <w:t>（一）基本资格要求</w:t>
      </w:r>
    </w:p>
    <w:p>
      <w:pPr>
        <w:pStyle w:val="36"/>
        <w:spacing w:line="480" w:lineRule="exact"/>
        <w:ind w:left="0" w:firstLine="480" w:firstLineChars="200"/>
        <w:rPr>
          <w:rFonts w:ascii="宋体" w:hAnsi="宋体"/>
          <w:sz w:val="24"/>
          <w:szCs w:val="24"/>
        </w:rPr>
      </w:pPr>
      <w:r>
        <w:rPr>
          <w:rFonts w:hint="eastAsia" w:ascii="宋体" w:hAnsi="宋体" w:cs="宋体"/>
          <w:sz w:val="24"/>
          <w:szCs w:val="24"/>
        </w:rPr>
        <w:t>1.比选申请人必须是在中华人民共和国境内注册、具有独立法人资格的公司（提供有效的营业执照或事业单位法人证书复印件）或自然</w:t>
      </w:r>
      <w:r>
        <w:rPr>
          <w:rFonts w:hint="eastAsia" w:ascii="宋体" w:hAnsi="宋体" w:cs="宋体"/>
          <w:sz w:val="24"/>
          <w:szCs w:val="24"/>
          <w:lang w:val="en-US" w:eastAsia="zh-CN"/>
        </w:rPr>
        <w:t>个</w:t>
      </w:r>
      <w:r>
        <w:rPr>
          <w:rFonts w:hint="eastAsia" w:ascii="宋体" w:hAnsi="宋体" w:cs="宋体"/>
          <w:sz w:val="24"/>
          <w:szCs w:val="24"/>
        </w:rPr>
        <w:t>人（</w:t>
      </w:r>
      <w:r>
        <w:rPr>
          <w:rFonts w:hint="eastAsia" w:ascii="宋体" w:hAnsi="宋体" w:cs="宋体"/>
          <w:sz w:val="24"/>
          <w:szCs w:val="24"/>
          <w:lang w:val="en-US" w:eastAsia="zh-CN"/>
        </w:rPr>
        <w:t>个</w:t>
      </w:r>
      <w:r>
        <w:rPr>
          <w:rFonts w:hint="eastAsia" w:ascii="宋体" w:hAnsi="宋体" w:cs="宋体"/>
          <w:sz w:val="24"/>
          <w:szCs w:val="24"/>
        </w:rPr>
        <w:t>人请提供身份证原件</w:t>
      </w:r>
      <w:r>
        <w:rPr>
          <w:rFonts w:hint="eastAsia" w:ascii="宋体" w:hAnsi="宋体" w:cs="宋体"/>
          <w:sz w:val="24"/>
          <w:szCs w:val="24"/>
          <w:lang w:eastAsia="zh-CN"/>
        </w:rPr>
        <w:t>、</w:t>
      </w:r>
      <w:r>
        <w:rPr>
          <w:rFonts w:hint="eastAsia" w:ascii="宋体" w:hAnsi="宋体" w:cs="宋体"/>
          <w:sz w:val="24"/>
          <w:szCs w:val="24"/>
        </w:rPr>
        <w:t>复印件</w:t>
      </w:r>
      <w:r>
        <w:rPr>
          <w:rFonts w:hint="eastAsia" w:ascii="宋体" w:hAnsi="宋体" w:cs="宋体"/>
          <w:sz w:val="24"/>
          <w:szCs w:val="24"/>
          <w:lang w:val="en-US" w:eastAsia="zh-CN"/>
        </w:rPr>
        <w:t>签字并盖手印和</w:t>
      </w:r>
      <w:r>
        <w:rPr>
          <w:rFonts w:hint="eastAsia" w:ascii="宋体" w:hAnsi="宋体" w:cs="宋体"/>
          <w:sz w:val="24"/>
          <w:szCs w:val="24"/>
        </w:rPr>
        <w:t>个人银行征信报告）。</w:t>
      </w:r>
    </w:p>
    <w:p>
      <w:pPr>
        <w:pStyle w:val="36"/>
        <w:spacing w:line="480" w:lineRule="exact"/>
        <w:ind w:left="0" w:firstLine="480" w:firstLineChars="200"/>
        <w:rPr>
          <w:rFonts w:hint="eastAsia" w:ascii="宋体" w:hAnsi="宋体"/>
          <w:sz w:val="24"/>
          <w:szCs w:val="24"/>
        </w:rPr>
      </w:pPr>
      <w:r>
        <w:rPr>
          <w:rFonts w:hint="eastAsia" w:ascii="宋体" w:hAnsi="宋体" w:cs="宋体"/>
          <w:sz w:val="24"/>
          <w:szCs w:val="24"/>
        </w:rPr>
        <w:t>2.比选申请人具有良好财务状况、企业信誉，在近三年内无重大经营违法活动。（提供相关承诺书，格式自拟）</w:t>
      </w:r>
    </w:p>
    <w:p>
      <w:pPr>
        <w:pStyle w:val="36"/>
        <w:spacing w:line="480" w:lineRule="exact"/>
        <w:ind w:left="0" w:firstLine="480" w:firstLineChars="200"/>
        <w:rPr>
          <w:rFonts w:ascii="宋体" w:hAnsi="宋体"/>
          <w:sz w:val="24"/>
          <w:szCs w:val="24"/>
        </w:rPr>
      </w:pPr>
      <w:r>
        <w:rPr>
          <w:rFonts w:hint="eastAsia" w:ascii="宋体" w:hAnsi="宋体" w:cs="宋体"/>
          <w:sz w:val="24"/>
          <w:szCs w:val="24"/>
        </w:rPr>
        <w:t>3.比选申请人没有处于被责令停业，财产被接管、冻结及破产状态。（提供相关承诺书，格式自拟）</w:t>
      </w:r>
    </w:p>
    <w:p>
      <w:pPr>
        <w:pStyle w:val="36"/>
        <w:spacing w:line="480" w:lineRule="exact"/>
        <w:ind w:left="0" w:firstLine="480" w:firstLineChars="200"/>
        <w:rPr>
          <w:rFonts w:hint="eastAsia" w:ascii="宋体" w:hAnsi="宋体" w:cs="宋体"/>
          <w:sz w:val="24"/>
          <w:szCs w:val="24"/>
        </w:rPr>
      </w:pPr>
      <w:r>
        <w:rPr>
          <w:rFonts w:hint="eastAsia" w:ascii="宋体" w:hAnsi="宋体" w:cs="宋体"/>
          <w:sz w:val="24"/>
          <w:szCs w:val="24"/>
        </w:rPr>
        <w:t>4.本项目接受</w:t>
      </w:r>
      <w:r>
        <w:rPr>
          <w:rFonts w:hint="eastAsia" w:ascii="宋体" w:hAnsi="宋体" w:cs="宋体"/>
          <w:sz w:val="24"/>
          <w:szCs w:val="24"/>
          <w:lang w:val="en-US" w:eastAsia="zh-CN"/>
        </w:rPr>
        <w:t>最多两家</w:t>
      </w:r>
      <w:r>
        <w:rPr>
          <w:rFonts w:hint="eastAsia" w:ascii="宋体" w:hAnsi="宋体" w:cs="宋体"/>
          <w:sz w:val="24"/>
          <w:szCs w:val="24"/>
        </w:rPr>
        <w:t>联合体投标</w:t>
      </w:r>
      <w:r>
        <w:rPr>
          <w:rFonts w:hint="eastAsia" w:ascii="宋体" w:hAnsi="宋体" w:cs="宋体"/>
          <w:sz w:val="24"/>
          <w:szCs w:val="24"/>
          <w:lang w:eastAsia="zh-CN"/>
        </w:rPr>
        <w:t>，</w:t>
      </w:r>
      <w:r>
        <w:rPr>
          <w:rFonts w:hint="eastAsia" w:ascii="宋体" w:hAnsi="宋体" w:cs="宋体"/>
          <w:sz w:val="24"/>
          <w:szCs w:val="24"/>
          <w:lang w:val="en-US" w:eastAsia="zh-CN"/>
        </w:rPr>
        <w:t>联合投标体应提前就仓库面积分配、租金等权利和义务达成一致意见，并在申请书后附盖章或签字画押的纸质协议</w:t>
      </w:r>
      <w:r>
        <w:rPr>
          <w:rFonts w:hint="eastAsia" w:ascii="宋体" w:hAnsi="宋体" w:cs="宋体"/>
          <w:sz w:val="24"/>
          <w:szCs w:val="24"/>
        </w:rPr>
        <w:t>。</w:t>
      </w:r>
    </w:p>
    <w:p>
      <w:pPr>
        <w:pStyle w:val="36"/>
        <w:spacing w:line="480" w:lineRule="exact"/>
        <w:ind w:left="0" w:firstLine="480" w:firstLineChars="200"/>
        <w:rPr>
          <w:rFonts w:hint="eastAsia" w:ascii="宋体" w:hAnsi="宋体" w:eastAsia="宋体" w:cs="宋体"/>
          <w:sz w:val="24"/>
          <w:szCs w:val="24"/>
          <w:lang w:val="en-US" w:eastAsia="zh-CN"/>
        </w:rPr>
      </w:pPr>
      <w:r>
        <w:rPr>
          <w:rFonts w:hint="eastAsia" w:ascii="宋体" w:hAnsi="宋体" w:cs="宋体"/>
          <w:sz w:val="24"/>
          <w:szCs w:val="24"/>
          <w:lang w:val="en-US" w:eastAsia="zh-CN"/>
        </w:rPr>
        <w:t>5.本项目只限于整租，不接受部分租赁。</w:t>
      </w:r>
    </w:p>
    <w:p>
      <w:pPr>
        <w:pStyle w:val="36"/>
        <w:spacing w:line="480" w:lineRule="exact"/>
        <w:ind w:left="0" w:firstLine="602" w:firstLineChars="200"/>
        <w:rPr>
          <w:rFonts w:hint="eastAsia" w:ascii="宋体" w:hAnsi="宋体" w:cs="宋体"/>
          <w:sz w:val="24"/>
          <w:szCs w:val="24"/>
        </w:rPr>
      </w:pPr>
      <w:r>
        <w:rPr>
          <w:rFonts w:hint="eastAsia" w:ascii="宋体" w:hAnsi="宋体"/>
          <w:b/>
          <w:sz w:val="30"/>
          <w:szCs w:val="30"/>
        </w:rPr>
        <w:t>三、竞争性比选申请文件要求</w:t>
      </w:r>
    </w:p>
    <w:p>
      <w:pPr>
        <w:spacing w:line="480" w:lineRule="exact"/>
        <w:ind w:firstLine="480" w:firstLineChars="200"/>
        <w:outlineLvl w:val="1"/>
        <w:rPr>
          <w:rFonts w:hint="eastAsia"/>
          <w:sz w:val="24"/>
        </w:rPr>
      </w:pPr>
      <w:bookmarkStart w:id="12" w:name="_Toc33050582"/>
      <w:r>
        <w:rPr>
          <w:rFonts w:hint="eastAsia" w:ascii="宋体" w:hAnsi="宋体"/>
          <w:sz w:val="24"/>
        </w:rPr>
        <w:t>（一）</w:t>
      </w:r>
      <w:r>
        <w:rPr>
          <w:rFonts w:hint="eastAsia"/>
          <w:sz w:val="24"/>
        </w:rPr>
        <w:t>报价文件的组成</w:t>
      </w:r>
      <w:bookmarkEnd w:id="12"/>
      <w:r>
        <w:rPr>
          <w:rFonts w:hint="eastAsia"/>
          <w:sz w:val="24"/>
        </w:rPr>
        <w:t>及要求</w:t>
      </w:r>
    </w:p>
    <w:p>
      <w:pPr>
        <w:spacing w:line="480" w:lineRule="exact"/>
        <w:ind w:firstLine="480" w:firstLineChars="200"/>
        <w:rPr>
          <w:rFonts w:hint="eastAsia"/>
          <w:sz w:val="24"/>
        </w:rPr>
      </w:pPr>
      <w:r>
        <w:rPr>
          <w:rFonts w:hint="eastAsia"/>
          <w:sz w:val="24"/>
        </w:rPr>
        <w:t>1.报价函</w:t>
      </w:r>
    </w:p>
    <w:p>
      <w:pPr>
        <w:spacing w:line="480" w:lineRule="exact"/>
        <w:ind w:firstLine="480" w:firstLineChars="200"/>
        <w:rPr>
          <w:rFonts w:hint="eastAsia"/>
          <w:sz w:val="24"/>
        </w:rPr>
      </w:pPr>
      <w:r>
        <w:rPr>
          <w:rFonts w:hint="eastAsia"/>
          <w:sz w:val="24"/>
        </w:rPr>
        <w:t>2.法定代表人身份证明及法定代表人的授权委托书（</w:t>
      </w:r>
      <w:r>
        <w:rPr>
          <w:rFonts w:hint="eastAsia"/>
          <w:sz w:val="24"/>
          <w:lang w:val="en-US" w:eastAsia="zh-CN"/>
        </w:rPr>
        <w:t>个</w:t>
      </w:r>
      <w:r>
        <w:rPr>
          <w:rFonts w:hint="eastAsia"/>
          <w:sz w:val="24"/>
        </w:rPr>
        <w:t>人请携带投标人本人身份证及复印件，委托投标的须提供加盖投标人手印的授权委托书）。</w:t>
      </w:r>
    </w:p>
    <w:p>
      <w:pPr>
        <w:spacing w:line="480" w:lineRule="exact"/>
        <w:ind w:firstLine="480" w:firstLineChars="200"/>
        <w:rPr>
          <w:rFonts w:hint="eastAsia"/>
          <w:sz w:val="24"/>
        </w:rPr>
      </w:pPr>
      <w:r>
        <w:rPr>
          <w:rFonts w:hint="eastAsia"/>
          <w:sz w:val="24"/>
        </w:rPr>
        <w:t>（1）法定代表人身份证明（投标人为</w:t>
      </w:r>
      <w:r>
        <w:rPr>
          <w:rFonts w:hint="eastAsia"/>
          <w:sz w:val="24"/>
          <w:lang w:val="en-US" w:eastAsia="zh-CN"/>
        </w:rPr>
        <w:t>个</w:t>
      </w:r>
      <w:r>
        <w:rPr>
          <w:rFonts w:hint="eastAsia"/>
          <w:sz w:val="24"/>
        </w:rPr>
        <w:t>人时须提供身份证原件备查及银行个人征信报告）</w:t>
      </w:r>
    </w:p>
    <w:p>
      <w:pPr>
        <w:spacing w:line="480" w:lineRule="exact"/>
        <w:ind w:firstLine="480" w:firstLineChars="200"/>
        <w:rPr>
          <w:rFonts w:hint="eastAsia"/>
          <w:sz w:val="24"/>
        </w:rPr>
      </w:pPr>
      <w:r>
        <w:rPr>
          <w:rFonts w:hint="eastAsia"/>
          <w:sz w:val="24"/>
        </w:rPr>
        <w:t>（2）授权委托书（如有）</w:t>
      </w:r>
    </w:p>
    <w:p>
      <w:pPr>
        <w:spacing w:line="480" w:lineRule="exact"/>
        <w:ind w:firstLine="480" w:firstLineChars="200"/>
        <w:outlineLvl w:val="1"/>
        <w:rPr>
          <w:rFonts w:hint="eastAsia" w:ascii="宋体" w:hAnsi="宋体"/>
          <w:sz w:val="24"/>
        </w:rPr>
      </w:pPr>
      <w:bookmarkStart w:id="13" w:name="_Toc33050583"/>
      <w:r>
        <w:rPr>
          <w:rFonts w:hint="eastAsia" w:ascii="宋体" w:hAnsi="宋体"/>
          <w:sz w:val="24"/>
        </w:rPr>
        <w:t>3.报价文件的份数</w:t>
      </w:r>
      <w:bookmarkEnd w:id="13"/>
    </w:p>
    <w:p>
      <w:pPr>
        <w:spacing w:line="480" w:lineRule="exact"/>
        <w:ind w:firstLine="480" w:firstLineChars="200"/>
        <w:rPr>
          <w:rFonts w:hint="eastAsia" w:ascii="宋体" w:hAnsi="宋体"/>
          <w:sz w:val="24"/>
        </w:rPr>
      </w:pPr>
      <w:r>
        <w:rPr>
          <w:rFonts w:hint="eastAsia" w:ascii="宋体" w:hAnsi="宋体"/>
          <w:sz w:val="24"/>
        </w:rPr>
        <w:t xml:space="preserve">  报价文件正本一份，副本一份</w:t>
      </w:r>
      <w:r>
        <w:rPr>
          <w:rFonts w:hint="eastAsia"/>
          <w:lang w:eastAsia="zh-CN"/>
        </w:rPr>
        <w:t>。</w:t>
      </w:r>
      <w:r>
        <w:rPr>
          <w:rFonts w:hint="eastAsia"/>
          <w:sz w:val="24"/>
          <w:szCs w:val="24"/>
          <w:lang w:val="en-US" w:eastAsia="zh-Hans"/>
        </w:rPr>
        <w:t>每套纸质报价文件须在封面清楚地标明“正本”、“副本”，副本应为正本的完整复印件，副本与正本不一致时以正本为准。</w:t>
      </w:r>
    </w:p>
    <w:p>
      <w:pPr>
        <w:spacing w:line="480" w:lineRule="exact"/>
        <w:ind w:firstLine="480" w:firstLineChars="200"/>
        <w:rPr>
          <w:rFonts w:hint="eastAsia" w:ascii="宋体" w:hAnsi="宋体"/>
          <w:sz w:val="24"/>
        </w:rPr>
      </w:pPr>
      <w:r>
        <w:rPr>
          <w:rFonts w:hint="eastAsia" w:ascii="宋体" w:hAnsi="宋体"/>
          <w:sz w:val="24"/>
        </w:rPr>
        <w:t>4.编制完整的报价文件，用不褪色的材料书写或打印。</w:t>
      </w:r>
    </w:p>
    <w:p>
      <w:pPr>
        <w:spacing w:line="480" w:lineRule="exact"/>
        <w:ind w:firstLine="480" w:firstLineChars="200"/>
        <w:rPr>
          <w:rFonts w:hint="eastAsia" w:ascii="宋体" w:hAnsi="宋体"/>
          <w:sz w:val="24"/>
        </w:rPr>
      </w:pPr>
      <w:r>
        <w:rPr>
          <w:rFonts w:hint="eastAsia" w:ascii="宋体" w:hAnsi="宋体"/>
          <w:sz w:val="24"/>
        </w:rPr>
        <w:t>5.报价人将上述报价文件按要求填写和装订后，统一装入一个封套密封，并在密封条处加盖申请人单位公章</w:t>
      </w:r>
      <w:r>
        <w:rPr>
          <w:rFonts w:hint="eastAsia" w:ascii="宋体" w:hAnsi="宋体"/>
          <w:sz w:val="24"/>
          <w:lang w:eastAsia="zh-CN"/>
        </w:rPr>
        <w:t>（</w:t>
      </w:r>
      <w:r>
        <w:rPr>
          <w:rFonts w:hint="eastAsia"/>
          <w:sz w:val="24"/>
        </w:rPr>
        <w:t>投标人为</w:t>
      </w:r>
      <w:r>
        <w:rPr>
          <w:rFonts w:hint="eastAsia"/>
          <w:sz w:val="24"/>
          <w:lang w:val="en-US" w:eastAsia="zh-CN"/>
        </w:rPr>
        <w:t>个</w:t>
      </w:r>
      <w:r>
        <w:rPr>
          <w:rFonts w:hint="eastAsia"/>
          <w:sz w:val="24"/>
        </w:rPr>
        <w:t>人时</w:t>
      </w:r>
      <w:r>
        <w:rPr>
          <w:rFonts w:hint="eastAsia" w:ascii="宋体" w:hAnsi="宋体"/>
          <w:sz w:val="24"/>
        </w:rPr>
        <w:t>签字加盖手印</w:t>
      </w:r>
      <w:r>
        <w:rPr>
          <w:rFonts w:hint="eastAsia" w:ascii="宋体" w:hAnsi="宋体"/>
          <w:sz w:val="24"/>
          <w:lang w:eastAsia="zh-CN"/>
        </w:rPr>
        <w:t>）</w:t>
      </w:r>
      <w:r>
        <w:rPr>
          <w:rFonts w:hint="eastAsia" w:ascii="宋体" w:hAnsi="宋体"/>
          <w:sz w:val="24"/>
        </w:rPr>
        <w:t>。</w:t>
      </w:r>
    </w:p>
    <w:p>
      <w:pPr>
        <w:pStyle w:val="12"/>
        <w:rPr>
          <w:rFonts w:hint="eastAsia" w:eastAsia="宋体"/>
          <w:lang w:val="en-US" w:eastAsia="zh-CN"/>
        </w:rPr>
      </w:pPr>
      <w:r>
        <w:rPr>
          <w:rFonts w:hint="eastAsia" w:ascii="宋体" w:hAnsi="宋体"/>
          <w:sz w:val="24"/>
          <w:lang w:val="en-US" w:eastAsia="zh-CN"/>
        </w:rPr>
        <w:t xml:space="preserve">    6.报价文件首页需提供报价人已全面、详细了解本项目比选文件的所有要求和规定，并承诺中标后按照相关要求、规定履行应有的权利与义务。</w:t>
      </w:r>
    </w:p>
    <w:p>
      <w:pPr>
        <w:spacing w:line="480" w:lineRule="exact"/>
        <w:ind w:firstLine="480" w:firstLineChars="200"/>
        <w:rPr>
          <w:rFonts w:hint="eastAsia" w:ascii="宋体" w:hAnsi="宋体"/>
          <w:sz w:val="24"/>
        </w:rPr>
      </w:pPr>
      <w:r>
        <w:rPr>
          <w:rFonts w:hint="eastAsia" w:ascii="宋体" w:hAnsi="宋体"/>
          <w:sz w:val="24"/>
          <w:lang w:val="en-US" w:eastAsia="zh-CN"/>
        </w:rPr>
        <w:t>7</w:t>
      </w:r>
      <w:r>
        <w:rPr>
          <w:rFonts w:hint="eastAsia" w:ascii="宋体" w:hAnsi="宋体"/>
          <w:sz w:val="24"/>
        </w:rPr>
        <w:t>.投标文件要编制页码。</w:t>
      </w:r>
    </w:p>
    <w:p>
      <w:pPr>
        <w:pStyle w:val="12"/>
        <w:ind w:firstLine="480"/>
        <w:rPr>
          <w:rFonts w:hint="eastAsia" w:ascii="宋体" w:hAnsi="宋体"/>
          <w:sz w:val="24"/>
          <w:lang w:val="en-US" w:eastAsia="zh-CN"/>
        </w:rPr>
      </w:pPr>
      <w:r>
        <w:rPr>
          <w:rFonts w:hint="eastAsia" w:ascii="宋体" w:hAnsi="宋体"/>
          <w:sz w:val="24"/>
          <w:lang w:val="en-US" w:eastAsia="zh-CN"/>
        </w:rPr>
        <w:t>8.未按照要求提供报价文件的视为无效文件。</w:t>
      </w:r>
    </w:p>
    <w:p>
      <w:pPr>
        <w:ind w:firstLine="480"/>
        <w:rPr>
          <w:rFonts w:hint="eastAsia"/>
          <w:lang w:val="en-US" w:eastAsia="zh-CN"/>
        </w:rPr>
      </w:pPr>
    </w:p>
    <w:p>
      <w:pPr>
        <w:spacing w:line="480" w:lineRule="exact"/>
        <w:ind w:right="482" w:firstLine="602" w:firstLineChars="200"/>
        <w:outlineLvl w:val="0"/>
        <w:rPr>
          <w:rFonts w:ascii="宋体" w:hAnsi="宋体"/>
          <w:b/>
          <w:sz w:val="30"/>
          <w:szCs w:val="30"/>
        </w:rPr>
      </w:pPr>
      <w:bookmarkStart w:id="14" w:name="_Toc33050585"/>
      <w:r>
        <w:rPr>
          <w:rFonts w:hint="eastAsia" w:ascii="宋体" w:hAnsi="宋体"/>
          <w:b/>
          <w:sz w:val="30"/>
          <w:szCs w:val="30"/>
        </w:rPr>
        <w:t>四、</w:t>
      </w:r>
      <w:r>
        <w:rPr>
          <w:rFonts w:ascii="宋体" w:hAnsi="宋体"/>
          <w:b/>
          <w:sz w:val="30"/>
          <w:szCs w:val="30"/>
        </w:rPr>
        <w:t>报价</w:t>
      </w:r>
      <w:bookmarkEnd w:id="14"/>
    </w:p>
    <w:p>
      <w:pPr>
        <w:spacing w:line="480" w:lineRule="exact"/>
        <w:ind w:firstLine="480" w:firstLineChars="200"/>
        <w:rPr>
          <w:rFonts w:ascii="宋体" w:hAnsi="宋体"/>
          <w:sz w:val="24"/>
        </w:rPr>
      </w:pPr>
      <w:r>
        <w:rPr>
          <w:rFonts w:hint="eastAsia" w:ascii="宋体" w:hAnsi="宋体"/>
          <w:sz w:val="24"/>
        </w:rPr>
        <w:t>本项目最低报价为：人民币</w:t>
      </w:r>
      <w:r>
        <w:rPr>
          <w:rFonts w:hint="eastAsia" w:ascii="宋体" w:hAnsi="宋体"/>
          <w:sz w:val="24"/>
          <w:u w:val="single"/>
        </w:rPr>
        <w:t xml:space="preserve"> </w:t>
      </w:r>
      <w:r>
        <w:rPr>
          <w:rFonts w:hint="eastAsia" w:ascii="宋体" w:hAnsi="宋体"/>
          <w:sz w:val="24"/>
          <w:u w:val="single"/>
          <w:lang w:val="en-US" w:eastAsia="zh-CN"/>
        </w:rPr>
        <w:t>6</w:t>
      </w:r>
      <w:r>
        <w:rPr>
          <w:rFonts w:hint="eastAsia" w:ascii="宋体" w:hAnsi="宋体"/>
          <w:sz w:val="24"/>
        </w:rPr>
        <w:t>元/㎡/月，总面积</w:t>
      </w:r>
      <w:r>
        <w:rPr>
          <w:rFonts w:hint="eastAsia" w:ascii="宋体" w:hAnsi="宋体"/>
          <w:sz w:val="24"/>
          <w:u w:val="single"/>
          <w:lang w:val="en-US" w:eastAsia="zh-CN"/>
        </w:rPr>
        <w:t>4600</w:t>
      </w:r>
      <w:r>
        <w:rPr>
          <w:rFonts w:hint="eastAsia" w:ascii="宋体" w:hAnsi="宋体"/>
          <w:sz w:val="24"/>
          <w:u w:val="none"/>
        </w:rPr>
        <w:t>㎡</w:t>
      </w:r>
      <w:r>
        <w:rPr>
          <w:rFonts w:hint="eastAsia" w:ascii="宋体" w:hAnsi="宋体"/>
          <w:sz w:val="24"/>
        </w:rPr>
        <w:t>。</w:t>
      </w:r>
    </w:p>
    <w:p>
      <w:pPr>
        <w:spacing w:line="480" w:lineRule="exact"/>
        <w:ind w:firstLine="0" w:firstLineChars="0"/>
        <w:rPr>
          <w:rFonts w:hint="eastAsia" w:ascii="宋体" w:hAnsi="宋体"/>
          <w:sz w:val="24"/>
        </w:rPr>
      </w:pPr>
      <w:r>
        <w:rPr>
          <w:rFonts w:hint="eastAsia" w:ascii="宋体" w:hAnsi="宋体"/>
          <w:sz w:val="24"/>
        </w:rPr>
        <w:t>注：</w:t>
      </w:r>
      <w:r>
        <w:rPr>
          <w:rFonts w:hint="eastAsia" w:ascii="宋体" w:hAnsi="宋体"/>
          <w:sz w:val="24"/>
          <w:lang w:val="en-US" w:eastAsia="zh-CN"/>
        </w:rPr>
        <w:t>1.</w:t>
      </w:r>
      <w:r>
        <w:rPr>
          <w:rFonts w:hint="eastAsia" w:ascii="宋体" w:hAnsi="宋体"/>
          <w:sz w:val="24"/>
        </w:rPr>
        <w:t>比选申请人的竞标报价均不得低于比选人公布的相应最低报价，否则作无效竞标处理。</w:t>
      </w:r>
    </w:p>
    <w:p>
      <w:pPr>
        <w:pStyle w:val="12"/>
        <w:rPr>
          <w:rFonts w:hint="default" w:eastAsia="宋体"/>
          <w:lang w:val="en-US" w:eastAsia="zh-CN"/>
        </w:rPr>
      </w:pPr>
      <w:r>
        <w:rPr>
          <w:rFonts w:hint="eastAsia" w:ascii="宋体" w:hAnsi="宋体"/>
          <w:sz w:val="24"/>
          <w:lang w:val="en-US" w:eastAsia="zh-CN"/>
        </w:rPr>
        <w:t xml:space="preserve">    2.联合体投标时，两个意向单位或个人可分别报意向竞标的左侧或右侧仓库报价（左右仓库所报单价必须一致），但最终按联合体所报总价作为竞标价。</w:t>
      </w:r>
    </w:p>
    <w:p>
      <w:pPr>
        <w:spacing w:line="480" w:lineRule="exact"/>
        <w:ind w:right="482" w:firstLine="602" w:firstLineChars="200"/>
        <w:outlineLvl w:val="0"/>
        <w:rPr>
          <w:rFonts w:hint="eastAsia" w:ascii="宋体" w:hAnsi="宋体"/>
          <w:b/>
          <w:sz w:val="30"/>
          <w:szCs w:val="30"/>
        </w:rPr>
      </w:pPr>
      <w:bookmarkStart w:id="15" w:name="_Toc33050587"/>
      <w:r>
        <w:rPr>
          <w:rFonts w:hint="eastAsia" w:ascii="宋体" w:hAnsi="宋体"/>
          <w:b/>
          <w:sz w:val="30"/>
          <w:szCs w:val="30"/>
        </w:rPr>
        <w:t>五、评审</w:t>
      </w:r>
      <w:bookmarkEnd w:id="15"/>
      <w:r>
        <w:rPr>
          <w:rFonts w:hint="eastAsia" w:ascii="宋体" w:hAnsi="宋体"/>
          <w:b/>
          <w:sz w:val="30"/>
          <w:szCs w:val="30"/>
        </w:rPr>
        <w:t>办法</w:t>
      </w:r>
    </w:p>
    <w:p>
      <w:pPr>
        <w:spacing w:line="480" w:lineRule="exact"/>
        <w:ind w:firstLine="480" w:firstLineChars="200"/>
        <w:rPr>
          <w:rFonts w:hint="eastAsia" w:ascii="宋体" w:hAnsi="宋体"/>
          <w:sz w:val="24"/>
        </w:rPr>
      </w:pPr>
      <w:r>
        <w:rPr>
          <w:rFonts w:hint="eastAsia" w:ascii="宋体" w:hAnsi="宋体"/>
          <w:sz w:val="24"/>
        </w:rPr>
        <w:t>1.评审原则</w:t>
      </w:r>
    </w:p>
    <w:p>
      <w:pPr>
        <w:spacing w:line="480" w:lineRule="exact"/>
        <w:ind w:firstLine="480" w:firstLineChars="200"/>
        <w:rPr>
          <w:rFonts w:hint="eastAsia" w:ascii="宋体" w:hAnsi="宋体"/>
          <w:sz w:val="24"/>
        </w:rPr>
      </w:pPr>
      <w:r>
        <w:rPr>
          <w:rFonts w:hint="eastAsia" w:ascii="宋体" w:hAnsi="宋体"/>
          <w:sz w:val="24"/>
        </w:rPr>
        <w:t>评审活动遵循公平、公正、科学、择优的原则。</w:t>
      </w:r>
    </w:p>
    <w:p>
      <w:pPr>
        <w:spacing w:line="480" w:lineRule="exact"/>
        <w:ind w:firstLine="480" w:firstLineChars="200"/>
        <w:rPr>
          <w:rFonts w:hint="eastAsia" w:ascii="宋体" w:hAnsi="宋体"/>
          <w:sz w:val="24"/>
        </w:rPr>
      </w:pPr>
      <w:r>
        <w:rPr>
          <w:rFonts w:hint="eastAsia" w:ascii="宋体" w:hAnsi="宋体"/>
          <w:sz w:val="24"/>
        </w:rPr>
        <w:t xml:space="preserve">2.评审办法  </w:t>
      </w:r>
    </w:p>
    <w:p>
      <w:pPr>
        <w:spacing w:line="480" w:lineRule="exact"/>
        <w:ind w:firstLine="480" w:firstLineChars="200"/>
        <w:rPr>
          <w:rFonts w:ascii="宋体" w:hAnsi="宋体"/>
          <w:color w:val="000000"/>
          <w:sz w:val="24"/>
        </w:rPr>
      </w:pPr>
      <w:r>
        <w:rPr>
          <w:rFonts w:hint="eastAsia" w:ascii="宋体" w:hAnsi="宋体"/>
          <w:color w:val="000000"/>
          <w:sz w:val="24"/>
        </w:rPr>
        <w:t>本次竞争性比选采用最高价中标法，即评审委员会对满足比选文件实质性要求的竞争性比选申请文件，按照本节规定的评审标准进行比选，并按投标价由高到低顺序推荐1～3名中标候选人。当出现投标价相等的情况时，现场进行二次报价，以报价</w:t>
      </w:r>
      <w:r>
        <w:rPr>
          <w:rFonts w:hint="eastAsia" w:ascii="宋体" w:hAnsi="宋体"/>
          <w:color w:val="000000"/>
          <w:sz w:val="24"/>
          <w:lang w:val="en-US" w:eastAsia="zh-CN"/>
        </w:rPr>
        <w:t>最</w:t>
      </w:r>
      <w:r>
        <w:rPr>
          <w:rFonts w:hint="eastAsia" w:ascii="宋体" w:hAnsi="宋体"/>
          <w:color w:val="000000"/>
          <w:sz w:val="24"/>
        </w:rPr>
        <w:t>高者作</w:t>
      </w:r>
      <w:bookmarkStart w:id="17" w:name="_GoBack"/>
      <w:r>
        <w:rPr>
          <w:rFonts w:hint="eastAsia" w:ascii="宋体" w:hAnsi="宋体"/>
          <w:color w:val="000000"/>
          <w:sz w:val="24"/>
        </w:rPr>
        <w:t>为中标人。</w:t>
      </w:r>
      <w:r>
        <w:rPr>
          <w:rFonts w:hint="eastAsia" w:ascii="宋体" w:hAnsi="宋体"/>
          <w:color w:val="000000"/>
          <w:sz w:val="24"/>
          <w:lang w:val="en-US" w:eastAsia="zh-CN"/>
        </w:rPr>
        <w:t>如本次公开挂网招租再次流标或经公开招租只产生一个符合条件的意向承租方且按规定公示5个工作日后无异议方的，经本单位内部集体决策，可采取协议方式租赁。</w:t>
      </w:r>
      <w:bookmarkEnd w:id="17"/>
    </w:p>
    <w:p>
      <w:pPr>
        <w:spacing w:line="480" w:lineRule="exact"/>
        <w:ind w:right="482" w:firstLine="602" w:firstLineChars="200"/>
        <w:outlineLvl w:val="0"/>
        <w:rPr>
          <w:rFonts w:hint="eastAsia" w:ascii="宋体" w:hAnsi="宋体"/>
          <w:b/>
          <w:sz w:val="30"/>
          <w:szCs w:val="30"/>
        </w:rPr>
      </w:pPr>
      <w:bookmarkStart w:id="16" w:name="_Toc33050588"/>
      <w:r>
        <w:rPr>
          <w:rFonts w:hint="eastAsia" w:ascii="宋体" w:hAnsi="宋体"/>
          <w:b/>
          <w:sz w:val="30"/>
          <w:szCs w:val="30"/>
        </w:rPr>
        <w:t>六、竞争性比选须知</w:t>
      </w:r>
    </w:p>
    <w:p>
      <w:pPr>
        <w:spacing w:line="480" w:lineRule="exact"/>
        <w:ind w:firstLine="480" w:firstLineChars="200"/>
        <w:jc w:val="left"/>
        <w:outlineLvl w:val="2"/>
        <w:rPr>
          <w:rFonts w:hint="eastAsia" w:ascii="宋体" w:hAnsi="宋体" w:cs="宋体"/>
          <w:sz w:val="24"/>
          <w:szCs w:val="24"/>
          <w:lang w:eastAsia="zh-CN"/>
        </w:rPr>
      </w:pPr>
      <w:r>
        <w:rPr>
          <w:rFonts w:hint="eastAsia" w:ascii="宋体" w:hAnsi="宋体" w:cs="宋体"/>
          <w:sz w:val="24"/>
          <w:szCs w:val="24"/>
        </w:rPr>
        <w:t>（一）竞争性比选文件获取方式：凡</w:t>
      </w:r>
      <w:r>
        <w:rPr>
          <w:rFonts w:hint="eastAsia" w:ascii="宋体" w:hAnsi="宋体" w:cs="宋体"/>
          <w:sz w:val="24"/>
          <w:szCs w:val="24"/>
          <w:lang w:val="en-US" w:eastAsia="zh-CN"/>
        </w:rPr>
        <w:t>有意</w:t>
      </w:r>
      <w:r>
        <w:rPr>
          <w:rFonts w:hint="eastAsia" w:ascii="宋体" w:hAnsi="宋体" w:cs="宋体"/>
          <w:sz w:val="24"/>
          <w:szCs w:val="24"/>
        </w:rPr>
        <w:t>参加的潜在竞标人，</w:t>
      </w:r>
      <w:r>
        <w:rPr>
          <w:rFonts w:hint="eastAsia" w:ascii="宋体" w:hAnsi="宋体" w:cs="宋体"/>
          <w:sz w:val="24"/>
          <w:szCs w:val="24"/>
          <w:lang w:val="en-US" w:eastAsia="zh-CN"/>
        </w:rPr>
        <w:t>可于挂网之日</w:t>
      </w:r>
      <w:r>
        <w:rPr>
          <w:rFonts w:hint="eastAsia" w:ascii="宋体" w:hAnsi="宋体" w:cs="宋体"/>
          <w:sz w:val="24"/>
          <w:szCs w:val="24"/>
        </w:rPr>
        <w:t>起至竞争性比选响应文件递交截止时间</w:t>
      </w:r>
      <w:r>
        <w:rPr>
          <w:rFonts w:hint="eastAsia" w:ascii="宋体" w:hAnsi="宋体" w:cs="宋体"/>
          <w:sz w:val="24"/>
          <w:szCs w:val="24"/>
          <w:lang w:val="en-US" w:eastAsia="zh-CN"/>
        </w:rPr>
        <w:t>前通过以下方式获取比选文件</w:t>
      </w:r>
      <w:r>
        <w:rPr>
          <w:rFonts w:hint="eastAsia" w:ascii="宋体" w:hAnsi="宋体" w:cs="宋体"/>
          <w:sz w:val="24"/>
          <w:szCs w:val="24"/>
          <w:lang w:eastAsia="zh-CN"/>
        </w:rPr>
        <w:t>：</w:t>
      </w:r>
    </w:p>
    <w:p>
      <w:pPr>
        <w:spacing w:line="480" w:lineRule="exact"/>
        <w:ind w:firstLine="480" w:firstLineChars="200"/>
        <w:jc w:val="left"/>
        <w:outlineLvl w:val="2"/>
        <w:rPr>
          <w:rFonts w:hint="eastAsia" w:ascii="宋体" w:hAnsi="宋体" w:cs="宋体"/>
          <w:sz w:val="24"/>
          <w:szCs w:val="24"/>
        </w:rPr>
      </w:pPr>
      <w:r>
        <w:rPr>
          <w:rFonts w:hint="eastAsia" w:ascii="宋体" w:hAnsi="宋体" w:cs="宋体"/>
          <w:sz w:val="24"/>
          <w:szCs w:val="24"/>
          <w:lang w:val="en-US" w:eastAsia="zh-CN"/>
        </w:rPr>
        <w:t>1.重庆高速公路集团有限公司官网</w:t>
      </w:r>
      <w:r>
        <w:rPr>
          <w:rFonts w:hint="eastAsia" w:ascii="宋体" w:hAnsi="宋体" w:cs="宋体"/>
          <w:sz w:val="24"/>
          <w:szCs w:val="24"/>
        </w:rPr>
        <w:t>（http://www.cegc.com.cn/gw/newsInfoMenu.html?id=42&amp;key=2）</w:t>
      </w:r>
    </w:p>
    <w:p>
      <w:pPr>
        <w:spacing w:line="480" w:lineRule="exact"/>
        <w:ind w:firstLine="480" w:firstLineChars="200"/>
        <w:jc w:val="left"/>
        <w:outlineLvl w:val="2"/>
        <w:rPr>
          <w:rFonts w:hint="eastAsia"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重庆高速公路集团有限公司招投标管理平台（http://43.240.249.108:8088/PMS/）</w:t>
      </w:r>
    </w:p>
    <w:p>
      <w:pPr>
        <w:spacing w:line="480" w:lineRule="exact"/>
        <w:ind w:firstLine="480" w:firstLineChars="200"/>
        <w:jc w:val="left"/>
        <w:outlineLvl w:val="2"/>
        <w:rPr>
          <w:rFonts w:hint="eastAsia" w:ascii="宋体" w:hAnsi="宋体" w:cs="宋体"/>
          <w:sz w:val="24"/>
          <w:szCs w:val="24"/>
        </w:rPr>
      </w:pPr>
      <w:r>
        <w:rPr>
          <w:rFonts w:hint="eastAsia" w:ascii="宋体" w:hAnsi="宋体" w:cs="宋体"/>
          <w:sz w:val="24"/>
          <w:szCs w:val="24"/>
          <w:lang w:val="en-US" w:eastAsia="zh-CN"/>
        </w:rPr>
        <w:t>本项目不存在报名，</w:t>
      </w:r>
      <w:r>
        <w:rPr>
          <w:rFonts w:hint="eastAsia" w:ascii="宋体" w:hAnsi="宋体" w:cs="宋体"/>
          <w:sz w:val="24"/>
          <w:szCs w:val="24"/>
        </w:rPr>
        <w:t>不管申请人是否下载</w:t>
      </w:r>
      <w:r>
        <w:rPr>
          <w:rFonts w:hint="eastAsia" w:ascii="宋体" w:hAnsi="宋体" w:cs="宋体"/>
          <w:sz w:val="24"/>
          <w:szCs w:val="24"/>
          <w:lang w:val="en-US" w:eastAsia="zh-CN"/>
        </w:rPr>
        <w:t>比选文件</w:t>
      </w:r>
      <w:r>
        <w:rPr>
          <w:rFonts w:hint="eastAsia" w:ascii="宋体" w:hAnsi="宋体" w:cs="宋体"/>
          <w:sz w:val="24"/>
          <w:szCs w:val="24"/>
        </w:rPr>
        <w:t>，</w:t>
      </w:r>
      <w:r>
        <w:rPr>
          <w:rFonts w:hint="eastAsia" w:ascii="宋体" w:hAnsi="宋体" w:cs="宋体"/>
          <w:sz w:val="24"/>
          <w:szCs w:val="24"/>
          <w:lang w:val="en-US" w:eastAsia="zh-CN"/>
        </w:rPr>
        <w:t>收到报价文件</w:t>
      </w:r>
      <w:r>
        <w:rPr>
          <w:rFonts w:hint="eastAsia" w:ascii="宋体" w:hAnsi="宋体" w:cs="宋体"/>
          <w:sz w:val="24"/>
          <w:szCs w:val="24"/>
        </w:rPr>
        <w:t>均视为已知晓</w:t>
      </w:r>
      <w:r>
        <w:rPr>
          <w:rFonts w:hint="eastAsia" w:ascii="宋体" w:hAnsi="宋体" w:cs="宋体"/>
          <w:sz w:val="24"/>
          <w:szCs w:val="24"/>
          <w:lang w:val="en-US" w:eastAsia="zh-CN"/>
        </w:rPr>
        <w:t>并同意此次</w:t>
      </w:r>
      <w:r>
        <w:rPr>
          <w:rFonts w:hint="eastAsia" w:ascii="宋体" w:hAnsi="宋体" w:cs="宋体"/>
          <w:sz w:val="24"/>
          <w:szCs w:val="24"/>
        </w:rPr>
        <w:t>竞争性比选文件的全部内</w:t>
      </w:r>
      <w:r>
        <w:rPr>
          <w:rFonts w:hint="eastAsia" w:ascii="宋体" w:hAnsi="宋体" w:cs="宋体"/>
          <w:color w:val="auto"/>
          <w:sz w:val="24"/>
          <w:szCs w:val="24"/>
        </w:rPr>
        <w:t>容</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含租赁协议，详见附件2</w:t>
      </w:r>
      <w:r>
        <w:rPr>
          <w:rFonts w:hint="eastAsia" w:ascii="宋体" w:hAnsi="宋体" w:cs="宋体"/>
          <w:color w:val="auto"/>
          <w:sz w:val="24"/>
          <w:szCs w:val="24"/>
          <w:lang w:eastAsia="zh-CN"/>
        </w:rPr>
        <w:t>）</w:t>
      </w:r>
      <w:r>
        <w:rPr>
          <w:rFonts w:hint="eastAsia" w:ascii="宋体" w:hAnsi="宋体" w:cs="宋体"/>
          <w:color w:val="auto"/>
          <w:sz w:val="24"/>
          <w:szCs w:val="24"/>
        </w:rPr>
        <w:t>。</w:t>
      </w:r>
    </w:p>
    <w:p>
      <w:pPr>
        <w:numPr>
          <w:ilvl w:val="0"/>
          <w:numId w:val="2"/>
        </w:numPr>
        <w:spacing w:line="480" w:lineRule="exact"/>
        <w:ind w:firstLine="480" w:firstLineChars="200"/>
        <w:jc w:val="left"/>
        <w:outlineLvl w:val="2"/>
        <w:rPr>
          <w:rFonts w:hint="eastAsia" w:ascii="宋体" w:hAnsi="宋体" w:cs="宋体"/>
          <w:sz w:val="24"/>
          <w:szCs w:val="24"/>
        </w:rPr>
      </w:pPr>
      <w:r>
        <w:rPr>
          <w:rFonts w:hint="eastAsia" w:ascii="宋体" w:hAnsi="宋体" w:cs="宋体"/>
          <w:sz w:val="24"/>
          <w:szCs w:val="24"/>
        </w:rPr>
        <w:t>竞争性比选公告及结果公示</w:t>
      </w:r>
      <w:r>
        <w:rPr>
          <w:rFonts w:hint="eastAsia" w:ascii="宋体" w:hAnsi="宋体" w:cs="宋体"/>
          <w:sz w:val="24"/>
          <w:szCs w:val="24"/>
          <w:lang w:eastAsia="zh-CN"/>
        </w:rPr>
        <w:t>（</w:t>
      </w:r>
      <w:r>
        <w:rPr>
          <w:rFonts w:hint="eastAsia" w:ascii="宋体" w:hAnsi="宋体" w:cs="宋体"/>
          <w:color w:val="auto"/>
          <w:sz w:val="24"/>
          <w:szCs w:val="24"/>
          <w:lang w:val="en-US" w:eastAsia="zh-CN"/>
        </w:rPr>
        <w:t>3个工作日后查询</w:t>
      </w:r>
      <w:r>
        <w:rPr>
          <w:rFonts w:hint="eastAsia" w:ascii="宋体" w:hAnsi="宋体" w:cs="宋体"/>
          <w:sz w:val="24"/>
          <w:szCs w:val="24"/>
          <w:lang w:eastAsia="zh-CN"/>
        </w:rPr>
        <w:t>）</w:t>
      </w:r>
    </w:p>
    <w:p>
      <w:pPr>
        <w:numPr>
          <w:ilvl w:val="0"/>
          <w:numId w:val="0"/>
        </w:numPr>
        <w:spacing w:line="480" w:lineRule="exact"/>
        <w:ind w:firstLine="480" w:firstLineChars="0"/>
        <w:jc w:val="left"/>
        <w:outlineLvl w:val="2"/>
        <w:rPr>
          <w:rFonts w:hint="eastAsia" w:ascii="宋体" w:hAnsi="宋体" w:cs="宋体"/>
          <w:sz w:val="24"/>
          <w:szCs w:val="24"/>
        </w:rPr>
      </w:pPr>
      <w:r>
        <w:rPr>
          <w:rFonts w:hint="eastAsia" w:ascii="宋体" w:hAnsi="宋体" w:cs="宋体"/>
          <w:sz w:val="24"/>
          <w:szCs w:val="24"/>
          <w:lang w:val="en-US" w:eastAsia="zh-CN"/>
        </w:rPr>
        <w:t>1.</w:t>
      </w:r>
      <w:r>
        <w:rPr>
          <w:rFonts w:hint="eastAsia" w:ascii="宋体" w:hAnsi="宋体" w:cs="宋体"/>
          <w:sz w:val="24"/>
          <w:szCs w:val="24"/>
        </w:rPr>
        <w:t>重庆高速</w:t>
      </w:r>
      <w:r>
        <w:rPr>
          <w:rFonts w:hint="eastAsia" w:ascii="宋体" w:hAnsi="宋体" w:cs="宋体"/>
          <w:sz w:val="24"/>
          <w:szCs w:val="24"/>
          <w:lang w:val="en-US" w:eastAsia="zh-CN"/>
        </w:rPr>
        <w:t>公路</w:t>
      </w:r>
      <w:r>
        <w:rPr>
          <w:rFonts w:hint="eastAsia" w:ascii="宋体" w:hAnsi="宋体" w:cs="宋体"/>
          <w:sz w:val="24"/>
          <w:szCs w:val="24"/>
        </w:rPr>
        <w:t>集团</w:t>
      </w:r>
      <w:r>
        <w:rPr>
          <w:rFonts w:hint="eastAsia" w:ascii="宋体" w:hAnsi="宋体" w:cs="宋体"/>
          <w:sz w:val="24"/>
          <w:szCs w:val="24"/>
          <w:lang w:val="en-US" w:eastAsia="zh-CN"/>
        </w:rPr>
        <w:t>有限公司</w:t>
      </w:r>
      <w:r>
        <w:rPr>
          <w:rFonts w:hint="eastAsia" w:ascii="宋体" w:hAnsi="宋体" w:cs="宋体"/>
          <w:sz w:val="24"/>
          <w:szCs w:val="24"/>
        </w:rPr>
        <w:t>官网（http://www.cegc.com.cn/gw/newsInfoMenu.html?id=42&amp;key=2）</w:t>
      </w:r>
    </w:p>
    <w:p>
      <w:pPr>
        <w:numPr>
          <w:ilvl w:val="0"/>
          <w:numId w:val="0"/>
        </w:numPr>
        <w:spacing w:line="480" w:lineRule="exact"/>
        <w:ind w:firstLine="480" w:firstLineChars="0"/>
        <w:jc w:val="left"/>
        <w:outlineLvl w:val="2"/>
        <w:rPr>
          <w:rFonts w:hint="eastAsia"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重庆高速公路集团有限公司招投标管理平台（http://43.240.249.108:8088/PMS/）</w:t>
      </w:r>
    </w:p>
    <w:p>
      <w:pPr>
        <w:spacing w:line="480" w:lineRule="exact"/>
        <w:ind w:firstLine="480" w:firstLineChars="200"/>
        <w:jc w:val="left"/>
        <w:outlineLvl w:val="2"/>
        <w:rPr>
          <w:rFonts w:hint="default" w:ascii="宋体" w:hAnsi="宋体" w:eastAsia="宋体" w:cs="宋体"/>
          <w:sz w:val="24"/>
          <w:szCs w:val="24"/>
          <w:lang w:val="en-US" w:eastAsia="zh-CN"/>
        </w:rPr>
      </w:pPr>
      <w:r>
        <w:rPr>
          <w:rFonts w:hint="eastAsia" w:ascii="宋体" w:hAnsi="宋体" w:cs="宋体"/>
          <w:sz w:val="24"/>
          <w:szCs w:val="24"/>
        </w:rPr>
        <w:t>（三）竞争性比选响应文件递交地点：重庆市</w:t>
      </w:r>
      <w:r>
        <w:rPr>
          <w:rFonts w:hint="eastAsia" w:ascii="宋体" w:hAnsi="宋体" w:eastAsia="宋体" w:cs="宋体"/>
          <w:i w:val="0"/>
          <w:iCs w:val="0"/>
          <w:caps w:val="0"/>
          <w:color w:val="auto"/>
          <w:spacing w:val="0"/>
          <w:sz w:val="24"/>
          <w:szCs w:val="24"/>
          <w:shd w:val="clear" w:color="auto" w:fill="auto"/>
        </w:rPr>
        <w:t>渝北区</w:t>
      </w:r>
      <w:r>
        <w:rPr>
          <w:rFonts w:hint="eastAsia" w:ascii="宋体" w:hAnsi="宋体" w:eastAsia="宋体" w:cs="宋体"/>
          <w:i w:val="0"/>
          <w:iCs w:val="0"/>
          <w:caps w:val="0"/>
          <w:color w:val="auto"/>
          <w:spacing w:val="0"/>
          <w:sz w:val="24"/>
          <w:szCs w:val="24"/>
          <w:shd w:val="clear" w:color="auto" w:fill="auto"/>
          <w:lang w:val="en-US" w:eastAsia="zh-CN"/>
        </w:rPr>
        <w:t>海王星科技大厦D区五楼</w:t>
      </w:r>
      <w:r>
        <w:rPr>
          <w:rFonts w:hint="eastAsia" w:ascii="宋体" w:hAnsi="宋体" w:cs="宋体"/>
          <w:sz w:val="24"/>
          <w:szCs w:val="24"/>
          <w:lang w:val="en-US" w:eastAsia="zh-CN"/>
        </w:rPr>
        <w:t>高速管家（重庆）实业有限公司办公室。</w:t>
      </w:r>
    </w:p>
    <w:p>
      <w:pPr>
        <w:spacing w:line="480" w:lineRule="exact"/>
        <w:ind w:left="0" w:leftChars="0" w:firstLine="480" w:firstLineChars="200"/>
        <w:jc w:val="left"/>
        <w:outlineLvl w:val="2"/>
        <w:rPr>
          <w:rFonts w:hint="eastAsia" w:ascii="宋体" w:hAnsi="宋体" w:cs="宋体"/>
          <w:sz w:val="24"/>
          <w:szCs w:val="24"/>
        </w:rPr>
      </w:pPr>
      <w:r>
        <w:rPr>
          <w:rFonts w:hint="eastAsia" w:ascii="宋体" w:hAnsi="宋体" w:cs="宋体"/>
          <w:sz w:val="24"/>
          <w:szCs w:val="24"/>
        </w:rPr>
        <w:t>（四）竞争性比选响应文件递交截止时间：</w:t>
      </w:r>
      <w:r>
        <w:rPr>
          <w:rFonts w:hint="eastAsia" w:ascii="宋体" w:hAnsi="宋体" w:cs="宋体"/>
          <w:sz w:val="24"/>
          <w:szCs w:val="24"/>
          <w:u w:val="single"/>
        </w:rPr>
        <w:t>202</w:t>
      </w:r>
      <w:r>
        <w:rPr>
          <w:rFonts w:hint="eastAsia" w:ascii="宋体" w:hAnsi="宋体" w:cs="宋体"/>
          <w:sz w:val="24"/>
          <w:szCs w:val="24"/>
          <w:u w:val="single"/>
          <w:lang w:val="en-US" w:eastAsia="zh-CN"/>
        </w:rPr>
        <w:t>3</w:t>
      </w:r>
      <w:r>
        <w:rPr>
          <w:rFonts w:hint="eastAsia" w:ascii="宋体" w:hAnsi="宋体" w:cs="宋体"/>
          <w:sz w:val="24"/>
          <w:szCs w:val="24"/>
        </w:rPr>
        <w:t>年</w:t>
      </w:r>
      <w:r>
        <w:rPr>
          <w:rFonts w:hint="eastAsia" w:ascii="宋体" w:hAnsi="宋体" w:cs="宋体"/>
          <w:sz w:val="24"/>
          <w:szCs w:val="24"/>
          <w:u w:val="single"/>
          <w:lang w:val="en-US" w:eastAsia="zh-CN"/>
        </w:rPr>
        <w:t>5</w:t>
      </w:r>
      <w:r>
        <w:rPr>
          <w:rFonts w:hint="eastAsia" w:ascii="宋体" w:hAnsi="宋体" w:cs="宋体"/>
          <w:sz w:val="24"/>
          <w:szCs w:val="24"/>
        </w:rPr>
        <w:t>月</w:t>
      </w:r>
      <w:r>
        <w:rPr>
          <w:rFonts w:hint="eastAsia" w:ascii="宋体" w:hAnsi="宋体" w:cs="宋体"/>
          <w:sz w:val="24"/>
          <w:szCs w:val="24"/>
          <w:u w:val="single"/>
          <w:lang w:val="en-US" w:eastAsia="zh-CN"/>
        </w:rPr>
        <w:t>26</w:t>
      </w:r>
      <w:r>
        <w:rPr>
          <w:rFonts w:hint="eastAsia" w:ascii="宋体" w:hAnsi="宋体" w:cs="宋体"/>
          <w:sz w:val="24"/>
          <w:szCs w:val="24"/>
        </w:rPr>
        <w:t>日下午</w:t>
      </w:r>
      <w:r>
        <w:rPr>
          <w:rFonts w:hint="eastAsia" w:ascii="宋体" w:hAnsi="宋体" w:cs="宋体"/>
          <w:sz w:val="24"/>
          <w:szCs w:val="24"/>
          <w:u w:val="single"/>
          <w:lang w:val="en-US" w:eastAsia="zh-CN"/>
        </w:rPr>
        <w:t>15</w:t>
      </w:r>
      <w:r>
        <w:rPr>
          <w:rFonts w:hint="eastAsia" w:ascii="宋体" w:hAnsi="宋体" w:cs="宋体"/>
          <w:sz w:val="24"/>
          <w:szCs w:val="24"/>
        </w:rPr>
        <w:t>时</w:t>
      </w:r>
      <w:r>
        <w:rPr>
          <w:rFonts w:hint="eastAsia" w:ascii="宋体" w:hAnsi="宋体" w:cs="宋体"/>
          <w:sz w:val="24"/>
          <w:szCs w:val="24"/>
          <w:lang w:val="en-US" w:eastAsia="zh-CN"/>
        </w:rPr>
        <w:t>整</w:t>
      </w:r>
      <w:r>
        <w:rPr>
          <w:rFonts w:hint="eastAsia" w:ascii="宋体" w:hAnsi="宋体" w:cs="宋体"/>
          <w:sz w:val="24"/>
          <w:szCs w:val="24"/>
          <w:lang w:eastAsia="zh-CN"/>
        </w:rPr>
        <w:t>（</w:t>
      </w:r>
      <w:r>
        <w:rPr>
          <w:rFonts w:hint="eastAsia" w:ascii="宋体" w:hAnsi="宋体" w:cs="宋体"/>
          <w:sz w:val="24"/>
          <w:szCs w:val="24"/>
          <w:lang w:val="en-US" w:eastAsia="zh-CN"/>
        </w:rPr>
        <w:t>北京时间</w:t>
      </w:r>
      <w:r>
        <w:rPr>
          <w:rFonts w:hint="eastAsia" w:ascii="宋体" w:hAnsi="宋体" w:cs="宋体"/>
          <w:sz w:val="24"/>
          <w:szCs w:val="24"/>
          <w:lang w:eastAsia="zh-CN"/>
        </w:rPr>
        <w:t>）</w:t>
      </w:r>
      <w:r>
        <w:rPr>
          <w:rFonts w:hint="eastAsia" w:ascii="宋体" w:hAnsi="宋体" w:cs="宋体"/>
          <w:sz w:val="24"/>
          <w:szCs w:val="24"/>
        </w:rPr>
        <w:t>。</w:t>
      </w:r>
    </w:p>
    <w:p>
      <w:pPr>
        <w:spacing w:line="480" w:lineRule="exact"/>
        <w:ind w:firstLine="480" w:firstLineChars="200"/>
        <w:jc w:val="left"/>
        <w:outlineLvl w:val="2"/>
        <w:rPr>
          <w:rFonts w:hint="eastAsia" w:ascii="宋体" w:hAnsi="宋体" w:cs="宋体"/>
          <w:sz w:val="24"/>
          <w:szCs w:val="24"/>
        </w:rPr>
      </w:pPr>
      <w:r>
        <w:rPr>
          <w:rFonts w:hint="eastAsia" w:ascii="宋体" w:hAnsi="宋体" w:cs="宋体"/>
          <w:sz w:val="24"/>
          <w:szCs w:val="24"/>
        </w:rPr>
        <w:t>（五）各比选申请人应根据本次竞争性比选的具体要求，编制规范的竞争性比选响应文件（竞争性比选响应文件，要求填写规范，密封完好并在封口处加盖公章，所有竞争性比选响应文件均只能作一次性提交，提交后不得更改）。</w:t>
      </w:r>
    </w:p>
    <w:p>
      <w:pPr>
        <w:widowControl/>
        <w:spacing w:line="480" w:lineRule="exact"/>
        <w:ind w:right="482" w:firstLine="602" w:firstLineChars="200"/>
        <w:jc w:val="left"/>
        <w:outlineLvl w:val="0"/>
        <w:rPr>
          <w:rFonts w:hint="eastAsia" w:ascii="宋体" w:hAnsi="宋体" w:cs="宋体"/>
          <w:szCs w:val="21"/>
        </w:rPr>
      </w:pPr>
      <w:r>
        <w:rPr>
          <w:rFonts w:hint="eastAsia" w:ascii="宋体" w:hAnsi="宋体"/>
          <w:b/>
          <w:sz w:val="30"/>
          <w:szCs w:val="30"/>
          <w:lang w:val="en-US" w:eastAsia="zh-CN" w:bidi="ar"/>
        </w:rPr>
        <w:t>七</w:t>
      </w:r>
      <w:r>
        <w:rPr>
          <w:rFonts w:hint="eastAsia" w:ascii="宋体" w:hAnsi="宋体"/>
          <w:b/>
          <w:sz w:val="30"/>
          <w:szCs w:val="30"/>
          <w:lang w:bidi="ar"/>
        </w:rPr>
        <w:t>、联系方式</w:t>
      </w:r>
    </w:p>
    <w:p>
      <w:pPr>
        <w:spacing w:line="480" w:lineRule="exact"/>
        <w:ind w:firstLine="480" w:firstLineChars="200"/>
        <w:jc w:val="left"/>
        <w:outlineLvl w:val="2"/>
        <w:rPr>
          <w:rFonts w:hint="default" w:ascii="宋体" w:hAnsi="宋体" w:eastAsia="宋体" w:cs="宋体"/>
          <w:sz w:val="24"/>
          <w:szCs w:val="24"/>
          <w:lang w:val="en-US" w:eastAsia="zh-CN"/>
        </w:rPr>
      </w:pPr>
      <w:r>
        <w:rPr>
          <w:rFonts w:hint="eastAsia" w:ascii="宋体" w:hAnsi="宋体" w:cs="宋体"/>
          <w:sz w:val="24"/>
          <w:szCs w:val="24"/>
        </w:rPr>
        <w:t>地址：重庆市</w:t>
      </w:r>
      <w:r>
        <w:rPr>
          <w:rFonts w:hint="eastAsia" w:ascii="宋体" w:hAnsi="宋体" w:eastAsia="宋体" w:cs="宋体"/>
          <w:i w:val="0"/>
          <w:iCs w:val="0"/>
          <w:caps w:val="0"/>
          <w:spacing w:val="0"/>
          <w:sz w:val="24"/>
          <w:szCs w:val="24"/>
          <w:shd w:val="clear"/>
        </w:rPr>
        <w:t>渝北区</w:t>
      </w:r>
      <w:r>
        <w:rPr>
          <w:rFonts w:hint="eastAsia" w:ascii="宋体" w:hAnsi="宋体" w:eastAsia="宋体" w:cs="宋体"/>
          <w:i w:val="0"/>
          <w:iCs w:val="0"/>
          <w:caps w:val="0"/>
          <w:spacing w:val="0"/>
          <w:sz w:val="24"/>
          <w:szCs w:val="24"/>
          <w:shd w:val="clear"/>
          <w:lang w:val="en-US" w:eastAsia="zh-CN"/>
        </w:rPr>
        <w:t>海王星科技大厦D区五楼</w:t>
      </w:r>
      <w:r>
        <w:rPr>
          <w:rFonts w:hint="eastAsia" w:ascii="宋体" w:hAnsi="宋体" w:cs="宋体"/>
          <w:sz w:val="24"/>
          <w:szCs w:val="24"/>
          <w:lang w:val="en-US" w:eastAsia="zh-CN"/>
        </w:rPr>
        <w:t>高速管家（重庆）实业有限公司办公室</w:t>
      </w:r>
    </w:p>
    <w:p>
      <w:pPr>
        <w:spacing w:line="480" w:lineRule="exact"/>
        <w:ind w:firstLine="480" w:firstLineChars="200"/>
        <w:jc w:val="left"/>
        <w:outlineLvl w:val="2"/>
        <w:rPr>
          <w:rFonts w:ascii="宋体" w:hAnsi="宋体" w:cs="宋体"/>
          <w:sz w:val="24"/>
          <w:szCs w:val="24"/>
        </w:rPr>
      </w:pPr>
      <w:r>
        <w:rPr>
          <w:rFonts w:hint="eastAsia" w:ascii="宋体" w:hAnsi="宋体" w:cs="宋体"/>
          <w:sz w:val="24"/>
          <w:szCs w:val="24"/>
        </w:rPr>
        <w:t>联系人：</w:t>
      </w:r>
      <w:r>
        <w:rPr>
          <w:rFonts w:hint="eastAsia" w:ascii="宋体" w:hAnsi="宋体" w:cs="宋体"/>
          <w:sz w:val="24"/>
          <w:szCs w:val="24"/>
          <w:lang w:val="en-US" w:eastAsia="zh-CN"/>
        </w:rPr>
        <w:t>黎</w:t>
      </w:r>
      <w:r>
        <w:rPr>
          <w:rFonts w:hint="eastAsia" w:ascii="宋体" w:hAnsi="宋体" w:cs="宋体"/>
          <w:sz w:val="24"/>
          <w:szCs w:val="24"/>
        </w:rPr>
        <w:t>老师      电话：</w:t>
      </w:r>
      <w:r>
        <w:rPr>
          <w:rFonts w:hint="eastAsia" w:ascii="宋体" w:hAnsi="宋体" w:cs="宋体"/>
          <w:sz w:val="24"/>
          <w:szCs w:val="24"/>
          <w:lang w:val="en-US" w:eastAsia="zh-CN"/>
        </w:rPr>
        <w:t>18716325857</w:t>
      </w:r>
      <w:r>
        <w:rPr>
          <w:rFonts w:hint="eastAsia" w:ascii="宋体" w:hAnsi="宋体" w:cs="宋体"/>
          <w:sz w:val="24"/>
          <w:szCs w:val="24"/>
        </w:rPr>
        <w:t xml:space="preserve">      </w:t>
      </w:r>
    </w:p>
    <w:bookmarkEnd w:id="16"/>
    <w:p>
      <w:pPr>
        <w:pStyle w:val="2"/>
        <w:jc w:val="both"/>
        <w:rPr>
          <w:rFonts w:hint="eastAsia"/>
          <w:lang w:val="en-US" w:eastAsia="zh-CN"/>
        </w:rPr>
      </w:pPr>
    </w:p>
    <w:sectPr>
      <w:footerReference r:id="rId3" w:type="default"/>
      <w:pgSz w:w="11906" w:h="16838"/>
      <w:pgMar w:top="1440" w:right="1474"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auto"/>
    <w:pitch w:val="default"/>
    <w:sig w:usb0="E1002EFF" w:usb1="C000605B" w:usb2="00000029" w:usb3="00000000" w:csb0="200101FF" w:csb1="20280000"/>
    <w:embedRegular r:id="rId1" w:fontKey="{03894AE3-720F-4147-9646-E0B515C1FC76}"/>
  </w:font>
  <w:font w:name="方正黑体_GBK">
    <w:panose1 w:val="03000509000000000000"/>
    <w:charset w:val="86"/>
    <w:family w:val="script"/>
    <w:pitch w:val="default"/>
    <w:sig w:usb0="00000001" w:usb1="080E0000" w:usb2="00000000" w:usb3="00000000" w:csb0="00040000" w:csb1="00000000"/>
    <w:embedRegular r:id="rId2" w:fontKey="{4A302AEA-15FD-4CF2-8D3D-992346E825AC}"/>
  </w:font>
  <w:font w:name="仿宋">
    <w:panose1 w:val="02010609060101010101"/>
    <w:charset w:val="86"/>
    <w:family w:val="auto"/>
    <w:pitch w:val="default"/>
    <w:sig w:usb0="800002BF" w:usb1="38CF7CFA" w:usb2="00000016" w:usb3="00000000" w:csb0="00040001" w:csb1="00000000"/>
    <w:embedRegular r:id="rId3" w:fontKey="{22501796-8E80-46B4-B7AF-554CF8DA8E8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p>
  <w:p>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japaneseCounting"/>
      <w:lvlText w:val="%1、"/>
      <w:lvlJc w:val="left"/>
      <w:pPr>
        <w:tabs>
          <w:tab w:val="left" w:pos="1380"/>
        </w:tabs>
        <w:ind w:left="1380" w:hanging="720"/>
      </w:pPr>
      <w:rPr>
        <w:rFonts w:hint="default"/>
      </w:rPr>
    </w:lvl>
    <w:lvl w:ilvl="1" w:tentative="0">
      <w:start w:val="1"/>
      <w:numFmt w:val="lowerLetter"/>
      <w:lvlText w:val="%2)"/>
      <w:lvlJc w:val="left"/>
      <w:pPr>
        <w:tabs>
          <w:tab w:val="left" w:pos="1500"/>
        </w:tabs>
        <w:ind w:left="1500" w:hanging="420"/>
      </w:pPr>
    </w:lvl>
    <w:lvl w:ilvl="2" w:tentative="0">
      <w:start w:val="1"/>
      <w:numFmt w:val="lowerRoman"/>
      <w:lvlText w:val="%3."/>
      <w:lvlJc w:val="right"/>
      <w:pPr>
        <w:tabs>
          <w:tab w:val="left" w:pos="1920"/>
        </w:tabs>
        <w:ind w:left="1920" w:hanging="420"/>
      </w:pPr>
    </w:lvl>
    <w:lvl w:ilvl="3" w:tentative="0">
      <w:start w:val="1"/>
      <w:numFmt w:val="decimal"/>
      <w:pStyle w:val="6"/>
      <w:lvlText w:val="%4."/>
      <w:lvlJc w:val="left"/>
      <w:pPr>
        <w:tabs>
          <w:tab w:val="left" w:pos="2340"/>
        </w:tabs>
        <w:ind w:left="2613" w:hanging="420"/>
      </w:pPr>
    </w:lvl>
    <w:lvl w:ilvl="4" w:tentative="0">
      <w:start w:val="1"/>
      <w:numFmt w:val="lowerLetter"/>
      <w:lvlText w:val="%5)"/>
      <w:lvlJc w:val="left"/>
      <w:pPr>
        <w:tabs>
          <w:tab w:val="left" w:pos="2760"/>
        </w:tabs>
        <w:ind w:left="2760" w:hanging="420"/>
      </w:pPr>
    </w:lvl>
    <w:lvl w:ilvl="5" w:tentative="0">
      <w:start w:val="1"/>
      <w:numFmt w:val="lowerRoman"/>
      <w:lvlText w:val="%6."/>
      <w:lvlJc w:val="right"/>
      <w:pPr>
        <w:tabs>
          <w:tab w:val="left" w:pos="3180"/>
        </w:tabs>
        <w:ind w:left="3180" w:hanging="420"/>
      </w:pPr>
    </w:lvl>
    <w:lvl w:ilvl="6" w:tentative="0">
      <w:start w:val="1"/>
      <w:numFmt w:val="decimal"/>
      <w:lvlText w:val="%7."/>
      <w:lvlJc w:val="left"/>
      <w:pPr>
        <w:tabs>
          <w:tab w:val="left" w:pos="3600"/>
        </w:tabs>
        <w:ind w:left="3600" w:hanging="420"/>
      </w:pPr>
    </w:lvl>
    <w:lvl w:ilvl="7" w:tentative="0">
      <w:start w:val="1"/>
      <w:numFmt w:val="lowerLetter"/>
      <w:lvlText w:val="%8)"/>
      <w:lvlJc w:val="left"/>
      <w:pPr>
        <w:tabs>
          <w:tab w:val="left" w:pos="4020"/>
        </w:tabs>
        <w:ind w:left="4020" w:hanging="420"/>
      </w:pPr>
    </w:lvl>
    <w:lvl w:ilvl="8" w:tentative="0">
      <w:start w:val="1"/>
      <w:numFmt w:val="lowerRoman"/>
      <w:lvlText w:val="%9."/>
      <w:lvlJc w:val="right"/>
      <w:pPr>
        <w:tabs>
          <w:tab w:val="left" w:pos="4440"/>
        </w:tabs>
        <w:ind w:left="4440" w:hanging="420"/>
      </w:pPr>
    </w:lvl>
  </w:abstractNum>
  <w:abstractNum w:abstractNumId="1">
    <w:nsid w:val="61A59C4F"/>
    <w:multiLevelType w:val="singleLevel"/>
    <w:tmpl w:val="61A59C4F"/>
    <w:lvl w:ilvl="0" w:tentative="0">
      <w:start w:val="2"/>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2U2YTE1YzRhMTkwZTdjODBlYTZkMWE5YzM1Mjg1YjIifQ=="/>
  </w:docVars>
  <w:rsids>
    <w:rsidRoot w:val="00914F80"/>
    <w:rsid w:val="00000CF6"/>
    <w:rsid w:val="00003965"/>
    <w:rsid w:val="00005E12"/>
    <w:rsid w:val="000160F8"/>
    <w:rsid w:val="000172FD"/>
    <w:rsid w:val="0002116F"/>
    <w:rsid w:val="00024709"/>
    <w:rsid w:val="00024760"/>
    <w:rsid w:val="000314B8"/>
    <w:rsid w:val="000319D3"/>
    <w:rsid w:val="00044BA7"/>
    <w:rsid w:val="00053915"/>
    <w:rsid w:val="00054058"/>
    <w:rsid w:val="00060DC9"/>
    <w:rsid w:val="00062D12"/>
    <w:rsid w:val="00070AD4"/>
    <w:rsid w:val="000730B1"/>
    <w:rsid w:val="000822CF"/>
    <w:rsid w:val="00082F65"/>
    <w:rsid w:val="00091DF5"/>
    <w:rsid w:val="000927B0"/>
    <w:rsid w:val="00094628"/>
    <w:rsid w:val="0009682E"/>
    <w:rsid w:val="00096CDF"/>
    <w:rsid w:val="000A133B"/>
    <w:rsid w:val="000B5301"/>
    <w:rsid w:val="000C4AD9"/>
    <w:rsid w:val="000C5586"/>
    <w:rsid w:val="000D2361"/>
    <w:rsid w:val="000D3486"/>
    <w:rsid w:val="000F071B"/>
    <w:rsid w:val="000F0D5C"/>
    <w:rsid w:val="000F1650"/>
    <w:rsid w:val="000F5D1F"/>
    <w:rsid w:val="000F6C52"/>
    <w:rsid w:val="0011210B"/>
    <w:rsid w:val="00114C98"/>
    <w:rsid w:val="00121B5D"/>
    <w:rsid w:val="001261F6"/>
    <w:rsid w:val="001265D4"/>
    <w:rsid w:val="00126630"/>
    <w:rsid w:val="0014327F"/>
    <w:rsid w:val="00146284"/>
    <w:rsid w:val="00150B15"/>
    <w:rsid w:val="001512E3"/>
    <w:rsid w:val="00151602"/>
    <w:rsid w:val="00161C97"/>
    <w:rsid w:val="00166359"/>
    <w:rsid w:val="00175AB1"/>
    <w:rsid w:val="00180B0E"/>
    <w:rsid w:val="00182FE2"/>
    <w:rsid w:val="0018402A"/>
    <w:rsid w:val="00187E9E"/>
    <w:rsid w:val="001912F4"/>
    <w:rsid w:val="001921AF"/>
    <w:rsid w:val="00193201"/>
    <w:rsid w:val="00195EDA"/>
    <w:rsid w:val="00197914"/>
    <w:rsid w:val="001A539B"/>
    <w:rsid w:val="001A68BA"/>
    <w:rsid w:val="001B0809"/>
    <w:rsid w:val="001B16AF"/>
    <w:rsid w:val="001B2F01"/>
    <w:rsid w:val="001B353A"/>
    <w:rsid w:val="001C1293"/>
    <w:rsid w:val="001C3BA6"/>
    <w:rsid w:val="001C5842"/>
    <w:rsid w:val="001D187B"/>
    <w:rsid w:val="001D1974"/>
    <w:rsid w:val="001D2A52"/>
    <w:rsid w:val="001D3D76"/>
    <w:rsid w:val="001D5881"/>
    <w:rsid w:val="001D7CBE"/>
    <w:rsid w:val="001E0783"/>
    <w:rsid w:val="001E7866"/>
    <w:rsid w:val="001F1188"/>
    <w:rsid w:val="001F13EB"/>
    <w:rsid w:val="001F3253"/>
    <w:rsid w:val="001F3500"/>
    <w:rsid w:val="00200BF3"/>
    <w:rsid w:val="002040A9"/>
    <w:rsid w:val="00205C28"/>
    <w:rsid w:val="00207470"/>
    <w:rsid w:val="002165F7"/>
    <w:rsid w:val="00216AA3"/>
    <w:rsid w:val="0022622F"/>
    <w:rsid w:val="00230E34"/>
    <w:rsid w:val="00231675"/>
    <w:rsid w:val="00232EA0"/>
    <w:rsid w:val="00233826"/>
    <w:rsid w:val="00236C47"/>
    <w:rsid w:val="00242E0E"/>
    <w:rsid w:val="00242F94"/>
    <w:rsid w:val="002479B3"/>
    <w:rsid w:val="0025542B"/>
    <w:rsid w:val="00255908"/>
    <w:rsid w:val="00257237"/>
    <w:rsid w:val="0025727F"/>
    <w:rsid w:val="0026232B"/>
    <w:rsid w:val="00263B32"/>
    <w:rsid w:val="00264428"/>
    <w:rsid w:val="00265F3E"/>
    <w:rsid w:val="00266EBE"/>
    <w:rsid w:val="00267D48"/>
    <w:rsid w:val="00274181"/>
    <w:rsid w:val="002750F8"/>
    <w:rsid w:val="002761C0"/>
    <w:rsid w:val="00294C90"/>
    <w:rsid w:val="002972AB"/>
    <w:rsid w:val="002A0281"/>
    <w:rsid w:val="002A4D99"/>
    <w:rsid w:val="002B0550"/>
    <w:rsid w:val="002B179A"/>
    <w:rsid w:val="002B5BF5"/>
    <w:rsid w:val="002C31C5"/>
    <w:rsid w:val="002D1980"/>
    <w:rsid w:val="002D5EBE"/>
    <w:rsid w:val="002E0BCF"/>
    <w:rsid w:val="002E4D5F"/>
    <w:rsid w:val="002E4F2D"/>
    <w:rsid w:val="002E75EF"/>
    <w:rsid w:val="002F66C2"/>
    <w:rsid w:val="002F75AE"/>
    <w:rsid w:val="00305854"/>
    <w:rsid w:val="003062E4"/>
    <w:rsid w:val="003150EC"/>
    <w:rsid w:val="00316118"/>
    <w:rsid w:val="00322466"/>
    <w:rsid w:val="00323753"/>
    <w:rsid w:val="00327CC8"/>
    <w:rsid w:val="00334A23"/>
    <w:rsid w:val="003401F5"/>
    <w:rsid w:val="00346A42"/>
    <w:rsid w:val="00346C23"/>
    <w:rsid w:val="00353D17"/>
    <w:rsid w:val="00353E71"/>
    <w:rsid w:val="003616C0"/>
    <w:rsid w:val="0036280A"/>
    <w:rsid w:val="003632E8"/>
    <w:rsid w:val="003642E8"/>
    <w:rsid w:val="00370137"/>
    <w:rsid w:val="003716B5"/>
    <w:rsid w:val="00372CE5"/>
    <w:rsid w:val="00373303"/>
    <w:rsid w:val="00374699"/>
    <w:rsid w:val="00377B97"/>
    <w:rsid w:val="00386952"/>
    <w:rsid w:val="00387A29"/>
    <w:rsid w:val="00391033"/>
    <w:rsid w:val="003967FE"/>
    <w:rsid w:val="003A0FB0"/>
    <w:rsid w:val="003A72F4"/>
    <w:rsid w:val="003B22FA"/>
    <w:rsid w:val="003B7E7E"/>
    <w:rsid w:val="003D0F60"/>
    <w:rsid w:val="003D4950"/>
    <w:rsid w:val="003D4AE1"/>
    <w:rsid w:val="003D4D28"/>
    <w:rsid w:val="003E0972"/>
    <w:rsid w:val="003E69E9"/>
    <w:rsid w:val="003E77AE"/>
    <w:rsid w:val="003F17DA"/>
    <w:rsid w:val="003F74F2"/>
    <w:rsid w:val="00407442"/>
    <w:rsid w:val="00410413"/>
    <w:rsid w:val="00412C9C"/>
    <w:rsid w:val="004252DD"/>
    <w:rsid w:val="00430368"/>
    <w:rsid w:val="00430B5D"/>
    <w:rsid w:val="00433BAF"/>
    <w:rsid w:val="00434652"/>
    <w:rsid w:val="00436A36"/>
    <w:rsid w:val="00440BB4"/>
    <w:rsid w:val="00441799"/>
    <w:rsid w:val="00443349"/>
    <w:rsid w:val="0044485C"/>
    <w:rsid w:val="004454F0"/>
    <w:rsid w:val="004459A7"/>
    <w:rsid w:val="00447BA8"/>
    <w:rsid w:val="00453ED9"/>
    <w:rsid w:val="00461B62"/>
    <w:rsid w:val="00465077"/>
    <w:rsid w:val="0046688A"/>
    <w:rsid w:val="00480231"/>
    <w:rsid w:val="0048369F"/>
    <w:rsid w:val="00484F4F"/>
    <w:rsid w:val="00497469"/>
    <w:rsid w:val="004A05AF"/>
    <w:rsid w:val="004A171E"/>
    <w:rsid w:val="004B20FD"/>
    <w:rsid w:val="004B228B"/>
    <w:rsid w:val="004B3805"/>
    <w:rsid w:val="004B3FFC"/>
    <w:rsid w:val="004E2121"/>
    <w:rsid w:val="004F034B"/>
    <w:rsid w:val="004F357D"/>
    <w:rsid w:val="004F5308"/>
    <w:rsid w:val="004F5C90"/>
    <w:rsid w:val="005024C3"/>
    <w:rsid w:val="0050569B"/>
    <w:rsid w:val="00507321"/>
    <w:rsid w:val="00511605"/>
    <w:rsid w:val="005151EA"/>
    <w:rsid w:val="00532129"/>
    <w:rsid w:val="005352A8"/>
    <w:rsid w:val="005354FA"/>
    <w:rsid w:val="00535CB4"/>
    <w:rsid w:val="00543E87"/>
    <w:rsid w:val="00562A3D"/>
    <w:rsid w:val="005635B4"/>
    <w:rsid w:val="00571F3F"/>
    <w:rsid w:val="00574AE0"/>
    <w:rsid w:val="00586FCC"/>
    <w:rsid w:val="00595EE8"/>
    <w:rsid w:val="00597108"/>
    <w:rsid w:val="005A05D5"/>
    <w:rsid w:val="005A27F4"/>
    <w:rsid w:val="005A2F3E"/>
    <w:rsid w:val="005A447B"/>
    <w:rsid w:val="005A5257"/>
    <w:rsid w:val="005A6FCC"/>
    <w:rsid w:val="005A6FE1"/>
    <w:rsid w:val="005B0EBB"/>
    <w:rsid w:val="005B30A4"/>
    <w:rsid w:val="005B5792"/>
    <w:rsid w:val="005C6F3E"/>
    <w:rsid w:val="005C7599"/>
    <w:rsid w:val="005D032D"/>
    <w:rsid w:val="005F45DF"/>
    <w:rsid w:val="005F7223"/>
    <w:rsid w:val="00600E50"/>
    <w:rsid w:val="006041DE"/>
    <w:rsid w:val="00605F84"/>
    <w:rsid w:val="006101C0"/>
    <w:rsid w:val="00612375"/>
    <w:rsid w:val="006123DB"/>
    <w:rsid w:val="00613B78"/>
    <w:rsid w:val="006147BC"/>
    <w:rsid w:val="00614CED"/>
    <w:rsid w:val="0061700D"/>
    <w:rsid w:val="00617A1D"/>
    <w:rsid w:val="00623271"/>
    <w:rsid w:val="00626720"/>
    <w:rsid w:val="00633CD8"/>
    <w:rsid w:val="00636E28"/>
    <w:rsid w:val="00645D30"/>
    <w:rsid w:val="00647099"/>
    <w:rsid w:val="00647930"/>
    <w:rsid w:val="00653810"/>
    <w:rsid w:val="006576E9"/>
    <w:rsid w:val="00660B3B"/>
    <w:rsid w:val="00665576"/>
    <w:rsid w:val="00666076"/>
    <w:rsid w:val="006715AC"/>
    <w:rsid w:val="00673882"/>
    <w:rsid w:val="00673925"/>
    <w:rsid w:val="00682413"/>
    <w:rsid w:val="00684743"/>
    <w:rsid w:val="00684B8E"/>
    <w:rsid w:val="00685779"/>
    <w:rsid w:val="00691130"/>
    <w:rsid w:val="00694F90"/>
    <w:rsid w:val="00695D95"/>
    <w:rsid w:val="00697047"/>
    <w:rsid w:val="006A3A8A"/>
    <w:rsid w:val="006A3AE7"/>
    <w:rsid w:val="006A59CA"/>
    <w:rsid w:val="006A726F"/>
    <w:rsid w:val="006A74EC"/>
    <w:rsid w:val="006A7D1F"/>
    <w:rsid w:val="006B0334"/>
    <w:rsid w:val="006B39DC"/>
    <w:rsid w:val="006B464B"/>
    <w:rsid w:val="006B4A47"/>
    <w:rsid w:val="006D5247"/>
    <w:rsid w:val="006D652B"/>
    <w:rsid w:val="006F1D58"/>
    <w:rsid w:val="00705D85"/>
    <w:rsid w:val="00710431"/>
    <w:rsid w:val="007129DC"/>
    <w:rsid w:val="007177E2"/>
    <w:rsid w:val="0072159A"/>
    <w:rsid w:val="00727637"/>
    <w:rsid w:val="00727A56"/>
    <w:rsid w:val="00733F37"/>
    <w:rsid w:val="00740A19"/>
    <w:rsid w:val="007452DC"/>
    <w:rsid w:val="0076513D"/>
    <w:rsid w:val="00765E66"/>
    <w:rsid w:val="007676F5"/>
    <w:rsid w:val="00773189"/>
    <w:rsid w:val="00773A29"/>
    <w:rsid w:val="00780500"/>
    <w:rsid w:val="007819A2"/>
    <w:rsid w:val="00782DC9"/>
    <w:rsid w:val="0078518C"/>
    <w:rsid w:val="00791E97"/>
    <w:rsid w:val="007939A2"/>
    <w:rsid w:val="007960F6"/>
    <w:rsid w:val="007A6AE6"/>
    <w:rsid w:val="007B014B"/>
    <w:rsid w:val="007B07CE"/>
    <w:rsid w:val="007B3A9C"/>
    <w:rsid w:val="007C3185"/>
    <w:rsid w:val="007C3339"/>
    <w:rsid w:val="007D18FB"/>
    <w:rsid w:val="007D1987"/>
    <w:rsid w:val="007D1A1D"/>
    <w:rsid w:val="007D31F0"/>
    <w:rsid w:val="007E7D29"/>
    <w:rsid w:val="007F1D2A"/>
    <w:rsid w:val="00800295"/>
    <w:rsid w:val="008031B3"/>
    <w:rsid w:val="0081069E"/>
    <w:rsid w:val="0081232F"/>
    <w:rsid w:val="00812F94"/>
    <w:rsid w:val="008144B8"/>
    <w:rsid w:val="00826674"/>
    <w:rsid w:val="00830A52"/>
    <w:rsid w:val="00831FCE"/>
    <w:rsid w:val="00832381"/>
    <w:rsid w:val="00836D79"/>
    <w:rsid w:val="00840A7C"/>
    <w:rsid w:val="00845301"/>
    <w:rsid w:val="008454D3"/>
    <w:rsid w:val="008509D4"/>
    <w:rsid w:val="00860DE5"/>
    <w:rsid w:val="008618EF"/>
    <w:rsid w:val="00864350"/>
    <w:rsid w:val="008759D1"/>
    <w:rsid w:val="00877321"/>
    <w:rsid w:val="00884FE1"/>
    <w:rsid w:val="00885745"/>
    <w:rsid w:val="00886131"/>
    <w:rsid w:val="0089117E"/>
    <w:rsid w:val="008A7DB9"/>
    <w:rsid w:val="008B14CA"/>
    <w:rsid w:val="008B25C5"/>
    <w:rsid w:val="008B2A20"/>
    <w:rsid w:val="008B4D3F"/>
    <w:rsid w:val="008C15D5"/>
    <w:rsid w:val="008C5085"/>
    <w:rsid w:val="008C79EC"/>
    <w:rsid w:val="008D7965"/>
    <w:rsid w:val="008F0BD0"/>
    <w:rsid w:val="008F0FE9"/>
    <w:rsid w:val="008F6CEE"/>
    <w:rsid w:val="0091133B"/>
    <w:rsid w:val="00914F24"/>
    <w:rsid w:val="00914F80"/>
    <w:rsid w:val="0091717A"/>
    <w:rsid w:val="009216A1"/>
    <w:rsid w:val="009258F8"/>
    <w:rsid w:val="00932B3C"/>
    <w:rsid w:val="00947159"/>
    <w:rsid w:val="00947980"/>
    <w:rsid w:val="00950060"/>
    <w:rsid w:val="00952593"/>
    <w:rsid w:val="00954A9D"/>
    <w:rsid w:val="0095719A"/>
    <w:rsid w:val="00960598"/>
    <w:rsid w:val="0096114B"/>
    <w:rsid w:val="009617F9"/>
    <w:rsid w:val="00966AD8"/>
    <w:rsid w:val="009719AC"/>
    <w:rsid w:val="0097536A"/>
    <w:rsid w:val="009755D7"/>
    <w:rsid w:val="0098005D"/>
    <w:rsid w:val="00983437"/>
    <w:rsid w:val="009848A2"/>
    <w:rsid w:val="00990935"/>
    <w:rsid w:val="0099660D"/>
    <w:rsid w:val="00997E78"/>
    <w:rsid w:val="009A1BC4"/>
    <w:rsid w:val="009A2AFD"/>
    <w:rsid w:val="009A2BFF"/>
    <w:rsid w:val="009A4E4F"/>
    <w:rsid w:val="009A7FC2"/>
    <w:rsid w:val="009B050D"/>
    <w:rsid w:val="009B149A"/>
    <w:rsid w:val="009B1FAF"/>
    <w:rsid w:val="009B6404"/>
    <w:rsid w:val="009C2F42"/>
    <w:rsid w:val="009C3AA4"/>
    <w:rsid w:val="009C57F6"/>
    <w:rsid w:val="009C5A87"/>
    <w:rsid w:val="009D39D3"/>
    <w:rsid w:val="009E1A57"/>
    <w:rsid w:val="009F111B"/>
    <w:rsid w:val="009F13EC"/>
    <w:rsid w:val="009F5107"/>
    <w:rsid w:val="00A023E9"/>
    <w:rsid w:val="00A1457F"/>
    <w:rsid w:val="00A16783"/>
    <w:rsid w:val="00A3209E"/>
    <w:rsid w:val="00A36057"/>
    <w:rsid w:val="00A36162"/>
    <w:rsid w:val="00A40984"/>
    <w:rsid w:val="00A42238"/>
    <w:rsid w:val="00A449C5"/>
    <w:rsid w:val="00A52F13"/>
    <w:rsid w:val="00A542B9"/>
    <w:rsid w:val="00A55433"/>
    <w:rsid w:val="00A55B9E"/>
    <w:rsid w:val="00A72865"/>
    <w:rsid w:val="00A72D83"/>
    <w:rsid w:val="00A732D8"/>
    <w:rsid w:val="00A76EB5"/>
    <w:rsid w:val="00A82F40"/>
    <w:rsid w:val="00A83457"/>
    <w:rsid w:val="00A83ECD"/>
    <w:rsid w:val="00A9450B"/>
    <w:rsid w:val="00A97F37"/>
    <w:rsid w:val="00AA3070"/>
    <w:rsid w:val="00AA6DAE"/>
    <w:rsid w:val="00AA79C8"/>
    <w:rsid w:val="00AA7AC4"/>
    <w:rsid w:val="00AB2B06"/>
    <w:rsid w:val="00AB2F1E"/>
    <w:rsid w:val="00AB5258"/>
    <w:rsid w:val="00AB5E74"/>
    <w:rsid w:val="00AB6AAF"/>
    <w:rsid w:val="00AC3C97"/>
    <w:rsid w:val="00AC41EC"/>
    <w:rsid w:val="00AC4A5A"/>
    <w:rsid w:val="00AD0195"/>
    <w:rsid w:val="00AD7EA0"/>
    <w:rsid w:val="00AE0A5C"/>
    <w:rsid w:val="00AE7829"/>
    <w:rsid w:val="00AF0E1B"/>
    <w:rsid w:val="00AF1883"/>
    <w:rsid w:val="00AF3B41"/>
    <w:rsid w:val="00AF4EAD"/>
    <w:rsid w:val="00AF6182"/>
    <w:rsid w:val="00B03651"/>
    <w:rsid w:val="00B12967"/>
    <w:rsid w:val="00B20173"/>
    <w:rsid w:val="00B20B1F"/>
    <w:rsid w:val="00B2268D"/>
    <w:rsid w:val="00B258DB"/>
    <w:rsid w:val="00B40679"/>
    <w:rsid w:val="00B421C7"/>
    <w:rsid w:val="00B50E7D"/>
    <w:rsid w:val="00B54C58"/>
    <w:rsid w:val="00B57663"/>
    <w:rsid w:val="00B625DD"/>
    <w:rsid w:val="00B62D60"/>
    <w:rsid w:val="00B726A9"/>
    <w:rsid w:val="00B73EA4"/>
    <w:rsid w:val="00B73FB5"/>
    <w:rsid w:val="00B762B3"/>
    <w:rsid w:val="00B80667"/>
    <w:rsid w:val="00B83CE0"/>
    <w:rsid w:val="00B85F21"/>
    <w:rsid w:val="00B8649D"/>
    <w:rsid w:val="00B91EBC"/>
    <w:rsid w:val="00B91F85"/>
    <w:rsid w:val="00B94DD6"/>
    <w:rsid w:val="00B95142"/>
    <w:rsid w:val="00B95D4A"/>
    <w:rsid w:val="00BA0A46"/>
    <w:rsid w:val="00BA0A6E"/>
    <w:rsid w:val="00BA35D9"/>
    <w:rsid w:val="00BA5939"/>
    <w:rsid w:val="00BA793F"/>
    <w:rsid w:val="00BB1FA7"/>
    <w:rsid w:val="00BB648A"/>
    <w:rsid w:val="00BB680C"/>
    <w:rsid w:val="00BB6A36"/>
    <w:rsid w:val="00BC0C4F"/>
    <w:rsid w:val="00BC528B"/>
    <w:rsid w:val="00BC6B6B"/>
    <w:rsid w:val="00BC77D5"/>
    <w:rsid w:val="00BD1200"/>
    <w:rsid w:val="00BD236E"/>
    <w:rsid w:val="00BD2AF4"/>
    <w:rsid w:val="00BD6DA1"/>
    <w:rsid w:val="00BE0980"/>
    <w:rsid w:val="00BE0B8B"/>
    <w:rsid w:val="00BE5CF6"/>
    <w:rsid w:val="00BF015E"/>
    <w:rsid w:val="00BF2C17"/>
    <w:rsid w:val="00BF49E2"/>
    <w:rsid w:val="00C023BD"/>
    <w:rsid w:val="00C069B8"/>
    <w:rsid w:val="00C173FE"/>
    <w:rsid w:val="00C17556"/>
    <w:rsid w:val="00C2423A"/>
    <w:rsid w:val="00C30AAE"/>
    <w:rsid w:val="00C4419A"/>
    <w:rsid w:val="00C45202"/>
    <w:rsid w:val="00C46BF1"/>
    <w:rsid w:val="00C51053"/>
    <w:rsid w:val="00C56AC9"/>
    <w:rsid w:val="00C64B1B"/>
    <w:rsid w:val="00C65B3D"/>
    <w:rsid w:val="00C837D2"/>
    <w:rsid w:val="00C83E2B"/>
    <w:rsid w:val="00C9146C"/>
    <w:rsid w:val="00CA0874"/>
    <w:rsid w:val="00CA371A"/>
    <w:rsid w:val="00CA3D81"/>
    <w:rsid w:val="00CA53C5"/>
    <w:rsid w:val="00CA5B85"/>
    <w:rsid w:val="00CB065A"/>
    <w:rsid w:val="00CB3D64"/>
    <w:rsid w:val="00CB4DD2"/>
    <w:rsid w:val="00CB5D52"/>
    <w:rsid w:val="00CB75FF"/>
    <w:rsid w:val="00CC5EE8"/>
    <w:rsid w:val="00CD1B37"/>
    <w:rsid w:val="00CE2B4E"/>
    <w:rsid w:val="00CE6DB7"/>
    <w:rsid w:val="00CF1C77"/>
    <w:rsid w:val="00CF28E5"/>
    <w:rsid w:val="00CF79AB"/>
    <w:rsid w:val="00D00D76"/>
    <w:rsid w:val="00D06045"/>
    <w:rsid w:val="00D07D45"/>
    <w:rsid w:val="00D11669"/>
    <w:rsid w:val="00D11C92"/>
    <w:rsid w:val="00D13443"/>
    <w:rsid w:val="00D13F1D"/>
    <w:rsid w:val="00D14F8F"/>
    <w:rsid w:val="00D16CF0"/>
    <w:rsid w:val="00D314C3"/>
    <w:rsid w:val="00D31C30"/>
    <w:rsid w:val="00D31D3A"/>
    <w:rsid w:val="00D34C87"/>
    <w:rsid w:val="00D3684C"/>
    <w:rsid w:val="00D37218"/>
    <w:rsid w:val="00D40FEC"/>
    <w:rsid w:val="00D46960"/>
    <w:rsid w:val="00D55F17"/>
    <w:rsid w:val="00D6205E"/>
    <w:rsid w:val="00D6686B"/>
    <w:rsid w:val="00D70A9D"/>
    <w:rsid w:val="00D735D2"/>
    <w:rsid w:val="00D7419E"/>
    <w:rsid w:val="00D7435B"/>
    <w:rsid w:val="00D743C0"/>
    <w:rsid w:val="00D825E2"/>
    <w:rsid w:val="00D83AC4"/>
    <w:rsid w:val="00D87358"/>
    <w:rsid w:val="00D9321F"/>
    <w:rsid w:val="00D943DE"/>
    <w:rsid w:val="00DA17E4"/>
    <w:rsid w:val="00DA2C22"/>
    <w:rsid w:val="00DB21CF"/>
    <w:rsid w:val="00DB502C"/>
    <w:rsid w:val="00DC0AEC"/>
    <w:rsid w:val="00DC2D78"/>
    <w:rsid w:val="00DD3F5B"/>
    <w:rsid w:val="00DD47CD"/>
    <w:rsid w:val="00DD4AFC"/>
    <w:rsid w:val="00DD5B9B"/>
    <w:rsid w:val="00DD603F"/>
    <w:rsid w:val="00DE1A25"/>
    <w:rsid w:val="00DE41D9"/>
    <w:rsid w:val="00DF2B9A"/>
    <w:rsid w:val="00DF3839"/>
    <w:rsid w:val="00DF6FA8"/>
    <w:rsid w:val="00DF703E"/>
    <w:rsid w:val="00E01111"/>
    <w:rsid w:val="00E01C23"/>
    <w:rsid w:val="00E0674D"/>
    <w:rsid w:val="00E072B1"/>
    <w:rsid w:val="00E14C50"/>
    <w:rsid w:val="00E20E95"/>
    <w:rsid w:val="00E23919"/>
    <w:rsid w:val="00E30F10"/>
    <w:rsid w:val="00E40A72"/>
    <w:rsid w:val="00E422C1"/>
    <w:rsid w:val="00E46928"/>
    <w:rsid w:val="00E47B56"/>
    <w:rsid w:val="00E52090"/>
    <w:rsid w:val="00E55309"/>
    <w:rsid w:val="00E55390"/>
    <w:rsid w:val="00E6327F"/>
    <w:rsid w:val="00E65395"/>
    <w:rsid w:val="00E77DE2"/>
    <w:rsid w:val="00E805DD"/>
    <w:rsid w:val="00E824DB"/>
    <w:rsid w:val="00E8334F"/>
    <w:rsid w:val="00E8564C"/>
    <w:rsid w:val="00E86695"/>
    <w:rsid w:val="00E8683C"/>
    <w:rsid w:val="00E86959"/>
    <w:rsid w:val="00E91287"/>
    <w:rsid w:val="00E935E5"/>
    <w:rsid w:val="00E94AA4"/>
    <w:rsid w:val="00EA346D"/>
    <w:rsid w:val="00EA59D8"/>
    <w:rsid w:val="00EA7EFB"/>
    <w:rsid w:val="00EB4733"/>
    <w:rsid w:val="00EB4C6E"/>
    <w:rsid w:val="00EB6EE2"/>
    <w:rsid w:val="00EC36CF"/>
    <w:rsid w:val="00EC4E08"/>
    <w:rsid w:val="00ED059E"/>
    <w:rsid w:val="00ED140B"/>
    <w:rsid w:val="00ED15F3"/>
    <w:rsid w:val="00ED2C7A"/>
    <w:rsid w:val="00ED41E1"/>
    <w:rsid w:val="00EE2E32"/>
    <w:rsid w:val="00EE4398"/>
    <w:rsid w:val="00EF39B3"/>
    <w:rsid w:val="00EF47B2"/>
    <w:rsid w:val="00F0076D"/>
    <w:rsid w:val="00F00852"/>
    <w:rsid w:val="00F01FDD"/>
    <w:rsid w:val="00F02E42"/>
    <w:rsid w:val="00F0628B"/>
    <w:rsid w:val="00F10FBE"/>
    <w:rsid w:val="00F11171"/>
    <w:rsid w:val="00F11FC5"/>
    <w:rsid w:val="00F23B6D"/>
    <w:rsid w:val="00F2424E"/>
    <w:rsid w:val="00F24990"/>
    <w:rsid w:val="00F32425"/>
    <w:rsid w:val="00F35EDE"/>
    <w:rsid w:val="00F4126E"/>
    <w:rsid w:val="00F44248"/>
    <w:rsid w:val="00F50E77"/>
    <w:rsid w:val="00F523DE"/>
    <w:rsid w:val="00F6409B"/>
    <w:rsid w:val="00F65F61"/>
    <w:rsid w:val="00F70EC7"/>
    <w:rsid w:val="00F74CA4"/>
    <w:rsid w:val="00F758D5"/>
    <w:rsid w:val="00F81284"/>
    <w:rsid w:val="00F87548"/>
    <w:rsid w:val="00F877F3"/>
    <w:rsid w:val="00F90EAE"/>
    <w:rsid w:val="00F91D6D"/>
    <w:rsid w:val="00F91E14"/>
    <w:rsid w:val="00FA2295"/>
    <w:rsid w:val="00FA497A"/>
    <w:rsid w:val="00FA4E3F"/>
    <w:rsid w:val="00FA5476"/>
    <w:rsid w:val="00FB0135"/>
    <w:rsid w:val="00FB0AB6"/>
    <w:rsid w:val="00FB470A"/>
    <w:rsid w:val="00FB59F4"/>
    <w:rsid w:val="00FB5D5C"/>
    <w:rsid w:val="00FC19AF"/>
    <w:rsid w:val="00FD5018"/>
    <w:rsid w:val="00FD5045"/>
    <w:rsid w:val="00FE13D4"/>
    <w:rsid w:val="00FF1945"/>
    <w:rsid w:val="03FA09BE"/>
    <w:rsid w:val="03FB5E46"/>
    <w:rsid w:val="040103E7"/>
    <w:rsid w:val="051C7A24"/>
    <w:rsid w:val="05D22312"/>
    <w:rsid w:val="06BA54C4"/>
    <w:rsid w:val="06C20FDE"/>
    <w:rsid w:val="086434A7"/>
    <w:rsid w:val="086B6512"/>
    <w:rsid w:val="0A694A8D"/>
    <w:rsid w:val="0BBF09A7"/>
    <w:rsid w:val="0BCE5435"/>
    <w:rsid w:val="0BF9347B"/>
    <w:rsid w:val="0C707D3A"/>
    <w:rsid w:val="0C7F5C97"/>
    <w:rsid w:val="0CE80227"/>
    <w:rsid w:val="0DA57927"/>
    <w:rsid w:val="0E827993"/>
    <w:rsid w:val="0FDC39C3"/>
    <w:rsid w:val="13E01794"/>
    <w:rsid w:val="14805FD4"/>
    <w:rsid w:val="157950FF"/>
    <w:rsid w:val="15AA6592"/>
    <w:rsid w:val="1662463C"/>
    <w:rsid w:val="178A70D6"/>
    <w:rsid w:val="17D1116F"/>
    <w:rsid w:val="193F2457"/>
    <w:rsid w:val="1A0D4D83"/>
    <w:rsid w:val="1A8F6856"/>
    <w:rsid w:val="1AB37EEE"/>
    <w:rsid w:val="1C06581A"/>
    <w:rsid w:val="1C915B68"/>
    <w:rsid w:val="1D760770"/>
    <w:rsid w:val="1DA57798"/>
    <w:rsid w:val="1E7547E9"/>
    <w:rsid w:val="1F8307F2"/>
    <w:rsid w:val="20366009"/>
    <w:rsid w:val="203F5D95"/>
    <w:rsid w:val="20FE1C7B"/>
    <w:rsid w:val="2118036E"/>
    <w:rsid w:val="218423F9"/>
    <w:rsid w:val="22105CEB"/>
    <w:rsid w:val="2237252B"/>
    <w:rsid w:val="235A4CA6"/>
    <w:rsid w:val="25441F39"/>
    <w:rsid w:val="25EE5343"/>
    <w:rsid w:val="27536553"/>
    <w:rsid w:val="27864608"/>
    <w:rsid w:val="27D31B81"/>
    <w:rsid w:val="27F46C54"/>
    <w:rsid w:val="28435287"/>
    <w:rsid w:val="29C62362"/>
    <w:rsid w:val="2A761395"/>
    <w:rsid w:val="2A7D1611"/>
    <w:rsid w:val="2B6C522D"/>
    <w:rsid w:val="2CDC0254"/>
    <w:rsid w:val="2EB11B49"/>
    <w:rsid w:val="2F15517C"/>
    <w:rsid w:val="2F1D677A"/>
    <w:rsid w:val="2F377B90"/>
    <w:rsid w:val="30232107"/>
    <w:rsid w:val="31A20B5F"/>
    <w:rsid w:val="32284440"/>
    <w:rsid w:val="324D76AC"/>
    <w:rsid w:val="33B17F6A"/>
    <w:rsid w:val="33C22F6A"/>
    <w:rsid w:val="348C753C"/>
    <w:rsid w:val="36D14B07"/>
    <w:rsid w:val="382626DA"/>
    <w:rsid w:val="385E5A15"/>
    <w:rsid w:val="3A6D6DA7"/>
    <w:rsid w:val="3AD628A1"/>
    <w:rsid w:val="3B2A0F7D"/>
    <w:rsid w:val="3B48043A"/>
    <w:rsid w:val="3BFB3656"/>
    <w:rsid w:val="3C0B453D"/>
    <w:rsid w:val="3C624734"/>
    <w:rsid w:val="3D765FB2"/>
    <w:rsid w:val="3D9E717A"/>
    <w:rsid w:val="415A7A9A"/>
    <w:rsid w:val="417E695E"/>
    <w:rsid w:val="42450FD8"/>
    <w:rsid w:val="42C46F45"/>
    <w:rsid w:val="42C667F7"/>
    <w:rsid w:val="43415B03"/>
    <w:rsid w:val="43685B14"/>
    <w:rsid w:val="4378246C"/>
    <w:rsid w:val="43CB7A2B"/>
    <w:rsid w:val="44323ABD"/>
    <w:rsid w:val="44E80768"/>
    <w:rsid w:val="450C7A86"/>
    <w:rsid w:val="4591449F"/>
    <w:rsid w:val="45CE3D59"/>
    <w:rsid w:val="46F733F0"/>
    <w:rsid w:val="47594FFE"/>
    <w:rsid w:val="477B1727"/>
    <w:rsid w:val="47D73FA0"/>
    <w:rsid w:val="4A887DD5"/>
    <w:rsid w:val="4AAC78A7"/>
    <w:rsid w:val="4AB90AA7"/>
    <w:rsid w:val="4AEA4235"/>
    <w:rsid w:val="4D005889"/>
    <w:rsid w:val="4E65355A"/>
    <w:rsid w:val="4F4E60F4"/>
    <w:rsid w:val="525075EE"/>
    <w:rsid w:val="52A9326E"/>
    <w:rsid w:val="54710045"/>
    <w:rsid w:val="55646662"/>
    <w:rsid w:val="57FE0BD2"/>
    <w:rsid w:val="59213594"/>
    <w:rsid w:val="5AB20948"/>
    <w:rsid w:val="5B74650D"/>
    <w:rsid w:val="5C8B5E09"/>
    <w:rsid w:val="5E657300"/>
    <w:rsid w:val="5F214CFC"/>
    <w:rsid w:val="611444CA"/>
    <w:rsid w:val="61BA123D"/>
    <w:rsid w:val="621F1A2C"/>
    <w:rsid w:val="62224681"/>
    <w:rsid w:val="626B5DEF"/>
    <w:rsid w:val="62B25944"/>
    <w:rsid w:val="62E908F6"/>
    <w:rsid w:val="63A020E1"/>
    <w:rsid w:val="647C167A"/>
    <w:rsid w:val="64837092"/>
    <w:rsid w:val="65486743"/>
    <w:rsid w:val="65FD31D6"/>
    <w:rsid w:val="66670D46"/>
    <w:rsid w:val="67686B92"/>
    <w:rsid w:val="679B3764"/>
    <w:rsid w:val="67BC4FA6"/>
    <w:rsid w:val="681900A2"/>
    <w:rsid w:val="68382B41"/>
    <w:rsid w:val="68F63074"/>
    <w:rsid w:val="6C1D5873"/>
    <w:rsid w:val="6D3E4587"/>
    <w:rsid w:val="6D552011"/>
    <w:rsid w:val="6E5A0F07"/>
    <w:rsid w:val="6F503036"/>
    <w:rsid w:val="6F670725"/>
    <w:rsid w:val="6FFD6B93"/>
    <w:rsid w:val="705F3B9E"/>
    <w:rsid w:val="713B6345"/>
    <w:rsid w:val="71DD22F7"/>
    <w:rsid w:val="7236277D"/>
    <w:rsid w:val="72E10006"/>
    <w:rsid w:val="731E664B"/>
    <w:rsid w:val="739A134F"/>
    <w:rsid w:val="73D145AA"/>
    <w:rsid w:val="74135EB4"/>
    <w:rsid w:val="75DB71C7"/>
    <w:rsid w:val="76696765"/>
    <w:rsid w:val="77255FFA"/>
    <w:rsid w:val="77841DDD"/>
    <w:rsid w:val="77E349A0"/>
    <w:rsid w:val="78EE584F"/>
    <w:rsid w:val="7DBD7B29"/>
    <w:rsid w:val="7E0026E9"/>
    <w:rsid w:val="7F312B78"/>
    <w:rsid w:val="7F9027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0"/>
    <w:qFormat/>
    <w:uiPriority w:val="0"/>
    <w:pPr>
      <w:keepNext/>
      <w:jc w:val="center"/>
      <w:outlineLvl w:val="0"/>
    </w:pPr>
    <w:rPr>
      <w:rFonts w:eastAsia="仿宋_GB2312"/>
      <w:sz w:val="30"/>
      <w:szCs w:val="20"/>
    </w:rPr>
  </w:style>
  <w:style w:type="paragraph" w:styleId="4">
    <w:name w:val="heading 2"/>
    <w:basedOn w:val="1"/>
    <w:next w:val="5"/>
    <w:link w:val="21"/>
    <w:qFormat/>
    <w:uiPriority w:val="0"/>
    <w:pPr>
      <w:keepNext/>
      <w:jc w:val="center"/>
      <w:outlineLvl w:val="1"/>
    </w:pPr>
    <w:rPr>
      <w:rFonts w:eastAsia="仿宋_GB2312"/>
      <w:sz w:val="28"/>
      <w:szCs w:val="20"/>
    </w:rPr>
  </w:style>
  <w:style w:type="paragraph" w:styleId="6">
    <w:name w:val="heading 4"/>
    <w:basedOn w:val="1"/>
    <w:next w:val="1"/>
    <w:qFormat/>
    <w:uiPriority w:val="0"/>
    <w:pPr>
      <w:widowControl/>
      <w:numPr>
        <w:ilvl w:val="3"/>
        <w:numId w:val="1"/>
      </w:numPr>
      <w:tabs>
        <w:tab w:val="left" w:pos="567"/>
      </w:tabs>
      <w:spacing w:after="240"/>
      <w:ind w:left="1134" w:hanging="567"/>
      <w:jc w:val="left"/>
      <w:outlineLvl w:val="3"/>
    </w:pPr>
    <w:rPr>
      <w:rFonts w:ascii="Arial" w:hAnsi="Arial" w:eastAsia="楷体_GB2312" w:cs="Arial"/>
      <w:color w:val="000000"/>
      <w:kern w:val="0"/>
      <w:sz w:val="20"/>
      <w:lang w:eastAsia="en-US"/>
    </w:rPr>
  </w:style>
  <w:style w:type="character" w:default="1" w:styleId="17">
    <w:name w:val="Default Paragraph Font"/>
    <w:unhideWhenUsed/>
    <w:qFormat/>
    <w:uiPriority w:val="1"/>
  </w:style>
  <w:style w:type="table" w:default="1" w:styleId="15">
    <w:name w:val="Normal Table"/>
    <w:unhideWhenUsed/>
    <w:qFormat/>
    <w:uiPriority w:val="99"/>
    <w:tblPr>
      <w:tblCellMar>
        <w:top w:w="0" w:type="dxa"/>
        <w:left w:w="108" w:type="dxa"/>
        <w:bottom w:w="0" w:type="dxa"/>
        <w:right w:w="108" w:type="dxa"/>
      </w:tblCellMar>
    </w:tblPr>
  </w:style>
  <w:style w:type="paragraph" w:styleId="2">
    <w:name w:val="Body Text"/>
    <w:basedOn w:val="1"/>
    <w:next w:val="1"/>
    <w:link w:val="26"/>
    <w:qFormat/>
    <w:uiPriority w:val="0"/>
    <w:pPr>
      <w:jc w:val="center"/>
    </w:pPr>
    <w:rPr>
      <w:rFonts w:ascii="仿宋_GB2312"/>
      <w:b/>
      <w:bCs/>
      <w:sz w:val="40"/>
    </w:rPr>
  </w:style>
  <w:style w:type="paragraph" w:styleId="5">
    <w:name w:val="Normal Indent"/>
    <w:basedOn w:val="1"/>
    <w:next w:val="1"/>
    <w:unhideWhenUsed/>
    <w:qFormat/>
    <w:uiPriority w:val="99"/>
    <w:pPr>
      <w:ind w:firstLine="420" w:firstLineChars="200"/>
    </w:pPr>
  </w:style>
  <w:style w:type="paragraph" w:styleId="7">
    <w:name w:val="annotation text"/>
    <w:basedOn w:val="1"/>
    <w:semiHidden/>
    <w:unhideWhenUsed/>
    <w:qFormat/>
    <w:uiPriority w:val="99"/>
    <w:pPr>
      <w:jc w:val="left"/>
    </w:pPr>
  </w:style>
  <w:style w:type="paragraph" w:styleId="8">
    <w:name w:val="Date"/>
    <w:basedOn w:val="1"/>
    <w:next w:val="1"/>
    <w:link w:val="23"/>
    <w:unhideWhenUsed/>
    <w:qFormat/>
    <w:uiPriority w:val="99"/>
    <w:pPr>
      <w:ind w:left="100" w:leftChars="2500"/>
    </w:pPr>
  </w:style>
  <w:style w:type="paragraph" w:styleId="9">
    <w:name w:val="Balloon Text"/>
    <w:basedOn w:val="1"/>
    <w:link w:val="27"/>
    <w:unhideWhenUsed/>
    <w:qFormat/>
    <w:uiPriority w:val="99"/>
    <w:rPr>
      <w:sz w:val="18"/>
      <w:szCs w:val="18"/>
    </w:rPr>
  </w:style>
  <w:style w:type="paragraph" w:styleId="10">
    <w:name w:val="footer"/>
    <w:basedOn w:val="1"/>
    <w:link w:val="25"/>
    <w:unhideWhenUsed/>
    <w:qFormat/>
    <w:uiPriority w:val="99"/>
    <w:pPr>
      <w:tabs>
        <w:tab w:val="center" w:pos="4153"/>
        <w:tab w:val="right" w:pos="8306"/>
      </w:tabs>
      <w:snapToGrid w:val="0"/>
      <w:jc w:val="left"/>
    </w:pPr>
    <w:rPr>
      <w:sz w:val="18"/>
      <w:szCs w:val="18"/>
    </w:rPr>
  </w:style>
  <w:style w:type="paragraph" w:styleId="11">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style>
  <w:style w:type="paragraph" w:styleId="13">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4">
    <w:name w:val="Body Text First Indent"/>
    <w:basedOn w:val="2"/>
    <w:next w:val="1"/>
    <w:qFormat/>
    <w:uiPriority w:val="0"/>
    <w:pPr>
      <w:spacing w:after="120"/>
      <w:ind w:firstLine="420" w:firstLineChars="100"/>
    </w:pPr>
    <w:rPr>
      <w:rFonts w:eastAsia="宋体"/>
      <w:sz w:val="21"/>
    </w:rPr>
  </w:style>
  <w:style w:type="table" w:styleId="16">
    <w:name w:val="Table Grid"/>
    <w:basedOn w:val="15"/>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8">
    <w:name w:val="无间隔1"/>
    <w:qFormat/>
    <w:uiPriority w:val="1"/>
    <w:pPr>
      <w:jc w:val="both"/>
    </w:pPr>
    <w:rPr>
      <w:rFonts w:ascii="Times New Roman" w:hAnsi="Times New Roman" w:eastAsia="Times New Roman" w:cs="Times New Roman"/>
      <w:lang w:val="en-US" w:eastAsia="zh-CN" w:bidi="ar-SA"/>
    </w:rPr>
  </w:style>
  <w:style w:type="paragraph" w:customStyle="1" w:styleId="19">
    <w:name w:val="Default"/>
    <w:next w:val="1"/>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character" w:customStyle="1" w:styleId="20">
    <w:name w:val="标题 1 Char"/>
    <w:basedOn w:val="17"/>
    <w:link w:val="3"/>
    <w:qFormat/>
    <w:uiPriority w:val="0"/>
    <w:rPr>
      <w:rFonts w:eastAsia="仿宋_GB2312"/>
      <w:kern w:val="2"/>
      <w:sz w:val="30"/>
    </w:rPr>
  </w:style>
  <w:style w:type="character" w:customStyle="1" w:styleId="21">
    <w:name w:val="标题 2 Char"/>
    <w:basedOn w:val="17"/>
    <w:link w:val="4"/>
    <w:qFormat/>
    <w:uiPriority w:val="0"/>
    <w:rPr>
      <w:rFonts w:eastAsia="仿宋_GB2312"/>
      <w:kern w:val="2"/>
      <w:sz w:val="28"/>
    </w:rPr>
  </w:style>
  <w:style w:type="paragraph" w:customStyle="1" w:styleId="22">
    <w:name w:val="列出段落1"/>
    <w:basedOn w:val="1"/>
    <w:qFormat/>
    <w:uiPriority w:val="34"/>
    <w:pPr>
      <w:ind w:firstLine="420" w:firstLineChars="200"/>
    </w:pPr>
  </w:style>
  <w:style w:type="character" w:customStyle="1" w:styleId="23">
    <w:name w:val="日期 Char"/>
    <w:basedOn w:val="17"/>
    <w:link w:val="8"/>
    <w:semiHidden/>
    <w:qFormat/>
    <w:uiPriority w:val="99"/>
    <w:rPr>
      <w:kern w:val="2"/>
      <w:sz w:val="21"/>
      <w:szCs w:val="24"/>
    </w:rPr>
  </w:style>
  <w:style w:type="character" w:customStyle="1" w:styleId="24">
    <w:name w:val="页眉 Char"/>
    <w:basedOn w:val="17"/>
    <w:link w:val="11"/>
    <w:semiHidden/>
    <w:qFormat/>
    <w:uiPriority w:val="99"/>
    <w:rPr>
      <w:kern w:val="2"/>
      <w:sz w:val="18"/>
      <w:szCs w:val="18"/>
    </w:rPr>
  </w:style>
  <w:style w:type="character" w:customStyle="1" w:styleId="25">
    <w:name w:val="页脚 Char"/>
    <w:basedOn w:val="17"/>
    <w:link w:val="10"/>
    <w:qFormat/>
    <w:uiPriority w:val="99"/>
    <w:rPr>
      <w:kern w:val="2"/>
      <w:sz w:val="18"/>
      <w:szCs w:val="18"/>
    </w:rPr>
  </w:style>
  <w:style w:type="character" w:customStyle="1" w:styleId="26">
    <w:name w:val="正文文本 Char"/>
    <w:basedOn w:val="17"/>
    <w:link w:val="2"/>
    <w:qFormat/>
    <w:uiPriority w:val="0"/>
    <w:rPr>
      <w:rFonts w:ascii="仿宋_GB2312"/>
      <w:b/>
      <w:bCs/>
      <w:kern w:val="2"/>
      <w:sz w:val="40"/>
      <w:szCs w:val="24"/>
    </w:rPr>
  </w:style>
  <w:style w:type="character" w:customStyle="1" w:styleId="27">
    <w:name w:val="批注框文本 Char"/>
    <w:basedOn w:val="17"/>
    <w:link w:val="9"/>
    <w:semiHidden/>
    <w:qFormat/>
    <w:uiPriority w:val="99"/>
    <w:rPr>
      <w:kern w:val="2"/>
      <w:sz w:val="18"/>
      <w:szCs w:val="18"/>
    </w:rPr>
  </w:style>
  <w:style w:type="paragraph" w:customStyle="1" w:styleId="28">
    <w:name w:val="Char Char Char Char Char Char Char 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29">
    <w:name w:val="列出段落11"/>
    <w:basedOn w:val="1"/>
    <w:qFormat/>
    <w:uiPriority w:val="0"/>
    <w:pPr>
      <w:ind w:firstLine="420" w:firstLineChars="200"/>
    </w:pPr>
  </w:style>
  <w:style w:type="paragraph" w:customStyle="1" w:styleId="30">
    <w:name w:val="BodyText1I"/>
    <w:basedOn w:val="31"/>
    <w:qFormat/>
    <w:uiPriority w:val="0"/>
    <w:pPr>
      <w:spacing w:after="120"/>
      <w:ind w:firstLine="420" w:firstLineChars="100"/>
    </w:pPr>
    <w:rPr>
      <w:rFonts w:ascii="Calibri" w:hAnsi="Calibri" w:eastAsia="宋体" w:cs="Times New Roman"/>
      <w:szCs w:val="24"/>
    </w:rPr>
  </w:style>
  <w:style w:type="paragraph" w:customStyle="1" w:styleId="31">
    <w:name w:val="BodyText"/>
    <w:basedOn w:val="1"/>
    <w:qFormat/>
    <w:uiPriority w:val="0"/>
    <w:pPr>
      <w:spacing w:after="120"/>
    </w:pPr>
  </w:style>
  <w:style w:type="paragraph" w:customStyle="1" w:styleId="32">
    <w:name w:val="样式 正文缩进正文缩进2正文缩进 Char Char正文缩进 Char Char Char Char正文缩进 Char ..."/>
    <w:basedOn w:val="5"/>
    <w:qFormat/>
    <w:uiPriority w:val="0"/>
    <w:pPr>
      <w:ind w:firstLine="200"/>
    </w:pPr>
    <w:rPr>
      <w:rFonts w:cs="宋体"/>
      <w:sz w:val="24"/>
    </w:rPr>
  </w:style>
  <w:style w:type="character" w:customStyle="1" w:styleId="33">
    <w:name w:val="xform_fieldlayout"/>
    <w:qFormat/>
    <w:uiPriority w:val="0"/>
  </w:style>
  <w:style w:type="character" w:customStyle="1" w:styleId="34">
    <w:name w:val="NormalCharacter"/>
    <w:semiHidden/>
    <w:qFormat/>
    <w:uiPriority w:val="0"/>
  </w:style>
  <w:style w:type="paragraph" w:customStyle="1" w:styleId="35">
    <w:name w:val="MY正文"/>
    <w:basedOn w:val="1"/>
    <w:qFormat/>
    <w:uiPriority w:val="0"/>
    <w:pPr>
      <w:widowControl/>
      <w:ind w:firstLine="560" w:firstLineChars="200"/>
    </w:pPr>
    <w:rPr>
      <w:rFonts w:ascii="宋体" w:hAnsi="宋体" w:cs="Tahoma"/>
      <w:color w:val="000000"/>
      <w:kern w:val="0"/>
      <w:sz w:val="28"/>
      <w:szCs w:val="28"/>
    </w:rPr>
  </w:style>
  <w:style w:type="paragraph" w:styleId="36">
    <w:name w:val="List Paragraph"/>
    <w:basedOn w:val="1"/>
    <w:qFormat/>
    <w:uiPriority w:val="1"/>
    <w:pPr>
      <w:spacing w:line="400" w:lineRule="exact"/>
      <w:ind w:left="4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522ABA-CF71-4A40-B7F3-937010BA1BC3}">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5</Pages>
  <Words>2025</Words>
  <Characters>2247</Characters>
  <Lines>3</Lines>
  <Paragraphs>1</Paragraphs>
  <TotalTime>0</TotalTime>
  <ScaleCrop>false</ScaleCrop>
  <LinksUpToDate>false</LinksUpToDate>
  <CharactersWithSpaces>2273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2016-05-19T08:32:00Z</dcterms:created>
  <dc:creator>唈ත唀ත啐තj</dc:creator>
  <cp:lastModifiedBy>黎明</cp:lastModifiedBy>
  <cp:lastPrinted>2021-06-15T10:00:00Z</cp:lastPrinted>
  <dcterms:modified xsi:type="dcterms:W3CDTF">2023-05-11T06:20:14Z</dcterms:modified>
  <cp:revision>158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7D0E3C4814D2461E85EB8A8AFBE72588</vt:lpwstr>
  </property>
</Properties>
</file>