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eastAsia="zh-CN"/>
        </w:rPr>
      </w:pPr>
      <w:r>
        <w:rPr>
          <w:rFonts w:hint="eastAsia" w:ascii="方正小标宋_GBK" w:eastAsia="方正小标宋_GBK"/>
          <w:sz w:val="32"/>
          <w:szCs w:val="32"/>
        </w:rPr>
        <w:t>重庆通力高速公路养护工程有限公司第一批合格供应商入围</w:t>
      </w:r>
      <w:r>
        <w:rPr>
          <w:rFonts w:hint="eastAsia" w:ascii="方正小标宋_GBK" w:eastAsia="方正小标宋_GBK"/>
          <w:sz w:val="32"/>
          <w:szCs w:val="32"/>
          <w:lang w:eastAsia="zh-CN"/>
        </w:rPr>
        <w:t>（分包二：装修工程）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682"/>
        <w:gridCol w:w="1503"/>
        <w:gridCol w:w="2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重庆通力高速公路养护工程有限公司第一批合格供应商入围（分包二：装修工程） 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612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5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50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12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1．重庆顺翔建筑工程有限公司；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2．重庆市羽翌建筑工程有限公司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both"/>
              <w:rPr>
                <w:rFonts w:hint="eastAsia"/>
              </w:rPr>
            </w:pPr>
          </w:p>
          <w:p>
            <w:pPr>
              <w:widowControl/>
              <w:spacing w:line="2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否决情况：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重庆锦建宖建筑工程有限公司、重庆洋矩建筑工程有限公司、重庆景悦交通工程有限公司，不满足招标文件第三章2.1.1形式评审标准中“申请文件格式符合第五章“申请文件格式”的要求中附件6”，作否决申请处理。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四川畅兴建设工程有限公司、重庆祖尚建筑工程有限公司、重庆市恒旭实业集团有限公司、重庆雅筑建筑工程有限公司、重庆泰安装饰设计工程有限公司、重庆市远程路桥有限公司，不满足招标文件第一章申请人资格要求中的“业绩要求”，作否决申请处理。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重庆杰恒建设有限</w:t>
            </w:r>
            <w:bookmarkStart w:id="0" w:name="_GoBack"/>
            <w:bookmarkEnd w:id="0"/>
            <w:r>
              <w:rPr>
                <w:rFonts w:hint="default"/>
                <w:lang w:val="en-US" w:eastAsia="zh-CN"/>
              </w:rPr>
              <w:t>公司，不满足招标文件第一章申请人资格要求中的“人员要求”，作否决申请处理。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d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ction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4604A67"/>
    <w:rsid w:val="05BE7445"/>
    <w:rsid w:val="07CC21E2"/>
    <w:rsid w:val="0B4E15EB"/>
    <w:rsid w:val="0C035173"/>
    <w:rsid w:val="144F0A1F"/>
    <w:rsid w:val="18545001"/>
    <w:rsid w:val="1D046230"/>
    <w:rsid w:val="242B5096"/>
    <w:rsid w:val="25611CCB"/>
    <w:rsid w:val="263D1E01"/>
    <w:rsid w:val="26C319A3"/>
    <w:rsid w:val="26F17BFC"/>
    <w:rsid w:val="2702217C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74C621C"/>
    <w:rsid w:val="48FD68DC"/>
    <w:rsid w:val="4A847D82"/>
    <w:rsid w:val="4E0128B1"/>
    <w:rsid w:val="4E644BAE"/>
    <w:rsid w:val="508D1E51"/>
    <w:rsid w:val="50A77089"/>
    <w:rsid w:val="514D1443"/>
    <w:rsid w:val="517D516A"/>
    <w:rsid w:val="53625734"/>
    <w:rsid w:val="57107AA8"/>
    <w:rsid w:val="5993504C"/>
    <w:rsid w:val="60156116"/>
    <w:rsid w:val="620C4923"/>
    <w:rsid w:val="649B4F56"/>
    <w:rsid w:val="651432D8"/>
    <w:rsid w:val="65D27615"/>
    <w:rsid w:val="682D494B"/>
    <w:rsid w:val="68880812"/>
    <w:rsid w:val="6AA84410"/>
    <w:rsid w:val="6BF9325F"/>
    <w:rsid w:val="6E5B7733"/>
    <w:rsid w:val="706E5117"/>
    <w:rsid w:val="717B43E7"/>
    <w:rsid w:val="725038E9"/>
    <w:rsid w:val="7290676F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  <w:rPr>
      <w:bdr w:val="none" w:color="auto" w:sz="0" w:space="0"/>
    </w:rPr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2</TotalTime>
  <ScaleCrop>false</ScaleCrop>
  <LinksUpToDate>false</LinksUpToDate>
  <CharactersWithSpaces>1683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罗双</cp:lastModifiedBy>
  <dcterms:modified xsi:type="dcterms:W3CDTF">2023-05-18T03:23:25Z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