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重庆通力高速公路养护工程有限公司第一批合格供应商入围（分包十：房建工程）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1002"/>
        <w:gridCol w:w="1634"/>
        <w:gridCol w:w="2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重庆通力高速公路养护工程有限公司第一批合格供应商入围（分包十：房建工程）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6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1．重庆志昂建筑工程有限公司；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2．中基跃建设工程有限公司；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3．四川畅兴建设工程有限公司；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4. 重庆市恒旭实业集团有限公司；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 重庆市远程路桥有限公司。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否决情况：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重庆侨瑞建筑工程有限公司、宏盛建业投资集团有限公司、重庆市翰韬建筑工程有限公司、重庆洋矩建筑工程有限公司、重庆景悦交通工程有限公司，不满足招标文件第三章2.1.1</w:t>
            </w:r>
            <w:bookmarkStart w:id="0" w:name="_GoBack"/>
            <w:bookmarkEnd w:id="0"/>
            <w:r>
              <w:rPr>
                <w:rFonts w:hint="eastAsia"/>
              </w:rPr>
              <w:t>形式评审标准中“申请文件格式符合第五章“申请文件格式”的要求中附件6”，作否决申请处理。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重庆市煜泽建筑工程有限公司，不满足招标文件第一章申请人资格要求中的“业绩要求”，作否决申请处理。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重庆锦建宖建筑工程有限公司，不满足招标文件第一章申请人资格要求中的“人员要求”，作否决申请处理。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重庆市长寿区渝达建筑工程有限公司，不满足招标文件第二章申请人须知3.4 投标保证金中的要求，作否决申请处理。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0D251803"/>
    <w:rsid w:val="144F0A1F"/>
    <w:rsid w:val="15515C24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0456BA"/>
    <w:rsid w:val="41CD6575"/>
    <w:rsid w:val="474C621C"/>
    <w:rsid w:val="48FD68DC"/>
    <w:rsid w:val="4A847D82"/>
    <w:rsid w:val="4C3E4C52"/>
    <w:rsid w:val="4CB86D4F"/>
    <w:rsid w:val="4E0128B1"/>
    <w:rsid w:val="4E644BAE"/>
    <w:rsid w:val="508D1E51"/>
    <w:rsid w:val="50A77089"/>
    <w:rsid w:val="514D1443"/>
    <w:rsid w:val="517D516A"/>
    <w:rsid w:val="51C20DF9"/>
    <w:rsid w:val="53625734"/>
    <w:rsid w:val="547A5106"/>
    <w:rsid w:val="57107AA8"/>
    <w:rsid w:val="5993504C"/>
    <w:rsid w:val="60156116"/>
    <w:rsid w:val="620C4923"/>
    <w:rsid w:val="649B4F56"/>
    <w:rsid w:val="64F7618F"/>
    <w:rsid w:val="651432D8"/>
    <w:rsid w:val="65D27615"/>
    <w:rsid w:val="682D494B"/>
    <w:rsid w:val="68880812"/>
    <w:rsid w:val="6AA84410"/>
    <w:rsid w:val="6BF9325F"/>
    <w:rsid w:val="6D781A98"/>
    <w:rsid w:val="6E5B7733"/>
    <w:rsid w:val="706E5117"/>
    <w:rsid w:val="717B43E7"/>
    <w:rsid w:val="71B52D7A"/>
    <w:rsid w:val="725038E9"/>
    <w:rsid w:val="7290676F"/>
    <w:rsid w:val="73CB3A33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6</TotalTime>
  <ScaleCrop>false</ScaleCrop>
  <LinksUpToDate>false</LinksUpToDate>
  <CharactersWithSpaces>1683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刘鑫</cp:lastModifiedBy>
  <dcterms:modified xsi:type="dcterms:W3CDTF">2023-05-19T01:12:32Z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5F368A1167944398964A19DD8FC5C596</vt:lpwstr>
  </property>
</Properties>
</file>