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新宋体" w:hAnsi="新宋体" w:eastAsia="新宋体" w:cs="新宋体"/>
          <w:b/>
          <w:color w:val="auto"/>
          <w:sz w:val="44"/>
          <w:szCs w:val="44"/>
          <w:highlight w:val="none"/>
        </w:rPr>
      </w:pPr>
      <w:bookmarkStart w:id="0" w:name="_Toc287620665"/>
    </w:p>
    <w:p>
      <w:pPr>
        <w:spacing w:line="360" w:lineRule="auto"/>
        <w:jc w:val="center"/>
        <w:rPr>
          <w:rFonts w:hint="eastAsia" w:ascii="新宋体" w:hAnsi="新宋体" w:eastAsia="新宋体" w:cs="新宋体"/>
          <w:color w:val="auto"/>
          <w:kern w:val="0"/>
          <w:sz w:val="36"/>
          <w:szCs w:val="36"/>
          <w:highlight w:val="none"/>
        </w:rPr>
      </w:pPr>
      <w:r>
        <w:rPr>
          <w:rFonts w:hint="eastAsia" w:ascii="新宋体" w:hAnsi="新宋体" w:eastAsia="新宋体" w:cs="新宋体"/>
          <w:color w:val="auto"/>
          <w:kern w:val="0"/>
          <w:sz w:val="36"/>
          <w:szCs w:val="36"/>
          <w:highlight w:val="none"/>
        </w:rPr>
        <w:t>渝蓉高速围龙服务区（南、北）LNG加气站设备采购项目</w:t>
      </w:r>
    </w:p>
    <w:p>
      <w:pPr>
        <w:autoSpaceDE w:val="0"/>
        <w:autoSpaceDN w:val="0"/>
        <w:adjustRightInd w:val="0"/>
        <w:snapToGrid w:val="0"/>
        <w:spacing w:line="360" w:lineRule="auto"/>
        <w:jc w:val="left"/>
        <w:rPr>
          <w:rFonts w:hint="eastAsia" w:ascii="新宋体" w:hAnsi="新宋体" w:eastAsia="新宋体" w:cs="新宋体"/>
          <w:color w:val="auto"/>
          <w:kern w:val="0"/>
          <w:sz w:val="20"/>
          <w:szCs w:val="20"/>
          <w:highlight w:val="none"/>
        </w:rPr>
      </w:pPr>
    </w:p>
    <w:p>
      <w:pPr>
        <w:autoSpaceDE w:val="0"/>
        <w:autoSpaceDN w:val="0"/>
        <w:adjustRightInd w:val="0"/>
        <w:snapToGrid w:val="0"/>
        <w:spacing w:line="360" w:lineRule="auto"/>
        <w:jc w:val="left"/>
        <w:rPr>
          <w:rFonts w:hint="eastAsia" w:ascii="新宋体" w:hAnsi="新宋体" w:eastAsia="新宋体" w:cs="新宋体"/>
          <w:color w:val="auto"/>
          <w:kern w:val="0"/>
          <w:sz w:val="20"/>
          <w:szCs w:val="20"/>
          <w:highlight w:val="none"/>
        </w:rPr>
      </w:pPr>
    </w:p>
    <w:p>
      <w:pPr>
        <w:autoSpaceDE w:val="0"/>
        <w:autoSpaceDN w:val="0"/>
        <w:adjustRightInd w:val="0"/>
        <w:snapToGrid w:val="0"/>
        <w:spacing w:line="360" w:lineRule="auto"/>
        <w:jc w:val="left"/>
        <w:rPr>
          <w:rFonts w:hint="eastAsia" w:ascii="新宋体" w:hAnsi="新宋体" w:eastAsia="新宋体" w:cs="新宋体"/>
          <w:color w:val="auto"/>
          <w:kern w:val="0"/>
          <w:sz w:val="20"/>
          <w:szCs w:val="20"/>
          <w:highlight w:val="none"/>
        </w:rPr>
      </w:pPr>
    </w:p>
    <w:p>
      <w:pPr>
        <w:autoSpaceDE w:val="0"/>
        <w:autoSpaceDN w:val="0"/>
        <w:adjustRightInd w:val="0"/>
        <w:snapToGrid w:val="0"/>
        <w:spacing w:line="360" w:lineRule="auto"/>
        <w:jc w:val="left"/>
        <w:rPr>
          <w:rFonts w:hint="eastAsia" w:ascii="新宋体" w:hAnsi="新宋体" w:eastAsia="新宋体" w:cs="新宋体"/>
          <w:color w:val="auto"/>
          <w:kern w:val="0"/>
          <w:sz w:val="20"/>
          <w:szCs w:val="20"/>
          <w:highlight w:val="none"/>
        </w:rPr>
      </w:pPr>
    </w:p>
    <w:p>
      <w:pPr>
        <w:autoSpaceDE w:val="0"/>
        <w:autoSpaceDN w:val="0"/>
        <w:adjustRightInd w:val="0"/>
        <w:snapToGrid w:val="0"/>
        <w:spacing w:line="360" w:lineRule="auto"/>
        <w:jc w:val="left"/>
        <w:rPr>
          <w:rFonts w:hint="eastAsia" w:ascii="新宋体" w:hAnsi="新宋体" w:eastAsia="新宋体" w:cs="新宋体"/>
          <w:color w:val="auto"/>
          <w:kern w:val="0"/>
          <w:sz w:val="20"/>
          <w:szCs w:val="20"/>
          <w:highlight w:val="none"/>
        </w:rPr>
      </w:pPr>
    </w:p>
    <w:p>
      <w:pPr>
        <w:autoSpaceDE w:val="0"/>
        <w:autoSpaceDN w:val="0"/>
        <w:adjustRightInd w:val="0"/>
        <w:snapToGrid w:val="0"/>
        <w:spacing w:line="360" w:lineRule="auto"/>
        <w:jc w:val="left"/>
        <w:rPr>
          <w:rFonts w:hint="eastAsia" w:ascii="新宋体" w:hAnsi="新宋体" w:eastAsia="新宋体" w:cs="新宋体"/>
          <w:color w:val="auto"/>
          <w:kern w:val="0"/>
          <w:sz w:val="20"/>
          <w:szCs w:val="20"/>
          <w:highlight w:val="none"/>
        </w:rPr>
      </w:pPr>
    </w:p>
    <w:p>
      <w:pPr>
        <w:autoSpaceDE w:val="0"/>
        <w:autoSpaceDN w:val="0"/>
        <w:adjustRightInd w:val="0"/>
        <w:snapToGrid w:val="0"/>
        <w:spacing w:line="360" w:lineRule="auto"/>
        <w:jc w:val="center"/>
        <w:rPr>
          <w:rFonts w:hint="eastAsia" w:ascii="新宋体" w:hAnsi="新宋体" w:eastAsia="新宋体" w:cs="新宋体"/>
          <w:color w:val="auto"/>
          <w:kern w:val="0"/>
          <w:sz w:val="72"/>
          <w:szCs w:val="72"/>
          <w:highlight w:val="none"/>
        </w:rPr>
      </w:pPr>
      <w:r>
        <w:rPr>
          <w:rFonts w:hint="eastAsia" w:ascii="新宋体" w:hAnsi="新宋体" w:eastAsia="新宋体" w:cs="新宋体"/>
          <w:color w:val="auto"/>
          <w:kern w:val="0"/>
          <w:sz w:val="72"/>
          <w:szCs w:val="72"/>
          <w:highlight w:val="none"/>
        </w:rPr>
        <w:t>招 标 文 件</w:t>
      </w:r>
    </w:p>
    <w:p>
      <w:pPr>
        <w:autoSpaceDE w:val="0"/>
        <w:autoSpaceDN w:val="0"/>
        <w:adjustRightInd w:val="0"/>
        <w:snapToGrid w:val="0"/>
        <w:spacing w:line="360" w:lineRule="auto"/>
        <w:jc w:val="left"/>
        <w:rPr>
          <w:rFonts w:hint="eastAsia" w:ascii="新宋体" w:hAnsi="新宋体" w:eastAsia="新宋体" w:cs="新宋体"/>
          <w:color w:val="auto"/>
          <w:kern w:val="0"/>
          <w:sz w:val="10"/>
          <w:szCs w:val="10"/>
          <w:highlight w:val="none"/>
        </w:rPr>
      </w:pPr>
    </w:p>
    <w:p>
      <w:pPr>
        <w:autoSpaceDE w:val="0"/>
        <w:autoSpaceDN w:val="0"/>
        <w:adjustRightInd w:val="0"/>
        <w:snapToGrid w:val="0"/>
        <w:spacing w:line="360" w:lineRule="auto"/>
        <w:jc w:val="left"/>
        <w:rPr>
          <w:rFonts w:hint="eastAsia" w:ascii="新宋体" w:hAnsi="新宋体" w:eastAsia="新宋体" w:cs="新宋体"/>
          <w:color w:val="auto"/>
          <w:kern w:val="0"/>
          <w:sz w:val="20"/>
          <w:szCs w:val="20"/>
          <w:highlight w:val="none"/>
        </w:rPr>
      </w:pPr>
    </w:p>
    <w:p>
      <w:pPr>
        <w:autoSpaceDE w:val="0"/>
        <w:autoSpaceDN w:val="0"/>
        <w:adjustRightInd w:val="0"/>
        <w:snapToGrid w:val="0"/>
        <w:spacing w:line="360" w:lineRule="auto"/>
        <w:jc w:val="left"/>
        <w:rPr>
          <w:rFonts w:hint="eastAsia" w:ascii="新宋体" w:hAnsi="新宋体" w:eastAsia="新宋体" w:cs="新宋体"/>
          <w:color w:val="auto"/>
          <w:kern w:val="0"/>
          <w:sz w:val="20"/>
          <w:szCs w:val="20"/>
          <w:highlight w:val="none"/>
        </w:rPr>
      </w:pPr>
    </w:p>
    <w:p>
      <w:pPr>
        <w:autoSpaceDE w:val="0"/>
        <w:autoSpaceDN w:val="0"/>
        <w:adjustRightInd w:val="0"/>
        <w:snapToGrid w:val="0"/>
        <w:spacing w:line="360" w:lineRule="auto"/>
        <w:jc w:val="center"/>
        <w:rPr>
          <w:rFonts w:hint="eastAsia" w:ascii="新宋体" w:hAnsi="新宋体" w:eastAsia="新宋体" w:cs="新宋体"/>
          <w:color w:val="auto"/>
          <w:kern w:val="0"/>
          <w:sz w:val="20"/>
          <w:szCs w:val="20"/>
          <w:highlight w:val="none"/>
        </w:rPr>
      </w:pPr>
    </w:p>
    <w:p>
      <w:pPr>
        <w:pStyle w:val="2"/>
        <w:rPr>
          <w:rFonts w:hint="eastAsia"/>
        </w:rPr>
      </w:pPr>
    </w:p>
    <w:p>
      <w:pPr>
        <w:autoSpaceDE w:val="0"/>
        <w:autoSpaceDN w:val="0"/>
        <w:adjustRightInd w:val="0"/>
        <w:snapToGrid w:val="0"/>
        <w:spacing w:line="360" w:lineRule="auto"/>
        <w:jc w:val="left"/>
        <w:rPr>
          <w:rFonts w:hint="eastAsia" w:ascii="新宋体" w:hAnsi="新宋体" w:eastAsia="新宋体" w:cs="新宋体"/>
          <w:color w:val="auto"/>
          <w:kern w:val="0"/>
          <w:sz w:val="20"/>
          <w:szCs w:val="20"/>
          <w:highlight w:val="none"/>
        </w:rPr>
      </w:pPr>
    </w:p>
    <w:p>
      <w:pPr>
        <w:autoSpaceDE w:val="0"/>
        <w:autoSpaceDN w:val="0"/>
        <w:adjustRightInd w:val="0"/>
        <w:snapToGrid w:val="0"/>
        <w:spacing w:line="360" w:lineRule="auto"/>
        <w:jc w:val="left"/>
        <w:rPr>
          <w:rFonts w:hint="eastAsia" w:ascii="新宋体" w:hAnsi="新宋体" w:eastAsia="新宋体" w:cs="新宋体"/>
          <w:color w:val="auto"/>
          <w:kern w:val="0"/>
          <w:sz w:val="20"/>
          <w:szCs w:val="20"/>
          <w:highlight w:val="none"/>
        </w:rPr>
      </w:pPr>
    </w:p>
    <w:p>
      <w:pPr>
        <w:autoSpaceDE w:val="0"/>
        <w:autoSpaceDN w:val="0"/>
        <w:adjustRightInd w:val="0"/>
        <w:snapToGrid w:val="0"/>
        <w:spacing w:line="360" w:lineRule="auto"/>
        <w:rPr>
          <w:rFonts w:hint="eastAsia" w:ascii="新宋体" w:hAnsi="新宋体" w:eastAsia="新宋体" w:cs="新宋体"/>
          <w:color w:val="auto"/>
          <w:kern w:val="0"/>
          <w:sz w:val="20"/>
          <w:szCs w:val="20"/>
          <w:highlight w:val="none"/>
        </w:rPr>
      </w:pPr>
    </w:p>
    <w:p>
      <w:pPr>
        <w:autoSpaceDE w:val="0"/>
        <w:autoSpaceDN w:val="0"/>
        <w:adjustRightInd w:val="0"/>
        <w:snapToGrid w:val="0"/>
        <w:spacing w:line="360" w:lineRule="auto"/>
        <w:jc w:val="left"/>
        <w:rPr>
          <w:rFonts w:hint="eastAsia" w:ascii="新宋体" w:hAnsi="新宋体" w:eastAsia="新宋体" w:cs="新宋体"/>
          <w:color w:val="auto"/>
          <w:kern w:val="0"/>
          <w:sz w:val="20"/>
          <w:szCs w:val="20"/>
          <w:highlight w:val="none"/>
        </w:rPr>
      </w:pPr>
    </w:p>
    <w:p>
      <w:pPr>
        <w:autoSpaceDE w:val="0"/>
        <w:autoSpaceDN w:val="0"/>
        <w:adjustRightInd w:val="0"/>
        <w:snapToGrid w:val="0"/>
        <w:spacing w:line="360" w:lineRule="auto"/>
        <w:rPr>
          <w:rFonts w:hint="eastAsia" w:ascii="新宋体" w:hAnsi="新宋体" w:eastAsia="新宋体" w:cs="新宋体"/>
          <w:color w:val="auto"/>
          <w:kern w:val="0"/>
          <w:sz w:val="20"/>
          <w:szCs w:val="20"/>
          <w:highlight w:val="none"/>
        </w:rPr>
      </w:pPr>
    </w:p>
    <w:p>
      <w:pPr>
        <w:autoSpaceDE w:val="0"/>
        <w:autoSpaceDN w:val="0"/>
        <w:adjustRightInd w:val="0"/>
        <w:snapToGrid w:val="0"/>
        <w:spacing w:line="360" w:lineRule="auto"/>
        <w:rPr>
          <w:rFonts w:hint="eastAsia" w:ascii="新宋体" w:hAnsi="新宋体" w:eastAsia="新宋体" w:cs="新宋体"/>
          <w:color w:val="auto"/>
          <w:kern w:val="0"/>
          <w:sz w:val="20"/>
          <w:szCs w:val="20"/>
          <w:highlight w:val="none"/>
        </w:rPr>
      </w:pPr>
    </w:p>
    <w:p>
      <w:pPr>
        <w:tabs>
          <w:tab w:val="left" w:pos="6252"/>
        </w:tabs>
        <w:autoSpaceDE w:val="0"/>
        <w:autoSpaceDN w:val="0"/>
        <w:adjustRightInd w:val="0"/>
        <w:snapToGrid w:val="0"/>
        <w:spacing w:line="360" w:lineRule="auto"/>
        <w:jc w:val="both"/>
        <w:rPr>
          <w:rFonts w:hint="eastAsia" w:ascii="新宋体" w:hAnsi="新宋体" w:eastAsia="新宋体" w:cs="新宋体"/>
          <w:bCs/>
          <w:color w:val="auto"/>
          <w:spacing w:val="8"/>
          <w:kern w:val="0"/>
          <w:sz w:val="28"/>
          <w:szCs w:val="28"/>
          <w:highlight w:val="none"/>
        </w:rPr>
      </w:pPr>
    </w:p>
    <w:p>
      <w:pPr>
        <w:tabs>
          <w:tab w:val="left" w:pos="6252"/>
        </w:tabs>
        <w:autoSpaceDE w:val="0"/>
        <w:autoSpaceDN w:val="0"/>
        <w:adjustRightInd w:val="0"/>
        <w:snapToGrid w:val="0"/>
        <w:spacing w:line="360" w:lineRule="auto"/>
        <w:ind w:firstLine="888" w:firstLineChars="300"/>
        <w:jc w:val="both"/>
        <w:rPr>
          <w:rFonts w:hint="eastAsia" w:ascii="新宋体" w:hAnsi="新宋体" w:eastAsia="新宋体" w:cs="新宋体"/>
          <w:bCs/>
          <w:color w:val="auto"/>
          <w:spacing w:val="8"/>
          <w:kern w:val="0"/>
          <w:sz w:val="28"/>
          <w:szCs w:val="28"/>
          <w:highlight w:val="none"/>
        </w:rPr>
      </w:pPr>
      <w:r>
        <w:rPr>
          <w:rFonts w:hint="eastAsia" w:ascii="新宋体" w:hAnsi="新宋体" w:eastAsia="新宋体" w:cs="新宋体"/>
          <w:bCs/>
          <w:color w:val="auto"/>
          <w:spacing w:val="8"/>
          <w:kern w:val="0"/>
          <w:sz w:val="28"/>
          <w:szCs w:val="28"/>
          <w:highlight w:val="none"/>
        </w:rPr>
        <w:t>招标人：</w:t>
      </w:r>
      <w:r>
        <w:rPr>
          <w:rFonts w:hint="eastAsia" w:ascii="新宋体" w:hAnsi="新宋体" w:eastAsia="新宋体" w:cs="新宋体"/>
          <w:bCs/>
          <w:color w:val="auto"/>
          <w:spacing w:val="8"/>
          <w:kern w:val="0"/>
          <w:sz w:val="28"/>
          <w:szCs w:val="28"/>
          <w:highlight w:val="none"/>
          <w:u w:val="single"/>
        </w:rPr>
        <w:t>重庆渝蓉高速中油能源发展有限公司</w:t>
      </w:r>
      <w:r>
        <w:rPr>
          <w:rFonts w:hint="eastAsia" w:ascii="新宋体" w:hAnsi="新宋体" w:eastAsia="新宋体" w:cs="新宋体"/>
          <w:bCs/>
          <w:color w:val="auto"/>
          <w:spacing w:val="8"/>
          <w:kern w:val="0"/>
          <w:sz w:val="28"/>
          <w:szCs w:val="28"/>
          <w:highlight w:val="none"/>
        </w:rPr>
        <w:t>（盖单位法人章）</w:t>
      </w:r>
    </w:p>
    <w:p>
      <w:pPr>
        <w:tabs>
          <w:tab w:val="left" w:pos="6252"/>
        </w:tabs>
        <w:autoSpaceDE w:val="0"/>
        <w:autoSpaceDN w:val="0"/>
        <w:adjustRightInd w:val="0"/>
        <w:snapToGrid w:val="0"/>
        <w:spacing w:line="360" w:lineRule="auto"/>
        <w:ind w:firstLine="888" w:firstLineChars="300"/>
        <w:jc w:val="both"/>
        <w:rPr>
          <w:rFonts w:hint="eastAsia" w:ascii="新宋体" w:hAnsi="新宋体" w:eastAsia="新宋体" w:cs="新宋体"/>
          <w:bCs/>
          <w:color w:val="auto"/>
          <w:w w:val="99"/>
          <w:kern w:val="0"/>
          <w:sz w:val="28"/>
          <w:szCs w:val="28"/>
          <w:highlight w:val="none"/>
        </w:rPr>
      </w:pPr>
      <w:r>
        <w:rPr>
          <w:rFonts w:hint="eastAsia" w:ascii="新宋体" w:hAnsi="新宋体" w:eastAsia="新宋体" w:cs="新宋体"/>
          <w:bCs/>
          <w:color w:val="auto"/>
          <w:spacing w:val="8"/>
          <w:kern w:val="0"/>
          <w:sz w:val="28"/>
          <w:szCs w:val="28"/>
          <w:highlight w:val="none"/>
        </w:rPr>
        <w:t>招标代理机构：</w:t>
      </w:r>
      <w:r>
        <w:rPr>
          <w:rFonts w:hint="eastAsia" w:ascii="新宋体" w:hAnsi="新宋体" w:eastAsia="新宋体" w:cs="新宋体"/>
          <w:bCs/>
          <w:color w:val="auto"/>
          <w:spacing w:val="8"/>
          <w:kern w:val="0"/>
          <w:sz w:val="28"/>
          <w:szCs w:val="28"/>
          <w:highlight w:val="none"/>
          <w:u w:val="single"/>
        </w:rPr>
        <w:t>重庆市投资咨询有限公司</w:t>
      </w:r>
      <w:r>
        <w:rPr>
          <w:rFonts w:hint="eastAsia" w:ascii="新宋体" w:hAnsi="新宋体" w:eastAsia="新宋体" w:cs="新宋体"/>
          <w:bCs/>
          <w:color w:val="auto"/>
          <w:w w:val="99"/>
          <w:kern w:val="0"/>
          <w:sz w:val="28"/>
          <w:szCs w:val="28"/>
          <w:highlight w:val="none"/>
        </w:rPr>
        <w:t>（盖单位法人章）</w:t>
      </w:r>
    </w:p>
    <w:p>
      <w:pPr>
        <w:autoSpaceDE w:val="0"/>
        <w:autoSpaceDN w:val="0"/>
        <w:adjustRightInd w:val="0"/>
        <w:snapToGrid w:val="0"/>
        <w:spacing w:line="360" w:lineRule="auto"/>
        <w:jc w:val="center"/>
        <w:rPr>
          <w:rFonts w:hint="eastAsia" w:ascii="新宋体" w:hAnsi="新宋体" w:eastAsia="新宋体" w:cs="新宋体"/>
          <w:bCs/>
          <w:color w:val="auto"/>
          <w:kern w:val="0"/>
          <w:sz w:val="20"/>
          <w:szCs w:val="20"/>
          <w:highlight w:val="none"/>
        </w:rPr>
      </w:pPr>
    </w:p>
    <w:p>
      <w:pPr>
        <w:autoSpaceDE w:val="0"/>
        <w:autoSpaceDN w:val="0"/>
        <w:adjustRightInd w:val="0"/>
        <w:snapToGrid w:val="0"/>
        <w:spacing w:line="360" w:lineRule="auto"/>
        <w:rPr>
          <w:rFonts w:hint="eastAsia" w:ascii="新宋体" w:hAnsi="新宋体" w:eastAsia="新宋体" w:cs="新宋体"/>
          <w:bCs/>
          <w:color w:val="auto"/>
          <w:kern w:val="0"/>
          <w:sz w:val="20"/>
          <w:szCs w:val="20"/>
          <w:highlight w:val="none"/>
        </w:rPr>
      </w:pPr>
    </w:p>
    <w:p>
      <w:pPr>
        <w:tabs>
          <w:tab w:val="left" w:pos="6252"/>
        </w:tabs>
        <w:autoSpaceDE w:val="0"/>
        <w:autoSpaceDN w:val="0"/>
        <w:adjustRightInd w:val="0"/>
        <w:snapToGrid w:val="0"/>
        <w:spacing w:line="360" w:lineRule="auto"/>
        <w:jc w:val="center"/>
        <w:rPr>
          <w:rFonts w:hint="eastAsia" w:ascii="新宋体" w:hAnsi="新宋体" w:eastAsia="新宋体" w:cs="新宋体"/>
          <w:bCs/>
          <w:color w:val="auto"/>
          <w:spacing w:val="8"/>
          <w:kern w:val="0"/>
          <w:sz w:val="28"/>
          <w:szCs w:val="28"/>
          <w:highlight w:val="none"/>
        </w:rPr>
      </w:pPr>
      <w:bookmarkStart w:id="1" w:name="_Toc13210649"/>
      <w:bookmarkStart w:id="2" w:name="_Toc536797277"/>
      <w:bookmarkStart w:id="3" w:name="_Toc536796736"/>
      <w:bookmarkStart w:id="4" w:name="_Toc536621766"/>
      <w:bookmarkStart w:id="5" w:name="_Toc509218549"/>
      <w:r>
        <w:rPr>
          <w:rFonts w:hint="eastAsia" w:ascii="新宋体" w:hAnsi="新宋体" w:eastAsia="新宋体" w:cs="新宋体"/>
          <w:bCs/>
          <w:color w:val="auto"/>
          <w:spacing w:val="8"/>
          <w:kern w:val="0"/>
          <w:sz w:val="28"/>
          <w:szCs w:val="28"/>
          <w:highlight w:val="none"/>
          <w:u w:val="single"/>
          <w:lang w:val="en-US" w:eastAsia="zh-CN"/>
        </w:rPr>
        <w:t>2023</w:t>
      </w:r>
      <w:r>
        <w:rPr>
          <w:rFonts w:hint="eastAsia" w:ascii="新宋体" w:hAnsi="新宋体" w:eastAsia="新宋体" w:cs="新宋体"/>
          <w:bCs/>
          <w:color w:val="auto"/>
          <w:spacing w:val="8"/>
          <w:kern w:val="0"/>
          <w:sz w:val="28"/>
          <w:szCs w:val="28"/>
          <w:highlight w:val="none"/>
        </w:rPr>
        <w:t>年</w:t>
      </w:r>
      <w:r>
        <w:rPr>
          <w:rFonts w:hint="eastAsia" w:ascii="新宋体" w:hAnsi="新宋体" w:eastAsia="新宋体" w:cs="新宋体"/>
          <w:bCs/>
          <w:color w:val="auto"/>
          <w:spacing w:val="8"/>
          <w:kern w:val="0"/>
          <w:sz w:val="28"/>
          <w:szCs w:val="28"/>
          <w:highlight w:val="none"/>
          <w:u w:val="single"/>
          <w:lang w:val="en-US" w:eastAsia="zh-CN"/>
        </w:rPr>
        <w:t xml:space="preserve"> 5 </w:t>
      </w:r>
      <w:r>
        <w:rPr>
          <w:rFonts w:hint="eastAsia" w:ascii="新宋体" w:hAnsi="新宋体" w:eastAsia="新宋体" w:cs="新宋体"/>
          <w:bCs/>
          <w:color w:val="auto"/>
          <w:spacing w:val="8"/>
          <w:kern w:val="0"/>
          <w:sz w:val="28"/>
          <w:szCs w:val="28"/>
          <w:highlight w:val="none"/>
        </w:rPr>
        <w:t>月</w:t>
      </w:r>
      <w:bookmarkEnd w:id="1"/>
      <w:bookmarkEnd w:id="2"/>
      <w:bookmarkEnd w:id="3"/>
      <w:bookmarkEnd w:id="4"/>
      <w:bookmarkEnd w:id="5"/>
    </w:p>
    <w:p>
      <w:pPr>
        <w:pStyle w:val="65"/>
        <w:jc w:val="center"/>
        <w:rPr>
          <w:rFonts w:hint="eastAsia" w:ascii="新宋体" w:hAnsi="新宋体" w:eastAsia="新宋体" w:cs="新宋体"/>
          <w:color w:val="auto"/>
          <w:sz w:val="44"/>
          <w:szCs w:val="44"/>
          <w:highlight w:val="none"/>
          <w:lang w:val="zh-CN"/>
        </w:rPr>
        <w:sectPr>
          <w:headerReference r:id="rId3" w:type="default"/>
          <w:pgSz w:w="11907" w:h="16840"/>
          <w:pgMar w:top="1304" w:right="1134" w:bottom="1304" w:left="1304" w:header="851" w:footer="992" w:gutter="0"/>
          <w:pgNumType w:fmt="numberInDash" w:start="1"/>
          <w:cols w:space="720" w:num="1"/>
          <w:docGrid w:linePitch="312" w:charSpace="0"/>
        </w:sectPr>
      </w:pPr>
      <w:bookmarkStart w:id="6" w:name="_Toc23843"/>
    </w:p>
    <w:p>
      <w:pPr>
        <w:pStyle w:val="65"/>
        <w:jc w:val="center"/>
        <w:rPr>
          <w:rFonts w:hint="eastAsia" w:ascii="新宋体" w:hAnsi="新宋体" w:eastAsia="新宋体" w:cs="新宋体"/>
          <w:color w:val="auto"/>
          <w:sz w:val="44"/>
          <w:szCs w:val="44"/>
          <w:highlight w:val="none"/>
        </w:rPr>
      </w:pPr>
      <w:r>
        <w:rPr>
          <w:rFonts w:hint="eastAsia" w:ascii="新宋体" w:hAnsi="新宋体" w:eastAsia="新宋体" w:cs="新宋体"/>
          <w:color w:val="auto"/>
          <w:sz w:val="44"/>
          <w:szCs w:val="44"/>
          <w:highlight w:val="none"/>
          <w:lang w:val="zh-CN"/>
        </w:rPr>
        <w:t>目 录</w:t>
      </w:r>
      <w:bookmarkEnd w:id="6"/>
    </w:p>
    <w:p>
      <w:pPr>
        <w:pStyle w:val="32"/>
        <w:tabs>
          <w:tab w:val="right" w:leader="dot" w:pos="9459"/>
        </w:tabs>
        <w:spacing w:line="360" w:lineRule="auto"/>
        <w:rPr>
          <w:rFonts w:hint="eastAsia" w:ascii="新宋体" w:hAnsi="新宋体" w:eastAsia="新宋体" w:cs="新宋体"/>
          <w:b w:val="0"/>
          <w:bCs w:val="0"/>
          <w:caps w:val="0"/>
          <w:color w:val="auto"/>
          <w:sz w:val="24"/>
          <w:szCs w:val="24"/>
          <w:highlight w:val="none"/>
        </w:rPr>
      </w:pPr>
      <w:r>
        <w:rPr>
          <w:rFonts w:hint="eastAsia" w:ascii="新宋体" w:hAnsi="新宋体" w:eastAsia="新宋体" w:cs="新宋体"/>
          <w:b w:val="0"/>
          <w:bCs w:val="0"/>
          <w:color w:val="auto"/>
          <w:sz w:val="24"/>
          <w:szCs w:val="24"/>
          <w:highlight w:val="none"/>
        </w:rPr>
        <w:fldChar w:fldCharType="begin"/>
      </w:r>
      <w:r>
        <w:rPr>
          <w:rFonts w:hint="eastAsia" w:ascii="新宋体" w:hAnsi="新宋体" w:eastAsia="新宋体" w:cs="新宋体"/>
          <w:b w:val="0"/>
          <w:bCs w:val="0"/>
          <w:color w:val="auto"/>
          <w:sz w:val="24"/>
          <w:szCs w:val="24"/>
          <w:highlight w:val="none"/>
        </w:rPr>
        <w:instrText xml:space="preserve"> TOC \o "1-3" \h \z \u </w:instrText>
      </w:r>
      <w:r>
        <w:rPr>
          <w:rFonts w:hint="eastAsia" w:ascii="新宋体" w:hAnsi="新宋体" w:eastAsia="新宋体" w:cs="新宋体"/>
          <w:b w:val="0"/>
          <w:bCs w:val="0"/>
          <w:color w:val="auto"/>
          <w:sz w:val="24"/>
          <w:szCs w:val="24"/>
          <w:highlight w:val="none"/>
        </w:rPr>
        <w:fldChar w:fldCharType="separate"/>
      </w:r>
      <w:r>
        <w:rPr>
          <w:rFonts w:hint="eastAsia" w:ascii="新宋体" w:hAnsi="新宋体" w:eastAsia="新宋体" w:cs="新宋体"/>
          <w:b w:val="0"/>
          <w:bCs w:val="0"/>
          <w:color w:val="auto"/>
          <w:sz w:val="24"/>
          <w:szCs w:val="24"/>
          <w:highlight w:val="none"/>
        </w:rPr>
        <w:fldChar w:fldCharType="begin"/>
      </w:r>
      <w:r>
        <w:rPr>
          <w:rFonts w:hint="eastAsia" w:ascii="新宋体" w:hAnsi="新宋体" w:eastAsia="新宋体" w:cs="新宋体"/>
          <w:b w:val="0"/>
          <w:bCs w:val="0"/>
          <w:color w:val="auto"/>
          <w:sz w:val="24"/>
          <w:szCs w:val="24"/>
          <w:highlight w:val="none"/>
        </w:rPr>
        <w:instrText xml:space="preserve"> HYPERLINK \l "_Toc57820541" </w:instrText>
      </w:r>
      <w:r>
        <w:rPr>
          <w:rFonts w:hint="eastAsia" w:ascii="新宋体" w:hAnsi="新宋体" w:eastAsia="新宋体" w:cs="新宋体"/>
          <w:b w:val="0"/>
          <w:bCs w:val="0"/>
          <w:color w:val="auto"/>
          <w:sz w:val="24"/>
          <w:szCs w:val="24"/>
          <w:highlight w:val="none"/>
        </w:rPr>
        <w:fldChar w:fldCharType="separate"/>
      </w:r>
      <w:r>
        <w:rPr>
          <w:rStyle w:val="55"/>
          <w:rFonts w:hint="eastAsia" w:ascii="新宋体" w:hAnsi="新宋体" w:eastAsia="新宋体" w:cs="新宋体"/>
          <w:b w:val="0"/>
          <w:bCs w:val="0"/>
          <w:snapToGrid w:val="0"/>
          <w:color w:val="auto"/>
          <w:kern w:val="0"/>
          <w:sz w:val="24"/>
          <w:szCs w:val="24"/>
          <w:highlight w:val="none"/>
        </w:rPr>
        <w:t>第一章  招标公告</w:t>
      </w:r>
      <w:r>
        <w:rPr>
          <w:rFonts w:hint="eastAsia" w:ascii="新宋体" w:hAnsi="新宋体" w:eastAsia="新宋体" w:cs="新宋体"/>
          <w:b w:val="0"/>
          <w:bCs w:val="0"/>
          <w:color w:val="auto"/>
          <w:sz w:val="24"/>
          <w:szCs w:val="24"/>
          <w:highlight w:val="none"/>
        </w:rPr>
        <w:tab/>
      </w:r>
      <w:r>
        <w:rPr>
          <w:rFonts w:hint="eastAsia" w:ascii="新宋体" w:hAnsi="新宋体" w:eastAsia="新宋体" w:cs="新宋体"/>
          <w:b w:val="0"/>
          <w:bCs w:val="0"/>
          <w:color w:val="auto"/>
          <w:sz w:val="24"/>
          <w:szCs w:val="24"/>
          <w:highlight w:val="none"/>
        </w:rPr>
        <w:fldChar w:fldCharType="begin"/>
      </w:r>
      <w:r>
        <w:rPr>
          <w:rFonts w:hint="eastAsia" w:ascii="新宋体" w:hAnsi="新宋体" w:eastAsia="新宋体" w:cs="新宋体"/>
          <w:b w:val="0"/>
          <w:bCs w:val="0"/>
          <w:color w:val="auto"/>
          <w:sz w:val="24"/>
          <w:szCs w:val="24"/>
          <w:highlight w:val="none"/>
        </w:rPr>
        <w:instrText xml:space="preserve"> PAGEREF _Toc57820541 \h </w:instrText>
      </w:r>
      <w:r>
        <w:rPr>
          <w:rFonts w:hint="eastAsia" w:ascii="新宋体" w:hAnsi="新宋体" w:eastAsia="新宋体" w:cs="新宋体"/>
          <w:b w:val="0"/>
          <w:bCs w:val="0"/>
          <w:color w:val="auto"/>
          <w:sz w:val="24"/>
          <w:szCs w:val="24"/>
          <w:highlight w:val="none"/>
        </w:rPr>
        <w:fldChar w:fldCharType="separate"/>
      </w:r>
      <w:r>
        <w:rPr>
          <w:rFonts w:hint="eastAsia" w:ascii="新宋体" w:hAnsi="新宋体" w:eastAsia="新宋体" w:cs="新宋体"/>
          <w:b w:val="0"/>
          <w:bCs w:val="0"/>
          <w:color w:val="auto"/>
          <w:sz w:val="24"/>
          <w:szCs w:val="24"/>
          <w:highlight w:val="none"/>
        </w:rPr>
        <w:t>2</w:t>
      </w:r>
      <w:r>
        <w:rPr>
          <w:rFonts w:hint="eastAsia" w:ascii="新宋体" w:hAnsi="新宋体" w:eastAsia="新宋体" w:cs="新宋体"/>
          <w:b w:val="0"/>
          <w:bCs w:val="0"/>
          <w:color w:val="auto"/>
          <w:sz w:val="24"/>
          <w:szCs w:val="24"/>
          <w:highlight w:val="none"/>
        </w:rPr>
        <w:fldChar w:fldCharType="end"/>
      </w:r>
      <w:r>
        <w:rPr>
          <w:rFonts w:hint="eastAsia" w:ascii="新宋体" w:hAnsi="新宋体" w:eastAsia="新宋体" w:cs="新宋体"/>
          <w:b w:val="0"/>
          <w:bCs w:val="0"/>
          <w:color w:val="auto"/>
          <w:sz w:val="24"/>
          <w:szCs w:val="24"/>
          <w:highlight w:val="none"/>
        </w:rPr>
        <w:fldChar w:fldCharType="end"/>
      </w:r>
    </w:p>
    <w:p>
      <w:pPr>
        <w:pStyle w:val="32"/>
        <w:tabs>
          <w:tab w:val="right" w:leader="dot" w:pos="9459"/>
        </w:tabs>
        <w:spacing w:line="360" w:lineRule="auto"/>
        <w:rPr>
          <w:rFonts w:hint="eastAsia" w:ascii="新宋体" w:hAnsi="新宋体" w:eastAsia="新宋体" w:cs="新宋体"/>
          <w:b w:val="0"/>
          <w:bCs w:val="0"/>
          <w:caps w:val="0"/>
          <w:color w:val="auto"/>
          <w:sz w:val="24"/>
          <w:szCs w:val="24"/>
          <w:highlight w:val="none"/>
        </w:rPr>
      </w:pPr>
      <w:r>
        <w:rPr>
          <w:rFonts w:hint="eastAsia" w:ascii="新宋体" w:hAnsi="新宋体" w:eastAsia="新宋体" w:cs="新宋体"/>
          <w:b w:val="0"/>
          <w:bCs w:val="0"/>
          <w:color w:val="auto"/>
          <w:sz w:val="24"/>
          <w:szCs w:val="24"/>
          <w:highlight w:val="none"/>
        </w:rPr>
        <w:fldChar w:fldCharType="begin"/>
      </w:r>
      <w:r>
        <w:rPr>
          <w:rFonts w:hint="eastAsia" w:ascii="新宋体" w:hAnsi="新宋体" w:eastAsia="新宋体" w:cs="新宋体"/>
          <w:b w:val="0"/>
          <w:bCs w:val="0"/>
          <w:color w:val="auto"/>
          <w:sz w:val="24"/>
          <w:szCs w:val="24"/>
          <w:highlight w:val="none"/>
        </w:rPr>
        <w:instrText xml:space="preserve"> HYPERLINK \l "_Toc57820558" </w:instrText>
      </w:r>
      <w:r>
        <w:rPr>
          <w:rFonts w:hint="eastAsia" w:ascii="新宋体" w:hAnsi="新宋体" w:eastAsia="新宋体" w:cs="新宋体"/>
          <w:b w:val="0"/>
          <w:bCs w:val="0"/>
          <w:color w:val="auto"/>
          <w:sz w:val="24"/>
          <w:szCs w:val="24"/>
          <w:highlight w:val="none"/>
        </w:rPr>
        <w:fldChar w:fldCharType="separate"/>
      </w:r>
      <w:r>
        <w:rPr>
          <w:rStyle w:val="55"/>
          <w:rFonts w:hint="eastAsia" w:ascii="新宋体" w:hAnsi="新宋体" w:eastAsia="新宋体" w:cs="新宋体"/>
          <w:b w:val="0"/>
          <w:bCs w:val="0"/>
          <w:snapToGrid w:val="0"/>
          <w:color w:val="auto"/>
          <w:kern w:val="0"/>
          <w:sz w:val="24"/>
          <w:szCs w:val="24"/>
          <w:highlight w:val="none"/>
        </w:rPr>
        <w:t>第二章  投标人须知</w:t>
      </w:r>
      <w:r>
        <w:rPr>
          <w:rFonts w:hint="eastAsia" w:ascii="新宋体" w:hAnsi="新宋体" w:eastAsia="新宋体" w:cs="新宋体"/>
          <w:b w:val="0"/>
          <w:bCs w:val="0"/>
          <w:color w:val="auto"/>
          <w:sz w:val="24"/>
          <w:szCs w:val="24"/>
          <w:highlight w:val="none"/>
        </w:rPr>
        <w:tab/>
      </w:r>
      <w:r>
        <w:rPr>
          <w:rFonts w:hint="eastAsia" w:ascii="新宋体" w:hAnsi="新宋体" w:eastAsia="新宋体" w:cs="新宋体"/>
          <w:b w:val="0"/>
          <w:bCs w:val="0"/>
          <w:color w:val="auto"/>
          <w:sz w:val="24"/>
          <w:szCs w:val="24"/>
          <w:highlight w:val="none"/>
        </w:rPr>
        <w:fldChar w:fldCharType="begin"/>
      </w:r>
      <w:r>
        <w:rPr>
          <w:rFonts w:hint="eastAsia" w:ascii="新宋体" w:hAnsi="新宋体" w:eastAsia="新宋体" w:cs="新宋体"/>
          <w:b w:val="0"/>
          <w:bCs w:val="0"/>
          <w:color w:val="auto"/>
          <w:sz w:val="24"/>
          <w:szCs w:val="24"/>
          <w:highlight w:val="none"/>
        </w:rPr>
        <w:instrText xml:space="preserve"> PAGEREF _Toc57820558 \h </w:instrText>
      </w:r>
      <w:r>
        <w:rPr>
          <w:rFonts w:hint="eastAsia" w:ascii="新宋体" w:hAnsi="新宋体" w:eastAsia="新宋体" w:cs="新宋体"/>
          <w:b w:val="0"/>
          <w:bCs w:val="0"/>
          <w:color w:val="auto"/>
          <w:sz w:val="24"/>
          <w:szCs w:val="24"/>
          <w:highlight w:val="none"/>
        </w:rPr>
        <w:fldChar w:fldCharType="separate"/>
      </w:r>
      <w:r>
        <w:rPr>
          <w:rFonts w:hint="eastAsia" w:ascii="新宋体" w:hAnsi="新宋体" w:eastAsia="新宋体" w:cs="新宋体"/>
          <w:b w:val="0"/>
          <w:bCs w:val="0"/>
          <w:color w:val="auto"/>
          <w:sz w:val="24"/>
          <w:szCs w:val="24"/>
          <w:highlight w:val="none"/>
        </w:rPr>
        <w:t>4</w:t>
      </w:r>
      <w:r>
        <w:rPr>
          <w:rFonts w:hint="eastAsia" w:ascii="新宋体" w:hAnsi="新宋体" w:eastAsia="新宋体" w:cs="新宋体"/>
          <w:b w:val="0"/>
          <w:bCs w:val="0"/>
          <w:color w:val="auto"/>
          <w:sz w:val="24"/>
          <w:szCs w:val="24"/>
          <w:highlight w:val="none"/>
        </w:rPr>
        <w:fldChar w:fldCharType="end"/>
      </w:r>
      <w:r>
        <w:rPr>
          <w:rFonts w:hint="eastAsia" w:ascii="新宋体" w:hAnsi="新宋体" w:eastAsia="新宋体" w:cs="新宋体"/>
          <w:b w:val="0"/>
          <w:bCs w:val="0"/>
          <w:color w:val="auto"/>
          <w:sz w:val="24"/>
          <w:szCs w:val="24"/>
          <w:highlight w:val="none"/>
        </w:rPr>
        <w:fldChar w:fldCharType="end"/>
      </w:r>
    </w:p>
    <w:p>
      <w:pPr>
        <w:pStyle w:val="32"/>
        <w:tabs>
          <w:tab w:val="right" w:leader="dot" w:pos="9459"/>
        </w:tabs>
        <w:spacing w:line="360" w:lineRule="auto"/>
        <w:rPr>
          <w:rFonts w:hint="eastAsia" w:ascii="新宋体" w:hAnsi="新宋体" w:eastAsia="新宋体" w:cs="新宋体"/>
          <w:b w:val="0"/>
          <w:bCs w:val="0"/>
          <w:caps w:val="0"/>
          <w:color w:val="auto"/>
          <w:sz w:val="24"/>
          <w:szCs w:val="24"/>
          <w:highlight w:val="none"/>
        </w:rPr>
      </w:pPr>
      <w:r>
        <w:rPr>
          <w:rFonts w:hint="eastAsia" w:ascii="新宋体" w:hAnsi="新宋体" w:eastAsia="新宋体" w:cs="新宋体"/>
          <w:b w:val="0"/>
          <w:bCs w:val="0"/>
          <w:color w:val="auto"/>
          <w:sz w:val="24"/>
          <w:szCs w:val="24"/>
          <w:highlight w:val="none"/>
        </w:rPr>
        <w:fldChar w:fldCharType="begin"/>
      </w:r>
      <w:r>
        <w:rPr>
          <w:rFonts w:hint="eastAsia" w:ascii="新宋体" w:hAnsi="新宋体" w:eastAsia="新宋体" w:cs="新宋体"/>
          <w:b w:val="0"/>
          <w:bCs w:val="0"/>
          <w:color w:val="auto"/>
          <w:sz w:val="24"/>
          <w:szCs w:val="24"/>
          <w:highlight w:val="none"/>
        </w:rPr>
        <w:instrText xml:space="preserve"> HYPERLINK \l "_Toc57820625" </w:instrText>
      </w:r>
      <w:r>
        <w:rPr>
          <w:rFonts w:hint="eastAsia" w:ascii="新宋体" w:hAnsi="新宋体" w:eastAsia="新宋体" w:cs="新宋体"/>
          <w:b w:val="0"/>
          <w:bCs w:val="0"/>
          <w:color w:val="auto"/>
          <w:sz w:val="24"/>
          <w:szCs w:val="24"/>
          <w:highlight w:val="none"/>
        </w:rPr>
        <w:fldChar w:fldCharType="separate"/>
      </w:r>
      <w:r>
        <w:rPr>
          <w:rStyle w:val="55"/>
          <w:rFonts w:hint="eastAsia" w:ascii="新宋体" w:hAnsi="新宋体" w:eastAsia="新宋体" w:cs="新宋体"/>
          <w:b w:val="0"/>
          <w:bCs w:val="0"/>
          <w:color w:val="auto"/>
          <w:sz w:val="24"/>
          <w:szCs w:val="24"/>
          <w:highlight w:val="none"/>
        </w:rPr>
        <w:t>第三章  评标办法（综合评估法）</w:t>
      </w:r>
      <w:r>
        <w:rPr>
          <w:rFonts w:hint="eastAsia" w:ascii="新宋体" w:hAnsi="新宋体" w:eastAsia="新宋体" w:cs="新宋体"/>
          <w:b w:val="0"/>
          <w:bCs w:val="0"/>
          <w:color w:val="auto"/>
          <w:sz w:val="24"/>
          <w:szCs w:val="24"/>
          <w:highlight w:val="none"/>
        </w:rPr>
        <w:tab/>
      </w:r>
      <w:r>
        <w:rPr>
          <w:rFonts w:hint="eastAsia" w:ascii="新宋体" w:hAnsi="新宋体" w:eastAsia="新宋体" w:cs="新宋体"/>
          <w:b w:val="0"/>
          <w:bCs w:val="0"/>
          <w:color w:val="auto"/>
          <w:sz w:val="24"/>
          <w:szCs w:val="24"/>
          <w:highlight w:val="none"/>
        </w:rPr>
        <w:fldChar w:fldCharType="begin"/>
      </w:r>
      <w:r>
        <w:rPr>
          <w:rFonts w:hint="eastAsia" w:ascii="新宋体" w:hAnsi="新宋体" w:eastAsia="新宋体" w:cs="新宋体"/>
          <w:b w:val="0"/>
          <w:bCs w:val="0"/>
          <w:color w:val="auto"/>
          <w:sz w:val="24"/>
          <w:szCs w:val="24"/>
          <w:highlight w:val="none"/>
        </w:rPr>
        <w:instrText xml:space="preserve"> PAGEREF _Toc57820625 \h </w:instrText>
      </w:r>
      <w:r>
        <w:rPr>
          <w:rFonts w:hint="eastAsia" w:ascii="新宋体" w:hAnsi="新宋体" w:eastAsia="新宋体" w:cs="新宋体"/>
          <w:b w:val="0"/>
          <w:bCs w:val="0"/>
          <w:color w:val="auto"/>
          <w:sz w:val="24"/>
          <w:szCs w:val="24"/>
          <w:highlight w:val="none"/>
        </w:rPr>
        <w:fldChar w:fldCharType="separate"/>
      </w:r>
      <w:r>
        <w:rPr>
          <w:rFonts w:hint="eastAsia" w:ascii="新宋体" w:hAnsi="新宋体" w:eastAsia="新宋体" w:cs="新宋体"/>
          <w:b w:val="0"/>
          <w:bCs w:val="0"/>
          <w:color w:val="auto"/>
          <w:sz w:val="24"/>
          <w:szCs w:val="24"/>
          <w:highlight w:val="none"/>
        </w:rPr>
        <w:t>30</w:t>
      </w:r>
      <w:r>
        <w:rPr>
          <w:rFonts w:hint="eastAsia" w:ascii="新宋体" w:hAnsi="新宋体" w:eastAsia="新宋体" w:cs="新宋体"/>
          <w:b w:val="0"/>
          <w:bCs w:val="0"/>
          <w:color w:val="auto"/>
          <w:sz w:val="24"/>
          <w:szCs w:val="24"/>
          <w:highlight w:val="none"/>
        </w:rPr>
        <w:fldChar w:fldCharType="end"/>
      </w:r>
      <w:r>
        <w:rPr>
          <w:rFonts w:hint="eastAsia" w:ascii="新宋体" w:hAnsi="新宋体" w:eastAsia="新宋体" w:cs="新宋体"/>
          <w:b w:val="0"/>
          <w:bCs w:val="0"/>
          <w:color w:val="auto"/>
          <w:sz w:val="24"/>
          <w:szCs w:val="24"/>
          <w:highlight w:val="none"/>
        </w:rPr>
        <w:fldChar w:fldCharType="end"/>
      </w:r>
    </w:p>
    <w:p>
      <w:pPr>
        <w:pStyle w:val="32"/>
        <w:tabs>
          <w:tab w:val="right" w:leader="dot" w:pos="9459"/>
        </w:tabs>
        <w:spacing w:line="360" w:lineRule="auto"/>
        <w:rPr>
          <w:rFonts w:hint="eastAsia" w:ascii="新宋体" w:hAnsi="新宋体" w:eastAsia="新宋体" w:cs="新宋体"/>
          <w:b w:val="0"/>
          <w:bCs w:val="0"/>
          <w:caps w:val="0"/>
          <w:color w:val="auto"/>
          <w:sz w:val="24"/>
          <w:szCs w:val="24"/>
          <w:highlight w:val="none"/>
        </w:rPr>
      </w:pPr>
      <w:r>
        <w:rPr>
          <w:rFonts w:hint="eastAsia" w:ascii="新宋体" w:hAnsi="新宋体" w:eastAsia="新宋体" w:cs="新宋体"/>
          <w:b w:val="0"/>
          <w:bCs w:val="0"/>
          <w:color w:val="auto"/>
          <w:sz w:val="24"/>
          <w:szCs w:val="24"/>
          <w:highlight w:val="none"/>
        </w:rPr>
        <w:fldChar w:fldCharType="begin"/>
      </w:r>
      <w:r>
        <w:rPr>
          <w:rFonts w:hint="eastAsia" w:ascii="新宋体" w:hAnsi="新宋体" w:eastAsia="新宋体" w:cs="新宋体"/>
          <w:b w:val="0"/>
          <w:bCs w:val="0"/>
          <w:color w:val="auto"/>
          <w:sz w:val="24"/>
          <w:szCs w:val="24"/>
          <w:highlight w:val="none"/>
        </w:rPr>
        <w:instrText xml:space="preserve"> HYPERLINK \l "_Toc57820636" </w:instrText>
      </w:r>
      <w:r>
        <w:rPr>
          <w:rFonts w:hint="eastAsia" w:ascii="新宋体" w:hAnsi="新宋体" w:eastAsia="新宋体" w:cs="新宋体"/>
          <w:b w:val="0"/>
          <w:bCs w:val="0"/>
          <w:color w:val="auto"/>
          <w:sz w:val="24"/>
          <w:szCs w:val="24"/>
          <w:highlight w:val="none"/>
        </w:rPr>
        <w:fldChar w:fldCharType="separate"/>
      </w:r>
      <w:r>
        <w:rPr>
          <w:rStyle w:val="55"/>
          <w:rFonts w:hint="eastAsia" w:ascii="新宋体" w:hAnsi="新宋体" w:eastAsia="新宋体" w:cs="新宋体"/>
          <w:b w:val="0"/>
          <w:bCs w:val="0"/>
          <w:color w:val="auto"/>
          <w:kern w:val="0"/>
          <w:sz w:val="24"/>
          <w:szCs w:val="24"/>
          <w:highlight w:val="none"/>
        </w:rPr>
        <w:t>第四章  合同条款及格式</w:t>
      </w:r>
      <w:r>
        <w:rPr>
          <w:rFonts w:hint="eastAsia" w:ascii="新宋体" w:hAnsi="新宋体" w:eastAsia="新宋体" w:cs="新宋体"/>
          <w:b w:val="0"/>
          <w:bCs w:val="0"/>
          <w:color w:val="auto"/>
          <w:sz w:val="24"/>
          <w:szCs w:val="24"/>
          <w:highlight w:val="none"/>
        </w:rPr>
        <w:tab/>
      </w:r>
      <w:r>
        <w:rPr>
          <w:rFonts w:hint="eastAsia" w:ascii="新宋体" w:hAnsi="新宋体" w:eastAsia="新宋体" w:cs="新宋体"/>
          <w:b w:val="0"/>
          <w:bCs w:val="0"/>
          <w:color w:val="auto"/>
          <w:sz w:val="24"/>
          <w:szCs w:val="24"/>
          <w:highlight w:val="none"/>
        </w:rPr>
        <w:fldChar w:fldCharType="begin"/>
      </w:r>
      <w:r>
        <w:rPr>
          <w:rFonts w:hint="eastAsia" w:ascii="新宋体" w:hAnsi="新宋体" w:eastAsia="新宋体" w:cs="新宋体"/>
          <w:b w:val="0"/>
          <w:bCs w:val="0"/>
          <w:color w:val="auto"/>
          <w:sz w:val="24"/>
          <w:szCs w:val="24"/>
          <w:highlight w:val="none"/>
        </w:rPr>
        <w:instrText xml:space="preserve"> PAGEREF _Toc57820636 \h </w:instrText>
      </w:r>
      <w:r>
        <w:rPr>
          <w:rFonts w:hint="eastAsia" w:ascii="新宋体" w:hAnsi="新宋体" w:eastAsia="新宋体" w:cs="新宋体"/>
          <w:b w:val="0"/>
          <w:bCs w:val="0"/>
          <w:color w:val="auto"/>
          <w:sz w:val="24"/>
          <w:szCs w:val="24"/>
          <w:highlight w:val="none"/>
        </w:rPr>
        <w:fldChar w:fldCharType="separate"/>
      </w:r>
      <w:r>
        <w:rPr>
          <w:rFonts w:hint="eastAsia" w:ascii="新宋体" w:hAnsi="新宋体" w:eastAsia="新宋体" w:cs="新宋体"/>
          <w:b w:val="0"/>
          <w:bCs w:val="0"/>
          <w:color w:val="auto"/>
          <w:sz w:val="24"/>
          <w:szCs w:val="24"/>
          <w:highlight w:val="none"/>
        </w:rPr>
        <w:t>40</w:t>
      </w:r>
      <w:r>
        <w:rPr>
          <w:rFonts w:hint="eastAsia" w:ascii="新宋体" w:hAnsi="新宋体" w:eastAsia="新宋体" w:cs="新宋体"/>
          <w:b w:val="0"/>
          <w:bCs w:val="0"/>
          <w:color w:val="auto"/>
          <w:sz w:val="24"/>
          <w:szCs w:val="24"/>
          <w:highlight w:val="none"/>
        </w:rPr>
        <w:fldChar w:fldCharType="end"/>
      </w:r>
      <w:r>
        <w:rPr>
          <w:rFonts w:hint="eastAsia" w:ascii="新宋体" w:hAnsi="新宋体" w:eastAsia="新宋体" w:cs="新宋体"/>
          <w:b w:val="0"/>
          <w:bCs w:val="0"/>
          <w:color w:val="auto"/>
          <w:sz w:val="24"/>
          <w:szCs w:val="24"/>
          <w:highlight w:val="none"/>
        </w:rPr>
        <w:fldChar w:fldCharType="end"/>
      </w:r>
    </w:p>
    <w:p>
      <w:pPr>
        <w:pStyle w:val="32"/>
        <w:tabs>
          <w:tab w:val="right" w:leader="dot" w:pos="9459"/>
        </w:tabs>
        <w:spacing w:line="360" w:lineRule="auto"/>
        <w:rPr>
          <w:rFonts w:hint="eastAsia" w:ascii="新宋体" w:hAnsi="新宋体" w:eastAsia="新宋体" w:cs="新宋体"/>
          <w:b w:val="0"/>
          <w:bCs w:val="0"/>
          <w:caps w:val="0"/>
          <w:color w:val="auto"/>
          <w:sz w:val="24"/>
          <w:szCs w:val="24"/>
          <w:highlight w:val="none"/>
        </w:rPr>
      </w:pPr>
      <w:r>
        <w:rPr>
          <w:rFonts w:hint="eastAsia" w:ascii="新宋体" w:hAnsi="新宋体" w:eastAsia="新宋体" w:cs="新宋体"/>
          <w:b w:val="0"/>
          <w:bCs w:val="0"/>
          <w:color w:val="auto"/>
          <w:sz w:val="24"/>
          <w:szCs w:val="24"/>
          <w:highlight w:val="none"/>
        </w:rPr>
        <w:fldChar w:fldCharType="begin"/>
      </w:r>
      <w:r>
        <w:rPr>
          <w:rFonts w:hint="eastAsia" w:ascii="新宋体" w:hAnsi="新宋体" w:eastAsia="新宋体" w:cs="新宋体"/>
          <w:b w:val="0"/>
          <w:bCs w:val="0"/>
          <w:color w:val="auto"/>
          <w:sz w:val="24"/>
          <w:szCs w:val="24"/>
          <w:highlight w:val="none"/>
        </w:rPr>
        <w:instrText xml:space="preserve"> HYPERLINK \l "_Toc57820644" </w:instrText>
      </w:r>
      <w:r>
        <w:rPr>
          <w:rFonts w:hint="eastAsia" w:ascii="新宋体" w:hAnsi="新宋体" w:eastAsia="新宋体" w:cs="新宋体"/>
          <w:b w:val="0"/>
          <w:bCs w:val="0"/>
          <w:color w:val="auto"/>
          <w:sz w:val="24"/>
          <w:szCs w:val="24"/>
          <w:highlight w:val="none"/>
        </w:rPr>
        <w:fldChar w:fldCharType="separate"/>
      </w:r>
      <w:r>
        <w:rPr>
          <w:rStyle w:val="55"/>
          <w:rFonts w:hint="eastAsia" w:ascii="新宋体" w:hAnsi="新宋体" w:eastAsia="新宋体" w:cs="新宋体"/>
          <w:b w:val="0"/>
          <w:bCs w:val="0"/>
          <w:color w:val="auto"/>
          <w:sz w:val="24"/>
          <w:szCs w:val="24"/>
          <w:highlight w:val="none"/>
        </w:rPr>
        <w:t>第</w:t>
      </w:r>
      <w:r>
        <w:rPr>
          <w:rStyle w:val="55"/>
          <w:rFonts w:hint="eastAsia" w:ascii="新宋体" w:hAnsi="新宋体" w:eastAsia="新宋体" w:cs="新宋体"/>
          <w:b w:val="0"/>
          <w:bCs w:val="0"/>
          <w:color w:val="auto"/>
          <w:sz w:val="24"/>
          <w:szCs w:val="24"/>
          <w:highlight w:val="none"/>
          <w:lang w:val="en-US" w:eastAsia="zh-CN"/>
        </w:rPr>
        <w:t>五</w:t>
      </w:r>
      <w:r>
        <w:rPr>
          <w:rStyle w:val="55"/>
          <w:rFonts w:hint="eastAsia" w:ascii="新宋体" w:hAnsi="新宋体" w:eastAsia="新宋体" w:cs="新宋体"/>
          <w:b w:val="0"/>
          <w:bCs w:val="0"/>
          <w:color w:val="auto"/>
          <w:sz w:val="24"/>
          <w:szCs w:val="24"/>
          <w:highlight w:val="none"/>
        </w:rPr>
        <w:t>章  技术标准和要求</w:t>
      </w:r>
      <w:r>
        <w:rPr>
          <w:rFonts w:hint="eastAsia" w:ascii="新宋体" w:hAnsi="新宋体" w:eastAsia="新宋体" w:cs="新宋体"/>
          <w:b w:val="0"/>
          <w:bCs w:val="0"/>
          <w:color w:val="auto"/>
          <w:sz w:val="24"/>
          <w:szCs w:val="24"/>
          <w:highlight w:val="none"/>
        </w:rPr>
        <w:tab/>
      </w:r>
      <w:r>
        <w:rPr>
          <w:rFonts w:hint="eastAsia" w:ascii="新宋体" w:hAnsi="新宋体" w:eastAsia="新宋体" w:cs="新宋体"/>
          <w:b w:val="0"/>
          <w:bCs w:val="0"/>
          <w:color w:val="auto"/>
          <w:sz w:val="24"/>
          <w:szCs w:val="24"/>
          <w:highlight w:val="none"/>
        </w:rPr>
        <w:fldChar w:fldCharType="begin"/>
      </w:r>
      <w:r>
        <w:rPr>
          <w:rFonts w:hint="eastAsia" w:ascii="新宋体" w:hAnsi="新宋体" w:eastAsia="新宋体" w:cs="新宋体"/>
          <w:b w:val="0"/>
          <w:bCs w:val="0"/>
          <w:color w:val="auto"/>
          <w:sz w:val="24"/>
          <w:szCs w:val="24"/>
          <w:highlight w:val="none"/>
        </w:rPr>
        <w:instrText xml:space="preserve"> PAGEREF _Toc57820644 \h </w:instrText>
      </w:r>
      <w:r>
        <w:rPr>
          <w:rFonts w:hint="eastAsia" w:ascii="新宋体" w:hAnsi="新宋体" w:eastAsia="新宋体" w:cs="新宋体"/>
          <w:b w:val="0"/>
          <w:bCs w:val="0"/>
          <w:color w:val="auto"/>
          <w:sz w:val="24"/>
          <w:szCs w:val="24"/>
          <w:highlight w:val="none"/>
        </w:rPr>
        <w:fldChar w:fldCharType="separate"/>
      </w:r>
      <w:r>
        <w:rPr>
          <w:rFonts w:hint="eastAsia" w:ascii="新宋体" w:hAnsi="新宋体" w:eastAsia="新宋体" w:cs="新宋体"/>
          <w:b w:val="0"/>
          <w:bCs w:val="0"/>
          <w:color w:val="auto"/>
          <w:sz w:val="24"/>
          <w:szCs w:val="24"/>
          <w:highlight w:val="none"/>
        </w:rPr>
        <w:t>42</w:t>
      </w:r>
      <w:r>
        <w:rPr>
          <w:rFonts w:hint="eastAsia" w:ascii="新宋体" w:hAnsi="新宋体" w:eastAsia="新宋体" w:cs="新宋体"/>
          <w:b w:val="0"/>
          <w:bCs w:val="0"/>
          <w:color w:val="auto"/>
          <w:sz w:val="24"/>
          <w:szCs w:val="24"/>
          <w:highlight w:val="none"/>
        </w:rPr>
        <w:fldChar w:fldCharType="end"/>
      </w:r>
      <w:r>
        <w:rPr>
          <w:rFonts w:hint="eastAsia" w:ascii="新宋体" w:hAnsi="新宋体" w:eastAsia="新宋体" w:cs="新宋体"/>
          <w:b w:val="0"/>
          <w:bCs w:val="0"/>
          <w:color w:val="auto"/>
          <w:sz w:val="24"/>
          <w:szCs w:val="24"/>
          <w:highlight w:val="none"/>
        </w:rPr>
        <w:fldChar w:fldCharType="end"/>
      </w:r>
    </w:p>
    <w:p>
      <w:pPr>
        <w:pStyle w:val="32"/>
        <w:tabs>
          <w:tab w:val="right" w:leader="dot" w:pos="9459"/>
        </w:tabs>
        <w:spacing w:line="360" w:lineRule="auto"/>
        <w:rPr>
          <w:rFonts w:hint="eastAsia" w:ascii="新宋体" w:hAnsi="新宋体" w:eastAsia="新宋体" w:cs="新宋体"/>
          <w:b w:val="0"/>
          <w:bCs w:val="0"/>
          <w:caps w:val="0"/>
          <w:color w:val="auto"/>
          <w:sz w:val="24"/>
          <w:szCs w:val="24"/>
          <w:highlight w:val="none"/>
        </w:rPr>
      </w:pPr>
      <w:r>
        <w:rPr>
          <w:rFonts w:hint="eastAsia" w:ascii="新宋体" w:hAnsi="新宋体" w:eastAsia="新宋体" w:cs="新宋体"/>
          <w:b w:val="0"/>
          <w:bCs w:val="0"/>
          <w:color w:val="auto"/>
          <w:sz w:val="24"/>
          <w:szCs w:val="24"/>
          <w:highlight w:val="none"/>
        </w:rPr>
        <w:fldChar w:fldCharType="begin"/>
      </w:r>
      <w:r>
        <w:rPr>
          <w:rFonts w:hint="eastAsia" w:ascii="新宋体" w:hAnsi="新宋体" w:eastAsia="新宋体" w:cs="新宋体"/>
          <w:b w:val="0"/>
          <w:bCs w:val="0"/>
          <w:color w:val="auto"/>
          <w:sz w:val="24"/>
          <w:szCs w:val="24"/>
          <w:highlight w:val="none"/>
        </w:rPr>
        <w:instrText xml:space="preserve"> HYPERLINK \l "_Toc57820646" </w:instrText>
      </w:r>
      <w:r>
        <w:rPr>
          <w:rFonts w:hint="eastAsia" w:ascii="新宋体" w:hAnsi="新宋体" w:eastAsia="新宋体" w:cs="新宋体"/>
          <w:b w:val="0"/>
          <w:bCs w:val="0"/>
          <w:color w:val="auto"/>
          <w:sz w:val="24"/>
          <w:szCs w:val="24"/>
          <w:highlight w:val="none"/>
        </w:rPr>
        <w:fldChar w:fldCharType="separate"/>
      </w:r>
      <w:r>
        <w:rPr>
          <w:rStyle w:val="55"/>
          <w:rFonts w:hint="eastAsia" w:ascii="新宋体" w:hAnsi="新宋体" w:eastAsia="新宋体" w:cs="新宋体"/>
          <w:b w:val="0"/>
          <w:bCs w:val="0"/>
          <w:color w:val="auto"/>
          <w:sz w:val="24"/>
          <w:szCs w:val="24"/>
          <w:highlight w:val="none"/>
        </w:rPr>
        <w:t>第</w:t>
      </w:r>
      <w:r>
        <w:rPr>
          <w:rStyle w:val="55"/>
          <w:rFonts w:hint="eastAsia" w:ascii="新宋体" w:hAnsi="新宋体" w:eastAsia="新宋体" w:cs="新宋体"/>
          <w:b w:val="0"/>
          <w:bCs w:val="0"/>
          <w:color w:val="auto"/>
          <w:sz w:val="24"/>
          <w:szCs w:val="24"/>
          <w:highlight w:val="none"/>
          <w:lang w:val="en-US" w:eastAsia="zh-CN"/>
        </w:rPr>
        <w:t>六</w:t>
      </w:r>
      <w:r>
        <w:rPr>
          <w:rStyle w:val="55"/>
          <w:rFonts w:hint="eastAsia" w:ascii="新宋体" w:hAnsi="新宋体" w:eastAsia="新宋体" w:cs="新宋体"/>
          <w:b w:val="0"/>
          <w:bCs w:val="0"/>
          <w:color w:val="auto"/>
          <w:sz w:val="24"/>
          <w:szCs w:val="24"/>
          <w:highlight w:val="none"/>
        </w:rPr>
        <w:t>章  投标文件格式</w:t>
      </w:r>
      <w:r>
        <w:rPr>
          <w:rFonts w:hint="eastAsia" w:ascii="新宋体" w:hAnsi="新宋体" w:eastAsia="新宋体" w:cs="新宋体"/>
          <w:b w:val="0"/>
          <w:bCs w:val="0"/>
          <w:color w:val="auto"/>
          <w:sz w:val="24"/>
          <w:szCs w:val="24"/>
          <w:highlight w:val="none"/>
        </w:rPr>
        <w:tab/>
      </w:r>
      <w:r>
        <w:rPr>
          <w:rFonts w:hint="eastAsia" w:ascii="新宋体" w:hAnsi="新宋体" w:eastAsia="新宋体" w:cs="新宋体"/>
          <w:b w:val="0"/>
          <w:bCs w:val="0"/>
          <w:color w:val="auto"/>
          <w:sz w:val="24"/>
          <w:szCs w:val="24"/>
          <w:highlight w:val="none"/>
        </w:rPr>
        <w:fldChar w:fldCharType="begin"/>
      </w:r>
      <w:r>
        <w:rPr>
          <w:rFonts w:hint="eastAsia" w:ascii="新宋体" w:hAnsi="新宋体" w:eastAsia="新宋体" w:cs="新宋体"/>
          <w:b w:val="0"/>
          <w:bCs w:val="0"/>
          <w:color w:val="auto"/>
          <w:sz w:val="24"/>
          <w:szCs w:val="24"/>
          <w:highlight w:val="none"/>
        </w:rPr>
        <w:instrText xml:space="preserve"> PAGEREF _Toc57820646 \h </w:instrText>
      </w:r>
      <w:r>
        <w:rPr>
          <w:rFonts w:hint="eastAsia" w:ascii="新宋体" w:hAnsi="新宋体" w:eastAsia="新宋体" w:cs="新宋体"/>
          <w:b w:val="0"/>
          <w:bCs w:val="0"/>
          <w:color w:val="auto"/>
          <w:sz w:val="24"/>
          <w:szCs w:val="24"/>
          <w:highlight w:val="none"/>
        </w:rPr>
        <w:fldChar w:fldCharType="separate"/>
      </w:r>
      <w:r>
        <w:rPr>
          <w:rFonts w:hint="eastAsia" w:ascii="新宋体" w:hAnsi="新宋体" w:eastAsia="新宋体" w:cs="新宋体"/>
          <w:b w:val="0"/>
          <w:bCs w:val="0"/>
          <w:color w:val="auto"/>
          <w:sz w:val="24"/>
          <w:szCs w:val="24"/>
          <w:highlight w:val="none"/>
        </w:rPr>
        <w:t>45</w:t>
      </w:r>
      <w:r>
        <w:rPr>
          <w:rFonts w:hint="eastAsia" w:ascii="新宋体" w:hAnsi="新宋体" w:eastAsia="新宋体" w:cs="新宋体"/>
          <w:b w:val="0"/>
          <w:bCs w:val="0"/>
          <w:color w:val="auto"/>
          <w:sz w:val="24"/>
          <w:szCs w:val="24"/>
          <w:highlight w:val="none"/>
        </w:rPr>
        <w:fldChar w:fldCharType="end"/>
      </w:r>
      <w:r>
        <w:rPr>
          <w:rFonts w:hint="eastAsia" w:ascii="新宋体" w:hAnsi="新宋体" w:eastAsia="新宋体" w:cs="新宋体"/>
          <w:b w:val="0"/>
          <w:bCs w:val="0"/>
          <w:color w:val="auto"/>
          <w:sz w:val="24"/>
          <w:szCs w:val="24"/>
          <w:highlight w:val="none"/>
        </w:rPr>
        <w:fldChar w:fldCharType="end"/>
      </w:r>
    </w:p>
    <w:p>
      <w:pPr>
        <w:spacing w:line="360" w:lineRule="auto"/>
        <w:rPr>
          <w:rFonts w:hint="eastAsia" w:ascii="新宋体" w:hAnsi="新宋体" w:eastAsia="新宋体" w:cs="新宋体"/>
          <w:color w:val="auto"/>
          <w:highlight w:val="none"/>
        </w:rPr>
      </w:pPr>
      <w:r>
        <w:rPr>
          <w:rFonts w:hint="eastAsia" w:ascii="新宋体" w:hAnsi="新宋体" w:eastAsia="新宋体" w:cs="新宋体"/>
          <w:b w:val="0"/>
          <w:bCs w:val="0"/>
          <w:color w:val="auto"/>
          <w:sz w:val="24"/>
          <w:szCs w:val="24"/>
          <w:highlight w:val="none"/>
          <w:lang w:val="zh-CN"/>
        </w:rPr>
        <w:fldChar w:fldCharType="end"/>
      </w:r>
    </w:p>
    <w:bookmarkEnd w:id="0"/>
    <w:p>
      <w:pPr>
        <w:spacing w:line="20" w:lineRule="exact"/>
        <w:rPr>
          <w:rFonts w:hint="eastAsia" w:ascii="新宋体" w:hAnsi="新宋体" w:eastAsia="新宋体" w:cs="新宋体"/>
          <w:color w:val="auto"/>
          <w:highlight w:val="none"/>
        </w:rPr>
      </w:pPr>
      <w:bookmarkStart w:id="7" w:name="_Toc430530414"/>
    </w:p>
    <w:p>
      <w:pPr>
        <w:spacing w:line="20" w:lineRule="exact"/>
        <w:jc w:val="left"/>
        <w:rPr>
          <w:rFonts w:hint="eastAsia" w:ascii="新宋体" w:hAnsi="新宋体" w:eastAsia="新宋体" w:cs="新宋体"/>
          <w:color w:val="auto"/>
          <w:highlight w:val="none"/>
        </w:rPr>
        <w:sectPr>
          <w:footerReference r:id="rId4" w:type="default"/>
          <w:pgSz w:w="11907" w:h="16840"/>
          <w:pgMar w:top="1304" w:right="1134" w:bottom="1304" w:left="1304" w:header="851" w:footer="992" w:gutter="0"/>
          <w:pgNumType w:fmt="numberInDash" w:start="1"/>
          <w:cols w:space="720" w:num="1"/>
          <w:docGrid w:linePitch="312" w:charSpace="0"/>
        </w:sectPr>
      </w:pPr>
    </w:p>
    <w:bookmarkEnd w:id="7"/>
    <w:p>
      <w:pPr>
        <w:pStyle w:val="3"/>
        <w:spacing w:line="360" w:lineRule="auto"/>
        <w:jc w:val="center"/>
        <w:rPr>
          <w:rFonts w:hint="eastAsia" w:ascii="新宋体" w:hAnsi="新宋体" w:eastAsia="新宋体" w:cs="新宋体"/>
          <w:snapToGrid w:val="0"/>
          <w:color w:val="auto"/>
          <w:kern w:val="0"/>
          <w:highlight w:val="none"/>
        </w:rPr>
      </w:pPr>
      <w:bookmarkStart w:id="8" w:name="_Toc509218691"/>
      <w:bookmarkStart w:id="9" w:name="_Toc430530415"/>
      <w:bookmarkStart w:id="10" w:name="_Toc224103298"/>
      <w:bookmarkStart w:id="11" w:name="_Toc57820541"/>
      <w:bookmarkStart w:id="12" w:name="_Toc277082535"/>
      <w:bookmarkStart w:id="13" w:name="_Toc287607727"/>
      <w:bookmarkStart w:id="14" w:name="_Toc287620666"/>
      <w:r>
        <w:rPr>
          <w:rFonts w:hint="eastAsia" w:ascii="新宋体" w:hAnsi="新宋体" w:eastAsia="新宋体" w:cs="新宋体"/>
          <w:snapToGrid w:val="0"/>
          <w:color w:val="auto"/>
          <w:kern w:val="0"/>
          <w:highlight w:val="none"/>
        </w:rPr>
        <w:t>第一章  招标公告</w:t>
      </w:r>
      <w:bookmarkEnd w:id="8"/>
      <w:bookmarkEnd w:id="9"/>
      <w:bookmarkEnd w:id="10"/>
      <w:bookmarkEnd w:id="11"/>
      <w:bookmarkEnd w:id="12"/>
      <w:bookmarkEnd w:id="13"/>
      <w:bookmarkEnd w:id="14"/>
    </w:p>
    <w:p>
      <w:pPr>
        <w:autoSpaceDE w:val="0"/>
        <w:autoSpaceDN w:val="0"/>
        <w:adjustRightInd w:val="0"/>
        <w:snapToGrid w:val="0"/>
        <w:spacing w:line="360" w:lineRule="auto"/>
        <w:jc w:val="center"/>
        <w:rPr>
          <w:rFonts w:hint="eastAsia" w:ascii="新宋体" w:hAnsi="新宋体" w:eastAsia="新宋体" w:cs="新宋体"/>
          <w:snapToGrid w:val="0"/>
          <w:color w:val="auto"/>
          <w:w w:val="99"/>
          <w:kern w:val="0"/>
          <w:sz w:val="28"/>
          <w:szCs w:val="28"/>
          <w:highlight w:val="none"/>
        </w:rPr>
      </w:pPr>
      <w:r>
        <w:rPr>
          <w:rFonts w:hint="eastAsia" w:ascii="新宋体" w:hAnsi="新宋体" w:eastAsia="新宋体" w:cs="新宋体"/>
          <w:snapToGrid w:val="0"/>
          <w:color w:val="auto"/>
          <w:w w:val="99"/>
          <w:kern w:val="0"/>
          <w:sz w:val="28"/>
          <w:szCs w:val="28"/>
          <w:highlight w:val="none"/>
        </w:rPr>
        <w:t>渝蓉高速围龙服务区（南、北）LNG加气站设备采购项目</w:t>
      </w:r>
    </w:p>
    <w:p>
      <w:pPr>
        <w:autoSpaceDE w:val="0"/>
        <w:autoSpaceDN w:val="0"/>
        <w:adjustRightInd w:val="0"/>
        <w:snapToGrid w:val="0"/>
        <w:spacing w:line="360" w:lineRule="auto"/>
        <w:jc w:val="center"/>
        <w:rPr>
          <w:rFonts w:hint="eastAsia" w:ascii="新宋体" w:hAnsi="新宋体" w:eastAsia="新宋体" w:cs="新宋体"/>
          <w:snapToGrid w:val="0"/>
          <w:color w:val="auto"/>
          <w:kern w:val="0"/>
          <w:sz w:val="28"/>
          <w:szCs w:val="28"/>
          <w:highlight w:val="none"/>
        </w:rPr>
      </w:pPr>
      <w:r>
        <w:rPr>
          <w:rFonts w:hint="eastAsia" w:ascii="新宋体" w:hAnsi="新宋体" w:eastAsia="新宋体" w:cs="新宋体"/>
          <w:snapToGrid w:val="0"/>
          <w:color w:val="auto"/>
          <w:w w:val="99"/>
          <w:kern w:val="0"/>
          <w:sz w:val="28"/>
          <w:szCs w:val="28"/>
          <w:highlight w:val="none"/>
        </w:rPr>
        <w:t>招标公告</w:t>
      </w:r>
    </w:p>
    <w:p>
      <w:pPr>
        <w:pStyle w:val="4"/>
        <w:spacing w:before="100" w:after="100" w:line="460" w:lineRule="exact"/>
        <w:rPr>
          <w:rFonts w:hint="eastAsia" w:ascii="新宋体" w:hAnsi="新宋体" w:eastAsia="新宋体" w:cs="新宋体"/>
          <w:snapToGrid w:val="0"/>
          <w:color w:val="auto"/>
          <w:sz w:val="28"/>
          <w:szCs w:val="28"/>
          <w:highlight w:val="none"/>
        </w:rPr>
      </w:pPr>
      <w:bookmarkStart w:id="15" w:name="_Toc509218692"/>
      <w:bookmarkStart w:id="16" w:name="_Toc57820542"/>
      <w:bookmarkStart w:id="17" w:name="_Toc287607728"/>
      <w:bookmarkStart w:id="18" w:name="_Toc224103299"/>
      <w:bookmarkStart w:id="19" w:name="_Toc277082536"/>
      <w:bookmarkStart w:id="20" w:name="_Toc200359238"/>
      <w:bookmarkStart w:id="21" w:name="_Toc200359427"/>
      <w:bookmarkStart w:id="22" w:name="_Toc430530416"/>
      <w:bookmarkStart w:id="23" w:name="_Toc287620667"/>
      <w:r>
        <w:rPr>
          <w:rFonts w:hint="eastAsia" w:ascii="新宋体" w:hAnsi="新宋体" w:eastAsia="新宋体" w:cs="新宋体"/>
          <w:snapToGrid w:val="0"/>
          <w:color w:val="auto"/>
          <w:sz w:val="28"/>
          <w:szCs w:val="28"/>
          <w:highlight w:val="none"/>
        </w:rPr>
        <w:t>1.  招标条件</w:t>
      </w:r>
      <w:bookmarkEnd w:id="15"/>
      <w:bookmarkEnd w:id="16"/>
      <w:bookmarkEnd w:id="17"/>
      <w:bookmarkEnd w:id="18"/>
      <w:bookmarkEnd w:id="19"/>
      <w:bookmarkEnd w:id="20"/>
      <w:bookmarkEnd w:id="21"/>
      <w:bookmarkEnd w:id="22"/>
      <w:bookmarkEnd w:id="23"/>
    </w:p>
    <w:p>
      <w:pPr>
        <w:tabs>
          <w:tab w:val="left" w:pos="2420"/>
          <w:tab w:val="left" w:pos="5445"/>
        </w:tabs>
        <w:autoSpaceDE w:val="0"/>
        <w:autoSpaceDN w:val="0"/>
        <w:adjustRightInd w:val="0"/>
        <w:snapToGrid w:val="0"/>
        <w:spacing w:line="450" w:lineRule="exact"/>
        <w:ind w:firstLine="42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本招标项目</w:t>
      </w:r>
      <w:r>
        <w:rPr>
          <w:rFonts w:hint="eastAsia" w:ascii="新宋体" w:hAnsi="新宋体" w:eastAsia="新宋体" w:cs="新宋体"/>
          <w:snapToGrid w:val="0"/>
          <w:color w:val="auto"/>
          <w:kern w:val="0"/>
          <w:szCs w:val="21"/>
          <w:highlight w:val="none"/>
          <w:u w:val="single"/>
        </w:rPr>
        <w:t>渝蓉高速围龙服务区（南、北）LNG加气站设备采购</w:t>
      </w:r>
      <w:r>
        <w:rPr>
          <w:rFonts w:hint="eastAsia" w:ascii="新宋体" w:hAnsi="新宋体" w:eastAsia="新宋体" w:cs="新宋体"/>
          <w:snapToGrid w:val="0"/>
          <w:color w:val="auto"/>
          <w:kern w:val="0"/>
          <w:szCs w:val="21"/>
          <w:highlight w:val="none"/>
          <w:u w:val="single"/>
          <w:lang w:eastAsia="zh-CN"/>
        </w:rPr>
        <w:t>项目</w:t>
      </w:r>
      <w:r>
        <w:rPr>
          <w:rFonts w:hint="eastAsia" w:ascii="新宋体" w:hAnsi="新宋体" w:eastAsia="新宋体" w:cs="新宋体"/>
          <w:snapToGrid w:val="0"/>
          <w:color w:val="auto"/>
          <w:kern w:val="0"/>
          <w:szCs w:val="21"/>
          <w:highlight w:val="none"/>
        </w:rPr>
        <w:t>（项目名称）已由</w:t>
      </w:r>
      <w:r>
        <w:rPr>
          <w:rFonts w:hint="eastAsia" w:ascii="新宋体" w:hAnsi="新宋体" w:eastAsia="新宋体" w:cs="新宋体"/>
          <w:snapToGrid w:val="0"/>
          <w:color w:val="auto"/>
          <w:kern w:val="0"/>
          <w:szCs w:val="21"/>
          <w:highlight w:val="none"/>
          <w:u w:val="single"/>
          <w:lang w:val="en-US" w:eastAsia="zh-CN"/>
        </w:rPr>
        <w:t>重庆市交通局</w:t>
      </w:r>
      <w:r>
        <w:rPr>
          <w:rFonts w:hint="eastAsia" w:ascii="新宋体" w:hAnsi="新宋体" w:eastAsia="新宋体" w:cs="新宋体"/>
          <w:snapToGrid w:val="0"/>
          <w:color w:val="auto"/>
          <w:kern w:val="0"/>
          <w:szCs w:val="21"/>
          <w:highlight w:val="none"/>
        </w:rPr>
        <w:t>以</w:t>
      </w:r>
      <w:r>
        <w:rPr>
          <w:rFonts w:hint="eastAsia" w:ascii="新宋体" w:hAnsi="新宋体" w:eastAsia="新宋体" w:cs="新宋体"/>
          <w:snapToGrid w:val="0"/>
          <w:color w:val="auto"/>
          <w:kern w:val="0"/>
          <w:szCs w:val="21"/>
          <w:highlight w:val="none"/>
          <w:u w:val="single"/>
          <w:lang w:val="en-US" w:eastAsia="zh-CN"/>
        </w:rPr>
        <w:t>渝交管养〔2022〕67号</w:t>
      </w:r>
      <w:r>
        <w:rPr>
          <w:rFonts w:hint="eastAsia" w:ascii="新宋体" w:hAnsi="新宋体" w:eastAsia="新宋体" w:cs="新宋体"/>
          <w:snapToGrid w:val="0"/>
          <w:color w:val="auto"/>
          <w:kern w:val="0"/>
          <w:szCs w:val="21"/>
          <w:highlight w:val="none"/>
        </w:rPr>
        <w:t>批准建设，项目业主为</w:t>
      </w:r>
      <w:r>
        <w:rPr>
          <w:rFonts w:hint="eastAsia" w:ascii="新宋体" w:hAnsi="新宋体" w:eastAsia="新宋体" w:cs="新宋体"/>
          <w:snapToGrid w:val="0"/>
          <w:color w:val="auto"/>
          <w:kern w:val="0"/>
          <w:szCs w:val="21"/>
          <w:highlight w:val="none"/>
          <w:u w:val="single"/>
        </w:rPr>
        <w:t>重庆渝蓉高速中油能源发展有限公司</w:t>
      </w:r>
      <w:r>
        <w:rPr>
          <w:rFonts w:hint="eastAsia" w:ascii="新宋体" w:hAnsi="新宋体" w:eastAsia="新宋体" w:cs="新宋体"/>
          <w:snapToGrid w:val="0"/>
          <w:color w:val="auto"/>
          <w:kern w:val="0"/>
          <w:szCs w:val="21"/>
          <w:highlight w:val="none"/>
        </w:rPr>
        <w:t>，建设资金来自</w:t>
      </w:r>
      <w:r>
        <w:rPr>
          <w:rFonts w:hint="eastAsia" w:ascii="新宋体" w:hAnsi="新宋体" w:eastAsia="新宋体" w:cs="新宋体"/>
          <w:snapToGrid w:val="0"/>
          <w:color w:val="auto"/>
          <w:kern w:val="0"/>
          <w:szCs w:val="21"/>
          <w:highlight w:val="none"/>
          <w:u w:val="single"/>
          <w:lang w:val="en-US" w:eastAsia="zh-CN"/>
        </w:rPr>
        <w:t>国有资金</w:t>
      </w:r>
      <w:r>
        <w:rPr>
          <w:rFonts w:hint="eastAsia" w:ascii="新宋体" w:hAnsi="新宋体" w:eastAsia="新宋体" w:cs="新宋体"/>
          <w:snapToGrid w:val="0"/>
          <w:color w:val="auto"/>
          <w:kern w:val="0"/>
          <w:szCs w:val="21"/>
          <w:highlight w:val="none"/>
        </w:rPr>
        <w:t>（资金来源），项目出资比例为</w:t>
      </w:r>
      <w:r>
        <w:rPr>
          <w:rFonts w:hint="eastAsia" w:ascii="新宋体" w:hAnsi="新宋体" w:eastAsia="新宋体" w:cs="新宋体"/>
          <w:snapToGrid w:val="0"/>
          <w:color w:val="auto"/>
          <w:kern w:val="0"/>
          <w:szCs w:val="21"/>
          <w:highlight w:val="none"/>
          <w:u w:val="single"/>
          <w:lang w:val="en-US" w:eastAsia="zh-CN"/>
        </w:rPr>
        <w:t>100%</w:t>
      </w:r>
      <w:r>
        <w:rPr>
          <w:rFonts w:hint="eastAsia" w:ascii="新宋体" w:hAnsi="新宋体" w:eastAsia="新宋体" w:cs="新宋体"/>
          <w:snapToGrid w:val="0"/>
          <w:color w:val="auto"/>
          <w:kern w:val="0"/>
          <w:szCs w:val="21"/>
          <w:highlight w:val="none"/>
        </w:rPr>
        <w:t>，招标人为</w:t>
      </w:r>
      <w:r>
        <w:rPr>
          <w:rFonts w:hint="eastAsia" w:ascii="新宋体" w:hAnsi="新宋体" w:eastAsia="新宋体" w:cs="新宋体"/>
          <w:snapToGrid w:val="0"/>
          <w:color w:val="auto"/>
          <w:kern w:val="0"/>
          <w:szCs w:val="21"/>
          <w:highlight w:val="none"/>
          <w:u w:val="single"/>
        </w:rPr>
        <w:t>重庆渝蓉高速中油能源发展有限公司</w:t>
      </w:r>
      <w:r>
        <w:rPr>
          <w:rFonts w:hint="eastAsia" w:ascii="新宋体" w:hAnsi="新宋体" w:eastAsia="新宋体" w:cs="新宋体"/>
          <w:snapToGrid w:val="0"/>
          <w:color w:val="auto"/>
          <w:kern w:val="0"/>
          <w:szCs w:val="21"/>
          <w:highlight w:val="none"/>
        </w:rPr>
        <w:t>。项目已具备招标条件，现对该项目的</w:t>
      </w:r>
      <w:r>
        <w:rPr>
          <w:rFonts w:hint="eastAsia" w:ascii="新宋体" w:hAnsi="新宋体" w:eastAsia="新宋体" w:cs="新宋体"/>
          <w:snapToGrid w:val="0"/>
          <w:color w:val="auto"/>
          <w:kern w:val="0"/>
          <w:szCs w:val="21"/>
          <w:highlight w:val="none"/>
          <w:u w:val="single"/>
        </w:rPr>
        <w:t>LNG加气站设备采购</w:t>
      </w:r>
      <w:r>
        <w:rPr>
          <w:rFonts w:hint="eastAsia" w:ascii="新宋体" w:hAnsi="新宋体" w:eastAsia="新宋体" w:cs="新宋体"/>
          <w:snapToGrid w:val="0"/>
          <w:color w:val="auto"/>
          <w:kern w:val="0"/>
          <w:szCs w:val="21"/>
          <w:highlight w:val="none"/>
        </w:rPr>
        <w:t>进行公开招标。</w:t>
      </w:r>
    </w:p>
    <w:p>
      <w:pPr>
        <w:pStyle w:val="4"/>
        <w:spacing w:before="100" w:after="100" w:line="460" w:lineRule="exact"/>
        <w:rPr>
          <w:rFonts w:hint="eastAsia" w:ascii="新宋体" w:hAnsi="新宋体" w:eastAsia="新宋体" w:cs="新宋体"/>
          <w:snapToGrid w:val="0"/>
          <w:color w:val="auto"/>
          <w:sz w:val="28"/>
          <w:szCs w:val="28"/>
          <w:highlight w:val="none"/>
        </w:rPr>
      </w:pPr>
      <w:bookmarkStart w:id="24" w:name="_Toc287607729"/>
      <w:bookmarkStart w:id="25" w:name="_Toc200359239"/>
      <w:bookmarkStart w:id="26" w:name="_Toc287620668"/>
      <w:bookmarkStart w:id="27" w:name="_Toc57820543"/>
      <w:bookmarkStart w:id="28" w:name="_Toc224103300"/>
      <w:bookmarkStart w:id="29" w:name="_Toc509218693"/>
      <w:bookmarkStart w:id="30" w:name="_Toc277082537"/>
      <w:bookmarkStart w:id="31" w:name="_Toc200359428"/>
      <w:bookmarkStart w:id="32" w:name="_Toc430530417"/>
      <w:r>
        <w:rPr>
          <w:rFonts w:hint="eastAsia" w:ascii="新宋体" w:hAnsi="新宋体" w:eastAsia="新宋体" w:cs="新宋体"/>
          <w:snapToGrid w:val="0"/>
          <w:color w:val="auto"/>
          <w:sz w:val="28"/>
          <w:szCs w:val="28"/>
          <w:highlight w:val="none"/>
        </w:rPr>
        <w:t>2.  项目概况与招标范围</w:t>
      </w:r>
      <w:bookmarkEnd w:id="24"/>
      <w:bookmarkEnd w:id="25"/>
      <w:bookmarkEnd w:id="26"/>
      <w:bookmarkEnd w:id="27"/>
      <w:bookmarkEnd w:id="28"/>
      <w:bookmarkEnd w:id="29"/>
      <w:bookmarkEnd w:id="30"/>
      <w:bookmarkEnd w:id="31"/>
      <w:bookmarkEnd w:id="32"/>
    </w:p>
    <w:p>
      <w:pPr>
        <w:tabs>
          <w:tab w:val="left" w:pos="3840"/>
          <w:tab w:val="left" w:pos="5300"/>
        </w:tabs>
        <w:autoSpaceDE w:val="0"/>
        <w:autoSpaceDN w:val="0"/>
        <w:adjustRightInd w:val="0"/>
        <w:snapToGrid w:val="0"/>
        <w:spacing w:line="460" w:lineRule="exact"/>
        <w:ind w:firstLine="420" w:firstLineChars="200"/>
        <w:jc w:val="left"/>
        <w:rPr>
          <w:rFonts w:hint="eastAsia" w:ascii="新宋体" w:hAnsi="新宋体" w:eastAsia="新宋体" w:cs="新宋体"/>
          <w:snapToGrid w:val="0"/>
          <w:color w:val="auto"/>
          <w:kern w:val="0"/>
          <w:szCs w:val="21"/>
          <w:highlight w:val="none"/>
          <w:u w:val="none"/>
        </w:rPr>
      </w:pPr>
      <w:r>
        <w:rPr>
          <w:rFonts w:hint="eastAsia" w:ascii="新宋体" w:hAnsi="新宋体" w:eastAsia="新宋体" w:cs="新宋体"/>
          <w:snapToGrid w:val="0"/>
          <w:color w:val="auto"/>
          <w:kern w:val="0"/>
          <w:szCs w:val="21"/>
          <w:highlight w:val="none"/>
          <w:u w:val="none"/>
        </w:rPr>
        <w:t>2.1 建设地点：渝蓉高速围龙南、北侧服务区</w:t>
      </w:r>
      <w:r>
        <w:rPr>
          <w:rFonts w:hint="eastAsia" w:ascii="新宋体" w:hAnsi="新宋体" w:eastAsia="新宋体" w:cs="新宋体"/>
          <w:snapToGrid w:val="0"/>
          <w:color w:val="auto"/>
          <w:kern w:val="0"/>
          <w:szCs w:val="21"/>
          <w:highlight w:val="none"/>
          <w:u w:val="none"/>
          <w:lang w:eastAsia="zh-CN"/>
        </w:rPr>
        <w:t>内。</w:t>
      </w:r>
    </w:p>
    <w:p>
      <w:pPr>
        <w:tabs>
          <w:tab w:val="left" w:pos="3840"/>
          <w:tab w:val="left" w:pos="5300"/>
        </w:tabs>
        <w:autoSpaceDE w:val="0"/>
        <w:autoSpaceDN w:val="0"/>
        <w:adjustRightInd w:val="0"/>
        <w:snapToGrid w:val="0"/>
        <w:spacing w:line="460" w:lineRule="exact"/>
        <w:ind w:firstLine="420" w:firstLineChars="200"/>
        <w:jc w:val="left"/>
        <w:rPr>
          <w:rFonts w:hint="eastAsia" w:ascii="新宋体" w:hAnsi="新宋体" w:eastAsia="新宋体" w:cs="新宋体"/>
          <w:snapToGrid w:val="0"/>
          <w:color w:val="auto"/>
          <w:kern w:val="0"/>
          <w:szCs w:val="21"/>
          <w:highlight w:val="none"/>
          <w:u w:val="none"/>
        </w:rPr>
      </w:pPr>
      <w:r>
        <w:rPr>
          <w:rFonts w:hint="eastAsia" w:ascii="新宋体" w:hAnsi="新宋体" w:eastAsia="新宋体" w:cs="新宋体"/>
          <w:snapToGrid w:val="0"/>
          <w:color w:val="auto"/>
          <w:kern w:val="0"/>
          <w:szCs w:val="21"/>
          <w:highlight w:val="none"/>
          <w:u w:val="none"/>
        </w:rPr>
        <w:t>2.2 项目概况与建设规模：渝蓉高速围龙南、北侧服务区</w:t>
      </w:r>
      <w:r>
        <w:rPr>
          <w:rFonts w:hint="eastAsia" w:ascii="新宋体" w:hAnsi="新宋体" w:eastAsia="新宋体" w:cs="新宋体"/>
          <w:snapToGrid w:val="0"/>
          <w:color w:val="auto"/>
          <w:kern w:val="0"/>
          <w:szCs w:val="21"/>
          <w:highlight w:val="none"/>
          <w:u w:val="none"/>
          <w:lang w:eastAsia="zh-CN"/>
        </w:rPr>
        <w:t>内</w:t>
      </w:r>
      <w:r>
        <w:rPr>
          <w:rFonts w:hint="eastAsia" w:ascii="新宋体" w:hAnsi="新宋体" w:eastAsia="新宋体" w:cs="新宋体"/>
          <w:snapToGrid w:val="0"/>
          <w:color w:val="auto"/>
          <w:kern w:val="0"/>
          <w:szCs w:val="21"/>
          <w:highlight w:val="none"/>
          <w:u w:val="none"/>
        </w:rPr>
        <w:t>增设LNG加气站成套设备2座</w:t>
      </w:r>
      <w:r>
        <w:rPr>
          <w:rFonts w:hint="eastAsia" w:ascii="新宋体" w:hAnsi="新宋体" w:eastAsia="新宋体" w:cs="新宋体"/>
          <w:snapToGrid w:val="0"/>
          <w:color w:val="auto"/>
          <w:kern w:val="0"/>
          <w:szCs w:val="21"/>
          <w:highlight w:val="none"/>
          <w:u w:val="none"/>
          <w:lang w:eastAsia="zh-CN"/>
        </w:rPr>
        <w:t>。</w:t>
      </w:r>
    </w:p>
    <w:p>
      <w:pPr>
        <w:tabs>
          <w:tab w:val="left" w:pos="3840"/>
          <w:tab w:val="left" w:pos="5300"/>
        </w:tabs>
        <w:autoSpaceDE w:val="0"/>
        <w:autoSpaceDN w:val="0"/>
        <w:adjustRightInd w:val="0"/>
        <w:snapToGrid w:val="0"/>
        <w:spacing w:line="460" w:lineRule="exact"/>
        <w:ind w:firstLine="420" w:firstLineChars="200"/>
        <w:jc w:val="left"/>
        <w:rPr>
          <w:rFonts w:hint="eastAsia" w:ascii="新宋体" w:hAnsi="新宋体" w:eastAsia="新宋体" w:cs="新宋体"/>
          <w:snapToGrid w:val="0"/>
          <w:color w:val="auto"/>
          <w:kern w:val="0"/>
          <w:szCs w:val="21"/>
          <w:highlight w:val="none"/>
          <w:u w:val="none"/>
        </w:rPr>
      </w:pPr>
      <w:r>
        <w:rPr>
          <w:rFonts w:hint="eastAsia" w:ascii="新宋体" w:hAnsi="新宋体" w:eastAsia="新宋体" w:cs="新宋体"/>
          <w:snapToGrid w:val="0"/>
          <w:color w:val="auto"/>
          <w:kern w:val="0"/>
          <w:szCs w:val="21"/>
          <w:highlight w:val="none"/>
        </w:rPr>
        <w:t>2.3 本次招标项目合同估算金额：</w:t>
      </w:r>
      <w:r>
        <w:rPr>
          <w:rFonts w:hint="eastAsia" w:ascii="新宋体" w:hAnsi="新宋体" w:eastAsia="新宋体" w:cs="新宋体"/>
          <w:snapToGrid w:val="0"/>
          <w:color w:val="auto"/>
          <w:kern w:val="0"/>
          <w:szCs w:val="21"/>
          <w:highlight w:val="none"/>
          <w:u w:val="single"/>
          <w:lang w:val="en-US" w:eastAsia="zh-CN"/>
        </w:rPr>
        <w:t>385.44</w:t>
      </w:r>
      <w:r>
        <w:rPr>
          <w:rFonts w:hint="eastAsia" w:ascii="新宋体" w:hAnsi="新宋体" w:eastAsia="新宋体" w:cs="新宋体"/>
          <w:snapToGrid w:val="0"/>
          <w:color w:val="auto"/>
          <w:kern w:val="0"/>
          <w:szCs w:val="21"/>
          <w:highlight w:val="none"/>
          <w:u w:val="none"/>
          <w:lang w:val="en-US" w:eastAsia="zh-CN"/>
        </w:rPr>
        <w:t>万元。</w:t>
      </w:r>
    </w:p>
    <w:p>
      <w:pPr>
        <w:tabs>
          <w:tab w:val="left" w:pos="3840"/>
          <w:tab w:val="left" w:pos="5300"/>
        </w:tabs>
        <w:autoSpaceDE w:val="0"/>
        <w:autoSpaceDN w:val="0"/>
        <w:adjustRightInd w:val="0"/>
        <w:snapToGrid w:val="0"/>
        <w:spacing w:line="460" w:lineRule="exact"/>
        <w:ind w:firstLine="420" w:firstLineChars="200"/>
        <w:jc w:val="left"/>
        <w:rPr>
          <w:rFonts w:hint="eastAsia" w:ascii="新宋体" w:hAnsi="新宋体" w:eastAsia="新宋体" w:cs="新宋体"/>
          <w:snapToGrid w:val="0"/>
          <w:color w:val="auto"/>
          <w:kern w:val="0"/>
          <w:szCs w:val="21"/>
          <w:highlight w:val="none"/>
          <w:u w:val="none"/>
        </w:rPr>
      </w:pPr>
      <w:r>
        <w:rPr>
          <w:rFonts w:hint="eastAsia" w:ascii="新宋体" w:hAnsi="新宋体" w:eastAsia="新宋体" w:cs="新宋体"/>
          <w:snapToGrid w:val="0"/>
          <w:color w:val="auto"/>
          <w:kern w:val="0"/>
          <w:szCs w:val="21"/>
          <w:highlight w:val="none"/>
          <w:u w:val="none"/>
        </w:rPr>
        <w:t>2.4 招标范围：主要包括但不限于本项目货物设备、结构的设计、制造、测试等各项工作的费用、税费及设备的安装、安装材料、人工、吊装、检测、调试、后期营业人员培训、质保期内的维护、保养等全部内容。积极配合招标人完成相应LNG加气站的各项专项验收直至营业前各职能部门的相关手续办理。</w:t>
      </w:r>
    </w:p>
    <w:p>
      <w:pPr>
        <w:tabs>
          <w:tab w:val="left" w:pos="3840"/>
          <w:tab w:val="left" w:pos="5300"/>
        </w:tabs>
        <w:autoSpaceDE w:val="0"/>
        <w:autoSpaceDN w:val="0"/>
        <w:adjustRightInd w:val="0"/>
        <w:snapToGrid w:val="0"/>
        <w:spacing w:line="460" w:lineRule="exact"/>
        <w:ind w:firstLine="420" w:firstLineChars="200"/>
        <w:jc w:val="left"/>
        <w:rPr>
          <w:rFonts w:hint="eastAsia" w:ascii="新宋体" w:hAnsi="新宋体" w:eastAsia="新宋体" w:cs="新宋体"/>
          <w:snapToGrid w:val="0"/>
          <w:color w:val="auto"/>
          <w:kern w:val="0"/>
          <w:szCs w:val="21"/>
          <w:highlight w:val="none"/>
          <w:u w:val="none"/>
          <w:lang w:val="en-US" w:eastAsia="zh-CN"/>
        </w:rPr>
      </w:pPr>
      <w:r>
        <w:rPr>
          <w:rFonts w:hint="eastAsia" w:ascii="新宋体" w:hAnsi="新宋体" w:eastAsia="新宋体" w:cs="新宋体"/>
          <w:snapToGrid w:val="0"/>
          <w:color w:val="auto"/>
          <w:kern w:val="0"/>
          <w:szCs w:val="21"/>
          <w:highlight w:val="none"/>
          <w:u w:val="none"/>
          <w:lang w:val="en-US" w:eastAsia="zh-CN"/>
        </w:rPr>
        <w:t>2.5 交货地点：</w:t>
      </w:r>
      <w:r>
        <w:rPr>
          <w:rFonts w:hint="eastAsia" w:ascii="新宋体" w:hAnsi="新宋体" w:eastAsia="新宋体" w:cs="新宋体"/>
          <w:snapToGrid w:val="0"/>
          <w:color w:val="auto"/>
          <w:kern w:val="0"/>
          <w:szCs w:val="21"/>
          <w:highlight w:val="none"/>
          <w:u w:val="none"/>
        </w:rPr>
        <w:t>渝蓉高速围龙南、北侧服务区</w:t>
      </w:r>
      <w:r>
        <w:rPr>
          <w:rFonts w:hint="eastAsia" w:ascii="新宋体" w:hAnsi="新宋体" w:eastAsia="新宋体" w:cs="新宋体"/>
          <w:snapToGrid w:val="0"/>
          <w:color w:val="auto"/>
          <w:kern w:val="0"/>
          <w:szCs w:val="21"/>
          <w:highlight w:val="none"/>
          <w:u w:val="none"/>
          <w:lang w:eastAsia="zh-CN"/>
        </w:rPr>
        <w:t>内。</w:t>
      </w:r>
    </w:p>
    <w:p>
      <w:pPr>
        <w:tabs>
          <w:tab w:val="left" w:pos="3840"/>
          <w:tab w:val="left" w:pos="5300"/>
        </w:tabs>
        <w:autoSpaceDE w:val="0"/>
        <w:autoSpaceDN w:val="0"/>
        <w:adjustRightInd w:val="0"/>
        <w:snapToGrid w:val="0"/>
        <w:spacing w:line="460" w:lineRule="exact"/>
        <w:ind w:firstLine="420" w:firstLineChars="200"/>
        <w:jc w:val="left"/>
        <w:rPr>
          <w:rFonts w:hint="eastAsia" w:ascii="新宋体" w:hAnsi="新宋体" w:eastAsia="新宋体" w:cs="新宋体"/>
          <w:snapToGrid w:val="0"/>
          <w:color w:val="auto"/>
          <w:kern w:val="0"/>
          <w:szCs w:val="21"/>
          <w:highlight w:val="none"/>
          <w:u w:val="single"/>
        </w:rPr>
      </w:pPr>
      <w:r>
        <w:rPr>
          <w:rFonts w:hint="eastAsia" w:ascii="新宋体" w:hAnsi="新宋体" w:eastAsia="新宋体" w:cs="新宋体"/>
          <w:snapToGrid w:val="0"/>
          <w:color w:val="auto"/>
          <w:kern w:val="0"/>
          <w:szCs w:val="21"/>
          <w:highlight w:val="none"/>
        </w:rPr>
        <w:t>2.</w:t>
      </w:r>
      <w:r>
        <w:rPr>
          <w:rFonts w:hint="eastAsia" w:ascii="新宋体" w:hAnsi="新宋体" w:eastAsia="新宋体" w:cs="新宋体"/>
          <w:snapToGrid w:val="0"/>
          <w:color w:val="auto"/>
          <w:kern w:val="0"/>
          <w:szCs w:val="21"/>
          <w:highlight w:val="none"/>
          <w:lang w:val="en-US" w:eastAsia="zh-CN"/>
        </w:rPr>
        <w:t>6</w:t>
      </w:r>
      <w:r>
        <w:rPr>
          <w:rFonts w:hint="eastAsia" w:ascii="新宋体" w:hAnsi="新宋体" w:eastAsia="新宋体" w:cs="新宋体"/>
          <w:snapToGrid w:val="0"/>
          <w:color w:val="auto"/>
          <w:kern w:val="0"/>
          <w:szCs w:val="21"/>
          <w:highlight w:val="none"/>
        </w:rPr>
        <w:t xml:space="preserve"> </w:t>
      </w:r>
      <w:r>
        <w:rPr>
          <w:rFonts w:hint="eastAsia" w:ascii="新宋体" w:hAnsi="新宋体" w:eastAsia="新宋体" w:cs="新宋体"/>
          <w:snapToGrid w:val="0"/>
          <w:color w:val="auto"/>
          <w:kern w:val="0"/>
          <w:szCs w:val="21"/>
          <w:highlight w:val="none"/>
          <w:lang w:val="en-US" w:eastAsia="zh-CN"/>
        </w:rPr>
        <w:t>交货期</w:t>
      </w:r>
      <w:r>
        <w:rPr>
          <w:rFonts w:hint="eastAsia" w:ascii="新宋体" w:hAnsi="新宋体" w:eastAsia="新宋体" w:cs="新宋体"/>
          <w:snapToGrid w:val="0"/>
          <w:color w:val="auto"/>
          <w:kern w:val="0"/>
          <w:szCs w:val="21"/>
          <w:highlight w:val="none"/>
        </w:rPr>
        <w:t>：</w:t>
      </w:r>
      <w:r>
        <w:rPr>
          <w:rFonts w:hint="eastAsia" w:ascii="新宋体" w:hAnsi="新宋体" w:eastAsia="新宋体" w:cs="新宋体"/>
          <w:snapToGrid w:val="0"/>
          <w:color w:val="auto"/>
          <w:kern w:val="0"/>
          <w:szCs w:val="21"/>
          <w:highlight w:val="none"/>
          <w:u w:val="single"/>
          <w:lang w:val="en-US" w:eastAsia="zh-CN"/>
        </w:rPr>
        <w:t>90</w:t>
      </w:r>
      <w:r>
        <w:rPr>
          <w:rFonts w:hint="eastAsia" w:ascii="新宋体" w:hAnsi="新宋体" w:eastAsia="新宋体" w:cs="新宋体"/>
          <w:snapToGrid w:val="0"/>
          <w:color w:val="auto"/>
          <w:kern w:val="0"/>
          <w:szCs w:val="21"/>
          <w:highlight w:val="none"/>
          <w:lang w:val="en-US" w:eastAsia="zh-CN"/>
        </w:rPr>
        <w:t>日历天。其中，</w:t>
      </w:r>
      <w:r>
        <w:rPr>
          <w:rFonts w:hint="eastAsia" w:ascii="新宋体" w:hAnsi="新宋体" w:eastAsia="新宋体" w:cs="新宋体"/>
          <w:snapToGrid w:val="0"/>
          <w:color w:val="auto"/>
          <w:kern w:val="0"/>
          <w:szCs w:val="21"/>
          <w:highlight w:val="none"/>
          <w:u w:val="single"/>
        </w:rPr>
        <w:t>60</w:t>
      </w:r>
      <w:r>
        <w:rPr>
          <w:rFonts w:hint="eastAsia" w:ascii="新宋体" w:hAnsi="新宋体" w:eastAsia="新宋体" w:cs="新宋体"/>
          <w:snapToGrid w:val="0"/>
          <w:color w:val="auto"/>
          <w:kern w:val="0"/>
          <w:szCs w:val="21"/>
          <w:highlight w:val="none"/>
          <w:u w:val="none"/>
        </w:rPr>
        <w:t>日历天内供货（以招标人下达书面通知时间起算），30天内完成安装调试。</w:t>
      </w:r>
    </w:p>
    <w:p>
      <w:pPr>
        <w:tabs>
          <w:tab w:val="left" w:pos="3840"/>
          <w:tab w:val="left" w:pos="5300"/>
        </w:tabs>
        <w:autoSpaceDE w:val="0"/>
        <w:autoSpaceDN w:val="0"/>
        <w:adjustRightInd w:val="0"/>
        <w:snapToGrid w:val="0"/>
        <w:spacing w:line="460" w:lineRule="exact"/>
        <w:ind w:firstLine="420" w:firstLineChars="200"/>
        <w:jc w:val="left"/>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lang w:val="en-US" w:eastAsia="zh-CN"/>
        </w:rPr>
        <w:t>2.7 质量保证期</w:t>
      </w:r>
      <w:r>
        <w:rPr>
          <w:rFonts w:hint="eastAsia" w:ascii="新宋体" w:hAnsi="新宋体" w:eastAsia="新宋体" w:cs="新宋体"/>
          <w:snapToGrid w:val="0"/>
          <w:color w:val="auto"/>
          <w:kern w:val="0"/>
          <w:szCs w:val="21"/>
          <w:highlight w:val="none"/>
        </w:rPr>
        <w:t>：</w:t>
      </w:r>
      <w:r>
        <w:rPr>
          <w:rFonts w:hint="eastAsia" w:ascii="新宋体" w:hAnsi="新宋体" w:eastAsia="新宋体" w:cs="新宋体"/>
          <w:snapToGrid w:val="0"/>
          <w:color w:val="auto"/>
          <w:kern w:val="0"/>
          <w:szCs w:val="21"/>
          <w:highlight w:val="none"/>
          <w:u w:val="single"/>
          <w:lang w:val="en-US" w:eastAsia="zh-CN"/>
        </w:rPr>
        <w:t>24</w:t>
      </w:r>
      <w:r>
        <w:rPr>
          <w:rFonts w:hint="eastAsia" w:ascii="新宋体" w:hAnsi="新宋体" w:eastAsia="新宋体" w:cs="新宋体"/>
          <w:snapToGrid w:val="0"/>
          <w:color w:val="auto"/>
          <w:kern w:val="0"/>
          <w:szCs w:val="21"/>
          <w:highlight w:val="none"/>
          <w:u w:val="none"/>
        </w:rPr>
        <w:t>个月</w:t>
      </w:r>
    </w:p>
    <w:p>
      <w:pPr>
        <w:pStyle w:val="4"/>
        <w:spacing w:before="100" w:after="100" w:line="460" w:lineRule="exact"/>
        <w:rPr>
          <w:rFonts w:hint="eastAsia" w:ascii="新宋体" w:hAnsi="新宋体" w:eastAsia="新宋体" w:cs="新宋体"/>
          <w:snapToGrid w:val="0"/>
          <w:color w:val="auto"/>
          <w:sz w:val="28"/>
          <w:szCs w:val="28"/>
          <w:highlight w:val="none"/>
        </w:rPr>
      </w:pPr>
      <w:bookmarkStart w:id="33" w:name="_Toc509218694"/>
      <w:bookmarkStart w:id="34" w:name="_Toc200359240"/>
      <w:bookmarkStart w:id="35" w:name="_Toc200359429"/>
      <w:bookmarkStart w:id="36" w:name="_Toc277082538"/>
      <w:bookmarkStart w:id="37" w:name="_Toc287607730"/>
      <w:bookmarkStart w:id="38" w:name="_Toc430530418"/>
      <w:bookmarkStart w:id="39" w:name="_Toc287620669"/>
      <w:bookmarkStart w:id="40" w:name="_Toc57820544"/>
      <w:bookmarkStart w:id="41" w:name="_Toc224103301"/>
      <w:r>
        <w:rPr>
          <w:rFonts w:hint="eastAsia" w:ascii="新宋体" w:hAnsi="新宋体" w:eastAsia="新宋体" w:cs="新宋体"/>
          <w:snapToGrid w:val="0"/>
          <w:color w:val="auto"/>
          <w:sz w:val="28"/>
          <w:szCs w:val="28"/>
          <w:highlight w:val="none"/>
        </w:rPr>
        <w:t>3.  投标人资格要求</w:t>
      </w:r>
      <w:bookmarkEnd w:id="33"/>
      <w:bookmarkEnd w:id="34"/>
      <w:bookmarkEnd w:id="35"/>
      <w:bookmarkEnd w:id="36"/>
      <w:bookmarkEnd w:id="37"/>
      <w:bookmarkEnd w:id="38"/>
      <w:bookmarkEnd w:id="39"/>
      <w:bookmarkEnd w:id="40"/>
      <w:bookmarkEnd w:id="41"/>
    </w:p>
    <w:p>
      <w:pPr>
        <w:tabs>
          <w:tab w:val="left" w:pos="3840"/>
          <w:tab w:val="left" w:pos="5300"/>
        </w:tabs>
        <w:autoSpaceDE w:val="0"/>
        <w:autoSpaceDN w:val="0"/>
        <w:adjustRightInd w:val="0"/>
        <w:snapToGrid w:val="0"/>
        <w:spacing w:line="460" w:lineRule="exact"/>
        <w:ind w:firstLine="420" w:firstLineChars="200"/>
        <w:jc w:val="left"/>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3.1  本次招标要求投标人须具备以下条件：</w:t>
      </w:r>
    </w:p>
    <w:p>
      <w:pPr>
        <w:tabs>
          <w:tab w:val="left" w:pos="3840"/>
          <w:tab w:val="left" w:pos="5300"/>
        </w:tabs>
        <w:autoSpaceDE w:val="0"/>
        <w:autoSpaceDN w:val="0"/>
        <w:adjustRightInd w:val="0"/>
        <w:snapToGrid w:val="0"/>
        <w:spacing w:line="460" w:lineRule="exact"/>
        <w:ind w:firstLine="420" w:firstLineChars="200"/>
        <w:jc w:val="left"/>
        <w:rPr>
          <w:rFonts w:hint="eastAsia" w:ascii="新宋体" w:hAnsi="新宋体" w:eastAsia="新宋体" w:cs="新宋体"/>
          <w:snapToGrid w:val="0"/>
          <w:color w:val="auto"/>
          <w:kern w:val="0"/>
          <w:szCs w:val="21"/>
          <w:highlight w:val="none"/>
          <w:lang w:eastAsia="zh-CN"/>
        </w:rPr>
      </w:pPr>
      <w:r>
        <w:rPr>
          <w:rFonts w:hint="eastAsia" w:ascii="新宋体" w:hAnsi="新宋体" w:eastAsia="新宋体" w:cs="新宋体"/>
          <w:snapToGrid w:val="0"/>
          <w:color w:val="auto"/>
          <w:kern w:val="0"/>
          <w:szCs w:val="21"/>
          <w:highlight w:val="none"/>
        </w:rPr>
        <w:t>3.1.1 本次招标要求投标人具备的资质条件：</w:t>
      </w:r>
      <w:r>
        <w:rPr>
          <w:rFonts w:hint="eastAsia" w:ascii="新宋体" w:hAnsi="新宋体" w:eastAsia="新宋体" w:cs="新宋体"/>
          <w:snapToGrid w:val="0"/>
          <w:color w:val="auto"/>
          <w:kern w:val="0"/>
          <w:szCs w:val="21"/>
          <w:highlight w:val="none"/>
          <w:lang w:val="en-US" w:eastAsia="zh-CN"/>
        </w:rPr>
        <w:t>投标人须具备</w:t>
      </w:r>
      <w:r>
        <w:rPr>
          <w:rFonts w:hint="eastAsia" w:ascii="新宋体" w:hAnsi="新宋体" w:eastAsia="新宋体" w:cs="新宋体"/>
          <w:snapToGrid w:val="0"/>
          <w:color w:val="auto"/>
          <w:kern w:val="0"/>
          <w:szCs w:val="21"/>
          <w:highlight w:val="none"/>
          <w:lang w:eastAsia="zh-CN"/>
        </w:rPr>
        <w:t>特种设备安装、改造、维修许可证（压力管道）GC2级</w:t>
      </w:r>
      <w:r>
        <w:rPr>
          <w:rFonts w:hint="eastAsia" w:ascii="新宋体" w:hAnsi="新宋体" w:eastAsia="新宋体" w:cs="新宋体"/>
          <w:snapToGrid w:val="0"/>
          <w:color w:val="auto"/>
          <w:kern w:val="0"/>
          <w:szCs w:val="21"/>
          <w:highlight w:val="none"/>
          <w:lang w:val="en-US" w:eastAsia="zh-CN"/>
        </w:rPr>
        <w:t>或</w:t>
      </w:r>
      <w:r>
        <w:rPr>
          <w:rFonts w:hint="eastAsia" w:ascii="新宋体" w:hAnsi="新宋体" w:eastAsia="新宋体" w:cs="新宋体"/>
          <w:snapToGrid w:val="0"/>
          <w:color w:val="auto"/>
          <w:kern w:val="0"/>
          <w:szCs w:val="21"/>
          <w:highlight w:val="none"/>
          <w:lang w:eastAsia="zh-CN"/>
        </w:rPr>
        <w:t>以上资质。</w:t>
      </w:r>
    </w:p>
    <w:p>
      <w:pPr>
        <w:tabs>
          <w:tab w:val="left" w:pos="3840"/>
          <w:tab w:val="left" w:pos="5300"/>
        </w:tabs>
        <w:autoSpaceDE w:val="0"/>
        <w:autoSpaceDN w:val="0"/>
        <w:adjustRightInd w:val="0"/>
        <w:snapToGrid w:val="0"/>
        <w:spacing w:line="460" w:lineRule="exact"/>
        <w:ind w:firstLine="420" w:firstLineChars="200"/>
        <w:jc w:val="left"/>
        <w:rPr>
          <w:rFonts w:hint="eastAsia" w:ascii="新宋体" w:hAnsi="新宋体" w:eastAsia="新宋体" w:cs="新宋体"/>
          <w:snapToGrid w:val="0"/>
          <w:color w:val="auto"/>
          <w:kern w:val="0"/>
          <w:szCs w:val="21"/>
          <w:highlight w:val="none"/>
          <w:lang w:eastAsia="zh-CN"/>
        </w:rPr>
      </w:pPr>
      <w:r>
        <w:rPr>
          <w:rFonts w:hint="eastAsia" w:ascii="新宋体" w:hAnsi="新宋体" w:eastAsia="新宋体" w:cs="新宋体"/>
          <w:snapToGrid w:val="0"/>
          <w:color w:val="auto"/>
          <w:kern w:val="0"/>
          <w:szCs w:val="21"/>
          <w:highlight w:val="none"/>
        </w:rPr>
        <w:t>3.1.2 本次招标要求投标人具备的业绩条件：详见招标文件第二章投标人须知前附表第1.4.1项内容</w:t>
      </w:r>
      <w:r>
        <w:rPr>
          <w:rFonts w:hint="eastAsia" w:ascii="新宋体" w:hAnsi="新宋体" w:eastAsia="新宋体" w:cs="新宋体"/>
          <w:snapToGrid w:val="0"/>
          <w:color w:val="auto"/>
          <w:kern w:val="0"/>
          <w:szCs w:val="21"/>
          <w:highlight w:val="none"/>
          <w:lang w:eastAsia="zh-CN"/>
        </w:rPr>
        <w:t>。</w:t>
      </w:r>
    </w:p>
    <w:p>
      <w:pPr>
        <w:tabs>
          <w:tab w:val="left" w:pos="3840"/>
          <w:tab w:val="left" w:pos="5300"/>
        </w:tabs>
        <w:autoSpaceDE w:val="0"/>
        <w:autoSpaceDN w:val="0"/>
        <w:adjustRightInd w:val="0"/>
        <w:snapToGrid w:val="0"/>
        <w:spacing w:line="460" w:lineRule="exact"/>
        <w:ind w:firstLine="420" w:firstLineChars="200"/>
        <w:jc w:val="left"/>
        <w:rPr>
          <w:rFonts w:hint="eastAsia" w:ascii="新宋体" w:hAnsi="新宋体" w:eastAsia="新宋体" w:cs="新宋体"/>
          <w:color w:val="auto"/>
          <w:szCs w:val="21"/>
          <w:highlight w:val="none"/>
        </w:rPr>
      </w:pPr>
      <w:r>
        <w:rPr>
          <w:rFonts w:hint="eastAsia" w:ascii="新宋体" w:hAnsi="新宋体" w:eastAsia="新宋体" w:cs="新宋体"/>
          <w:snapToGrid w:val="0"/>
          <w:color w:val="auto"/>
          <w:kern w:val="0"/>
          <w:szCs w:val="21"/>
          <w:highlight w:val="none"/>
        </w:rPr>
        <w:t>3.1.3 投标人还应在人员、设备、资金等方面具有相应的施工能力，详见招标文件第二章投标人须知前附表第1.4.1项内容。</w:t>
      </w:r>
    </w:p>
    <w:p>
      <w:pPr>
        <w:tabs>
          <w:tab w:val="left" w:pos="3045"/>
          <w:tab w:val="left" w:pos="8310"/>
        </w:tabs>
        <w:autoSpaceDE w:val="0"/>
        <w:autoSpaceDN w:val="0"/>
        <w:adjustRightInd w:val="0"/>
        <w:snapToGrid w:val="0"/>
        <w:spacing w:line="460" w:lineRule="exact"/>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3.2  本次招标不接受联合体投标</w:t>
      </w:r>
      <w:r>
        <w:rPr>
          <w:rFonts w:hint="eastAsia" w:ascii="新宋体" w:hAnsi="新宋体" w:eastAsia="新宋体" w:cs="新宋体"/>
          <w:snapToGrid w:val="0"/>
          <w:color w:val="auto"/>
          <w:kern w:val="0"/>
          <w:szCs w:val="21"/>
          <w:highlight w:val="none"/>
          <w:lang w:eastAsia="zh-CN"/>
        </w:rPr>
        <w:t>，</w:t>
      </w:r>
      <w:r>
        <w:rPr>
          <w:rFonts w:hint="eastAsia" w:ascii="新宋体" w:hAnsi="新宋体" w:eastAsia="新宋体" w:cs="新宋体"/>
          <w:snapToGrid w:val="0"/>
          <w:color w:val="auto"/>
          <w:kern w:val="0"/>
          <w:szCs w:val="21"/>
          <w:highlight w:val="none"/>
          <w:lang w:val="en-US" w:eastAsia="zh-CN"/>
        </w:rPr>
        <w:t>不接受代理商投标</w:t>
      </w:r>
      <w:r>
        <w:rPr>
          <w:rFonts w:hint="eastAsia" w:ascii="新宋体" w:hAnsi="新宋体" w:eastAsia="新宋体" w:cs="新宋体"/>
          <w:snapToGrid w:val="0"/>
          <w:color w:val="auto"/>
          <w:kern w:val="0"/>
          <w:szCs w:val="21"/>
          <w:highlight w:val="none"/>
        </w:rPr>
        <w:t>。</w:t>
      </w:r>
    </w:p>
    <w:p>
      <w:pPr>
        <w:pStyle w:val="4"/>
        <w:spacing w:before="100" w:after="100" w:line="460" w:lineRule="exact"/>
        <w:rPr>
          <w:rFonts w:hint="eastAsia" w:ascii="新宋体" w:hAnsi="新宋体" w:eastAsia="新宋体" w:cs="新宋体"/>
          <w:snapToGrid w:val="0"/>
          <w:color w:val="auto"/>
          <w:sz w:val="28"/>
          <w:szCs w:val="28"/>
          <w:highlight w:val="none"/>
        </w:rPr>
      </w:pPr>
      <w:bookmarkStart w:id="42" w:name="_Toc200359430"/>
      <w:bookmarkStart w:id="43" w:name="_Toc277082539"/>
      <w:bookmarkStart w:id="44" w:name="_Toc200359241"/>
      <w:bookmarkStart w:id="45" w:name="_Toc287607731"/>
      <w:bookmarkStart w:id="46" w:name="_Toc430530419"/>
      <w:bookmarkStart w:id="47" w:name="_Toc224103302"/>
      <w:bookmarkStart w:id="48" w:name="_Toc57820545"/>
      <w:bookmarkStart w:id="49" w:name="_Toc287620670"/>
      <w:bookmarkStart w:id="50" w:name="_Toc509218695"/>
      <w:r>
        <w:rPr>
          <w:rFonts w:hint="eastAsia" w:ascii="新宋体" w:hAnsi="新宋体" w:eastAsia="新宋体" w:cs="新宋体"/>
          <w:snapToGrid w:val="0"/>
          <w:color w:val="auto"/>
          <w:sz w:val="28"/>
          <w:szCs w:val="28"/>
          <w:highlight w:val="none"/>
        </w:rPr>
        <w:t>4.  招标文件的获取</w:t>
      </w:r>
      <w:bookmarkEnd w:id="42"/>
      <w:bookmarkEnd w:id="43"/>
      <w:bookmarkEnd w:id="44"/>
      <w:bookmarkEnd w:id="45"/>
      <w:bookmarkEnd w:id="46"/>
      <w:bookmarkEnd w:id="47"/>
      <w:bookmarkEnd w:id="48"/>
      <w:bookmarkEnd w:id="49"/>
      <w:bookmarkEnd w:id="50"/>
    </w:p>
    <w:p>
      <w:pPr>
        <w:tabs>
          <w:tab w:val="left" w:pos="2420"/>
          <w:tab w:val="left" w:pos="5445"/>
        </w:tabs>
        <w:autoSpaceDE w:val="0"/>
        <w:autoSpaceDN w:val="0"/>
        <w:adjustRightInd w:val="0"/>
        <w:snapToGrid w:val="0"/>
        <w:spacing w:line="450" w:lineRule="exact"/>
        <w:ind w:firstLine="42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4.1  本招标项目采用全流程电子招投标，投标人在投标前可在</w:t>
      </w:r>
      <w:r>
        <w:rPr>
          <w:rFonts w:hint="eastAsia" w:ascii="新宋体" w:hAnsi="新宋体" w:eastAsia="新宋体" w:cs="新宋体"/>
          <w:snapToGrid w:val="0"/>
          <w:color w:val="auto"/>
          <w:kern w:val="0"/>
          <w:szCs w:val="21"/>
          <w:highlight w:val="none"/>
          <w:u w:val="single"/>
        </w:rPr>
        <w:t>重庆市公共资源交易网（www.cqggzy.com）</w:t>
      </w:r>
      <w:r>
        <w:rPr>
          <w:rFonts w:hint="eastAsia" w:ascii="新宋体" w:hAnsi="新宋体" w:eastAsia="新宋体" w:cs="新宋体"/>
          <w:snapToGrid w:val="0"/>
          <w:color w:val="auto"/>
          <w:kern w:val="0"/>
          <w:szCs w:val="21"/>
          <w:highlight w:val="none"/>
        </w:rPr>
        <w:t>下载招标文件、工程量清单、电子图纸等资料。参与投标的投标人需在</w:t>
      </w:r>
      <w:r>
        <w:rPr>
          <w:rFonts w:hint="eastAsia" w:ascii="新宋体" w:hAnsi="新宋体" w:eastAsia="新宋体" w:cs="新宋体"/>
          <w:snapToGrid w:val="0"/>
          <w:color w:val="auto"/>
          <w:kern w:val="0"/>
          <w:szCs w:val="21"/>
          <w:highlight w:val="none"/>
          <w:u w:val="single"/>
        </w:rPr>
        <w:t>重庆市公共资源交易网（www.cqggzy.com）</w:t>
      </w:r>
      <w:r>
        <w:rPr>
          <w:rFonts w:hint="eastAsia" w:ascii="新宋体" w:hAnsi="新宋体" w:eastAsia="新宋体" w:cs="新宋体"/>
          <w:snapToGrid w:val="0"/>
          <w:color w:val="auto"/>
          <w:kern w:val="0"/>
          <w:szCs w:val="21"/>
          <w:highlight w:val="none"/>
        </w:rPr>
        <w:t>完成市场主体信息登记以及 CA 数字证书办理，办理方式请参见</w:t>
      </w:r>
      <w:r>
        <w:rPr>
          <w:rFonts w:hint="eastAsia" w:ascii="新宋体" w:hAnsi="新宋体" w:eastAsia="新宋体" w:cs="新宋体"/>
          <w:snapToGrid w:val="0"/>
          <w:color w:val="auto"/>
          <w:kern w:val="0"/>
          <w:szCs w:val="21"/>
          <w:highlight w:val="none"/>
          <w:u w:val="single"/>
        </w:rPr>
        <w:t>重庆市公共资源交易网（www.cqggzy.com）</w:t>
      </w:r>
      <w:r>
        <w:rPr>
          <w:rFonts w:hint="eastAsia" w:ascii="新宋体" w:hAnsi="新宋体" w:eastAsia="新宋体" w:cs="新宋体"/>
          <w:snapToGrid w:val="0"/>
          <w:color w:val="auto"/>
          <w:kern w:val="0"/>
          <w:szCs w:val="21"/>
          <w:highlight w:val="none"/>
        </w:rPr>
        <w:t>导航栏“主体信息”页面中“市场主体信息登记”“CA 数字证书办理”。若投标人未及时完成市场主体信息登记和 CA 数字证书办理导致无法完成全流程电子招投标的，责任自负。</w:t>
      </w:r>
    </w:p>
    <w:p>
      <w:pPr>
        <w:tabs>
          <w:tab w:val="left" w:pos="2420"/>
          <w:tab w:val="left" w:pos="5445"/>
        </w:tabs>
        <w:autoSpaceDE w:val="0"/>
        <w:autoSpaceDN w:val="0"/>
        <w:adjustRightInd w:val="0"/>
        <w:snapToGrid w:val="0"/>
        <w:spacing w:line="450" w:lineRule="exact"/>
        <w:ind w:firstLine="42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4.2  投标人可在附件招标公告规定的时限内在</w:t>
      </w:r>
      <w:r>
        <w:rPr>
          <w:rFonts w:hint="eastAsia" w:ascii="新宋体" w:hAnsi="新宋体" w:eastAsia="新宋体" w:cs="新宋体"/>
          <w:snapToGrid w:val="0"/>
          <w:color w:val="auto"/>
          <w:kern w:val="0"/>
          <w:szCs w:val="21"/>
          <w:highlight w:val="none"/>
          <w:u w:val="single"/>
        </w:rPr>
        <w:t>重庆市公共资源交易网（www.cqggzy.com）</w:t>
      </w:r>
      <w:r>
        <w:rPr>
          <w:rFonts w:hint="eastAsia" w:ascii="新宋体" w:hAnsi="新宋体" w:eastAsia="新宋体" w:cs="新宋体"/>
          <w:snapToGrid w:val="0"/>
          <w:color w:val="auto"/>
          <w:kern w:val="0"/>
          <w:szCs w:val="21"/>
          <w:highlight w:val="none"/>
        </w:rPr>
        <w:t>本项目招标公告网页下方“我要提问”栏提出疑问。</w:t>
      </w:r>
    </w:p>
    <w:p>
      <w:pPr>
        <w:tabs>
          <w:tab w:val="left" w:pos="2420"/>
          <w:tab w:val="left" w:pos="5445"/>
        </w:tabs>
        <w:autoSpaceDE w:val="0"/>
        <w:autoSpaceDN w:val="0"/>
        <w:adjustRightInd w:val="0"/>
        <w:snapToGrid w:val="0"/>
        <w:spacing w:line="450" w:lineRule="exact"/>
        <w:ind w:firstLine="420"/>
        <w:jc w:val="left"/>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4.3  招标人应在附件招标公告规定的时限内在</w:t>
      </w:r>
      <w:r>
        <w:rPr>
          <w:rFonts w:hint="eastAsia" w:ascii="新宋体" w:hAnsi="新宋体" w:eastAsia="新宋体" w:cs="新宋体"/>
          <w:snapToGrid w:val="0"/>
          <w:color w:val="auto"/>
          <w:kern w:val="0"/>
          <w:szCs w:val="21"/>
          <w:highlight w:val="none"/>
          <w:u w:val="single"/>
        </w:rPr>
        <w:t>重庆市公共资源交易网（www.cqggzy.com）</w:t>
      </w:r>
      <w:r>
        <w:rPr>
          <w:rFonts w:hint="eastAsia" w:ascii="新宋体" w:hAnsi="新宋体" w:eastAsia="新宋体" w:cs="新宋体"/>
          <w:snapToGrid w:val="0"/>
          <w:color w:val="auto"/>
          <w:kern w:val="0"/>
          <w:szCs w:val="21"/>
          <w:highlight w:val="none"/>
        </w:rPr>
        <w:t>发布澄清</w:t>
      </w:r>
      <w:r>
        <w:rPr>
          <w:rFonts w:hint="eastAsia" w:ascii="新宋体" w:hAnsi="新宋体" w:eastAsia="新宋体" w:cs="新宋体"/>
          <w:snapToGrid w:val="0"/>
          <w:color w:val="auto"/>
          <w:kern w:val="0"/>
          <w:szCs w:val="21"/>
          <w:highlight w:val="none"/>
          <w:lang w:val="en-US" w:eastAsia="zh-CN"/>
        </w:rPr>
        <w:t>或修改</w:t>
      </w:r>
      <w:r>
        <w:rPr>
          <w:rFonts w:hint="eastAsia" w:ascii="新宋体" w:hAnsi="新宋体" w:eastAsia="新宋体" w:cs="新宋体"/>
          <w:snapToGrid w:val="0"/>
          <w:color w:val="auto"/>
          <w:kern w:val="0"/>
          <w:szCs w:val="21"/>
          <w:highlight w:val="none"/>
        </w:rPr>
        <w:t>。</w:t>
      </w:r>
    </w:p>
    <w:p>
      <w:pPr>
        <w:pStyle w:val="4"/>
        <w:spacing w:before="100" w:after="100" w:line="460" w:lineRule="exact"/>
        <w:rPr>
          <w:rFonts w:hint="eastAsia" w:ascii="新宋体" w:hAnsi="新宋体" w:eastAsia="新宋体" w:cs="新宋体"/>
          <w:snapToGrid w:val="0"/>
          <w:color w:val="auto"/>
          <w:sz w:val="28"/>
          <w:szCs w:val="28"/>
          <w:highlight w:val="none"/>
        </w:rPr>
      </w:pPr>
      <w:bookmarkStart w:id="51" w:name="_Toc200359431"/>
      <w:bookmarkStart w:id="52" w:name="_Toc430530420"/>
      <w:bookmarkStart w:id="53" w:name="_Toc224103303"/>
      <w:bookmarkStart w:id="54" w:name="_Toc277082540"/>
      <w:bookmarkStart w:id="55" w:name="_Toc200359242"/>
      <w:bookmarkStart w:id="56" w:name="_Toc57820546"/>
      <w:bookmarkStart w:id="57" w:name="_Toc509218696"/>
      <w:bookmarkStart w:id="58" w:name="_Toc287607732"/>
      <w:bookmarkStart w:id="59" w:name="_Toc287620671"/>
      <w:r>
        <w:rPr>
          <w:rFonts w:hint="eastAsia" w:ascii="新宋体" w:hAnsi="新宋体" w:eastAsia="新宋体" w:cs="新宋体"/>
          <w:snapToGrid w:val="0"/>
          <w:color w:val="auto"/>
          <w:sz w:val="28"/>
          <w:szCs w:val="28"/>
          <w:highlight w:val="none"/>
        </w:rPr>
        <w:t>5.  投标文件的递交</w:t>
      </w:r>
      <w:bookmarkEnd w:id="51"/>
      <w:bookmarkEnd w:id="52"/>
      <w:bookmarkEnd w:id="53"/>
      <w:bookmarkEnd w:id="54"/>
      <w:bookmarkEnd w:id="55"/>
      <w:bookmarkEnd w:id="56"/>
      <w:bookmarkEnd w:id="57"/>
      <w:bookmarkEnd w:id="58"/>
      <w:bookmarkEnd w:id="59"/>
    </w:p>
    <w:p>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5.1  投标文件递交的截止时间（投标截止时间，下同）详见附件招标公告规定的投标截止时间，投标人应当在投标截止时间前，通过互联网使用CA数字证书登录重庆市电子招投标系统，将加密的电子投标文件上传。</w:t>
      </w:r>
    </w:p>
    <w:p>
      <w:pPr>
        <w:autoSpaceDE w:val="0"/>
        <w:autoSpaceDN w:val="0"/>
        <w:adjustRightInd w:val="0"/>
        <w:snapToGrid w:val="0"/>
        <w:spacing w:line="450" w:lineRule="exact"/>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5.2  未按要求加密的电子投标文件，将无法上传至重庆市电子招投标系统，逾期未完成上传投标文件的，视为撤回投标文件。</w:t>
      </w:r>
    </w:p>
    <w:p>
      <w:pPr>
        <w:pStyle w:val="4"/>
        <w:spacing w:before="100" w:after="100" w:line="460" w:lineRule="exact"/>
        <w:rPr>
          <w:rFonts w:hint="eastAsia" w:ascii="新宋体" w:hAnsi="新宋体" w:eastAsia="新宋体" w:cs="新宋体"/>
          <w:snapToGrid w:val="0"/>
          <w:color w:val="auto"/>
          <w:sz w:val="28"/>
          <w:szCs w:val="28"/>
          <w:highlight w:val="none"/>
        </w:rPr>
      </w:pPr>
      <w:bookmarkStart w:id="60" w:name="_Toc200359243"/>
      <w:bookmarkStart w:id="61" w:name="_Toc200359432"/>
      <w:bookmarkStart w:id="62" w:name="_Toc430530421"/>
      <w:bookmarkStart w:id="63" w:name="_Toc287620672"/>
      <w:bookmarkStart w:id="64" w:name="_Toc224103304"/>
      <w:bookmarkStart w:id="65" w:name="_Toc509218697"/>
      <w:bookmarkStart w:id="66" w:name="_Toc277082541"/>
      <w:bookmarkStart w:id="67" w:name="_Toc287607733"/>
      <w:bookmarkStart w:id="68" w:name="_Toc57820547"/>
      <w:r>
        <w:rPr>
          <w:rFonts w:hint="eastAsia" w:ascii="新宋体" w:hAnsi="新宋体" w:eastAsia="新宋体" w:cs="新宋体"/>
          <w:snapToGrid w:val="0"/>
          <w:color w:val="auto"/>
          <w:sz w:val="28"/>
          <w:szCs w:val="28"/>
          <w:highlight w:val="none"/>
        </w:rPr>
        <w:t>6.  发布公告的媒介</w:t>
      </w:r>
      <w:bookmarkEnd w:id="60"/>
      <w:bookmarkEnd w:id="61"/>
      <w:bookmarkEnd w:id="62"/>
      <w:bookmarkEnd w:id="63"/>
      <w:bookmarkEnd w:id="64"/>
      <w:bookmarkEnd w:id="65"/>
      <w:bookmarkEnd w:id="66"/>
      <w:bookmarkEnd w:id="67"/>
      <w:bookmarkEnd w:id="68"/>
    </w:p>
    <w:p>
      <w:pPr>
        <w:tabs>
          <w:tab w:val="left" w:pos="4950"/>
        </w:tabs>
        <w:autoSpaceDE w:val="0"/>
        <w:autoSpaceDN w:val="0"/>
        <w:adjustRightInd w:val="0"/>
        <w:snapToGrid w:val="0"/>
        <w:spacing w:line="450" w:lineRule="exact"/>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本次招标公告同时在重庆市公共资源交易网（https://www.cqggzy.com/）、重庆高速公路集团有限公司官网（http://www.cegc.com.cn/gw）和重庆高速公路集团有限公司招投标管理平台（http://112.35.165.219:8088/PMS/）发布。上发布。</w:t>
      </w:r>
    </w:p>
    <w:p>
      <w:pPr>
        <w:pStyle w:val="4"/>
        <w:spacing w:before="100" w:after="100" w:line="460" w:lineRule="exact"/>
        <w:rPr>
          <w:rFonts w:hint="eastAsia" w:ascii="新宋体" w:hAnsi="新宋体" w:eastAsia="新宋体" w:cs="新宋体"/>
          <w:snapToGrid w:val="0"/>
          <w:color w:val="auto"/>
          <w:sz w:val="28"/>
          <w:szCs w:val="28"/>
          <w:highlight w:val="none"/>
        </w:rPr>
      </w:pPr>
      <w:bookmarkStart w:id="69" w:name="_Toc287607734"/>
      <w:bookmarkStart w:id="70" w:name="_Toc57820548"/>
      <w:bookmarkStart w:id="71" w:name="_Toc224103305"/>
      <w:bookmarkStart w:id="72" w:name="_Toc277082542"/>
      <w:bookmarkStart w:id="73" w:name="_Toc430530422"/>
      <w:bookmarkStart w:id="74" w:name="_Toc287620673"/>
      <w:bookmarkStart w:id="75" w:name="_Toc509218698"/>
      <w:r>
        <w:rPr>
          <w:rFonts w:hint="eastAsia" w:ascii="新宋体" w:hAnsi="新宋体" w:eastAsia="新宋体" w:cs="新宋体"/>
          <w:snapToGrid w:val="0"/>
          <w:color w:val="auto"/>
          <w:sz w:val="28"/>
          <w:szCs w:val="28"/>
          <w:highlight w:val="none"/>
        </w:rPr>
        <w:t>7.  联系方式</w:t>
      </w:r>
      <w:bookmarkEnd w:id="69"/>
      <w:bookmarkEnd w:id="70"/>
      <w:bookmarkEnd w:id="71"/>
      <w:bookmarkEnd w:id="72"/>
      <w:bookmarkEnd w:id="73"/>
      <w:bookmarkEnd w:id="74"/>
      <w:bookmarkEnd w:id="75"/>
    </w:p>
    <w:p>
      <w:pPr>
        <w:tabs>
          <w:tab w:val="left" w:pos="2420"/>
          <w:tab w:val="left" w:pos="5445"/>
        </w:tabs>
        <w:autoSpaceDE w:val="0"/>
        <w:autoSpaceDN w:val="0"/>
        <w:adjustRightInd w:val="0"/>
        <w:snapToGrid w:val="0"/>
        <w:spacing w:line="450" w:lineRule="exact"/>
        <w:ind w:firstLine="42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招标人：重庆渝蓉高速中油能源发展有限公司</w:t>
      </w:r>
    </w:p>
    <w:p>
      <w:pPr>
        <w:tabs>
          <w:tab w:val="left" w:pos="2420"/>
          <w:tab w:val="left" w:pos="5445"/>
        </w:tabs>
        <w:autoSpaceDE w:val="0"/>
        <w:autoSpaceDN w:val="0"/>
        <w:adjustRightInd w:val="0"/>
        <w:snapToGrid w:val="0"/>
        <w:spacing w:line="450" w:lineRule="exact"/>
        <w:ind w:firstLine="42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地  址：</w:t>
      </w:r>
      <w:r>
        <w:rPr>
          <w:rFonts w:hint="eastAsia"/>
          <w:color w:val="auto"/>
          <w:szCs w:val="21"/>
          <w:highlight w:val="none"/>
        </w:rPr>
        <w:t>重庆市渝北区龙溪街道锦龙支路19号1幢整幢</w:t>
      </w:r>
    </w:p>
    <w:p>
      <w:pPr>
        <w:tabs>
          <w:tab w:val="left" w:pos="2420"/>
          <w:tab w:val="left" w:pos="5445"/>
        </w:tabs>
        <w:autoSpaceDE w:val="0"/>
        <w:autoSpaceDN w:val="0"/>
        <w:adjustRightInd w:val="0"/>
        <w:snapToGrid w:val="0"/>
        <w:spacing w:line="450" w:lineRule="exact"/>
        <w:ind w:firstLine="42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联系人：夏女士</w:t>
      </w:r>
    </w:p>
    <w:p>
      <w:pPr>
        <w:tabs>
          <w:tab w:val="left" w:pos="2420"/>
          <w:tab w:val="left" w:pos="5445"/>
        </w:tabs>
        <w:autoSpaceDE w:val="0"/>
        <w:autoSpaceDN w:val="0"/>
        <w:adjustRightInd w:val="0"/>
        <w:snapToGrid w:val="0"/>
        <w:spacing w:line="450" w:lineRule="exact"/>
        <w:ind w:firstLine="42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电  话：023-81398897</w:t>
      </w:r>
    </w:p>
    <w:p>
      <w:pPr>
        <w:tabs>
          <w:tab w:val="left" w:pos="2420"/>
          <w:tab w:val="left" w:pos="5445"/>
        </w:tabs>
        <w:autoSpaceDE w:val="0"/>
        <w:autoSpaceDN w:val="0"/>
        <w:adjustRightInd w:val="0"/>
        <w:snapToGrid w:val="0"/>
        <w:spacing w:line="450" w:lineRule="exact"/>
        <w:ind w:firstLine="42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招标代理机构：重庆市投资咨询有限公司</w:t>
      </w:r>
    </w:p>
    <w:p>
      <w:pPr>
        <w:tabs>
          <w:tab w:val="left" w:pos="2420"/>
          <w:tab w:val="left" w:pos="5445"/>
        </w:tabs>
        <w:autoSpaceDE w:val="0"/>
        <w:autoSpaceDN w:val="0"/>
        <w:adjustRightInd w:val="0"/>
        <w:snapToGrid w:val="0"/>
        <w:spacing w:line="450" w:lineRule="exact"/>
        <w:ind w:firstLine="42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地  址：重庆市江北区五简路2号重咨大厦</w:t>
      </w:r>
    </w:p>
    <w:p>
      <w:pPr>
        <w:tabs>
          <w:tab w:val="left" w:pos="2420"/>
          <w:tab w:val="left" w:pos="5445"/>
        </w:tabs>
        <w:autoSpaceDE w:val="0"/>
        <w:autoSpaceDN w:val="0"/>
        <w:adjustRightInd w:val="0"/>
        <w:snapToGrid w:val="0"/>
        <w:spacing w:line="450" w:lineRule="exact"/>
        <w:ind w:firstLine="42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联系人：朱先生</w:t>
      </w:r>
    </w:p>
    <w:p>
      <w:pPr>
        <w:tabs>
          <w:tab w:val="left" w:pos="2420"/>
          <w:tab w:val="left" w:pos="5445"/>
        </w:tabs>
        <w:autoSpaceDE w:val="0"/>
        <w:autoSpaceDN w:val="0"/>
        <w:adjustRightInd w:val="0"/>
        <w:snapToGrid w:val="0"/>
        <w:spacing w:line="450" w:lineRule="exact"/>
        <w:ind w:firstLine="42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电  话：023-63850372</w:t>
      </w:r>
    </w:p>
    <w:p>
      <w:pPr>
        <w:tabs>
          <w:tab w:val="left" w:pos="5140"/>
          <w:tab w:val="left" w:pos="8420"/>
        </w:tabs>
        <w:autoSpaceDE w:val="0"/>
        <w:autoSpaceDN w:val="0"/>
        <w:adjustRightInd w:val="0"/>
        <w:snapToGrid w:val="0"/>
        <w:spacing w:line="400" w:lineRule="exact"/>
        <w:jc w:val="left"/>
        <w:rPr>
          <w:rFonts w:hint="eastAsia" w:ascii="新宋体" w:hAnsi="新宋体" w:eastAsia="新宋体" w:cs="新宋体"/>
          <w:snapToGrid w:val="0"/>
          <w:color w:val="auto"/>
          <w:kern w:val="0"/>
          <w:szCs w:val="21"/>
          <w:highlight w:val="none"/>
          <w:u w:val="single"/>
        </w:rPr>
      </w:pPr>
    </w:p>
    <w:p>
      <w:pPr>
        <w:autoSpaceDE w:val="0"/>
        <w:autoSpaceDN w:val="0"/>
        <w:adjustRightInd w:val="0"/>
        <w:snapToGrid w:val="0"/>
        <w:spacing w:line="440" w:lineRule="exact"/>
        <w:ind w:firstLine="3906" w:firstLineChars="1860"/>
        <w:jc w:val="right"/>
        <w:rPr>
          <w:rFonts w:hint="eastAsia" w:ascii="新宋体" w:hAnsi="新宋体" w:eastAsia="新宋体" w:cs="新宋体"/>
          <w:snapToGrid w:val="0"/>
          <w:color w:val="auto"/>
          <w:kern w:val="0"/>
          <w:sz w:val="20"/>
          <w:szCs w:val="20"/>
          <w:highlight w:val="none"/>
        </w:rPr>
      </w:pPr>
      <w:r>
        <w:rPr>
          <w:rFonts w:hint="eastAsia" w:ascii="新宋体" w:hAnsi="新宋体" w:eastAsia="新宋体" w:cs="新宋体"/>
          <w:snapToGrid w:val="0"/>
          <w:color w:val="auto"/>
          <w:kern w:val="0"/>
          <w:szCs w:val="21"/>
          <w:highlight w:val="none"/>
          <w:u w:val="single"/>
          <w:lang w:val="en-US" w:eastAsia="zh-CN"/>
        </w:rPr>
        <w:t>2023</w:t>
      </w:r>
      <w:r>
        <w:rPr>
          <w:rFonts w:hint="eastAsia" w:ascii="新宋体" w:hAnsi="新宋体" w:eastAsia="新宋体" w:cs="新宋体"/>
          <w:snapToGrid w:val="0"/>
          <w:color w:val="auto"/>
          <w:kern w:val="0"/>
          <w:szCs w:val="21"/>
          <w:highlight w:val="none"/>
        </w:rPr>
        <w:t>年</w:t>
      </w:r>
      <w:r>
        <w:rPr>
          <w:rFonts w:hint="eastAsia" w:ascii="新宋体" w:hAnsi="新宋体" w:eastAsia="新宋体" w:cs="新宋体"/>
          <w:snapToGrid w:val="0"/>
          <w:color w:val="auto"/>
          <w:kern w:val="0"/>
          <w:szCs w:val="21"/>
          <w:highlight w:val="none"/>
          <w:u w:val="single"/>
        </w:rPr>
        <w:t xml:space="preserve">   </w:t>
      </w:r>
      <w:r>
        <w:rPr>
          <w:rFonts w:hint="eastAsia" w:ascii="新宋体" w:hAnsi="新宋体" w:eastAsia="新宋体" w:cs="新宋体"/>
          <w:snapToGrid w:val="0"/>
          <w:color w:val="auto"/>
          <w:kern w:val="0"/>
          <w:szCs w:val="21"/>
          <w:highlight w:val="none"/>
        </w:rPr>
        <w:t>月</w:t>
      </w:r>
      <w:r>
        <w:rPr>
          <w:rFonts w:hint="eastAsia" w:ascii="新宋体" w:hAnsi="新宋体" w:eastAsia="新宋体" w:cs="新宋体"/>
          <w:snapToGrid w:val="0"/>
          <w:color w:val="auto"/>
          <w:kern w:val="0"/>
          <w:szCs w:val="21"/>
          <w:highlight w:val="none"/>
          <w:u w:val="single"/>
        </w:rPr>
        <w:t xml:space="preserve">   </w:t>
      </w:r>
      <w:r>
        <w:rPr>
          <w:rFonts w:hint="eastAsia" w:ascii="新宋体" w:hAnsi="新宋体" w:eastAsia="新宋体" w:cs="新宋体"/>
          <w:snapToGrid w:val="0"/>
          <w:color w:val="auto"/>
          <w:kern w:val="0"/>
          <w:szCs w:val="21"/>
          <w:highlight w:val="none"/>
        </w:rPr>
        <w:t xml:space="preserve">日  </w:t>
      </w:r>
    </w:p>
    <w:p>
      <w:pPr>
        <w:pStyle w:val="3"/>
        <w:spacing w:before="0" w:after="0" w:line="200" w:lineRule="exact"/>
        <w:jc w:val="center"/>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br w:type="page"/>
      </w:r>
      <w:bookmarkStart w:id="76" w:name="_Toc287607735"/>
      <w:bookmarkStart w:id="77" w:name="_Toc430530423"/>
      <w:bookmarkStart w:id="78" w:name="_Toc287620674"/>
      <w:bookmarkStart w:id="79" w:name="_Toc224103306"/>
    </w:p>
    <w:bookmarkEnd w:id="76"/>
    <w:bookmarkEnd w:id="77"/>
    <w:bookmarkEnd w:id="78"/>
    <w:bookmarkEnd w:id="79"/>
    <w:p>
      <w:pPr>
        <w:pStyle w:val="3"/>
        <w:spacing w:line="360" w:lineRule="auto"/>
        <w:jc w:val="center"/>
        <w:rPr>
          <w:rFonts w:hint="eastAsia" w:ascii="新宋体" w:hAnsi="新宋体" w:eastAsia="新宋体" w:cs="新宋体"/>
          <w:bCs w:val="0"/>
          <w:snapToGrid w:val="0"/>
          <w:color w:val="auto"/>
          <w:kern w:val="0"/>
          <w:highlight w:val="none"/>
        </w:rPr>
      </w:pPr>
      <w:bookmarkStart w:id="80" w:name="_Toc224103315"/>
      <w:bookmarkStart w:id="81" w:name="_Toc287607744"/>
      <w:bookmarkStart w:id="82" w:name="_Toc57820558"/>
      <w:bookmarkStart w:id="83" w:name="_Toc287620683"/>
      <w:bookmarkStart w:id="84" w:name="_Toc430530432"/>
      <w:r>
        <w:rPr>
          <w:rFonts w:hint="eastAsia" w:ascii="新宋体" w:hAnsi="新宋体" w:eastAsia="新宋体" w:cs="新宋体"/>
          <w:snapToGrid w:val="0"/>
          <w:color w:val="auto"/>
          <w:kern w:val="0"/>
          <w:highlight w:val="none"/>
        </w:rPr>
        <w:t>第二章  投标人须知</w:t>
      </w:r>
      <w:bookmarkEnd w:id="80"/>
      <w:bookmarkEnd w:id="81"/>
      <w:bookmarkEnd w:id="82"/>
      <w:bookmarkEnd w:id="83"/>
      <w:bookmarkEnd w:id="84"/>
      <w:bookmarkStart w:id="85" w:name="_Toc277082551"/>
      <w:bookmarkStart w:id="86" w:name="_Toc430530433"/>
      <w:bookmarkStart w:id="87" w:name="_Toc287620684"/>
      <w:bookmarkStart w:id="88" w:name="_Toc287607745"/>
      <w:bookmarkStart w:id="89" w:name="_Toc224103316"/>
    </w:p>
    <w:p>
      <w:pPr>
        <w:pStyle w:val="4"/>
        <w:spacing w:before="100" w:after="100" w:line="360" w:lineRule="auto"/>
        <w:rPr>
          <w:rFonts w:hint="eastAsia" w:ascii="新宋体" w:hAnsi="新宋体" w:eastAsia="新宋体" w:cs="新宋体"/>
          <w:color w:val="auto"/>
          <w:highlight w:val="none"/>
        </w:rPr>
      </w:pPr>
      <w:bookmarkStart w:id="90" w:name="_Toc57820559"/>
      <w:bookmarkStart w:id="91" w:name="_Toc509218708"/>
      <w:r>
        <w:rPr>
          <w:rFonts w:hint="eastAsia" w:ascii="新宋体" w:hAnsi="新宋体" w:eastAsia="新宋体" w:cs="新宋体"/>
          <w:color w:val="auto"/>
          <w:highlight w:val="none"/>
        </w:rPr>
        <w:t>投标人须知前附表</w:t>
      </w:r>
      <w:bookmarkEnd w:id="85"/>
      <w:bookmarkEnd w:id="86"/>
      <w:bookmarkEnd w:id="87"/>
      <w:bookmarkEnd w:id="88"/>
      <w:bookmarkEnd w:id="89"/>
      <w:bookmarkEnd w:id="90"/>
      <w:bookmarkEnd w:id="91"/>
    </w:p>
    <w:p>
      <w:pPr>
        <w:spacing w:line="360" w:lineRule="auto"/>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正文内容不允许修改。若投标人须知前附表与正文不一致的地方，以投标人须知前附表为准。</w:t>
      </w:r>
    </w:p>
    <w:tbl>
      <w:tblPr>
        <w:tblStyle w:val="62"/>
        <w:tblW w:w="946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335" w:type="dxa"/>
            <w:vAlign w:val="center"/>
          </w:tcPr>
          <w:p>
            <w:pPr>
              <w:snapToGrid w:val="0"/>
              <w:spacing w:line="400" w:lineRule="exact"/>
              <w:jc w:val="center"/>
              <w:rPr>
                <w:rFonts w:hint="eastAsia" w:ascii="新宋体" w:hAnsi="新宋体" w:eastAsia="新宋体" w:cs="新宋体"/>
                <w:b/>
                <w:color w:val="auto"/>
                <w:kern w:val="0"/>
                <w:szCs w:val="21"/>
                <w:highlight w:val="none"/>
              </w:rPr>
            </w:pPr>
            <w:r>
              <w:rPr>
                <w:rFonts w:hint="eastAsia" w:ascii="新宋体" w:hAnsi="新宋体" w:eastAsia="新宋体" w:cs="新宋体"/>
                <w:b/>
                <w:color w:val="auto"/>
                <w:kern w:val="0"/>
                <w:szCs w:val="21"/>
                <w:highlight w:val="none"/>
              </w:rPr>
              <w:t>条 款 号</w:t>
            </w:r>
          </w:p>
        </w:tc>
        <w:tc>
          <w:tcPr>
            <w:tcW w:w="1644" w:type="dxa"/>
            <w:vAlign w:val="center"/>
          </w:tcPr>
          <w:p>
            <w:pPr>
              <w:snapToGrid w:val="0"/>
              <w:spacing w:line="400" w:lineRule="exact"/>
              <w:jc w:val="center"/>
              <w:rPr>
                <w:rFonts w:hint="eastAsia" w:ascii="新宋体" w:hAnsi="新宋体" w:eastAsia="新宋体" w:cs="新宋体"/>
                <w:b/>
                <w:color w:val="auto"/>
                <w:kern w:val="0"/>
                <w:szCs w:val="21"/>
                <w:highlight w:val="none"/>
              </w:rPr>
            </w:pPr>
            <w:r>
              <w:rPr>
                <w:rFonts w:hint="eastAsia" w:ascii="新宋体" w:hAnsi="新宋体" w:eastAsia="新宋体" w:cs="新宋体"/>
                <w:b/>
                <w:color w:val="auto"/>
                <w:kern w:val="0"/>
                <w:szCs w:val="21"/>
                <w:highlight w:val="none"/>
              </w:rPr>
              <w:t>条款名称</w:t>
            </w:r>
          </w:p>
        </w:tc>
        <w:tc>
          <w:tcPr>
            <w:tcW w:w="6490" w:type="dxa"/>
            <w:vAlign w:val="center"/>
          </w:tcPr>
          <w:p>
            <w:pPr>
              <w:snapToGrid w:val="0"/>
              <w:spacing w:line="400" w:lineRule="exact"/>
              <w:jc w:val="center"/>
              <w:rPr>
                <w:rFonts w:hint="eastAsia" w:ascii="新宋体" w:hAnsi="新宋体" w:eastAsia="新宋体" w:cs="新宋体"/>
                <w:b/>
                <w:color w:val="auto"/>
                <w:kern w:val="0"/>
                <w:szCs w:val="21"/>
                <w:highlight w:val="none"/>
              </w:rPr>
            </w:pPr>
            <w:r>
              <w:rPr>
                <w:rFonts w:hint="eastAsia" w:ascii="新宋体" w:hAnsi="新宋体" w:eastAsia="新宋体" w:cs="新宋体"/>
                <w:b/>
                <w:color w:val="auto"/>
                <w:kern w:val="0"/>
                <w:szCs w:val="21"/>
                <w:highlight w:val="none"/>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1.1.2</w:t>
            </w:r>
          </w:p>
        </w:tc>
        <w:tc>
          <w:tcPr>
            <w:tcW w:w="1644"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招标人</w:t>
            </w:r>
          </w:p>
        </w:tc>
        <w:tc>
          <w:tcPr>
            <w:tcW w:w="6490" w:type="dxa"/>
            <w:vAlign w:val="center"/>
          </w:tcPr>
          <w:p>
            <w:pPr>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名称：重庆渝蓉高速中油能源发展有限公司</w:t>
            </w:r>
          </w:p>
          <w:p>
            <w:pPr>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地址：重庆市渝北区龙溪街道锦龙支路19号1幢整幢</w:t>
            </w:r>
          </w:p>
          <w:p>
            <w:pPr>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联系人：夏女士</w:t>
            </w:r>
          </w:p>
          <w:p>
            <w:pPr>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电话：023-81398897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1.1.3</w:t>
            </w:r>
          </w:p>
        </w:tc>
        <w:tc>
          <w:tcPr>
            <w:tcW w:w="1644"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招标代理机构</w:t>
            </w:r>
          </w:p>
        </w:tc>
        <w:tc>
          <w:tcPr>
            <w:tcW w:w="6490" w:type="dxa"/>
            <w:vAlign w:val="center"/>
          </w:tcPr>
          <w:p>
            <w:pPr>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名称：重庆市投资咨询有限公司</w:t>
            </w:r>
          </w:p>
          <w:p>
            <w:pPr>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地址：重庆市江北区五简路2号重咨大厦</w:t>
            </w:r>
          </w:p>
          <w:p>
            <w:pPr>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联系人：朱先生</w:t>
            </w:r>
          </w:p>
          <w:p>
            <w:pPr>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电话：023-63850372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1.1.4</w:t>
            </w:r>
          </w:p>
        </w:tc>
        <w:tc>
          <w:tcPr>
            <w:tcW w:w="1644"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项目名称</w:t>
            </w:r>
          </w:p>
        </w:tc>
        <w:tc>
          <w:tcPr>
            <w:tcW w:w="6490" w:type="dxa"/>
            <w:vAlign w:val="center"/>
          </w:tcPr>
          <w:p>
            <w:pPr>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渝蓉高速围龙服务区（南、北）LNG加气站设备采购项目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1.1.5</w:t>
            </w:r>
          </w:p>
        </w:tc>
        <w:tc>
          <w:tcPr>
            <w:tcW w:w="1644"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建设地点</w:t>
            </w:r>
          </w:p>
        </w:tc>
        <w:tc>
          <w:tcPr>
            <w:tcW w:w="6490" w:type="dxa"/>
            <w:vAlign w:val="center"/>
          </w:tcPr>
          <w:p>
            <w:pPr>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渝蓉高速围龙南、北侧服务区</w:t>
            </w:r>
            <w:r>
              <w:rPr>
                <w:rFonts w:hint="eastAsia" w:ascii="新宋体" w:hAnsi="新宋体" w:eastAsia="新宋体" w:cs="新宋体"/>
                <w:color w:val="auto"/>
                <w:szCs w:val="21"/>
                <w:highlight w:val="none"/>
                <w:lang w:eastAsia="zh-CN"/>
              </w:rPr>
              <w:t>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1.1.6</w:t>
            </w:r>
          </w:p>
        </w:tc>
        <w:tc>
          <w:tcPr>
            <w:tcW w:w="1644"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建设规模</w:t>
            </w:r>
          </w:p>
        </w:tc>
        <w:tc>
          <w:tcPr>
            <w:tcW w:w="6490" w:type="dxa"/>
            <w:vAlign w:val="center"/>
          </w:tcPr>
          <w:p>
            <w:pPr>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渝蓉高速围龙南、北侧服务区</w:t>
            </w:r>
            <w:r>
              <w:rPr>
                <w:rFonts w:hint="eastAsia" w:ascii="新宋体" w:hAnsi="新宋体" w:eastAsia="新宋体" w:cs="新宋体"/>
                <w:color w:val="auto"/>
                <w:szCs w:val="21"/>
                <w:highlight w:val="none"/>
                <w:lang w:eastAsia="zh-CN"/>
              </w:rPr>
              <w:t>内</w:t>
            </w:r>
            <w:r>
              <w:rPr>
                <w:rFonts w:hint="eastAsia" w:ascii="新宋体" w:hAnsi="新宋体" w:eastAsia="新宋体" w:cs="新宋体"/>
                <w:color w:val="auto"/>
                <w:szCs w:val="21"/>
                <w:highlight w:val="none"/>
              </w:rPr>
              <w:t>增设LNG加气站成套设备2座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1.2.1</w:t>
            </w:r>
          </w:p>
        </w:tc>
        <w:tc>
          <w:tcPr>
            <w:tcW w:w="1644"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资金来源</w:t>
            </w:r>
          </w:p>
        </w:tc>
        <w:tc>
          <w:tcPr>
            <w:tcW w:w="6490" w:type="dxa"/>
            <w:vAlign w:val="center"/>
          </w:tcPr>
          <w:p>
            <w:pPr>
              <w:snapToGrid w:val="0"/>
              <w:spacing w:line="400" w:lineRule="exact"/>
              <w:ind w:firstLine="420" w:firstLineChars="200"/>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国有资金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1.2.2</w:t>
            </w:r>
          </w:p>
        </w:tc>
        <w:tc>
          <w:tcPr>
            <w:tcW w:w="1644"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出资比例</w:t>
            </w:r>
          </w:p>
        </w:tc>
        <w:tc>
          <w:tcPr>
            <w:tcW w:w="6490" w:type="dxa"/>
            <w:vAlign w:val="center"/>
          </w:tcPr>
          <w:p>
            <w:pPr>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1.2.3</w:t>
            </w:r>
          </w:p>
        </w:tc>
        <w:tc>
          <w:tcPr>
            <w:tcW w:w="1644"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资金落实情况</w:t>
            </w:r>
          </w:p>
        </w:tc>
        <w:tc>
          <w:tcPr>
            <w:tcW w:w="6490" w:type="dxa"/>
            <w:vAlign w:val="center"/>
          </w:tcPr>
          <w:p>
            <w:pPr>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1.3.1</w:t>
            </w:r>
          </w:p>
        </w:tc>
        <w:tc>
          <w:tcPr>
            <w:tcW w:w="1644"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招标范围</w:t>
            </w:r>
          </w:p>
        </w:tc>
        <w:tc>
          <w:tcPr>
            <w:tcW w:w="6490" w:type="dxa"/>
            <w:vAlign w:val="center"/>
          </w:tcPr>
          <w:p>
            <w:pPr>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主要包括但不限于本项目货物设备、结构的设计、制造、测试等各项工作的费用、税费及设备的安装、安装材料、人工、吊装、检测、调试、后期营业人员培训、质保期内的维护、保养等全部内容。积极配合招标人完成相应LNG加气站的各项专项验收直至营业前各职能部门的相关手续办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1.3.2</w:t>
            </w:r>
          </w:p>
        </w:tc>
        <w:tc>
          <w:tcPr>
            <w:tcW w:w="1644" w:type="dxa"/>
            <w:vAlign w:val="center"/>
          </w:tcPr>
          <w:p>
            <w:pPr>
              <w:snapToGrid w:val="0"/>
              <w:spacing w:line="400" w:lineRule="exact"/>
              <w:jc w:val="center"/>
              <w:rPr>
                <w:rFonts w:hint="eastAsia" w:ascii="新宋体" w:hAnsi="新宋体" w:eastAsia="新宋体" w:cs="新宋体"/>
                <w:color w:val="auto"/>
                <w:kern w:val="0"/>
                <w:szCs w:val="21"/>
                <w:highlight w:val="none"/>
                <w:lang w:val="en-US" w:eastAsia="zh-CN"/>
              </w:rPr>
            </w:pPr>
            <w:r>
              <w:rPr>
                <w:rFonts w:hint="eastAsia" w:ascii="新宋体" w:hAnsi="新宋体" w:eastAsia="新宋体" w:cs="新宋体"/>
                <w:color w:val="auto"/>
                <w:kern w:val="0"/>
                <w:szCs w:val="21"/>
                <w:highlight w:val="none"/>
                <w:lang w:val="en-US" w:eastAsia="zh-CN"/>
              </w:rPr>
              <w:t>交货期</w:t>
            </w:r>
          </w:p>
        </w:tc>
        <w:tc>
          <w:tcPr>
            <w:tcW w:w="6490" w:type="dxa"/>
            <w:vAlign w:val="center"/>
          </w:tcPr>
          <w:p>
            <w:pPr>
              <w:snapToGrid w:val="0"/>
              <w:spacing w:line="400" w:lineRule="exact"/>
              <w:ind w:firstLine="420" w:firstLineChars="200"/>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u w:val="single"/>
                <w:lang w:val="en-US" w:eastAsia="zh-CN"/>
              </w:rPr>
              <w:t>90</w:t>
            </w:r>
            <w:r>
              <w:rPr>
                <w:rFonts w:hint="eastAsia" w:ascii="新宋体" w:hAnsi="新宋体" w:eastAsia="新宋体" w:cs="新宋体"/>
                <w:color w:val="auto"/>
                <w:szCs w:val="21"/>
                <w:highlight w:val="none"/>
                <w:lang w:val="en-US" w:eastAsia="zh-CN"/>
              </w:rPr>
              <w:t>日历天。其中，</w:t>
            </w:r>
            <w:r>
              <w:rPr>
                <w:rFonts w:hint="eastAsia" w:ascii="新宋体" w:hAnsi="新宋体" w:eastAsia="新宋体" w:cs="新宋体"/>
                <w:color w:val="auto"/>
                <w:szCs w:val="21"/>
                <w:highlight w:val="none"/>
              </w:rPr>
              <w:t>60日历天内供货（以招标人下达书面通知时间起算），30天内完成安装调试。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新宋体" w:hAnsi="新宋体" w:eastAsia="新宋体" w:cs="新宋体"/>
                <w:color w:val="auto"/>
                <w:kern w:val="0"/>
                <w:szCs w:val="21"/>
                <w:highlight w:val="none"/>
                <w:lang w:val="en-US" w:eastAsia="zh-CN"/>
              </w:rPr>
            </w:pPr>
            <w:r>
              <w:rPr>
                <w:rFonts w:hint="eastAsia" w:ascii="新宋体" w:hAnsi="新宋体" w:eastAsia="新宋体" w:cs="新宋体"/>
                <w:color w:val="auto"/>
                <w:kern w:val="0"/>
                <w:szCs w:val="21"/>
                <w:highlight w:val="none"/>
                <w:lang w:val="en-US" w:eastAsia="zh-CN"/>
              </w:rPr>
              <w:t>1.3.3</w:t>
            </w:r>
          </w:p>
        </w:tc>
        <w:tc>
          <w:tcPr>
            <w:tcW w:w="1644" w:type="dxa"/>
            <w:vAlign w:val="center"/>
          </w:tcPr>
          <w:p>
            <w:pPr>
              <w:snapToGrid w:val="0"/>
              <w:spacing w:line="400" w:lineRule="exact"/>
              <w:jc w:val="center"/>
              <w:rPr>
                <w:rFonts w:hint="eastAsia" w:ascii="新宋体" w:hAnsi="新宋体" w:eastAsia="新宋体" w:cs="新宋体"/>
                <w:color w:val="auto"/>
                <w:kern w:val="0"/>
                <w:szCs w:val="21"/>
                <w:highlight w:val="none"/>
                <w:lang w:val="en-US" w:eastAsia="zh-CN"/>
              </w:rPr>
            </w:pPr>
            <w:r>
              <w:rPr>
                <w:rFonts w:hint="eastAsia" w:ascii="新宋体" w:hAnsi="新宋体" w:eastAsia="新宋体" w:cs="新宋体"/>
                <w:color w:val="auto"/>
                <w:kern w:val="0"/>
                <w:szCs w:val="21"/>
                <w:highlight w:val="none"/>
                <w:lang w:val="en-US" w:eastAsia="zh-CN"/>
              </w:rPr>
              <w:t>交货地点</w:t>
            </w:r>
          </w:p>
        </w:tc>
        <w:tc>
          <w:tcPr>
            <w:tcW w:w="6490" w:type="dxa"/>
            <w:vAlign w:val="center"/>
          </w:tcPr>
          <w:p>
            <w:pPr>
              <w:snapToGrid w:val="0"/>
              <w:spacing w:line="400" w:lineRule="exact"/>
              <w:ind w:firstLine="420" w:firstLineChars="200"/>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rPr>
              <w:t>渝蓉高速围龙南、北侧服务区</w:t>
            </w:r>
            <w:r>
              <w:rPr>
                <w:rFonts w:hint="eastAsia" w:ascii="新宋体" w:hAnsi="新宋体" w:eastAsia="新宋体" w:cs="新宋体"/>
                <w:color w:val="auto"/>
                <w:szCs w:val="21"/>
                <w:highlight w:val="none"/>
                <w:lang w:eastAsia="zh-CN"/>
              </w:rPr>
              <w:t>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新宋体" w:hAnsi="新宋体" w:eastAsia="新宋体" w:cs="新宋体"/>
                <w:color w:val="auto"/>
                <w:kern w:val="0"/>
                <w:szCs w:val="21"/>
                <w:highlight w:val="none"/>
                <w:lang w:val="en-US" w:eastAsia="zh-CN"/>
              </w:rPr>
            </w:pPr>
            <w:r>
              <w:rPr>
                <w:rFonts w:hint="eastAsia" w:ascii="新宋体" w:hAnsi="新宋体" w:eastAsia="新宋体" w:cs="新宋体"/>
                <w:color w:val="auto"/>
                <w:kern w:val="0"/>
                <w:szCs w:val="21"/>
                <w:highlight w:val="none"/>
                <w:lang w:val="en-US" w:eastAsia="zh-CN"/>
              </w:rPr>
              <w:t>1.3.4</w:t>
            </w:r>
          </w:p>
        </w:tc>
        <w:tc>
          <w:tcPr>
            <w:tcW w:w="1644" w:type="dxa"/>
            <w:vAlign w:val="center"/>
          </w:tcPr>
          <w:p>
            <w:pPr>
              <w:snapToGrid w:val="0"/>
              <w:spacing w:line="400" w:lineRule="exact"/>
              <w:jc w:val="center"/>
              <w:rPr>
                <w:rFonts w:hint="eastAsia" w:ascii="新宋体" w:hAnsi="新宋体" w:eastAsia="新宋体" w:cs="新宋体"/>
                <w:color w:val="auto"/>
                <w:kern w:val="0"/>
                <w:szCs w:val="21"/>
                <w:highlight w:val="none"/>
                <w:lang w:val="en-US" w:eastAsia="zh-CN"/>
              </w:rPr>
            </w:pPr>
            <w:r>
              <w:rPr>
                <w:rFonts w:hint="eastAsia" w:ascii="新宋体" w:hAnsi="新宋体" w:eastAsia="新宋体" w:cs="新宋体"/>
                <w:color w:val="auto"/>
                <w:kern w:val="0"/>
                <w:szCs w:val="21"/>
                <w:highlight w:val="none"/>
                <w:lang w:val="en-US" w:eastAsia="zh-CN"/>
              </w:rPr>
              <w:t>技术性能指标</w:t>
            </w:r>
          </w:p>
        </w:tc>
        <w:tc>
          <w:tcPr>
            <w:tcW w:w="6490" w:type="dxa"/>
            <w:vAlign w:val="center"/>
          </w:tcPr>
          <w:p>
            <w:pPr>
              <w:snapToGrid w:val="0"/>
              <w:spacing w:line="400" w:lineRule="exact"/>
              <w:ind w:firstLine="420" w:firstLineChars="200"/>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具体详见本项目招标文件第五章技术标准和要求。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新宋体" w:hAnsi="新宋体" w:eastAsia="新宋体" w:cs="新宋体"/>
                <w:color w:val="auto"/>
                <w:kern w:val="0"/>
                <w:szCs w:val="21"/>
                <w:highlight w:val="none"/>
                <w:lang w:eastAsia="zh-CN"/>
              </w:rPr>
            </w:pPr>
            <w:r>
              <w:rPr>
                <w:rFonts w:hint="eastAsia" w:ascii="新宋体" w:hAnsi="新宋体" w:eastAsia="新宋体" w:cs="新宋体"/>
                <w:color w:val="auto"/>
                <w:kern w:val="0"/>
                <w:szCs w:val="21"/>
                <w:highlight w:val="none"/>
              </w:rPr>
              <w:t>1.3.</w:t>
            </w:r>
            <w:r>
              <w:rPr>
                <w:rFonts w:hint="eastAsia" w:ascii="新宋体" w:hAnsi="新宋体" w:eastAsia="新宋体" w:cs="新宋体"/>
                <w:color w:val="auto"/>
                <w:kern w:val="0"/>
                <w:szCs w:val="21"/>
                <w:highlight w:val="none"/>
                <w:lang w:val="en-US" w:eastAsia="zh-CN"/>
              </w:rPr>
              <w:t>5</w:t>
            </w:r>
          </w:p>
        </w:tc>
        <w:tc>
          <w:tcPr>
            <w:tcW w:w="1644" w:type="dxa"/>
            <w:vAlign w:val="center"/>
          </w:tcPr>
          <w:p>
            <w:pPr>
              <w:snapToGrid w:val="0"/>
              <w:spacing w:line="400" w:lineRule="exact"/>
              <w:jc w:val="center"/>
              <w:rPr>
                <w:rFonts w:hint="eastAsia" w:ascii="新宋体" w:hAnsi="新宋体" w:eastAsia="新宋体" w:cs="新宋体"/>
                <w:color w:val="auto"/>
                <w:kern w:val="0"/>
                <w:szCs w:val="21"/>
                <w:highlight w:val="none"/>
                <w:lang w:val="en-US" w:eastAsia="zh-CN"/>
              </w:rPr>
            </w:pPr>
            <w:r>
              <w:rPr>
                <w:rFonts w:hint="eastAsia" w:ascii="新宋体" w:hAnsi="新宋体" w:eastAsia="新宋体" w:cs="新宋体"/>
                <w:color w:val="auto"/>
                <w:kern w:val="0"/>
                <w:szCs w:val="21"/>
                <w:highlight w:val="none"/>
              </w:rPr>
              <w:t>质量</w:t>
            </w:r>
            <w:r>
              <w:rPr>
                <w:rFonts w:hint="eastAsia" w:ascii="新宋体" w:hAnsi="新宋体" w:eastAsia="新宋体" w:cs="新宋体"/>
                <w:color w:val="auto"/>
                <w:kern w:val="0"/>
                <w:szCs w:val="21"/>
                <w:highlight w:val="none"/>
                <w:lang w:val="en-US" w:eastAsia="zh-CN"/>
              </w:rPr>
              <w:t>保证期</w:t>
            </w:r>
          </w:p>
        </w:tc>
        <w:tc>
          <w:tcPr>
            <w:tcW w:w="6490" w:type="dxa"/>
            <w:vAlign w:val="center"/>
          </w:tcPr>
          <w:p>
            <w:pPr>
              <w:snapToGrid w:val="0"/>
              <w:spacing w:line="400" w:lineRule="exact"/>
              <w:ind w:firstLine="420" w:firstLineChars="200"/>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u w:val="single"/>
              </w:rPr>
              <w:t xml:space="preserve"> </w:t>
            </w:r>
            <w:r>
              <w:rPr>
                <w:rFonts w:hint="eastAsia" w:ascii="新宋体" w:hAnsi="新宋体" w:eastAsia="新宋体" w:cs="新宋体"/>
                <w:color w:val="auto"/>
                <w:szCs w:val="21"/>
                <w:highlight w:val="none"/>
                <w:u w:val="single"/>
                <w:lang w:val="en-US" w:eastAsia="zh-CN"/>
              </w:rPr>
              <w:t>24</w:t>
            </w:r>
            <w:r>
              <w:rPr>
                <w:rFonts w:hint="eastAsia" w:ascii="新宋体" w:hAnsi="新宋体" w:eastAsia="新宋体" w:cs="新宋体"/>
                <w:color w:val="auto"/>
                <w:szCs w:val="21"/>
                <w:highlight w:val="none"/>
                <w:u w:val="single"/>
              </w:rPr>
              <w:t xml:space="preserve"> </w:t>
            </w:r>
            <w:r>
              <w:rPr>
                <w:rFonts w:hint="eastAsia" w:ascii="新宋体" w:hAnsi="新宋体" w:eastAsia="新宋体" w:cs="新宋体"/>
                <w:color w:val="auto"/>
                <w:szCs w:val="21"/>
                <w:highlight w:val="none"/>
                <w:lang w:val="en-US" w:eastAsia="zh-CN"/>
              </w:rPr>
              <w:t>个月。</w:t>
            </w:r>
          </w:p>
          <w:p>
            <w:pPr>
              <w:snapToGrid w:val="0"/>
              <w:spacing w:line="400" w:lineRule="exact"/>
              <w:ind w:firstLine="420" w:firstLineChars="200"/>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rPr>
              <w:t>符合国家和重庆市现行有关质量验收规范要求，并达到合格标准。</w:t>
            </w:r>
            <w:r>
              <w:rPr>
                <w:rFonts w:hint="eastAsia" w:ascii="新宋体" w:hAnsi="新宋体" w:eastAsia="新宋体" w:cs="新宋体"/>
                <w:color w:val="auto"/>
                <w:szCs w:val="21"/>
                <w:highlight w:val="none"/>
                <w:lang w:val="en-US" w:eastAsia="zh-CN"/>
              </w:rPr>
              <w:t>免费质保期不低于24个月，起算时间自项目正式投运时开始。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1.4.1</w:t>
            </w: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1.4.1</w:t>
            </w:r>
          </w:p>
          <w:p>
            <w:pPr>
              <w:snapToGrid w:val="0"/>
              <w:spacing w:line="400" w:lineRule="exact"/>
              <w:jc w:val="center"/>
              <w:rPr>
                <w:rFonts w:hint="eastAsia" w:ascii="新宋体" w:hAnsi="新宋体" w:eastAsia="新宋体" w:cs="新宋体"/>
                <w:color w:val="auto"/>
                <w:kern w:val="0"/>
                <w:szCs w:val="21"/>
                <w:highlight w:val="none"/>
              </w:rPr>
            </w:pPr>
          </w:p>
        </w:tc>
        <w:tc>
          <w:tcPr>
            <w:tcW w:w="1644" w:type="dxa"/>
            <w:vAlign w:val="center"/>
          </w:tcPr>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投标人资质条件、能力和信誉</w:t>
            </w: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投标人资质条件、能力和信誉</w:t>
            </w: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p>
            <w:pPr>
              <w:snapToGrid w:val="0"/>
              <w:spacing w:line="400" w:lineRule="exact"/>
              <w:jc w:val="center"/>
              <w:rPr>
                <w:rFonts w:hint="eastAsia" w:ascii="新宋体" w:hAnsi="新宋体" w:eastAsia="新宋体" w:cs="新宋体"/>
                <w:color w:val="auto"/>
                <w:kern w:val="0"/>
                <w:szCs w:val="21"/>
                <w:highlight w:val="none"/>
              </w:rPr>
            </w:pPr>
          </w:p>
        </w:tc>
        <w:tc>
          <w:tcPr>
            <w:tcW w:w="6490" w:type="dxa"/>
            <w:vAlign w:val="center"/>
          </w:tcPr>
          <w:p>
            <w:pPr>
              <w:autoSpaceDE w:val="0"/>
              <w:autoSpaceDN w:val="0"/>
              <w:adjustRightInd w:val="0"/>
              <w:snapToGrid w:val="0"/>
              <w:spacing w:line="400" w:lineRule="exact"/>
              <w:ind w:firstLine="420" w:firstLineChars="200"/>
              <w:rPr>
                <w:rFonts w:hint="eastAsia" w:ascii="新宋体" w:hAnsi="新宋体" w:eastAsia="新宋体" w:cs="新宋体"/>
                <w:color w:val="auto"/>
                <w:szCs w:val="21"/>
                <w:highlight w:val="none"/>
              </w:rPr>
            </w:pPr>
            <w:bookmarkStart w:id="92" w:name="OLE_LINK1"/>
            <w:r>
              <w:rPr>
                <w:rFonts w:hint="eastAsia" w:ascii="新宋体" w:hAnsi="新宋体" w:eastAsia="新宋体" w:cs="新宋体"/>
                <w:color w:val="auto"/>
                <w:szCs w:val="21"/>
                <w:highlight w:val="none"/>
              </w:rPr>
              <w:t>本</w:t>
            </w:r>
            <w:r>
              <w:rPr>
                <w:rFonts w:hint="eastAsia" w:ascii="新宋体" w:hAnsi="新宋体" w:eastAsia="新宋体" w:cs="新宋体"/>
                <w:color w:val="auto"/>
                <w:szCs w:val="21"/>
                <w:highlight w:val="none"/>
                <w:lang w:val="en-US" w:eastAsia="zh-CN"/>
              </w:rPr>
              <w:t>项目</w:t>
            </w:r>
            <w:r>
              <w:rPr>
                <w:rFonts w:hint="eastAsia" w:ascii="新宋体" w:hAnsi="新宋体" w:eastAsia="新宋体" w:cs="新宋体"/>
                <w:color w:val="auto"/>
                <w:szCs w:val="21"/>
                <w:highlight w:val="none"/>
              </w:rPr>
              <w:t>招标实行资格后审，投标人应</w:t>
            </w:r>
            <w:bookmarkStart w:id="93" w:name="一是"/>
            <w:bookmarkEnd w:id="93"/>
            <w:r>
              <w:rPr>
                <w:rFonts w:hint="eastAsia" w:ascii="新宋体" w:hAnsi="新宋体" w:eastAsia="新宋体" w:cs="新宋体"/>
                <w:color w:val="auto"/>
                <w:szCs w:val="21"/>
                <w:highlight w:val="none"/>
              </w:rPr>
              <w:t>具备以下资格条件：</w:t>
            </w:r>
          </w:p>
          <w:bookmarkEnd w:id="92"/>
          <w:p>
            <w:pPr>
              <w:autoSpaceDE w:val="0"/>
              <w:autoSpaceDN w:val="0"/>
              <w:adjustRightInd w:val="0"/>
              <w:snapToGrid w:val="0"/>
              <w:spacing w:line="400" w:lineRule="exact"/>
              <w:ind w:firstLine="422" w:firstLineChars="200"/>
              <w:rPr>
                <w:rFonts w:hint="eastAsia" w:ascii="新宋体" w:hAnsi="新宋体" w:eastAsia="新宋体" w:cs="新宋体"/>
                <w:i/>
                <w:color w:val="auto"/>
                <w:szCs w:val="21"/>
                <w:highlight w:val="none"/>
              </w:rPr>
            </w:pPr>
            <w:r>
              <w:rPr>
                <w:rFonts w:hint="eastAsia" w:ascii="新宋体" w:hAnsi="新宋体" w:eastAsia="新宋体" w:cs="新宋体"/>
                <w:b/>
                <w:color w:val="auto"/>
                <w:szCs w:val="21"/>
                <w:highlight w:val="none"/>
              </w:rPr>
              <w:t>1.资质条件、营业执照</w:t>
            </w:r>
          </w:p>
          <w:p>
            <w:pPr>
              <w:autoSpaceDE w:val="0"/>
              <w:autoSpaceDN w:val="0"/>
              <w:adjustRightInd w:val="0"/>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（1）</w:t>
            </w:r>
            <w:r>
              <w:rPr>
                <w:rFonts w:hint="eastAsia" w:ascii="新宋体" w:hAnsi="新宋体" w:eastAsia="新宋体" w:cs="新宋体"/>
                <w:snapToGrid w:val="0"/>
                <w:color w:val="auto"/>
                <w:kern w:val="0"/>
                <w:szCs w:val="21"/>
                <w:highlight w:val="none"/>
                <w:lang w:val="en-US" w:eastAsia="zh-CN"/>
              </w:rPr>
              <w:t>具备</w:t>
            </w:r>
            <w:r>
              <w:rPr>
                <w:rFonts w:hint="eastAsia" w:ascii="新宋体" w:hAnsi="新宋体" w:eastAsia="新宋体" w:cs="新宋体"/>
                <w:snapToGrid w:val="0"/>
                <w:color w:val="auto"/>
                <w:kern w:val="0"/>
                <w:szCs w:val="21"/>
                <w:highlight w:val="none"/>
                <w:lang w:eastAsia="zh-CN"/>
              </w:rPr>
              <w:t>特种设备安装、改造、维修许可证（压力管道）GC2级</w:t>
            </w:r>
            <w:r>
              <w:rPr>
                <w:rFonts w:hint="eastAsia" w:ascii="新宋体" w:hAnsi="新宋体" w:eastAsia="新宋体" w:cs="新宋体"/>
                <w:snapToGrid w:val="0"/>
                <w:color w:val="auto"/>
                <w:kern w:val="0"/>
                <w:szCs w:val="21"/>
                <w:highlight w:val="none"/>
                <w:lang w:val="en-US" w:eastAsia="zh-CN"/>
              </w:rPr>
              <w:t>或</w:t>
            </w:r>
            <w:r>
              <w:rPr>
                <w:rFonts w:hint="eastAsia" w:ascii="新宋体" w:hAnsi="新宋体" w:eastAsia="新宋体" w:cs="新宋体"/>
                <w:snapToGrid w:val="0"/>
                <w:color w:val="auto"/>
                <w:kern w:val="0"/>
                <w:szCs w:val="21"/>
                <w:highlight w:val="none"/>
                <w:lang w:eastAsia="zh-CN"/>
              </w:rPr>
              <w:t>以上资质</w:t>
            </w:r>
            <w:r>
              <w:rPr>
                <w:rFonts w:hint="eastAsia" w:ascii="新宋体" w:hAnsi="新宋体" w:eastAsia="新宋体" w:cs="新宋体"/>
                <w:color w:val="auto"/>
                <w:szCs w:val="21"/>
                <w:highlight w:val="none"/>
              </w:rPr>
              <w:t>。</w:t>
            </w:r>
          </w:p>
          <w:p>
            <w:pPr>
              <w:autoSpaceDE w:val="0"/>
              <w:autoSpaceDN w:val="0"/>
              <w:adjustRightInd w:val="0"/>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投标人须在投标文件资格审查部分提供有效的资质证书。</w:t>
            </w:r>
          </w:p>
          <w:p>
            <w:pPr>
              <w:autoSpaceDE w:val="0"/>
              <w:autoSpaceDN w:val="0"/>
              <w:adjustRightInd w:val="0"/>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（2）具备有效的营业执照。</w:t>
            </w:r>
          </w:p>
          <w:p>
            <w:pPr>
              <w:autoSpaceDE w:val="0"/>
              <w:autoSpaceDN w:val="0"/>
              <w:adjustRightInd w:val="0"/>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投标人须在投标文件资格审查部分提供有效的营业执照。</w:t>
            </w:r>
          </w:p>
          <w:p>
            <w:pPr>
              <w:autoSpaceDE w:val="0"/>
              <w:autoSpaceDN w:val="0"/>
              <w:adjustRightInd w:val="0"/>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注：不得将投标人营业执照记载的经营范围作为评审因素。</w:t>
            </w:r>
          </w:p>
          <w:p>
            <w:pPr>
              <w:autoSpaceDE w:val="0"/>
              <w:autoSpaceDN w:val="0"/>
              <w:adjustRightInd w:val="0"/>
              <w:snapToGrid w:val="0"/>
              <w:spacing w:line="400" w:lineRule="exact"/>
              <w:ind w:firstLine="422" w:firstLineChars="200"/>
              <w:rPr>
                <w:rFonts w:hint="eastAsia" w:ascii="新宋体" w:hAnsi="新宋体" w:eastAsia="新宋体" w:cs="新宋体"/>
                <w:b/>
                <w:color w:val="auto"/>
                <w:szCs w:val="21"/>
                <w:highlight w:val="none"/>
              </w:rPr>
            </w:pPr>
            <w:r>
              <w:rPr>
                <w:rFonts w:hint="eastAsia" w:ascii="新宋体" w:hAnsi="新宋体" w:eastAsia="新宋体" w:cs="新宋体"/>
                <w:b/>
                <w:color w:val="auto"/>
                <w:szCs w:val="21"/>
                <w:highlight w:val="none"/>
              </w:rPr>
              <w:t>2.财务要求</w:t>
            </w:r>
          </w:p>
          <w:p>
            <w:pPr>
              <w:autoSpaceDE w:val="0"/>
              <w:autoSpaceDN w:val="0"/>
              <w:adjustRightInd w:val="0"/>
              <w:snapToGrid w:val="0"/>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u w:val="single"/>
                <w:lang w:val="en-US" w:eastAsia="zh-CN"/>
              </w:rPr>
              <w:t>2020</w:t>
            </w:r>
            <w:r>
              <w:rPr>
                <w:rFonts w:hint="eastAsia" w:ascii="新宋体" w:hAnsi="新宋体" w:eastAsia="新宋体" w:cs="新宋体"/>
                <w:color w:val="auto"/>
                <w:kern w:val="0"/>
                <w:szCs w:val="21"/>
                <w:highlight w:val="none"/>
              </w:rPr>
              <w:t>年、</w:t>
            </w:r>
            <w:r>
              <w:rPr>
                <w:rFonts w:hint="eastAsia" w:ascii="新宋体" w:hAnsi="新宋体" w:eastAsia="新宋体" w:cs="新宋体"/>
                <w:color w:val="auto"/>
                <w:kern w:val="0"/>
                <w:szCs w:val="21"/>
                <w:highlight w:val="none"/>
                <w:u w:val="single"/>
                <w:lang w:val="en-US" w:eastAsia="zh-CN"/>
              </w:rPr>
              <w:t>2021</w:t>
            </w:r>
            <w:r>
              <w:rPr>
                <w:rFonts w:hint="eastAsia" w:ascii="新宋体" w:hAnsi="新宋体" w:eastAsia="新宋体" w:cs="新宋体"/>
                <w:color w:val="auto"/>
                <w:kern w:val="0"/>
                <w:szCs w:val="21"/>
                <w:highlight w:val="none"/>
              </w:rPr>
              <w:t>年的年度财务状况不亏损。</w:t>
            </w:r>
          </w:p>
          <w:p>
            <w:pPr>
              <w:snapToGrid w:val="0"/>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投标人须在投标文件资格审查部分提供经会计师事务所或审计机构出具的合法有效的财务审计报告及财务报表，财务报表须至少包括现金流量表、资产负债表、利润表。</w:t>
            </w:r>
          </w:p>
          <w:p>
            <w:pPr>
              <w:autoSpaceDE w:val="0"/>
              <w:autoSpaceDN w:val="0"/>
              <w:adjustRightInd w:val="0"/>
              <w:snapToGrid w:val="0"/>
              <w:spacing w:line="400" w:lineRule="exact"/>
              <w:ind w:firstLine="422" w:firstLineChars="200"/>
              <w:rPr>
                <w:rFonts w:hint="eastAsia" w:ascii="新宋体" w:hAnsi="新宋体" w:eastAsia="新宋体" w:cs="新宋体"/>
                <w:b/>
                <w:color w:val="auto"/>
                <w:szCs w:val="21"/>
                <w:highlight w:val="none"/>
              </w:rPr>
            </w:pPr>
            <w:r>
              <w:rPr>
                <w:rFonts w:hint="eastAsia" w:ascii="新宋体" w:hAnsi="新宋体" w:eastAsia="新宋体" w:cs="新宋体"/>
                <w:b/>
                <w:color w:val="auto"/>
                <w:szCs w:val="21"/>
                <w:highlight w:val="none"/>
              </w:rPr>
              <w:t>3.业绩要求</w:t>
            </w:r>
          </w:p>
          <w:p>
            <w:pPr>
              <w:autoSpaceDE w:val="0"/>
              <w:autoSpaceDN w:val="0"/>
              <w:adjustRightInd w:val="0"/>
              <w:snapToGrid w:val="0"/>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投标人提供的类似业绩应同时满足以下要求：</w:t>
            </w:r>
          </w:p>
          <w:p>
            <w:pPr>
              <w:autoSpaceDE w:val="0"/>
              <w:autoSpaceDN w:val="0"/>
              <w:adjustRightInd w:val="0"/>
              <w:snapToGrid w:val="0"/>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3.1业绩时间要求：</w:t>
            </w:r>
          </w:p>
          <w:p>
            <w:pPr>
              <w:autoSpaceDE w:val="0"/>
              <w:autoSpaceDN w:val="0"/>
              <w:adjustRightInd w:val="0"/>
              <w:snapToGrid w:val="0"/>
              <w:spacing w:line="400" w:lineRule="exact"/>
              <w:ind w:firstLine="420" w:firstLineChars="200"/>
              <w:rPr>
                <w:rFonts w:hint="eastAsia" w:ascii="新宋体" w:hAnsi="新宋体" w:eastAsia="新宋体" w:cs="新宋体"/>
                <w:color w:val="auto"/>
                <w:szCs w:val="21"/>
                <w:highlight w:val="none"/>
                <w:u w:val="single"/>
              </w:rPr>
            </w:pPr>
            <w:r>
              <w:rPr>
                <w:rFonts w:hint="eastAsia" w:ascii="新宋体" w:hAnsi="新宋体" w:eastAsia="新宋体" w:cs="新宋体"/>
                <w:color w:val="auto"/>
                <w:kern w:val="0"/>
                <w:szCs w:val="21"/>
                <w:highlight w:val="none"/>
              </w:rPr>
              <w:t>投标截止日前</w:t>
            </w:r>
            <w:r>
              <w:rPr>
                <w:rFonts w:hint="eastAsia" w:ascii="新宋体" w:hAnsi="新宋体" w:eastAsia="新宋体" w:cs="新宋体"/>
                <w:color w:val="auto"/>
                <w:szCs w:val="21"/>
                <w:highlight w:val="none"/>
                <w:u w:val="single"/>
              </w:rPr>
              <w:t xml:space="preserve"> </w:t>
            </w:r>
            <w:r>
              <w:rPr>
                <w:rFonts w:hint="eastAsia" w:ascii="新宋体" w:hAnsi="新宋体" w:eastAsia="新宋体" w:cs="新宋体"/>
                <w:color w:val="auto"/>
                <w:szCs w:val="21"/>
                <w:highlight w:val="none"/>
                <w:u w:val="single"/>
                <w:lang w:val="en-US" w:eastAsia="zh-CN"/>
              </w:rPr>
              <w:t>3</w:t>
            </w:r>
            <w:r>
              <w:rPr>
                <w:rFonts w:hint="eastAsia" w:ascii="新宋体" w:hAnsi="新宋体" w:eastAsia="新宋体" w:cs="新宋体"/>
                <w:color w:val="auto"/>
                <w:szCs w:val="21"/>
                <w:highlight w:val="none"/>
                <w:u w:val="single"/>
              </w:rPr>
              <w:t xml:space="preserve"> </w:t>
            </w:r>
            <w:r>
              <w:rPr>
                <w:rFonts w:hint="eastAsia" w:ascii="新宋体" w:hAnsi="新宋体" w:eastAsia="新宋体" w:cs="新宋体"/>
                <w:color w:val="auto"/>
                <w:szCs w:val="21"/>
                <w:highlight w:val="none"/>
              </w:rPr>
              <w:t>年，指</w:t>
            </w:r>
            <w:r>
              <w:rPr>
                <w:rFonts w:hint="eastAsia" w:ascii="新宋体" w:hAnsi="新宋体" w:eastAsia="新宋体" w:cs="新宋体"/>
                <w:color w:val="auto"/>
                <w:szCs w:val="21"/>
                <w:highlight w:val="none"/>
                <w:lang w:val="en-US" w:eastAsia="zh-CN"/>
              </w:rPr>
              <w:t>投标人在</w:t>
            </w:r>
            <w:r>
              <w:rPr>
                <w:rFonts w:hint="eastAsia" w:ascii="新宋体" w:hAnsi="新宋体" w:eastAsia="新宋体" w:cs="新宋体"/>
                <w:color w:val="auto"/>
                <w:szCs w:val="21"/>
                <w:highlight w:val="none"/>
                <w:u w:val="single"/>
              </w:rPr>
              <w:t xml:space="preserve"> </w:t>
            </w:r>
            <w:r>
              <w:rPr>
                <w:rFonts w:hint="eastAsia" w:ascii="新宋体" w:hAnsi="新宋体" w:eastAsia="新宋体" w:cs="新宋体"/>
                <w:color w:val="auto"/>
                <w:szCs w:val="21"/>
                <w:highlight w:val="none"/>
                <w:u w:val="single"/>
                <w:lang w:val="en-US" w:eastAsia="zh-CN"/>
              </w:rPr>
              <w:t>2020</w:t>
            </w:r>
            <w:r>
              <w:rPr>
                <w:rFonts w:hint="eastAsia" w:ascii="新宋体" w:hAnsi="新宋体" w:eastAsia="新宋体" w:cs="新宋体"/>
                <w:color w:val="auto"/>
                <w:szCs w:val="21"/>
                <w:highlight w:val="none"/>
                <w:u w:val="single"/>
              </w:rPr>
              <w:t xml:space="preserve"> </w:t>
            </w:r>
            <w:r>
              <w:rPr>
                <w:rFonts w:hint="eastAsia" w:ascii="新宋体" w:hAnsi="新宋体" w:eastAsia="新宋体" w:cs="新宋体"/>
                <w:color w:val="auto"/>
                <w:szCs w:val="21"/>
                <w:highlight w:val="none"/>
              </w:rPr>
              <w:t>年1月1日起至投标截止日止（以</w:t>
            </w:r>
            <w:r>
              <w:rPr>
                <w:rFonts w:hint="eastAsia" w:ascii="新宋体" w:hAnsi="新宋体" w:eastAsia="新宋体" w:cs="新宋体"/>
                <w:color w:val="auto"/>
                <w:szCs w:val="21"/>
                <w:highlight w:val="none"/>
                <w:lang w:val="en-US" w:eastAsia="zh-CN"/>
              </w:rPr>
              <w:t>合同签订时间</w:t>
            </w:r>
            <w:r>
              <w:rPr>
                <w:rFonts w:hint="eastAsia" w:ascii="新宋体" w:hAnsi="新宋体" w:eastAsia="新宋体" w:cs="新宋体"/>
                <w:color w:val="auto"/>
                <w:szCs w:val="21"/>
                <w:highlight w:val="none"/>
              </w:rPr>
              <w:t>准）</w:t>
            </w:r>
            <w:r>
              <w:rPr>
                <w:rFonts w:hint="eastAsia" w:ascii="新宋体" w:hAnsi="新宋体" w:eastAsia="新宋体" w:cs="新宋体"/>
                <w:color w:val="auto"/>
                <w:szCs w:val="21"/>
                <w:highlight w:val="none"/>
                <w:lang w:val="en-US" w:eastAsia="zh-CN"/>
              </w:rPr>
              <w:t>完成</w:t>
            </w:r>
            <w:r>
              <w:rPr>
                <w:rFonts w:hint="eastAsia" w:ascii="新宋体" w:hAnsi="新宋体" w:eastAsia="新宋体" w:cs="新宋体"/>
                <w:color w:val="auto"/>
                <w:szCs w:val="21"/>
                <w:highlight w:val="none"/>
              </w:rPr>
              <w:t>的1个类似LNG加气站设备</w:t>
            </w:r>
            <w:r>
              <w:rPr>
                <w:rFonts w:hint="eastAsia" w:ascii="新宋体" w:hAnsi="新宋体" w:eastAsia="新宋体" w:cs="新宋体"/>
                <w:color w:val="auto"/>
                <w:szCs w:val="21"/>
                <w:highlight w:val="none"/>
                <w:lang w:val="en-US" w:eastAsia="zh-CN"/>
              </w:rPr>
              <w:t>供货</w:t>
            </w:r>
            <w:r>
              <w:rPr>
                <w:rFonts w:hint="eastAsia" w:ascii="新宋体" w:hAnsi="新宋体" w:eastAsia="新宋体" w:cs="新宋体"/>
                <w:color w:val="auto"/>
                <w:szCs w:val="21"/>
                <w:highlight w:val="none"/>
              </w:rPr>
              <w:t>业绩。</w:t>
            </w:r>
          </w:p>
          <w:p>
            <w:pPr>
              <w:autoSpaceDE w:val="0"/>
              <w:autoSpaceDN w:val="0"/>
              <w:adjustRightInd w:val="0"/>
              <w:snapToGrid w:val="0"/>
              <w:spacing w:line="400" w:lineRule="exact"/>
              <w:ind w:firstLine="420" w:firstLineChars="200"/>
              <w:rPr>
                <w:rFonts w:hint="default" w:ascii="新宋体" w:hAnsi="新宋体" w:eastAsia="新宋体" w:cs="新宋体"/>
                <w:color w:val="auto"/>
                <w:szCs w:val="21"/>
                <w:highlight w:val="none"/>
                <w:u w:val="single"/>
                <w:lang w:val="en-US" w:eastAsia="zh-CN"/>
              </w:rPr>
            </w:pPr>
            <w:r>
              <w:rPr>
                <w:rFonts w:hint="eastAsia" w:ascii="新宋体" w:hAnsi="新宋体" w:eastAsia="新宋体" w:cs="新宋体"/>
                <w:color w:val="auto"/>
                <w:szCs w:val="21"/>
                <w:highlight w:val="none"/>
              </w:rPr>
              <w:t>工程造价：</w:t>
            </w:r>
            <w:r>
              <w:rPr>
                <w:rFonts w:hint="eastAsia" w:ascii="新宋体" w:hAnsi="新宋体" w:eastAsia="新宋体" w:cs="新宋体"/>
                <w:color w:val="auto"/>
                <w:szCs w:val="21"/>
                <w:highlight w:val="none"/>
                <w:lang w:val="en-US" w:eastAsia="zh-CN"/>
              </w:rPr>
              <w:t>合同单项金额不低于150万元。</w:t>
            </w:r>
          </w:p>
          <w:p>
            <w:pPr>
              <w:autoSpaceDE w:val="0"/>
              <w:autoSpaceDN w:val="0"/>
              <w:adjustRightInd w:val="0"/>
              <w:snapToGrid w:val="0"/>
              <w:spacing w:line="400" w:lineRule="exact"/>
              <w:ind w:firstLine="415" w:firstLineChars="198"/>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3.</w:t>
            </w:r>
            <w:r>
              <w:rPr>
                <w:rFonts w:hint="eastAsia" w:ascii="新宋体" w:hAnsi="新宋体" w:eastAsia="新宋体" w:cs="新宋体"/>
                <w:color w:val="auto"/>
                <w:szCs w:val="21"/>
                <w:highlight w:val="none"/>
                <w:lang w:val="en-US" w:eastAsia="zh-CN"/>
              </w:rPr>
              <w:t>2</w:t>
            </w:r>
            <w:r>
              <w:rPr>
                <w:rFonts w:hint="eastAsia" w:ascii="新宋体" w:hAnsi="新宋体" w:eastAsia="新宋体" w:cs="新宋体"/>
                <w:color w:val="auto"/>
                <w:szCs w:val="21"/>
                <w:highlight w:val="none"/>
              </w:rPr>
              <w:t>业绩证明材料要求：</w:t>
            </w:r>
          </w:p>
          <w:p>
            <w:pPr>
              <w:autoSpaceDE w:val="0"/>
              <w:autoSpaceDN w:val="0"/>
              <w:adjustRightInd w:val="0"/>
              <w:snapToGrid w:val="0"/>
              <w:spacing w:line="400" w:lineRule="exact"/>
              <w:ind w:firstLine="415" w:firstLineChars="198"/>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投标人须在投标文件资格审查部分提供该业绩的</w:t>
            </w:r>
            <w:r>
              <w:rPr>
                <w:rFonts w:hint="eastAsia" w:ascii="新宋体" w:hAnsi="新宋体" w:eastAsia="新宋体" w:cs="新宋体"/>
                <w:color w:val="auto"/>
                <w:szCs w:val="21"/>
                <w:highlight w:val="none"/>
                <w:lang w:val="en-US" w:eastAsia="zh-CN"/>
              </w:rPr>
              <w:t>供货合同、发票及验收报告。</w:t>
            </w:r>
          </w:p>
          <w:p>
            <w:pPr>
              <w:autoSpaceDE w:val="0"/>
              <w:autoSpaceDN w:val="0"/>
              <w:adjustRightInd w:val="0"/>
              <w:snapToGrid w:val="0"/>
              <w:spacing w:line="400" w:lineRule="exact"/>
              <w:ind w:firstLine="415" w:firstLineChars="198"/>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不满足上述业绩要求的业绩无效。</w:t>
            </w:r>
          </w:p>
          <w:p>
            <w:pPr>
              <w:adjustRightInd w:val="0"/>
              <w:snapToGrid w:val="0"/>
              <w:spacing w:line="400" w:lineRule="exact"/>
              <w:ind w:firstLine="422" w:firstLineChars="200"/>
              <w:rPr>
                <w:rFonts w:hint="eastAsia" w:ascii="新宋体" w:hAnsi="新宋体" w:eastAsia="新宋体" w:cs="新宋体"/>
                <w:b/>
                <w:color w:val="auto"/>
                <w:szCs w:val="21"/>
                <w:highlight w:val="none"/>
              </w:rPr>
            </w:pPr>
            <w:r>
              <w:rPr>
                <w:rFonts w:hint="eastAsia" w:ascii="新宋体" w:hAnsi="新宋体" w:eastAsia="新宋体" w:cs="新宋体"/>
                <w:b/>
                <w:color w:val="auto"/>
                <w:szCs w:val="21"/>
                <w:highlight w:val="none"/>
              </w:rPr>
              <w:t>4.投标截止日投标资格情况</w:t>
            </w:r>
          </w:p>
          <w:p>
            <w:pPr>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投标人自行承诺（格式见第</w:t>
            </w:r>
            <w:r>
              <w:rPr>
                <w:rFonts w:hint="eastAsia" w:ascii="新宋体" w:hAnsi="新宋体" w:eastAsia="新宋体" w:cs="新宋体"/>
                <w:color w:val="auto"/>
                <w:szCs w:val="21"/>
                <w:highlight w:val="none"/>
                <w:lang w:val="en-US" w:eastAsia="zh-CN"/>
              </w:rPr>
              <w:t>六</w:t>
            </w:r>
            <w:r>
              <w:rPr>
                <w:rFonts w:hint="eastAsia" w:ascii="新宋体" w:hAnsi="新宋体" w:eastAsia="新宋体" w:cs="新宋体"/>
                <w:color w:val="auto"/>
                <w:szCs w:val="21"/>
                <w:highlight w:val="none"/>
              </w:rPr>
              <w:t>章投标文件格式）不得存在下列情形之一：</w:t>
            </w:r>
          </w:p>
          <w:p>
            <w:pPr>
              <w:snapToGrid w:val="0"/>
              <w:spacing w:line="400" w:lineRule="exact"/>
              <w:ind w:firstLine="420" w:firstLineChars="200"/>
              <w:jc w:val="lef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（1）被人民法院列入失信被执行人名单且在被执行期内；</w:t>
            </w:r>
          </w:p>
          <w:p>
            <w:pPr>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（2）被列入《重庆市工程建设领域招标投标信用管理暂行办法》规定的重点关注名单且记分达到12分且在记分有效期内；</w:t>
            </w:r>
          </w:p>
          <w:p>
            <w:pPr>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（3）被列入《重庆市工程建设领域招标投标信用管理暂行办法》规定的重庆市工程建设领域招标投标失信惩戒对象名单（以下称黑名单）且在记分有效期内；</w:t>
            </w:r>
          </w:p>
          <w:p>
            <w:pPr>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（4）被国家、重庆市（含市或任意区县）有关行政部门处以暂停投标资格行政处罚，且在处罚期限内；</w:t>
            </w:r>
          </w:p>
          <w:p>
            <w:pPr>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（5）被重庆市</w:t>
            </w:r>
            <w:r>
              <w:rPr>
                <w:rFonts w:hint="eastAsia" w:ascii="新宋体" w:hAnsi="新宋体" w:eastAsia="新宋体" w:cs="新宋体"/>
                <w:color w:val="auto"/>
                <w:szCs w:val="21"/>
                <w:highlight w:val="none"/>
                <w:lang w:val="en-US" w:eastAsia="zh-CN"/>
              </w:rPr>
              <w:t>市级有关行业</w:t>
            </w:r>
            <w:r>
              <w:rPr>
                <w:rFonts w:hint="eastAsia" w:ascii="新宋体" w:hAnsi="新宋体" w:eastAsia="新宋体" w:cs="新宋体"/>
                <w:color w:val="auto"/>
                <w:szCs w:val="21"/>
                <w:highlight w:val="none"/>
              </w:rPr>
              <w:t>主管部门暂停在渝承揽新业务且在暂停期内。</w:t>
            </w:r>
          </w:p>
          <w:p>
            <w:pPr>
              <w:spacing w:line="400" w:lineRule="exact"/>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投标人须在投标文件资格审查部分提供承诺。</w:t>
            </w:r>
          </w:p>
          <w:p>
            <w:pPr>
              <w:spacing w:line="400" w:lineRule="exact"/>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上述第（2）、（3）款信用状况在开标环节进行查询，查询结果交由评标委员会评审，若投标人针对上述第（2）、（3）款的承诺内容与查询结果不符，由评标委员会作否决投标处理。</w:t>
            </w:r>
          </w:p>
          <w:p>
            <w:pPr>
              <w:spacing w:line="400" w:lineRule="exact"/>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注：投标人是否因有不良行为记分、进入重点关注名单或黑名单而被限制投标的，以开标环节信用状况查询结果为准。</w:t>
            </w:r>
          </w:p>
          <w:p>
            <w:pPr>
              <w:autoSpaceDE w:val="0"/>
              <w:autoSpaceDN w:val="0"/>
              <w:adjustRightInd w:val="0"/>
              <w:snapToGrid w:val="0"/>
              <w:spacing w:line="400" w:lineRule="exact"/>
              <w:ind w:firstLine="422" w:firstLineChars="200"/>
              <w:rPr>
                <w:rFonts w:hint="eastAsia" w:ascii="新宋体" w:hAnsi="新宋体" w:eastAsia="新宋体" w:cs="新宋体"/>
                <w:b/>
                <w:color w:val="auto"/>
                <w:szCs w:val="21"/>
                <w:highlight w:val="none"/>
              </w:rPr>
            </w:pPr>
            <w:r>
              <w:rPr>
                <w:rFonts w:hint="eastAsia" w:ascii="新宋体" w:hAnsi="新宋体" w:eastAsia="新宋体" w:cs="新宋体"/>
                <w:b/>
                <w:color w:val="auto"/>
                <w:szCs w:val="21"/>
                <w:highlight w:val="none"/>
              </w:rPr>
              <w:t>5.其他要求</w:t>
            </w:r>
          </w:p>
          <w:p>
            <w:pPr>
              <w:autoSpaceDE w:val="0"/>
              <w:autoSpaceDN w:val="0"/>
              <w:adjustRightInd w:val="0"/>
              <w:snapToGrid w:val="0"/>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lang w:val="en-US" w:eastAsia="zh-CN"/>
              </w:rPr>
              <w:t xml:space="preserve">5.1 </w:t>
            </w:r>
            <w:r>
              <w:rPr>
                <w:rFonts w:hint="eastAsia" w:ascii="新宋体" w:hAnsi="新宋体" w:eastAsia="新宋体" w:cs="新宋体"/>
                <w:color w:val="auto"/>
                <w:kern w:val="0"/>
                <w:szCs w:val="21"/>
                <w:highlight w:val="none"/>
              </w:rPr>
              <w:t>委托代理人</w:t>
            </w:r>
          </w:p>
          <w:p>
            <w:pPr>
              <w:autoSpaceDE w:val="0"/>
              <w:autoSpaceDN w:val="0"/>
              <w:adjustRightInd w:val="0"/>
              <w:snapToGrid w:val="0"/>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委托代理人必须为投标人本单位人员。</w:t>
            </w:r>
          </w:p>
          <w:p>
            <w:pPr>
              <w:autoSpaceDE w:val="0"/>
              <w:autoSpaceDN w:val="0"/>
              <w:adjustRightInd w:val="0"/>
              <w:snapToGrid w:val="0"/>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投标人须在投标文件资格审查部分提供投标人为该委托代理人缴纳的养老保险证明。否则，将由评标委员会作否决投标处理。</w:t>
            </w:r>
          </w:p>
          <w:p>
            <w:pPr>
              <w:autoSpaceDE w:val="0"/>
              <w:autoSpaceDN w:val="0"/>
              <w:adjustRightInd w:val="0"/>
              <w:snapToGrid w:val="0"/>
              <w:spacing w:line="400" w:lineRule="exact"/>
              <w:ind w:firstLine="420" w:firstLineChars="200"/>
              <w:rPr>
                <w:rFonts w:hint="eastAsia" w:ascii="新宋体" w:hAnsi="新宋体" w:eastAsia="新宋体" w:cs="新宋体"/>
                <w:color w:val="auto"/>
                <w:kern w:val="0"/>
                <w:szCs w:val="21"/>
                <w:highlight w:val="none"/>
                <w:lang w:val="en-US" w:eastAsia="zh-CN"/>
              </w:rPr>
            </w:pPr>
            <w:r>
              <w:rPr>
                <w:rFonts w:hint="eastAsia" w:ascii="新宋体" w:hAnsi="新宋体" w:eastAsia="新宋体" w:cs="新宋体"/>
                <w:color w:val="auto"/>
                <w:kern w:val="0"/>
                <w:szCs w:val="21"/>
                <w:highlight w:val="none"/>
                <w:lang w:val="en-US" w:eastAsia="zh-CN"/>
              </w:rPr>
              <w:t>5.2 其他证书</w:t>
            </w:r>
          </w:p>
          <w:p>
            <w:pPr>
              <w:autoSpaceDE w:val="0"/>
              <w:autoSpaceDN w:val="0"/>
              <w:adjustRightInd w:val="0"/>
              <w:snapToGrid w:val="0"/>
              <w:spacing w:line="400" w:lineRule="exact"/>
              <w:ind w:firstLine="420" w:firstLineChars="200"/>
              <w:rPr>
                <w:rFonts w:hint="eastAsia" w:ascii="新宋体" w:hAnsi="新宋体" w:eastAsia="新宋体" w:cs="新宋体"/>
                <w:color w:val="auto"/>
                <w:kern w:val="0"/>
                <w:szCs w:val="21"/>
                <w:highlight w:val="none"/>
                <w:lang w:val="en-US" w:eastAsia="zh-CN"/>
              </w:rPr>
            </w:pPr>
            <w:r>
              <w:rPr>
                <w:rFonts w:hint="eastAsia" w:ascii="新宋体" w:hAnsi="新宋体" w:eastAsia="新宋体" w:cs="新宋体"/>
                <w:color w:val="auto"/>
                <w:kern w:val="0"/>
                <w:szCs w:val="21"/>
                <w:highlight w:val="none"/>
                <w:lang w:val="en-US" w:eastAsia="zh-CN"/>
              </w:rPr>
              <w:t>5.2.1具备至少1种设备（压力容器或加液机设备）为自主生产，提供自主生产产品的产品检测合格报告，其余设备可外采；</w:t>
            </w:r>
          </w:p>
          <w:p>
            <w:pPr>
              <w:autoSpaceDE w:val="0"/>
              <w:autoSpaceDN w:val="0"/>
              <w:adjustRightInd w:val="0"/>
              <w:snapToGrid w:val="0"/>
              <w:spacing w:line="400" w:lineRule="exact"/>
              <w:ind w:firstLine="420" w:firstLineChars="200"/>
              <w:rPr>
                <w:rFonts w:hint="eastAsia" w:ascii="新宋体" w:hAnsi="新宋体" w:eastAsia="新宋体" w:cs="新宋体"/>
                <w:color w:val="auto"/>
                <w:kern w:val="0"/>
                <w:szCs w:val="21"/>
                <w:highlight w:val="none"/>
                <w:lang w:val="en-US" w:eastAsia="zh-CN"/>
              </w:rPr>
            </w:pPr>
            <w:r>
              <w:rPr>
                <w:rFonts w:hint="eastAsia" w:ascii="新宋体" w:hAnsi="新宋体" w:eastAsia="新宋体" w:cs="新宋体"/>
                <w:color w:val="auto"/>
                <w:kern w:val="0"/>
                <w:szCs w:val="21"/>
                <w:highlight w:val="none"/>
                <w:lang w:val="en-US" w:eastAsia="zh-CN"/>
              </w:rPr>
              <w:t>5.2.2具备对应许可证书，包括：液化天然气（LNG）加气机防爆合格证、液化天然气（LNG）加注装置防爆合格证、特种设备制造许可证（压力管道或压力管道元件）；</w:t>
            </w:r>
          </w:p>
          <w:p>
            <w:pPr>
              <w:autoSpaceDE w:val="0"/>
              <w:autoSpaceDN w:val="0"/>
              <w:adjustRightInd w:val="0"/>
              <w:snapToGrid w:val="0"/>
              <w:spacing w:line="400" w:lineRule="exact"/>
              <w:ind w:firstLine="420" w:firstLineChars="200"/>
              <w:rPr>
                <w:rFonts w:hint="eastAsia" w:ascii="新宋体" w:hAnsi="新宋体" w:eastAsia="新宋体" w:cs="新宋体"/>
                <w:color w:val="auto"/>
                <w:kern w:val="0"/>
                <w:szCs w:val="21"/>
                <w:highlight w:val="none"/>
                <w:lang w:val="en-US" w:eastAsia="zh-CN"/>
              </w:rPr>
            </w:pPr>
            <w:r>
              <w:rPr>
                <w:rFonts w:hint="eastAsia" w:ascii="新宋体" w:hAnsi="新宋体" w:eastAsia="新宋体" w:cs="新宋体"/>
                <w:color w:val="auto"/>
                <w:kern w:val="0"/>
                <w:szCs w:val="21"/>
                <w:highlight w:val="none"/>
                <w:lang w:val="en-US" w:eastAsia="zh-CN"/>
              </w:rPr>
              <w:t>5.2.3投标产品须满足技术规格书要求，并具备接入中石油一卡通零管系统功能，提供测试报告。</w:t>
            </w:r>
          </w:p>
          <w:p>
            <w:pPr>
              <w:autoSpaceDE w:val="0"/>
              <w:autoSpaceDN w:val="0"/>
              <w:adjustRightInd w:val="0"/>
              <w:snapToGrid w:val="0"/>
              <w:spacing w:line="400" w:lineRule="exact"/>
              <w:ind w:firstLine="420" w:firstLineChars="200"/>
              <w:rPr>
                <w:rFonts w:hint="eastAsia" w:ascii="新宋体" w:hAnsi="新宋体" w:eastAsia="新宋体" w:cs="新宋体"/>
                <w:color w:val="auto"/>
                <w:kern w:val="0"/>
                <w:szCs w:val="21"/>
                <w:highlight w:val="none"/>
                <w:lang w:val="en-US" w:eastAsia="zh-CN"/>
              </w:rPr>
            </w:pPr>
            <w:r>
              <w:rPr>
                <w:rFonts w:hint="eastAsia" w:ascii="新宋体" w:hAnsi="新宋体" w:eastAsia="新宋体" w:cs="新宋体"/>
                <w:color w:val="auto"/>
                <w:kern w:val="0"/>
                <w:szCs w:val="21"/>
                <w:highlight w:val="none"/>
                <w:lang w:val="en-US" w:eastAsia="zh-CN"/>
              </w:rPr>
              <w:t>投标人须在投标文件资格审查部分提供以上相应的产品检查合格报告、合格证及测试报告。</w:t>
            </w:r>
            <w:r>
              <w:rPr>
                <w:rFonts w:hint="eastAsia" w:ascii="新宋体" w:hAnsi="新宋体" w:eastAsia="新宋体" w:cs="新宋体"/>
                <w:color w:val="auto"/>
                <w:kern w:val="0"/>
                <w:szCs w:val="21"/>
                <w:highlight w:val="none"/>
              </w:rPr>
              <w:t>否则，将由评标委员会作否决投标处理。</w:t>
            </w:r>
          </w:p>
          <w:p>
            <w:pPr>
              <w:autoSpaceDE w:val="0"/>
              <w:autoSpaceDN w:val="0"/>
              <w:adjustRightInd w:val="0"/>
              <w:snapToGrid w:val="0"/>
              <w:spacing w:line="400" w:lineRule="exact"/>
              <w:ind w:firstLine="417" w:firstLineChars="198"/>
              <w:rPr>
                <w:rFonts w:hint="eastAsia" w:ascii="新宋体" w:hAnsi="新宋体" w:eastAsia="新宋体" w:cs="新宋体"/>
                <w:b/>
                <w:color w:val="auto"/>
                <w:szCs w:val="21"/>
                <w:highlight w:val="none"/>
              </w:rPr>
            </w:pPr>
            <w:r>
              <w:rPr>
                <w:rFonts w:hint="eastAsia" w:ascii="新宋体" w:hAnsi="新宋体" w:eastAsia="新宋体" w:cs="新宋体"/>
                <w:b/>
                <w:color w:val="auto"/>
                <w:szCs w:val="21"/>
                <w:highlight w:val="none"/>
              </w:rPr>
              <w:t>特别说明：</w:t>
            </w:r>
          </w:p>
          <w:p>
            <w:pPr>
              <w:autoSpaceDE w:val="0"/>
              <w:autoSpaceDN w:val="0"/>
              <w:adjustRightInd w:val="0"/>
              <w:snapToGrid w:val="0"/>
              <w:spacing w:line="400" w:lineRule="exact"/>
              <w:ind w:firstLine="415" w:firstLineChars="198"/>
              <w:rPr>
                <w:rFonts w:hint="eastAsia" w:ascii="新宋体" w:hAnsi="新宋体" w:eastAsia="新宋体" w:cs="新宋体"/>
                <w:color w:val="auto"/>
                <w:kern w:val="0"/>
                <w:szCs w:val="21"/>
                <w:highlight w:val="none"/>
              </w:rPr>
            </w:pPr>
            <w:r>
              <w:rPr>
                <w:rFonts w:hint="eastAsia" w:ascii="新宋体" w:hAnsi="新宋体" w:eastAsia="新宋体" w:cs="新宋体"/>
                <w:color w:val="auto"/>
                <w:szCs w:val="21"/>
                <w:highlight w:val="none"/>
              </w:rPr>
              <w:t>（1）上述要求须提交的相关证明材料均为扫描件（原件或复印件的扫描件均可），扫描件须清晰可辨，</w:t>
            </w:r>
            <w:r>
              <w:rPr>
                <w:rFonts w:hint="eastAsia" w:ascii="新宋体" w:hAnsi="新宋体" w:eastAsia="新宋体" w:cs="新宋体"/>
                <w:color w:val="auto"/>
                <w:kern w:val="0"/>
                <w:szCs w:val="21"/>
                <w:highlight w:val="none"/>
              </w:rPr>
              <w:t>有一条不满足，则投标文件由评标委员会</w:t>
            </w:r>
            <w:r>
              <w:rPr>
                <w:rFonts w:hint="eastAsia" w:ascii="新宋体" w:hAnsi="新宋体" w:eastAsia="新宋体" w:cs="新宋体"/>
                <w:color w:val="auto"/>
                <w:szCs w:val="21"/>
                <w:highlight w:val="none"/>
              </w:rPr>
              <w:t>作否决投标处理</w:t>
            </w:r>
            <w:r>
              <w:rPr>
                <w:rFonts w:hint="eastAsia" w:ascii="新宋体" w:hAnsi="新宋体" w:eastAsia="新宋体" w:cs="新宋体"/>
                <w:color w:val="auto"/>
                <w:kern w:val="0"/>
                <w:szCs w:val="21"/>
                <w:highlight w:val="none"/>
              </w:rPr>
              <w:t>。</w:t>
            </w:r>
          </w:p>
          <w:p>
            <w:pPr>
              <w:autoSpaceDE w:val="0"/>
              <w:autoSpaceDN w:val="0"/>
              <w:adjustRightInd w:val="0"/>
              <w:snapToGrid w:val="0"/>
              <w:spacing w:line="400" w:lineRule="exact"/>
              <w:ind w:firstLine="415" w:firstLineChars="198"/>
              <w:rPr>
                <w:rFonts w:hint="eastAsia" w:ascii="新宋体" w:hAnsi="新宋体" w:eastAsia="新宋体" w:cs="新宋体"/>
                <w:color w:val="auto"/>
                <w:szCs w:val="21"/>
                <w:highlight w:val="none"/>
                <w:u w:val="none"/>
              </w:rPr>
            </w:pPr>
            <w:r>
              <w:rPr>
                <w:rFonts w:hint="eastAsia" w:ascii="新宋体" w:hAnsi="新宋体" w:eastAsia="新宋体" w:cs="新宋体"/>
                <w:color w:val="auto"/>
                <w:szCs w:val="21"/>
                <w:highlight w:val="none"/>
              </w:rPr>
              <w:t>（2）投标人须自行承诺其提供的上述相关证明材料真实有效，不存在弄虚作假情形（格式见第</w:t>
            </w:r>
            <w:r>
              <w:rPr>
                <w:rFonts w:hint="eastAsia" w:ascii="新宋体" w:hAnsi="新宋体" w:eastAsia="新宋体" w:cs="新宋体"/>
                <w:color w:val="auto"/>
                <w:szCs w:val="21"/>
                <w:highlight w:val="none"/>
                <w:lang w:val="en-US" w:eastAsia="zh-CN"/>
              </w:rPr>
              <w:t>六</w:t>
            </w:r>
            <w:r>
              <w:rPr>
                <w:rFonts w:hint="eastAsia" w:ascii="新宋体" w:hAnsi="新宋体" w:eastAsia="新宋体" w:cs="新宋体"/>
                <w:color w:val="auto"/>
                <w:szCs w:val="21"/>
                <w:highlight w:val="none"/>
              </w:rPr>
              <w:t>章投</w:t>
            </w:r>
            <w:r>
              <w:rPr>
                <w:rFonts w:hint="eastAsia" w:ascii="新宋体" w:hAnsi="新宋体" w:eastAsia="新宋体" w:cs="新宋体"/>
                <w:color w:val="auto"/>
                <w:szCs w:val="21"/>
                <w:highlight w:val="none"/>
                <w:u w:val="none"/>
              </w:rPr>
              <w:t>标文件格式）。招标人在合同签订前均有权对投标人提供的资料进行核实，若发现弄虚作假，</w:t>
            </w:r>
            <w:r>
              <w:rPr>
                <w:rFonts w:hint="eastAsia" w:ascii="新宋体" w:hAnsi="新宋体" w:eastAsia="新宋体" w:cs="新宋体"/>
                <w:color w:val="auto"/>
                <w:szCs w:val="21"/>
                <w:highlight w:val="none"/>
                <w:u w:val="none"/>
                <w:lang w:val="en-US" w:eastAsia="zh-CN"/>
              </w:rPr>
              <w:t>按相关规定</w:t>
            </w:r>
            <w:r>
              <w:rPr>
                <w:rFonts w:hint="eastAsia" w:ascii="新宋体" w:hAnsi="新宋体" w:eastAsia="新宋体" w:cs="新宋体"/>
                <w:color w:val="auto"/>
                <w:szCs w:val="21"/>
                <w:highlight w:val="none"/>
                <w:u w:val="none"/>
              </w:rPr>
              <w:t>取消其中标资格，并按相关法律法规报招标投标监督部门，其投标保证金不予退还，投标人承担因此造成的相关责任并赔偿相应损失。</w:t>
            </w:r>
          </w:p>
          <w:p>
            <w:pPr>
              <w:spacing w:line="400" w:lineRule="exact"/>
              <w:ind w:firstLine="420" w:firstLineChars="200"/>
              <w:rPr>
                <w:rFonts w:hint="eastAsia" w:ascii="新宋体" w:hAnsi="新宋体" w:eastAsia="新宋体" w:cs="新宋体"/>
                <w:bCs/>
                <w:color w:val="auto"/>
                <w:kern w:val="0"/>
                <w:szCs w:val="21"/>
                <w:highlight w:val="none"/>
              </w:rPr>
            </w:pPr>
            <w:r>
              <w:rPr>
                <w:rFonts w:hint="eastAsia" w:ascii="新宋体" w:hAnsi="新宋体" w:eastAsia="新宋体" w:cs="新宋体"/>
                <w:bCs/>
                <w:color w:val="auto"/>
                <w:kern w:val="0"/>
                <w:szCs w:val="21"/>
                <w:highlight w:val="none"/>
              </w:rPr>
              <w:t>（3）本招标文件中所要求的人员养老保险证明要求如下：</w:t>
            </w:r>
          </w:p>
          <w:p>
            <w:pPr>
              <w:spacing w:line="400" w:lineRule="exact"/>
              <w:ind w:firstLine="420" w:firstLineChars="200"/>
              <w:rPr>
                <w:rFonts w:hint="eastAsia" w:ascii="新宋体" w:hAnsi="新宋体" w:eastAsia="新宋体" w:cs="新宋体"/>
                <w:bCs/>
                <w:color w:val="auto"/>
                <w:kern w:val="0"/>
                <w:szCs w:val="21"/>
                <w:highlight w:val="none"/>
              </w:rPr>
            </w:pPr>
            <w:r>
              <w:rPr>
                <w:rFonts w:hint="eastAsia" w:ascii="新宋体" w:hAnsi="新宋体" w:eastAsia="新宋体" w:cs="新宋体"/>
                <w:bCs/>
                <w:color w:val="auto"/>
                <w:kern w:val="0"/>
                <w:szCs w:val="21"/>
                <w:highlight w:val="none"/>
              </w:rPr>
              <w:t>①</w:t>
            </w:r>
            <w:r>
              <w:rPr>
                <w:rFonts w:hint="eastAsia" w:ascii="新宋体" w:hAnsi="新宋体" w:eastAsia="新宋体" w:cs="新宋体"/>
                <w:bCs/>
                <w:color w:val="auto"/>
                <w:kern w:val="0"/>
                <w:szCs w:val="21"/>
                <w:highlight w:val="none"/>
                <w:lang w:val="en-US" w:eastAsia="zh-CN"/>
              </w:rPr>
              <w:t>企业</w:t>
            </w:r>
            <w:r>
              <w:rPr>
                <w:rFonts w:hint="eastAsia" w:ascii="新宋体" w:hAnsi="新宋体" w:eastAsia="新宋体" w:cs="新宋体"/>
                <w:bCs/>
                <w:color w:val="auto"/>
                <w:kern w:val="0"/>
                <w:szCs w:val="21"/>
                <w:highlight w:val="none"/>
              </w:rPr>
              <w:t>提供养老保险证明，事业单位提供养老保险证明或行政主管部门在编证明。</w:t>
            </w:r>
          </w:p>
          <w:p>
            <w:pPr>
              <w:spacing w:line="400" w:lineRule="exact"/>
              <w:ind w:firstLine="420" w:firstLineChars="200"/>
              <w:rPr>
                <w:rFonts w:hint="eastAsia" w:ascii="新宋体" w:hAnsi="新宋体" w:eastAsia="新宋体" w:cs="新宋体"/>
                <w:bCs/>
                <w:snapToGrid w:val="0"/>
                <w:color w:val="auto"/>
                <w:kern w:val="0"/>
                <w:szCs w:val="21"/>
                <w:highlight w:val="none"/>
              </w:rPr>
            </w:pPr>
            <w:r>
              <w:rPr>
                <w:rFonts w:hint="eastAsia" w:ascii="新宋体" w:hAnsi="新宋体" w:eastAsia="新宋体" w:cs="新宋体"/>
                <w:bCs/>
                <w:color w:val="auto"/>
                <w:kern w:val="0"/>
                <w:szCs w:val="21"/>
                <w:highlight w:val="none"/>
              </w:rPr>
              <w:t>②</w:t>
            </w:r>
            <w:r>
              <w:rPr>
                <w:rFonts w:hint="eastAsia" w:ascii="新宋体" w:hAnsi="新宋体" w:eastAsia="新宋体" w:cs="新宋体"/>
                <w:bCs/>
                <w:snapToGrid w:val="0"/>
                <w:color w:val="auto"/>
                <w:kern w:val="0"/>
                <w:szCs w:val="21"/>
                <w:highlight w:val="none"/>
              </w:rPr>
              <w:t>委托代理人的连续养老保险证明期限</w:t>
            </w:r>
            <w:r>
              <w:rPr>
                <w:rFonts w:hint="eastAsia" w:ascii="新宋体" w:hAnsi="新宋体" w:eastAsia="新宋体" w:cs="新宋体"/>
                <w:bCs/>
                <w:snapToGrid w:val="0"/>
                <w:color w:val="auto"/>
                <w:kern w:val="0"/>
                <w:szCs w:val="21"/>
                <w:highlight w:val="none"/>
                <w:lang w:val="en-US" w:eastAsia="zh-CN"/>
              </w:rPr>
              <w:t>须包含</w:t>
            </w:r>
            <w:r>
              <w:rPr>
                <w:rFonts w:hint="eastAsia" w:ascii="新宋体" w:hAnsi="新宋体" w:eastAsia="新宋体" w:cs="新宋体"/>
                <w:bCs/>
                <w:snapToGrid w:val="0"/>
                <w:color w:val="auto"/>
                <w:kern w:val="0"/>
                <w:szCs w:val="21"/>
                <w:highlight w:val="none"/>
                <w:u w:val="single"/>
              </w:rPr>
              <w:t xml:space="preserve"> </w:t>
            </w:r>
            <w:r>
              <w:rPr>
                <w:rFonts w:hint="eastAsia" w:ascii="新宋体" w:hAnsi="新宋体" w:eastAsia="新宋体" w:cs="新宋体"/>
                <w:bCs/>
                <w:snapToGrid w:val="0"/>
                <w:color w:val="auto"/>
                <w:kern w:val="0"/>
                <w:szCs w:val="21"/>
                <w:highlight w:val="none"/>
                <w:u w:val="single"/>
                <w:lang w:val="en-US" w:eastAsia="zh-CN"/>
              </w:rPr>
              <w:t>2022</w:t>
            </w:r>
            <w:r>
              <w:rPr>
                <w:rFonts w:hint="eastAsia" w:ascii="新宋体" w:hAnsi="新宋体" w:eastAsia="新宋体" w:cs="新宋体"/>
                <w:bCs/>
                <w:snapToGrid w:val="0"/>
                <w:color w:val="auto"/>
                <w:kern w:val="0"/>
                <w:szCs w:val="21"/>
                <w:highlight w:val="none"/>
                <w:u w:val="single"/>
              </w:rPr>
              <w:t xml:space="preserve"> </w:t>
            </w:r>
            <w:r>
              <w:rPr>
                <w:rFonts w:hint="eastAsia" w:ascii="新宋体" w:hAnsi="新宋体" w:eastAsia="新宋体" w:cs="新宋体"/>
                <w:bCs/>
                <w:snapToGrid w:val="0"/>
                <w:color w:val="auto"/>
                <w:kern w:val="0"/>
                <w:szCs w:val="21"/>
                <w:highlight w:val="none"/>
              </w:rPr>
              <w:t>年</w:t>
            </w:r>
            <w:r>
              <w:rPr>
                <w:rFonts w:hint="eastAsia" w:ascii="新宋体" w:hAnsi="新宋体" w:eastAsia="新宋体" w:cs="新宋体"/>
                <w:bCs/>
                <w:snapToGrid w:val="0"/>
                <w:color w:val="auto"/>
                <w:kern w:val="0"/>
                <w:szCs w:val="21"/>
                <w:highlight w:val="none"/>
                <w:u w:val="single"/>
              </w:rPr>
              <w:t xml:space="preserve"> </w:t>
            </w:r>
            <w:r>
              <w:rPr>
                <w:rFonts w:hint="eastAsia" w:ascii="新宋体" w:hAnsi="新宋体" w:eastAsia="新宋体" w:cs="新宋体"/>
                <w:bCs/>
                <w:snapToGrid w:val="0"/>
                <w:color w:val="auto"/>
                <w:kern w:val="0"/>
                <w:szCs w:val="21"/>
                <w:highlight w:val="none"/>
                <w:u w:val="single"/>
                <w:lang w:val="en-US" w:eastAsia="zh-CN"/>
              </w:rPr>
              <w:t>11</w:t>
            </w:r>
            <w:r>
              <w:rPr>
                <w:rFonts w:hint="eastAsia" w:ascii="新宋体" w:hAnsi="新宋体" w:eastAsia="新宋体" w:cs="新宋体"/>
                <w:bCs/>
                <w:snapToGrid w:val="0"/>
                <w:color w:val="auto"/>
                <w:kern w:val="0"/>
                <w:szCs w:val="21"/>
                <w:highlight w:val="none"/>
                <w:u w:val="single"/>
              </w:rPr>
              <w:t xml:space="preserve"> </w:t>
            </w:r>
            <w:r>
              <w:rPr>
                <w:rFonts w:hint="eastAsia" w:ascii="新宋体" w:hAnsi="新宋体" w:eastAsia="新宋体" w:cs="新宋体"/>
                <w:bCs/>
                <w:snapToGrid w:val="0"/>
                <w:color w:val="auto"/>
                <w:kern w:val="0"/>
                <w:szCs w:val="21"/>
                <w:highlight w:val="none"/>
              </w:rPr>
              <w:t>月至</w:t>
            </w:r>
            <w:r>
              <w:rPr>
                <w:rFonts w:hint="eastAsia" w:ascii="新宋体" w:hAnsi="新宋体" w:eastAsia="新宋体" w:cs="新宋体"/>
                <w:bCs/>
                <w:snapToGrid w:val="0"/>
                <w:color w:val="auto"/>
                <w:kern w:val="0"/>
                <w:szCs w:val="21"/>
                <w:highlight w:val="none"/>
                <w:u w:val="single"/>
              </w:rPr>
              <w:t xml:space="preserve"> </w:t>
            </w:r>
            <w:r>
              <w:rPr>
                <w:rFonts w:hint="eastAsia" w:ascii="新宋体" w:hAnsi="新宋体" w:eastAsia="新宋体" w:cs="新宋体"/>
                <w:bCs/>
                <w:snapToGrid w:val="0"/>
                <w:color w:val="auto"/>
                <w:kern w:val="0"/>
                <w:szCs w:val="21"/>
                <w:highlight w:val="none"/>
                <w:u w:val="single"/>
                <w:lang w:val="en-US" w:eastAsia="zh-CN"/>
              </w:rPr>
              <w:t>2023</w:t>
            </w:r>
            <w:r>
              <w:rPr>
                <w:rFonts w:hint="eastAsia" w:ascii="新宋体" w:hAnsi="新宋体" w:eastAsia="新宋体" w:cs="新宋体"/>
                <w:bCs/>
                <w:snapToGrid w:val="0"/>
                <w:color w:val="auto"/>
                <w:kern w:val="0"/>
                <w:szCs w:val="21"/>
                <w:highlight w:val="none"/>
                <w:u w:val="single"/>
              </w:rPr>
              <w:t xml:space="preserve"> </w:t>
            </w:r>
            <w:r>
              <w:rPr>
                <w:rFonts w:hint="eastAsia" w:ascii="新宋体" w:hAnsi="新宋体" w:eastAsia="新宋体" w:cs="新宋体"/>
                <w:bCs/>
                <w:snapToGrid w:val="0"/>
                <w:color w:val="auto"/>
                <w:kern w:val="0"/>
                <w:szCs w:val="21"/>
                <w:highlight w:val="none"/>
              </w:rPr>
              <w:t>年</w:t>
            </w:r>
            <w:r>
              <w:rPr>
                <w:rFonts w:hint="eastAsia" w:ascii="新宋体" w:hAnsi="新宋体" w:eastAsia="新宋体" w:cs="新宋体"/>
                <w:bCs/>
                <w:snapToGrid w:val="0"/>
                <w:color w:val="auto"/>
                <w:kern w:val="0"/>
                <w:szCs w:val="21"/>
                <w:highlight w:val="none"/>
                <w:u w:val="single"/>
              </w:rPr>
              <w:t xml:space="preserve"> </w:t>
            </w:r>
            <w:r>
              <w:rPr>
                <w:rFonts w:hint="eastAsia" w:ascii="新宋体" w:hAnsi="新宋体" w:eastAsia="新宋体" w:cs="新宋体"/>
                <w:bCs/>
                <w:snapToGrid w:val="0"/>
                <w:color w:val="auto"/>
                <w:kern w:val="0"/>
                <w:szCs w:val="21"/>
                <w:highlight w:val="none"/>
                <w:u w:val="single"/>
                <w:lang w:val="en-US" w:eastAsia="zh-CN"/>
              </w:rPr>
              <w:t>4</w:t>
            </w:r>
            <w:r>
              <w:rPr>
                <w:rFonts w:hint="eastAsia" w:ascii="新宋体" w:hAnsi="新宋体" w:eastAsia="新宋体" w:cs="新宋体"/>
                <w:bCs/>
                <w:snapToGrid w:val="0"/>
                <w:color w:val="auto"/>
                <w:kern w:val="0"/>
                <w:szCs w:val="21"/>
                <w:highlight w:val="none"/>
                <w:u w:val="single"/>
              </w:rPr>
              <w:t xml:space="preserve"> </w:t>
            </w:r>
            <w:r>
              <w:rPr>
                <w:rFonts w:hint="eastAsia" w:ascii="新宋体" w:hAnsi="新宋体" w:eastAsia="新宋体" w:cs="新宋体"/>
                <w:bCs/>
                <w:snapToGrid w:val="0"/>
                <w:color w:val="auto"/>
                <w:kern w:val="0"/>
                <w:szCs w:val="21"/>
                <w:highlight w:val="none"/>
              </w:rPr>
              <w:t>月</w:t>
            </w:r>
            <w:r>
              <w:rPr>
                <w:rFonts w:hint="eastAsia" w:ascii="新宋体" w:hAnsi="新宋体" w:eastAsia="新宋体" w:cs="新宋体"/>
                <w:bCs/>
                <w:color w:val="auto"/>
                <w:szCs w:val="21"/>
                <w:highlight w:val="none"/>
              </w:rPr>
              <w:t>。提供的养老保险参保证明须体现上述人员的姓名、身份证号（或社保号）、单位名称、本单位参保时间（或起始参保时间），并带有社保部门公章或社保部门的有效电子印章。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1.4.2</w:t>
            </w:r>
          </w:p>
        </w:tc>
        <w:tc>
          <w:tcPr>
            <w:tcW w:w="1644"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是否接受联合体投标</w:t>
            </w:r>
          </w:p>
        </w:tc>
        <w:tc>
          <w:tcPr>
            <w:tcW w:w="6490" w:type="dxa"/>
            <w:vAlign w:val="center"/>
          </w:tcPr>
          <w:p>
            <w:pPr>
              <w:snapToGrid w:val="0"/>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1.9.1</w:t>
            </w:r>
          </w:p>
        </w:tc>
        <w:tc>
          <w:tcPr>
            <w:tcW w:w="1644"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踏勘现场</w:t>
            </w:r>
          </w:p>
        </w:tc>
        <w:tc>
          <w:tcPr>
            <w:tcW w:w="6490" w:type="dxa"/>
            <w:vAlign w:val="center"/>
          </w:tcPr>
          <w:p>
            <w:pPr>
              <w:snapToGrid w:val="0"/>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不组织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1.10.1</w:t>
            </w:r>
          </w:p>
        </w:tc>
        <w:tc>
          <w:tcPr>
            <w:tcW w:w="1644"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投标预备会</w:t>
            </w:r>
          </w:p>
        </w:tc>
        <w:tc>
          <w:tcPr>
            <w:tcW w:w="6490" w:type="dxa"/>
            <w:vAlign w:val="center"/>
          </w:tcPr>
          <w:p>
            <w:pPr>
              <w:snapToGrid w:val="0"/>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不召开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1.11</w:t>
            </w:r>
          </w:p>
        </w:tc>
        <w:tc>
          <w:tcPr>
            <w:tcW w:w="1644"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分包</w:t>
            </w:r>
          </w:p>
        </w:tc>
        <w:tc>
          <w:tcPr>
            <w:tcW w:w="6490" w:type="dxa"/>
            <w:vAlign w:val="center"/>
          </w:tcPr>
          <w:p>
            <w:pPr>
              <w:snapToGrid w:val="0"/>
              <w:spacing w:line="400" w:lineRule="exact"/>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2.1</w:t>
            </w:r>
          </w:p>
        </w:tc>
        <w:tc>
          <w:tcPr>
            <w:tcW w:w="1644" w:type="dxa"/>
            <w:vAlign w:val="center"/>
          </w:tcPr>
          <w:p>
            <w:pPr>
              <w:snapToGrid w:val="0"/>
              <w:spacing w:after="15" w:afterLines="5"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构成招标文件的其他材料</w:t>
            </w:r>
          </w:p>
        </w:tc>
        <w:tc>
          <w:tcPr>
            <w:tcW w:w="6490" w:type="dxa"/>
            <w:vAlign w:val="center"/>
          </w:tcPr>
          <w:p>
            <w:pPr>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招标人发出的澄清及修改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2.2.1</w:t>
            </w:r>
          </w:p>
        </w:tc>
        <w:tc>
          <w:tcPr>
            <w:tcW w:w="1644" w:type="dxa"/>
            <w:tcBorders>
              <w:bottom w:val="single" w:color="auto" w:sz="4" w:space="0"/>
            </w:tcBorders>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投标人对招标文件提出疑问的截止时间</w:t>
            </w:r>
          </w:p>
        </w:tc>
        <w:tc>
          <w:tcPr>
            <w:tcW w:w="6490" w:type="dxa"/>
            <w:vAlign w:val="center"/>
          </w:tcPr>
          <w:p>
            <w:pPr>
              <w:snapToGrid w:val="0"/>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投标人应仔细阅读招标文件及附件的所有内容，如有文字表述不清，图纸尺寸标注不明以及存在错、漏、缺、概念模糊和有可能出现歧义或理解上的偏差的内容等应在招标公告规定的时间前在本项目招标公告网页下方“我要提问”栏提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jc w:val="center"/>
        </w:trPr>
        <w:tc>
          <w:tcPr>
            <w:tcW w:w="1335" w:type="dxa"/>
            <w:vMerge w:val="restart"/>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2.2.2</w:t>
            </w:r>
          </w:p>
        </w:tc>
        <w:tc>
          <w:tcPr>
            <w:tcW w:w="1644" w:type="dxa"/>
            <w:tcBorders>
              <w:top w:val="single" w:color="auto" w:sz="4" w:space="0"/>
            </w:tcBorders>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招标人对招标文件澄清的截止时间</w:t>
            </w:r>
          </w:p>
        </w:tc>
        <w:tc>
          <w:tcPr>
            <w:tcW w:w="6490" w:type="dxa"/>
            <w:vAlign w:val="center"/>
          </w:tcPr>
          <w:p>
            <w:pPr>
              <w:snapToGrid w:val="0"/>
              <w:spacing w:line="400" w:lineRule="exact"/>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color w:val="auto"/>
                <w:szCs w:val="21"/>
                <w:highlight w:val="none"/>
              </w:rPr>
              <w:t>招标人应在招标公告规定的时间前，</w:t>
            </w:r>
            <w:r>
              <w:rPr>
                <w:rFonts w:hint="eastAsia" w:ascii="新宋体" w:hAnsi="新宋体" w:eastAsia="新宋体" w:cs="新宋体"/>
                <w:color w:val="auto"/>
                <w:kern w:val="0"/>
                <w:szCs w:val="21"/>
                <w:highlight w:val="none"/>
              </w:rPr>
              <w:t>在</w:t>
            </w:r>
            <w:r>
              <w:rPr>
                <w:rFonts w:hint="eastAsia" w:ascii="新宋体" w:hAnsi="新宋体" w:eastAsia="新宋体" w:cs="新宋体"/>
                <w:color w:val="auto"/>
                <w:kern w:val="0"/>
                <w:szCs w:val="21"/>
                <w:highlight w:val="none"/>
                <w:u w:val="single"/>
              </w:rPr>
              <w:t>重庆市公共资源交易网（www.cqggzy.com）</w:t>
            </w:r>
            <w:r>
              <w:rPr>
                <w:rFonts w:hint="eastAsia" w:ascii="新宋体" w:hAnsi="新宋体" w:eastAsia="新宋体" w:cs="新宋体"/>
                <w:color w:val="auto"/>
                <w:kern w:val="0"/>
                <w:szCs w:val="21"/>
                <w:highlight w:val="none"/>
              </w:rPr>
              <w:t>发布澄清。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335" w:type="dxa"/>
            <w:vMerge w:val="continue"/>
            <w:vAlign w:val="center"/>
          </w:tcPr>
          <w:p>
            <w:pPr>
              <w:snapToGrid w:val="0"/>
              <w:spacing w:line="400" w:lineRule="exact"/>
              <w:jc w:val="center"/>
              <w:rPr>
                <w:rFonts w:hint="eastAsia" w:ascii="新宋体" w:hAnsi="新宋体" w:eastAsia="新宋体" w:cs="新宋体"/>
                <w:color w:val="auto"/>
                <w:kern w:val="0"/>
                <w:szCs w:val="21"/>
                <w:highlight w:val="none"/>
              </w:rPr>
            </w:pPr>
          </w:p>
        </w:tc>
        <w:tc>
          <w:tcPr>
            <w:tcW w:w="1644"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投标截止时间</w:t>
            </w:r>
          </w:p>
        </w:tc>
        <w:tc>
          <w:tcPr>
            <w:tcW w:w="6490" w:type="dxa"/>
            <w:vAlign w:val="center"/>
          </w:tcPr>
          <w:p>
            <w:pPr>
              <w:snapToGrid w:val="0"/>
              <w:spacing w:line="400" w:lineRule="exact"/>
              <w:ind w:firstLine="420" w:firstLineChars="200"/>
              <w:rPr>
                <w:rFonts w:hint="eastAsia" w:ascii="新宋体" w:hAnsi="新宋体" w:eastAsia="新宋体" w:cs="新宋体"/>
                <w:color w:val="auto"/>
                <w:szCs w:val="21"/>
                <w:highlight w:val="none"/>
                <w:u w:val="single"/>
              </w:rPr>
            </w:pPr>
            <w:r>
              <w:rPr>
                <w:rFonts w:hint="eastAsia" w:ascii="新宋体" w:hAnsi="新宋体" w:eastAsia="新宋体" w:cs="新宋体"/>
                <w:color w:val="auto"/>
                <w:szCs w:val="21"/>
                <w:highlight w:val="none"/>
              </w:rPr>
              <w:t>详见招标公告规定的投标截止时间。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2.2.3</w:t>
            </w:r>
          </w:p>
        </w:tc>
        <w:tc>
          <w:tcPr>
            <w:tcW w:w="1644" w:type="dxa"/>
            <w:vAlign w:val="center"/>
          </w:tcPr>
          <w:p>
            <w:pPr>
              <w:snapToGrid w:val="0"/>
              <w:spacing w:after="15" w:afterLines="5"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招标人对招标文件进行修改的时间</w:t>
            </w:r>
          </w:p>
        </w:tc>
        <w:tc>
          <w:tcPr>
            <w:tcW w:w="6490" w:type="dxa"/>
            <w:vAlign w:val="center"/>
          </w:tcPr>
          <w:p>
            <w:pPr>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snapToGrid w:val="0"/>
                <w:color w:val="auto"/>
                <w:kern w:val="0"/>
                <w:szCs w:val="21"/>
                <w:highlight w:val="none"/>
              </w:rPr>
              <w:t>修改内容可能影响投标文件编制的，须在投标截止时间15日前发布，发布时间至投标截止时间不足15日的，须相应延后投标截止时间。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2.2.4</w:t>
            </w:r>
          </w:p>
        </w:tc>
        <w:tc>
          <w:tcPr>
            <w:tcW w:w="1644"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投标人对招标文件及澄清修改提出异议的截止时间</w:t>
            </w:r>
          </w:p>
        </w:tc>
        <w:tc>
          <w:tcPr>
            <w:tcW w:w="6490" w:type="dxa"/>
            <w:vAlign w:val="center"/>
          </w:tcPr>
          <w:p>
            <w:pPr>
              <w:snapToGrid w:val="0"/>
              <w:spacing w:line="400" w:lineRule="exact"/>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投标人对招标文件和澄清修改有异议的，应当在投标截止时间10日前，通过重庆市电子招投标系统提出。招标人应当自收到异议之日起3日内做出答复，答复内容可能影响投标文件编制的，将以修改的形式于投标截止时间15日前在</w:t>
            </w:r>
            <w:r>
              <w:rPr>
                <w:rFonts w:hint="eastAsia" w:ascii="新宋体" w:hAnsi="新宋体" w:eastAsia="新宋体" w:cs="新宋体"/>
                <w:snapToGrid w:val="0"/>
                <w:color w:val="auto"/>
                <w:kern w:val="0"/>
                <w:szCs w:val="21"/>
                <w:highlight w:val="none"/>
                <w:u w:val="single"/>
              </w:rPr>
              <w:t>重庆市公共资源交易网（www.cqggzy.com）</w:t>
            </w:r>
            <w:r>
              <w:rPr>
                <w:rFonts w:hint="eastAsia" w:ascii="新宋体" w:hAnsi="新宋体" w:eastAsia="新宋体" w:cs="新宋体"/>
                <w:snapToGrid w:val="0"/>
                <w:color w:val="auto"/>
                <w:kern w:val="0"/>
                <w:szCs w:val="21"/>
                <w:highlight w:val="none"/>
              </w:rPr>
              <w:t>澄清修改区发布，发布时间至投标截止时间不足15日的，须相应延后投标截止时间。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3.1.1</w:t>
            </w:r>
          </w:p>
        </w:tc>
        <w:tc>
          <w:tcPr>
            <w:tcW w:w="1644" w:type="dxa"/>
            <w:vAlign w:val="center"/>
          </w:tcPr>
          <w:p>
            <w:pPr>
              <w:snapToGrid w:val="0"/>
              <w:spacing w:after="31" w:afterLines="10"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构成投标文件的其他材料</w:t>
            </w:r>
          </w:p>
        </w:tc>
        <w:tc>
          <w:tcPr>
            <w:tcW w:w="6490" w:type="dxa"/>
            <w:vAlign w:val="center"/>
          </w:tcPr>
          <w:p>
            <w:pPr>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3.2</w:t>
            </w:r>
          </w:p>
        </w:tc>
        <w:tc>
          <w:tcPr>
            <w:tcW w:w="1644"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投标报价</w:t>
            </w:r>
          </w:p>
        </w:tc>
        <w:tc>
          <w:tcPr>
            <w:tcW w:w="6490" w:type="dxa"/>
            <w:vAlign w:val="center"/>
          </w:tcPr>
          <w:p>
            <w:pPr>
              <w:pStyle w:val="18"/>
              <w:tabs>
                <w:tab w:val="left" w:pos="546"/>
                <w:tab w:val="left" w:pos="711"/>
              </w:tabs>
              <w:snapToGrid w:val="0"/>
              <w:spacing w:after="0" w:line="400" w:lineRule="exact"/>
              <w:ind w:firstLine="420" w:firstLineChars="200"/>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rPr>
              <w:t>1.</w:t>
            </w:r>
            <w:r>
              <w:rPr>
                <w:rFonts w:hint="eastAsia" w:ascii="新宋体" w:hAnsi="新宋体" w:eastAsia="新宋体" w:cs="新宋体"/>
                <w:color w:val="auto"/>
                <w:szCs w:val="21"/>
                <w:highlight w:val="none"/>
                <w:lang w:val="en-US" w:eastAsia="zh-CN"/>
              </w:rPr>
              <w:t>本项目采用固定总价合同，投标报价货币为人民币（RMB）。投标人应按招标人的要求进行供货，并应根据自身实力以及对招标文件的理解，结合市场行情进行自主报价。</w:t>
            </w:r>
          </w:p>
          <w:p>
            <w:pPr>
              <w:pStyle w:val="18"/>
              <w:tabs>
                <w:tab w:val="left" w:pos="546"/>
                <w:tab w:val="left" w:pos="711"/>
              </w:tabs>
              <w:snapToGrid w:val="0"/>
              <w:spacing w:after="0" w:line="400" w:lineRule="exact"/>
              <w:ind w:left="6" w:leftChars="3" w:firstLine="420" w:firstLineChars="200"/>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rPr>
              <w:t>2.</w:t>
            </w:r>
            <w:r>
              <w:rPr>
                <w:rFonts w:hint="eastAsia" w:ascii="新宋体" w:hAnsi="新宋体" w:eastAsia="新宋体" w:cs="新宋体"/>
                <w:color w:val="auto"/>
                <w:szCs w:val="21"/>
                <w:highlight w:val="none"/>
                <w:lang w:val="en-US" w:eastAsia="zh-CN"/>
              </w:rPr>
              <w:t>报价为货到买方交货地点价。包括但不限于完成本项目的所有费用，含设备费、材料费（现场阀门、仪表、电缆、管路及辅材）、货物包装费、货物检验费、运杂费、卸车费、吊装费、设备调试费、试运行费、培训费、物资类增值税以及其他各种税费等所有费用。</w:t>
            </w:r>
          </w:p>
          <w:p>
            <w:pPr>
              <w:tabs>
                <w:tab w:val="left" w:pos="546"/>
                <w:tab w:val="left" w:pos="711"/>
              </w:tabs>
              <w:snapToGrid w:val="0"/>
              <w:spacing w:line="400" w:lineRule="exact"/>
              <w:ind w:firstLine="420" w:firstLineChars="200"/>
              <w:rPr>
                <w:rFonts w:hint="eastAsia" w:ascii="新宋体" w:hAnsi="新宋体" w:eastAsia="新宋体" w:cs="新宋体"/>
                <w:color w:val="auto"/>
                <w:szCs w:val="21"/>
                <w:highlight w:val="none"/>
                <w:u w:val="none"/>
                <w:lang w:val="en-US" w:eastAsia="zh-CN"/>
              </w:rPr>
            </w:pPr>
            <w:r>
              <w:rPr>
                <w:rFonts w:hint="eastAsia" w:ascii="新宋体" w:hAnsi="新宋体" w:eastAsia="新宋体" w:cs="新宋体"/>
                <w:color w:val="auto"/>
                <w:szCs w:val="21"/>
                <w:highlight w:val="none"/>
              </w:rPr>
              <w:t>3.</w:t>
            </w:r>
            <w:r>
              <w:rPr>
                <w:rFonts w:hint="eastAsia" w:ascii="新宋体" w:hAnsi="新宋体" w:eastAsia="新宋体" w:cs="新宋体"/>
                <w:color w:val="auto"/>
                <w:szCs w:val="21"/>
                <w:highlight w:val="none"/>
                <w:lang w:val="en-US" w:eastAsia="zh-CN"/>
              </w:rPr>
              <w:t>本项目的投标总报价最高</w:t>
            </w:r>
            <w:bookmarkStart w:id="715" w:name="_GoBack"/>
            <w:bookmarkEnd w:id="715"/>
            <w:r>
              <w:rPr>
                <w:rFonts w:hint="eastAsia" w:ascii="新宋体" w:hAnsi="新宋体" w:eastAsia="新宋体" w:cs="新宋体"/>
                <w:color w:val="auto"/>
                <w:szCs w:val="21"/>
                <w:highlight w:val="none"/>
                <w:lang w:val="en-US" w:eastAsia="zh-CN"/>
              </w:rPr>
              <w:t>限价为：</w:t>
            </w:r>
            <w:r>
              <w:rPr>
                <w:rFonts w:hint="eastAsia" w:ascii="新宋体" w:hAnsi="新宋体" w:eastAsia="新宋体" w:cs="新宋体"/>
                <w:color w:val="auto"/>
                <w:szCs w:val="21"/>
                <w:highlight w:val="none"/>
                <w:u w:val="single"/>
                <w:lang w:val="en-US" w:eastAsia="zh-CN"/>
              </w:rPr>
              <w:t xml:space="preserve"> 3854400.00 </w:t>
            </w:r>
            <w:r>
              <w:rPr>
                <w:rFonts w:hint="eastAsia" w:ascii="新宋体" w:hAnsi="新宋体" w:eastAsia="新宋体" w:cs="新宋体"/>
                <w:color w:val="auto"/>
                <w:szCs w:val="21"/>
                <w:highlight w:val="none"/>
                <w:u w:val="none"/>
                <w:lang w:val="en-US" w:eastAsia="zh-CN"/>
              </w:rPr>
              <w:t>元（含税价）（大写：</w:t>
            </w:r>
            <w:r>
              <w:rPr>
                <w:rFonts w:hint="eastAsia" w:ascii="新宋体" w:hAnsi="新宋体" w:eastAsia="新宋体" w:cs="新宋体"/>
                <w:color w:val="auto"/>
                <w:szCs w:val="21"/>
                <w:highlight w:val="none"/>
                <w:u w:val="single"/>
                <w:lang w:val="en-US" w:eastAsia="zh-CN"/>
              </w:rPr>
              <w:t xml:space="preserve"> 叁佰捌拾伍万肆仟肆佰元整 </w:t>
            </w:r>
            <w:r>
              <w:rPr>
                <w:rFonts w:hint="eastAsia" w:ascii="新宋体" w:hAnsi="新宋体" w:eastAsia="新宋体" w:cs="新宋体"/>
                <w:color w:val="auto"/>
                <w:szCs w:val="21"/>
                <w:highlight w:val="none"/>
                <w:u w:val="none"/>
                <w:lang w:val="en-US" w:eastAsia="zh-CN"/>
              </w:rPr>
              <w:t>），投标人的投标总报价不得超过最高限价，否则，由</w:t>
            </w:r>
            <w:r>
              <w:rPr>
                <w:rFonts w:hint="eastAsia" w:ascii="新宋体" w:hAnsi="新宋体" w:eastAsia="新宋体" w:cs="新宋体"/>
                <w:color w:val="auto"/>
                <w:kern w:val="0"/>
                <w:szCs w:val="21"/>
                <w:highlight w:val="none"/>
              </w:rPr>
              <w:t>评标委员会</w:t>
            </w:r>
            <w:r>
              <w:rPr>
                <w:rFonts w:hint="eastAsia" w:ascii="新宋体" w:hAnsi="新宋体" w:eastAsia="新宋体" w:cs="新宋体"/>
                <w:color w:val="auto"/>
                <w:szCs w:val="21"/>
                <w:highlight w:val="none"/>
              </w:rPr>
              <w:t>作否决投标处理</w:t>
            </w:r>
            <w:r>
              <w:rPr>
                <w:rFonts w:hint="eastAsia" w:ascii="新宋体" w:hAnsi="新宋体" w:eastAsia="新宋体" w:cs="新宋体"/>
                <w:color w:val="auto"/>
                <w:szCs w:val="21"/>
                <w:highlight w:val="none"/>
                <w:u w:val="none"/>
                <w:lang w:val="en-US" w:eastAsia="zh-CN"/>
              </w:rPr>
              <w:t>。</w:t>
            </w:r>
          </w:p>
          <w:p>
            <w:pPr>
              <w:tabs>
                <w:tab w:val="left" w:pos="546"/>
                <w:tab w:val="left" w:pos="711"/>
              </w:tabs>
              <w:snapToGrid w:val="0"/>
              <w:spacing w:line="400" w:lineRule="exact"/>
              <w:ind w:firstLine="422" w:firstLineChars="200"/>
              <w:rPr>
                <w:rFonts w:hint="default" w:ascii="新宋体" w:hAnsi="新宋体" w:eastAsia="新宋体" w:cs="新宋体"/>
                <w:color w:val="auto"/>
                <w:szCs w:val="21"/>
                <w:highlight w:val="none"/>
                <w:u w:val="none"/>
                <w:lang w:val="en-US" w:eastAsia="zh-CN"/>
              </w:rPr>
            </w:pPr>
            <w:r>
              <w:rPr>
                <w:rFonts w:hint="eastAsia" w:ascii="新宋体" w:hAnsi="新宋体" w:eastAsia="新宋体" w:cs="新宋体"/>
                <w:b/>
                <w:bCs/>
                <w:color w:val="auto"/>
                <w:szCs w:val="21"/>
                <w:highlight w:val="none"/>
                <w:u w:val="none"/>
                <w:lang w:val="en-US" w:eastAsia="zh-CN"/>
              </w:rPr>
              <w:t>注：本项目只设置投标总报价最高限价。LNG加注站成套设备清单不设置最高限价且由投标人</w:t>
            </w:r>
            <w:r>
              <w:rPr>
                <w:rFonts w:hint="eastAsia" w:ascii="新宋体" w:hAnsi="新宋体" w:eastAsia="新宋体" w:cs="新宋体"/>
                <w:b/>
                <w:bCs/>
                <w:color w:val="auto"/>
                <w:szCs w:val="21"/>
                <w:highlight w:val="none"/>
                <w:lang w:val="en-US" w:eastAsia="zh-CN"/>
              </w:rPr>
              <w:t>根据自身实力以及对招标文件的理解，结合市场行情进行自主报价。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3.3.1</w:t>
            </w:r>
          </w:p>
        </w:tc>
        <w:tc>
          <w:tcPr>
            <w:tcW w:w="1644"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投标有效期</w:t>
            </w:r>
          </w:p>
        </w:tc>
        <w:tc>
          <w:tcPr>
            <w:tcW w:w="6490" w:type="dxa"/>
            <w:vAlign w:val="center"/>
          </w:tcPr>
          <w:p>
            <w:pPr>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u w:val="single"/>
                <w:lang w:val="en-US" w:eastAsia="zh-CN"/>
              </w:rPr>
              <w:t>90</w:t>
            </w:r>
            <w:r>
              <w:rPr>
                <w:rFonts w:hint="eastAsia" w:ascii="新宋体" w:hAnsi="新宋体" w:eastAsia="新宋体" w:cs="新宋体"/>
                <w:color w:val="auto"/>
                <w:szCs w:val="21"/>
                <w:highlight w:val="none"/>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3.4</w:t>
            </w:r>
          </w:p>
        </w:tc>
        <w:tc>
          <w:tcPr>
            <w:tcW w:w="1644"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投标保证金</w:t>
            </w:r>
          </w:p>
        </w:tc>
        <w:tc>
          <w:tcPr>
            <w:tcW w:w="6490" w:type="dxa"/>
            <w:vAlign w:val="center"/>
          </w:tcPr>
          <w:p>
            <w:pPr>
              <w:snapToGrid w:val="0"/>
              <w:spacing w:line="400" w:lineRule="exact"/>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投标保证金的交纳方式：投标人可选择以下三种方式之一。</w:t>
            </w:r>
          </w:p>
          <w:p>
            <w:pPr>
              <w:snapToGrid w:val="0"/>
              <w:spacing w:line="400" w:lineRule="exact"/>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方式一</w:t>
            </w:r>
          </w:p>
          <w:p>
            <w:pPr>
              <w:snapToGrid w:val="0"/>
              <w:spacing w:line="400" w:lineRule="exact"/>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一、以电子投标保函形式交纳投标保证金</w:t>
            </w:r>
          </w:p>
          <w:p>
            <w:pPr>
              <w:snapToGrid w:val="0"/>
              <w:spacing w:line="400" w:lineRule="exact"/>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1. 电子投标保函交纳形式及要求：投标人在投标截止时间前通过重庆市公共资源交易金融服务平台电子投标保函系统向金融机构申请开具电子投标保函，电子投标保函应至少体现如下内容：①担保项目必须为本项目；②受益人必须为本项目招标人；③保函担保金额必须满足本项目要求；④保函生效时间必须在投标截止时间前，有效期限必须至少包含整个投标有效期；⑤保函须不可撤销且见索即付。</w:t>
            </w:r>
          </w:p>
          <w:p>
            <w:pPr>
              <w:snapToGrid w:val="0"/>
              <w:spacing w:line="400" w:lineRule="exact"/>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若投标截止时间延期，则电子投标保函提交的截止时间和投标截止时间应当保持一致。</w:t>
            </w:r>
          </w:p>
          <w:p>
            <w:pPr>
              <w:snapToGrid w:val="0"/>
              <w:spacing w:line="400" w:lineRule="exact"/>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kern w:val="0"/>
                <w:szCs w:val="21"/>
                <w:highlight w:val="none"/>
              </w:rPr>
              <w:t>不满足上述要求的电子投标保函无效。</w:t>
            </w:r>
          </w:p>
          <w:p>
            <w:pPr>
              <w:snapToGrid w:val="0"/>
              <w:spacing w:line="400" w:lineRule="exact"/>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2. 以电子投标保函形式担保的投标保证金的金额：</w:t>
            </w:r>
            <w:r>
              <w:rPr>
                <w:rFonts w:hint="eastAsia" w:ascii="新宋体" w:hAnsi="新宋体" w:eastAsia="新宋体" w:cs="新宋体"/>
                <w:color w:val="auto"/>
                <w:highlight w:val="none"/>
                <w:u w:val="single"/>
              </w:rPr>
              <w:t xml:space="preserve"> </w:t>
            </w:r>
            <w:r>
              <w:rPr>
                <w:rFonts w:hint="eastAsia" w:ascii="新宋体" w:hAnsi="新宋体" w:eastAsia="新宋体" w:cs="新宋体"/>
                <w:color w:val="auto"/>
                <w:highlight w:val="none"/>
                <w:u w:val="single"/>
                <w:lang w:val="en-US" w:eastAsia="zh-CN"/>
              </w:rPr>
              <w:t>5</w:t>
            </w:r>
            <w:r>
              <w:rPr>
                <w:rFonts w:hint="eastAsia" w:ascii="新宋体" w:hAnsi="新宋体" w:eastAsia="新宋体" w:cs="新宋体"/>
                <w:color w:val="auto"/>
                <w:highlight w:val="none"/>
                <w:u w:val="single"/>
              </w:rPr>
              <w:t xml:space="preserve"> </w:t>
            </w:r>
            <w:r>
              <w:rPr>
                <w:rFonts w:hint="eastAsia" w:ascii="新宋体" w:hAnsi="新宋体" w:eastAsia="新宋体" w:cs="新宋体"/>
                <w:color w:val="auto"/>
                <w:highlight w:val="none"/>
              </w:rPr>
              <w:t>万元整（人民币），重庆市工程建设领域招标投标守信激励对象名单（以下简称红名单）中的投标人投标保证金金额为应缴纳金额的50%。投标人是否属于红名单，以开标环节信用状况查询结果为准。</w:t>
            </w:r>
          </w:p>
          <w:p>
            <w:pPr>
              <w:snapToGrid w:val="0"/>
              <w:spacing w:line="400" w:lineRule="exact"/>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3. 电子投标保函</w:t>
            </w:r>
          </w:p>
          <w:p>
            <w:pPr>
              <w:snapToGrid w:val="0"/>
              <w:spacing w:line="400" w:lineRule="exact"/>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以</w:t>
            </w:r>
            <w:r>
              <w:rPr>
                <w:rFonts w:hint="eastAsia" w:ascii="新宋体" w:hAnsi="新宋体" w:eastAsia="新宋体" w:cs="新宋体"/>
                <w:color w:val="auto"/>
                <w:highlight w:val="none"/>
                <w:u w:val="single"/>
              </w:rPr>
              <w:t>重庆市公共资源交易中心</w:t>
            </w:r>
            <w:r>
              <w:rPr>
                <w:rFonts w:hint="eastAsia" w:ascii="新宋体" w:hAnsi="新宋体" w:eastAsia="新宋体" w:cs="新宋体"/>
                <w:color w:val="auto"/>
                <w:highlight w:val="none"/>
              </w:rPr>
              <w:t>开标现场展示的电子投标保函交纳情况为准，投标人在投标时无须再提供电子投标保函的相关资料。</w:t>
            </w:r>
          </w:p>
          <w:p>
            <w:pPr>
              <w:snapToGrid w:val="0"/>
              <w:spacing w:line="400" w:lineRule="exact"/>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二、电子投标保函的注销</w:t>
            </w:r>
          </w:p>
          <w:p>
            <w:pPr>
              <w:snapToGrid w:val="0"/>
              <w:spacing w:line="400" w:lineRule="exact"/>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招标人应当在法定时间内确定中标人。招标人应当在中标通知书发出后2个工作日内将中标通知书和电子投标保函退还通知抄告</w:t>
            </w:r>
            <w:r>
              <w:rPr>
                <w:rFonts w:hint="eastAsia" w:ascii="新宋体" w:hAnsi="新宋体" w:eastAsia="新宋体" w:cs="新宋体"/>
                <w:color w:val="auto"/>
                <w:highlight w:val="none"/>
                <w:u w:val="single"/>
              </w:rPr>
              <w:t>重庆市公共资源交易中心</w:t>
            </w:r>
            <w:r>
              <w:rPr>
                <w:rFonts w:hint="eastAsia" w:ascii="新宋体" w:hAnsi="新宋体" w:eastAsia="新宋体" w:cs="新宋体"/>
                <w:color w:val="auto"/>
                <w:highlight w:val="none"/>
              </w:rPr>
              <w:t>，</w:t>
            </w:r>
            <w:r>
              <w:rPr>
                <w:rFonts w:hint="eastAsia" w:ascii="新宋体" w:hAnsi="新宋体" w:eastAsia="新宋体" w:cs="新宋体"/>
                <w:color w:val="auto"/>
                <w:highlight w:val="none"/>
                <w:u w:val="single"/>
              </w:rPr>
              <w:t>重庆市公共资源交易中心</w:t>
            </w:r>
            <w:r>
              <w:rPr>
                <w:rFonts w:hint="eastAsia" w:ascii="新宋体" w:hAnsi="新宋体" w:eastAsia="新宋体" w:cs="新宋体"/>
                <w:color w:val="auto"/>
                <w:highlight w:val="none"/>
              </w:rPr>
              <w:t>在收到电子投标保函退还通知后2个工作日内，将保函注销信息推送给重庆市公共资源交易金融服务平台，由保函出具机构注销除中标人和中标候选人以外的投标人电子投标保函。</w:t>
            </w:r>
          </w:p>
          <w:p>
            <w:pPr>
              <w:spacing w:line="400" w:lineRule="exact"/>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招标人应当在法定时间内和中标人签订合同。招标人应当在合同生效后2个工作日内将签订的合同和电子投标保函退还通知抄告</w:t>
            </w:r>
            <w:r>
              <w:rPr>
                <w:rFonts w:hint="eastAsia" w:ascii="新宋体" w:hAnsi="新宋体" w:eastAsia="新宋体" w:cs="新宋体"/>
                <w:color w:val="auto"/>
                <w:highlight w:val="none"/>
                <w:u w:val="single"/>
              </w:rPr>
              <w:t>重庆市公共资源交易中心</w:t>
            </w:r>
            <w:r>
              <w:rPr>
                <w:rFonts w:hint="eastAsia" w:ascii="新宋体" w:hAnsi="新宋体" w:eastAsia="新宋体" w:cs="新宋体"/>
                <w:color w:val="auto"/>
                <w:highlight w:val="none"/>
              </w:rPr>
              <w:t>，</w:t>
            </w:r>
            <w:r>
              <w:rPr>
                <w:rFonts w:hint="eastAsia" w:ascii="新宋体" w:hAnsi="新宋体" w:eastAsia="新宋体" w:cs="新宋体"/>
                <w:color w:val="auto"/>
                <w:highlight w:val="none"/>
                <w:u w:val="single"/>
              </w:rPr>
              <w:t>重庆市公共资源交易中心</w:t>
            </w:r>
            <w:r>
              <w:rPr>
                <w:rFonts w:hint="eastAsia" w:ascii="新宋体" w:hAnsi="新宋体" w:eastAsia="新宋体" w:cs="新宋体"/>
                <w:color w:val="auto"/>
                <w:highlight w:val="none"/>
              </w:rPr>
              <w:t>在收到电子投标保函退还通知后2个工作日内，将保函注销信息推送给重庆市公共资源交易金融服务平台，由保函出具机构注销中标人和中标候选人的电子投标保函。</w:t>
            </w:r>
          </w:p>
          <w:p>
            <w:pPr>
              <w:snapToGrid w:val="0"/>
              <w:spacing w:line="400" w:lineRule="exact"/>
              <w:ind w:firstLine="420" w:firstLineChars="200"/>
              <w:rPr>
                <w:rFonts w:hint="eastAsia" w:ascii="新宋体" w:hAnsi="新宋体" w:eastAsia="新宋体" w:cs="新宋体"/>
                <w:color w:val="auto"/>
                <w:highlight w:val="none"/>
              </w:rPr>
            </w:pPr>
          </w:p>
          <w:p>
            <w:pPr>
              <w:snapToGrid w:val="0"/>
              <w:spacing w:line="400" w:lineRule="exact"/>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方式二</w:t>
            </w:r>
          </w:p>
          <w:p>
            <w:pPr>
              <w:snapToGrid w:val="0"/>
              <w:spacing w:line="400" w:lineRule="exact"/>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一、以转账支票或电汇形式交纳投标保证金</w:t>
            </w:r>
          </w:p>
          <w:p>
            <w:pPr>
              <w:snapToGrid w:val="0"/>
              <w:spacing w:line="400" w:lineRule="exact"/>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1、投标保证金交款形式及要求：投标人从企业的基本账户（开户行）在投标截止时间前通过转账支票直接划付或以电汇方式直接划付至下面指定的投标保证金账户。若投标截止时间延期，则投标保证金提交的截止时间和投标截止时间应当保持一致。</w:t>
            </w:r>
            <w:r>
              <w:rPr>
                <w:rFonts w:hint="eastAsia" w:ascii="新宋体" w:hAnsi="新宋体" w:eastAsia="新宋体" w:cs="新宋体"/>
                <w:color w:val="auto"/>
                <w:kern w:val="0"/>
                <w:szCs w:val="21"/>
                <w:highlight w:val="none"/>
              </w:rPr>
              <w:t>不满足上述要求的投标保证金无效。</w:t>
            </w:r>
          </w:p>
          <w:p>
            <w:pPr>
              <w:snapToGrid w:val="0"/>
              <w:spacing w:line="400" w:lineRule="exact"/>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投标人自行考虑汇入时间风险，如同城汇入、异地汇入、跨行汇入的时间要求。</w:t>
            </w:r>
          </w:p>
          <w:p>
            <w:pPr>
              <w:snapToGrid w:val="0"/>
              <w:spacing w:line="400" w:lineRule="exact"/>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2、以转账支票或电汇形式提交投标保证金的金额：</w:t>
            </w:r>
            <w:r>
              <w:rPr>
                <w:rFonts w:hint="eastAsia" w:ascii="新宋体" w:hAnsi="新宋体" w:eastAsia="新宋体" w:cs="新宋体"/>
                <w:color w:val="auto"/>
                <w:highlight w:val="none"/>
                <w:u w:val="single"/>
              </w:rPr>
              <w:t xml:space="preserve"> </w:t>
            </w:r>
            <w:r>
              <w:rPr>
                <w:rFonts w:hint="eastAsia" w:ascii="新宋体" w:hAnsi="新宋体" w:eastAsia="新宋体" w:cs="新宋体"/>
                <w:color w:val="auto"/>
                <w:highlight w:val="none"/>
                <w:u w:val="single"/>
                <w:lang w:val="en-US" w:eastAsia="zh-CN"/>
              </w:rPr>
              <w:t>5</w:t>
            </w:r>
            <w:r>
              <w:rPr>
                <w:rFonts w:hint="eastAsia" w:ascii="新宋体" w:hAnsi="新宋体" w:eastAsia="新宋体" w:cs="新宋体"/>
                <w:color w:val="auto"/>
                <w:highlight w:val="none"/>
                <w:u w:val="single"/>
              </w:rPr>
              <w:t xml:space="preserve"> </w:t>
            </w:r>
            <w:r>
              <w:rPr>
                <w:rFonts w:hint="eastAsia" w:ascii="新宋体" w:hAnsi="新宋体" w:eastAsia="新宋体" w:cs="新宋体"/>
                <w:color w:val="auto"/>
                <w:highlight w:val="none"/>
              </w:rPr>
              <w:t>万元整（人民币）</w:t>
            </w:r>
            <w:r>
              <w:rPr>
                <w:rFonts w:hint="eastAsia" w:ascii="新宋体" w:hAnsi="新宋体" w:eastAsia="新宋体" w:cs="新宋体"/>
                <w:color w:val="auto"/>
                <w:kern w:val="0"/>
                <w:szCs w:val="21"/>
                <w:highlight w:val="none"/>
              </w:rPr>
              <w:t>，红名单</w:t>
            </w:r>
            <w:r>
              <w:rPr>
                <w:rFonts w:hint="eastAsia" w:ascii="新宋体" w:hAnsi="新宋体" w:eastAsia="新宋体" w:cs="新宋体"/>
                <w:color w:val="auto"/>
                <w:highlight w:val="none"/>
              </w:rPr>
              <w:t>中的投标人投标保证金金额为应缴纳金额的50%中。投标人是否属于红名单，以开标环节信用状况查询结果为准。</w:t>
            </w:r>
          </w:p>
          <w:p>
            <w:pPr>
              <w:snapToGrid w:val="0"/>
              <w:spacing w:line="400" w:lineRule="exact"/>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3、投标保证金账户及账号（任选其一）：</w:t>
            </w:r>
          </w:p>
          <w:p>
            <w:pPr>
              <w:snapToGrid w:val="0"/>
              <w:spacing w:line="400" w:lineRule="exact"/>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详见</w:t>
            </w:r>
            <w:r>
              <w:rPr>
                <w:rFonts w:hint="eastAsia" w:ascii="新宋体" w:hAnsi="新宋体" w:eastAsia="新宋体" w:cs="新宋体"/>
                <w:color w:val="auto"/>
                <w:highlight w:val="none"/>
                <w:u w:val="single"/>
              </w:rPr>
              <w:t>重庆市公共资源交易网（www.cqggzy.com）</w:t>
            </w:r>
            <w:r>
              <w:rPr>
                <w:rFonts w:hint="eastAsia" w:ascii="新宋体" w:hAnsi="新宋体" w:eastAsia="新宋体" w:cs="新宋体"/>
                <w:color w:val="auto"/>
                <w:highlight w:val="none"/>
              </w:rPr>
              <w:t>对应本项目招标公告信息栏中的保证金信息。</w:t>
            </w:r>
          </w:p>
          <w:p>
            <w:pPr>
              <w:snapToGrid w:val="0"/>
              <w:spacing w:line="400" w:lineRule="exact"/>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投标保证金以</w:t>
            </w:r>
            <w:r>
              <w:rPr>
                <w:rFonts w:hint="eastAsia" w:ascii="新宋体" w:hAnsi="新宋体" w:eastAsia="新宋体" w:cs="新宋体"/>
                <w:color w:val="auto"/>
                <w:highlight w:val="none"/>
                <w:u w:val="single"/>
              </w:rPr>
              <w:t>重庆市公共资源交易中心</w:t>
            </w:r>
            <w:r>
              <w:rPr>
                <w:rFonts w:hint="eastAsia" w:ascii="新宋体" w:hAnsi="新宋体" w:eastAsia="新宋体" w:cs="新宋体"/>
                <w:color w:val="auto"/>
                <w:highlight w:val="none"/>
              </w:rPr>
              <w:t>开标现场展示的保证金交纳情况为准。投标人须在投标文件资格审查部分</w:t>
            </w:r>
            <w:r>
              <w:rPr>
                <w:rFonts w:hint="eastAsia" w:ascii="新宋体" w:hAnsi="新宋体" w:eastAsia="新宋体" w:cs="新宋体"/>
                <w:color w:val="auto"/>
                <w:kern w:val="0"/>
                <w:szCs w:val="21"/>
                <w:highlight w:val="none"/>
              </w:rPr>
              <w:t>“其他资料”中</w:t>
            </w:r>
            <w:r>
              <w:rPr>
                <w:rFonts w:hint="eastAsia" w:ascii="新宋体" w:hAnsi="新宋体" w:eastAsia="新宋体" w:cs="新宋体"/>
                <w:color w:val="auto"/>
                <w:highlight w:val="none"/>
              </w:rPr>
              <w:t>提供企业基本账户开户证明文件。</w:t>
            </w:r>
          </w:p>
          <w:p>
            <w:pPr>
              <w:snapToGrid w:val="0"/>
              <w:spacing w:line="400" w:lineRule="exact"/>
              <w:ind w:firstLine="420" w:firstLineChars="200"/>
              <w:rPr>
                <w:rFonts w:hint="eastAsia" w:ascii="新宋体" w:hAnsi="新宋体" w:eastAsia="新宋体" w:cs="新宋体"/>
                <w:color w:val="auto"/>
                <w:highlight w:val="none"/>
                <w:u w:val="single"/>
              </w:rPr>
            </w:pPr>
            <w:r>
              <w:rPr>
                <w:rFonts w:hint="eastAsia" w:ascii="新宋体" w:hAnsi="新宋体" w:eastAsia="新宋体" w:cs="新宋体"/>
                <w:color w:val="auto"/>
                <w:highlight w:val="none"/>
              </w:rPr>
              <w:t>4、投标人必须在付款凭证备注栏中注明是“</w:t>
            </w:r>
            <w:r>
              <w:rPr>
                <w:rFonts w:hint="eastAsia" w:ascii="新宋体" w:hAnsi="新宋体" w:eastAsia="新宋体" w:cs="新宋体"/>
                <w:color w:val="auto"/>
                <w:highlight w:val="none"/>
                <w:u w:val="single"/>
              </w:rPr>
              <w:t>渝蓉高速围龙服务区（南、北）LNG加气站设备采购</w:t>
            </w:r>
            <w:r>
              <w:rPr>
                <w:rFonts w:hint="eastAsia" w:ascii="新宋体" w:hAnsi="新宋体" w:eastAsia="新宋体" w:cs="新宋体"/>
                <w:color w:val="auto"/>
                <w:highlight w:val="none"/>
              </w:rPr>
              <w:t>项目投标保证金”。项目名称可简写成：</w:t>
            </w:r>
            <w:r>
              <w:rPr>
                <w:rFonts w:hint="eastAsia" w:ascii="新宋体" w:hAnsi="新宋体" w:eastAsia="新宋体" w:cs="新宋体"/>
                <w:color w:val="auto"/>
                <w:highlight w:val="none"/>
                <w:u w:val="single"/>
                <w:lang w:val="en-US" w:eastAsia="zh-CN"/>
              </w:rPr>
              <w:t>围龙服务区LNG</w:t>
            </w:r>
            <w:r>
              <w:rPr>
                <w:rFonts w:hint="eastAsia" w:ascii="新宋体" w:hAnsi="新宋体" w:eastAsia="新宋体" w:cs="新宋体"/>
                <w:color w:val="auto"/>
                <w:highlight w:val="none"/>
              </w:rPr>
              <w:t>。</w:t>
            </w:r>
          </w:p>
          <w:p>
            <w:pPr>
              <w:snapToGrid w:val="0"/>
              <w:spacing w:line="400" w:lineRule="exact"/>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5、投标保证金有效期与投标有效期一致。</w:t>
            </w:r>
          </w:p>
          <w:p>
            <w:pPr>
              <w:snapToGrid w:val="0"/>
              <w:spacing w:line="400" w:lineRule="exact"/>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u w:val="single"/>
              </w:rPr>
              <w:t>6、根据重庆市公共资源交易中心《关于开展公共资源交易市场主体信息登记工作的公告》的要求，投标人在开标前需在重庆市公共资源交易网（www.cqggzy.com）办理市场主体信息登记手续。因故未能提前办理市场主体信息登记或更新的，评标过程中由评标委员会根据投标人在投标文件中提供的企业基本账户开户证明文件核实其投标保证金是否由基本账户转入，未从基本账户转入的，由评标委员会作否决投标处理。</w:t>
            </w:r>
          </w:p>
          <w:p>
            <w:pPr>
              <w:snapToGrid w:val="0"/>
              <w:spacing w:line="400" w:lineRule="exact"/>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二、投标保证金的退还</w:t>
            </w:r>
          </w:p>
          <w:p>
            <w:pPr>
              <w:snapToGrid w:val="0"/>
              <w:spacing w:line="400" w:lineRule="exact"/>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招标人应当在法定时间内确定中标人。招标人应当在中标通知书发出后2个工作日内将中标通知书和保证金退还通知抄告</w:t>
            </w:r>
            <w:r>
              <w:rPr>
                <w:rFonts w:hint="eastAsia" w:ascii="新宋体" w:hAnsi="新宋体" w:eastAsia="新宋体" w:cs="新宋体"/>
                <w:color w:val="auto"/>
                <w:highlight w:val="none"/>
                <w:u w:val="single"/>
              </w:rPr>
              <w:t>重庆市公共资源交易中心</w:t>
            </w:r>
            <w:r>
              <w:rPr>
                <w:rFonts w:hint="eastAsia" w:ascii="新宋体" w:hAnsi="新宋体" w:eastAsia="新宋体" w:cs="新宋体"/>
                <w:color w:val="auto"/>
                <w:highlight w:val="none"/>
              </w:rPr>
              <w:t>，</w:t>
            </w:r>
            <w:r>
              <w:rPr>
                <w:rFonts w:hint="eastAsia" w:ascii="新宋体" w:hAnsi="新宋体" w:eastAsia="新宋体" w:cs="新宋体"/>
                <w:color w:val="auto"/>
                <w:highlight w:val="none"/>
                <w:u w:val="single"/>
              </w:rPr>
              <w:t>重庆市公共资源交易中心</w:t>
            </w:r>
            <w:r>
              <w:rPr>
                <w:rFonts w:hint="eastAsia" w:ascii="新宋体" w:hAnsi="新宋体" w:eastAsia="新宋体" w:cs="新宋体"/>
                <w:color w:val="auto"/>
                <w:highlight w:val="none"/>
              </w:rPr>
              <w:t>在收到保证金退还通知后2个工作日内，向除中标人和中标候选人以外的投标人，退还投标保证金及银行同期活期存款利息。</w:t>
            </w:r>
          </w:p>
          <w:p>
            <w:pPr>
              <w:snapToGrid w:val="0"/>
              <w:spacing w:line="400" w:lineRule="exact"/>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招标人应当在法定时间内和中标人签订合同。招标人应当在合同生效后2个工作日内将签订的合同和保证金退还通知抄告</w:t>
            </w:r>
            <w:r>
              <w:rPr>
                <w:rFonts w:hint="eastAsia" w:ascii="新宋体" w:hAnsi="新宋体" w:eastAsia="新宋体" w:cs="新宋体"/>
                <w:color w:val="auto"/>
                <w:highlight w:val="none"/>
                <w:u w:val="single"/>
              </w:rPr>
              <w:t>重庆市公共资源交易中心</w:t>
            </w:r>
            <w:r>
              <w:rPr>
                <w:rFonts w:hint="eastAsia" w:ascii="新宋体" w:hAnsi="新宋体" w:eastAsia="新宋体" w:cs="新宋体"/>
                <w:color w:val="auto"/>
                <w:highlight w:val="none"/>
              </w:rPr>
              <w:t>，</w:t>
            </w:r>
            <w:r>
              <w:rPr>
                <w:rFonts w:hint="eastAsia" w:ascii="新宋体" w:hAnsi="新宋体" w:eastAsia="新宋体" w:cs="新宋体"/>
                <w:color w:val="auto"/>
                <w:highlight w:val="none"/>
                <w:u w:val="single"/>
              </w:rPr>
              <w:t>重庆市公共资源交易中心</w:t>
            </w:r>
            <w:r>
              <w:rPr>
                <w:rFonts w:hint="eastAsia" w:ascii="新宋体" w:hAnsi="新宋体" w:eastAsia="新宋体" w:cs="新宋体"/>
                <w:color w:val="auto"/>
                <w:highlight w:val="none"/>
              </w:rPr>
              <w:t>在收到保证金退还通知后2个工作日内，向中标人和中标候选人退还投标保证金及银行同期活期存款利息。</w:t>
            </w:r>
          </w:p>
          <w:p>
            <w:pPr>
              <w:snapToGrid w:val="0"/>
              <w:spacing w:line="400" w:lineRule="exact"/>
              <w:ind w:firstLine="420" w:firstLineChars="200"/>
              <w:jc w:val="left"/>
              <w:rPr>
                <w:rFonts w:hint="eastAsia" w:ascii="新宋体" w:hAnsi="新宋体" w:eastAsia="新宋体" w:cs="新宋体"/>
                <w:color w:val="auto"/>
                <w:highlight w:val="none"/>
              </w:rPr>
            </w:pPr>
            <w:r>
              <w:rPr>
                <w:rFonts w:hint="eastAsia" w:ascii="新宋体" w:hAnsi="新宋体" w:eastAsia="新宋体" w:cs="新宋体"/>
                <w:color w:val="auto"/>
                <w:highlight w:val="none"/>
              </w:rPr>
              <w:t>投标保证金专用账户由</w:t>
            </w:r>
            <w:r>
              <w:rPr>
                <w:rFonts w:hint="eastAsia" w:ascii="新宋体" w:hAnsi="新宋体" w:eastAsia="新宋体" w:cs="新宋体"/>
                <w:color w:val="auto"/>
                <w:highlight w:val="none"/>
                <w:u w:val="single"/>
              </w:rPr>
              <w:t>重庆市公共资源交易中心</w:t>
            </w:r>
            <w:r>
              <w:rPr>
                <w:rFonts w:hint="eastAsia" w:ascii="新宋体" w:hAnsi="新宋体" w:eastAsia="新宋体" w:cs="新宋体"/>
                <w:color w:val="auto"/>
                <w:highlight w:val="none"/>
              </w:rPr>
              <w:t>制定，关于保证金相关情况的问题请咨询</w:t>
            </w:r>
            <w:r>
              <w:rPr>
                <w:rFonts w:hint="eastAsia" w:ascii="新宋体" w:hAnsi="新宋体" w:eastAsia="新宋体" w:cs="新宋体"/>
                <w:color w:val="auto"/>
                <w:highlight w:val="none"/>
                <w:u w:val="single"/>
              </w:rPr>
              <w:t>重庆市公共资源交易中心</w:t>
            </w:r>
            <w:r>
              <w:rPr>
                <w:rFonts w:hint="eastAsia" w:ascii="新宋体" w:hAnsi="新宋体" w:eastAsia="新宋体" w:cs="新宋体"/>
                <w:color w:val="auto"/>
                <w:highlight w:val="none"/>
              </w:rPr>
              <w:t>，联系电话023-63626436。</w:t>
            </w:r>
          </w:p>
          <w:p>
            <w:pPr>
              <w:snapToGrid w:val="0"/>
              <w:spacing w:line="400" w:lineRule="exact"/>
              <w:ind w:firstLine="420" w:firstLineChars="200"/>
              <w:rPr>
                <w:rFonts w:hint="eastAsia" w:ascii="新宋体" w:hAnsi="新宋体" w:eastAsia="新宋体" w:cs="新宋体"/>
                <w:bCs/>
                <w:color w:val="auto"/>
                <w:kern w:val="0"/>
                <w:szCs w:val="21"/>
                <w:highlight w:val="none"/>
              </w:rPr>
            </w:pPr>
          </w:p>
          <w:p>
            <w:pPr>
              <w:snapToGrid w:val="0"/>
              <w:spacing w:line="400" w:lineRule="exact"/>
              <w:ind w:firstLine="420" w:firstLineChars="200"/>
              <w:rPr>
                <w:rFonts w:hint="eastAsia" w:ascii="新宋体" w:hAnsi="新宋体" w:eastAsia="新宋体" w:cs="新宋体"/>
                <w:bCs/>
                <w:color w:val="auto"/>
                <w:kern w:val="0"/>
                <w:szCs w:val="21"/>
                <w:highlight w:val="none"/>
              </w:rPr>
            </w:pPr>
            <w:r>
              <w:rPr>
                <w:rFonts w:hint="eastAsia" w:ascii="新宋体" w:hAnsi="新宋体" w:eastAsia="新宋体" w:cs="新宋体"/>
                <w:bCs/>
                <w:color w:val="auto"/>
                <w:kern w:val="0"/>
                <w:szCs w:val="21"/>
                <w:highlight w:val="none"/>
              </w:rPr>
              <w:t>方式三</w:t>
            </w:r>
          </w:p>
          <w:p>
            <w:pPr>
              <w:snapToGrid w:val="0"/>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一、以纸质投标保函形式交纳投标保证金</w:t>
            </w:r>
          </w:p>
          <w:p>
            <w:pPr>
              <w:snapToGrid w:val="0"/>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1. 纸质投标保函交纳形式及要求：</w:t>
            </w:r>
          </w:p>
          <w:p>
            <w:pPr>
              <w:snapToGrid w:val="0"/>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（1）缴纳形式：</w:t>
            </w:r>
            <w:r>
              <w:rPr>
                <w:rFonts w:hint="eastAsia" w:ascii="新宋体" w:hAnsi="新宋体" w:eastAsia="新宋体" w:cs="新宋体"/>
                <w:color w:val="auto"/>
                <w:kern w:val="0"/>
                <w:szCs w:val="21"/>
                <w:highlight w:val="none"/>
                <w:lang w:val="en-US" w:eastAsia="zh-CN"/>
              </w:rPr>
              <w:t>纸质投标保函</w:t>
            </w:r>
            <w:r>
              <w:rPr>
                <w:rFonts w:hint="eastAsia" w:ascii="新宋体" w:hAnsi="新宋体" w:eastAsia="新宋体" w:cs="新宋体"/>
                <w:color w:val="auto"/>
                <w:kern w:val="0"/>
                <w:szCs w:val="21"/>
                <w:highlight w:val="none"/>
              </w:rPr>
              <w:t>包括银行保函</w:t>
            </w:r>
            <w:r>
              <w:rPr>
                <w:rFonts w:hint="eastAsia" w:ascii="新宋体" w:hAnsi="新宋体" w:eastAsia="新宋体" w:cs="新宋体"/>
                <w:color w:val="auto"/>
                <w:kern w:val="0"/>
                <w:szCs w:val="21"/>
                <w:highlight w:val="none"/>
                <w:lang w:eastAsia="zh-CN"/>
              </w:rPr>
              <w:t>、</w:t>
            </w:r>
            <w:r>
              <w:rPr>
                <w:rFonts w:hint="eastAsia" w:ascii="新宋体" w:hAnsi="新宋体" w:eastAsia="新宋体" w:cs="新宋体"/>
                <w:color w:val="auto"/>
                <w:kern w:val="0"/>
                <w:szCs w:val="21"/>
                <w:highlight w:val="none"/>
              </w:rPr>
              <w:t>保证保险和担保保函</w:t>
            </w:r>
            <w:r>
              <w:rPr>
                <w:rFonts w:hint="eastAsia" w:ascii="新宋体" w:hAnsi="新宋体" w:eastAsia="新宋体" w:cs="新宋体"/>
                <w:color w:val="auto"/>
                <w:kern w:val="0"/>
                <w:szCs w:val="21"/>
                <w:highlight w:val="none"/>
                <w:lang w:eastAsia="zh-CN"/>
              </w:rPr>
              <w:t>，</w:t>
            </w:r>
            <w:r>
              <w:rPr>
                <w:rFonts w:hint="eastAsia" w:ascii="新宋体" w:hAnsi="新宋体" w:eastAsia="新宋体" w:cs="新宋体"/>
                <w:color w:val="auto"/>
                <w:kern w:val="0"/>
                <w:szCs w:val="21"/>
                <w:highlight w:val="none"/>
                <w:lang w:val="en-US" w:eastAsia="zh-CN"/>
              </w:rPr>
              <w:t>其示范文本详见第六章投标文件格式。投标人提交的纸质投标保函应</w:t>
            </w:r>
            <w:r>
              <w:rPr>
                <w:rFonts w:hint="eastAsia" w:ascii="新宋体" w:hAnsi="新宋体" w:eastAsia="新宋体" w:cs="新宋体"/>
                <w:color w:val="auto"/>
                <w:kern w:val="0"/>
                <w:szCs w:val="21"/>
                <w:highlight w:val="none"/>
              </w:rPr>
              <w:t>严格执行</w:t>
            </w:r>
            <w:r>
              <w:rPr>
                <w:rFonts w:hint="eastAsia" w:ascii="新宋体" w:hAnsi="新宋体" w:eastAsia="新宋体" w:cs="新宋体"/>
                <w:color w:val="auto"/>
                <w:kern w:val="0"/>
                <w:szCs w:val="21"/>
                <w:highlight w:val="none"/>
                <w:lang w:val="en-US" w:eastAsia="zh-CN"/>
              </w:rPr>
              <w:t>其</w:t>
            </w:r>
            <w:r>
              <w:rPr>
                <w:rFonts w:hint="eastAsia" w:ascii="新宋体" w:hAnsi="新宋体" w:eastAsia="新宋体" w:cs="新宋体"/>
                <w:color w:val="auto"/>
                <w:kern w:val="0"/>
                <w:szCs w:val="21"/>
                <w:highlight w:val="none"/>
              </w:rPr>
              <w:t>示范文本，不得对示范文本中的实质性内容进行修改</w:t>
            </w:r>
            <w:r>
              <w:rPr>
                <w:rFonts w:hint="eastAsia" w:ascii="新宋体" w:hAnsi="新宋体" w:eastAsia="新宋体" w:cs="新宋体"/>
                <w:color w:val="auto"/>
                <w:kern w:val="0"/>
                <w:szCs w:val="21"/>
                <w:highlight w:val="none"/>
                <w:lang w:eastAsia="zh-CN"/>
              </w:rPr>
              <w:t>。</w:t>
            </w:r>
          </w:p>
          <w:p>
            <w:pPr>
              <w:snapToGrid w:val="0"/>
              <w:spacing w:line="400" w:lineRule="exact"/>
              <w:ind w:firstLine="420" w:firstLineChars="200"/>
              <w:rPr>
                <w:rFonts w:hint="eastAsia" w:ascii="新宋体" w:hAnsi="新宋体" w:eastAsia="新宋体" w:cs="新宋体"/>
                <w:color w:val="auto"/>
                <w:kern w:val="0"/>
                <w:szCs w:val="21"/>
                <w:highlight w:val="none"/>
                <w:lang w:val="en-US" w:eastAsia="zh-CN"/>
              </w:rPr>
            </w:pPr>
            <w:r>
              <w:rPr>
                <w:rFonts w:hint="eastAsia" w:ascii="新宋体" w:hAnsi="新宋体" w:eastAsia="新宋体" w:cs="新宋体"/>
                <w:color w:val="auto"/>
                <w:kern w:val="0"/>
                <w:szCs w:val="21"/>
                <w:highlight w:val="none"/>
              </w:rPr>
              <w:t>（</w:t>
            </w:r>
            <w:r>
              <w:rPr>
                <w:rFonts w:hint="eastAsia" w:ascii="新宋体" w:hAnsi="新宋体" w:eastAsia="新宋体" w:cs="新宋体"/>
                <w:color w:val="auto"/>
                <w:kern w:val="0"/>
                <w:szCs w:val="21"/>
                <w:highlight w:val="none"/>
                <w:lang w:val="en-US"/>
              </w:rPr>
              <w:t>2</w:t>
            </w:r>
            <w:r>
              <w:rPr>
                <w:rFonts w:hint="eastAsia" w:ascii="新宋体" w:hAnsi="新宋体" w:eastAsia="新宋体" w:cs="新宋体"/>
                <w:color w:val="auto"/>
                <w:kern w:val="0"/>
                <w:szCs w:val="21"/>
                <w:highlight w:val="none"/>
              </w:rPr>
              <w:t>）具体要求：</w:t>
            </w:r>
            <w:r>
              <w:rPr>
                <w:rFonts w:hint="eastAsia" w:ascii="新宋体" w:hAnsi="新宋体" w:eastAsia="新宋体" w:cs="新宋体"/>
                <w:color w:val="auto"/>
                <w:kern w:val="0"/>
                <w:szCs w:val="21"/>
                <w:highlight w:val="none"/>
                <w:lang w:val="en-US" w:eastAsia="zh-CN"/>
              </w:rPr>
              <w:t>纸质投标</w:t>
            </w:r>
            <w:r>
              <w:rPr>
                <w:rFonts w:hint="eastAsia" w:ascii="新宋体" w:hAnsi="新宋体" w:eastAsia="新宋体" w:cs="新宋体"/>
                <w:color w:val="auto"/>
                <w:kern w:val="0"/>
                <w:szCs w:val="21"/>
                <w:highlight w:val="none"/>
              </w:rPr>
              <w:t>保函的开立人应当是具有相应资格的银行、保险机构、融资担保公司，其信用资质、履约能力、担保能力、赔付流程、安全保密等应符合工程保函业务条件</w:t>
            </w:r>
            <w:r>
              <w:rPr>
                <w:rFonts w:hint="eastAsia" w:ascii="新宋体" w:hAnsi="新宋体" w:eastAsia="新宋体" w:cs="新宋体"/>
                <w:color w:val="auto"/>
                <w:kern w:val="0"/>
                <w:szCs w:val="21"/>
                <w:highlight w:val="none"/>
                <w:lang w:eastAsia="zh-CN"/>
              </w:rPr>
              <w:t>。</w:t>
            </w:r>
            <w:r>
              <w:rPr>
                <w:rFonts w:hint="eastAsia" w:ascii="新宋体" w:hAnsi="新宋体" w:eastAsia="新宋体" w:cs="新宋体"/>
                <w:color w:val="auto"/>
                <w:kern w:val="0"/>
                <w:szCs w:val="21"/>
                <w:highlight w:val="none"/>
                <w:lang w:val="en-US" w:eastAsia="zh-CN"/>
              </w:rPr>
              <w:t>纸质投标</w:t>
            </w:r>
            <w:r>
              <w:rPr>
                <w:rFonts w:hint="eastAsia" w:ascii="新宋体" w:hAnsi="新宋体" w:eastAsia="新宋体" w:cs="新宋体"/>
                <w:color w:val="auto"/>
                <w:kern w:val="0"/>
                <w:szCs w:val="21"/>
                <w:highlight w:val="none"/>
                <w:lang w:eastAsia="zh-CN"/>
              </w:rPr>
              <w:t>保函应合法合规，符合招投标行政监督部门、行业主管部门和金融监管部门的相关规定，满足招标文件约定要求。</w:t>
            </w:r>
            <w:r>
              <w:rPr>
                <w:rFonts w:hint="eastAsia" w:ascii="新宋体" w:hAnsi="新宋体" w:eastAsia="新宋体" w:cs="新宋体"/>
                <w:color w:val="auto"/>
                <w:kern w:val="0"/>
                <w:szCs w:val="21"/>
                <w:highlight w:val="none"/>
                <w:lang w:val="en-US" w:eastAsia="zh-CN"/>
              </w:rPr>
              <w:t>投标人</w:t>
            </w:r>
            <w:r>
              <w:rPr>
                <w:rFonts w:hint="eastAsia" w:ascii="新宋体" w:hAnsi="新宋体" w:eastAsia="新宋体" w:cs="新宋体"/>
                <w:color w:val="auto"/>
                <w:kern w:val="0"/>
                <w:szCs w:val="21"/>
                <w:highlight w:val="none"/>
              </w:rPr>
              <w:t>应选择在渝依法设立总部或者设有分支机构的金融机构开具</w:t>
            </w:r>
            <w:r>
              <w:rPr>
                <w:rFonts w:hint="eastAsia" w:ascii="新宋体" w:hAnsi="新宋体" w:eastAsia="新宋体" w:cs="新宋体"/>
                <w:color w:val="auto"/>
                <w:kern w:val="0"/>
                <w:szCs w:val="21"/>
                <w:highlight w:val="none"/>
                <w:lang w:val="en-US" w:eastAsia="zh-CN"/>
              </w:rPr>
              <w:t>纸质投标</w:t>
            </w:r>
            <w:r>
              <w:rPr>
                <w:rFonts w:hint="eastAsia" w:ascii="新宋体" w:hAnsi="新宋体" w:eastAsia="新宋体" w:cs="新宋体"/>
                <w:color w:val="auto"/>
                <w:kern w:val="0"/>
                <w:szCs w:val="21"/>
                <w:highlight w:val="none"/>
              </w:rPr>
              <w:t>保函</w:t>
            </w:r>
            <w:r>
              <w:rPr>
                <w:rFonts w:hint="eastAsia" w:ascii="新宋体" w:hAnsi="新宋体" w:eastAsia="新宋体" w:cs="新宋体"/>
                <w:color w:val="auto"/>
                <w:kern w:val="0"/>
                <w:szCs w:val="21"/>
                <w:highlight w:val="none"/>
                <w:lang w:eastAsia="zh-CN"/>
              </w:rPr>
              <w:t>。</w:t>
            </w:r>
            <w:r>
              <w:rPr>
                <w:rFonts w:hint="eastAsia" w:ascii="新宋体" w:hAnsi="新宋体" w:eastAsia="新宋体" w:cs="新宋体"/>
                <w:color w:val="auto"/>
                <w:kern w:val="0"/>
                <w:szCs w:val="21"/>
                <w:highlight w:val="none"/>
                <w:lang w:val="en-US" w:eastAsia="zh-CN"/>
              </w:rPr>
              <w:t>投标人对所提交的纸质投标保函的真实性、合法性、有效性负责。</w:t>
            </w:r>
          </w:p>
          <w:p>
            <w:pPr>
              <w:snapToGrid w:val="0"/>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投标人须在投标文件资格审查部分“其他资料”中提供纸质投标保函扫描件，纸质投标保函原件应当于投标截止时间前在开标现场递交招标人保管。</w:t>
            </w:r>
          </w:p>
          <w:p>
            <w:pPr>
              <w:snapToGrid w:val="0"/>
              <w:spacing w:line="400" w:lineRule="exact"/>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若投标截止时间延期，则纸质投标保函递交的截止时间和投标截止时间保持一致。</w:t>
            </w:r>
          </w:p>
          <w:p>
            <w:pPr>
              <w:snapToGrid w:val="0"/>
              <w:spacing w:line="400" w:lineRule="exact"/>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kern w:val="0"/>
                <w:szCs w:val="21"/>
                <w:highlight w:val="none"/>
              </w:rPr>
              <w:t>不满足上述要求的纸质投标保函无效。</w:t>
            </w:r>
          </w:p>
          <w:p>
            <w:pPr>
              <w:snapToGrid w:val="0"/>
              <w:spacing w:line="400" w:lineRule="exact"/>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kern w:val="0"/>
                <w:szCs w:val="21"/>
                <w:highlight w:val="none"/>
              </w:rPr>
              <w:t xml:space="preserve">2. </w:t>
            </w:r>
            <w:r>
              <w:rPr>
                <w:rFonts w:hint="eastAsia" w:ascii="新宋体" w:hAnsi="新宋体" w:eastAsia="新宋体" w:cs="新宋体"/>
                <w:color w:val="auto"/>
                <w:highlight w:val="none"/>
              </w:rPr>
              <w:t>以纸质投标保函形式担保的投标保证金的金额</w:t>
            </w:r>
            <w:r>
              <w:rPr>
                <w:rFonts w:hint="eastAsia" w:ascii="新宋体" w:hAnsi="新宋体" w:eastAsia="新宋体" w:cs="新宋体"/>
                <w:color w:val="auto"/>
                <w:kern w:val="0"/>
                <w:szCs w:val="21"/>
                <w:highlight w:val="none"/>
              </w:rPr>
              <w:t>：</w:t>
            </w:r>
            <w:r>
              <w:rPr>
                <w:rFonts w:hint="eastAsia" w:ascii="新宋体" w:hAnsi="新宋体" w:eastAsia="新宋体" w:cs="新宋体"/>
                <w:color w:val="auto"/>
                <w:kern w:val="0"/>
                <w:szCs w:val="21"/>
                <w:highlight w:val="none"/>
                <w:u w:val="single"/>
              </w:rPr>
              <w:t xml:space="preserve"> </w:t>
            </w:r>
            <w:r>
              <w:rPr>
                <w:rFonts w:hint="eastAsia" w:ascii="新宋体" w:hAnsi="新宋体" w:eastAsia="新宋体" w:cs="新宋体"/>
                <w:color w:val="auto"/>
                <w:kern w:val="0"/>
                <w:szCs w:val="21"/>
                <w:highlight w:val="none"/>
                <w:u w:val="single"/>
                <w:lang w:val="en-US" w:eastAsia="zh-CN"/>
              </w:rPr>
              <w:t>5</w:t>
            </w:r>
            <w:r>
              <w:rPr>
                <w:rFonts w:hint="eastAsia" w:ascii="新宋体" w:hAnsi="新宋体" w:eastAsia="新宋体" w:cs="新宋体"/>
                <w:color w:val="auto"/>
                <w:kern w:val="0"/>
                <w:szCs w:val="21"/>
                <w:highlight w:val="none"/>
                <w:u w:val="single"/>
              </w:rPr>
              <w:t xml:space="preserve"> </w:t>
            </w:r>
            <w:r>
              <w:rPr>
                <w:rFonts w:hint="eastAsia" w:ascii="新宋体" w:hAnsi="新宋体" w:eastAsia="新宋体" w:cs="新宋体"/>
                <w:color w:val="auto"/>
                <w:kern w:val="0"/>
                <w:szCs w:val="21"/>
                <w:highlight w:val="none"/>
              </w:rPr>
              <w:t>万元整（人民币），红名单</w:t>
            </w:r>
            <w:r>
              <w:rPr>
                <w:rFonts w:hint="eastAsia" w:ascii="新宋体" w:hAnsi="新宋体" w:eastAsia="新宋体" w:cs="新宋体"/>
                <w:color w:val="auto"/>
                <w:highlight w:val="none"/>
              </w:rPr>
              <w:t>中的投标人投标保证金金额为应缴纳金额的50%。投标人是否属于红名单，以开标环节信用状况查询结果为准。</w:t>
            </w:r>
          </w:p>
          <w:p>
            <w:pPr>
              <w:snapToGrid w:val="0"/>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3. 投标人须</w:t>
            </w:r>
            <w:r>
              <w:rPr>
                <w:rFonts w:hint="eastAsia" w:ascii="新宋体" w:hAnsi="新宋体" w:eastAsia="新宋体" w:cs="新宋体"/>
                <w:color w:val="auto"/>
                <w:highlight w:val="none"/>
              </w:rPr>
              <w:t>在</w:t>
            </w:r>
            <w:r>
              <w:rPr>
                <w:rFonts w:hint="eastAsia" w:ascii="新宋体" w:hAnsi="新宋体" w:eastAsia="新宋体" w:cs="新宋体"/>
                <w:color w:val="auto"/>
                <w:kern w:val="0"/>
                <w:szCs w:val="21"/>
                <w:highlight w:val="none"/>
              </w:rPr>
              <w:t>纸质投标保函</w:t>
            </w:r>
            <w:r>
              <w:rPr>
                <w:rFonts w:hint="eastAsia" w:ascii="新宋体" w:hAnsi="新宋体" w:eastAsia="新宋体" w:cs="新宋体"/>
                <w:color w:val="auto"/>
                <w:kern w:val="0"/>
                <w:szCs w:val="21"/>
                <w:highlight w:val="none"/>
                <w:lang w:val="en-US" w:eastAsia="zh-CN"/>
              </w:rPr>
              <w:t>中注明</w:t>
            </w:r>
            <w:r>
              <w:rPr>
                <w:rFonts w:hint="eastAsia" w:ascii="新宋体" w:hAnsi="新宋体" w:eastAsia="新宋体" w:cs="新宋体"/>
                <w:color w:val="auto"/>
                <w:kern w:val="0"/>
                <w:szCs w:val="21"/>
                <w:highlight w:val="none"/>
              </w:rPr>
              <w:t>在重庆市辖区范围内的核验</w:t>
            </w:r>
            <w:r>
              <w:rPr>
                <w:rFonts w:hint="eastAsia" w:ascii="新宋体" w:hAnsi="新宋体" w:eastAsia="新宋体" w:cs="新宋体"/>
                <w:color w:val="auto"/>
                <w:kern w:val="0"/>
                <w:szCs w:val="21"/>
                <w:highlight w:val="none"/>
                <w:lang w:val="en-US" w:eastAsia="zh-CN"/>
              </w:rPr>
              <w:t>地址和核验方式，并</w:t>
            </w:r>
            <w:r>
              <w:rPr>
                <w:rFonts w:hint="eastAsia" w:ascii="新宋体" w:hAnsi="新宋体" w:eastAsia="新宋体" w:cs="新宋体"/>
                <w:color w:val="auto"/>
                <w:kern w:val="0"/>
                <w:szCs w:val="21"/>
                <w:highlight w:val="none"/>
              </w:rPr>
              <w:t>确保其递交的纸质投标保函能在</w:t>
            </w:r>
            <w:r>
              <w:rPr>
                <w:rFonts w:hint="eastAsia" w:ascii="新宋体" w:hAnsi="新宋体" w:eastAsia="新宋体" w:cs="新宋体"/>
                <w:color w:val="auto"/>
                <w:kern w:val="0"/>
                <w:szCs w:val="21"/>
                <w:highlight w:val="none"/>
                <w:lang w:val="en-US" w:eastAsia="zh-CN"/>
              </w:rPr>
              <w:t>开立人在渝的总部或者分支机构进行</w:t>
            </w:r>
            <w:r>
              <w:rPr>
                <w:rFonts w:hint="eastAsia" w:ascii="新宋体" w:hAnsi="新宋体" w:eastAsia="新宋体" w:cs="新宋体"/>
                <w:color w:val="auto"/>
                <w:kern w:val="0"/>
                <w:szCs w:val="21"/>
                <w:highlight w:val="none"/>
              </w:rPr>
              <w:t>核验。</w:t>
            </w:r>
          </w:p>
          <w:p>
            <w:pPr>
              <w:snapToGrid w:val="0"/>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4. 投标人在开标现场递交的纸质投标保函原件应与投标文件中提供的纸质投标保函扫描件一致，否则由评标委员会作否决投标处理。</w:t>
            </w:r>
          </w:p>
          <w:p>
            <w:pPr>
              <w:snapToGrid w:val="0"/>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5. 在发出中标通知书前，招标人应当对投标人（至少中标候选人或中标人）</w:t>
            </w:r>
            <w:r>
              <w:rPr>
                <w:rFonts w:hint="eastAsia" w:ascii="新宋体" w:hAnsi="新宋体" w:eastAsia="新宋体" w:cs="新宋体"/>
                <w:color w:val="auto"/>
                <w:kern w:val="0"/>
                <w:szCs w:val="21"/>
                <w:highlight w:val="none"/>
                <w:lang w:val="en-US" w:eastAsia="zh-CN"/>
              </w:rPr>
              <w:t>递交</w:t>
            </w:r>
            <w:r>
              <w:rPr>
                <w:rFonts w:hint="eastAsia" w:ascii="新宋体" w:hAnsi="新宋体" w:eastAsia="新宋体" w:cs="新宋体"/>
                <w:color w:val="auto"/>
                <w:kern w:val="0"/>
                <w:szCs w:val="21"/>
                <w:highlight w:val="none"/>
              </w:rPr>
              <w:t>的纸质投标保函</w:t>
            </w:r>
            <w:r>
              <w:rPr>
                <w:rFonts w:hint="eastAsia" w:ascii="新宋体" w:hAnsi="新宋体" w:eastAsia="新宋体" w:cs="新宋体"/>
                <w:color w:val="auto"/>
                <w:kern w:val="0"/>
                <w:szCs w:val="21"/>
                <w:highlight w:val="none"/>
                <w:lang w:val="en-US" w:eastAsia="zh-CN"/>
              </w:rPr>
              <w:t>的真实性、合法性、有效性进行核验，对核验不合格或无法按纸质投标保函注明的核验地点、核验方式进行核验的，视为投标人未提交纸质投标保函</w:t>
            </w:r>
            <w:r>
              <w:rPr>
                <w:rFonts w:hint="eastAsia" w:ascii="新宋体" w:hAnsi="新宋体" w:eastAsia="新宋体" w:cs="新宋体"/>
                <w:color w:val="auto"/>
                <w:kern w:val="0"/>
                <w:szCs w:val="21"/>
                <w:highlight w:val="none"/>
              </w:rPr>
              <w:t>，对</w:t>
            </w:r>
            <w:r>
              <w:rPr>
                <w:rFonts w:hint="eastAsia" w:ascii="新宋体" w:hAnsi="新宋体" w:eastAsia="新宋体" w:cs="新宋体"/>
                <w:color w:val="auto"/>
                <w:szCs w:val="21"/>
                <w:highlight w:val="none"/>
              </w:rPr>
              <w:t>已取得中标候选人资格或中标资格的投标人，</w:t>
            </w:r>
            <w:r>
              <w:rPr>
                <w:rFonts w:hint="eastAsia" w:ascii="新宋体" w:hAnsi="新宋体" w:eastAsia="新宋体" w:cs="新宋体"/>
                <w:color w:val="auto"/>
                <w:szCs w:val="21"/>
                <w:highlight w:val="none"/>
                <w:lang w:val="en-US" w:eastAsia="zh-CN"/>
              </w:rPr>
              <w:t>按相关规定</w:t>
            </w:r>
            <w:r>
              <w:rPr>
                <w:rFonts w:hint="eastAsia" w:ascii="新宋体" w:hAnsi="新宋体" w:eastAsia="新宋体" w:cs="新宋体"/>
                <w:color w:val="auto"/>
                <w:szCs w:val="21"/>
                <w:highlight w:val="none"/>
              </w:rPr>
              <w:t>取消中标候选人资格或中标资格</w:t>
            </w:r>
            <w:r>
              <w:rPr>
                <w:rFonts w:hint="eastAsia" w:ascii="新宋体" w:hAnsi="新宋体" w:eastAsia="新宋体" w:cs="新宋体"/>
                <w:color w:val="auto"/>
                <w:kern w:val="0"/>
                <w:szCs w:val="21"/>
                <w:highlight w:val="none"/>
              </w:rPr>
              <w:t>，</w:t>
            </w:r>
            <w:r>
              <w:rPr>
                <w:rFonts w:hint="eastAsia" w:ascii="新宋体" w:hAnsi="新宋体" w:eastAsia="新宋体" w:cs="新宋体"/>
                <w:color w:val="auto"/>
                <w:szCs w:val="21"/>
                <w:highlight w:val="none"/>
              </w:rPr>
              <w:t>给招标人造成损失的，投标人依法承担赔偿责任。</w:t>
            </w:r>
            <w:r>
              <w:rPr>
                <w:rFonts w:hint="eastAsia" w:ascii="新宋体" w:hAnsi="新宋体" w:eastAsia="新宋体" w:cs="新宋体"/>
                <w:color w:val="auto"/>
                <w:kern w:val="0"/>
                <w:szCs w:val="21"/>
                <w:highlight w:val="none"/>
                <w:lang w:val="en-US" w:eastAsia="zh-CN"/>
              </w:rPr>
              <w:t>投标人提交的纸质投标</w:t>
            </w:r>
            <w:r>
              <w:rPr>
                <w:rFonts w:hint="eastAsia" w:ascii="新宋体" w:hAnsi="新宋体" w:eastAsia="新宋体" w:cs="新宋体"/>
                <w:color w:val="auto"/>
                <w:szCs w:val="21"/>
                <w:highlight w:val="none"/>
              </w:rPr>
              <w:t>保函涉及弄虚作假或其他违法违规</w:t>
            </w:r>
            <w:r>
              <w:rPr>
                <w:rFonts w:hint="eastAsia" w:ascii="新宋体" w:hAnsi="新宋体" w:eastAsia="新宋体" w:cs="新宋体"/>
                <w:color w:val="auto"/>
                <w:szCs w:val="21"/>
                <w:highlight w:val="none"/>
                <w:lang w:val="en-US" w:eastAsia="zh-CN"/>
              </w:rPr>
              <w:t>情形</w:t>
            </w:r>
            <w:r>
              <w:rPr>
                <w:rFonts w:hint="eastAsia" w:ascii="新宋体" w:hAnsi="新宋体" w:eastAsia="新宋体" w:cs="新宋体"/>
                <w:color w:val="auto"/>
                <w:szCs w:val="21"/>
                <w:highlight w:val="none"/>
              </w:rPr>
              <w:t>的，移送相关部门处理</w:t>
            </w:r>
            <w:r>
              <w:rPr>
                <w:rFonts w:hint="eastAsia" w:ascii="新宋体" w:hAnsi="新宋体" w:eastAsia="新宋体" w:cs="新宋体"/>
                <w:color w:val="auto"/>
                <w:kern w:val="0"/>
                <w:szCs w:val="21"/>
                <w:highlight w:val="none"/>
              </w:rPr>
              <w:t>。</w:t>
            </w:r>
          </w:p>
          <w:p>
            <w:pPr>
              <w:snapToGrid w:val="0"/>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二、纸质投标保函的退还、注销</w:t>
            </w:r>
          </w:p>
          <w:p>
            <w:pPr>
              <w:snapToGrid w:val="0"/>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招标人应当在法定时间内确定中标人，向中标人发出中标通知书，同时向除中标候选人以外的其他投标人退还纸质投标保函并书面通知相关</w:t>
            </w:r>
            <w:r>
              <w:rPr>
                <w:rFonts w:hint="eastAsia" w:ascii="新宋体" w:hAnsi="新宋体" w:eastAsia="新宋体" w:cs="新宋体"/>
                <w:color w:val="auto"/>
                <w:kern w:val="0"/>
                <w:szCs w:val="21"/>
                <w:highlight w:val="none"/>
                <w:lang w:val="en-US" w:eastAsia="zh-CN"/>
              </w:rPr>
              <w:t>金融机构</w:t>
            </w:r>
            <w:r>
              <w:rPr>
                <w:rFonts w:hint="eastAsia" w:ascii="新宋体" w:hAnsi="新宋体" w:eastAsia="新宋体" w:cs="新宋体"/>
                <w:color w:val="auto"/>
                <w:kern w:val="0"/>
                <w:szCs w:val="21"/>
                <w:highlight w:val="none"/>
              </w:rPr>
              <w:t>本项目准予提前注销纸质投标保函。具体注销事宜由投标人与</w:t>
            </w:r>
            <w:r>
              <w:rPr>
                <w:rFonts w:hint="eastAsia" w:ascii="新宋体" w:hAnsi="新宋体" w:eastAsia="新宋体" w:cs="新宋体"/>
                <w:color w:val="auto"/>
                <w:kern w:val="0"/>
                <w:szCs w:val="21"/>
                <w:highlight w:val="none"/>
                <w:lang w:val="en-US" w:eastAsia="zh-CN"/>
              </w:rPr>
              <w:t>金融机构</w:t>
            </w:r>
            <w:r>
              <w:rPr>
                <w:rFonts w:hint="eastAsia" w:ascii="新宋体" w:hAnsi="新宋体" w:eastAsia="新宋体" w:cs="新宋体"/>
                <w:color w:val="auto"/>
                <w:kern w:val="0"/>
                <w:szCs w:val="21"/>
                <w:highlight w:val="none"/>
              </w:rPr>
              <w:t>协商。</w:t>
            </w:r>
          </w:p>
          <w:p>
            <w:pPr>
              <w:snapToGrid w:val="0"/>
              <w:spacing w:line="400" w:lineRule="exact"/>
              <w:ind w:firstLine="420" w:firstLineChars="200"/>
              <w:jc w:val="left"/>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招标人应在法定时间内和中标人签订合同，并同时书面通知相关</w:t>
            </w:r>
            <w:r>
              <w:rPr>
                <w:rFonts w:hint="eastAsia" w:ascii="新宋体" w:hAnsi="新宋体" w:eastAsia="新宋体" w:cs="新宋体"/>
                <w:color w:val="auto"/>
                <w:kern w:val="0"/>
                <w:szCs w:val="21"/>
                <w:highlight w:val="none"/>
                <w:lang w:val="en-US" w:eastAsia="zh-CN"/>
              </w:rPr>
              <w:t>金融机构</w:t>
            </w:r>
            <w:r>
              <w:rPr>
                <w:rFonts w:hint="eastAsia" w:ascii="新宋体" w:hAnsi="新宋体" w:eastAsia="新宋体" w:cs="新宋体"/>
                <w:color w:val="auto"/>
                <w:kern w:val="0"/>
                <w:szCs w:val="21"/>
                <w:highlight w:val="none"/>
              </w:rPr>
              <w:t>向中标人和其他中标候选人注销纸质投标保函。具体注销事宜由投标人与</w:t>
            </w:r>
            <w:r>
              <w:rPr>
                <w:rFonts w:hint="eastAsia" w:ascii="新宋体" w:hAnsi="新宋体" w:eastAsia="新宋体" w:cs="新宋体"/>
                <w:color w:val="auto"/>
                <w:kern w:val="0"/>
                <w:szCs w:val="21"/>
                <w:highlight w:val="none"/>
                <w:lang w:val="en-US" w:eastAsia="zh-CN"/>
              </w:rPr>
              <w:t>金融机构</w:t>
            </w:r>
            <w:r>
              <w:rPr>
                <w:rFonts w:hint="eastAsia" w:ascii="新宋体" w:hAnsi="新宋体" w:eastAsia="新宋体" w:cs="新宋体"/>
                <w:color w:val="auto"/>
                <w:kern w:val="0"/>
                <w:szCs w:val="21"/>
                <w:highlight w:val="none"/>
              </w:rPr>
              <w:t>协商。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3.6</w:t>
            </w:r>
          </w:p>
        </w:tc>
        <w:tc>
          <w:tcPr>
            <w:tcW w:w="1644"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是否允许递交</w:t>
            </w:r>
          </w:p>
          <w:p>
            <w:pPr>
              <w:snapToGrid w:val="0"/>
              <w:spacing w:after="93" w:afterLines="30"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备选投标方案</w:t>
            </w:r>
          </w:p>
        </w:tc>
        <w:tc>
          <w:tcPr>
            <w:tcW w:w="6490" w:type="dxa"/>
            <w:vAlign w:val="center"/>
          </w:tcPr>
          <w:p>
            <w:pPr>
              <w:snapToGrid w:val="0"/>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3.7.1</w:t>
            </w:r>
          </w:p>
        </w:tc>
        <w:tc>
          <w:tcPr>
            <w:tcW w:w="1644" w:type="dxa"/>
            <w:vAlign w:val="center"/>
          </w:tcPr>
          <w:p>
            <w:pPr>
              <w:snapToGrid w:val="0"/>
              <w:spacing w:after="93" w:afterLines="30"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投标文件格式要求</w:t>
            </w:r>
          </w:p>
        </w:tc>
        <w:tc>
          <w:tcPr>
            <w:tcW w:w="6490" w:type="dxa"/>
            <w:vAlign w:val="center"/>
          </w:tcPr>
          <w:p>
            <w:pPr>
              <w:snapToGrid w:val="0"/>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编制投标文件时不得对第</w:t>
            </w:r>
            <w:r>
              <w:rPr>
                <w:rFonts w:hint="eastAsia" w:ascii="新宋体" w:hAnsi="新宋体" w:eastAsia="新宋体" w:cs="新宋体"/>
                <w:color w:val="auto"/>
                <w:kern w:val="0"/>
                <w:szCs w:val="21"/>
                <w:highlight w:val="none"/>
                <w:lang w:val="en-US" w:eastAsia="zh-CN"/>
              </w:rPr>
              <w:t>六</w:t>
            </w:r>
            <w:r>
              <w:rPr>
                <w:rFonts w:hint="eastAsia" w:ascii="新宋体" w:hAnsi="新宋体" w:eastAsia="新宋体" w:cs="新宋体"/>
                <w:color w:val="auto"/>
                <w:kern w:val="0"/>
                <w:szCs w:val="21"/>
                <w:highlight w:val="none"/>
              </w:rPr>
              <w:t>章“投标文件格式”的相应要素作实质性修改，否则视为重大偏差，由评标委员会作否决投标处理。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3.7.3</w:t>
            </w:r>
          </w:p>
        </w:tc>
        <w:tc>
          <w:tcPr>
            <w:tcW w:w="1644"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签名盖章要求</w:t>
            </w:r>
          </w:p>
        </w:tc>
        <w:tc>
          <w:tcPr>
            <w:tcW w:w="6490" w:type="dxa"/>
            <w:vAlign w:val="center"/>
          </w:tcPr>
          <w:p>
            <w:pPr>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投标文件应使用专用的“新点投标文件制作软件（重庆版）”编制而成。第</w:t>
            </w:r>
            <w:r>
              <w:rPr>
                <w:rFonts w:hint="eastAsia" w:ascii="新宋体" w:hAnsi="新宋体" w:eastAsia="新宋体" w:cs="新宋体"/>
                <w:color w:val="auto"/>
                <w:szCs w:val="21"/>
                <w:highlight w:val="none"/>
                <w:lang w:val="en-US" w:eastAsia="zh-CN"/>
              </w:rPr>
              <w:t>六</w:t>
            </w:r>
            <w:r>
              <w:rPr>
                <w:rFonts w:hint="eastAsia" w:ascii="新宋体" w:hAnsi="新宋体" w:eastAsia="新宋体" w:cs="新宋体"/>
                <w:color w:val="auto"/>
                <w:szCs w:val="21"/>
                <w:highlight w:val="none"/>
              </w:rPr>
              <w:t>章 投标文件格式要求法定代表人或其委托代理人</w:t>
            </w:r>
            <w:r>
              <w:rPr>
                <w:rFonts w:hint="eastAsia" w:ascii="新宋体" w:hAnsi="新宋体" w:eastAsia="新宋体" w:cs="新宋体"/>
                <w:color w:val="auto"/>
                <w:kern w:val="0"/>
                <w:szCs w:val="21"/>
                <w:highlight w:val="none"/>
              </w:rPr>
              <w:t>签名</w:t>
            </w:r>
            <w:r>
              <w:rPr>
                <w:rFonts w:hint="eastAsia" w:ascii="新宋体" w:hAnsi="新宋体" w:eastAsia="新宋体" w:cs="新宋体"/>
                <w:color w:val="auto"/>
                <w:szCs w:val="21"/>
                <w:highlight w:val="none"/>
              </w:rPr>
              <w:t>（或盖章）的须齐全，</w:t>
            </w:r>
            <w:r>
              <w:rPr>
                <w:rFonts w:hint="eastAsia" w:ascii="新宋体" w:hAnsi="新宋体" w:eastAsia="新宋体" w:cs="新宋体"/>
                <w:color w:val="auto"/>
                <w:szCs w:val="21"/>
                <w:highlight w:val="none"/>
                <w:lang w:val="en-US" w:eastAsia="zh-CN"/>
              </w:rPr>
              <w:t>要求签名的，</w:t>
            </w:r>
            <w:r>
              <w:rPr>
                <w:rFonts w:hint="eastAsia" w:ascii="新宋体" w:hAnsi="新宋体" w:eastAsia="新宋体" w:cs="新宋体"/>
                <w:color w:val="auto"/>
                <w:szCs w:val="21"/>
                <w:highlight w:val="none"/>
              </w:rPr>
              <w:t>签名采用手写签名</w:t>
            </w:r>
            <w:r>
              <w:rPr>
                <w:rFonts w:hint="eastAsia" w:ascii="新宋体" w:hAnsi="新宋体" w:eastAsia="新宋体" w:cs="新宋体"/>
                <w:color w:val="auto"/>
                <w:szCs w:val="21"/>
                <w:highlight w:val="none"/>
                <w:lang w:val="en-US" w:eastAsia="zh-CN"/>
              </w:rPr>
              <w:t>或签章</w:t>
            </w:r>
            <w:r>
              <w:rPr>
                <w:rFonts w:hint="eastAsia" w:ascii="新宋体" w:hAnsi="新宋体" w:eastAsia="新宋体" w:cs="新宋体"/>
                <w:color w:val="auto"/>
                <w:szCs w:val="21"/>
                <w:highlight w:val="none"/>
              </w:rPr>
              <w:t>或加盖CA数字证书均可</w:t>
            </w:r>
            <w:r>
              <w:rPr>
                <w:rFonts w:hint="eastAsia" w:ascii="新宋体" w:hAnsi="新宋体" w:eastAsia="新宋体" w:cs="新宋体"/>
                <w:color w:val="auto"/>
                <w:szCs w:val="21"/>
                <w:highlight w:val="none"/>
                <w:lang w:eastAsia="zh-CN"/>
              </w:rPr>
              <w:t>，</w:t>
            </w:r>
            <w:r>
              <w:rPr>
                <w:rFonts w:hint="eastAsia" w:ascii="新宋体" w:hAnsi="新宋体" w:eastAsia="新宋体" w:cs="新宋体"/>
                <w:color w:val="auto"/>
                <w:szCs w:val="21"/>
                <w:highlight w:val="none"/>
              </w:rPr>
              <w:t>要求加盖单位法人章的，应使用 CA 数字证书加盖投标人的单位电子印章。</w:t>
            </w:r>
          </w:p>
          <w:p>
            <w:pPr>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3.7.4</w:t>
            </w:r>
          </w:p>
        </w:tc>
        <w:tc>
          <w:tcPr>
            <w:tcW w:w="1644" w:type="dxa"/>
            <w:vAlign w:val="center"/>
          </w:tcPr>
          <w:p>
            <w:pPr>
              <w:snapToGrid w:val="0"/>
              <w:spacing w:line="400" w:lineRule="exact"/>
              <w:rPr>
                <w:rFonts w:hint="eastAsia" w:ascii="新宋体" w:hAnsi="新宋体" w:eastAsia="新宋体" w:cs="新宋体"/>
                <w:color w:val="auto"/>
                <w:spacing w:val="-6"/>
                <w:kern w:val="0"/>
                <w:szCs w:val="21"/>
                <w:highlight w:val="none"/>
              </w:rPr>
            </w:pPr>
            <w:r>
              <w:rPr>
                <w:rFonts w:hint="eastAsia" w:ascii="新宋体" w:hAnsi="新宋体" w:eastAsia="新宋体" w:cs="新宋体"/>
                <w:color w:val="auto"/>
                <w:spacing w:val="-6"/>
                <w:kern w:val="0"/>
                <w:szCs w:val="21"/>
                <w:highlight w:val="none"/>
              </w:rPr>
              <w:t>投标文件的份数</w:t>
            </w:r>
          </w:p>
        </w:tc>
        <w:tc>
          <w:tcPr>
            <w:tcW w:w="6490" w:type="dxa"/>
            <w:vAlign w:val="center"/>
          </w:tcPr>
          <w:p>
            <w:pPr>
              <w:autoSpaceDE w:val="0"/>
              <w:autoSpaceDN w:val="0"/>
              <w:adjustRightInd w:val="0"/>
              <w:snapToGrid w:val="0"/>
              <w:spacing w:after="93" w:afterLines="30" w:line="400" w:lineRule="exact"/>
              <w:ind w:firstLine="420" w:firstLineChars="200"/>
              <w:rPr>
                <w:rFonts w:hint="eastAsia" w:ascii="新宋体" w:hAnsi="新宋体" w:eastAsia="新宋体" w:cs="新宋体"/>
                <w:i/>
                <w:color w:val="auto"/>
                <w:kern w:val="0"/>
                <w:szCs w:val="21"/>
                <w:highlight w:val="none"/>
              </w:rPr>
            </w:pPr>
            <w:r>
              <w:rPr>
                <w:rFonts w:hint="eastAsia" w:ascii="新宋体" w:hAnsi="新宋体" w:eastAsia="新宋体" w:cs="新宋体"/>
                <w:color w:val="auto"/>
                <w:kern w:val="0"/>
                <w:szCs w:val="21"/>
                <w:highlight w:val="none"/>
              </w:rPr>
              <w:t>本工程采用全流程电子招标投标，投标人提供的投标文件为：加密电子投标文件（网上递交）一份。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3.7.5</w:t>
            </w:r>
          </w:p>
        </w:tc>
        <w:tc>
          <w:tcPr>
            <w:tcW w:w="1644"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编制要求</w:t>
            </w:r>
          </w:p>
        </w:tc>
        <w:tc>
          <w:tcPr>
            <w:tcW w:w="6490" w:type="dxa"/>
            <w:vAlign w:val="center"/>
          </w:tcPr>
          <w:p>
            <w:pPr>
              <w:adjustRightInd w:val="0"/>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具体要求：</w:t>
            </w:r>
          </w:p>
          <w:p>
            <w:pPr>
              <w:adjustRightInd w:val="0"/>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（1）投标函部分</w:t>
            </w:r>
          </w:p>
          <w:p>
            <w:pPr>
              <w:adjustRightInd w:val="0"/>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应按照第</w:t>
            </w:r>
            <w:r>
              <w:rPr>
                <w:rFonts w:hint="eastAsia" w:ascii="新宋体" w:hAnsi="新宋体" w:eastAsia="新宋体" w:cs="新宋体"/>
                <w:color w:val="auto"/>
                <w:szCs w:val="21"/>
                <w:highlight w:val="none"/>
                <w:lang w:val="en-US" w:eastAsia="zh-CN"/>
              </w:rPr>
              <w:t>六</w:t>
            </w:r>
            <w:r>
              <w:rPr>
                <w:rFonts w:hint="eastAsia" w:ascii="新宋体" w:hAnsi="新宋体" w:eastAsia="新宋体" w:cs="新宋体"/>
                <w:color w:val="auto"/>
                <w:szCs w:val="21"/>
                <w:highlight w:val="none"/>
              </w:rPr>
              <w:t>章规定格式排版，</w:t>
            </w:r>
            <w:r>
              <w:rPr>
                <w:rFonts w:hint="eastAsia" w:ascii="新宋体" w:hAnsi="新宋体" w:eastAsia="新宋体" w:cs="新宋体"/>
                <w:color w:val="auto"/>
                <w:szCs w:val="21"/>
                <w:highlight w:val="none"/>
                <w:lang w:val="en-US" w:eastAsia="zh-CN"/>
              </w:rPr>
              <w:t>原则上</w:t>
            </w:r>
            <w:r>
              <w:rPr>
                <w:rFonts w:hint="eastAsia" w:ascii="新宋体" w:hAnsi="新宋体" w:eastAsia="新宋体" w:cs="新宋体"/>
                <w:color w:val="auto"/>
                <w:szCs w:val="21"/>
                <w:highlight w:val="none"/>
              </w:rPr>
              <w:t>应编制目录，但不得将目录编制作为评审因素。</w:t>
            </w:r>
          </w:p>
          <w:p>
            <w:pPr>
              <w:adjustRightInd w:val="0"/>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（2）经济部分</w:t>
            </w:r>
          </w:p>
          <w:p>
            <w:pPr>
              <w:adjustRightInd w:val="0"/>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应按照第</w:t>
            </w:r>
            <w:r>
              <w:rPr>
                <w:rFonts w:hint="eastAsia" w:ascii="新宋体" w:hAnsi="新宋体" w:eastAsia="新宋体" w:cs="新宋体"/>
                <w:color w:val="auto"/>
                <w:szCs w:val="21"/>
                <w:highlight w:val="none"/>
                <w:lang w:val="en-US" w:eastAsia="zh-CN"/>
              </w:rPr>
              <w:t>六</w:t>
            </w:r>
            <w:r>
              <w:rPr>
                <w:rFonts w:hint="eastAsia" w:ascii="新宋体" w:hAnsi="新宋体" w:eastAsia="新宋体" w:cs="新宋体"/>
                <w:color w:val="auto"/>
                <w:szCs w:val="21"/>
                <w:highlight w:val="none"/>
              </w:rPr>
              <w:t>章规定格式排版，</w:t>
            </w:r>
            <w:r>
              <w:rPr>
                <w:rFonts w:hint="eastAsia" w:ascii="新宋体" w:hAnsi="新宋体" w:eastAsia="新宋体" w:cs="新宋体"/>
                <w:color w:val="auto"/>
                <w:szCs w:val="21"/>
                <w:highlight w:val="none"/>
                <w:lang w:val="en-US" w:eastAsia="zh-CN"/>
              </w:rPr>
              <w:t>原则上</w:t>
            </w:r>
            <w:r>
              <w:rPr>
                <w:rFonts w:hint="eastAsia" w:ascii="新宋体" w:hAnsi="新宋体" w:eastAsia="新宋体" w:cs="新宋体"/>
                <w:color w:val="auto"/>
                <w:szCs w:val="21"/>
                <w:highlight w:val="none"/>
              </w:rPr>
              <w:t>应编制目录，但不得将目录编制作为评审因素。</w:t>
            </w:r>
          </w:p>
          <w:p>
            <w:pPr>
              <w:adjustRightInd w:val="0"/>
              <w:snapToGrid w:val="0"/>
              <w:spacing w:line="400" w:lineRule="exact"/>
              <w:ind w:firstLine="420" w:firstLineChars="200"/>
              <w:rPr>
                <w:rFonts w:hint="eastAsia" w:ascii="新宋体" w:hAnsi="新宋体" w:eastAsia="新宋体" w:cs="新宋体"/>
                <w:color w:val="auto"/>
                <w:szCs w:val="21"/>
                <w:highlight w:val="none"/>
                <w:lang w:eastAsia="zh-CN"/>
              </w:rPr>
            </w:pPr>
            <w:r>
              <w:rPr>
                <w:rFonts w:hint="eastAsia" w:ascii="新宋体" w:hAnsi="新宋体" w:eastAsia="新宋体" w:cs="新宋体"/>
                <w:color w:val="auto"/>
                <w:szCs w:val="21"/>
                <w:highlight w:val="none"/>
              </w:rPr>
              <w:t>（3）技术部分</w:t>
            </w:r>
            <w:r>
              <w:rPr>
                <w:rFonts w:hint="eastAsia" w:ascii="新宋体" w:hAnsi="新宋体" w:eastAsia="新宋体" w:cs="新宋体"/>
                <w:color w:val="auto"/>
                <w:szCs w:val="21"/>
                <w:highlight w:val="none"/>
                <w:lang w:eastAsia="zh-CN"/>
              </w:rPr>
              <w:t>（</w:t>
            </w:r>
            <w:r>
              <w:rPr>
                <w:rFonts w:hint="eastAsia" w:ascii="新宋体" w:hAnsi="新宋体" w:eastAsia="新宋体" w:cs="新宋体"/>
                <w:color w:val="auto"/>
                <w:szCs w:val="21"/>
                <w:highlight w:val="none"/>
                <w:lang w:val="en-US" w:eastAsia="zh-CN"/>
              </w:rPr>
              <w:t>明标评审</w:t>
            </w:r>
            <w:r>
              <w:rPr>
                <w:rFonts w:hint="eastAsia" w:ascii="新宋体" w:hAnsi="新宋体" w:eastAsia="新宋体" w:cs="新宋体"/>
                <w:color w:val="auto"/>
                <w:szCs w:val="21"/>
                <w:highlight w:val="none"/>
                <w:lang w:eastAsia="zh-CN"/>
              </w:rPr>
              <w:t>）</w:t>
            </w:r>
          </w:p>
          <w:p>
            <w:pPr>
              <w:adjustRightInd w:val="0"/>
              <w:snapToGrid w:val="0"/>
              <w:spacing w:line="400" w:lineRule="exact"/>
              <w:ind w:firstLine="420" w:firstLineChars="200"/>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rPr>
              <w:t>电子投标文件技术明标不设封面，应按照第</w:t>
            </w:r>
            <w:r>
              <w:rPr>
                <w:rFonts w:hint="eastAsia" w:ascii="新宋体" w:hAnsi="新宋体" w:eastAsia="新宋体" w:cs="新宋体"/>
                <w:color w:val="auto"/>
                <w:szCs w:val="21"/>
                <w:highlight w:val="none"/>
                <w:lang w:val="en-US" w:eastAsia="zh-CN"/>
              </w:rPr>
              <w:t>六</w:t>
            </w:r>
            <w:r>
              <w:rPr>
                <w:rFonts w:hint="eastAsia" w:ascii="新宋体" w:hAnsi="新宋体" w:eastAsia="新宋体" w:cs="新宋体"/>
                <w:color w:val="auto"/>
                <w:szCs w:val="21"/>
                <w:highlight w:val="none"/>
              </w:rPr>
              <w:t>章规定格式排版，</w:t>
            </w:r>
            <w:r>
              <w:rPr>
                <w:rFonts w:hint="eastAsia" w:ascii="新宋体" w:hAnsi="新宋体" w:eastAsia="新宋体" w:cs="新宋体"/>
                <w:color w:val="auto"/>
                <w:szCs w:val="21"/>
                <w:highlight w:val="none"/>
                <w:lang w:val="en-US" w:eastAsia="zh-CN"/>
              </w:rPr>
              <w:t>原则上</w:t>
            </w:r>
            <w:r>
              <w:rPr>
                <w:rFonts w:hint="eastAsia" w:ascii="新宋体" w:hAnsi="新宋体" w:eastAsia="新宋体" w:cs="新宋体"/>
                <w:color w:val="auto"/>
                <w:szCs w:val="21"/>
                <w:highlight w:val="none"/>
              </w:rPr>
              <w:t>应编制目录，但不得将</w:t>
            </w:r>
            <w:r>
              <w:rPr>
                <w:rFonts w:hint="eastAsia" w:ascii="新宋体" w:hAnsi="新宋体" w:eastAsia="新宋体" w:cs="新宋体"/>
                <w:color w:val="auto"/>
                <w:szCs w:val="21"/>
                <w:highlight w:val="none"/>
                <w:lang w:val="en-US" w:eastAsia="zh-CN"/>
              </w:rPr>
              <w:t>封面设置、</w:t>
            </w:r>
            <w:r>
              <w:rPr>
                <w:rFonts w:hint="eastAsia" w:ascii="新宋体" w:hAnsi="新宋体" w:eastAsia="新宋体" w:cs="新宋体"/>
                <w:color w:val="auto"/>
                <w:szCs w:val="21"/>
                <w:highlight w:val="none"/>
              </w:rPr>
              <w:t>目录编制作为评审因素。</w:t>
            </w:r>
            <w:r>
              <w:rPr>
                <w:rFonts w:hint="eastAsia" w:ascii="新宋体" w:hAnsi="新宋体" w:eastAsia="新宋体" w:cs="新宋体"/>
                <w:color w:val="auto"/>
                <w:szCs w:val="21"/>
                <w:highlight w:val="none"/>
                <w:lang w:val="en-US" w:eastAsia="zh-CN"/>
              </w:rPr>
              <w:t>注：技术部分采用明标评审时，不因形式评审的问题（包括但不限于封面、页码、目录、字体、格式等）而被否决投标。</w:t>
            </w:r>
          </w:p>
          <w:p>
            <w:pPr>
              <w:adjustRightInd w:val="0"/>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（技术方案原则上不超过</w:t>
            </w:r>
            <w:r>
              <w:rPr>
                <w:rFonts w:hint="eastAsia" w:ascii="新宋体" w:hAnsi="新宋体" w:eastAsia="新宋体" w:cs="新宋体"/>
                <w:color w:val="auto"/>
                <w:szCs w:val="21"/>
                <w:highlight w:val="none"/>
                <w:u w:val="single"/>
              </w:rPr>
              <w:t xml:space="preserve"> </w:t>
            </w:r>
            <w:r>
              <w:rPr>
                <w:rFonts w:hint="eastAsia" w:ascii="新宋体" w:hAnsi="新宋体" w:eastAsia="新宋体" w:cs="新宋体"/>
                <w:color w:val="auto"/>
                <w:szCs w:val="21"/>
                <w:highlight w:val="none"/>
                <w:u w:val="single"/>
                <w:lang w:val="en-US" w:eastAsia="zh-CN"/>
              </w:rPr>
              <w:t>200</w:t>
            </w:r>
            <w:r>
              <w:rPr>
                <w:rFonts w:hint="eastAsia" w:ascii="新宋体" w:hAnsi="新宋体" w:eastAsia="新宋体" w:cs="新宋体"/>
                <w:color w:val="auto"/>
                <w:szCs w:val="21"/>
                <w:highlight w:val="none"/>
                <w:u w:val="single"/>
              </w:rPr>
              <w:t xml:space="preserve"> </w:t>
            </w:r>
            <w:r>
              <w:rPr>
                <w:rFonts w:hint="eastAsia" w:ascii="新宋体" w:hAnsi="新宋体" w:eastAsia="新宋体" w:cs="新宋体"/>
                <w:color w:val="auto"/>
                <w:szCs w:val="21"/>
                <w:highlight w:val="none"/>
              </w:rPr>
              <w:t>页，但不得将页数作为评审因素。）</w:t>
            </w:r>
          </w:p>
          <w:p>
            <w:pPr>
              <w:adjustRightInd w:val="0"/>
              <w:snapToGrid w:val="0"/>
              <w:spacing w:line="400" w:lineRule="exact"/>
              <w:ind w:firstLine="420" w:firstLineChars="200"/>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（4）商务部分的</w:t>
            </w:r>
          </w:p>
          <w:p>
            <w:pPr>
              <w:adjustRightInd w:val="0"/>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应按照第</w:t>
            </w:r>
            <w:r>
              <w:rPr>
                <w:rFonts w:hint="eastAsia" w:ascii="新宋体" w:hAnsi="新宋体" w:eastAsia="新宋体" w:cs="新宋体"/>
                <w:color w:val="auto"/>
                <w:szCs w:val="21"/>
                <w:highlight w:val="none"/>
                <w:lang w:val="en-US" w:eastAsia="zh-CN"/>
              </w:rPr>
              <w:t>六</w:t>
            </w:r>
            <w:r>
              <w:rPr>
                <w:rFonts w:hint="eastAsia" w:ascii="新宋体" w:hAnsi="新宋体" w:eastAsia="新宋体" w:cs="新宋体"/>
                <w:color w:val="auto"/>
                <w:szCs w:val="21"/>
                <w:highlight w:val="none"/>
              </w:rPr>
              <w:t>章规定格式排版，</w:t>
            </w:r>
            <w:r>
              <w:rPr>
                <w:rFonts w:hint="eastAsia" w:ascii="新宋体" w:hAnsi="新宋体" w:eastAsia="新宋体" w:cs="新宋体"/>
                <w:color w:val="auto"/>
                <w:szCs w:val="21"/>
                <w:highlight w:val="none"/>
                <w:lang w:val="en-US" w:eastAsia="zh-CN"/>
              </w:rPr>
              <w:t>原则上</w:t>
            </w:r>
            <w:r>
              <w:rPr>
                <w:rFonts w:hint="eastAsia" w:ascii="新宋体" w:hAnsi="新宋体" w:eastAsia="新宋体" w:cs="新宋体"/>
                <w:color w:val="auto"/>
                <w:szCs w:val="21"/>
                <w:highlight w:val="none"/>
              </w:rPr>
              <w:t>应编制目录，但不得将目录编制作为评审因素。</w:t>
            </w:r>
          </w:p>
          <w:p>
            <w:pPr>
              <w:adjustRightInd w:val="0"/>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w:t>
            </w:r>
            <w:r>
              <w:rPr>
                <w:rFonts w:hint="eastAsia" w:ascii="新宋体" w:hAnsi="新宋体" w:eastAsia="新宋体" w:cs="新宋体"/>
                <w:color w:val="auto"/>
                <w:szCs w:val="21"/>
                <w:highlight w:val="none"/>
                <w:lang w:val="en-US" w:eastAsia="zh-CN"/>
              </w:rPr>
              <w:t>5</w:t>
            </w:r>
            <w:r>
              <w:rPr>
                <w:rFonts w:hint="eastAsia" w:ascii="新宋体" w:hAnsi="新宋体" w:eastAsia="新宋体" w:cs="新宋体"/>
                <w:color w:val="auto"/>
                <w:szCs w:val="21"/>
                <w:highlight w:val="none"/>
              </w:rPr>
              <w:t>）资格审查部分</w:t>
            </w:r>
          </w:p>
          <w:p>
            <w:pPr>
              <w:adjustRightInd w:val="0"/>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应按照第</w:t>
            </w:r>
            <w:r>
              <w:rPr>
                <w:rFonts w:hint="eastAsia" w:ascii="新宋体" w:hAnsi="新宋体" w:eastAsia="新宋体" w:cs="新宋体"/>
                <w:color w:val="auto"/>
                <w:szCs w:val="21"/>
                <w:highlight w:val="none"/>
                <w:lang w:val="en-US" w:eastAsia="zh-CN"/>
              </w:rPr>
              <w:t>六</w:t>
            </w:r>
            <w:r>
              <w:rPr>
                <w:rFonts w:hint="eastAsia" w:ascii="新宋体" w:hAnsi="新宋体" w:eastAsia="新宋体" w:cs="新宋体"/>
                <w:color w:val="auto"/>
                <w:szCs w:val="21"/>
                <w:highlight w:val="none"/>
              </w:rPr>
              <w:t>章规定格式排版，</w:t>
            </w:r>
            <w:r>
              <w:rPr>
                <w:rFonts w:hint="eastAsia" w:ascii="新宋体" w:hAnsi="新宋体" w:eastAsia="新宋体" w:cs="新宋体"/>
                <w:color w:val="auto"/>
                <w:szCs w:val="21"/>
                <w:highlight w:val="none"/>
                <w:lang w:val="en-US" w:eastAsia="zh-CN"/>
              </w:rPr>
              <w:t>原则上</w:t>
            </w:r>
            <w:r>
              <w:rPr>
                <w:rFonts w:hint="eastAsia" w:ascii="新宋体" w:hAnsi="新宋体" w:eastAsia="新宋体" w:cs="新宋体"/>
                <w:color w:val="auto"/>
                <w:szCs w:val="21"/>
                <w:highlight w:val="none"/>
              </w:rPr>
              <w:t>应编制目录，但不得将目录编制作为评审因素。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4.1.1</w:t>
            </w:r>
          </w:p>
        </w:tc>
        <w:tc>
          <w:tcPr>
            <w:tcW w:w="1644" w:type="dxa"/>
            <w:vAlign w:val="center"/>
          </w:tcPr>
          <w:p>
            <w:pPr>
              <w:snapToGrid w:val="0"/>
              <w:spacing w:line="400" w:lineRule="exact"/>
              <w:jc w:val="center"/>
              <w:rPr>
                <w:rFonts w:hint="eastAsia" w:ascii="新宋体" w:hAnsi="新宋体" w:eastAsia="新宋体" w:cs="新宋体"/>
                <w:color w:val="auto"/>
                <w:spacing w:val="-6"/>
                <w:kern w:val="0"/>
                <w:szCs w:val="21"/>
                <w:highlight w:val="none"/>
              </w:rPr>
            </w:pPr>
            <w:r>
              <w:rPr>
                <w:rFonts w:hint="eastAsia" w:ascii="新宋体" w:hAnsi="新宋体" w:eastAsia="新宋体" w:cs="新宋体"/>
                <w:color w:val="auto"/>
                <w:spacing w:val="-6"/>
                <w:kern w:val="0"/>
                <w:szCs w:val="21"/>
                <w:highlight w:val="none"/>
              </w:rPr>
              <w:t>投标文件的密封</w:t>
            </w:r>
          </w:p>
        </w:tc>
        <w:tc>
          <w:tcPr>
            <w:tcW w:w="6490" w:type="dxa"/>
            <w:vAlign w:val="center"/>
          </w:tcPr>
          <w:p>
            <w:pPr>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电子投标文件的加密</w:t>
            </w:r>
          </w:p>
          <w:p>
            <w:pPr>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加密的电子投标文件应按照本章第4.1.3项要求制作并加密，未按要求加密的电子投标文件，将无法上传至重庆市电子招投标系统，逾期未完成上传投标文件的，视为撤回投标文件。</w:t>
            </w:r>
          </w:p>
          <w:p>
            <w:pPr>
              <w:adjustRightInd w:val="0"/>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投标人如需递交不加密电子投标文件，应用“投标文件”袋单独封装，并在封口处加盖投标人单位法人章，同时“投标文件”袋应按本表第4.1.2项的规定写明相应内容。“投标文件”袋未按要求密封的，招标人或代理机构应该拒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4.1.2</w:t>
            </w:r>
          </w:p>
        </w:tc>
        <w:tc>
          <w:tcPr>
            <w:tcW w:w="1644"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封套上写明</w:t>
            </w:r>
          </w:p>
        </w:tc>
        <w:tc>
          <w:tcPr>
            <w:tcW w:w="6490" w:type="dxa"/>
            <w:vAlign w:val="center"/>
          </w:tcPr>
          <w:p>
            <w:pPr>
              <w:snapToGrid w:val="0"/>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应在</w:t>
            </w:r>
            <w:r>
              <w:rPr>
                <w:rFonts w:hint="eastAsia" w:ascii="新宋体" w:hAnsi="新宋体" w:eastAsia="新宋体" w:cs="新宋体"/>
                <w:color w:val="auto"/>
                <w:szCs w:val="21"/>
                <w:highlight w:val="none"/>
              </w:rPr>
              <w:t xml:space="preserve"> </w:t>
            </w:r>
            <w:r>
              <w:rPr>
                <w:rFonts w:hint="eastAsia" w:ascii="新宋体" w:hAnsi="新宋体" w:eastAsia="新宋体" w:cs="新宋体"/>
                <w:color w:val="auto"/>
                <w:kern w:val="0"/>
                <w:szCs w:val="21"/>
                <w:highlight w:val="none"/>
              </w:rPr>
              <w:t>“投标文件”袋封套上写明如下内容：</w:t>
            </w:r>
          </w:p>
          <w:p>
            <w:pPr>
              <w:snapToGrid w:val="0"/>
              <w:spacing w:line="400" w:lineRule="exact"/>
              <w:ind w:firstLine="420" w:firstLineChars="200"/>
              <w:rPr>
                <w:rFonts w:hint="eastAsia" w:ascii="新宋体" w:hAnsi="新宋体" w:eastAsia="新宋体" w:cs="新宋体"/>
                <w:color w:val="auto"/>
                <w:kern w:val="0"/>
                <w:szCs w:val="21"/>
                <w:highlight w:val="none"/>
                <w:u w:val="single"/>
              </w:rPr>
            </w:pPr>
            <w:r>
              <w:rPr>
                <w:rFonts w:hint="eastAsia" w:ascii="新宋体" w:hAnsi="新宋体" w:eastAsia="新宋体" w:cs="新宋体"/>
                <w:color w:val="auto"/>
                <w:kern w:val="0"/>
                <w:szCs w:val="21"/>
                <w:highlight w:val="none"/>
              </w:rPr>
              <w:t>招标人名称：</w:t>
            </w:r>
            <w:r>
              <w:rPr>
                <w:rFonts w:hint="eastAsia" w:ascii="新宋体" w:hAnsi="新宋体" w:eastAsia="新宋体" w:cs="新宋体"/>
                <w:color w:val="auto"/>
                <w:kern w:val="0"/>
                <w:szCs w:val="21"/>
                <w:highlight w:val="none"/>
                <w:u w:val="single"/>
              </w:rPr>
              <w:t xml:space="preserve">            </w:t>
            </w:r>
          </w:p>
          <w:p>
            <w:pPr>
              <w:snapToGrid w:val="0"/>
              <w:spacing w:line="400" w:lineRule="exact"/>
              <w:ind w:firstLine="420" w:firstLineChars="200"/>
              <w:rPr>
                <w:rFonts w:hint="eastAsia" w:ascii="新宋体" w:hAnsi="新宋体" w:eastAsia="新宋体" w:cs="新宋体"/>
                <w:color w:val="auto"/>
                <w:kern w:val="0"/>
                <w:szCs w:val="21"/>
                <w:highlight w:val="none"/>
                <w:u w:val="single"/>
              </w:rPr>
            </w:pPr>
            <w:r>
              <w:rPr>
                <w:rFonts w:hint="eastAsia" w:ascii="新宋体" w:hAnsi="新宋体" w:eastAsia="新宋体" w:cs="新宋体"/>
                <w:color w:val="auto"/>
                <w:kern w:val="0"/>
                <w:szCs w:val="21"/>
                <w:highlight w:val="none"/>
              </w:rPr>
              <w:t>投标人名称：</w:t>
            </w:r>
            <w:r>
              <w:rPr>
                <w:rFonts w:hint="eastAsia" w:ascii="新宋体" w:hAnsi="新宋体" w:eastAsia="新宋体" w:cs="新宋体"/>
                <w:color w:val="auto"/>
                <w:kern w:val="0"/>
                <w:szCs w:val="21"/>
                <w:highlight w:val="none"/>
                <w:u w:val="single"/>
              </w:rPr>
              <w:t xml:space="preserve">            </w:t>
            </w:r>
          </w:p>
          <w:p>
            <w:pPr>
              <w:snapToGrid w:val="0"/>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u w:val="single"/>
              </w:rPr>
              <w:t xml:space="preserve">                （项目名称）</w:t>
            </w:r>
            <w:r>
              <w:rPr>
                <w:rFonts w:hint="eastAsia" w:ascii="新宋体" w:hAnsi="新宋体" w:eastAsia="新宋体" w:cs="新宋体"/>
                <w:color w:val="auto"/>
                <w:kern w:val="0"/>
                <w:szCs w:val="21"/>
                <w:highlight w:val="none"/>
              </w:rPr>
              <w:t>投标文件</w:t>
            </w:r>
          </w:p>
          <w:p>
            <w:pPr>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kern w:val="0"/>
                <w:szCs w:val="21"/>
                <w:highlight w:val="none"/>
              </w:rPr>
              <w:t>在</w:t>
            </w:r>
            <w:r>
              <w:rPr>
                <w:rFonts w:hint="eastAsia" w:ascii="新宋体" w:hAnsi="新宋体" w:eastAsia="新宋体" w:cs="新宋体"/>
                <w:color w:val="auto"/>
                <w:kern w:val="0"/>
                <w:szCs w:val="21"/>
                <w:highlight w:val="none"/>
                <w:u w:val="single"/>
              </w:rPr>
              <w:t xml:space="preserve">    </w:t>
            </w:r>
            <w:r>
              <w:rPr>
                <w:rFonts w:hint="eastAsia" w:ascii="新宋体" w:hAnsi="新宋体" w:eastAsia="新宋体" w:cs="新宋体"/>
                <w:color w:val="auto"/>
                <w:kern w:val="0"/>
                <w:szCs w:val="21"/>
                <w:highlight w:val="none"/>
              </w:rPr>
              <w:t>年</w:t>
            </w:r>
            <w:r>
              <w:rPr>
                <w:rFonts w:hint="eastAsia" w:ascii="新宋体" w:hAnsi="新宋体" w:eastAsia="新宋体" w:cs="新宋体"/>
                <w:color w:val="auto"/>
                <w:kern w:val="0"/>
                <w:szCs w:val="21"/>
                <w:highlight w:val="none"/>
                <w:u w:val="single"/>
              </w:rPr>
              <w:t xml:space="preserve">    </w:t>
            </w:r>
            <w:r>
              <w:rPr>
                <w:rFonts w:hint="eastAsia" w:ascii="新宋体" w:hAnsi="新宋体" w:eastAsia="新宋体" w:cs="新宋体"/>
                <w:color w:val="auto"/>
                <w:kern w:val="0"/>
                <w:szCs w:val="21"/>
                <w:highlight w:val="none"/>
              </w:rPr>
              <w:t>月</w:t>
            </w:r>
            <w:r>
              <w:rPr>
                <w:rFonts w:hint="eastAsia" w:ascii="新宋体" w:hAnsi="新宋体" w:eastAsia="新宋体" w:cs="新宋体"/>
                <w:color w:val="auto"/>
                <w:kern w:val="0"/>
                <w:szCs w:val="21"/>
                <w:highlight w:val="none"/>
                <w:u w:val="single"/>
              </w:rPr>
              <w:t xml:space="preserve">    </w:t>
            </w:r>
            <w:r>
              <w:rPr>
                <w:rFonts w:hint="eastAsia" w:ascii="新宋体" w:hAnsi="新宋体" w:eastAsia="新宋体" w:cs="新宋体"/>
                <w:color w:val="auto"/>
                <w:kern w:val="0"/>
                <w:szCs w:val="21"/>
                <w:highlight w:val="none"/>
              </w:rPr>
              <w:t>日</w:t>
            </w:r>
            <w:r>
              <w:rPr>
                <w:rFonts w:hint="eastAsia" w:ascii="新宋体" w:hAnsi="新宋体" w:eastAsia="新宋体" w:cs="新宋体"/>
                <w:color w:val="auto"/>
                <w:kern w:val="0"/>
                <w:szCs w:val="21"/>
                <w:highlight w:val="none"/>
                <w:u w:val="single"/>
              </w:rPr>
              <w:t xml:space="preserve">    </w:t>
            </w:r>
            <w:r>
              <w:rPr>
                <w:rFonts w:hint="eastAsia" w:ascii="新宋体" w:hAnsi="新宋体" w:eastAsia="新宋体" w:cs="新宋体"/>
                <w:color w:val="auto"/>
                <w:kern w:val="0"/>
                <w:szCs w:val="21"/>
                <w:highlight w:val="none"/>
              </w:rPr>
              <w:t>时</w:t>
            </w:r>
            <w:r>
              <w:rPr>
                <w:rFonts w:hint="eastAsia" w:ascii="新宋体" w:hAnsi="新宋体" w:eastAsia="新宋体" w:cs="新宋体"/>
                <w:color w:val="auto"/>
                <w:kern w:val="0"/>
                <w:szCs w:val="21"/>
                <w:highlight w:val="none"/>
                <w:u w:val="single"/>
              </w:rPr>
              <w:t xml:space="preserve">    </w:t>
            </w:r>
            <w:r>
              <w:rPr>
                <w:rFonts w:hint="eastAsia" w:ascii="新宋体" w:hAnsi="新宋体" w:eastAsia="新宋体" w:cs="新宋体"/>
                <w:color w:val="auto"/>
                <w:kern w:val="0"/>
                <w:szCs w:val="21"/>
                <w:highlight w:val="none"/>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4.2.2</w:t>
            </w:r>
          </w:p>
        </w:tc>
        <w:tc>
          <w:tcPr>
            <w:tcW w:w="1644"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递交投标文件地点</w:t>
            </w:r>
          </w:p>
        </w:tc>
        <w:tc>
          <w:tcPr>
            <w:tcW w:w="6490" w:type="dxa"/>
            <w:vAlign w:val="center"/>
          </w:tcPr>
          <w:p>
            <w:pPr>
              <w:snapToGrid w:val="0"/>
              <w:spacing w:line="400" w:lineRule="exact"/>
              <w:ind w:firstLine="420" w:firstLineChars="200"/>
              <w:rPr>
                <w:rFonts w:hint="eastAsia" w:ascii="新宋体" w:hAnsi="新宋体" w:eastAsia="新宋体" w:cs="新宋体"/>
                <w:bCs/>
                <w:color w:val="auto"/>
                <w:szCs w:val="21"/>
                <w:highlight w:val="none"/>
              </w:rPr>
            </w:pPr>
            <w:r>
              <w:rPr>
                <w:rFonts w:hint="eastAsia" w:ascii="新宋体" w:hAnsi="新宋体" w:eastAsia="新宋体" w:cs="新宋体"/>
                <w:bCs/>
                <w:color w:val="auto"/>
                <w:szCs w:val="21"/>
                <w:highlight w:val="none"/>
              </w:rPr>
              <w:t>投标人应当在投标截止时间前，通过互联网使用CA数字证书登录重庆市电子招投标系统，将加密的电子投标文件上传。</w:t>
            </w:r>
          </w:p>
          <w:p>
            <w:pPr>
              <w:snapToGrid w:val="0"/>
              <w:spacing w:line="400" w:lineRule="exact"/>
              <w:ind w:firstLine="420" w:firstLineChars="200"/>
              <w:rPr>
                <w:rFonts w:hint="eastAsia" w:ascii="新宋体" w:hAnsi="新宋体" w:eastAsia="新宋体" w:cs="新宋体"/>
                <w:bCs/>
                <w:color w:val="auto"/>
                <w:szCs w:val="21"/>
                <w:highlight w:val="none"/>
              </w:rPr>
            </w:pPr>
            <w:r>
              <w:rPr>
                <w:rFonts w:hint="eastAsia" w:ascii="新宋体" w:hAnsi="新宋体" w:eastAsia="新宋体" w:cs="新宋体"/>
                <w:bCs/>
                <w:color w:val="auto"/>
                <w:szCs w:val="21"/>
                <w:highlight w:val="none"/>
              </w:rPr>
              <w:t>特别注意：投标人如需现场递交不加密电子投标文件（光盘备份）等备用资料，则须在投标截止时间前递交，递交地点为</w:t>
            </w:r>
            <w:r>
              <w:rPr>
                <w:rFonts w:hint="eastAsia" w:ascii="新宋体" w:hAnsi="新宋体" w:eastAsia="新宋体" w:cs="新宋体"/>
                <w:bCs/>
                <w:color w:val="auto"/>
                <w:szCs w:val="21"/>
                <w:highlight w:val="none"/>
                <w:u w:val="single"/>
              </w:rPr>
              <w:t>重庆市公共资源交易中心</w:t>
            </w:r>
            <w:r>
              <w:rPr>
                <w:rFonts w:hint="eastAsia" w:ascii="新宋体" w:hAnsi="新宋体" w:eastAsia="新宋体" w:cs="新宋体"/>
                <w:bCs/>
                <w:color w:val="auto"/>
                <w:szCs w:val="21"/>
                <w:highlight w:val="none"/>
              </w:rPr>
              <w:t>开标区（具体请登陆</w:t>
            </w:r>
            <w:r>
              <w:rPr>
                <w:rFonts w:hint="eastAsia" w:ascii="新宋体" w:hAnsi="新宋体" w:eastAsia="新宋体" w:cs="新宋体"/>
                <w:bCs/>
                <w:color w:val="auto"/>
                <w:szCs w:val="21"/>
                <w:highlight w:val="none"/>
                <w:u w:val="single"/>
              </w:rPr>
              <w:t>重庆市公共资源交易网（www.cqggzy.com）</w:t>
            </w:r>
            <w:r>
              <w:rPr>
                <w:rFonts w:hint="eastAsia" w:ascii="新宋体" w:hAnsi="新宋体" w:eastAsia="新宋体" w:cs="新宋体"/>
                <w:bCs/>
                <w:color w:val="auto"/>
                <w:szCs w:val="21"/>
                <w:highlight w:val="none"/>
              </w:rPr>
              <w:t>查询或递交文件当日见交易中心大厅电子显示屏）。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4.2.3</w:t>
            </w:r>
          </w:p>
        </w:tc>
        <w:tc>
          <w:tcPr>
            <w:tcW w:w="1644"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是否退还投标文件</w:t>
            </w:r>
          </w:p>
        </w:tc>
        <w:tc>
          <w:tcPr>
            <w:tcW w:w="6490" w:type="dxa"/>
            <w:vAlign w:val="center"/>
          </w:tcPr>
          <w:p>
            <w:pPr>
              <w:snapToGrid w:val="0"/>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5.1.1</w:t>
            </w:r>
          </w:p>
        </w:tc>
        <w:tc>
          <w:tcPr>
            <w:tcW w:w="1644"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开标时间和</w:t>
            </w:r>
          </w:p>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地点</w:t>
            </w:r>
          </w:p>
        </w:tc>
        <w:tc>
          <w:tcPr>
            <w:tcW w:w="6490" w:type="dxa"/>
            <w:vAlign w:val="center"/>
          </w:tcPr>
          <w:p>
            <w:pPr>
              <w:snapToGrid w:val="0"/>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开标时间：同投标截止时间</w:t>
            </w:r>
          </w:p>
          <w:p>
            <w:pPr>
              <w:snapToGrid w:val="0"/>
              <w:spacing w:line="400" w:lineRule="exact"/>
              <w:ind w:firstLine="420" w:firstLineChars="200"/>
              <w:rPr>
                <w:rFonts w:hint="eastAsia" w:ascii="新宋体" w:hAnsi="新宋体" w:eastAsia="新宋体" w:cs="新宋体"/>
                <w:bCs/>
                <w:color w:val="auto"/>
                <w:szCs w:val="21"/>
                <w:highlight w:val="none"/>
              </w:rPr>
            </w:pPr>
            <w:r>
              <w:rPr>
                <w:rFonts w:hint="eastAsia" w:ascii="新宋体" w:hAnsi="新宋体" w:eastAsia="新宋体" w:cs="新宋体"/>
                <w:color w:val="auto"/>
                <w:kern w:val="0"/>
                <w:szCs w:val="21"/>
                <w:highlight w:val="none"/>
              </w:rPr>
              <w:t>开标地点：</w:t>
            </w:r>
            <w:r>
              <w:rPr>
                <w:rFonts w:hint="eastAsia" w:ascii="新宋体" w:hAnsi="新宋体" w:eastAsia="新宋体" w:cs="新宋体"/>
                <w:bCs/>
                <w:color w:val="auto"/>
                <w:szCs w:val="21"/>
                <w:highlight w:val="none"/>
                <w:u w:val="single"/>
              </w:rPr>
              <w:t>重庆市公共资源交易中心</w:t>
            </w:r>
            <w:r>
              <w:rPr>
                <w:rFonts w:hint="eastAsia" w:ascii="新宋体" w:hAnsi="新宋体" w:eastAsia="新宋体" w:cs="新宋体"/>
                <w:bCs/>
                <w:color w:val="auto"/>
                <w:szCs w:val="21"/>
                <w:highlight w:val="none"/>
              </w:rPr>
              <w:t>开标室（具体请登陆</w:t>
            </w:r>
            <w:r>
              <w:rPr>
                <w:rFonts w:hint="eastAsia" w:ascii="新宋体" w:hAnsi="新宋体" w:eastAsia="新宋体" w:cs="新宋体"/>
                <w:bCs/>
                <w:color w:val="auto"/>
                <w:szCs w:val="21"/>
                <w:highlight w:val="none"/>
                <w:u w:val="single"/>
              </w:rPr>
              <w:t>重庆市公共资源交易网（www.cqggzy.com）</w:t>
            </w:r>
            <w:r>
              <w:rPr>
                <w:rFonts w:hint="eastAsia" w:ascii="新宋体" w:hAnsi="新宋体" w:eastAsia="新宋体" w:cs="新宋体"/>
                <w:bCs/>
                <w:color w:val="auto"/>
                <w:szCs w:val="21"/>
                <w:highlight w:val="none"/>
              </w:rPr>
              <w:t>查询或递交文件当日见交易中心大厅电子显示屏）。</w:t>
            </w:r>
          </w:p>
          <w:p>
            <w:pPr>
              <w:snapToGrid w:val="0"/>
              <w:spacing w:line="400" w:lineRule="exact"/>
              <w:ind w:firstLine="420" w:firstLineChars="200"/>
              <w:rPr>
                <w:rFonts w:hint="eastAsia" w:ascii="新宋体" w:hAnsi="新宋体" w:eastAsia="新宋体" w:cs="新宋体"/>
                <w:bCs/>
                <w:color w:val="auto"/>
                <w:szCs w:val="21"/>
                <w:highlight w:val="none"/>
              </w:rPr>
            </w:pPr>
            <w:r>
              <w:rPr>
                <w:rFonts w:hint="eastAsia" w:ascii="新宋体" w:hAnsi="新宋体" w:eastAsia="新宋体" w:cs="新宋体"/>
                <w:bCs/>
                <w:color w:val="auto"/>
                <w:szCs w:val="21"/>
                <w:highlight w:val="none"/>
              </w:rPr>
              <w:t>特别注意：解密投标文件需使用加密电子投标文件的CA数字证书。投标人代表可携带该CA数字证书到开标现场完成投标文件解密工作，或通过互联网使用该CA数字证书登录重庆市电子招投标系统，采用远程解密的方式在投标须知前附表规定的时间内完成投标文件解密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5.1.2</w:t>
            </w:r>
          </w:p>
        </w:tc>
        <w:tc>
          <w:tcPr>
            <w:tcW w:w="1644"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解密时间</w:t>
            </w:r>
          </w:p>
        </w:tc>
        <w:tc>
          <w:tcPr>
            <w:tcW w:w="6490" w:type="dxa"/>
            <w:vAlign w:val="center"/>
          </w:tcPr>
          <w:p>
            <w:pPr>
              <w:snapToGrid w:val="0"/>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解密时长为 30 分钟。</w:t>
            </w:r>
          </w:p>
          <w:p>
            <w:pPr>
              <w:snapToGrid w:val="0"/>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特别注意：因电子招标投标系统原因影响解密时间的，招标人可根据现场实际情况延长解密时间；因投标人原因未完成解密工作的，视为撤销其投标文件，其投标保证金不予退还。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5.2</w:t>
            </w:r>
          </w:p>
        </w:tc>
        <w:tc>
          <w:tcPr>
            <w:tcW w:w="1644" w:type="dxa"/>
            <w:vAlign w:val="center"/>
          </w:tcPr>
          <w:p>
            <w:pPr>
              <w:snapToGrid w:val="0"/>
              <w:spacing w:line="400" w:lineRule="exact"/>
              <w:jc w:val="center"/>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开标程序</w:t>
            </w:r>
          </w:p>
        </w:tc>
        <w:tc>
          <w:tcPr>
            <w:tcW w:w="6490" w:type="dxa"/>
            <w:vAlign w:val="center"/>
          </w:tcPr>
          <w:p>
            <w:pPr>
              <w:autoSpaceDE w:val="0"/>
              <w:autoSpaceDN w:val="0"/>
              <w:adjustRightInd w:val="0"/>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主持人按下列程序进行开标：</w:t>
            </w:r>
          </w:p>
          <w:p>
            <w:pPr>
              <w:autoSpaceDE w:val="0"/>
              <w:autoSpaceDN w:val="0"/>
              <w:adjustRightInd w:val="0"/>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1. 开标时间（应与投标截止时间一致），交易系统自动提取所有在投标截止时间前成功递交的投标文件，系统自动展示投标人数量是否大于（等于）3家，经招标人或代理机构确认达到法定开标条件的，系统进入开标环节。</w:t>
            </w:r>
          </w:p>
          <w:p>
            <w:pPr>
              <w:autoSpaceDE w:val="0"/>
              <w:autoSpaceDN w:val="0"/>
              <w:adjustRightInd w:val="0"/>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2. 投标文件提取完成，经招标人或代理机构确认开始解密环节，系统提示投标人在招标文件规定的时间内自行解密其经加密的电子投标文件。</w:t>
            </w:r>
          </w:p>
          <w:p>
            <w:pPr>
              <w:autoSpaceDE w:val="0"/>
              <w:autoSpaceDN w:val="0"/>
              <w:adjustRightInd w:val="0"/>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在规定的时间内投标人未成功解密投标文件的处理方式：①对因故不能解密的，经投标人申请，可以采取导入由相应投标人提供的不加密的电子投标文件（光盘备份）作为补救措施；②对因电子招投标系统原因造成的未解密情况，投标人又未提供不加密的电子投标文件（光盘备份）作为补救措施的，视为投标人撤回投标文件；③对因投标人原因造成的未解密情况，视为投标人撤销投标文件。</w:t>
            </w:r>
          </w:p>
          <w:p>
            <w:pPr>
              <w:autoSpaceDE w:val="0"/>
              <w:autoSpaceDN w:val="0"/>
              <w:adjustRightInd w:val="0"/>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3. 解密全部完成或招标文件规定的解密时间截止后，经招标人或代理机构确认，进入唱标环节。交易系统展示最终解密结果，主持人公布所有投标人名称和成功解密投标人名单，并备注投标人未成功解密投标文件的原因（若有）。</w:t>
            </w:r>
          </w:p>
          <w:p>
            <w:pPr>
              <w:autoSpaceDE w:val="0"/>
              <w:autoSpaceDN w:val="0"/>
              <w:adjustRightInd w:val="0"/>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4. 汇总投标保证金交纳情况</w:t>
            </w:r>
          </w:p>
          <w:p>
            <w:pPr>
              <w:autoSpaceDE w:val="0"/>
              <w:autoSpaceDN w:val="0"/>
              <w:adjustRightInd w:val="0"/>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4.1 展示以电子投标保函方式递交投标保证金的情况，展示内容应至少包含投标人名称、金额、投标保函提交时间、保函有效期及是否具有不可撤销且见索即付属性等。电子投标保函应在投标截止时间前提交至指定系统，异常情况在开标记录表“异常情况”栏中记录并交由评标委员会评审。</w:t>
            </w:r>
          </w:p>
          <w:p>
            <w:pPr>
              <w:autoSpaceDE w:val="0"/>
              <w:autoSpaceDN w:val="0"/>
              <w:adjustRightInd w:val="0"/>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4.2 展示以电子转账方式递交投标保证金的情况，展示内容应至少包含投标人名称、金额、投标保证金打入指定账户的时间等，异常情况在开标记录表“异常情况”栏中记录并交由评标委员会评审。</w:t>
            </w:r>
          </w:p>
          <w:p>
            <w:pPr>
              <w:autoSpaceDE w:val="0"/>
              <w:autoSpaceDN w:val="0"/>
              <w:adjustRightInd w:val="0"/>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4.3 展示以纸质投标保函方式递交投标保证金的情况，并记录在“纸质投标保函递交情况一览表”中，异常情况在开标记录表“异常情况”栏中记录。</w:t>
            </w:r>
          </w:p>
          <w:p>
            <w:pPr>
              <w:autoSpaceDE w:val="0"/>
              <w:autoSpaceDN w:val="0"/>
              <w:adjustRightInd w:val="0"/>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4.4 打印所有投标人的投标保证金交纳</w:t>
            </w:r>
            <w:r>
              <w:rPr>
                <w:rFonts w:hint="eastAsia" w:ascii="新宋体" w:hAnsi="新宋体" w:eastAsia="新宋体" w:cs="新宋体"/>
                <w:color w:val="auto"/>
                <w:szCs w:val="21"/>
                <w:highlight w:val="none"/>
                <w:lang w:eastAsia="zh-CN"/>
              </w:rPr>
              <w:t>情况</w:t>
            </w:r>
            <w:r>
              <w:rPr>
                <w:rFonts w:hint="eastAsia" w:ascii="新宋体" w:hAnsi="新宋体" w:eastAsia="新宋体" w:cs="新宋体"/>
                <w:color w:val="auto"/>
                <w:szCs w:val="21"/>
                <w:highlight w:val="none"/>
              </w:rPr>
              <w:t>，并由招标人代表、监标人、记录人</w:t>
            </w:r>
            <w:r>
              <w:rPr>
                <w:rFonts w:hint="eastAsia" w:ascii="新宋体" w:hAnsi="新宋体" w:eastAsia="新宋体" w:cs="新宋体"/>
                <w:color w:val="auto"/>
                <w:szCs w:val="21"/>
                <w:highlight w:val="none"/>
                <w:lang w:eastAsia="zh-CN"/>
              </w:rPr>
              <w:t>签名</w:t>
            </w:r>
            <w:r>
              <w:rPr>
                <w:rFonts w:hint="eastAsia" w:ascii="新宋体" w:hAnsi="新宋体" w:eastAsia="新宋体" w:cs="新宋体"/>
                <w:color w:val="auto"/>
                <w:szCs w:val="21"/>
                <w:highlight w:val="none"/>
              </w:rPr>
              <w:t>确认。</w:t>
            </w:r>
          </w:p>
          <w:p>
            <w:pPr>
              <w:autoSpaceDE w:val="0"/>
              <w:autoSpaceDN w:val="0"/>
              <w:adjustRightInd w:val="0"/>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5. 公布最高限价。</w:t>
            </w:r>
          </w:p>
          <w:p>
            <w:pPr>
              <w:autoSpaceDE w:val="0"/>
              <w:autoSpaceDN w:val="0"/>
              <w:adjustRightInd w:val="0"/>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6. 公布投标人名称、投标报价、</w:t>
            </w:r>
            <w:r>
              <w:rPr>
                <w:rFonts w:hint="eastAsia" w:ascii="新宋体" w:hAnsi="新宋体" w:eastAsia="新宋体" w:cs="新宋体"/>
                <w:color w:val="auto"/>
                <w:szCs w:val="21"/>
                <w:highlight w:val="none"/>
                <w:lang w:val="en-US" w:eastAsia="zh-CN"/>
              </w:rPr>
              <w:t>交货期、</w:t>
            </w:r>
            <w:r>
              <w:rPr>
                <w:rFonts w:hint="eastAsia" w:ascii="新宋体" w:hAnsi="新宋体" w:eastAsia="新宋体" w:cs="新宋体"/>
                <w:color w:val="auto"/>
                <w:szCs w:val="21"/>
                <w:highlight w:val="none"/>
              </w:rPr>
              <w:t>质量</w:t>
            </w:r>
            <w:r>
              <w:rPr>
                <w:rFonts w:hint="eastAsia" w:ascii="新宋体" w:hAnsi="新宋体" w:eastAsia="新宋体" w:cs="新宋体"/>
                <w:color w:val="auto"/>
                <w:szCs w:val="21"/>
                <w:highlight w:val="none"/>
                <w:lang w:val="en-US" w:eastAsia="zh-CN"/>
              </w:rPr>
              <w:t>保证期</w:t>
            </w:r>
            <w:r>
              <w:rPr>
                <w:rFonts w:hint="eastAsia" w:ascii="新宋体" w:hAnsi="新宋体" w:eastAsia="新宋体" w:cs="新宋体"/>
                <w:color w:val="auto"/>
                <w:szCs w:val="21"/>
                <w:highlight w:val="none"/>
              </w:rPr>
              <w:t>及其他内容。</w:t>
            </w:r>
          </w:p>
          <w:p>
            <w:pPr>
              <w:autoSpaceDE w:val="0"/>
              <w:autoSpaceDN w:val="0"/>
              <w:adjustRightInd w:val="0"/>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lang w:val="en-US" w:eastAsia="zh-CN"/>
              </w:rPr>
              <w:t>7</w:t>
            </w:r>
            <w:r>
              <w:rPr>
                <w:rFonts w:hint="eastAsia" w:ascii="新宋体" w:hAnsi="新宋体" w:eastAsia="新宋体" w:cs="新宋体"/>
                <w:color w:val="auto"/>
                <w:szCs w:val="21"/>
                <w:highlight w:val="none"/>
              </w:rPr>
              <w:t>.在重庆市工程建设领域招标投标信用平台上查询、公布所有投标人信用状况（若遇特殊情况，可在开标现场或开标当日，采用人工方式在“重庆市公共资源交易监督网”的“信用信息”栏目查询、核实），汇总并打印所有投标人的信用查询结果，并由招标人代表、监标人、记录人签名确认。</w:t>
            </w:r>
          </w:p>
          <w:p>
            <w:pPr>
              <w:autoSpaceDE w:val="0"/>
              <w:autoSpaceDN w:val="0"/>
              <w:adjustRightInd w:val="0"/>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lang w:val="en-US" w:eastAsia="zh-CN"/>
              </w:rPr>
              <w:t>8</w:t>
            </w:r>
            <w:r>
              <w:rPr>
                <w:rFonts w:hint="eastAsia" w:ascii="新宋体" w:hAnsi="新宋体" w:eastAsia="新宋体" w:cs="新宋体"/>
                <w:color w:val="auto"/>
                <w:szCs w:val="21"/>
                <w:highlight w:val="none"/>
              </w:rPr>
              <w:t>.投标人对开标有异议的，应当场或在线（不见面开标适用）提出，由招标人或代理机构当场或在线（不见面开标适用）答复，并记录到开标记录表中。异议处理完毕后，汇总开标情况，打印开标记录表。</w:t>
            </w:r>
          </w:p>
          <w:p>
            <w:pPr>
              <w:autoSpaceDE w:val="0"/>
              <w:autoSpaceDN w:val="0"/>
              <w:adjustRightInd w:val="0"/>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lang w:val="en-US" w:eastAsia="zh-CN"/>
              </w:rPr>
              <w:t>9</w:t>
            </w:r>
            <w:r>
              <w:rPr>
                <w:rFonts w:hint="eastAsia" w:ascii="新宋体" w:hAnsi="新宋体" w:eastAsia="新宋体" w:cs="新宋体"/>
                <w:color w:val="auto"/>
                <w:szCs w:val="21"/>
                <w:highlight w:val="none"/>
              </w:rPr>
              <w:t>.投标人代表、招标人代表、监标人、主持人、记录人等有关人员在开标记录上</w:t>
            </w:r>
            <w:r>
              <w:rPr>
                <w:rFonts w:hint="eastAsia" w:ascii="新宋体" w:hAnsi="新宋体" w:eastAsia="新宋体" w:cs="新宋体"/>
                <w:color w:val="auto"/>
                <w:szCs w:val="21"/>
                <w:highlight w:val="none"/>
                <w:lang w:eastAsia="zh-CN"/>
              </w:rPr>
              <w:t>签名</w:t>
            </w:r>
            <w:r>
              <w:rPr>
                <w:rFonts w:hint="eastAsia" w:ascii="新宋体" w:hAnsi="新宋体" w:eastAsia="新宋体" w:cs="新宋体"/>
                <w:color w:val="auto"/>
                <w:szCs w:val="21"/>
                <w:highlight w:val="none"/>
              </w:rPr>
              <w:t>确认。因其他原因未能</w:t>
            </w:r>
            <w:r>
              <w:rPr>
                <w:rFonts w:hint="eastAsia" w:ascii="新宋体" w:hAnsi="新宋体" w:eastAsia="新宋体" w:cs="新宋体"/>
                <w:color w:val="auto"/>
                <w:szCs w:val="21"/>
                <w:highlight w:val="none"/>
                <w:lang w:eastAsia="zh-CN"/>
              </w:rPr>
              <w:t>签名</w:t>
            </w:r>
            <w:r>
              <w:rPr>
                <w:rFonts w:hint="eastAsia" w:ascii="新宋体" w:hAnsi="新宋体" w:eastAsia="新宋体" w:cs="新宋体"/>
                <w:color w:val="auto"/>
                <w:szCs w:val="21"/>
                <w:highlight w:val="none"/>
              </w:rPr>
              <w:t>的，视为默认开标结果。</w:t>
            </w:r>
          </w:p>
          <w:p>
            <w:pPr>
              <w:autoSpaceDE w:val="0"/>
              <w:autoSpaceDN w:val="0"/>
              <w:adjustRightInd w:val="0"/>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纸质投标保函原件、投标保证金缴纳情况表、开标记录表、投标人信用情况汇总表一并交由评标委员会评审。</w:t>
            </w:r>
          </w:p>
          <w:p>
            <w:pPr>
              <w:autoSpaceDE w:val="0"/>
              <w:autoSpaceDN w:val="0"/>
              <w:adjustRightInd w:val="0"/>
              <w:snapToGrid w:val="0"/>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lang w:val="en-US" w:eastAsia="zh-CN"/>
              </w:rPr>
              <w:t>10</w:t>
            </w:r>
            <w:r>
              <w:rPr>
                <w:rFonts w:hint="eastAsia" w:ascii="新宋体" w:hAnsi="新宋体" w:eastAsia="新宋体" w:cs="新宋体"/>
                <w:color w:val="auto"/>
                <w:szCs w:val="21"/>
                <w:highlight w:val="none"/>
              </w:rPr>
              <w:t>.主持人宣布开标结束。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6.1.1</w:t>
            </w:r>
          </w:p>
        </w:tc>
        <w:tc>
          <w:tcPr>
            <w:tcW w:w="1644"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评标委员会的组建</w:t>
            </w:r>
          </w:p>
        </w:tc>
        <w:tc>
          <w:tcPr>
            <w:tcW w:w="6490" w:type="dxa"/>
            <w:vAlign w:val="center"/>
          </w:tcPr>
          <w:p>
            <w:pPr>
              <w:autoSpaceDE w:val="0"/>
              <w:autoSpaceDN w:val="0"/>
              <w:adjustRightInd w:val="0"/>
              <w:snapToGrid w:val="0"/>
              <w:spacing w:line="400" w:lineRule="exact"/>
              <w:ind w:firstLine="436"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spacing w:val="4"/>
                <w:kern w:val="0"/>
                <w:szCs w:val="21"/>
                <w:highlight w:val="none"/>
              </w:rPr>
              <w:t>由招标人按法律法规及相关规定依法组建评标委员会</w:t>
            </w:r>
            <w:r>
              <w:rPr>
                <w:rFonts w:hint="eastAsia" w:ascii="新宋体" w:hAnsi="新宋体" w:eastAsia="新宋体" w:cs="新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7.1</w:t>
            </w:r>
          </w:p>
        </w:tc>
        <w:tc>
          <w:tcPr>
            <w:tcW w:w="1644" w:type="dxa"/>
            <w:vAlign w:val="center"/>
          </w:tcPr>
          <w:p>
            <w:pPr>
              <w:snapToGrid w:val="0"/>
              <w:spacing w:after="62" w:afterLines="20"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是否授权评标委员会确定中标人</w:t>
            </w:r>
          </w:p>
        </w:tc>
        <w:tc>
          <w:tcPr>
            <w:tcW w:w="6490" w:type="dxa"/>
            <w:vAlign w:val="center"/>
          </w:tcPr>
          <w:p>
            <w:pPr>
              <w:snapToGrid w:val="0"/>
              <w:spacing w:line="400" w:lineRule="exact"/>
              <w:ind w:firstLine="420" w:firstLineChars="200"/>
              <w:rPr>
                <w:rFonts w:hint="eastAsia" w:ascii="新宋体" w:hAnsi="新宋体" w:eastAsia="新宋体" w:cs="新宋体"/>
                <w:i/>
                <w:color w:val="auto"/>
                <w:kern w:val="0"/>
                <w:szCs w:val="21"/>
                <w:highlight w:val="none"/>
              </w:rPr>
            </w:pPr>
            <w:r>
              <w:rPr>
                <w:rFonts w:hint="eastAsia" w:ascii="新宋体" w:hAnsi="新宋体" w:eastAsia="新宋体" w:cs="新宋体"/>
                <w:color w:val="auto"/>
                <w:kern w:val="0"/>
                <w:szCs w:val="21"/>
                <w:highlight w:val="none"/>
              </w:rPr>
              <w:t>否，推荐经评审综合得分由高到低排名前三名为中标候选人。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7.2</w:t>
            </w:r>
          </w:p>
        </w:tc>
        <w:tc>
          <w:tcPr>
            <w:tcW w:w="1644" w:type="dxa"/>
            <w:vAlign w:val="center"/>
          </w:tcPr>
          <w:p>
            <w:pPr>
              <w:snapToGrid w:val="0"/>
              <w:spacing w:after="62" w:afterLines="20"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中标公示</w:t>
            </w:r>
          </w:p>
        </w:tc>
        <w:tc>
          <w:tcPr>
            <w:tcW w:w="6490" w:type="dxa"/>
            <w:vAlign w:val="center"/>
          </w:tcPr>
          <w:p>
            <w:pPr>
              <w:snapToGrid w:val="0"/>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szCs w:val="21"/>
                <w:highlight w:val="none"/>
              </w:rPr>
              <w:t>招标人在收到评标报告后3日内将评标结果在重庆市公共资源交易网、重庆高速公路集团有限公司官网和重庆高速公路集团有限公司招投标管理平台上进行公示，公示期为3日。为深化信息公开，接受社会监督，本项目将按照《招标公告和公示信息发布管理办法》（国家发改委令第10号）的要求，公示内容包括中标候选人名称、排序、投标报价、质</w:t>
            </w:r>
            <w:r>
              <w:rPr>
                <w:rFonts w:hint="eastAsia" w:ascii="新宋体" w:hAnsi="新宋体" w:eastAsia="新宋体" w:cs="新宋体"/>
                <w:color w:val="auto"/>
                <w:szCs w:val="21"/>
                <w:highlight w:val="none"/>
                <w:lang w:val="en-US" w:eastAsia="zh-CN"/>
              </w:rPr>
              <w:t>保证期</w:t>
            </w:r>
            <w:r>
              <w:rPr>
                <w:rFonts w:hint="eastAsia" w:ascii="新宋体" w:hAnsi="新宋体" w:eastAsia="新宋体" w:cs="新宋体"/>
                <w:color w:val="auto"/>
                <w:szCs w:val="21"/>
                <w:highlight w:val="none"/>
              </w:rPr>
              <w:t>、</w:t>
            </w:r>
            <w:r>
              <w:rPr>
                <w:rFonts w:hint="eastAsia" w:ascii="新宋体" w:hAnsi="新宋体" w:eastAsia="新宋体" w:cs="新宋体"/>
                <w:color w:val="auto"/>
                <w:szCs w:val="21"/>
                <w:highlight w:val="none"/>
                <w:lang w:val="en-US" w:eastAsia="zh-CN"/>
              </w:rPr>
              <w:t>交货期</w:t>
            </w:r>
            <w:r>
              <w:rPr>
                <w:rFonts w:hint="eastAsia" w:ascii="新宋体" w:hAnsi="新宋体" w:eastAsia="新宋体" w:cs="新宋体"/>
                <w:color w:val="auto"/>
                <w:szCs w:val="21"/>
                <w:highlight w:val="none"/>
              </w:rPr>
              <w:t>；中标候选人资质、投标业绩名称；否决投标情况及理由；提出异议、投诉的渠道和方式。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7.3.1</w:t>
            </w:r>
          </w:p>
        </w:tc>
        <w:tc>
          <w:tcPr>
            <w:tcW w:w="1644"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履约担保</w:t>
            </w:r>
          </w:p>
        </w:tc>
        <w:tc>
          <w:tcPr>
            <w:tcW w:w="6490" w:type="dxa"/>
            <w:vAlign w:val="center"/>
          </w:tcPr>
          <w:p>
            <w:pPr>
              <w:snapToGrid w:val="0"/>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1、中标人是否提供履约担保：</w:t>
            </w:r>
            <w:r>
              <w:rPr>
                <w:rFonts w:hint="eastAsia" w:ascii="新宋体" w:hAnsi="新宋体" w:eastAsia="新宋体" w:cs="新宋体"/>
                <w:color w:val="auto"/>
                <w:kern w:val="0"/>
                <w:szCs w:val="21"/>
                <w:highlight w:val="none"/>
                <w:u w:val="single"/>
              </w:rPr>
              <w:t>提供</w:t>
            </w:r>
            <w:r>
              <w:rPr>
                <w:rFonts w:hint="eastAsia" w:ascii="新宋体" w:hAnsi="新宋体" w:eastAsia="新宋体" w:cs="新宋体"/>
                <w:color w:val="auto"/>
                <w:kern w:val="0"/>
                <w:szCs w:val="21"/>
                <w:highlight w:val="none"/>
              </w:rPr>
              <w:t>。</w:t>
            </w:r>
          </w:p>
          <w:p>
            <w:pPr>
              <w:snapToGrid w:val="0"/>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2、中标人提供履约担保的形式、金额及期限：</w:t>
            </w:r>
          </w:p>
          <w:p>
            <w:pPr>
              <w:snapToGrid w:val="0"/>
              <w:spacing w:line="400" w:lineRule="exact"/>
              <w:ind w:firstLine="420" w:firstLineChars="200"/>
              <w:rPr>
                <w:rFonts w:hint="eastAsia" w:ascii="新宋体" w:hAnsi="新宋体" w:eastAsia="新宋体" w:cs="新宋体"/>
                <w:color w:val="auto"/>
                <w:kern w:val="0"/>
                <w:szCs w:val="21"/>
                <w:highlight w:val="none"/>
                <w:lang w:val="en-US" w:eastAsia="zh-CN"/>
              </w:rPr>
            </w:pPr>
            <w:r>
              <w:rPr>
                <w:rFonts w:hint="eastAsia" w:ascii="新宋体" w:hAnsi="新宋体" w:eastAsia="新宋体" w:cs="新宋体"/>
                <w:color w:val="auto"/>
                <w:kern w:val="0"/>
                <w:szCs w:val="21"/>
                <w:highlight w:val="none"/>
              </w:rPr>
              <w:t>（1）履约担保的形式：现金或</w:t>
            </w:r>
            <w:r>
              <w:rPr>
                <w:rFonts w:hint="eastAsia" w:ascii="新宋体" w:hAnsi="新宋体" w:eastAsia="新宋体" w:cs="新宋体"/>
                <w:color w:val="auto"/>
                <w:kern w:val="0"/>
                <w:szCs w:val="21"/>
                <w:highlight w:val="none"/>
                <w:lang w:val="en-US" w:eastAsia="zh-CN"/>
              </w:rPr>
              <w:t>履约</w:t>
            </w:r>
            <w:r>
              <w:rPr>
                <w:rFonts w:hint="eastAsia" w:ascii="新宋体" w:hAnsi="新宋体" w:eastAsia="新宋体" w:cs="新宋体"/>
                <w:color w:val="auto"/>
                <w:kern w:val="0"/>
                <w:szCs w:val="21"/>
                <w:highlight w:val="none"/>
              </w:rPr>
              <w:t>保函或现金+</w:t>
            </w:r>
            <w:r>
              <w:rPr>
                <w:rFonts w:hint="eastAsia" w:ascii="新宋体" w:hAnsi="新宋体" w:eastAsia="新宋体" w:cs="新宋体"/>
                <w:color w:val="auto"/>
                <w:kern w:val="0"/>
                <w:szCs w:val="21"/>
                <w:highlight w:val="none"/>
                <w:lang w:val="en-US" w:eastAsia="zh-CN"/>
              </w:rPr>
              <w:t>履约</w:t>
            </w:r>
            <w:r>
              <w:rPr>
                <w:rFonts w:hint="eastAsia" w:ascii="新宋体" w:hAnsi="新宋体" w:eastAsia="新宋体" w:cs="新宋体"/>
                <w:color w:val="auto"/>
                <w:kern w:val="0"/>
                <w:szCs w:val="21"/>
                <w:highlight w:val="none"/>
              </w:rPr>
              <w:t>保函的组合</w:t>
            </w:r>
            <w:r>
              <w:rPr>
                <w:rFonts w:hint="eastAsia" w:ascii="新宋体" w:hAnsi="新宋体" w:eastAsia="新宋体" w:cs="新宋体"/>
                <w:color w:val="auto"/>
                <w:kern w:val="0"/>
                <w:szCs w:val="21"/>
                <w:highlight w:val="none"/>
                <w:lang w:eastAsia="zh-CN"/>
              </w:rPr>
              <w:t>，履约</w:t>
            </w:r>
            <w:r>
              <w:rPr>
                <w:rFonts w:hint="eastAsia" w:ascii="新宋体" w:hAnsi="新宋体" w:eastAsia="新宋体" w:cs="新宋体"/>
                <w:color w:val="auto"/>
                <w:kern w:val="0"/>
                <w:szCs w:val="21"/>
                <w:highlight w:val="none"/>
              </w:rPr>
              <w:t>保函包括银行保函、保证保险和担保保函</w:t>
            </w:r>
            <w:r>
              <w:rPr>
                <w:rFonts w:hint="eastAsia" w:ascii="新宋体" w:hAnsi="新宋体" w:eastAsia="新宋体" w:cs="新宋体"/>
                <w:color w:val="auto"/>
                <w:kern w:val="0"/>
                <w:szCs w:val="21"/>
                <w:highlight w:val="none"/>
                <w:lang w:eastAsia="zh-CN"/>
              </w:rPr>
              <w:t>，</w:t>
            </w:r>
            <w:r>
              <w:rPr>
                <w:rFonts w:hint="eastAsia" w:ascii="新宋体" w:hAnsi="新宋体" w:eastAsia="新宋体" w:cs="新宋体"/>
                <w:color w:val="auto"/>
                <w:kern w:val="0"/>
                <w:szCs w:val="21"/>
                <w:highlight w:val="none"/>
                <w:lang w:val="en-US" w:eastAsia="zh-CN"/>
              </w:rPr>
              <w:t>其示范文本详见第四章合同条款及格式附件</w:t>
            </w:r>
            <w:r>
              <w:rPr>
                <w:rFonts w:hint="eastAsia" w:ascii="新宋体" w:hAnsi="新宋体" w:eastAsia="新宋体" w:cs="新宋体"/>
                <w:color w:val="auto"/>
                <w:kern w:val="0"/>
                <w:szCs w:val="21"/>
                <w:highlight w:val="none"/>
                <w:lang w:eastAsia="zh-CN"/>
              </w:rPr>
              <w:t>。</w:t>
            </w:r>
            <w:r>
              <w:rPr>
                <w:rFonts w:hint="eastAsia" w:ascii="新宋体" w:hAnsi="新宋体" w:eastAsia="新宋体" w:cs="新宋体"/>
                <w:color w:val="auto"/>
                <w:kern w:val="0"/>
                <w:szCs w:val="21"/>
                <w:highlight w:val="none"/>
                <w:lang w:val="en-US" w:eastAsia="zh-CN"/>
              </w:rPr>
              <w:t>中标人提交的履约保函应</w:t>
            </w:r>
            <w:r>
              <w:rPr>
                <w:rFonts w:hint="eastAsia" w:ascii="新宋体" w:hAnsi="新宋体" w:eastAsia="新宋体" w:cs="新宋体"/>
                <w:color w:val="auto"/>
                <w:kern w:val="0"/>
                <w:szCs w:val="21"/>
                <w:highlight w:val="none"/>
              </w:rPr>
              <w:t>严格执行</w:t>
            </w:r>
            <w:r>
              <w:rPr>
                <w:rFonts w:hint="eastAsia" w:ascii="新宋体" w:hAnsi="新宋体" w:eastAsia="新宋体" w:cs="新宋体"/>
                <w:color w:val="auto"/>
                <w:kern w:val="0"/>
                <w:szCs w:val="21"/>
                <w:highlight w:val="none"/>
                <w:lang w:val="en-US" w:eastAsia="zh-CN"/>
              </w:rPr>
              <w:t>其</w:t>
            </w:r>
            <w:r>
              <w:rPr>
                <w:rFonts w:hint="eastAsia" w:ascii="新宋体" w:hAnsi="新宋体" w:eastAsia="新宋体" w:cs="新宋体"/>
                <w:color w:val="auto"/>
                <w:kern w:val="0"/>
                <w:szCs w:val="21"/>
                <w:highlight w:val="none"/>
              </w:rPr>
              <w:t>示范文本，不得对示范文本中的实质性内容进行修改</w:t>
            </w:r>
            <w:r>
              <w:rPr>
                <w:rFonts w:hint="eastAsia" w:ascii="新宋体" w:hAnsi="新宋体" w:eastAsia="新宋体" w:cs="新宋体"/>
                <w:color w:val="auto"/>
                <w:szCs w:val="21"/>
                <w:highlight w:val="none"/>
                <w:lang w:val="en-US" w:eastAsia="zh-CN"/>
              </w:rPr>
              <w:t>。</w:t>
            </w:r>
          </w:p>
          <w:p>
            <w:pPr>
              <w:snapToGrid w:val="0"/>
              <w:spacing w:line="400" w:lineRule="exact"/>
              <w:ind w:firstLine="420" w:firstLineChars="200"/>
              <w:rPr>
                <w:rFonts w:hint="eastAsia" w:ascii="新宋体" w:hAnsi="新宋体" w:eastAsia="新宋体" w:cs="新宋体"/>
                <w:color w:val="auto"/>
                <w:kern w:val="0"/>
                <w:szCs w:val="21"/>
                <w:highlight w:val="none"/>
                <w:lang w:val="en-US" w:eastAsia="zh-CN"/>
              </w:rPr>
            </w:pPr>
            <w:r>
              <w:rPr>
                <w:rFonts w:hint="eastAsia" w:ascii="新宋体" w:hAnsi="新宋体" w:eastAsia="新宋体" w:cs="新宋体"/>
                <w:color w:val="auto"/>
                <w:kern w:val="0"/>
                <w:szCs w:val="21"/>
                <w:highlight w:val="none"/>
                <w:lang w:val="en-US" w:eastAsia="zh-CN"/>
              </w:rPr>
              <w:t>（2）具体要求：履约保函</w:t>
            </w:r>
            <w:r>
              <w:rPr>
                <w:rFonts w:hint="eastAsia" w:ascii="新宋体" w:hAnsi="新宋体" w:eastAsia="新宋体" w:cs="新宋体"/>
                <w:color w:val="auto"/>
                <w:kern w:val="0"/>
                <w:szCs w:val="21"/>
                <w:highlight w:val="none"/>
              </w:rPr>
              <w:t>的开立人应当是具有相应资格的银行、保险机构、融资担保公司，其信用资质、履约能力、担保能力、赔付流程、安全保密等应符合</w:t>
            </w:r>
            <w:r>
              <w:rPr>
                <w:rFonts w:hint="eastAsia" w:ascii="新宋体" w:hAnsi="新宋体" w:eastAsia="新宋体" w:cs="新宋体"/>
                <w:color w:val="auto"/>
                <w:kern w:val="0"/>
                <w:szCs w:val="21"/>
                <w:highlight w:val="none"/>
                <w:lang w:eastAsia="zh-CN"/>
              </w:rPr>
              <w:t>履约</w:t>
            </w:r>
            <w:r>
              <w:rPr>
                <w:rFonts w:hint="eastAsia" w:ascii="新宋体" w:hAnsi="新宋体" w:eastAsia="新宋体" w:cs="新宋体"/>
                <w:color w:val="auto"/>
                <w:kern w:val="0"/>
                <w:szCs w:val="21"/>
                <w:highlight w:val="none"/>
              </w:rPr>
              <w:t>保函业务条件</w:t>
            </w:r>
            <w:r>
              <w:rPr>
                <w:rFonts w:hint="eastAsia" w:ascii="新宋体" w:hAnsi="新宋体" w:eastAsia="新宋体" w:cs="新宋体"/>
                <w:color w:val="auto"/>
                <w:kern w:val="0"/>
                <w:szCs w:val="21"/>
                <w:highlight w:val="none"/>
                <w:lang w:eastAsia="zh-CN"/>
              </w:rPr>
              <w:t>。</w:t>
            </w:r>
            <w:r>
              <w:rPr>
                <w:rFonts w:hint="eastAsia" w:ascii="新宋体" w:hAnsi="新宋体" w:eastAsia="新宋体" w:cs="新宋体"/>
                <w:color w:val="auto"/>
                <w:kern w:val="0"/>
                <w:szCs w:val="21"/>
                <w:highlight w:val="none"/>
                <w:lang w:val="en-US" w:eastAsia="zh-CN"/>
              </w:rPr>
              <w:t>履约保函</w:t>
            </w:r>
            <w:r>
              <w:rPr>
                <w:rFonts w:hint="eastAsia" w:ascii="新宋体" w:hAnsi="新宋体" w:eastAsia="新宋体" w:cs="新宋体"/>
                <w:color w:val="auto"/>
                <w:kern w:val="0"/>
                <w:szCs w:val="21"/>
                <w:highlight w:val="none"/>
                <w:lang w:eastAsia="zh-CN"/>
              </w:rPr>
              <w:t>应合法合规，符合招投标行政监督部门、行业主管部门和金融监管部门的相关规定，满足招标文件约定要求。</w:t>
            </w:r>
            <w:r>
              <w:rPr>
                <w:rFonts w:hint="eastAsia" w:ascii="新宋体" w:hAnsi="新宋体" w:eastAsia="新宋体" w:cs="新宋体"/>
                <w:color w:val="auto"/>
                <w:kern w:val="0"/>
                <w:szCs w:val="21"/>
                <w:highlight w:val="none"/>
                <w:lang w:val="en-US" w:eastAsia="zh-CN"/>
              </w:rPr>
              <w:t>中标人</w:t>
            </w:r>
            <w:r>
              <w:rPr>
                <w:rFonts w:hint="eastAsia" w:ascii="新宋体" w:hAnsi="新宋体" w:eastAsia="新宋体" w:cs="新宋体"/>
                <w:color w:val="auto"/>
                <w:kern w:val="0"/>
                <w:szCs w:val="21"/>
                <w:highlight w:val="none"/>
              </w:rPr>
              <w:t>应选择在渝依法设立总部或者设有分支机构的金融机构开具</w:t>
            </w:r>
            <w:r>
              <w:rPr>
                <w:rFonts w:hint="eastAsia" w:ascii="新宋体" w:hAnsi="新宋体" w:eastAsia="新宋体" w:cs="新宋体"/>
                <w:color w:val="auto"/>
                <w:kern w:val="0"/>
                <w:szCs w:val="21"/>
                <w:highlight w:val="none"/>
                <w:lang w:val="en-US" w:eastAsia="zh-CN"/>
              </w:rPr>
              <w:t>履约保函（包括纸质保函或电子保函）</w:t>
            </w:r>
            <w:r>
              <w:rPr>
                <w:rFonts w:hint="eastAsia" w:ascii="新宋体" w:hAnsi="新宋体" w:eastAsia="新宋体" w:cs="新宋体"/>
                <w:color w:val="auto"/>
                <w:kern w:val="0"/>
                <w:szCs w:val="21"/>
                <w:highlight w:val="none"/>
                <w:lang w:eastAsia="zh-CN"/>
              </w:rPr>
              <w:t>。</w:t>
            </w:r>
            <w:r>
              <w:rPr>
                <w:rFonts w:hint="eastAsia" w:ascii="新宋体" w:hAnsi="新宋体" w:eastAsia="新宋体" w:cs="新宋体"/>
                <w:color w:val="auto"/>
                <w:kern w:val="0"/>
                <w:szCs w:val="21"/>
                <w:highlight w:val="none"/>
                <w:lang w:val="en-US" w:eastAsia="zh-CN"/>
              </w:rPr>
              <w:t>履约保函为纸质保函的，纸质保函应注明在</w:t>
            </w:r>
            <w:r>
              <w:rPr>
                <w:rFonts w:hint="eastAsia" w:ascii="新宋体" w:hAnsi="新宋体" w:eastAsia="新宋体" w:cs="新宋体"/>
                <w:color w:val="auto"/>
                <w:kern w:val="0"/>
                <w:szCs w:val="21"/>
                <w:highlight w:val="none"/>
              </w:rPr>
              <w:t>重庆市辖区范围内的核验地址和核验方式</w:t>
            </w:r>
            <w:r>
              <w:rPr>
                <w:rFonts w:hint="eastAsia" w:ascii="新宋体" w:hAnsi="新宋体" w:eastAsia="新宋体" w:cs="新宋体"/>
                <w:color w:val="auto"/>
                <w:kern w:val="0"/>
                <w:szCs w:val="21"/>
                <w:highlight w:val="none"/>
                <w:lang w:eastAsia="zh-CN"/>
              </w:rPr>
              <w:t>，</w:t>
            </w:r>
            <w:r>
              <w:rPr>
                <w:rFonts w:hint="eastAsia" w:ascii="新宋体" w:hAnsi="新宋体" w:eastAsia="新宋体" w:cs="新宋体"/>
                <w:color w:val="auto"/>
                <w:kern w:val="0"/>
                <w:szCs w:val="21"/>
                <w:highlight w:val="none"/>
                <w:lang w:val="en-US" w:eastAsia="zh-CN"/>
              </w:rPr>
              <w:t>并确保该纸质保函能在开立人在渝的总部或者分支机构进行核验</w:t>
            </w:r>
            <w:r>
              <w:rPr>
                <w:rFonts w:hint="eastAsia" w:ascii="新宋体" w:hAnsi="新宋体" w:eastAsia="新宋体" w:cs="新宋体"/>
                <w:color w:val="auto"/>
                <w:kern w:val="0"/>
                <w:szCs w:val="21"/>
                <w:highlight w:val="none"/>
                <w:lang w:eastAsia="zh-CN"/>
              </w:rPr>
              <w:t>。</w:t>
            </w:r>
            <w:r>
              <w:rPr>
                <w:rFonts w:hint="eastAsia" w:ascii="新宋体" w:hAnsi="新宋体" w:eastAsia="新宋体" w:cs="新宋体"/>
                <w:color w:val="auto"/>
                <w:kern w:val="0"/>
                <w:szCs w:val="21"/>
                <w:highlight w:val="none"/>
                <w:lang w:val="en-US" w:eastAsia="zh-CN"/>
              </w:rPr>
              <w:t>中标人对所提交的履约保函的真实性、合法性、有效性负责。</w:t>
            </w:r>
          </w:p>
          <w:p>
            <w:pPr>
              <w:snapToGrid w:val="0"/>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w:t>
            </w:r>
            <w:r>
              <w:rPr>
                <w:rFonts w:hint="eastAsia" w:ascii="新宋体" w:hAnsi="新宋体" w:eastAsia="新宋体" w:cs="新宋体"/>
                <w:color w:val="auto"/>
                <w:kern w:val="0"/>
                <w:szCs w:val="21"/>
                <w:highlight w:val="none"/>
                <w:lang w:val="en-US" w:eastAsia="zh-CN"/>
              </w:rPr>
              <w:t>3</w:t>
            </w:r>
            <w:r>
              <w:rPr>
                <w:rFonts w:hint="eastAsia" w:ascii="新宋体" w:hAnsi="新宋体" w:eastAsia="新宋体" w:cs="新宋体"/>
                <w:color w:val="auto"/>
                <w:kern w:val="0"/>
                <w:szCs w:val="21"/>
                <w:highlight w:val="none"/>
              </w:rPr>
              <w:t>）履约担保的金额：</w:t>
            </w:r>
            <w:r>
              <w:rPr>
                <w:rFonts w:hint="eastAsia" w:ascii="新宋体" w:hAnsi="新宋体" w:eastAsia="新宋体" w:cs="新宋体"/>
                <w:color w:val="auto"/>
                <w:kern w:val="0"/>
                <w:szCs w:val="21"/>
                <w:highlight w:val="none"/>
                <w:u w:val="single"/>
                <w:lang w:val="en-US" w:eastAsia="zh-CN"/>
              </w:rPr>
              <w:t>中标金额的5%</w:t>
            </w:r>
            <w:r>
              <w:rPr>
                <w:rFonts w:hint="eastAsia" w:ascii="新宋体" w:hAnsi="新宋体" w:eastAsia="新宋体" w:cs="新宋体"/>
                <w:color w:val="auto"/>
                <w:kern w:val="0"/>
                <w:szCs w:val="21"/>
                <w:highlight w:val="none"/>
              </w:rPr>
              <w:t>，红名单中的中标人履约担保金额为应缴纳金额的</w:t>
            </w:r>
            <w:r>
              <w:rPr>
                <w:rFonts w:hint="eastAsia" w:ascii="新宋体" w:hAnsi="新宋体" w:eastAsia="新宋体" w:cs="新宋体"/>
                <w:color w:val="auto"/>
                <w:highlight w:val="none"/>
                <w:u w:val="single"/>
                <w:lang w:val="en-US" w:eastAsia="zh-CN"/>
              </w:rPr>
              <w:t>50%</w:t>
            </w:r>
            <w:r>
              <w:rPr>
                <w:rFonts w:hint="eastAsia" w:ascii="新宋体" w:hAnsi="新宋体" w:eastAsia="新宋体" w:cs="新宋体"/>
                <w:color w:val="auto"/>
                <w:kern w:val="0"/>
                <w:szCs w:val="21"/>
                <w:highlight w:val="none"/>
              </w:rPr>
              <w:t>。中标人是否属于红名单：以开标环节信用状况查询结果为准。</w:t>
            </w:r>
          </w:p>
          <w:p>
            <w:pPr>
              <w:snapToGrid w:val="0"/>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w:t>
            </w:r>
            <w:r>
              <w:rPr>
                <w:rFonts w:hint="eastAsia" w:ascii="新宋体" w:hAnsi="新宋体" w:eastAsia="新宋体" w:cs="新宋体"/>
                <w:color w:val="auto"/>
                <w:kern w:val="0"/>
                <w:szCs w:val="21"/>
                <w:highlight w:val="none"/>
                <w:lang w:val="en-US" w:eastAsia="zh-CN"/>
              </w:rPr>
              <w:t>4</w:t>
            </w:r>
            <w:r>
              <w:rPr>
                <w:rFonts w:hint="eastAsia" w:ascii="新宋体" w:hAnsi="新宋体" w:eastAsia="新宋体" w:cs="新宋体"/>
                <w:color w:val="auto"/>
                <w:kern w:val="0"/>
                <w:szCs w:val="21"/>
                <w:highlight w:val="none"/>
              </w:rPr>
              <w:t>）履约担保的提交时间：见专用合同条款。</w:t>
            </w:r>
          </w:p>
          <w:p>
            <w:pPr>
              <w:snapToGrid w:val="0"/>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w:t>
            </w:r>
            <w:r>
              <w:rPr>
                <w:rFonts w:hint="eastAsia" w:ascii="新宋体" w:hAnsi="新宋体" w:eastAsia="新宋体" w:cs="新宋体"/>
                <w:color w:val="auto"/>
                <w:kern w:val="0"/>
                <w:szCs w:val="21"/>
                <w:highlight w:val="none"/>
                <w:lang w:val="en-US" w:eastAsia="zh-CN"/>
              </w:rPr>
              <w:t>5</w:t>
            </w:r>
            <w:r>
              <w:rPr>
                <w:rFonts w:hint="eastAsia" w:ascii="新宋体" w:hAnsi="新宋体" w:eastAsia="新宋体" w:cs="新宋体"/>
                <w:color w:val="auto"/>
                <w:kern w:val="0"/>
                <w:szCs w:val="21"/>
                <w:highlight w:val="none"/>
              </w:rPr>
              <w:t>）履约担保的期限：见专用合同条款。</w:t>
            </w:r>
          </w:p>
          <w:p>
            <w:pPr>
              <w:snapToGrid w:val="0"/>
              <w:spacing w:after="62" w:afterLines="20"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w:t>
            </w:r>
            <w:r>
              <w:rPr>
                <w:rFonts w:hint="eastAsia" w:ascii="新宋体" w:hAnsi="新宋体" w:eastAsia="新宋体" w:cs="新宋体"/>
                <w:color w:val="auto"/>
                <w:kern w:val="0"/>
                <w:szCs w:val="21"/>
                <w:highlight w:val="none"/>
                <w:lang w:val="en-US" w:eastAsia="zh-CN"/>
              </w:rPr>
              <w:t>6</w:t>
            </w:r>
            <w:r>
              <w:rPr>
                <w:rFonts w:hint="eastAsia" w:ascii="新宋体" w:hAnsi="新宋体" w:eastAsia="新宋体" w:cs="新宋体"/>
                <w:color w:val="auto"/>
                <w:kern w:val="0"/>
                <w:szCs w:val="21"/>
                <w:highlight w:val="none"/>
              </w:rPr>
              <w:t>）履约担保的退还时间：见专用合同条款。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7.4.1</w:t>
            </w:r>
          </w:p>
        </w:tc>
        <w:tc>
          <w:tcPr>
            <w:tcW w:w="1644"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签订合同</w:t>
            </w:r>
          </w:p>
        </w:tc>
        <w:tc>
          <w:tcPr>
            <w:tcW w:w="6490" w:type="dxa"/>
            <w:vAlign w:val="center"/>
          </w:tcPr>
          <w:p>
            <w:pPr>
              <w:snapToGrid w:val="0"/>
              <w:spacing w:after="62" w:afterLines="20"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依法必须进行招标的项目，中标候选人有《招标投标法实施条例》第七十四条规定行为的，视为特别严重信用不良行为且情节特别严重，按信用记分上限一次性记12分，纳入黑名单管理；中标人有《招标投标法实施条例》第七十四条规定行为的，按中标项目金额10‰罚款上限予以行政处罚，按信用记分上限一次性并处记12分，纳入黑名单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8.1</w:t>
            </w:r>
          </w:p>
        </w:tc>
        <w:tc>
          <w:tcPr>
            <w:tcW w:w="1644"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重新招标的情形</w:t>
            </w:r>
          </w:p>
        </w:tc>
        <w:tc>
          <w:tcPr>
            <w:tcW w:w="6490" w:type="dxa"/>
            <w:vAlign w:val="center"/>
          </w:tcPr>
          <w:p>
            <w:pPr>
              <w:snapToGrid w:val="0"/>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1.按投标人须知第8.1（1）执行；</w:t>
            </w:r>
          </w:p>
          <w:p>
            <w:pPr>
              <w:snapToGrid w:val="0"/>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2.按投标人须知第8.1（2）执行；</w:t>
            </w:r>
          </w:p>
          <w:p>
            <w:pPr>
              <w:snapToGrid w:val="0"/>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snapToGrid w:val="0"/>
                <w:color w:val="auto"/>
                <w:kern w:val="0"/>
                <w:szCs w:val="21"/>
                <w:highlight w:val="none"/>
              </w:rPr>
              <w:t>3.</w:t>
            </w:r>
            <w:r>
              <w:rPr>
                <w:rFonts w:hint="eastAsia" w:ascii="新宋体" w:hAnsi="新宋体" w:eastAsia="新宋体" w:cs="新宋体"/>
                <w:color w:val="auto"/>
                <w:kern w:val="0"/>
                <w:szCs w:val="21"/>
                <w:highlight w:val="none"/>
              </w:rPr>
              <w:t>按投标人须知第8.1（3）执行；</w:t>
            </w:r>
          </w:p>
          <w:p>
            <w:pPr>
              <w:snapToGrid w:val="0"/>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snapToGrid w:val="0"/>
                <w:color w:val="auto"/>
                <w:kern w:val="0"/>
                <w:szCs w:val="21"/>
                <w:highlight w:val="none"/>
              </w:rPr>
              <w:t>4.</w:t>
            </w:r>
            <w:r>
              <w:rPr>
                <w:rFonts w:hint="eastAsia" w:ascii="新宋体" w:hAnsi="新宋体" w:eastAsia="新宋体" w:cs="新宋体"/>
                <w:color w:val="auto"/>
                <w:kern w:val="0"/>
                <w:szCs w:val="21"/>
                <w:highlight w:val="none"/>
              </w:rPr>
              <w:t>按投标人须知第8.1（4）执行。</w:t>
            </w:r>
          </w:p>
          <w:p>
            <w:pPr>
              <w:snapToGrid w:val="0"/>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注：本款只适用于首次招标。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8.2</w:t>
            </w:r>
          </w:p>
        </w:tc>
        <w:tc>
          <w:tcPr>
            <w:tcW w:w="1644" w:type="dxa"/>
            <w:vAlign w:val="center"/>
          </w:tcPr>
          <w:p>
            <w:pPr>
              <w:snapToGrid w:val="0"/>
              <w:spacing w:line="400" w:lineRule="exact"/>
              <w:jc w:val="center"/>
              <w:rPr>
                <w:rFonts w:hint="eastAsia" w:ascii="新宋体" w:hAnsi="新宋体" w:eastAsia="新宋体" w:cs="新宋体"/>
                <w:color w:val="auto"/>
                <w:highlight w:val="none"/>
              </w:rPr>
            </w:pPr>
            <w:bookmarkStart w:id="94" w:name="_Toc430530434"/>
            <w:bookmarkStart w:id="95" w:name="_Toc509218709"/>
            <w:bookmarkStart w:id="96" w:name="_Toc16930431"/>
            <w:bookmarkStart w:id="97" w:name="_Toc536628250"/>
            <w:bookmarkStart w:id="98" w:name="_Toc13210670"/>
            <w:r>
              <w:rPr>
                <w:rFonts w:hint="eastAsia" w:ascii="新宋体" w:hAnsi="新宋体" w:eastAsia="新宋体" w:cs="新宋体"/>
                <w:color w:val="auto"/>
                <w:kern w:val="0"/>
                <w:szCs w:val="21"/>
                <w:highlight w:val="none"/>
              </w:rPr>
              <w:t>重新招标和不再招标</w:t>
            </w:r>
            <w:bookmarkEnd w:id="94"/>
            <w:bookmarkEnd w:id="95"/>
            <w:bookmarkEnd w:id="96"/>
            <w:bookmarkEnd w:id="97"/>
            <w:bookmarkEnd w:id="98"/>
          </w:p>
        </w:tc>
        <w:tc>
          <w:tcPr>
            <w:tcW w:w="6490" w:type="dxa"/>
            <w:vAlign w:val="center"/>
          </w:tcPr>
          <w:p>
            <w:pPr>
              <w:autoSpaceDE w:val="0"/>
              <w:autoSpaceDN w:val="0"/>
              <w:adjustRightInd w:val="0"/>
              <w:snapToGrid w:val="0"/>
              <w:spacing w:after="62" w:afterLines="20" w:line="400" w:lineRule="exact"/>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10</w:t>
            </w:r>
          </w:p>
        </w:tc>
        <w:tc>
          <w:tcPr>
            <w:tcW w:w="8134" w:type="dxa"/>
            <w:gridSpan w:val="2"/>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新宋体" w:hAnsi="新宋体" w:eastAsia="新宋体" w:cs="新宋体"/>
                <w:color w:val="auto"/>
                <w:kern w:val="0"/>
                <w:szCs w:val="21"/>
                <w:highlight w:val="none"/>
                <w:lang w:eastAsia="zh-CN"/>
              </w:rPr>
            </w:pPr>
            <w:r>
              <w:rPr>
                <w:rFonts w:hint="eastAsia" w:ascii="新宋体" w:hAnsi="新宋体" w:eastAsia="新宋体" w:cs="新宋体"/>
                <w:color w:val="auto"/>
                <w:kern w:val="0"/>
                <w:szCs w:val="21"/>
                <w:highlight w:val="none"/>
              </w:rPr>
              <w:t>10.</w:t>
            </w:r>
            <w:r>
              <w:rPr>
                <w:rFonts w:hint="eastAsia" w:ascii="新宋体" w:hAnsi="新宋体" w:eastAsia="新宋体" w:cs="新宋体"/>
                <w:color w:val="auto"/>
                <w:kern w:val="0"/>
                <w:szCs w:val="21"/>
                <w:highlight w:val="none"/>
                <w:lang w:val="en-US" w:eastAsia="zh-CN"/>
              </w:rPr>
              <w:t>1</w:t>
            </w:r>
          </w:p>
        </w:tc>
        <w:tc>
          <w:tcPr>
            <w:tcW w:w="1644"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异议、投诉处理</w:t>
            </w:r>
          </w:p>
        </w:tc>
        <w:tc>
          <w:tcPr>
            <w:tcW w:w="6490" w:type="dxa"/>
            <w:vAlign w:val="center"/>
          </w:tcPr>
          <w:p>
            <w:pPr>
              <w:widowControl/>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1. 投标人或者其他利害关系人就本项目的招标文件（含澄清修改）、开标情况、评标结果等事项提出投诉的，应当先向招标人提出异议；招标人应当在规定时间内答复；对招标人的答复不满意，可向行政监督部门投诉。</w:t>
            </w:r>
          </w:p>
          <w:p>
            <w:pPr>
              <w:widowControl/>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提出异议或投诉时应当包括下列内容：</w:t>
            </w:r>
          </w:p>
          <w:p>
            <w:pPr>
              <w:widowControl/>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（1）异议</w:t>
            </w:r>
            <w:r>
              <w:rPr>
                <w:rFonts w:hint="eastAsia" w:ascii="新宋体" w:hAnsi="新宋体" w:eastAsia="新宋体" w:cs="新宋体"/>
                <w:color w:val="auto"/>
                <w:kern w:val="0"/>
                <w:szCs w:val="21"/>
                <w:highlight w:val="none"/>
                <w:lang w:val="en-US" w:eastAsia="zh-CN"/>
              </w:rPr>
              <w:t>人</w:t>
            </w:r>
            <w:r>
              <w:rPr>
                <w:rFonts w:hint="eastAsia" w:ascii="新宋体" w:hAnsi="新宋体" w:eastAsia="新宋体" w:cs="新宋体"/>
                <w:color w:val="auto"/>
                <w:kern w:val="0"/>
                <w:szCs w:val="21"/>
                <w:highlight w:val="none"/>
              </w:rPr>
              <w:t>或投诉人的名称、地址及有效联系方式；</w:t>
            </w:r>
          </w:p>
          <w:p>
            <w:pPr>
              <w:widowControl/>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（2）被异议</w:t>
            </w:r>
            <w:r>
              <w:rPr>
                <w:rFonts w:hint="eastAsia" w:ascii="新宋体" w:hAnsi="新宋体" w:eastAsia="新宋体" w:cs="新宋体"/>
                <w:color w:val="auto"/>
                <w:kern w:val="0"/>
                <w:szCs w:val="21"/>
                <w:highlight w:val="none"/>
                <w:lang w:val="en-US" w:eastAsia="zh-CN"/>
              </w:rPr>
              <w:t>人</w:t>
            </w:r>
            <w:r>
              <w:rPr>
                <w:rFonts w:hint="eastAsia" w:ascii="新宋体" w:hAnsi="新宋体" w:eastAsia="新宋体" w:cs="新宋体"/>
                <w:color w:val="auto"/>
                <w:kern w:val="0"/>
                <w:szCs w:val="21"/>
                <w:highlight w:val="none"/>
              </w:rPr>
              <w:t>或</w:t>
            </w:r>
            <w:r>
              <w:rPr>
                <w:rFonts w:hint="eastAsia" w:ascii="新宋体" w:hAnsi="新宋体" w:eastAsia="新宋体" w:cs="新宋体"/>
                <w:color w:val="auto"/>
                <w:kern w:val="0"/>
                <w:szCs w:val="21"/>
                <w:highlight w:val="none"/>
                <w:lang w:val="en-US" w:eastAsia="zh-CN"/>
              </w:rPr>
              <w:t>被</w:t>
            </w:r>
            <w:r>
              <w:rPr>
                <w:rFonts w:hint="eastAsia" w:ascii="新宋体" w:hAnsi="新宋体" w:eastAsia="新宋体" w:cs="新宋体"/>
                <w:color w:val="auto"/>
                <w:kern w:val="0"/>
                <w:szCs w:val="21"/>
                <w:highlight w:val="none"/>
              </w:rPr>
              <w:t>投诉人的名称、地址及有效联系方式；</w:t>
            </w:r>
          </w:p>
          <w:p>
            <w:pPr>
              <w:widowControl/>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（3）异议或投诉事项的基本事实；</w:t>
            </w:r>
          </w:p>
          <w:p>
            <w:pPr>
              <w:widowControl/>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（4）请求及主张；</w:t>
            </w:r>
          </w:p>
          <w:p>
            <w:pPr>
              <w:widowControl/>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（5）涉及事项的证据、证明材料。</w:t>
            </w:r>
          </w:p>
          <w:p>
            <w:pPr>
              <w:widowControl/>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异议人或投诉人是法人的，异议书或投诉书必须由其法定代表人或者委托代理人签名并加盖单位</w:t>
            </w:r>
            <w:r>
              <w:rPr>
                <w:rFonts w:hint="eastAsia" w:ascii="新宋体" w:hAnsi="新宋体" w:eastAsia="新宋体" w:cs="新宋体"/>
                <w:color w:val="auto"/>
                <w:kern w:val="0"/>
                <w:szCs w:val="21"/>
                <w:highlight w:val="none"/>
                <w:lang w:val="en-US"/>
              </w:rPr>
              <w:t>公</w:t>
            </w:r>
            <w:r>
              <w:rPr>
                <w:rFonts w:hint="eastAsia" w:ascii="新宋体" w:hAnsi="新宋体" w:eastAsia="新宋体" w:cs="新宋体"/>
                <w:color w:val="auto"/>
                <w:kern w:val="0"/>
                <w:szCs w:val="21"/>
                <w:highlight w:val="none"/>
              </w:rPr>
              <w:t>章；异议人或投诉人是其他组织或者自然人的，异议书或投诉书必须由其主要负责人签名或者异议人（或投诉人）本人签名，并附有效身份证明。如有关材料是外文，应当同时提供中文译本。</w:t>
            </w:r>
          </w:p>
          <w:p>
            <w:pPr>
              <w:widowControl/>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2. 行政监督部门依照《中华人民共和国招标投标法》、《中华人民共和国招标投标法实施条例》、《重庆市招标投标条例》、《工程建设项目招标投标活动投诉处理办法》（七部委令第11号（根据九部门2013年第23号令修正））、《关于印发&lt;重庆市招标投标活动投诉处理实施细则（修订）&gt;的通知》（渝公管发〔2021〕54号）等法律法规文件处理投诉。</w:t>
            </w:r>
          </w:p>
          <w:p>
            <w:pPr>
              <w:snapToGrid w:val="0"/>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3. 根据《重庆市工程建设领域招标投标信用管理暂行办法》的规定，投标人捏造事实、伪造材料，或者以非法手段获取证明材料进行质疑或者投诉的，将被列入黑名单管理；给他人造成损失的，依法承担赔偿责任。</w:t>
            </w:r>
          </w:p>
          <w:p>
            <w:pPr>
              <w:snapToGrid w:val="0"/>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4.</w:t>
            </w:r>
            <w:r>
              <w:rPr>
                <w:rFonts w:hint="eastAsia" w:ascii="新宋体" w:hAnsi="新宋体" w:eastAsia="新宋体" w:cs="新宋体"/>
                <w:color w:val="auto"/>
                <w:highlight w:val="none"/>
              </w:rPr>
              <w:t xml:space="preserve"> </w:t>
            </w:r>
            <w:r>
              <w:rPr>
                <w:rFonts w:hint="eastAsia" w:ascii="新宋体" w:hAnsi="新宋体" w:eastAsia="新宋体" w:cs="新宋体"/>
                <w:color w:val="auto"/>
                <w:kern w:val="0"/>
                <w:szCs w:val="21"/>
                <w:highlight w:val="none"/>
              </w:rPr>
              <w:t>异议</w:t>
            </w:r>
            <w:r>
              <w:rPr>
                <w:rFonts w:hint="eastAsia" w:ascii="新宋体" w:hAnsi="新宋体" w:eastAsia="新宋体" w:cs="新宋体"/>
                <w:color w:val="auto"/>
                <w:kern w:val="0"/>
                <w:szCs w:val="21"/>
                <w:highlight w:val="none"/>
                <w:lang w:val="en-US" w:eastAsia="zh-CN"/>
              </w:rPr>
              <w:t>及</w:t>
            </w:r>
            <w:r>
              <w:rPr>
                <w:rFonts w:hint="eastAsia" w:ascii="新宋体" w:hAnsi="新宋体" w:eastAsia="新宋体" w:cs="新宋体"/>
                <w:color w:val="auto"/>
                <w:kern w:val="0"/>
                <w:szCs w:val="21"/>
                <w:highlight w:val="none"/>
              </w:rPr>
              <w:t>投诉受理部门：重庆渝蓉高速中油能源发展有限公司</w:t>
            </w:r>
          </w:p>
          <w:p>
            <w:pPr>
              <w:snapToGrid w:val="0"/>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联系电话：023-81398897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新宋体" w:hAnsi="新宋体" w:eastAsia="新宋体" w:cs="新宋体"/>
                <w:color w:val="auto"/>
                <w:kern w:val="0"/>
                <w:szCs w:val="21"/>
                <w:highlight w:val="none"/>
                <w:lang w:eastAsia="zh-CN"/>
              </w:rPr>
            </w:pPr>
            <w:r>
              <w:rPr>
                <w:rFonts w:hint="eastAsia" w:ascii="新宋体" w:hAnsi="新宋体" w:eastAsia="新宋体" w:cs="新宋体"/>
                <w:color w:val="auto"/>
                <w:kern w:val="0"/>
                <w:szCs w:val="21"/>
                <w:highlight w:val="none"/>
              </w:rPr>
              <w:t>10.</w:t>
            </w:r>
            <w:r>
              <w:rPr>
                <w:rFonts w:hint="eastAsia" w:ascii="新宋体" w:hAnsi="新宋体" w:eastAsia="新宋体" w:cs="新宋体"/>
                <w:color w:val="auto"/>
                <w:kern w:val="0"/>
                <w:szCs w:val="21"/>
                <w:highlight w:val="none"/>
                <w:lang w:val="en-US" w:eastAsia="zh-CN"/>
              </w:rPr>
              <w:t>2</w:t>
            </w:r>
          </w:p>
        </w:tc>
        <w:tc>
          <w:tcPr>
            <w:tcW w:w="1644"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关于对招标文件及投标争议的解释</w:t>
            </w:r>
          </w:p>
        </w:tc>
        <w:tc>
          <w:tcPr>
            <w:tcW w:w="6490" w:type="dxa"/>
            <w:vAlign w:val="center"/>
          </w:tcPr>
          <w:p>
            <w:pPr>
              <w:autoSpaceDE w:val="0"/>
              <w:autoSpaceDN w:val="0"/>
              <w:adjustRightInd w:val="0"/>
              <w:snapToGrid w:val="0"/>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对资格预审文件或者招标文件的评标标准和方法，以及资格审查和否决投标条款理解有争议的，应当作出不利于招标人的解释，但违背国家利益、社会公共利益的除外。</w:t>
            </w:r>
          </w:p>
          <w:p>
            <w:pPr>
              <w:autoSpaceDE w:val="0"/>
              <w:autoSpaceDN w:val="0"/>
              <w:adjustRightInd w:val="0"/>
              <w:snapToGrid w:val="0"/>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新宋体" w:hAnsi="新宋体" w:eastAsia="新宋体" w:cs="新宋体"/>
                <w:color w:val="auto"/>
                <w:kern w:val="0"/>
                <w:szCs w:val="21"/>
                <w:highlight w:val="none"/>
                <w:lang w:eastAsia="zh-CN"/>
              </w:rPr>
            </w:pPr>
            <w:r>
              <w:rPr>
                <w:rFonts w:hint="eastAsia" w:ascii="新宋体" w:hAnsi="新宋体" w:eastAsia="新宋体" w:cs="新宋体"/>
                <w:color w:val="auto"/>
                <w:kern w:val="0"/>
                <w:szCs w:val="21"/>
                <w:highlight w:val="none"/>
              </w:rPr>
              <w:t>10.</w:t>
            </w:r>
            <w:r>
              <w:rPr>
                <w:rFonts w:hint="eastAsia" w:ascii="新宋体" w:hAnsi="新宋体" w:eastAsia="新宋体" w:cs="新宋体"/>
                <w:color w:val="auto"/>
                <w:kern w:val="0"/>
                <w:szCs w:val="21"/>
                <w:highlight w:val="none"/>
                <w:lang w:val="en-US" w:eastAsia="zh-CN"/>
              </w:rPr>
              <w:t>3</w:t>
            </w:r>
          </w:p>
        </w:tc>
        <w:tc>
          <w:tcPr>
            <w:tcW w:w="1644" w:type="dxa"/>
            <w:vAlign w:val="center"/>
          </w:tcPr>
          <w:p>
            <w:pPr>
              <w:snapToGrid w:val="0"/>
              <w:spacing w:line="400" w:lineRule="exact"/>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投标人注意事项</w:t>
            </w:r>
          </w:p>
        </w:tc>
        <w:tc>
          <w:tcPr>
            <w:tcW w:w="6490" w:type="dxa"/>
            <w:vAlign w:val="center"/>
          </w:tcPr>
          <w:p>
            <w:pPr>
              <w:autoSpaceDE w:val="0"/>
              <w:autoSpaceDN w:val="0"/>
              <w:adjustRightInd w:val="0"/>
              <w:snapToGrid w:val="0"/>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1. 本次投标采用全流程电子开评标模式，第一次参与投标的单位务必在</w:t>
            </w:r>
            <w:r>
              <w:rPr>
                <w:rFonts w:hint="eastAsia" w:ascii="新宋体" w:hAnsi="新宋体" w:eastAsia="新宋体" w:cs="新宋体"/>
                <w:color w:val="auto"/>
                <w:kern w:val="0"/>
                <w:szCs w:val="21"/>
                <w:highlight w:val="none"/>
                <w:u w:val="single"/>
              </w:rPr>
              <w:t>重庆市公共资源交易网（www.cqggzy.com）</w:t>
            </w:r>
            <w:r>
              <w:rPr>
                <w:rFonts w:hint="eastAsia" w:ascii="新宋体" w:hAnsi="新宋体" w:eastAsia="新宋体" w:cs="新宋体"/>
                <w:color w:val="auto"/>
                <w:kern w:val="0"/>
                <w:szCs w:val="21"/>
                <w:highlight w:val="none"/>
              </w:rPr>
              <w:t>完成市场主体信息登记以及 CA 数字证书办理，并且下载新点投标文件制作软件（重庆版）制作投标文件。</w:t>
            </w:r>
          </w:p>
          <w:p>
            <w:pPr>
              <w:autoSpaceDE w:val="0"/>
              <w:autoSpaceDN w:val="0"/>
              <w:adjustRightInd w:val="0"/>
              <w:snapToGrid w:val="0"/>
              <w:spacing w:line="400" w:lineRule="exact"/>
              <w:ind w:firstLine="420" w:firstLineChars="200"/>
              <w:jc w:val="left"/>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2. 制作投标文件需要使用CA 数字证书加密，并且加盖电子印章，CA 数字证书购买及办理方式请参见</w:t>
            </w:r>
            <w:r>
              <w:rPr>
                <w:rFonts w:hint="eastAsia" w:ascii="新宋体" w:hAnsi="新宋体" w:eastAsia="新宋体" w:cs="新宋体"/>
                <w:color w:val="auto"/>
                <w:kern w:val="0"/>
                <w:szCs w:val="21"/>
                <w:highlight w:val="none"/>
                <w:u w:val="single"/>
              </w:rPr>
              <w:t>重庆市公共资源交易网（www.cqggzy.com）</w:t>
            </w:r>
            <w:r>
              <w:rPr>
                <w:rFonts w:hint="eastAsia" w:ascii="新宋体" w:hAnsi="新宋体" w:eastAsia="新宋体" w:cs="新宋体"/>
                <w:color w:val="auto"/>
                <w:kern w:val="0"/>
                <w:szCs w:val="21"/>
                <w:highlight w:val="none"/>
              </w:rPr>
              <w:t>导航栏“主体信息”页面中“市场主体信息登记”“CA数字证书办理”。</w:t>
            </w:r>
          </w:p>
          <w:p>
            <w:pPr>
              <w:autoSpaceDE w:val="0"/>
              <w:autoSpaceDN w:val="0"/>
              <w:adjustRightInd w:val="0"/>
              <w:snapToGrid w:val="0"/>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3. 投标人应当在投标截止时间前，通过互联网使用CA数字证书登录重庆市电子招投标系统，将加密的电子投标文件上传，未按规定加密将无法上传。投标人应充分考虑上传文件时的不可预见因素，逾期未完成上传投标文件的，视为撤回投标文件。</w:t>
            </w:r>
          </w:p>
          <w:p>
            <w:pPr>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4.</w:t>
            </w:r>
            <w:r>
              <w:rPr>
                <w:rFonts w:hint="eastAsia" w:ascii="新宋体" w:hAnsi="新宋体" w:eastAsia="新宋体" w:cs="新宋体"/>
                <w:color w:val="auto"/>
                <w:kern w:val="0"/>
                <w:szCs w:val="21"/>
                <w:highlight w:val="none"/>
                <w:lang w:val="en-US" w:eastAsia="zh-CN"/>
              </w:rPr>
              <w:t xml:space="preserve"> </w:t>
            </w:r>
            <w:r>
              <w:rPr>
                <w:rFonts w:hint="eastAsia" w:ascii="新宋体" w:hAnsi="新宋体" w:eastAsia="新宋体" w:cs="新宋体"/>
                <w:color w:val="auto"/>
                <w:kern w:val="0"/>
                <w:szCs w:val="21"/>
                <w:highlight w:val="none"/>
              </w:rPr>
              <w:t>开标活动由招标人主持，邀请所有投标人参加。投标人未在开标现场提出异议，或者不见面开标系统未收到投标人异议的（采用不见面开标方式时适用），视为投标人默认开标结果。</w:t>
            </w:r>
          </w:p>
          <w:p>
            <w:pPr>
              <w:autoSpaceDE w:val="0"/>
              <w:autoSpaceDN w:val="0"/>
              <w:adjustRightInd w:val="0"/>
              <w:snapToGrid w:val="0"/>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lang w:val="en-US" w:eastAsia="zh-CN"/>
              </w:rPr>
              <w:t>5</w:t>
            </w:r>
            <w:r>
              <w:rPr>
                <w:rFonts w:hint="eastAsia" w:ascii="新宋体" w:hAnsi="新宋体" w:eastAsia="新宋体" w:cs="新宋体"/>
                <w:color w:val="auto"/>
                <w:kern w:val="0"/>
                <w:szCs w:val="21"/>
                <w:highlight w:val="none"/>
              </w:rPr>
              <w:t>. 投标人应按时解密，在评标结束前应在线或在现场关注项目进展情况，确保通讯联系正常。如评标委员会要求投标人澄清的，投标人应确保及时回复，否则视为拒绝按评标委员会要求澄清、说明或补正。</w:t>
            </w:r>
          </w:p>
          <w:p>
            <w:pPr>
              <w:autoSpaceDE w:val="0"/>
              <w:autoSpaceDN w:val="0"/>
              <w:adjustRightInd w:val="0"/>
              <w:snapToGrid w:val="0"/>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6</w:t>
            </w:r>
            <w:r>
              <w:rPr>
                <w:rFonts w:hint="eastAsia" w:ascii="新宋体" w:hAnsi="新宋体" w:eastAsia="新宋体" w:cs="新宋体"/>
                <w:color w:val="auto"/>
                <w:kern w:val="0"/>
                <w:szCs w:val="21"/>
                <w:highlight w:val="none"/>
                <w:lang w:val="en-US" w:eastAsia="zh-CN"/>
              </w:rPr>
              <w:t xml:space="preserve">. </w:t>
            </w:r>
            <w:r>
              <w:rPr>
                <w:rFonts w:hint="eastAsia" w:ascii="新宋体" w:hAnsi="新宋体" w:eastAsia="新宋体" w:cs="新宋体"/>
                <w:color w:val="auto"/>
                <w:kern w:val="0"/>
                <w:szCs w:val="21"/>
                <w:highlight w:val="none"/>
              </w:rPr>
              <w:t>电子投标文件制作</w:t>
            </w:r>
          </w:p>
          <w:p>
            <w:pPr>
              <w:autoSpaceDE w:val="0"/>
              <w:autoSpaceDN w:val="0"/>
              <w:adjustRightInd w:val="0"/>
              <w:snapToGrid w:val="0"/>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（1）电子投标文件由投标人使用专用的“新点投标文件制作软件（重庆版）”制作生成。</w:t>
            </w:r>
          </w:p>
          <w:p>
            <w:pPr>
              <w:autoSpaceDE w:val="0"/>
              <w:autoSpaceDN w:val="0"/>
              <w:adjustRightInd w:val="0"/>
              <w:snapToGrid w:val="0"/>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（2）投标人在编制电子投标文件时应当建立分级目录，并按照标签提示导入相关内容。</w:t>
            </w:r>
          </w:p>
          <w:p>
            <w:pPr>
              <w:autoSpaceDE w:val="0"/>
              <w:autoSpaceDN w:val="0"/>
              <w:adjustRightInd w:val="0"/>
              <w:snapToGrid w:val="0"/>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（3）第</w:t>
            </w:r>
            <w:r>
              <w:rPr>
                <w:rFonts w:hint="eastAsia" w:ascii="新宋体" w:hAnsi="新宋体" w:eastAsia="新宋体" w:cs="新宋体"/>
                <w:color w:val="auto"/>
                <w:kern w:val="0"/>
                <w:szCs w:val="21"/>
                <w:highlight w:val="none"/>
                <w:lang w:val="en-US" w:eastAsia="zh-CN"/>
              </w:rPr>
              <w:t>六</w:t>
            </w:r>
            <w:r>
              <w:rPr>
                <w:rFonts w:hint="eastAsia" w:ascii="新宋体" w:hAnsi="新宋体" w:eastAsia="新宋体" w:cs="新宋体"/>
                <w:color w:val="auto"/>
                <w:kern w:val="0"/>
                <w:szCs w:val="21"/>
                <w:highlight w:val="none"/>
              </w:rPr>
              <w:t>章 投标文件格式要求法定代表人或其委托代理人签名（或盖章）的须齐全，要求签名的，签名采用手写签名或签章或加盖CA数字证书均可，要求加盖单位法人章的，应使用 CA 数字证书加盖投标人的单位电子印章。</w:t>
            </w:r>
          </w:p>
          <w:p>
            <w:pPr>
              <w:autoSpaceDE w:val="0"/>
              <w:autoSpaceDN w:val="0"/>
              <w:adjustRightInd w:val="0"/>
              <w:snapToGrid w:val="0"/>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（4）电子投标文件制作完成后，将生成一份加密的电子投标文件（后缀名为.CQTF）和一份不加密的电子投标文件（后缀名为.nCQTF）。</w:t>
            </w:r>
          </w:p>
          <w:p>
            <w:pPr>
              <w:autoSpaceDE w:val="0"/>
              <w:autoSpaceDN w:val="0"/>
              <w:adjustRightInd w:val="0"/>
              <w:snapToGrid w:val="0"/>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（5）投标人如需递交不加密电子投标文件的，应将不加密的电子投标文件复制到一张光盘中，光盘表面粘贴标签贴，并将招标项目名称、投标人名称等信息填写在标签贴上。</w:t>
            </w:r>
          </w:p>
          <w:p>
            <w:pPr>
              <w:autoSpaceDE w:val="0"/>
              <w:autoSpaceDN w:val="0"/>
              <w:adjustRightInd w:val="0"/>
              <w:snapToGrid w:val="0"/>
              <w:spacing w:line="400" w:lineRule="exact"/>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（6）电子投标文件制作的具体方法详见“新点投标文件制作软件（重庆版）”中的帮助文档。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新宋体" w:hAnsi="新宋体" w:eastAsia="新宋体" w:cs="新宋体"/>
                <w:color w:val="auto"/>
                <w:kern w:val="0"/>
                <w:szCs w:val="21"/>
                <w:highlight w:val="none"/>
                <w:lang w:val="en-US" w:eastAsia="zh-CN"/>
              </w:rPr>
            </w:pPr>
            <w:r>
              <w:rPr>
                <w:rFonts w:hint="eastAsia" w:ascii="新宋体" w:hAnsi="新宋体" w:eastAsia="新宋体" w:cs="新宋体"/>
                <w:color w:val="auto"/>
                <w:kern w:val="0"/>
                <w:szCs w:val="21"/>
                <w:highlight w:val="none"/>
              </w:rPr>
              <w:t>10.</w:t>
            </w:r>
            <w:r>
              <w:rPr>
                <w:rFonts w:hint="eastAsia" w:ascii="新宋体" w:hAnsi="新宋体" w:eastAsia="新宋体" w:cs="新宋体"/>
                <w:color w:val="auto"/>
                <w:kern w:val="0"/>
                <w:szCs w:val="21"/>
                <w:highlight w:val="none"/>
                <w:lang w:val="en-US" w:eastAsia="zh-CN"/>
              </w:rPr>
              <w:t>4</w:t>
            </w:r>
          </w:p>
        </w:tc>
        <w:tc>
          <w:tcPr>
            <w:tcW w:w="1644" w:type="dxa"/>
            <w:vAlign w:val="center"/>
          </w:tcPr>
          <w:p>
            <w:pPr>
              <w:snapToGrid w:val="0"/>
              <w:spacing w:line="400" w:lineRule="exact"/>
              <w:jc w:val="center"/>
              <w:rPr>
                <w:rFonts w:hint="eastAsia" w:ascii="新宋体" w:hAnsi="新宋体" w:eastAsia="新宋体" w:cs="新宋体"/>
                <w:color w:val="auto"/>
                <w:kern w:val="0"/>
                <w:szCs w:val="21"/>
                <w:highlight w:val="none"/>
                <w:lang w:val="en-US" w:eastAsia="zh-CN"/>
              </w:rPr>
            </w:pPr>
            <w:r>
              <w:rPr>
                <w:rFonts w:hint="eastAsia" w:ascii="新宋体" w:hAnsi="新宋体" w:eastAsia="新宋体" w:cs="新宋体"/>
                <w:color w:val="auto"/>
                <w:kern w:val="0"/>
                <w:szCs w:val="21"/>
                <w:highlight w:val="none"/>
                <w:lang w:val="en-US" w:eastAsia="zh-CN"/>
              </w:rPr>
              <w:t>交易服务费</w:t>
            </w:r>
          </w:p>
        </w:tc>
        <w:tc>
          <w:tcPr>
            <w:tcW w:w="6490" w:type="dxa"/>
            <w:vAlign w:val="center"/>
          </w:tcPr>
          <w:p>
            <w:pPr>
              <w:autoSpaceDE w:val="0"/>
              <w:autoSpaceDN w:val="0"/>
              <w:adjustRightInd w:val="0"/>
              <w:snapToGrid w:val="0"/>
              <w:spacing w:line="400" w:lineRule="exact"/>
              <w:ind w:firstLine="420" w:firstLineChars="200"/>
              <w:rPr>
                <w:rFonts w:hint="eastAsia" w:ascii="新宋体" w:hAnsi="新宋体" w:eastAsia="新宋体" w:cs="新宋体"/>
                <w:color w:val="auto"/>
                <w:kern w:val="0"/>
                <w:szCs w:val="21"/>
                <w:highlight w:val="none"/>
                <w:lang w:eastAsia="zh-CN"/>
              </w:rPr>
            </w:pPr>
            <w:r>
              <w:rPr>
                <w:rFonts w:hint="eastAsia" w:ascii="新宋体" w:hAnsi="新宋体" w:eastAsia="新宋体" w:cs="新宋体"/>
                <w:color w:val="auto"/>
                <w:kern w:val="0"/>
                <w:szCs w:val="21"/>
                <w:highlight w:val="none"/>
              </w:rPr>
              <w:t>按重庆市发展和改革委员会关于重庆联合产权交易所集团股份有限公司（重庆市公共资源交易中心）交易服务收费有关事项的通知（渝发改收费﹝2023﹞115号）规定执行</w:t>
            </w:r>
            <w:r>
              <w:rPr>
                <w:rFonts w:hint="eastAsia" w:ascii="新宋体" w:hAnsi="新宋体" w:eastAsia="新宋体" w:cs="新宋体"/>
                <w:color w:val="auto"/>
                <w:kern w:val="0"/>
                <w:szCs w:val="21"/>
                <w:highlight w:val="none"/>
                <w:lang w:eastAsia="zh-CN"/>
              </w:rPr>
              <w:t>。</w:t>
            </w:r>
          </w:p>
          <w:p>
            <w:pPr>
              <w:autoSpaceDE w:val="0"/>
              <w:autoSpaceDN w:val="0"/>
              <w:adjustRightInd w:val="0"/>
              <w:snapToGrid w:val="0"/>
              <w:spacing w:line="400" w:lineRule="exact"/>
              <w:ind w:firstLine="420" w:firstLineChars="200"/>
              <w:rPr>
                <w:rFonts w:hint="eastAsia" w:ascii="新宋体" w:hAnsi="新宋体" w:eastAsia="新宋体" w:cs="新宋体"/>
                <w:color w:val="auto"/>
                <w:kern w:val="0"/>
                <w:szCs w:val="21"/>
                <w:highlight w:val="none"/>
                <w:lang w:eastAsia="zh-CN"/>
              </w:rPr>
            </w:pPr>
            <w:r>
              <w:rPr>
                <w:rFonts w:hint="eastAsia" w:ascii="新宋体" w:hAnsi="新宋体" w:eastAsia="新宋体" w:cs="新宋体"/>
                <w:color w:val="auto"/>
                <w:kern w:val="0"/>
                <w:szCs w:val="21"/>
                <w:highlight w:val="none"/>
              </w:rPr>
              <w:t>由中标人全额向重庆联合产权交易所集团股份有限公司支付。</w:t>
            </w:r>
          </w:p>
          <w:p>
            <w:pPr>
              <w:autoSpaceDE w:val="0"/>
              <w:autoSpaceDN w:val="0"/>
              <w:adjustRightInd w:val="0"/>
              <w:snapToGrid w:val="0"/>
              <w:spacing w:line="400" w:lineRule="exact"/>
              <w:ind w:firstLine="420" w:firstLineChars="200"/>
              <w:rPr>
                <w:rFonts w:hint="eastAsia" w:ascii="新宋体" w:hAnsi="新宋体" w:eastAsia="新宋体" w:cs="新宋体"/>
                <w:color w:val="auto"/>
                <w:kern w:val="0"/>
                <w:szCs w:val="21"/>
                <w:highlight w:val="none"/>
                <w:lang w:val="en-US" w:eastAsia="zh-CN"/>
              </w:rPr>
            </w:pPr>
            <w:r>
              <w:rPr>
                <w:rFonts w:hint="eastAsia" w:ascii="新宋体" w:hAnsi="新宋体" w:eastAsia="新宋体" w:cs="新宋体"/>
                <w:color w:val="auto"/>
                <w:kern w:val="0"/>
                <w:szCs w:val="21"/>
                <w:highlight w:val="none"/>
                <w:lang w:val="en-US" w:eastAsia="zh-CN"/>
              </w:rPr>
              <w:t>注：投标人在投标报价中，应充分考虑此项费用，招标人视各投标人的投标报价中已包含此部分费用，不单列。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新宋体" w:hAnsi="新宋体" w:eastAsia="新宋体" w:cs="新宋体"/>
                <w:color w:val="auto"/>
                <w:kern w:val="0"/>
                <w:szCs w:val="21"/>
                <w:highlight w:val="none"/>
                <w:lang w:val="en-US" w:eastAsia="zh-CN"/>
              </w:rPr>
            </w:pPr>
            <w:r>
              <w:rPr>
                <w:rFonts w:hint="eastAsia" w:ascii="新宋体" w:hAnsi="新宋体" w:eastAsia="新宋体" w:cs="新宋体"/>
                <w:color w:val="auto"/>
                <w:kern w:val="0"/>
                <w:szCs w:val="21"/>
                <w:highlight w:val="none"/>
                <w:lang w:val="en-US" w:eastAsia="zh-CN"/>
              </w:rPr>
              <w:t>10.5</w:t>
            </w:r>
          </w:p>
        </w:tc>
        <w:tc>
          <w:tcPr>
            <w:tcW w:w="1644" w:type="dxa"/>
            <w:vAlign w:val="center"/>
          </w:tcPr>
          <w:p>
            <w:pPr>
              <w:snapToGrid w:val="0"/>
              <w:spacing w:line="400" w:lineRule="exact"/>
              <w:jc w:val="center"/>
              <w:rPr>
                <w:rFonts w:hint="eastAsia" w:ascii="新宋体" w:hAnsi="新宋体" w:eastAsia="新宋体" w:cs="新宋体"/>
                <w:color w:val="auto"/>
                <w:kern w:val="0"/>
                <w:szCs w:val="21"/>
                <w:highlight w:val="none"/>
                <w:lang w:val="en-US" w:eastAsia="zh-CN"/>
              </w:rPr>
            </w:pPr>
            <w:r>
              <w:rPr>
                <w:rFonts w:hint="eastAsia" w:ascii="新宋体" w:hAnsi="新宋体" w:eastAsia="新宋体" w:cs="新宋体"/>
                <w:color w:val="auto"/>
                <w:kern w:val="0"/>
                <w:szCs w:val="21"/>
                <w:highlight w:val="none"/>
                <w:lang w:val="en-US" w:eastAsia="zh-CN"/>
              </w:rPr>
              <w:t>招标代理服务费</w:t>
            </w:r>
          </w:p>
        </w:tc>
        <w:tc>
          <w:tcPr>
            <w:tcW w:w="6490" w:type="dxa"/>
            <w:vAlign w:val="center"/>
          </w:tcPr>
          <w:p>
            <w:pPr>
              <w:autoSpaceDE w:val="0"/>
              <w:autoSpaceDN w:val="0"/>
              <w:adjustRightInd w:val="0"/>
              <w:snapToGrid w:val="0"/>
              <w:spacing w:line="400" w:lineRule="exact"/>
              <w:ind w:firstLine="420" w:firstLineChars="200"/>
              <w:rPr>
                <w:rFonts w:hint="eastAsia" w:ascii="新宋体" w:hAnsi="新宋体" w:eastAsia="新宋体" w:cs="新宋体"/>
                <w:color w:val="auto"/>
                <w:kern w:val="0"/>
                <w:szCs w:val="21"/>
                <w:highlight w:val="none"/>
                <w:lang w:val="en-US" w:eastAsia="zh-CN"/>
              </w:rPr>
            </w:pPr>
            <w:r>
              <w:rPr>
                <w:rFonts w:hint="eastAsia" w:ascii="新宋体" w:hAnsi="新宋体" w:eastAsia="新宋体" w:cs="新宋体"/>
                <w:color w:val="auto"/>
                <w:kern w:val="0"/>
                <w:szCs w:val="21"/>
                <w:highlight w:val="none"/>
                <w:lang w:val="en-US" w:eastAsia="zh-CN"/>
              </w:rPr>
              <w:t>本项目招标代理服务费：40000元（大写：肆万元整）。由中标人在领取中标通知书时向招标代理机构一次性全额支付。</w:t>
            </w:r>
          </w:p>
          <w:p>
            <w:pPr>
              <w:autoSpaceDE w:val="0"/>
              <w:autoSpaceDN w:val="0"/>
              <w:adjustRightInd w:val="0"/>
              <w:snapToGrid w:val="0"/>
              <w:spacing w:line="400" w:lineRule="exact"/>
              <w:ind w:firstLine="420" w:firstLineChars="200"/>
              <w:rPr>
                <w:rFonts w:hint="eastAsia" w:ascii="新宋体" w:hAnsi="新宋体" w:eastAsia="新宋体" w:cs="新宋体"/>
                <w:color w:val="auto"/>
                <w:kern w:val="0"/>
                <w:szCs w:val="21"/>
                <w:highlight w:val="none"/>
                <w:lang w:val="en-US" w:eastAsia="zh-CN"/>
              </w:rPr>
            </w:pPr>
            <w:r>
              <w:rPr>
                <w:rFonts w:hint="eastAsia" w:ascii="新宋体" w:hAnsi="新宋体" w:eastAsia="新宋体" w:cs="新宋体"/>
                <w:color w:val="auto"/>
                <w:kern w:val="0"/>
                <w:szCs w:val="21"/>
                <w:highlight w:val="none"/>
                <w:lang w:val="en-US" w:eastAsia="zh-CN"/>
              </w:rPr>
              <w:t>注：投标人在投标报价中，应充分考虑此项费用，招标人视各投标人的投标报价中已包含此部分费用，不单列。</w:t>
            </w:r>
          </w:p>
        </w:tc>
      </w:tr>
    </w:tbl>
    <w:p>
      <w:pPr>
        <w:pStyle w:val="4"/>
        <w:spacing w:before="0" w:after="0" w:line="20" w:lineRule="exact"/>
        <w:rPr>
          <w:rFonts w:hint="eastAsia" w:ascii="新宋体" w:hAnsi="新宋体" w:eastAsia="新宋体" w:cs="新宋体"/>
          <w:b w:val="0"/>
          <w:snapToGrid w:val="0"/>
          <w:color w:val="auto"/>
          <w:highlight w:val="none"/>
        </w:rPr>
      </w:pPr>
      <w:bookmarkStart w:id="99" w:name="_Toc224103317"/>
      <w:bookmarkStart w:id="100" w:name="_Toc277082552"/>
      <w:bookmarkStart w:id="101" w:name="_Toc287607746"/>
      <w:bookmarkStart w:id="102" w:name="_Toc287620685"/>
      <w:bookmarkStart w:id="103" w:name="_Toc200513126"/>
      <w:bookmarkStart w:id="104" w:name="_Toc430530435"/>
    </w:p>
    <w:p>
      <w:pPr>
        <w:pStyle w:val="4"/>
        <w:spacing w:before="0" w:after="0" w:line="200" w:lineRule="exact"/>
        <w:rPr>
          <w:rFonts w:hint="eastAsia" w:ascii="新宋体" w:hAnsi="新宋体" w:eastAsia="新宋体" w:cs="新宋体"/>
          <w:b w:val="0"/>
          <w:snapToGrid w:val="0"/>
          <w:color w:val="auto"/>
          <w:highlight w:val="none"/>
        </w:rPr>
      </w:pPr>
      <w:r>
        <w:rPr>
          <w:rFonts w:hint="eastAsia" w:ascii="新宋体" w:hAnsi="新宋体" w:eastAsia="新宋体" w:cs="新宋体"/>
          <w:b w:val="0"/>
          <w:snapToGrid w:val="0"/>
          <w:color w:val="auto"/>
          <w:highlight w:val="none"/>
        </w:rPr>
        <w:br w:type="page"/>
      </w:r>
    </w:p>
    <w:p>
      <w:pPr>
        <w:pStyle w:val="4"/>
        <w:spacing w:before="0" w:after="0" w:line="360" w:lineRule="auto"/>
        <w:rPr>
          <w:rFonts w:hint="eastAsia" w:ascii="新宋体" w:hAnsi="新宋体" w:eastAsia="新宋体" w:cs="新宋体"/>
          <w:b w:val="0"/>
          <w:snapToGrid w:val="0"/>
          <w:color w:val="auto"/>
          <w:highlight w:val="none"/>
        </w:rPr>
      </w:pPr>
      <w:bookmarkStart w:id="105" w:name="_Toc57820560"/>
      <w:bookmarkStart w:id="106" w:name="_Toc509218710"/>
      <w:r>
        <w:rPr>
          <w:rFonts w:hint="eastAsia" w:ascii="新宋体" w:hAnsi="新宋体" w:eastAsia="新宋体" w:cs="新宋体"/>
          <w:b w:val="0"/>
          <w:snapToGrid w:val="0"/>
          <w:color w:val="auto"/>
          <w:highlight w:val="none"/>
        </w:rPr>
        <w:t>1.  总则</w:t>
      </w:r>
      <w:bookmarkEnd w:id="99"/>
      <w:bookmarkEnd w:id="100"/>
      <w:bookmarkEnd w:id="101"/>
      <w:bookmarkEnd w:id="102"/>
      <w:bookmarkEnd w:id="103"/>
      <w:bookmarkEnd w:id="104"/>
      <w:bookmarkEnd w:id="105"/>
      <w:bookmarkEnd w:id="106"/>
    </w:p>
    <w:p>
      <w:pPr>
        <w:pStyle w:val="2"/>
        <w:snapToGrid w:val="0"/>
        <w:spacing w:before="0" w:after="0" w:line="360" w:lineRule="auto"/>
        <w:rPr>
          <w:rFonts w:hint="eastAsia" w:ascii="新宋体" w:hAnsi="新宋体" w:eastAsia="新宋体" w:cs="新宋体"/>
          <w:b w:val="0"/>
          <w:snapToGrid w:val="0"/>
          <w:color w:val="auto"/>
          <w:sz w:val="24"/>
          <w:szCs w:val="24"/>
          <w:highlight w:val="none"/>
        </w:rPr>
      </w:pPr>
      <w:bookmarkStart w:id="107" w:name="_Toc200513127"/>
      <w:bookmarkStart w:id="108" w:name="_Toc287620686"/>
      <w:bookmarkStart w:id="109" w:name="_Toc287607747"/>
      <w:bookmarkStart w:id="110" w:name="_Toc509218711"/>
      <w:bookmarkStart w:id="111" w:name="_Toc430530436"/>
      <w:bookmarkStart w:id="112" w:name="_Toc277082553"/>
      <w:bookmarkStart w:id="113" w:name="_Toc224103318"/>
      <w:bookmarkStart w:id="114" w:name="_Toc57820561"/>
      <w:r>
        <w:rPr>
          <w:rFonts w:hint="eastAsia" w:ascii="新宋体" w:hAnsi="新宋体" w:eastAsia="新宋体" w:cs="新宋体"/>
          <w:b w:val="0"/>
          <w:snapToGrid w:val="0"/>
          <w:color w:val="auto"/>
          <w:sz w:val="24"/>
          <w:szCs w:val="24"/>
          <w:highlight w:val="none"/>
        </w:rPr>
        <w:t>1.1  项目概况</w:t>
      </w:r>
      <w:bookmarkEnd w:id="107"/>
      <w:bookmarkEnd w:id="108"/>
      <w:bookmarkEnd w:id="109"/>
      <w:bookmarkEnd w:id="110"/>
      <w:bookmarkEnd w:id="111"/>
      <w:bookmarkEnd w:id="112"/>
      <w:bookmarkEnd w:id="113"/>
      <w:bookmarkEnd w:id="114"/>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1.1.1  根据《中华人民共和国招标投标法》等有关法律、法规和规章的规定，本招标项目已具备招标条件，现对本项目施工进行招标。</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1.1.2  本招标项目招标人：见投标人须知前附表。</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1.1.3  本招标项目招标代理机构：见投标人须知前附表。</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1.1.4  本招标项目名称：见投标人须知前附表。</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1.1.5  本招标项目建设地点：见投标人须知前附表。</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1.1.6  本招标项目建设规模：见投标人须知前附表。</w:t>
      </w:r>
    </w:p>
    <w:p>
      <w:pPr>
        <w:pStyle w:val="2"/>
        <w:snapToGrid w:val="0"/>
        <w:spacing w:before="0" w:after="0" w:line="360" w:lineRule="auto"/>
        <w:rPr>
          <w:rFonts w:hint="eastAsia" w:ascii="新宋体" w:hAnsi="新宋体" w:eastAsia="新宋体" w:cs="新宋体"/>
          <w:b w:val="0"/>
          <w:snapToGrid w:val="0"/>
          <w:color w:val="auto"/>
          <w:sz w:val="24"/>
          <w:szCs w:val="24"/>
          <w:highlight w:val="none"/>
        </w:rPr>
      </w:pPr>
      <w:bookmarkStart w:id="115" w:name="_Toc57820562"/>
      <w:bookmarkStart w:id="116" w:name="_Toc200513128"/>
      <w:bookmarkStart w:id="117" w:name="_Toc287607748"/>
      <w:bookmarkStart w:id="118" w:name="_Toc430530437"/>
      <w:bookmarkStart w:id="119" w:name="_Toc509218712"/>
      <w:bookmarkStart w:id="120" w:name="_Toc277082554"/>
      <w:bookmarkStart w:id="121" w:name="_Toc224103319"/>
      <w:bookmarkStart w:id="122" w:name="_Toc287620687"/>
      <w:r>
        <w:rPr>
          <w:rFonts w:hint="eastAsia" w:ascii="新宋体" w:hAnsi="新宋体" w:eastAsia="新宋体" w:cs="新宋体"/>
          <w:b w:val="0"/>
          <w:snapToGrid w:val="0"/>
          <w:color w:val="auto"/>
          <w:sz w:val="24"/>
          <w:szCs w:val="24"/>
          <w:highlight w:val="none"/>
        </w:rPr>
        <w:t>1.2  资金来源和落实情况</w:t>
      </w:r>
      <w:bookmarkEnd w:id="115"/>
      <w:bookmarkEnd w:id="116"/>
      <w:bookmarkEnd w:id="117"/>
      <w:bookmarkEnd w:id="118"/>
      <w:bookmarkEnd w:id="119"/>
      <w:bookmarkEnd w:id="120"/>
      <w:bookmarkEnd w:id="121"/>
      <w:bookmarkEnd w:id="122"/>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1.2.1  本招标项目的资金来源：见投标人须知前附表。</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1.2.2  本招标项目的出资比例：见投标人须知前附表。</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1.2.3  本招标项目的资金落实情况：见投标人须知前附表。</w:t>
      </w:r>
    </w:p>
    <w:p>
      <w:pPr>
        <w:pStyle w:val="2"/>
        <w:snapToGrid w:val="0"/>
        <w:spacing w:before="0" w:after="0" w:line="360" w:lineRule="auto"/>
        <w:rPr>
          <w:rFonts w:hint="eastAsia" w:ascii="新宋体" w:hAnsi="新宋体" w:eastAsia="新宋体" w:cs="新宋体"/>
          <w:b w:val="0"/>
          <w:snapToGrid w:val="0"/>
          <w:color w:val="auto"/>
          <w:sz w:val="24"/>
          <w:szCs w:val="24"/>
          <w:highlight w:val="none"/>
        </w:rPr>
      </w:pPr>
      <w:bookmarkStart w:id="123" w:name="_Toc509218713"/>
      <w:bookmarkStart w:id="124" w:name="_Toc287607749"/>
      <w:bookmarkStart w:id="125" w:name="_Toc200513129"/>
      <w:bookmarkStart w:id="126" w:name="_Toc430530438"/>
      <w:bookmarkStart w:id="127" w:name="_Toc287620688"/>
      <w:bookmarkStart w:id="128" w:name="_Toc277082555"/>
      <w:bookmarkStart w:id="129" w:name="_Toc224103320"/>
      <w:bookmarkStart w:id="130" w:name="_Toc57820563"/>
      <w:r>
        <w:rPr>
          <w:rFonts w:hint="eastAsia" w:ascii="新宋体" w:hAnsi="新宋体" w:eastAsia="新宋体" w:cs="新宋体"/>
          <w:b w:val="0"/>
          <w:snapToGrid w:val="0"/>
          <w:color w:val="auto"/>
          <w:sz w:val="24"/>
          <w:szCs w:val="24"/>
          <w:highlight w:val="none"/>
        </w:rPr>
        <w:t>1.3  招标范围、计划工期和质量要求</w:t>
      </w:r>
      <w:bookmarkEnd w:id="123"/>
      <w:bookmarkEnd w:id="124"/>
      <w:bookmarkEnd w:id="125"/>
      <w:bookmarkEnd w:id="126"/>
      <w:bookmarkEnd w:id="127"/>
      <w:bookmarkEnd w:id="128"/>
      <w:bookmarkEnd w:id="129"/>
      <w:bookmarkEnd w:id="130"/>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1.3.1  招标范围：见投标人须知前附表。</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 xml:space="preserve">1.3.2  </w:t>
      </w:r>
      <w:r>
        <w:rPr>
          <w:rFonts w:hint="eastAsia" w:ascii="新宋体" w:hAnsi="新宋体" w:eastAsia="新宋体" w:cs="新宋体"/>
          <w:snapToGrid w:val="0"/>
          <w:color w:val="auto"/>
          <w:kern w:val="0"/>
          <w:szCs w:val="21"/>
          <w:highlight w:val="none"/>
          <w:lang w:val="en-US" w:eastAsia="zh-CN"/>
        </w:rPr>
        <w:t>交货期</w:t>
      </w:r>
      <w:r>
        <w:rPr>
          <w:rFonts w:hint="eastAsia" w:ascii="新宋体" w:hAnsi="新宋体" w:eastAsia="新宋体" w:cs="新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 xml:space="preserve">1.3.3  </w:t>
      </w:r>
      <w:r>
        <w:rPr>
          <w:rFonts w:hint="eastAsia" w:ascii="新宋体" w:hAnsi="新宋体" w:eastAsia="新宋体" w:cs="新宋体"/>
          <w:snapToGrid w:val="0"/>
          <w:color w:val="auto"/>
          <w:kern w:val="0"/>
          <w:szCs w:val="21"/>
          <w:highlight w:val="none"/>
          <w:lang w:val="en-US" w:eastAsia="zh-CN"/>
        </w:rPr>
        <w:t>交货地点</w:t>
      </w:r>
      <w:r>
        <w:rPr>
          <w:rFonts w:hint="eastAsia" w:ascii="新宋体" w:hAnsi="新宋体" w:eastAsia="新宋体" w:cs="新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lang w:val="en-US" w:eastAsia="zh-CN"/>
        </w:rPr>
      </w:pPr>
      <w:r>
        <w:rPr>
          <w:rFonts w:hint="eastAsia" w:ascii="新宋体" w:hAnsi="新宋体" w:eastAsia="新宋体" w:cs="新宋体"/>
          <w:snapToGrid w:val="0"/>
          <w:color w:val="auto"/>
          <w:kern w:val="0"/>
          <w:szCs w:val="21"/>
          <w:highlight w:val="none"/>
          <w:lang w:val="en-US" w:eastAsia="zh-CN"/>
        </w:rPr>
        <w:t>1.3.4  技术性能指标：</w:t>
      </w:r>
      <w:r>
        <w:rPr>
          <w:rFonts w:hint="eastAsia" w:ascii="新宋体" w:hAnsi="新宋体" w:eastAsia="新宋体" w:cs="新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lang w:val="en-US" w:eastAsia="zh-CN"/>
        </w:rPr>
        <w:t>1.3.5  质量保证期：</w:t>
      </w:r>
      <w:bookmarkStart w:id="131" w:name="_Toc200513130"/>
      <w:bookmarkStart w:id="132" w:name="_Toc277082556"/>
      <w:bookmarkStart w:id="133" w:name="_Toc430530439"/>
      <w:bookmarkStart w:id="134" w:name="_Toc509218714"/>
      <w:bookmarkStart w:id="135" w:name="_Toc57820564"/>
      <w:bookmarkStart w:id="136" w:name="_Toc287607750"/>
      <w:bookmarkStart w:id="137" w:name="_Toc287620689"/>
      <w:bookmarkStart w:id="138" w:name="_Toc224103321"/>
      <w:r>
        <w:rPr>
          <w:rFonts w:hint="eastAsia" w:ascii="新宋体" w:hAnsi="新宋体" w:eastAsia="新宋体" w:cs="新宋体"/>
          <w:snapToGrid w:val="0"/>
          <w:color w:val="auto"/>
          <w:kern w:val="0"/>
          <w:szCs w:val="21"/>
          <w:highlight w:val="none"/>
        </w:rPr>
        <w:t>见投标人须知前附表。</w:t>
      </w:r>
    </w:p>
    <w:bookmarkEnd w:id="131"/>
    <w:bookmarkEnd w:id="132"/>
    <w:bookmarkEnd w:id="133"/>
    <w:bookmarkEnd w:id="134"/>
    <w:bookmarkEnd w:id="135"/>
    <w:bookmarkEnd w:id="136"/>
    <w:bookmarkEnd w:id="137"/>
    <w:bookmarkEnd w:id="138"/>
    <w:p>
      <w:pPr>
        <w:pStyle w:val="2"/>
        <w:snapToGrid w:val="0"/>
        <w:spacing w:before="0" w:after="0" w:line="360" w:lineRule="auto"/>
        <w:rPr>
          <w:rFonts w:hint="eastAsia" w:ascii="新宋体" w:hAnsi="新宋体" w:eastAsia="新宋体" w:cs="新宋体"/>
          <w:b w:val="0"/>
          <w:snapToGrid w:val="0"/>
          <w:color w:val="auto"/>
          <w:sz w:val="24"/>
          <w:szCs w:val="24"/>
          <w:highlight w:val="none"/>
        </w:rPr>
      </w:pPr>
      <w:bookmarkStart w:id="139" w:name="_Toc57820565"/>
      <w:bookmarkStart w:id="140" w:name="_Toc224103322"/>
      <w:bookmarkStart w:id="141" w:name="_Toc287620690"/>
      <w:bookmarkStart w:id="142" w:name="_Toc509218715"/>
      <w:bookmarkStart w:id="143" w:name="_Toc430530440"/>
      <w:bookmarkStart w:id="144" w:name="_Toc200513131"/>
      <w:bookmarkStart w:id="145" w:name="_Toc287607751"/>
      <w:bookmarkStart w:id="146" w:name="_Toc277082557"/>
      <w:r>
        <w:rPr>
          <w:rFonts w:hint="eastAsia" w:ascii="新宋体" w:hAnsi="新宋体" w:eastAsia="新宋体" w:cs="新宋体"/>
          <w:b w:val="0"/>
          <w:snapToGrid w:val="0"/>
          <w:color w:val="auto"/>
          <w:sz w:val="24"/>
          <w:szCs w:val="24"/>
          <w:highlight w:val="none"/>
        </w:rPr>
        <w:t>1.4  投标人资格要求（适用于未进行资格预审的）</w:t>
      </w:r>
      <w:bookmarkEnd w:id="139"/>
      <w:bookmarkEnd w:id="140"/>
      <w:bookmarkEnd w:id="141"/>
      <w:bookmarkEnd w:id="142"/>
      <w:bookmarkEnd w:id="143"/>
      <w:bookmarkEnd w:id="144"/>
      <w:bookmarkEnd w:id="145"/>
      <w:bookmarkEnd w:id="146"/>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1.4.1 投标人应具备承担本标段施工的资质条件、能力和信誉。</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（1）</w:t>
      </w:r>
      <w:r>
        <w:rPr>
          <w:rFonts w:hint="eastAsia" w:ascii="新宋体" w:hAnsi="新宋体" w:eastAsia="新宋体" w:cs="新宋体"/>
          <w:color w:val="auto"/>
          <w:szCs w:val="21"/>
          <w:highlight w:val="none"/>
        </w:rPr>
        <w:t>资质条件、营业执照</w:t>
      </w:r>
      <w:r>
        <w:rPr>
          <w:rFonts w:hint="eastAsia" w:ascii="新宋体" w:hAnsi="新宋体" w:eastAsia="新宋体" w:cs="新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（2）财务要求：见投标人须知前附表；</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（3）业绩要求：见投标人须知前附表；</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（4）投标截止日投标资格情况：见投标人须知前附表；</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（5）其他要求：见投标人须知前附表。</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1.4.2  投标人须知前附表规定接受联合体投标的，除应符合本章第1.4.1项和投标人须知前附表的要求外，还应遵守以下规定：</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（1）联合体各方应按招标文件提供的格式签订联合体协议书，明确联合体牵头人和各方权利义务；</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（2）联合体各方均应当具备承担招标项目的相应能力；联合体协议约定同一专业分工由两个及以上单位共同承担的，按照资质等级较低的单位确定资质等级；</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（3）联合体各方不得再以自己名义单独或参加其他联合体在同一标段中投标。</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1.4.3  投标人不得存在下列情形之一：</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position w:val="-2"/>
          <w:szCs w:val="21"/>
          <w:highlight w:val="none"/>
        </w:rPr>
        <w:t>（1）与招标人存在利害关系可能影响招标公正性的法人、其他组织或者个人；</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（2）为本标段前期准备提供设计或咨询服务的，但设计施工总承包的除外；</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（3）为本标段的监理人；</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（4）为本标段的代建人；</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（5）为本标段提供招标代理服务的；</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（6）与本标段的监理人或代建人或招标代理机构同为一个法定代表人的；</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（7）与本标段的监理人或代建人或招标代理机构</w:t>
      </w:r>
      <w:r>
        <w:rPr>
          <w:rFonts w:hint="eastAsia" w:ascii="新宋体" w:hAnsi="新宋体" w:eastAsia="新宋体" w:cs="新宋体"/>
          <w:snapToGrid w:val="0"/>
          <w:color w:val="auto"/>
          <w:kern w:val="0"/>
          <w:szCs w:val="21"/>
          <w:highlight w:val="none"/>
          <w:lang w:eastAsia="zh-CN"/>
        </w:rPr>
        <w:t>存在</w:t>
      </w:r>
      <w:r>
        <w:rPr>
          <w:rFonts w:hint="eastAsia" w:ascii="新宋体" w:hAnsi="新宋体" w:eastAsia="新宋体" w:cs="新宋体"/>
          <w:snapToGrid w:val="0"/>
          <w:color w:val="auto"/>
          <w:kern w:val="0"/>
          <w:szCs w:val="21"/>
          <w:highlight w:val="none"/>
        </w:rPr>
        <w:t>控股或参股的；</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（8）与本标段的监理人或代建人或招标代理机构相互任职或工作的；</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（9）</w:t>
      </w:r>
      <w:r>
        <w:rPr>
          <w:rFonts w:hint="eastAsia" w:ascii="新宋体" w:hAnsi="新宋体" w:eastAsia="新宋体" w:cs="新宋体"/>
          <w:color w:val="auto"/>
          <w:szCs w:val="21"/>
          <w:highlight w:val="none"/>
        </w:rPr>
        <w:t>被责令停产停业、暂扣或者吊销许可证、暂扣或者吊销执照</w:t>
      </w:r>
      <w:r>
        <w:rPr>
          <w:rFonts w:hint="eastAsia" w:ascii="新宋体" w:hAnsi="新宋体" w:eastAsia="新宋体" w:cs="新宋体"/>
          <w:snapToGrid w:val="0"/>
          <w:color w:val="auto"/>
          <w:kern w:val="0"/>
          <w:szCs w:val="21"/>
          <w:highlight w:val="none"/>
        </w:rPr>
        <w:t>；</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（10）被国家、重庆市（含市或任意区县）有关行政部门处以暂停投标资格行政处罚，且在处罚期限内的；</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（11）</w:t>
      </w:r>
      <w:r>
        <w:rPr>
          <w:rFonts w:hint="eastAsia" w:ascii="新宋体" w:hAnsi="新宋体" w:eastAsia="新宋体" w:cs="新宋体"/>
          <w:color w:val="auto"/>
          <w:szCs w:val="21"/>
          <w:highlight w:val="none"/>
        </w:rPr>
        <w:t>进入清算程序，或被宣告破产，或其他丧失履约能力的情形</w:t>
      </w:r>
      <w:r>
        <w:rPr>
          <w:rFonts w:hint="eastAsia" w:ascii="新宋体" w:hAnsi="新宋体" w:eastAsia="新宋体" w:cs="新宋体"/>
          <w:snapToGrid w:val="0"/>
          <w:color w:val="auto"/>
          <w:kern w:val="0"/>
          <w:szCs w:val="21"/>
          <w:highlight w:val="none"/>
        </w:rPr>
        <w:t>；</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（12）</w:t>
      </w:r>
      <w:r>
        <w:rPr>
          <w:rFonts w:hint="eastAsia" w:ascii="新宋体" w:hAnsi="新宋体" w:eastAsia="新宋体" w:cs="新宋体"/>
          <w:color w:val="auto"/>
          <w:szCs w:val="21"/>
          <w:highlight w:val="none"/>
        </w:rPr>
        <w:t>单位负责人为同一人或者存在控股、管理关系的不同单位，不得在同一标段中同时投标</w:t>
      </w:r>
      <w:r>
        <w:rPr>
          <w:rFonts w:hint="eastAsia" w:ascii="新宋体" w:hAnsi="新宋体" w:eastAsia="新宋体" w:cs="新宋体"/>
          <w:snapToGrid w:val="0"/>
          <w:color w:val="auto"/>
          <w:kern w:val="0"/>
          <w:szCs w:val="21"/>
          <w:highlight w:val="none"/>
        </w:rPr>
        <w:t>。</w:t>
      </w:r>
    </w:p>
    <w:p>
      <w:pPr>
        <w:pStyle w:val="2"/>
        <w:snapToGrid w:val="0"/>
        <w:spacing w:before="0" w:after="0" w:line="360" w:lineRule="auto"/>
        <w:rPr>
          <w:rFonts w:hint="eastAsia" w:ascii="新宋体" w:hAnsi="新宋体" w:eastAsia="新宋体" w:cs="新宋体"/>
          <w:b w:val="0"/>
          <w:snapToGrid w:val="0"/>
          <w:color w:val="auto"/>
          <w:sz w:val="24"/>
          <w:szCs w:val="24"/>
          <w:highlight w:val="none"/>
        </w:rPr>
      </w:pPr>
      <w:bookmarkStart w:id="147" w:name="_Toc277082558"/>
      <w:bookmarkStart w:id="148" w:name="_Toc224103323"/>
      <w:bookmarkStart w:id="149" w:name="_Toc57820566"/>
      <w:bookmarkStart w:id="150" w:name="_Toc287620691"/>
      <w:bookmarkStart w:id="151" w:name="_Toc287607752"/>
      <w:bookmarkStart w:id="152" w:name="_Toc200513132"/>
      <w:bookmarkStart w:id="153" w:name="_Toc430530441"/>
      <w:bookmarkStart w:id="154" w:name="_Toc509218716"/>
      <w:r>
        <w:rPr>
          <w:rFonts w:hint="eastAsia" w:ascii="新宋体" w:hAnsi="新宋体" w:eastAsia="新宋体" w:cs="新宋体"/>
          <w:b w:val="0"/>
          <w:snapToGrid w:val="0"/>
          <w:color w:val="auto"/>
          <w:sz w:val="24"/>
          <w:szCs w:val="24"/>
          <w:highlight w:val="none"/>
        </w:rPr>
        <w:t>1.5  费用承担</w:t>
      </w:r>
      <w:bookmarkEnd w:id="147"/>
      <w:bookmarkEnd w:id="148"/>
      <w:bookmarkEnd w:id="149"/>
      <w:bookmarkEnd w:id="150"/>
      <w:bookmarkEnd w:id="151"/>
      <w:bookmarkEnd w:id="152"/>
      <w:bookmarkEnd w:id="153"/>
      <w:bookmarkEnd w:id="154"/>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投标人准备和参加投标活动发生的费用自理。</w:t>
      </w:r>
    </w:p>
    <w:p>
      <w:pPr>
        <w:pStyle w:val="2"/>
        <w:snapToGrid w:val="0"/>
        <w:spacing w:before="0" w:after="0" w:line="360" w:lineRule="auto"/>
        <w:rPr>
          <w:rFonts w:hint="eastAsia" w:ascii="新宋体" w:hAnsi="新宋体" w:eastAsia="新宋体" w:cs="新宋体"/>
          <w:b w:val="0"/>
          <w:snapToGrid w:val="0"/>
          <w:color w:val="auto"/>
          <w:sz w:val="24"/>
          <w:szCs w:val="24"/>
          <w:highlight w:val="none"/>
        </w:rPr>
      </w:pPr>
      <w:bookmarkStart w:id="155" w:name="_Toc57820567"/>
      <w:bookmarkStart w:id="156" w:name="_Toc277082559"/>
      <w:bookmarkStart w:id="157" w:name="_Toc509218717"/>
      <w:bookmarkStart w:id="158" w:name="_Toc200513133"/>
      <w:bookmarkStart w:id="159" w:name="_Toc287620692"/>
      <w:bookmarkStart w:id="160" w:name="_Toc287607753"/>
      <w:bookmarkStart w:id="161" w:name="_Toc430530442"/>
      <w:bookmarkStart w:id="162" w:name="_Toc224103324"/>
      <w:r>
        <w:rPr>
          <w:rFonts w:hint="eastAsia" w:ascii="新宋体" w:hAnsi="新宋体" w:eastAsia="新宋体" w:cs="新宋体"/>
          <w:b w:val="0"/>
          <w:snapToGrid w:val="0"/>
          <w:color w:val="auto"/>
          <w:sz w:val="24"/>
          <w:szCs w:val="24"/>
          <w:highlight w:val="none"/>
        </w:rPr>
        <w:t>1.6  保密</w:t>
      </w:r>
      <w:bookmarkEnd w:id="155"/>
      <w:bookmarkEnd w:id="156"/>
      <w:bookmarkEnd w:id="157"/>
      <w:bookmarkEnd w:id="158"/>
      <w:bookmarkEnd w:id="159"/>
      <w:bookmarkEnd w:id="160"/>
      <w:bookmarkEnd w:id="161"/>
      <w:bookmarkEnd w:id="162"/>
    </w:p>
    <w:p>
      <w:pPr>
        <w:autoSpaceDE w:val="0"/>
        <w:autoSpaceDN w:val="0"/>
        <w:adjustRightInd w:val="0"/>
        <w:snapToGrid w:val="0"/>
        <w:spacing w:line="360" w:lineRule="auto"/>
        <w:ind w:firstLine="42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参与招标投标活动的各方应对招标文件和投标文件中的商业和技术等秘密保密，违者应对由此造成的后果承担法律责任。</w:t>
      </w:r>
    </w:p>
    <w:p>
      <w:pPr>
        <w:pStyle w:val="2"/>
        <w:snapToGrid w:val="0"/>
        <w:spacing w:before="0" w:after="0" w:line="360" w:lineRule="auto"/>
        <w:rPr>
          <w:rFonts w:hint="eastAsia" w:ascii="新宋体" w:hAnsi="新宋体" w:eastAsia="新宋体" w:cs="新宋体"/>
          <w:b w:val="0"/>
          <w:snapToGrid w:val="0"/>
          <w:color w:val="auto"/>
          <w:sz w:val="24"/>
          <w:szCs w:val="24"/>
          <w:highlight w:val="none"/>
        </w:rPr>
      </w:pPr>
      <w:bookmarkStart w:id="163" w:name="_Toc277082560"/>
      <w:bookmarkStart w:id="164" w:name="_Toc509218718"/>
      <w:bookmarkStart w:id="165" w:name="_Toc287607754"/>
      <w:bookmarkStart w:id="166" w:name="_Toc57820568"/>
      <w:bookmarkStart w:id="167" w:name="_Toc430530443"/>
      <w:bookmarkStart w:id="168" w:name="_Toc224103325"/>
      <w:bookmarkStart w:id="169" w:name="_Toc200513134"/>
      <w:bookmarkStart w:id="170" w:name="_Toc287620693"/>
      <w:r>
        <w:rPr>
          <w:rFonts w:hint="eastAsia" w:ascii="新宋体" w:hAnsi="新宋体" w:eastAsia="新宋体" w:cs="新宋体"/>
          <w:b w:val="0"/>
          <w:snapToGrid w:val="0"/>
          <w:color w:val="auto"/>
          <w:sz w:val="24"/>
          <w:szCs w:val="24"/>
          <w:highlight w:val="none"/>
        </w:rPr>
        <w:t>1.7  语言文字</w:t>
      </w:r>
      <w:bookmarkEnd w:id="163"/>
      <w:bookmarkEnd w:id="164"/>
      <w:bookmarkEnd w:id="165"/>
      <w:bookmarkEnd w:id="166"/>
      <w:bookmarkEnd w:id="167"/>
      <w:bookmarkEnd w:id="168"/>
      <w:bookmarkEnd w:id="169"/>
      <w:bookmarkEnd w:id="170"/>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除专用术语外，与招标投标有关的语言均使用中文。必要时专用术语应附有中文注释。</w:t>
      </w:r>
    </w:p>
    <w:p>
      <w:pPr>
        <w:pStyle w:val="2"/>
        <w:snapToGrid w:val="0"/>
        <w:spacing w:before="0" w:after="0" w:line="360" w:lineRule="auto"/>
        <w:rPr>
          <w:rFonts w:hint="eastAsia" w:ascii="新宋体" w:hAnsi="新宋体" w:eastAsia="新宋体" w:cs="新宋体"/>
          <w:b w:val="0"/>
          <w:snapToGrid w:val="0"/>
          <w:color w:val="auto"/>
          <w:sz w:val="24"/>
          <w:szCs w:val="24"/>
          <w:highlight w:val="none"/>
        </w:rPr>
      </w:pPr>
      <w:bookmarkStart w:id="171" w:name="_Toc57820569"/>
      <w:bookmarkStart w:id="172" w:name="_Toc277082561"/>
      <w:bookmarkStart w:id="173" w:name="_Toc200513135"/>
      <w:bookmarkStart w:id="174" w:name="_Toc430530444"/>
      <w:bookmarkStart w:id="175" w:name="_Toc509218719"/>
      <w:bookmarkStart w:id="176" w:name="_Toc287607755"/>
      <w:bookmarkStart w:id="177" w:name="_Toc224103326"/>
      <w:bookmarkStart w:id="178" w:name="_Toc287620694"/>
      <w:r>
        <w:rPr>
          <w:rFonts w:hint="eastAsia" w:ascii="新宋体" w:hAnsi="新宋体" w:eastAsia="新宋体" w:cs="新宋体"/>
          <w:b w:val="0"/>
          <w:snapToGrid w:val="0"/>
          <w:color w:val="auto"/>
          <w:sz w:val="24"/>
          <w:szCs w:val="24"/>
          <w:highlight w:val="none"/>
        </w:rPr>
        <w:t>1.8  计量单位</w:t>
      </w:r>
      <w:bookmarkEnd w:id="171"/>
      <w:bookmarkEnd w:id="172"/>
      <w:bookmarkEnd w:id="173"/>
      <w:bookmarkEnd w:id="174"/>
      <w:bookmarkEnd w:id="175"/>
      <w:bookmarkEnd w:id="176"/>
      <w:bookmarkEnd w:id="177"/>
      <w:bookmarkEnd w:id="178"/>
    </w:p>
    <w:p>
      <w:pPr>
        <w:autoSpaceDE w:val="0"/>
        <w:autoSpaceDN w:val="0"/>
        <w:adjustRightInd w:val="0"/>
        <w:snapToGrid w:val="0"/>
        <w:spacing w:line="360" w:lineRule="auto"/>
        <w:ind w:firstLine="424" w:firstLineChars="202"/>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所有计量均采用中华人民共和国法定计量单位。</w:t>
      </w:r>
    </w:p>
    <w:p>
      <w:pPr>
        <w:pStyle w:val="2"/>
        <w:snapToGrid w:val="0"/>
        <w:spacing w:before="0" w:after="0" w:line="360" w:lineRule="auto"/>
        <w:rPr>
          <w:rFonts w:hint="eastAsia" w:ascii="新宋体" w:hAnsi="新宋体" w:eastAsia="新宋体" w:cs="新宋体"/>
          <w:b w:val="0"/>
          <w:snapToGrid w:val="0"/>
          <w:color w:val="auto"/>
          <w:sz w:val="24"/>
          <w:szCs w:val="24"/>
          <w:highlight w:val="none"/>
        </w:rPr>
      </w:pPr>
      <w:bookmarkStart w:id="179" w:name="_Toc277082562"/>
      <w:bookmarkStart w:id="180" w:name="_Toc57820570"/>
      <w:bookmarkStart w:id="181" w:name="_Toc287620695"/>
      <w:bookmarkStart w:id="182" w:name="_Toc509218720"/>
      <w:bookmarkStart w:id="183" w:name="_Toc287607756"/>
      <w:bookmarkStart w:id="184" w:name="_Toc224103327"/>
      <w:bookmarkStart w:id="185" w:name="_Toc200513136"/>
      <w:bookmarkStart w:id="186" w:name="_Toc430530445"/>
      <w:r>
        <w:rPr>
          <w:rFonts w:hint="eastAsia" w:ascii="新宋体" w:hAnsi="新宋体" w:eastAsia="新宋体" w:cs="新宋体"/>
          <w:b w:val="0"/>
          <w:snapToGrid w:val="0"/>
          <w:color w:val="auto"/>
          <w:sz w:val="24"/>
          <w:szCs w:val="24"/>
          <w:highlight w:val="none"/>
        </w:rPr>
        <w:t>1.9  踏勘现场</w:t>
      </w:r>
      <w:bookmarkEnd w:id="179"/>
      <w:bookmarkEnd w:id="180"/>
      <w:bookmarkEnd w:id="181"/>
      <w:bookmarkEnd w:id="182"/>
      <w:bookmarkEnd w:id="183"/>
      <w:bookmarkEnd w:id="184"/>
      <w:bookmarkEnd w:id="185"/>
      <w:bookmarkEnd w:id="186"/>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1.9.1  投标人须知前附表规定组织踏勘现场的，招标人按投标人须知前附表规定的时间、 地点组织投标人踏勘项目现场。</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1.9.2  投标人踏勘现场发生的费用自理。</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1.9.3  除招标人的原因外，投标人自行负责在踏勘现场中所发生的人员伤亡和财产损失。</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1.9.4  招标人在踏勘现场中介绍的工程场地和相关的周边环境情况，供投标人在编制投标文件时参考，招标人不对投标人据此做出的判断和决策负责。</w:t>
      </w:r>
    </w:p>
    <w:p>
      <w:pPr>
        <w:pStyle w:val="2"/>
        <w:snapToGrid w:val="0"/>
        <w:spacing w:before="0" w:after="0" w:line="360" w:lineRule="auto"/>
        <w:rPr>
          <w:rFonts w:hint="eastAsia" w:ascii="新宋体" w:hAnsi="新宋体" w:eastAsia="新宋体" w:cs="新宋体"/>
          <w:b w:val="0"/>
          <w:snapToGrid w:val="0"/>
          <w:color w:val="auto"/>
          <w:sz w:val="24"/>
          <w:szCs w:val="24"/>
          <w:highlight w:val="none"/>
        </w:rPr>
      </w:pPr>
      <w:bookmarkStart w:id="187" w:name="_Toc277082563"/>
      <w:bookmarkStart w:id="188" w:name="_Toc430530446"/>
      <w:bookmarkStart w:id="189" w:name="_Toc57820571"/>
      <w:bookmarkStart w:id="190" w:name="_Toc287620696"/>
      <w:bookmarkStart w:id="191" w:name="_Toc224103328"/>
      <w:bookmarkStart w:id="192" w:name="_Toc509218721"/>
      <w:bookmarkStart w:id="193" w:name="_Toc200513137"/>
      <w:bookmarkStart w:id="194" w:name="_Toc287607757"/>
      <w:r>
        <w:rPr>
          <w:rFonts w:hint="eastAsia" w:ascii="新宋体" w:hAnsi="新宋体" w:eastAsia="新宋体" w:cs="新宋体"/>
          <w:b w:val="0"/>
          <w:snapToGrid w:val="0"/>
          <w:color w:val="auto"/>
          <w:sz w:val="24"/>
          <w:szCs w:val="24"/>
          <w:highlight w:val="none"/>
        </w:rPr>
        <w:t>1.10  投标预备会</w:t>
      </w:r>
      <w:bookmarkEnd w:id="187"/>
      <w:bookmarkEnd w:id="188"/>
      <w:bookmarkEnd w:id="189"/>
      <w:bookmarkEnd w:id="190"/>
      <w:bookmarkEnd w:id="191"/>
      <w:bookmarkEnd w:id="192"/>
      <w:bookmarkEnd w:id="193"/>
      <w:bookmarkEnd w:id="194"/>
    </w:p>
    <w:p>
      <w:pPr>
        <w:autoSpaceDE w:val="0"/>
        <w:autoSpaceDN w:val="0"/>
        <w:adjustRightInd w:val="0"/>
        <w:snapToGrid w:val="0"/>
        <w:spacing w:line="360" w:lineRule="auto"/>
        <w:ind w:firstLine="42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1.10.1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auto"/>
        <w:ind w:firstLine="42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1.10.2  投标人应在投标人须知前附表第</w:t>
      </w:r>
      <w:r>
        <w:rPr>
          <w:rFonts w:hint="eastAsia" w:ascii="新宋体" w:hAnsi="新宋体" w:eastAsia="新宋体" w:cs="新宋体"/>
          <w:color w:val="auto"/>
          <w:kern w:val="0"/>
          <w:szCs w:val="21"/>
          <w:highlight w:val="none"/>
        </w:rPr>
        <w:t>2.2.4项</w:t>
      </w:r>
      <w:r>
        <w:rPr>
          <w:rFonts w:hint="eastAsia" w:ascii="新宋体" w:hAnsi="新宋体" w:eastAsia="新宋体" w:cs="新宋体"/>
          <w:snapToGrid w:val="0"/>
          <w:color w:val="auto"/>
          <w:kern w:val="0"/>
          <w:szCs w:val="21"/>
          <w:highlight w:val="none"/>
        </w:rPr>
        <w:t>规定的时间前，以书面形式将提出的问题送达招标人，以便招标人澄清。</w:t>
      </w:r>
    </w:p>
    <w:p>
      <w:pPr>
        <w:autoSpaceDE w:val="0"/>
        <w:autoSpaceDN w:val="0"/>
        <w:adjustRightInd w:val="0"/>
        <w:snapToGrid w:val="0"/>
        <w:spacing w:line="360" w:lineRule="auto"/>
        <w:ind w:firstLine="424" w:firstLineChars="202"/>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1.10.3  招标人在投标人须知前附表规定的时间内，将对投标人所提</w:t>
      </w:r>
      <w:r>
        <w:rPr>
          <w:rFonts w:hint="eastAsia" w:ascii="新宋体" w:hAnsi="新宋体" w:eastAsia="新宋体" w:cs="新宋体"/>
          <w:snapToGrid w:val="0"/>
          <w:color w:val="auto"/>
          <w:kern w:val="0"/>
          <w:position w:val="-2"/>
          <w:szCs w:val="21"/>
          <w:highlight w:val="none"/>
        </w:rPr>
        <w:t>的</w:t>
      </w:r>
      <w:r>
        <w:rPr>
          <w:rFonts w:hint="eastAsia" w:ascii="新宋体" w:hAnsi="新宋体" w:eastAsia="新宋体" w:cs="新宋体"/>
          <w:snapToGrid w:val="0"/>
          <w:color w:val="auto"/>
          <w:kern w:val="0"/>
          <w:szCs w:val="21"/>
          <w:highlight w:val="none"/>
        </w:rPr>
        <w:t>问题</w:t>
      </w:r>
      <w:r>
        <w:rPr>
          <w:rFonts w:hint="eastAsia" w:ascii="新宋体" w:hAnsi="新宋体" w:eastAsia="新宋体" w:cs="新宋体"/>
          <w:snapToGrid w:val="0"/>
          <w:color w:val="auto"/>
          <w:kern w:val="0"/>
          <w:position w:val="-2"/>
          <w:szCs w:val="21"/>
          <w:highlight w:val="none"/>
        </w:rPr>
        <w:t>进行澄清。该澄清内容为招标文件的组成部分。</w:t>
      </w:r>
    </w:p>
    <w:p>
      <w:pPr>
        <w:pStyle w:val="2"/>
        <w:snapToGrid w:val="0"/>
        <w:spacing w:before="0" w:after="0" w:line="360" w:lineRule="auto"/>
        <w:rPr>
          <w:rFonts w:hint="eastAsia" w:ascii="新宋体" w:hAnsi="新宋体" w:eastAsia="新宋体" w:cs="新宋体"/>
          <w:b w:val="0"/>
          <w:snapToGrid w:val="0"/>
          <w:color w:val="auto"/>
          <w:sz w:val="24"/>
          <w:szCs w:val="24"/>
          <w:highlight w:val="none"/>
        </w:rPr>
      </w:pPr>
      <w:bookmarkStart w:id="195" w:name="_Toc287620697"/>
      <w:bookmarkStart w:id="196" w:name="_Toc57820572"/>
      <w:bookmarkStart w:id="197" w:name="_Toc200513138"/>
      <w:bookmarkStart w:id="198" w:name="_Toc224103329"/>
      <w:bookmarkStart w:id="199" w:name="_Toc277082564"/>
      <w:bookmarkStart w:id="200" w:name="_Toc287607758"/>
      <w:bookmarkStart w:id="201" w:name="_Toc509218722"/>
      <w:bookmarkStart w:id="202" w:name="_Toc430530447"/>
      <w:r>
        <w:rPr>
          <w:rFonts w:hint="eastAsia" w:ascii="新宋体" w:hAnsi="新宋体" w:eastAsia="新宋体" w:cs="新宋体"/>
          <w:b w:val="0"/>
          <w:snapToGrid w:val="0"/>
          <w:color w:val="auto"/>
          <w:sz w:val="24"/>
          <w:szCs w:val="24"/>
          <w:highlight w:val="none"/>
        </w:rPr>
        <w:t>1.11  分包</w:t>
      </w:r>
      <w:bookmarkEnd w:id="195"/>
      <w:bookmarkEnd w:id="196"/>
      <w:bookmarkEnd w:id="197"/>
      <w:bookmarkEnd w:id="198"/>
      <w:bookmarkEnd w:id="199"/>
      <w:bookmarkEnd w:id="200"/>
      <w:bookmarkEnd w:id="201"/>
      <w:bookmarkEnd w:id="202"/>
    </w:p>
    <w:p>
      <w:pPr>
        <w:autoSpaceDE w:val="0"/>
        <w:autoSpaceDN w:val="0"/>
        <w:adjustRightInd w:val="0"/>
        <w:snapToGrid w:val="0"/>
        <w:spacing w:line="360" w:lineRule="auto"/>
        <w:ind w:firstLine="426"/>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投标人拟在中标后将中标项目的部分非主体、非关键性工作进行分包的，应符合投标人须知前附表规定的分包内容、分包金额和接受分包的第三人资质要求等限制性条件。</w:t>
      </w:r>
    </w:p>
    <w:p>
      <w:pPr>
        <w:pStyle w:val="2"/>
        <w:snapToGrid w:val="0"/>
        <w:spacing w:before="0" w:after="0" w:line="360" w:lineRule="auto"/>
        <w:rPr>
          <w:rFonts w:hint="eastAsia" w:ascii="新宋体" w:hAnsi="新宋体" w:eastAsia="新宋体" w:cs="新宋体"/>
          <w:b w:val="0"/>
          <w:snapToGrid w:val="0"/>
          <w:color w:val="auto"/>
          <w:sz w:val="24"/>
          <w:szCs w:val="24"/>
          <w:highlight w:val="none"/>
        </w:rPr>
      </w:pPr>
      <w:bookmarkStart w:id="203" w:name="_Toc287620698"/>
      <w:bookmarkStart w:id="204" w:name="_Toc200513139"/>
      <w:bookmarkStart w:id="205" w:name="_Toc430530448"/>
      <w:bookmarkStart w:id="206" w:name="_Toc57820573"/>
      <w:bookmarkStart w:id="207" w:name="_Toc287607759"/>
      <w:bookmarkStart w:id="208" w:name="_Toc277082565"/>
      <w:bookmarkStart w:id="209" w:name="_Toc224103330"/>
      <w:bookmarkStart w:id="210" w:name="_Toc509218723"/>
      <w:r>
        <w:rPr>
          <w:rFonts w:hint="eastAsia" w:ascii="新宋体" w:hAnsi="新宋体" w:eastAsia="新宋体" w:cs="新宋体"/>
          <w:b w:val="0"/>
          <w:snapToGrid w:val="0"/>
          <w:color w:val="auto"/>
          <w:sz w:val="24"/>
          <w:szCs w:val="24"/>
          <w:highlight w:val="none"/>
        </w:rPr>
        <w:t>1.12  偏离</w:t>
      </w:r>
      <w:bookmarkEnd w:id="203"/>
      <w:bookmarkEnd w:id="204"/>
      <w:bookmarkEnd w:id="205"/>
      <w:bookmarkEnd w:id="206"/>
      <w:bookmarkEnd w:id="207"/>
      <w:bookmarkEnd w:id="208"/>
      <w:bookmarkEnd w:id="209"/>
      <w:bookmarkEnd w:id="210"/>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投标人须知前附表允许投标文件偏离招标文件某些要求的，偏离应当符合招标文件规定 的偏离范围和幅度。</w:t>
      </w:r>
    </w:p>
    <w:p>
      <w:pPr>
        <w:pStyle w:val="4"/>
        <w:spacing w:before="0" w:after="0" w:line="360" w:lineRule="auto"/>
        <w:rPr>
          <w:rFonts w:hint="eastAsia" w:ascii="新宋体" w:hAnsi="新宋体" w:eastAsia="新宋体" w:cs="新宋体"/>
          <w:b w:val="0"/>
          <w:snapToGrid w:val="0"/>
          <w:color w:val="auto"/>
          <w:highlight w:val="none"/>
        </w:rPr>
      </w:pPr>
      <w:bookmarkStart w:id="211" w:name="_Toc287620699"/>
      <w:bookmarkStart w:id="212" w:name="_Toc200513140"/>
      <w:bookmarkStart w:id="213" w:name="_Toc430530449"/>
      <w:bookmarkStart w:id="214" w:name="_Toc287607760"/>
      <w:bookmarkStart w:id="215" w:name="_Toc224103331"/>
      <w:bookmarkStart w:id="216" w:name="_Toc509218724"/>
      <w:bookmarkStart w:id="217" w:name="_Toc277082566"/>
      <w:bookmarkStart w:id="218" w:name="_Toc57820574"/>
      <w:r>
        <w:rPr>
          <w:rFonts w:hint="eastAsia" w:ascii="新宋体" w:hAnsi="新宋体" w:eastAsia="新宋体" w:cs="新宋体"/>
          <w:b w:val="0"/>
          <w:snapToGrid w:val="0"/>
          <w:color w:val="auto"/>
          <w:highlight w:val="none"/>
        </w:rPr>
        <w:t>2.  招标文件</w:t>
      </w:r>
      <w:bookmarkEnd w:id="211"/>
      <w:bookmarkEnd w:id="212"/>
      <w:bookmarkEnd w:id="213"/>
      <w:bookmarkEnd w:id="214"/>
      <w:bookmarkEnd w:id="215"/>
      <w:bookmarkEnd w:id="216"/>
      <w:bookmarkEnd w:id="217"/>
      <w:bookmarkEnd w:id="218"/>
    </w:p>
    <w:p>
      <w:pPr>
        <w:pStyle w:val="2"/>
        <w:snapToGrid w:val="0"/>
        <w:spacing w:before="0" w:after="0" w:line="360" w:lineRule="auto"/>
        <w:rPr>
          <w:rFonts w:hint="eastAsia" w:ascii="新宋体" w:hAnsi="新宋体" w:eastAsia="新宋体" w:cs="新宋体"/>
          <w:b w:val="0"/>
          <w:snapToGrid w:val="0"/>
          <w:color w:val="auto"/>
          <w:sz w:val="24"/>
          <w:szCs w:val="24"/>
          <w:highlight w:val="none"/>
        </w:rPr>
      </w:pPr>
      <w:bookmarkStart w:id="219" w:name="_Toc509218725"/>
      <w:bookmarkStart w:id="220" w:name="_Toc57820575"/>
      <w:bookmarkStart w:id="221" w:name="_Toc224103332"/>
      <w:bookmarkStart w:id="222" w:name="_Toc430530450"/>
      <w:bookmarkStart w:id="223" w:name="_Toc287620700"/>
      <w:bookmarkStart w:id="224" w:name="_Toc200513141"/>
      <w:bookmarkStart w:id="225" w:name="_Toc287607761"/>
      <w:bookmarkStart w:id="226" w:name="_Toc277082567"/>
      <w:r>
        <w:rPr>
          <w:rFonts w:hint="eastAsia" w:ascii="新宋体" w:hAnsi="新宋体" w:eastAsia="新宋体" w:cs="新宋体"/>
          <w:b w:val="0"/>
          <w:snapToGrid w:val="0"/>
          <w:color w:val="auto"/>
          <w:sz w:val="24"/>
          <w:szCs w:val="24"/>
          <w:highlight w:val="none"/>
        </w:rPr>
        <w:t>2.1  招标文件的组成</w:t>
      </w:r>
      <w:bookmarkEnd w:id="219"/>
      <w:bookmarkEnd w:id="220"/>
      <w:bookmarkEnd w:id="221"/>
      <w:bookmarkEnd w:id="222"/>
      <w:bookmarkEnd w:id="223"/>
      <w:bookmarkEnd w:id="224"/>
      <w:bookmarkEnd w:id="225"/>
      <w:bookmarkEnd w:id="226"/>
    </w:p>
    <w:p>
      <w:pPr>
        <w:autoSpaceDE w:val="0"/>
        <w:autoSpaceDN w:val="0"/>
        <w:adjustRightInd w:val="0"/>
        <w:snapToGrid w:val="0"/>
        <w:spacing w:line="360" w:lineRule="auto"/>
        <w:ind w:left="359" w:leftChars="171"/>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本招标文件包括：</w:t>
      </w:r>
    </w:p>
    <w:p>
      <w:pPr>
        <w:autoSpaceDE w:val="0"/>
        <w:autoSpaceDN w:val="0"/>
        <w:adjustRightInd w:val="0"/>
        <w:snapToGrid w:val="0"/>
        <w:spacing w:line="360" w:lineRule="auto"/>
        <w:ind w:left="359" w:leftChars="171"/>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（1）招标公告（或投标邀请书）；</w:t>
      </w:r>
    </w:p>
    <w:p>
      <w:pPr>
        <w:autoSpaceDE w:val="0"/>
        <w:autoSpaceDN w:val="0"/>
        <w:adjustRightInd w:val="0"/>
        <w:snapToGrid w:val="0"/>
        <w:spacing w:line="360" w:lineRule="auto"/>
        <w:ind w:left="359" w:leftChars="171"/>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（2）投标人须知；</w:t>
      </w:r>
    </w:p>
    <w:p>
      <w:pPr>
        <w:autoSpaceDE w:val="0"/>
        <w:autoSpaceDN w:val="0"/>
        <w:adjustRightInd w:val="0"/>
        <w:snapToGrid w:val="0"/>
        <w:spacing w:line="360" w:lineRule="auto"/>
        <w:ind w:left="359" w:leftChars="171"/>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（3）评标办法；</w:t>
      </w:r>
    </w:p>
    <w:p>
      <w:pPr>
        <w:autoSpaceDE w:val="0"/>
        <w:autoSpaceDN w:val="0"/>
        <w:adjustRightInd w:val="0"/>
        <w:snapToGrid w:val="0"/>
        <w:spacing w:line="360" w:lineRule="auto"/>
        <w:ind w:left="359" w:leftChars="171"/>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（4）合同条款及格式；</w:t>
      </w:r>
    </w:p>
    <w:p>
      <w:pPr>
        <w:autoSpaceDE w:val="0"/>
        <w:autoSpaceDN w:val="0"/>
        <w:adjustRightInd w:val="0"/>
        <w:snapToGrid w:val="0"/>
        <w:spacing w:line="360" w:lineRule="auto"/>
        <w:ind w:left="359" w:leftChars="171"/>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w:t>
      </w:r>
      <w:r>
        <w:rPr>
          <w:rFonts w:hint="eastAsia" w:ascii="新宋体" w:hAnsi="新宋体" w:eastAsia="新宋体" w:cs="新宋体"/>
          <w:snapToGrid w:val="0"/>
          <w:color w:val="auto"/>
          <w:kern w:val="0"/>
          <w:szCs w:val="21"/>
          <w:highlight w:val="none"/>
          <w:lang w:val="en-US" w:eastAsia="zh-CN"/>
        </w:rPr>
        <w:t>5</w:t>
      </w:r>
      <w:r>
        <w:rPr>
          <w:rFonts w:hint="eastAsia" w:ascii="新宋体" w:hAnsi="新宋体" w:eastAsia="新宋体" w:cs="新宋体"/>
          <w:snapToGrid w:val="0"/>
          <w:color w:val="auto"/>
          <w:kern w:val="0"/>
          <w:szCs w:val="21"/>
          <w:highlight w:val="none"/>
        </w:rPr>
        <w:t>）技术标准和要求；</w:t>
      </w:r>
    </w:p>
    <w:p>
      <w:pPr>
        <w:autoSpaceDE w:val="0"/>
        <w:autoSpaceDN w:val="0"/>
        <w:adjustRightInd w:val="0"/>
        <w:snapToGrid w:val="0"/>
        <w:spacing w:line="360" w:lineRule="auto"/>
        <w:ind w:left="359" w:leftChars="171"/>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w:t>
      </w:r>
      <w:r>
        <w:rPr>
          <w:rFonts w:hint="eastAsia" w:ascii="新宋体" w:hAnsi="新宋体" w:eastAsia="新宋体" w:cs="新宋体"/>
          <w:snapToGrid w:val="0"/>
          <w:color w:val="auto"/>
          <w:kern w:val="0"/>
          <w:szCs w:val="21"/>
          <w:highlight w:val="none"/>
          <w:lang w:val="en-US" w:eastAsia="zh-CN"/>
        </w:rPr>
        <w:t>6</w:t>
      </w:r>
      <w:r>
        <w:rPr>
          <w:rFonts w:hint="eastAsia" w:ascii="新宋体" w:hAnsi="新宋体" w:eastAsia="新宋体" w:cs="新宋体"/>
          <w:snapToGrid w:val="0"/>
          <w:color w:val="auto"/>
          <w:kern w:val="0"/>
          <w:szCs w:val="21"/>
          <w:highlight w:val="none"/>
        </w:rPr>
        <w:t>）投标文件格式；</w:t>
      </w:r>
    </w:p>
    <w:p>
      <w:pPr>
        <w:autoSpaceDE w:val="0"/>
        <w:autoSpaceDN w:val="0"/>
        <w:adjustRightInd w:val="0"/>
        <w:snapToGrid w:val="0"/>
        <w:spacing w:line="360" w:lineRule="auto"/>
        <w:ind w:left="359" w:leftChars="171"/>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w:t>
      </w:r>
      <w:r>
        <w:rPr>
          <w:rFonts w:hint="eastAsia" w:ascii="新宋体" w:hAnsi="新宋体" w:eastAsia="新宋体" w:cs="新宋体"/>
          <w:snapToGrid w:val="0"/>
          <w:color w:val="auto"/>
          <w:kern w:val="0"/>
          <w:szCs w:val="21"/>
          <w:highlight w:val="none"/>
          <w:lang w:val="en-US" w:eastAsia="zh-CN"/>
        </w:rPr>
        <w:t>7</w:t>
      </w:r>
      <w:r>
        <w:rPr>
          <w:rFonts w:hint="eastAsia" w:ascii="新宋体" w:hAnsi="新宋体" w:eastAsia="新宋体" w:cs="新宋体"/>
          <w:snapToGrid w:val="0"/>
          <w:color w:val="auto"/>
          <w:kern w:val="0"/>
          <w:szCs w:val="21"/>
          <w:highlight w:val="none"/>
        </w:rPr>
        <w:t>）投标人须知前附表规定的其他材料。</w:t>
      </w:r>
    </w:p>
    <w:p>
      <w:pPr>
        <w:autoSpaceDE w:val="0"/>
        <w:autoSpaceDN w:val="0"/>
        <w:adjustRightInd w:val="0"/>
        <w:snapToGrid w:val="0"/>
        <w:spacing w:line="360" w:lineRule="auto"/>
        <w:ind w:firstLine="42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根据本章第1.10款、第2.2款和第2.3款对招标文件所作的澄清、修改，构成招标文件的组成部分。</w:t>
      </w:r>
    </w:p>
    <w:p>
      <w:pPr>
        <w:pStyle w:val="2"/>
        <w:snapToGrid w:val="0"/>
        <w:spacing w:before="0" w:after="0" w:line="360" w:lineRule="auto"/>
        <w:rPr>
          <w:rFonts w:hint="eastAsia" w:ascii="新宋体" w:hAnsi="新宋体" w:eastAsia="新宋体" w:cs="新宋体"/>
          <w:b w:val="0"/>
          <w:snapToGrid w:val="0"/>
          <w:color w:val="auto"/>
          <w:sz w:val="24"/>
          <w:szCs w:val="24"/>
          <w:highlight w:val="none"/>
        </w:rPr>
      </w:pPr>
      <w:bookmarkStart w:id="227" w:name="_Toc430530451"/>
      <w:bookmarkStart w:id="228" w:name="_Toc509218726"/>
      <w:bookmarkStart w:id="229" w:name="_Toc57820576"/>
      <w:r>
        <w:rPr>
          <w:rFonts w:hint="eastAsia" w:ascii="新宋体" w:hAnsi="新宋体" w:eastAsia="新宋体" w:cs="新宋体"/>
          <w:b w:val="0"/>
          <w:snapToGrid w:val="0"/>
          <w:color w:val="auto"/>
          <w:sz w:val="24"/>
          <w:szCs w:val="24"/>
          <w:highlight w:val="none"/>
        </w:rPr>
        <w:t>2.2  招标文件的澄清</w:t>
      </w:r>
      <w:bookmarkEnd w:id="227"/>
      <w:bookmarkEnd w:id="228"/>
      <w:bookmarkEnd w:id="229"/>
    </w:p>
    <w:p>
      <w:pPr>
        <w:autoSpaceDE w:val="0"/>
        <w:autoSpaceDN w:val="0"/>
        <w:adjustRightInd w:val="0"/>
        <w:snapToGrid w:val="0"/>
        <w:spacing w:line="360" w:lineRule="auto"/>
        <w:ind w:firstLine="42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2.2.1  投标人应仔细阅读和检查招标文件的全部内容。如发现缺页或附件不全，应及时向招标人提出，以便补齐。如有疑问，应在投标人须知前附表规定的时间前</w:t>
      </w:r>
      <w:r>
        <w:rPr>
          <w:rFonts w:hint="eastAsia" w:ascii="新宋体" w:hAnsi="新宋体" w:eastAsia="新宋体" w:cs="新宋体"/>
          <w:color w:val="auto"/>
          <w:kern w:val="0"/>
          <w:szCs w:val="21"/>
          <w:highlight w:val="none"/>
        </w:rPr>
        <w:t>在相应法定网站提问</w:t>
      </w:r>
      <w:r>
        <w:rPr>
          <w:rFonts w:hint="eastAsia" w:ascii="新宋体" w:hAnsi="新宋体" w:eastAsia="新宋体" w:cs="新宋体"/>
          <w:snapToGrid w:val="0"/>
          <w:color w:val="auto"/>
          <w:kern w:val="0"/>
          <w:szCs w:val="21"/>
          <w:highlight w:val="none"/>
        </w:rPr>
        <w:t>，要求招标人对招标文件予以澄清。</w:t>
      </w:r>
    </w:p>
    <w:p>
      <w:pPr>
        <w:autoSpaceDE w:val="0"/>
        <w:autoSpaceDN w:val="0"/>
        <w:adjustRightInd w:val="0"/>
        <w:snapToGrid w:val="0"/>
        <w:spacing w:line="360" w:lineRule="auto"/>
        <w:ind w:firstLine="42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2.2.2  招标文件的澄清将在投标人须知前附表规定的投标截止时间15天前</w:t>
      </w:r>
      <w:r>
        <w:rPr>
          <w:rFonts w:hint="eastAsia" w:ascii="新宋体" w:hAnsi="新宋体" w:eastAsia="新宋体" w:cs="新宋体"/>
          <w:color w:val="auto"/>
          <w:kern w:val="0"/>
          <w:szCs w:val="21"/>
          <w:highlight w:val="none"/>
        </w:rPr>
        <w:t>在相应法定网站发布，</w:t>
      </w:r>
      <w:r>
        <w:rPr>
          <w:rFonts w:hint="eastAsia" w:ascii="新宋体" w:hAnsi="新宋体" w:eastAsia="新宋体" w:cs="新宋体"/>
          <w:snapToGrid w:val="0"/>
          <w:color w:val="auto"/>
          <w:kern w:val="0"/>
          <w:szCs w:val="21"/>
          <w:highlight w:val="none"/>
        </w:rPr>
        <w:t>但不指明澄清问题的来源。如果澄清发出的时间距投标截止时间不足15天，相应延长投标截止时间。</w:t>
      </w:r>
    </w:p>
    <w:p>
      <w:pPr>
        <w:autoSpaceDE w:val="0"/>
        <w:autoSpaceDN w:val="0"/>
        <w:adjustRightInd w:val="0"/>
        <w:snapToGrid w:val="0"/>
        <w:spacing w:line="360" w:lineRule="auto"/>
        <w:ind w:firstLine="42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 xml:space="preserve">2.2.3  </w:t>
      </w:r>
      <w:r>
        <w:rPr>
          <w:rFonts w:hint="eastAsia" w:ascii="新宋体" w:hAnsi="新宋体" w:eastAsia="新宋体" w:cs="新宋体"/>
          <w:color w:val="auto"/>
          <w:kern w:val="0"/>
          <w:szCs w:val="21"/>
          <w:highlight w:val="none"/>
        </w:rPr>
        <w:t>招标人对招标文件的</w:t>
      </w:r>
      <w:r>
        <w:rPr>
          <w:rFonts w:hint="eastAsia" w:ascii="新宋体" w:hAnsi="新宋体" w:eastAsia="新宋体" w:cs="新宋体"/>
          <w:snapToGrid w:val="0"/>
          <w:color w:val="auto"/>
          <w:kern w:val="0"/>
          <w:szCs w:val="21"/>
          <w:highlight w:val="none"/>
        </w:rPr>
        <w:t>修改内容可能影响投标文件编制的，须在投标截止时间15日前发布，发布时间至投标截止时间不足15日的，须相应延后投标截止时间。</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position w:val="-2"/>
          <w:szCs w:val="21"/>
          <w:highlight w:val="none"/>
        </w:rPr>
        <w:t>2.2.4  投标人对招标文件和澄清修改仍有异议的，可于投标截止时间10日前，</w:t>
      </w:r>
      <w:r>
        <w:rPr>
          <w:rFonts w:hint="eastAsia" w:ascii="新宋体" w:hAnsi="新宋体" w:eastAsia="新宋体" w:cs="新宋体"/>
          <w:snapToGrid w:val="0"/>
          <w:color w:val="auto"/>
          <w:position w:val="-2"/>
          <w:szCs w:val="21"/>
          <w:highlight w:val="none"/>
        </w:rPr>
        <w:t>通过重庆市电子招投标系统提出</w:t>
      </w:r>
      <w:r>
        <w:rPr>
          <w:rFonts w:hint="eastAsia" w:ascii="新宋体" w:hAnsi="新宋体" w:eastAsia="新宋体" w:cs="新宋体"/>
          <w:snapToGrid w:val="0"/>
          <w:color w:val="auto"/>
          <w:kern w:val="0"/>
          <w:szCs w:val="21"/>
          <w:highlight w:val="none"/>
        </w:rPr>
        <w:t>。招标人应将答复以修改的形式在</w:t>
      </w:r>
      <w:r>
        <w:rPr>
          <w:rFonts w:hint="eastAsia" w:ascii="新宋体" w:hAnsi="新宋体" w:eastAsia="新宋体" w:cs="新宋体"/>
          <w:color w:val="auto"/>
          <w:kern w:val="0"/>
          <w:szCs w:val="21"/>
          <w:highlight w:val="none"/>
        </w:rPr>
        <w:t>相应法定网站发布</w:t>
      </w:r>
      <w:r>
        <w:rPr>
          <w:rFonts w:hint="eastAsia" w:ascii="新宋体" w:hAnsi="新宋体" w:eastAsia="新宋体" w:cs="新宋体"/>
          <w:snapToGrid w:val="0"/>
          <w:color w:val="auto"/>
          <w:kern w:val="0"/>
          <w:szCs w:val="21"/>
          <w:highlight w:val="none"/>
        </w:rPr>
        <w:t>。修改内容可能影响投标文件编制的，须在投标截止时间15日前发布，发布时间至投标截止时间不足15日的，须相应延后投标截止时间。</w:t>
      </w:r>
    </w:p>
    <w:p>
      <w:pPr>
        <w:pStyle w:val="2"/>
        <w:snapToGrid w:val="0"/>
        <w:spacing w:before="0" w:after="0" w:line="360" w:lineRule="auto"/>
        <w:rPr>
          <w:rFonts w:hint="eastAsia" w:ascii="新宋体" w:hAnsi="新宋体" w:eastAsia="新宋体" w:cs="新宋体"/>
          <w:b w:val="0"/>
          <w:snapToGrid w:val="0"/>
          <w:color w:val="auto"/>
          <w:sz w:val="24"/>
          <w:szCs w:val="24"/>
          <w:highlight w:val="none"/>
        </w:rPr>
      </w:pPr>
      <w:bookmarkStart w:id="230" w:name="_Toc57820577"/>
      <w:bookmarkStart w:id="231" w:name="_Toc509218727"/>
      <w:bookmarkStart w:id="232" w:name="_Toc430530452"/>
      <w:bookmarkStart w:id="233" w:name="_Toc224103334"/>
      <w:bookmarkStart w:id="234" w:name="_Toc200513143"/>
      <w:bookmarkStart w:id="235" w:name="_Toc287607763"/>
      <w:bookmarkStart w:id="236" w:name="_Toc287620702"/>
      <w:bookmarkStart w:id="237" w:name="_Toc277082569"/>
      <w:r>
        <w:rPr>
          <w:rFonts w:hint="eastAsia" w:ascii="新宋体" w:hAnsi="新宋体" w:eastAsia="新宋体" w:cs="新宋体"/>
          <w:b w:val="0"/>
          <w:snapToGrid w:val="0"/>
          <w:color w:val="auto"/>
          <w:sz w:val="24"/>
          <w:szCs w:val="24"/>
          <w:highlight w:val="none"/>
        </w:rPr>
        <w:t>2.3  招标文件的修改</w:t>
      </w:r>
      <w:bookmarkEnd w:id="230"/>
      <w:bookmarkEnd w:id="231"/>
      <w:bookmarkEnd w:id="232"/>
      <w:bookmarkEnd w:id="233"/>
      <w:bookmarkEnd w:id="234"/>
      <w:bookmarkEnd w:id="235"/>
      <w:bookmarkEnd w:id="236"/>
      <w:bookmarkEnd w:id="237"/>
    </w:p>
    <w:p>
      <w:pPr>
        <w:autoSpaceDE w:val="0"/>
        <w:autoSpaceDN w:val="0"/>
        <w:adjustRightInd w:val="0"/>
        <w:snapToGrid w:val="0"/>
        <w:spacing w:line="360" w:lineRule="auto"/>
        <w:ind w:firstLine="420"/>
        <w:rPr>
          <w:rFonts w:hint="eastAsia" w:ascii="新宋体" w:hAnsi="新宋体" w:eastAsia="新宋体" w:cs="新宋体"/>
          <w:snapToGrid w:val="0"/>
          <w:color w:val="auto"/>
          <w:highlight w:val="none"/>
        </w:rPr>
      </w:pPr>
      <w:bookmarkStart w:id="238" w:name="_Toc200513144"/>
      <w:bookmarkStart w:id="239" w:name="_Toc277082570"/>
      <w:bookmarkStart w:id="240" w:name="_Toc224103335"/>
      <w:bookmarkStart w:id="241" w:name="_Toc287607764"/>
      <w:bookmarkStart w:id="242" w:name="_Toc287620703"/>
      <w:r>
        <w:rPr>
          <w:rFonts w:hint="eastAsia" w:ascii="新宋体" w:hAnsi="新宋体" w:eastAsia="新宋体" w:cs="新宋体"/>
          <w:snapToGrid w:val="0"/>
          <w:color w:val="auto"/>
          <w:highlight w:val="none"/>
        </w:rPr>
        <w:t>按照本章第2.2款招标文件的澄清相关内容及方式执行。</w:t>
      </w:r>
    </w:p>
    <w:p>
      <w:pPr>
        <w:pStyle w:val="4"/>
        <w:spacing w:before="0" w:after="0" w:line="360" w:lineRule="auto"/>
        <w:rPr>
          <w:rFonts w:hint="eastAsia" w:ascii="新宋体" w:hAnsi="新宋体" w:eastAsia="新宋体" w:cs="新宋体"/>
          <w:b w:val="0"/>
          <w:snapToGrid w:val="0"/>
          <w:color w:val="auto"/>
          <w:highlight w:val="none"/>
        </w:rPr>
      </w:pPr>
      <w:bookmarkStart w:id="243" w:name="_Toc57820578"/>
      <w:bookmarkStart w:id="244" w:name="_Toc509218728"/>
      <w:bookmarkStart w:id="245" w:name="_Toc430530453"/>
      <w:r>
        <w:rPr>
          <w:rFonts w:hint="eastAsia" w:ascii="新宋体" w:hAnsi="新宋体" w:eastAsia="新宋体" w:cs="新宋体"/>
          <w:b w:val="0"/>
          <w:snapToGrid w:val="0"/>
          <w:color w:val="auto"/>
          <w:highlight w:val="none"/>
        </w:rPr>
        <w:t>3.  投标文件</w:t>
      </w:r>
      <w:bookmarkEnd w:id="238"/>
      <w:bookmarkEnd w:id="239"/>
      <w:bookmarkEnd w:id="240"/>
      <w:bookmarkEnd w:id="241"/>
      <w:bookmarkEnd w:id="242"/>
      <w:bookmarkEnd w:id="243"/>
      <w:bookmarkEnd w:id="244"/>
      <w:bookmarkEnd w:id="245"/>
    </w:p>
    <w:p>
      <w:pPr>
        <w:pStyle w:val="2"/>
        <w:snapToGrid w:val="0"/>
        <w:spacing w:before="0" w:after="0" w:line="360" w:lineRule="auto"/>
        <w:rPr>
          <w:rFonts w:hint="eastAsia" w:ascii="新宋体" w:hAnsi="新宋体" w:eastAsia="新宋体" w:cs="新宋体"/>
          <w:b w:val="0"/>
          <w:snapToGrid w:val="0"/>
          <w:color w:val="auto"/>
          <w:sz w:val="24"/>
          <w:szCs w:val="24"/>
          <w:highlight w:val="none"/>
        </w:rPr>
      </w:pPr>
      <w:bookmarkStart w:id="246" w:name="_Toc224103336"/>
      <w:bookmarkStart w:id="247" w:name="_Toc287607765"/>
      <w:bookmarkStart w:id="248" w:name="_Toc509218729"/>
      <w:bookmarkStart w:id="249" w:name="_Toc287620704"/>
      <w:bookmarkStart w:id="250" w:name="_Toc200513145"/>
      <w:bookmarkStart w:id="251" w:name="_Toc277082571"/>
      <w:bookmarkStart w:id="252" w:name="_Toc430530454"/>
      <w:bookmarkStart w:id="253" w:name="_Toc57820579"/>
      <w:r>
        <w:rPr>
          <w:rFonts w:hint="eastAsia" w:ascii="新宋体" w:hAnsi="新宋体" w:eastAsia="新宋体" w:cs="新宋体"/>
          <w:b w:val="0"/>
          <w:snapToGrid w:val="0"/>
          <w:color w:val="auto"/>
          <w:sz w:val="24"/>
          <w:szCs w:val="24"/>
          <w:highlight w:val="none"/>
        </w:rPr>
        <w:t>3.1  投标文件的组成</w:t>
      </w:r>
      <w:bookmarkEnd w:id="246"/>
      <w:bookmarkEnd w:id="247"/>
      <w:bookmarkEnd w:id="248"/>
      <w:bookmarkEnd w:id="249"/>
      <w:bookmarkEnd w:id="250"/>
      <w:bookmarkEnd w:id="251"/>
      <w:bookmarkEnd w:id="252"/>
      <w:bookmarkEnd w:id="253"/>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3.1.1 投标文件应包括下列内容：</w:t>
      </w:r>
    </w:p>
    <w:p>
      <w:pPr>
        <w:spacing w:line="360" w:lineRule="auto"/>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3.1.1.1投标函部分</w:t>
      </w:r>
    </w:p>
    <w:p>
      <w:pPr>
        <w:spacing w:line="360" w:lineRule="auto"/>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（1）投标函</w:t>
      </w:r>
    </w:p>
    <w:p>
      <w:pPr>
        <w:spacing w:line="360" w:lineRule="auto"/>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w:t>
      </w:r>
      <w:r>
        <w:rPr>
          <w:rFonts w:hint="eastAsia" w:ascii="新宋体" w:hAnsi="新宋体" w:eastAsia="新宋体" w:cs="新宋体"/>
          <w:color w:val="auto"/>
          <w:highlight w:val="none"/>
          <w:lang w:val="en-US" w:eastAsia="zh-CN"/>
        </w:rPr>
        <w:t>2</w:t>
      </w:r>
      <w:r>
        <w:rPr>
          <w:rFonts w:hint="eastAsia" w:ascii="新宋体" w:hAnsi="新宋体" w:eastAsia="新宋体" w:cs="新宋体"/>
          <w:color w:val="auto"/>
          <w:highlight w:val="none"/>
        </w:rPr>
        <w:t>）法定代表人身份证明或附有法定代表人身份证明的授权委托书</w:t>
      </w:r>
    </w:p>
    <w:p>
      <w:pPr>
        <w:spacing w:line="360" w:lineRule="auto"/>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3.1.1.2经济部分</w:t>
      </w:r>
    </w:p>
    <w:p>
      <w:pPr>
        <w:spacing w:line="360" w:lineRule="auto"/>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3.1.1.3技术部分</w:t>
      </w:r>
    </w:p>
    <w:p>
      <w:pPr>
        <w:spacing w:line="360" w:lineRule="auto"/>
        <w:ind w:firstLine="420" w:firstLineChars="200"/>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3.1.1.4商务部分</w:t>
      </w:r>
    </w:p>
    <w:p>
      <w:pPr>
        <w:spacing w:line="360" w:lineRule="auto"/>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3.1.1.</w:t>
      </w:r>
      <w:r>
        <w:rPr>
          <w:rFonts w:hint="eastAsia" w:ascii="新宋体" w:hAnsi="新宋体" w:eastAsia="新宋体" w:cs="新宋体"/>
          <w:color w:val="auto"/>
          <w:highlight w:val="none"/>
          <w:lang w:val="en-US" w:eastAsia="zh-CN"/>
        </w:rPr>
        <w:t>5</w:t>
      </w:r>
      <w:r>
        <w:rPr>
          <w:rFonts w:hint="eastAsia" w:ascii="新宋体" w:hAnsi="新宋体" w:eastAsia="新宋体" w:cs="新宋体"/>
          <w:color w:val="auto"/>
          <w:highlight w:val="none"/>
        </w:rPr>
        <w:t>资格审查部分</w:t>
      </w:r>
    </w:p>
    <w:p>
      <w:pPr>
        <w:spacing w:line="360" w:lineRule="auto"/>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（1）法定代表人身份证明或附有法定代表人身份证明的授权委托书</w:t>
      </w:r>
    </w:p>
    <w:p>
      <w:pPr>
        <w:spacing w:line="360" w:lineRule="auto"/>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w:t>
      </w:r>
      <w:r>
        <w:rPr>
          <w:rFonts w:hint="eastAsia" w:ascii="新宋体" w:hAnsi="新宋体" w:eastAsia="新宋体" w:cs="新宋体"/>
          <w:color w:val="auto"/>
          <w:highlight w:val="none"/>
          <w:lang w:val="en-US" w:eastAsia="zh-CN"/>
        </w:rPr>
        <w:t>2</w:t>
      </w:r>
      <w:r>
        <w:rPr>
          <w:rFonts w:hint="eastAsia" w:ascii="新宋体" w:hAnsi="新宋体" w:eastAsia="新宋体" w:cs="新宋体"/>
          <w:color w:val="auto"/>
          <w:highlight w:val="none"/>
        </w:rPr>
        <w:t>）投标人基本情况表</w:t>
      </w:r>
    </w:p>
    <w:p>
      <w:pPr>
        <w:spacing w:line="360" w:lineRule="auto"/>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w:t>
      </w:r>
      <w:r>
        <w:rPr>
          <w:rFonts w:hint="eastAsia" w:ascii="新宋体" w:hAnsi="新宋体" w:eastAsia="新宋体" w:cs="新宋体"/>
          <w:color w:val="auto"/>
          <w:highlight w:val="none"/>
          <w:lang w:val="en-US" w:eastAsia="zh-CN"/>
        </w:rPr>
        <w:t>3</w:t>
      </w:r>
      <w:r>
        <w:rPr>
          <w:rFonts w:hint="eastAsia" w:ascii="新宋体" w:hAnsi="新宋体" w:eastAsia="新宋体" w:cs="新宋体"/>
          <w:color w:val="auto"/>
          <w:highlight w:val="none"/>
        </w:rPr>
        <w:t>）近年财务状况表</w:t>
      </w:r>
    </w:p>
    <w:p>
      <w:pPr>
        <w:spacing w:line="360" w:lineRule="auto"/>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w:t>
      </w:r>
      <w:r>
        <w:rPr>
          <w:rFonts w:hint="eastAsia" w:ascii="新宋体" w:hAnsi="新宋体" w:eastAsia="新宋体" w:cs="新宋体"/>
          <w:color w:val="auto"/>
          <w:highlight w:val="none"/>
          <w:lang w:val="en-US" w:eastAsia="zh-CN"/>
        </w:rPr>
        <w:t>4</w:t>
      </w:r>
      <w:r>
        <w:rPr>
          <w:rFonts w:hint="eastAsia" w:ascii="新宋体" w:hAnsi="新宋体" w:eastAsia="新宋体" w:cs="新宋体"/>
          <w:color w:val="auto"/>
          <w:highlight w:val="none"/>
        </w:rPr>
        <w:t>）类似项目情况表</w:t>
      </w:r>
    </w:p>
    <w:p>
      <w:pPr>
        <w:spacing w:line="360" w:lineRule="auto"/>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w:t>
      </w:r>
      <w:r>
        <w:rPr>
          <w:rFonts w:hint="eastAsia" w:ascii="新宋体" w:hAnsi="新宋体" w:eastAsia="新宋体" w:cs="新宋体"/>
          <w:color w:val="auto"/>
          <w:highlight w:val="none"/>
          <w:lang w:val="en-US" w:eastAsia="zh-CN"/>
        </w:rPr>
        <w:t>5</w:t>
      </w:r>
      <w:r>
        <w:rPr>
          <w:rFonts w:hint="eastAsia" w:ascii="新宋体" w:hAnsi="新宋体" w:eastAsia="新宋体" w:cs="新宋体"/>
          <w:color w:val="auto"/>
          <w:highlight w:val="none"/>
        </w:rPr>
        <w:t>）承诺</w:t>
      </w:r>
    </w:p>
    <w:p>
      <w:pPr>
        <w:spacing w:line="360" w:lineRule="auto"/>
        <w:ind w:firstLine="420" w:firstLineChars="200"/>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rPr>
        <w:t>（</w:t>
      </w:r>
      <w:r>
        <w:rPr>
          <w:rFonts w:hint="eastAsia" w:ascii="新宋体" w:hAnsi="新宋体" w:eastAsia="新宋体" w:cs="新宋体"/>
          <w:color w:val="auto"/>
          <w:highlight w:val="none"/>
          <w:lang w:val="en-US" w:eastAsia="zh-CN"/>
        </w:rPr>
        <w:t>6</w:t>
      </w:r>
      <w:r>
        <w:rPr>
          <w:rFonts w:hint="eastAsia" w:ascii="新宋体" w:hAnsi="新宋体" w:eastAsia="新宋体" w:cs="新宋体"/>
          <w:color w:val="auto"/>
          <w:highlight w:val="none"/>
        </w:rPr>
        <w:t>）</w:t>
      </w:r>
      <w:r>
        <w:rPr>
          <w:rFonts w:hint="eastAsia" w:ascii="新宋体" w:hAnsi="新宋体" w:eastAsia="新宋体" w:cs="新宋体"/>
          <w:color w:val="auto"/>
          <w:highlight w:val="none"/>
          <w:lang w:val="en-US" w:eastAsia="zh-CN"/>
        </w:rPr>
        <w:t>其他证书</w:t>
      </w:r>
    </w:p>
    <w:p>
      <w:pPr>
        <w:spacing w:line="360" w:lineRule="auto"/>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lang w:eastAsia="zh-CN"/>
        </w:rPr>
        <w:t>（</w:t>
      </w:r>
      <w:r>
        <w:rPr>
          <w:rFonts w:hint="eastAsia" w:ascii="新宋体" w:hAnsi="新宋体" w:eastAsia="新宋体" w:cs="新宋体"/>
          <w:color w:val="auto"/>
          <w:highlight w:val="none"/>
          <w:lang w:val="en-US" w:eastAsia="zh-CN"/>
        </w:rPr>
        <w:t>7</w:t>
      </w:r>
      <w:r>
        <w:rPr>
          <w:rFonts w:hint="eastAsia" w:ascii="新宋体" w:hAnsi="新宋体" w:eastAsia="新宋体" w:cs="新宋体"/>
          <w:color w:val="auto"/>
          <w:highlight w:val="none"/>
          <w:lang w:eastAsia="zh-CN"/>
        </w:rPr>
        <w:t>）</w:t>
      </w:r>
      <w:r>
        <w:rPr>
          <w:rFonts w:hint="eastAsia" w:ascii="新宋体" w:hAnsi="新宋体" w:eastAsia="新宋体" w:cs="新宋体"/>
          <w:color w:val="auto"/>
          <w:highlight w:val="none"/>
        </w:rPr>
        <w:t>其他资料</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3.1.2  投标人须知前附表规定不接受联合体投标的，或投标人没有组成联合体的，投标文件不包括联合体协议书。</w:t>
      </w:r>
    </w:p>
    <w:p>
      <w:pPr>
        <w:pStyle w:val="2"/>
        <w:snapToGrid w:val="0"/>
        <w:spacing w:before="0" w:after="0" w:line="360" w:lineRule="auto"/>
        <w:rPr>
          <w:rFonts w:hint="eastAsia" w:ascii="新宋体" w:hAnsi="新宋体" w:eastAsia="新宋体" w:cs="新宋体"/>
          <w:b w:val="0"/>
          <w:snapToGrid w:val="0"/>
          <w:color w:val="auto"/>
          <w:sz w:val="24"/>
          <w:szCs w:val="24"/>
          <w:highlight w:val="none"/>
        </w:rPr>
      </w:pPr>
      <w:bookmarkStart w:id="254" w:name="_Toc224103337"/>
      <w:bookmarkStart w:id="255" w:name="_Toc277082572"/>
      <w:bookmarkStart w:id="256" w:name="_Toc509218730"/>
      <w:bookmarkStart w:id="257" w:name="_Toc287607766"/>
      <w:bookmarkStart w:id="258" w:name="_Toc200513146"/>
      <w:bookmarkStart w:id="259" w:name="_Toc287620705"/>
      <w:bookmarkStart w:id="260" w:name="_Toc430530455"/>
      <w:bookmarkStart w:id="261" w:name="_Toc57820580"/>
      <w:r>
        <w:rPr>
          <w:rFonts w:hint="eastAsia" w:ascii="新宋体" w:hAnsi="新宋体" w:eastAsia="新宋体" w:cs="新宋体"/>
          <w:b w:val="0"/>
          <w:snapToGrid w:val="0"/>
          <w:color w:val="auto"/>
          <w:sz w:val="24"/>
          <w:szCs w:val="24"/>
          <w:highlight w:val="none"/>
        </w:rPr>
        <w:t>3.2  投标报价</w:t>
      </w:r>
      <w:bookmarkEnd w:id="254"/>
      <w:bookmarkEnd w:id="255"/>
      <w:bookmarkEnd w:id="256"/>
      <w:bookmarkEnd w:id="257"/>
      <w:bookmarkEnd w:id="258"/>
      <w:bookmarkEnd w:id="259"/>
      <w:bookmarkEnd w:id="260"/>
      <w:bookmarkEnd w:id="261"/>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3.2.1  投标人应按“</w:t>
      </w:r>
      <w:r>
        <w:rPr>
          <w:rFonts w:hint="eastAsia" w:ascii="新宋体" w:hAnsi="新宋体" w:eastAsia="新宋体" w:cs="新宋体"/>
          <w:snapToGrid w:val="0"/>
          <w:color w:val="auto"/>
          <w:kern w:val="0"/>
          <w:szCs w:val="21"/>
          <w:highlight w:val="none"/>
          <w:lang w:val="en-US" w:eastAsia="zh-CN"/>
        </w:rPr>
        <w:t>设备</w:t>
      </w:r>
      <w:r>
        <w:rPr>
          <w:rFonts w:hint="eastAsia" w:ascii="新宋体" w:hAnsi="新宋体" w:eastAsia="新宋体" w:cs="新宋体"/>
          <w:snapToGrid w:val="0"/>
          <w:color w:val="auto"/>
          <w:kern w:val="0"/>
          <w:szCs w:val="21"/>
          <w:highlight w:val="none"/>
        </w:rPr>
        <w:t>清单”的要求填写相应表格。</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3.2.2  投标人在投标截止时间前修改投标函中的投标总报价，应同时修改“</w:t>
      </w:r>
      <w:r>
        <w:rPr>
          <w:rFonts w:hint="eastAsia" w:ascii="新宋体" w:hAnsi="新宋体" w:eastAsia="新宋体" w:cs="新宋体"/>
          <w:snapToGrid w:val="0"/>
          <w:color w:val="auto"/>
          <w:kern w:val="0"/>
          <w:szCs w:val="21"/>
          <w:highlight w:val="none"/>
          <w:lang w:val="en-US" w:eastAsia="zh-CN"/>
        </w:rPr>
        <w:t>设备</w:t>
      </w:r>
      <w:r>
        <w:rPr>
          <w:rFonts w:hint="eastAsia" w:ascii="新宋体" w:hAnsi="新宋体" w:eastAsia="新宋体" w:cs="新宋体"/>
          <w:snapToGrid w:val="0"/>
          <w:color w:val="auto"/>
          <w:kern w:val="0"/>
          <w:szCs w:val="21"/>
          <w:highlight w:val="none"/>
        </w:rPr>
        <w:t>清单”中的相应报价。此修改须符合本章第 4.3 款的有关要求。</w:t>
      </w:r>
    </w:p>
    <w:p>
      <w:pPr>
        <w:pStyle w:val="2"/>
        <w:snapToGrid w:val="0"/>
        <w:spacing w:before="0" w:after="0" w:line="360" w:lineRule="auto"/>
        <w:rPr>
          <w:rFonts w:hint="eastAsia" w:ascii="新宋体" w:hAnsi="新宋体" w:eastAsia="新宋体" w:cs="新宋体"/>
          <w:b w:val="0"/>
          <w:snapToGrid w:val="0"/>
          <w:color w:val="auto"/>
          <w:sz w:val="24"/>
          <w:szCs w:val="24"/>
          <w:highlight w:val="none"/>
        </w:rPr>
      </w:pPr>
      <w:bookmarkStart w:id="262" w:name="_Toc287620706"/>
      <w:bookmarkStart w:id="263" w:name="_Toc57820581"/>
      <w:bookmarkStart w:id="264" w:name="_Toc224103338"/>
      <w:bookmarkStart w:id="265" w:name="_Toc509218731"/>
      <w:bookmarkStart w:id="266" w:name="_Toc200513147"/>
      <w:bookmarkStart w:id="267" w:name="_Toc287607767"/>
      <w:bookmarkStart w:id="268" w:name="_Toc277082573"/>
      <w:bookmarkStart w:id="269" w:name="_Toc430530456"/>
      <w:r>
        <w:rPr>
          <w:rFonts w:hint="eastAsia" w:ascii="新宋体" w:hAnsi="新宋体" w:eastAsia="新宋体" w:cs="新宋体"/>
          <w:b w:val="0"/>
          <w:snapToGrid w:val="0"/>
          <w:color w:val="auto"/>
          <w:sz w:val="24"/>
          <w:szCs w:val="24"/>
          <w:highlight w:val="none"/>
        </w:rPr>
        <w:t>3.3  投标有效期</w:t>
      </w:r>
      <w:bookmarkEnd w:id="262"/>
      <w:bookmarkEnd w:id="263"/>
      <w:bookmarkEnd w:id="264"/>
      <w:bookmarkEnd w:id="265"/>
      <w:bookmarkEnd w:id="266"/>
      <w:bookmarkEnd w:id="267"/>
      <w:bookmarkEnd w:id="268"/>
      <w:bookmarkEnd w:id="269"/>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3.3.1  在投标人须知前附表规定的投标有效期内，投标人不得要求撤销或修改其投标文件。</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3.3.2  出现特殊情况需要延长投标有效期的，招标人以书面形式通知所有投标人延长投标有效期。投标人同意延长的，应相应延长其投标保函的有效期，但不得要求或被允许修改或撤销其投标文件；投标人拒绝延长的，其投标失效，但投标人有权收回其投标保函。（适用于投标保证金采用投标保函形式的）</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pPr>
        <w:pStyle w:val="2"/>
        <w:keepNext w:val="0"/>
        <w:keepLines w:val="0"/>
        <w:snapToGrid w:val="0"/>
        <w:spacing w:before="0" w:after="0" w:line="360" w:lineRule="auto"/>
        <w:rPr>
          <w:rFonts w:hint="eastAsia" w:ascii="新宋体" w:hAnsi="新宋体" w:eastAsia="新宋体" w:cs="新宋体"/>
          <w:b w:val="0"/>
          <w:snapToGrid w:val="0"/>
          <w:color w:val="auto"/>
          <w:sz w:val="24"/>
          <w:szCs w:val="24"/>
          <w:highlight w:val="none"/>
        </w:rPr>
      </w:pPr>
      <w:bookmarkStart w:id="270" w:name="_Toc200513148"/>
      <w:bookmarkStart w:id="271" w:name="_Toc224103339"/>
      <w:bookmarkStart w:id="272" w:name="_Toc277082574"/>
      <w:bookmarkStart w:id="273" w:name="_Toc287607768"/>
      <w:bookmarkStart w:id="274" w:name="_Toc509218732"/>
      <w:bookmarkStart w:id="275" w:name="_Toc430530457"/>
      <w:bookmarkStart w:id="276" w:name="_Toc287620707"/>
      <w:bookmarkStart w:id="277" w:name="_Toc57820582"/>
      <w:r>
        <w:rPr>
          <w:rFonts w:hint="eastAsia" w:ascii="新宋体" w:hAnsi="新宋体" w:eastAsia="新宋体" w:cs="新宋体"/>
          <w:b w:val="0"/>
          <w:snapToGrid w:val="0"/>
          <w:color w:val="auto"/>
          <w:sz w:val="24"/>
          <w:szCs w:val="24"/>
          <w:highlight w:val="none"/>
        </w:rPr>
        <w:t>3.4  投标</w:t>
      </w:r>
      <w:bookmarkEnd w:id="270"/>
      <w:bookmarkEnd w:id="271"/>
      <w:bookmarkEnd w:id="272"/>
      <w:bookmarkEnd w:id="273"/>
      <w:bookmarkEnd w:id="274"/>
      <w:bookmarkEnd w:id="275"/>
      <w:bookmarkEnd w:id="276"/>
      <w:r>
        <w:rPr>
          <w:rFonts w:hint="eastAsia" w:ascii="新宋体" w:hAnsi="新宋体" w:eastAsia="新宋体" w:cs="新宋体"/>
          <w:b w:val="0"/>
          <w:snapToGrid w:val="0"/>
          <w:color w:val="auto"/>
          <w:sz w:val="24"/>
          <w:szCs w:val="24"/>
          <w:highlight w:val="none"/>
        </w:rPr>
        <w:t>保证金</w:t>
      </w:r>
      <w:bookmarkEnd w:id="277"/>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3.4.1  投标人在递交投标文件的同时，应按投标人须知前附表的规定递交投标保证金，并作为其投标文件的组成部分。联合体投标的，其投标保证金由牵头人递交，并应符合投标人须知前附表的规定。</w:t>
      </w:r>
    </w:p>
    <w:p>
      <w:pPr>
        <w:autoSpaceDE w:val="0"/>
        <w:autoSpaceDN w:val="0"/>
        <w:adjustRightInd w:val="0"/>
        <w:snapToGrid w:val="0"/>
        <w:spacing w:line="360" w:lineRule="auto"/>
        <w:ind w:left="13" w:leftChars="6" w:firstLine="405" w:firstLineChars="193"/>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3.4.2  投标人不按本章第 3.4.1 项要求提交投标保证金的，其投标文件作否决投标处理。</w:t>
      </w:r>
    </w:p>
    <w:p>
      <w:pPr>
        <w:autoSpaceDE w:val="0"/>
        <w:autoSpaceDN w:val="0"/>
        <w:adjustRightInd w:val="0"/>
        <w:snapToGrid w:val="0"/>
        <w:spacing w:line="360" w:lineRule="auto"/>
        <w:ind w:left="13" w:leftChars="6" w:firstLine="405" w:firstLineChars="193"/>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3.4.3  投标</w:t>
      </w:r>
      <w:r>
        <w:rPr>
          <w:rFonts w:hint="eastAsia" w:ascii="新宋体" w:hAnsi="新宋体" w:eastAsia="新宋体" w:cs="新宋体"/>
          <w:snapToGrid w:val="0"/>
          <w:color w:val="auto"/>
          <w:kern w:val="0"/>
          <w:position w:val="-2"/>
          <w:szCs w:val="21"/>
          <w:highlight w:val="none"/>
        </w:rPr>
        <w:t>保证金（投标保函）</w:t>
      </w:r>
      <w:r>
        <w:rPr>
          <w:rFonts w:hint="eastAsia" w:ascii="新宋体" w:hAnsi="新宋体" w:eastAsia="新宋体" w:cs="新宋体"/>
          <w:snapToGrid w:val="0"/>
          <w:color w:val="auto"/>
          <w:kern w:val="0"/>
          <w:szCs w:val="21"/>
          <w:highlight w:val="none"/>
        </w:rPr>
        <w:t>退还：见投标人须知前附表</w:t>
      </w:r>
      <w:r>
        <w:rPr>
          <w:rFonts w:hint="eastAsia" w:ascii="新宋体" w:hAnsi="新宋体" w:eastAsia="新宋体" w:cs="新宋体"/>
          <w:snapToGrid w:val="0"/>
          <w:color w:val="auto"/>
          <w:kern w:val="0"/>
          <w:position w:val="-2"/>
          <w:szCs w:val="21"/>
          <w:highlight w:val="none"/>
        </w:rPr>
        <w:t>。</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3.4.4  有下列情形之一的，投标保证金将不予退还：</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（1）投标人在规定的投标有效期内撤销或修改其投标文件；</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（2）</w:t>
      </w:r>
      <w:r>
        <w:rPr>
          <w:rFonts w:hint="eastAsia" w:ascii="新宋体" w:hAnsi="新宋体" w:eastAsia="新宋体" w:cs="新宋体"/>
          <w:color w:val="auto"/>
          <w:kern w:val="0"/>
          <w:szCs w:val="21"/>
          <w:highlight w:val="none"/>
        </w:rPr>
        <w:t>中标人在收到中标通知书后，无正当理由不与招标人订立合同，在签订合同时向招标人提出附加条件，或者不按照招标文件要求提交履约保证金</w:t>
      </w:r>
      <w:r>
        <w:rPr>
          <w:rFonts w:hint="eastAsia" w:ascii="新宋体" w:hAnsi="新宋体" w:eastAsia="新宋体" w:cs="新宋体"/>
          <w:snapToGrid w:val="0"/>
          <w:color w:val="auto"/>
          <w:kern w:val="0"/>
          <w:szCs w:val="21"/>
          <w:highlight w:val="none"/>
        </w:rPr>
        <w:t>；</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lang w:eastAsia="zh-CN"/>
        </w:rPr>
      </w:pPr>
      <w:r>
        <w:rPr>
          <w:rFonts w:hint="eastAsia" w:ascii="新宋体" w:hAnsi="新宋体" w:eastAsia="新宋体" w:cs="新宋体"/>
          <w:snapToGrid w:val="0"/>
          <w:color w:val="auto"/>
          <w:kern w:val="0"/>
          <w:szCs w:val="21"/>
          <w:highlight w:val="none"/>
          <w:lang w:eastAsia="zh-CN"/>
        </w:rPr>
        <w:t>（</w:t>
      </w:r>
      <w:r>
        <w:rPr>
          <w:rFonts w:hint="eastAsia" w:ascii="新宋体" w:hAnsi="新宋体" w:eastAsia="新宋体" w:cs="新宋体"/>
          <w:snapToGrid w:val="0"/>
          <w:color w:val="auto"/>
          <w:kern w:val="0"/>
          <w:szCs w:val="21"/>
          <w:highlight w:val="none"/>
          <w:lang w:val="en-US" w:eastAsia="zh-CN"/>
        </w:rPr>
        <w:t>3</w:t>
      </w:r>
      <w:r>
        <w:rPr>
          <w:rFonts w:hint="eastAsia" w:ascii="新宋体" w:hAnsi="新宋体" w:eastAsia="新宋体" w:cs="新宋体"/>
          <w:snapToGrid w:val="0"/>
          <w:color w:val="auto"/>
          <w:kern w:val="0"/>
          <w:szCs w:val="21"/>
          <w:highlight w:val="none"/>
          <w:lang w:eastAsia="zh-CN"/>
        </w:rPr>
        <w:t>）</w:t>
      </w:r>
      <w:r>
        <w:rPr>
          <w:rFonts w:hint="eastAsia" w:ascii="新宋体" w:hAnsi="新宋体" w:eastAsia="新宋体" w:cs="新宋体"/>
          <w:color w:val="auto"/>
          <w:kern w:val="0"/>
          <w:szCs w:val="21"/>
          <w:highlight w:val="none"/>
        </w:rPr>
        <w:t>中标人</w:t>
      </w:r>
      <w:r>
        <w:rPr>
          <w:rFonts w:hint="eastAsia" w:ascii="新宋体" w:hAnsi="新宋体" w:eastAsia="新宋体" w:cs="新宋体"/>
          <w:color w:val="auto"/>
          <w:kern w:val="0"/>
          <w:szCs w:val="21"/>
          <w:highlight w:val="none"/>
          <w:lang w:eastAsia="zh-CN"/>
        </w:rPr>
        <w:t>（或拟中标人）</w:t>
      </w:r>
      <w:r>
        <w:rPr>
          <w:rFonts w:hint="eastAsia" w:ascii="新宋体" w:hAnsi="新宋体" w:eastAsia="新宋体" w:cs="新宋体"/>
          <w:color w:val="auto"/>
          <w:kern w:val="0"/>
          <w:szCs w:val="21"/>
          <w:highlight w:val="none"/>
        </w:rPr>
        <w:t>拒不提供或者不按时提供低价风险担保（适用于经评审的最低投标价法）</w:t>
      </w:r>
      <w:r>
        <w:rPr>
          <w:rFonts w:hint="eastAsia" w:ascii="新宋体" w:hAnsi="新宋体" w:eastAsia="新宋体" w:cs="新宋体"/>
          <w:color w:val="auto"/>
          <w:kern w:val="0"/>
          <w:szCs w:val="21"/>
          <w:highlight w:val="none"/>
          <w:lang w:eastAsia="zh-CN"/>
        </w:rPr>
        <w:t>；</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w:t>
      </w:r>
      <w:r>
        <w:rPr>
          <w:rFonts w:hint="eastAsia" w:ascii="新宋体" w:hAnsi="新宋体" w:eastAsia="新宋体" w:cs="新宋体"/>
          <w:snapToGrid w:val="0"/>
          <w:color w:val="auto"/>
          <w:kern w:val="0"/>
          <w:szCs w:val="21"/>
          <w:highlight w:val="none"/>
          <w:lang w:val="en-US" w:eastAsia="zh-CN"/>
        </w:rPr>
        <w:t>4</w:t>
      </w:r>
      <w:r>
        <w:rPr>
          <w:rFonts w:hint="eastAsia" w:ascii="新宋体" w:hAnsi="新宋体" w:eastAsia="新宋体" w:cs="新宋体"/>
          <w:snapToGrid w:val="0"/>
          <w:color w:val="auto"/>
          <w:kern w:val="0"/>
          <w:szCs w:val="21"/>
          <w:highlight w:val="none"/>
        </w:rPr>
        <w:t>）违反本章第9.2款对投标人的纪律要求的；</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w:t>
      </w:r>
      <w:r>
        <w:rPr>
          <w:rFonts w:hint="eastAsia" w:ascii="新宋体" w:hAnsi="新宋体" w:eastAsia="新宋体" w:cs="新宋体"/>
          <w:snapToGrid w:val="0"/>
          <w:color w:val="auto"/>
          <w:kern w:val="0"/>
          <w:szCs w:val="21"/>
          <w:highlight w:val="none"/>
          <w:lang w:val="en-US" w:eastAsia="zh-CN"/>
        </w:rPr>
        <w:t>5</w:t>
      </w:r>
      <w:r>
        <w:rPr>
          <w:rFonts w:hint="eastAsia" w:ascii="新宋体" w:hAnsi="新宋体" w:eastAsia="新宋体" w:cs="新宋体"/>
          <w:snapToGrid w:val="0"/>
          <w:color w:val="auto"/>
          <w:kern w:val="0"/>
          <w:szCs w:val="21"/>
          <w:highlight w:val="none"/>
        </w:rPr>
        <w:t>）法律法规规定的其他情形。</w:t>
      </w:r>
    </w:p>
    <w:p>
      <w:pPr>
        <w:tabs>
          <w:tab w:val="left" w:pos="611"/>
          <w:tab w:val="left" w:pos="669"/>
        </w:tabs>
        <w:snapToGrid w:val="0"/>
        <w:spacing w:line="360" w:lineRule="auto"/>
        <w:ind w:firstLine="420" w:firstLineChars="200"/>
        <w:rPr>
          <w:rFonts w:hint="eastAsia" w:ascii="新宋体" w:hAnsi="新宋体" w:eastAsia="新宋体" w:cs="新宋体"/>
          <w:color w:val="auto"/>
          <w:kern w:val="0"/>
          <w:highlight w:val="none"/>
        </w:rPr>
      </w:pPr>
      <w:r>
        <w:rPr>
          <w:rFonts w:hint="eastAsia" w:ascii="新宋体" w:hAnsi="新宋体" w:eastAsia="新宋体" w:cs="新宋体"/>
          <w:snapToGrid w:val="0"/>
          <w:color w:val="auto"/>
          <w:kern w:val="0"/>
          <w:szCs w:val="21"/>
          <w:highlight w:val="none"/>
        </w:rPr>
        <w:t>3.4.5</w:t>
      </w:r>
      <w:r>
        <w:rPr>
          <w:rFonts w:hint="eastAsia" w:ascii="新宋体" w:hAnsi="新宋体" w:eastAsia="新宋体" w:cs="新宋体"/>
          <w:color w:val="auto"/>
          <w:kern w:val="0"/>
          <w:highlight w:val="none"/>
        </w:rPr>
        <w:t>（1）投标保证金为无条件担保；</w:t>
      </w:r>
    </w:p>
    <w:p>
      <w:pPr>
        <w:tabs>
          <w:tab w:val="left" w:pos="611"/>
          <w:tab w:val="left" w:pos="669"/>
        </w:tabs>
        <w:snapToGrid w:val="0"/>
        <w:spacing w:line="360" w:lineRule="auto"/>
        <w:ind w:firstLine="945" w:firstLineChars="450"/>
        <w:rPr>
          <w:rFonts w:hint="eastAsia" w:ascii="新宋体" w:hAnsi="新宋体" w:eastAsia="新宋体" w:cs="新宋体"/>
          <w:color w:val="auto"/>
          <w:kern w:val="0"/>
          <w:highlight w:val="none"/>
        </w:rPr>
      </w:pPr>
      <w:r>
        <w:rPr>
          <w:rFonts w:hint="eastAsia" w:ascii="新宋体" w:hAnsi="新宋体" w:eastAsia="新宋体" w:cs="新宋体"/>
          <w:color w:val="auto"/>
          <w:kern w:val="0"/>
          <w:highlight w:val="none"/>
        </w:rPr>
        <w:t>（2）投标保证金的受益人为招标人。</w:t>
      </w:r>
    </w:p>
    <w:p>
      <w:pPr>
        <w:pStyle w:val="2"/>
        <w:keepNext w:val="0"/>
        <w:keepLines w:val="0"/>
        <w:snapToGrid w:val="0"/>
        <w:spacing w:before="0" w:after="0" w:line="360" w:lineRule="auto"/>
        <w:rPr>
          <w:rFonts w:hint="eastAsia" w:ascii="新宋体" w:hAnsi="新宋体" w:eastAsia="新宋体" w:cs="新宋体"/>
          <w:b w:val="0"/>
          <w:snapToGrid w:val="0"/>
          <w:color w:val="auto"/>
          <w:sz w:val="24"/>
          <w:szCs w:val="24"/>
          <w:highlight w:val="none"/>
        </w:rPr>
      </w:pPr>
      <w:bookmarkStart w:id="278" w:name="_Toc200513150"/>
      <w:bookmarkStart w:id="279" w:name="_Toc509218734"/>
      <w:bookmarkStart w:id="280" w:name="_Toc287620709"/>
      <w:bookmarkStart w:id="281" w:name="_Toc277082576"/>
      <w:bookmarkStart w:id="282" w:name="_Toc430530459"/>
      <w:bookmarkStart w:id="283" w:name="_Toc287607770"/>
      <w:bookmarkStart w:id="284" w:name="_Toc224103341"/>
      <w:bookmarkStart w:id="285" w:name="_Toc57820584"/>
      <w:r>
        <w:rPr>
          <w:rFonts w:hint="eastAsia" w:ascii="新宋体" w:hAnsi="新宋体" w:eastAsia="新宋体" w:cs="新宋体"/>
          <w:b w:val="0"/>
          <w:snapToGrid w:val="0"/>
          <w:color w:val="auto"/>
          <w:sz w:val="24"/>
          <w:szCs w:val="24"/>
          <w:highlight w:val="none"/>
        </w:rPr>
        <w:t>3.5  资格审查资料</w:t>
      </w:r>
      <w:bookmarkEnd w:id="278"/>
      <w:bookmarkEnd w:id="279"/>
      <w:bookmarkEnd w:id="280"/>
      <w:bookmarkEnd w:id="281"/>
      <w:bookmarkEnd w:id="282"/>
      <w:bookmarkEnd w:id="283"/>
      <w:bookmarkEnd w:id="284"/>
      <w:bookmarkEnd w:id="285"/>
    </w:p>
    <w:p>
      <w:pPr>
        <w:autoSpaceDE w:val="0"/>
        <w:autoSpaceDN w:val="0"/>
        <w:adjustRightInd w:val="0"/>
        <w:snapToGrid w:val="0"/>
        <w:spacing w:line="360" w:lineRule="auto"/>
        <w:ind w:left="103" w:leftChars="49" w:right="37"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投标人应附</w:t>
      </w:r>
      <w:r>
        <w:rPr>
          <w:rFonts w:hint="eastAsia" w:ascii="新宋体" w:hAnsi="新宋体" w:eastAsia="新宋体" w:cs="新宋体"/>
          <w:color w:val="auto"/>
          <w:kern w:val="0"/>
          <w:szCs w:val="21"/>
          <w:highlight w:val="none"/>
        </w:rPr>
        <w:t>投标人须知前附表第1.4.1项中要求的相关证明材料</w:t>
      </w:r>
      <w:r>
        <w:rPr>
          <w:rFonts w:hint="eastAsia" w:ascii="新宋体" w:hAnsi="新宋体" w:eastAsia="新宋体" w:cs="新宋体"/>
          <w:color w:val="auto"/>
          <w:szCs w:val="21"/>
          <w:highlight w:val="none"/>
        </w:rPr>
        <w:t>。</w:t>
      </w:r>
    </w:p>
    <w:p>
      <w:pPr>
        <w:autoSpaceDE w:val="0"/>
        <w:autoSpaceDN w:val="0"/>
        <w:adjustRightInd w:val="0"/>
        <w:snapToGrid w:val="0"/>
        <w:spacing w:line="360" w:lineRule="auto"/>
        <w:ind w:left="103" w:leftChars="49" w:right="37"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投标人须知前附表规定接受联合体投标的，详见投标人须知前附表联合体投标相关内容。</w:t>
      </w:r>
    </w:p>
    <w:p>
      <w:pPr>
        <w:pStyle w:val="2"/>
        <w:snapToGrid w:val="0"/>
        <w:spacing w:before="0" w:after="0" w:line="360" w:lineRule="auto"/>
        <w:rPr>
          <w:rFonts w:hint="eastAsia" w:ascii="新宋体" w:hAnsi="新宋体" w:eastAsia="新宋体" w:cs="新宋体"/>
          <w:b w:val="0"/>
          <w:snapToGrid w:val="0"/>
          <w:color w:val="auto"/>
          <w:sz w:val="24"/>
          <w:szCs w:val="24"/>
          <w:highlight w:val="none"/>
        </w:rPr>
      </w:pPr>
      <w:bookmarkStart w:id="286" w:name="_Toc57820585"/>
      <w:bookmarkStart w:id="287" w:name="_Toc287620710"/>
      <w:bookmarkStart w:id="288" w:name="_Toc200513151"/>
      <w:bookmarkStart w:id="289" w:name="_Toc430530460"/>
      <w:bookmarkStart w:id="290" w:name="_Toc287607771"/>
      <w:bookmarkStart w:id="291" w:name="_Toc277082577"/>
      <w:bookmarkStart w:id="292" w:name="_Toc509218735"/>
      <w:bookmarkStart w:id="293" w:name="_Toc224103342"/>
      <w:r>
        <w:rPr>
          <w:rFonts w:hint="eastAsia" w:ascii="新宋体" w:hAnsi="新宋体" w:eastAsia="新宋体" w:cs="新宋体"/>
          <w:b w:val="0"/>
          <w:snapToGrid w:val="0"/>
          <w:color w:val="auto"/>
          <w:sz w:val="24"/>
          <w:szCs w:val="24"/>
          <w:highlight w:val="none"/>
        </w:rPr>
        <w:t>3.6  备选投标方案</w:t>
      </w:r>
      <w:bookmarkEnd w:id="286"/>
      <w:bookmarkEnd w:id="287"/>
      <w:bookmarkEnd w:id="288"/>
      <w:bookmarkEnd w:id="289"/>
      <w:bookmarkEnd w:id="290"/>
      <w:bookmarkEnd w:id="291"/>
      <w:bookmarkEnd w:id="292"/>
      <w:bookmarkEnd w:id="293"/>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除投标人须知前附表另有规定外，投标人不得递交备选投标方案。允许投标人递交备选投标方案的，只有中标人所递交的备选投标方案方可予以考虑。评标委员会认为中标人的备 选投标方案优于其按照招标文件要求编制的投标方案的，招标人可以接受该备选投标方案。</w:t>
      </w:r>
    </w:p>
    <w:p>
      <w:pPr>
        <w:pStyle w:val="2"/>
        <w:snapToGrid w:val="0"/>
        <w:spacing w:before="0" w:after="0" w:line="360" w:lineRule="auto"/>
        <w:rPr>
          <w:rFonts w:hint="eastAsia" w:ascii="新宋体" w:hAnsi="新宋体" w:eastAsia="新宋体" w:cs="新宋体"/>
          <w:b w:val="0"/>
          <w:snapToGrid w:val="0"/>
          <w:color w:val="auto"/>
          <w:sz w:val="24"/>
          <w:szCs w:val="24"/>
          <w:highlight w:val="none"/>
        </w:rPr>
      </w:pPr>
      <w:bookmarkStart w:id="294" w:name="_Toc287607772"/>
      <w:bookmarkStart w:id="295" w:name="_Toc287620711"/>
      <w:bookmarkStart w:id="296" w:name="_Toc57820586"/>
      <w:bookmarkStart w:id="297" w:name="_Toc509218736"/>
      <w:bookmarkStart w:id="298" w:name="_Toc224103343"/>
      <w:bookmarkStart w:id="299" w:name="_Toc277082578"/>
      <w:bookmarkStart w:id="300" w:name="_Toc430530461"/>
      <w:bookmarkStart w:id="301" w:name="_Toc200513152"/>
      <w:r>
        <w:rPr>
          <w:rFonts w:hint="eastAsia" w:ascii="新宋体" w:hAnsi="新宋体" w:eastAsia="新宋体" w:cs="新宋体"/>
          <w:b w:val="0"/>
          <w:snapToGrid w:val="0"/>
          <w:color w:val="auto"/>
          <w:sz w:val="24"/>
          <w:szCs w:val="24"/>
          <w:highlight w:val="none"/>
        </w:rPr>
        <w:t>3.7  投标文件的编制</w:t>
      </w:r>
      <w:bookmarkEnd w:id="294"/>
      <w:bookmarkEnd w:id="295"/>
      <w:bookmarkEnd w:id="296"/>
      <w:bookmarkEnd w:id="297"/>
      <w:bookmarkEnd w:id="298"/>
      <w:bookmarkEnd w:id="299"/>
      <w:bookmarkEnd w:id="300"/>
      <w:bookmarkEnd w:id="301"/>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3.7.1  投标文件应按第</w:t>
      </w:r>
      <w:r>
        <w:rPr>
          <w:rFonts w:hint="eastAsia" w:ascii="新宋体" w:hAnsi="新宋体" w:eastAsia="新宋体" w:cs="新宋体"/>
          <w:snapToGrid w:val="0"/>
          <w:color w:val="auto"/>
          <w:kern w:val="0"/>
          <w:szCs w:val="21"/>
          <w:highlight w:val="none"/>
          <w:lang w:val="en-US" w:eastAsia="zh-CN"/>
        </w:rPr>
        <w:t>六</w:t>
      </w:r>
      <w:r>
        <w:rPr>
          <w:rFonts w:hint="eastAsia" w:ascii="新宋体" w:hAnsi="新宋体" w:eastAsia="新宋体" w:cs="新宋体"/>
          <w:snapToGrid w:val="0"/>
          <w:color w:val="auto"/>
          <w:kern w:val="0"/>
          <w:szCs w:val="21"/>
          <w:highlight w:val="none"/>
        </w:rPr>
        <w:t>章“投标文件格式”进行编写，如有必要，可以增加附页，作为投标文件的组成部分。其中，投标函附录在满足招标文件实质性要求的基础上，可以提出比招标文件要求更有利于招标人的承诺。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3.7.2  投标文件应当对招标文件有关工期、投标有效期、质量要求、技术标准和要求、招标范围等实质性内容做出响应。</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position w:val="-2"/>
          <w:szCs w:val="21"/>
          <w:highlight w:val="none"/>
        </w:rPr>
        <w:t>3.7.3  投标文件的签名盖章要求：按本章投标人须知前附表第3.7.3项执行。</w:t>
      </w:r>
    </w:p>
    <w:p>
      <w:pPr>
        <w:autoSpaceDE w:val="0"/>
        <w:autoSpaceDN w:val="0"/>
        <w:adjustRightInd w:val="0"/>
        <w:snapToGrid w:val="0"/>
        <w:spacing w:line="360" w:lineRule="auto"/>
        <w:ind w:right="-164"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3.7.4  投标文件份数：</w:t>
      </w:r>
      <w:r>
        <w:rPr>
          <w:rFonts w:hint="eastAsia" w:ascii="新宋体" w:hAnsi="新宋体" w:eastAsia="新宋体" w:cs="新宋体"/>
          <w:color w:val="auto"/>
          <w:kern w:val="0"/>
          <w:szCs w:val="21"/>
          <w:highlight w:val="none"/>
        </w:rPr>
        <w:t>投标人网上提交加密投标文件一份。</w:t>
      </w:r>
    </w:p>
    <w:p>
      <w:pPr>
        <w:autoSpaceDE w:val="0"/>
        <w:autoSpaceDN w:val="0"/>
        <w:adjustRightInd w:val="0"/>
        <w:snapToGrid w:val="0"/>
        <w:spacing w:line="360" w:lineRule="auto"/>
        <w:ind w:right="-109"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3.7.5  投标文件应按规定格式排版，并编制目录，具体编制要求见投标人须知前附表规定。</w:t>
      </w:r>
    </w:p>
    <w:p>
      <w:pPr>
        <w:pStyle w:val="4"/>
        <w:keepNext w:val="0"/>
        <w:keepLines w:val="0"/>
        <w:spacing w:before="0" w:after="0" w:line="360" w:lineRule="auto"/>
        <w:rPr>
          <w:rFonts w:hint="eastAsia" w:ascii="新宋体" w:hAnsi="新宋体" w:eastAsia="新宋体" w:cs="新宋体"/>
          <w:b w:val="0"/>
          <w:snapToGrid w:val="0"/>
          <w:color w:val="auto"/>
          <w:highlight w:val="none"/>
        </w:rPr>
      </w:pPr>
      <w:bookmarkStart w:id="302" w:name="_Toc430530462"/>
      <w:bookmarkStart w:id="303" w:name="_Toc200513153"/>
      <w:bookmarkStart w:id="304" w:name="_Toc287620712"/>
      <w:bookmarkStart w:id="305" w:name="_Toc509218737"/>
      <w:bookmarkStart w:id="306" w:name="_Toc57820587"/>
      <w:bookmarkStart w:id="307" w:name="_Toc224103344"/>
      <w:bookmarkStart w:id="308" w:name="_Toc287607773"/>
      <w:bookmarkStart w:id="309" w:name="_Toc277082579"/>
      <w:r>
        <w:rPr>
          <w:rFonts w:hint="eastAsia" w:ascii="新宋体" w:hAnsi="新宋体" w:eastAsia="新宋体" w:cs="新宋体"/>
          <w:b w:val="0"/>
          <w:snapToGrid w:val="0"/>
          <w:color w:val="auto"/>
          <w:highlight w:val="none"/>
        </w:rPr>
        <w:t>4.  投标</w:t>
      </w:r>
      <w:bookmarkEnd w:id="302"/>
      <w:bookmarkEnd w:id="303"/>
      <w:bookmarkEnd w:id="304"/>
      <w:bookmarkEnd w:id="305"/>
      <w:bookmarkEnd w:id="306"/>
      <w:bookmarkEnd w:id="307"/>
      <w:bookmarkEnd w:id="308"/>
      <w:bookmarkEnd w:id="309"/>
    </w:p>
    <w:p>
      <w:pPr>
        <w:pStyle w:val="2"/>
        <w:keepNext w:val="0"/>
        <w:keepLines w:val="0"/>
        <w:snapToGrid w:val="0"/>
        <w:spacing w:before="0" w:after="0" w:line="360" w:lineRule="auto"/>
        <w:rPr>
          <w:rFonts w:hint="eastAsia" w:ascii="新宋体" w:hAnsi="新宋体" w:eastAsia="新宋体" w:cs="新宋体"/>
          <w:b w:val="0"/>
          <w:snapToGrid w:val="0"/>
          <w:color w:val="auto"/>
          <w:sz w:val="24"/>
          <w:szCs w:val="24"/>
          <w:highlight w:val="none"/>
        </w:rPr>
      </w:pPr>
      <w:bookmarkStart w:id="310" w:name="_Toc277082580"/>
      <w:bookmarkStart w:id="311" w:name="_Toc287607774"/>
      <w:bookmarkStart w:id="312" w:name="_Toc287620713"/>
      <w:bookmarkStart w:id="313" w:name="_Toc224103345"/>
      <w:bookmarkStart w:id="314" w:name="_Toc200513154"/>
      <w:bookmarkStart w:id="315" w:name="_Toc430530463"/>
      <w:bookmarkStart w:id="316" w:name="_Toc57820588"/>
      <w:bookmarkStart w:id="317" w:name="_Toc509218738"/>
      <w:r>
        <w:rPr>
          <w:rFonts w:hint="eastAsia" w:ascii="新宋体" w:hAnsi="新宋体" w:eastAsia="新宋体" w:cs="新宋体"/>
          <w:b w:val="0"/>
          <w:snapToGrid w:val="0"/>
          <w:color w:val="auto"/>
          <w:sz w:val="24"/>
          <w:szCs w:val="24"/>
          <w:highlight w:val="none"/>
        </w:rPr>
        <w:t>4.1  投标文件的密封和标记</w:t>
      </w:r>
      <w:bookmarkEnd w:id="310"/>
      <w:bookmarkEnd w:id="311"/>
      <w:bookmarkEnd w:id="312"/>
      <w:bookmarkEnd w:id="313"/>
      <w:bookmarkEnd w:id="314"/>
      <w:bookmarkEnd w:id="315"/>
      <w:bookmarkEnd w:id="316"/>
      <w:bookmarkEnd w:id="317"/>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bookmarkStart w:id="318" w:name="_Toc200513155"/>
      <w:r>
        <w:rPr>
          <w:rFonts w:hint="eastAsia" w:ascii="新宋体" w:hAnsi="新宋体" w:eastAsia="新宋体" w:cs="新宋体"/>
          <w:snapToGrid w:val="0"/>
          <w:color w:val="auto"/>
          <w:kern w:val="0"/>
          <w:szCs w:val="21"/>
          <w:highlight w:val="none"/>
        </w:rPr>
        <w:t>4.1.1  投标文件的密封：见投标人须知前附表。</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4.1.2  投标文件的封套上应写明的内容：见投标人须知前附表。</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4.1.3  电子投标文件的加密</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加密的电子投标文件应按照本章投标人须知前附表第</w:t>
      </w:r>
      <w:r>
        <w:rPr>
          <w:rFonts w:hint="eastAsia" w:ascii="新宋体" w:hAnsi="新宋体" w:eastAsia="新宋体" w:cs="新宋体"/>
          <w:snapToGrid w:val="0"/>
          <w:color w:val="auto"/>
          <w:kern w:val="0"/>
          <w:szCs w:val="21"/>
          <w:highlight w:val="none"/>
          <w:lang w:val="en-US" w:eastAsia="zh-CN"/>
        </w:rPr>
        <w:t>10.8款相关</w:t>
      </w:r>
      <w:r>
        <w:rPr>
          <w:rFonts w:hint="eastAsia" w:ascii="新宋体" w:hAnsi="新宋体" w:eastAsia="新宋体" w:cs="新宋体"/>
          <w:snapToGrid w:val="0"/>
          <w:color w:val="auto"/>
          <w:kern w:val="0"/>
          <w:szCs w:val="21"/>
          <w:highlight w:val="none"/>
        </w:rPr>
        <w:t>要求制作并加密，未按要求加密的电子投标文件，将无法上传至重庆市电子招投标系统，逾期未完成上传投标文件的，视为撤回投标文件。</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4.1.4  不加密电子投标文件的密封</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投标人如需递交不加密电子投标文件（光盘备份）应单独封装，并在封套的封口处加盖投标人单位法人章。</w:t>
      </w:r>
    </w:p>
    <w:p>
      <w:pPr>
        <w:pStyle w:val="2"/>
        <w:keepNext w:val="0"/>
        <w:keepLines w:val="0"/>
        <w:snapToGrid w:val="0"/>
        <w:spacing w:before="0" w:after="0" w:line="360" w:lineRule="auto"/>
        <w:rPr>
          <w:rFonts w:hint="eastAsia" w:ascii="新宋体" w:hAnsi="新宋体" w:eastAsia="新宋体" w:cs="新宋体"/>
          <w:b w:val="0"/>
          <w:snapToGrid w:val="0"/>
          <w:color w:val="auto"/>
          <w:sz w:val="24"/>
          <w:szCs w:val="24"/>
          <w:highlight w:val="none"/>
        </w:rPr>
      </w:pPr>
      <w:bookmarkStart w:id="319" w:name="_Toc509218739"/>
      <w:bookmarkStart w:id="320" w:name="_Toc277082581"/>
      <w:bookmarkStart w:id="321" w:name="_Toc57820589"/>
      <w:bookmarkStart w:id="322" w:name="_Toc287620714"/>
      <w:bookmarkStart w:id="323" w:name="_Toc224103346"/>
      <w:bookmarkStart w:id="324" w:name="_Toc287607775"/>
      <w:bookmarkStart w:id="325" w:name="_Toc430530464"/>
      <w:r>
        <w:rPr>
          <w:rFonts w:hint="eastAsia" w:ascii="新宋体" w:hAnsi="新宋体" w:eastAsia="新宋体" w:cs="新宋体"/>
          <w:b w:val="0"/>
          <w:snapToGrid w:val="0"/>
          <w:color w:val="auto"/>
          <w:sz w:val="24"/>
          <w:szCs w:val="24"/>
          <w:highlight w:val="none"/>
        </w:rPr>
        <w:t>4.2  投标文件的递交</w:t>
      </w:r>
      <w:bookmarkEnd w:id="318"/>
      <w:bookmarkEnd w:id="319"/>
      <w:bookmarkEnd w:id="320"/>
      <w:bookmarkEnd w:id="321"/>
      <w:bookmarkEnd w:id="322"/>
      <w:bookmarkEnd w:id="323"/>
      <w:bookmarkEnd w:id="324"/>
      <w:bookmarkEnd w:id="325"/>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4.2.1  投标人应在投标人须知前附表第 2.2.2 项规定的投标截止时间前递交投标文件。</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4.2.2  投标人递交投标文件的地点：见投标人须知前附表。</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4.2.3  除投标人须知前附表另有规定外，投标人所递交的投标文件不予退还。</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4.2.4  招标人收到投标文件后，由</w:t>
      </w:r>
      <w:r>
        <w:rPr>
          <w:rFonts w:hint="eastAsia" w:ascii="新宋体" w:hAnsi="新宋体" w:eastAsia="新宋体" w:cs="新宋体"/>
          <w:color w:val="auto"/>
          <w:szCs w:val="21"/>
          <w:highlight w:val="none"/>
        </w:rPr>
        <w:t>重庆市电子招投标系统</w:t>
      </w:r>
      <w:r>
        <w:rPr>
          <w:rFonts w:hint="eastAsia" w:ascii="新宋体" w:hAnsi="新宋体" w:eastAsia="新宋体" w:cs="新宋体"/>
          <w:snapToGrid w:val="0"/>
          <w:color w:val="auto"/>
          <w:kern w:val="0"/>
          <w:szCs w:val="21"/>
          <w:highlight w:val="none"/>
        </w:rPr>
        <w:t>向投标人出具签收凭证。</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4.2.5  逾期送达的或者未送达指定地点的投标文件，招标人不予受理。</w:t>
      </w:r>
    </w:p>
    <w:p>
      <w:pPr>
        <w:pStyle w:val="2"/>
        <w:keepNext w:val="0"/>
        <w:keepLines w:val="0"/>
        <w:snapToGrid w:val="0"/>
        <w:spacing w:before="0" w:after="0" w:line="360" w:lineRule="auto"/>
        <w:rPr>
          <w:rFonts w:hint="eastAsia" w:ascii="新宋体" w:hAnsi="新宋体" w:eastAsia="新宋体" w:cs="新宋体"/>
          <w:b w:val="0"/>
          <w:snapToGrid w:val="0"/>
          <w:color w:val="auto"/>
          <w:sz w:val="24"/>
          <w:szCs w:val="24"/>
          <w:highlight w:val="none"/>
        </w:rPr>
      </w:pPr>
      <w:bookmarkStart w:id="326" w:name="_Toc509218740"/>
      <w:bookmarkStart w:id="327" w:name="_Toc430530465"/>
      <w:bookmarkStart w:id="328" w:name="_Toc224103347"/>
      <w:bookmarkStart w:id="329" w:name="_Toc200513156"/>
      <w:bookmarkStart w:id="330" w:name="_Toc57820590"/>
      <w:bookmarkStart w:id="331" w:name="_Toc277082582"/>
      <w:bookmarkStart w:id="332" w:name="_Toc287607776"/>
      <w:bookmarkStart w:id="333" w:name="_Toc287620715"/>
      <w:r>
        <w:rPr>
          <w:rFonts w:hint="eastAsia" w:ascii="新宋体" w:hAnsi="新宋体" w:eastAsia="新宋体" w:cs="新宋体"/>
          <w:b w:val="0"/>
          <w:snapToGrid w:val="0"/>
          <w:color w:val="auto"/>
          <w:sz w:val="24"/>
          <w:szCs w:val="24"/>
          <w:highlight w:val="none"/>
        </w:rPr>
        <w:t>4.3  投标文件的修改与撤回</w:t>
      </w:r>
      <w:bookmarkEnd w:id="326"/>
      <w:bookmarkEnd w:id="327"/>
      <w:bookmarkEnd w:id="328"/>
      <w:bookmarkEnd w:id="329"/>
      <w:bookmarkEnd w:id="330"/>
      <w:bookmarkEnd w:id="331"/>
      <w:bookmarkEnd w:id="332"/>
      <w:bookmarkEnd w:id="333"/>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4.3.1  在投标人须知前附表第2.2.2项规定的投标截止时间前，投标人可以修改或撤回已递交的投标文件。</w:t>
      </w:r>
      <w:r>
        <w:rPr>
          <w:rFonts w:hint="eastAsia" w:ascii="新宋体" w:hAnsi="新宋体" w:eastAsia="新宋体" w:cs="新宋体"/>
          <w:color w:val="auto"/>
          <w:szCs w:val="21"/>
          <w:highlight w:val="none"/>
        </w:rPr>
        <w:t>投标人修改投标文件的，应按照本章第 3.7.3 项的要求重新对投标文件进行电子签章，再按照本章第 4.2 款的要求提交。</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4.3.2  投标人对加密的电子投标文件进行撤回的，在重庆市电子招投标系统直接进行撤回操作；任何情况下，投标人都有义务保证其递交的加密的电子投标文件和不加密电子投标文件（光盘备份）的内容保持一致，否则造成的后果由投标人自行承担。</w:t>
      </w:r>
    </w:p>
    <w:p>
      <w:pPr>
        <w:pStyle w:val="4"/>
        <w:keepNext w:val="0"/>
        <w:keepLines w:val="0"/>
        <w:spacing w:before="0" w:after="0" w:line="360" w:lineRule="auto"/>
        <w:rPr>
          <w:rFonts w:hint="eastAsia" w:ascii="新宋体" w:hAnsi="新宋体" w:eastAsia="新宋体" w:cs="新宋体"/>
          <w:b w:val="0"/>
          <w:snapToGrid w:val="0"/>
          <w:color w:val="auto"/>
          <w:highlight w:val="none"/>
        </w:rPr>
      </w:pPr>
      <w:bookmarkStart w:id="334" w:name="_Toc200513157"/>
      <w:bookmarkStart w:id="335" w:name="_Toc430530466"/>
      <w:bookmarkStart w:id="336" w:name="_Toc277082583"/>
      <w:bookmarkStart w:id="337" w:name="_Toc509218741"/>
      <w:bookmarkStart w:id="338" w:name="_Toc287620716"/>
      <w:bookmarkStart w:id="339" w:name="_Toc224103348"/>
      <w:bookmarkStart w:id="340" w:name="_Toc57820591"/>
      <w:bookmarkStart w:id="341" w:name="_Toc287607777"/>
      <w:r>
        <w:rPr>
          <w:rFonts w:hint="eastAsia" w:ascii="新宋体" w:hAnsi="新宋体" w:eastAsia="新宋体" w:cs="新宋体"/>
          <w:b w:val="0"/>
          <w:snapToGrid w:val="0"/>
          <w:color w:val="auto"/>
          <w:highlight w:val="none"/>
        </w:rPr>
        <w:t>5.  开标</w:t>
      </w:r>
      <w:bookmarkEnd w:id="334"/>
      <w:bookmarkEnd w:id="335"/>
      <w:bookmarkEnd w:id="336"/>
      <w:bookmarkEnd w:id="337"/>
      <w:bookmarkEnd w:id="338"/>
      <w:bookmarkEnd w:id="339"/>
      <w:bookmarkEnd w:id="340"/>
      <w:bookmarkEnd w:id="341"/>
    </w:p>
    <w:p>
      <w:pPr>
        <w:pStyle w:val="2"/>
        <w:keepNext w:val="0"/>
        <w:keepLines w:val="0"/>
        <w:snapToGrid w:val="0"/>
        <w:spacing w:before="0" w:after="0" w:line="360" w:lineRule="auto"/>
        <w:rPr>
          <w:rFonts w:hint="eastAsia" w:ascii="新宋体" w:hAnsi="新宋体" w:eastAsia="新宋体" w:cs="新宋体"/>
          <w:b w:val="0"/>
          <w:snapToGrid w:val="0"/>
          <w:color w:val="auto"/>
          <w:sz w:val="24"/>
          <w:szCs w:val="24"/>
          <w:highlight w:val="none"/>
        </w:rPr>
      </w:pPr>
      <w:bookmarkStart w:id="342" w:name="_Toc224103349"/>
      <w:bookmarkStart w:id="343" w:name="_Toc200513158"/>
      <w:bookmarkStart w:id="344" w:name="_Toc287607778"/>
      <w:bookmarkStart w:id="345" w:name="_Toc509218742"/>
      <w:bookmarkStart w:id="346" w:name="_Toc430530467"/>
      <w:bookmarkStart w:id="347" w:name="_Toc57820592"/>
      <w:bookmarkStart w:id="348" w:name="_Toc277082584"/>
      <w:bookmarkStart w:id="349" w:name="_Toc287620717"/>
      <w:r>
        <w:rPr>
          <w:rFonts w:hint="eastAsia" w:ascii="新宋体" w:hAnsi="新宋体" w:eastAsia="新宋体" w:cs="新宋体"/>
          <w:b w:val="0"/>
          <w:snapToGrid w:val="0"/>
          <w:color w:val="auto"/>
          <w:sz w:val="24"/>
          <w:szCs w:val="24"/>
          <w:highlight w:val="none"/>
        </w:rPr>
        <w:t>5.1  开标时间和地点</w:t>
      </w:r>
      <w:bookmarkEnd w:id="342"/>
      <w:bookmarkEnd w:id="343"/>
      <w:bookmarkEnd w:id="344"/>
      <w:bookmarkEnd w:id="345"/>
      <w:bookmarkEnd w:id="346"/>
      <w:bookmarkEnd w:id="347"/>
      <w:bookmarkEnd w:id="348"/>
      <w:bookmarkEnd w:id="349"/>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5.1.1  招标人在投标人须知前附表第 2.2.2 项规定的投标截止时间（开标时间）和投标人须知前附表规定的地点公开开标，并邀请所有投标人的法定代表人或其委托代理人准时参加。</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5.1.2  投标人在投标人须知前附表第 5.1.2 项规定的解密时间内在线或到开标现场完成投标文件解密工作。</w:t>
      </w:r>
    </w:p>
    <w:p>
      <w:pPr>
        <w:pStyle w:val="2"/>
        <w:keepNext w:val="0"/>
        <w:keepLines w:val="0"/>
        <w:snapToGrid w:val="0"/>
        <w:spacing w:before="0" w:after="0" w:line="360" w:lineRule="auto"/>
        <w:rPr>
          <w:rFonts w:hint="eastAsia" w:ascii="新宋体" w:hAnsi="新宋体" w:eastAsia="新宋体" w:cs="新宋体"/>
          <w:b w:val="0"/>
          <w:snapToGrid w:val="0"/>
          <w:color w:val="auto"/>
          <w:sz w:val="24"/>
          <w:szCs w:val="24"/>
          <w:highlight w:val="none"/>
        </w:rPr>
      </w:pPr>
      <w:bookmarkStart w:id="350" w:name="_Toc287620718"/>
      <w:bookmarkStart w:id="351" w:name="_Toc57820593"/>
      <w:bookmarkStart w:id="352" w:name="_Toc277082585"/>
      <w:bookmarkStart w:id="353" w:name="_Toc430530468"/>
      <w:bookmarkStart w:id="354" w:name="_Toc287607779"/>
      <w:bookmarkStart w:id="355" w:name="_Toc224103350"/>
      <w:bookmarkStart w:id="356" w:name="_Toc509218743"/>
      <w:bookmarkStart w:id="357" w:name="_Toc200513159"/>
      <w:r>
        <w:rPr>
          <w:rFonts w:hint="eastAsia" w:ascii="新宋体" w:hAnsi="新宋体" w:eastAsia="新宋体" w:cs="新宋体"/>
          <w:b w:val="0"/>
          <w:snapToGrid w:val="0"/>
          <w:color w:val="auto"/>
          <w:sz w:val="24"/>
          <w:szCs w:val="24"/>
          <w:highlight w:val="none"/>
        </w:rPr>
        <w:t>5.2  开标程序</w:t>
      </w:r>
      <w:bookmarkEnd w:id="350"/>
      <w:bookmarkEnd w:id="351"/>
      <w:bookmarkEnd w:id="352"/>
      <w:bookmarkEnd w:id="353"/>
      <w:bookmarkEnd w:id="354"/>
      <w:bookmarkEnd w:id="355"/>
      <w:bookmarkEnd w:id="356"/>
      <w:bookmarkEnd w:id="357"/>
    </w:p>
    <w:p>
      <w:pPr>
        <w:autoSpaceDE w:val="0"/>
        <w:autoSpaceDN w:val="0"/>
        <w:adjustRightInd w:val="0"/>
        <w:snapToGrid w:val="0"/>
        <w:spacing w:line="360" w:lineRule="auto"/>
        <w:ind w:firstLine="420" w:firstLineChars="200"/>
        <w:rPr>
          <w:rFonts w:hint="eastAsia" w:ascii="新宋体" w:hAnsi="新宋体" w:eastAsia="新宋体" w:cs="新宋体"/>
          <w:color w:val="auto"/>
          <w:szCs w:val="21"/>
          <w:highlight w:val="none"/>
        </w:rPr>
      </w:pPr>
      <w:bookmarkStart w:id="358" w:name="_Toc200513160"/>
      <w:bookmarkStart w:id="359" w:name="_Toc287620719"/>
      <w:bookmarkStart w:id="360" w:name="_Toc277082586"/>
      <w:bookmarkStart w:id="361" w:name="_Toc287607780"/>
      <w:bookmarkStart w:id="362" w:name="_Toc224103351"/>
      <w:r>
        <w:rPr>
          <w:rFonts w:hint="eastAsia" w:ascii="新宋体" w:hAnsi="新宋体" w:eastAsia="新宋体" w:cs="新宋体"/>
          <w:color w:val="auto"/>
          <w:szCs w:val="21"/>
          <w:highlight w:val="none"/>
        </w:rPr>
        <w:t>详见投标人须知前附表第5.2款开标程序。</w:t>
      </w:r>
    </w:p>
    <w:p>
      <w:pPr>
        <w:pStyle w:val="2"/>
        <w:keepNext w:val="0"/>
        <w:keepLines w:val="0"/>
        <w:snapToGrid w:val="0"/>
        <w:spacing w:before="0" w:after="0" w:line="360" w:lineRule="auto"/>
        <w:rPr>
          <w:rFonts w:hint="eastAsia" w:ascii="新宋体" w:hAnsi="新宋体" w:eastAsia="新宋体" w:cs="新宋体"/>
          <w:b w:val="0"/>
          <w:snapToGrid w:val="0"/>
          <w:color w:val="auto"/>
          <w:sz w:val="24"/>
          <w:szCs w:val="24"/>
          <w:highlight w:val="none"/>
        </w:rPr>
      </w:pPr>
      <w:bookmarkStart w:id="363" w:name="_Toc57820594"/>
      <w:r>
        <w:rPr>
          <w:rFonts w:hint="eastAsia" w:ascii="新宋体" w:hAnsi="新宋体" w:eastAsia="新宋体" w:cs="新宋体"/>
          <w:b w:val="0"/>
          <w:snapToGrid w:val="0"/>
          <w:color w:val="auto"/>
          <w:sz w:val="24"/>
          <w:szCs w:val="24"/>
          <w:highlight w:val="none"/>
        </w:rPr>
        <w:t>5.3  开标异议</w:t>
      </w:r>
      <w:bookmarkEnd w:id="363"/>
    </w:p>
    <w:p>
      <w:pPr>
        <w:autoSpaceDE w:val="0"/>
        <w:autoSpaceDN w:val="0"/>
        <w:adjustRightInd w:val="0"/>
        <w:snapToGrid w:val="0"/>
        <w:spacing w:line="360" w:lineRule="auto"/>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投标人对开标有异议的，应在开标现场或在线（不见面开标适用）提出，开标现场提出异议的，应出示法定代表人身份证明或附有法定代表人身份证明的授权委托书。招标人当场作出答复，并制作记录，有异议的投标人代表、招标人代表、主持人、记录人等有关人员在记录上签名确认。</w:t>
      </w:r>
    </w:p>
    <w:p>
      <w:pPr>
        <w:pStyle w:val="4"/>
        <w:keepNext w:val="0"/>
        <w:keepLines w:val="0"/>
        <w:spacing w:before="0" w:after="0" w:line="360" w:lineRule="auto"/>
        <w:rPr>
          <w:rFonts w:hint="eastAsia" w:ascii="新宋体" w:hAnsi="新宋体" w:eastAsia="新宋体" w:cs="新宋体"/>
          <w:b w:val="0"/>
          <w:snapToGrid w:val="0"/>
          <w:color w:val="auto"/>
          <w:highlight w:val="none"/>
        </w:rPr>
      </w:pPr>
      <w:bookmarkStart w:id="364" w:name="_Toc430530469"/>
      <w:bookmarkStart w:id="365" w:name="_Toc509218744"/>
      <w:bookmarkStart w:id="366" w:name="_Toc57820595"/>
      <w:r>
        <w:rPr>
          <w:rFonts w:hint="eastAsia" w:ascii="新宋体" w:hAnsi="新宋体" w:eastAsia="新宋体" w:cs="新宋体"/>
          <w:b w:val="0"/>
          <w:snapToGrid w:val="0"/>
          <w:color w:val="auto"/>
          <w:highlight w:val="none"/>
        </w:rPr>
        <w:t>6.  评标</w:t>
      </w:r>
      <w:bookmarkEnd w:id="358"/>
      <w:bookmarkEnd w:id="359"/>
      <w:bookmarkEnd w:id="360"/>
      <w:bookmarkEnd w:id="361"/>
      <w:bookmarkEnd w:id="362"/>
      <w:bookmarkEnd w:id="364"/>
      <w:bookmarkEnd w:id="365"/>
      <w:bookmarkEnd w:id="366"/>
    </w:p>
    <w:p>
      <w:pPr>
        <w:pStyle w:val="2"/>
        <w:keepNext w:val="0"/>
        <w:keepLines w:val="0"/>
        <w:snapToGrid w:val="0"/>
        <w:spacing w:before="0" w:after="0" w:line="360" w:lineRule="auto"/>
        <w:rPr>
          <w:rFonts w:hint="eastAsia" w:ascii="新宋体" w:hAnsi="新宋体" w:eastAsia="新宋体" w:cs="新宋体"/>
          <w:b w:val="0"/>
          <w:snapToGrid w:val="0"/>
          <w:color w:val="auto"/>
          <w:sz w:val="24"/>
          <w:szCs w:val="24"/>
          <w:highlight w:val="none"/>
        </w:rPr>
      </w:pPr>
      <w:bookmarkStart w:id="367" w:name="_Toc200513161"/>
      <w:bookmarkStart w:id="368" w:name="_Toc509218745"/>
      <w:bookmarkStart w:id="369" w:name="_Toc277082587"/>
      <w:bookmarkStart w:id="370" w:name="_Toc287607781"/>
      <w:bookmarkStart w:id="371" w:name="_Toc57820596"/>
      <w:bookmarkStart w:id="372" w:name="_Toc287620720"/>
      <w:bookmarkStart w:id="373" w:name="_Toc430530470"/>
      <w:bookmarkStart w:id="374" w:name="_Toc224103352"/>
      <w:r>
        <w:rPr>
          <w:rFonts w:hint="eastAsia" w:ascii="新宋体" w:hAnsi="新宋体" w:eastAsia="新宋体" w:cs="新宋体"/>
          <w:b w:val="0"/>
          <w:snapToGrid w:val="0"/>
          <w:color w:val="auto"/>
          <w:sz w:val="24"/>
          <w:szCs w:val="24"/>
          <w:highlight w:val="none"/>
        </w:rPr>
        <w:t>6.1  评标委员会</w:t>
      </w:r>
      <w:bookmarkEnd w:id="367"/>
      <w:bookmarkEnd w:id="368"/>
      <w:bookmarkEnd w:id="369"/>
      <w:bookmarkEnd w:id="370"/>
      <w:bookmarkEnd w:id="371"/>
      <w:bookmarkEnd w:id="372"/>
      <w:bookmarkEnd w:id="373"/>
      <w:bookmarkEnd w:id="374"/>
    </w:p>
    <w:p>
      <w:pPr>
        <w:autoSpaceDE w:val="0"/>
        <w:autoSpaceDN w:val="0"/>
        <w:adjustRightInd w:val="0"/>
        <w:snapToGrid w:val="0"/>
        <w:spacing w:line="360" w:lineRule="auto"/>
        <w:ind w:firstLine="420" w:firstLineChars="200"/>
        <w:rPr>
          <w:rFonts w:hint="eastAsia" w:ascii="新宋体" w:hAnsi="新宋体" w:eastAsia="新宋体" w:cs="新宋体"/>
          <w:b/>
          <w:snapToGrid w:val="0"/>
          <w:color w:val="auto"/>
          <w:kern w:val="0"/>
          <w:szCs w:val="21"/>
          <w:highlight w:val="none"/>
        </w:rPr>
      </w:pPr>
      <w:r>
        <w:rPr>
          <w:rFonts w:hint="eastAsia" w:ascii="新宋体" w:hAnsi="新宋体" w:eastAsia="新宋体" w:cs="新宋体"/>
          <w:snapToGrid w:val="0"/>
          <w:color w:val="auto"/>
          <w:kern w:val="0"/>
          <w:szCs w:val="21"/>
          <w:highlight w:val="none"/>
        </w:rPr>
        <w:t>6.1.1  评标由招标人依据法律法规和相关规范性文件组建的评标委员会负责。</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6.1.2  评标委员会成员有下列情形之一的，应当回避：</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（1）投标人或投标人的主要负责人的近亲属；</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（2）项目主管部门或者项目行政监督部门的人员；</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（3）与投标人有利害关系，可能影响对投标公正评审的；</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（4）曾因在招标、评标以及其他与招标投标有关活动中从事违法行为而受过行政处罚或刑事处罚的；</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（5）法律法规规定的其他情形。</w:t>
      </w:r>
    </w:p>
    <w:p>
      <w:pPr>
        <w:pStyle w:val="106"/>
        <w:spacing w:before="0" w:after="0" w:line="360" w:lineRule="auto"/>
        <w:ind w:firstLine="420" w:firstLineChars="200"/>
        <w:jc w:val="left"/>
        <w:rPr>
          <w:rFonts w:hint="eastAsia" w:ascii="新宋体" w:hAnsi="新宋体" w:eastAsia="新宋体" w:cs="新宋体"/>
          <w:color w:val="auto"/>
          <w:sz w:val="21"/>
          <w:szCs w:val="21"/>
          <w:highlight w:val="none"/>
          <w:lang w:eastAsia="zh-CN"/>
        </w:rPr>
      </w:pPr>
      <w:r>
        <w:rPr>
          <w:rFonts w:hint="eastAsia" w:ascii="新宋体" w:hAnsi="新宋体" w:eastAsia="新宋体" w:cs="新宋体"/>
          <w:color w:val="auto"/>
          <w:sz w:val="21"/>
          <w:szCs w:val="21"/>
          <w:highlight w:val="none"/>
          <w:lang w:eastAsia="zh-CN"/>
        </w:rPr>
        <w:t>6.1.3  评标过程中，评标委员会成员有回避事由、擅离职守或者因健康等原因不能继续评标的，应当及时更换。被更换的评标委员会成员作出的评审结论无效，由更换后的评标委员会成员重新进行评审。</w:t>
      </w:r>
    </w:p>
    <w:p>
      <w:pPr>
        <w:pStyle w:val="2"/>
        <w:snapToGrid w:val="0"/>
        <w:spacing w:before="0" w:after="0" w:line="360" w:lineRule="auto"/>
        <w:rPr>
          <w:rFonts w:hint="eastAsia" w:ascii="新宋体" w:hAnsi="新宋体" w:eastAsia="新宋体" w:cs="新宋体"/>
          <w:b w:val="0"/>
          <w:snapToGrid w:val="0"/>
          <w:color w:val="auto"/>
          <w:sz w:val="24"/>
          <w:szCs w:val="24"/>
          <w:highlight w:val="none"/>
        </w:rPr>
      </w:pPr>
      <w:bookmarkStart w:id="375" w:name="_Toc430530471"/>
      <w:bookmarkStart w:id="376" w:name="_Toc509218746"/>
      <w:bookmarkStart w:id="377" w:name="_Toc277082588"/>
      <w:bookmarkStart w:id="378" w:name="_Toc57820597"/>
      <w:bookmarkStart w:id="379" w:name="_Toc224103353"/>
      <w:bookmarkStart w:id="380" w:name="_Toc287620721"/>
      <w:bookmarkStart w:id="381" w:name="_Toc287607782"/>
      <w:bookmarkStart w:id="382" w:name="_Toc200513162"/>
      <w:r>
        <w:rPr>
          <w:rFonts w:hint="eastAsia" w:ascii="新宋体" w:hAnsi="新宋体" w:eastAsia="新宋体" w:cs="新宋体"/>
          <w:b w:val="0"/>
          <w:snapToGrid w:val="0"/>
          <w:color w:val="auto"/>
          <w:sz w:val="24"/>
          <w:szCs w:val="24"/>
          <w:highlight w:val="none"/>
        </w:rPr>
        <w:t>6.2  评标原则</w:t>
      </w:r>
      <w:bookmarkEnd w:id="375"/>
      <w:bookmarkEnd w:id="376"/>
      <w:bookmarkEnd w:id="377"/>
      <w:bookmarkEnd w:id="378"/>
      <w:bookmarkEnd w:id="379"/>
      <w:bookmarkEnd w:id="380"/>
      <w:bookmarkEnd w:id="381"/>
      <w:bookmarkEnd w:id="382"/>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评标活动遵循公平、公正、科学和择优的原则。</w:t>
      </w:r>
    </w:p>
    <w:p>
      <w:pPr>
        <w:pStyle w:val="2"/>
        <w:snapToGrid w:val="0"/>
        <w:spacing w:before="0" w:after="0" w:line="360" w:lineRule="auto"/>
        <w:rPr>
          <w:rFonts w:hint="eastAsia" w:ascii="新宋体" w:hAnsi="新宋体" w:eastAsia="新宋体" w:cs="新宋体"/>
          <w:b w:val="0"/>
          <w:snapToGrid w:val="0"/>
          <w:color w:val="auto"/>
          <w:sz w:val="24"/>
          <w:szCs w:val="24"/>
          <w:highlight w:val="none"/>
        </w:rPr>
      </w:pPr>
      <w:bookmarkStart w:id="383" w:name="_Toc57820598"/>
      <w:bookmarkStart w:id="384" w:name="_Toc509218747"/>
      <w:bookmarkStart w:id="385" w:name="_Toc287607783"/>
      <w:bookmarkStart w:id="386" w:name="_Toc277082589"/>
      <w:bookmarkStart w:id="387" w:name="_Toc430530472"/>
      <w:bookmarkStart w:id="388" w:name="_Toc200513163"/>
      <w:bookmarkStart w:id="389" w:name="_Toc224103354"/>
      <w:bookmarkStart w:id="390" w:name="_Toc287620722"/>
      <w:r>
        <w:rPr>
          <w:rFonts w:hint="eastAsia" w:ascii="新宋体" w:hAnsi="新宋体" w:eastAsia="新宋体" w:cs="新宋体"/>
          <w:b w:val="0"/>
          <w:snapToGrid w:val="0"/>
          <w:color w:val="auto"/>
          <w:sz w:val="24"/>
          <w:szCs w:val="24"/>
          <w:highlight w:val="none"/>
        </w:rPr>
        <w:t>6.3  评标</w:t>
      </w:r>
      <w:bookmarkEnd w:id="383"/>
      <w:bookmarkEnd w:id="384"/>
      <w:bookmarkEnd w:id="385"/>
      <w:bookmarkEnd w:id="386"/>
      <w:bookmarkEnd w:id="387"/>
      <w:bookmarkEnd w:id="388"/>
      <w:bookmarkEnd w:id="389"/>
      <w:bookmarkEnd w:id="390"/>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评标委员会按照第三章“评标办法”规定的方法、评审因素、标准和程序对投标文件进行评审。第三章“评标办法”没有规定的方法、评审因素和标准，不得作为评标依据。</w:t>
      </w:r>
    </w:p>
    <w:p>
      <w:pPr>
        <w:pStyle w:val="4"/>
        <w:spacing w:before="0" w:after="0" w:line="360" w:lineRule="auto"/>
        <w:rPr>
          <w:rFonts w:hint="eastAsia" w:ascii="新宋体" w:hAnsi="新宋体" w:eastAsia="新宋体" w:cs="新宋体"/>
          <w:b w:val="0"/>
          <w:snapToGrid w:val="0"/>
          <w:color w:val="auto"/>
          <w:highlight w:val="none"/>
        </w:rPr>
      </w:pPr>
      <w:bookmarkStart w:id="391" w:name="_Toc277082590"/>
      <w:bookmarkStart w:id="392" w:name="_Toc200513164"/>
      <w:bookmarkStart w:id="393" w:name="_Toc430530473"/>
      <w:bookmarkStart w:id="394" w:name="_Toc287607784"/>
      <w:bookmarkStart w:id="395" w:name="_Toc57820599"/>
      <w:bookmarkStart w:id="396" w:name="_Toc287620723"/>
      <w:bookmarkStart w:id="397" w:name="_Toc509218748"/>
      <w:bookmarkStart w:id="398" w:name="_Toc224103355"/>
      <w:r>
        <w:rPr>
          <w:rFonts w:hint="eastAsia" w:ascii="新宋体" w:hAnsi="新宋体" w:eastAsia="新宋体" w:cs="新宋体"/>
          <w:b w:val="0"/>
          <w:snapToGrid w:val="0"/>
          <w:color w:val="auto"/>
          <w:highlight w:val="none"/>
        </w:rPr>
        <w:t>7.  合同授予</w:t>
      </w:r>
      <w:bookmarkEnd w:id="391"/>
      <w:bookmarkEnd w:id="392"/>
      <w:bookmarkEnd w:id="393"/>
      <w:bookmarkEnd w:id="394"/>
      <w:bookmarkEnd w:id="395"/>
      <w:bookmarkEnd w:id="396"/>
      <w:bookmarkEnd w:id="397"/>
      <w:bookmarkEnd w:id="398"/>
    </w:p>
    <w:p>
      <w:pPr>
        <w:pStyle w:val="2"/>
        <w:snapToGrid w:val="0"/>
        <w:spacing w:before="0" w:after="0" w:line="360" w:lineRule="auto"/>
        <w:rPr>
          <w:rFonts w:hint="eastAsia" w:ascii="新宋体" w:hAnsi="新宋体" w:eastAsia="新宋体" w:cs="新宋体"/>
          <w:b w:val="0"/>
          <w:snapToGrid w:val="0"/>
          <w:color w:val="auto"/>
          <w:sz w:val="24"/>
          <w:szCs w:val="24"/>
          <w:highlight w:val="none"/>
        </w:rPr>
      </w:pPr>
      <w:bookmarkStart w:id="399" w:name="_Toc277082591"/>
      <w:bookmarkStart w:id="400" w:name="_Toc224103356"/>
      <w:bookmarkStart w:id="401" w:name="_Toc287607785"/>
      <w:bookmarkStart w:id="402" w:name="_Toc430530474"/>
      <w:bookmarkStart w:id="403" w:name="_Toc200513165"/>
      <w:bookmarkStart w:id="404" w:name="_Toc287620724"/>
      <w:bookmarkStart w:id="405" w:name="_Toc509218749"/>
      <w:bookmarkStart w:id="406" w:name="_Toc57820600"/>
      <w:r>
        <w:rPr>
          <w:rFonts w:hint="eastAsia" w:ascii="新宋体" w:hAnsi="新宋体" w:eastAsia="新宋体" w:cs="新宋体"/>
          <w:b w:val="0"/>
          <w:snapToGrid w:val="0"/>
          <w:color w:val="auto"/>
          <w:sz w:val="24"/>
          <w:szCs w:val="24"/>
          <w:highlight w:val="none"/>
        </w:rPr>
        <w:t>7.1  定标方式</w:t>
      </w:r>
      <w:bookmarkEnd w:id="399"/>
      <w:bookmarkEnd w:id="400"/>
      <w:bookmarkEnd w:id="401"/>
      <w:bookmarkEnd w:id="402"/>
      <w:bookmarkEnd w:id="403"/>
      <w:bookmarkEnd w:id="404"/>
      <w:bookmarkEnd w:id="405"/>
      <w:bookmarkEnd w:id="406"/>
    </w:p>
    <w:p>
      <w:pPr>
        <w:spacing w:line="360" w:lineRule="auto"/>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snapToGrid w:val="0"/>
          <w:color w:val="auto"/>
          <w:kern w:val="0"/>
          <w:szCs w:val="21"/>
          <w:highlight w:val="none"/>
        </w:rPr>
        <w:t>评标委员会推荐中标候选人的人数：见投标人须知前附表。</w:t>
      </w:r>
    </w:p>
    <w:p>
      <w:pPr>
        <w:pStyle w:val="2"/>
        <w:snapToGrid w:val="0"/>
        <w:spacing w:before="0" w:after="0" w:line="360" w:lineRule="auto"/>
        <w:rPr>
          <w:rFonts w:hint="eastAsia" w:ascii="新宋体" w:hAnsi="新宋体" w:eastAsia="新宋体" w:cs="新宋体"/>
          <w:b w:val="0"/>
          <w:snapToGrid w:val="0"/>
          <w:color w:val="auto"/>
          <w:sz w:val="24"/>
          <w:szCs w:val="24"/>
          <w:highlight w:val="none"/>
        </w:rPr>
      </w:pPr>
      <w:bookmarkStart w:id="407" w:name="_Toc57820601"/>
      <w:bookmarkStart w:id="408" w:name="_Toc430530475"/>
      <w:bookmarkStart w:id="409" w:name="_Toc509218750"/>
      <w:r>
        <w:rPr>
          <w:rFonts w:hint="eastAsia" w:ascii="新宋体" w:hAnsi="新宋体" w:eastAsia="新宋体" w:cs="新宋体"/>
          <w:b w:val="0"/>
          <w:snapToGrid w:val="0"/>
          <w:color w:val="auto"/>
          <w:sz w:val="24"/>
          <w:szCs w:val="24"/>
          <w:highlight w:val="none"/>
        </w:rPr>
        <w:t>7.2  中标公示及中标通知</w:t>
      </w:r>
      <w:bookmarkEnd w:id="407"/>
      <w:bookmarkEnd w:id="408"/>
      <w:bookmarkEnd w:id="409"/>
    </w:p>
    <w:p>
      <w:pPr>
        <w:autoSpaceDE w:val="0"/>
        <w:autoSpaceDN w:val="0"/>
        <w:adjustRightInd w:val="0"/>
        <w:snapToGrid w:val="0"/>
        <w:spacing w:line="360" w:lineRule="auto"/>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snapToGrid w:val="0"/>
          <w:color w:val="auto"/>
          <w:kern w:val="0"/>
          <w:szCs w:val="21"/>
          <w:highlight w:val="none"/>
        </w:rPr>
        <w:t>招标人在收到评标报告之日起3日内公示中标候选人，公示期不得少于3日</w:t>
      </w:r>
      <w:r>
        <w:rPr>
          <w:rFonts w:hint="eastAsia" w:ascii="新宋体" w:hAnsi="新宋体" w:eastAsia="新宋体" w:cs="新宋体"/>
          <w:color w:val="auto"/>
          <w:szCs w:val="21"/>
          <w:highlight w:val="none"/>
        </w:rPr>
        <w:t>。</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在本章第 3.3 款规定的投标有效期内，且未有投标人的异议与投诉，招标人以书面形式向中标人发出中标通知书。</w:t>
      </w:r>
    </w:p>
    <w:p>
      <w:pPr>
        <w:pStyle w:val="2"/>
        <w:snapToGrid w:val="0"/>
        <w:spacing w:before="0" w:after="0" w:line="360" w:lineRule="auto"/>
        <w:rPr>
          <w:rFonts w:hint="eastAsia" w:ascii="新宋体" w:hAnsi="新宋体" w:eastAsia="新宋体" w:cs="新宋体"/>
          <w:b w:val="0"/>
          <w:snapToGrid w:val="0"/>
          <w:color w:val="auto"/>
          <w:sz w:val="24"/>
          <w:szCs w:val="24"/>
          <w:highlight w:val="none"/>
        </w:rPr>
      </w:pPr>
      <w:bookmarkStart w:id="410" w:name="_Toc430530476"/>
      <w:bookmarkStart w:id="411" w:name="_Toc200513167"/>
      <w:bookmarkStart w:id="412" w:name="_Toc57820602"/>
      <w:bookmarkStart w:id="413" w:name="_Toc287620726"/>
      <w:bookmarkStart w:id="414" w:name="_Toc287607787"/>
      <w:bookmarkStart w:id="415" w:name="_Toc509218751"/>
      <w:bookmarkStart w:id="416" w:name="_Toc224103358"/>
      <w:bookmarkStart w:id="417" w:name="_Toc277082593"/>
      <w:r>
        <w:rPr>
          <w:rFonts w:hint="eastAsia" w:ascii="新宋体" w:hAnsi="新宋体" w:eastAsia="新宋体" w:cs="新宋体"/>
          <w:b w:val="0"/>
          <w:snapToGrid w:val="0"/>
          <w:color w:val="auto"/>
          <w:sz w:val="24"/>
          <w:szCs w:val="24"/>
          <w:highlight w:val="none"/>
        </w:rPr>
        <w:t>7.3  履约担保</w:t>
      </w:r>
      <w:bookmarkEnd w:id="410"/>
      <w:bookmarkEnd w:id="411"/>
      <w:bookmarkEnd w:id="412"/>
      <w:bookmarkEnd w:id="413"/>
      <w:bookmarkEnd w:id="414"/>
      <w:bookmarkEnd w:id="415"/>
      <w:bookmarkEnd w:id="416"/>
      <w:bookmarkEnd w:id="417"/>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7.3.2  中标人不能按本章第 7.3.1 项要求提交履约担保的，视为放弃中标，其投标保证金不予退还，给招标人造成的损失超过投标保证金数额的，中标人还应当对超过部分予以赔偿。</w:t>
      </w:r>
    </w:p>
    <w:p>
      <w:pPr>
        <w:pStyle w:val="2"/>
        <w:snapToGrid w:val="0"/>
        <w:spacing w:before="0" w:after="0" w:line="360" w:lineRule="auto"/>
        <w:rPr>
          <w:rFonts w:hint="eastAsia" w:ascii="新宋体" w:hAnsi="新宋体" w:eastAsia="新宋体" w:cs="新宋体"/>
          <w:b w:val="0"/>
          <w:snapToGrid w:val="0"/>
          <w:color w:val="auto"/>
          <w:sz w:val="24"/>
          <w:szCs w:val="24"/>
          <w:highlight w:val="none"/>
        </w:rPr>
      </w:pPr>
      <w:bookmarkStart w:id="418" w:name="_Toc57820603"/>
      <w:bookmarkStart w:id="419" w:name="_Toc287620727"/>
      <w:bookmarkStart w:id="420" w:name="_Toc200513168"/>
      <w:bookmarkStart w:id="421" w:name="_Toc224103359"/>
      <w:bookmarkStart w:id="422" w:name="_Toc277082594"/>
      <w:bookmarkStart w:id="423" w:name="_Toc430530477"/>
      <w:bookmarkStart w:id="424" w:name="_Toc287607788"/>
      <w:bookmarkStart w:id="425" w:name="_Toc509218752"/>
      <w:r>
        <w:rPr>
          <w:rFonts w:hint="eastAsia" w:ascii="新宋体" w:hAnsi="新宋体" w:eastAsia="新宋体" w:cs="新宋体"/>
          <w:b w:val="0"/>
          <w:snapToGrid w:val="0"/>
          <w:color w:val="auto"/>
          <w:sz w:val="24"/>
          <w:szCs w:val="24"/>
          <w:highlight w:val="none"/>
        </w:rPr>
        <w:t>7.4  签订合同</w:t>
      </w:r>
      <w:bookmarkEnd w:id="418"/>
      <w:bookmarkEnd w:id="419"/>
      <w:bookmarkEnd w:id="420"/>
      <w:bookmarkEnd w:id="421"/>
      <w:bookmarkEnd w:id="422"/>
      <w:bookmarkEnd w:id="423"/>
      <w:bookmarkEnd w:id="424"/>
      <w:bookmarkEnd w:id="425"/>
    </w:p>
    <w:p>
      <w:pPr>
        <w:autoSpaceDE w:val="0"/>
        <w:autoSpaceDN w:val="0"/>
        <w:adjustRightInd w:val="0"/>
        <w:snapToGrid w:val="0"/>
        <w:spacing w:line="360" w:lineRule="auto"/>
        <w:ind w:firstLine="42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7.4.1  招标人和中标人应当自中标通知书发出之日起 30 天内，根据招标文件和中标人的投标文件订立书面合同。中标人放弃中标项目，无正当理由不与招标人签订合同，在签订合同时向招标人提出附加条件或者更改合同实质性内容，</w:t>
      </w:r>
      <w:r>
        <w:rPr>
          <w:rFonts w:hint="eastAsia" w:ascii="新宋体" w:hAnsi="新宋体" w:eastAsia="新宋体" w:cs="新宋体"/>
          <w:color w:val="auto"/>
          <w:szCs w:val="21"/>
          <w:highlight w:val="none"/>
        </w:rPr>
        <w:t>或不按照招标文件要求提交低价风险担保（适用于经评审最低投标价法）或履约保证金的，</w:t>
      </w:r>
      <w:r>
        <w:rPr>
          <w:rFonts w:hint="eastAsia" w:ascii="新宋体" w:hAnsi="新宋体" w:eastAsia="新宋体" w:cs="新宋体"/>
          <w:snapToGrid w:val="0"/>
          <w:color w:val="auto"/>
          <w:kern w:val="0"/>
          <w:szCs w:val="21"/>
          <w:highlight w:val="none"/>
        </w:rPr>
        <w:t>招标人取消其中标资格，其投标保证金不予退还；给招标人造成的损失超过投标保证金数额的，中标人还应当对超过部分予以赔偿。</w:t>
      </w:r>
    </w:p>
    <w:p>
      <w:pPr>
        <w:autoSpaceDE w:val="0"/>
        <w:autoSpaceDN w:val="0"/>
        <w:adjustRightInd w:val="0"/>
        <w:snapToGrid w:val="0"/>
        <w:spacing w:line="360" w:lineRule="auto"/>
        <w:ind w:firstLine="42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7.4.2  发出中标通知书后，招标人无正当理由拒签合同的，招标人向中标人退还投标保证金；给中标人造成损失的，还应当赔偿损失。</w:t>
      </w:r>
    </w:p>
    <w:p>
      <w:pPr>
        <w:pStyle w:val="4"/>
        <w:spacing w:before="0" w:after="0" w:line="360" w:lineRule="auto"/>
        <w:rPr>
          <w:rFonts w:hint="eastAsia" w:ascii="新宋体" w:hAnsi="新宋体" w:eastAsia="新宋体" w:cs="新宋体"/>
          <w:b w:val="0"/>
          <w:snapToGrid w:val="0"/>
          <w:color w:val="auto"/>
          <w:highlight w:val="none"/>
        </w:rPr>
      </w:pPr>
      <w:bookmarkStart w:id="426" w:name="_Toc430530478"/>
      <w:bookmarkStart w:id="427" w:name="_Toc224103360"/>
      <w:bookmarkStart w:id="428" w:name="_Toc509218753"/>
      <w:bookmarkStart w:id="429" w:name="_Toc200513169"/>
      <w:bookmarkStart w:id="430" w:name="_Toc57820604"/>
      <w:bookmarkStart w:id="431" w:name="_Toc287607789"/>
      <w:bookmarkStart w:id="432" w:name="_Toc277082595"/>
      <w:bookmarkStart w:id="433" w:name="_Toc287620728"/>
      <w:r>
        <w:rPr>
          <w:rFonts w:hint="eastAsia" w:ascii="新宋体" w:hAnsi="新宋体" w:eastAsia="新宋体" w:cs="新宋体"/>
          <w:b w:val="0"/>
          <w:snapToGrid w:val="0"/>
          <w:color w:val="auto"/>
          <w:highlight w:val="none"/>
        </w:rPr>
        <w:t>8.  重新招标和不再招标</w:t>
      </w:r>
      <w:bookmarkEnd w:id="426"/>
      <w:bookmarkEnd w:id="427"/>
      <w:bookmarkEnd w:id="428"/>
      <w:bookmarkEnd w:id="429"/>
      <w:bookmarkEnd w:id="430"/>
      <w:bookmarkEnd w:id="431"/>
      <w:bookmarkEnd w:id="432"/>
      <w:bookmarkEnd w:id="433"/>
    </w:p>
    <w:p>
      <w:pPr>
        <w:pStyle w:val="2"/>
        <w:snapToGrid w:val="0"/>
        <w:spacing w:before="0" w:after="0" w:line="360" w:lineRule="auto"/>
        <w:rPr>
          <w:rFonts w:hint="eastAsia" w:ascii="新宋体" w:hAnsi="新宋体" w:eastAsia="新宋体" w:cs="新宋体"/>
          <w:b w:val="0"/>
          <w:snapToGrid w:val="0"/>
          <w:color w:val="auto"/>
          <w:sz w:val="24"/>
          <w:szCs w:val="24"/>
          <w:highlight w:val="none"/>
        </w:rPr>
      </w:pPr>
      <w:bookmarkStart w:id="434" w:name="_Toc287620729"/>
      <w:bookmarkStart w:id="435" w:name="_Toc287607790"/>
      <w:bookmarkStart w:id="436" w:name="_Toc430530479"/>
      <w:bookmarkStart w:id="437" w:name="_Toc224103361"/>
      <w:bookmarkStart w:id="438" w:name="_Toc277082596"/>
      <w:bookmarkStart w:id="439" w:name="_Toc57820605"/>
      <w:bookmarkStart w:id="440" w:name="_Toc509218754"/>
      <w:bookmarkStart w:id="441" w:name="_Toc200513170"/>
      <w:r>
        <w:rPr>
          <w:rFonts w:hint="eastAsia" w:ascii="新宋体" w:hAnsi="新宋体" w:eastAsia="新宋体" w:cs="新宋体"/>
          <w:b w:val="0"/>
          <w:snapToGrid w:val="0"/>
          <w:color w:val="auto"/>
          <w:sz w:val="24"/>
          <w:szCs w:val="24"/>
          <w:highlight w:val="none"/>
        </w:rPr>
        <w:t>8.1  重新招标</w:t>
      </w:r>
      <w:bookmarkEnd w:id="434"/>
      <w:bookmarkEnd w:id="435"/>
      <w:bookmarkEnd w:id="436"/>
      <w:bookmarkEnd w:id="437"/>
      <w:bookmarkEnd w:id="438"/>
      <w:bookmarkEnd w:id="439"/>
      <w:bookmarkEnd w:id="440"/>
      <w:bookmarkEnd w:id="441"/>
      <w:r>
        <w:rPr>
          <w:rFonts w:hint="eastAsia" w:ascii="新宋体" w:hAnsi="新宋体" w:eastAsia="新宋体" w:cs="新宋体"/>
          <w:b w:val="0"/>
          <w:snapToGrid w:val="0"/>
          <w:color w:val="auto"/>
          <w:sz w:val="24"/>
          <w:szCs w:val="24"/>
          <w:highlight w:val="none"/>
        </w:rPr>
        <w:t>的情形</w:t>
      </w:r>
    </w:p>
    <w:p>
      <w:pPr>
        <w:autoSpaceDE w:val="0"/>
        <w:autoSpaceDN w:val="0"/>
        <w:adjustRightInd w:val="0"/>
        <w:snapToGrid w:val="0"/>
        <w:spacing w:line="360" w:lineRule="auto"/>
        <w:ind w:left="359" w:leftChars="171"/>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有下列情形之一的，招标人将重新招标：</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（1）投标截止时间止，投标人少于 3 个的；</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（2）经评标委员会评审后否决所有投标的；</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3）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（4）法律法规规定的其他情形。</w:t>
      </w:r>
    </w:p>
    <w:p>
      <w:pPr>
        <w:pStyle w:val="2"/>
        <w:snapToGrid w:val="0"/>
        <w:spacing w:before="0" w:after="0" w:line="360" w:lineRule="auto"/>
        <w:rPr>
          <w:rFonts w:hint="eastAsia" w:ascii="新宋体" w:hAnsi="新宋体" w:eastAsia="新宋体" w:cs="新宋体"/>
          <w:b w:val="0"/>
          <w:snapToGrid w:val="0"/>
          <w:color w:val="auto"/>
          <w:sz w:val="24"/>
          <w:szCs w:val="24"/>
          <w:highlight w:val="none"/>
        </w:rPr>
      </w:pPr>
      <w:bookmarkStart w:id="442" w:name="_Toc287620730"/>
      <w:bookmarkStart w:id="443" w:name="_Toc509218755"/>
      <w:bookmarkStart w:id="444" w:name="_Toc224103362"/>
      <w:bookmarkStart w:id="445" w:name="_Toc287607791"/>
      <w:bookmarkStart w:id="446" w:name="_Toc57820606"/>
      <w:bookmarkStart w:id="447" w:name="_Toc277082597"/>
      <w:bookmarkStart w:id="448" w:name="_Toc430530480"/>
      <w:bookmarkStart w:id="449" w:name="_Toc200513171"/>
      <w:r>
        <w:rPr>
          <w:rFonts w:hint="eastAsia" w:ascii="新宋体" w:hAnsi="新宋体" w:eastAsia="新宋体" w:cs="新宋体"/>
          <w:b w:val="0"/>
          <w:snapToGrid w:val="0"/>
          <w:color w:val="auto"/>
          <w:sz w:val="24"/>
          <w:szCs w:val="24"/>
          <w:highlight w:val="none"/>
        </w:rPr>
        <w:t>8.2  重新招标和不再招标</w:t>
      </w:r>
      <w:bookmarkEnd w:id="442"/>
      <w:bookmarkEnd w:id="443"/>
      <w:bookmarkEnd w:id="444"/>
      <w:bookmarkEnd w:id="445"/>
      <w:bookmarkEnd w:id="446"/>
      <w:bookmarkEnd w:id="447"/>
      <w:bookmarkEnd w:id="448"/>
      <w:bookmarkEnd w:id="449"/>
    </w:p>
    <w:p>
      <w:pPr>
        <w:autoSpaceDE w:val="0"/>
        <w:autoSpaceDN w:val="0"/>
        <w:adjustRightInd w:val="0"/>
        <w:snapToGrid w:val="0"/>
        <w:spacing w:line="360" w:lineRule="auto"/>
        <w:ind w:firstLine="42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p>
      <w:pPr>
        <w:pStyle w:val="4"/>
        <w:spacing w:before="0" w:after="0" w:line="360" w:lineRule="auto"/>
        <w:rPr>
          <w:rFonts w:hint="eastAsia" w:ascii="新宋体" w:hAnsi="新宋体" w:eastAsia="新宋体" w:cs="新宋体"/>
          <w:b w:val="0"/>
          <w:snapToGrid w:val="0"/>
          <w:color w:val="auto"/>
          <w:highlight w:val="none"/>
        </w:rPr>
      </w:pPr>
      <w:bookmarkStart w:id="450" w:name="_Toc430530481"/>
      <w:bookmarkStart w:id="451" w:name="_Toc287607792"/>
      <w:bookmarkStart w:id="452" w:name="_Toc224103363"/>
      <w:bookmarkStart w:id="453" w:name="_Toc509218756"/>
      <w:bookmarkStart w:id="454" w:name="_Toc287620731"/>
      <w:bookmarkStart w:id="455" w:name="_Toc277082598"/>
      <w:bookmarkStart w:id="456" w:name="_Toc57820607"/>
      <w:bookmarkStart w:id="457" w:name="_Toc200513172"/>
      <w:r>
        <w:rPr>
          <w:rFonts w:hint="eastAsia" w:ascii="新宋体" w:hAnsi="新宋体" w:eastAsia="新宋体" w:cs="新宋体"/>
          <w:b w:val="0"/>
          <w:snapToGrid w:val="0"/>
          <w:color w:val="auto"/>
          <w:highlight w:val="none"/>
        </w:rPr>
        <w:t>9.  纪律和监督</w:t>
      </w:r>
      <w:bookmarkEnd w:id="450"/>
      <w:bookmarkEnd w:id="451"/>
      <w:bookmarkEnd w:id="452"/>
      <w:bookmarkEnd w:id="453"/>
      <w:bookmarkEnd w:id="454"/>
      <w:bookmarkEnd w:id="455"/>
      <w:bookmarkEnd w:id="456"/>
      <w:bookmarkEnd w:id="457"/>
    </w:p>
    <w:p>
      <w:pPr>
        <w:pStyle w:val="2"/>
        <w:snapToGrid w:val="0"/>
        <w:spacing w:before="0" w:after="0" w:line="360" w:lineRule="auto"/>
        <w:rPr>
          <w:rFonts w:hint="eastAsia" w:ascii="新宋体" w:hAnsi="新宋体" w:eastAsia="新宋体" w:cs="新宋体"/>
          <w:b w:val="0"/>
          <w:snapToGrid w:val="0"/>
          <w:color w:val="auto"/>
          <w:sz w:val="24"/>
          <w:szCs w:val="24"/>
          <w:highlight w:val="none"/>
        </w:rPr>
      </w:pPr>
      <w:bookmarkStart w:id="458" w:name="_Toc509218757"/>
      <w:bookmarkStart w:id="459" w:name="_Toc224103364"/>
      <w:bookmarkStart w:id="460" w:name="_Toc287607793"/>
      <w:bookmarkStart w:id="461" w:name="_Toc277082599"/>
      <w:bookmarkStart w:id="462" w:name="_Toc430530482"/>
      <w:bookmarkStart w:id="463" w:name="_Toc287620732"/>
      <w:bookmarkStart w:id="464" w:name="_Toc57820608"/>
      <w:bookmarkStart w:id="465" w:name="_Toc200513173"/>
      <w:r>
        <w:rPr>
          <w:rFonts w:hint="eastAsia" w:ascii="新宋体" w:hAnsi="新宋体" w:eastAsia="新宋体" w:cs="新宋体"/>
          <w:b w:val="0"/>
          <w:snapToGrid w:val="0"/>
          <w:color w:val="auto"/>
          <w:sz w:val="24"/>
          <w:szCs w:val="24"/>
          <w:highlight w:val="none"/>
        </w:rPr>
        <w:t>9.1  对招标人的纪律要求</w:t>
      </w:r>
      <w:bookmarkEnd w:id="458"/>
      <w:bookmarkEnd w:id="459"/>
      <w:bookmarkEnd w:id="460"/>
      <w:bookmarkEnd w:id="461"/>
      <w:bookmarkEnd w:id="462"/>
      <w:bookmarkEnd w:id="463"/>
      <w:bookmarkEnd w:id="464"/>
      <w:bookmarkEnd w:id="465"/>
    </w:p>
    <w:p>
      <w:pPr>
        <w:autoSpaceDE w:val="0"/>
        <w:autoSpaceDN w:val="0"/>
        <w:adjustRightInd w:val="0"/>
        <w:snapToGrid w:val="0"/>
        <w:spacing w:line="360" w:lineRule="auto"/>
        <w:ind w:firstLine="420"/>
        <w:rPr>
          <w:rFonts w:hint="eastAsia" w:ascii="新宋体" w:hAnsi="新宋体" w:eastAsia="新宋体" w:cs="新宋体"/>
          <w:color w:val="auto"/>
          <w:highlight w:val="none"/>
        </w:rPr>
      </w:pPr>
      <w:r>
        <w:rPr>
          <w:rFonts w:hint="eastAsia" w:ascii="新宋体" w:hAnsi="新宋体" w:eastAsia="新宋体" w:cs="新宋体"/>
          <w:snapToGrid w:val="0"/>
          <w:color w:val="auto"/>
          <w:kern w:val="0"/>
          <w:szCs w:val="21"/>
          <w:highlight w:val="none"/>
        </w:rPr>
        <w:t>招标人不得泄漏招标投标活动中应当保密的情况和资料，不得与投标人串通损害国家利 益、社会公共利益或者他人合法权益，</w:t>
      </w:r>
      <w:r>
        <w:rPr>
          <w:rFonts w:hint="eastAsia" w:ascii="新宋体" w:hAnsi="新宋体" w:eastAsia="新宋体" w:cs="新宋体"/>
          <w:color w:val="auto"/>
          <w:highlight w:val="none"/>
        </w:rPr>
        <w:t>禁止招标人与投标人串通投标。</w:t>
      </w:r>
    </w:p>
    <w:p>
      <w:pPr>
        <w:autoSpaceDE w:val="0"/>
        <w:autoSpaceDN w:val="0"/>
        <w:adjustRightInd w:val="0"/>
        <w:snapToGrid w:val="0"/>
        <w:spacing w:line="360" w:lineRule="auto"/>
        <w:ind w:firstLine="420"/>
        <w:rPr>
          <w:rFonts w:hint="eastAsia" w:ascii="新宋体" w:hAnsi="新宋体" w:eastAsia="新宋体" w:cs="新宋体"/>
          <w:color w:val="auto"/>
          <w:highlight w:val="none"/>
        </w:rPr>
      </w:pPr>
      <w:r>
        <w:rPr>
          <w:rFonts w:hint="eastAsia" w:ascii="新宋体" w:hAnsi="新宋体" w:eastAsia="新宋体" w:cs="新宋体"/>
          <w:color w:val="auto"/>
          <w:highlight w:val="none"/>
        </w:rPr>
        <w:t>有下列情形之一的，属于招标人与投标人串通投标：</w:t>
      </w:r>
    </w:p>
    <w:p>
      <w:pPr>
        <w:autoSpaceDE w:val="0"/>
        <w:autoSpaceDN w:val="0"/>
        <w:adjustRightInd w:val="0"/>
        <w:snapToGrid w:val="0"/>
        <w:spacing w:line="360" w:lineRule="auto"/>
        <w:ind w:firstLine="420"/>
        <w:rPr>
          <w:rFonts w:hint="eastAsia" w:ascii="新宋体" w:hAnsi="新宋体" w:eastAsia="新宋体" w:cs="新宋体"/>
          <w:color w:val="auto"/>
          <w:highlight w:val="none"/>
        </w:rPr>
      </w:pPr>
      <w:r>
        <w:rPr>
          <w:rFonts w:hint="eastAsia" w:ascii="新宋体" w:hAnsi="新宋体" w:eastAsia="新宋体" w:cs="新宋体"/>
          <w:color w:val="auto"/>
          <w:highlight w:val="none"/>
        </w:rPr>
        <w:t>（1）招标人在开标前开启投标文件并将有关信息泄露给其他投标人；</w:t>
      </w:r>
    </w:p>
    <w:p>
      <w:pPr>
        <w:autoSpaceDE w:val="0"/>
        <w:autoSpaceDN w:val="0"/>
        <w:adjustRightInd w:val="0"/>
        <w:snapToGrid w:val="0"/>
        <w:spacing w:line="360" w:lineRule="auto"/>
        <w:ind w:firstLine="420"/>
        <w:rPr>
          <w:rFonts w:hint="eastAsia" w:ascii="新宋体" w:hAnsi="新宋体" w:eastAsia="新宋体" w:cs="新宋体"/>
          <w:color w:val="auto"/>
          <w:highlight w:val="none"/>
        </w:rPr>
      </w:pPr>
      <w:r>
        <w:rPr>
          <w:rFonts w:hint="eastAsia" w:ascii="新宋体" w:hAnsi="新宋体" w:eastAsia="新宋体" w:cs="新宋体"/>
          <w:color w:val="auto"/>
          <w:highlight w:val="none"/>
        </w:rPr>
        <w:t>（2）招标人直接或者间接向投标人泄露标底、评标委员会成员等信息；</w:t>
      </w:r>
    </w:p>
    <w:p>
      <w:pPr>
        <w:autoSpaceDE w:val="0"/>
        <w:autoSpaceDN w:val="0"/>
        <w:adjustRightInd w:val="0"/>
        <w:snapToGrid w:val="0"/>
        <w:spacing w:line="360" w:lineRule="auto"/>
        <w:ind w:firstLine="420"/>
        <w:rPr>
          <w:rFonts w:hint="eastAsia" w:ascii="新宋体" w:hAnsi="新宋体" w:eastAsia="新宋体" w:cs="新宋体"/>
          <w:color w:val="auto"/>
          <w:highlight w:val="none"/>
        </w:rPr>
      </w:pPr>
      <w:r>
        <w:rPr>
          <w:rFonts w:hint="eastAsia" w:ascii="新宋体" w:hAnsi="新宋体" w:eastAsia="新宋体" w:cs="新宋体"/>
          <w:color w:val="auto"/>
          <w:highlight w:val="none"/>
        </w:rPr>
        <w:t>（3）招标人明示或者暗示投标人压低或者抬高投标报价；</w:t>
      </w:r>
    </w:p>
    <w:p>
      <w:pPr>
        <w:autoSpaceDE w:val="0"/>
        <w:autoSpaceDN w:val="0"/>
        <w:adjustRightInd w:val="0"/>
        <w:snapToGrid w:val="0"/>
        <w:spacing w:line="360" w:lineRule="auto"/>
        <w:ind w:firstLine="420"/>
        <w:rPr>
          <w:rFonts w:hint="eastAsia" w:ascii="新宋体" w:hAnsi="新宋体" w:eastAsia="新宋体" w:cs="新宋体"/>
          <w:color w:val="auto"/>
          <w:highlight w:val="none"/>
        </w:rPr>
      </w:pPr>
      <w:r>
        <w:rPr>
          <w:rFonts w:hint="eastAsia" w:ascii="新宋体" w:hAnsi="新宋体" w:eastAsia="新宋体" w:cs="新宋体"/>
          <w:color w:val="auto"/>
          <w:highlight w:val="none"/>
        </w:rPr>
        <w:t>（4）招标人授意投标人撤换、修改投标文件；</w:t>
      </w:r>
    </w:p>
    <w:p>
      <w:pPr>
        <w:autoSpaceDE w:val="0"/>
        <w:autoSpaceDN w:val="0"/>
        <w:adjustRightInd w:val="0"/>
        <w:snapToGrid w:val="0"/>
        <w:spacing w:line="360" w:lineRule="auto"/>
        <w:ind w:firstLine="420"/>
        <w:rPr>
          <w:rFonts w:hint="eastAsia" w:ascii="新宋体" w:hAnsi="新宋体" w:eastAsia="新宋体" w:cs="新宋体"/>
          <w:color w:val="auto"/>
          <w:highlight w:val="none"/>
        </w:rPr>
      </w:pPr>
      <w:r>
        <w:rPr>
          <w:rFonts w:hint="eastAsia" w:ascii="新宋体" w:hAnsi="新宋体" w:eastAsia="新宋体" w:cs="新宋体"/>
          <w:color w:val="auto"/>
          <w:highlight w:val="none"/>
        </w:rPr>
        <w:t>（5）招标人明示或者暗示投标人为特定投标人中标提供方便；</w:t>
      </w:r>
    </w:p>
    <w:p>
      <w:pPr>
        <w:autoSpaceDE w:val="0"/>
        <w:autoSpaceDN w:val="0"/>
        <w:adjustRightInd w:val="0"/>
        <w:snapToGrid w:val="0"/>
        <w:spacing w:line="360" w:lineRule="auto"/>
        <w:ind w:firstLine="420"/>
        <w:rPr>
          <w:rFonts w:hint="eastAsia" w:ascii="新宋体" w:hAnsi="新宋体" w:eastAsia="新宋体" w:cs="新宋体"/>
          <w:snapToGrid w:val="0"/>
          <w:color w:val="auto"/>
          <w:kern w:val="0"/>
          <w:szCs w:val="21"/>
          <w:highlight w:val="none"/>
        </w:rPr>
      </w:pPr>
      <w:r>
        <w:rPr>
          <w:rFonts w:hint="eastAsia" w:ascii="新宋体" w:hAnsi="新宋体" w:eastAsia="新宋体" w:cs="新宋体"/>
          <w:color w:val="auto"/>
          <w:highlight w:val="none"/>
        </w:rPr>
        <w:t>（6）招标人与投标人为谋求特定投标人中标而采取的其他串通行为。</w:t>
      </w:r>
    </w:p>
    <w:p>
      <w:pPr>
        <w:pStyle w:val="2"/>
        <w:snapToGrid w:val="0"/>
        <w:spacing w:before="0" w:after="0" w:line="360" w:lineRule="auto"/>
        <w:ind w:firstLine="480" w:firstLineChars="200"/>
        <w:rPr>
          <w:rFonts w:hint="eastAsia" w:ascii="新宋体" w:hAnsi="新宋体" w:eastAsia="新宋体" w:cs="新宋体"/>
          <w:b w:val="0"/>
          <w:snapToGrid w:val="0"/>
          <w:color w:val="auto"/>
          <w:sz w:val="24"/>
          <w:szCs w:val="24"/>
          <w:highlight w:val="none"/>
        </w:rPr>
      </w:pPr>
      <w:bookmarkStart w:id="466" w:name="_Toc287620733"/>
      <w:bookmarkStart w:id="467" w:name="_Toc509218758"/>
      <w:bookmarkStart w:id="468" w:name="_Toc200513174"/>
      <w:bookmarkStart w:id="469" w:name="_Toc224103365"/>
      <w:bookmarkStart w:id="470" w:name="_Toc287607794"/>
      <w:bookmarkStart w:id="471" w:name="_Toc430530483"/>
      <w:bookmarkStart w:id="472" w:name="_Toc57820609"/>
      <w:bookmarkStart w:id="473" w:name="_Toc277082600"/>
      <w:r>
        <w:rPr>
          <w:rFonts w:hint="eastAsia" w:ascii="新宋体" w:hAnsi="新宋体" w:eastAsia="新宋体" w:cs="新宋体"/>
          <w:b w:val="0"/>
          <w:snapToGrid w:val="0"/>
          <w:color w:val="auto"/>
          <w:sz w:val="24"/>
          <w:szCs w:val="24"/>
          <w:highlight w:val="none"/>
        </w:rPr>
        <w:t>9.2  对投标人的纪律要求</w:t>
      </w:r>
      <w:bookmarkEnd w:id="466"/>
      <w:bookmarkEnd w:id="467"/>
      <w:bookmarkEnd w:id="468"/>
      <w:bookmarkEnd w:id="469"/>
      <w:bookmarkEnd w:id="470"/>
      <w:bookmarkEnd w:id="471"/>
      <w:bookmarkEnd w:id="472"/>
      <w:bookmarkEnd w:id="473"/>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 xml:space="preserve">9.2.1  </w:t>
      </w:r>
      <w:r>
        <w:rPr>
          <w:rFonts w:hint="eastAsia" w:ascii="新宋体" w:hAnsi="新宋体" w:eastAsia="新宋体" w:cs="新宋体"/>
          <w:color w:val="auto"/>
          <w:highlight w:val="none"/>
        </w:rPr>
        <w:t>有下列情形之一的，属于投标人相互串通投标：</w:t>
      </w:r>
    </w:p>
    <w:p>
      <w:pPr>
        <w:autoSpaceDE w:val="0"/>
        <w:autoSpaceDN w:val="0"/>
        <w:adjustRightInd w:val="0"/>
        <w:snapToGrid w:val="0"/>
        <w:spacing w:line="360" w:lineRule="auto"/>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（1）投标人之间协商投标报价等投标文件的实质性内容；</w:t>
      </w:r>
    </w:p>
    <w:p>
      <w:pPr>
        <w:autoSpaceDE w:val="0"/>
        <w:autoSpaceDN w:val="0"/>
        <w:adjustRightInd w:val="0"/>
        <w:snapToGrid w:val="0"/>
        <w:spacing w:line="360" w:lineRule="auto"/>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（2）投标人之间约定中标人；</w:t>
      </w:r>
    </w:p>
    <w:p>
      <w:pPr>
        <w:autoSpaceDE w:val="0"/>
        <w:autoSpaceDN w:val="0"/>
        <w:adjustRightInd w:val="0"/>
        <w:snapToGrid w:val="0"/>
        <w:spacing w:line="360" w:lineRule="auto"/>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（3）投标人之间约定部分投标人放弃投标或者中标；</w:t>
      </w:r>
    </w:p>
    <w:p>
      <w:pPr>
        <w:autoSpaceDE w:val="0"/>
        <w:autoSpaceDN w:val="0"/>
        <w:adjustRightInd w:val="0"/>
        <w:snapToGrid w:val="0"/>
        <w:spacing w:line="360" w:lineRule="auto"/>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（4）属于同一集团、协会、商会等组织成员的投标人按照该组织要求协同投标；</w:t>
      </w:r>
    </w:p>
    <w:p>
      <w:pPr>
        <w:autoSpaceDE w:val="0"/>
        <w:autoSpaceDN w:val="0"/>
        <w:adjustRightInd w:val="0"/>
        <w:snapToGrid w:val="0"/>
        <w:spacing w:line="360" w:lineRule="auto"/>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（5）投标人之间为谋取中标或者排斥特定投标人而采取的其他联合行动。</w:t>
      </w:r>
    </w:p>
    <w:p>
      <w:pPr>
        <w:autoSpaceDE w:val="0"/>
        <w:autoSpaceDN w:val="0"/>
        <w:adjustRightInd w:val="0"/>
        <w:snapToGrid w:val="0"/>
        <w:spacing w:line="360" w:lineRule="auto"/>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9.2.2  有下列情形之一的，视为投标人相互串通投标：</w:t>
      </w:r>
    </w:p>
    <w:p>
      <w:pPr>
        <w:autoSpaceDE w:val="0"/>
        <w:autoSpaceDN w:val="0"/>
        <w:adjustRightInd w:val="0"/>
        <w:snapToGrid w:val="0"/>
        <w:spacing w:line="360" w:lineRule="auto"/>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（1）不同投标人的投标文件由同一单位或者个人编制；</w:t>
      </w:r>
    </w:p>
    <w:p>
      <w:pPr>
        <w:autoSpaceDE w:val="0"/>
        <w:autoSpaceDN w:val="0"/>
        <w:adjustRightInd w:val="0"/>
        <w:snapToGrid w:val="0"/>
        <w:spacing w:line="360" w:lineRule="auto"/>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（2）不同投标人委托同一单位或者个人办理投标事宜；</w:t>
      </w:r>
    </w:p>
    <w:p>
      <w:pPr>
        <w:autoSpaceDE w:val="0"/>
        <w:autoSpaceDN w:val="0"/>
        <w:adjustRightInd w:val="0"/>
        <w:snapToGrid w:val="0"/>
        <w:spacing w:line="360" w:lineRule="auto"/>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（3）不同投标人的投标文件载明的项目管理成员为同一人；</w:t>
      </w:r>
    </w:p>
    <w:p>
      <w:pPr>
        <w:autoSpaceDE w:val="0"/>
        <w:autoSpaceDN w:val="0"/>
        <w:adjustRightInd w:val="0"/>
        <w:snapToGrid w:val="0"/>
        <w:spacing w:line="360" w:lineRule="auto"/>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（4）不同投标人的投标文件异常一致或者投标报价呈规律性差异；</w:t>
      </w:r>
    </w:p>
    <w:p>
      <w:pPr>
        <w:autoSpaceDE w:val="0"/>
        <w:autoSpaceDN w:val="0"/>
        <w:adjustRightInd w:val="0"/>
        <w:snapToGrid w:val="0"/>
        <w:spacing w:line="360" w:lineRule="auto"/>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（5）不同投标人的投标文件相互混装；</w:t>
      </w:r>
    </w:p>
    <w:p>
      <w:pPr>
        <w:autoSpaceDE w:val="0"/>
        <w:autoSpaceDN w:val="0"/>
        <w:adjustRightInd w:val="0"/>
        <w:snapToGrid w:val="0"/>
        <w:spacing w:line="360" w:lineRule="auto"/>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（6）不同投标人的投标保证金从同一单位或者个人的账户转出；</w:t>
      </w:r>
    </w:p>
    <w:p>
      <w:pPr>
        <w:autoSpaceDE w:val="0"/>
        <w:autoSpaceDN w:val="0"/>
        <w:adjustRightInd w:val="0"/>
        <w:snapToGrid w:val="0"/>
        <w:spacing w:line="360" w:lineRule="auto"/>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（7）不同投标人的电子投标文件MAC地址相同。</w:t>
      </w:r>
    </w:p>
    <w:p>
      <w:pPr>
        <w:autoSpaceDE w:val="0"/>
        <w:autoSpaceDN w:val="0"/>
        <w:adjustRightInd w:val="0"/>
        <w:snapToGrid w:val="0"/>
        <w:spacing w:line="360" w:lineRule="auto"/>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9.2.3  使用通过受让或者租借等方式获取的资格、资质证书投标的，属于以他人名义投标。</w:t>
      </w:r>
    </w:p>
    <w:p>
      <w:pPr>
        <w:autoSpaceDE w:val="0"/>
        <w:autoSpaceDN w:val="0"/>
        <w:adjustRightInd w:val="0"/>
        <w:snapToGrid w:val="0"/>
        <w:spacing w:line="360" w:lineRule="auto"/>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9.2.4  投标人有下列情形之一的，属于以其他方式弄虚作假的行为：</w:t>
      </w:r>
    </w:p>
    <w:p>
      <w:pPr>
        <w:autoSpaceDE w:val="0"/>
        <w:autoSpaceDN w:val="0"/>
        <w:adjustRightInd w:val="0"/>
        <w:snapToGrid w:val="0"/>
        <w:spacing w:line="360" w:lineRule="auto"/>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（1）使用伪造、变造的许可证件；</w:t>
      </w:r>
    </w:p>
    <w:p>
      <w:pPr>
        <w:autoSpaceDE w:val="0"/>
        <w:autoSpaceDN w:val="0"/>
        <w:adjustRightInd w:val="0"/>
        <w:snapToGrid w:val="0"/>
        <w:spacing w:line="360" w:lineRule="auto"/>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（2）提供虚假的财务状况或者业绩；</w:t>
      </w:r>
    </w:p>
    <w:p>
      <w:pPr>
        <w:autoSpaceDE w:val="0"/>
        <w:autoSpaceDN w:val="0"/>
        <w:adjustRightInd w:val="0"/>
        <w:snapToGrid w:val="0"/>
        <w:spacing w:line="360" w:lineRule="auto"/>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（3）提供虚假的项目负责人或者主要技术人员简历、劳动关系证明；</w:t>
      </w:r>
    </w:p>
    <w:p>
      <w:pPr>
        <w:autoSpaceDE w:val="0"/>
        <w:autoSpaceDN w:val="0"/>
        <w:adjustRightInd w:val="0"/>
        <w:snapToGrid w:val="0"/>
        <w:spacing w:line="360" w:lineRule="auto"/>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（4）提供虚假的信用状况；</w:t>
      </w:r>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color w:val="auto"/>
          <w:highlight w:val="none"/>
        </w:rPr>
        <w:t>（5）其他弄虚作假的行为。</w:t>
      </w:r>
    </w:p>
    <w:p>
      <w:pPr>
        <w:pStyle w:val="2"/>
        <w:snapToGrid w:val="0"/>
        <w:spacing w:before="0" w:after="0" w:line="360" w:lineRule="auto"/>
        <w:rPr>
          <w:rFonts w:hint="eastAsia" w:ascii="新宋体" w:hAnsi="新宋体" w:eastAsia="新宋体" w:cs="新宋体"/>
          <w:b w:val="0"/>
          <w:snapToGrid w:val="0"/>
          <w:color w:val="auto"/>
          <w:sz w:val="24"/>
          <w:szCs w:val="24"/>
          <w:highlight w:val="none"/>
        </w:rPr>
      </w:pPr>
      <w:bookmarkStart w:id="474" w:name="_Toc287607795"/>
      <w:bookmarkStart w:id="475" w:name="_Toc430530484"/>
      <w:bookmarkStart w:id="476" w:name="_Toc224103366"/>
      <w:bookmarkStart w:id="477" w:name="_Toc287620734"/>
      <w:bookmarkStart w:id="478" w:name="_Toc57820610"/>
      <w:bookmarkStart w:id="479" w:name="_Toc509218759"/>
      <w:bookmarkStart w:id="480" w:name="_Toc277082601"/>
      <w:bookmarkStart w:id="481" w:name="_Toc200513175"/>
      <w:r>
        <w:rPr>
          <w:rFonts w:hint="eastAsia" w:ascii="新宋体" w:hAnsi="新宋体" w:eastAsia="新宋体" w:cs="新宋体"/>
          <w:b w:val="0"/>
          <w:snapToGrid w:val="0"/>
          <w:color w:val="auto"/>
          <w:sz w:val="24"/>
          <w:szCs w:val="24"/>
          <w:highlight w:val="none"/>
        </w:rPr>
        <w:t>9.3  对评标委员会成员的纪律要求</w:t>
      </w:r>
      <w:bookmarkEnd w:id="474"/>
      <w:bookmarkEnd w:id="475"/>
      <w:bookmarkEnd w:id="476"/>
      <w:bookmarkEnd w:id="477"/>
      <w:bookmarkEnd w:id="478"/>
      <w:bookmarkEnd w:id="479"/>
      <w:bookmarkEnd w:id="480"/>
      <w:bookmarkEnd w:id="481"/>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不得对招标文件中《否决投标情况一览表》以外的内容予以否决投标，否则对评标委员会成员按《重庆市综合评标专家库和评标专家管理暂行办法》进行处理。</w:t>
      </w:r>
    </w:p>
    <w:p>
      <w:pPr>
        <w:pStyle w:val="2"/>
        <w:snapToGrid w:val="0"/>
        <w:spacing w:before="0" w:after="0" w:line="360" w:lineRule="auto"/>
        <w:rPr>
          <w:rFonts w:hint="eastAsia" w:ascii="新宋体" w:hAnsi="新宋体" w:eastAsia="新宋体" w:cs="新宋体"/>
          <w:b w:val="0"/>
          <w:snapToGrid w:val="0"/>
          <w:color w:val="auto"/>
          <w:sz w:val="24"/>
          <w:szCs w:val="24"/>
          <w:highlight w:val="none"/>
        </w:rPr>
      </w:pPr>
      <w:bookmarkStart w:id="482" w:name="_Toc287607796"/>
      <w:bookmarkStart w:id="483" w:name="_Toc509218760"/>
      <w:bookmarkStart w:id="484" w:name="_Toc430530485"/>
      <w:bookmarkStart w:id="485" w:name="_Toc277082602"/>
      <w:bookmarkStart w:id="486" w:name="_Toc57820611"/>
      <w:bookmarkStart w:id="487" w:name="_Toc224103367"/>
      <w:bookmarkStart w:id="488" w:name="_Toc287620735"/>
      <w:bookmarkStart w:id="489" w:name="_Toc200513176"/>
      <w:r>
        <w:rPr>
          <w:rFonts w:hint="eastAsia" w:ascii="新宋体" w:hAnsi="新宋体" w:eastAsia="新宋体" w:cs="新宋体"/>
          <w:b w:val="0"/>
          <w:snapToGrid w:val="0"/>
          <w:color w:val="auto"/>
          <w:sz w:val="24"/>
          <w:szCs w:val="24"/>
          <w:highlight w:val="none"/>
        </w:rPr>
        <w:t>9.4  对与评标活动有关的工作人员的纪律要求</w:t>
      </w:r>
      <w:bookmarkEnd w:id="482"/>
      <w:bookmarkEnd w:id="483"/>
      <w:bookmarkEnd w:id="484"/>
      <w:bookmarkEnd w:id="485"/>
      <w:bookmarkEnd w:id="486"/>
      <w:bookmarkEnd w:id="487"/>
      <w:bookmarkEnd w:id="488"/>
      <w:bookmarkEnd w:id="489"/>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pPr>
        <w:pStyle w:val="2"/>
        <w:snapToGrid w:val="0"/>
        <w:spacing w:before="0" w:after="0" w:line="360" w:lineRule="auto"/>
        <w:rPr>
          <w:rFonts w:hint="eastAsia" w:ascii="新宋体" w:hAnsi="新宋体" w:eastAsia="新宋体" w:cs="新宋体"/>
          <w:b w:val="0"/>
          <w:snapToGrid w:val="0"/>
          <w:color w:val="auto"/>
          <w:sz w:val="24"/>
          <w:szCs w:val="24"/>
          <w:highlight w:val="none"/>
        </w:rPr>
      </w:pPr>
      <w:bookmarkStart w:id="490" w:name="_Toc57820612"/>
      <w:bookmarkStart w:id="491" w:name="_Toc277082603"/>
      <w:bookmarkStart w:id="492" w:name="_Toc287607797"/>
      <w:bookmarkStart w:id="493" w:name="_Toc509218761"/>
      <w:bookmarkStart w:id="494" w:name="_Toc224103368"/>
      <w:bookmarkStart w:id="495" w:name="_Toc430530486"/>
      <w:bookmarkStart w:id="496" w:name="_Toc287620736"/>
      <w:bookmarkStart w:id="497" w:name="_Toc200513177"/>
      <w:r>
        <w:rPr>
          <w:rFonts w:hint="eastAsia" w:ascii="新宋体" w:hAnsi="新宋体" w:eastAsia="新宋体" w:cs="新宋体"/>
          <w:b w:val="0"/>
          <w:snapToGrid w:val="0"/>
          <w:color w:val="auto"/>
          <w:sz w:val="24"/>
          <w:szCs w:val="24"/>
          <w:highlight w:val="none"/>
        </w:rPr>
        <w:t>9.5  投诉</w:t>
      </w:r>
      <w:bookmarkEnd w:id="490"/>
      <w:bookmarkEnd w:id="491"/>
      <w:bookmarkEnd w:id="492"/>
      <w:bookmarkEnd w:id="493"/>
      <w:bookmarkEnd w:id="494"/>
      <w:bookmarkEnd w:id="495"/>
      <w:bookmarkEnd w:id="496"/>
      <w:bookmarkEnd w:id="497"/>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投标人和其他利害关系人认为本次招标活动违反法律、法规和规章规定的，有权向有关行政监督部门投诉。</w:t>
      </w:r>
    </w:p>
    <w:p>
      <w:pPr>
        <w:pStyle w:val="4"/>
        <w:spacing w:before="0" w:after="0" w:line="360" w:lineRule="auto"/>
        <w:rPr>
          <w:rFonts w:hint="eastAsia" w:ascii="新宋体" w:hAnsi="新宋体" w:eastAsia="新宋体" w:cs="新宋体"/>
          <w:b w:val="0"/>
          <w:snapToGrid w:val="0"/>
          <w:color w:val="auto"/>
          <w:highlight w:val="none"/>
        </w:rPr>
      </w:pPr>
      <w:bookmarkStart w:id="498" w:name="_Toc430530487"/>
      <w:bookmarkStart w:id="499" w:name="_Toc287620737"/>
      <w:bookmarkStart w:id="500" w:name="_Toc287607798"/>
      <w:bookmarkStart w:id="501" w:name="_Toc57820613"/>
      <w:bookmarkStart w:id="502" w:name="_Toc277082604"/>
      <w:bookmarkStart w:id="503" w:name="_Toc509218762"/>
      <w:bookmarkStart w:id="504" w:name="_Toc200513178"/>
      <w:bookmarkStart w:id="505" w:name="_Toc224103369"/>
      <w:r>
        <w:rPr>
          <w:rFonts w:hint="eastAsia" w:ascii="新宋体" w:hAnsi="新宋体" w:eastAsia="新宋体" w:cs="新宋体"/>
          <w:b w:val="0"/>
          <w:snapToGrid w:val="0"/>
          <w:color w:val="auto"/>
          <w:highlight w:val="none"/>
        </w:rPr>
        <w:t>10. 需要补充的其他内容</w:t>
      </w:r>
      <w:bookmarkEnd w:id="498"/>
      <w:bookmarkEnd w:id="499"/>
      <w:bookmarkEnd w:id="500"/>
      <w:bookmarkEnd w:id="501"/>
      <w:bookmarkEnd w:id="502"/>
      <w:bookmarkEnd w:id="503"/>
      <w:bookmarkEnd w:id="504"/>
      <w:bookmarkEnd w:id="505"/>
    </w:p>
    <w:p>
      <w:pPr>
        <w:autoSpaceDE w:val="0"/>
        <w:autoSpaceDN w:val="0"/>
        <w:adjustRightInd w:val="0"/>
        <w:snapToGrid w:val="0"/>
        <w:spacing w:line="360" w:lineRule="auto"/>
        <w:ind w:firstLine="420" w:firstLineChars="200"/>
        <w:rPr>
          <w:rFonts w:hint="eastAsia" w:ascii="新宋体" w:hAnsi="新宋体" w:eastAsia="新宋体" w:cs="新宋体"/>
          <w:snapToGrid w:val="0"/>
          <w:color w:val="auto"/>
          <w:kern w:val="0"/>
          <w:szCs w:val="21"/>
          <w:highlight w:val="none"/>
        </w:rPr>
        <w:sectPr>
          <w:footerReference r:id="rId5" w:type="default"/>
          <w:footerReference r:id="rId6" w:type="even"/>
          <w:pgSz w:w="11906" w:h="16838"/>
          <w:pgMar w:top="1304" w:right="1134" w:bottom="1304" w:left="1304" w:header="851" w:footer="992" w:gutter="0"/>
          <w:cols w:space="720" w:num="1"/>
          <w:docGrid w:type="lines" w:linePitch="312" w:charSpace="0"/>
        </w:sectPr>
      </w:pPr>
      <w:r>
        <w:rPr>
          <w:rFonts w:hint="eastAsia" w:ascii="新宋体" w:hAnsi="新宋体" w:eastAsia="新宋体" w:cs="新宋体"/>
          <w:snapToGrid w:val="0"/>
          <w:color w:val="auto"/>
          <w:kern w:val="0"/>
          <w:szCs w:val="21"/>
          <w:highlight w:val="none"/>
        </w:rPr>
        <w:t>需要补充的其他内容：见投标人须知前附表。</w:t>
      </w:r>
    </w:p>
    <w:p>
      <w:pPr>
        <w:pStyle w:val="3"/>
        <w:spacing w:line="360" w:lineRule="auto"/>
        <w:ind w:firstLine="883" w:firstLineChars="200"/>
        <w:jc w:val="center"/>
        <w:rPr>
          <w:rFonts w:hint="eastAsia" w:ascii="新宋体" w:hAnsi="新宋体" w:eastAsia="新宋体" w:cs="新宋体"/>
          <w:color w:val="auto"/>
          <w:highlight w:val="none"/>
        </w:rPr>
      </w:pPr>
      <w:bookmarkStart w:id="506" w:name="招标文件03章02评标办法综合评估法"/>
      <w:bookmarkEnd w:id="506"/>
      <w:bookmarkStart w:id="507" w:name="招标文件03章02评标办法综合评估法00"/>
      <w:bookmarkEnd w:id="507"/>
      <w:bookmarkStart w:id="508" w:name="_Toc57820625"/>
      <w:bookmarkStart w:id="509" w:name="_Toc509218774"/>
      <w:bookmarkStart w:id="510" w:name="_Toc287620751"/>
      <w:bookmarkStart w:id="511" w:name="_Toc200513198"/>
      <w:bookmarkStart w:id="512" w:name="_Toc287607812"/>
      <w:bookmarkStart w:id="513" w:name="_Toc224103384"/>
      <w:bookmarkStart w:id="514" w:name="_Toc430530500"/>
      <w:bookmarkStart w:id="515" w:name="_Toc277082618"/>
      <w:r>
        <w:rPr>
          <w:rFonts w:hint="eastAsia" w:ascii="新宋体" w:hAnsi="新宋体" w:eastAsia="新宋体" w:cs="新宋体"/>
          <w:color w:val="auto"/>
          <w:highlight w:val="none"/>
        </w:rPr>
        <w:t>第三章  评标办法（综合评估法）</w:t>
      </w:r>
      <w:bookmarkEnd w:id="508"/>
      <w:bookmarkEnd w:id="509"/>
      <w:bookmarkStart w:id="516" w:name="_Toc277082617"/>
      <w:bookmarkStart w:id="517" w:name="_Toc224103383"/>
      <w:bookmarkStart w:id="518" w:name="_Toc287607811"/>
      <w:bookmarkStart w:id="519" w:name="_Toc430530499"/>
      <w:bookmarkStart w:id="520" w:name="_Toc287620750"/>
    </w:p>
    <w:p>
      <w:pPr>
        <w:pStyle w:val="4"/>
        <w:spacing w:before="100" w:after="100" w:line="360" w:lineRule="auto"/>
        <w:rPr>
          <w:rFonts w:hint="eastAsia" w:ascii="新宋体" w:hAnsi="新宋体" w:eastAsia="新宋体" w:cs="新宋体"/>
          <w:color w:val="auto"/>
          <w:highlight w:val="none"/>
        </w:rPr>
      </w:pPr>
      <w:bookmarkStart w:id="521" w:name="_Toc57820626"/>
      <w:bookmarkStart w:id="522" w:name="_Toc509218775"/>
      <w:r>
        <w:rPr>
          <w:rFonts w:hint="eastAsia" w:ascii="新宋体" w:hAnsi="新宋体" w:eastAsia="新宋体" w:cs="新宋体"/>
          <w:color w:val="auto"/>
          <w:highlight w:val="none"/>
        </w:rPr>
        <w:t>评标办法前附表</w:t>
      </w:r>
      <w:bookmarkEnd w:id="521"/>
      <w:bookmarkEnd w:id="522"/>
    </w:p>
    <w:p>
      <w:pPr>
        <w:spacing w:line="360" w:lineRule="auto"/>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评标办法中的评审内容必须和投标人须知中的对应内容一致，若投标人须知中未作要求的内容，不得列入评标办法作为评定依据。</w:t>
      </w:r>
    </w:p>
    <w:tbl>
      <w:tblPr>
        <w:tblStyle w:val="62"/>
        <w:tblW w:w="9475"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87"/>
        <w:gridCol w:w="535"/>
        <w:gridCol w:w="850"/>
        <w:gridCol w:w="696"/>
        <w:gridCol w:w="1014"/>
        <w:gridCol w:w="549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22" w:type="dxa"/>
            <w:gridSpan w:val="2"/>
            <w:vAlign w:val="center"/>
          </w:tcPr>
          <w:p>
            <w:pPr>
              <w:spacing w:line="400" w:lineRule="exact"/>
              <w:jc w:val="center"/>
              <w:rPr>
                <w:rFonts w:hint="eastAsia" w:ascii="新宋体" w:hAnsi="新宋体" w:eastAsia="新宋体" w:cs="新宋体"/>
                <w:b/>
                <w:color w:val="auto"/>
                <w:kern w:val="0"/>
                <w:highlight w:val="none"/>
              </w:rPr>
            </w:pPr>
            <w:r>
              <w:rPr>
                <w:rFonts w:hint="eastAsia" w:ascii="新宋体" w:hAnsi="新宋体" w:eastAsia="新宋体" w:cs="新宋体"/>
                <w:b/>
                <w:color w:val="auto"/>
                <w:kern w:val="0"/>
                <w:highlight w:val="none"/>
              </w:rPr>
              <w:t>条款号</w:t>
            </w:r>
          </w:p>
        </w:tc>
        <w:tc>
          <w:tcPr>
            <w:tcW w:w="2560" w:type="dxa"/>
            <w:gridSpan w:val="3"/>
            <w:vAlign w:val="center"/>
          </w:tcPr>
          <w:p>
            <w:pPr>
              <w:spacing w:line="400" w:lineRule="exact"/>
              <w:jc w:val="center"/>
              <w:rPr>
                <w:rFonts w:hint="eastAsia" w:ascii="新宋体" w:hAnsi="新宋体" w:eastAsia="新宋体" w:cs="新宋体"/>
                <w:b/>
                <w:color w:val="auto"/>
                <w:kern w:val="0"/>
                <w:highlight w:val="none"/>
              </w:rPr>
            </w:pPr>
            <w:r>
              <w:rPr>
                <w:rFonts w:hint="eastAsia" w:ascii="新宋体" w:hAnsi="新宋体" w:eastAsia="新宋体" w:cs="新宋体"/>
                <w:b/>
                <w:color w:val="auto"/>
                <w:kern w:val="0"/>
                <w:highlight w:val="none"/>
              </w:rPr>
              <w:t>评审因素</w:t>
            </w:r>
          </w:p>
        </w:tc>
        <w:tc>
          <w:tcPr>
            <w:tcW w:w="5493" w:type="dxa"/>
            <w:vAlign w:val="center"/>
          </w:tcPr>
          <w:p>
            <w:pPr>
              <w:spacing w:line="400" w:lineRule="exact"/>
              <w:jc w:val="center"/>
              <w:rPr>
                <w:rFonts w:hint="eastAsia" w:ascii="新宋体" w:hAnsi="新宋体" w:eastAsia="新宋体" w:cs="新宋体"/>
                <w:b/>
                <w:color w:val="auto"/>
                <w:kern w:val="0"/>
                <w:highlight w:val="none"/>
              </w:rPr>
            </w:pPr>
            <w:r>
              <w:rPr>
                <w:rFonts w:hint="eastAsia" w:ascii="新宋体" w:hAnsi="新宋体" w:eastAsia="新宋体" w:cs="新宋体"/>
                <w:b/>
                <w:color w:val="auto"/>
                <w:kern w:val="0"/>
                <w:highlight w:val="none"/>
              </w:rPr>
              <w:t>评审标准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22" w:type="dxa"/>
            <w:gridSpan w:val="2"/>
            <w:vAlign w:val="center"/>
          </w:tcPr>
          <w:p>
            <w:pPr>
              <w:spacing w:line="400" w:lineRule="exact"/>
              <w:jc w:val="center"/>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1</w:t>
            </w:r>
          </w:p>
        </w:tc>
        <w:tc>
          <w:tcPr>
            <w:tcW w:w="2560" w:type="dxa"/>
            <w:gridSpan w:val="3"/>
            <w:vAlign w:val="center"/>
          </w:tcPr>
          <w:p>
            <w:pPr>
              <w:spacing w:line="400" w:lineRule="exact"/>
              <w:jc w:val="center"/>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评标办法</w:t>
            </w:r>
          </w:p>
        </w:tc>
        <w:tc>
          <w:tcPr>
            <w:tcW w:w="5493" w:type="dxa"/>
            <w:vAlign w:val="center"/>
          </w:tcPr>
          <w:p>
            <w:pPr>
              <w:spacing w:line="400" w:lineRule="exact"/>
              <w:ind w:firstLine="420" w:firstLineChars="200"/>
              <w:jc w:val="left"/>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本次评标采用综合评估法。评标委员会按照本章第 2.2 款规定的评分标准进行</w:t>
            </w:r>
            <w:r>
              <w:rPr>
                <w:rFonts w:hint="eastAsia" w:ascii="新宋体" w:hAnsi="新宋体" w:eastAsia="新宋体" w:cs="新宋体"/>
                <w:color w:val="auto"/>
                <w:kern w:val="0"/>
                <w:sz w:val="21"/>
                <w:szCs w:val="21"/>
                <w:highlight w:val="none"/>
                <w:lang w:eastAsia="zh-CN"/>
              </w:rPr>
              <w:t>评分</w:t>
            </w:r>
            <w:r>
              <w:rPr>
                <w:rFonts w:hint="eastAsia" w:ascii="新宋体" w:hAnsi="新宋体" w:eastAsia="新宋体" w:cs="新宋体"/>
                <w:color w:val="auto"/>
                <w:kern w:val="0"/>
                <w:sz w:val="21"/>
                <w:szCs w:val="21"/>
                <w:highlight w:val="none"/>
              </w:rPr>
              <w:t>，按得分由高到低顺序推荐中标候选人，或根据招标人授权直接确定中标人。综合评分相等时，以投标报价低的优先；投标报价相等的，以“投标人在红名单中优先”的原则排序</w:t>
            </w:r>
            <w:r>
              <w:rPr>
                <w:rFonts w:hint="eastAsia" w:ascii="新宋体" w:hAnsi="新宋体" w:eastAsia="新宋体" w:cs="新宋体"/>
                <w:color w:val="auto"/>
                <w:spacing w:val="4"/>
                <w:kern w:val="0"/>
                <w:sz w:val="21"/>
                <w:szCs w:val="21"/>
                <w:highlight w:val="none"/>
              </w:rPr>
              <w:t>，投标人是否属于红名单，以开标环节信用状况查询结果为准</w:t>
            </w:r>
            <w:r>
              <w:rPr>
                <w:rFonts w:hint="eastAsia" w:ascii="新宋体" w:hAnsi="新宋体" w:eastAsia="新宋体" w:cs="新宋体"/>
                <w:color w:val="auto"/>
                <w:kern w:val="0"/>
                <w:sz w:val="21"/>
                <w:szCs w:val="21"/>
                <w:highlight w:val="none"/>
              </w:rPr>
              <w:t>；投标人均在红名单中或均不在红名单中的，由评标委员会按照</w:t>
            </w:r>
            <w:r>
              <w:rPr>
                <w:rFonts w:hint="eastAsia" w:ascii="新宋体" w:hAnsi="新宋体" w:eastAsia="新宋体" w:cs="新宋体"/>
                <w:color w:val="auto"/>
                <w:kern w:val="0"/>
                <w:sz w:val="21"/>
                <w:szCs w:val="21"/>
                <w:highlight w:val="none"/>
                <w:u w:val="single"/>
              </w:rPr>
              <w:t xml:space="preserve"> </w:t>
            </w:r>
            <w:r>
              <w:rPr>
                <w:rFonts w:hint="eastAsia" w:ascii="新宋体" w:hAnsi="新宋体" w:eastAsia="新宋体" w:cs="新宋体"/>
                <w:color w:val="auto"/>
                <w:kern w:val="0"/>
                <w:sz w:val="21"/>
                <w:szCs w:val="21"/>
                <w:highlight w:val="none"/>
                <w:u w:val="single"/>
                <w:lang w:val="en-US" w:eastAsia="zh-CN"/>
              </w:rPr>
              <w:t xml:space="preserve">抽签 </w:t>
            </w:r>
            <w:r>
              <w:rPr>
                <w:rFonts w:hint="eastAsia" w:ascii="新宋体" w:hAnsi="新宋体" w:eastAsia="新宋体" w:cs="新宋体"/>
                <w:color w:val="auto"/>
                <w:kern w:val="0"/>
                <w:sz w:val="21"/>
                <w:szCs w:val="21"/>
                <w:highlight w:val="none"/>
              </w:rPr>
              <w:t>原则排序。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87" w:type="dxa"/>
            <w:vMerge w:val="restart"/>
            <w:tcBorders>
              <w:right w:val="single" w:color="auto" w:sz="4" w:space="0"/>
            </w:tcBorders>
            <w:vAlign w:val="center"/>
          </w:tcPr>
          <w:p>
            <w:pPr>
              <w:spacing w:line="400" w:lineRule="exact"/>
              <w:jc w:val="left"/>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2.1.1</w:t>
            </w:r>
          </w:p>
        </w:tc>
        <w:tc>
          <w:tcPr>
            <w:tcW w:w="535" w:type="dxa"/>
            <w:vMerge w:val="restart"/>
            <w:tcBorders>
              <w:right w:val="single" w:color="auto" w:sz="4" w:space="0"/>
            </w:tcBorders>
            <w:vAlign w:val="center"/>
          </w:tcPr>
          <w:p>
            <w:pPr>
              <w:spacing w:line="400" w:lineRule="exact"/>
              <w:ind w:firstLine="420" w:firstLineChars="200"/>
              <w:jc w:val="left"/>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资格评审标准</w:t>
            </w:r>
          </w:p>
        </w:tc>
        <w:tc>
          <w:tcPr>
            <w:tcW w:w="2560" w:type="dxa"/>
            <w:gridSpan w:val="3"/>
            <w:tcBorders>
              <w:left w:val="single" w:color="auto" w:sz="4" w:space="0"/>
            </w:tcBorders>
            <w:vAlign w:val="center"/>
          </w:tcPr>
          <w:p>
            <w:pPr>
              <w:spacing w:line="400" w:lineRule="exact"/>
              <w:jc w:val="center"/>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资质条件</w:t>
            </w:r>
          </w:p>
        </w:tc>
        <w:tc>
          <w:tcPr>
            <w:tcW w:w="5493" w:type="dxa"/>
            <w:vAlign w:val="center"/>
          </w:tcPr>
          <w:p>
            <w:pPr>
              <w:spacing w:line="400" w:lineRule="exact"/>
              <w:ind w:firstLine="420" w:firstLineChars="200"/>
              <w:jc w:val="left"/>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符合第二章“投标人须知”第1.4.1项规定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87" w:type="dxa"/>
            <w:vMerge w:val="continue"/>
            <w:tcBorders>
              <w:right w:val="single" w:color="auto" w:sz="4" w:space="0"/>
            </w:tcBorders>
          </w:tcPr>
          <w:p>
            <w:pPr>
              <w:spacing w:line="400" w:lineRule="exact"/>
              <w:ind w:firstLine="420" w:firstLineChars="200"/>
              <w:jc w:val="left"/>
              <w:rPr>
                <w:rFonts w:hint="eastAsia" w:ascii="新宋体" w:hAnsi="新宋体" w:eastAsia="新宋体" w:cs="新宋体"/>
                <w:color w:val="auto"/>
                <w:kern w:val="0"/>
                <w:sz w:val="21"/>
                <w:szCs w:val="21"/>
                <w:highlight w:val="none"/>
              </w:rPr>
            </w:pPr>
          </w:p>
        </w:tc>
        <w:tc>
          <w:tcPr>
            <w:tcW w:w="535" w:type="dxa"/>
            <w:vMerge w:val="continue"/>
            <w:tcBorders>
              <w:right w:val="single" w:color="auto" w:sz="4" w:space="0"/>
            </w:tcBorders>
          </w:tcPr>
          <w:p>
            <w:pPr>
              <w:spacing w:line="400" w:lineRule="exact"/>
              <w:ind w:firstLine="420" w:firstLineChars="200"/>
              <w:jc w:val="left"/>
              <w:rPr>
                <w:rFonts w:hint="eastAsia" w:ascii="新宋体" w:hAnsi="新宋体" w:eastAsia="新宋体" w:cs="新宋体"/>
                <w:color w:val="auto"/>
                <w:kern w:val="0"/>
                <w:sz w:val="21"/>
                <w:szCs w:val="21"/>
                <w:highlight w:val="none"/>
              </w:rPr>
            </w:pPr>
          </w:p>
        </w:tc>
        <w:tc>
          <w:tcPr>
            <w:tcW w:w="2560" w:type="dxa"/>
            <w:gridSpan w:val="3"/>
            <w:tcBorders>
              <w:left w:val="single" w:color="auto" w:sz="4" w:space="0"/>
            </w:tcBorders>
          </w:tcPr>
          <w:p>
            <w:pPr>
              <w:spacing w:line="400" w:lineRule="exact"/>
              <w:jc w:val="center"/>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营业执照</w:t>
            </w:r>
          </w:p>
        </w:tc>
        <w:tc>
          <w:tcPr>
            <w:tcW w:w="5493" w:type="dxa"/>
            <w:vAlign w:val="center"/>
          </w:tcPr>
          <w:p>
            <w:pPr>
              <w:spacing w:line="400" w:lineRule="exact"/>
              <w:ind w:firstLine="420" w:firstLineChars="200"/>
              <w:jc w:val="left"/>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符合第二章“投标人须知”第1.4.1项规定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87" w:type="dxa"/>
            <w:vMerge w:val="continue"/>
            <w:tcBorders>
              <w:right w:val="single" w:color="auto" w:sz="4" w:space="0"/>
            </w:tcBorders>
          </w:tcPr>
          <w:p>
            <w:pPr>
              <w:spacing w:line="400" w:lineRule="exact"/>
              <w:ind w:firstLine="420" w:firstLineChars="200"/>
              <w:jc w:val="left"/>
              <w:rPr>
                <w:rFonts w:hint="eastAsia" w:ascii="新宋体" w:hAnsi="新宋体" w:eastAsia="新宋体" w:cs="新宋体"/>
                <w:color w:val="auto"/>
                <w:kern w:val="0"/>
                <w:sz w:val="21"/>
                <w:szCs w:val="21"/>
                <w:highlight w:val="none"/>
              </w:rPr>
            </w:pPr>
          </w:p>
        </w:tc>
        <w:tc>
          <w:tcPr>
            <w:tcW w:w="535" w:type="dxa"/>
            <w:vMerge w:val="continue"/>
            <w:tcBorders>
              <w:right w:val="single" w:color="auto" w:sz="4" w:space="0"/>
            </w:tcBorders>
          </w:tcPr>
          <w:p>
            <w:pPr>
              <w:spacing w:line="400" w:lineRule="exact"/>
              <w:ind w:firstLine="420" w:firstLineChars="200"/>
              <w:jc w:val="left"/>
              <w:rPr>
                <w:rFonts w:hint="eastAsia" w:ascii="新宋体" w:hAnsi="新宋体" w:eastAsia="新宋体" w:cs="新宋体"/>
                <w:color w:val="auto"/>
                <w:kern w:val="0"/>
                <w:sz w:val="21"/>
                <w:szCs w:val="21"/>
                <w:highlight w:val="none"/>
              </w:rPr>
            </w:pPr>
          </w:p>
        </w:tc>
        <w:tc>
          <w:tcPr>
            <w:tcW w:w="2560" w:type="dxa"/>
            <w:gridSpan w:val="3"/>
            <w:tcBorders>
              <w:left w:val="single" w:color="auto" w:sz="4" w:space="0"/>
            </w:tcBorders>
            <w:vAlign w:val="center"/>
          </w:tcPr>
          <w:p>
            <w:pPr>
              <w:spacing w:line="400" w:lineRule="exact"/>
              <w:jc w:val="center"/>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财务要求</w:t>
            </w:r>
          </w:p>
        </w:tc>
        <w:tc>
          <w:tcPr>
            <w:tcW w:w="5493" w:type="dxa"/>
            <w:vAlign w:val="center"/>
          </w:tcPr>
          <w:p>
            <w:pPr>
              <w:spacing w:line="400" w:lineRule="exact"/>
              <w:ind w:firstLine="420" w:firstLineChars="200"/>
              <w:jc w:val="left"/>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符合第二章“投标人须知”第1.4.1项规定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87" w:type="dxa"/>
            <w:vMerge w:val="continue"/>
            <w:tcBorders>
              <w:right w:val="single" w:color="auto" w:sz="4" w:space="0"/>
            </w:tcBorders>
          </w:tcPr>
          <w:p>
            <w:pPr>
              <w:spacing w:line="400" w:lineRule="exact"/>
              <w:ind w:firstLine="420" w:firstLineChars="200"/>
              <w:jc w:val="left"/>
              <w:rPr>
                <w:rFonts w:hint="eastAsia" w:ascii="新宋体" w:hAnsi="新宋体" w:eastAsia="新宋体" w:cs="新宋体"/>
                <w:color w:val="auto"/>
                <w:kern w:val="0"/>
                <w:sz w:val="21"/>
                <w:szCs w:val="21"/>
                <w:highlight w:val="none"/>
              </w:rPr>
            </w:pPr>
          </w:p>
        </w:tc>
        <w:tc>
          <w:tcPr>
            <w:tcW w:w="535" w:type="dxa"/>
            <w:vMerge w:val="continue"/>
            <w:tcBorders>
              <w:right w:val="single" w:color="auto" w:sz="4" w:space="0"/>
            </w:tcBorders>
          </w:tcPr>
          <w:p>
            <w:pPr>
              <w:spacing w:line="400" w:lineRule="exact"/>
              <w:ind w:firstLine="420" w:firstLineChars="200"/>
              <w:jc w:val="left"/>
              <w:rPr>
                <w:rFonts w:hint="eastAsia" w:ascii="新宋体" w:hAnsi="新宋体" w:eastAsia="新宋体" w:cs="新宋体"/>
                <w:color w:val="auto"/>
                <w:kern w:val="0"/>
                <w:sz w:val="21"/>
                <w:szCs w:val="21"/>
                <w:highlight w:val="none"/>
              </w:rPr>
            </w:pPr>
          </w:p>
        </w:tc>
        <w:tc>
          <w:tcPr>
            <w:tcW w:w="2560" w:type="dxa"/>
            <w:gridSpan w:val="3"/>
            <w:tcBorders>
              <w:left w:val="single" w:color="auto" w:sz="4" w:space="0"/>
            </w:tcBorders>
          </w:tcPr>
          <w:p>
            <w:pPr>
              <w:spacing w:line="400" w:lineRule="exact"/>
              <w:jc w:val="center"/>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业绩要求</w:t>
            </w:r>
          </w:p>
        </w:tc>
        <w:tc>
          <w:tcPr>
            <w:tcW w:w="5493" w:type="dxa"/>
            <w:vAlign w:val="center"/>
          </w:tcPr>
          <w:p>
            <w:pPr>
              <w:spacing w:line="400" w:lineRule="exact"/>
              <w:ind w:firstLine="420" w:firstLineChars="200"/>
              <w:jc w:val="left"/>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符合第二章“投标人须知”第1.4.1项规定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87" w:type="dxa"/>
            <w:vMerge w:val="continue"/>
            <w:tcBorders>
              <w:right w:val="single" w:color="auto" w:sz="4" w:space="0"/>
            </w:tcBorders>
          </w:tcPr>
          <w:p>
            <w:pPr>
              <w:spacing w:line="400" w:lineRule="exact"/>
              <w:ind w:firstLine="420" w:firstLineChars="200"/>
              <w:jc w:val="left"/>
              <w:rPr>
                <w:rFonts w:hint="eastAsia" w:ascii="新宋体" w:hAnsi="新宋体" w:eastAsia="新宋体" w:cs="新宋体"/>
                <w:color w:val="auto"/>
                <w:kern w:val="0"/>
                <w:sz w:val="21"/>
                <w:szCs w:val="21"/>
                <w:highlight w:val="none"/>
              </w:rPr>
            </w:pPr>
          </w:p>
        </w:tc>
        <w:tc>
          <w:tcPr>
            <w:tcW w:w="535" w:type="dxa"/>
            <w:vMerge w:val="continue"/>
            <w:tcBorders>
              <w:right w:val="single" w:color="auto" w:sz="4" w:space="0"/>
            </w:tcBorders>
          </w:tcPr>
          <w:p>
            <w:pPr>
              <w:spacing w:line="400" w:lineRule="exact"/>
              <w:ind w:firstLine="420" w:firstLineChars="200"/>
              <w:jc w:val="left"/>
              <w:rPr>
                <w:rFonts w:hint="eastAsia" w:ascii="新宋体" w:hAnsi="新宋体" w:eastAsia="新宋体" w:cs="新宋体"/>
                <w:color w:val="auto"/>
                <w:kern w:val="0"/>
                <w:sz w:val="21"/>
                <w:szCs w:val="21"/>
                <w:highlight w:val="none"/>
              </w:rPr>
            </w:pPr>
          </w:p>
        </w:tc>
        <w:tc>
          <w:tcPr>
            <w:tcW w:w="2560" w:type="dxa"/>
            <w:gridSpan w:val="3"/>
            <w:tcBorders>
              <w:left w:val="single" w:color="auto" w:sz="4" w:space="0"/>
            </w:tcBorders>
          </w:tcPr>
          <w:p>
            <w:pPr>
              <w:spacing w:line="400" w:lineRule="exact"/>
              <w:jc w:val="center"/>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投标截止日投标资格情况</w:t>
            </w:r>
          </w:p>
        </w:tc>
        <w:tc>
          <w:tcPr>
            <w:tcW w:w="5493" w:type="dxa"/>
            <w:vAlign w:val="center"/>
          </w:tcPr>
          <w:p>
            <w:pPr>
              <w:spacing w:line="400" w:lineRule="exact"/>
              <w:ind w:firstLine="420" w:firstLineChars="200"/>
              <w:jc w:val="left"/>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符合第二章“投标人须知”第1.4.1项规定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87" w:type="dxa"/>
            <w:vMerge w:val="continue"/>
            <w:tcBorders>
              <w:right w:val="single" w:color="auto" w:sz="4" w:space="0"/>
            </w:tcBorders>
          </w:tcPr>
          <w:p>
            <w:pPr>
              <w:spacing w:line="400" w:lineRule="exact"/>
              <w:ind w:firstLine="420" w:firstLineChars="200"/>
              <w:jc w:val="left"/>
              <w:rPr>
                <w:rFonts w:hint="eastAsia" w:ascii="新宋体" w:hAnsi="新宋体" w:eastAsia="新宋体" w:cs="新宋体"/>
                <w:color w:val="auto"/>
                <w:kern w:val="0"/>
                <w:sz w:val="21"/>
                <w:szCs w:val="21"/>
                <w:highlight w:val="none"/>
              </w:rPr>
            </w:pPr>
          </w:p>
        </w:tc>
        <w:tc>
          <w:tcPr>
            <w:tcW w:w="535" w:type="dxa"/>
            <w:vMerge w:val="continue"/>
            <w:tcBorders>
              <w:right w:val="single" w:color="auto" w:sz="4" w:space="0"/>
            </w:tcBorders>
          </w:tcPr>
          <w:p>
            <w:pPr>
              <w:spacing w:line="400" w:lineRule="exact"/>
              <w:ind w:firstLine="420" w:firstLineChars="200"/>
              <w:jc w:val="left"/>
              <w:rPr>
                <w:rFonts w:hint="eastAsia" w:ascii="新宋体" w:hAnsi="新宋体" w:eastAsia="新宋体" w:cs="新宋体"/>
                <w:color w:val="auto"/>
                <w:kern w:val="0"/>
                <w:sz w:val="21"/>
                <w:szCs w:val="21"/>
                <w:highlight w:val="none"/>
              </w:rPr>
            </w:pPr>
          </w:p>
        </w:tc>
        <w:tc>
          <w:tcPr>
            <w:tcW w:w="2560" w:type="dxa"/>
            <w:gridSpan w:val="3"/>
            <w:tcBorders>
              <w:left w:val="single" w:color="auto" w:sz="4" w:space="0"/>
            </w:tcBorders>
          </w:tcPr>
          <w:p>
            <w:pPr>
              <w:spacing w:line="400" w:lineRule="exact"/>
              <w:jc w:val="center"/>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其他要求</w:t>
            </w:r>
          </w:p>
        </w:tc>
        <w:tc>
          <w:tcPr>
            <w:tcW w:w="5493" w:type="dxa"/>
            <w:vAlign w:val="center"/>
          </w:tcPr>
          <w:p>
            <w:pPr>
              <w:spacing w:line="400" w:lineRule="exact"/>
              <w:ind w:firstLine="420" w:firstLineChars="200"/>
              <w:jc w:val="left"/>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符合第二章“投标人须知”第1.4.1项规定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87" w:type="dxa"/>
            <w:vMerge w:val="restart"/>
            <w:tcBorders>
              <w:right w:val="single" w:color="auto" w:sz="4" w:space="0"/>
            </w:tcBorders>
            <w:vAlign w:val="center"/>
          </w:tcPr>
          <w:p>
            <w:pPr>
              <w:spacing w:line="400" w:lineRule="exact"/>
              <w:jc w:val="left"/>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2.1.2</w:t>
            </w:r>
          </w:p>
        </w:tc>
        <w:tc>
          <w:tcPr>
            <w:tcW w:w="535" w:type="dxa"/>
            <w:vMerge w:val="restart"/>
            <w:tcBorders>
              <w:right w:val="single" w:color="auto" w:sz="4" w:space="0"/>
            </w:tcBorders>
            <w:vAlign w:val="center"/>
          </w:tcPr>
          <w:p>
            <w:pPr>
              <w:spacing w:line="400" w:lineRule="exact"/>
              <w:ind w:firstLine="420" w:firstLineChars="200"/>
              <w:jc w:val="left"/>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形式评审标准</w:t>
            </w:r>
          </w:p>
        </w:tc>
        <w:tc>
          <w:tcPr>
            <w:tcW w:w="2560" w:type="dxa"/>
            <w:gridSpan w:val="3"/>
            <w:tcBorders>
              <w:left w:val="single" w:color="auto" w:sz="4" w:space="0"/>
            </w:tcBorders>
            <w:vAlign w:val="center"/>
          </w:tcPr>
          <w:p>
            <w:pPr>
              <w:spacing w:line="400" w:lineRule="exact"/>
              <w:jc w:val="center"/>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投标人名称</w:t>
            </w:r>
          </w:p>
        </w:tc>
        <w:tc>
          <w:tcPr>
            <w:tcW w:w="5493" w:type="dxa"/>
            <w:vAlign w:val="center"/>
          </w:tcPr>
          <w:p>
            <w:pPr>
              <w:spacing w:line="400" w:lineRule="exact"/>
              <w:ind w:firstLine="420" w:firstLineChars="200"/>
              <w:jc w:val="left"/>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与营业执照、资质证书一致，依法变更名称的应提交相应证明材料。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87" w:type="dxa"/>
            <w:vMerge w:val="continue"/>
            <w:tcBorders>
              <w:right w:val="single" w:color="auto" w:sz="4" w:space="0"/>
            </w:tcBorders>
          </w:tcPr>
          <w:p>
            <w:pPr>
              <w:spacing w:line="400" w:lineRule="exact"/>
              <w:ind w:firstLine="420" w:firstLineChars="200"/>
              <w:jc w:val="left"/>
              <w:rPr>
                <w:rFonts w:hint="eastAsia" w:ascii="新宋体" w:hAnsi="新宋体" w:eastAsia="新宋体" w:cs="新宋体"/>
                <w:color w:val="auto"/>
                <w:kern w:val="0"/>
                <w:sz w:val="21"/>
                <w:szCs w:val="21"/>
                <w:highlight w:val="none"/>
              </w:rPr>
            </w:pPr>
          </w:p>
        </w:tc>
        <w:tc>
          <w:tcPr>
            <w:tcW w:w="535" w:type="dxa"/>
            <w:vMerge w:val="continue"/>
            <w:tcBorders>
              <w:right w:val="single" w:color="auto" w:sz="4" w:space="0"/>
            </w:tcBorders>
          </w:tcPr>
          <w:p>
            <w:pPr>
              <w:spacing w:line="400" w:lineRule="exact"/>
              <w:ind w:firstLine="420" w:firstLineChars="200"/>
              <w:jc w:val="left"/>
              <w:rPr>
                <w:rFonts w:hint="eastAsia" w:ascii="新宋体" w:hAnsi="新宋体" w:eastAsia="新宋体" w:cs="新宋体"/>
                <w:color w:val="auto"/>
                <w:kern w:val="0"/>
                <w:sz w:val="21"/>
                <w:szCs w:val="21"/>
                <w:highlight w:val="none"/>
              </w:rPr>
            </w:pPr>
          </w:p>
        </w:tc>
        <w:tc>
          <w:tcPr>
            <w:tcW w:w="2560" w:type="dxa"/>
            <w:gridSpan w:val="3"/>
            <w:tcBorders>
              <w:left w:val="single" w:color="auto" w:sz="4" w:space="0"/>
            </w:tcBorders>
            <w:vAlign w:val="center"/>
          </w:tcPr>
          <w:p>
            <w:pPr>
              <w:spacing w:line="400" w:lineRule="exact"/>
              <w:jc w:val="center"/>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投标文件格式</w:t>
            </w:r>
          </w:p>
        </w:tc>
        <w:tc>
          <w:tcPr>
            <w:tcW w:w="5493" w:type="dxa"/>
            <w:vAlign w:val="center"/>
          </w:tcPr>
          <w:p>
            <w:pPr>
              <w:spacing w:line="400" w:lineRule="exact"/>
              <w:ind w:firstLine="420" w:firstLineChars="200"/>
              <w:jc w:val="left"/>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符合第二章“投标人须知”第3.7款的要求（不含投标函部分）。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87" w:type="dxa"/>
            <w:vMerge w:val="continue"/>
            <w:tcBorders>
              <w:right w:val="single" w:color="auto" w:sz="4" w:space="0"/>
            </w:tcBorders>
          </w:tcPr>
          <w:p>
            <w:pPr>
              <w:spacing w:line="400" w:lineRule="exact"/>
              <w:ind w:firstLine="420" w:firstLineChars="200"/>
              <w:jc w:val="left"/>
              <w:rPr>
                <w:rFonts w:hint="eastAsia" w:ascii="新宋体" w:hAnsi="新宋体" w:eastAsia="新宋体" w:cs="新宋体"/>
                <w:color w:val="auto"/>
                <w:kern w:val="0"/>
                <w:sz w:val="21"/>
                <w:szCs w:val="21"/>
                <w:highlight w:val="none"/>
              </w:rPr>
            </w:pPr>
          </w:p>
        </w:tc>
        <w:tc>
          <w:tcPr>
            <w:tcW w:w="535" w:type="dxa"/>
            <w:vMerge w:val="continue"/>
            <w:tcBorders>
              <w:right w:val="single" w:color="auto" w:sz="4" w:space="0"/>
            </w:tcBorders>
          </w:tcPr>
          <w:p>
            <w:pPr>
              <w:spacing w:line="400" w:lineRule="exact"/>
              <w:ind w:firstLine="420" w:firstLineChars="200"/>
              <w:jc w:val="left"/>
              <w:rPr>
                <w:rFonts w:hint="eastAsia" w:ascii="新宋体" w:hAnsi="新宋体" w:eastAsia="新宋体" w:cs="新宋体"/>
                <w:color w:val="auto"/>
                <w:kern w:val="0"/>
                <w:sz w:val="21"/>
                <w:szCs w:val="21"/>
                <w:highlight w:val="none"/>
              </w:rPr>
            </w:pPr>
          </w:p>
        </w:tc>
        <w:tc>
          <w:tcPr>
            <w:tcW w:w="2560" w:type="dxa"/>
            <w:gridSpan w:val="3"/>
            <w:tcBorders>
              <w:left w:val="single" w:color="auto" w:sz="4" w:space="0"/>
            </w:tcBorders>
            <w:vAlign w:val="center"/>
          </w:tcPr>
          <w:p>
            <w:pPr>
              <w:spacing w:line="400" w:lineRule="exact"/>
              <w:jc w:val="center"/>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投标文件的签署</w:t>
            </w:r>
          </w:p>
        </w:tc>
        <w:tc>
          <w:tcPr>
            <w:tcW w:w="5493" w:type="dxa"/>
            <w:vAlign w:val="center"/>
          </w:tcPr>
          <w:p>
            <w:pPr>
              <w:spacing w:line="400" w:lineRule="exact"/>
              <w:ind w:firstLine="420" w:firstLineChars="200"/>
              <w:jc w:val="left"/>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第</w:t>
            </w:r>
            <w:r>
              <w:rPr>
                <w:rFonts w:hint="eastAsia" w:ascii="新宋体" w:hAnsi="新宋体" w:eastAsia="新宋体" w:cs="新宋体"/>
                <w:color w:val="auto"/>
                <w:kern w:val="0"/>
                <w:sz w:val="21"/>
                <w:szCs w:val="21"/>
                <w:highlight w:val="none"/>
                <w:lang w:val="en-US" w:eastAsia="zh-CN"/>
              </w:rPr>
              <w:t>六</w:t>
            </w:r>
            <w:r>
              <w:rPr>
                <w:rFonts w:hint="eastAsia" w:ascii="新宋体" w:hAnsi="新宋体" w:eastAsia="新宋体" w:cs="新宋体"/>
                <w:color w:val="auto"/>
                <w:kern w:val="0"/>
                <w:sz w:val="21"/>
                <w:szCs w:val="21"/>
                <w:highlight w:val="none"/>
              </w:rPr>
              <w:t>章 投标文件格式（不含投标函部分）要求法定代表人或其委托代理人签名（或盖章）的须齐全</w:t>
            </w:r>
            <w:r>
              <w:rPr>
                <w:rFonts w:hint="eastAsia" w:ascii="新宋体" w:hAnsi="新宋体" w:eastAsia="新宋体" w:cs="新宋体"/>
                <w:color w:val="auto"/>
                <w:kern w:val="0"/>
                <w:sz w:val="21"/>
                <w:szCs w:val="21"/>
                <w:highlight w:val="none"/>
                <w:lang w:eastAsia="zh-CN"/>
              </w:rPr>
              <w:t>，</w:t>
            </w:r>
            <w:r>
              <w:rPr>
                <w:rFonts w:hint="eastAsia" w:ascii="新宋体" w:hAnsi="新宋体" w:eastAsia="新宋体" w:cs="新宋体"/>
                <w:color w:val="auto"/>
                <w:kern w:val="0"/>
                <w:sz w:val="21"/>
                <w:szCs w:val="21"/>
                <w:highlight w:val="none"/>
                <w:lang w:val="en-US" w:eastAsia="zh-CN"/>
              </w:rPr>
              <w:t>要求签名的，</w:t>
            </w:r>
            <w:r>
              <w:rPr>
                <w:rFonts w:hint="eastAsia" w:ascii="新宋体" w:hAnsi="新宋体" w:eastAsia="新宋体" w:cs="新宋体"/>
                <w:color w:val="auto"/>
                <w:kern w:val="0"/>
                <w:sz w:val="21"/>
                <w:szCs w:val="21"/>
                <w:highlight w:val="none"/>
              </w:rPr>
              <w:t>签名采用手写签名或签章或加盖CA数字证书均可。</w:t>
            </w:r>
          </w:p>
          <w:p>
            <w:pPr>
              <w:spacing w:line="400" w:lineRule="exact"/>
              <w:ind w:firstLine="420" w:firstLineChars="200"/>
              <w:jc w:val="left"/>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第</w:t>
            </w:r>
            <w:r>
              <w:rPr>
                <w:rFonts w:hint="eastAsia" w:ascii="新宋体" w:hAnsi="新宋体" w:eastAsia="新宋体" w:cs="新宋体"/>
                <w:color w:val="auto"/>
                <w:kern w:val="0"/>
                <w:sz w:val="21"/>
                <w:szCs w:val="21"/>
                <w:highlight w:val="none"/>
                <w:lang w:val="en-US" w:eastAsia="zh-CN"/>
              </w:rPr>
              <w:t>六</w:t>
            </w:r>
            <w:r>
              <w:rPr>
                <w:rFonts w:hint="eastAsia" w:ascii="新宋体" w:hAnsi="新宋体" w:eastAsia="新宋体" w:cs="新宋体"/>
                <w:color w:val="auto"/>
                <w:kern w:val="0"/>
                <w:sz w:val="21"/>
                <w:szCs w:val="21"/>
                <w:highlight w:val="none"/>
              </w:rPr>
              <w:t>章 投标文件格式（不含投标函部分）要求加盖单位法人章的，应使用 CA 数字证书加盖投标人的单位电子印章。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87" w:type="dxa"/>
            <w:vMerge w:val="continue"/>
            <w:tcBorders>
              <w:right w:val="single" w:color="auto" w:sz="4" w:space="0"/>
            </w:tcBorders>
          </w:tcPr>
          <w:p>
            <w:pPr>
              <w:spacing w:line="400" w:lineRule="exact"/>
              <w:ind w:firstLine="420" w:firstLineChars="200"/>
              <w:jc w:val="left"/>
              <w:rPr>
                <w:rFonts w:hint="eastAsia" w:ascii="新宋体" w:hAnsi="新宋体" w:eastAsia="新宋体" w:cs="新宋体"/>
                <w:color w:val="auto"/>
                <w:kern w:val="0"/>
                <w:sz w:val="21"/>
                <w:szCs w:val="21"/>
                <w:highlight w:val="none"/>
              </w:rPr>
            </w:pPr>
          </w:p>
        </w:tc>
        <w:tc>
          <w:tcPr>
            <w:tcW w:w="535" w:type="dxa"/>
            <w:vMerge w:val="continue"/>
            <w:tcBorders>
              <w:right w:val="single" w:color="auto" w:sz="4" w:space="0"/>
            </w:tcBorders>
          </w:tcPr>
          <w:p>
            <w:pPr>
              <w:spacing w:line="400" w:lineRule="exact"/>
              <w:ind w:firstLine="420" w:firstLineChars="200"/>
              <w:jc w:val="left"/>
              <w:rPr>
                <w:rFonts w:hint="eastAsia" w:ascii="新宋体" w:hAnsi="新宋体" w:eastAsia="新宋体" w:cs="新宋体"/>
                <w:color w:val="auto"/>
                <w:kern w:val="0"/>
                <w:sz w:val="21"/>
                <w:szCs w:val="21"/>
                <w:highlight w:val="none"/>
              </w:rPr>
            </w:pPr>
          </w:p>
        </w:tc>
        <w:tc>
          <w:tcPr>
            <w:tcW w:w="2560" w:type="dxa"/>
            <w:gridSpan w:val="3"/>
            <w:tcBorders>
              <w:left w:val="single" w:color="auto" w:sz="4" w:space="0"/>
            </w:tcBorders>
            <w:vAlign w:val="center"/>
          </w:tcPr>
          <w:p>
            <w:pPr>
              <w:spacing w:line="400" w:lineRule="exact"/>
              <w:jc w:val="center"/>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委托代理人</w:t>
            </w:r>
          </w:p>
        </w:tc>
        <w:tc>
          <w:tcPr>
            <w:tcW w:w="5493" w:type="dxa"/>
            <w:vAlign w:val="center"/>
          </w:tcPr>
          <w:p>
            <w:pPr>
              <w:spacing w:line="400" w:lineRule="exact"/>
              <w:ind w:firstLine="420" w:firstLineChars="200"/>
              <w:jc w:val="left"/>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投标人法定代表人的委托代理人有法定代表人签署的授权委托书和投标人为其缴纳的养老保险。</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887" w:type="dxa"/>
            <w:vMerge w:val="restart"/>
            <w:vAlign w:val="center"/>
          </w:tcPr>
          <w:p>
            <w:pPr>
              <w:spacing w:line="400" w:lineRule="exact"/>
              <w:jc w:val="left"/>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2.1.3</w:t>
            </w:r>
          </w:p>
        </w:tc>
        <w:tc>
          <w:tcPr>
            <w:tcW w:w="535" w:type="dxa"/>
            <w:vMerge w:val="restart"/>
            <w:vAlign w:val="center"/>
          </w:tcPr>
          <w:p>
            <w:pPr>
              <w:spacing w:line="400" w:lineRule="exact"/>
              <w:ind w:firstLine="420" w:firstLineChars="200"/>
              <w:jc w:val="left"/>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响应性评审标准</w:t>
            </w:r>
          </w:p>
        </w:tc>
        <w:tc>
          <w:tcPr>
            <w:tcW w:w="2560" w:type="dxa"/>
            <w:gridSpan w:val="3"/>
            <w:vAlign w:val="center"/>
          </w:tcPr>
          <w:p>
            <w:pPr>
              <w:spacing w:line="400" w:lineRule="exact"/>
              <w:jc w:val="center"/>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投标内容</w:t>
            </w:r>
          </w:p>
        </w:tc>
        <w:tc>
          <w:tcPr>
            <w:tcW w:w="5493" w:type="dxa"/>
            <w:vAlign w:val="center"/>
          </w:tcPr>
          <w:p>
            <w:pPr>
              <w:spacing w:line="400" w:lineRule="exact"/>
              <w:ind w:firstLine="420" w:firstLineChars="200"/>
              <w:jc w:val="left"/>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符合第二章“投标人须知”第1.3.1项规定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887" w:type="dxa"/>
            <w:vMerge w:val="continue"/>
            <w:vAlign w:val="center"/>
          </w:tcPr>
          <w:p>
            <w:pPr>
              <w:spacing w:line="400" w:lineRule="exact"/>
              <w:ind w:firstLine="420" w:firstLineChars="200"/>
              <w:jc w:val="left"/>
              <w:rPr>
                <w:rFonts w:hint="eastAsia" w:ascii="新宋体" w:hAnsi="新宋体" w:eastAsia="新宋体" w:cs="新宋体"/>
                <w:color w:val="auto"/>
                <w:kern w:val="0"/>
                <w:sz w:val="21"/>
                <w:szCs w:val="21"/>
                <w:highlight w:val="none"/>
              </w:rPr>
            </w:pPr>
          </w:p>
        </w:tc>
        <w:tc>
          <w:tcPr>
            <w:tcW w:w="535" w:type="dxa"/>
            <w:vMerge w:val="continue"/>
            <w:textDirection w:val="tbRlV"/>
            <w:vAlign w:val="center"/>
          </w:tcPr>
          <w:p>
            <w:pPr>
              <w:spacing w:line="400" w:lineRule="exact"/>
              <w:ind w:firstLine="420" w:firstLineChars="200"/>
              <w:jc w:val="left"/>
              <w:rPr>
                <w:rFonts w:hint="eastAsia" w:ascii="新宋体" w:hAnsi="新宋体" w:eastAsia="新宋体" w:cs="新宋体"/>
                <w:color w:val="auto"/>
                <w:kern w:val="0"/>
                <w:sz w:val="21"/>
                <w:szCs w:val="21"/>
                <w:highlight w:val="none"/>
              </w:rPr>
            </w:pPr>
          </w:p>
        </w:tc>
        <w:tc>
          <w:tcPr>
            <w:tcW w:w="2560" w:type="dxa"/>
            <w:gridSpan w:val="3"/>
            <w:tcBorders>
              <w:top w:val="single" w:color="auto" w:sz="4" w:space="0"/>
            </w:tcBorders>
            <w:vAlign w:val="center"/>
          </w:tcPr>
          <w:p>
            <w:pPr>
              <w:spacing w:line="400" w:lineRule="exact"/>
              <w:jc w:val="center"/>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投标保证金</w:t>
            </w:r>
          </w:p>
        </w:tc>
        <w:tc>
          <w:tcPr>
            <w:tcW w:w="5493" w:type="dxa"/>
            <w:vAlign w:val="center"/>
          </w:tcPr>
          <w:p>
            <w:pPr>
              <w:spacing w:line="400" w:lineRule="exact"/>
              <w:ind w:firstLine="420" w:firstLineChars="200"/>
              <w:jc w:val="left"/>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符合第二章投标人须知前附表第3.4款规定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887" w:type="dxa"/>
            <w:vMerge w:val="continue"/>
          </w:tcPr>
          <w:p>
            <w:pPr>
              <w:spacing w:line="400" w:lineRule="exact"/>
              <w:jc w:val="center"/>
              <w:rPr>
                <w:rFonts w:hint="eastAsia" w:ascii="新宋体" w:hAnsi="新宋体" w:eastAsia="新宋体" w:cs="新宋体"/>
                <w:color w:val="auto"/>
                <w:sz w:val="18"/>
                <w:szCs w:val="18"/>
                <w:highlight w:val="none"/>
              </w:rPr>
            </w:pPr>
          </w:p>
        </w:tc>
        <w:tc>
          <w:tcPr>
            <w:tcW w:w="535" w:type="dxa"/>
            <w:vMerge w:val="continue"/>
          </w:tcPr>
          <w:p>
            <w:pPr>
              <w:spacing w:line="400" w:lineRule="exact"/>
              <w:jc w:val="center"/>
              <w:rPr>
                <w:rFonts w:hint="eastAsia" w:ascii="新宋体" w:hAnsi="新宋体" w:eastAsia="新宋体" w:cs="新宋体"/>
                <w:color w:val="auto"/>
                <w:sz w:val="18"/>
                <w:szCs w:val="18"/>
                <w:highlight w:val="none"/>
              </w:rPr>
            </w:pPr>
          </w:p>
        </w:tc>
        <w:tc>
          <w:tcPr>
            <w:tcW w:w="2560" w:type="dxa"/>
            <w:gridSpan w:val="3"/>
            <w:vAlign w:val="center"/>
          </w:tcPr>
          <w:p>
            <w:pPr>
              <w:spacing w:line="400" w:lineRule="exact"/>
              <w:jc w:val="center"/>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权利义务</w:t>
            </w:r>
          </w:p>
        </w:tc>
        <w:tc>
          <w:tcPr>
            <w:tcW w:w="5493" w:type="dxa"/>
            <w:vAlign w:val="center"/>
          </w:tcPr>
          <w:p>
            <w:pPr>
              <w:spacing w:line="400" w:lineRule="exact"/>
              <w:ind w:firstLine="420" w:firstLineChars="200"/>
              <w:jc w:val="left"/>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符合第四章“合同条款及格式”规定，投标文件不应附有招标人不能接受的条件。（由投标人承诺，承诺书格式详见第</w:t>
            </w:r>
            <w:r>
              <w:rPr>
                <w:rFonts w:hint="eastAsia" w:ascii="新宋体" w:hAnsi="新宋体" w:eastAsia="新宋体" w:cs="新宋体"/>
                <w:color w:val="auto"/>
                <w:kern w:val="0"/>
                <w:sz w:val="21"/>
                <w:szCs w:val="21"/>
                <w:highlight w:val="none"/>
                <w:lang w:val="en-US" w:eastAsia="zh-CN"/>
              </w:rPr>
              <w:t>六</w:t>
            </w:r>
            <w:r>
              <w:rPr>
                <w:rFonts w:hint="eastAsia" w:ascii="新宋体" w:hAnsi="新宋体" w:eastAsia="新宋体" w:cs="新宋体"/>
                <w:color w:val="auto"/>
                <w:kern w:val="0"/>
                <w:sz w:val="21"/>
                <w:szCs w:val="21"/>
                <w:highlight w:val="none"/>
              </w:rPr>
              <w:t>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887" w:type="dxa"/>
            <w:vMerge w:val="continue"/>
          </w:tcPr>
          <w:p>
            <w:pPr>
              <w:spacing w:line="400" w:lineRule="exact"/>
              <w:jc w:val="center"/>
              <w:rPr>
                <w:rFonts w:hint="eastAsia" w:ascii="新宋体" w:hAnsi="新宋体" w:eastAsia="新宋体" w:cs="新宋体"/>
                <w:color w:val="auto"/>
                <w:sz w:val="18"/>
                <w:szCs w:val="18"/>
                <w:highlight w:val="none"/>
              </w:rPr>
            </w:pPr>
          </w:p>
        </w:tc>
        <w:tc>
          <w:tcPr>
            <w:tcW w:w="535" w:type="dxa"/>
            <w:vMerge w:val="continue"/>
          </w:tcPr>
          <w:p>
            <w:pPr>
              <w:spacing w:line="400" w:lineRule="exact"/>
              <w:jc w:val="center"/>
              <w:rPr>
                <w:rFonts w:hint="eastAsia" w:ascii="新宋体" w:hAnsi="新宋体" w:eastAsia="新宋体" w:cs="新宋体"/>
                <w:color w:val="auto"/>
                <w:sz w:val="18"/>
                <w:szCs w:val="18"/>
                <w:highlight w:val="none"/>
              </w:rPr>
            </w:pPr>
          </w:p>
        </w:tc>
        <w:tc>
          <w:tcPr>
            <w:tcW w:w="2560" w:type="dxa"/>
            <w:gridSpan w:val="3"/>
            <w:vAlign w:val="center"/>
          </w:tcPr>
          <w:p>
            <w:pPr>
              <w:spacing w:line="400" w:lineRule="exact"/>
              <w:jc w:val="center"/>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技术标准和要求</w:t>
            </w:r>
          </w:p>
        </w:tc>
        <w:tc>
          <w:tcPr>
            <w:tcW w:w="5493" w:type="dxa"/>
            <w:vAlign w:val="center"/>
          </w:tcPr>
          <w:p>
            <w:pPr>
              <w:spacing w:line="400" w:lineRule="exact"/>
              <w:ind w:firstLine="420" w:firstLineChars="200"/>
              <w:jc w:val="left"/>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符合第</w:t>
            </w:r>
            <w:r>
              <w:rPr>
                <w:rFonts w:hint="eastAsia" w:ascii="新宋体" w:hAnsi="新宋体" w:eastAsia="新宋体" w:cs="新宋体"/>
                <w:color w:val="auto"/>
                <w:kern w:val="0"/>
                <w:sz w:val="21"/>
                <w:szCs w:val="21"/>
                <w:highlight w:val="none"/>
                <w:lang w:val="en-US" w:eastAsia="zh-CN"/>
              </w:rPr>
              <w:t>五</w:t>
            </w:r>
            <w:r>
              <w:rPr>
                <w:rFonts w:hint="eastAsia" w:ascii="新宋体" w:hAnsi="新宋体" w:eastAsia="新宋体" w:cs="新宋体"/>
                <w:color w:val="auto"/>
                <w:kern w:val="0"/>
                <w:sz w:val="21"/>
                <w:szCs w:val="21"/>
                <w:highlight w:val="none"/>
              </w:rPr>
              <w:t>章“技术标准和要求”规定。（由投标人承诺，承诺书格式详见第</w:t>
            </w:r>
            <w:r>
              <w:rPr>
                <w:rFonts w:hint="eastAsia" w:ascii="新宋体" w:hAnsi="新宋体" w:eastAsia="新宋体" w:cs="新宋体"/>
                <w:color w:val="auto"/>
                <w:kern w:val="0"/>
                <w:sz w:val="21"/>
                <w:szCs w:val="21"/>
                <w:highlight w:val="none"/>
                <w:lang w:val="en-US" w:eastAsia="zh-CN"/>
              </w:rPr>
              <w:t>六</w:t>
            </w:r>
            <w:r>
              <w:rPr>
                <w:rFonts w:hint="eastAsia" w:ascii="新宋体" w:hAnsi="新宋体" w:eastAsia="新宋体" w:cs="新宋体"/>
                <w:color w:val="auto"/>
                <w:kern w:val="0"/>
                <w:sz w:val="21"/>
                <w:szCs w:val="21"/>
                <w:highlight w:val="none"/>
              </w:rPr>
              <w:t>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887" w:type="dxa"/>
            <w:vMerge w:val="continue"/>
          </w:tcPr>
          <w:p>
            <w:pPr>
              <w:spacing w:line="400" w:lineRule="exact"/>
              <w:rPr>
                <w:rFonts w:hint="eastAsia" w:ascii="新宋体" w:hAnsi="新宋体" w:eastAsia="新宋体" w:cs="新宋体"/>
                <w:color w:val="auto"/>
                <w:sz w:val="18"/>
                <w:szCs w:val="18"/>
                <w:highlight w:val="none"/>
              </w:rPr>
            </w:pPr>
          </w:p>
        </w:tc>
        <w:tc>
          <w:tcPr>
            <w:tcW w:w="535" w:type="dxa"/>
            <w:vMerge w:val="continue"/>
          </w:tcPr>
          <w:p>
            <w:pPr>
              <w:spacing w:line="400" w:lineRule="exact"/>
              <w:rPr>
                <w:rFonts w:hint="eastAsia" w:ascii="新宋体" w:hAnsi="新宋体" w:eastAsia="新宋体" w:cs="新宋体"/>
                <w:color w:val="auto"/>
                <w:sz w:val="18"/>
                <w:szCs w:val="18"/>
                <w:highlight w:val="none"/>
              </w:rPr>
            </w:pPr>
          </w:p>
        </w:tc>
        <w:tc>
          <w:tcPr>
            <w:tcW w:w="2560" w:type="dxa"/>
            <w:gridSpan w:val="3"/>
            <w:vAlign w:val="center"/>
          </w:tcPr>
          <w:p>
            <w:pPr>
              <w:spacing w:line="400" w:lineRule="exact"/>
              <w:jc w:val="center"/>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实质性要求</w:t>
            </w:r>
          </w:p>
        </w:tc>
        <w:tc>
          <w:tcPr>
            <w:tcW w:w="5493" w:type="dxa"/>
            <w:vAlign w:val="center"/>
          </w:tcPr>
          <w:p>
            <w:pPr>
              <w:spacing w:line="400" w:lineRule="exact"/>
              <w:ind w:firstLine="420" w:firstLineChars="200"/>
              <w:jc w:val="left"/>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符合第二章“投标人须知”第1.4.3项规定。</w:t>
            </w:r>
          </w:p>
          <w:p>
            <w:pPr>
              <w:spacing w:line="400" w:lineRule="exact"/>
              <w:ind w:firstLine="420" w:firstLineChars="200"/>
              <w:jc w:val="left"/>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本次投标不得有串通投标、弄虚作假等其他违反招投标相关法律、法规行为。</w:t>
            </w:r>
          </w:p>
          <w:p>
            <w:pPr>
              <w:spacing w:line="400" w:lineRule="exact"/>
              <w:ind w:firstLine="420" w:firstLineChars="200"/>
              <w:jc w:val="left"/>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按评标委员会要求澄清、说明或补正。</w:t>
            </w:r>
          </w:p>
        </w:tc>
      </w:tr>
      <w:bookmarkEnd w:id="516"/>
      <w:bookmarkEnd w:id="517"/>
      <w:bookmarkEnd w:id="518"/>
      <w:bookmarkEnd w:id="519"/>
      <w:bookmarkEnd w:id="520"/>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1177" w:hRule="atLeast"/>
          <w:jc w:val="center"/>
        </w:trPr>
        <w:tc>
          <w:tcPr>
            <w:tcW w:w="1422" w:type="dxa"/>
            <w:gridSpan w:val="2"/>
            <w:vAlign w:val="center"/>
          </w:tcPr>
          <w:p>
            <w:pPr>
              <w:spacing w:line="400" w:lineRule="exact"/>
              <w:ind w:firstLine="420" w:firstLineChars="200"/>
              <w:jc w:val="left"/>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2.2.1</w:t>
            </w:r>
          </w:p>
        </w:tc>
        <w:tc>
          <w:tcPr>
            <w:tcW w:w="2560" w:type="dxa"/>
            <w:gridSpan w:val="3"/>
            <w:vAlign w:val="center"/>
          </w:tcPr>
          <w:p>
            <w:pPr>
              <w:spacing w:line="400" w:lineRule="exact"/>
              <w:jc w:val="left"/>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分值构成 （总分100分）</w:t>
            </w:r>
          </w:p>
        </w:tc>
        <w:tc>
          <w:tcPr>
            <w:tcW w:w="5493" w:type="dxa"/>
            <w:vAlign w:val="center"/>
          </w:tcPr>
          <w:p>
            <w:pPr>
              <w:spacing w:line="400" w:lineRule="exact"/>
              <w:ind w:firstLine="420" w:firstLineChars="200"/>
              <w:jc w:val="left"/>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1.技术部分</w:t>
            </w:r>
            <w:r>
              <w:rPr>
                <w:rFonts w:hint="eastAsia" w:ascii="新宋体" w:hAnsi="新宋体" w:eastAsia="新宋体" w:cs="新宋体"/>
                <w:color w:val="auto"/>
                <w:kern w:val="0"/>
                <w:sz w:val="21"/>
                <w:szCs w:val="21"/>
                <w:highlight w:val="none"/>
                <w:lang w:val="en-US" w:eastAsia="zh-CN"/>
              </w:rPr>
              <w:t>15</w:t>
            </w:r>
            <w:r>
              <w:rPr>
                <w:rFonts w:hint="eastAsia" w:ascii="新宋体" w:hAnsi="新宋体" w:eastAsia="新宋体" w:cs="新宋体"/>
                <w:color w:val="auto"/>
                <w:kern w:val="0"/>
                <w:sz w:val="21"/>
                <w:szCs w:val="21"/>
                <w:highlight w:val="none"/>
              </w:rPr>
              <w:t>分；</w:t>
            </w:r>
          </w:p>
          <w:p>
            <w:pPr>
              <w:spacing w:line="400" w:lineRule="exact"/>
              <w:ind w:firstLine="420" w:firstLineChars="200"/>
              <w:jc w:val="left"/>
              <w:rPr>
                <w:rFonts w:hint="eastAsia" w:ascii="新宋体" w:hAnsi="新宋体" w:eastAsia="新宋体" w:cs="新宋体"/>
                <w:color w:val="auto"/>
                <w:kern w:val="0"/>
                <w:sz w:val="21"/>
                <w:szCs w:val="21"/>
                <w:highlight w:val="none"/>
                <w:lang w:val="en-US" w:eastAsia="zh-CN"/>
              </w:rPr>
            </w:pPr>
            <w:r>
              <w:rPr>
                <w:rFonts w:hint="eastAsia" w:ascii="新宋体" w:hAnsi="新宋体" w:eastAsia="新宋体" w:cs="新宋体"/>
                <w:color w:val="auto"/>
                <w:kern w:val="0"/>
                <w:sz w:val="21"/>
                <w:szCs w:val="21"/>
                <w:highlight w:val="none"/>
              </w:rPr>
              <w:t>2.</w:t>
            </w:r>
            <w:r>
              <w:rPr>
                <w:rFonts w:hint="eastAsia" w:ascii="新宋体" w:hAnsi="新宋体" w:eastAsia="新宋体" w:cs="新宋体"/>
                <w:color w:val="auto"/>
                <w:kern w:val="0"/>
                <w:sz w:val="21"/>
                <w:szCs w:val="21"/>
                <w:highlight w:val="none"/>
                <w:lang w:val="en-US" w:eastAsia="zh-CN"/>
              </w:rPr>
              <w:t>商务部分5</w:t>
            </w:r>
            <w:r>
              <w:rPr>
                <w:rFonts w:hint="eastAsia" w:ascii="新宋体" w:hAnsi="新宋体" w:eastAsia="新宋体" w:cs="新宋体"/>
                <w:color w:val="auto"/>
                <w:kern w:val="0"/>
                <w:sz w:val="21"/>
                <w:szCs w:val="21"/>
                <w:highlight w:val="none"/>
              </w:rPr>
              <w:t>分</w:t>
            </w:r>
            <w:r>
              <w:rPr>
                <w:rFonts w:hint="eastAsia" w:ascii="新宋体" w:hAnsi="新宋体" w:eastAsia="新宋体" w:cs="新宋体"/>
                <w:color w:val="auto"/>
                <w:kern w:val="0"/>
                <w:sz w:val="21"/>
                <w:szCs w:val="21"/>
                <w:highlight w:val="none"/>
                <w:lang w:eastAsia="zh-CN"/>
              </w:rPr>
              <w:t>；</w:t>
            </w:r>
          </w:p>
          <w:p>
            <w:pPr>
              <w:spacing w:line="400" w:lineRule="exact"/>
              <w:ind w:firstLine="420" w:firstLineChars="200"/>
              <w:jc w:val="left"/>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lang w:val="en-US" w:eastAsia="zh-CN"/>
              </w:rPr>
              <w:t>3.</w:t>
            </w:r>
            <w:r>
              <w:rPr>
                <w:rFonts w:hint="eastAsia" w:ascii="新宋体" w:hAnsi="新宋体" w:eastAsia="新宋体" w:cs="新宋体"/>
                <w:color w:val="auto"/>
                <w:kern w:val="0"/>
                <w:sz w:val="21"/>
                <w:szCs w:val="21"/>
                <w:highlight w:val="none"/>
              </w:rPr>
              <w:t>投标总报价</w:t>
            </w:r>
            <w:r>
              <w:rPr>
                <w:rFonts w:hint="eastAsia" w:ascii="新宋体" w:hAnsi="新宋体" w:eastAsia="新宋体" w:cs="新宋体"/>
                <w:color w:val="auto"/>
                <w:kern w:val="0"/>
                <w:sz w:val="21"/>
                <w:szCs w:val="21"/>
                <w:highlight w:val="none"/>
                <w:lang w:val="en-US" w:eastAsia="zh-CN"/>
              </w:rPr>
              <w:t>80</w:t>
            </w:r>
            <w:r>
              <w:rPr>
                <w:rFonts w:hint="eastAsia" w:ascii="新宋体" w:hAnsi="新宋体" w:eastAsia="新宋体" w:cs="新宋体"/>
                <w:color w:val="auto"/>
                <w:kern w:val="0"/>
                <w:sz w:val="21"/>
                <w:szCs w:val="21"/>
                <w:highlight w:val="none"/>
              </w:rPr>
              <w:t>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1425" w:hRule="atLeast"/>
          <w:jc w:val="center"/>
        </w:trPr>
        <w:tc>
          <w:tcPr>
            <w:tcW w:w="887" w:type="dxa"/>
            <w:vMerge w:val="restart"/>
            <w:tcBorders>
              <w:right w:val="single" w:color="auto" w:sz="4" w:space="0"/>
            </w:tcBorders>
            <w:vAlign w:val="center"/>
          </w:tcPr>
          <w:p>
            <w:pPr>
              <w:spacing w:line="400" w:lineRule="exact"/>
              <w:jc w:val="center"/>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2.2.2（1）</w:t>
            </w:r>
          </w:p>
        </w:tc>
        <w:tc>
          <w:tcPr>
            <w:tcW w:w="535" w:type="dxa"/>
            <w:vMerge w:val="restart"/>
            <w:tcBorders>
              <w:left w:val="single" w:color="auto" w:sz="4" w:space="0"/>
            </w:tcBorders>
            <w:vAlign w:val="center"/>
          </w:tcPr>
          <w:p>
            <w:pPr>
              <w:spacing w:line="400" w:lineRule="exact"/>
              <w:jc w:val="center"/>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技术部分评分标准</w:t>
            </w:r>
          </w:p>
        </w:tc>
        <w:tc>
          <w:tcPr>
            <w:tcW w:w="850" w:type="dxa"/>
            <w:vMerge w:val="restart"/>
            <w:tcBorders>
              <w:right w:val="single" w:color="auto" w:sz="4" w:space="0"/>
            </w:tcBorders>
            <w:vAlign w:val="center"/>
          </w:tcPr>
          <w:p>
            <w:pPr>
              <w:tabs>
                <w:tab w:val="left" w:pos="1875"/>
              </w:tabs>
              <w:spacing w:line="400" w:lineRule="exact"/>
              <w:jc w:val="center"/>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技</w:t>
            </w:r>
          </w:p>
          <w:p>
            <w:pPr>
              <w:tabs>
                <w:tab w:val="left" w:pos="1875"/>
              </w:tabs>
              <w:spacing w:line="400" w:lineRule="exact"/>
              <w:jc w:val="center"/>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术</w:t>
            </w:r>
          </w:p>
          <w:p>
            <w:pPr>
              <w:tabs>
                <w:tab w:val="left" w:pos="1875"/>
              </w:tabs>
              <w:spacing w:line="400" w:lineRule="exact"/>
              <w:jc w:val="center"/>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方</w:t>
            </w:r>
          </w:p>
          <w:p>
            <w:pPr>
              <w:tabs>
                <w:tab w:val="left" w:pos="1875"/>
              </w:tabs>
              <w:spacing w:line="400" w:lineRule="exact"/>
              <w:jc w:val="center"/>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案</w:t>
            </w:r>
          </w:p>
          <w:p>
            <w:pPr>
              <w:tabs>
                <w:tab w:val="left" w:pos="1875"/>
              </w:tabs>
              <w:spacing w:line="400" w:lineRule="exact"/>
              <w:jc w:val="center"/>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评</w:t>
            </w:r>
          </w:p>
          <w:p>
            <w:pPr>
              <w:tabs>
                <w:tab w:val="left" w:pos="1875"/>
              </w:tabs>
              <w:spacing w:line="400" w:lineRule="exact"/>
              <w:jc w:val="center"/>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审</w:t>
            </w:r>
          </w:p>
        </w:tc>
        <w:tc>
          <w:tcPr>
            <w:tcW w:w="1710" w:type="dxa"/>
            <w:gridSpan w:val="2"/>
            <w:tcBorders>
              <w:left w:val="single" w:color="auto" w:sz="4" w:space="0"/>
            </w:tcBorders>
            <w:vAlign w:val="center"/>
          </w:tcPr>
          <w:p>
            <w:pPr>
              <w:tabs>
                <w:tab w:val="left" w:pos="1875"/>
              </w:tabs>
              <w:spacing w:line="400" w:lineRule="exact"/>
              <w:jc w:val="center"/>
              <w:rPr>
                <w:rFonts w:hint="eastAsia" w:ascii="新宋体" w:hAnsi="新宋体" w:eastAsia="新宋体" w:cs="新宋体"/>
                <w:color w:val="auto"/>
                <w:kern w:val="0"/>
                <w:sz w:val="21"/>
                <w:szCs w:val="21"/>
                <w:highlight w:val="none"/>
                <w:lang w:val="en-US" w:eastAsia="zh-CN"/>
              </w:rPr>
            </w:pPr>
            <w:r>
              <w:rPr>
                <w:rFonts w:hint="eastAsia" w:ascii="新宋体" w:hAnsi="新宋体" w:eastAsia="新宋体" w:cs="新宋体"/>
                <w:color w:val="auto"/>
                <w:kern w:val="0"/>
                <w:sz w:val="21"/>
                <w:szCs w:val="21"/>
                <w:highlight w:val="none"/>
                <w:lang w:val="en-US" w:eastAsia="zh-CN"/>
              </w:rPr>
              <w:t>综合方案</w:t>
            </w:r>
          </w:p>
          <w:p>
            <w:pPr>
              <w:tabs>
                <w:tab w:val="left" w:pos="1875"/>
              </w:tabs>
              <w:spacing w:line="400" w:lineRule="exact"/>
              <w:jc w:val="center"/>
              <w:rPr>
                <w:rFonts w:hint="default" w:ascii="新宋体" w:hAnsi="新宋体" w:eastAsia="新宋体" w:cs="新宋体"/>
                <w:color w:val="auto"/>
                <w:kern w:val="0"/>
                <w:sz w:val="21"/>
                <w:szCs w:val="21"/>
                <w:highlight w:val="none"/>
                <w:lang w:val="en-US" w:eastAsia="zh-CN"/>
              </w:rPr>
            </w:pPr>
            <w:r>
              <w:rPr>
                <w:rFonts w:hint="eastAsia" w:ascii="新宋体" w:hAnsi="新宋体" w:eastAsia="新宋体" w:cs="新宋体"/>
                <w:color w:val="auto"/>
                <w:kern w:val="0"/>
                <w:sz w:val="21"/>
                <w:szCs w:val="21"/>
                <w:highlight w:val="none"/>
                <w:lang w:val="en-US" w:eastAsia="zh-CN"/>
              </w:rPr>
              <w:t>（5分）</w:t>
            </w:r>
          </w:p>
        </w:tc>
        <w:tc>
          <w:tcPr>
            <w:tcW w:w="5493" w:type="dxa"/>
            <w:vAlign w:val="center"/>
          </w:tcPr>
          <w:p>
            <w:pPr>
              <w:spacing w:line="400" w:lineRule="exact"/>
              <w:ind w:firstLine="420" w:firstLineChars="200"/>
              <w:jc w:val="left"/>
              <w:rPr>
                <w:rFonts w:hint="eastAsia" w:ascii="新宋体" w:hAnsi="新宋体" w:eastAsia="新宋体" w:cs="新宋体"/>
                <w:color w:val="auto"/>
                <w:kern w:val="0"/>
                <w:sz w:val="21"/>
                <w:szCs w:val="21"/>
                <w:highlight w:val="none"/>
                <w:lang w:val="en-US" w:eastAsia="zh-CN"/>
              </w:rPr>
            </w:pPr>
            <w:r>
              <w:rPr>
                <w:rFonts w:hint="eastAsia" w:ascii="新宋体" w:hAnsi="新宋体" w:eastAsia="新宋体" w:cs="新宋体"/>
                <w:color w:val="auto"/>
                <w:kern w:val="0"/>
                <w:sz w:val="21"/>
                <w:szCs w:val="21"/>
                <w:highlight w:val="none"/>
                <w:lang w:val="en-US" w:eastAsia="zh-CN"/>
              </w:rPr>
              <w:t>投标人可自行勘察现场后，提供的技术方案内容版面整齐、表述清楚、内容全面、图文并茂。</w:t>
            </w:r>
          </w:p>
          <w:p>
            <w:pPr>
              <w:spacing w:line="400" w:lineRule="exact"/>
              <w:ind w:firstLine="420" w:firstLineChars="200"/>
              <w:jc w:val="left"/>
              <w:rPr>
                <w:rFonts w:hint="default" w:ascii="新宋体" w:hAnsi="新宋体" w:eastAsia="新宋体" w:cs="新宋体"/>
                <w:color w:val="auto"/>
                <w:kern w:val="0"/>
                <w:sz w:val="21"/>
                <w:szCs w:val="21"/>
                <w:highlight w:val="none"/>
                <w:lang w:val="en-US" w:eastAsia="zh-CN"/>
              </w:rPr>
            </w:pPr>
            <w:r>
              <w:rPr>
                <w:rFonts w:hint="eastAsia" w:ascii="新宋体" w:hAnsi="新宋体" w:eastAsia="新宋体" w:cs="新宋体"/>
                <w:color w:val="auto"/>
                <w:kern w:val="0"/>
                <w:sz w:val="21"/>
                <w:szCs w:val="21"/>
                <w:highlight w:val="none"/>
                <w:lang w:val="en-US" w:eastAsia="zh-CN"/>
              </w:rPr>
              <w:t>优得：4.00-5.00分；良得：2.00-4.00分（不含）；一般得：1.00-2.00分（不含），不提供不得分。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1310" w:hRule="atLeast"/>
          <w:jc w:val="center"/>
        </w:trPr>
        <w:tc>
          <w:tcPr>
            <w:tcW w:w="887" w:type="dxa"/>
            <w:vMerge w:val="continue"/>
            <w:tcBorders>
              <w:right w:val="single" w:color="auto" w:sz="4" w:space="0"/>
            </w:tcBorders>
            <w:vAlign w:val="center"/>
          </w:tcPr>
          <w:p>
            <w:pPr>
              <w:spacing w:line="400" w:lineRule="exact"/>
              <w:jc w:val="center"/>
              <w:rPr>
                <w:rFonts w:hint="eastAsia" w:ascii="新宋体" w:hAnsi="新宋体" w:eastAsia="新宋体" w:cs="新宋体"/>
                <w:color w:val="auto"/>
                <w:kern w:val="0"/>
                <w:sz w:val="21"/>
                <w:szCs w:val="21"/>
                <w:highlight w:val="none"/>
              </w:rPr>
            </w:pPr>
          </w:p>
        </w:tc>
        <w:tc>
          <w:tcPr>
            <w:tcW w:w="535" w:type="dxa"/>
            <w:vMerge w:val="continue"/>
            <w:tcBorders>
              <w:left w:val="single" w:color="auto" w:sz="4" w:space="0"/>
            </w:tcBorders>
            <w:vAlign w:val="center"/>
          </w:tcPr>
          <w:p>
            <w:pPr>
              <w:spacing w:line="400" w:lineRule="exact"/>
              <w:jc w:val="center"/>
              <w:rPr>
                <w:rFonts w:hint="eastAsia" w:ascii="新宋体" w:hAnsi="新宋体" w:eastAsia="新宋体" w:cs="新宋体"/>
                <w:color w:val="auto"/>
                <w:kern w:val="0"/>
                <w:sz w:val="21"/>
                <w:szCs w:val="21"/>
                <w:highlight w:val="none"/>
              </w:rPr>
            </w:pPr>
          </w:p>
        </w:tc>
        <w:tc>
          <w:tcPr>
            <w:tcW w:w="850" w:type="dxa"/>
            <w:vMerge w:val="continue"/>
            <w:tcBorders>
              <w:right w:val="single" w:color="auto" w:sz="4" w:space="0"/>
            </w:tcBorders>
            <w:vAlign w:val="center"/>
          </w:tcPr>
          <w:p>
            <w:pPr>
              <w:tabs>
                <w:tab w:val="left" w:pos="1875"/>
              </w:tabs>
              <w:spacing w:line="400" w:lineRule="exact"/>
              <w:jc w:val="center"/>
              <w:rPr>
                <w:rFonts w:hint="eastAsia" w:ascii="新宋体" w:hAnsi="新宋体" w:eastAsia="新宋体" w:cs="新宋体"/>
                <w:color w:val="auto"/>
                <w:kern w:val="0"/>
                <w:sz w:val="21"/>
                <w:szCs w:val="21"/>
                <w:highlight w:val="none"/>
              </w:rPr>
            </w:pPr>
          </w:p>
        </w:tc>
        <w:tc>
          <w:tcPr>
            <w:tcW w:w="1710" w:type="dxa"/>
            <w:gridSpan w:val="2"/>
            <w:tcBorders>
              <w:left w:val="single" w:color="auto" w:sz="4" w:space="0"/>
            </w:tcBorders>
            <w:vAlign w:val="center"/>
          </w:tcPr>
          <w:p>
            <w:pPr>
              <w:tabs>
                <w:tab w:val="left" w:pos="1875"/>
              </w:tabs>
              <w:spacing w:line="400" w:lineRule="exact"/>
              <w:jc w:val="center"/>
              <w:rPr>
                <w:rFonts w:hint="eastAsia" w:ascii="新宋体" w:hAnsi="新宋体" w:eastAsia="新宋体" w:cs="新宋体"/>
                <w:color w:val="auto"/>
                <w:kern w:val="0"/>
                <w:sz w:val="21"/>
                <w:szCs w:val="21"/>
                <w:highlight w:val="none"/>
                <w:lang w:val="en-US" w:eastAsia="zh-CN"/>
              </w:rPr>
            </w:pPr>
            <w:r>
              <w:rPr>
                <w:rFonts w:hint="eastAsia" w:ascii="新宋体" w:hAnsi="新宋体" w:eastAsia="新宋体" w:cs="新宋体"/>
                <w:color w:val="auto"/>
                <w:kern w:val="0"/>
                <w:sz w:val="21"/>
                <w:szCs w:val="21"/>
                <w:highlight w:val="none"/>
                <w:lang w:val="en-US" w:eastAsia="zh-CN"/>
              </w:rPr>
              <w:t>安装方案</w:t>
            </w:r>
          </w:p>
          <w:p>
            <w:pPr>
              <w:tabs>
                <w:tab w:val="left" w:pos="1875"/>
              </w:tabs>
              <w:spacing w:line="400" w:lineRule="exact"/>
              <w:jc w:val="center"/>
              <w:rPr>
                <w:rFonts w:hint="default" w:ascii="新宋体" w:hAnsi="新宋体" w:eastAsia="新宋体" w:cs="新宋体"/>
                <w:color w:val="auto"/>
                <w:kern w:val="0"/>
                <w:sz w:val="21"/>
                <w:szCs w:val="21"/>
                <w:highlight w:val="none"/>
                <w:lang w:val="en-US" w:eastAsia="zh-CN"/>
              </w:rPr>
            </w:pPr>
            <w:r>
              <w:rPr>
                <w:rFonts w:hint="eastAsia" w:ascii="新宋体" w:hAnsi="新宋体" w:eastAsia="新宋体" w:cs="新宋体"/>
                <w:color w:val="auto"/>
                <w:kern w:val="0"/>
                <w:sz w:val="21"/>
                <w:szCs w:val="21"/>
                <w:highlight w:val="none"/>
                <w:lang w:val="en-US" w:eastAsia="zh-CN"/>
              </w:rPr>
              <w:t>（5分）</w:t>
            </w:r>
          </w:p>
        </w:tc>
        <w:tc>
          <w:tcPr>
            <w:tcW w:w="5493" w:type="dxa"/>
            <w:vAlign w:val="center"/>
          </w:tcPr>
          <w:p>
            <w:pPr>
              <w:spacing w:line="400" w:lineRule="exact"/>
              <w:ind w:firstLine="420" w:firstLineChars="200"/>
              <w:jc w:val="left"/>
              <w:rPr>
                <w:rFonts w:hint="eastAsia" w:ascii="宋体" w:hAnsi="宋体"/>
                <w:color w:val="auto"/>
                <w:szCs w:val="21"/>
                <w:lang w:val="en-US" w:eastAsia="zh-CN"/>
              </w:rPr>
            </w:pPr>
            <w:r>
              <w:rPr>
                <w:rFonts w:hint="eastAsia" w:ascii="宋体" w:hAnsi="宋体"/>
                <w:color w:val="auto"/>
                <w:szCs w:val="21"/>
                <w:lang w:val="en-US" w:eastAsia="zh-CN"/>
              </w:rPr>
              <w:t>提供的设备安装</w:t>
            </w:r>
            <w:r>
              <w:rPr>
                <w:rFonts w:hint="eastAsia" w:ascii="宋体" w:hAnsi="宋体"/>
                <w:color w:val="auto"/>
                <w:szCs w:val="21"/>
              </w:rPr>
              <w:t>方案编制合理，</w:t>
            </w:r>
            <w:r>
              <w:rPr>
                <w:rFonts w:hint="eastAsia" w:ascii="宋体" w:hAnsi="宋体"/>
                <w:color w:val="auto"/>
                <w:szCs w:val="21"/>
                <w:lang w:val="en-US" w:eastAsia="zh-CN"/>
              </w:rPr>
              <w:t>运行、调试程序合理，</w:t>
            </w:r>
            <w:r>
              <w:rPr>
                <w:rFonts w:hint="eastAsia" w:ascii="宋体" w:hAnsi="宋体"/>
                <w:color w:val="auto"/>
                <w:szCs w:val="21"/>
              </w:rPr>
              <w:t>安全可行</w:t>
            </w:r>
            <w:r>
              <w:rPr>
                <w:rFonts w:hint="eastAsia" w:ascii="宋体" w:hAnsi="宋体"/>
                <w:color w:val="auto"/>
                <w:szCs w:val="21"/>
                <w:lang w:val="en-US" w:eastAsia="zh-CN"/>
              </w:rPr>
              <w:t>性高</w:t>
            </w:r>
            <w:r>
              <w:rPr>
                <w:rFonts w:hint="eastAsia" w:ascii="宋体" w:hAnsi="宋体"/>
                <w:color w:val="auto"/>
                <w:szCs w:val="21"/>
              </w:rPr>
              <w:t>，质量保证措</w:t>
            </w:r>
            <w:r>
              <w:rPr>
                <w:rFonts w:hint="eastAsia" w:ascii="宋体" w:hAnsi="宋体"/>
                <w:color w:val="auto"/>
                <w:szCs w:val="21"/>
                <w:lang w:eastAsia="zh-CN"/>
              </w:rPr>
              <w:t>、</w:t>
            </w:r>
            <w:r>
              <w:rPr>
                <w:rFonts w:hint="eastAsia" w:ascii="宋体" w:hAnsi="宋体"/>
                <w:color w:val="auto"/>
                <w:szCs w:val="21"/>
                <w:lang w:val="en-US" w:eastAsia="zh-CN"/>
              </w:rPr>
              <w:t>安装措施</w:t>
            </w:r>
            <w:r>
              <w:rPr>
                <w:rFonts w:hint="eastAsia" w:ascii="宋体" w:hAnsi="宋体"/>
                <w:color w:val="auto"/>
                <w:szCs w:val="21"/>
              </w:rPr>
              <w:t>合理</w:t>
            </w:r>
            <w:r>
              <w:rPr>
                <w:rFonts w:hint="eastAsia" w:ascii="宋体" w:hAnsi="宋体"/>
                <w:color w:val="auto"/>
                <w:szCs w:val="21"/>
                <w:lang w:val="en-US" w:eastAsia="zh-CN"/>
              </w:rPr>
              <w:t>得当。</w:t>
            </w:r>
          </w:p>
          <w:p>
            <w:pPr>
              <w:spacing w:line="400" w:lineRule="exact"/>
              <w:ind w:firstLine="420" w:firstLineChars="200"/>
              <w:jc w:val="left"/>
              <w:rPr>
                <w:rFonts w:hint="default" w:ascii="新宋体" w:hAnsi="新宋体" w:eastAsia="宋体" w:cs="新宋体"/>
                <w:color w:val="auto"/>
                <w:kern w:val="0"/>
                <w:sz w:val="21"/>
                <w:szCs w:val="21"/>
                <w:highlight w:val="none"/>
                <w:lang w:val="en-US" w:eastAsia="zh-CN"/>
              </w:rPr>
            </w:pPr>
            <w:r>
              <w:rPr>
                <w:rFonts w:hint="eastAsia" w:ascii="新宋体" w:hAnsi="新宋体" w:eastAsia="新宋体" w:cs="新宋体"/>
                <w:color w:val="auto"/>
                <w:kern w:val="0"/>
                <w:sz w:val="21"/>
                <w:szCs w:val="21"/>
                <w:highlight w:val="none"/>
                <w:lang w:val="en-US" w:eastAsia="zh-CN"/>
              </w:rPr>
              <w:t>优得：4.00-5.00分；良得：2.00-4.00分（不含）；一般得：1.00-2.00分（不含），不提供不得分。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767" w:hRule="atLeast"/>
          <w:jc w:val="center"/>
        </w:trPr>
        <w:tc>
          <w:tcPr>
            <w:tcW w:w="887" w:type="dxa"/>
            <w:vMerge w:val="continue"/>
            <w:tcBorders>
              <w:right w:val="single" w:color="auto" w:sz="4" w:space="0"/>
            </w:tcBorders>
            <w:vAlign w:val="center"/>
          </w:tcPr>
          <w:p>
            <w:pPr>
              <w:spacing w:line="400" w:lineRule="exact"/>
              <w:jc w:val="center"/>
              <w:rPr>
                <w:rFonts w:hint="eastAsia" w:ascii="新宋体" w:hAnsi="新宋体" w:eastAsia="新宋体" w:cs="新宋体"/>
                <w:color w:val="auto"/>
                <w:kern w:val="0"/>
                <w:sz w:val="21"/>
                <w:szCs w:val="21"/>
                <w:highlight w:val="none"/>
              </w:rPr>
            </w:pPr>
          </w:p>
        </w:tc>
        <w:tc>
          <w:tcPr>
            <w:tcW w:w="535" w:type="dxa"/>
            <w:vMerge w:val="continue"/>
            <w:tcBorders>
              <w:left w:val="single" w:color="auto" w:sz="4" w:space="0"/>
            </w:tcBorders>
            <w:vAlign w:val="center"/>
          </w:tcPr>
          <w:p>
            <w:pPr>
              <w:spacing w:line="400" w:lineRule="exact"/>
              <w:jc w:val="center"/>
              <w:rPr>
                <w:rFonts w:hint="eastAsia" w:ascii="新宋体" w:hAnsi="新宋体" w:eastAsia="新宋体" w:cs="新宋体"/>
                <w:color w:val="auto"/>
                <w:kern w:val="0"/>
                <w:sz w:val="21"/>
                <w:szCs w:val="21"/>
                <w:highlight w:val="none"/>
              </w:rPr>
            </w:pPr>
          </w:p>
        </w:tc>
        <w:tc>
          <w:tcPr>
            <w:tcW w:w="850" w:type="dxa"/>
            <w:vMerge w:val="continue"/>
            <w:tcBorders>
              <w:right w:val="single" w:color="auto" w:sz="4" w:space="0"/>
            </w:tcBorders>
            <w:vAlign w:val="center"/>
          </w:tcPr>
          <w:p>
            <w:pPr>
              <w:tabs>
                <w:tab w:val="left" w:pos="1875"/>
              </w:tabs>
              <w:spacing w:line="400" w:lineRule="exact"/>
              <w:jc w:val="center"/>
              <w:rPr>
                <w:rFonts w:hint="eastAsia" w:ascii="新宋体" w:hAnsi="新宋体" w:eastAsia="新宋体" w:cs="新宋体"/>
                <w:color w:val="auto"/>
                <w:kern w:val="0"/>
                <w:sz w:val="21"/>
                <w:szCs w:val="21"/>
                <w:highlight w:val="none"/>
              </w:rPr>
            </w:pPr>
          </w:p>
        </w:tc>
        <w:tc>
          <w:tcPr>
            <w:tcW w:w="1710" w:type="dxa"/>
            <w:gridSpan w:val="2"/>
            <w:tcBorders>
              <w:left w:val="single" w:color="auto" w:sz="4" w:space="0"/>
            </w:tcBorders>
            <w:vAlign w:val="center"/>
          </w:tcPr>
          <w:p>
            <w:pPr>
              <w:tabs>
                <w:tab w:val="left" w:pos="1875"/>
              </w:tabs>
              <w:spacing w:line="400" w:lineRule="exact"/>
              <w:jc w:val="center"/>
              <w:rPr>
                <w:rFonts w:hint="eastAsia" w:ascii="新宋体" w:hAnsi="新宋体" w:eastAsia="新宋体" w:cs="新宋体"/>
                <w:color w:val="auto"/>
                <w:kern w:val="0"/>
                <w:sz w:val="21"/>
                <w:szCs w:val="21"/>
                <w:highlight w:val="none"/>
                <w:lang w:val="en-US" w:eastAsia="zh-CN"/>
              </w:rPr>
            </w:pPr>
            <w:r>
              <w:rPr>
                <w:rFonts w:hint="eastAsia" w:ascii="新宋体" w:hAnsi="新宋体" w:eastAsia="新宋体" w:cs="新宋体"/>
                <w:color w:val="auto"/>
                <w:kern w:val="0"/>
                <w:sz w:val="21"/>
                <w:szCs w:val="21"/>
                <w:highlight w:val="none"/>
                <w:lang w:val="en-US" w:eastAsia="zh-CN"/>
              </w:rPr>
              <w:t>维护方案</w:t>
            </w:r>
          </w:p>
          <w:p>
            <w:pPr>
              <w:tabs>
                <w:tab w:val="left" w:pos="1875"/>
              </w:tabs>
              <w:spacing w:line="400" w:lineRule="exact"/>
              <w:jc w:val="center"/>
              <w:rPr>
                <w:rFonts w:hint="default" w:ascii="新宋体" w:hAnsi="新宋体" w:eastAsia="新宋体" w:cs="新宋体"/>
                <w:color w:val="auto"/>
                <w:kern w:val="0"/>
                <w:sz w:val="21"/>
                <w:szCs w:val="21"/>
                <w:highlight w:val="none"/>
                <w:lang w:val="en-US" w:eastAsia="zh-CN"/>
              </w:rPr>
            </w:pPr>
            <w:r>
              <w:rPr>
                <w:rFonts w:hint="eastAsia" w:ascii="新宋体" w:hAnsi="新宋体" w:eastAsia="新宋体" w:cs="新宋体"/>
                <w:color w:val="auto"/>
                <w:kern w:val="0"/>
                <w:sz w:val="21"/>
                <w:szCs w:val="21"/>
                <w:highlight w:val="none"/>
                <w:lang w:val="en-US" w:eastAsia="zh-CN"/>
              </w:rPr>
              <w:t>（5分）</w:t>
            </w:r>
          </w:p>
        </w:tc>
        <w:tc>
          <w:tcPr>
            <w:tcW w:w="5493" w:type="dxa"/>
            <w:vAlign w:val="center"/>
          </w:tcPr>
          <w:p>
            <w:pPr>
              <w:spacing w:line="400" w:lineRule="exact"/>
              <w:ind w:firstLine="420" w:firstLineChars="200"/>
              <w:jc w:val="left"/>
              <w:rPr>
                <w:rFonts w:hint="eastAsia"/>
                <w:color w:val="auto"/>
                <w:lang w:eastAsia="zh-CN"/>
              </w:rPr>
            </w:pPr>
            <w:r>
              <w:rPr>
                <w:rFonts w:hint="eastAsia"/>
                <w:color w:val="auto"/>
                <w:lang w:val="en-US" w:eastAsia="zh-CN"/>
              </w:rPr>
              <w:t>提供的设备</w:t>
            </w:r>
            <w:r>
              <w:rPr>
                <w:rFonts w:hint="eastAsia"/>
                <w:color w:val="auto"/>
              </w:rPr>
              <w:t>易</w:t>
            </w:r>
            <w:r>
              <w:rPr>
                <w:rFonts w:hint="eastAsia"/>
                <w:color w:val="auto"/>
                <w:lang w:val="en-US" w:eastAsia="zh-CN"/>
              </w:rPr>
              <w:t>于</w:t>
            </w:r>
            <w:r>
              <w:rPr>
                <w:rFonts w:hint="eastAsia"/>
                <w:color w:val="auto"/>
              </w:rPr>
              <w:t>维护</w:t>
            </w:r>
            <w:r>
              <w:rPr>
                <w:rFonts w:hint="eastAsia" w:ascii="宋体" w:hAnsi="宋体"/>
                <w:color w:val="auto"/>
                <w:szCs w:val="21"/>
                <w:lang w:eastAsia="zh-CN"/>
              </w:rPr>
              <w:t>、</w:t>
            </w:r>
            <w:r>
              <w:rPr>
                <w:rFonts w:hint="eastAsia"/>
                <w:color w:val="auto"/>
              </w:rPr>
              <w:t>易于管理，运行可靠，故障率低</w:t>
            </w:r>
            <w:r>
              <w:rPr>
                <w:rFonts w:hint="eastAsia"/>
                <w:color w:val="auto"/>
                <w:lang w:eastAsia="zh-CN"/>
              </w:rPr>
              <w:t>。</w:t>
            </w:r>
          </w:p>
          <w:p>
            <w:pPr>
              <w:spacing w:line="400" w:lineRule="exact"/>
              <w:ind w:firstLine="420" w:firstLineChars="200"/>
              <w:jc w:val="left"/>
              <w:rPr>
                <w:rFonts w:hint="default" w:ascii="新宋体" w:hAnsi="新宋体" w:eastAsia="宋体" w:cs="新宋体"/>
                <w:color w:val="auto"/>
                <w:kern w:val="0"/>
                <w:sz w:val="21"/>
                <w:szCs w:val="21"/>
                <w:highlight w:val="none"/>
                <w:lang w:val="en-US" w:eastAsia="zh-CN"/>
              </w:rPr>
            </w:pPr>
            <w:r>
              <w:rPr>
                <w:rFonts w:hint="eastAsia" w:ascii="新宋体" w:hAnsi="新宋体" w:eastAsia="新宋体" w:cs="新宋体"/>
                <w:color w:val="auto"/>
                <w:kern w:val="0"/>
                <w:sz w:val="21"/>
                <w:szCs w:val="21"/>
                <w:highlight w:val="none"/>
                <w:lang w:val="en-US" w:eastAsia="zh-CN"/>
              </w:rPr>
              <w:t>优得：4.00-5.00分；良得：2.00-4.00分（不含）；一般得：1.00-2.00分（不含），不提供不得分。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atLeast"/>
          <w:jc w:val="center"/>
        </w:trPr>
        <w:tc>
          <w:tcPr>
            <w:tcW w:w="887" w:type="dxa"/>
            <w:vMerge w:val="restart"/>
            <w:tcBorders>
              <w:right w:val="single" w:color="auto" w:sz="4" w:space="0"/>
            </w:tcBorders>
            <w:vAlign w:val="center"/>
          </w:tcPr>
          <w:p>
            <w:pPr>
              <w:spacing w:line="400" w:lineRule="exact"/>
              <w:jc w:val="center"/>
              <w:rPr>
                <w:rFonts w:hint="eastAsia" w:ascii="新宋体" w:hAnsi="新宋体" w:eastAsia="新宋体" w:cs="新宋体"/>
                <w:color w:val="auto"/>
                <w:kern w:val="0"/>
                <w:sz w:val="21"/>
                <w:szCs w:val="21"/>
                <w:highlight w:val="none"/>
                <w:lang w:val="en-US" w:eastAsia="zh-CN"/>
              </w:rPr>
            </w:pPr>
            <w:r>
              <w:rPr>
                <w:rFonts w:hint="eastAsia" w:ascii="新宋体" w:hAnsi="新宋体" w:eastAsia="新宋体" w:cs="新宋体"/>
                <w:color w:val="auto"/>
                <w:kern w:val="0"/>
                <w:sz w:val="21"/>
                <w:szCs w:val="21"/>
                <w:highlight w:val="none"/>
                <w:lang w:val="en-US" w:eastAsia="zh-CN"/>
              </w:rPr>
              <w:t>2.2.2（2）</w:t>
            </w:r>
          </w:p>
        </w:tc>
        <w:tc>
          <w:tcPr>
            <w:tcW w:w="1385" w:type="dxa"/>
            <w:gridSpan w:val="2"/>
            <w:vMerge w:val="restart"/>
            <w:tcBorders>
              <w:left w:val="single" w:color="auto" w:sz="4" w:space="0"/>
              <w:right w:val="single" w:color="auto" w:sz="4" w:space="0"/>
            </w:tcBorders>
            <w:vAlign w:val="center"/>
          </w:tcPr>
          <w:p>
            <w:pPr>
              <w:spacing w:line="400" w:lineRule="exact"/>
              <w:jc w:val="center"/>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商务部分</w:t>
            </w:r>
          </w:p>
          <w:p>
            <w:pPr>
              <w:spacing w:line="400" w:lineRule="exact"/>
              <w:jc w:val="center"/>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评分标准</w:t>
            </w:r>
          </w:p>
        </w:tc>
        <w:tc>
          <w:tcPr>
            <w:tcW w:w="1710" w:type="dxa"/>
            <w:gridSpan w:val="2"/>
            <w:tcBorders>
              <w:left w:val="single" w:color="auto" w:sz="4" w:space="0"/>
            </w:tcBorders>
            <w:vAlign w:val="center"/>
          </w:tcPr>
          <w:p>
            <w:pPr>
              <w:tabs>
                <w:tab w:val="left" w:pos="1875"/>
              </w:tabs>
              <w:spacing w:line="400" w:lineRule="exact"/>
              <w:jc w:val="center"/>
              <w:rPr>
                <w:rFonts w:hint="eastAsia" w:ascii="新宋体" w:hAnsi="新宋体" w:eastAsia="新宋体" w:cs="新宋体"/>
                <w:color w:val="auto"/>
                <w:kern w:val="0"/>
                <w:sz w:val="21"/>
                <w:szCs w:val="21"/>
                <w:highlight w:val="none"/>
                <w:lang w:val="en-US" w:eastAsia="zh-CN"/>
              </w:rPr>
            </w:pPr>
            <w:r>
              <w:rPr>
                <w:rFonts w:hint="eastAsia" w:ascii="新宋体" w:hAnsi="新宋体" w:eastAsia="新宋体" w:cs="新宋体"/>
                <w:color w:val="auto"/>
                <w:kern w:val="0"/>
                <w:sz w:val="21"/>
                <w:szCs w:val="21"/>
                <w:highlight w:val="none"/>
                <w:lang w:val="en-US" w:eastAsia="zh-CN"/>
              </w:rPr>
              <w:t>投标人业绩</w:t>
            </w:r>
          </w:p>
          <w:p>
            <w:pPr>
              <w:tabs>
                <w:tab w:val="left" w:pos="1875"/>
              </w:tabs>
              <w:spacing w:line="400" w:lineRule="exact"/>
              <w:jc w:val="center"/>
              <w:rPr>
                <w:rFonts w:hint="eastAsia" w:ascii="新宋体" w:hAnsi="新宋体" w:eastAsia="新宋体" w:cs="新宋体"/>
                <w:color w:val="auto"/>
                <w:kern w:val="0"/>
                <w:sz w:val="21"/>
                <w:szCs w:val="21"/>
                <w:highlight w:val="none"/>
                <w:lang w:val="en-US" w:eastAsia="zh-CN"/>
              </w:rPr>
            </w:pPr>
            <w:r>
              <w:rPr>
                <w:rFonts w:hint="eastAsia" w:ascii="新宋体" w:hAnsi="新宋体" w:eastAsia="新宋体" w:cs="新宋体"/>
                <w:color w:val="auto"/>
                <w:kern w:val="0"/>
                <w:sz w:val="21"/>
                <w:szCs w:val="21"/>
                <w:highlight w:val="none"/>
                <w:lang w:val="en-US" w:eastAsia="zh-CN"/>
              </w:rPr>
              <w:t>（3分）</w:t>
            </w:r>
          </w:p>
        </w:tc>
        <w:tc>
          <w:tcPr>
            <w:tcW w:w="5493" w:type="dxa"/>
            <w:vAlign w:val="center"/>
          </w:tcPr>
          <w:p>
            <w:pPr>
              <w:snapToGrid w:val="0"/>
              <w:spacing w:line="400" w:lineRule="exact"/>
              <w:ind w:firstLine="420" w:firstLineChars="200"/>
              <w:rPr>
                <w:rFonts w:hint="default" w:ascii="新宋体" w:hAnsi="新宋体" w:eastAsia="新宋体" w:cs="新宋体"/>
                <w:color w:val="auto"/>
                <w:sz w:val="21"/>
                <w:szCs w:val="21"/>
                <w:highlight w:val="none"/>
                <w:u w:val="none"/>
                <w:lang w:val="en-US" w:eastAsia="zh-CN"/>
              </w:rPr>
            </w:pPr>
            <w:r>
              <w:rPr>
                <w:rFonts w:hint="eastAsia" w:ascii="新宋体" w:hAnsi="新宋体" w:eastAsia="新宋体" w:cs="新宋体"/>
                <w:color w:val="auto"/>
                <w:sz w:val="21"/>
                <w:szCs w:val="21"/>
                <w:highlight w:val="none"/>
                <w:u w:val="none"/>
                <w:lang w:val="en-US" w:eastAsia="zh-CN"/>
              </w:rPr>
              <w:t>在满足资格审查业绩的基础上，投标截止日前 3 年，指投标人在 2020 年1月1日起至投标截止日止（以合同签订时间准）完成的1个合同单项金额不低于150万元的类似LNG加气站设备供货业绩，加0.5分，最多得3分。</w:t>
            </w:r>
          </w:p>
          <w:p>
            <w:pPr>
              <w:snapToGrid w:val="0"/>
              <w:spacing w:line="400" w:lineRule="exact"/>
              <w:ind w:firstLine="420" w:firstLineChars="200"/>
              <w:rPr>
                <w:rFonts w:hint="eastAsia" w:ascii="新宋体" w:hAnsi="新宋体" w:eastAsia="新宋体" w:cs="新宋体"/>
                <w:color w:val="auto"/>
                <w:sz w:val="21"/>
                <w:szCs w:val="21"/>
                <w:highlight w:val="none"/>
                <w:u w:val="none"/>
                <w:lang w:val="en-US" w:eastAsia="zh-CN"/>
              </w:rPr>
            </w:pPr>
            <w:r>
              <w:rPr>
                <w:rFonts w:hint="eastAsia" w:ascii="新宋体" w:hAnsi="新宋体" w:eastAsia="新宋体" w:cs="新宋体"/>
                <w:color w:val="auto"/>
                <w:sz w:val="21"/>
                <w:szCs w:val="21"/>
                <w:highlight w:val="none"/>
                <w:u w:val="none"/>
                <w:lang w:val="en-US" w:eastAsia="zh-CN"/>
              </w:rPr>
              <w:t>投标人须在投标文件商务部分提供该业绩的供货合同、发票及验收报告。不提供不得分。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74" w:hRule="atLeast"/>
          <w:jc w:val="center"/>
        </w:trPr>
        <w:tc>
          <w:tcPr>
            <w:tcW w:w="887" w:type="dxa"/>
            <w:vMerge w:val="continue"/>
            <w:tcBorders>
              <w:right w:val="single" w:color="auto" w:sz="4" w:space="0"/>
            </w:tcBorders>
            <w:vAlign w:val="center"/>
          </w:tcPr>
          <w:p>
            <w:pPr>
              <w:spacing w:line="400" w:lineRule="exact"/>
              <w:jc w:val="center"/>
              <w:rPr>
                <w:rFonts w:hint="eastAsia" w:ascii="新宋体" w:hAnsi="新宋体" w:eastAsia="新宋体" w:cs="新宋体"/>
                <w:color w:val="auto"/>
                <w:kern w:val="0"/>
                <w:sz w:val="21"/>
                <w:szCs w:val="21"/>
                <w:highlight w:val="none"/>
                <w:lang w:val="en-US" w:eastAsia="zh-CN"/>
              </w:rPr>
            </w:pPr>
          </w:p>
        </w:tc>
        <w:tc>
          <w:tcPr>
            <w:tcW w:w="1385" w:type="dxa"/>
            <w:gridSpan w:val="2"/>
            <w:vMerge w:val="continue"/>
            <w:tcBorders>
              <w:left w:val="single" w:color="auto" w:sz="4" w:space="0"/>
              <w:right w:val="single" w:color="auto" w:sz="4" w:space="0"/>
            </w:tcBorders>
            <w:vAlign w:val="center"/>
          </w:tcPr>
          <w:p>
            <w:pPr>
              <w:tabs>
                <w:tab w:val="left" w:pos="1875"/>
              </w:tabs>
              <w:spacing w:line="400" w:lineRule="exact"/>
              <w:jc w:val="center"/>
              <w:rPr>
                <w:rFonts w:hint="eastAsia" w:ascii="新宋体" w:hAnsi="新宋体" w:eastAsia="新宋体" w:cs="新宋体"/>
                <w:color w:val="auto"/>
                <w:kern w:val="0"/>
                <w:sz w:val="21"/>
                <w:szCs w:val="21"/>
                <w:highlight w:val="none"/>
              </w:rPr>
            </w:pPr>
          </w:p>
        </w:tc>
        <w:tc>
          <w:tcPr>
            <w:tcW w:w="1710" w:type="dxa"/>
            <w:gridSpan w:val="2"/>
            <w:tcBorders>
              <w:left w:val="single" w:color="auto" w:sz="4" w:space="0"/>
            </w:tcBorders>
            <w:vAlign w:val="center"/>
          </w:tcPr>
          <w:p>
            <w:pPr>
              <w:tabs>
                <w:tab w:val="left" w:pos="1875"/>
              </w:tabs>
              <w:spacing w:line="400" w:lineRule="exact"/>
              <w:jc w:val="center"/>
              <w:rPr>
                <w:rFonts w:hint="eastAsia" w:ascii="新宋体" w:hAnsi="新宋体" w:eastAsia="新宋体" w:cs="新宋体"/>
                <w:color w:val="auto"/>
                <w:kern w:val="0"/>
                <w:sz w:val="21"/>
                <w:szCs w:val="21"/>
                <w:highlight w:val="none"/>
                <w:lang w:val="en-US" w:eastAsia="zh-CN"/>
              </w:rPr>
            </w:pPr>
            <w:r>
              <w:rPr>
                <w:rFonts w:hint="eastAsia" w:ascii="新宋体" w:hAnsi="新宋体" w:eastAsia="新宋体" w:cs="新宋体"/>
                <w:color w:val="auto"/>
                <w:kern w:val="0"/>
                <w:sz w:val="21"/>
                <w:szCs w:val="21"/>
                <w:highlight w:val="none"/>
                <w:lang w:val="en-US" w:eastAsia="zh-CN"/>
              </w:rPr>
              <w:t>售后服务及培训</w:t>
            </w:r>
          </w:p>
          <w:p>
            <w:pPr>
              <w:tabs>
                <w:tab w:val="left" w:pos="1875"/>
              </w:tabs>
              <w:spacing w:line="400" w:lineRule="exact"/>
              <w:jc w:val="center"/>
              <w:rPr>
                <w:rFonts w:hint="eastAsia" w:ascii="新宋体" w:hAnsi="新宋体" w:eastAsia="新宋体" w:cs="新宋体"/>
                <w:color w:val="auto"/>
                <w:kern w:val="0"/>
                <w:sz w:val="21"/>
                <w:szCs w:val="21"/>
                <w:highlight w:val="none"/>
                <w:lang w:val="en-US" w:eastAsia="zh-CN"/>
              </w:rPr>
            </w:pPr>
            <w:r>
              <w:rPr>
                <w:rFonts w:hint="eastAsia" w:ascii="新宋体" w:hAnsi="新宋体" w:eastAsia="新宋体" w:cs="新宋体"/>
                <w:color w:val="auto"/>
                <w:kern w:val="0"/>
                <w:sz w:val="21"/>
                <w:szCs w:val="21"/>
                <w:highlight w:val="none"/>
                <w:lang w:val="en-US" w:eastAsia="zh-CN"/>
              </w:rPr>
              <w:t>（2分）</w:t>
            </w:r>
          </w:p>
        </w:tc>
        <w:tc>
          <w:tcPr>
            <w:tcW w:w="5493" w:type="dxa"/>
            <w:vAlign w:val="center"/>
          </w:tcPr>
          <w:p>
            <w:pPr>
              <w:snapToGrid w:val="0"/>
              <w:spacing w:line="400" w:lineRule="exact"/>
              <w:ind w:firstLine="420" w:firstLineChars="200"/>
              <w:rPr>
                <w:rFonts w:hint="eastAsia" w:ascii="新宋体" w:hAnsi="新宋体" w:eastAsia="新宋体" w:cs="新宋体"/>
                <w:color w:val="auto"/>
                <w:sz w:val="21"/>
                <w:szCs w:val="21"/>
                <w:highlight w:val="none"/>
                <w:u w:val="none"/>
                <w:lang w:val="en-US" w:eastAsia="zh-CN"/>
              </w:rPr>
            </w:pPr>
            <w:r>
              <w:rPr>
                <w:rFonts w:hint="eastAsia" w:ascii="新宋体" w:hAnsi="新宋体" w:eastAsia="新宋体" w:cs="新宋体"/>
                <w:color w:val="auto"/>
                <w:sz w:val="21"/>
                <w:szCs w:val="21"/>
                <w:highlight w:val="none"/>
                <w:u w:val="none"/>
                <w:lang w:val="en-US" w:eastAsia="zh-CN"/>
              </w:rPr>
              <w:t>1.投标人自行承诺重庆地区设备售后服务点。</w:t>
            </w:r>
          </w:p>
          <w:p>
            <w:pPr>
              <w:snapToGrid w:val="0"/>
              <w:spacing w:line="400" w:lineRule="exact"/>
              <w:ind w:firstLine="420" w:firstLineChars="200"/>
              <w:rPr>
                <w:rFonts w:hint="eastAsia" w:ascii="新宋体" w:hAnsi="新宋体" w:eastAsia="新宋体" w:cs="新宋体"/>
                <w:color w:val="auto"/>
                <w:sz w:val="21"/>
                <w:szCs w:val="21"/>
                <w:highlight w:val="none"/>
                <w:u w:val="none"/>
                <w:lang w:val="en-US" w:eastAsia="zh-CN"/>
              </w:rPr>
            </w:pPr>
            <w:r>
              <w:rPr>
                <w:rFonts w:hint="eastAsia" w:ascii="新宋体" w:hAnsi="新宋体" w:eastAsia="新宋体" w:cs="新宋体"/>
                <w:color w:val="auto"/>
                <w:sz w:val="21"/>
                <w:szCs w:val="21"/>
                <w:highlight w:val="none"/>
                <w:u w:val="none"/>
                <w:lang w:val="en-US" w:eastAsia="zh-CN"/>
              </w:rPr>
              <w:t>投标人须在投标文件商务部分提供自行承诺（格式自拟），且还须提供不少于如租房合同、人员电话、水电缴费证明等证明材料。</w:t>
            </w:r>
          </w:p>
          <w:p>
            <w:pPr>
              <w:snapToGrid w:val="0"/>
              <w:spacing w:line="400" w:lineRule="exact"/>
              <w:ind w:firstLine="420" w:firstLineChars="200"/>
              <w:rPr>
                <w:rFonts w:hint="eastAsia" w:ascii="新宋体" w:hAnsi="新宋体" w:eastAsia="新宋体" w:cs="新宋体"/>
                <w:color w:val="auto"/>
                <w:sz w:val="21"/>
                <w:szCs w:val="21"/>
                <w:highlight w:val="none"/>
                <w:u w:val="none"/>
                <w:lang w:val="en-US" w:eastAsia="zh-CN"/>
              </w:rPr>
            </w:pPr>
            <w:r>
              <w:rPr>
                <w:rFonts w:hint="eastAsia" w:ascii="新宋体" w:hAnsi="新宋体" w:eastAsia="新宋体" w:cs="新宋体"/>
                <w:color w:val="auto"/>
                <w:sz w:val="21"/>
                <w:szCs w:val="21"/>
                <w:highlight w:val="none"/>
                <w:u w:val="none"/>
                <w:lang w:val="en-US" w:eastAsia="zh-CN"/>
              </w:rPr>
              <w:t>满足以上要求得1分，不提供或缺项不得分。</w:t>
            </w:r>
          </w:p>
          <w:p>
            <w:pPr>
              <w:snapToGrid w:val="0"/>
              <w:spacing w:line="400" w:lineRule="exact"/>
              <w:ind w:firstLine="420" w:firstLineChars="200"/>
              <w:rPr>
                <w:rFonts w:hint="eastAsia" w:ascii="新宋体" w:hAnsi="新宋体" w:eastAsia="新宋体" w:cs="新宋体"/>
                <w:color w:val="auto"/>
                <w:sz w:val="21"/>
                <w:szCs w:val="21"/>
                <w:highlight w:val="none"/>
                <w:u w:val="none"/>
                <w:lang w:val="en-US" w:eastAsia="zh-CN"/>
              </w:rPr>
            </w:pPr>
            <w:r>
              <w:rPr>
                <w:rFonts w:hint="eastAsia" w:ascii="新宋体" w:hAnsi="新宋体" w:eastAsia="新宋体" w:cs="新宋体"/>
                <w:color w:val="auto"/>
                <w:sz w:val="21"/>
                <w:szCs w:val="21"/>
                <w:highlight w:val="none"/>
                <w:u w:val="none"/>
                <w:lang w:val="en-US" w:eastAsia="zh-CN"/>
              </w:rPr>
              <w:t>2.投标人自行承诺设备调试完成后提供现场培训服务（包含提供培训资料）（1分）。</w:t>
            </w:r>
          </w:p>
          <w:p>
            <w:pPr>
              <w:snapToGrid w:val="0"/>
              <w:spacing w:line="400" w:lineRule="exact"/>
              <w:ind w:firstLine="420" w:firstLineChars="200"/>
              <w:rPr>
                <w:rFonts w:hint="eastAsia" w:ascii="新宋体" w:hAnsi="新宋体" w:eastAsia="新宋体" w:cs="新宋体"/>
                <w:color w:val="auto"/>
                <w:sz w:val="21"/>
                <w:szCs w:val="21"/>
                <w:highlight w:val="none"/>
                <w:u w:val="none"/>
                <w:lang w:val="en-US" w:eastAsia="zh-CN"/>
              </w:rPr>
            </w:pPr>
            <w:r>
              <w:rPr>
                <w:rFonts w:hint="eastAsia" w:ascii="新宋体" w:hAnsi="新宋体" w:eastAsia="新宋体" w:cs="新宋体"/>
                <w:color w:val="auto"/>
                <w:sz w:val="21"/>
                <w:szCs w:val="21"/>
                <w:highlight w:val="none"/>
                <w:u w:val="none"/>
                <w:lang w:val="en-US" w:eastAsia="zh-CN"/>
              </w:rPr>
              <w:t>投标人须在投标文件商务部分提供自行承诺（格式自拟），且还须提供培训资料。</w:t>
            </w:r>
          </w:p>
          <w:p>
            <w:pPr>
              <w:snapToGrid w:val="0"/>
              <w:spacing w:line="400" w:lineRule="exact"/>
              <w:ind w:firstLine="420" w:firstLineChars="200"/>
              <w:rPr>
                <w:rFonts w:hint="eastAsia" w:ascii="新宋体" w:hAnsi="新宋体" w:eastAsia="新宋体" w:cs="新宋体"/>
                <w:color w:val="auto"/>
                <w:sz w:val="21"/>
                <w:szCs w:val="21"/>
                <w:highlight w:val="none"/>
                <w:u w:val="none"/>
                <w:lang w:val="en-US" w:eastAsia="zh-CN"/>
              </w:rPr>
            </w:pPr>
            <w:r>
              <w:rPr>
                <w:rFonts w:hint="eastAsia" w:ascii="新宋体" w:hAnsi="新宋体" w:eastAsia="新宋体" w:cs="新宋体"/>
                <w:color w:val="auto"/>
                <w:sz w:val="21"/>
                <w:szCs w:val="21"/>
                <w:highlight w:val="none"/>
                <w:u w:val="none"/>
                <w:lang w:val="en-US" w:eastAsia="zh-CN"/>
              </w:rPr>
              <w:t>满足以上要求得1分，不提供或缺项不得分。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87" w:type="dxa"/>
            <w:vMerge w:val="restart"/>
            <w:tcBorders>
              <w:right w:val="single" w:color="auto" w:sz="4" w:space="0"/>
            </w:tcBorders>
            <w:vAlign w:val="center"/>
          </w:tcPr>
          <w:p>
            <w:pPr>
              <w:spacing w:line="400" w:lineRule="exact"/>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2.2.2（</w:t>
            </w:r>
            <w:r>
              <w:rPr>
                <w:rFonts w:hint="eastAsia" w:ascii="新宋体" w:hAnsi="新宋体" w:eastAsia="新宋体" w:cs="新宋体"/>
                <w:color w:val="auto"/>
                <w:kern w:val="0"/>
                <w:sz w:val="21"/>
                <w:szCs w:val="21"/>
                <w:highlight w:val="none"/>
                <w:lang w:val="en-US" w:eastAsia="zh-CN"/>
              </w:rPr>
              <w:t>3</w:t>
            </w:r>
            <w:r>
              <w:rPr>
                <w:rFonts w:hint="eastAsia" w:ascii="新宋体" w:hAnsi="新宋体" w:eastAsia="新宋体" w:cs="新宋体"/>
                <w:color w:val="auto"/>
                <w:kern w:val="0"/>
                <w:sz w:val="21"/>
                <w:szCs w:val="21"/>
                <w:highlight w:val="none"/>
              </w:rPr>
              <w:t>）</w:t>
            </w:r>
          </w:p>
        </w:tc>
        <w:tc>
          <w:tcPr>
            <w:tcW w:w="535" w:type="dxa"/>
            <w:vMerge w:val="restart"/>
            <w:tcBorders>
              <w:left w:val="single" w:color="auto" w:sz="4" w:space="0"/>
            </w:tcBorders>
            <w:vAlign w:val="center"/>
          </w:tcPr>
          <w:p>
            <w:pPr>
              <w:spacing w:line="400" w:lineRule="exact"/>
              <w:jc w:val="center"/>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投标函部分及经济部分评审标准</w:t>
            </w:r>
          </w:p>
        </w:tc>
        <w:tc>
          <w:tcPr>
            <w:tcW w:w="2560" w:type="dxa"/>
            <w:gridSpan w:val="3"/>
            <w:vAlign w:val="center"/>
          </w:tcPr>
          <w:p>
            <w:pPr>
              <w:tabs>
                <w:tab w:val="left" w:pos="1875"/>
              </w:tabs>
              <w:spacing w:line="400" w:lineRule="exact"/>
              <w:jc w:val="center"/>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投标函部分的签名盖章</w:t>
            </w:r>
          </w:p>
        </w:tc>
        <w:tc>
          <w:tcPr>
            <w:tcW w:w="5493" w:type="dxa"/>
            <w:vAlign w:val="center"/>
          </w:tcPr>
          <w:p>
            <w:pPr>
              <w:snapToGrid w:val="0"/>
              <w:spacing w:line="400" w:lineRule="exact"/>
              <w:ind w:firstLine="420" w:firstLineChars="200"/>
              <w:rPr>
                <w:rFonts w:hint="eastAsia" w:ascii="新宋体" w:hAnsi="新宋体" w:eastAsia="新宋体" w:cs="新宋体"/>
                <w:color w:val="auto"/>
                <w:sz w:val="21"/>
                <w:szCs w:val="21"/>
                <w:highlight w:val="none"/>
                <w:u w:val="single"/>
              </w:rPr>
            </w:pPr>
            <w:r>
              <w:rPr>
                <w:rFonts w:hint="eastAsia" w:ascii="新宋体" w:hAnsi="新宋体" w:eastAsia="新宋体" w:cs="新宋体"/>
                <w:color w:val="auto"/>
                <w:kern w:val="0"/>
                <w:sz w:val="21"/>
                <w:szCs w:val="21"/>
                <w:highlight w:val="none"/>
              </w:rPr>
              <w:t>投标函部分的格式要求法定代表人或其委托代理人签名（或盖章）的须齐全，</w:t>
            </w:r>
            <w:r>
              <w:rPr>
                <w:rFonts w:hint="eastAsia" w:ascii="新宋体" w:hAnsi="新宋体" w:eastAsia="新宋体" w:cs="新宋体"/>
                <w:color w:val="auto"/>
                <w:sz w:val="21"/>
                <w:szCs w:val="21"/>
                <w:highlight w:val="none"/>
                <w:lang w:val="en-US" w:eastAsia="zh-CN"/>
              </w:rPr>
              <w:t>要求签名的，</w:t>
            </w:r>
            <w:r>
              <w:rPr>
                <w:rFonts w:hint="eastAsia" w:ascii="新宋体" w:hAnsi="新宋体" w:eastAsia="新宋体" w:cs="新宋体"/>
                <w:color w:val="auto"/>
                <w:kern w:val="0"/>
                <w:sz w:val="21"/>
                <w:szCs w:val="21"/>
                <w:highlight w:val="none"/>
              </w:rPr>
              <w:t>签名采用手写签名或签章或加盖CA数字证书均可</w:t>
            </w:r>
            <w:r>
              <w:rPr>
                <w:rFonts w:hint="eastAsia" w:ascii="新宋体" w:hAnsi="新宋体" w:eastAsia="新宋体" w:cs="新宋体"/>
                <w:color w:val="auto"/>
                <w:kern w:val="0"/>
                <w:sz w:val="21"/>
                <w:szCs w:val="21"/>
                <w:highlight w:val="none"/>
                <w:lang w:eastAsia="zh-CN"/>
              </w:rPr>
              <w:t>，</w:t>
            </w:r>
            <w:r>
              <w:rPr>
                <w:rFonts w:hint="eastAsia" w:ascii="新宋体" w:hAnsi="新宋体" w:eastAsia="新宋体" w:cs="新宋体"/>
                <w:color w:val="auto"/>
                <w:kern w:val="0"/>
                <w:sz w:val="21"/>
                <w:szCs w:val="21"/>
                <w:highlight w:val="none"/>
              </w:rPr>
              <w:t>要求加盖单位法人章的，应使用 CA 数字证书加盖投标人的单位电子印章。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87" w:type="dxa"/>
            <w:vMerge w:val="continue"/>
            <w:tcBorders>
              <w:right w:val="single" w:color="auto" w:sz="4" w:space="0"/>
            </w:tcBorders>
            <w:vAlign w:val="center"/>
          </w:tcPr>
          <w:p>
            <w:pPr>
              <w:spacing w:line="400" w:lineRule="exact"/>
              <w:rPr>
                <w:rFonts w:hint="eastAsia" w:ascii="新宋体" w:hAnsi="新宋体" w:eastAsia="新宋体" w:cs="新宋体"/>
                <w:color w:val="auto"/>
                <w:kern w:val="0"/>
                <w:sz w:val="21"/>
                <w:szCs w:val="21"/>
                <w:highlight w:val="none"/>
              </w:rPr>
            </w:pPr>
          </w:p>
        </w:tc>
        <w:tc>
          <w:tcPr>
            <w:tcW w:w="535" w:type="dxa"/>
            <w:vMerge w:val="continue"/>
            <w:tcBorders>
              <w:left w:val="single" w:color="auto" w:sz="4" w:space="0"/>
            </w:tcBorders>
            <w:vAlign w:val="center"/>
          </w:tcPr>
          <w:p>
            <w:pPr>
              <w:spacing w:line="400" w:lineRule="exact"/>
              <w:ind w:firstLine="210" w:firstLineChars="100"/>
              <w:jc w:val="center"/>
              <w:rPr>
                <w:rFonts w:hint="eastAsia" w:ascii="新宋体" w:hAnsi="新宋体" w:eastAsia="新宋体" w:cs="新宋体"/>
                <w:color w:val="auto"/>
                <w:kern w:val="0"/>
                <w:sz w:val="21"/>
                <w:szCs w:val="21"/>
                <w:highlight w:val="none"/>
              </w:rPr>
            </w:pPr>
          </w:p>
        </w:tc>
        <w:tc>
          <w:tcPr>
            <w:tcW w:w="2560" w:type="dxa"/>
            <w:gridSpan w:val="3"/>
            <w:vAlign w:val="center"/>
          </w:tcPr>
          <w:p>
            <w:pPr>
              <w:tabs>
                <w:tab w:val="left" w:pos="1875"/>
              </w:tabs>
              <w:spacing w:line="400" w:lineRule="exact"/>
              <w:jc w:val="center"/>
              <w:rPr>
                <w:rFonts w:hint="eastAsia" w:ascii="新宋体" w:hAnsi="新宋体" w:eastAsia="新宋体" w:cs="新宋体"/>
                <w:color w:val="auto"/>
                <w:kern w:val="0"/>
                <w:sz w:val="21"/>
                <w:szCs w:val="21"/>
                <w:highlight w:val="none"/>
                <w:lang w:val="en-US" w:eastAsia="zh-CN"/>
              </w:rPr>
            </w:pPr>
            <w:r>
              <w:rPr>
                <w:rFonts w:hint="eastAsia" w:ascii="新宋体" w:hAnsi="新宋体" w:eastAsia="新宋体" w:cs="新宋体"/>
                <w:color w:val="auto"/>
                <w:kern w:val="0"/>
                <w:sz w:val="21"/>
                <w:szCs w:val="21"/>
                <w:highlight w:val="none"/>
                <w:lang w:val="en-US" w:eastAsia="zh-CN"/>
              </w:rPr>
              <w:t>交货期</w:t>
            </w:r>
          </w:p>
        </w:tc>
        <w:tc>
          <w:tcPr>
            <w:tcW w:w="5493" w:type="dxa"/>
            <w:vAlign w:val="center"/>
          </w:tcPr>
          <w:p>
            <w:pPr>
              <w:snapToGrid w:val="0"/>
              <w:spacing w:line="400" w:lineRule="exact"/>
              <w:ind w:firstLine="420" w:firstLineChars="200"/>
              <w:rPr>
                <w:rFonts w:hint="eastAsia" w:ascii="新宋体" w:hAnsi="新宋体" w:eastAsia="新宋体" w:cs="新宋体"/>
                <w:color w:val="auto"/>
                <w:sz w:val="21"/>
                <w:szCs w:val="21"/>
                <w:highlight w:val="none"/>
                <w:u w:val="single"/>
              </w:rPr>
            </w:pPr>
            <w:r>
              <w:rPr>
                <w:rFonts w:hint="eastAsia" w:ascii="新宋体" w:hAnsi="新宋体" w:eastAsia="新宋体" w:cs="新宋体"/>
                <w:color w:val="auto"/>
                <w:kern w:val="0"/>
                <w:sz w:val="21"/>
                <w:szCs w:val="21"/>
                <w:highlight w:val="none"/>
              </w:rPr>
              <w:t>符合第二章“投标人须知”第1.3.2项规定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87" w:type="dxa"/>
            <w:vMerge w:val="continue"/>
            <w:tcBorders>
              <w:right w:val="single" w:color="auto" w:sz="4" w:space="0"/>
            </w:tcBorders>
            <w:vAlign w:val="center"/>
          </w:tcPr>
          <w:p>
            <w:pPr>
              <w:spacing w:line="400" w:lineRule="exact"/>
              <w:rPr>
                <w:rFonts w:hint="eastAsia" w:ascii="新宋体" w:hAnsi="新宋体" w:eastAsia="新宋体" w:cs="新宋体"/>
                <w:color w:val="auto"/>
                <w:kern w:val="0"/>
                <w:sz w:val="21"/>
                <w:szCs w:val="21"/>
                <w:highlight w:val="none"/>
              </w:rPr>
            </w:pPr>
          </w:p>
        </w:tc>
        <w:tc>
          <w:tcPr>
            <w:tcW w:w="535" w:type="dxa"/>
            <w:vMerge w:val="continue"/>
            <w:tcBorders>
              <w:left w:val="single" w:color="auto" w:sz="4" w:space="0"/>
            </w:tcBorders>
            <w:vAlign w:val="center"/>
          </w:tcPr>
          <w:p>
            <w:pPr>
              <w:spacing w:line="400" w:lineRule="exact"/>
              <w:ind w:firstLine="210" w:firstLineChars="100"/>
              <w:jc w:val="center"/>
              <w:rPr>
                <w:rFonts w:hint="eastAsia" w:ascii="新宋体" w:hAnsi="新宋体" w:eastAsia="新宋体" w:cs="新宋体"/>
                <w:color w:val="auto"/>
                <w:kern w:val="0"/>
                <w:sz w:val="21"/>
                <w:szCs w:val="21"/>
                <w:highlight w:val="none"/>
              </w:rPr>
            </w:pPr>
          </w:p>
        </w:tc>
        <w:tc>
          <w:tcPr>
            <w:tcW w:w="2560" w:type="dxa"/>
            <w:gridSpan w:val="3"/>
            <w:vAlign w:val="center"/>
          </w:tcPr>
          <w:p>
            <w:pPr>
              <w:tabs>
                <w:tab w:val="left" w:pos="1875"/>
              </w:tabs>
              <w:spacing w:line="400" w:lineRule="exact"/>
              <w:jc w:val="center"/>
              <w:rPr>
                <w:rFonts w:hint="eastAsia" w:ascii="新宋体" w:hAnsi="新宋体" w:eastAsia="新宋体" w:cs="新宋体"/>
                <w:color w:val="auto"/>
                <w:kern w:val="0"/>
                <w:sz w:val="21"/>
                <w:szCs w:val="21"/>
                <w:highlight w:val="none"/>
                <w:lang w:eastAsia="zh-CN"/>
              </w:rPr>
            </w:pPr>
            <w:r>
              <w:rPr>
                <w:rFonts w:hint="eastAsia" w:ascii="新宋体" w:hAnsi="新宋体" w:eastAsia="新宋体" w:cs="新宋体"/>
                <w:color w:val="auto"/>
                <w:kern w:val="0"/>
                <w:sz w:val="21"/>
                <w:szCs w:val="21"/>
                <w:highlight w:val="none"/>
                <w:lang w:val="en-US" w:eastAsia="zh-CN"/>
              </w:rPr>
              <w:t>交货地点</w:t>
            </w:r>
          </w:p>
        </w:tc>
        <w:tc>
          <w:tcPr>
            <w:tcW w:w="5493" w:type="dxa"/>
            <w:vAlign w:val="center"/>
          </w:tcPr>
          <w:p>
            <w:pPr>
              <w:snapToGrid w:val="0"/>
              <w:spacing w:line="400" w:lineRule="exact"/>
              <w:ind w:firstLine="420" w:firstLineChars="200"/>
              <w:rPr>
                <w:rFonts w:hint="eastAsia" w:ascii="新宋体" w:hAnsi="新宋体" w:eastAsia="新宋体" w:cs="新宋体"/>
                <w:color w:val="auto"/>
                <w:sz w:val="21"/>
                <w:szCs w:val="21"/>
                <w:highlight w:val="none"/>
                <w:u w:val="single"/>
              </w:rPr>
            </w:pPr>
            <w:r>
              <w:rPr>
                <w:rFonts w:hint="eastAsia" w:ascii="新宋体" w:hAnsi="新宋体" w:eastAsia="新宋体" w:cs="新宋体"/>
                <w:color w:val="auto"/>
                <w:kern w:val="0"/>
                <w:sz w:val="21"/>
                <w:szCs w:val="21"/>
                <w:highlight w:val="none"/>
              </w:rPr>
              <w:t>符合第二章“投标人须知”第1.3.3项规定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87" w:type="dxa"/>
            <w:vMerge w:val="continue"/>
            <w:tcBorders>
              <w:right w:val="single" w:color="auto" w:sz="4" w:space="0"/>
            </w:tcBorders>
            <w:vAlign w:val="center"/>
          </w:tcPr>
          <w:p>
            <w:pPr>
              <w:spacing w:line="400" w:lineRule="exact"/>
              <w:rPr>
                <w:rFonts w:hint="eastAsia" w:ascii="新宋体" w:hAnsi="新宋体" w:eastAsia="新宋体" w:cs="新宋体"/>
                <w:color w:val="auto"/>
                <w:kern w:val="0"/>
                <w:sz w:val="21"/>
                <w:szCs w:val="21"/>
                <w:highlight w:val="none"/>
              </w:rPr>
            </w:pPr>
          </w:p>
        </w:tc>
        <w:tc>
          <w:tcPr>
            <w:tcW w:w="535" w:type="dxa"/>
            <w:vMerge w:val="continue"/>
            <w:tcBorders>
              <w:left w:val="single" w:color="auto" w:sz="4" w:space="0"/>
            </w:tcBorders>
            <w:vAlign w:val="center"/>
          </w:tcPr>
          <w:p>
            <w:pPr>
              <w:spacing w:line="400" w:lineRule="exact"/>
              <w:ind w:firstLine="210" w:firstLineChars="100"/>
              <w:jc w:val="center"/>
              <w:rPr>
                <w:rFonts w:hint="eastAsia" w:ascii="新宋体" w:hAnsi="新宋体" w:eastAsia="新宋体" w:cs="新宋体"/>
                <w:color w:val="auto"/>
                <w:kern w:val="0"/>
                <w:sz w:val="21"/>
                <w:szCs w:val="21"/>
                <w:highlight w:val="none"/>
              </w:rPr>
            </w:pPr>
          </w:p>
        </w:tc>
        <w:tc>
          <w:tcPr>
            <w:tcW w:w="2560" w:type="dxa"/>
            <w:gridSpan w:val="3"/>
            <w:vAlign w:val="center"/>
          </w:tcPr>
          <w:p>
            <w:pPr>
              <w:tabs>
                <w:tab w:val="left" w:pos="1875"/>
              </w:tabs>
              <w:spacing w:line="400" w:lineRule="exact"/>
              <w:jc w:val="center"/>
              <w:rPr>
                <w:rFonts w:hint="eastAsia" w:ascii="新宋体" w:hAnsi="新宋体" w:eastAsia="新宋体" w:cs="新宋体"/>
                <w:color w:val="auto"/>
                <w:kern w:val="0"/>
                <w:sz w:val="21"/>
                <w:szCs w:val="21"/>
                <w:highlight w:val="none"/>
                <w:lang w:val="en-US" w:eastAsia="zh-CN"/>
              </w:rPr>
            </w:pPr>
            <w:r>
              <w:rPr>
                <w:rFonts w:hint="eastAsia" w:ascii="新宋体" w:hAnsi="新宋体" w:eastAsia="新宋体" w:cs="新宋体"/>
                <w:color w:val="auto"/>
                <w:kern w:val="0"/>
                <w:sz w:val="21"/>
                <w:szCs w:val="21"/>
                <w:highlight w:val="none"/>
                <w:lang w:val="en-US" w:eastAsia="zh-CN"/>
              </w:rPr>
              <w:t>质量保证期</w:t>
            </w:r>
          </w:p>
        </w:tc>
        <w:tc>
          <w:tcPr>
            <w:tcW w:w="5493" w:type="dxa"/>
            <w:vAlign w:val="center"/>
          </w:tcPr>
          <w:p>
            <w:pPr>
              <w:snapToGrid w:val="0"/>
              <w:spacing w:line="400" w:lineRule="exact"/>
              <w:ind w:firstLine="420" w:firstLineChars="200"/>
              <w:rPr>
                <w:rFonts w:hint="eastAsia" w:ascii="新宋体" w:hAnsi="新宋体" w:eastAsia="新宋体" w:cs="新宋体"/>
                <w:color w:val="auto"/>
                <w:kern w:val="2"/>
                <w:sz w:val="21"/>
                <w:szCs w:val="21"/>
                <w:highlight w:val="none"/>
                <w:u w:val="single"/>
                <w:lang w:val="en-US" w:eastAsia="zh-CN" w:bidi="ar-SA"/>
              </w:rPr>
            </w:pPr>
            <w:r>
              <w:rPr>
                <w:rFonts w:hint="eastAsia" w:ascii="新宋体" w:hAnsi="新宋体" w:eastAsia="新宋体" w:cs="新宋体"/>
                <w:color w:val="auto"/>
                <w:kern w:val="0"/>
                <w:sz w:val="21"/>
                <w:szCs w:val="21"/>
                <w:highlight w:val="none"/>
              </w:rPr>
              <w:t>符合第二章“投标人须知”第1.3.</w:t>
            </w:r>
            <w:r>
              <w:rPr>
                <w:rFonts w:hint="eastAsia" w:ascii="新宋体" w:hAnsi="新宋体" w:eastAsia="新宋体" w:cs="新宋体"/>
                <w:color w:val="auto"/>
                <w:kern w:val="0"/>
                <w:sz w:val="21"/>
                <w:szCs w:val="21"/>
                <w:highlight w:val="none"/>
                <w:lang w:val="en-US" w:eastAsia="zh-CN"/>
              </w:rPr>
              <w:t>5</w:t>
            </w:r>
            <w:r>
              <w:rPr>
                <w:rFonts w:hint="eastAsia" w:ascii="新宋体" w:hAnsi="新宋体" w:eastAsia="新宋体" w:cs="新宋体"/>
                <w:color w:val="auto"/>
                <w:kern w:val="0"/>
                <w:sz w:val="21"/>
                <w:szCs w:val="21"/>
                <w:highlight w:val="none"/>
              </w:rPr>
              <w:t>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87" w:type="dxa"/>
            <w:vMerge w:val="continue"/>
            <w:tcBorders>
              <w:right w:val="single" w:color="auto" w:sz="4" w:space="0"/>
            </w:tcBorders>
            <w:vAlign w:val="center"/>
          </w:tcPr>
          <w:p>
            <w:pPr>
              <w:spacing w:line="400" w:lineRule="exact"/>
              <w:rPr>
                <w:rFonts w:hint="eastAsia" w:ascii="新宋体" w:hAnsi="新宋体" w:eastAsia="新宋体" w:cs="新宋体"/>
                <w:color w:val="auto"/>
                <w:kern w:val="0"/>
                <w:sz w:val="21"/>
                <w:szCs w:val="21"/>
                <w:highlight w:val="none"/>
              </w:rPr>
            </w:pPr>
          </w:p>
        </w:tc>
        <w:tc>
          <w:tcPr>
            <w:tcW w:w="535" w:type="dxa"/>
            <w:vMerge w:val="continue"/>
            <w:tcBorders>
              <w:left w:val="single" w:color="auto" w:sz="4" w:space="0"/>
            </w:tcBorders>
            <w:vAlign w:val="center"/>
          </w:tcPr>
          <w:p>
            <w:pPr>
              <w:spacing w:line="400" w:lineRule="exact"/>
              <w:ind w:firstLine="210" w:firstLineChars="100"/>
              <w:jc w:val="center"/>
              <w:rPr>
                <w:rFonts w:hint="eastAsia" w:ascii="新宋体" w:hAnsi="新宋体" w:eastAsia="新宋体" w:cs="新宋体"/>
                <w:color w:val="auto"/>
                <w:kern w:val="0"/>
                <w:sz w:val="21"/>
                <w:szCs w:val="21"/>
                <w:highlight w:val="none"/>
              </w:rPr>
            </w:pPr>
          </w:p>
        </w:tc>
        <w:tc>
          <w:tcPr>
            <w:tcW w:w="2560" w:type="dxa"/>
            <w:gridSpan w:val="3"/>
            <w:vAlign w:val="center"/>
          </w:tcPr>
          <w:p>
            <w:pPr>
              <w:tabs>
                <w:tab w:val="left" w:pos="1875"/>
              </w:tabs>
              <w:spacing w:line="400" w:lineRule="exact"/>
              <w:jc w:val="center"/>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投标有效期</w:t>
            </w:r>
          </w:p>
        </w:tc>
        <w:tc>
          <w:tcPr>
            <w:tcW w:w="5493" w:type="dxa"/>
            <w:vAlign w:val="center"/>
          </w:tcPr>
          <w:p>
            <w:pPr>
              <w:snapToGrid w:val="0"/>
              <w:spacing w:line="400" w:lineRule="exact"/>
              <w:ind w:firstLine="420" w:firstLineChars="200"/>
              <w:rPr>
                <w:rFonts w:hint="eastAsia" w:ascii="新宋体" w:hAnsi="新宋体" w:eastAsia="新宋体" w:cs="新宋体"/>
                <w:color w:val="auto"/>
                <w:sz w:val="21"/>
                <w:szCs w:val="21"/>
                <w:highlight w:val="none"/>
                <w:u w:val="single"/>
              </w:rPr>
            </w:pPr>
            <w:r>
              <w:rPr>
                <w:rFonts w:hint="eastAsia" w:ascii="新宋体" w:hAnsi="新宋体" w:eastAsia="新宋体" w:cs="新宋体"/>
                <w:color w:val="auto"/>
                <w:kern w:val="0"/>
                <w:sz w:val="21"/>
                <w:szCs w:val="21"/>
                <w:highlight w:val="none"/>
              </w:rPr>
              <w:t>符合第二章“投标人须知”第3.3.1项规定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87" w:type="dxa"/>
            <w:vMerge w:val="continue"/>
            <w:tcBorders>
              <w:right w:val="single" w:color="auto" w:sz="4" w:space="0"/>
            </w:tcBorders>
            <w:vAlign w:val="center"/>
          </w:tcPr>
          <w:p>
            <w:pPr>
              <w:spacing w:line="400" w:lineRule="exact"/>
              <w:rPr>
                <w:rFonts w:hint="eastAsia" w:ascii="新宋体" w:hAnsi="新宋体" w:eastAsia="新宋体" w:cs="新宋体"/>
                <w:color w:val="auto"/>
                <w:kern w:val="0"/>
                <w:sz w:val="21"/>
                <w:szCs w:val="21"/>
                <w:highlight w:val="none"/>
              </w:rPr>
            </w:pPr>
          </w:p>
        </w:tc>
        <w:tc>
          <w:tcPr>
            <w:tcW w:w="535" w:type="dxa"/>
            <w:vMerge w:val="continue"/>
            <w:tcBorders>
              <w:left w:val="single" w:color="auto" w:sz="4" w:space="0"/>
            </w:tcBorders>
            <w:vAlign w:val="center"/>
          </w:tcPr>
          <w:p>
            <w:pPr>
              <w:spacing w:line="400" w:lineRule="exact"/>
              <w:ind w:firstLine="210" w:firstLineChars="100"/>
              <w:jc w:val="center"/>
              <w:rPr>
                <w:rFonts w:hint="eastAsia" w:ascii="新宋体" w:hAnsi="新宋体" w:eastAsia="新宋体" w:cs="新宋体"/>
                <w:color w:val="auto"/>
                <w:kern w:val="0"/>
                <w:sz w:val="21"/>
                <w:szCs w:val="21"/>
                <w:highlight w:val="none"/>
              </w:rPr>
            </w:pPr>
          </w:p>
        </w:tc>
        <w:tc>
          <w:tcPr>
            <w:tcW w:w="2560" w:type="dxa"/>
            <w:gridSpan w:val="3"/>
            <w:vAlign w:val="center"/>
          </w:tcPr>
          <w:p>
            <w:pPr>
              <w:tabs>
                <w:tab w:val="left" w:pos="1875"/>
              </w:tabs>
              <w:spacing w:line="400" w:lineRule="exact"/>
              <w:jc w:val="center"/>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投标总报价</w:t>
            </w:r>
          </w:p>
        </w:tc>
        <w:tc>
          <w:tcPr>
            <w:tcW w:w="5493" w:type="dxa"/>
            <w:vAlign w:val="center"/>
          </w:tcPr>
          <w:p>
            <w:pPr>
              <w:spacing w:line="400" w:lineRule="exact"/>
              <w:ind w:firstLine="420" w:firstLineChars="200"/>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1.投标函中的总报价</w:t>
            </w:r>
            <w:r>
              <w:rPr>
                <w:rFonts w:hint="eastAsia" w:ascii="新宋体" w:hAnsi="新宋体" w:eastAsia="新宋体" w:cs="新宋体"/>
                <w:color w:val="auto"/>
                <w:kern w:val="0"/>
                <w:sz w:val="21"/>
                <w:szCs w:val="21"/>
                <w:highlight w:val="none"/>
                <w:lang w:val="en-US" w:eastAsia="zh-CN"/>
              </w:rPr>
              <w:t>应</w:t>
            </w:r>
            <w:r>
              <w:rPr>
                <w:rFonts w:hint="eastAsia" w:ascii="新宋体" w:hAnsi="新宋体" w:eastAsia="新宋体" w:cs="新宋体"/>
                <w:color w:val="auto"/>
                <w:kern w:val="0"/>
                <w:sz w:val="21"/>
                <w:szCs w:val="21"/>
                <w:highlight w:val="none"/>
              </w:rPr>
              <w:t>与已标价</w:t>
            </w:r>
            <w:r>
              <w:rPr>
                <w:rFonts w:hint="eastAsia" w:ascii="新宋体" w:hAnsi="新宋体" w:eastAsia="新宋体" w:cs="新宋体"/>
                <w:color w:val="auto"/>
                <w:kern w:val="0"/>
                <w:sz w:val="21"/>
                <w:szCs w:val="21"/>
                <w:highlight w:val="none"/>
                <w:lang w:val="en-US" w:eastAsia="zh-CN"/>
              </w:rPr>
              <w:t>设备</w:t>
            </w:r>
            <w:r>
              <w:rPr>
                <w:rFonts w:hint="eastAsia" w:ascii="新宋体" w:hAnsi="新宋体" w:eastAsia="新宋体" w:cs="新宋体"/>
                <w:color w:val="auto"/>
                <w:kern w:val="0"/>
                <w:sz w:val="21"/>
                <w:szCs w:val="21"/>
                <w:highlight w:val="none"/>
              </w:rPr>
              <w:t>清单总报价一致</w:t>
            </w:r>
            <w:r>
              <w:rPr>
                <w:rFonts w:hint="eastAsia" w:ascii="新宋体" w:hAnsi="新宋体" w:eastAsia="新宋体" w:cs="新宋体"/>
                <w:color w:val="auto"/>
                <w:kern w:val="0"/>
                <w:sz w:val="21"/>
                <w:szCs w:val="21"/>
                <w:highlight w:val="none"/>
                <w:lang w:eastAsia="zh-CN"/>
              </w:rPr>
              <w:t>，</w:t>
            </w:r>
            <w:r>
              <w:rPr>
                <w:rFonts w:hint="eastAsia" w:ascii="新宋体" w:hAnsi="新宋体" w:eastAsia="新宋体" w:cs="新宋体"/>
                <w:color w:val="auto"/>
                <w:kern w:val="0"/>
                <w:sz w:val="21"/>
                <w:szCs w:val="21"/>
                <w:highlight w:val="none"/>
                <w:lang w:val="en-US" w:eastAsia="zh-CN"/>
              </w:rPr>
              <w:t>设备</w:t>
            </w:r>
            <w:r>
              <w:rPr>
                <w:rFonts w:hint="eastAsia" w:ascii="新宋体" w:hAnsi="新宋体" w:eastAsia="新宋体" w:cs="新宋体"/>
                <w:color w:val="auto"/>
                <w:kern w:val="0"/>
                <w:sz w:val="21"/>
                <w:szCs w:val="21"/>
                <w:highlight w:val="none"/>
              </w:rPr>
              <w:t>清单总报价</w:t>
            </w:r>
            <w:r>
              <w:rPr>
                <w:rFonts w:hint="eastAsia" w:ascii="新宋体" w:hAnsi="新宋体" w:eastAsia="新宋体" w:cs="新宋体"/>
                <w:color w:val="auto"/>
                <w:kern w:val="0"/>
                <w:sz w:val="21"/>
                <w:szCs w:val="21"/>
                <w:highlight w:val="none"/>
                <w:lang w:val="en-US" w:eastAsia="zh-CN"/>
              </w:rPr>
              <w:t>应</w:t>
            </w:r>
            <w:r>
              <w:rPr>
                <w:rFonts w:hint="eastAsia" w:ascii="新宋体" w:hAnsi="新宋体" w:eastAsia="新宋体" w:cs="新宋体"/>
                <w:color w:val="auto"/>
                <w:kern w:val="0"/>
                <w:sz w:val="21"/>
                <w:szCs w:val="21"/>
                <w:highlight w:val="none"/>
              </w:rPr>
              <w:t>与依据单价、数量、分部分项</w:t>
            </w:r>
            <w:r>
              <w:rPr>
                <w:rFonts w:hint="eastAsia" w:ascii="新宋体" w:hAnsi="新宋体" w:eastAsia="新宋体" w:cs="新宋体"/>
                <w:color w:val="auto"/>
                <w:kern w:val="0"/>
                <w:sz w:val="21"/>
                <w:szCs w:val="21"/>
                <w:highlight w:val="none"/>
                <w:lang w:val="en-US" w:eastAsia="zh-CN"/>
              </w:rPr>
              <w:t>设备</w:t>
            </w:r>
            <w:r>
              <w:rPr>
                <w:rFonts w:hint="eastAsia" w:ascii="新宋体" w:hAnsi="新宋体" w:eastAsia="新宋体" w:cs="新宋体"/>
                <w:color w:val="auto"/>
                <w:kern w:val="0"/>
                <w:sz w:val="21"/>
                <w:szCs w:val="21"/>
                <w:highlight w:val="none"/>
              </w:rPr>
              <w:t>合价计算出的结果一致。</w:t>
            </w:r>
          </w:p>
          <w:p>
            <w:pPr>
              <w:spacing w:line="400" w:lineRule="exact"/>
              <w:ind w:firstLine="420" w:firstLineChars="200"/>
              <w:rPr>
                <w:rFonts w:hint="eastAsia" w:ascii="新宋体" w:hAnsi="新宋体" w:eastAsia="新宋体" w:cs="新宋体"/>
                <w:color w:val="auto"/>
                <w:kern w:val="0"/>
                <w:sz w:val="21"/>
                <w:szCs w:val="21"/>
                <w:highlight w:val="none"/>
                <w:lang w:val="en-US" w:eastAsia="zh-CN"/>
              </w:rPr>
            </w:pPr>
            <w:r>
              <w:rPr>
                <w:rFonts w:hint="eastAsia" w:ascii="新宋体" w:hAnsi="新宋体" w:eastAsia="新宋体" w:cs="新宋体"/>
                <w:color w:val="auto"/>
                <w:kern w:val="0"/>
                <w:sz w:val="21"/>
                <w:szCs w:val="21"/>
                <w:highlight w:val="none"/>
              </w:rPr>
              <w:t>2.投标总报价不得高于招标人公布的投标总报价最高限价。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887" w:type="dxa"/>
            <w:vMerge w:val="continue"/>
            <w:tcBorders>
              <w:right w:val="single" w:color="auto" w:sz="4" w:space="0"/>
            </w:tcBorders>
            <w:vAlign w:val="center"/>
          </w:tcPr>
          <w:p>
            <w:pPr>
              <w:spacing w:line="400" w:lineRule="exact"/>
              <w:rPr>
                <w:rFonts w:hint="eastAsia" w:ascii="新宋体" w:hAnsi="新宋体" w:eastAsia="新宋体" w:cs="新宋体"/>
                <w:color w:val="auto"/>
                <w:kern w:val="0"/>
                <w:sz w:val="21"/>
                <w:szCs w:val="21"/>
                <w:highlight w:val="none"/>
              </w:rPr>
            </w:pPr>
          </w:p>
        </w:tc>
        <w:tc>
          <w:tcPr>
            <w:tcW w:w="535" w:type="dxa"/>
            <w:vMerge w:val="continue"/>
            <w:tcBorders>
              <w:left w:val="single" w:color="auto" w:sz="4" w:space="0"/>
            </w:tcBorders>
            <w:vAlign w:val="center"/>
          </w:tcPr>
          <w:p>
            <w:pPr>
              <w:spacing w:line="400" w:lineRule="exact"/>
              <w:ind w:firstLine="210" w:firstLineChars="100"/>
              <w:jc w:val="center"/>
              <w:rPr>
                <w:rFonts w:hint="eastAsia" w:ascii="新宋体" w:hAnsi="新宋体" w:eastAsia="新宋体" w:cs="新宋体"/>
                <w:color w:val="auto"/>
                <w:kern w:val="0"/>
                <w:sz w:val="21"/>
                <w:szCs w:val="21"/>
                <w:highlight w:val="none"/>
              </w:rPr>
            </w:pPr>
          </w:p>
        </w:tc>
        <w:tc>
          <w:tcPr>
            <w:tcW w:w="2560" w:type="dxa"/>
            <w:gridSpan w:val="3"/>
            <w:vAlign w:val="center"/>
          </w:tcPr>
          <w:p>
            <w:pPr>
              <w:tabs>
                <w:tab w:val="left" w:pos="1875"/>
              </w:tabs>
              <w:spacing w:line="400" w:lineRule="exact"/>
              <w:jc w:val="center"/>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报价唯一</w:t>
            </w:r>
          </w:p>
        </w:tc>
        <w:tc>
          <w:tcPr>
            <w:tcW w:w="5493" w:type="dxa"/>
            <w:vAlign w:val="center"/>
          </w:tcPr>
          <w:p>
            <w:pPr>
              <w:snapToGrid w:val="0"/>
              <w:spacing w:line="400" w:lineRule="exact"/>
              <w:ind w:firstLine="420" w:firstLineChars="200"/>
              <w:rPr>
                <w:rFonts w:hint="eastAsia" w:ascii="新宋体" w:hAnsi="新宋体" w:eastAsia="新宋体" w:cs="新宋体"/>
                <w:color w:val="auto"/>
                <w:sz w:val="21"/>
                <w:szCs w:val="21"/>
                <w:highlight w:val="none"/>
                <w:u w:val="single"/>
              </w:rPr>
            </w:pPr>
            <w:r>
              <w:rPr>
                <w:rFonts w:hint="eastAsia" w:ascii="新宋体" w:hAnsi="新宋体" w:eastAsia="新宋体" w:cs="新宋体"/>
                <w:color w:val="auto"/>
                <w:kern w:val="0"/>
                <w:sz w:val="21"/>
                <w:szCs w:val="21"/>
                <w:highlight w:val="none"/>
              </w:rPr>
              <w:t>只能有一个有效报价，在招标文件没有规定的情况下，不得提交选择性报价。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87" w:type="dxa"/>
            <w:vMerge w:val="continue"/>
            <w:tcBorders>
              <w:right w:val="single" w:color="auto" w:sz="4" w:space="0"/>
            </w:tcBorders>
            <w:vAlign w:val="center"/>
          </w:tcPr>
          <w:p>
            <w:pPr>
              <w:spacing w:line="400" w:lineRule="exact"/>
              <w:rPr>
                <w:rFonts w:hint="eastAsia" w:ascii="新宋体" w:hAnsi="新宋体" w:eastAsia="新宋体" w:cs="新宋体"/>
                <w:color w:val="auto"/>
                <w:kern w:val="0"/>
                <w:sz w:val="21"/>
                <w:szCs w:val="21"/>
                <w:highlight w:val="none"/>
              </w:rPr>
            </w:pPr>
          </w:p>
        </w:tc>
        <w:tc>
          <w:tcPr>
            <w:tcW w:w="535" w:type="dxa"/>
            <w:vMerge w:val="continue"/>
            <w:tcBorders>
              <w:left w:val="single" w:color="auto" w:sz="4" w:space="0"/>
            </w:tcBorders>
            <w:vAlign w:val="center"/>
          </w:tcPr>
          <w:p>
            <w:pPr>
              <w:spacing w:line="400" w:lineRule="exact"/>
              <w:ind w:firstLine="210" w:firstLineChars="100"/>
              <w:jc w:val="center"/>
              <w:rPr>
                <w:rFonts w:hint="eastAsia" w:ascii="新宋体" w:hAnsi="新宋体" w:eastAsia="新宋体" w:cs="新宋体"/>
                <w:color w:val="auto"/>
                <w:kern w:val="0"/>
                <w:sz w:val="21"/>
                <w:szCs w:val="21"/>
                <w:highlight w:val="none"/>
              </w:rPr>
            </w:pPr>
          </w:p>
        </w:tc>
        <w:tc>
          <w:tcPr>
            <w:tcW w:w="2560" w:type="dxa"/>
            <w:gridSpan w:val="3"/>
            <w:vAlign w:val="center"/>
          </w:tcPr>
          <w:p>
            <w:pPr>
              <w:tabs>
                <w:tab w:val="left" w:pos="1875"/>
              </w:tabs>
              <w:spacing w:line="400" w:lineRule="exact"/>
              <w:jc w:val="center"/>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投标报价算术错误修正</w:t>
            </w:r>
          </w:p>
        </w:tc>
        <w:tc>
          <w:tcPr>
            <w:tcW w:w="5493" w:type="dxa"/>
            <w:vAlign w:val="center"/>
          </w:tcPr>
          <w:p>
            <w:pPr>
              <w:snapToGrid w:val="0"/>
              <w:spacing w:line="400" w:lineRule="exact"/>
              <w:ind w:firstLine="420" w:firstLineChars="200"/>
              <w:rPr>
                <w:rFonts w:hint="eastAsia" w:ascii="新宋体" w:hAnsi="新宋体" w:eastAsia="新宋体" w:cs="新宋体"/>
                <w:color w:val="auto"/>
                <w:sz w:val="21"/>
                <w:szCs w:val="21"/>
                <w:highlight w:val="none"/>
                <w:u w:val="single"/>
              </w:rPr>
            </w:pPr>
            <w:r>
              <w:rPr>
                <w:rFonts w:hint="eastAsia" w:ascii="新宋体" w:hAnsi="新宋体" w:eastAsia="新宋体" w:cs="新宋体"/>
                <w:color w:val="auto"/>
                <w:kern w:val="0"/>
                <w:sz w:val="21"/>
                <w:szCs w:val="21"/>
                <w:highlight w:val="none"/>
              </w:rPr>
              <w:t>符合第三章3.评标程序第3.1.3项规定。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1422" w:type="dxa"/>
            <w:gridSpan w:val="2"/>
            <w:vAlign w:val="center"/>
          </w:tcPr>
          <w:p>
            <w:pPr>
              <w:spacing w:line="400" w:lineRule="exact"/>
              <w:jc w:val="center"/>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2.2.3</w:t>
            </w:r>
          </w:p>
        </w:tc>
        <w:tc>
          <w:tcPr>
            <w:tcW w:w="1546" w:type="dxa"/>
            <w:gridSpan w:val="2"/>
            <w:vAlign w:val="center"/>
          </w:tcPr>
          <w:p>
            <w:pPr>
              <w:spacing w:line="400" w:lineRule="exact"/>
              <w:jc w:val="center"/>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评标基准价计算方法</w:t>
            </w:r>
          </w:p>
        </w:tc>
        <w:tc>
          <w:tcPr>
            <w:tcW w:w="1014" w:type="dxa"/>
            <w:vAlign w:val="center"/>
          </w:tcPr>
          <w:p>
            <w:pPr>
              <w:spacing w:line="400" w:lineRule="exact"/>
              <w:jc w:val="center"/>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投标总报价</w:t>
            </w:r>
          </w:p>
        </w:tc>
        <w:tc>
          <w:tcPr>
            <w:tcW w:w="5493" w:type="dxa"/>
          </w:tcPr>
          <w:p>
            <w:pPr>
              <w:snapToGrid w:val="0"/>
              <w:spacing w:line="400" w:lineRule="exact"/>
              <w:ind w:firstLine="420" w:firstLineChars="200"/>
              <w:jc w:val="left"/>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所有通过初步评审和本章第2.2.2（2）目评审合格的投标人</w:t>
            </w:r>
            <w:r>
              <w:rPr>
                <w:rFonts w:hint="eastAsia" w:ascii="新宋体" w:hAnsi="新宋体" w:eastAsia="新宋体" w:cs="新宋体"/>
                <w:color w:val="auto"/>
                <w:sz w:val="21"/>
                <w:szCs w:val="21"/>
                <w:highlight w:val="none"/>
              </w:rPr>
              <w:t>的投标总报</w:t>
            </w:r>
            <w:r>
              <w:rPr>
                <w:rFonts w:hint="eastAsia" w:ascii="新宋体" w:hAnsi="新宋体" w:eastAsia="新宋体" w:cs="新宋体"/>
                <w:color w:val="auto"/>
                <w:kern w:val="0"/>
                <w:sz w:val="21"/>
                <w:szCs w:val="21"/>
                <w:highlight w:val="none"/>
              </w:rPr>
              <w:t>价中去掉六分之一（不能整除的按小数点前整数取整，不足六家报价则不去掉）的最低价和相同家数的最高价后的算术平均值，即为本项目的投标总报价的评标基准价。</w:t>
            </w:r>
          </w:p>
          <w:p>
            <w:pPr>
              <w:snapToGrid w:val="0"/>
              <w:spacing w:line="400" w:lineRule="exact"/>
              <w:ind w:firstLine="420" w:firstLineChars="200"/>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评标基准价计算的最终结果取小数点后两位，第三位四舍五入。</w:t>
            </w:r>
          </w:p>
          <w:p>
            <w:pPr>
              <w:snapToGrid w:val="0"/>
              <w:spacing w:line="400" w:lineRule="exact"/>
              <w:ind w:firstLine="420" w:firstLineChars="200"/>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在评标基准价计算完成后（除计算错误外），在后续的评审中不得再对其做出调整。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22" w:type="dxa"/>
            <w:gridSpan w:val="2"/>
            <w:vMerge w:val="restart"/>
            <w:vAlign w:val="center"/>
          </w:tcPr>
          <w:p>
            <w:pPr>
              <w:spacing w:line="400" w:lineRule="exact"/>
              <w:jc w:val="center"/>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2.2.4</w:t>
            </w:r>
          </w:p>
          <w:p>
            <w:pPr>
              <w:spacing w:line="400" w:lineRule="exact"/>
              <w:jc w:val="center"/>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（1）</w:t>
            </w:r>
          </w:p>
        </w:tc>
        <w:tc>
          <w:tcPr>
            <w:tcW w:w="2560" w:type="dxa"/>
            <w:gridSpan w:val="3"/>
            <w:vMerge w:val="restart"/>
            <w:vAlign w:val="center"/>
          </w:tcPr>
          <w:p>
            <w:pPr>
              <w:spacing w:line="400" w:lineRule="exact"/>
              <w:jc w:val="center"/>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允许偏差率</w:t>
            </w:r>
          </w:p>
        </w:tc>
        <w:tc>
          <w:tcPr>
            <w:tcW w:w="5493" w:type="dxa"/>
            <w:vAlign w:val="center"/>
          </w:tcPr>
          <w:p>
            <w:pPr>
              <w:spacing w:line="400" w:lineRule="exact"/>
              <w:ind w:firstLine="420" w:firstLineChars="200"/>
              <w:jc w:val="left"/>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投标总报价的偏差率计算公式</w:t>
            </w:r>
          </w:p>
          <w:p>
            <w:pPr>
              <w:spacing w:line="400" w:lineRule="exact"/>
              <w:ind w:firstLine="420" w:firstLineChars="200"/>
              <w:jc w:val="left"/>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偏差率=100％×（投标人报价一评标基准价）／评标基准价</w:t>
            </w:r>
          </w:p>
          <w:p>
            <w:pPr>
              <w:spacing w:line="400" w:lineRule="exact"/>
              <w:ind w:firstLine="200"/>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 xml:space="preserve">  偏差率计算的最终结果取小数点后两位，小数点后第三位“四舍五入”。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22" w:type="dxa"/>
            <w:gridSpan w:val="2"/>
            <w:vMerge w:val="continue"/>
            <w:vAlign w:val="center"/>
          </w:tcPr>
          <w:p>
            <w:pPr>
              <w:spacing w:line="400" w:lineRule="exact"/>
              <w:jc w:val="center"/>
              <w:rPr>
                <w:rFonts w:hint="eastAsia" w:ascii="新宋体" w:hAnsi="新宋体" w:eastAsia="新宋体" w:cs="新宋体"/>
                <w:color w:val="auto"/>
                <w:kern w:val="0"/>
                <w:sz w:val="21"/>
                <w:szCs w:val="21"/>
                <w:highlight w:val="none"/>
              </w:rPr>
            </w:pPr>
          </w:p>
        </w:tc>
        <w:tc>
          <w:tcPr>
            <w:tcW w:w="2560" w:type="dxa"/>
            <w:gridSpan w:val="3"/>
            <w:vMerge w:val="continue"/>
            <w:vAlign w:val="center"/>
          </w:tcPr>
          <w:p>
            <w:pPr>
              <w:spacing w:line="400" w:lineRule="exact"/>
              <w:jc w:val="center"/>
              <w:rPr>
                <w:rFonts w:hint="eastAsia" w:ascii="新宋体" w:hAnsi="新宋体" w:eastAsia="新宋体" w:cs="新宋体"/>
                <w:color w:val="auto"/>
                <w:kern w:val="0"/>
                <w:sz w:val="21"/>
                <w:szCs w:val="21"/>
                <w:highlight w:val="none"/>
              </w:rPr>
            </w:pPr>
          </w:p>
        </w:tc>
        <w:tc>
          <w:tcPr>
            <w:tcW w:w="5493" w:type="dxa"/>
            <w:vAlign w:val="center"/>
          </w:tcPr>
          <w:p>
            <w:pPr>
              <w:snapToGrid w:val="0"/>
              <w:spacing w:line="400" w:lineRule="exact"/>
              <w:ind w:firstLine="420" w:firstLineChars="200"/>
              <w:jc w:val="left"/>
              <w:rPr>
                <w:rFonts w:hint="eastAsia" w:ascii="新宋体" w:hAnsi="新宋体" w:eastAsia="新宋体" w:cs="新宋体"/>
                <w:i/>
                <w:color w:val="auto"/>
                <w:kern w:val="0"/>
                <w:sz w:val="21"/>
                <w:szCs w:val="21"/>
                <w:highlight w:val="none"/>
              </w:rPr>
            </w:pPr>
            <w:r>
              <w:rPr>
                <w:rFonts w:hint="eastAsia" w:ascii="新宋体" w:hAnsi="新宋体" w:eastAsia="新宋体" w:cs="新宋体"/>
                <w:color w:val="auto"/>
                <w:sz w:val="21"/>
                <w:szCs w:val="21"/>
                <w:highlight w:val="none"/>
              </w:rPr>
              <w:t>本项目投标总报价允许偏差范围为：不设偏差范围。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887" w:type="dxa"/>
            <w:vAlign w:val="center"/>
          </w:tcPr>
          <w:p>
            <w:pPr>
              <w:spacing w:line="400" w:lineRule="exact"/>
              <w:jc w:val="center"/>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sz w:val="21"/>
                <w:szCs w:val="21"/>
                <w:highlight w:val="none"/>
              </w:rPr>
              <w:t>3</w:t>
            </w:r>
          </w:p>
        </w:tc>
        <w:tc>
          <w:tcPr>
            <w:tcW w:w="1385" w:type="dxa"/>
            <w:gridSpan w:val="2"/>
            <w:vAlign w:val="center"/>
          </w:tcPr>
          <w:p>
            <w:pPr>
              <w:spacing w:line="400" w:lineRule="exact"/>
              <w:jc w:val="center"/>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sz w:val="21"/>
                <w:szCs w:val="21"/>
                <w:highlight w:val="none"/>
              </w:rPr>
              <w:t>评标程序</w:t>
            </w:r>
          </w:p>
        </w:tc>
        <w:tc>
          <w:tcPr>
            <w:tcW w:w="7203" w:type="dxa"/>
            <w:gridSpan w:val="3"/>
          </w:tcPr>
          <w:p>
            <w:pPr>
              <w:spacing w:line="400" w:lineRule="exact"/>
              <w:ind w:firstLine="420" w:firstLineChars="200"/>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1.按本章评标办法第3.1款进行初步评审。未通过初步评审或评标委员会认定为无效的投标文件的不再进行后续评审。</w:t>
            </w:r>
          </w:p>
          <w:p>
            <w:pPr>
              <w:spacing w:line="400" w:lineRule="exact"/>
              <w:ind w:firstLine="420" w:firstLineChars="200"/>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2.按本章评标办法前附表第2.2.2（1）目及第3.2.1（1）目的规定对技术部分进行评审。</w:t>
            </w:r>
          </w:p>
          <w:p>
            <w:pPr>
              <w:spacing w:line="400" w:lineRule="exact"/>
              <w:ind w:firstLine="420" w:firstLineChars="200"/>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3.按本章评标办法前附表第2.2.2（2）目的规定对投标函部分及经济部分部分进行评审，经评审不合格的投标文件不再参与后续评审。</w:t>
            </w:r>
          </w:p>
          <w:p>
            <w:pPr>
              <w:spacing w:line="400" w:lineRule="exact"/>
              <w:ind w:firstLine="420" w:firstLineChars="200"/>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4.因评标委员会作否决投标处理导致有效投标人不足三个的，评标委员会应当否决所有投标。但是有效投标人的经济、技术等指标仍然具有市场竞争力，能够满足招标文件要求的，评标委员会可以继续评标并确定中标候选人。</w:t>
            </w:r>
          </w:p>
          <w:p>
            <w:pPr>
              <w:spacing w:line="400" w:lineRule="exact"/>
              <w:ind w:firstLine="420" w:firstLineChars="200"/>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5.经评审合格的投标人按照本章第2.2.3项计算方法计算评标基准价，并按本附表第3.2.1（2）目规定的评分方法对投标总报价进行评分。</w:t>
            </w:r>
          </w:p>
          <w:p>
            <w:pPr>
              <w:spacing w:line="400" w:lineRule="exact"/>
              <w:ind w:firstLine="420" w:firstLineChars="200"/>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6.对技术部分、</w:t>
            </w:r>
            <w:r>
              <w:rPr>
                <w:rFonts w:hint="eastAsia" w:ascii="新宋体" w:hAnsi="新宋体" w:eastAsia="新宋体" w:cs="新宋体"/>
                <w:color w:val="auto"/>
                <w:sz w:val="21"/>
                <w:szCs w:val="21"/>
                <w:highlight w:val="none"/>
                <w:lang w:val="en-US" w:eastAsia="zh-CN"/>
              </w:rPr>
              <w:t>商务部分、</w:t>
            </w:r>
            <w:r>
              <w:rPr>
                <w:rFonts w:hint="eastAsia" w:ascii="新宋体" w:hAnsi="新宋体" w:eastAsia="新宋体" w:cs="新宋体"/>
                <w:color w:val="auto"/>
                <w:sz w:val="21"/>
                <w:szCs w:val="21"/>
                <w:highlight w:val="none"/>
              </w:rPr>
              <w:t>投标总报价得分进行汇总，确定得分由高至低前三名投标人为中标候选人。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2398" w:hRule="atLeast"/>
          <w:jc w:val="center"/>
        </w:trPr>
        <w:tc>
          <w:tcPr>
            <w:tcW w:w="887" w:type="dxa"/>
            <w:vMerge w:val="restart"/>
            <w:vAlign w:val="center"/>
          </w:tcPr>
          <w:p>
            <w:pPr>
              <w:spacing w:line="400" w:lineRule="exact"/>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3.2.1</w:t>
            </w:r>
          </w:p>
          <w:p>
            <w:pPr>
              <w:spacing w:line="400" w:lineRule="exact"/>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（1）</w:t>
            </w:r>
          </w:p>
        </w:tc>
        <w:tc>
          <w:tcPr>
            <w:tcW w:w="1385" w:type="dxa"/>
            <w:gridSpan w:val="2"/>
            <w:vMerge w:val="restart"/>
            <w:vAlign w:val="center"/>
          </w:tcPr>
          <w:p>
            <w:pPr>
              <w:spacing w:line="400" w:lineRule="exact"/>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技术部分</w:t>
            </w:r>
            <w:r>
              <w:rPr>
                <w:rFonts w:hint="eastAsia" w:ascii="新宋体" w:hAnsi="新宋体" w:eastAsia="新宋体" w:cs="新宋体"/>
                <w:color w:val="auto"/>
                <w:kern w:val="0"/>
                <w:sz w:val="21"/>
                <w:szCs w:val="21"/>
                <w:highlight w:val="none"/>
              </w:rPr>
              <w:t>得分</w:t>
            </w:r>
            <w:r>
              <w:rPr>
                <w:rFonts w:hint="eastAsia" w:ascii="新宋体" w:hAnsi="新宋体" w:eastAsia="新宋体" w:cs="新宋体"/>
                <w:color w:val="auto"/>
                <w:spacing w:val="-4"/>
                <w:sz w:val="21"/>
                <w:szCs w:val="21"/>
                <w:highlight w:val="none"/>
              </w:rPr>
              <w:t>（A）</w:t>
            </w:r>
          </w:p>
        </w:tc>
        <w:tc>
          <w:tcPr>
            <w:tcW w:w="1710" w:type="dxa"/>
            <w:gridSpan w:val="2"/>
            <w:vAlign w:val="center"/>
          </w:tcPr>
          <w:p>
            <w:pPr>
              <w:spacing w:line="400" w:lineRule="exact"/>
              <w:jc w:val="center"/>
              <w:rPr>
                <w:rFonts w:hint="default" w:ascii="新宋体" w:hAnsi="新宋体" w:eastAsia="新宋体" w:cs="新宋体"/>
                <w:color w:val="auto"/>
                <w:kern w:val="0"/>
                <w:sz w:val="21"/>
                <w:szCs w:val="21"/>
                <w:highlight w:val="none"/>
                <w:lang w:val="en-US" w:eastAsia="zh-CN"/>
              </w:rPr>
            </w:pPr>
            <w:r>
              <w:rPr>
                <w:rFonts w:hint="eastAsia" w:ascii="新宋体" w:hAnsi="新宋体" w:eastAsia="新宋体" w:cs="新宋体"/>
                <w:color w:val="auto"/>
                <w:kern w:val="0"/>
                <w:sz w:val="21"/>
                <w:szCs w:val="21"/>
                <w:highlight w:val="none"/>
                <w:lang w:val="en-US" w:eastAsia="zh-CN"/>
              </w:rPr>
              <w:t>技术方案</w:t>
            </w:r>
          </w:p>
        </w:tc>
        <w:tc>
          <w:tcPr>
            <w:tcW w:w="5493" w:type="dxa"/>
            <w:vMerge w:val="restart"/>
            <w:vAlign w:val="center"/>
          </w:tcPr>
          <w:p>
            <w:pPr>
              <w:autoSpaceDE w:val="0"/>
              <w:autoSpaceDN w:val="0"/>
              <w:adjustRightInd w:val="0"/>
              <w:snapToGrid w:val="0"/>
              <w:spacing w:line="400" w:lineRule="exact"/>
              <w:ind w:firstLine="420" w:firstLineChars="200"/>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评标委员会按第2.2.2（1）目各评审因素设定的分值评分。</w:t>
            </w:r>
          </w:p>
          <w:p>
            <w:pPr>
              <w:spacing w:line="400" w:lineRule="exact"/>
              <w:ind w:firstLine="420" w:firstLineChars="200"/>
              <w:rPr>
                <w:rFonts w:hint="eastAsia" w:ascii="新宋体" w:hAnsi="新宋体" w:eastAsia="新宋体" w:cs="新宋体"/>
                <w:snapToGrid w:val="0"/>
                <w:color w:val="auto"/>
                <w:kern w:val="0"/>
                <w:sz w:val="21"/>
                <w:szCs w:val="21"/>
                <w:highlight w:val="none"/>
              </w:rPr>
            </w:pPr>
            <w:r>
              <w:rPr>
                <w:rFonts w:hint="eastAsia" w:ascii="新宋体" w:hAnsi="新宋体" w:eastAsia="新宋体" w:cs="新宋体"/>
                <w:snapToGrid w:val="0"/>
                <w:color w:val="auto"/>
                <w:kern w:val="0"/>
                <w:sz w:val="21"/>
                <w:szCs w:val="21"/>
                <w:highlight w:val="none"/>
              </w:rPr>
              <w:t>评标委员会成员为5人及以上时，所有评委</w:t>
            </w:r>
            <w:r>
              <w:rPr>
                <w:rFonts w:hint="eastAsia" w:ascii="新宋体" w:hAnsi="新宋体" w:eastAsia="新宋体" w:cs="新宋体"/>
                <w:snapToGrid w:val="0"/>
                <w:color w:val="auto"/>
                <w:kern w:val="0"/>
                <w:sz w:val="21"/>
                <w:szCs w:val="21"/>
                <w:highlight w:val="none"/>
                <w:lang w:eastAsia="zh-CN"/>
              </w:rPr>
              <w:t>评分</w:t>
            </w:r>
            <w:r>
              <w:rPr>
                <w:rFonts w:hint="eastAsia" w:ascii="新宋体" w:hAnsi="新宋体" w:eastAsia="新宋体" w:cs="新宋体"/>
                <w:snapToGrid w:val="0"/>
                <w:color w:val="auto"/>
                <w:kern w:val="0"/>
                <w:sz w:val="21"/>
                <w:szCs w:val="21"/>
                <w:highlight w:val="none"/>
              </w:rPr>
              <w:t>中去掉一个最高和一个最低分，余下评委</w:t>
            </w:r>
            <w:r>
              <w:rPr>
                <w:rFonts w:hint="eastAsia" w:ascii="新宋体" w:hAnsi="新宋体" w:eastAsia="新宋体" w:cs="新宋体"/>
                <w:snapToGrid w:val="0"/>
                <w:color w:val="auto"/>
                <w:kern w:val="0"/>
                <w:sz w:val="21"/>
                <w:szCs w:val="21"/>
                <w:highlight w:val="none"/>
                <w:lang w:eastAsia="zh-CN"/>
              </w:rPr>
              <w:t>评分</w:t>
            </w:r>
            <w:r>
              <w:rPr>
                <w:rFonts w:hint="eastAsia" w:ascii="新宋体" w:hAnsi="新宋体" w:eastAsia="新宋体" w:cs="新宋体"/>
                <w:snapToGrid w:val="0"/>
                <w:color w:val="auto"/>
                <w:kern w:val="0"/>
                <w:sz w:val="21"/>
                <w:szCs w:val="21"/>
                <w:highlight w:val="none"/>
              </w:rPr>
              <w:t>取算术平均值为该投标人技术方案得分。</w:t>
            </w:r>
          </w:p>
          <w:p>
            <w:pPr>
              <w:spacing w:line="400" w:lineRule="exact"/>
              <w:ind w:firstLine="420" w:firstLineChars="200"/>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技术方案得分的最终结果取小数点后两位，第三位四舍五入。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71" w:hRule="atLeast"/>
          <w:jc w:val="center"/>
        </w:trPr>
        <w:tc>
          <w:tcPr>
            <w:tcW w:w="887" w:type="dxa"/>
            <w:vMerge w:val="restart"/>
            <w:vAlign w:val="center"/>
          </w:tcPr>
          <w:p>
            <w:pPr>
              <w:spacing w:line="400" w:lineRule="exact"/>
              <w:jc w:val="cente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3.2.1</w:t>
            </w:r>
          </w:p>
          <w:p>
            <w:pPr>
              <w:spacing w:line="400" w:lineRule="exact"/>
              <w:jc w:val="cente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（2）</w:t>
            </w:r>
          </w:p>
        </w:tc>
        <w:tc>
          <w:tcPr>
            <w:tcW w:w="1385" w:type="dxa"/>
            <w:gridSpan w:val="2"/>
            <w:vMerge w:val="restart"/>
            <w:vAlign w:val="center"/>
          </w:tcPr>
          <w:p>
            <w:pPr>
              <w:spacing w:line="400" w:lineRule="exact"/>
              <w:jc w:val="cente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商务部分得分（B）</w:t>
            </w:r>
          </w:p>
        </w:tc>
        <w:tc>
          <w:tcPr>
            <w:tcW w:w="1710" w:type="dxa"/>
            <w:gridSpan w:val="2"/>
            <w:tcBorders>
              <w:top w:val="single" w:color="auto" w:sz="4" w:space="0"/>
            </w:tcBorders>
            <w:vAlign w:val="center"/>
          </w:tcPr>
          <w:p>
            <w:pPr>
              <w:tabs>
                <w:tab w:val="left" w:pos="1875"/>
              </w:tabs>
              <w:spacing w:line="400" w:lineRule="exact"/>
              <w:jc w:val="center"/>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lang w:val="en-US" w:eastAsia="zh-CN"/>
              </w:rPr>
              <w:t>投标人业绩</w:t>
            </w:r>
          </w:p>
        </w:tc>
        <w:tc>
          <w:tcPr>
            <w:tcW w:w="5493" w:type="dxa"/>
            <w:vMerge w:val="restart"/>
            <w:vAlign w:val="center"/>
          </w:tcPr>
          <w:p>
            <w:pPr>
              <w:autoSpaceDE w:val="0"/>
              <w:autoSpaceDN w:val="0"/>
              <w:adjustRightInd w:val="0"/>
              <w:snapToGrid w:val="0"/>
              <w:spacing w:line="400" w:lineRule="exact"/>
              <w:ind w:firstLine="420" w:firstLineChars="200"/>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商务部分评分为客观评分，评标委员会按第2.2.2（2）项各评审因素设定的分值统一进行评分。商务评分的最终结果取小数点后两位，第三位四舍五入。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887" w:type="dxa"/>
            <w:vMerge w:val="continue"/>
            <w:vAlign w:val="center"/>
          </w:tcPr>
          <w:p>
            <w:pPr>
              <w:spacing w:line="400" w:lineRule="exact"/>
              <w:jc w:val="center"/>
              <w:rPr>
                <w:rFonts w:hint="eastAsia" w:ascii="新宋体" w:hAnsi="新宋体" w:eastAsia="新宋体" w:cs="新宋体"/>
                <w:color w:val="auto"/>
                <w:sz w:val="21"/>
                <w:szCs w:val="21"/>
                <w:highlight w:val="none"/>
                <w:lang w:val="en-US" w:eastAsia="zh-CN"/>
              </w:rPr>
            </w:pPr>
          </w:p>
        </w:tc>
        <w:tc>
          <w:tcPr>
            <w:tcW w:w="1385" w:type="dxa"/>
            <w:gridSpan w:val="2"/>
            <w:vMerge w:val="continue"/>
            <w:vAlign w:val="center"/>
          </w:tcPr>
          <w:p>
            <w:pPr>
              <w:spacing w:line="400" w:lineRule="exact"/>
              <w:jc w:val="center"/>
              <w:rPr>
                <w:rFonts w:hint="eastAsia" w:ascii="新宋体" w:hAnsi="新宋体" w:eastAsia="新宋体" w:cs="新宋体"/>
                <w:color w:val="auto"/>
                <w:sz w:val="21"/>
                <w:szCs w:val="21"/>
                <w:highlight w:val="none"/>
                <w:lang w:val="en-US" w:eastAsia="zh-CN"/>
              </w:rPr>
            </w:pPr>
          </w:p>
        </w:tc>
        <w:tc>
          <w:tcPr>
            <w:tcW w:w="1710" w:type="dxa"/>
            <w:gridSpan w:val="2"/>
            <w:tcBorders>
              <w:top w:val="single" w:color="auto" w:sz="4" w:space="0"/>
            </w:tcBorders>
            <w:vAlign w:val="center"/>
          </w:tcPr>
          <w:p>
            <w:pPr>
              <w:tabs>
                <w:tab w:val="left" w:pos="1875"/>
              </w:tabs>
              <w:spacing w:line="400" w:lineRule="exact"/>
              <w:jc w:val="center"/>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lang w:val="en-US" w:eastAsia="zh-CN"/>
              </w:rPr>
              <w:t>售后服务及培训</w:t>
            </w:r>
          </w:p>
        </w:tc>
        <w:tc>
          <w:tcPr>
            <w:tcW w:w="5493" w:type="dxa"/>
            <w:vMerge w:val="continue"/>
            <w:vAlign w:val="center"/>
          </w:tcPr>
          <w:p>
            <w:pPr>
              <w:autoSpaceDE w:val="0"/>
              <w:autoSpaceDN w:val="0"/>
              <w:adjustRightInd w:val="0"/>
              <w:snapToGrid w:val="0"/>
              <w:spacing w:line="400" w:lineRule="exact"/>
              <w:ind w:firstLine="420" w:firstLineChars="200"/>
              <w:rPr>
                <w:rFonts w:hint="eastAsia" w:ascii="新宋体" w:hAnsi="新宋体" w:eastAsia="新宋体" w:cs="新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jc w:val="center"/>
        </w:trPr>
        <w:tc>
          <w:tcPr>
            <w:tcW w:w="887" w:type="dxa"/>
            <w:vAlign w:val="center"/>
          </w:tcPr>
          <w:p>
            <w:pPr>
              <w:spacing w:line="400" w:lineRule="exact"/>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3.2.1（</w:t>
            </w:r>
            <w:r>
              <w:rPr>
                <w:rFonts w:hint="eastAsia" w:ascii="新宋体" w:hAnsi="新宋体" w:eastAsia="新宋体" w:cs="新宋体"/>
                <w:color w:val="auto"/>
                <w:sz w:val="21"/>
                <w:szCs w:val="21"/>
                <w:highlight w:val="none"/>
                <w:lang w:val="en-US" w:eastAsia="zh-CN"/>
              </w:rPr>
              <w:t>3</w:t>
            </w:r>
            <w:r>
              <w:rPr>
                <w:rFonts w:hint="eastAsia" w:ascii="新宋体" w:hAnsi="新宋体" w:eastAsia="新宋体" w:cs="新宋体"/>
                <w:color w:val="auto"/>
                <w:sz w:val="21"/>
                <w:szCs w:val="21"/>
                <w:highlight w:val="none"/>
              </w:rPr>
              <w:t>）</w:t>
            </w:r>
          </w:p>
        </w:tc>
        <w:tc>
          <w:tcPr>
            <w:tcW w:w="1385" w:type="dxa"/>
            <w:gridSpan w:val="2"/>
            <w:vAlign w:val="center"/>
          </w:tcPr>
          <w:p>
            <w:pPr>
              <w:spacing w:line="400" w:lineRule="exact"/>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投标报价</w:t>
            </w:r>
            <w:r>
              <w:rPr>
                <w:rFonts w:hint="eastAsia" w:ascii="新宋体" w:hAnsi="新宋体" w:eastAsia="新宋体" w:cs="新宋体"/>
                <w:color w:val="auto"/>
                <w:kern w:val="0"/>
                <w:sz w:val="21"/>
                <w:szCs w:val="21"/>
                <w:highlight w:val="none"/>
              </w:rPr>
              <w:t>得分</w:t>
            </w:r>
            <w:r>
              <w:rPr>
                <w:rFonts w:hint="eastAsia" w:ascii="新宋体" w:hAnsi="新宋体" w:eastAsia="新宋体" w:cs="新宋体"/>
                <w:color w:val="auto"/>
                <w:spacing w:val="-8"/>
                <w:sz w:val="21"/>
                <w:szCs w:val="21"/>
                <w:highlight w:val="none"/>
              </w:rPr>
              <w:t>（</w:t>
            </w:r>
            <w:r>
              <w:rPr>
                <w:rFonts w:hint="eastAsia" w:ascii="新宋体" w:hAnsi="新宋体" w:eastAsia="新宋体" w:cs="新宋体"/>
                <w:color w:val="auto"/>
                <w:spacing w:val="-8"/>
                <w:sz w:val="21"/>
                <w:szCs w:val="21"/>
                <w:highlight w:val="none"/>
                <w:lang w:val="en-US" w:eastAsia="zh-CN"/>
              </w:rPr>
              <w:t>C</w:t>
            </w:r>
            <w:r>
              <w:rPr>
                <w:rFonts w:hint="eastAsia" w:ascii="新宋体" w:hAnsi="新宋体" w:eastAsia="新宋体" w:cs="新宋体"/>
                <w:color w:val="auto"/>
                <w:spacing w:val="-8"/>
                <w:sz w:val="21"/>
                <w:szCs w:val="21"/>
                <w:highlight w:val="none"/>
              </w:rPr>
              <w:t>）</w:t>
            </w:r>
          </w:p>
        </w:tc>
        <w:tc>
          <w:tcPr>
            <w:tcW w:w="1710" w:type="dxa"/>
            <w:gridSpan w:val="2"/>
            <w:tcBorders>
              <w:top w:val="single" w:color="auto" w:sz="4" w:space="0"/>
            </w:tcBorders>
            <w:vAlign w:val="center"/>
          </w:tcPr>
          <w:p>
            <w:pPr>
              <w:spacing w:line="400" w:lineRule="exact"/>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投标总报价</w:t>
            </w:r>
          </w:p>
        </w:tc>
        <w:tc>
          <w:tcPr>
            <w:tcW w:w="5493" w:type="dxa"/>
            <w:vAlign w:val="center"/>
          </w:tcPr>
          <w:p>
            <w:pPr>
              <w:spacing w:line="400" w:lineRule="exact"/>
              <w:ind w:firstLine="420" w:firstLineChars="200"/>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设置允许偏差范围的，</w:t>
            </w:r>
            <w:r>
              <w:rPr>
                <w:rFonts w:hint="eastAsia" w:ascii="新宋体" w:hAnsi="新宋体" w:eastAsia="新宋体" w:cs="新宋体"/>
                <w:color w:val="auto"/>
                <w:kern w:val="0"/>
                <w:sz w:val="21"/>
                <w:szCs w:val="21"/>
                <w:highlight w:val="none"/>
              </w:rPr>
              <w:t>投标总报价的偏差在</w:t>
            </w:r>
            <w:r>
              <w:rPr>
                <w:rFonts w:hint="eastAsia" w:ascii="新宋体" w:hAnsi="新宋体" w:eastAsia="新宋体" w:cs="新宋体"/>
                <w:color w:val="auto"/>
                <w:sz w:val="21"/>
                <w:szCs w:val="21"/>
                <w:highlight w:val="none"/>
              </w:rPr>
              <w:t>允许偏差范围外，</w:t>
            </w:r>
            <w:r>
              <w:rPr>
                <w:rFonts w:hint="eastAsia" w:ascii="新宋体" w:hAnsi="新宋体" w:eastAsia="新宋体" w:cs="新宋体"/>
                <w:bCs/>
                <w:color w:val="auto"/>
                <w:sz w:val="21"/>
                <w:szCs w:val="21"/>
                <w:highlight w:val="none"/>
              </w:rPr>
              <w:t>得零分</w:t>
            </w:r>
            <w:r>
              <w:rPr>
                <w:rFonts w:hint="eastAsia" w:ascii="新宋体" w:hAnsi="新宋体" w:eastAsia="新宋体" w:cs="新宋体"/>
                <w:color w:val="auto"/>
                <w:kern w:val="0"/>
                <w:sz w:val="21"/>
                <w:szCs w:val="21"/>
                <w:highlight w:val="none"/>
              </w:rPr>
              <w:t>；不设置允许偏差范围或</w:t>
            </w:r>
            <w:r>
              <w:rPr>
                <w:rFonts w:hint="eastAsia" w:ascii="新宋体" w:hAnsi="新宋体" w:eastAsia="新宋体" w:cs="新宋体"/>
                <w:color w:val="auto"/>
                <w:sz w:val="21"/>
                <w:szCs w:val="21"/>
                <w:highlight w:val="none"/>
              </w:rPr>
              <w:t>投标总报价偏差在允许范围内的（含上、下限值），得</w:t>
            </w:r>
            <w:r>
              <w:rPr>
                <w:rFonts w:hint="eastAsia" w:ascii="新宋体" w:hAnsi="新宋体" w:eastAsia="新宋体" w:cs="新宋体"/>
                <w:bCs/>
                <w:color w:val="auto"/>
                <w:sz w:val="21"/>
                <w:szCs w:val="21"/>
                <w:highlight w:val="none"/>
              </w:rPr>
              <w:t>本附表第2.2.1项规定分值的满分</w:t>
            </w:r>
            <w:r>
              <w:rPr>
                <w:rFonts w:hint="eastAsia" w:ascii="新宋体" w:hAnsi="新宋体" w:eastAsia="新宋体" w:cs="新宋体"/>
                <w:bCs/>
                <w:color w:val="auto"/>
                <w:sz w:val="21"/>
                <w:szCs w:val="21"/>
                <w:highlight w:val="none"/>
                <w:u w:val="single"/>
              </w:rPr>
              <w:t xml:space="preserve"> </w:t>
            </w:r>
            <w:r>
              <w:rPr>
                <w:rFonts w:hint="eastAsia" w:ascii="新宋体" w:hAnsi="新宋体" w:eastAsia="新宋体" w:cs="新宋体"/>
                <w:bCs/>
                <w:color w:val="auto"/>
                <w:sz w:val="21"/>
                <w:szCs w:val="21"/>
                <w:highlight w:val="none"/>
                <w:u w:val="single"/>
                <w:lang w:val="en-US" w:eastAsia="zh-CN"/>
              </w:rPr>
              <w:t>80</w:t>
            </w:r>
            <w:r>
              <w:rPr>
                <w:rFonts w:hint="eastAsia" w:ascii="新宋体" w:hAnsi="新宋体" w:eastAsia="新宋体" w:cs="新宋体"/>
                <w:bCs/>
                <w:color w:val="auto"/>
                <w:sz w:val="21"/>
                <w:szCs w:val="21"/>
                <w:highlight w:val="none"/>
                <w:u w:val="single"/>
              </w:rPr>
              <w:t xml:space="preserve"> </w:t>
            </w:r>
            <w:r>
              <w:rPr>
                <w:rFonts w:hint="eastAsia" w:ascii="新宋体" w:hAnsi="新宋体" w:eastAsia="新宋体" w:cs="新宋体"/>
                <w:color w:val="auto"/>
                <w:sz w:val="21"/>
                <w:szCs w:val="21"/>
                <w:highlight w:val="none"/>
              </w:rPr>
              <w:t>分。在此基础上，投标总报价与评标基准价相比，每增加1%扣</w:t>
            </w:r>
            <w:r>
              <w:rPr>
                <w:rFonts w:hint="eastAsia" w:ascii="新宋体" w:hAnsi="新宋体" w:eastAsia="新宋体" w:cs="新宋体"/>
                <w:bCs/>
                <w:color w:val="auto"/>
                <w:sz w:val="21"/>
                <w:szCs w:val="21"/>
                <w:highlight w:val="none"/>
                <w:u w:val="single"/>
              </w:rPr>
              <w:t xml:space="preserve"> </w:t>
            </w:r>
            <w:r>
              <w:rPr>
                <w:rFonts w:hint="eastAsia" w:ascii="新宋体" w:hAnsi="新宋体" w:eastAsia="新宋体" w:cs="新宋体"/>
                <w:bCs/>
                <w:color w:val="auto"/>
                <w:sz w:val="21"/>
                <w:szCs w:val="21"/>
                <w:highlight w:val="none"/>
                <w:u w:val="single"/>
                <w:lang w:val="en-US" w:eastAsia="zh-CN"/>
              </w:rPr>
              <w:t>0.5</w:t>
            </w:r>
            <w:r>
              <w:rPr>
                <w:rFonts w:hint="eastAsia" w:ascii="新宋体" w:hAnsi="新宋体" w:eastAsia="新宋体" w:cs="新宋体"/>
                <w:bCs/>
                <w:color w:val="auto"/>
                <w:sz w:val="21"/>
                <w:szCs w:val="21"/>
                <w:highlight w:val="none"/>
                <w:u w:val="single"/>
              </w:rPr>
              <w:t xml:space="preserve"> </w:t>
            </w:r>
            <w:r>
              <w:rPr>
                <w:rFonts w:hint="eastAsia" w:ascii="新宋体" w:hAnsi="新宋体" w:eastAsia="新宋体" w:cs="新宋体"/>
                <w:color w:val="auto"/>
                <w:sz w:val="21"/>
                <w:szCs w:val="21"/>
                <w:highlight w:val="none"/>
              </w:rPr>
              <w:t>分，每减少1%扣</w:t>
            </w:r>
            <w:r>
              <w:rPr>
                <w:rFonts w:hint="eastAsia" w:ascii="新宋体" w:hAnsi="新宋体" w:eastAsia="新宋体" w:cs="新宋体"/>
                <w:bCs/>
                <w:color w:val="auto"/>
                <w:sz w:val="21"/>
                <w:szCs w:val="21"/>
                <w:highlight w:val="none"/>
                <w:u w:val="single"/>
              </w:rPr>
              <w:t xml:space="preserve"> </w:t>
            </w:r>
            <w:r>
              <w:rPr>
                <w:rFonts w:hint="eastAsia" w:ascii="新宋体" w:hAnsi="新宋体" w:eastAsia="新宋体" w:cs="新宋体"/>
                <w:bCs/>
                <w:color w:val="auto"/>
                <w:sz w:val="21"/>
                <w:szCs w:val="21"/>
                <w:highlight w:val="none"/>
                <w:u w:val="single"/>
                <w:lang w:val="en-US" w:eastAsia="zh-CN"/>
              </w:rPr>
              <w:t>0.25</w:t>
            </w:r>
            <w:r>
              <w:rPr>
                <w:rFonts w:hint="eastAsia" w:ascii="新宋体" w:hAnsi="新宋体" w:eastAsia="新宋体" w:cs="新宋体"/>
                <w:bCs/>
                <w:color w:val="auto"/>
                <w:sz w:val="21"/>
                <w:szCs w:val="21"/>
                <w:highlight w:val="none"/>
                <w:u w:val="single"/>
              </w:rPr>
              <w:t xml:space="preserve"> </w:t>
            </w:r>
            <w:r>
              <w:rPr>
                <w:rFonts w:hint="eastAsia" w:ascii="新宋体" w:hAnsi="新宋体" w:eastAsia="新宋体" w:cs="新宋体"/>
                <w:color w:val="auto"/>
                <w:sz w:val="21"/>
                <w:szCs w:val="21"/>
                <w:highlight w:val="none"/>
              </w:rPr>
              <w:t>分，扣完为止。</w:t>
            </w:r>
          </w:p>
          <w:p>
            <w:pPr>
              <w:spacing w:line="400" w:lineRule="exact"/>
              <w:ind w:firstLine="420" w:firstLineChars="200"/>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按插入法计算得分。</w:t>
            </w:r>
          </w:p>
          <w:p>
            <w:pPr>
              <w:spacing w:line="400" w:lineRule="exact"/>
              <w:ind w:firstLine="420" w:firstLineChars="200"/>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在偏差范围内，未参与评标基准价计算的投标报价，仍应参加计算相应分值。</w:t>
            </w:r>
          </w:p>
          <w:p>
            <w:pPr>
              <w:spacing w:line="400" w:lineRule="exact"/>
              <w:ind w:firstLine="420" w:firstLineChars="200"/>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投标总报价得分最终结果取小数点后两位，第三位四舍五入。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72" w:type="dxa"/>
            <w:gridSpan w:val="3"/>
            <w:vAlign w:val="center"/>
          </w:tcPr>
          <w:p>
            <w:pPr>
              <w:spacing w:line="400" w:lineRule="exact"/>
              <w:ind w:firstLine="18" w:firstLineChars="9"/>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3.2.3</w:t>
            </w:r>
          </w:p>
        </w:tc>
        <w:tc>
          <w:tcPr>
            <w:tcW w:w="1710" w:type="dxa"/>
            <w:gridSpan w:val="2"/>
            <w:vAlign w:val="center"/>
          </w:tcPr>
          <w:p>
            <w:pPr>
              <w:spacing w:line="400" w:lineRule="exact"/>
              <w:ind w:firstLine="18" w:firstLineChars="9"/>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投标人得分</w:t>
            </w:r>
          </w:p>
        </w:tc>
        <w:tc>
          <w:tcPr>
            <w:tcW w:w="5493" w:type="dxa"/>
            <w:vAlign w:val="center"/>
          </w:tcPr>
          <w:p>
            <w:pPr>
              <w:spacing w:line="400" w:lineRule="exact"/>
              <w:jc w:val="center"/>
              <w:rPr>
                <w:rFonts w:hint="eastAsia" w:ascii="新宋体" w:hAnsi="新宋体" w:eastAsia="新宋体" w:cs="新宋体"/>
                <w:color w:val="auto"/>
                <w:sz w:val="21"/>
                <w:szCs w:val="21"/>
                <w:highlight w:val="none"/>
                <w:u w:val="single"/>
                <w:lang w:val="en-US" w:eastAsia="zh-CN"/>
              </w:rPr>
            </w:pPr>
            <w:r>
              <w:rPr>
                <w:rFonts w:hint="eastAsia" w:ascii="新宋体" w:hAnsi="新宋体" w:eastAsia="新宋体" w:cs="新宋体"/>
                <w:color w:val="auto"/>
                <w:sz w:val="21"/>
                <w:szCs w:val="21"/>
                <w:highlight w:val="none"/>
                <w:u w:val="single"/>
              </w:rPr>
              <w:t>投标人得分=A+B</w:t>
            </w:r>
            <w:r>
              <w:rPr>
                <w:rFonts w:hint="eastAsia" w:ascii="新宋体" w:hAnsi="新宋体" w:eastAsia="新宋体" w:cs="新宋体"/>
                <w:color w:val="auto"/>
                <w:sz w:val="21"/>
                <w:szCs w:val="21"/>
                <w:highlight w:val="none"/>
                <w:u w:val="single"/>
                <w:lang w:val="en-US" w:eastAsia="zh-CN"/>
              </w:rPr>
              <w:t>+C</w:t>
            </w:r>
          </w:p>
        </w:tc>
      </w:tr>
    </w:tbl>
    <w:p>
      <w:pPr>
        <w:pStyle w:val="4"/>
        <w:spacing w:before="0" w:after="0" w:line="360" w:lineRule="auto"/>
        <w:rPr>
          <w:rFonts w:hint="eastAsia" w:ascii="新宋体" w:hAnsi="新宋体" w:eastAsia="新宋体" w:cs="新宋体"/>
          <w:b w:val="0"/>
          <w:snapToGrid w:val="0"/>
          <w:color w:val="auto"/>
          <w:highlight w:val="none"/>
        </w:rPr>
      </w:pPr>
      <w:bookmarkStart w:id="523" w:name="_Toc509218776"/>
      <w:r>
        <w:rPr>
          <w:rFonts w:hint="eastAsia" w:ascii="新宋体" w:hAnsi="新宋体" w:eastAsia="新宋体" w:cs="新宋体"/>
          <w:b w:val="0"/>
          <w:snapToGrid w:val="0"/>
          <w:color w:val="auto"/>
          <w:highlight w:val="none"/>
        </w:rPr>
        <w:br w:type="page"/>
      </w:r>
      <w:bookmarkStart w:id="524" w:name="_Toc57820627"/>
      <w:r>
        <w:rPr>
          <w:rFonts w:hint="eastAsia" w:ascii="新宋体" w:hAnsi="新宋体" w:eastAsia="新宋体" w:cs="新宋体"/>
          <w:b w:val="0"/>
          <w:snapToGrid w:val="0"/>
          <w:color w:val="auto"/>
          <w:highlight w:val="none"/>
        </w:rPr>
        <w:t>1.  评标方法</w:t>
      </w:r>
      <w:bookmarkEnd w:id="510"/>
      <w:bookmarkEnd w:id="511"/>
      <w:bookmarkEnd w:id="512"/>
      <w:bookmarkEnd w:id="513"/>
      <w:bookmarkEnd w:id="514"/>
      <w:bookmarkEnd w:id="515"/>
      <w:bookmarkEnd w:id="523"/>
      <w:bookmarkEnd w:id="524"/>
    </w:p>
    <w:p>
      <w:pPr>
        <w:autoSpaceDE w:val="0"/>
        <w:autoSpaceDN w:val="0"/>
        <w:adjustRightInd w:val="0"/>
        <w:snapToGrid w:val="0"/>
        <w:spacing w:line="360" w:lineRule="auto"/>
        <w:ind w:firstLine="42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本次评标采用综合评估法</w:t>
      </w:r>
      <w:r>
        <w:rPr>
          <w:rFonts w:hint="eastAsia" w:ascii="新宋体" w:hAnsi="新宋体" w:eastAsia="新宋体" w:cs="新宋体"/>
          <w:color w:val="auto"/>
          <w:spacing w:val="-47"/>
          <w:kern w:val="0"/>
          <w:szCs w:val="21"/>
          <w:highlight w:val="none"/>
        </w:rPr>
        <w:t>。</w:t>
      </w:r>
      <w:r>
        <w:rPr>
          <w:rFonts w:hint="eastAsia" w:ascii="新宋体" w:hAnsi="新宋体" w:eastAsia="新宋体" w:cs="新宋体"/>
          <w:color w:val="auto"/>
          <w:kern w:val="0"/>
          <w:szCs w:val="21"/>
          <w:highlight w:val="none"/>
        </w:rPr>
        <w:t xml:space="preserve">评标委员会按照本章第 </w:t>
      </w:r>
      <w:r>
        <w:rPr>
          <w:rFonts w:hint="eastAsia" w:ascii="新宋体" w:hAnsi="新宋体" w:eastAsia="新宋体" w:cs="新宋体"/>
          <w:color w:val="auto"/>
          <w:spacing w:val="1"/>
          <w:kern w:val="0"/>
          <w:szCs w:val="21"/>
          <w:highlight w:val="none"/>
        </w:rPr>
        <w:t>2</w:t>
      </w:r>
      <w:r>
        <w:rPr>
          <w:rFonts w:hint="eastAsia" w:ascii="新宋体" w:hAnsi="新宋体" w:eastAsia="新宋体" w:cs="新宋体"/>
          <w:color w:val="auto"/>
          <w:spacing w:val="-1"/>
          <w:kern w:val="0"/>
          <w:szCs w:val="21"/>
          <w:highlight w:val="none"/>
        </w:rPr>
        <w:t>.</w:t>
      </w:r>
      <w:r>
        <w:rPr>
          <w:rFonts w:hint="eastAsia" w:ascii="新宋体" w:hAnsi="新宋体" w:eastAsia="新宋体" w:cs="新宋体"/>
          <w:color w:val="auto"/>
          <w:kern w:val="0"/>
          <w:szCs w:val="21"/>
          <w:highlight w:val="none"/>
        </w:rPr>
        <w:t>2</w:t>
      </w:r>
      <w:r>
        <w:rPr>
          <w:rFonts w:hint="eastAsia" w:ascii="新宋体" w:hAnsi="新宋体" w:eastAsia="新宋体" w:cs="新宋体"/>
          <w:color w:val="auto"/>
          <w:spacing w:val="1"/>
          <w:kern w:val="0"/>
          <w:szCs w:val="21"/>
          <w:highlight w:val="none"/>
        </w:rPr>
        <w:t xml:space="preserve"> </w:t>
      </w:r>
      <w:r>
        <w:rPr>
          <w:rFonts w:hint="eastAsia" w:ascii="新宋体" w:hAnsi="新宋体" w:eastAsia="新宋体" w:cs="新宋体"/>
          <w:color w:val="auto"/>
          <w:kern w:val="0"/>
          <w:szCs w:val="21"/>
          <w:highlight w:val="none"/>
        </w:rPr>
        <w:t>款</w:t>
      </w:r>
      <w:r>
        <w:rPr>
          <w:rFonts w:hint="eastAsia" w:ascii="新宋体" w:hAnsi="新宋体" w:eastAsia="新宋体" w:cs="新宋体"/>
          <w:color w:val="auto"/>
          <w:spacing w:val="-1"/>
          <w:kern w:val="0"/>
          <w:szCs w:val="21"/>
          <w:highlight w:val="none"/>
        </w:rPr>
        <w:t>规</w:t>
      </w:r>
      <w:r>
        <w:rPr>
          <w:rFonts w:hint="eastAsia" w:ascii="新宋体" w:hAnsi="新宋体" w:eastAsia="新宋体" w:cs="新宋体"/>
          <w:color w:val="auto"/>
          <w:kern w:val="0"/>
          <w:szCs w:val="21"/>
          <w:highlight w:val="none"/>
        </w:rPr>
        <w:t>定的评分标准进行</w:t>
      </w:r>
      <w:r>
        <w:rPr>
          <w:rFonts w:hint="eastAsia" w:ascii="新宋体" w:hAnsi="新宋体" w:eastAsia="新宋体" w:cs="新宋体"/>
          <w:color w:val="auto"/>
          <w:kern w:val="0"/>
          <w:szCs w:val="21"/>
          <w:highlight w:val="none"/>
          <w:lang w:eastAsia="zh-CN"/>
        </w:rPr>
        <w:t>评分</w:t>
      </w:r>
      <w:r>
        <w:rPr>
          <w:rFonts w:hint="eastAsia" w:ascii="新宋体" w:hAnsi="新宋体" w:eastAsia="新宋体" w:cs="新宋体"/>
          <w:color w:val="auto"/>
          <w:kern w:val="0"/>
          <w:szCs w:val="21"/>
          <w:highlight w:val="none"/>
        </w:rPr>
        <w:t>，按得分由高到低顺序推荐中标候选人</w:t>
      </w:r>
      <w:r>
        <w:rPr>
          <w:rFonts w:hint="eastAsia" w:ascii="新宋体" w:hAnsi="新宋体" w:eastAsia="新宋体" w:cs="新宋体"/>
          <w:color w:val="auto"/>
          <w:spacing w:val="-20"/>
          <w:kern w:val="0"/>
          <w:szCs w:val="21"/>
          <w:highlight w:val="none"/>
        </w:rPr>
        <w:t>，</w:t>
      </w:r>
      <w:r>
        <w:rPr>
          <w:rFonts w:hint="eastAsia" w:ascii="新宋体" w:hAnsi="新宋体" w:eastAsia="新宋体" w:cs="新宋体"/>
          <w:color w:val="auto"/>
          <w:kern w:val="0"/>
          <w:szCs w:val="21"/>
          <w:highlight w:val="none"/>
        </w:rPr>
        <w:t>或根据招标人授权直接确定中标人，若出现投标人投标报价相同的，以评标办法前附表约定的原则确定排序</w:t>
      </w:r>
      <w:r>
        <w:rPr>
          <w:rFonts w:hint="eastAsia" w:ascii="新宋体" w:hAnsi="新宋体" w:eastAsia="新宋体" w:cs="新宋体"/>
          <w:color w:val="auto"/>
          <w:spacing w:val="-31"/>
          <w:kern w:val="0"/>
          <w:szCs w:val="21"/>
          <w:highlight w:val="none"/>
        </w:rPr>
        <w:t>。</w:t>
      </w:r>
    </w:p>
    <w:p>
      <w:pPr>
        <w:pStyle w:val="4"/>
        <w:spacing w:before="0" w:after="0" w:line="360" w:lineRule="auto"/>
        <w:rPr>
          <w:rFonts w:hint="eastAsia" w:ascii="新宋体" w:hAnsi="新宋体" w:eastAsia="新宋体" w:cs="新宋体"/>
          <w:b w:val="0"/>
          <w:snapToGrid w:val="0"/>
          <w:color w:val="auto"/>
          <w:highlight w:val="none"/>
        </w:rPr>
      </w:pPr>
      <w:bookmarkStart w:id="525" w:name="_Toc277082619"/>
      <w:bookmarkStart w:id="526" w:name="_Toc430530501"/>
      <w:bookmarkStart w:id="527" w:name="_Toc57820628"/>
      <w:bookmarkStart w:id="528" w:name="_Toc200513199"/>
      <w:bookmarkStart w:id="529" w:name="_Toc287607813"/>
      <w:bookmarkStart w:id="530" w:name="_Toc287620752"/>
      <w:bookmarkStart w:id="531" w:name="_Toc224103385"/>
      <w:bookmarkStart w:id="532" w:name="_Toc509218777"/>
      <w:r>
        <w:rPr>
          <w:rFonts w:hint="eastAsia" w:ascii="新宋体" w:hAnsi="新宋体" w:eastAsia="新宋体" w:cs="新宋体"/>
          <w:b w:val="0"/>
          <w:snapToGrid w:val="0"/>
          <w:color w:val="auto"/>
          <w:highlight w:val="none"/>
        </w:rPr>
        <w:t>2.  评审标准</w:t>
      </w:r>
      <w:bookmarkEnd w:id="525"/>
      <w:bookmarkEnd w:id="526"/>
      <w:bookmarkEnd w:id="527"/>
      <w:bookmarkEnd w:id="528"/>
      <w:bookmarkEnd w:id="529"/>
      <w:bookmarkEnd w:id="530"/>
      <w:bookmarkEnd w:id="531"/>
      <w:bookmarkEnd w:id="532"/>
    </w:p>
    <w:p>
      <w:pPr>
        <w:pStyle w:val="2"/>
        <w:snapToGrid w:val="0"/>
        <w:spacing w:before="0" w:after="0" w:line="360" w:lineRule="auto"/>
        <w:rPr>
          <w:rFonts w:hint="eastAsia" w:ascii="新宋体" w:hAnsi="新宋体" w:eastAsia="新宋体" w:cs="新宋体"/>
          <w:b w:val="0"/>
          <w:snapToGrid w:val="0"/>
          <w:color w:val="auto"/>
          <w:sz w:val="24"/>
          <w:szCs w:val="24"/>
          <w:highlight w:val="none"/>
        </w:rPr>
      </w:pPr>
      <w:bookmarkStart w:id="533" w:name="_Toc200513200"/>
      <w:bookmarkStart w:id="534" w:name="_Toc57820629"/>
      <w:bookmarkStart w:id="535" w:name="_Toc509218778"/>
      <w:bookmarkStart w:id="536" w:name="_Toc287620753"/>
      <w:bookmarkStart w:id="537" w:name="_Toc277082620"/>
      <w:bookmarkStart w:id="538" w:name="_Toc430530502"/>
      <w:bookmarkStart w:id="539" w:name="_Toc287607814"/>
      <w:bookmarkStart w:id="540" w:name="_Toc224103386"/>
      <w:r>
        <w:rPr>
          <w:rFonts w:hint="eastAsia" w:ascii="新宋体" w:hAnsi="新宋体" w:eastAsia="新宋体" w:cs="新宋体"/>
          <w:b w:val="0"/>
          <w:snapToGrid w:val="0"/>
          <w:color w:val="auto"/>
          <w:sz w:val="24"/>
          <w:szCs w:val="24"/>
          <w:highlight w:val="none"/>
        </w:rPr>
        <w:t>2.1  初步评审标准</w:t>
      </w:r>
      <w:bookmarkEnd w:id="533"/>
      <w:bookmarkEnd w:id="534"/>
      <w:bookmarkEnd w:id="535"/>
      <w:bookmarkEnd w:id="536"/>
      <w:bookmarkEnd w:id="537"/>
      <w:bookmarkEnd w:id="538"/>
      <w:bookmarkEnd w:id="539"/>
      <w:bookmarkEnd w:id="540"/>
    </w:p>
    <w:p>
      <w:pPr>
        <w:autoSpaceDE w:val="0"/>
        <w:autoSpaceDN w:val="0"/>
        <w:adjustRightInd w:val="0"/>
        <w:snapToGrid w:val="0"/>
        <w:spacing w:line="360" w:lineRule="auto"/>
        <w:ind w:firstLine="535" w:firstLineChars="255"/>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2.1.1  资格评审标准：见评标办法前附表。</w:t>
      </w:r>
    </w:p>
    <w:p>
      <w:pPr>
        <w:autoSpaceDE w:val="0"/>
        <w:autoSpaceDN w:val="0"/>
        <w:adjustRightInd w:val="0"/>
        <w:snapToGrid w:val="0"/>
        <w:spacing w:line="360" w:lineRule="auto"/>
        <w:ind w:firstLine="535" w:firstLineChars="255"/>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2.1.2  形式评审标准：见评标办法前附表。</w:t>
      </w:r>
    </w:p>
    <w:p>
      <w:pPr>
        <w:autoSpaceDE w:val="0"/>
        <w:autoSpaceDN w:val="0"/>
        <w:adjustRightInd w:val="0"/>
        <w:snapToGrid w:val="0"/>
        <w:spacing w:line="360" w:lineRule="auto"/>
        <w:ind w:firstLine="535" w:firstLineChars="255"/>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2.1.3  响应性评审标准：见评标办法前附表。</w:t>
      </w:r>
    </w:p>
    <w:p>
      <w:pPr>
        <w:pStyle w:val="2"/>
        <w:snapToGrid w:val="0"/>
        <w:spacing w:before="0" w:after="0" w:line="360" w:lineRule="auto"/>
        <w:rPr>
          <w:rFonts w:hint="eastAsia" w:ascii="新宋体" w:hAnsi="新宋体" w:eastAsia="新宋体" w:cs="新宋体"/>
          <w:b w:val="0"/>
          <w:snapToGrid w:val="0"/>
          <w:color w:val="auto"/>
          <w:sz w:val="24"/>
          <w:szCs w:val="24"/>
          <w:highlight w:val="none"/>
        </w:rPr>
      </w:pPr>
      <w:bookmarkStart w:id="541" w:name="_Toc430530503"/>
      <w:bookmarkStart w:id="542" w:name="_Toc509218779"/>
      <w:bookmarkStart w:id="543" w:name="_Toc277082621"/>
      <w:bookmarkStart w:id="544" w:name="_Toc200513201"/>
      <w:bookmarkStart w:id="545" w:name="_Toc57820630"/>
      <w:bookmarkStart w:id="546" w:name="_Toc224103387"/>
      <w:bookmarkStart w:id="547" w:name="_Toc287620754"/>
      <w:bookmarkStart w:id="548" w:name="_Toc287607815"/>
      <w:r>
        <w:rPr>
          <w:rFonts w:hint="eastAsia" w:ascii="新宋体" w:hAnsi="新宋体" w:eastAsia="新宋体" w:cs="新宋体"/>
          <w:b w:val="0"/>
          <w:snapToGrid w:val="0"/>
          <w:color w:val="auto"/>
          <w:sz w:val="24"/>
          <w:szCs w:val="24"/>
          <w:highlight w:val="none"/>
        </w:rPr>
        <w:t>2.2  分值构成与评分标准</w:t>
      </w:r>
      <w:bookmarkEnd w:id="541"/>
      <w:bookmarkEnd w:id="542"/>
      <w:bookmarkEnd w:id="543"/>
      <w:bookmarkEnd w:id="544"/>
      <w:bookmarkEnd w:id="545"/>
      <w:bookmarkEnd w:id="546"/>
      <w:bookmarkEnd w:id="547"/>
      <w:bookmarkEnd w:id="548"/>
    </w:p>
    <w:p>
      <w:pPr>
        <w:autoSpaceDE w:val="0"/>
        <w:autoSpaceDN w:val="0"/>
        <w:adjustRightInd w:val="0"/>
        <w:snapToGrid w:val="0"/>
        <w:spacing w:line="360" w:lineRule="auto"/>
        <w:ind w:firstLine="525" w:firstLineChars="25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2.2.1  分值构成</w:t>
      </w:r>
    </w:p>
    <w:p>
      <w:pPr>
        <w:autoSpaceDE w:val="0"/>
        <w:autoSpaceDN w:val="0"/>
        <w:adjustRightInd w:val="0"/>
        <w:snapToGrid w:val="0"/>
        <w:spacing w:line="360" w:lineRule="auto"/>
        <w:ind w:firstLine="535" w:firstLineChars="255"/>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（1）技术部分：见评标办法前附表；</w:t>
      </w:r>
    </w:p>
    <w:p>
      <w:pPr>
        <w:autoSpaceDE w:val="0"/>
        <w:autoSpaceDN w:val="0"/>
        <w:adjustRightInd w:val="0"/>
        <w:snapToGrid w:val="0"/>
        <w:spacing w:line="360" w:lineRule="auto"/>
        <w:ind w:firstLine="535" w:firstLineChars="255"/>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（2）商务部分：见评标办法前附表；</w:t>
      </w:r>
    </w:p>
    <w:p>
      <w:pPr>
        <w:autoSpaceDE w:val="0"/>
        <w:autoSpaceDN w:val="0"/>
        <w:adjustRightInd w:val="0"/>
        <w:snapToGrid w:val="0"/>
        <w:spacing w:line="360" w:lineRule="auto"/>
        <w:ind w:firstLine="535" w:firstLineChars="255"/>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（3）经济部分：见评标办法前附表。</w:t>
      </w:r>
    </w:p>
    <w:p>
      <w:pPr>
        <w:autoSpaceDE w:val="0"/>
        <w:autoSpaceDN w:val="0"/>
        <w:adjustRightInd w:val="0"/>
        <w:snapToGrid w:val="0"/>
        <w:spacing w:line="360" w:lineRule="auto"/>
        <w:ind w:firstLine="535" w:firstLineChars="255"/>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2.2.2  评审标准</w:t>
      </w:r>
    </w:p>
    <w:p>
      <w:pPr>
        <w:autoSpaceDE w:val="0"/>
        <w:autoSpaceDN w:val="0"/>
        <w:adjustRightInd w:val="0"/>
        <w:snapToGrid w:val="0"/>
        <w:spacing w:line="360" w:lineRule="auto"/>
        <w:ind w:firstLine="535" w:firstLineChars="255"/>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（1）技术部分评审标准：见评标办法前附表；。</w:t>
      </w:r>
    </w:p>
    <w:p>
      <w:pPr>
        <w:autoSpaceDE w:val="0"/>
        <w:autoSpaceDN w:val="0"/>
        <w:adjustRightInd w:val="0"/>
        <w:snapToGrid w:val="0"/>
        <w:spacing w:line="360" w:lineRule="auto"/>
        <w:ind w:firstLine="535" w:firstLineChars="255"/>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（2）商务部分评审标准：见评标办法前附表；</w:t>
      </w:r>
    </w:p>
    <w:p>
      <w:pPr>
        <w:autoSpaceDE w:val="0"/>
        <w:autoSpaceDN w:val="0"/>
        <w:adjustRightInd w:val="0"/>
        <w:snapToGrid w:val="0"/>
        <w:spacing w:line="360" w:lineRule="auto"/>
        <w:ind w:firstLine="535" w:firstLineChars="255"/>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（3）投标函及经济部分评审标准：见评标办法前附表。</w:t>
      </w:r>
    </w:p>
    <w:p>
      <w:pPr>
        <w:autoSpaceDE w:val="0"/>
        <w:autoSpaceDN w:val="0"/>
        <w:adjustRightInd w:val="0"/>
        <w:snapToGrid w:val="0"/>
        <w:spacing w:line="360" w:lineRule="auto"/>
        <w:ind w:firstLine="535" w:firstLineChars="255"/>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2.2.3  评标基准价计算</w:t>
      </w:r>
    </w:p>
    <w:p>
      <w:pPr>
        <w:autoSpaceDE w:val="0"/>
        <w:autoSpaceDN w:val="0"/>
        <w:adjustRightInd w:val="0"/>
        <w:snapToGrid w:val="0"/>
        <w:spacing w:line="360" w:lineRule="auto"/>
        <w:ind w:firstLine="535" w:firstLineChars="255"/>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评标基准价计算方法：见评标办法前附表。</w:t>
      </w:r>
    </w:p>
    <w:p>
      <w:pPr>
        <w:autoSpaceDE w:val="0"/>
        <w:autoSpaceDN w:val="0"/>
        <w:adjustRightInd w:val="0"/>
        <w:snapToGrid w:val="0"/>
        <w:spacing w:line="360" w:lineRule="auto"/>
        <w:ind w:firstLine="535" w:firstLineChars="255"/>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2.2.4  投标报价的偏差率计算和允许偏差范围</w:t>
      </w:r>
    </w:p>
    <w:p>
      <w:pPr>
        <w:autoSpaceDE w:val="0"/>
        <w:autoSpaceDN w:val="0"/>
        <w:adjustRightInd w:val="0"/>
        <w:snapToGrid w:val="0"/>
        <w:spacing w:line="360" w:lineRule="auto"/>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（1）投标报价的偏差率计算公式：见评标办法前附表；</w:t>
      </w:r>
    </w:p>
    <w:p>
      <w:pPr>
        <w:autoSpaceDE w:val="0"/>
        <w:autoSpaceDN w:val="0"/>
        <w:adjustRightInd w:val="0"/>
        <w:snapToGrid w:val="0"/>
        <w:spacing w:line="360" w:lineRule="auto"/>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（2）投标报价的允许偏差范围：见评标办法前附表。</w:t>
      </w:r>
    </w:p>
    <w:p>
      <w:pPr>
        <w:pStyle w:val="4"/>
        <w:spacing w:before="0" w:after="0" w:line="360" w:lineRule="auto"/>
        <w:rPr>
          <w:rFonts w:hint="eastAsia" w:ascii="新宋体" w:hAnsi="新宋体" w:eastAsia="新宋体" w:cs="新宋体"/>
          <w:b w:val="0"/>
          <w:snapToGrid w:val="0"/>
          <w:color w:val="auto"/>
          <w:highlight w:val="none"/>
        </w:rPr>
      </w:pPr>
      <w:bookmarkStart w:id="549" w:name="_Toc509218780"/>
      <w:bookmarkStart w:id="550" w:name="_Toc287620755"/>
      <w:bookmarkStart w:id="551" w:name="_Toc430530504"/>
      <w:bookmarkStart w:id="552" w:name="_Toc224103388"/>
      <w:bookmarkStart w:id="553" w:name="_Toc57820631"/>
      <w:bookmarkStart w:id="554" w:name="_Toc200513202"/>
      <w:bookmarkStart w:id="555" w:name="_Toc287607816"/>
      <w:bookmarkStart w:id="556" w:name="_Toc277082622"/>
      <w:r>
        <w:rPr>
          <w:rFonts w:hint="eastAsia" w:ascii="新宋体" w:hAnsi="新宋体" w:eastAsia="新宋体" w:cs="新宋体"/>
          <w:b w:val="0"/>
          <w:snapToGrid w:val="0"/>
          <w:color w:val="auto"/>
          <w:highlight w:val="none"/>
        </w:rPr>
        <w:t>3.  评标程序</w:t>
      </w:r>
      <w:bookmarkEnd w:id="549"/>
      <w:bookmarkEnd w:id="550"/>
      <w:bookmarkEnd w:id="551"/>
      <w:bookmarkEnd w:id="552"/>
      <w:bookmarkEnd w:id="553"/>
      <w:bookmarkEnd w:id="554"/>
      <w:bookmarkEnd w:id="555"/>
      <w:bookmarkEnd w:id="556"/>
    </w:p>
    <w:p>
      <w:pPr>
        <w:pStyle w:val="2"/>
        <w:snapToGrid w:val="0"/>
        <w:spacing w:before="0" w:after="0" w:line="360" w:lineRule="auto"/>
        <w:rPr>
          <w:rFonts w:hint="eastAsia" w:ascii="新宋体" w:hAnsi="新宋体" w:eastAsia="新宋体" w:cs="新宋体"/>
          <w:b w:val="0"/>
          <w:snapToGrid w:val="0"/>
          <w:color w:val="auto"/>
          <w:sz w:val="24"/>
          <w:szCs w:val="24"/>
          <w:highlight w:val="none"/>
        </w:rPr>
      </w:pPr>
      <w:bookmarkStart w:id="557" w:name="_Toc509218781"/>
      <w:bookmarkStart w:id="558" w:name="_Toc57820632"/>
      <w:bookmarkStart w:id="559" w:name="_Toc224103389"/>
      <w:bookmarkStart w:id="560" w:name="_Toc287620756"/>
      <w:bookmarkStart w:id="561" w:name="_Toc287607817"/>
      <w:bookmarkStart w:id="562" w:name="_Toc277082623"/>
      <w:bookmarkStart w:id="563" w:name="_Toc200513203"/>
      <w:bookmarkStart w:id="564" w:name="_Toc430530505"/>
      <w:r>
        <w:rPr>
          <w:rFonts w:hint="eastAsia" w:ascii="新宋体" w:hAnsi="新宋体" w:eastAsia="新宋体" w:cs="新宋体"/>
          <w:b w:val="0"/>
          <w:snapToGrid w:val="0"/>
          <w:color w:val="auto"/>
          <w:sz w:val="24"/>
          <w:szCs w:val="24"/>
          <w:highlight w:val="none"/>
        </w:rPr>
        <w:t>3.1  初步评审</w:t>
      </w:r>
      <w:bookmarkEnd w:id="557"/>
      <w:bookmarkEnd w:id="558"/>
      <w:bookmarkEnd w:id="559"/>
      <w:bookmarkEnd w:id="560"/>
      <w:bookmarkEnd w:id="561"/>
      <w:bookmarkEnd w:id="562"/>
      <w:bookmarkEnd w:id="563"/>
      <w:bookmarkEnd w:id="564"/>
    </w:p>
    <w:p>
      <w:pPr>
        <w:autoSpaceDE w:val="0"/>
        <w:autoSpaceDN w:val="0"/>
        <w:adjustRightInd w:val="0"/>
        <w:snapToGrid w:val="0"/>
        <w:spacing w:line="360" w:lineRule="auto"/>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3.1.1  评标委员会依据本章第 2.1 款规定的标准对投标文件进行初步评审。有一项不符合评审标准的，作否决投标处理。（适用于未进行资格预审的）</w:t>
      </w:r>
    </w:p>
    <w:p>
      <w:pPr>
        <w:autoSpaceDE w:val="0"/>
        <w:autoSpaceDN w:val="0"/>
        <w:adjustRightInd w:val="0"/>
        <w:snapToGrid w:val="0"/>
        <w:spacing w:line="360" w:lineRule="auto"/>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3.1.2  投标人有以下情形之一的，其投标作否决投标处理：</w:t>
      </w:r>
    </w:p>
    <w:p>
      <w:pPr>
        <w:autoSpaceDE w:val="0"/>
        <w:autoSpaceDN w:val="0"/>
        <w:adjustRightInd w:val="0"/>
        <w:snapToGrid w:val="0"/>
        <w:spacing w:line="360" w:lineRule="auto"/>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w:t>
      </w:r>
      <w:r>
        <w:rPr>
          <w:rFonts w:hint="eastAsia" w:ascii="新宋体" w:hAnsi="新宋体" w:eastAsia="新宋体" w:cs="新宋体"/>
          <w:color w:val="auto"/>
          <w:spacing w:val="1"/>
          <w:kern w:val="0"/>
          <w:szCs w:val="21"/>
          <w:highlight w:val="none"/>
        </w:rPr>
        <w:t>1</w:t>
      </w:r>
      <w:r>
        <w:rPr>
          <w:rFonts w:hint="eastAsia" w:ascii="新宋体" w:hAnsi="新宋体" w:eastAsia="新宋体" w:cs="新宋体"/>
          <w:color w:val="auto"/>
          <w:kern w:val="0"/>
          <w:szCs w:val="21"/>
          <w:highlight w:val="none"/>
        </w:rPr>
        <w:t>）第二</w:t>
      </w:r>
      <w:r>
        <w:rPr>
          <w:rFonts w:hint="eastAsia" w:ascii="新宋体" w:hAnsi="新宋体" w:eastAsia="新宋体" w:cs="新宋体"/>
          <w:color w:val="auto"/>
          <w:spacing w:val="-1"/>
          <w:kern w:val="0"/>
          <w:szCs w:val="21"/>
          <w:highlight w:val="none"/>
        </w:rPr>
        <w:t>章</w:t>
      </w:r>
      <w:r>
        <w:rPr>
          <w:rFonts w:hint="eastAsia" w:ascii="新宋体" w:hAnsi="新宋体" w:eastAsia="新宋体" w:cs="新宋体"/>
          <w:color w:val="auto"/>
          <w:kern w:val="0"/>
          <w:szCs w:val="21"/>
          <w:highlight w:val="none"/>
        </w:rPr>
        <w:t>“投标人须知”第</w:t>
      </w:r>
      <w:r>
        <w:rPr>
          <w:rFonts w:hint="eastAsia" w:ascii="新宋体" w:hAnsi="新宋体" w:eastAsia="新宋体" w:cs="新宋体"/>
          <w:color w:val="auto"/>
          <w:spacing w:val="1"/>
          <w:kern w:val="0"/>
          <w:szCs w:val="21"/>
          <w:highlight w:val="none"/>
        </w:rPr>
        <w:t>1</w:t>
      </w:r>
      <w:r>
        <w:rPr>
          <w:rFonts w:hint="eastAsia" w:ascii="新宋体" w:hAnsi="新宋体" w:eastAsia="新宋体" w:cs="新宋体"/>
          <w:color w:val="auto"/>
          <w:spacing w:val="-1"/>
          <w:kern w:val="0"/>
          <w:szCs w:val="21"/>
          <w:highlight w:val="none"/>
        </w:rPr>
        <w:t>.</w:t>
      </w:r>
      <w:r>
        <w:rPr>
          <w:rFonts w:hint="eastAsia" w:ascii="新宋体" w:hAnsi="新宋体" w:eastAsia="新宋体" w:cs="新宋体"/>
          <w:color w:val="auto"/>
          <w:spacing w:val="1"/>
          <w:kern w:val="0"/>
          <w:szCs w:val="21"/>
          <w:highlight w:val="none"/>
        </w:rPr>
        <w:t>4</w:t>
      </w:r>
      <w:r>
        <w:rPr>
          <w:rFonts w:hint="eastAsia" w:ascii="新宋体" w:hAnsi="新宋体" w:eastAsia="新宋体" w:cs="新宋体"/>
          <w:color w:val="auto"/>
          <w:spacing w:val="-1"/>
          <w:kern w:val="0"/>
          <w:szCs w:val="21"/>
          <w:highlight w:val="none"/>
        </w:rPr>
        <w:t>.</w:t>
      </w:r>
      <w:r>
        <w:rPr>
          <w:rFonts w:hint="eastAsia" w:ascii="新宋体" w:hAnsi="新宋体" w:eastAsia="新宋体" w:cs="新宋体"/>
          <w:color w:val="auto"/>
          <w:kern w:val="0"/>
          <w:szCs w:val="21"/>
          <w:highlight w:val="none"/>
        </w:rPr>
        <w:t>3项规定的任何一种情形的；</w:t>
      </w:r>
    </w:p>
    <w:p>
      <w:pPr>
        <w:autoSpaceDE w:val="0"/>
        <w:autoSpaceDN w:val="0"/>
        <w:adjustRightInd w:val="0"/>
        <w:snapToGrid w:val="0"/>
        <w:spacing w:line="360" w:lineRule="auto"/>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w:t>
      </w:r>
      <w:r>
        <w:rPr>
          <w:rFonts w:hint="eastAsia" w:ascii="新宋体" w:hAnsi="新宋体" w:eastAsia="新宋体" w:cs="新宋体"/>
          <w:color w:val="auto"/>
          <w:spacing w:val="1"/>
          <w:kern w:val="0"/>
          <w:szCs w:val="21"/>
          <w:highlight w:val="none"/>
        </w:rPr>
        <w:t>2</w:t>
      </w:r>
      <w:r>
        <w:rPr>
          <w:rFonts w:hint="eastAsia" w:ascii="新宋体" w:hAnsi="新宋体" w:eastAsia="新宋体" w:cs="新宋体"/>
          <w:color w:val="auto"/>
          <w:kern w:val="0"/>
          <w:szCs w:val="21"/>
          <w:highlight w:val="none"/>
        </w:rPr>
        <w:t>）</w:t>
      </w:r>
      <w:r>
        <w:rPr>
          <w:rFonts w:hint="eastAsia" w:ascii="新宋体" w:hAnsi="新宋体" w:eastAsia="新宋体" w:cs="新宋体"/>
          <w:color w:val="auto"/>
          <w:szCs w:val="21"/>
          <w:highlight w:val="none"/>
        </w:rPr>
        <w:t>本次投标有串通投标、弄虚作假等其他违反招投标相关法律、法规行为的</w:t>
      </w:r>
      <w:r>
        <w:rPr>
          <w:rFonts w:hint="eastAsia" w:ascii="新宋体" w:hAnsi="新宋体" w:eastAsia="新宋体" w:cs="新宋体"/>
          <w:color w:val="auto"/>
          <w:kern w:val="0"/>
          <w:szCs w:val="21"/>
          <w:highlight w:val="none"/>
        </w:rPr>
        <w:t>；</w:t>
      </w:r>
    </w:p>
    <w:p>
      <w:pPr>
        <w:autoSpaceDE w:val="0"/>
        <w:autoSpaceDN w:val="0"/>
        <w:adjustRightInd w:val="0"/>
        <w:snapToGrid w:val="0"/>
        <w:spacing w:line="360" w:lineRule="auto"/>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w:t>
      </w:r>
      <w:r>
        <w:rPr>
          <w:rFonts w:hint="eastAsia" w:ascii="新宋体" w:hAnsi="新宋体" w:eastAsia="新宋体" w:cs="新宋体"/>
          <w:color w:val="auto"/>
          <w:spacing w:val="1"/>
          <w:kern w:val="0"/>
          <w:szCs w:val="21"/>
          <w:highlight w:val="none"/>
        </w:rPr>
        <w:t>3</w:t>
      </w:r>
      <w:r>
        <w:rPr>
          <w:rFonts w:hint="eastAsia" w:ascii="新宋体" w:hAnsi="新宋体" w:eastAsia="新宋体" w:cs="新宋体"/>
          <w:color w:val="auto"/>
          <w:kern w:val="0"/>
          <w:szCs w:val="21"/>
          <w:highlight w:val="none"/>
        </w:rPr>
        <w:t>）拒绝按</w:t>
      </w:r>
      <w:r>
        <w:rPr>
          <w:rFonts w:hint="eastAsia" w:ascii="新宋体" w:hAnsi="新宋体" w:eastAsia="新宋体" w:cs="新宋体"/>
          <w:color w:val="auto"/>
          <w:spacing w:val="-1"/>
          <w:kern w:val="0"/>
          <w:szCs w:val="21"/>
          <w:highlight w:val="none"/>
        </w:rPr>
        <w:t>评</w:t>
      </w:r>
      <w:r>
        <w:rPr>
          <w:rFonts w:hint="eastAsia" w:ascii="新宋体" w:hAnsi="新宋体" w:eastAsia="新宋体" w:cs="新宋体"/>
          <w:color w:val="auto"/>
          <w:kern w:val="0"/>
          <w:szCs w:val="21"/>
          <w:highlight w:val="none"/>
        </w:rPr>
        <w:t>标委员会要求澄清、说明或补正的。</w:t>
      </w:r>
    </w:p>
    <w:p>
      <w:pPr>
        <w:autoSpaceDE w:val="0"/>
        <w:autoSpaceDN w:val="0"/>
        <w:adjustRightInd w:val="0"/>
        <w:snapToGrid w:val="0"/>
        <w:spacing w:line="360" w:lineRule="auto"/>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3.1.3  投标报价有算术错误的，评标委员会按以下原则对投标报价进行修正，修正的价格经投标人书面确认后具有约束力，修正原则如下：</w:t>
      </w:r>
    </w:p>
    <w:p>
      <w:pPr>
        <w:autoSpaceDE w:val="0"/>
        <w:autoSpaceDN w:val="0"/>
        <w:adjustRightInd w:val="0"/>
        <w:snapToGrid w:val="0"/>
        <w:spacing w:line="360" w:lineRule="auto"/>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（1）投标文件中的大写金额与小写金额不一致的，以大写金额为准；</w:t>
      </w:r>
    </w:p>
    <w:p>
      <w:pPr>
        <w:autoSpaceDE w:val="0"/>
        <w:autoSpaceDN w:val="0"/>
        <w:adjustRightInd w:val="0"/>
        <w:snapToGrid w:val="0"/>
        <w:spacing w:line="360" w:lineRule="auto"/>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（2）投标函中的总报价与已标价</w:t>
      </w:r>
      <w:r>
        <w:rPr>
          <w:rFonts w:hint="eastAsia" w:ascii="新宋体" w:hAnsi="新宋体" w:eastAsia="新宋体" w:cs="新宋体"/>
          <w:color w:val="auto"/>
          <w:kern w:val="0"/>
          <w:szCs w:val="21"/>
          <w:highlight w:val="none"/>
          <w:lang w:val="en-US" w:eastAsia="zh-CN"/>
        </w:rPr>
        <w:t>设备</w:t>
      </w:r>
      <w:r>
        <w:rPr>
          <w:rFonts w:hint="eastAsia" w:ascii="新宋体" w:hAnsi="新宋体" w:eastAsia="新宋体" w:cs="新宋体"/>
          <w:color w:val="auto"/>
          <w:kern w:val="0"/>
          <w:szCs w:val="21"/>
          <w:highlight w:val="none"/>
        </w:rPr>
        <w:t>清单总报价不一致，</w:t>
      </w:r>
      <w:r>
        <w:rPr>
          <w:rFonts w:hint="eastAsia" w:ascii="新宋体" w:hAnsi="新宋体" w:eastAsia="新宋体" w:cs="新宋体"/>
          <w:color w:val="auto"/>
          <w:kern w:val="0"/>
          <w:szCs w:val="21"/>
          <w:highlight w:val="none"/>
          <w:lang w:val="en-US" w:eastAsia="zh-CN"/>
        </w:rPr>
        <w:t>或设备</w:t>
      </w:r>
      <w:r>
        <w:rPr>
          <w:rFonts w:hint="eastAsia" w:ascii="新宋体" w:hAnsi="新宋体" w:eastAsia="新宋体" w:cs="新宋体"/>
          <w:color w:val="auto"/>
          <w:kern w:val="0"/>
          <w:szCs w:val="21"/>
          <w:highlight w:val="none"/>
        </w:rPr>
        <w:t>清单总报价与依据单价、数量、分部分项</w:t>
      </w:r>
      <w:r>
        <w:rPr>
          <w:rFonts w:hint="eastAsia" w:ascii="新宋体" w:hAnsi="新宋体" w:eastAsia="新宋体" w:cs="新宋体"/>
          <w:color w:val="auto"/>
          <w:kern w:val="0"/>
          <w:szCs w:val="21"/>
          <w:highlight w:val="none"/>
          <w:lang w:val="en-US" w:eastAsia="zh-CN"/>
        </w:rPr>
        <w:t>设备</w:t>
      </w:r>
      <w:r>
        <w:rPr>
          <w:rFonts w:hint="eastAsia" w:ascii="新宋体" w:hAnsi="新宋体" w:eastAsia="新宋体" w:cs="新宋体"/>
          <w:color w:val="auto"/>
          <w:kern w:val="0"/>
          <w:szCs w:val="21"/>
          <w:highlight w:val="none"/>
        </w:rPr>
        <w:t>合价计算出的结果不一致的，由评标委员会作否决投标处理。</w:t>
      </w:r>
    </w:p>
    <w:p>
      <w:pPr>
        <w:pStyle w:val="2"/>
        <w:snapToGrid w:val="0"/>
        <w:spacing w:before="0" w:after="0" w:line="360" w:lineRule="auto"/>
        <w:rPr>
          <w:rFonts w:hint="eastAsia" w:ascii="新宋体" w:hAnsi="新宋体" w:eastAsia="新宋体" w:cs="新宋体"/>
          <w:b w:val="0"/>
          <w:snapToGrid w:val="0"/>
          <w:color w:val="auto"/>
          <w:sz w:val="24"/>
          <w:szCs w:val="24"/>
          <w:highlight w:val="none"/>
        </w:rPr>
      </w:pPr>
      <w:bookmarkStart w:id="565" w:name="_Toc430530506"/>
      <w:bookmarkStart w:id="566" w:name="_Toc224103390"/>
      <w:bookmarkStart w:id="567" w:name="_Toc509218782"/>
      <w:bookmarkStart w:id="568" w:name="_Toc287607818"/>
      <w:bookmarkStart w:id="569" w:name="_Toc57820633"/>
      <w:bookmarkStart w:id="570" w:name="_Toc277082624"/>
      <w:bookmarkStart w:id="571" w:name="_Toc287620757"/>
      <w:bookmarkStart w:id="572" w:name="_Toc200513204"/>
      <w:r>
        <w:rPr>
          <w:rFonts w:hint="eastAsia" w:ascii="新宋体" w:hAnsi="新宋体" w:eastAsia="新宋体" w:cs="新宋体"/>
          <w:b w:val="0"/>
          <w:snapToGrid w:val="0"/>
          <w:color w:val="auto"/>
          <w:sz w:val="24"/>
          <w:szCs w:val="24"/>
          <w:highlight w:val="none"/>
        </w:rPr>
        <w:t>3.2  详细评审</w:t>
      </w:r>
      <w:bookmarkEnd w:id="565"/>
      <w:bookmarkEnd w:id="566"/>
      <w:bookmarkEnd w:id="567"/>
      <w:bookmarkEnd w:id="568"/>
      <w:bookmarkEnd w:id="569"/>
      <w:bookmarkEnd w:id="570"/>
      <w:bookmarkEnd w:id="571"/>
      <w:bookmarkEnd w:id="572"/>
    </w:p>
    <w:p>
      <w:pPr>
        <w:autoSpaceDE w:val="0"/>
        <w:autoSpaceDN w:val="0"/>
        <w:adjustRightInd w:val="0"/>
        <w:snapToGrid w:val="0"/>
        <w:spacing w:line="360" w:lineRule="auto"/>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3.2.1  评标委员会按本章第2.2款规定的量化因素和分值进行</w:t>
      </w:r>
      <w:r>
        <w:rPr>
          <w:rFonts w:hint="eastAsia" w:ascii="新宋体" w:hAnsi="新宋体" w:eastAsia="新宋体" w:cs="新宋体"/>
          <w:color w:val="auto"/>
          <w:kern w:val="0"/>
          <w:szCs w:val="21"/>
          <w:highlight w:val="none"/>
          <w:lang w:eastAsia="zh-CN"/>
        </w:rPr>
        <w:t>评分</w:t>
      </w:r>
      <w:r>
        <w:rPr>
          <w:rFonts w:hint="eastAsia" w:ascii="新宋体" w:hAnsi="新宋体" w:eastAsia="新宋体" w:cs="新宋体"/>
          <w:color w:val="auto"/>
          <w:kern w:val="0"/>
          <w:szCs w:val="21"/>
          <w:highlight w:val="none"/>
        </w:rPr>
        <w:t>，并计算出综合评估得分。</w:t>
      </w:r>
    </w:p>
    <w:p>
      <w:pPr>
        <w:autoSpaceDE w:val="0"/>
        <w:autoSpaceDN w:val="0"/>
        <w:adjustRightInd w:val="0"/>
        <w:snapToGrid w:val="0"/>
        <w:spacing w:line="360" w:lineRule="auto"/>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（1）按本章第3.2.1（1）目规定的评审因素和分值对技术部分计算出得分A（</w:t>
      </w:r>
      <w:r>
        <w:rPr>
          <w:rFonts w:hint="eastAsia" w:ascii="新宋体" w:hAnsi="新宋体" w:eastAsia="新宋体" w:cs="新宋体"/>
          <w:snapToGrid w:val="0"/>
          <w:color w:val="auto"/>
          <w:kern w:val="0"/>
          <w:szCs w:val="21"/>
          <w:highlight w:val="none"/>
        </w:rPr>
        <w:t>所有评委</w:t>
      </w:r>
      <w:r>
        <w:rPr>
          <w:rFonts w:hint="eastAsia" w:ascii="新宋体" w:hAnsi="新宋体" w:eastAsia="新宋体" w:cs="新宋体"/>
          <w:snapToGrid w:val="0"/>
          <w:color w:val="auto"/>
          <w:kern w:val="0"/>
          <w:szCs w:val="21"/>
          <w:highlight w:val="none"/>
          <w:lang w:eastAsia="zh-CN"/>
        </w:rPr>
        <w:t>评分</w:t>
      </w:r>
      <w:r>
        <w:rPr>
          <w:rFonts w:hint="eastAsia" w:ascii="新宋体" w:hAnsi="新宋体" w:eastAsia="新宋体" w:cs="新宋体"/>
          <w:snapToGrid w:val="0"/>
          <w:color w:val="auto"/>
          <w:kern w:val="0"/>
          <w:szCs w:val="21"/>
          <w:highlight w:val="none"/>
        </w:rPr>
        <w:t>中去掉一个最高和一个最低分，余下评委</w:t>
      </w:r>
      <w:r>
        <w:rPr>
          <w:rFonts w:hint="eastAsia" w:ascii="新宋体" w:hAnsi="新宋体" w:eastAsia="新宋体" w:cs="新宋体"/>
          <w:snapToGrid w:val="0"/>
          <w:color w:val="auto"/>
          <w:kern w:val="0"/>
          <w:szCs w:val="21"/>
          <w:highlight w:val="none"/>
          <w:lang w:eastAsia="zh-CN"/>
        </w:rPr>
        <w:t>评分</w:t>
      </w:r>
      <w:r>
        <w:rPr>
          <w:rFonts w:hint="eastAsia" w:ascii="新宋体" w:hAnsi="新宋体" w:eastAsia="新宋体" w:cs="新宋体"/>
          <w:snapToGrid w:val="0"/>
          <w:color w:val="auto"/>
          <w:kern w:val="0"/>
          <w:szCs w:val="21"/>
          <w:highlight w:val="none"/>
        </w:rPr>
        <w:t>取算术平均值为该投标人技术部分得分。</w:t>
      </w:r>
      <w:r>
        <w:rPr>
          <w:rFonts w:hint="eastAsia" w:ascii="新宋体" w:hAnsi="新宋体" w:eastAsia="新宋体" w:cs="新宋体"/>
          <w:color w:val="auto"/>
          <w:kern w:val="0"/>
          <w:szCs w:val="21"/>
          <w:highlight w:val="none"/>
        </w:rPr>
        <w:t>）</w:t>
      </w:r>
    </w:p>
    <w:p>
      <w:pPr>
        <w:autoSpaceDE w:val="0"/>
        <w:autoSpaceDN w:val="0"/>
        <w:adjustRightInd w:val="0"/>
        <w:snapToGrid w:val="0"/>
        <w:spacing w:line="360" w:lineRule="auto"/>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（2）按本章第3.2.1（2）目规定的评审因素和分值对商务部分计算出得分B。</w:t>
      </w:r>
    </w:p>
    <w:p>
      <w:pPr>
        <w:autoSpaceDE w:val="0"/>
        <w:autoSpaceDN w:val="0"/>
        <w:adjustRightInd w:val="0"/>
        <w:snapToGrid w:val="0"/>
        <w:spacing w:line="360" w:lineRule="auto"/>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（3）按本章第3.2.1（3）目规定的评审因素和分值对经济部分计算出得分C。</w:t>
      </w:r>
    </w:p>
    <w:p>
      <w:pPr>
        <w:autoSpaceDE w:val="0"/>
        <w:autoSpaceDN w:val="0"/>
        <w:adjustRightInd w:val="0"/>
        <w:snapToGrid w:val="0"/>
        <w:spacing w:line="360" w:lineRule="auto"/>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3.2.2  各类评分分值的最终计算结果保留小数点后两位，小数点后第三位“四舍五入”。</w:t>
      </w:r>
    </w:p>
    <w:p>
      <w:pPr>
        <w:autoSpaceDE w:val="0"/>
        <w:autoSpaceDN w:val="0"/>
        <w:adjustRightInd w:val="0"/>
        <w:snapToGrid w:val="0"/>
        <w:spacing w:line="360" w:lineRule="auto"/>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3.2.3  投标人得分=A+B</w:t>
      </w:r>
      <w:r>
        <w:rPr>
          <w:rFonts w:hint="eastAsia" w:ascii="新宋体" w:hAnsi="新宋体" w:eastAsia="新宋体" w:cs="新宋体"/>
          <w:color w:val="auto"/>
          <w:kern w:val="0"/>
          <w:szCs w:val="21"/>
          <w:highlight w:val="none"/>
          <w:lang w:val="en-US" w:eastAsia="zh-CN"/>
        </w:rPr>
        <w:t>+C</w:t>
      </w:r>
      <w:r>
        <w:rPr>
          <w:rFonts w:hint="eastAsia" w:ascii="新宋体" w:hAnsi="新宋体" w:eastAsia="新宋体" w:cs="新宋体"/>
          <w:color w:val="auto"/>
          <w:kern w:val="0"/>
          <w:szCs w:val="21"/>
          <w:highlight w:val="none"/>
        </w:rPr>
        <w:t>。</w:t>
      </w:r>
    </w:p>
    <w:p>
      <w:pPr>
        <w:pStyle w:val="2"/>
        <w:snapToGrid w:val="0"/>
        <w:spacing w:before="0" w:after="0" w:line="360" w:lineRule="auto"/>
        <w:rPr>
          <w:rFonts w:hint="eastAsia" w:ascii="新宋体" w:hAnsi="新宋体" w:eastAsia="新宋体" w:cs="新宋体"/>
          <w:b w:val="0"/>
          <w:snapToGrid w:val="0"/>
          <w:color w:val="auto"/>
          <w:sz w:val="24"/>
          <w:szCs w:val="24"/>
          <w:highlight w:val="none"/>
        </w:rPr>
      </w:pPr>
      <w:bookmarkStart w:id="573" w:name="_Toc287620758"/>
      <w:bookmarkStart w:id="574" w:name="_Toc57820634"/>
      <w:bookmarkStart w:id="575" w:name="_Toc509218783"/>
      <w:bookmarkStart w:id="576" w:name="_Toc224103391"/>
      <w:bookmarkStart w:id="577" w:name="_Toc200513205"/>
      <w:bookmarkStart w:id="578" w:name="_Toc287607819"/>
      <w:bookmarkStart w:id="579" w:name="_Toc430530507"/>
      <w:bookmarkStart w:id="580" w:name="_Toc277082625"/>
      <w:r>
        <w:rPr>
          <w:rFonts w:hint="eastAsia" w:ascii="新宋体" w:hAnsi="新宋体" w:eastAsia="新宋体" w:cs="新宋体"/>
          <w:b w:val="0"/>
          <w:snapToGrid w:val="0"/>
          <w:color w:val="auto"/>
          <w:sz w:val="24"/>
          <w:szCs w:val="24"/>
          <w:highlight w:val="none"/>
        </w:rPr>
        <w:t>3.3  投标文件的澄清和补正</w:t>
      </w:r>
      <w:bookmarkEnd w:id="573"/>
      <w:bookmarkEnd w:id="574"/>
      <w:bookmarkEnd w:id="575"/>
      <w:bookmarkEnd w:id="576"/>
      <w:bookmarkEnd w:id="577"/>
      <w:bookmarkEnd w:id="578"/>
      <w:bookmarkEnd w:id="579"/>
      <w:bookmarkEnd w:id="580"/>
    </w:p>
    <w:p>
      <w:pPr>
        <w:autoSpaceDE w:val="0"/>
        <w:autoSpaceDN w:val="0"/>
        <w:adjustRightInd w:val="0"/>
        <w:snapToGrid w:val="0"/>
        <w:spacing w:line="360" w:lineRule="auto"/>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pPr>
        <w:autoSpaceDE w:val="0"/>
        <w:autoSpaceDN w:val="0"/>
        <w:adjustRightInd w:val="0"/>
        <w:snapToGrid w:val="0"/>
        <w:spacing w:line="360" w:lineRule="auto"/>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3.3.2  澄清、说明和补正不得改变投标文件的实质性内容（算术性错误修正的除外）。投标人的书面澄清、说明和补正属于投标文件的组成部分。</w:t>
      </w:r>
    </w:p>
    <w:p>
      <w:pPr>
        <w:autoSpaceDE w:val="0"/>
        <w:autoSpaceDN w:val="0"/>
        <w:adjustRightInd w:val="0"/>
        <w:snapToGrid w:val="0"/>
        <w:spacing w:line="360" w:lineRule="auto"/>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3.3.3  评标委员会对投标人提交的澄清、说明或补正有疑问的，可以要求投标人进一步澄清、说明或补正，直至满足评标委员会的要求。</w:t>
      </w:r>
    </w:p>
    <w:p>
      <w:pPr>
        <w:pStyle w:val="2"/>
        <w:snapToGrid w:val="0"/>
        <w:spacing w:before="0" w:after="0" w:line="360" w:lineRule="auto"/>
        <w:rPr>
          <w:rFonts w:hint="eastAsia" w:ascii="新宋体" w:hAnsi="新宋体" w:eastAsia="新宋体" w:cs="新宋体"/>
          <w:b w:val="0"/>
          <w:snapToGrid w:val="0"/>
          <w:color w:val="auto"/>
          <w:sz w:val="24"/>
          <w:szCs w:val="24"/>
          <w:highlight w:val="none"/>
        </w:rPr>
      </w:pPr>
      <w:bookmarkStart w:id="581" w:name="_Toc509218784"/>
      <w:bookmarkStart w:id="582" w:name="_Toc277082626"/>
      <w:bookmarkStart w:id="583" w:name="_Toc287620759"/>
      <w:bookmarkStart w:id="584" w:name="_Toc200513206"/>
      <w:bookmarkStart w:id="585" w:name="_Toc430530508"/>
      <w:bookmarkStart w:id="586" w:name="_Toc224103392"/>
      <w:bookmarkStart w:id="587" w:name="_Toc287607820"/>
      <w:bookmarkStart w:id="588" w:name="_Toc57820635"/>
      <w:r>
        <w:rPr>
          <w:rFonts w:hint="eastAsia" w:ascii="新宋体" w:hAnsi="新宋体" w:eastAsia="新宋体" w:cs="新宋体"/>
          <w:b w:val="0"/>
          <w:snapToGrid w:val="0"/>
          <w:color w:val="auto"/>
          <w:sz w:val="24"/>
          <w:szCs w:val="24"/>
          <w:highlight w:val="none"/>
        </w:rPr>
        <w:t>3.4  评标结果</w:t>
      </w:r>
      <w:bookmarkEnd w:id="581"/>
      <w:bookmarkEnd w:id="582"/>
      <w:bookmarkEnd w:id="583"/>
      <w:bookmarkEnd w:id="584"/>
      <w:bookmarkEnd w:id="585"/>
      <w:bookmarkEnd w:id="586"/>
      <w:bookmarkEnd w:id="587"/>
      <w:bookmarkEnd w:id="588"/>
    </w:p>
    <w:p>
      <w:pPr>
        <w:autoSpaceDE w:val="0"/>
        <w:autoSpaceDN w:val="0"/>
        <w:adjustRightInd w:val="0"/>
        <w:snapToGrid w:val="0"/>
        <w:spacing w:line="360" w:lineRule="auto"/>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3.</w:t>
      </w:r>
      <w:r>
        <w:rPr>
          <w:rFonts w:hint="eastAsia" w:ascii="新宋体" w:hAnsi="新宋体" w:eastAsia="新宋体" w:cs="新宋体"/>
          <w:color w:val="auto"/>
          <w:spacing w:val="-1"/>
          <w:kern w:val="0"/>
          <w:szCs w:val="21"/>
          <w:highlight w:val="none"/>
        </w:rPr>
        <w:t>4</w:t>
      </w:r>
      <w:r>
        <w:rPr>
          <w:rFonts w:hint="eastAsia" w:ascii="新宋体" w:hAnsi="新宋体" w:eastAsia="新宋体" w:cs="新宋体"/>
          <w:color w:val="auto"/>
          <w:kern w:val="0"/>
          <w:szCs w:val="21"/>
          <w:highlight w:val="none"/>
        </w:rPr>
        <w:t xml:space="preserve">.1 </w:t>
      </w:r>
      <w:r>
        <w:rPr>
          <w:rFonts w:hint="eastAsia" w:ascii="新宋体" w:hAnsi="新宋体" w:eastAsia="新宋体" w:cs="新宋体"/>
          <w:color w:val="auto"/>
          <w:spacing w:val="1"/>
          <w:kern w:val="0"/>
          <w:szCs w:val="21"/>
          <w:highlight w:val="none"/>
        </w:rPr>
        <w:t xml:space="preserve"> </w:t>
      </w:r>
      <w:r>
        <w:rPr>
          <w:rFonts w:hint="eastAsia" w:ascii="新宋体" w:hAnsi="新宋体" w:eastAsia="新宋体" w:cs="新宋体"/>
          <w:color w:val="auto"/>
          <w:kern w:val="0"/>
          <w:szCs w:val="21"/>
          <w:highlight w:val="none"/>
        </w:rPr>
        <w:t>除第二章“投标</w:t>
      </w:r>
      <w:r>
        <w:rPr>
          <w:rFonts w:hint="eastAsia" w:ascii="新宋体" w:hAnsi="新宋体" w:eastAsia="新宋体" w:cs="新宋体"/>
          <w:color w:val="auto"/>
          <w:spacing w:val="1"/>
          <w:kern w:val="0"/>
          <w:szCs w:val="21"/>
          <w:highlight w:val="none"/>
        </w:rPr>
        <w:t>人</w:t>
      </w:r>
      <w:r>
        <w:rPr>
          <w:rFonts w:hint="eastAsia" w:ascii="新宋体" w:hAnsi="新宋体" w:eastAsia="新宋体" w:cs="新宋体"/>
          <w:color w:val="auto"/>
          <w:kern w:val="0"/>
          <w:szCs w:val="21"/>
          <w:highlight w:val="none"/>
        </w:rPr>
        <w:t>须知”前</w:t>
      </w:r>
      <w:r>
        <w:rPr>
          <w:rFonts w:hint="eastAsia" w:ascii="新宋体" w:hAnsi="新宋体" w:eastAsia="新宋体" w:cs="新宋体"/>
          <w:color w:val="auto"/>
          <w:spacing w:val="1"/>
          <w:kern w:val="0"/>
          <w:szCs w:val="21"/>
          <w:highlight w:val="none"/>
        </w:rPr>
        <w:t>附</w:t>
      </w:r>
      <w:r>
        <w:rPr>
          <w:rFonts w:hint="eastAsia" w:ascii="新宋体" w:hAnsi="新宋体" w:eastAsia="新宋体" w:cs="新宋体"/>
          <w:color w:val="auto"/>
          <w:kern w:val="0"/>
          <w:szCs w:val="21"/>
          <w:highlight w:val="none"/>
        </w:rPr>
        <w:t>表授权直</w:t>
      </w:r>
      <w:r>
        <w:rPr>
          <w:rFonts w:hint="eastAsia" w:ascii="新宋体" w:hAnsi="新宋体" w:eastAsia="新宋体" w:cs="新宋体"/>
          <w:color w:val="auto"/>
          <w:spacing w:val="1"/>
          <w:kern w:val="0"/>
          <w:szCs w:val="21"/>
          <w:highlight w:val="none"/>
        </w:rPr>
        <w:t>接</w:t>
      </w:r>
      <w:r>
        <w:rPr>
          <w:rFonts w:hint="eastAsia" w:ascii="新宋体" w:hAnsi="新宋体" w:eastAsia="新宋体" w:cs="新宋体"/>
          <w:color w:val="auto"/>
          <w:kern w:val="0"/>
          <w:szCs w:val="21"/>
          <w:highlight w:val="none"/>
        </w:rPr>
        <w:t>确定中标</w:t>
      </w:r>
      <w:r>
        <w:rPr>
          <w:rFonts w:hint="eastAsia" w:ascii="新宋体" w:hAnsi="新宋体" w:eastAsia="新宋体" w:cs="新宋体"/>
          <w:color w:val="auto"/>
          <w:spacing w:val="1"/>
          <w:kern w:val="0"/>
          <w:szCs w:val="21"/>
          <w:highlight w:val="none"/>
        </w:rPr>
        <w:t>人</w:t>
      </w:r>
      <w:r>
        <w:rPr>
          <w:rFonts w:hint="eastAsia" w:ascii="新宋体" w:hAnsi="新宋体" w:eastAsia="新宋体" w:cs="新宋体"/>
          <w:color w:val="auto"/>
          <w:kern w:val="0"/>
          <w:szCs w:val="21"/>
          <w:highlight w:val="none"/>
        </w:rPr>
        <w:t>外，评标</w:t>
      </w:r>
      <w:r>
        <w:rPr>
          <w:rFonts w:hint="eastAsia" w:ascii="新宋体" w:hAnsi="新宋体" w:eastAsia="新宋体" w:cs="新宋体"/>
          <w:color w:val="auto"/>
          <w:spacing w:val="1"/>
          <w:kern w:val="0"/>
          <w:szCs w:val="21"/>
          <w:highlight w:val="none"/>
        </w:rPr>
        <w:t>委</w:t>
      </w:r>
      <w:r>
        <w:rPr>
          <w:rFonts w:hint="eastAsia" w:ascii="新宋体" w:hAnsi="新宋体" w:eastAsia="新宋体" w:cs="新宋体"/>
          <w:color w:val="auto"/>
          <w:kern w:val="0"/>
          <w:szCs w:val="21"/>
          <w:highlight w:val="none"/>
        </w:rPr>
        <w:t>员会按照</w:t>
      </w:r>
      <w:r>
        <w:rPr>
          <w:rFonts w:hint="eastAsia" w:ascii="新宋体" w:hAnsi="新宋体" w:eastAsia="新宋体" w:cs="新宋体"/>
          <w:color w:val="auto"/>
          <w:spacing w:val="1"/>
          <w:kern w:val="0"/>
          <w:szCs w:val="21"/>
          <w:highlight w:val="none"/>
        </w:rPr>
        <w:t>得分</w:t>
      </w:r>
      <w:r>
        <w:rPr>
          <w:rFonts w:hint="eastAsia" w:ascii="新宋体" w:hAnsi="新宋体" w:eastAsia="新宋体" w:cs="新宋体"/>
          <w:color w:val="auto"/>
          <w:kern w:val="0"/>
          <w:szCs w:val="21"/>
          <w:highlight w:val="none"/>
        </w:rPr>
        <w:t>由高到低的顺序推荐中标候选人。</w:t>
      </w:r>
    </w:p>
    <w:p>
      <w:pPr>
        <w:autoSpaceDE w:val="0"/>
        <w:autoSpaceDN w:val="0"/>
        <w:adjustRightInd w:val="0"/>
        <w:snapToGrid w:val="0"/>
        <w:spacing w:line="360" w:lineRule="auto"/>
        <w:ind w:firstLine="424" w:firstLineChars="200"/>
        <w:rPr>
          <w:rFonts w:hint="eastAsia" w:ascii="新宋体" w:hAnsi="新宋体" w:eastAsia="新宋体" w:cs="新宋体"/>
          <w:color w:val="auto"/>
          <w:kern w:val="0"/>
          <w:sz w:val="20"/>
          <w:szCs w:val="20"/>
          <w:highlight w:val="none"/>
        </w:rPr>
      </w:pPr>
      <w:r>
        <w:rPr>
          <w:rFonts w:hint="eastAsia" w:ascii="新宋体" w:hAnsi="新宋体" w:eastAsia="新宋体" w:cs="新宋体"/>
          <w:color w:val="auto"/>
          <w:spacing w:val="1"/>
          <w:kern w:val="0"/>
          <w:szCs w:val="21"/>
          <w:highlight w:val="none"/>
        </w:rPr>
        <w:t>3</w:t>
      </w:r>
      <w:r>
        <w:rPr>
          <w:rFonts w:hint="eastAsia" w:ascii="新宋体" w:hAnsi="新宋体" w:eastAsia="新宋体" w:cs="新宋体"/>
          <w:color w:val="auto"/>
          <w:kern w:val="0"/>
          <w:szCs w:val="21"/>
          <w:highlight w:val="none"/>
        </w:rPr>
        <w:t>.4.2  评标</w:t>
      </w:r>
      <w:r>
        <w:rPr>
          <w:rFonts w:hint="eastAsia" w:ascii="新宋体" w:hAnsi="新宋体" w:eastAsia="新宋体" w:cs="新宋体"/>
          <w:color w:val="auto"/>
          <w:spacing w:val="-1"/>
          <w:kern w:val="0"/>
          <w:szCs w:val="21"/>
          <w:highlight w:val="none"/>
        </w:rPr>
        <w:t>委</w:t>
      </w:r>
      <w:r>
        <w:rPr>
          <w:rFonts w:hint="eastAsia" w:ascii="新宋体" w:hAnsi="新宋体" w:eastAsia="新宋体" w:cs="新宋体"/>
          <w:color w:val="auto"/>
          <w:kern w:val="0"/>
          <w:szCs w:val="21"/>
          <w:highlight w:val="none"/>
        </w:rPr>
        <w:t>员会完成评标后，应当向招标人提交书面评标报告。</w:t>
      </w:r>
    </w:p>
    <w:p>
      <w:pPr>
        <w:spacing w:line="360" w:lineRule="auto"/>
        <w:rPr>
          <w:rFonts w:hint="eastAsia" w:ascii="新宋体" w:hAnsi="新宋体" w:eastAsia="新宋体" w:cs="新宋体"/>
          <w:b/>
          <w:color w:val="auto"/>
          <w:szCs w:val="20"/>
          <w:highlight w:val="none"/>
        </w:rPr>
      </w:pPr>
      <w:r>
        <w:rPr>
          <w:rFonts w:hint="eastAsia" w:ascii="新宋体" w:hAnsi="新宋体" w:eastAsia="新宋体" w:cs="新宋体"/>
          <w:color w:val="auto"/>
          <w:kern w:val="0"/>
          <w:sz w:val="20"/>
          <w:szCs w:val="20"/>
          <w:highlight w:val="none"/>
        </w:rPr>
        <w:br w:type="page"/>
      </w:r>
    </w:p>
    <w:p>
      <w:pPr>
        <w:pStyle w:val="34"/>
        <w:spacing w:line="360" w:lineRule="auto"/>
        <w:rPr>
          <w:rFonts w:hint="eastAsia" w:ascii="新宋体" w:hAnsi="新宋体" w:eastAsia="新宋体" w:cs="新宋体"/>
          <w:b/>
          <w:color w:val="auto"/>
          <w:sz w:val="28"/>
          <w:szCs w:val="28"/>
          <w:highlight w:val="none"/>
          <w:u w:val="none"/>
          <w:lang w:eastAsia="zh-CN"/>
        </w:rPr>
      </w:pPr>
      <w:bookmarkStart w:id="589" w:name="招标文件03章02评标办法综合评估法02附件02"/>
      <w:bookmarkEnd w:id="589"/>
      <w:bookmarkStart w:id="590" w:name="招标文件04章合同条款及格式"/>
      <w:bookmarkEnd w:id="590"/>
      <w:bookmarkStart w:id="591" w:name="_Toc230410480"/>
      <w:bookmarkStart w:id="592" w:name="_Toc277082627"/>
      <w:r>
        <w:rPr>
          <w:rFonts w:hint="eastAsia" w:ascii="新宋体" w:hAnsi="新宋体" w:eastAsia="新宋体" w:cs="新宋体"/>
          <w:b/>
          <w:color w:val="auto"/>
          <w:sz w:val="28"/>
          <w:szCs w:val="28"/>
          <w:highlight w:val="none"/>
          <w:u w:val="none"/>
          <w:lang w:eastAsia="zh-CN"/>
        </w:rPr>
        <w:t>附件A：综合评估法否决投标情况一览表</w:t>
      </w:r>
      <w:bookmarkEnd w:id="591"/>
    </w:p>
    <w:bookmarkEnd w:id="592"/>
    <w:p>
      <w:pPr>
        <w:pStyle w:val="34"/>
        <w:spacing w:line="360" w:lineRule="auto"/>
        <w:ind w:firstLine="420" w:firstLineChars="200"/>
        <w:jc w:val="both"/>
        <w:rPr>
          <w:rFonts w:hint="eastAsia" w:ascii="新宋体" w:hAnsi="新宋体" w:eastAsia="新宋体" w:cs="新宋体"/>
          <w:color w:val="auto"/>
          <w:sz w:val="21"/>
          <w:szCs w:val="21"/>
          <w:highlight w:val="none"/>
          <w:u w:val="none"/>
          <w:lang w:eastAsia="zh-CN"/>
        </w:rPr>
      </w:pPr>
      <w:r>
        <w:rPr>
          <w:rFonts w:hint="eastAsia" w:ascii="新宋体" w:hAnsi="新宋体" w:eastAsia="新宋体" w:cs="新宋体"/>
          <w:color w:val="auto"/>
          <w:sz w:val="21"/>
          <w:szCs w:val="21"/>
          <w:highlight w:val="none"/>
          <w:u w:val="none"/>
          <w:lang w:eastAsia="zh-CN"/>
        </w:rPr>
        <w:t>投标文件存在本一览表下列情形之一的，投标文件视为重大偏差并作否决投标处理，否则，评标委员会不得视为重大偏差而否决投标人的投标文件。</w:t>
      </w:r>
    </w:p>
    <w:tbl>
      <w:tblPr>
        <w:tblStyle w:val="62"/>
        <w:tblW w:w="9469"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Align w:val="center"/>
          </w:tcPr>
          <w:p>
            <w:pPr>
              <w:spacing w:line="400" w:lineRule="exact"/>
              <w:jc w:val="center"/>
              <w:rPr>
                <w:rFonts w:hint="eastAsia" w:ascii="新宋体" w:hAnsi="新宋体" w:eastAsia="新宋体" w:cs="新宋体"/>
                <w:b/>
                <w:color w:val="auto"/>
                <w:szCs w:val="21"/>
                <w:highlight w:val="none"/>
              </w:rPr>
            </w:pPr>
            <w:r>
              <w:rPr>
                <w:rFonts w:hint="eastAsia" w:ascii="新宋体" w:hAnsi="新宋体" w:eastAsia="新宋体" w:cs="新宋体"/>
                <w:b/>
                <w:color w:val="auto"/>
                <w:szCs w:val="21"/>
                <w:highlight w:val="none"/>
              </w:rPr>
              <w:t>章节号</w:t>
            </w:r>
          </w:p>
        </w:tc>
        <w:tc>
          <w:tcPr>
            <w:tcW w:w="1899" w:type="dxa"/>
            <w:vAlign w:val="center"/>
          </w:tcPr>
          <w:p>
            <w:pPr>
              <w:spacing w:line="400" w:lineRule="exact"/>
              <w:jc w:val="center"/>
              <w:rPr>
                <w:rFonts w:hint="eastAsia" w:ascii="新宋体" w:hAnsi="新宋体" w:eastAsia="新宋体" w:cs="新宋体"/>
                <w:b/>
                <w:color w:val="auto"/>
                <w:szCs w:val="21"/>
                <w:highlight w:val="none"/>
              </w:rPr>
            </w:pPr>
            <w:r>
              <w:rPr>
                <w:rFonts w:hint="eastAsia" w:ascii="新宋体" w:hAnsi="新宋体" w:eastAsia="新宋体" w:cs="新宋体"/>
                <w:b/>
                <w:color w:val="auto"/>
                <w:szCs w:val="21"/>
                <w:highlight w:val="none"/>
              </w:rPr>
              <w:t>条款名称</w:t>
            </w:r>
          </w:p>
        </w:tc>
        <w:tc>
          <w:tcPr>
            <w:tcW w:w="6333" w:type="dxa"/>
            <w:vAlign w:val="center"/>
          </w:tcPr>
          <w:p>
            <w:pPr>
              <w:spacing w:line="400" w:lineRule="exact"/>
              <w:jc w:val="center"/>
              <w:rPr>
                <w:rFonts w:hint="eastAsia" w:ascii="新宋体" w:hAnsi="新宋体" w:eastAsia="新宋体" w:cs="新宋体"/>
                <w:b/>
                <w:color w:val="auto"/>
                <w:szCs w:val="21"/>
                <w:highlight w:val="none"/>
              </w:rPr>
            </w:pPr>
            <w:r>
              <w:rPr>
                <w:rFonts w:hint="eastAsia" w:ascii="新宋体" w:hAnsi="新宋体" w:eastAsia="新宋体" w:cs="新宋体"/>
                <w:b/>
                <w:color w:val="auto"/>
                <w:szCs w:val="21"/>
                <w:highlight w:val="none"/>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237" w:type="dxa"/>
            <w:vMerge w:val="restart"/>
            <w:vAlign w:val="center"/>
          </w:tcPr>
          <w:p>
            <w:pPr>
              <w:spacing w:line="400" w:lineRule="exact"/>
              <w:jc w:val="center"/>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第三章</w:t>
            </w:r>
          </w:p>
        </w:tc>
        <w:tc>
          <w:tcPr>
            <w:tcW w:w="1899" w:type="dxa"/>
            <w:vMerge w:val="restart"/>
            <w:vAlign w:val="center"/>
          </w:tcPr>
          <w:p>
            <w:pPr>
              <w:spacing w:line="400" w:lineRule="exact"/>
              <w:jc w:val="center"/>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资格评审</w:t>
            </w:r>
          </w:p>
        </w:tc>
        <w:tc>
          <w:tcPr>
            <w:tcW w:w="6333" w:type="dxa"/>
            <w:vAlign w:val="center"/>
          </w:tcPr>
          <w:p>
            <w:pPr>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A-1投标人的资质条件、营业执照须满足投标人须知前附表1.4.1项的要求，否则由评标委员会作否决投标处理。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hint="eastAsia" w:ascii="新宋体" w:hAnsi="新宋体" w:eastAsia="新宋体" w:cs="新宋体"/>
                <w:color w:val="auto"/>
                <w:szCs w:val="21"/>
                <w:highlight w:val="none"/>
              </w:rPr>
            </w:pPr>
          </w:p>
        </w:tc>
        <w:tc>
          <w:tcPr>
            <w:tcW w:w="1899" w:type="dxa"/>
            <w:vMerge w:val="continue"/>
            <w:vAlign w:val="center"/>
          </w:tcPr>
          <w:p>
            <w:pPr>
              <w:spacing w:line="400" w:lineRule="exact"/>
              <w:jc w:val="center"/>
              <w:rPr>
                <w:rFonts w:hint="eastAsia" w:ascii="新宋体" w:hAnsi="新宋体" w:eastAsia="新宋体" w:cs="新宋体"/>
                <w:color w:val="auto"/>
                <w:szCs w:val="21"/>
                <w:highlight w:val="none"/>
              </w:rPr>
            </w:pPr>
          </w:p>
        </w:tc>
        <w:tc>
          <w:tcPr>
            <w:tcW w:w="6333" w:type="dxa"/>
            <w:vAlign w:val="center"/>
          </w:tcPr>
          <w:p>
            <w:pPr>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A-2投标人的财务须满足投标人须知前附表第1.4.1项的要求，否则由评标委员会作否决投标处理。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hint="eastAsia" w:ascii="新宋体" w:hAnsi="新宋体" w:eastAsia="新宋体" w:cs="新宋体"/>
                <w:color w:val="auto"/>
                <w:szCs w:val="21"/>
                <w:highlight w:val="none"/>
              </w:rPr>
            </w:pPr>
          </w:p>
        </w:tc>
        <w:tc>
          <w:tcPr>
            <w:tcW w:w="1899" w:type="dxa"/>
            <w:vMerge w:val="continue"/>
            <w:vAlign w:val="center"/>
          </w:tcPr>
          <w:p>
            <w:pPr>
              <w:spacing w:line="400" w:lineRule="exact"/>
              <w:jc w:val="center"/>
              <w:rPr>
                <w:rFonts w:hint="eastAsia" w:ascii="新宋体" w:hAnsi="新宋体" w:eastAsia="新宋体" w:cs="新宋体"/>
                <w:color w:val="auto"/>
                <w:szCs w:val="21"/>
                <w:highlight w:val="none"/>
              </w:rPr>
            </w:pPr>
          </w:p>
        </w:tc>
        <w:tc>
          <w:tcPr>
            <w:tcW w:w="6333" w:type="dxa"/>
            <w:vAlign w:val="center"/>
          </w:tcPr>
          <w:p>
            <w:pPr>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A-3投标人的业绩须满足投标人须知前附表第1.4.1项的要求，否则由评标委员会作否决投标处理。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hint="eastAsia" w:ascii="新宋体" w:hAnsi="新宋体" w:eastAsia="新宋体" w:cs="新宋体"/>
                <w:color w:val="auto"/>
                <w:szCs w:val="21"/>
                <w:highlight w:val="none"/>
              </w:rPr>
            </w:pPr>
          </w:p>
        </w:tc>
        <w:tc>
          <w:tcPr>
            <w:tcW w:w="1899" w:type="dxa"/>
            <w:vMerge w:val="continue"/>
            <w:vAlign w:val="center"/>
          </w:tcPr>
          <w:p>
            <w:pPr>
              <w:spacing w:line="400" w:lineRule="exact"/>
              <w:jc w:val="center"/>
              <w:rPr>
                <w:rFonts w:hint="eastAsia" w:ascii="新宋体" w:hAnsi="新宋体" w:eastAsia="新宋体" w:cs="新宋体"/>
                <w:color w:val="auto"/>
                <w:szCs w:val="21"/>
                <w:highlight w:val="none"/>
              </w:rPr>
            </w:pPr>
          </w:p>
        </w:tc>
        <w:tc>
          <w:tcPr>
            <w:tcW w:w="6333" w:type="dxa"/>
            <w:vAlign w:val="center"/>
          </w:tcPr>
          <w:p>
            <w:pPr>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A-4投标人的投标截止日投标资格情况须满足投标人须知前附表第1.4.1项的要求，否则由评标委员会作否决投标处理。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blHeader/>
          <w:jc w:val="center"/>
        </w:trPr>
        <w:tc>
          <w:tcPr>
            <w:tcW w:w="1237" w:type="dxa"/>
            <w:vMerge w:val="continue"/>
            <w:vAlign w:val="center"/>
          </w:tcPr>
          <w:p>
            <w:pPr>
              <w:spacing w:line="400" w:lineRule="exact"/>
              <w:jc w:val="center"/>
              <w:rPr>
                <w:rFonts w:hint="eastAsia" w:ascii="新宋体" w:hAnsi="新宋体" w:eastAsia="新宋体" w:cs="新宋体"/>
                <w:color w:val="auto"/>
                <w:szCs w:val="21"/>
                <w:highlight w:val="none"/>
              </w:rPr>
            </w:pPr>
          </w:p>
        </w:tc>
        <w:tc>
          <w:tcPr>
            <w:tcW w:w="1899" w:type="dxa"/>
            <w:vMerge w:val="continue"/>
            <w:vAlign w:val="center"/>
          </w:tcPr>
          <w:p>
            <w:pPr>
              <w:spacing w:line="400" w:lineRule="exact"/>
              <w:jc w:val="center"/>
              <w:rPr>
                <w:rFonts w:hint="eastAsia" w:ascii="新宋体" w:hAnsi="新宋体" w:eastAsia="新宋体" w:cs="新宋体"/>
                <w:color w:val="auto"/>
                <w:szCs w:val="21"/>
                <w:highlight w:val="none"/>
              </w:rPr>
            </w:pPr>
          </w:p>
        </w:tc>
        <w:tc>
          <w:tcPr>
            <w:tcW w:w="6333" w:type="dxa"/>
            <w:vAlign w:val="center"/>
          </w:tcPr>
          <w:p>
            <w:pPr>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A-</w:t>
            </w:r>
            <w:r>
              <w:rPr>
                <w:rFonts w:hint="eastAsia" w:ascii="新宋体" w:hAnsi="新宋体" w:eastAsia="新宋体" w:cs="新宋体"/>
                <w:color w:val="auto"/>
                <w:szCs w:val="21"/>
                <w:highlight w:val="none"/>
                <w:lang w:val="en-US" w:eastAsia="zh-CN"/>
              </w:rPr>
              <w:t>5</w:t>
            </w:r>
            <w:r>
              <w:rPr>
                <w:rFonts w:hint="eastAsia" w:ascii="新宋体" w:hAnsi="新宋体" w:eastAsia="新宋体" w:cs="新宋体"/>
                <w:color w:val="auto"/>
                <w:szCs w:val="21"/>
                <w:highlight w:val="none"/>
              </w:rPr>
              <w:t>投标人的其他要求须满足投标人须知前附表1.4.1项的要求，否则由评标委员会作否决投标处理。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新宋体" w:hAnsi="新宋体" w:eastAsia="新宋体" w:cs="新宋体"/>
                <w:color w:val="auto"/>
                <w:szCs w:val="21"/>
                <w:highlight w:val="none"/>
              </w:rPr>
            </w:pPr>
          </w:p>
        </w:tc>
        <w:tc>
          <w:tcPr>
            <w:tcW w:w="1899" w:type="dxa"/>
            <w:vMerge w:val="restart"/>
            <w:vAlign w:val="center"/>
          </w:tcPr>
          <w:p>
            <w:pPr>
              <w:spacing w:line="400" w:lineRule="exact"/>
              <w:jc w:val="center"/>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形式评审</w:t>
            </w:r>
          </w:p>
        </w:tc>
        <w:tc>
          <w:tcPr>
            <w:tcW w:w="6333" w:type="dxa"/>
          </w:tcPr>
          <w:p>
            <w:pPr>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A-</w:t>
            </w:r>
            <w:r>
              <w:rPr>
                <w:rFonts w:hint="eastAsia" w:ascii="新宋体" w:hAnsi="新宋体" w:eastAsia="新宋体" w:cs="新宋体"/>
                <w:color w:val="auto"/>
                <w:szCs w:val="21"/>
                <w:highlight w:val="none"/>
                <w:lang w:val="en-US" w:eastAsia="zh-CN"/>
              </w:rPr>
              <w:t>6</w:t>
            </w:r>
            <w:r>
              <w:rPr>
                <w:rFonts w:hint="eastAsia" w:ascii="新宋体" w:hAnsi="新宋体" w:eastAsia="新宋体" w:cs="新宋体"/>
                <w:color w:val="auto"/>
                <w:szCs w:val="21"/>
                <w:highlight w:val="none"/>
              </w:rPr>
              <w:t>投标人名称必须与营业执照、资质证书一致，依法变更名称的应提交相应证明材料，否则由评标委员会作否决投标处理。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729" w:hRule="atLeast"/>
          <w:jc w:val="center"/>
        </w:trPr>
        <w:tc>
          <w:tcPr>
            <w:tcW w:w="1237" w:type="dxa"/>
            <w:vMerge w:val="continue"/>
            <w:vAlign w:val="center"/>
          </w:tcPr>
          <w:p>
            <w:pPr>
              <w:spacing w:line="400" w:lineRule="exact"/>
              <w:jc w:val="center"/>
              <w:rPr>
                <w:rFonts w:hint="eastAsia" w:ascii="新宋体" w:hAnsi="新宋体" w:eastAsia="新宋体" w:cs="新宋体"/>
                <w:color w:val="auto"/>
                <w:szCs w:val="21"/>
                <w:highlight w:val="none"/>
              </w:rPr>
            </w:pPr>
          </w:p>
        </w:tc>
        <w:tc>
          <w:tcPr>
            <w:tcW w:w="1899" w:type="dxa"/>
            <w:vMerge w:val="continue"/>
            <w:vAlign w:val="center"/>
          </w:tcPr>
          <w:p>
            <w:pPr>
              <w:spacing w:line="400" w:lineRule="exact"/>
              <w:jc w:val="center"/>
              <w:rPr>
                <w:rFonts w:hint="eastAsia" w:ascii="新宋体" w:hAnsi="新宋体" w:eastAsia="新宋体" w:cs="新宋体"/>
                <w:color w:val="auto"/>
                <w:szCs w:val="21"/>
                <w:highlight w:val="none"/>
              </w:rPr>
            </w:pPr>
          </w:p>
        </w:tc>
        <w:tc>
          <w:tcPr>
            <w:tcW w:w="6333" w:type="dxa"/>
          </w:tcPr>
          <w:p>
            <w:pPr>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A-</w:t>
            </w:r>
            <w:r>
              <w:rPr>
                <w:rFonts w:hint="eastAsia" w:ascii="新宋体" w:hAnsi="新宋体" w:eastAsia="新宋体" w:cs="新宋体"/>
                <w:color w:val="auto"/>
                <w:szCs w:val="21"/>
                <w:highlight w:val="none"/>
                <w:lang w:val="en-US" w:eastAsia="zh-CN"/>
              </w:rPr>
              <w:t>7</w:t>
            </w:r>
            <w:r>
              <w:rPr>
                <w:rFonts w:hint="eastAsia" w:ascii="新宋体" w:hAnsi="新宋体" w:eastAsia="新宋体" w:cs="新宋体"/>
                <w:color w:val="auto"/>
                <w:szCs w:val="21"/>
                <w:highlight w:val="none"/>
              </w:rPr>
              <w:t>投标文件格式（不含投标函部分）符合第二章“投标人须知”第3.7款的要求，否则由评标委员会作否决投标处理。</w:t>
            </w:r>
          </w:p>
          <w:p>
            <w:pPr>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编制投标文件时不得对第</w:t>
            </w:r>
            <w:r>
              <w:rPr>
                <w:rFonts w:hint="eastAsia" w:ascii="新宋体" w:hAnsi="新宋体" w:eastAsia="新宋体" w:cs="新宋体"/>
                <w:color w:val="auto"/>
                <w:szCs w:val="21"/>
                <w:highlight w:val="none"/>
                <w:lang w:val="en-US" w:eastAsia="zh-CN"/>
              </w:rPr>
              <w:t>六</w:t>
            </w:r>
            <w:r>
              <w:rPr>
                <w:rFonts w:hint="eastAsia" w:ascii="新宋体" w:hAnsi="新宋体" w:eastAsia="新宋体" w:cs="新宋体"/>
                <w:color w:val="auto"/>
                <w:szCs w:val="21"/>
                <w:highlight w:val="none"/>
              </w:rPr>
              <w:t>章“投标文件格式”的相应要素作实质性修改，否则视为重大偏差，由评标委员会作否决投标处理。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2153" w:hRule="atLeast"/>
          <w:jc w:val="center"/>
        </w:trPr>
        <w:tc>
          <w:tcPr>
            <w:tcW w:w="1237" w:type="dxa"/>
            <w:vMerge w:val="continue"/>
            <w:vAlign w:val="center"/>
          </w:tcPr>
          <w:p>
            <w:pPr>
              <w:spacing w:line="400" w:lineRule="exact"/>
              <w:jc w:val="center"/>
              <w:rPr>
                <w:rFonts w:hint="eastAsia" w:ascii="新宋体" w:hAnsi="新宋体" w:eastAsia="新宋体" w:cs="新宋体"/>
                <w:color w:val="auto"/>
                <w:szCs w:val="21"/>
                <w:highlight w:val="none"/>
              </w:rPr>
            </w:pPr>
          </w:p>
        </w:tc>
        <w:tc>
          <w:tcPr>
            <w:tcW w:w="1899" w:type="dxa"/>
            <w:vMerge w:val="continue"/>
            <w:vAlign w:val="center"/>
          </w:tcPr>
          <w:p>
            <w:pPr>
              <w:spacing w:line="400" w:lineRule="exact"/>
              <w:jc w:val="center"/>
              <w:rPr>
                <w:rFonts w:hint="eastAsia" w:ascii="新宋体" w:hAnsi="新宋体" w:eastAsia="新宋体" w:cs="新宋体"/>
                <w:color w:val="auto"/>
                <w:szCs w:val="21"/>
                <w:highlight w:val="none"/>
              </w:rPr>
            </w:pPr>
          </w:p>
        </w:tc>
        <w:tc>
          <w:tcPr>
            <w:tcW w:w="6333" w:type="dxa"/>
          </w:tcPr>
          <w:p>
            <w:pPr>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A-</w:t>
            </w:r>
            <w:r>
              <w:rPr>
                <w:rFonts w:hint="eastAsia" w:ascii="新宋体" w:hAnsi="新宋体" w:eastAsia="新宋体" w:cs="新宋体"/>
                <w:color w:val="auto"/>
                <w:szCs w:val="21"/>
                <w:highlight w:val="none"/>
                <w:lang w:val="en-US" w:eastAsia="zh-CN"/>
              </w:rPr>
              <w:t>8</w:t>
            </w:r>
            <w:r>
              <w:rPr>
                <w:rFonts w:hint="eastAsia" w:ascii="新宋体" w:hAnsi="新宋体" w:eastAsia="新宋体" w:cs="新宋体"/>
                <w:color w:val="auto"/>
                <w:szCs w:val="21"/>
                <w:highlight w:val="none"/>
              </w:rPr>
              <w:t>第</w:t>
            </w:r>
            <w:r>
              <w:rPr>
                <w:rFonts w:hint="eastAsia" w:ascii="新宋体" w:hAnsi="新宋体" w:eastAsia="新宋体" w:cs="新宋体"/>
                <w:color w:val="auto"/>
                <w:szCs w:val="21"/>
                <w:highlight w:val="none"/>
                <w:lang w:val="en-US" w:eastAsia="zh-CN"/>
              </w:rPr>
              <w:t>六</w:t>
            </w:r>
            <w:r>
              <w:rPr>
                <w:rFonts w:hint="eastAsia" w:ascii="新宋体" w:hAnsi="新宋体" w:eastAsia="新宋体" w:cs="新宋体"/>
                <w:color w:val="auto"/>
                <w:szCs w:val="21"/>
                <w:highlight w:val="none"/>
              </w:rPr>
              <w:t>章 投标文件格式（不含投标函部分）要求法定代表人或其委托代理人签名（或盖章）的须齐全，</w:t>
            </w:r>
            <w:r>
              <w:rPr>
                <w:rFonts w:hint="eastAsia" w:ascii="新宋体" w:hAnsi="新宋体" w:eastAsia="新宋体" w:cs="新宋体"/>
                <w:color w:val="auto"/>
                <w:szCs w:val="21"/>
                <w:highlight w:val="none"/>
                <w:lang w:val="en-US" w:eastAsia="zh-CN"/>
              </w:rPr>
              <w:t>要求签名的，</w:t>
            </w:r>
            <w:r>
              <w:rPr>
                <w:rFonts w:hint="eastAsia" w:ascii="新宋体" w:hAnsi="新宋体" w:eastAsia="新宋体" w:cs="新宋体"/>
                <w:color w:val="auto"/>
                <w:kern w:val="0"/>
                <w:highlight w:val="none"/>
              </w:rPr>
              <w:t>签名采用手写签名或签章或加盖CA数字证书均可</w:t>
            </w:r>
            <w:r>
              <w:rPr>
                <w:rFonts w:hint="eastAsia" w:ascii="新宋体" w:hAnsi="新宋体" w:eastAsia="新宋体" w:cs="新宋体"/>
                <w:color w:val="auto"/>
                <w:kern w:val="0"/>
                <w:highlight w:val="none"/>
                <w:lang w:eastAsia="zh-CN"/>
              </w:rPr>
              <w:t>，</w:t>
            </w:r>
            <w:r>
              <w:rPr>
                <w:rFonts w:hint="eastAsia" w:ascii="新宋体" w:hAnsi="新宋体" w:eastAsia="新宋体" w:cs="新宋体"/>
                <w:color w:val="auto"/>
                <w:szCs w:val="21"/>
                <w:highlight w:val="none"/>
              </w:rPr>
              <w:t>否则由评标委员会作否决投标处理。</w:t>
            </w:r>
          </w:p>
          <w:p>
            <w:pPr>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第</w:t>
            </w:r>
            <w:r>
              <w:rPr>
                <w:rFonts w:hint="eastAsia" w:ascii="新宋体" w:hAnsi="新宋体" w:eastAsia="新宋体" w:cs="新宋体"/>
                <w:color w:val="auto"/>
                <w:szCs w:val="21"/>
                <w:highlight w:val="none"/>
                <w:lang w:val="en-US" w:eastAsia="zh-CN"/>
              </w:rPr>
              <w:t>六</w:t>
            </w:r>
            <w:r>
              <w:rPr>
                <w:rFonts w:hint="eastAsia" w:ascii="新宋体" w:hAnsi="新宋体" w:eastAsia="新宋体" w:cs="新宋体"/>
                <w:color w:val="auto"/>
                <w:szCs w:val="21"/>
                <w:highlight w:val="none"/>
              </w:rPr>
              <w:t>章 投标文件格式（不含投标函部分）要求加盖单位法人章的，应使用 CA 数字证书加盖投标人的单位电子印章，否则由评标委员会作否决投标处理。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新宋体" w:hAnsi="新宋体" w:eastAsia="新宋体" w:cs="新宋体"/>
                <w:color w:val="auto"/>
                <w:szCs w:val="21"/>
                <w:highlight w:val="none"/>
              </w:rPr>
            </w:pPr>
          </w:p>
        </w:tc>
        <w:tc>
          <w:tcPr>
            <w:tcW w:w="1899" w:type="dxa"/>
            <w:vMerge w:val="continue"/>
            <w:vAlign w:val="center"/>
          </w:tcPr>
          <w:p>
            <w:pPr>
              <w:spacing w:line="400" w:lineRule="exact"/>
              <w:jc w:val="center"/>
              <w:rPr>
                <w:rFonts w:hint="eastAsia" w:ascii="新宋体" w:hAnsi="新宋体" w:eastAsia="新宋体" w:cs="新宋体"/>
                <w:color w:val="auto"/>
                <w:szCs w:val="21"/>
                <w:highlight w:val="none"/>
              </w:rPr>
            </w:pPr>
          </w:p>
        </w:tc>
        <w:tc>
          <w:tcPr>
            <w:tcW w:w="6333" w:type="dxa"/>
          </w:tcPr>
          <w:p>
            <w:pPr>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A-</w:t>
            </w:r>
            <w:r>
              <w:rPr>
                <w:rFonts w:hint="eastAsia" w:ascii="新宋体" w:hAnsi="新宋体" w:eastAsia="新宋体" w:cs="新宋体"/>
                <w:color w:val="auto"/>
                <w:szCs w:val="21"/>
                <w:highlight w:val="none"/>
                <w:lang w:val="en-US" w:eastAsia="zh-CN"/>
              </w:rPr>
              <w:t>9</w:t>
            </w:r>
            <w:r>
              <w:rPr>
                <w:rFonts w:hint="eastAsia" w:ascii="新宋体" w:hAnsi="新宋体" w:eastAsia="新宋体" w:cs="新宋体"/>
                <w:color w:val="auto"/>
                <w:szCs w:val="21"/>
                <w:highlight w:val="none"/>
              </w:rPr>
              <w:t>投标人法定代表人的委托代理人有法定代表人签署的授权委托书和投标人为其缴纳的养老保险证明材料，否则由评标委员会作否决投标处理。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新宋体" w:hAnsi="新宋体" w:eastAsia="新宋体" w:cs="新宋体"/>
                <w:color w:val="auto"/>
                <w:szCs w:val="21"/>
                <w:highlight w:val="none"/>
              </w:rPr>
            </w:pPr>
          </w:p>
        </w:tc>
        <w:tc>
          <w:tcPr>
            <w:tcW w:w="1899" w:type="dxa"/>
            <w:vMerge w:val="restart"/>
            <w:vAlign w:val="center"/>
          </w:tcPr>
          <w:p>
            <w:pPr>
              <w:spacing w:line="400" w:lineRule="exact"/>
              <w:jc w:val="center"/>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响应性评审</w:t>
            </w:r>
          </w:p>
        </w:tc>
        <w:tc>
          <w:tcPr>
            <w:tcW w:w="6333" w:type="dxa"/>
            <w:vAlign w:val="center"/>
          </w:tcPr>
          <w:p>
            <w:pPr>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A-1</w:t>
            </w:r>
            <w:r>
              <w:rPr>
                <w:rFonts w:hint="eastAsia" w:ascii="新宋体" w:hAnsi="新宋体" w:eastAsia="新宋体" w:cs="新宋体"/>
                <w:color w:val="auto"/>
                <w:szCs w:val="21"/>
                <w:highlight w:val="none"/>
                <w:lang w:val="en-US" w:eastAsia="zh-CN"/>
              </w:rPr>
              <w:t>0</w:t>
            </w:r>
            <w:r>
              <w:rPr>
                <w:rFonts w:hint="eastAsia" w:ascii="新宋体" w:hAnsi="新宋体" w:eastAsia="新宋体" w:cs="新宋体"/>
                <w:color w:val="auto"/>
                <w:szCs w:val="21"/>
                <w:highlight w:val="none"/>
              </w:rPr>
              <w:t>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新宋体" w:hAnsi="新宋体" w:eastAsia="新宋体" w:cs="新宋体"/>
                <w:color w:val="auto"/>
                <w:szCs w:val="21"/>
                <w:highlight w:val="none"/>
              </w:rPr>
            </w:pPr>
          </w:p>
        </w:tc>
        <w:tc>
          <w:tcPr>
            <w:tcW w:w="1899" w:type="dxa"/>
            <w:vMerge w:val="continue"/>
            <w:vAlign w:val="center"/>
          </w:tcPr>
          <w:p>
            <w:pPr>
              <w:spacing w:line="400" w:lineRule="exact"/>
              <w:jc w:val="center"/>
              <w:rPr>
                <w:rFonts w:hint="eastAsia" w:ascii="新宋体" w:hAnsi="新宋体" w:eastAsia="新宋体" w:cs="新宋体"/>
                <w:color w:val="auto"/>
                <w:szCs w:val="21"/>
                <w:highlight w:val="none"/>
              </w:rPr>
            </w:pPr>
          </w:p>
        </w:tc>
        <w:tc>
          <w:tcPr>
            <w:tcW w:w="6333" w:type="dxa"/>
            <w:vAlign w:val="center"/>
          </w:tcPr>
          <w:p>
            <w:pPr>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A-1</w:t>
            </w:r>
            <w:r>
              <w:rPr>
                <w:rFonts w:hint="eastAsia" w:ascii="新宋体" w:hAnsi="新宋体" w:eastAsia="新宋体" w:cs="新宋体"/>
                <w:color w:val="auto"/>
                <w:szCs w:val="21"/>
                <w:highlight w:val="none"/>
                <w:lang w:val="en-US" w:eastAsia="zh-CN"/>
              </w:rPr>
              <w:t>1</w:t>
            </w:r>
            <w:r>
              <w:rPr>
                <w:rFonts w:hint="eastAsia" w:ascii="新宋体" w:hAnsi="新宋体" w:eastAsia="新宋体" w:cs="新宋体"/>
                <w:color w:val="auto"/>
                <w:szCs w:val="21"/>
                <w:highlight w:val="none"/>
              </w:rPr>
              <w:t>投标人应按投标人须知前附表第3.4款规定递交投标保证金，并作为其投标文件的组成部分，否则由评标委员会作否决投标处理。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新宋体" w:hAnsi="新宋体" w:eastAsia="新宋体" w:cs="新宋体"/>
                <w:color w:val="auto"/>
                <w:szCs w:val="21"/>
                <w:highlight w:val="none"/>
              </w:rPr>
            </w:pPr>
          </w:p>
        </w:tc>
        <w:tc>
          <w:tcPr>
            <w:tcW w:w="1899" w:type="dxa"/>
            <w:vMerge w:val="continue"/>
            <w:vAlign w:val="center"/>
          </w:tcPr>
          <w:p>
            <w:pPr>
              <w:spacing w:line="400" w:lineRule="exact"/>
              <w:jc w:val="center"/>
              <w:rPr>
                <w:rFonts w:hint="eastAsia" w:ascii="新宋体" w:hAnsi="新宋体" w:eastAsia="新宋体" w:cs="新宋体"/>
                <w:color w:val="auto"/>
                <w:szCs w:val="21"/>
                <w:highlight w:val="none"/>
              </w:rPr>
            </w:pPr>
          </w:p>
        </w:tc>
        <w:tc>
          <w:tcPr>
            <w:tcW w:w="6333" w:type="dxa"/>
            <w:vAlign w:val="center"/>
          </w:tcPr>
          <w:p>
            <w:pPr>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A-1</w:t>
            </w:r>
            <w:r>
              <w:rPr>
                <w:rFonts w:hint="eastAsia" w:ascii="新宋体" w:hAnsi="新宋体" w:eastAsia="新宋体" w:cs="新宋体"/>
                <w:color w:val="auto"/>
                <w:szCs w:val="21"/>
                <w:highlight w:val="none"/>
                <w:lang w:val="en-US" w:eastAsia="zh-CN"/>
              </w:rPr>
              <w:t>2</w:t>
            </w:r>
            <w:r>
              <w:rPr>
                <w:rFonts w:hint="eastAsia" w:ascii="新宋体" w:hAnsi="新宋体" w:eastAsia="新宋体" w:cs="新宋体"/>
                <w:color w:val="auto"/>
                <w:szCs w:val="21"/>
                <w:highlight w:val="none"/>
              </w:rPr>
              <w:t>符合第四章“合同条款及格式”规定，投标文件不应附有招标人不能接受的条件。否则由评标委员会作否决投标处理。（由投标人承诺，承诺书格式详见第</w:t>
            </w:r>
            <w:r>
              <w:rPr>
                <w:rFonts w:hint="eastAsia" w:ascii="新宋体" w:hAnsi="新宋体" w:eastAsia="新宋体" w:cs="新宋体"/>
                <w:color w:val="auto"/>
                <w:szCs w:val="21"/>
                <w:highlight w:val="none"/>
                <w:lang w:val="en-US" w:eastAsia="zh-CN"/>
              </w:rPr>
              <w:t>六</w:t>
            </w:r>
            <w:r>
              <w:rPr>
                <w:rFonts w:hint="eastAsia" w:ascii="新宋体" w:hAnsi="新宋体" w:eastAsia="新宋体" w:cs="新宋体"/>
                <w:color w:val="auto"/>
                <w:szCs w:val="21"/>
                <w:highlight w:val="none"/>
              </w:rPr>
              <w:t>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新宋体" w:hAnsi="新宋体" w:eastAsia="新宋体" w:cs="新宋体"/>
                <w:color w:val="auto"/>
                <w:szCs w:val="21"/>
                <w:highlight w:val="none"/>
              </w:rPr>
            </w:pPr>
          </w:p>
        </w:tc>
        <w:tc>
          <w:tcPr>
            <w:tcW w:w="1899" w:type="dxa"/>
            <w:vMerge w:val="continue"/>
            <w:vAlign w:val="center"/>
          </w:tcPr>
          <w:p>
            <w:pPr>
              <w:spacing w:line="400" w:lineRule="exact"/>
              <w:jc w:val="center"/>
              <w:rPr>
                <w:rFonts w:hint="eastAsia" w:ascii="新宋体" w:hAnsi="新宋体" w:eastAsia="新宋体" w:cs="新宋体"/>
                <w:color w:val="auto"/>
                <w:szCs w:val="21"/>
                <w:highlight w:val="none"/>
              </w:rPr>
            </w:pPr>
          </w:p>
        </w:tc>
        <w:tc>
          <w:tcPr>
            <w:tcW w:w="6333" w:type="dxa"/>
            <w:vAlign w:val="center"/>
          </w:tcPr>
          <w:p>
            <w:pPr>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A-1</w:t>
            </w:r>
            <w:r>
              <w:rPr>
                <w:rFonts w:hint="eastAsia" w:ascii="新宋体" w:hAnsi="新宋体" w:eastAsia="新宋体" w:cs="新宋体"/>
                <w:color w:val="auto"/>
                <w:szCs w:val="21"/>
                <w:highlight w:val="none"/>
                <w:lang w:val="en-US" w:eastAsia="zh-CN"/>
              </w:rPr>
              <w:t>3</w:t>
            </w:r>
            <w:r>
              <w:rPr>
                <w:rFonts w:hint="eastAsia" w:ascii="新宋体" w:hAnsi="新宋体" w:eastAsia="新宋体" w:cs="新宋体"/>
                <w:color w:val="auto"/>
                <w:szCs w:val="21"/>
                <w:highlight w:val="none"/>
              </w:rPr>
              <w:t>符合第</w:t>
            </w:r>
            <w:r>
              <w:rPr>
                <w:rFonts w:hint="eastAsia" w:ascii="新宋体" w:hAnsi="新宋体" w:eastAsia="新宋体" w:cs="新宋体"/>
                <w:color w:val="auto"/>
                <w:szCs w:val="21"/>
                <w:highlight w:val="none"/>
                <w:lang w:val="en-US" w:eastAsia="zh-CN"/>
              </w:rPr>
              <w:t>五</w:t>
            </w:r>
            <w:r>
              <w:rPr>
                <w:rFonts w:hint="eastAsia" w:ascii="新宋体" w:hAnsi="新宋体" w:eastAsia="新宋体" w:cs="新宋体"/>
                <w:color w:val="auto"/>
                <w:szCs w:val="21"/>
                <w:highlight w:val="none"/>
              </w:rPr>
              <w:t>章“技术标准和要求”规定。否则由评标委员会作否决投标处理（如有）。（由投标人承诺，承诺书格式详见第</w:t>
            </w:r>
            <w:r>
              <w:rPr>
                <w:rFonts w:hint="eastAsia" w:ascii="新宋体" w:hAnsi="新宋体" w:eastAsia="新宋体" w:cs="新宋体"/>
                <w:color w:val="auto"/>
                <w:szCs w:val="21"/>
                <w:highlight w:val="none"/>
                <w:lang w:val="en-US" w:eastAsia="zh-CN"/>
              </w:rPr>
              <w:t>六</w:t>
            </w:r>
            <w:r>
              <w:rPr>
                <w:rFonts w:hint="eastAsia" w:ascii="新宋体" w:hAnsi="新宋体" w:eastAsia="新宋体" w:cs="新宋体"/>
                <w:color w:val="auto"/>
                <w:szCs w:val="21"/>
                <w:highlight w:val="none"/>
              </w:rPr>
              <w:t>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新宋体" w:hAnsi="新宋体" w:eastAsia="新宋体" w:cs="新宋体"/>
                <w:color w:val="auto"/>
                <w:szCs w:val="21"/>
                <w:highlight w:val="none"/>
              </w:rPr>
            </w:pPr>
          </w:p>
        </w:tc>
        <w:tc>
          <w:tcPr>
            <w:tcW w:w="1899" w:type="dxa"/>
            <w:vMerge w:val="continue"/>
            <w:vAlign w:val="center"/>
          </w:tcPr>
          <w:p>
            <w:pPr>
              <w:spacing w:line="400" w:lineRule="exact"/>
              <w:jc w:val="center"/>
              <w:rPr>
                <w:rFonts w:hint="eastAsia" w:ascii="新宋体" w:hAnsi="新宋体" w:eastAsia="新宋体" w:cs="新宋体"/>
                <w:color w:val="auto"/>
                <w:szCs w:val="21"/>
                <w:highlight w:val="none"/>
              </w:rPr>
            </w:pPr>
          </w:p>
        </w:tc>
        <w:tc>
          <w:tcPr>
            <w:tcW w:w="6333" w:type="dxa"/>
            <w:vAlign w:val="center"/>
          </w:tcPr>
          <w:p>
            <w:pPr>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A-1</w:t>
            </w:r>
            <w:r>
              <w:rPr>
                <w:rFonts w:hint="eastAsia" w:ascii="新宋体" w:hAnsi="新宋体" w:eastAsia="新宋体" w:cs="新宋体"/>
                <w:color w:val="auto"/>
                <w:szCs w:val="21"/>
                <w:highlight w:val="none"/>
                <w:lang w:val="en-US" w:eastAsia="zh-CN"/>
              </w:rPr>
              <w:t>4</w:t>
            </w:r>
            <w:r>
              <w:rPr>
                <w:rFonts w:hint="eastAsia" w:ascii="新宋体" w:hAnsi="新宋体" w:eastAsia="新宋体" w:cs="新宋体"/>
                <w:color w:val="auto"/>
                <w:szCs w:val="21"/>
                <w:highlight w:val="none"/>
              </w:rPr>
              <w:t>投标人有以下情形之一的，其投标文件由评标委员会作否决投标处理：</w:t>
            </w:r>
          </w:p>
          <w:p>
            <w:pPr>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1.第二章“投标人须知”第1.4.3项规定的任何一种情形的；</w:t>
            </w:r>
          </w:p>
          <w:p>
            <w:pPr>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2.本次投标有串通投标、弄虚作假等违反招投标相关法律、法规的行为的；</w:t>
            </w:r>
          </w:p>
          <w:p>
            <w:pPr>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新宋体" w:hAnsi="新宋体" w:eastAsia="新宋体" w:cs="新宋体"/>
                <w:color w:val="auto"/>
                <w:szCs w:val="21"/>
                <w:highlight w:val="none"/>
              </w:rPr>
            </w:pPr>
          </w:p>
        </w:tc>
        <w:tc>
          <w:tcPr>
            <w:tcW w:w="1899" w:type="dxa"/>
            <w:vMerge w:val="restart"/>
            <w:vAlign w:val="center"/>
          </w:tcPr>
          <w:p>
            <w:pPr>
              <w:spacing w:line="400" w:lineRule="exact"/>
              <w:jc w:val="center"/>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投标函部分及经济部分评审</w:t>
            </w:r>
          </w:p>
        </w:tc>
        <w:tc>
          <w:tcPr>
            <w:tcW w:w="6333" w:type="dxa"/>
          </w:tcPr>
          <w:p>
            <w:pPr>
              <w:spacing w:line="400" w:lineRule="exact"/>
              <w:ind w:firstLine="420" w:firstLineChars="200"/>
              <w:rPr>
                <w:rFonts w:hint="eastAsia" w:ascii="新宋体" w:hAnsi="新宋体" w:eastAsia="新宋体" w:cs="新宋体"/>
                <w:i/>
                <w:color w:val="auto"/>
                <w:szCs w:val="21"/>
                <w:highlight w:val="none"/>
              </w:rPr>
            </w:pPr>
            <w:r>
              <w:rPr>
                <w:rFonts w:hint="eastAsia" w:ascii="新宋体" w:hAnsi="新宋体" w:eastAsia="新宋体" w:cs="新宋体"/>
                <w:color w:val="auto"/>
                <w:szCs w:val="21"/>
                <w:highlight w:val="none"/>
              </w:rPr>
              <w:t>A-1</w:t>
            </w:r>
            <w:r>
              <w:rPr>
                <w:rFonts w:hint="eastAsia" w:ascii="新宋体" w:hAnsi="新宋体" w:eastAsia="新宋体" w:cs="新宋体"/>
                <w:color w:val="auto"/>
                <w:szCs w:val="21"/>
                <w:highlight w:val="none"/>
                <w:lang w:val="en-US" w:eastAsia="zh-CN"/>
              </w:rPr>
              <w:t>5</w:t>
            </w:r>
            <w:r>
              <w:rPr>
                <w:rFonts w:hint="eastAsia" w:ascii="新宋体" w:hAnsi="新宋体" w:eastAsia="新宋体" w:cs="新宋体"/>
                <w:color w:val="auto"/>
                <w:kern w:val="0"/>
                <w:highlight w:val="none"/>
              </w:rPr>
              <w:t>投标函部分的格式要求法定代表人或其委托代理人签名（或盖章）的须齐全，</w:t>
            </w:r>
            <w:r>
              <w:rPr>
                <w:rFonts w:hint="eastAsia" w:ascii="新宋体" w:hAnsi="新宋体" w:eastAsia="新宋体" w:cs="新宋体"/>
                <w:color w:val="auto"/>
                <w:szCs w:val="21"/>
                <w:highlight w:val="none"/>
                <w:lang w:val="en-US" w:eastAsia="zh-CN"/>
              </w:rPr>
              <w:t>要求签名的，</w:t>
            </w:r>
            <w:r>
              <w:rPr>
                <w:rFonts w:hint="eastAsia" w:ascii="新宋体" w:hAnsi="新宋体" w:eastAsia="新宋体" w:cs="新宋体"/>
                <w:color w:val="auto"/>
                <w:kern w:val="0"/>
                <w:highlight w:val="none"/>
              </w:rPr>
              <w:t>签名采用手写签名或签章或加盖CA数字证书均可</w:t>
            </w:r>
            <w:r>
              <w:rPr>
                <w:rFonts w:hint="eastAsia" w:ascii="新宋体" w:hAnsi="新宋体" w:eastAsia="新宋体" w:cs="新宋体"/>
                <w:color w:val="auto"/>
                <w:kern w:val="0"/>
                <w:highlight w:val="none"/>
                <w:lang w:eastAsia="zh-CN"/>
              </w:rPr>
              <w:t>，</w:t>
            </w:r>
            <w:r>
              <w:rPr>
                <w:rFonts w:hint="eastAsia" w:ascii="新宋体" w:hAnsi="新宋体" w:eastAsia="新宋体" w:cs="新宋体"/>
                <w:color w:val="auto"/>
                <w:kern w:val="0"/>
                <w:highlight w:val="none"/>
              </w:rPr>
              <w:t>要求加盖单位法人章的，应使用 CA 数字证书加盖投标人的单位电子印章</w:t>
            </w:r>
            <w:r>
              <w:rPr>
                <w:rFonts w:hint="eastAsia" w:ascii="新宋体" w:hAnsi="新宋体" w:eastAsia="新宋体" w:cs="新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新宋体" w:hAnsi="新宋体" w:eastAsia="新宋体" w:cs="新宋体"/>
                <w:color w:val="auto"/>
                <w:szCs w:val="21"/>
                <w:highlight w:val="none"/>
              </w:rPr>
            </w:pPr>
          </w:p>
        </w:tc>
        <w:tc>
          <w:tcPr>
            <w:tcW w:w="1899" w:type="dxa"/>
            <w:vMerge w:val="continue"/>
            <w:vAlign w:val="center"/>
          </w:tcPr>
          <w:p>
            <w:pPr>
              <w:spacing w:line="400" w:lineRule="exact"/>
              <w:jc w:val="center"/>
              <w:rPr>
                <w:rFonts w:hint="eastAsia" w:ascii="新宋体" w:hAnsi="新宋体" w:eastAsia="新宋体" w:cs="新宋体"/>
                <w:color w:val="auto"/>
                <w:szCs w:val="21"/>
                <w:highlight w:val="none"/>
              </w:rPr>
            </w:pPr>
          </w:p>
        </w:tc>
        <w:tc>
          <w:tcPr>
            <w:tcW w:w="6333" w:type="dxa"/>
          </w:tcPr>
          <w:p>
            <w:pPr>
              <w:spacing w:line="400" w:lineRule="exact"/>
              <w:ind w:firstLine="420" w:firstLineChars="200"/>
              <w:rPr>
                <w:rFonts w:hint="eastAsia" w:ascii="新宋体" w:hAnsi="新宋体" w:eastAsia="新宋体" w:cs="新宋体"/>
                <w:i/>
                <w:color w:val="auto"/>
                <w:szCs w:val="21"/>
                <w:highlight w:val="none"/>
              </w:rPr>
            </w:pPr>
            <w:r>
              <w:rPr>
                <w:rFonts w:hint="eastAsia" w:ascii="新宋体" w:hAnsi="新宋体" w:eastAsia="新宋体" w:cs="新宋体"/>
                <w:color w:val="auto"/>
                <w:szCs w:val="21"/>
                <w:highlight w:val="none"/>
              </w:rPr>
              <w:t>A-1</w:t>
            </w:r>
            <w:r>
              <w:rPr>
                <w:rFonts w:hint="eastAsia" w:ascii="新宋体" w:hAnsi="新宋体" w:eastAsia="新宋体" w:cs="新宋体"/>
                <w:color w:val="auto"/>
                <w:szCs w:val="21"/>
                <w:highlight w:val="none"/>
                <w:lang w:val="en-US" w:eastAsia="zh-CN"/>
              </w:rPr>
              <w:t>6交货期</w:t>
            </w:r>
            <w:r>
              <w:rPr>
                <w:rFonts w:hint="eastAsia" w:ascii="新宋体" w:hAnsi="新宋体" w:eastAsia="新宋体" w:cs="新宋体"/>
                <w:color w:val="auto"/>
                <w:szCs w:val="21"/>
                <w:highlight w:val="none"/>
              </w:rPr>
              <w:t>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新宋体" w:hAnsi="新宋体" w:eastAsia="新宋体" w:cs="新宋体"/>
                <w:color w:val="auto"/>
                <w:szCs w:val="21"/>
                <w:highlight w:val="none"/>
              </w:rPr>
            </w:pPr>
          </w:p>
        </w:tc>
        <w:tc>
          <w:tcPr>
            <w:tcW w:w="1899" w:type="dxa"/>
            <w:vMerge w:val="continue"/>
            <w:vAlign w:val="center"/>
          </w:tcPr>
          <w:p>
            <w:pPr>
              <w:spacing w:line="400" w:lineRule="exact"/>
              <w:jc w:val="center"/>
              <w:rPr>
                <w:rFonts w:hint="eastAsia" w:ascii="新宋体" w:hAnsi="新宋体" w:eastAsia="新宋体" w:cs="新宋体"/>
                <w:color w:val="auto"/>
                <w:szCs w:val="21"/>
                <w:highlight w:val="none"/>
              </w:rPr>
            </w:pPr>
          </w:p>
        </w:tc>
        <w:tc>
          <w:tcPr>
            <w:tcW w:w="6333" w:type="dxa"/>
          </w:tcPr>
          <w:p>
            <w:pPr>
              <w:spacing w:line="400" w:lineRule="exact"/>
              <w:ind w:firstLine="420" w:firstLineChars="200"/>
              <w:rPr>
                <w:rFonts w:hint="eastAsia" w:ascii="新宋体" w:hAnsi="新宋体" w:eastAsia="新宋体" w:cs="新宋体"/>
                <w:i/>
                <w:color w:val="auto"/>
                <w:szCs w:val="21"/>
                <w:highlight w:val="none"/>
              </w:rPr>
            </w:pPr>
            <w:r>
              <w:rPr>
                <w:rFonts w:hint="eastAsia" w:ascii="新宋体" w:hAnsi="新宋体" w:eastAsia="新宋体" w:cs="新宋体"/>
                <w:color w:val="auto"/>
                <w:szCs w:val="21"/>
                <w:highlight w:val="none"/>
              </w:rPr>
              <w:t>A-</w:t>
            </w:r>
            <w:r>
              <w:rPr>
                <w:rFonts w:hint="eastAsia" w:ascii="新宋体" w:hAnsi="新宋体" w:eastAsia="新宋体" w:cs="新宋体"/>
                <w:color w:val="auto"/>
                <w:szCs w:val="21"/>
                <w:highlight w:val="none"/>
                <w:lang w:val="en-US" w:eastAsia="zh-CN"/>
              </w:rPr>
              <w:t>17质量保证期</w:t>
            </w:r>
            <w:r>
              <w:rPr>
                <w:rFonts w:hint="eastAsia" w:ascii="新宋体" w:hAnsi="新宋体" w:eastAsia="新宋体" w:cs="新宋体"/>
                <w:color w:val="auto"/>
                <w:szCs w:val="21"/>
                <w:highlight w:val="none"/>
              </w:rPr>
              <w:t>量符合第二章“投标人须知”第1.3.</w:t>
            </w:r>
            <w:r>
              <w:rPr>
                <w:rFonts w:hint="eastAsia" w:ascii="新宋体" w:hAnsi="新宋体" w:eastAsia="新宋体" w:cs="新宋体"/>
                <w:color w:val="auto"/>
                <w:szCs w:val="21"/>
                <w:highlight w:val="none"/>
                <w:lang w:val="en-US" w:eastAsia="zh-CN"/>
              </w:rPr>
              <w:t>5</w:t>
            </w:r>
            <w:r>
              <w:rPr>
                <w:rFonts w:hint="eastAsia" w:ascii="新宋体" w:hAnsi="新宋体" w:eastAsia="新宋体" w:cs="新宋体"/>
                <w:color w:val="auto"/>
                <w:szCs w:val="21"/>
                <w:highlight w:val="none"/>
              </w:rPr>
              <w:t>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新宋体" w:hAnsi="新宋体" w:eastAsia="新宋体" w:cs="新宋体"/>
                <w:color w:val="auto"/>
                <w:szCs w:val="21"/>
                <w:highlight w:val="none"/>
              </w:rPr>
            </w:pPr>
          </w:p>
        </w:tc>
        <w:tc>
          <w:tcPr>
            <w:tcW w:w="1899" w:type="dxa"/>
            <w:vMerge w:val="continue"/>
            <w:vAlign w:val="center"/>
          </w:tcPr>
          <w:p>
            <w:pPr>
              <w:spacing w:line="400" w:lineRule="exact"/>
              <w:jc w:val="center"/>
              <w:rPr>
                <w:rFonts w:hint="eastAsia" w:ascii="新宋体" w:hAnsi="新宋体" w:eastAsia="新宋体" w:cs="新宋体"/>
                <w:color w:val="auto"/>
                <w:szCs w:val="21"/>
                <w:highlight w:val="none"/>
              </w:rPr>
            </w:pPr>
          </w:p>
        </w:tc>
        <w:tc>
          <w:tcPr>
            <w:tcW w:w="6333" w:type="dxa"/>
          </w:tcPr>
          <w:p>
            <w:pPr>
              <w:spacing w:line="400" w:lineRule="exact"/>
              <w:ind w:firstLine="420" w:firstLineChars="200"/>
              <w:rPr>
                <w:rFonts w:hint="eastAsia" w:ascii="新宋体" w:hAnsi="新宋体" w:eastAsia="新宋体" w:cs="新宋体"/>
                <w:i/>
                <w:color w:val="auto"/>
                <w:szCs w:val="21"/>
                <w:highlight w:val="none"/>
              </w:rPr>
            </w:pPr>
            <w:r>
              <w:rPr>
                <w:rFonts w:hint="eastAsia" w:ascii="新宋体" w:hAnsi="新宋体" w:eastAsia="新宋体" w:cs="新宋体"/>
                <w:color w:val="auto"/>
                <w:szCs w:val="21"/>
                <w:highlight w:val="none"/>
              </w:rPr>
              <w:t>A-</w:t>
            </w:r>
            <w:r>
              <w:rPr>
                <w:rFonts w:hint="eastAsia" w:ascii="新宋体" w:hAnsi="新宋体" w:eastAsia="新宋体" w:cs="新宋体"/>
                <w:color w:val="auto"/>
                <w:szCs w:val="21"/>
                <w:highlight w:val="none"/>
                <w:lang w:val="en-US" w:eastAsia="zh-CN"/>
              </w:rPr>
              <w:t>18</w:t>
            </w:r>
            <w:r>
              <w:rPr>
                <w:rFonts w:hint="eastAsia" w:ascii="新宋体" w:hAnsi="新宋体" w:eastAsia="新宋体" w:cs="新宋体"/>
                <w:color w:val="auto"/>
                <w:szCs w:val="21"/>
                <w:highlight w:val="none"/>
              </w:rPr>
              <w:t>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新宋体" w:hAnsi="新宋体" w:eastAsia="新宋体" w:cs="新宋体"/>
                <w:color w:val="auto"/>
                <w:szCs w:val="21"/>
                <w:highlight w:val="none"/>
              </w:rPr>
            </w:pPr>
          </w:p>
        </w:tc>
        <w:tc>
          <w:tcPr>
            <w:tcW w:w="1899" w:type="dxa"/>
            <w:vMerge w:val="continue"/>
            <w:vAlign w:val="center"/>
          </w:tcPr>
          <w:p>
            <w:pPr>
              <w:spacing w:line="400" w:lineRule="exact"/>
              <w:jc w:val="center"/>
              <w:rPr>
                <w:rFonts w:hint="eastAsia" w:ascii="新宋体" w:hAnsi="新宋体" w:eastAsia="新宋体" w:cs="新宋体"/>
                <w:color w:val="auto"/>
                <w:szCs w:val="21"/>
                <w:highlight w:val="none"/>
              </w:rPr>
            </w:pPr>
          </w:p>
        </w:tc>
        <w:tc>
          <w:tcPr>
            <w:tcW w:w="6333" w:type="dxa"/>
            <w:vAlign w:val="center"/>
          </w:tcPr>
          <w:p>
            <w:pPr>
              <w:spacing w:line="400" w:lineRule="exact"/>
              <w:ind w:firstLine="420" w:firstLineChars="200"/>
              <w:rPr>
                <w:rFonts w:hint="eastAsia" w:ascii="新宋体" w:hAnsi="新宋体" w:eastAsia="新宋体" w:cs="新宋体"/>
                <w:i/>
                <w:color w:val="auto"/>
                <w:szCs w:val="21"/>
                <w:highlight w:val="none"/>
              </w:rPr>
            </w:pPr>
            <w:r>
              <w:rPr>
                <w:rFonts w:hint="eastAsia" w:ascii="新宋体" w:hAnsi="新宋体" w:eastAsia="新宋体" w:cs="新宋体"/>
                <w:color w:val="auto"/>
                <w:szCs w:val="21"/>
                <w:highlight w:val="none"/>
              </w:rPr>
              <w:t>A-</w:t>
            </w:r>
            <w:r>
              <w:rPr>
                <w:rFonts w:hint="eastAsia" w:ascii="新宋体" w:hAnsi="新宋体" w:eastAsia="新宋体" w:cs="新宋体"/>
                <w:color w:val="auto"/>
                <w:szCs w:val="21"/>
                <w:highlight w:val="none"/>
                <w:lang w:val="en-US" w:eastAsia="zh-CN"/>
              </w:rPr>
              <w:t>19</w:t>
            </w:r>
            <w:r>
              <w:rPr>
                <w:rFonts w:hint="eastAsia" w:ascii="新宋体" w:hAnsi="新宋体" w:eastAsia="新宋体" w:cs="新宋体"/>
                <w:color w:val="auto"/>
                <w:szCs w:val="21"/>
                <w:highlight w:val="none"/>
              </w:rPr>
              <w:t>投标函中的总报价与已标价</w:t>
            </w:r>
            <w:r>
              <w:rPr>
                <w:rFonts w:hint="eastAsia" w:ascii="新宋体" w:hAnsi="新宋体" w:eastAsia="新宋体" w:cs="新宋体"/>
                <w:color w:val="auto"/>
                <w:szCs w:val="21"/>
                <w:highlight w:val="none"/>
                <w:lang w:val="en-US" w:eastAsia="zh-CN"/>
              </w:rPr>
              <w:t>设备</w:t>
            </w:r>
            <w:r>
              <w:rPr>
                <w:rFonts w:hint="eastAsia" w:ascii="新宋体" w:hAnsi="新宋体" w:eastAsia="新宋体" w:cs="新宋体"/>
                <w:color w:val="auto"/>
                <w:szCs w:val="21"/>
                <w:highlight w:val="none"/>
              </w:rPr>
              <w:t>清单总报价</w:t>
            </w:r>
            <w:r>
              <w:rPr>
                <w:rFonts w:hint="eastAsia" w:ascii="新宋体" w:hAnsi="新宋体" w:eastAsia="新宋体" w:cs="新宋体"/>
                <w:color w:val="auto"/>
                <w:szCs w:val="21"/>
                <w:highlight w:val="none"/>
                <w:lang w:val="en-US" w:eastAsia="zh-CN"/>
              </w:rPr>
              <w:t>不</w:t>
            </w:r>
            <w:r>
              <w:rPr>
                <w:rFonts w:hint="eastAsia" w:ascii="新宋体" w:hAnsi="新宋体" w:eastAsia="新宋体" w:cs="新宋体"/>
                <w:color w:val="auto"/>
                <w:szCs w:val="21"/>
                <w:highlight w:val="none"/>
              </w:rPr>
              <w:t>一致</w:t>
            </w:r>
            <w:r>
              <w:rPr>
                <w:rFonts w:hint="eastAsia" w:ascii="新宋体" w:hAnsi="新宋体" w:eastAsia="新宋体" w:cs="新宋体"/>
                <w:color w:val="auto"/>
                <w:szCs w:val="21"/>
                <w:highlight w:val="none"/>
                <w:lang w:eastAsia="zh-CN"/>
              </w:rPr>
              <w:t>，</w:t>
            </w:r>
            <w:r>
              <w:rPr>
                <w:rFonts w:hint="eastAsia" w:ascii="新宋体" w:hAnsi="新宋体" w:eastAsia="新宋体" w:cs="新宋体"/>
                <w:color w:val="auto"/>
                <w:szCs w:val="21"/>
                <w:highlight w:val="none"/>
                <w:lang w:val="en-US" w:eastAsia="zh-CN"/>
              </w:rPr>
              <w:t>或设备</w:t>
            </w:r>
            <w:r>
              <w:rPr>
                <w:rFonts w:hint="eastAsia" w:ascii="新宋体" w:hAnsi="新宋体" w:eastAsia="新宋体" w:cs="新宋体"/>
                <w:color w:val="auto"/>
                <w:szCs w:val="21"/>
                <w:highlight w:val="none"/>
              </w:rPr>
              <w:t>清单总报价与依据单价、数量、分部分项</w:t>
            </w:r>
            <w:r>
              <w:rPr>
                <w:rFonts w:hint="eastAsia" w:ascii="新宋体" w:hAnsi="新宋体" w:eastAsia="新宋体" w:cs="新宋体"/>
                <w:color w:val="auto"/>
                <w:szCs w:val="21"/>
                <w:highlight w:val="none"/>
                <w:lang w:val="en-US" w:eastAsia="zh-CN"/>
              </w:rPr>
              <w:t>设备</w:t>
            </w:r>
            <w:r>
              <w:rPr>
                <w:rFonts w:hint="eastAsia" w:ascii="新宋体" w:hAnsi="新宋体" w:eastAsia="新宋体" w:cs="新宋体"/>
                <w:color w:val="auto"/>
                <w:szCs w:val="21"/>
                <w:highlight w:val="none"/>
              </w:rPr>
              <w:t>合价计算出的结果</w:t>
            </w:r>
            <w:r>
              <w:rPr>
                <w:rFonts w:hint="eastAsia" w:ascii="新宋体" w:hAnsi="新宋体" w:eastAsia="新宋体" w:cs="新宋体"/>
                <w:color w:val="auto"/>
                <w:szCs w:val="21"/>
                <w:highlight w:val="none"/>
                <w:lang w:val="en-US" w:eastAsia="zh-CN"/>
              </w:rPr>
              <w:t>不</w:t>
            </w:r>
            <w:r>
              <w:rPr>
                <w:rFonts w:hint="eastAsia" w:ascii="新宋体" w:hAnsi="新宋体" w:eastAsia="新宋体" w:cs="新宋体"/>
                <w:color w:val="auto"/>
                <w:szCs w:val="21"/>
                <w:highlight w:val="none"/>
              </w:rPr>
              <w:t>一致，由评标委员会作否决投标处理。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237" w:type="dxa"/>
            <w:vMerge w:val="continue"/>
            <w:vAlign w:val="center"/>
          </w:tcPr>
          <w:p>
            <w:pPr>
              <w:spacing w:line="400" w:lineRule="exact"/>
              <w:jc w:val="center"/>
              <w:rPr>
                <w:rFonts w:hint="eastAsia" w:ascii="新宋体" w:hAnsi="新宋体" w:eastAsia="新宋体" w:cs="新宋体"/>
                <w:color w:val="auto"/>
                <w:szCs w:val="21"/>
                <w:highlight w:val="none"/>
              </w:rPr>
            </w:pPr>
          </w:p>
        </w:tc>
        <w:tc>
          <w:tcPr>
            <w:tcW w:w="1899" w:type="dxa"/>
            <w:vMerge w:val="continue"/>
            <w:vAlign w:val="center"/>
          </w:tcPr>
          <w:p>
            <w:pPr>
              <w:spacing w:line="400" w:lineRule="exact"/>
              <w:jc w:val="center"/>
              <w:rPr>
                <w:rFonts w:hint="eastAsia" w:ascii="新宋体" w:hAnsi="新宋体" w:eastAsia="新宋体" w:cs="新宋体"/>
                <w:color w:val="auto"/>
                <w:szCs w:val="21"/>
                <w:highlight w:val="none"/>
              </w:rPr>
            </w:pPr>
          </w:p>
        </w:tc>
        <w:tc>
          <w:tcPr>
            <w:tcW w:w="6333" w:type="dxa"/>
            <w:vAlign w:val="center"/>
          </w:tcPr>
          <w:p>
            <w:pPr>
              <w:spacing w:line="400" w:lineRule="exact"/>
              <w:ind w:firstLine="420" w:firstLineChars="200"/>
              <w:rPr>
                <w:rFonts w:hint="eastAsia" w:ascii="新宋体" w:hAnsi="新宋体" w:eastAsia="新宋体" w:cs="新宋体"/>
                <w:i/>
                <w:color w:val="auto"/>
                <w:szCs w:val="21"/>
                <w:highlight w:val="none"/>
              </w:rPr>
            </w:pPr>
            <w:r>
              <w:rPr>
                <w:rFonts w:hint="eastAsia" w:ascii="新宋体" w:hAnsi="新宋体" w:eastAsia="新宋体" w:cs="新宋体"/>
                <w:color w:val="auto"/>
                <w:szCs w:val="21"/>
                <w:highlight w:val="none"/>
              </w:rPr>
              <w:t>A-</w:t>
            </w:r>
            <w:r>
              <w:rPr>
                <w:rFonts w:hint="eastAsia" w:ascii="新宋体" w:hAnsi="新宋体" w:eastAsia="新宋体" w:cs="新宋体"/>
                <w:color w:val="auto"/>
                <w:szCs w:val="21"/>
                <w:highlight w:val="none"/>
                <w:lang w:val="en-US" w:eastAsia="zh-CN"/>
              </w:rPr>
              <w:t>20</w:t>
            </w:r>
            <w:r>
              <w:rPr>
                <w:rFonts w:hint="eastAsia" w:ascii="新宋体" w:hAnsi="新宋体" w:eastAsia="新宋体" w:cs="新宋体"/>
                <w:color w:val="auto"/>
                <w:szCs w:val="21"/>
                <w:highlight w:val="none"/>
              </w:rPr>
              <w:t>投标人的投标总报价不得超过投标总报价最高限价，否则由评标委员会作否决投标处理。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新宋体" w:hAnsi="新宋体" w:eastAsia="新宋体" w:cs="新宋体"/>
                <w:color w:val="auto"/>
                <w:szCs w:val="21"/>
                <w:highlight w:val="none"/>
              </w:rPr>
            </w:pPr>
          </w:p>
        </w:tc>
        <w:tc>
          <w:tcPr>
            <w:tcW w:w="1899" w:type="dxa"/>
            <w:vMerge w:val="continue"/>
            <w:vAlign w:val="center"/>
          </w:tcPr>
          <w:p>
            <w:pPr>
              <w:spacing w:line="400" w:lineRule="exact"/>
              <w:jc w:val="center"/>
              <w:rPr>
                <w:rFonts w:hint="eastAsia" w:ascii="新宋体" w:hAnsi="新宋体" w:eastAsia="新宋体" w:cs="新宋体"/>
                <w:color w:val="auto"/>
                <w:szCs w:val="21"/>
                <w:highlight w:val="none"/>
              </w:rPr>
            </w:pPr>
          </w:p>
        </w:tc>
        <w:tc>
          <w:tcPr>
            <w:tcW w:w="6333" w:type="dxa"/>
            <w:vAlign w:val="center"/>
          </w:tcPr>
          <w:p>
            <w:pPr>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A-2</w:t>
            </w:r>
            <w:r>
              <w:rPr>
                <w:rFonts w:hint="eastAsia" w:ascii="新宋体" w:hAnsi="新宋体" w:eastAsia="新宋体" w:cs="新宋体"/>
                <w:color w:val="auto"/>
                <w:szCs w:val="21"/>
                <w:highlight w:val="none"/>
                <w:lang w:val="en-US" w:eastAsia="zh-CN"/>
              </w:rPr>
              <w:t>1</w:t>
            </w:r>
            <w:r>
              <w:rPr>
                <w:rFonts w:hint="eastAsia" w:ascii="新宋体" w:hAnsi="新宋体" w:eastAsia="新宋体" w:cs="新宋体"/>
                <w:color w:val="auto"/>
                <w:szCs w:val="21"/>
                <w:highlight w:val="none"/>
              </w:rPr>
              <w:t>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新宋体" w:hAnsi="新宋体" w:eastAsia="新宋体" w:cs="新宋体"/>
                <w:color w:val="auto"/>
                <w:szCs w:val="21"/>
                <w:highlight w:val="none"/>
              </w:rPr>
            </w:pPr>
          </w:p>
        </w:tc>
        <w:tc>
          <w:tcPr>
            <w:tcW w:w="1899" w:type="dxa"/>
            <w:vMerge w:val="continue"/>
            <w:vAlign w:val="center"/>
          </w:tcPr>
          <w:p>
            <w:pPr>
              <w:spacing w:line="400" w:lineRule="exact"/>
              <w:jc w:val="center"/>
              <w:rPr>
                <w:rFonts w:hint="eastAsia" w:ascii="新宋体" w:hAnsi="新宋体" w:eastAsia="新宋体" w:cs="新宋体"/>
                <w:color w:val="auto"/>
                <w:szCs w:val="21"/>
                <w:highlight w:val="none"/>
              </w:rPr>
            </w:pPr>
          </w:p>
        </w:tc>
        <w:tc>
          <w:tcPr>
            <w:tcW w:w="6333" w:type="dxa"/>
            <w:vAlign w:val="center"/>
          </w:tcPr>
          <w:p>
            <w:pPr>
              <w:spacing w:line="400" w:lineRule="exact"/>
              <w:ind w:firstLine="420" w:firstLineChars="200"/>
              <w:rPr>
                <w:rFonts w:hint="eastAsia" w:ascii="新宋体" w:hAnsi="新宋体" w:eastAsia="新宋体" w:cs="新宋体"/>
                <w:i/>
                <w:color w:val="auto"/>
                <w:szCs w:val="21"/>
                <w:highlight w:val="none"/>
              </w:rPr>
            </w:pPr>
            <w:r>
              <w:rPr>
                <w:rFonts w:hint="eastAsia" w:ascii="新宋体" w:hAnsi="新宋体" w:eastAsia="新宋体" w:cs="新宋体"/>
                <w:color w:val="auto"/>
                <w:szCs w:val="21"/>
                <w:highlight w:val="none"/>
              </w:rPr>
              <w:t>A-2</w:t>
            </w:r>
            <w:r>
              <w:rPr>
                <w:rFonts w:hint="eastAsia" w:ascii="新宋体" w:hAnsi="新宋体" w:eastAsia="新宋体" w:cs="新宋体"/>
                <w:color w:val="auto"/>
                <w:szCs w:val="21"/>
                <w:highlight w:val="none"/>
                <w:lang w:val="en-US" w:eastAsia="zh-CN"/>
              </w:rPr>
              <w:t>2</w:t>
            </w:r>
            <w:r>
              <w:rPr>
                <w:rFonts w:hint="eastAsia" w:ascii="新宋体" w:hAnsi="新宋体" w:eastAsia="新宋体" w:cs="新宋体"/>
                <w:color w:val="auto"/>
                <w:szCs w:val="21"/>
                <w:highlight w:val="none"/>
              </w:rPr>
              <w:t>投标人必须按招标</w:t>
            </w:r>
            <w:r>
              <w:rPr>
                <w:rFonts w:hint="eastAsia" w:ascii="新宋体" w:hAnsi="新宋体" w:eastAsia="新宋体" w:cs="新宋体"/>
                <w:color w:val="auto"/>
                <w:szCs w:val="21"/>
                <w:highlight w:val="none"/>
                <w:lang w:val="en-US" w:eastAsia="zh-CN"/>
              </w:rPr>
              <w:t>设备</w:t>
            </w:r>
            <w:r>
              <w:rPr>
                <w:rFonts w:hint="eastAsia" w:ascii="新宋体" w:hAnsi="新宋体" w:eastAsia="新宋体" w:cs="新宋体"/>
                <w:color w:val="auto"/>
                <w:szCs w:val="21"/>
                <w:highlight w:val="none"/>
              </w:rPr>
              <w:t>清单填报价格。</w:t>
            </w:r>
            <w:r>
              <w:rPr>
                <w:rFonts w:hint="eastAsia" w:ascii="新宋体" w:hAnsi="新宋体" w:eastAsia="新宋体" w:cs="新宋体"/>
                <w:color w:val="auto"/>
                <w:szCs w:val="21"/>
                <w:highlight w:val="none"/>
                <w:lang w:val="en-US" w:eastAsia="zh-CN"/>
              </w:rPr>
              <w:t>分项</w:t>
            </w:r>
            <w:r>
              <w:rPr>
                <w:rFonts w:hint="eastAsia" w:ascii="新宋体" w:hAnsi="新宋体" w:eastAsia="新宋体" w:cs="新宋体"/>
                <w:color w:val="auto"/>
                <w:szCs w:val="21"/>
                <w:highlight w:val="none"/>
              </w:rPr>
              <w:t>名称、规格型号及主要技术参数、计量单位、</w:t>
            </w:r>
            <w:r>
              <w:rPr>
                <w:rFonts w:hint="eastAsia" w:ascii="新宋体" w:hAnsi="新宋体" w:eastAsia="新宋体" w:cs="新宋体"/>
                <w:color w:val="auto"/>
                <w:szCs w:val="21"/>
                <w:highlight w:val="none"/>
                <w:lang w:val="en-US" w:eastAsia="zh-CN"/>
              </w:rPr>
              <w:t>数量</w:t>
            </w:r>
            <w:r>
              <w:rPr>
                <w:rFonts w:hint="eastAsia" w:ascii="新宋体" w:hAnsi="新宋体" w:eastAsia="新宋体" w:cs="新宋体"/>
                <w:color w:val="auto"/>
                <w:szCs w:val="21"/>
                <w:highlight w:val="none"/>
              </w:rPr>
              <w:t>必须与招标</w:t>
            </w:r>
            <w:r>
              <w:rPr>
                <w:rFonts w:hint="eastAsia" w:ascii="新宋体" w:hAnsi="新宋体" w:eastAsia="新宋体" w:cs="新宋体"/>
                <w:color w:val="auto"/>
                <w:szCs w:val="21"/>
                <w:highlight w:val="none"/>
                <w:lang w:val="en-US" w:eastAsia="zh-CN"/>
              </w:rPr>
              <w:t>设备</w:t>
            </w:r>
            <w:r>
              <w:rPr>
                <w:rFonts w:hint="eastAsia" w:ascii="新宋体" w:hAnsi="新宋体" w:eastAsia="新宋体" w:cs="新宋体"/>
                <w:color w:val="auto"/>
                <w:szCs w:val="21"/>
                <w:highlight w:val="none"/>
              </w:rPr>
              <w:t>清单一致。否则交由评标委员会作否决投标处理。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790" w:hRule="atLeast"/>
          <w:jc w:val="center"/>
        </w:trPr>
        <w:tc>
          <w:tcPr>
            <w:tcW w:w="1237" w:type="dxa"/>
            <w:vMerge w:val="continue"/>
            <w:vAlign w:val="center"/>
          </w:tcPr>
          <w:p>
            <w:pPr>
              <w:spacing w:line="400" w:lineRule="exact"/>
              <w:jc w:val="center"/>
              <w:rPr>
                <w:rFonts w:hint="eastAsia" w:ascii="新宋体" w:hAnsi="新宋体" w:eastAsia="新宋体" w:cs="新宋体"/>
                <w:color w:val="auto"/>
                <w:szCs w:val="21"/>
                <w:highlight w:val="none"/>
              </w:rPr>
            </w:pPr>
          </w:p>
        </w:tc>
        <w:tc>
          <w:tcPr>
            <w:tcW w:w="1899" w:type="dxa"/>
            <w:vMerge w:val="continue"/>
            <w:vAlign w:val="center"/>
          </w:tcPr>
          <w:p>
            <w:pPr>
              <w:spacing w:line="400" w:lineRule="exact"/>
              <w:jc w:val="center"/>
              <w:rPr>
                <w:rFonts w:hint="eastAsia" w:ascii="新宋体" w:hAnsi="新宋体" w:eastAsia="新宋体" w:cs="新宋体"/>
                <w:color w:val="auto"/>
                <w:szCs w:val="21"/>
                <w:highlight w:val="none"/>
              </w:rPr>
            </w:pPr>
          </w:p>
        </w:tc>
        <w:tc>
          <w:tcPr>
            <w:tcW w:w="6333" w:type="dxa"/>
            <w:vAlign w:val="center"/>
          </w:tcPr>
          <w:p>
            <w:pPr>
              <w:spacing w:line="400" w:lineRule="exact"/>
              <w:ind w:firstLine="420" w:firstLineChars="200"/>
              <w:rPr>
                <w:rFonts w:hint="eastAsia" w:ascii="新宋体" w:hAnsi="新宋体" w:eastAsia="新宋体" w:cs="新宋体"/>
                <w:i/>
                <w:color w:val="auto"/>
                <w:szCs w:val="21"/>
                <w:highlight w:val="none"/>
              </w:rPr>
            </w:pPr>
            <w:r>
              <w:rPr>
                <w:rFonts w:hint="eastAsia" w:ascii="新宋体" w:hAnsi="新宋体" w:eastAsia="新宋体" w:cs="新宋体"/>
                <w:color w:val="auto"/>
                <w:szCs w:val="21"/>
                <w:highlight w:val="none"/>
              </w:rPr>
              <w:t>A-</w:t>
            </w:r>
            <w:r>
              <w:rPr>
                <w:rFonts w:hint="eastAsia" w:ascii="新宋体" w:hAnsi="新宋体" w:eastAsia="新宋体" w:cs="新宋体"/>
                <w:color w:val="auto"/>
                <w:szCs w:val="21"/>
                <w:highlight w:val="none"/>
                <w:lang w:val="en-US" w:eastAsia="zh-CN"/>
              </w:rPr>
              <w:t>23</w:t>
            </w:r>
            <w:r>
              <w:rPr>
                <w:rFonts w:hint="eastAsia" w:ascii="新宋体" w:hAnsi="新宋体" w:eastAsia="新宋体" w:cs="新宋体"/>
                <w:color w:val="auto"/>
                <w:szCs w:val="21"/>
                <w:highlight w:val="none"/>
              </w:rPr>
              <w:t>投标报价有算术错误的，按照第三章3.评标程序第3.1.3项规定执行，否则由评标委员会作否决投标处理。</w:t>
            </w:r>
          </w:p>
        </w:tc>
      </w:tr>
    </w:tbl>
    <w:p>
      <w:pPr>
        <w:autoSpaceDE w:val="0"/>
        <w:autoSpaceDN w:val="0"/>
        <w:adjustRightInd w:val="0"/>
        <w:snapToGrid w:val="0"/>
        <w:spacing w:before="340" w:after="330" w:line="360" w:lineRule="auto"/>
        <w:jc w:val="left"/>
        <w:rPr>
          <w:rFonts w:hint="eastAsia" w:ascii="新宋体" w:hAnsi="新宋体" w:eastAsia="新宋体" w:cs="新宋体"/>
          <w:color w:val="auto"/>
          <w:kern w:val="0"/>
          <w:sz w:val="52"/>
          <w:szCs w:val="52"/>
          <w:highlight w:val="none"/>
        </w:rPr>
      </w:pPr>
      <w:r>
        <w:rPr>
          <w:rFonts w:hint="eastAsia" w:ascii="新宋体" w:hAnsi="新宋体" w:eastAsia="新宋体" w:cs="新宋体"/>
          <w:color w:val="auto"/>
          <w:kern w:val="0"/>
          <w:highlight w:val="none"/>
        </w:rPr>
        <w:br w:type="page"/>
      </w:r>
    </w:p>
    <w:p>
      <w:pPr>
        <w:pStyle w:val="3"/>
        <w:spacing w:line="360" w:lineRule="auto"/>
        <w:jc w:val="center"/>
        <w:rPr>
          <w:rFonts w:hint="eastAsia" w:ascii="新宋体" w:hAnsi="新宋体" w:eastAsia="新宋体" w:cs="新宋体"/>
          <w:color w:val="auto"/>
          <w:kern w:val="0"/>
          <w:highlight w:val="none"/>
        </w:rPr>
      </w:pPr>
      <w:bookmarkStart w:id="593" w:name="_Toc430530509"/>
      <w:bookmarkStart w:id="594" w:name="_Toc57820636"/>
      <w:bookmarkStart w:id="595" w:name="_Toc509218785"/>
      <w:r>
        <w:rPr>
          <w:rFonts w:hint="eastAsia" w:ascii="新宋体" w:hAnsi="新宋体" w:eastAsia="新宋体" w:cs="新宋体"/>
          <w:color w:val="auto"/>
          <w:kern w:val="0"/>
          <w:highlight w:val="none"/>
        </w:rPr>
        <w:t>第四章  合同条款及格式</w:t>
      </w:r>
      <w:bookmarkEnd w:id="593"/>
      <w:bookmarkEnd w:id="594"/>
      <w:bookmarkEnd w:id="595"/>
    </w:p>
    <w:p>
      <w:pPr>
        <w:rPr>
          <w:rFonts w:hint="eastAsia" w:ascii="新宋体" w:hAnsi="新宋体" w:eastAsia="新宋体" w:cs="新宋体"/>
          <w:color w:val="auto"/>
          <w:sz w:val="44"/>
          <w:szCs w:val="44"/>
          <w:highlight w:val="none"/>
        </w:rPr>
      </w:pPr>
      <w:r>
        <w:rPr>
          <w:rFonts w:hint="eastAsia" w:ascii="新宋体" w:hAnsi="新宋体" w:eastAsia="新宋体" w:cs="新宋体"/>
          <w:color w:val="auto"/>
          <w:highlight w:val="none"/>
        </w:rPr>
        <w:br w:type="page"/>
      </w:r>
      <w:bookmarkStart w:id="596" w:name="_Toc296503025"/>
      <w:bookmarkStart w:id="597" w:name="_Toc296890982"/>
      <w:bookmarkStart w:id="598" w:name="_Toc351203480"/>
    </w:p>
    <w:p>
      <w:pPr>
        <w:spacing w:line="360" w:lineRule="auto"/>
        <w:jc w:val="center"/>
        <w:rPr>
          <w:rFonts w:hint="eastAsia" w:ascii="新宋体" w:hAnsi="新宋体" w:eastAsia="新宋体" w:cs="新宋体"/>
          <w:color w:val="auto"/>
          <w:kern w:val="0"/>
          <w:sz w:val="30"/>
          <w:szCs w:val="30"/>
          <w:highlight w:val="none"/>
          <w:lang w:eastAsia="zh-CN"/>
        </w:rPr>
      </w:pPr>
      <w:bookmarkStart w:id="599" w:name="_bookmark104"/>
      <w:bookmarkEnd w:id="599"/>
      <w:bookmarkStart w:id="600" w:name="_Toc57820640"/>
      <w:bookmarkStart w:id="601" w:name="_Toc287607855"/>
      <w:bookmarkStart w:id="602" w:name="_Toc287620797"/>
      <w:bookmarkStart w:id="603" w:name="_Toc509218843"/>
      <w:bookmarkStart w:id="604" w:name="_Toc534185822"/>
      <w:bookmarkStart w:id="605" w:name="_Toc430530513"/>
      <w:r>
        <w:rPr>
          <w:rFonts w:hint="eastAsia" w:ascii="新宋体" w:hAnsi="新宋体" w:eastAsia="新宋体" w:cs="新宋体"/>
          <w:color w:val="auto"/>
          <w:kern w:val="0"/>
          <w:sz w:val="30"/>
          <w:szCs w:val="30"/>
          <w:highlight w:val="none"/>
        </w:rPr>
        <w:t>渝蓉高速围龙服务区（南、北）LNG加气站设备采购项目</w:t>
      </w:r>
      <w:r>
        <w:rPr>
          <w:rFonts w:hint="eastAsia" w:ascii="新宋体" w:hAnsi="新宋体" w:eastAsia="新宋体" w:cs="新宋体"/>
          <w:color w:val="auto"/>
          <w:kern w:val="0"/>
          <w:sz w:val="30"/>
          <w:szCs w:val="30"/>
          <w:highlight w:val="none"/>
          <w:lang w:eastAsia="zh-CN"/>
        </w:rPr>
        <w:t>合同</w:t>
      </w:r>
    </w:p>
    <w:p>
      <w:pPr>
        <w:spacing w:line="480" w:lineRule="exact"/>
        <w:ind w:firstLine="411" w:firstLineChars="196"/>
        <w:rPr>
          <w:rFonts w:hint="eastAsia" w:ascii="新宋体" w:hAnsi="新宋体" w:eastAsia="新宋体" w:cs="新宋体"/>
          <w:color w:val="auto"/>
          <w:sz w:val="21"/>
          <w:szCs w:val="21"/>
          <w:highlight w:val="none"/>
          <w:lang w:eastAsia="zh-CN"/>
        </w:rPr>
      </w:pPr>
      <w:bookmarkStart w:id="606" w:name="OLE_LINK2"/>
    </w:p>
    <w:p>
      <w:pPr>
        <w:spacing w:line="480" w:lineRule="exact"/>
        <w:ind w:firstLine="411" w:firstLineChars="196"/>
        <w:rPr>
          <w:rFonts w:hint="eastAsia" w:ascii="新宋体" w:hAnsi="新宋体" w:eastAsia="新宋体" w:cs="新宋体"/>
          <w:color w:val="auto"/>
          <w:sz w:val="21"/>
          <w:szCs w:val="21"/>
          <w:highlight w:val="none"/>
          <w:lang w:eastAsia="zh-CN"/>
        </w:rPr>
      </w:pPr>
      <w:r>
        <w:rPr>
          <w:rFonts w:hint="eastAsia" w:ascii="新宋体" w:hAnsi="新宋体" w:eastAsia="新宋体" w:cs="新宋体"/>
          <w:color w:val="auto"/>
          <w:sz w:val="21"/>
          <w:szCs w:val="21"/>
          <w:highlight w:val="none"/>
          <w:lang w:eastAsia="zh-CN"/>
        </w:rPr>
        <w:t>甲方（买方）:</w:t>
      </w:r>
      <w:r>
        <w:rPr>
          <w:rFonts w:hint="eastAsia" w:ascii="新宋体" w:hAnsi="新宋体" w:eastAsia="新宋体" w:cs="新宋体"/>
          <w:color w:val="auto"/>
          <w:sz w:val="21"/>
          <w:szCs w:val="21"/>
          <w:highlight w:val="none"/>
          <w:u w:val="single"/>
          <w:lang w:eastAsia="zh-CN"/>
        </w:rPr>
        <w:t xml:space="preserve">                                 </w:t>
      </w:r>
    </w:p>
    <w:p>
      <w:pPr>
        <w:spacing w:line="480" w:lineRule="exact"/>
        <w:ind w:firstLine="411" w:firstLineChars="196"/>
        <w:rPr>
          <w:rFonts w:hint="eastAsia" w:ascii="新宋体" w:hAnsi="新宋体" w:eastAsia="新宋体" w:cs="新宋体"/>
          <w:color w:val="auto"/>
          <w:sz w:val="21"/>
          <w:szCs w:val="21"/>
          <w:highlight w:val="none"/>
          <w:lang w:eastAsia="zh-CN"/>
        </w:rPr>
      </w:pPr>
      <w:r>
        <w:rPr>
          <w:rFonts w:hint="eastAsia" w:ascii="新宋体" w:hAnsi="新宋体" w:eastAsia="新宋体" w:cs="新宋体"/>
          <w:color w:val="auto"/>
          <w:sz w:val="21"/>
          <w:szCs w:val="21"/>
          <w:highlight w:val="none"/>
          <w:lang w:eastAsia="zh-CN"/>
        </w:rPr>
        <w:t>法定代表人：</w:t>
      </w:r>
    </w:p>
    <w:p>
      <w:pPr>
        <w:spacing w:line="480" w:lineRule="exact"/>
        <w:ind w:firstLine="411" w:firstLineChars="196"/>
        <w:rPr>
          <w:rFonts w:hint="eastAsia" w:ascii="新宋体" w:hAnsi="新宋体" w:eastAsia="新宋体" w:cs="新宋体"/>
          <w:color w:val="auto"/>
          <w:sz w:val="21"/>
          <w:szCs w:val="21"/>
          <w:highlight w:val="none"/>
          <w:lang w:eastAsia="zh-CN"/>
        </w:rPr>
      </w:pPr>
      <w:r>
        <w:rPr>
          <w:rFonts w:hint="eastAsia" w:ascii="新宋体" w:hAnsi="新宋体" w:eastAsia="新宋体" w:cs="新宋体"/>
          <w:color w:val="auto"/>
          <w:sz w:val="21"/>
          <w:szCs w:val="21"/>
          <w:highlight w:val="none"/>
          <w:lang w:eastAsia="zh-CN"/>
        </w:rPr>
        <w:t xml:space="preserve">营业执照号码：                     </w:t>
      </w:r>
    </w:p>
    <w:p>
      <w:pPr>
        <w:spacing w:line="480" w:lineRule="exact"/>
        <w:ind w:firstLine="420" w:firstLineChars="200"/>
        <w:rPr>
          <w:rFonts w:hint="eastAsia" w:ascii="新宋体" w:hAnsi="新宋体" w:eastAsia="新宋体" w:cs="新宋体"/>
          <w:color w:val="auto"/>
          <w:sz w:val="21"/>
          <w:szCs w:val="21"/>
          <w:highlight w:val="none"/>
          <w:lang w:eastAsia="zh-CN"/>
        </w:rPr>
      </w:pPr>
      <w:r>
        <w:rPr>
          <w:rFonts w:hint="eastAsia" w:ascii="新宋体" w:hAnsi="新宋体" w:eastAsia="新宋体" w:cs="新宋体"/>
          <w:color w:val="auto"/>
          <w:sz w:val="21"/>
          <w:szCs w:val="21"/>
          <w:highlight w:val="none"/>
          <w:lang w:eastAsia="zh-CN"/>
        </w:rPr>
        <w:t xml:space="preserve">住所地：                         </w:t>
      </w:r>
    </w:p>
    <w:p>
      <w:pPr>
        <w:spacing w:line="480" w:lineRule="exact"/>
        <w:ind w:firstLine="420" w:firstLineChars="200"/>
        <w:rPr>
          <w:rFonts w:hint="eastAsia" w:ascii="新宋体" w:hAnsi="新宋体" w:eastAsia="新宋体" w:cs="新宋体"/>
          <w:color w:val="auto"/>
          <w:sz w:val="21"/>
          <w:szCs w:val="21"/>
          <w:highlight w:val="none"/>
          <w:u w:val="single"/>
          <w:lang w:eastAsia="zh-CN"/>
        </w:rPr>
      </w:pPr>
      <w:r>
        <w:rPr>
          <w:rFonts w:hint="eastAsia" w:ascii="新宋体" w:hAnsi="新宋体" w:eastAsia="新宋体" w:cs="新宋体"/>
          <w:color w:val="auto"/>
          <w:sz w:val="21"/>
          <w:szCs w:val="21"/>
          <w:highlight w:val="none"/>
          <w:lang w:eastAsia="zh-CN"/>
        </w:rPr>
        <w:t xml:space="preserve">联系电话：   </w:t>
      </w:r>
    </w:p>
    <w:p>
      <w:pPr>
        <w:spacing w:line="480" w:lineRule="exact"/>
        <w:ind w:firstLine="420" w:firstLineChars="200"/>
        <w:rPr>
          <w:rFonts w:hint="eastAsia" w:ascii="新宋体" w:hAnsi="新宋体" w:eastAsia="新宋体" w:cs="新宋体"/>
          <w:color w:val="auto"/>
          <w:sz w:val="21"/>
          <w:szCs w:val="21"/>
          <w:highlight w:val="none"/>
          <w:lang w:eastAsia="zh-CN"/>
        </w:rPr>
      </w:pPr>
    </w:p>
    <w:p>
      <w:pPr>
        <w:spacing w:line="480" w:lineRule="exact"/>
        <w:ind w:firstLine="420" w:firstLineChars="200"/>
        <w:rPr>
          <w:rFonts w:hint="eastAsia" w:ascii="新宋体" w:hAnsi="新宋体" w:eastAsia="新宋体" w:cs="新宋体"/>
          <w:color w:val="auto"/>
          <w:sz w:val="21"/>
          <w:szCs w:val="21"/>
          <w:highlight w:val="none"/>
          <w:u w:val="single"/>
          <w:lang w:eastAsia="zh-CN"/>
        </w:rPr>
      </w:pPr>
      <w:r>
        <w:rPr>
          <w:rFonts w:hint="eastAsia" w:ascii="新宋体" w:hAnsi="新宋体" w:eastAsia="新宋体" w:cs="新宋体"/>
          <w:color w:val="auto"/>
          <w:sz w:val="21"/>
          <w:szCs w:val="21"/>
          <w:highlight w:val="none"/>
          <w:lang w:eastAsia="zh-CN"/>
        </w:rPr>
        <w:t>乙方（卖方）：</w:t>
      </w:r>
      <w:r>
        <w:rPr>
          <w:rFonts w:hint="eastAsia" w:ascii="新宋体" w:hAnsi="新宋体" w:eastAsia="新宋体" w:cs="新宋体"/>
          <w:color w:val="auto"/>
          <w:sz w:val="21"/>
          <w:szCs w:val="21"/>
          <w:highlight w:val="none"/>
          <w:u w:val="single"/>
          <w:lang w:eastAsia="zh-CN"/>
        </w:rPr>
        <w:t xml:space="preserve">                                </w:t>
      </w:r>
    </w:p>
    <w:p>
      <w:pPr>
        <w:spacing w:line="480" w:lineRule="exact"/>
        <w:ind w:firstLine="411" w:firstLineChars="196"/>
        <w:rPr>
          <w:rFonts w:hint="eastAsia" w:ascii="新宋体" w:hAnsi="新宋体" w:eastAsia="新宋体" w:cs="新宋体"/>
          <w:color w:val="auto"/>
          <w:sz w:val="21"/>
          <w:szCs w:val="21"/>
          <w:highlight w:val="none"/>
          <w:lang w:eastAsia="zh-CN"/>
        </w:rPr>
      </w:pPr>
      <w:r>
        <w:rPr>
          <w:rFonts w:hint="eastAsia" w:ascii="新宋体" w:hAnsi="新宋体" w:eastAsia="新宋体" w:cs="新宋体"/>
          <w:color w:val="auto"/>
          <w:sz w:val="21"/>
          <w:szCs w:val="21"/>
          <w:highlight w:val="none"/>
          <w:lang w:eastAsia="zh-CN"/>
        </w:rPr>
        <w:t>法定代表人：</w:t>
      </w:r>
    </w:p>
    <w:p>
      <w:pPr>
        <w:spacing w:line="480" w:lineRule="exact"/>
        <w:ind w:firstLine="411" w:firstLineChars="196"/>
        <w:rPr>
          <w:rFonts w:hint="eastAsia" w:ascii="新宋体" w:hAnsi="新宋体" w:eastAsia="新宋体" w:cs="新宋体"/>
          <w:color w:val="auto"/>
          <w:sz w:val="21"/>
          <w:szCs w:val="21"/>
          <w:highlight w:val="none"/>
          <w:lang w:eastAsia="zh-CN"/>
        </w:rPr>
      </w:pPr>
      <w:r>
        <w:rPr>
          <w:rFonts w:hint="eastAsia" w:ascii="新宋体" w:hAnsi="新宋体" w:eastAsia="新宋体" w:cs="新宋体"/>
          <w:color w:val="auto"/>
          <w:sz w:val="21"/>
          <w:szCs w:val="21"/>
          <w:highlight w:val="none"/>
          <w:lang w:eastAsia="zh-CN"/>
        </w:rPr>
        <w:t xml:space="preserve">营业执照号码：                     </w:t>
      </w:r>
    </w:p>
    <w:p>
      <w:pPr>
        <w:spacing w:line="480" w:lineRule="exact"/>
        <w:ind w:firstLine="420" w:firstLineChars="200"/>
        <w:rPr>
          <w:rFonts w:hint="eastAsia" w:ascii="新宋体" w:hAnsi="新宋体" w:eastAsia="新宋体" w:cs="新宋体"/>
          <w:color w:val="auto"/>
          <w:sz w:val="21"/>
          <w:szCs w:val="21"/>
          <w:highlight w:val="none"/>
          <w:lang w:eastAsia="zh-CN"/>
        </w:rPr>
      </w:pPr>
      <w:r>
        <w:rPr>
          <w:rFonts w:hint="eastAsia" w:ascii="新宋体" w:hAnsi="新宋体" w:eastAsia="新宋体" w:cs="新宋体"/>
          <w:color w:val="auto"/>
          <w:sz w:val="21"/>
          <w:szCs w:val="21"/>
          <w:highlight w:val="none"/>
          <w:lang w:eastAsia="zh-CN"/>
        </w:rPr>
        <w:t xml:space="preserve">住所地：                         </w:t>
      </w:r>
    </w:p>
    <w:p>
      <w:pPr>
        <w:spacing w:line="480" w:lineRule="exact"/>
        <w:ind w:firstLine="420" w:firstLineChars="200"/>
        <w:rPr>
          <w:rFonts w:hint="eastAsia" w:ascii="新宋体" w:hAnsi="新宋体" w:eastAsia="新宋体" w:cs="新宋体"/>
          <w:color w:val="auto"/>
          <w:sz w:val="21"/>
          <w:szCs w:val="21"/>
          <w:highlight w:val="none"/>
          <w:u w:val="single"/>
          <w:lang w:eastAsia="zh-CN"/>
        </w:rPr>
      </w:pPr>
      <w:r>
        <w:rPr>
          <w:rFonts w:hint="eastAsia" w:ascii="新宋体" w:hAnsi="新宋体" w:eastAsia="新宋体" w:cs="新宋体"/>
          <w:color w:val="auto"/>
          <w:sz w:val="21"/>
          <w:szCs w:val="21"/>
          <w:highlight w:val="none"/>
          <w:lang w:eastAsia="zh-CN"/>
        </w:rPr>
        <w:t xml:space="preserve">联系电话：  </w:t>
      </w:r>
      <w:bookmarkEnd w:id="606"/>
      <w:r>
        <w:rPr>
          <w:rFonts w:hint="eastAsia" w:ascii="新宋体" w:hAnsi="新宋体" w:eastAsia="新宋体" w:cs="新宋体"/>
          <w:color w:val="auto"/>
          <w:sz w:val="21"/>
          <w:szCs w:val="21"/>
          <w:highlight w:val="none"/>
          <w:lang w:eastAsia="zh-CN"/>
        </w:rPr>
        <w:t xml:space="preserve"> </w:t>
      </w:r>
    </w:p>
    <w:p>
      <w:pPr>
        <w:spacing w:line="480" w:lineRule="exact"/>
        <w:ind w:firstLine="420" w:firstLineChars="200"/>
        <w:rPr>
          <w:rFonts w:hint="eastAsia" w:ascii="新宋体" w:hAnsi="新宋体" w:eastAsia="新宋体" w:cs="新宋体"/>
          <w:color w:val="auto"/>
          <w:sz w:val="21"/>
          <w:szCs w:val="21"/>
          <w:highlight w:val="none"/>
          <w:lang w:eastAsia="zh-CN"/>
        </w:rPr>
      </w:pPr>
    </w:p>
    <w:p>
      <w:pPr>
        <w:spacing w:line="480" w:lineRule="exact"/>
        <w:ind w:firstLine="360" w:firstLineChars="200"/>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sz w:val="18"/>
          <w:szCs w:val="18"/>
          <w:highlight w:val="none"/>
          <w:lang w:eastAsia="zh-CN"/>
        </w:rPr>
        <w:t>根据《中华人民共和国民法典》等有关法律规定，结合本工程具体情况，遵循平等、自愿、公平和诚实信用的原则，各方经友好协商，就</w:t>
      </w:r>
      <w:r>
        <w:rPr>
          <w:rFonts w:hint="eastAsia" w:ascii="新宋体" w:hAnsi="新宋体" w:eastAsia="新宋体" w:cs="新宋体"/>
          <w:color w:val="auto"/>
          <w:sz w:val="18"/>
          <w:szCs w:val="18"/>
          <w:highlight w:val="none"/>
          <w:u w:val="single"/>
          <w:lang w:eastAsia="zh-CN"/>
        </w:rPr>
        <w:t xml:space="preserve">                    </w:t>
      </w:r>
      <w:r>
        <w:rPr>
          <w:rFonts w:hint="eastAsia" w:ascii="新宋体" w:hAnsi="新宋体" w:eastAsia="新宋体" w:cs="新宋体"/>
          <w:color w:val="auto"/>
          <w:sz w:val="18"/>
          <w:szCs w:val="18"/>
          <w:highlight w:val="none"/>
          <w:lang w:eastAsia="zh-CN"/>
        </w:rPr>
        <w:t>（</w:t>
      </w:r>
      <w:r>
        <w:rPr>
          <w:rFonts w:hint="eastAsia" w:ascii="新宋体" w:hAnsi="新宋体" w:eastAsia="新宋体" w:cs="新宋体"/>
          <w:color w:val="auto"/>
          <w:sz w:val="18"/>
          <w:szCs w:val="18"/>
          <w:highlight w:val="none"/>
          <w:lang w:val="en-US" w:eastAsia="zh-CN"/>
        </w:rPr>
        <w:t>项目名称</w:t>
      </w:r>
      <w:r>
        <w:rPr>
          <w:rFonts w:hint="eastAsia" w:ascii="新宋体" w:hAnsi="新宋体" w:eastAsia="新宋体" w:cs="新宋体"/>
          <w:color w:val="auto"/>
          <w:sz w:val="18"/>
          <w:szCs w:val="18"/>
          <w:highlight w:val="none"/>
          <w:lang w:eastAsia="zh-CN"/>
        </w:rPr>
        <w:t>）</w:t>
      </w:r>
      <w:r>
        <w:rPr>
          <w:rFonts w:hint="eastAsia" w:ascii="新宋体" w:hAnsi="新宋体" w:eastAsia="新宋体" w:cs="新宋体"/>
          <w:color w:val="auto"/>
          <w:sz w:val="18"/>
          <w:szCs w:val="18"/>
          <w:highlight w:val="none"/>
          <w:lang w:val="en-US" w:eastAsia="zh-CN"/>
        </w:rPr>
        <w:t>事宜</w:t>
      </w:r>
      <w:r>
        <w:rPr>
          <w:rFonts w:hint="eastAsia" w:ascii="新宋体" w:hAnsi="新宋体" w:eastAsia="新宋体" w:cs="新宋体"/>
          <w:color w:val="auto"/>
          <w:sz w:val="18"/>
          <w:szCs w:val="18"/>
          <w:highlight w:val="none"/>
          <w:lang w:eastAsia="zh-CN"/>
        </w:rPr>
        <w:t>协商一致，订立本合同。</w:t>
      </w:r>
    </w:p>
    <w:p>
      <w:pPr>
        <w:numPr>
          <w:ilvl w:val="0"/>
          <w:numId w:val="1"/>
        </w:numPr>
        <w:spacing w:before="93" w:beforeLines="30" w:after="62" w:afterLines="20" w:line="480" w:lineRule="exact"/>
        <w:ind w:firstLine="422" w:firstLineChars="200"/>
        <w:rPr>
          <w:rFonts w:hint="eastAsia"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：合同标的及价格</w:t>
      </w:r>
    </w:p>
    <w:tbl>
      <w:tblPr>
        <w:tblStyle w:val="62"/>
        <w:tblW w:w="9375" w:type="dxa"/>
        <w:tblInd w:w="0" w:type="dxa"/>
        <w:tblLayout w:type="fixed"/>
        <w:tblCellMar>
          <w:top w:w="15" w:type="dxa"/>
          <w:left w:w="15" w:type="dxa"/>
          <w:bottom w:w="15" w:type="dxa"/>
          <w:right w:w="15" w:type="dxa"/>
        </w:tblCellMar>
      </w:tblPr>
      <w:tblGrid>
        <w:gridCol w:w="585"/>
        <w:gridCol w:w="2084"/>
        <w:gridCol w:w="1245"/>
        <w:gridCol w:w="705"/>
        <w:gridCol w:w="1005"/>
        <w:gridCol w:w="1185"/>
        <w:gridCol w:w="1200"/>
        <w:gridCol w:w="1366"/>
      </w:tblGrid>
      <w:tr>
        <w:tblPrEx>
          <w:tblLayout w:type="fixed"/>
          <w:tblCellMar>
            <w:top w:w="15" w:type="dxa"/>
            <w:left w:w="15" w:type="dxa"/>
            <w:bottom w:w="15" w:type="dxa"/>
            <w:right w:w="15" w:type="dxa"/>
          </w:tblCellMar>
        </w:tblPrEx>
        <w:trPr>
          <w:trHeight w:val="50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序号</w:t>
            </w:r>
          </w:p>
        </w:tc>
        <w:tc>
          <w:tcPr>
            <w:tcW w:w="2084"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名称</w:t>
            </w:r>
          </w:p>
        </w:tc>
        <w:tc>
          <w:tcPr>
            <w:tcW w:w="1245"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规格型号</w:t>
            </w:r>
          </w:p>
        </w:tc>
        <w:tc>
          <w:tcPr>
            <w:tcW w:w="705"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单位</w:t>
            </w:r>
          </w:p>
        </w:tc>
        <w:tc>
          <w:tcPr>
            <w:tcW w:w="1005"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暂定数量</w:t>
            </w:r>
          </w:p>
        </w:tc>
        <w:tc>
          <w:tcPr>
            <w:tcW w:w="1185"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单价（元）</w:t>
            </w:r>
          </w:p>
        </w:tc>
        <w:tc>
          <w:tcPr>
            <w:tcW w:w="1200"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总价（元）</w:t>
            </w:r>
          </w:p>
        </w:tc>
        <w:tc>
          <w:tcPr>
            <w:tcW w:w="1366"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品牌</w:t>
            </w:r>
          </w:p>
        </w:tc>
      </w:tr>
      <w:tr>
        <w:tblPrEx>
          <w:tblLayout w:type="fixed"/>
          <w:tblCellMar>
            <w:top w:w="15" w:type="dxa"/>
            <w:left w:w="15" w:type="dxa"/>
            <w:bottom w:w="15" w:type="dxa"/>
            <w:right w:w="15" w:type="dxa"/>
          </w:tblCellMar>
        </w:tblPrEx>
        <w:trPr>
          <w:trHeight w:val="600" w:hRule="atLeast"/>
        </w:trPr>
        <w:tc>
          <w:tcPr>
            <w:tcW w:w="585"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color w:val="auto"/>
                <w:sz w:val="18"/>
                <w:szCs w:val="18"/>
                <w:highlight w:val="none"/>
              </w:rPr>
            </w:pPr>
          </w:p>
        </w:tc>
        <w:tc>
          <w:tcPr>
            <w:tcW w:w="2084" w:type="dxa"/>
            <w:tcBorders>
              <w:bottom w:val="single" w:color="auto" w:sz="4" w:space="0"/>
              <w:right w:val="single" w:color="000000" w:sz="4" w:space="0"/>
            </w:tcBorders>
            <w:vAlign w:val="center"/>
          </w:tcPr>
          <w:p>
            <w:pPr>
              <w:widowControl/>
              <w:jc w:val="center"/>
              <w:textAlignment w:val="center"/>
              <w:rPr>
                <w:rFonts w:hint="eastAsia" w:ascii="新宋体" w:hAnsi="新宋体" w:eastAsia="新宋体" w:cs="新宋体"/>
                <w:color w:val="auto"/>
                <w:sz w:val="18"/>
                <w:szCs w:val="18"/>
                <w:highlight w:val="none"/>
              </w:rPr>
            </w:pPr>
          </w:p>
        </w:tc>
        <w:tc>
          <w:tcPr>
            <w:tcW w:w="124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新宋体" w:hAnsi="新宋体" w:eastAsia="新宋体" w:cs="新宋体"/>
                <w:color w:val="auto"/>
                <w:sz w:val="18"/>
                <w:szCs w:val="18"/>
                <w:highlight w:val="none"/>
              </w:rPr>
            </w:pPr>
          </w:p>
        </w:tc>
        <w:tc>
          <w:tcPr>
            <w:tcW w:w="705" w:type="dxa"/>
            <w:tcBorders>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color w:val="auto"/>
                <w:sz w:val="18"/>
                <w:szCs w:val="18"/>
                <w:highlight w:val="none"/>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color w:val="auto"/>
                <w:sz w:val="18"/>
                <w:szCs w:val="18"/>
                <w:highlight w:val="none"/>
              </w:rPr>
            </w:pP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color w:val="auto"/>
                <w:sz w:val="18"/>
                <w:szCs w:val="18"/>
                <w:highlight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color w:val="auto"/>
                <w:sz w:val="18"/>
                <w:szCs w:val="18"/>
                <w:highlight w:val="none"/>
              </w:rPr>
            </w:pPr>
          </w:p>
        </w:tc>
        <w:tc>
          <w:tcPr>
            <w:tcW w:w="1366" w:type="dxa"/>
            <w:tcBorders>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color w:val="auto"/>
                <w:sz w:val="18"/>
                <w:szCs w:val="18"/>
                <w:highlight w:val="none"/>
              </w:rPr>
            </w:pPr>
          </w:p>
        </w:tc>
      </w:tr>
      <w:tr>
        <w:tblPrEx>
          <w:tblLayout w:type="fixed"/>
          <w:tblCellMar>
            <w:top w:w="15" w:type="dxa"/>
            <w:left w:w="15" w:type="dxa"/>
            <w:bottom w:w="15" w:type="dxa"/>
            <w:right w:w="15" w:type="dxa"/>
          </w:tblCellMar>
        </w:tblPrEx>
        <w:trPr>
          <w:trHeight w:val="600" w:hRule="atLeast"/>
        </w:trPr>
        <w:tc>
          <w:tcPr>
            <w:tcW w:w="585"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color w:val="auto"/>
                <w:sz w:val="18"/>
                <w:szCs w:val="18"/>
                <w:highlight w:val="none"/>
              </w:rPr>
            </w:pPr>
          </w:p>
        </w:tc>
        <w:tc>
          <w:tcPr>
            <w:tcW w:w="2084" w:type="dxa"/>
            <w:tcBorders>
              <w:bottom w:val="single" w:color="auto" w:sz="4" w:space="0"/>
              <w:right w:val="single" w:color="000000" w:sz="4" w:space="0"/>
            </w:tcBorders>
            <w:vAlign w:val="center"/>
          </w:tcPr>
          <w:p>
            <w:pPr>
              <w:widowControl/>
              <w:jc w:val="center"/>
              <w:textAlignment w:val="center"/>
              <w:rPr>
                <w:rFonts w:hint="eastAsia" w:ascii="新宋体" w:hAnsi="新宋体" w:eastAsia="新宋体" w:cs="新宋体"/>
                <w:color w:val="auto"/>
                <w:sz w:val="18"/>
                <w:szCs w:val="18"/>
                <w:highlight w:val="none"/>
              </w:rPr>
            </w:pPr>
          </w:p>
        </w:tc>
        <w:tc>
          <w:tcPr>
            <w:tcW w:w="124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新宋体" w:hAnsi="新宋体" w:eastAsia="新宋体" w:cs="新宋体"/>
                <w:color w:val="auto"/>
                <w:sz w:val="18"/>
                <w:szCs w:val="18"/>
                <w:highlight w:val="none"/>
              </w:rPr>
            </w:pPr>
          </w:p>
        </w:tc>
        <w:tc>
          <w:tcPr>
            <w:tcW w:w="705" w:type="dxa"/>
            <w:tcBorders>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color w:val="auto"/>
                <w:sz w:val="18"/>
                <w:szCs w:val="18"/>
                <w:highlight w:val="none"/>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color w:val="auto"/>
                <w:sz w:val="18"/>
                <w:szCs w:val="18"/>
                <w:highlight w:val="none"/>
              </w:rPr>
            </w:pP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color w:val="auto"/>
                <w:sz w:val="18"/>
                <w:szCs w:val="18"/>
                <w:highlight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color w:val="auto"/>
                <w:sz w:val="18"/>
                <w:szCs w:val="18"/>
                <w:highlight w:val="none"/>
              </w:rPr>
            </w:pPr>
          </w:p>
        </w:tc>
        <w:tc>
          <w:tcPr>
            <w:tcW w:w="1366" w:type="dxa"/>
            <w:tcBorders>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color w:val="auto"/>
                <w:sz w:val="18"/>
                <w:szCs w:val="18"/>
                <w:highlight w:val="none"/>
              </w:rPr>
            </w:pPr>
          </w:p>
        </w:tc>
      </w:tr>
      <w:tr>
        <w:tblPrEx>
          <w:tblLayout w:type="fixed"/>
          <w:tblCellMar>
            <w:top w:w="15" w:type="dxa"/>
            <w:left w:w="15" w:type="dxa"/>
            <w:bottom w:w="15" w:type="dxa"/>
            <w:right w:w="15" w:type="dxa"/>
          </w:tblCellMar>
        </w:tblPrEx>
        <w:trPr>
          <w:trHeight w:val="600" w:hRule="atLeast"/>
        </w:trPr>
        <w:tc>
          <w:tcPr>
            <w:tcW w:w="585"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color w:val="auto"/>
                <w:sz w:val="18"/>
                <w:szCs w:val="18"/>
                <w:highlight w:val="none"/>
              </w:rPr>
            </w:pPr>
          </w:p>
        </w:tc>
        <w:tc>
          <w:tcPr>
            <w:tcW w:w="2084" w:type="dxa"/>
            <w:tcBorders>
              <w:bottom w:val="single" w:color="auto" w:sz="4" w:space="0"/>
              <w:right w:val="single" w:color="000000" w:sz="4" w:space="0"/>
            </w:tcBorders>
            <w:vAlign w:val="center"/>
          </w:tcPr>
          <w:p>
            <w:pPr>
              <w:widowControl/>
              <w:jc w:val="center"/>
              <w:textAlignment w:val="center"/>
              <w:rPr>
                <w:rFonts w:hint="eastAsia" w:ascii="新宋体" w:hAnsi="新宋体" w:eastAsia="新宋体" w:cs="新宋体"/>
                <w:color w:val="auto"/>
                <w:sz w:val="18"/>
                <w:szCs w:val="18"/>
                <w:highlight w:val="none"/>
              </w:rPr>
            </w:pPr>
          </w:p>
        </w:tc>
        <w:tc>
          <w:tcPr>
            <w:tcW w:w="124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新宋体" w:hAnsi="新宋体" w:eastAsia="新宋体" w:cs="新宋体"/>
                <w:color w:val="auto"/>
                <w:sz w:val="18"/>
                <w:szCs w:val="18"/>
                <w:highlight w:val="none"/>
              </w:rPr>
            </w:pPr>
          </w:p>
        </w:tc>
        <w:tc>
          <w:tcPr>
            <w:tcW w:w="705" w:type="dxa"/>
            <w:tcBorders>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color w:val="auto"/>
                <w:sz w:val="18"/>
                <w:szCs w:val="18"/>
                <w:highlight w:val="none"/>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color w:val="auto"/>
                <w:sz w:val="18"/>
                <w:szCs w:val="18"/>
                <w:highlight w:val="none"/>
              </w:rPr>
            </w:pP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color w:val="auto"/>
                <w:sz w:val="18"/>
                <w:szCs w:val="18"/>
                <w:highlight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color w:val="auto"/>
                <w:sz w:val="18"/>
                <w:szCs w:val="18"/>
                <w:highlight w:val="none"/>
              </w:rPr>
            </w:pPr>
          </w:p>
        </w:tc>
        <w:tc>
          <w:tcPr>
            <w:tcW w:w="1366" w:type="dxa"/>
            <w:tcBorders>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color w:val="auto"/>
                <w:sz w:val="18"/>
                <w:szCs w:val="18"/>
                <w:highlight w:val="none"/>
              </w:rPr>
            </w:pPr>
          </w:p>
        </w:tc>
      </w:tr>
      <w:tr>
        <w:tblPrEx>
          <w:tblLayout w:type="fixed"/>
          <w:tblCellMar>
            <w:top w:w="15" w:type="dxa"/>
            <w:left w:w="15" w:type="dxa"/>
            <w:bottom w:w="15" w:type="dxa"/>
            <w:right w:w="15" w:type="dxa"/>
          </w:tblCellMar>
        </w:tblPrEx>
        <w:trPr>
          <w:trHeight w:val="420" w:hRule="atLeast"/>
        </w:trPr>
        <w:tc>
          <w:tcPr>
            <w:tcW w:w="2669" w:type="dxa"/>
            <w:gridSpan w:val="2"/>
            <w:vMerge w:val="restart"/>
            <w:tcBorders>
              <w:left w:val="single" w:color="000000" w:sz="4" w:space="0"/>
              <w:right w:val="single" w:color="000000" w:sz="4" w:space="0"/>
            </w:tcBorders>
            <w:vAlign w:val="center"/>
          </w:tcPr>
          <w:p>
            <w:pPr>
              <w:widowControl/>
              <w:jc w:val="center"/>
              <w:textAlignment w:val="cente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合计</w:t>
            </w:r>
          </w:p>
        </w:tc>
        <w:tc>
          <w:tcPr>
            <w:tcW w:w="1950" w:type="dxa"/>
            <w:gridSpan w:val="2"/>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小写（￥）：</w:t>
            </w:r>
          </w:p>
        </w:tc>
        <w:tc>
          <w:tcPr>
            <w:tcW w:w="4756" w:type="dxa"/>
            <w:gridSpan w:val="4"/>
            <w:tcBorders>
              <w:top w:val="single" w:color="000000" w:sz="4" w:space="0"/>
              <w:left w:val="single" w:color="auto" w:sz="4" w:space="0"/>
              <w:bottom w:val="single" w:color="000000" w:sz="4" w:space="0"/>
              <w:right w:val="single" w:color="000000" w:sz="4" w:space="0"/>
            </w:tcBorders>
            <w:vAlign w:val="center"/>
          </w:tcPr>
          <w:p>
            <w:pPr>
              <w:widowControl/>
              <w:textAlignment w:val="center"/>
              <w:rPr>
                <w:rFonts w:hint="eastAsia" w:ascii="新宋体" w:hAnsi="新宋体" w:eastAsia="新宋体" w:cs="新宋体"/>
                <w:color w:val="auto"/>
                <w:sz w:val="18"/>
                <w:szCs w:val="18"/>
                <w:highlight w:val="none"/>
              </w:rPr>
            </w:pPr>
          </w:p>
        </w:tc>
      </w:tr>
      <w:tr>
        <w:tblPrEx>
          <w:tblLayout w:type="fixed"/>
          <w:tblCellMar>
            <w:top w:w="15" w:type="dxa"/>
            <w:left w:w="15" w:type="dxa"/>
            <w:bottom w:w="15" w:type="dxa"/>
            <w:right w:w="15" w:type="dxa"/>
          </w:tblCellMar>
        </w:tblPrEx>
        <w:trPr>
          <w:trHeight w:val="420" w:hRule="atLeast"/>
        </w:trPr>
        <w:tc>
          <w:tcPr>
            <w:tcW w:w="2669" w:type="dxa"/>
            <w:gridSpan w:val="2"/>
            <w:vMerge w:val="continue"/>
            <w:tcBorders>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color w:val="auto"/>
                <w:sz w:val="18"/>
                <w:szCs w:val="18"/>
                <w:highlight w:val="none"/>
              </w:rPr>
            </w:pPr>
          </w:p>
        </w:tc>
        <w:tc>
          <w:tcPr>
            <w:tcW w:w="1950"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大写（人民币）：</w:t>
            </w:r>
          </w:p>
        </w:tc>
        <w:tc>
          <w:tcPr>
            <w:tcW w:w="4756" w:type="dxa"/>
            <w:gridSpan w:val="4"/>
            <w:tcBorders>
              <w:top w:val="single" w:color="000000" w:sz="4" w:space="0"/>
              <w:left w:val="single" w:color="auto" w:sz="4" w:space="0"/>
              <w:bottom w:val="single" w:color="000000" w:sz="4" w:space="0"/>
              <w:right w:val="single" w:color="000000" w:sz="4" w:space="0"/>
            </w:tcBorders>
            <w:vAlign w:val="center"/>
          </w:tcPr>
          <w:p>
            <w:pPr>
              <w:widowControl/>
              <w:textAlignment w:val="center"/>
              <w:rPr>
                <w:rFonts w:hint="eastAsia" w:ascii="新宋体" w:hAnsi="新宋体" w:eastAsia="新宋体" w:cs="新宋体"/>
                <w:color w:val="auto"/>
                <w:sz w:val="18"/>
                <w:szCs w:val="18"/>
                <w:highlight w:val="none"/>
              </w:rPr>
            </w:pPr>
          </w:p>
        </w:tc>
      </w:tr>
    </w:tbl>
    <w:p>
      <w:pPr>
        <w:spacing w:line="480" w:lineRule="exact"/>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sz w:val="18"/>
          <w:szCs w:val="18"/>
          <w:highlight w:val="none"/>
          <w:lang w:eastAsia="zh-CN"/>
        </w:rPr>
        <w:t xml:space="preserve">    1.1上表合同标的物的数量为暂定数量，乙方必须严格按照甲方发出的《设备申请计划单》进行供货，并以实际进场验收合格的数量作为最终结算依据。材料单价不因甲方实际需求的材料数量增加或减少而调整。</w:t>
      </w:r>
    </w:p>
    <w:p>
      <w:pPr>
        <w:spacing w:line="460" w:lineRule="exact"/>
        <w:ind w:firstLine="360" w:firstLineChars="200"/>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sz w:val="18"/>
          <w:szCs w:val="18"/>
          <w:highlight w:val="none"/>
          <w:lang w:eastAsia="zh-CN"/>
        </w:rPr>
        <w:t>1.2 该单价系甲方根据本合同对采购产品应向乙方支付的所有费用，货到工地现场的落地价，包括所订产品的原材料、制作、供应、</w:t>
      </w:r>
      <w:r>
        <w:rPr>
          <w:rFonts w:hint="eastAsia" w:ascii="新宋体" w:hAnsi="新宋体" w:eastAsia="新宋体" w:cs="新宋体"/>
          <w:color w:val="auto"/>
          <w:sz w:val="18"/>
          <w:szCs w:val="18"/>
          <w:highlight w:val="none"/>
          <w:lang w:val="en-US" w:eastAsia="zh-CN"/>
        </w:rPr>
        <w:t>安装、</w:t>
      </w:r>
      <w:r>
        <w:rPr>
          <w:rFonts w:hint="eastAsia" w:ascii="新宋体" w:hAnsi="新宋体" w:eastAsia="新宋体" w:cs="新宋体"/>
          <w:color w:val="auto"/>
          <w:sz w:val="18"/>
          <w:szCs w:val="18"/>
          <w:highlight w:val="none"/>
          <w:lang w:eastAsia="zh-CN"/>
        </w:rPr>
        <w:t>包装、运输（含保险费）、税金、检测、装卸、利润并包含总包管理费、采购及保管费等一切费用，还包括因质量问题引起的维修和更换、产品检验、技术指导和培训等费用。除发生下列①②③④中所列的情形之一外，在合同履行期单价固定不调整。</w:t>
      </w:r>
    </w:p>
    <w:p>
      <w:pPr>
        <w:spacing w:line="480" w:lineRule="exact"/>
        <w:ind w:firstLine="360" w:firstLineChars="200"/>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sz w:val="18"/>
          <w:szCs w:val="18"/>
          <w:highlight w:val="none"/>
          <w:lang w:eastAsia="zh-CN"/>
        </w:rPr>
        <w:t>①甲方书面认可的设计变更；</w:t>
      </w:r>
    </w:p>
    <w:p>
      <w:pPr>
        <w:spacing w:line="480" w:lineRule="exact"/>
        <w:ind w:firstLine="360" w:firstLineChars="200"/>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sz w:val="18"/>
          <w:szCs w:val="18"/>
          <w:highlight w:val="none"/>
          <w:lang w:eastAsia="zh-CN"/>
        </w:rPr>
        <w:t>②不可抗力；</w:t>
      </w:r>
    </w:p>
    <w:p>
      <w:pPr>
        <w:spacing w:line="480" w:lineRule="exact"/>
        <w:ind w:firstLine="360" w:firstLineChars="200"/>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sz w:val="18"/>
          <w:szCs w:val="18"/>
          <w:highlight w:val="none"/>
          <w:lang w:eastAsia="zh-CN"/>
        </w:rPr>
        <w:t>③法定情势变更；</w:t>
      </w:r>
    </w:p>
    <w:p>
      <w:pPr>
        <w:spacing w:line="480" w:lineRule="exact"/>
        <w:ind w:firstLine="360" w:firstLineChars="200"/>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sz w:val="18"/>
          <w:szCs w:val="18"/>
          <w:highlight w:val="none"/>
          <w:lang w:eastAsia="zh-CN"/>
        </w:rPr>
        <w:t>④经甲、乙双方协商一致，达成书面补充协议。</w:t>
      </w:r>
    </w:p>
    <w:p>
      <w:pPr>
        <w:spacing w:line="480" w:lineRule="exact"/>
        <w:ind w:firstLine="360" w:firstLineChars="200"/>
        <w:rPr>
          <w:rFonts w:hint="eastAsia" w:ascii="新宋体" w:hAnsi="新宋体" w:eastAsia="新宋体" w:cs="新宋体"/>
          <w:color w:val="auto"/>
          <w:sz w:val="18"/>
          <w:szCs w:val="18"/>
          <w:highlight w:val="none"/>
          <w:u w:val="single"/>
          <w:lang w:eastAsia="zh-CN"/>
        </w:rPr>
      </w:pPr>
      <w:r>
        <w:rPr>
          <w:rFonts w:hint="eastAsia" w:ascii="新宋体" w:hAnsi="新宋体" w:eastAsia="新宋体" w:cs="新宋体"/>
          <w:color w:val="auto"/>
          <w:sz w:val="18"/>
          <w:szCs w:val="18"/>
          <w:highlight w:val="none"/>
          <w:lang w:eastAsia="zh-CN"/>
        </w:rPr>
        <w:t>1.3 供应区域：</w:t>
      </w:r>
      <w:r>
        <w:rPr>
          <w:rFonts w:hint="eastAsia" w:ascii="新宋体" w:hAnsi="新宋体" w:eastAsia="新宋体" w:cs="新宋体"/>
          <w:color w:val="auto"/>
          <w:sz w:val="18"/>
          <w:szCs w:val="18"/>
          <w:highlight w:val="none"/>
          <w:u w:val="single"/>
          <w:lang w:eastAsia="zh-CN"/>
        </w:rPr>
        <w:t xml:space="preserve">                 </w:t>
      </w:r>
    </w:p>
    <w:p>
      <w:pPr>
        <w:spacing w:before="93" w:beforeLines="30" w:after="62" w:afterLines="20" w:line="480" w:lineRule="exact"/>
        <w:ind w:left="420" w:leftChars="200"/>
        <w:rPr>
          <w:rFonts w:hint="eastAsia" w:ascii="新宋体" w:hAnsi="新宋体" w:eastAsia="新宋体" w:cs="新宋体"/>
          <w:b/>
          <w:color w:val="auto"/>
          <w:sz w:val="21"/>
          <w:szCs w:val="21"/>
          <w:highlight w:val="none"/>
          <w:lang w:eastAsia="zh-CN"/>
        </w:rPr>
      </w:pPr>
      <w:r>
        <w:rPr>
          <w:rFonts w:hint="eastAsia" w:ascii="新宋体" w:hAnsi="新宋体" w:eastAsia="新宋体" w:cs="新宋体"/>
          <w:b/>
          <w:color w:val="auto"/>
          <w:sz w:val="21"/>
          <w:szCs w:val="21"/>
          <w:highlight w:val="none"/>
          <w:lang w:eastAsia="zh-CN"/>
        </w:rPr>
        <w:t>第二条：交货时间及地点</w:t>
      </w:r>
    </w:p>
    <w:p>
      <w:pPr>
        <w:spacing w:line="480" w:lineRule="exact"/>
        <w:ind w:firstLine="360" w:firstLineChars="200"/>
        <w:rPr>
          <w:rFonts w:hint="eastAsia" w:ascii="新宋体" w:hAnsi="新宋体" w:eastAsia="新宋体" w:cs="新宋体"/>
          <w:color w:val="auto"/>
          <w:sz w:val="18"/>
          <w:szCs w:val="18"/>
          <w:highlight w:val="none"/>
          <w:lang w:val="en-US" w:eastAsia="zh-CN"/>
        </w:rPr>
      </w:pPr>
      <w:r>
        <w:rPr>
          <w:rFonts w:hint="eastAsia" w:ascii="新宋体" w:hAnsi="新宋体" w:eastAsia="新宋体" w:cs="新宋体"/>
          <w:color w:val="auto"/>
          <w:sz w:val="18"/>
          <w:szCs w:val="18"/>
          <w:highlight w:val="none"/>
          <w:lang w:eastAsia="zh-CN"/>
        </w:rPr>
        <w:t xml:space="preserve">2.1 </w:t>
      </w:r>
      <w:r>
        <w:rPr>
          <w:rFonts w:hint="eastAsia" w:ascii="新宋体" w:hAnsi="新宋体" w:eastAsia="新宋体" w:cs="新宋体"/>
          <w:color w:val="auto"/>
          <w:sz w:val="18"/>
          <w:szCs w:val="18"/>
          <w:highlight w:val="none"/>
          <w:lang w:val="en-US" w:eastAsia="zh-CN"/>
        </w:rPr>
        <w:t>交货期：60日历天内供货（以甲方下达书面通知之日起算），30天内完成安装调试。</w:t>
      </w:r>
    </w:p>
    <w:p>
      <w:pPr>
        <w:spacing w:line="480" w:lineRule="exact"/>
        <w:ind w:firstLine="360" w:firstLineChars="200"/>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sz w:val="18"/>
          <w:szCs w:val="18"/>
          <w:highlight w:val="none"/>
          <w:lang w:eastAsia="zh-CN"/>
        </w:rPr>
        <w:t>2.2 交货地点为甲方</w:t>
      </w:r>
      <w:r>
        <w:rPr>
          <w:rFonts w:hint="eastAsia" w:ascii="新宋体" w:hAnsi="新宋体" w:eastAsia="新宋体" w:cs="新宋体"/>
          <w:color w:val="auto"/>
          <w:sz w:val="18"/>
          <w:szCs w:val="18"/>
          <w:highlight w:val="none"/>
          <w:u w:val="single"/>
          <w:lang w:eastAsia="zh-CN"/>
        </w:rPr>
        <w:t xml:space="preserve">               </w:t>
      </w:r>
      <w:r>
        <w:rPr>
          <w:rFonts w:hint="eastAsia" w:ascii="新宋体" w:hAnsi="新宋体" w:eastAsia="新宋体" w:cs="新宋体"/>
          <w:color w:val="auto"/>
          <w:sz w:val="18"/>
          <w:szCs w:val="18"/>
          <w:highlight w:val="none"/>
          <w:lang w:eastAsia="zh-CN"/>
        </w:rPr>
        <w:t>施工现场，甲方现场联系人为</w:t>
      </w:r>
      <w:r>
        <w:rPr>
          <w:rFonts w:hint="eastAsia" w:ascii="新宋体" w:hAnsi="新宋体" w:eastAsia="新宋体" w:cs="新宋体"/>
          <w:color w:val="auto"/>
          <w:sz w:val="18"/>
          <w:szCs w:val="18"/>
          <w:highlight w:val="none"/>
          <w:u w:val="single"/>
          <w:lang w:eastAsia="zh-CN"/>
        </w:rPr>
        <w:t xml:space="preserve">    </w:t>
      </w:r>
      <w:r>
        <w:rPr>
          <w:rFonts w:hint="eastAsia" w:ascii="新宋体" w:hAnsi="新宋体" w:eastAsia="新宋体" w:cs="新宋体"/>
          <w:color w:val="auto"/>
          <w:sz w:val="18"/>
          <w:szCs w:val="18"/>
          <w:highlight w:val="none"/>
          <w:lang w:eastAsia="zh-CN"/>
        </w:rPr>
        <w:t>，联系电话为</w:t>
      </w:r>
      <w:r>
        <w:rPr>
          <w:rFonts w:hint="eastAsia" w:ascii="新宋体" w:hAnsi="新宋体" w:eastAsia="新宋体" w:cs="新宋体"/>
          <w:color w:val="auto"/>
          <w:sz w:val="18"/>
          <w:szCs w:val="18"/>
          <w:highlight w:val="none"/>
          <w:u w:val="single"/>
          <w:lang w:eastAsia="zh-CN"/>
        </w:rPr>
        <w:t xml:space="preserve">            </w:t>
      </w:r>
      <w:r>
        <w:rPr>
          <w:rFonts w:hint="eastAsia" w:ascii="新宋体" w:hAnsi="新宋体" w:eastAsia="新宋体" w:cs="新宋体"/>
          <w:color w:val="auto"/>
          <w:sz w:val="18"/>
          <w:szCs w:val="18"/>
          <w:highlight w:val="none"/>
          <w:lang w:eastAsia="zh-CN"/>
        </w:rPr>
        <w:t>。</w:t>
      </w:r>
    </w:p>
    <w:p>
      <w:pPr>
        <w:spacing w:before="93" w:beforeLines="30" w:after="62" w:afterLines="20" w:line="480" w:lineRule="exact"/>
        <w:ind w:left="420" w:leftChars="200"/>
        <w:rPr>
          <w:rFonts w:hint="eastAsia" w:ascii="新宋体" w:hAnsi="新宋体" w:eastAsia="新宋体" w:cs="新宋体"/>
          <w:b/>
          <w:color w:val="auto"/>
          <w:sz w:val="21"/>
          <w:szCs w:val="21"/>
          <w:highlight w:val="none"/>
          <w:lang w:eastAsia="zh-CN"/>
        </w:rPr>
      </w:pPr>
      <w:r>
        <w:rPr>
          <w:rFonts w:hint="eastAsia" w:ascii="新宋体" w:hAnsi="新宋体" w:eastAsia="新宋体" w:cs="新宋体"/>
          <w:b/>
          <w:color w:val="auto"/>
          <w:sz w:val="21"/>
          <w:szCs w:val="21"/>
          <w:highlight w:val="none"/>
          <w:lang w:eastAsia="zh-CN"/>
        </w:rPr>
        <w:t>第三条：包装标准及包装物的供应与回收</w:t>
      </w:r>
    </w:p>
    <w:p>
      <w:pPr>
        <w:spacing w:line="480" w:lineRule="exact"/>
        <w:ind w:firstLine="420"/>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sz w:val="18"/>
          <w:szCs w:val="18"/>
          <w:highlight w:val="none"/>
          <w:lang w:eastAsia="zh-CN"/>
        </w:rPr>
        <w:t>包装（国家或主管部门有技术规定的，按规定执行）及费用由乙方负责，并按规格等分类包装，不影响运输与保存，确保货到工地时完好无损并利于保存。施工单位使用完成后，包装物</w:t>
      </w:r>
      <w:r>
        <w:rPr>
          <w:rFonts w:hint="eastAsia" w:ascii="新宋体" w:hAnsi="新宋体" w:eastAsia="新宋体" w:cs="新宋体"/>
          <w:color w:val="auto"/>
          <w:sz w:val="18"/>
          <w:szCs w:val="18"/>
          <w:highlight w:val="none"/>
          <w:lang w:val="en-US" w:eastAsia="zh-CN"/>
        </w:rPr>
        <w:t>由</w:t>
      </w:r>
      <w:r>
        <w:rPr>
          <w:rFonts w:hint="eastAsia" w:ascii="新宋体" w:hAnsi="新宋体" w:eastAsia="新宋体" w:cs="新宋体"/>
          <w:color w:val="auto"/>
          <w:sz w:val="18"/>
          <w:szCs w:val="18"/>
          <w:highlight w:val="none"/>
          <w:lang w:eastAsia="zh-CN"/>
        </w:rPr>
        <w:t>甲方或施工单位自行处理。</w:t>
      </w:r>
    </w:p>
    <w:p>
      <w:pPr>
        <w:spacing w:line="480" w:lineRule="exact"/>
        <w:ind w:firstLine="420" w:firstLineChars="0"/>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kern w:val="0"/>
          <w:sz w:val="18"/>
          <w:szCs w:val="18"/>
          <w:highlight w:val="none"/>
          <w:lang w:eastAsia="zh-CN"/>
        </w:rPr>
        <w:t>凡由于对包装不当或采取防护措施不充分致使设备损坏、丢失，</w:t>
      </w:r>
      <w:r>
        <w:rPr>
          <w:rFonts w:hint="eastAsia" w:ascii="新宋体" w:hAnsi="新宋体" w:eastAsia="新宋体" w:cs="新宋体"/>
          <w:color w:val="auto"/>
          <w:kern w:val="0"/>
          <w:sz w:val="18"/>
          <w:szCs w:val="18"/>
          <w:highlight w:val="none"/>
          <w:lang w:val="en-US" w:eastAsia="zh-CN"/>
        </w:rPr>
        <w:t>甲方</w:t>
      </w:r>
      <w:r>
        <w:rPr>
          <w:rFonts w:hint="eastAsia" w:ascii="新宋体" w:hAnsi="新宋体" w:eastAsia="新宋体" w:cs="新宋体"/>
          <w:color w:val="auto"/>
          <w:kern w:val="0"/>
          <w:sz w:val="18"/>
          <w:szCs w:val="18"/>
          <w:highlight w:val="none"/>
          <w:lang w:eastAsia="zh-CN"/>
        </w:rPr>
        <w:t>有权选择</w:t>
      </w:r>
      <w:r>
        <w:rPr>
          <w:rFonts w:hint="eastAsia" w:ascii="新宋体" w:hAnsi="新宋体" w:eastAsia="新宋体" w:cs="新宋体"/>
          <w:color w:val="auto"/>
          <w:kern w:val="0"/>
          <w:sz w:val="18"/>
          <w:szCs w:val="18"/>
          <w:highlight w:val="none"/>
          <w:lang w:val="en-US" w:eastAsia="zh-CN"/>
        </w:rPr>
        <w:t>拒收或</w:t>
      </w:r>
      <w:r>
        <w:rPr>
          <w:rFonts w:hint="eastAsia" w:ascii="新宋体" w:hAnsi="新宋体" w:eastAsia="新宋体" w:cs="新宋体"/>
          <w:color w:val="auto"/>
          <w:kern w:val="0"/>
          <w:sz w:val="18"/>
          <w:szCs w:val="18"/>
          <w:highlight w:val="none"/>
          <w:lang w:eastAsia="zh-CN"/>
        </w:rPr>
        <w:t>要求</w:t>
      </w:r>
      <w:r>
        <w:rPr>
          <w:rFonts w:hint="eastAsia" w:ascii="新宋体" w:hAnsi="新宋体" w:eastAsia="新宋体" w:cs="新宋体"/>
          <w:color w:val="auto"/>
          <w:kern w:val="0"/>
          <w:sz w:val="18"/>
          <w:szCs w:val="18"/>
          <w:highlight w:val="none"/>
          <w:lang w:val="en-US" w:eastAsia="zh-CN"/>
        </w:rPr>
        <w:t>乙方</w:t>
      </w:r>
      <w:r>
        <w:rPr>
          <w:rFonts w:hint="eastAsia" w:ascii="新宋体" w:hAnsi="新宋体" w:eastAsia="新宋体" w:cs="新宋体"/>
          <w:color w:val="auto"/>
          <w:kern w:val="0"/>
          <w:sz w:val="18"/>
          <w:szCs w:val="18"/>
          <w:highlight w:val="none"/>
          <w:lang w:eastAsia="zh-CN"/>
        </w:rPr>
        <w:t>在收到</w:t>
      </w:r>
      <w:r>
        <w:rPr>
          <w:rFonts w:hint="eastAsia" w:ascii="新宋体" w:hAnsi="新宋体" w:eastAsia="新宋体" w:cs="新宋体"/>
          <w:color w:val="auto"/>
          <w:kern w:val="0"/>
          <w:sz w:val="18"/>
          <w:szCs w:val="18"/>
          <w:highlight w:val="none"/>
          <w:lang w:val="en-US" w:eastAsia="zh-CN"/>
        </w:rPr>
        <w:t>甲方</w:t>
      </w:r>
      <w:r>
        <w:rPr>
          <w:rFonts w:hint="eastAsia" w:ascii="新宋体" w:hAnsi="新宋体" w:eastAsia="新宋体" w:cs="新宋体"/>
          <w:color w:val="auto"/>
          <w:kern w:val="0"/>
          <w:sz w:val="18"/>
          <w:szCs w:val="18"/>
          <w:highlight w:val="none"/>
          <w:lang w:eastAsia="zh-CN"/>
        </w:rPr>
        <w:t>通知后</w:t>
      </w:r>
      <w:r>
        <w:rPr>
          <w:rFonts w:hint="eastAsia" w:ascii="新宋体" w:hAnsi="新宋体" w:eastAsia="新宋体" w:cs="新宋体"/>
          <w:color w:val="auto"/>
          <w:kern w:val="0"/>
          <w:sz w:val="18"/>
          <w:szCs w:val="18"/>
          <w:highlight w:val="none"/>
          <w:u w:val="none"/>
          <w:lang w:eastAsia="zh-CN"/>
        </w:rPr>
        <w:t xml:space="preserve"> 3</w:t>
      </w:r>
      <w:r>
        <w:rPr>
          <w:rFonts w:hint="eastAsia" w:ascii="新宋体" w:hAnsi="新宋体" w:eastAsia="新宋体" w:cs="新宋体"/>
          <w:color w:val="auto"/>
          <w:kern w:val="0"/>
          <w:sz w:val="18"/>
          <w:szCs w:val="18"/>
          <w:highlight w:val="none"/>
          <w:lang w:eastAsia="zh-CN"/>
        </w:rPr>
        <w:t>日内予以免费更换或补发货。</w:t>
      </w:r>
      <w:r>
        <w:rPr>
          <w:rFonts w:hint="eastAsia" w:ascii="新宋体" w:hAnsi="新宋体" w:eastAsia="新宋体" w:cs="新宋体"/>
          <w:color w:val="auto"/>
          <w:kern w:val="0"/>
          <w:sz w:val="18"/>
          <w:szCs w:val="18"/>
          <w:highlight w:val="none"/>
          <w:lang w:val="en-US" w:eastAsia="zh-CN"/>
        </w:rPr>
        <w:t>否则，</w:t>
      </w:r>
      <w:r>
        <w:rPr>
          <w:rFonts w:hint="eastAsia" w:ascii="新宋体" w:hAnsi="新宋体" w:eastAsia="新宋体" w:cs="新宋体"/>
          <w:color w:val="auto"/>
          <w:sz w:val="18"/>
          <w:szCs w:val="18"/>
          <w:highlight w:val="none"/>
          <w:lang w:eastAsia="zh-CN"/>
        </w:rPr>
        <w:t>视为乙方供货不及时，按照本合同8.5进行处理。</w:t>
      </w:r>
    </w:p>
    <w:p>
      <w:pPr>
        <w:spacing w:before="93" w:beforeLines="30" w:after="62" w:afterLines="20" w:line="480" w:lineRule="exact"/>
        <w:ind w:left="420" w:leftChars="200"/>
        <w:rPr>
          <w:rFonts w:hint="eastAsia" w:ascii="新宋体" w:hAnsi="新宋体" w:eastAsia="新宋体" w:cs="新宋体"/>
          <w:b/>
          <w:color w:val="auto"/>
          <w:sz w:val="21"/>
          <w:szCs w:val="21"/>
          <w:highlight w:val="none"/>
          <w:lang w:eastAsia="zh-CN"/>
        </w:rPr>
      </w:pPr>
      <w:r>
        <w:rPr>
          <w:rFonts w:hint="eastAsia" w:ascii="新宋体" w:hAnsi="新宋体" w:eastAsia="新宋体" w:cs="新宋体"/>
          <w:b/>
          <w:color w:val="auto"/>
          <w:sz w:val="21"/>
          <w:szCs w:val="21"/>
          <w:highlight w:val="none"/>
          <w:lang w:val="en-US" w:eastAsia="zh-CN"/>
        </w:rPr>
        <w:t>第四条</w:t>
      </w:r>
      <w:r>
        <w:rPr>
          <w:rFonts w:hint="eastAsia" w:ascii="新宋体" w:hAnsi="新宋体" w:eastAsia="新宋体" w:cs="新宋体"/>
          <w:b/>
          <w:color w:val="auto"/>
          <w:sz w:val="21"/>
          <w:szCs w:val="21"/>
          <w:highlight w:val="none"/>
          <w:lang w:eastAsia="zh-CN"/>
        </w:rPr>
        <w:t>：供货方式及费用负担</w:t>
      </w:r>
    </w:p>
    <w:p>
      <w:pPr>
        <w:spacing w:line="480" w:lineRule="exact"/>
        <w:ind w:firstLine="420"/>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sz w:val="18"/>
          <w:szCs w:val="18"/>
          <w:highlight w:val="none"/>
          <w:lang w:eastAsia="zh-CN"/>
        </w:rPr>
        <w:t>4.1乙方必须有满足供应的生产、储备及供应运输能力，确保施工需要。</w:t>
      </w:r>
    </w:p>
    <w:p>
      <w:pPr>
        <w:spacing w:line="480" w:lineRule="exact"/>
        <w:ind w:firstLine="420"/>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sz w:val="18"/>
          <w:szCs w:val="18"/>
          <w:highlight w:val="none"/>
          <w:lang w:eastAsia="zh-CN"/>
        </w:rPr>
        <w:t>4.2乙方负责以合理的运输方式将产品送到甲方工地指定地点卸货并按甲方要求码放整齐，保证堆放安全，运输和装卸费用由乙方承担。运输及装卸中的破损由乙方承担。</w:t>
      </w:r>
    </w:p>
    <w:p>
      <w:pPr>
        <w:spacing w:before="93" w:beforeLines="30" w:after="62" w:afterLines="20" w:line="480" w:lineRule="exact"/>
        <w:ind w:left="420" w:leftChars="200"/>
        <w:rPr>
          <w:rFonts w:hint="eastAsia" w:ascii="新宋体" w:hAnsi="新宋体" w:eastAsia="新宋体" w:cs="新宋体"/>
          <w:b/>
          <w:color w:val="auto"/>
          <w:sz w:val="21"/>
          <w:szCs w:val="21"/>
          <w:highlight w:val="none"/>
          <w:lang w:eastAsia="zh-CN"/>
        </w:rPr>
      </w:pPr>
      <w:r>
        <w:rPr>
          <w:rFonts w:hint="eastAsia" w:ascii="新宋体" w:hAnsi="新宋体" w:eastAsia="新宋体" w:cs="新宋体"/>
          <w:b/>
          <w:color w:val="auto"/>
          <w:sz w:val="21"/>
          <w:szCs w:val="21"/>
          <w:highlight w:val="none"/>
          <w:lang w:eastAsia="zh-CN"/>
        </w:rPr>
        <w:t>第五条：</w:t>
      </w:r>
      <w:r>
        <w:rPr>
          <w:rFonts w:hint="eastAsia" w:ascii="新宋体" w:hAnsi="新宋体" w:eastAsia="新宋体" w:cs="新宋体"/>
          <w:b/>
          <w:color w:val="auto"/>
          <w:sz w:val="21"/>
          <w:szCs w:val="21"/>
          <w:highlight w:val="none"/>
          <w:lang w:val="en-US" w:eastAsia="zh-CN"/>
        </w:rPr>
        <w:t>设备安装、调试及验收</w:t>
      </w:r>
    </w:p>
    <w:p>
      <w:pPr>
        <w:spacing w:line="480" w:lineRule="exact"/>
        <w:ind w:firstLine="420"/>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sz w:val="24"/>
          <w:szCs w:val="28"/>
          <w:highlight w:val="none"/>
          <w:lang w:eastAsia="zh-CN"/>
        </w:rPr>
        <w:t>5.1 货到工地由甲方、监理、施工单位、乙方共同按本合同约定标准要求</w:t>
      </w:r>
      <w:r>
        <w:rPr>
          <w:rFonts w:hint="eastAsia" w:ascii="新宋体" w:hAnsi="新宋体" w:eastAsia="新宋体" w:cs="新宋体"/>
          <w:color w:val="auto"/>
          <w:sz w:val="24"/>
          <w:szCs w:val="28"/>
          <w:highlight w:val="none"/>
          <w:lang w:val="en-US" w:eastAsia="zh-CN"/>
        </w:rPr>
        <w:t>初步</w:t>
      </w:r>
      <w:r>
        <w:rPr>
          <w:rFonts w:hint="eastAsia" w:ascii="新宋体" w:hAnsi="新宋体" w:eastAsia="新宋体" w:cs="新宋体"/>
          <w:color w:val="auto"/>
          <w:sz w:val="24"/>
          <w:szCs w:val="28"/>
          <w:highlight w:val="none"/>
          <w:lang w:eastAsia="zh-CN"/>
        </w:rPr>
        <w:t>验收货</w:t>
      </w:r>
      <w:r>
        <w:rPr>
          <w:rFonts w:hint="eastAsia" w:ascii="新宋体" w:hAnsi="新宋体" w:eastAsia="新宋体" w:cs="新宋体"/>
          <w:color w:val="auto"/>
          <w:sz w:val="18"/>
          <w:szCs w:val="18"/>
          <w:highlight w:val="none"/>
          <w:lang w:eastAsia="zh-CN"/>
        </w:rPr>
        <w:t>物外观质量及数量。</w:t>
      </w:r>
      <w:r>
        <w:rPr>
          <w:rFonts w:hint="eastAsia" w:ascii="新宋体" w:hAnsi="新宋体" w:eastAsia="新宋体" w:cs="新宋体"/>
          <w:color w:val="auto"/>
          <w:sz w:val="18"/>
          <w:szCs w:val="18"/>
          <w:highlight w:val="none"/>
          <w:lang w:val="en-US" w:eastAsia="zh-CN"/>
        </w:rPr>
        <w:t>初步</w:t>
      </w:r>
      <w:r>
        <w:rPr>
          <w:rFonts w:hint="eastAsia" w:ascii="新宋体" w:hAnsi="新宋体" w:eastAsia="新宋体" w:cs="新宋体"/>
          <w:color w:val="auto"/>
          <w:sz w:val="18"/>
          <w:szCs w:val="18"/>
          <w:highlight w:val="none"/>
          <w:lang w:eastAsia="zh-CN"/>
        </w:rPr>
        <w:t>验收合格填写《设备进场</w:t>
      </w:r>
      <w:r>
        <w:rPr>
          <w:rFonts w:hint="eastAsia" w:ascii="新宋体" w:hAnsi="新宋体" w:eastAsia="新宋体" w:cs="新宋体"/>
          <w:color w:val="auto"/>
          <w:sz w:val="18"/>
          <w:szCs w:val="18"/>
          <w:highlight w:val="none"/>
          <w:lang w:val="en-US" w:eastAsia="zh-CN"/>
        </w:rPr>
        <w:t>初步</w:t>
      </w:r>
      <w:r>
        <w:rPr>
          <w:rFonts w:hint="eastAsia" w:ascii="新宋体" w:hAnsi="新宋体" w:eastAsia="新宋体" w:cs="新宋体"/>
          <w:color w:val="auto"/>
          <w:sz w:val="18"/>
          <w:szCs w:val="18"/>
          <w:highlight w:val="none"/>
          <w:lang w:eastAsia="zh-CN"/>
        </w:rPr>
        <w:t>验收单》，各方共同签字确认。若产品质量经检测不合格，甲方有权拒收，乙方应无条件更换，且不能影响甲方工地安装，因产品质量问题耽误甲方工地安装，甲方有权终止合同，乙方承担由此给甲方造成的一切损失。</w:t>
      </w:r>
    </w:p>
    <w:p>
      <w:pPr>
        <w:spacing w:line="480" w:lineRule="exact"/>
        <w:ind w:firstLine="420"/>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sz w:val="18"/>
          <w:szCs w:val="18"/>
          <w:highlight w:val="none"/>
          <w:lang w:val="en-US" w:eastAsia="zh-CN"/>
        </w:rPr>
        <w:t xml:space="preserve">5.2 </w:t>
      </w:r>
      <w:r>
        <w:rPr>
          <w:rFonts w:hint="eastAsia" w:ascii="新宋体" w:hAnsi="新宋体" w:eastAsia="新宋体" w:cs="新宋体"/>
          <w:color w:val="auto"/>
          <w:sz w:val="18"/>
          <w:szCs w:val="18"/>
          <w:highlight w:val="none"/>
          <w:lang w:eastAsia="zh-CN"/>
        </w:rPr>
        <w:t>经</w:t>
      </w:r>
      <w:r>
        <w:rPr>
          <w:rFonts w:hint="eastAsia" w:ascii="新宋体" w:hAnsi="新宋体" w:eastAsia="新宋体" w:cs="新宋体"/>
          <w:color w:val="auto"/>
          <w:sz w:val="18"/>
          <w:szCs w:val="18"/>
          <w:highlight w:val="none"/>
          <w:lang w:val="en-US" w:eastAsia="zh-CN"/>
        </w:rPr>
        <w:t>初步验收</w:t>
      </w:r>
      <w:r>
        <w:rPr>
          <w:rFonts w:hint="eastAsia" w:ascii="新宋体" w:hAnsi="新宋体" w:eastAsia="新宋体" w:cs="新宋体"/>
          <w:color w:val="auto"/>
          <w:sz w:val="18"/>
          <w:szCs w:val="18"/>
          <w:highlight w:val="none"/>
          <w:lang w:eastAsia="zh-CN"/>
        </w:rPr>
        <w:t>合格后方可进行安装，</w:t>
      </w:r>
      <w:r>
        <w:rPr>
          <w:rFonts w:hint="eastAsia" w:ascii="新宋体" w:hAnsi="新宋体" w:eastAsia="新宋体" w:cs="新宋体"/>
          <w:color w:val="auto"/>
          <w:sz w:val="18"/>
          <w:szCs w:val="18"/>
          <w:highlight w:val="none"/>
          <w:lang w:val="en-US" w:eastAsia="zh-CN"/>
        </w:rPr>
        <w:t>乙方</w:t>
      </w:r>
      <w:r>
        <w:rPr>
          <w:rFonts w:hint="eastAsia" w:ascii="新宋体" w:hAnsi="新宋体" w:eastAsia="新宋体" w:cs="新宋体"/>
          <w:color w:val="auto"/>
          <w:sz w:val="18"/>
          <w:szCs w:val="18"/>
          <w:highlight w:val="none"/>
          <w:lang w:eastAsia="zh-CN"/>
        </w:rPr>
        <w:t>应在</w:t>
      </w:r>
      <w:r>
        <w:rPr>
          <w:rFonts w:hint="eastAsia" w:ascii="新宋体" w:hAnsi="新宋体" w:eastAsia="新宋体" w:cs="新宋体"/>
          <w:color w:val="auto"/>
          <w:sz w:val="18"/>
          <w:szCs w:val="18"/>
          <w:highlight w:val="none"/>
          <w:lang w:val="en-US" w:eastAsia="zh-CN"/>
        </w:rPr>
        <w:t>初步验收合格</w:t>
      </w:r>
      <w:r>
        <w:rPr>
          <w:rFonts w:hint="eastAsia" w:ascii="新宋体" w:hAnsi="新宋体" w:eastAsia="新宋体" w:cs="新宋体"/>
          <w:color w:val="auto"/>
          <w:sz w:val="18"/>
          <w:szCs w:val="18"/>
          <w:highlight w:val="none"/>
          <w:lang w:eastAsia="zh-CN"/>
        </w:rPr>
        <w:t>后【</w:t>
      </w:r>
      <w:r>
        <w:rPr>
          <w:rFonts w:hint="eastAsia" w:ascii="新宋体" w:hAnsi="新宋体" w:eastAsia="新宋体" w:cs="新宋体"/>
          <w:color w:val="auto"/>
          <w:sz w:val="18"/>
          <w:szCs w:val="18"/>
          <w:highlight w:val="none"/>
          <w:lang w:val="en-US" w:eastAsia="zh-CN"/>
        </w:rPr>
        <w:t xml:space="preserve"> </w:t>
      </w:r>
      <w:r>
        <w:rPr>
          <w:rFonts w:hint="eastAsia" w:ascii="新宋体" w:hAnsi="新宋体" w:eastAsia="新宋体" w:cs="新宋体"/>
          <w:color w:val="auto"/>
          <w:sz w:val="18"/>
          <w:szCs w:val="18"/>
          <w:highlight w:val="none"/>
          <w:lang w:eastAsia="zh-CN"/>
        </w:rPr>
        <w:t>】日内完成设备安装。</w:t>
      </w:r>
    </w:p>
    <w:p>
      <w:pPr>
        <w:spacing w:line="480" w:lineRule="exact"/>
        <w:ind w:firstLine="420"/>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sz w:val="18"/>
          <w:szCs w:val="18"/>
          <w:highlight w:val="none"/>
          <w:lang w:val="en-US" w:eastAsia="zh-CN"/>
        </w:rPr>
        <w:t xml:space="preserve">5.3 </w:t>
      </w:r>
      <w:r>
        <w:rPr>
          <w:rFonts w:hint="eastAsia" w:ascii="新宋体" w:hAnsi="新宋体" w:eastAsia="新宋体" w:cs="新宋体"/>
          <w:color w:val="auto"/>
          <w:sz w:val="18"/>
          <w:szCs w:val="18"/>
          <w:highlight w:val="none"/>
          <w:lang w:eastAsia="zh-CN"/>
        </w:rPr>
        <w:t>设备安装完成后【</w:t>
      </w:r>
      <w:r>
        <w:rPr>
          <w:rFonts w:hint="eastAsia" w:ascii="新宋体" w:hAnsi="新宋体" w:eastAsia="新宋体" w:cs="新宋体"/>
          <w:color w:val="auto"/>
          <w:sz w:val="18"/>
          <w:szCs w:val="18"/>
          <w:highlight w:val="none"/>
          <w:lang w:val="en-US" w:eastAsia="zh-CN"/>
        </w:rPr>
        <w:t xml:space="preserve"> </w:t>
      </w:r>
      <w:r>
        <w:rPr>
          <w:rFonts w:hint="eastAsia" w:ascii="新宋体" w:hAnsi="新宋体" w:eastAsia="新宋体" w:cs="新宋体"/>
          <w:color w:val="auto"/>
          <w:sz w:val="18"/>
          <w:szCs w:val="18"/>
          <w:highlight w:val="none"/>
          <w:lang w:eastAsia="zh-CN"/>
        </w:rPr>
        <w:t>】日内对设备进行调试，设备的调试、检测、校准所需的工具均由卖方自带，由此产生的费用包括但不限于调试所用材料费、调试人员交通费、食宿费等，由</w:t>
      </w:r>
      <w:r>
        <w:rPr>
          <w:rFonts w:hint="eastAsia" w:ascii="新宋体" w:hAnsi="新宋体" w:eastAsia="新宋体" w:cs="新宋体"/>
          <w:color w:val="auto"/>
          <w:sz w:val="18"/>
          <w:szCs w:val="18"/>
          <w:highlight w:val="none"/>
          <w:lang w:val="en-US" w:eastAsia="zh-CN"/>
        </w:rPr>
        <w:t>乙</w:t>
      </w:r>
      <w:r>
        <w:rPr>
          <w:rFonts w:hint="eastAsia" w:ascii="新宋体" w:hAnsi="新宋体" w:eastAsia="新宋体" w:cs="新宋体"/>
          <w:color w:val="auto"/>
          <w:sz w:val="18"/>
          <w:szCs w:val="18"/>
          <w:highlight w:val="none"/>
          <w:lang w:eastAsia="zh-CN"/>
        </w:rPr>
        <w:t>方承担。</w:t>
      </w:r>
    </w:p>
    <w:p>
      <w:pPr>
        <w:spacing w:line="480" w:lineRule="exact"/>
        <w:ind w:firstLine="420"/>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sz w:val="18"/>
          <w:szCs w:val="18"/>
          <w:highlight w:val="none"/>
          <w:lang w:val="en-US" w:eastAsia="zh-CN"/>
        </w:rPr>
        <w:t xml:space="preserve">5.4 </w:t>
      </w:r>
      <w:r>
        <w:rPr>
          <w:rFonts w:hint="eastAsia" w:ascii="新宋体" w:hAnsi="新宋体" w:eastAsia="新宋体" w:cs="新宋体"/>
          <w:color w:val="auto"/>
          <w:sz w:val="18"/>
          <w:szCs w:val="18"/>
          <w:highlight w:val="none"/>
          <w:lang w:eastAsia="zh-CN"/>
        </w:rPr>
        <w:t>安装调试完成</w:t>
      </w:r>
      <w:r>
        <w:rPr>
          <w:rFonts w:hint="eastAsia" w:ascii="新宋体" w:hAnsi="新宋体" w:eastAsia="新宋体" w:cs="新宋体"/>
          <w:color w:val="auto"/>
          <w:sz w:val="18"/>
          <w:szCs w:val="18"/>
          <w:highlight w:val="none"/>
          <w:lang w:val="en-US" w:eastAsia="zh-CN"/>
        </w:rPr>
        <w:t>后，甲方</w:t>
      </w:r>
      <w:r>
        <w:rPr>
          <w:rFonts w:hint="eastAsia" w:ascii="新宋体" w:hAnsi="新宋体" w:eastAsia="新宋体" w:cs="新宋体"/>
          <w:color w:val="auto"/>
          <w:sz w:val="18"/>
          <w:szCs w:val="18"/>
          <w:highlight w:val="none"/>
          <w:lang w:eastAsia="zh-CN"/>
        </w:rPr>
        <w:t>负责组织</w:t>
      </w:r>
      <w:r>
        <w:rPr>
          <w:rFonts w:hint="eastAsia" w:ascii="新宋体" w:hAnsi="新宋体" w:eastAsia="新宋体" w:cs="新宋体"/>
          <w:color w:val="auto"/>
          <w:sz w:val="18"/>
          <w:szCs w:val="18"/>
          <w:highlight w:val="none"/>
          <w:lang w:val="en-US" w:eastAsia="zh-CN"/>
        </w:rPr>
        <w:t>最终</w:t>
      </w:r>
      <w:r>
        <w:rPr>
          <w:rFonts w:hint="eastAsia" w:ascii="新宋体" w:hAnsi="新宋体" w:eastAsia="新宋体" w:cs="新宋体"/>
          <w:color w:val="auto"/>
          <w:sz w:val="18"/>
          <w:szCs w:val="18"/>
          <w:highlight w:val="none"/>
          <w:lang w:eastAsia="zh-CN"/>
        </w:rPr>
        <w:t>验收工作，</w:t>
      </w:r>
      <w:r>
        <w:rPr>
          <w:rFonts w:hint="eastAsia" w:ascii="新宋体" w:hAnsi="新宋体" w:eastAsia="新宋体" w:cs="新宋体"/>
          <w:color w:val="auto"/>
          <w:sz w:val="18"/>
          <w:szCs w:val="18"/>
          <w:highlight w:val="none"/>
          <w:lang w:val="en-US" w:eastAsia="zh-CN"/>
        </w:rPr>
        <w:t>并</w:t>
      </w:r>
      <w:r>
        <w:rPr>
          <w:rFonts w:hint="eastAsia" w:ascii="新宋体" w:hAnsi="新宋体" w:eastAsia="新宋体" w:cs="新宋体"/>
          <w:color w:val="auto"/>
          <w:sz w:val="18"/>
          <w:szCs w:val="18"/>
          <w:highlight w:val="none"/>
          <w:lang w:eastAsia="zh-CN"/>
        </w:rPr>
        <w:t>填写《设备进场</w:t>
      </w:r>
      <w:r>
        <w:rPr>
          <w:rFonts w:hint="eastAsia" w:ascii="新宋体" w:hAnsi="新宋体" w:eastAsia="新宋体" w:cs="新宋体"/>
          <w:color w:val="auto"/>
          <w:sz w:val="18"/>
          <w:szCs w:val="18"/>
          <w:highlight w:val="none"/>
          <w:lang w:val="en-US" w:eastAsia="zh-CN"/>
        </w:rPr>
        <w:t>最终</w:t>
      </w:r>
      <w:r>
        <w:rPr>
          <w:rFonts w:hint="eastAsia" w:ascii="新宋体" w:hAnsi="新宋体" w:eastAsia="新宋体" w:cs="新宋体"/>
          <w:color w:val="auto"/>
          <w:sz w:val="18"/>
          <w:szCs w:val="18"/>
          <w:highlight w:val="none"/>
          <w:lang w:eastAsia="zh-CN"/>
        </w:rPr>
        <w:t>验收对账单》</w:t>
      </w:r>
      <w:r>
        <w:rPr>
          <w:rFonts w:hint="eastAsia" w:ascii="新宋体" w:hAnsi="新宋体" w:eastAsia="新宋体" w:cs="新宋体"/>
          <w:color w:val="auto"/>
          <w:sz w:val="18"/>
          <w:szCs w:val="18"/>
          <w:highlight w:val="none"/>
          <w:lang w:val="en-US" w:eastAsia="zh-CN"/>
        </w:rPr>
        <w:t>并由</w:t>
      </w:r>
      <w:r>
        <w:rPr>
          <w:rFonts w:hint="eastAsia" w:ascii="新宋体" w:hAnsi="新宋体" w:eastAsia="新宋体" w:cs="新宋体"/>
          <w:color w:val="auto"/>
          <w:sz w:val="18"/>
          <w:szCs w:val="18"/>
          <w:highlight w:val="none"/>
          <w:lang w:eastAsia="zh-CN"/>
        </w:rPr>
        <w:t>各方共同签字确认，此对账单作为结算依据。</w:t>
      </w:r>
    </w:p>
    <w:p>
      <w:pPr>
        <w:spacing w:line="480" w:lineRule="exact"/>
        <w:ind w:firstLine="420"/>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sz w:val="18"/>
          <w:szCs w:val="18"/>
          <w:highlight w:val="none"/>
          <w:lang w:eastAsia="zh-CN"/>
        </w:rPr>
        <w:t>5.</w:t>
      </w:r>
      <w:r>
        <w:rPr>
          <w:rFonts w:hint="eastAsia" w:ascii="新宋体" w:hAnsi="新宋体" w:eastAsia="新宋体" w:cs="新宋体"/>
          <w:color w:val="auto"/>
          <w:sz w:val="18"/>
          <w:szCs w:val="18"/>
          <w:highlight w:val="none"/>
          <w:lang w:val="en-US" w:eastAsia="zh-CN"/>
        </w:rPr>
        <w:t>5验收标准：产品严格按照国家相关标准执行，</w:t>
      </w:r>
      <w:r>
        <w:rPr>
          <w:rFonts w:hint="eastAsia" w:ascii="新宋体" w:hAnsi="新宋体" w:eastAsia="新宋体" w:cs="新宋体"/>
          <w:color w:val="auto"/>
          <w:sz w:val="18"/>
          <w:szCs w:val="18"/>
          <w:highlight w:val="none"/>
          <w:lang w:eastAsia="zh-CN"/>
        </w:rPr>
        <w:t>材料验收后并未解除乙方的质量责任，如在施工或使用过程中发现产品的质量、数量、规格、花色、尺寸与</w:t>
      </w:r>
      <w:r>
        <w:rPr>
          <w:rFonts w:hint="eastAsia" w:ascii="新宋体" w:hAnsi="新宋体" w:eastAsia="新宋体" w:cs="新宋体"/>
          <w:color w:val="auto"/>
          <w:sz w:val="18"/>
          <w:szCs w:val="18"/>
          <w:highlight w:val="none"/>
          <w:lang w:val="en-US" w:eastAsia="zh-CN"/>
        </w:rPr>
        <w:t>招投标文件、</w:t>
      </w:r>
      <w:r>
        <w:rPr>
          <w:rFonts w:hint="eastAsia" w:ascii="新宋体" w:hAnsi="新宋体" w:eastAsia="新宋体" w:cs="新宋体"/>
          <w:color w:val="auto"/>
          <w:sz w:val="18"/>
          <w:szCs w:val="18"/>
          <w:highlight w:val="none"/>
          <w:lang w:eastAsia="zh-CN"/>
        </w:rPr>
        <w:t>合同文件规定不符（标准要求不一致时，以标准较高者为准），货物有缺陷（包括原材料潜在缺陷）、损坏而非甲方或第三方造成，甲方书面通知乙方，乙方必须无偿换货并承担由此产生的责任和费用，换货应在接到甲方通知后3天内完成，乙方不能调换的，视为乙方供货不及时，按照本合同8.5进行处理。</w:t>
      </w:r>
    </w:p>
    <w:p>
      <w:pPr>
        <w:spacing w:line="480" w:lineRule="exact"/>
        <w:ind w:firstLine="420"/>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sz w:val="18"/>
          <w:szCs w:val="18"/>
          <w:highlight w:val="none"/>
          <w:lang w:eastAsia="zh-CN"/>
        </w:rPr>
        <w:t>5.3甲方对产品提出异议的，乙方在接到需方书面异议后，应在甲方书面通知的时间内负责处理，否则，即视为默认甲方提出的异议和处理意见。</w:t>
      </w:r>
    </w:p>
    <w:p>
      <w:pPr>
        <w:spacing w:before="93" w:beforeLines="30" w:after="62" w:afterLines="20" w:line="480" w:lineRule="exact"/>
        <w:ind w:left="420" w:leftChars="200"/>
        <w:rPr>
          <w:rFonts w:hint="eastAsia" w:ascii="新宋体" w:hAnsi="新宋体" w:eastAsia="新宋体" w:cs="新宋体"/>
          <w:b/>
          <w:color w:val="auto"/>
          <w:sz w:val="21"/>
          <w:szCs w:val="21"/>
          <w:highlight w:val="none"/>
          <w:lang w:eastAsia="zh-CN"/>
        </w:rPr>
      </w:pPr>
      <w:r>
        <w:rPr>
          <w:rFonts w:hint="eastAsia" w:ascii="新宋体" w:hAnsi="新宋体" w:eastAsia="新宋体" w:cs="新宋体"/>
          <w:b/>
          <w:color w:val="auto"/>
          <w:sz w:val="21"/>
          <w:szCs w:val="21"/>
          <w:highlight w:val="none"/>
          <w:lang w:eastAsia="zh-CN"/>
        </w:rPr>
        <w:t>第六条：质量要求及技术标准、验收办法</w:t>
      </w:r>
    </w:p>
    <w:p>
      <w:pPr>
        <w:spacing w:line="480" w:lineRule="exact"/>
        <w:ind w:firstLine="420"/>
        <w:rPr>
          <w:rFonts w:hint="eastAsia" w:ascii="新宋体" w:hAnsi="新宋体" w:eastAsia="新宋体" w:cs="新宋体"/>
          <w:color w:val="auto"/>
          <w:sz w:val="18"/>
          <w:szCs w:val="18"/>
          <w:highlight w:val="none"/>
          <w:lang w:val="en-US" w:eastAsia="zh-CN"/>
        </w:rPr>
      </w:pPr>
      <w:r>
        <w:rPr>
          <w:rFonts w:hint="eastAsia" w:ascii="新宋体" w:hAnsi="新宋体" w:eastAsia="新宋体" w:cs="新宋体"/>
          <w:color w:val="auto"/>
          <w:sz w:val="18"/>
          <w:szCs w:val="18"/>
          <w:highlight w:val="none"/>
          <w:lang w:eastAsia="zh-CN"/>
        </w:rPr>
        <w:t>6.1</w:t>
      </w:r>
      <w:r>
        <w:rPr>
          <w:rFonts w:hint="eastAsia" w:ascii="新宋体" w:hAnsi="新宋体" w:eastAsia="新宋体" w:cs="新宋体"/>
          <w:color w:val="auto"/>
          <w:sz w:val="18"/>
          <w:szCs w:val="18"/>
          <w:highlight w:val="none"/>
          <w:lang w:val="en-US" w:eastAsia="zh-CN"/>
        </w:rPr>
        <w:t>质保期：</w:t>
      </w:r>
      <w:r>
        <w:rPr>
          <w:rFonts w:hint="eastAsia" w:ascii="新宋体" w:hAnsi="新宋体" w:eastAsia="新宋体" w:cs="新宋体"/>
          <w:color w:val="auto"/>
          <w:sz w:val="18"/>
          <w:szCs w:val="18"/>
          <w:highlight w:val="none"/>
          <w:lang w:eastAsia="zh-CN"/>
        </w:rPr>
        <w:t>设备整体质保期【】年，</w:t>
      </w:r>
      <w:r>
        <w:rPr>
          <w:rFonts w:hint="eastAsia" w:ascii="新宋体" w:hAnsi="新宋体" w:eastAsia="新宋体" w:cs="新宋体"/>
          <w:color w:val="auto"/>
          <w:sz w:val="18"/>
          <w:szCs w:val="18"/>
          <w:highlight w:val="none"/>
          <w:lang w:val="en-US" w:eastAsia="zh-CN"/>
        </w:rPr>
        <w:t>自验收合格之日起算</w:t>
      </w:r>
      <w:r>
        <w:rPr>
          <w:rFonts w:hint="eastAsia" w:ascii="新宋体" w:hAnsi="新宋体" w:eastAsia="新宋体" w:cs="新宋体"/>
          <w:color w:val="auto"/>
          <w:sz w:val="18"/>
          <w:szCs w:val="18"/>
          <w:highlight w:val="none"/>
          <w:lang w:eastAsia="zh-CN"/>
        </w:rPr>
        <w:t>。</w:t>
      </w:r>
      <w:r>
        <w:rPr>
          <w:rFonts w:hint="eastAsia" w:ascii="新宋体" w:hAnsi="新宋体" w:eastAsia="新宋体" w:cs="新宋体"/>
          <w:color w:val="auto"/>
          <w:sz w:val="18"/>
          <w:szCs w:val="18"/>
          <w:highlight w:val="none"/>
          <w:lang w:val="en-US" w:eastAsia="zh-CN"/>
        </w:rPr>
        <w:t>产品本身质保期更长的，适用产品本身的质保期。</w:t>
      </w:r>
    </w:p>
    <w:p>
      <w:pPr>
        <w:spacing w:line="480" w:lineRule="exact"/>
        <w:ind w:firstLine="420"/>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sz w:val="18"/>
          <w:szCs w:val="18"/>
          <w:highlight w:val="none"/>
          <w:lang w:val="en-US" w:eastAsia="zh-CN"/>
        </w:rPr>
        <w:t xml:space="preserve">6.2 </w:t>
      </w:r>
      <w:r>
        <w:rPr>
          <w:rFonts w:hint="eastAsia" w:ascii="新宋体" w:hAnsi="新宋体" w:eastAsia="新宋体" w:cs="新宋体"/>
          <w:color w:val="auto"/>
          <w:sz w:val="18"/>
          <w:szCs w:val="18"/>
          <w:highlight w:val="none"/>
          <w:lang w:eastAsia="zh-CN"/>
        </w:rPr>
        <w:t>材料质量须达到现行国家、行业、地方规范规定的有关标准的最新技术标准，在各种技术标准不一致的情况下以标准较高者为准，符合招标文件要求。双方在合同中约定本合同材料设备所执行的技术标准名称及质量要求，已生效招投标文件双方认可并确认的各项质量承诺，必要的技术方案、设计图纸等共同成为生产及交货、安装验收货品的依据，标准要求不一致时，以标准较高者为准。</w:t>
      </w:r>
    </w:p>
    <w:p>
      <w:pPr>
        <w:spacing w:line="480" w:lineRule="exact"/>
        <w:ind w:firstLine="420"/>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sz w:val="18"/>
          <w:szCs w:val="18"/>
          <w:highlight w:val="none"/>
          <w:lang w:eastAsia="zh-CN"/>
        </w:rPr>
        <w:t>6.</w:t>
      </w:r>
      <w:r>
        <w:rPr>
          <w:rFonts w:hint="eastAsia" w:ascii="新宋体" w:hAnsi="新宋体" w:eastAsia="新宋体" w:cs="新宋体"/>
          <w:color w:val="auto"/>
          <w:sz w:val="18"/>
          <w:szCs w:val="18"/>
          <w:highlight w:val="none"/>
          <w:lang w:val="en-US" w:eastAsia="zh-CN"/>
        </w:rPr>
        <w:t>3</w:t>
      </w:r>
      <w:r>
        <w:rPr>
          <w:rFonts w:hint="eastAsia" w:ascii="新宋体" w:hAnsi="新宋体" w:eastAsia="新宋体" w:cs="新宋体"/>
          <w:color w:val="auto"/>
          <w:sz w:val="18"/>
          <w:szCs w:val="18"/>
          <w:highlight w:val="none"/>
          <w:lang w:eastAsia="zh-CN"/>
        </w:rPr>
        <w:t xml:space="preserve"> 乙方应保证所供产品是全新的，未使用过的，并且是非长期积压的库存商品，完全符合合同规定的质量、规格和性能的要求，乙方应保证其提供的产品在正确安装，正常使用和保养条件下，在其使用寿命期内应具有满意的性能。在乙方承诺的质量保证期限内，乙方应对由于设计、工艺或材料的缺陷及伴随服务而造成的任何不足或故障负责。</w:t>
      </w:r>
    </w:p>
    <w:p>
      <w:pPr>
        <w:spacing w:line="480" w:lineRule="exact"/>
        <w:ind w:firstLine="420"/>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sz w:val="18"/>
          <w:szCs w:val="18"/>
          <w:highlight w:val="none"/>
          <w:lang w:eastAsia="zh-CN"/>
        </w:rPr>
        <w:t>6.</w:t>
      </w:r>
      <w:r>
        <w:rPr>
          <w:rFonts w:hint="eastAsia" w:ascii="新宋体" w:hAnsi="新宋体" w:eastAsia="新宋体" w:cs="新宋体"/>
          <w:color w:val="auto"/>
          <w:sz w:val="18"/>
          <w:szCs w:val="18"/>
          <w:highlight w:val="none"/>
          <w:lang w:val="en-US" w:eastAsia="zh-CN"/>
        </w:rPr>
        <w:t>4付款</w:t>
      </w:r>
      <w:r>
        <w:rPr>
          <w:rFonts w:hint="eastAsia" w:ascii="新宋体" w:hAnsi="新宋体" w:eastAsia="新宋体" w:cs="新宋体"/>
          <w:color w:val="auto"/>
          <w:sz w:val="18"/>
          <w:szCs w:val="18"/>
          <w:highlight w:val="none"/>
          <w:lang w:eastAsia="zh-CN"/>
        </w:rPr>
        <w:t>与货物、服务质量挂钩，如果乙方货物、服务质量达不到合同要求，甲方有权暂缓支付该部分货款。</w:t>
      </w:r>
    </w:p>
    <w:p>
      <w:pPr>
        <w:spacing w:before="93" w:beforeLines="30" w:after="62" w:afterLines="20" w:line="480" w:lineRule="exact"/>
        <w:ind w:left="420" w:leftChars="200"/>
        <w:rPr>
          <w:rFonts w:hint="eastAsia" w:ascii="新宋体" w:hAnsi="新宋体" w:eastAsia="新宋体" w:cs="新宋体"/>
          <w:b/>
          <w:color w:val="auto"/>
          <w:sz w:val="21"/>
          <w:szCs w:val="21"/>
          <w:highlight w:val="none"/>
          <w:lang w:eastAsia="zh-CN"/>
        </w:rPr>
      </w:pPr>
      <w:r>
        <w:rPr>
          <w:rFonts w:hint="eastAsia" w:ascii="新宋体" w:hAnsi="新宋体" w:eastAsia="新宋体" w:cs="新宋体"/>
          <w:b/>
          <w:color w:val="auto"/>
          <w:sz w:val="21"/>
          <w:szCs w:val="21"/>
          <w:highlight w:val="none"/>
          <w:lang w:eastAsia="zh-CN"/>
        </w:rPr>
        <w:t>第七条：付款及结算方式</w:t>
      </w:r>
    </w:p>
    <w:p>
      <w:pPr>
        <w:spacing w:line="480" w:lineRule="exact"/>
        <w:ind w:firstLine="420"/>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sz w:val="18"/>
          <w:szCs w:val="18"/>
          <w:highlight w:val="none"/>
          <w:lang w:eastAsia="zh-CN"/>
        </w:rPr>
        <w:t>7.1付款方式：</w:t>
      </w:r>
    </w:p>
    <w:p>
      <w:pPr>
        <w:spacing w:line="480" w:lineRule="exact"/>
        <w:ind w:firstLine="420"/>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sz w:val="18"/>
          <w:szCs w:val="18"/>
          <w:highlight w:val="none"/>
          <w:lang w:val="en-US" w:eastAsia="zh-CN"/>
        </w:rPr>
        <w:t>7.1.1最终</w:t>
      </w:r>
      <w:r>
        <w:rPr>
          <w:rFonts w:hint="eastAsia" w:ascii="新宋体" w:hAnsi="新宋体" w:eastAsia="新宋体" w:cs="新宋体"/>
          <w:color w:val="auto"/>
          <w:sz w:val="18"/>
          <w:szCs w:val="18"/>
          <w:highlight w:val="none"/>
          <w:lang w:eastAsia="zh-CN"/>
        </w:rPr>
        <w:t>验收合格后【</w:t>
      </w:r>
      <w:r>
        <w:rPr>
          <w:rFonts w:hint="eastAsia" w:ascii="新宋体" w:hAnsi="新宋体" w:eastAsia="新宋体" w:cs="新宋体"/>
          <w:color w:val="auto"/>
          <w:sz w:val="18"/>
          <w:szCs w:val="18"/>
          <w:highlight w:val="none"/>
          <w:lang w:val="en-US" w:eastAsia="zh-CN"/>
        </w:rPr>
        <w:t>10</w:t>
      </w:r>
      <w:r>
        <w:rPr>
          <w:rFonts w:hint="eastAsia" w:ascii="新宋体" w:hAnsi="新宋体" w:eastAsia="新宋体" w:cs="新宋体"/>
          <w:color w:val="auto"/>
          <w:sz w:val="18"/>
          <w:szCs w:val="18"/>
          <w:highlight w:val="none"/>
          <w:lang w:eastAsia="zh-CN"/>
        </w:rPr>
        <w:t>】个工作日内，</w:t>
      </w:r>
      <w:r>
        <w:rPr>
          <w:rFonts w:hint="eastAsia" w:ascii="新宋体" w:hAnsi="新宋体" w:eastAsia="新宋体" w:cs="新宋体"/>
          <w:color w:val="auto"/>
          <w:sz w:val="18"/>
          <w:szCs w:val="18"/>
          <w:highlight w:val="none"/>
          <w:lang w:val="en-US" w:eastAsia="zh-CN"/>
        </w:rPr>
        <w:t>甲</w:t>
      </w:r>
      <w:r>
        <w:rPr>
          <w:rFonts w:hint="eastAsia" w:ascii="新宋体" w:hAnsi="新宋体" w:eastAsia="新宋体" w:cs="新宋体"/>
          <w:color w:val="auto"/>
          <w:sz w:val="18"/>
          <w:szCs w:val="18"/>
          <w:highlight w:val="none"/>
          <w:lang w:eastAsia="zh-CN"/>
        </w:rPr>
        <w:t>方支付</w:t>
      </w:r>
      <w:r>
        <w:rPr>
          <w:rFonts w:hint="eastAsia" w:ascii="新宋体" w:hAnsi="新宋体" w:eastAsia="新宋体" w:cs="新宋体"/>
          <w:color w:val="auto"/>
          <w:sz w:val="18"/>
          <w:szCs w:val="18"/>
          <w:highlight w:val="none"/>
          <w:lang w:val="en-US" w:eastAsia="zh-CN"/>
        </w:rPr>
        <w:t>乙方</w:t>
      </w:r>
      <w:r>
        <w:rPr>
          <w:rFonts w:hint="eastAsia" w:ascii="新宋体" w:hAnsi="新宋体" w:eastAsia="新宋体" w:cs="新宋体"/>
          <w:color w:val="auto"/>
          <w:sz w:val="18"/>
          <w:szCs w:val="18"/>
          <w:highlight w:val="none"/>
          <w:lang w:eastAsia="zh-CN"/>
        </w:rPr>
        <w:t>97%货款；</w:t>
      </w:r>
    </w:p>
    <w:p>
      <w:pPr>
        <w:spacing w:line="480" w:lineRule="exact"/>
        <w:ind w:firstLine="420"/>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sz w:val="18"/>
          <w:szCs w:val="18"/>
          <w:highlight w:val="none"/>
          <w:lang w:val="en-US" w:eastAsia="zh-CN"/>
        </w:rPr>
        <w:t>7.1.2剩余3%尾款作为保证金，质保期满后，若产品</w:t>
      </w:r>
      <w:r>
        <w:rPr>
          <w:rFonts w:hint="eastAsia" w:ascii="新宋体" w:hAnsi="新宋体" w:eastAsia="新宋体" w:cs="新宋体"/>
          <w:color w:val="auto"/>
          <w:sz w:val="18"/>
          <w:szCs w:val="18"/>
          <w:highlight w:val="none"/>
          <w:lang w:eastAsia="zh-CN"/>
        </w:rPr>
        <w:t>无质量问题</w:t>
      </w:r>
      <w:r>
        <w:rPr>
          <w:rFonts w:hint="eastAsia" w:ascii="新宋体" w:hAnsi="新宋体" w:eastAsia="新宋体" w:cs="新宋体"/>
          <w:color w:val="auto"/>
          <w:sz w:val="18"/>
          <w:szCs w:val="18"/>
          <w:highlight w:val="none"/>
          <w:lang w:val="en-US" w:eastAsia="zh-CN"/>
        </w:rPr>
        <w:t>或乙方无违约行为时</w:t>
      </w:r>
      <w:r>
        <w:rPr>
          <w:rFonts w:hint="eastAsia" w:ascii="新宋体" w:hAnsi="新宋体" w:eastAsia="新宋体" w:cs="新宋体"/>
          <w:color w:val="auto"/>
          <w:sz w:val="18"/>
          <w:szCs w:val="18"/>
          <w:highlight w:val="none"/>
          <w:lang w:eastAsia="zh-CN"/>
        </w:rPr>
        <w:t>,</w:t>
      </w:r>
      <w:r>
        <w:rPr>
          <w:rFonts w:hint="eastAsia" w:ascii="新宋体" w:hAnsi="新宋体" w:eastAsia="新宋体" w:cs="新宋体"/>
          <w:color w:val="auto"/>
          <w:sz w:val="18"/>
          <w:szCs w:val="18"/>
          <w:highlight w:val="none"/>
          <w:lang w:val="en-US" w:eastAsia="zh-CN"/>
        </w:rPr>
        <w:t>甲</w:t>
      </w:r>
      <w:r>
        <w:rPr>
          <w:rFonts w:hint="eastAsia" w:ascii="新宋体" w:hAnsi="新宋体" w:eastAsia="新宋体" w:cs="新宋体"/>
          <w:color w:val="auto"/>
          <w:sz w:val="18"/>
          <w:szCs w:val="18"/>
          <w:highlight w:val="none"/>
          <w:lang w:eastAsia="zh-CN"/>
        </w:rPr>
        <w:t>方一次性无息付清；</w:t>
      </w:r>
    </w:p>
    <w:p>
      <w:pPr>
        <w:spacing w:line="480" w:lineRule="exact"/>
        <w:ind w:firstLine="420"/>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sz w:val="18"/>
          <w:szCs w:val="18"/>
          <w:highlight w:val="none"/>
          <w:lang w:val="en-US" w:eastAsia="zh-CN"/>
        </w:rPr>
        <w:t>7.2乙方申请付款前，</w:t>
      </w:r>
      <w:r>
        <w:rPr>
          <w:rFonts w:hint="eastAsia" w:ascii="新宋体" w:hAnsi="新宋体" w:eastAsia="新宋体" w:cs="新宋体"/>
          <w:color w:val="auto"/>
          <w:sz w:val="18"/>
          <w:szCs w:val="18"/>
          <w:highlight w:val="none"/>
          <w:lang w:eastAsia="zh-CN"/>
        </w:rPr>
        <w:t>应先向</w:t>
      </w:r>
      <w:r>
        <w:rPr>
          <w:rFonts w:hint="eastAsia" w:ascii="新宋体" w:hAnsi="新宋体" w:eastAsia="新宋体" w:cs="新宋体"/>
          <w:color w:val="auto"/>
          <w:sz w:val="18"/>
          <w:szCs w:val="18"/>
          <w:highlight w:val="none"/>
          <w:lang w:val="en-US" w:eastAsia="zh-CN"/>
        </w:rPr>
        <w:t>甲</w:t>
      </w:r>
      <w:r>
        <w:rPr>
          <w:rFonts w:hint="eastAsia" w:ascii="新宋体" w:hAnsi="新宋体" w:eastAsia="新宋体" w:cs="新宋体"/>
          <w:color w:val="auto"/>
          <w:sz w:val="18"/>
          <w:szCs w:val="18"/>
          <w:highlight w:val="none"/>
          <w:lang w:eastAsia="zh-CN"/>
        </w:rPr>
        <w:t>方提供《</w:t>
      </w:r>
      <w:r>
        <w:rPr>
          <w:rFonts w:hint="eastAsia" w:ascii="新宋体" w:hAnsi="新宋体" w:eastAsia="新宋体" w:cs="新宋体"/>
          <w:color w:val="auto"/>
          <w:sz w:val="18"/>
          <w:szCs w:val="18"/>
          <w:highlight w:val="none"/>
          <w:lang w:val="en-US" w:eastAsia="zh-CN"/>
        </w:rPr>
        <w:t>付款</w:t>
      </w:r>
      <w:r>
        <w:rPr>
          <w:rFonts w:hint="eastAsia" w:ascii="新宋体" w:hAnsi="新宋体" w:eastAsia="新宋体" w:cs="新宋体"/>
          <w:color w:val="auto"/>
          <w:sz w:val="18"/>
          <w:szCs w:val="18"/>
          <w:highlight w:val="none"/>
          <w:lang w:eastAsia="zh-CN"/>
        </w:rPr>
        <w:t>申请单》、并附《设备进场</w:t>
      </w:r>
      <w:r>
        <w:rPr>
          <w:rFonts w:hint="eastAsia" w:ascii="新宋体" w:hAnsi="新宋体" w:eastAsia="新宋体" w:cs="新宋体"/>
          <w:color w:val="auto"/>
          <w:sz w:val="18"/>
          <w:szCs w:val="18"/>
          <w:highlight w:val="none"/>
          <w:lang w:val="en-US" w:eastAsia="zh-CN"/>
        </w:rPr>
        <w:t>最终</w:t>
      </w:r>
      <w:r>
        <w:rPr>
          <w:rFonts w:hint="eastAsia" w:ascii="新宋体" w:hAnsi="新宋体" w:eastAsia="新宋体" w:cs="新宋体"/>
          <w:color w:val="auto"/>
          <w:sz w:val="18"/>
          <w:szCs w:val="18"/>
          <w:highlight w:val="none"/>
          <w:lang w:eastAsia="zh-CN"/>
        </w:rPr>
        <w:t>验收对账单》及合同复印件，</w:t>
      </w:r>
      <w:r>
        <w:rPr>
          <w:rFonts w:hint="eastAsia" w:ascii="新宋体" w:hAnsi="新宋体" w:eastAsia="新宋体" w:cs="新宋体"/>
          <w:color w:val="auto"/>
          <w:sz w:val="18"/>
          <w:szCs w:val="18"/>
          <w:highlight w:val="none"/>
          <w:lang w:val="en-US" w:eastAsia="zh-CN"/>
        </w:rPr>
        <w:t>提供</w:t>
      </w:r>
      <w:r>
        <w:rPr>
          <w:rFonts w:hint="eastAsia" w:ascii="新宋体" w:hAnsi="新宋体" w:eastAsia="新宋体" w:cs="新宋体"/>
          <w:color w:val="auto"/>
          <w:sz w:val="18"/>
          <w:szCs w:val="18"/>
          <w:highlight w:val="none"/>
          <w:lang w:eastAsia="zh-CN"/>
        </w:rPr>
        <w:t>合法、正规、有效、等额税务发票，否则甲方有权拒绝付款，</w:t>
      </w:r>
      <w:r>
        <w:rPr>
          <w:rFonts w:hint="eastAsia" w:ascii="新宋体" w:hAnsi="新宋体" w:eastAsia="新宋体" w:cs="新宋体"/>
          <w:color w:val="auto"/>
          <w:sz w:val="18"/>
          <w:szCs w:val="18"/>
          <w:highlight w:val="none"/>
          <w:lang w:val="en-US" w:eastAsia="zh-CN"/>
        </w:rPr>
        <w:t>并</w:t>
      </w:r>
      <w:r>
        <w:rPr>
          <w:rFonts w:hint="eastAsia" w:ascii="新宋体" w:hAnsi="新宋体" w:eastAsia="新宋体" w:cs="新宋体"/>
          <w:color w:val="auto"/>
          <w:sz w:val="18"/>
          <w:szCs w:val="18"/>
          <w:highlight w:val="none"/>
          <w:lang w:eastAsia="zh-CN"/>
        </w:rPr>
        <w:t>不承担任何责任。</w:t>
      </w:r>
    </w:p>
    <w:p>
      <w:pPr>
        <w:spacing w:line="480" w:lineRule="exact"/>
        <w:ind w:firstLine="420"/>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sz w:val="18"/>
          <w:szCs w:val="18"/>
          <w:highlight w:val="none"/>
          <w:lang w:eastAsia="zh-CN"/>
        </w:rPr>
        <w:t>7.</w:t>
      </w:r>
      <w:r>
        <w:rPr>
          <w:rFonts w:hint="eastAsia" w:ascii="新宋体" w:hAnsi="新宋体" w:eastAsia="新宋体" w:cs="新宋体"/>
          <w:color w:val="auto"/>
          <w:sz w:val="18"/>
          <w:szCs w:val="18"/>
          <w:highlight w:val="none"/>
          <w:lang w:val="en-US" w:eastAsia="zh-CN"/>
        </w:rPr>
        <w:t>3</w:t>
      </w:r>
      <w:r>
        <w:rPr>
          <w:rFonts w:hint="eastAsia" w:ascii="新宋体" w:hAnsi="新宋体" w:eastAsia="新宋体" w:cs="新宋体"/>
          <w:color w:val="auto"/>
          <w:sz w:val="18"/>
          <w:szCs w:val="18"/>
          <w:highlight w:val="none"/>
          <w:lang w:eastAsia="zh-CN"/>
        </w:rPr>
        <w:t>各种对乙方的违约金及合同规定应扣款项在当期货款中扣除，不足部分，甲方有权在</w:t>
      </w:r>
      <w:r>
        <w:rPr>
          <w:rFonts w:hint="eastAsia" w:ascii="新宋体" w:hAnsi="新宋体" w:eastAsia="新宋体" w:cs="新宋体"/>
          <w:color w:val="auto"/>
          <w:sz w:val="18"/>
          <w:szCs w:val="18"/>
          <w:highlight w:val="none"/>
          <w:lang w:val="en-US" w:eastAsia="zh-CN"/>
        </w:rPr>
        <w:t>下期</w:t>
      </w:r>
      <w:r>
        <w:rPr>
          <w:rFonts w:hint="eastAsia" w:ascii="新宋体" w:hAnsi="新宋体" w:eastAsia="新宋体" w:cs="新宋体"/>
          <w:color w:val="auto"/>
          <w:sz w:val="18"/>
          <w:szCs w:val="18"/>
          <w:highlight w:val="none"/>
          <w:lang w:eastAsia="zh-CN"/>
        </w:rPr>
        <w:t>货款中扣除并保留继续向乙方继续追索的权利。</w:t>
      </w:r>
    </w:p>
    <w:p>
      <w:pPr>
        <w:spacing w:line="480" w:lineRule="exact"/>
        <w:ind w:firstLine="420"/>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sz w:val="18"/>
          <w:szCs w:val="18"/>
          <w:highlight w:val="none"/>
          <w:lang w:eastAsia="zh-CN"/>
        </w:rPr>
        <w:t>7.</w:t>
      </w:r>
      <w:r>
        <w:rPr>
          <w:rFonts w:hint="eastAsia" w:ascii="新宋体" w:hAnsi="新宋体" w:eastAsia="新宋体" w:cs="新宋体"/>
          <w:color w:val="auto"/>
          <w:sz w:val="18"/>
          <w:szCs w:val="18"/>
          <w:highlight w:val="none"/>
          <w:lang w:val="en-US" w:eastAsia="zh-CN"/>
        </w:rPr>
        <w:t>4</w:t>
      </w:r>
      <w:r>
        <w:rPr>
          <w:rFonts w:hint="eastAsia" w:ascii="新宋体" w:hAnsi="新宋体" w:eastAsia="新宋体" w:cs="新宋体"/>
          <w:color w:val="auto"/>
          <w:sz w:val="18"/>
          <w:szCs w:val="18"/>
          <w:highlight w:val="none"/>
          <w:lang w:eastAsia="zh-CN"/>
        </w:rPr>
        <w:t>合同期内，乙方不得以无法开具发票为由要求另行签订补充协议或者主张由第三方开具发票,否则甲方有权拒绝付款，而不受本合同付款约定的限制</w:t>
      </w:r>
      <w:r>
        <w:rPr>
          <w:rFonts w:hint="eastAsia" w:ascii="新宋体" w:hAnsi="新宋体" w:eastAsia="新宋体" w:cs="新宋体"/>
          <w:color w:val="auto"/>
          <w:sz w:val="18"/>
          <w:szCs w:val="18"/>
          <w:highlight w:val="none"/>
          <w:lang w:val="en-US" w:eastAsia="zh-CN"/>
        </w:rPr>
        <w:t>和承担任何责任</w:t>
      </w:r>
      <w:r>
        <w:rPr>
          <w:rFonts w:hint="eastAsia" w:ascii="新宋体" w:hAnsi="新宋体" w:eastAsia="新宋体" w:cs="新宋体"/>
          <w:color w:val="auto"/>
          <w:sz w:val="18"/>
          <w:szCs w:val="18"/>
          <w:highlight w:val="none"/>
          <w:lang w:eastAsia="zh-CN"/>
        </w:rPr>
        <w:t>。</w:t>
      </w:r>
    </w:p>
    <w:p>
      <w:pPr>
        <w:spacing w:line="480" w:lineRule="exact"/>
        <w:ind w:firstLine="360" w:firstLineChars="200"/>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sz w:val="18"/>
          <w:szCs w:val="18"/>
          <w:highlight w:val="none"/>
          <w:lang w:eastAsia="zh-CN"/>
        </w:rPr>
        <w:t>7.</w:t>
      </w:r>
      <w:r>
        <w:rPr>
          <w:rFonts w:hint="eastAsia" w:ascii="新宋体" w:hAnsi="新宋体" w:eastAsia="新宋体" w:cs="新宋体"/>
          <w:color w:val="auto"/>
          <w:sz w:val="18"/>
          <w:szCs w:val="18"/>
          <w:highlight w:val="none"/>
          <w:lang w:val="en-US" w:eastAsia="zh-CN"/>
        </w:rPr>
        <w:t>5</w:t>
      </w:r>
      <w:r>
        <w:rPr>
          <w:rFonts w:hint="eastAsia" w:ascii="新宋体" w:hAnsi="新宋体" w:eastAsia="新宋体" w:cs="新宋体"/>
          <w:color w:val="auto"/>
          <w:sz w:val="18"/>
          <w:szCs w:val="18"/>
          <w:highlight w:val="none"/>
          <w:lang w:eastAsia="zh-CN"/>
        </w:rPr>
        <w:t>除乙方合同约定的开户银行、账号、账户外，乙方不得以任何理由要求甲方把资金拨付至另外账户,否则甲方有权拒绝付款，而不受本合同付款约定的限制,否则甲方有权拒绝付款，而不受本合同付款约定的限制</w:t>
      </w:r>
      <w:r>
        <w:rPr>
          <w:rFonts w:hint="eastAsia" w:ascii="新宋体" w:hAnsi="新宋体" w:eastAsia="新宋体" w:cs="新宋体"/>
          <w:color w:val="auto"/>
          <w:sz w:val="18"/>
          <w:szCs w:val="18"/>
          <w:highlight w:val="none"/>
          <w:lang w:val="en-US" w:eastAsia="zh-CN"/>
        </w:rPr>
        <w:t>和承担任何责任</w:t>
      </w:r>
      <w:r>
        <w:rPr>
          <w:rFonts w:hint="eastAsia" w:ascii="新宋体" w:hAnsi="新宋体" w:eastAsia="新宋体" w:cs="新宋体"/>
          <w:color w:val="auto"/>
          <w:sz w:val="18"/>
          <w:szCs w:val="18"/>
          <w:highlight w:val="none"/>
          <w:lang w:eastAsia="zh-CN"/>
        </w:rPr>
        <w:t>。</w:t>
      </w:r>
    </w:p>
    <w:p>
      <w:pPr>
        <w:spacing w:line="480" w:lineRule="exact"/>
        <w:ind w:firstLine="420"/>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sz w:val="18"/>
          <w:szCs w:val="18"/>
          <w:highlight w:val="none"/>
          <w:lang w:eastAsia="zh-CN"/>
        </w:rPr>
        <w:t>7.</w:t>
      </w:r>
      <w:r>
        <w:rPr>
          <w:rFonts w:hint="eastAsia" w:ascii="新宋体" w:hAnsi="新宋体" w:eastAsia="新宋体" w:cs="新宋体"/>
          <w:color w:val="auto"/>
          <w:sz w:val="18"/>
          <w:szCs w:val="18"/>
          <w:highlight w:val="none"/>
          <w:lang w:val="en-US" w:eastAsia="zh-CN"/>
        </w:rPr>
        <w:t>6</w:t>
      </w:r>
      <w:r>
        <w:rPr>
          <w:rFonts w:hint="eastAsia" w:ascii="新宋体" w:hAnsi="新宋体" w:eastAsia="新宋体" w:cs="新宋体"/>
          <w:color w:val="auto"/>
          <w:sz w:val="18"/>
          <w:szCs w:val="18"/>
          <w:highlight w:val="none"/>
          <w:lang w:eastAsia="zh-CN"/>
        </w:rPr>
        <w:t>结算方式：以甲方最终收到的合格产品数量及本合同约定合同单价为准据实结算，甲方可根据工程实际需要增加或减少合同规定的供货数量。</w:t>
      </w:r>
    </w:p>
    <w:p>
      <w:pPr>
        <w:spacing w:before="93" w:beforeLines="30" w:after="62" w:afterLines="20" w:line="480" w:lineRule="exact"/>
        <w:ind w:left="420" w:leftChars="200"/>
        <w:rPr>
          <w:rFonts w:hint="eastAsia" w:ascii="新宋体" w:hAnsi="新宋体" w:eastAsia="新宋体" w:cs="新宋体"/>
          <w:b/>
          <w:color w:val="auto"/>
          <w:sz w:val="21"/>
          <w:szCs w:val="21"/>
          <w:highlight w:val="none"/>
          <w:lang w:eastAsia="zh-CN"/>
        </w:rPr>
      </w:pPr>
      <w:r>
        <w:rPr>
          <w:rFonts w:hint="eastAsia" w:ascii="新宋体" w:hAnsi="新宋体" w:eastAsia="新宋体" w:cs="新宋体"/>
          <w:b/>
          <w:color w:val="auto"/>
          <w:sz w:val="21"/>
          <w:szCs w:val="21"/>
          <w:highlight w:val="none"/>
          <w:lang w:eastAsia="zh-CN"/>
        </w:rPr>
        <w:t>第八条：违约责任</w:t>
      </w:r>
    </w:p>
    <w:p>
      <w:pPr>
        <w:spacing w:line="480" w:lineRule="exact"/>
        <w:ind w:firstLine="420"/>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sz w:val="18"/>
          <w:szCs w:val="18"/>
          <w:highlight w:val="none"/>
          <w:lang w:eastAsia="zh-CN"/>
        </w:rPr>
        <w:t>8.1 在质保期内因产品自身出现质量问题，在12小时内到达现场，并在72小时内免费维修或更换直到甲方能够正常使用设备。若无法满足，由甲方自行维修后在质保金内进行扣除并依法追究乙方相关责任。同一质量问题发生【2】次以上的，甲方有权要求更换设备。质保期满后的产品质量责任按照产品质量法的相关规定执行。</w:t>
      </w:r>
    </w:p>
    <w:p>
      <w:pPr>
        <w:spacing w:line="480" w:lineRule="exact"/>
        <w:ind w:firstLine="420"/>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sz w:val="18"/>
          <w:szCs w:val="18"/>
          <w:highlight w:val="none"/>
          <w:lang w:eastAsia="zh-CN"/>
        </w:rPr>
        <w:t>8.2 在竣工验收中，乙方提供的产品因出现质量问题验收不合格，乙方负责免费自行维修或更换，直到验收合格，并赔偿甲方全部损失（如工程延期竣工验收、停窝工的索赔等）。</w:t>
      </w:r>
    </w:p>
    <w:p>
      <w:pPr>
        <w:spacing w:line="480" w:lineRule="exact"/>
        <w:ind w:firstLine="420"/>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sz w:val="18"/>
          <w:szCs w:val="18"/>
          <w:highlight w:val="none"/>
          <w:lang w:eastAsia="zh-CN"/>
        </w:rPr>
        <w:t>8.3 如乙方未经甲方同意进行异地工厂代加工生产，提供虚假的产品合格证明材料或检测报告，以假充真，以次充好，采取不正当手段使交付的产品不合格等，乙方则要全额退款，并按照本合同总货款的30%向甲方承担违约金，给甲方造成损失的，乙方需向甲方承担本合同总额1-2倍的损失赔偿金。</w:t>
      </w:r>
    </w:p>
    <w:p>
      <w:pPr>
        <w:spacing w:line="480" w:lineRule="exact"/>
        <w:ind w:firstLine="420"/>
        <w:rPr>
          <w:rFonts w:hint="eastAsia" w:ascii="新宋体" w:hAnsi="新宋体" w:eastAsia="新宋体" w:cs="新宋体"/>
          <w:color w:val="auto"/>
          <w:sz w:val="18"/>
          <w:szCs w:val="18"/>
          <w:highlight w:val="none"/>
          <w:lang w:val="en-US" w:eastAsia="zh-CN"/>
        </w:rPr>
      </w:pPr>
      <w:r>
        <w:rPr>
          <w:rFonts w:hint="eastAsia" w:ascii="新宋体" w:hAnsi="新宋体" w:eastAsia="新宋体" w:cs="新宋体"/>
          <w:color w:val="auto"/>
          <w:sz w:val="18"/>
          <w:szCs w:val="18"/>
          <w:highlight w:val="none"/>
          <w:lang w:eastAsia="zh-CN"/>
        </w:rPr>
        <w:t>8.4 乙方供货过程中提供现场技术指导，在供货过程中，无论批次数量为多少，都应按时送达工地，不影响施工。如果乙方没有按甲方要求的时间或数量按时送达甲方指定的施工现场时，每延期一天交货，乙方承担人民币贰仟元的延期交货违约金，如果延期3天仍未交货，甲方可按影响工程进度的情况</w:t>
      </w:r>
      <w:r>
        <w:rPr>
          <w:rFonts w:hint="eastAsia" w:ascii="新宋体" w:hAnsi="新宋体" w:eastAsia="新宋体" w:cs="新宋体"/>
          <w:color w:val="auto"/>
          <w:sz w:val="18"/>
          <w:szCs w:val="18"/>
          <w:highlight w:val="none"/>
          <w:lang w:val="en-US" w:eastAsia="zh-CN"/>
        </w:rPr>
        <w:t>单方解除</w:t>
      </w:r>
      <w:r>
        <w:rPr>
          <w:rFonts w:hint="eastAsia" w:ascii="新宋体" w:hAnsi="新宋体" w:eastAsia="新宋体" w:cs="新宋体"/>
          <w:color w:val="auto"/>
          <w:sz w:val="18"/>
          <w:szCs w:val="18"/>
          <w:highlight w:val="none"/>
          <w:lang w:eastAsia="zh-CN"/>
        </w:rPr>
        <w:t>合同，而不用承担任何责任。</w:t>
      </w:r>
      <w:r>
        <w:rPr>
          <w:rFonts w:hint="eastAsia" w:ascii="新宋体" w:hAnsi="新宋体" w:eastAsia="新宋体" w:cs="新宋体"/>
          <w:color w:val="auto"/>
          <w:sz w:val="18"/>
          <w:szCs w:val="18"/>
          <w:highlight w:val="none"/>
          <w:lang w:val="en-US" w:eastAsia="zh-CN"/>
        </w:rPr>
        <w:t>甲方选择解除的，乙方应按合同总金额20%支付违约金。</w:t>
      </w:r>
    </w:p>
    <w:p>
      <w:pPr>
        <w:spacing w:line="480" w:lineRule="exact"/>
        <w:ind w:firstLine="420"/>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sz w:val="18"/>
          <w:szCs w:val="18"/>
          <w:highlight w:val="none"/>
          <w:lang w:eastAsia="zh-CN"/>
        </w:rPr>
        <w:t>8.5在合同履行过程中发现乙方产品不合格或供货不及时，甲方有权调整乙方的供货数量或范围，直到将乙方清退出场另选其他供货单位，乙方按照不合格产品或供货不及时部分货款的30%向甲方承担违约金及赔偿由此给甲方造成的全部经济损失。</w:t>
      </w:r>
    </w:p>
    <w:p>
      <w:pPr>
        <w:spacing w:line="480" w:lineRule="exact"/>
        <w:ind w:firstLine="420"/>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sz w:val="18"/>
          <w:szCs w:val="18"/>
          <w:highlight w:val="none"/>
          <w:lang w:eastAsia="zh-CN"/>
        </w:rPr>
        <w:t>8.</w:t>
      </w:r>
      <w:r>
        <w:rPr>
          <w:rFonts w:hint="eastAsia" w:ascii="新宋体" w:hAnsi="新宋体" w:eastAsia="新宋体" w:cs="新宋体"/>
          <w:color w:val="auto"/>
          <w:sz w:val="18"/>
          <w:szCs w:val="18"/>
          <w:highlight w:val="none"/>
          <w:lang w:val="en-US" w:eastAsia="zh-CN"/>
        </w:rPr>
        <w:t>6</w:t>
      </w:r>
      <w:r>
        <w:rPr>
          <w:rFonts w:hint="eastAsia" w:ascii="新宋体" w:hAnsi="新宋体" w:eastAsia="新宋体" w:cs="新宋体"/>
          <w:color w:val="auto"/>
          <w:sz w:val="18"/>
          <w:szCs w:val="18"/>
          <w:highlight w:val="none"/>
          <w:lang w:eastAsia="zh-CN"/>
        </w:rPr>
        <w:t>如果乙方出现需交纳违约金的情形，</w:t>
      </w:r>
      <w:r>
        <w:rPr>
          <w:rFonts w:hint="eastAsia" w:ascii="新宋体" w:hAnsi="新宋体" w:eastAsia="新宋体" w:cs="新宋体"/>
          <w:color w:val="auto"/>
          <w:sz w:val="18"/>
          <w:szCs w:val="18"/>
          <w:highlight w:val="none"/>
          <w:lang w:val="en-US" w:eastAsia="zh-CN"/>
        </w:rPr>
        <w:t>甲方有权从质保金中扣除，不足部分，</w:t>
      </w:r>
      <w:r>
        <w:rPr>
          <w:rFonts w:hint="eastAsia" w:ascii="新宋体" w:hAnsi="新宋体" w:eastAsia="新宋体" w:cs="新宋体"/>
          <w:color w:val="auto"/>
          <w:sz w:val="18"/>
          <w:szCs w:val="18"/>
          <w:highlight w:val="none"/>
          <w:lang w:eastAsia="zh-CN"/>
        </w:rPr>
        <w:t>乙方应在接到甲方通知之日起15天内向甲方足额</w:t>
      </w:r>
      <w:r>
        <w:rPr>
          <w:rFonts w:hint="eastAsia" w:ascii="新宋体" w:hAnsi="新宋体" w:eastAsia="新宋体" w:cs="新宋体"/>
          <w:color w:val="auto"/>
          <w:sz w:val="18"/>
          <w:szCs w:val="18"/>
          <w:highlight w:val="none"/>
          <w:lang w:val="en-US" w:eastAsia="zh-CN"/>
        </w:rPr>
        <w:t>补足</w:t>
      </w:r>
      <w:r>
        <w:rPr>
          <w:rFonts w:hint="eastAsia" w:ascii="新宋体" w:hAnsi="新宋体" w:eastAsia="新宋体" w:cs="新宋体"/>
          <w:color w:val="auto"/>
          <w:sz w:val="18"/>
          <w:szCs w:val="18"/>
          <w:highlight w:val="none"/>
          <w:lang w:eastAsia="zh-CN"/>
        </w:rPr>
        <w:t>违约金及损失赔偿金，若乙方延期支付甲方有权向乙方提出索赔。</w:t>
      </w:r>
    </w:p>
    <w:p>
      <w:pPr>
        <w:spacing w:line="480" w:lineRule="exact"/>
        <w:ind w:firstLine="420"/>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sz w:val="18"/>
          <w:szCs w:val="18"/>
          <w:highlight w:val="none"/>
          <w:lang w:eastAsia="zh-CN"/>
        </w:rPr>
        <w:t>8.</w:t>
      </w:r>
      <w:r>
        <w:rPr>
          <w:rFonts w:hint="eastAsia" w:ascii="新宋体" w:hAnsi="新宋体" w:eastAsia="新宋体" w:cs="新宋体"/>
          <w:color w:val="auto"/>
          <w:sz w:val="18"/>
          <w:szCs w:val="18"/>
          <w:highlight w:val="none"/>
          <w:lang w:val="en-US" w:eastAsia="zh-CN"/>
        </w:rPr>
        <w:t>7</w:t>
      </w:r>
      <w:r>
        <w:rPr>
          <w:rFonts w:hint="eastAsia" w:ascii="新宋体" w:hAnsi="新宋体" w:eastAsia="新宋体" w:cs="新宋体"/>
          <w:color w:val="auto"/>
          <w:sz w:val="18"/>
          <w:szCs w:val="18"/>
          <w:highlight w:val="none"/>
          <w:lang w:eastAsia="zh-CN"/>
        </w:rPr>
        <w:t>乙方在供货及施工过程中，派专人在施工现场指导安装，并提供安装使用技术资料。</w:t>
      </w:r>
    </w:p>
    <w:p>
      <w:pPr>
        <w:spacing w:before="93" w:beforeLines="30" w:after="62" w:afterLines="20" w:line="480" w:lineRule="exact"/>
        <w:ind w:left="420" w:leftChars="200"/>
        <w:rPr>
          <w:rFonts w:hint="eastAsia" w:ascii="新宋体" w:hAnsi="新宋体" w:eastAsia="新宋体" w:cs="新宋体"/>
          <w:b/>
          <w:color w:val="auto"/>
          <w:sz w:val="21"/>
          <w:szCs w:val="21"/>
          <w:highlight w:val="none"/>
          <w:lang w:eastAsia="zh-CN"/>
        </w:rPr>
      </w:pPr>
      <w:r>
        <w:rPr>
          <w:rFonts w:hint="eastAsia" w:ascii="新宋体" w:hAnsi="新宋体" w:eastAsia="新宋体" w:cs="新宋体"/>
          <w:b/>
          <w:color w:val="auto"/>
          <w:sz w:val="21"/>
          <w:szCs w:val="21"/>
          <w:highlight w:val="none"/>
          <w:lang w:eastAsia="zh-CN"/>
        </w:rPr>
        <w:t>第九项：其它约定及事项</w:t>
      </w:r>
    </w:p>
    <w:p>
      <w:pPr>
        <w:spacing w:line="480" w:lineRule="exact"/>
        <w:ind w:firstLine="420"/>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sz w:val="18"/>
          <w:szCs w:val="18"/>
          <w:highlight w:val="none"/>
          <w:lang w:eastAsia="zh-CN"/>
        </w:rPr>
        <w:t>9.1 产品合格证、质量检验报告随产品送达工地，现场验收时必须具备。有环保要求的须按照甲方要求提供有关环保方面的生产认证资料、检测报告、复试报告等随产品送达工地。</w:t>
      </w:r>
    </w:p>
    <w:p>
      <w:pPr>
        <w:spacing w:line="480" w:lineRule="exact"/>
        <w:ind w:firstLine="420"/>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sz w:val="18"/>
          <w:szCs w:val="18"/>
          <w:highlight w:val="none"/>
          <w:lang w:eastAsia="zh-CN"/>
        </w:rPr>
        <w:t>9.2 按国家和省、部（委）或行业规定的标准要求随货物提供（应）备品、配件、工具数量。</w:t>
      </w:r>
    </w:p>
    <w:p>
      <w:pPr>
        <w:spacing w:line="480" w:lineRule="exact"/>
        <w:ind w:firstLine="420"/>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sz w:val="18"/>
          <w:szCs w:val="18"/>
          <w:highlight w:val="none"/>
          <w:lang w:eastAsia="zh-CN"/>
        </w:rPr>
        <w:t>9.3乙方承诺遵守甲方相关管理规定，服从甲方管理。</w:t>
      </w:r>
    </w:p>
    <w:p>
      <w:pPr>
        <w:spacing w:before="93" w:beforeLines="30" w:after="62" w:afterLines="20" w:line="480" w:lineRule="exact"/>
        <w:ind w:left="420" w:leftChars="200"/>
        <w:rPr>
          <w:rFonts w:hint="eastAsia" w:ascii="新宋体" w:hAnsi="新宋体" w:eastAsia="新宋体" w:cs="新宋体"/>
          <w:b/>
          <w:color w:val="auto"/>
          <w:sz w:val="21"/>
          <w:szCs w:val="21"/>
          <w:highlight w:val="none"/>
          <w:lang w:eastAsia="zh-CN"/>
        </w:rPr>
      </w:pPr>
      <w:bookmarkStart w:id="607" w:name="OLE_LINK3"/>
      <w:r>
        <w:rPr>
          <w:rFonts w:hint="eastAsia" w:ascii="新宋体" w:hAnsi="新宋体" w:eastAsia="新宋体" w:cs="新宋体"/>
          <w:b/>
          <w:color w:val="auto"/>
          <w:sz w:val="21"/>
          <w:szCs w:val="21"/>
          <w:highlight w:val="none"/>
          <w:lang w:eastAsia="zh-CN"/>
        </w:rPr>
        <w:t>第十条：不可抗力</w:t>
      </w:r>
    </w:p>
    <w:p>
      <w:pPr>
        <w:spacing w:line="480" w:lineRule="exact"/>
        <w:ind w:firstLine="420"/>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sz w:val="18"/>
          <w:szCs w:val="18"/>
          <w:highlight w:val="none"/>
          <w:lang w:eastAsia="zh-CN"/>
        </w:rPr>
        <w:t>10.1由于政府行为或地震、台风、水灾、火灾、战争等不可抗力因素，致使遭受不可抗力一方无法履行本协议或不能完全履行本协议时，该方应迅速以书面形式通知对方，并在不可抗力事件结束后15日内提供不可抗力的详情及协议不能履行或不能完全履行或延期履行的理由的有效证明文件，由双方协商确定是否终止协议，或免除协议的责任，或延期履行协议；</w:t>
      </w:r>
    </w:p>
    <w:p>
      <w:pPr>
        <w:spacing w:line="480" w:lineRule="exact"/>
        <w:ind w:firstLine="420"/>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sz w:val="18"/>
          <w:szCs w:val="18"/>
          <w:highlight w:val="none"/>
          <w:lang w:eastAsia="zh-CN"/>
        </w:rPr>
        <w:t>10.2因合同一方迟延履行合同后发生不可抗力的，不能免除迟延履行方的相应责任；</w:t>
      </w:r>
    </w:p>
    <w:p>
      <w:pPr>
        <w:spacing w:line="480" w:lineRule="exact"/>
        <w:ind w:firstLine="420"/>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sz w:val="18"/>
          <w:szCs w:val="18"/>
          <w:highlight w:val="none"/>
          <w:lang w:eastAsia="zh-CN"/>
        </w:rPr>
        <w:t>10.3如因不可抗力致使本合同无法履行，或因政府原因造成工程停建或缓建，致使合同无法履行的，甲方和乙方可以解除合同。甲、乙双方的损失，各自行承担。</w:t>
      </w:r>
    </w:p>
    <w:p>
      <w:pPr>
        <w:spacing w:line="480" w:lineRule="exact"/>
        <w:ind w:firstLine="420"/>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sz w:val="18"/>
          <w:szCs w:val="18"/>
          <w:highlight w:val="none"/>
          <w:lang w:eastAsia="zh-CN"/>
        </w:rPr>
        <w:t>10.4不可抗力发生后，合同当事人均应采取措施尽量避免和减少损失的扩大，任何一方当事人没有采取有效措施导致损失扩大的，应对扩大的损失承担责任。</w:t>
      </w:r>
      <w:bookmarkEnd w:id="607"/>
    </w:p>
    <w:p>
      <w:pPr>
        <w:spacing w:before="93" w:beforeLines="30" w:after="62" w:afterLines="20" w:line="480" w:lineRule="exact"/>
        <w:ind w:left="420" w:leftChars="200"/>
        <w:rPr>
          <w:rFonts w:hint="eastAsia" w:ascii="新宋体" w:hAnsi="新宋体" w:eastAsia="新宋体" w:cs="新宋体"/>
          <w:b/>
          <w:color w:val="auto"/>
          <w:sz w:val="21"/>
          <w:szCs w:val="21"/>
          <w:highlight w:val="none"/>
          <w:lang w:val="en-US" w:eastAsia="zh-CN"/>
        </w:rPr>
      </w:pPr>
      <w:r>
        <w:rPr>
          <w:rFonts w:hint="eastAsia" w:ascii="新宋体" w:hAnsi="新宋体" w:eastAsia="新宋体" w:cs="新宋体"/>
          <w:b/>
          <w:color w:val="auto"/>
          <w:sz w:val="21"/>
          <w:szCs w:val="21"/>
          <w:highlight w:val="none"/>
          <w:lang w:eastAsia="zh-CN"/>
        </w:rPr>
        <w:t>第十一条：</w:t>
      </w:r>
      <w:r>
        <w:rPr>
          <w:rFonts w:hint="eastAsia" w:ascii="新宋体" w:hAnsi="新宋体" w:eastAsia="新宋体" w:cs="新宋体"/>
          <w:b/>
          <w:color w:val="auto"/>
          <w:sz w:val="21"/>
          <w:szCs w:val="21"/>
          <w:highlight w:val="none"/>
          <w:lang w:val="en-US" w:eastAsia="zh-CN"/>
        </w:rPr>
        <w:t>通知</w:t>
      </w:r>
    </w:p>
    <w:p>
      <w:pPr>
        <w:spacing w:line="480" w:lineRule="exact"/>
        <w:ind w:firstLine="420"/>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sz w:val="18"/>
          <w:szCs w:val="18"/>
          <w:highlight w:val="none"/>
          <w:lang w:eastAsia="zh-CN"/>
        </w:rPr>
        <w:t>任何与本合同有关的通知应以书面形式作出，由本合同一方以专人递送、传真、电子邮件、邮递等方式发出。通知以专人递送，于递交时视为送达；以传真方式发出，于发件人传真机显示传真业已发出时视为送达；以邮件方式发出，于发件人邮箱显示邮件已发出时视为送达；以邮递方式发出，于邮件寄出后的第3个工作日视为送达。任何通知一经送达即行生效。</w:t>
      </w:r>
    </w:p>
    <w:p>
      <w:pPr>
        <w:spacing w:line="480" w:lineRule="exact"/>
        <w:ind w:firstLine="420"/>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sz w:val="18"/>
          <w:szCs w:val="18"/>
          <w:highlight w:val="none"/>
          <w:lang w:eastAsia="zh-CN"/>
        </w:rPr>
        <w:t>各方的联络及通讯方法以各方的下列信息为准：</w:t>
      </w:r>
    </w:p>
    <w:p>
      <w:pPr>
        <w:spacing w:line="480" w:lineRule="exact"/>
        <w:ind w:firstLine="420"/>
        <w:rPr>
          <w:rFonts w:hint="eastAsia" w:ascii="新宋体" w:hAnsi="新宋体" w:eastAsia="新宋体" w:cs="新宋体"/>
          <w:color w:val="auto"/>
          <w:sz w:val="18"/>
          <w:szCs w:val="18"/>
          <w:highlight w:val="none"/>
          <w:lang w:val="en-US" w:eastAsia="zh-CN"/>
        </w:rPr>
      </w:pPr>
    </w:p>
    <w:p>
      <w:pPr>
        <w:spacing w:line="480" w:lineRule="exact"/>
        <w:ind w:firstLine="420"/>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sz w:val="18"/>
          <w:szCs w:val="18"/>
          <w:highlight w:val="none"/>
          <w:lang w:val="en-US" w:eastAsia="zh-CN"/>
        </w:rPr>
        <w:t>甲</w:t>
      </w:r>
      <w:r>
        <w:rPr>
          <w:rFonts w:hint="eastAsia" w:ascii="新宋体" w:hAnsi="新宋体" w:eastAsia="新宋体" w:cs="新宋体"/>
          <w:color w:val="auto"/>
          <w:sz w:val="18"/>
          <w:szCs w:val="18"/>
          <w:highlight w:val="none"/>
          <w:lang w:eastAsia="zh-CN"/>
        </w:rPr>
        <w:t>方：</w:t>
      </w:r>
    </w:p>
    <w:p>
      <w:pPr>
        <w:spacing w:line="480" w:lineRule="exact"/>
        <w:ind w:firstLine="420"/>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sz w:val="18"/>
          <w:szCs w:val="18"/>
          <w:highlight w:val="none"/>
          <w:lang w:val="en-US" w:eastAsia="zh-CN"/>
        </w:rPr>
        <w:t>地址</w:t>
      </w:r>
      <w:r>
        <w:rPr>
          <w:rFonts w:hint="eastAsia" w:ascii="新宋体" w:hAnsi="新宋体" w:eastAsia="新宋体" w:cs="新宋体"/>
          <w:color w:val="auto"/>
          <w:sz w:val="18"/>
          <w:szCs w:val="18"/>
          <w:highlight w:val="none"/>
          <w:lang w:eastAsia="zh-CN"/>
        </w:rPr>
        <w:t xml:space="preserve">： </w:t>
      </w:r>
    </w:p>
    <w:p>
      <w:pPr>
        <w:spacing w:line="480" w:lineRule="exact"/>
        <w:ind w:firstLine="420"/>
        <w:rPr>
          <w:rFonts w:hint="eastAsia" w:ascii="新宋体" w:hAnsi="新宋体" w:eastAsia="新宋体" w:cs="新宋体"/>
          <w:color w:val="auto"/>
          <w:sz w:val="18"/>
          <w:szCs w:val="18"/>
          <w:highlight w:val="none"/>
          <w:lang w:val="en-US" w:eastAsia="zh-CN"/>
        </w:rPr>
      </w:pPr>
      <w:r>
        <w:rPr>
          <w:rFonts w:hint="eastAsia" w:ascii="新宋体" w:hAnsi="新宋体" w:eastAsia="新宋体" w:cs="新宋体"/>
          <w:color w:val="auto"/>
          <w:sz w:val="18"/>
          <w:szCs w:val="18"/>
          <w:highlight w:val="none"/>
          <w:lang w:eastAsia="zh-CN"/>
        </w:rPr>
        <w:t>电话：</w:t>
      </w:r>
    </w:p>
    <w:p>
      <w:pPr>
        <w:spacing w:line="480" w:lineRule="exact"/>
        <w:ind w:firstLine="420"/>
        <w:rPr>
          <w:rFonts w:hint="eastAsia" w:ascii="新宋体" w:hAnsi="新宋体" w:eastAsia="新宋体" w:cs="新宋体"/>
          <w:color w:val="auto"/>
          <w:sz w:val="18"/>
          <w:szCs w:val="18"/>
          <w:highlight w:val="none"/>
          <w:lang w:val="en-US" w:eastAsia="zh-CN"/>
        </w:rPr>
      </w:pPr>
      <w:r>
        <w:rPr>
          <w:rFonts w:hint="eastAsia" w:ascii="新宋体" w:hAnsi="新宋体" w:eastAsia="新宋体" w:cs="新宋体"/>
          <w:color w:val="auto"/>
          <w:sz w:val="18"/>
          <w:szCs w:val="18"/>
          <w:highlight w:val="none"/>
          <w:lang w:eastAsia="zh-CN"/>
        </w:rPr>
        <w:t>邮箱：</w:t>
      </w:r>
    </w:p>
    <w:p>
      <w:pPr>
        <w:spacing w:line="480" w:lineRule="exact"/>
        <w:ind w:firstLine="420"/>
        <w:rPr>
          <w:rFonts w:hint="eastAsia" w:ascii="新宋体" w:hAnsi="新宋体" w:eastAsia="新宋体" w:cs="新宋体"/>
          <w:color w:val="auto"/>
          <w:sz w:val="18"/>
          <w:szCs w:val="18"/>
          <w:highlight w:val="none"/>
          <w:lang w:val="en-US" w:eastAsia="zh-CN"/>
        </w:rPr>
      </w:pPr>
      <w:r>
        <w:rPr>
          <w:rFonts w:hint="eastAsia" w:ascii="新宋体" w:hAnsi="新宋体" w:eastAsia="新宋体" w:cs="新宋体"/>
          <w:color w:val="auto"/>
          <w:sz w:val="18"/>
          <w:szCs w:val="18"/>
          <w:highlight w:val="none"/>
          <w:lang w:eastAsia="zh-CN"/>
        </w:rPr>
        <w:t>联系人</w:t>
      </w:r>
      <w:r>
        <w:rPr>
          <w:rFonts w:hint="eastAsia" w:ascii="新宋体" w:hAnsi="新宋体" w:eastAsia="新宋体" w:cs="新宋体"/>
          <w:color w:val="auto"/>
          <w:sz w:val="18"/>
          <w:szCs w:val="18"/>
          <w:highlight w:val="none"/>
          <w:lang w:val="en-US" w:eastAsia="zh-CN"/>
        </w:rPr>
        <w:t>:</w:t>
      </w:r>
    </w:p>
    <w:p>
      <w:pPr>
        <w:spacing w:line="480" w:lineRule="exact"/>
        <w:ind w:firstLine="420"/>
        <w:rPr>
          <w:rFonts w:hint="eastAsia" w:ascii="新宋体" w:hAnsi="新宋体" w:eastAsia="新宋体" w:cs="新宋体"/>
          <w:color w:val="auto"/>
          <w:sz w:val="18"/>
          <w:szCs w:val="18"/>
          <w:highlight w:val="none"/>
          <w:lang w:val="en-US" w:eastAsia="zh-CN"/>
        </w:rPr>
      </w:pPr>
    </w:p>
    <w:p>
      <w:pPr>
        <w:spacing w:line="480" w:lineRule="exact"/>
        <w:ind w:firstLine="420"/>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sz w:val="18"/>
          <w:szCs w:val="18"/>
          <w:highlight w:val="none"/>
          <w:lang w:val="en-US" w:eastAsia="zh-CN"/>
        </w:rPr>
        <w:t>乙</w:t>
      </w:r>
      <w:r>
        <w:rPr>
          <w:rFonts w:hint="eastAsia" w:ascii="新宋体" w:hAnsi="新宋体" w:eastAsia="新宋体" w:cs="新宋体"/>
          <w:color w:val="auto"/>
          <w:sz w:val="18"/>
          <w:szCs w:val="18"/>
          <w:highlight w:val="none"/>
          <w:lang w:eastAsia="zh-CN"/>
        </w:rPr>
        <w:t>方：</w:t>
      </w:r>
    </w:p>
    <w:p>
      <w:pPr>
        <w:spacing w:line="480" w:lineRule="exact"/>
        <w:ind w:firstLine="420"/>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sz w:val="18"/>
          <w:szCs w:val="18"/>
          <w:highlight w:val="none"/>
          <w:lang w:eastAsia="zh-CN"/>
        </w:rPr>
        <w:t>地址：</w:t>
      </w:r>
    </w:p>
    <w:p>
      <w:pPr>
        <w:spacing w:line="480" w:lineRule="exact"/>
        <w:ind w:firstLine="420"/>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sz w:val="18"/>
          <w:szCs w:val="18"/>
          <w:highlight w:val="none"/>
          <w:lang w:eastAsia="zh-CN"/>
        </w:rPr>
        <w:t>电话：</w:t>
      </w:r>
    </w:p>
    <w:p>
      <w:pPr>
        <w:spacing w:line="480" w:lineRule="exact"/>
        <w:ind w:firstLine="420"/>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sz w:val="18"/>
          <w:szCs w:val="18"/>
          <w:highlight w:val="none"/>
          <w:lang w:eastAsia="zh-CN"/>
        </w:rPr>
        <w:t>邮箱：</w:t>
      </w:r>
    </w:p>
    <w:p>
      <w:pPr>
        <w:spacing w:line="480" w:lineRule="exact"/>
        <w:ind w:firstLine="420"/>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sz w:val="18"/>
          <w:szCs w:val="18"/>
          <w:highlight w:val="none"/>
          <w:lang w:eastAsia="zh-CN"/>
        </w:rPr>
        <w:t>联系人：</w:t>
      </w:r>
    </w:p>
    <w:p>
      <w:pPr>
        <w:spacing w:line="480" w:lineRule="exact"/>
        <w:ind w:firstLine="420"/>
        <w:rPr>
          <w:rFonts w:hint="eastAsia" w:ascii="新宋体" w:hAnsi="新宋体" w:eastAsia="新宋体" w:cs="新宋体"/>
          <w:color w:val="auto"/>
          <w:sz w:val="18"/>
          <w:szCs w:val="18"/>
          <w:highlight w:val="none"/>
          <w:lang w:val="en-US" w:eastAsia="zh-CN"/>
        </w:rPr>
      </w:pPr>
    </w:p>
    <w:p>
      <w:pPr>
        <w:spacing w:line="480" w:lineRule="exact"/>
        <w:ind w:firstLine="420"/>
        <w:rPr>
          <w:rFonts w:hint="eastAsia" w:ascii="新宋体" w:hAnsi="新宋体" w:eastAsia="新宋体" w:cs="新宋体"/>
          <w:color w:val="auto"/>
          <w:sz w:val="18"/>
          <w:szCs w:val="18"/>
          <w:highlight w:val="none"/>
          <w:lang w:val="en-US" w:eastAsia="zh-CN"/>
        </w:rPr>
      </w:pPr>
      <w:r>
        <w:rPr>
          <w:rFonts w:hint="eastAsia" w:ascii="新宋体" w:hAnsi="新宋体" w:eastAsia="新宋体" w:cs="新宋体"/>
          <w:color w:val="auto"/>
          <w:sz w:val="18"/>
          <w:szCs w:val="18"/>
          <w:highlight w:val="none"/>
          <w:lang w:val="en-US" w:eastAsia="zh-CN"/>
        </w:rPr>
        <w:t>双方确认前述地址亦为双方解决争议时接收法院的诉讼法律文书之送达地址。</w:t>
      </w:r>
    </w:p>
    <w:p>
      <w:pPr>
        <w:spacing w:before="93" w:beforeLines="30" w:after="62" w:afterLines="20" w:line="480" w:lineRule="exact"/>
        <w:ind w:left="420" w:leftChars="200"/>
        <w:rPr>
          <w:rFonts w:hint="eastAsia" w:ascii="新宋体" w:hAnsi="新宋体" w:eastAsia="新宋体" w:cs="新宋体"/>
          <w:b/>
          <w:color w:val="auto"/>
          <w:sz w:val="21"/>
          <w:szCs w:val="21"/>
          <w:highlight w:val="none"/>
          <w:lang w:eastAsia="zh-CN"/>
        </w:rPr>
      </w:pPr>
      <w:r>
        <w:rPr>
          <w:rFonts w:hint="eastAsia" w:ascii="新宋体" w:hAnsi="新宋体" w:eastAsia="新宋体" w:cs="新宋体"/>
          <w:b/>
          <w:color w:val="auto"/>
          <w:sz w:val="21"/>
          <w:szCs w:val="21"/>
          <w:highlight w:val="none"/>
          <w:lang w:val="en-US" w:eastAsia="zh-CN"/>
        </w:rPr>
        <w:t>第十二条：</w:t>
      </w:r>
      <w:r>
        <w:rPr>
          <w:rFonts w:hint="eastAsia" w:ascii="新宋体" w:hAnsi="新宋体" w:eastAsia="新宋体" w:cs="新宋体"/>
          <w:b/>
          <w:color w:val="auto"/>
          <w:sz w:val="21"/>
          <w:szCs w:val="21"/>
          <w:highlight w:val="none"/>
          <w:lang w:eastAsia="zh-CN"/>
        </w:rPr>
        <w:t>合同争议解决办法</w:t>
      </w:r>
    </w:p>
    <w:p>
      <w:pPr>
        <w:spacing w:line="480" w:lineRule="exact"/>
        <w:ind w:firstLine="420"/>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sz w:val="18"/>
          <w:szCs w:val="18"/>
          <w:highlight w:val="none"/>
          <w:lang w:eastAsia="zh-CN"/>
        </w:rPr>
        <w:t>本合同履行过程中发生争议由当事人双方协商解决。协商不成，向甲方住所地的管辖人民法院起诉。</w:t>
      </w:r>
    </w:p>
    <w:p>
      <w:pPr>
        <w:spacing w:before="93" w:beforeLines="30" w:after="62" w:afterLines="20" w:line="480" w:lineRule="exact"/>
        <w:ind w:left="420" w:leftChars="200"/>
        <w:rPr>
          <w:rFonts w:hint="eastAsia" w:ascii="新宋体" w:hAnsi="新宋体" w:eastAsia="新宋体" w:cs="新宋体"/>
          <w:b/>
          <w:color w:val="auto"/>
          <w:sz w:val="21"/>
          <w:szCs w:val="21"/>
          <w:highlight w:val="none"/>
          <w:lang w:eastAsia="zh-CN"/>
        </w:rPr>
      </w:pPr>
      <w:r>
        <w:rPr>
          <w:rFonts w:hint="eastAsia" w:ascii="新宋体" w:hAnsi="新宋体" w:eastAsia="新宋体" w:cs="新宋体"/>
          <w:b/>
          <w:color w:val="auto"/>
          <w:sz w:val="21"/>
          <w:szCs w:val="21"/>
          <w:highlight w:val="none"/>
          <w:lang w:eastAsia="zh-CN"/>
        </w:rPr>
        <w:t>第十</w:t>
      </w:r>
      <w:r>
        <w:rPr>
          <w:rFonts w:hint="eastAsia" w:ascii="新宋体" w:hAnsi="新宋体" w:eastAsia="新宋体" w:cs="新宋体"/>
          <w:b/>
          <w:color w:val="auto"/>
          <w:sz w:val="21"/>
          <w:szCs w:val="21"/>
          <w:highlight w:val="none"/>
          <w:lang w:val="en-US" w:eastAsia="zh-CN"/>
        </w:rPr>
        <w:t>三</w:t>
      </w:r>
      <w:r>
        <w:rPr>
          <w:rFonts w:hint="eastAsia" w:ascii="新宋体" w:hAnsi="新宋体" w:eastAsia="新宋体" w:cs="新宋体"/>
          <w:b/>
          <w:color w:val="auto"/>
          <w:sz w:val="21"/>
          <w:szCs w:val="21"/>
          <w:highlight w:val="none"/>
          <w:lang w:eastAsia="zh-CN"/>
        </w:rPr>
        <w:t>条：合同变更</w:t>
      </w:r>
    </w:p>
    <w:p>
      <w:pPr>
        <w:spacing w:line="480" w:lineRule="exact"/>
        <w:ind w:firstLine="420"/>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sz w:val="18"/>
          <w:szCs w:val="18"/>
          <w:highlight w:val="none"/>
          <w:lang w:eastAsia="zh-CN"/>
        </w:rPr>
        <w:t>本合同未尽事宜双方友好协商解决或另签协议，具有同等法律效力。</w:t>
      </w:r>
    </w:p>
    <w:p>
      <w:pPr>
        <w:spacing w:before="93" w:beforeLines="30" w:after="62" w:afterLines="20" w:line="480" w:lineRule="exact"/>
        <w:ind w:left="420" w:leftChars="200"/>
        <w:rPr>
          <w:rFonts w:hint="eastAsia" w:ascii="新宋体" w:hAnsi="新宋体" w:eastAsia="新宋体" w:cs="新宋体"/>
          <w:b/>
          <w:color w:val="auto"/>
          <w:sz w:val="21"/>
          <w:szCs w:val="21"/>
          <w:highlight w:val="none"/>
          <w:lang w:eastAsia="zh-CN"/>
        </w:rPr>
      </w:pPr>
      <w:r>
        <w:rPr>
          <w:rFonts w:hint="eastAsia" w:ascii="新宋体" w:hAnsi="新宋体" w:eastAsia="新宋体" w:cs="新宋体"/>
          <w:b/>
          <w:color w:val="auto"/>
          <w:sz w:val="21"/>
          <w:szCs w:val="21"/>
          <w:highlight w:val="none"/>
          <w:lang w:eastAsia="zh-CN"/>
        </w:rPr>
        <w:t>第十</w:t>
      </w:r>
      <w:r>
        <w:rPr>
          <w:rFonts w:hint="eastAsia" w:ascii="新宋体" w:hAnsi="新宋体" w:eastAsia="新宋体" w:cs="新宋体"/>
          <w:b/>
          <w:color w:val="auto"/>
          <w:sz w:val="21"/>
          <w:szCs w:val="21"/>
          <w:highlight w:val="none"/>
          <w:lang w:val="en-US" w:eastAsia="zh-CN"/>
        </w:rPr>
        <w:t>四</w:t>
      </w:r>
      <w:r>
        <w:rPr>
          <w:rFonts w:hint="eastAsia" w:ascii="新宋体" w:hAnsi="新宋体" w:eastAsia="新宋体" w:cs="新宋体"/>
          <w:b/>
          <w:color w:val="auto"/>
          <w:sz w:val="21"/>
          <w:szCs w:val="21"/>
          <w:highlight w:val="none"/>
          <w:lang w:eastAsia="zh-CN"/>
        </w:rPr>
        <w:t>条：合同的生效与终止</w:t>
      </w:r>
    </w:p>
    <w:p>
      <w:pPr>
        <w:spacing w:line="480" w:lineRule="exact"/>
        <w:ind w:firstLine="420"/>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sz w:val="18"/>
          <w:szCs w:val="18"/>
          <w:highlight w:val="none"/>
          <w:lang w:eastAsia="zh-CN"/>
        </w:rPr>
        <w:t>本合同一式</w:t>
      </w:r>
      <w:r>
        <w:rPr>
          <w:rFonts w:hint="eastAsia" w:ascii="新宋体" w:hAnsi="新宋体" w:eastAsia="新宋体" w:cs="新宋体"/>
          <w:color w:val="auto"/>
          <w:sz w:val="18"/>
          <w:szCs w:val="18"/>
          <w:highlight w:val="none"/>
          <w:lang w:val="en-US" w:eastAsia="zh-CN"/>
        </w:rPr>
        <w:t>陆</w:t>
      </w:r>
      <w:r>
        <w:rPr>
          <w:rFonts w:hint="eastAsia" w:ascii="新宋体" w:hAnsi="新宋体" w:eastAsia="新宋体" w:cs="新宋体"/>
          <w:color w:val="auto"/>
          <w:sz w:val="18"/>
          <w:szCs w:val="18"/>
          <w:highlight w:val="none"/>
          <w:lang w:eastAsia="zh-CN"/>
        </w:rPr>
        <w:t>份，甲方执肆份，乙方执</w:t>
      </w:r>
      <w:r>
        <w:rPr>
          <w:rFonts w:hint="eastAsia" w:ascii="新宋体" w:hAnsi="新宋体" w:eastAsia="新宋体" w:cs="新宋体"/>
          <w:color w:val="auto"/>
          <w:sz w:val="18"/>
          <w:szCs w:val="18"/>
          <w:highlight w:val="none"/>
          <w:lang w:val="en-US" w:eastAsia="zh-CN"/>
        </w:rPr>
        <w:t>贰</w:t>
      </w:r>
      <w:r>
        <w:rPr>
          <w:rFonts w:hint="eastAsia" w:ascii="新宋体" w:hAnsi="新宋体" w:eastAsia="新宋体" w:cs="新宋体"/>
          <w:color w:val="auto"/>
          <w:sz w:val="18"/>
          <w:szCs w:val="18"/>
          <w:highlight w:val="none"/>
          <w:lang w:eastAsia="zh-CN"/>
        </w:rPr>
        <w:t>份，自双方签字盖章之日起正式生效。</w:t>
      </w:r>
    </w:p>
    <w:p>
      <w:pPr>
        <w:spacing w:line="440" w:lineRule="exact"/>
        <w:ind w:firstLine="0" w:firstLineChars="0"/>
        <w:rPr>
          <w:rFonts w:hint="eastAsia" w:ascii="新宋体" w:hAnsi="新宋体" w:eastAsia="新宋体" w:cs="新宋体"/>
          <w:color w:val="auto"/>
          <w:sz w:val="24"/>
          <w:szCs w:val="28"/>
          <w:highlight w:val="none"/>
          <w:lang w:eastAsia="zh-CN"/>
        </w:rPr>
      </w:pPr>
    </w:p>
    <w:p>
      <w:pPr>
        <w:spacing w:line="440" w:lineRule="exact"/>
        <w:ind w:firstLine="480" w:firstLineChars="200"/>
        <w:rPr>
          <w:rFonts w:hint="eastAsia" w:ascii="新宋体" w:hAnsi="新宋体" w:eastAsia="新宋体" w:cs="新宋体"/>
          <w:color w:val="auto"/>
          <w:sz w:val="24"/>
          <w:szCs w:val="28"/>
          <w:highlight w:val="none"/>
          <w:lang w:eastAsia="zh-CN"/>
        </w:rPr>
      </w:pPr>
    </w:p>
    <w:p>
      <w:pPr>
        <w:spacing w:line="440" w:lineRule="exact"/>
        <w:ind w:firstLine="360" w:firstLineChars="200"/>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甲方（公章）：                   乙方（公章）：</w:t>
      </w:r>
    </w:p>
    <w:p>
      <w:pPr>
        <w:spacing w:line="440" w:lineRule="exact"/>
        <w:ind w:firstLine="360" w:firstLineChars="200"/>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法定代表人：                     法定代表人：</w:t>
      </w:r>
    </w:p>
    <w:p>
      <w:pPr>
        <w:spacing w:line="440" w:lineRule="exact"/>
        <w:ind w:firstLine="360" w:firstLineChars="200"/>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委托代理人：                     委托代理人：</w:t>
      </w:r>
    </w:p>
    <w:p>
      <w:pPr>
        <w:spacing w:line="440" w:lineRule="exact"/>
        <w:ind w:firstLine="360" w:firstLineChars="200"/>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sz w:val="18"/>
          <w:szCs w:val="18"/>
          <w:highlight w:val="none"/>
          <w:lang w:eastAsia="zh-CN"/>
        </w:rPr>
        <w:t>开户银行：                       开户银行：</w:t>
      </w:r>
    </w:p>
    <w:p>
      <w:pPr>
        <w:spacing w:line="440" w:lineRule="exact"/>
        <w:ind w:firstLine="360" w:firstLineChars="200"/>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sz w:val="18"/>
          <w:szCs w:val="18"/>
          <w:highlight w:val="none"/>
          <w:lang w:eastAsia="zh-CN"/>
        </w:rPr>
        <w:t>账号：                           账号：</w:t>
      </w:r>
    </w:p>
    <w:p>
      <w:pPr>
        <w:spacing w:line="440" w:lineRule="exact"/>
        <w:ind w:firstLine="360" w:firstLineChars="200"/>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sz w:val="18"/>
          <w:szCs w:val="18"/>
          <w:highlight w:val="none"/>
          <w:lang w:eastAsia="zh-CN"/>
        </w:rPr>
        <w:t>地址：                           地址：</w:t>
      </w:r>
    </w:p>
    <w:p>
      <w:pPr>
        <w:spacing w:line="440" w:lineRule="exact"/>
        <w:ind w:firstLine="360" w:firstLineChars="200"/>
        <w:rPr>
          <w:rFonts w:hint="eastAsia" w:ascii="新宋体" w:hAnsi="新宋体" w:eastAsia="新宋体" w:cs="新宋体"/>
          <w:color w:val="auto"/>
          <w:sz w:val="18"/>
          <w:szCs w:val="18"/>
          <w:highlight w:val="none"/>
          <w:lang w:eastAsia="zh-CN"/>
        </w:rPr>
      </w:pPr>
      <w:r>
        <w:rPr>
          <w:rFonts w:hint="eastAsia" w:ascii="新宋体" w:hAnsi="新宋体" w:eastAsia="新宋体" w:cs="新宋体"/>
          <w:color w:val="auto"/>
          <w:sz w:val="18"/>
          <w:szCs w:val="18"/>
          <w:highlight w:val="none"/>
          <w:lang w:eastAsia="zh-CN"/>
        </w:rPr>
        <w:t>电    话：                       电    话：</w:t>
      </w:r>
    </w:p>
    <w:p>
      <w:pPr>
        <w:spacing w:line="440" w:lineRule="exact"/>
        <w:ind w:firstLine="360" w:firstLineChars="200"/>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日    期：                       日    期</w:t>
      </w:r>
      <w:r>
        <w:rPr>
          <w:rFonts w:hint="eastAsia" w:ascii="新宋体" w:hAnsi="新宋体" w:eastAsia="新宋体" w:cs="新宋体"/>
          <w:color w:val="auto"/>
          <w:sz w:val="18"/>
          <w:szCs w:val="18"/>
          <w:highlight w:val="none"/>
          <w:lang w:eastAsia="zh-CN"/>
        </w:rPr>
        <w:t>：</w:t>
      </w:r>
    </w:p>
    <w:p>
      <w:pPr>
        <w:rPr>
          <w:rFonts w:hint="eastAsia" w:ascii="新宋体" w:hAnsi="新宋体" w:eastAsia="新宋体" w:cs="新宋体"/>
          <w:color w:val="auto"/>
          <w:highlight w:val="none"/>
        </w:rPr>
      </w:pPr>
    </w:p>
    <w:p>
      <w:pPr>
        <w:rPr>
          <w:rFonts w:hint="eastAsia" w:ascii="新宋体" w:hAnsi="新宋体" w:eastAsia="新宋体" w:cs="新宋体"/>
          <w:color w:val="auto"/>
          <w:highlight w:val="none"/>
        </w:rPr>
      </w:pPr>
    </w:p>
    <w:p>
      <w:pPr>
        <w:rPr>
          <w:rFonts w:hint="eastAsia" w:ascii="新宋体" w:hAnsi="新宋体" w:eastAsia="新宋体" w:cs="新宋体"/>
          <w:color w:val="auto"/>
          <w:highlight w:val="none"/>
        </w:rPr>
      </w:pPr>
      <w:r>
        <w:rPr>
          <w:rFonts w:hint="eastAsia" w:ascii="新宋体" w:hAnsi="新宋体" w:eastAsia="新宋体" w:cs="新宋体"/>
          <w:color w:val="auto"/>
          <w:highlight w:val="none"/>
        </w:rPr>
        <w:br w:type="page"/>
      </w:r>
    </w:p>
    <w:p>
      <w:pPr>
        <w:pStyle w:val="3"/>
        <w:spacing w:line="360" w:lineRule="auto"/>
        <w:jc w:val="center"/>
        <w:rPr>
          <w:rFonts w:hint="eastAsia" w:ascii="新宋体" w:hAnsi="新宋体" w:eastAsia="新宋体" w:cs="新宋体"/>
          <w:color w:val="auto"/>
          <w:highlight w:val="none"/>
        </w:rPr>
      </w:pPr>
      <w:r>
        <w:rPr>
          <w:rFonts w:hint="eastAsia" w:ascii="新宋体" w:hAnsi="新宋体" w:eastAsia="新宋体" w:cs="新宋体"/>
          <w:color w:val="auto"/>
          <w:highlight w:val="none"/>
        </w:rPr>
        <w:t xml:space="preserve">第五章  </w:t>
      </w:r>
      <w:bookmarkStart w:id="608" w:name="_Toc57820644"/>
      <w:bookmarkEnd w:id="600"/>
      <w:bookmarkEnd w:id="601"/>
      <w:bookmarkEnd w:id="602"/>
      <w:bookmarkEnd w:id="603"/>
      <w:bookmarkEnd w:id="604"/>
      <w:bookmarkEnd w:id="605"/>
      <w:r>
        <w:rPr>
          <w:rFonts w:hint="eastAsia" w:ascii="新宋体" w:hAnsi="新宋体" w:eastAsia="新宋体" w:cs="新宋体"/>
          <w:color w:val="auto"/>
          <w:highlight w:val="none"/>
        </w:rPr>
        <w:t>技术标准和要求</w:t>
      </w:r>
      <w:bookmarkEnd w:id="608"/>
      <w:bookmarkStart w:id="609" w:name="招标文件07章技术标准和要求01"/>
      <w:bookmarkEnd w:id="609"/>
      <w:bookmarkStart w:id="610" w:name="_Toc287620808"/>
      <w:bookmarkStart w:id="611" w:name="_Toc430530524"/>
    </w:p>
    <w:bookmarkEnd w:id="610"/>
    <w:bookmarkEnd w:id="611"/>
    <w:p>
      <w:pPr>
        <w:spacing w:line="336" w:lineRule="auto"/>
        <w:ind w:firstLine="484" w:firstLineChars="201"/>
        <w:rPr>
          <w:rFonts w:hint="eastAsia" w:ascii="新宋体" w:hAnsi="新宋体" w:eastAsia="新宋体" w:cs="新宋体"/>
          <w:b/>
          <w:color w:val="auto"/>
          <w:sz w:val="24"/>
          <w:szCs w:val="24"/>
          <w:highlight w:val="none"/>
        </w:rPr>
      </w:pPr>
      <w:bookmarkStart w:id="612" w:name="_Toc42072245"/>
      <w:r>
        <w:rPr>
          <w:rFonts w:hint="eastAsia" w:ascii="新宋体" w:hAnsi="新宋体" w:eastAsia="新宋体" w:cs="新宋体"/>
          <w:b/>
          <w:color w:val="auto"/>
          <w:sz w:val="24"/>
          <w:szCs w:val="24"/>
          <w:highlight w:val="none"/>
          <w:lang w:val="en-US" w:eastAsia="zh-CN"/>
        </w:rPr>
        <w:t>一、</w:t>
      </w:r>
      <w:r>
        <w:rPr>
          <w:rFonts w:hint="eastAsia" w:ascii="新宋体" w:hAnsi="新宋体" w:eastAsia="新宋体" w:cs="新宋体"/>
          <w:b/>
          <w:color w:val="auto"/>
          <w:sz w:val="24"/>
          <w:szCs w:val="24"/>
          <w:highlight w:val="none"/>
        </w:rPr>
        <w:t>LNG储罐★</w:t>
      </w:r>
    </w:p>
    <w:p>
      <w:pPr>
        <w:spacing w:line="336" w:lineRule="auto"/>
        <w:ind w:firstLine="422" w:firstLineChars="201"/>
        <w:rPr>
          <w:rFonts w:hint="eastAsia" w:ascii="新宋体" w:hAnsi="新宋体" w:eastAsia="新宋体" w:cs="新宋体"/>
          <w:bCs/>
          <w:color w:val="auto"/>
          <w:sz w:val="21"/>
          <w:szCs w:val="21"/>
          <w:highlight w:val="none"/>
        </w:rPr>
      </w:pPr>
      <w:r>
        <w:rPr>
          <w:rFonts w:hint="eastAsia" w:ascii="新宋体" w:hAnsi="新宋体" w:eastAsia="新宋体" w:cs="新宋体"/>
          <w:bCs/>
          <w:color w:val="auto"/>
          <w:sz w:val="21"/>
          <w:szCs w:val="21"/>
          <w:highlight w:val="none"/>
        </w:rPr>
        <w:t>全容积60m</w:t>
      </w:r>
      <w:r>
        <w:rPr>
          <w:rFonts w:hint="eastAsia" w:ascii="新宋体" w:hAnsi="新宋体" w:eastAsia="新宋体" w:cs="新宋体"/>
          <w:bCs/>
          <w:color w:val="auto"/>
          <w:sz w:val="21"/>
          <w:szCs w:val="21"/>
          <w:highlight w:val="none"/>
          <w:vertAlign w:val="superscript"/>
        </w:rPr>
        <w:t>3</w:t>
      </w:r>
      <w:r>
        <w:rPr>
          <w:rFonts w:hint="eastAsia" w:ascii="新宋体" w:hAnsi="新宋体" w:eastAsia="新宋体" w:cs="新宋体"/>
          <w:bCs/>
          <w:color w:val="auto"/>
          <w:sz w:val="21"/>
          <w:szCs w:val="21"/>
          <w:highlight w:val="none"/>
        </w:rPr>
        <w:t>，设计压力≥1.44Mpa、工作压力≥1.2Mpa、日蒸发率≤0.35%。要求保温性能高，真空稳定性好，LNG日损耗低。</w:t>
      </w:r>
    </w:p>
    <w:p>
      <w:pPr>
        <w:spacing w:line="336" w:lineRule="auto"/>
        <w:ind w:firstLine="484" w:firstLineChars="201"/>
        <w:rPr>
          <w:rFonts w:hint="eastAsia" w:ascii="新宋体" w:hAnsi="新宋体" w:eastAsia="新宋体" w:cs="新宋体"/>
          <w:b/>
          <w:color w:val="auto"/>
          <w:sz w:val="24"/>
          <w:szCs w:val="24"/>
          <w:highlight w:val="none"/>
          <w:lang w:val="en-US" w:eastAsia="zh-CN"/>
        </w:rPr>
      </w:pPr>
      <w:r>
        <w:rPr>
          <w:rFonts w:hint="eastAsia" w:ascii="新宋体" w:hAnsi="新宋体" w:eastAsia="新宋体" w:cs="新宋体"/>
          <w:b/>
          <w:color w:val="auto"/>
          <w:sz w:val="24"/>
          <w:szCs w:val="24"/>
          <w:highlight w:val="none"/>
          <w:lang w:val="en-US" w:eastAsia="zh-CN"/>
        </w:rPr>
        <w:t>二、LNG潜液泵及泵池★</w:t>
      </w:r>
    </w:p>
    <w:p>
      <w:pPr>
        <w:spacing w:line="336" w:lineRule="auto"/>
        <w:ind w:firstLine="422" w:firstLineChars="201"/>
        <w:rPr>
          <w:rFonts w:hint="eastAsia" w:ascii="新宋体" w:hAnsi="新宋体" w:eastAsia="新宋体" w:cs="新宋体"/>
          <w:bCs/>
          <w:color w:val="auto"/>
          <w:sz w:val="21"/>
          <w:szCs w:val="21"/>
          <w:highlight w:val="none"/>
        </w:rPr>
      </w:pPr>
      <w:r>
        <w:rPr>
          <w:rFonts w:hint="eastAsia" w:ascii="新宋体" w:hAnsi="新宋体" w:eastAsia="新宋体" w:cs="新宋体"/>
          <w:bCs/>
          <w:color w:val="auto"/>
          <w:sz w:val="21"/>
          <w:szCs w:val="21"/>
          <w:highlight w:val="none"/>
          <w:lang w:eastAsia="zh-CN"/>
        </w:rPr>
        <w:t>（</w:t>
      </w:r>
      <w:r>
        <w:rPr>
          <w:rFonts w:hint="eastAsia" w:ascii="新宋体" w:hAnsi="新宋体" w:eastAsia="新宋体" w:cs="新宋体"/>
          <w:bCs/>
          <w:color w:val="auto"/>
          <w:sz w:val="21"/>
          <w:szCs w:val="21"/>
          <w:highlight w:val="none"/>
          <w:lang w:val="en-US" w:eastAsia="zh-CN"/>
        </w:rPr>
        <w:t>1</w:t>
      </w:r>
      <w:r>
        <w:rPr>
          <w:rFonts w:hint="eastAsia" w:ascii="新宋体" w:hAnsi="新宋体" w:eastAsia="新宋体" w:cs="新宋体"/>
          <w:bCs/>
          <w:color w:val="auto"/>
          <w:sz w:val="21"/>
          <w:szCs w:val="21"/>
          <w:highlight w:val="none"/>
          <w:lang w:eastAsia="zh-CN"/>
        </w:rPr>
        <w:t>）</w:t>
      </w:r>
      <w:r>
        <w:rPr>
          <w:rFonts w:hint="eastAsia" w:ascii="新宋体" w:hAnsi="新宋体" w:eastAsia="新宋体" w:cs="新宋体"/>
          <w:bCs/>
          <w:color w:val="auto"/>
          <w:sz w:val="21"/>
          <w:szCs w:val="21"/>
          <w:highlight w:val="none"/>
        </w:rPr>
        <w:t>浸没式离心泵：流量≥330L/分钟，功率≥11kw，转速≥6000转/分钟，应采用品ACD、低温之星低温之星品牌产品。</w:t>
      </w:r>
    </w:p>
    <w:p>
      <w:pPr>
        <w:spacing w:line="336" w:lineRule="auto"/>
        <w:ind w:firstLine="422" w:firstLineChars="201"/>
        <w:rPr>
          <w:rFonts w:hint="eastAsia" w:ascii="新宋体" w:hAnsi="新宋体" w:eastAsia="新宋体" w:cs="新宋体"/>
          <w:bCs/>
          <w:color w:val="auto"/>
          <w:sz w:val="21"/>
          <w:szCs w:val="21"/>
          <w:highlight w:val="none"/>
        </w:rPr>
      </w:pPr>
      <w:r>
        <w:rPr>
          <w:rFonts w:hint="eastAsia" w:ascii="新宋体" w:hAnsi="新宋体" w:eastAsia="新宋体" w:cs="新宋体"/>
          <w:bCs/>
          <w:color w:val="auto"/>
          <w:sz w:val="21"/>
          <w:szCs w:val="21"/>
          <w:highlight w:val="none"/>
          <w:lang w:eastAsia="zh-CN"/>
        </w:rPr>
        <w:t>（</w:t>
      </w:r>
      <w:r>
        <w:rPr>
          <w:rFonts w:hint="eastAsia" w:ascii="新宋体" w:hAnsi="新宋体" w:eastAsia="新宋体" w:cs="新宋体"/>
          <w:bCs/>
          <w:color w:val="auto"/>
          <w:sz w:val="21"/>
          <w:szCs w:val="21"/>
          <w:highlight w:val="none"/>
          <w:lang w:val="en-US" w:eastAsia="zh-CN"/>
        </w:rPr>
        <w:t>2</w:t>
      </w:r>
      <w:r>
        <w:rPr>
          <w:rFonts w:hint="eastAsia" w:ascii="新宋体" w:hAnsi="新宋体" w:eastAsia="新宋体" w:cs="新宋体"/>
          <w:bCs/>
          <w:color w:val="auto"/>
          <w:sz w:val="21"/>
          <w:szCs w:val="21"/>
          <w:highlight w:val="none"/>
          <w:lang w:eastAsia="zh-CN"/>
        </w:rPr>
        <w:t>）</w:t>
      </w:r>
      <w:r>
        <w:rPr>
          <w:rFonts w:hint="eastAsia" w:ascii="新宋体" w:hAnsi="新宋体" w:eastAsia="新宋体" w:cs="新宋体"/>
          <w:bCs/>
          <w:color w:val="auto"/>
          <w:sz w:val="21"/>
          <w:szCs w:val="21"/>
          <w:highlight w:val="none"/>
        </w:rPr>
        <w:t>集成安装于设备泵撬内，满足增压卸车和泵卸车两种要求</w:t>
      </w:r>
      <w:r>
        <w:rPr>
          <w:rFonts w:hint="eastAsia" w:ascii="新宋体" w:hAnsi="新宋体" w:eastAsia="新宋体" w:cs="新宋体"/>
          <w:bCs/>
          <w:color w:val="auto"/>
          <w:sz w:val="21"/>
          <w:szCs w:val="21"/>
          <w:highlight w:val="none"/>
          <w:lang w:val="en-US" w:eastAsia="zh-CN"/>
        </w:rPr>
        <w:t>。</w:t>
      </w:r>
    </w:p>
    <w:p>
      <w:pPr>
        <w:spacing w:line="336" w:lineRule="auto"/>
        <w:ind w:firstLine="422" w:firstLineChars="201"/>
        <w:rPr>
          <w:rFonts w:hint="eastAsia" w:ascii="新宋体" w:hAnsi="新宋体" w:eastAsia="新宋体" w:cs="新宋体"/>
          <w:bCs/>
          <w:color w:val="auto"/>
          <w:sz w:val="21"/>
          <w:szCs w:val="21"/>
          <w:highlight w:val="none"/>
        </w:rPr>
      </w:pPr>
      <w:r>
        <w:rPr>
          <w:rFonts w:hint="eastAsia" w:ascii="新宋体" w:hAnsi="新宋体" w:eastAsia="新宋体" w:cs="新宋体"/>
          <w:bCs/>
          <w:color w:val="auto"/>
          <w:sz w:val="21"/>
          <w:szCs w:val="21"/>
          <w:highlight w:val="none"/>
          <w:lang w:eastAsia="zh-CN"/>
        </w:rPr>
        <w:t>（</w:t>
      </w:r>
      <w:r>
        <w:rPr>
          <w:rFonts w:hint="eastAsia" w:ascii="新宋体" w:hAnsi="新宋体" w:eastAsia="新宋体" w:cs="新宋体"/>
          <w:bCs/>
          <w:color w:val="auto"/>
          <w:sz w:val="21"/>
          <w:szCs w:val="21"/>
          <w:highlight w:val="none"/>
          <w:lang w:val="en-US" w:eastAsia="zh-CN"/>
        </w:rPr>
        <w:t>3</w:t>
      </w:r>
      <w:r>
        <w:rPr>
          <w:rFonts w:hint="eastAsia" w:ascii="新宋体" w:hAnsi="新宋体" w:eastAsia="新宋体" w:cs="新宋体"/>
          <w:bCs/>
          <w:color w:val="auto"/>
          <w:sz w:val="21"/>
          <w:szCs w:val="21"/>
          <w:highlight w:val="none"/>
          <w:lang w:eastAsia="zh-CN"/>
        </w:rPr>
        <w:t>）</w:t>
      </w:r>
      <w:r>
        <w:rPr>
          <w:rFonts w:hint="eastAsia" w:ascii="新宋体" w:hAnsi="新宋体" w:eastAsia="新宋体" w:cs="新宋体"/>
          <w:bCs/>
          <w:color w:val="auto"/>
          <w:sz w:val="21"/>
          <w:szCs w:val="21"/>
          <w:highlight w:val="none"/>
        </w:rPr>
        <w:t>相关配置包括：变频调速器、气蚀保护装置、超压超温自动停泵装置、温度和压力检测仪表等，变频器应采用品质SIEMENS西门子、ABB、施耐德等品牌产品。</w:t>
      </w:r>
    </w:p>
    <w:p>
      <w:pPr>
        <w:spacing w:line="336" w:lineRule="auto"/>
        <w:ind w:firstLine="422" w:firstLineChars="201"/>
        <w:rPr>
          <w:rFonts w:hint="eastAsia" w:ascii="新宋体" w:hAnsi="新宋体" w:eastAsia="新宋体" w:cs="新宋体"/>
          <w:bCs/>
          <w:color w:val="auto"/>
          <w:sz w:val="21"/>
          <w:szCs w:val="21"/>
          <w:highlight w:val="none"/>
        </w:rPr>
      </w:pPr>
      <w:r>
        <w:rPr>
          <w:rFonts w:hint="eastAsia" w:ascii="新宋体" w:hAnsi="新宋体" w:eastAsia="新宋体" w:cs="新宋体"/>
          <w:bCs/>
          <w:color w:val="auto"/>
          <w:sz w:val="21"/>
          <w:szCs w:val="21"/>
          <w:highlight w:val="none"/>
          <w:lang w:eastAsia="zh-CN"/>
        </w:rPr>
        <w:t>（</w:t>
      </w:r>
      <w:r>
        <w:rPr>
          <w:rFonts w:hint="eastAsia" w:ascii="新宋体" w:hAnsi="新宋体" w:eastAsia="新宋体" w:cs="新宋体"/>
          <w:bCs/>
          <w:color w:val="auto"/>
          <w:sz w:val="21"/>
          <w:szCs w:val="21"/>
          <w:highlight w:val="none"/>
          <w:lang w:val="en-US" w:eastAsia="zh-CN"/>
        </w:rPr>
        <w:t>4</w:t>
      </w:r>
      <w:r>
        <w:rPr>
          <w:rFonts w:hint="eastAsia" w:ascii="新宋体" w:hAnsi="新宋体" w:eastAsia="新宋体" w:cs="新宋体"/>
          <w:bCs/>
          <w:color w:val="auto"/>
          <w:sz w:val="21"/>
          <w:szCs w:val="21"/>
          <w:highlight w:val="none"/>
          <w:lang w:eastAsia="zh-CN"/>
        </w:rPr>
        <w:t>）</w:t>
      </w:r>
      <w:r>
        <w:rPr>
          <w:rFonts w:hint="eastAsia" w:ascii="新宋体" w:hAnsi="新宋体" w:eastAsia="新宋体" w:cs="新宋体"/>
          <w:bCs/>
          <w:color w:val="auto"/>
          <w:sz w:val="21"/>
          <w:szCs w:val="21"/>
          <w:highlight w:val="none"/>
        </w:rPr>
        <w:t>泵池：高真空多层绝热，工作压力1.6Mpa。</w:t>
      </w:r>
    </w:p>
    <w:p>
      <w:pPr>
        <w:spacing w:line="336" w:lineRule="auto"/>
        <w:ind w:firstLine="484" w:firstLineChars="201"/>
        <w:rPr>
          <w:rFonts w:hint="eastAsia" w:ascii="新宋体" w:hAnsi="新宋体" w:eastAsia="新宋体" w:cs="新宋体"/>
          <w:b/>
          <w:color w:val="auto"/>
          <w:sz w:val="24"/>
          <w:szCs w:val="24"/>
          <w:highlight w:val="none"/>
          <w:lang w:val="en-US" w:eastAsia="zh-CN"/>
        </w:rPr>
      </w:pPr>
      <w:r>
        <w:rPr>
          <w:rFonts w:hint="eastAsia" w:ascii="新宋体" w:hAnsi="新宋体" w:eastAsia="新宋体" w:cs="新宋体"/>
          <w:b/>
          <w:color w:val="auto"/>
          <w:sz w:val="24"/>
          <w:szCs w:val="24"/>
          <w:highlight w:val="none"/>
          <w:lang w:val="en-US" w:eastAsia="zh-CN"/>
        </w:rPr>
        <w:t>三、LNG加气机★</w:t>
      </w:r>
    </w:p>
    <w:p>
      <w:pPr>
        <w:spacing w:line="336" w:lineRule="auto"/>
        <w:ind w:firstLine="422" w:firstLineChars="201"/>
        <w:rPr>
          <w:rFonts w:hint="eastAsia" w:ascii="新宋体" w:hAnsi="新宋体" w:eastAsia="新宋体" w:cs="新宋体"/>
          <w:bCs/>
          <w:color w:val="auto"/>
          <w:sz w:val="21"/>
          <w:szCs w:val="21"/>
          <w:highlight w:val="none"/>
          <w:lang w:eastAsia="zh-CN"/>
        </w:rPr>
      </w:pPr>
      <w:r>
        <w:rPr>
          <w:rFonts w:hint="eastAsia" w:ascii="新宋体" w:hAnsi="新宋体" w:eastAsia="新宋体" w:cs="新宋体"/>
          <w:bCs/>
          <w:color w:val="auto"/>
          <w:sz w:val="21"/>
          <w:szCs w:val="21"/>
          <w:highlight w:val="none"/>
          <w:lang w:eastAsia="zh-CN"/>
        </w:rPr>
        <w:t>（</w:t>
      </w:r>
      <w:r>
        <w:rPr>
          <w:rFonts w:hint="eastAsia" w:ascii="新宋体" w:hAnsi="新宋体" w:eastAsia="新宋体" w:cs="新宋体"/>
          <w:bCs/>
          <w:color w:val="auto"/>
          <w:sz w:val="21"/>
          <w:szCs w:val="21"/>
          <w:highlight w:val="none"/>
          <w:lang w:val="en-US" w:eastAsia="zh-CN"/>
        </w:rPr>
        <w:t>1</w:t>
      </w:r>
      <w:r>
        <w:rPr>
          <w:rFonts w:hint="eastAsia" w:ascii="新宋体" w:hAnsi="新宋体" w:eastAsia="新宋体" w:cs="新宋体"/>
          <w:bCs/>
          <w:color w:val="auto"/>
          <w:sz w:val="21"/>
          <w:szCs w:val="21"/>
          <w:highlight w:val="none"/>
          <w:lang w:eastAsia="zh-CN"/>
        </w:rPr>
        <w:t>）管理软件具备计量、收费、管理等功能，并可按买方要求定制一卡通管理系统。</w:t>
      </w:r>
    </w:p>
    <w:p>
      <w:pPr>
        <w:spacing w:line="336" w:lineRule="auto"/>
        <w:ind w:firstLine="422" w:firstLineChars="201"/>
        <w:rPr>
          <w:rFonts w:hint="eastAsia" w:ascii="新宋体" w:hAnsi="新宋体" w:eastAsia="新宋体" w:cs="新宋体"/>
          <w:bCs/>
          <w:color w:val="auto"/>
          <w:sz w:val="21"/>
          <w:szCs w:val="21"/>
          <w:highlight w:val="none"/>
          <w:lang w:eastAsia="zh-CN"/>
        </w:rPr>
      </w:pPr>
      <w:r>
        <w:rPr>
          <w:rFonts w:hint="eastAsia" w:ascii="新宋体" w:hAnsi="新宋体" w:eastAsia="新宋体" w:cs="新宋体"/>
          <w:bCs/>
          <w:color w:val="auto"/>
          <w:sz w:val="21"/>
          <w:szCs w:val="21"/>
          <w:highlight w:val="none"/>
          <w:lang w:eastAsia="zh-CN"/>
        </w:rPr>
        <w:t>（</w:t>
      </w:r>
      <w:r>
        <w:rPr>
          <w:rFonts w:hint="eastAsia" w:ascii="新宋体" w:hAnsi="新宋体" w:eastAsia="新宋体" w:cs="新宋体"/>
          <w:bCs/>
          <w:color w:val="auto"/>
          <w:sz w:val="21"/>
          <w:szCs w:val="21"/>
          <w:highlight w:val="none"/>
          <w:lang w:val="en-US" w:eastAsia="zh-CN"/>
        </w:rPr>
        <w:t>2</w:t>
      </w:r>
      <w:r>
        <w:rPr>
          <w:rFonts w:hint="eastAsia" w:ascii="新宋体" w:hAnsi="新宋体" w:eastAsia="新宋体" w:cs="新宋体"/>
          <w:bCs/>
          <w:color w:val="auto"/>
          <w:sz w:val="21"/>
          <w:szCs w:val="21"/>
          <w:highlight w:val="none"/>
          <w:lang w:eastAsia="zh-CN"/>
        </w:rPr>
        <w:t>）流量计：配置加液流量计和回气流量计。</w:t>
      </w:r>
    </w:p>
    <w:p>
      <w:pPr>
        <w:spacing w:line="336" w:lineRule="auto"/>
        <w:ind w:firstLine="422" w:firstLineChars="201"/>
        <w:rPr>
          <w:rFonts w:hint="eastAsia" w:ascii="新宋体" w:hAnsi="新宋体" w:eastAsia="新宋体" w:cs="新宋体"/>
          <w:bCs/>
          <w:color w:val="auto"/>
          <w:sz w:val="21"/>
          <w:szCs w:val="21"/>
          <w:highlight w:val="none"/>
          <w:lang w:eastAsia="zh-CN"/>
        </w:rPr>
      </w:pPr>
      <w:r>
        <w:rPr>
          <w:rFonts w:hint="eastAsia" w:ascii="新宋体" w:hAnsi="新宋体" w:eastAsia="新宋体" w:cs="新宋体"/>
          <w:bCs/>
          <w:color w:val="auto"/>
          <w:sz w:val="21"/>
          <w:szCs w:val="21"/>
          <w:highlight w:val="none"/>
          <w:lang w:eastAsia="zh-CN"/>
        </w:rPr>
        <w:t>（</w:t>
      </w:r>
      <w:r>
        <w:rPr>
          <w:rFonts w:hint="eastAsia" w:ascii="新宋体" w:hAnsi="新宋体" w:eastAsia="新宋体" w:cs="新宋体"/>
          <w:bCs/>
          <w:color w:val="auto"/>
          <w:sz w:val="21"/>
          <w:szCs w:val="21"/>
          <w:highlight w:val="none"/>
          <w:lang w:val="en-US" w:eastAsia="zh-CN"/>
        </w:rPr>
        <w:t>3</w:t>
      </w:r>
      <w:r>
        <w:rPr>
          <w:rFonts w:hint="eastAsia" w:ascii="新宋体" w:hAnsi="新宋体" w:eastAsia="新宋体" w:cs="新宋体"/>
          <w:bCs/>
          <w:color w:val="auto"/>
          <w:sz w:val="21"/>
          <w:szCs w:val="21"/>
          <w:highlight w:val="none"/>
          <w:lang w:eastAsia="zh-CN"/>
        </w:rPr>
        <w:t>）流量计要求质量高、计量规范、效率高，使用寿命长，系统稳定。加液流量计应采用品质等于或高于艾默生品牌产品。</w:t>
      </w:r>
    </w:p>
    <w:p>
      <w:pPr>
        <w:spacing w:line="336" w:lineRule="auto"/>
        <w:ind w:firstLine="422" w:firstLineChars="201"/>
        <w:rPr>
          <w:rFonts w:hint="eastAsia" w:ascii="新宋体" w:hAnsi="新宋体" w:eastAsia="新宋体" w:cs="新宋体"/>
          <w:bCs/>
          <w:color w:val="auto"/>
          <w:sz w:val="21"/>
          <w:szCs w:val="21"/>
          <w:highlight w:val="none"/>
          <w:lang w:eastAsia="zh-CN"/>
        </w:rPr>
      </w:pPr>
      <w:r>
        <w:rPr>
          <w:rFonts w:hint="eastAsia" w:ascii="新宋体" w:hAnsi="新宋体" w:eastAsia="新宋体" w:cs="新宋体"/>
          <w:bCs/>
          <w:color w:val="auto"/>
          <w:sz w:val="21"/>
          <w:szCs w:val="21"/>
          <w:highlight w:val="none"/>
          <w:lang w:eastAsia="zh-CN"/>
        </w:rPr>
        <w:t>（</w:t>
      </w:r>
      <w:r>
        <w:rPr>
          <w:rFonts w:hint="eastAsia" w:ascii="新宋体" w:hAnsi="新宋体" w:eastAsia="新宋体" w:cs="新宋体"/>
          <w:bCs/>
          <w:color w:val="auto"/>
          <w:sz w:val="21"/>
          <w:szCs w:val="21"/>
          <w:highlight w:val="none"/>
          <w:lang w:val="en-US" w:eastAsia="zh-CN"/>
        </w:rPr>
        <w:t>4</w:t>
      </w:r>
      <w:r>
        <w:rPr>
          <w:rFonts w:hint="eastAsia" w:ascii="新宋体" w:hAnsi="新宋体" w:eastAsia="新宋体" w:cs="新宋体"/>
          <w:bCs/>
          <w:color w:val="auto"/>
          <w:sz w:val="21"/>
          <w:szCs w:val="21"/>
          <w:highlight w:val="none"/>
          <w:lang w:eastAsia="zh-CN"/>
        </w:rPr>
        <w:t>）计量误差≤±1.</w:t>
      </w:r>
      <w:r>
        <w:rPr>
          <w:rFonts w:hint="eastAsia" w:ascii="新宋体" w:hAnsi="新宋体" w:eastAsia="新宋体" w:cs="新宋体"/>
          <w:bCs/>
          <w:color w:val="auto"/>
          <w:sz w:val="21"/>
          <w:szCs w:val="21"/>
          <w:highlight w:val="none"/>
          <w:lang w:val="en-US" w:eastAsia="zh-CN"/>
        </w:rPr>
        <w:t>5</w:t>
      </w:r>
      <w:r>
        <w:rPr>
          <w:rFonts w:hint="eastAsia" w:ascii="新宋体" w:hAnsi="新宋体" w:eastAsia="新宋体" w:cs="新宋体"/>
          <w:bCs/>
          <w:color w:val="auto"/>
          <w:sz w:val="21"/>
          <w:szCs w:val="21"/>
          <w:highlight w:val="none"/>
          <w:lang w:eastAsia="zh-CN"/>
        </w:rPr>
        <w:t>%。</w:t>
      </w:r>
    </w:p>
    <w:p>
      <w:pPr>
        <w:spacing w:line="336" w:lineRule="auto"/>
        <w:ind w:firstLine="422" w:firstLineChars="201"/>
        <w:rPr>
          <w:rFonts w:hint="eastAsia" w:ascii="新宋体" w:hAnsi="新宋体" w:eastAsia="新宋体" w:cs="新宋体"/>
          <w:bCs/>
          <w:color w:val="auto"/>
          <w:sz w:val="21"/>
          <w:szCs w:val="21"/>
          <w:highlight w:val="none"/>
          <w:lang w:eastAsia="zh-CN"/>
        </w:rPr>
      </w:pPr>
      <w:r>
        <w:rPr>
          <w:rFonts w:hint="eastAsia" w:ascii="新宋体" w:hAnsi="新宋体" w:eastAsia="新宋体" w:cs="新宋体"/>
          <w:bCs/>
          <w:color w:val="auto"/>
          <w:sz w:val="21"/>
          <w:szCs w:val="21"/>
          <w:highlight w:val="none"/>
          <w:lang w:eastAsia="zh-CN"/>
        </w:rPr>
        <w:t>（</w:t>
      </w:r>
      <w:r>
        <w:rPr>
          <w:rFonts w:hint="eastAsia" w:ascii="新宋体" w:hAnsi="新宋体" w:eastAsia="新宋体" w:cs="新宋体"/>
          <w:bCs/>
          <w:color w:val="auto"/>
          <w:sz w:val="21"/>
          <w:szCs w:val="21"/>
          <w:highlight w:val="none"/>
          <w:lang w:val="en-US" w:eastAsia="zh-CN"/>
        </w:rPr>
        <w:t>5</w:t>
      </w:r>
      <w:r>
        <w:rPr>
          <w:rFonts w:hint="eastAsia" w:ascii="新宋体" w:hAnsi="新宋体" w:eastAsia="新宋体" w:cs="新宋体"/>
          <w:bCs/>
          <w:color w:val="auto"/>
          <w:sz w:val="21"/>
          <w:szCs w:val="21"/>
          <w:highlight w:val="none"/>
          <w:lang w:eastAsia="zh-CN"/>
        </w:rPr>
        <w:t>）具备各自独立加气功能。单台加气机配置1把加液枪和1把回气枪，配置4米长加液和回气软管，加气管道配置拉断阀，配置小票打印机。</w:t>
      </w:r>
    </w:p>
    <w:p>
      <w:pPr>
        <w:spacing w:line="336" w:lineRule="auto"/>
        <w:ind w:firstLine="422" w:firstLineChars="201"/>
        <w:rPr>
          <w:rFonts w:hint="eastAsia" w:ascii="新宋体" w:hAnsi="新宋体" w:eastAsia="新宋体" w:cs="新宋体"/>
          <w:bCs/>
          <w:color w:val="auto"/>
          <w:sz w:val="21"/>
          <w:szCs w:val="21"/>
          <w:highlight w:val="none"/>
          <w:lang w:eastAsia="zh-CN"/>
        </w:rPr>
      </w:pPr>
      <w:r>
        <w:rPr>
          <w:rFonts w:hint="eastAsia" w:ascii="新宋体" w:hAnsi="新宋体" w:eastAsia="新宋体" w:cs="新宋体"/>
          <w:bCs/>
          <w:color w:val="auto"/>
          <w:sz w:val="21"/>
          <w:szCs w:val="21"/>
          <w:highlight w:val="none"/>
          <w:lang w:eastAsia="zh-CN"/>
        </w:rPr>
        <w:t>（</w:t>
      </w:r>
      <w:r>
        <w:rPr>
          <w:rFonts w:hint="eastAsia" w:ascii="新宋体" w:hAnsi="新宋体" w:eastAsia="新宋体" w:cs="新宋体"/>
          <w:bCs/>
          <w:color w:val="auto"/>
          <w:sz w:val="21"/>
          <w:szCs w:val="21"/>
          <w:highlight w:val="none"/>
          <w:lang w:val="en-US" w:eastAsia="zh-CN"/>
        </w:rPr>
        <w:t>6</w:t>
      </w:r>
      <w:r>
        <w:rPr>
          <w:rFonts w:hint="eastAsia" w:ascii="新宋体" w:hAnsi="新宋体" w:eastAsia="新宋体" w:cs="新宋体"/>
          <w:bCs/>
          <w:color w:val="auto"/>
          <w:sz w:val="21"/>
          <w:szCs w:val="21"/>
          <w:highlight w:val="none"/>
          <w:lang w:eastAsia="zh-CN"/>
        </w:rPr>
        <w:t>）加气机须提供防爆合格证、型评报告</w:t>
      </w:r>
    </w:p>
    <w:p>
      <w:pPr>
        <w:spacing w:line="336" w:lineRule="auto"/>
        <w:ind w:firstLine="484" w:firstLineChars="201"/>
        <w:rPr>
          <w:rFonts w:hint="eastAsia" w:ascii="新宋体" w:hAnsi="新宋体" w:eastAsia="新宋体" w:cs="新宋体"/>
          <w:b/>
          <w:color w:val="auto"/>
          <w:sz w:val="24"/>
          <w:szCs w:val="24"/>
          <w:highlight w:val="none"/>
          <w:lang w:val="en-US" w:eastAsia="zh-CN"/>
        </w:rPr>
      </w:pPr>
      <w:r>
        <w:rPr>
          <w:rFonts w:hint="eastAsia" w:ascii="新宋体" w:hAnsi="新宋体" w:eastAsia="新宋体" w:cs="新宋体"/>
          <w:b/>
          <w:color w:val="auto"/>
          <w:sz w:val="24"/>
          <w:szCs w:val="24"/>
          <w:highlight w:val="none"/>
          <w:lang w:val="en-US" w:eastAsia="zh-CN"/>
        </w:rPr>
        <w:t>四、组合增压器</w:t>
      </w:r>
    </w:p>
    <w:p>
      <w:pPr>
        <w:spacing w:line="336" w:lineRule="auto"/>
        <w:ind w:firstLine="422" w:firstLineChars="201"/>
        <w:rPr>
          <w:rFonts w:hint="eastAsia" w:ascii="新宋体" w:hAnsi="新宋体" w:eastAsia="新宋体" w:cs="新宋体"/>
          <w:bCs/>
          <w:color w:val="auto"/>
          <w:sz w:val="21"/>
          <w:szCs w:val="21"/>
          <w:highlight w:val="none"/>
          <w:lang w:eastAsia="zh-CN"/>
        </w:rPr>
      </w:pPr>
      <w:r>
        <w:rPr>
          <w:rFonts w:hint="eastAsia" w:ascii="新宋体" w:hAnsi="新宋体" w:eastAsia="新宋体" w:cs="新宋体"/>
          <w:bCs/>
          <w:color w:val="auto"/>
          <w:sz w:val="21"/>
          <w:szCs w:val="21"/>
          <w:highlight w:val="none"/>
          <w:lang w:eastAsia="zh-CN"/>
        </w:rPr>
        <w:t>（</w:t>
      </w:r>
      <w:r>
        <w:rPr>
          <w:rFonts w:hint="eastAsia" w:ascii="新宋体" w:hAnsi="新宋体" w:eastAsia="新宋体" w:cs="新宋体"/>
          <w:bCs/>
          <w:color w:val="auto"/>
          <w:sz w:val="21"/>
          <w:szCs w:val="21"/>
          <w:highlight w:val="none"/>
          <w:lang w:val="en-US" w:eastAsia="zh-CN"/>
        </w:rPr>
        <w:t>1</w:t>
      </w:r>
      <w:r>
        <w:rPr>
          <w:rFonts w:hint="eastAsia" w:ascii="新宋体" w:hAnsi="新宋体" w:eastAsia="新宋体" w:cs="新宋体"/>
          <w:bCs/>
          <w:color w:val="auto"/>
          <w:sz w:val="21"/>
          <w:szCs w:val="21"/>
          <w:highlight w:val="none"/>
          <w:lang w:eastAsia="zh-CN"/>
        </w:rPr>
        <w:t>）卸车增压器：空温卧式或移动式，气化量300Nm3/h，工作压力1.6Mpa，设计温度-196℃，主体材质：铝翅片。</w:t>
      </w:r>
    </w:p>
    <w:p>
      <w:pPr>
        <w:spacing w:line="336" w:lineRule="auto"/>
        <w:ind w:firstLine="422" w:firstLineChars="201"/>
        <w:rPr>
          <w:rFonts w:hint="eastAsia" w:ascii="新宋体" w:hAnsi="新宋体" w:eastAsia="新宋体" w:cs="新宋体"/>
          <w:bCs/>
          <w:color w:val="auto"/>
          <w:sz w:val="21"/>
          <w:szCs w:val="21"/>
          <w:highlight w:val="none"/>
          <w:lang w:eastAsia="zh-CN"/>
        </w:rPr>
      </w:pPr>
      <w:r>
        <w:rPr>
          <w:rFonts w:hint="eastAsia" w:ascii="新宋体" w:hAnsi="新宋体" w:eastAsia="新宋体" w:cs="新宋体"/>
          <w:bCs/>
          <w:color w:val="auto"/>
          <w:sz w:val="21"/>
          <w:szCs w:val="21"/>
          <w:highlight w:val="none"/>
          <w:lang w:eastAsia="zh-CN"/>
        </w:rPr>
        <w:t>（</w:t>
      </w:r>
      <w:r>
        <w:rPr>
          <w:rFonts w:hint="eastAsia" w:ascii="新宋体" w:hAnsi="新宋体" w:eastAsia="新宋体" w:cs="新宋体"/>
          <w:bCs/>
          <w:color w:val="auto"/>
          <w:sz w:val="21"/>
          <w:szCs w:val="21"/>
          <w:highlight w:val="none"/>
          <w:lang w:val="en-US" w:eastAsia="zh-CN"/>
        </w:rPr>
        <w:t>2</w:t>
      </w:r>
      <w:r>
        <w:rPr>
          <w:rFonts w:hint="eastAsia" w:ascii="新宋体" w:hAnsi="新宋体" w:eastAsia="新宋体" w:cs="新宋体"/>
          <w:bCs/>
          <w:color w:val="auto"/>
          <w:sz w:val="21"/>
          <w:szCs w:val="21"/>
          <w:highlight w:val="none"/>
          <w:lang w:eastAsia="zh-CN"/>
        </w:rPr>
        <w:t>） EAG加热器：空温卧式，气化量150Nm3/h，工作压力1.6Mpa，设计温度-196℃，主体材质：铝翅片。</w:t>
      </w:r>
    </w:p>
    <w:p>
      <w:pPr>
        <w:spacing w:line="336" w:lineRule="auto"/>
        <w:ind w:firstLine="484" w:firstLineChars="201"/>
        <w:rPr>
          <w:rFonts w:hint="eastAsia" w:ascii="新宋体" w:hAnsi="新宋体" w:eastAsia="新宋体" w:cs="新宋体"/>
          <w:b/>
          <w:color w:val="auto"/>
          <w:sz w:val="24"/>
          <w:szCs w:val="24"/>
          <w:highlight w:val="none"/>
          <w:lang w:val="en-US" w:eastAsia="zh-CN"/>
        </w:rPr>
      </w:pPr>
      <w:r>
        <w:rPr>
          <w:rFonts w:hint="eastAsia" w:ascii="新宋体" w:hAnsi="新宋体" w:eastAsia="新宋体" w:cs="新宋体"/>
          <w:b/>
          <w:color w:val="auto"/>
          <w:sz w:val="24"/>
          <w:szCs w:val="24"/>
          <w:highlight w:val="none"/>
          <w:lang w:val="en-US" w:eastAsia="zh-CN"/>
        </w:rPr>
        <w:t>五、工艺管道及阀门★</w:t>
      </w:r>
    </w:p>
    <w:p>
      <w:pPr>
        <w:spacing w:line="336" w:lineRule="auto"/>
        <w:ind w:firstLine="422" w:firstLineChars="201"/>
        <w:rPr>
          <w:rFonts w:hint="eastAsia" w:ascii="新宋体" w:hAnsi="新宋体" w:eastAsia="新宋体" w:cs="新宋体"/>
          <w:bCs/>
          <w:color w:val="auto"/>
          <w:sz w:val="21"/>
          <w:szCs w:val="21"/>
          <w:highlight w:val="none"/>
          <w:lang w:eastAsia="zh-CN"/>
        </w:rPr>
      </w:pPr>
      <w:r>
        <w:rPr>
          <w:rFonts w:hint="eastAsia" w:ascii="新宋体" w:hAnsi="新宋体" w:eastAsia="新宋体" w:cs="新宋体"/>
          <w:bCs/>
          <w:color w:val="auto"/>
          <w:sz w:val="21"/>
          <w:szCs w:val="21"/>
          <w:highlight w:val="none"/>
          <w:lang w:eastAsia="zh-CN"/>
        </w:rPr>
        <w:t>（</w:t>
      </w:r>
      <w:r>
        <w:rPr>
          <w:rFonts w:hint="eastAsia" w:ascii="新宋体" w:hAnsi="新宋体" w:eastAsia="新宋体" w:cs="新宋体"/>
          <w:bCs/>
          <w:color w:val="auto"/>
          <w:sz w:val="21"/>
          <w:szCs w:val="21"/>
          <w:highlight w:val="none"/>
          <w:lang w:val="en-US" w:eastAsia="zh-CN"/>
        </w:rPr>
        <w:t>1</w:t>
      </w:r>
      <w:r>
        <w:rPr>
          <w:rFonts w:hint="eastAsia" w:ascii="新宋体" w:hAnsi="新宋体" w:eastAsia="新宋体" w:cs="新宋体"/>
          <w:bCs/>
          <w:color w:val="auto"/>
          <w:sz w:val="21"/>
          <w:szCs w:val="21"/>
          <w:highlight w:val="none"/>
          <w:lang w:eastAsia="zh-CN"/>
        </w:rPr>
        <w:t>）采用PIR管路，满足输送LNG压力、流量要求，满足LNG卸车、储罐自增压、LNG加气等流程需要，其中卸车口位置按买方图纸《总平面布置图》。</w:t>
      </w:r>
    </w:p>
    <w:p>
      <w:pPr>
        <w:spacing w:line="336" w:lineRule="auto"/>
        <w:ind w:firstLine="422" w:firstLineChars="201"/>
        <w:rPr>
          <w:rFonts w:hint="eastAsia" w:ascii="新宋体" w:hAnsi="新宋体" w:eastAsia="新宋体" w:cs="新宋体"/>
          <w:bCs/>
          <w:color w:val="auto"/>
          <w:sz w:val="21"/>
          <w:szCs w:val="21"/>
          <w:highlight w:val="none"/>
          <w:lang w:eastAsia="zh-CN"/>
        </w:rPr>
      </w:pPr>
      <w:r>
        <w:rPr>
          <w:rFonts w:hint="eastAsia" w:ascii="新宋体" w:hAnsi="新宋体" w:eastAsia="新宋体" w:cs="新宋体"/>
          <w:bCs/>
          <w:color w:val="auto"/>
          <w:sz w:val="21"/>
          <w:szCs w:val="21"/>
          <w:highlight w:val="none"/>
          <w:lang w:eastAsia="zh-CN"/>
        </w:rPr>
        <w:t>（</w:t>
      </w:r>
      <w:r>
        <w:rPr>
          <w:rFonts w:hint="eastAsia" w:ascii="新宋体" w:hAnsi="新宋体" w:eastAsia="新宋体" w:cs="新宋体"/>
          <w:bCs/>
          <w:color w:val="auto"/>
          <w:sz w:val="21"/>
          <w:szCs w:val="21"/>
          <w:highlight w:val="none"/>
          <w:lang w:val="en-US" w:eastAsia="zh-CN"/>
        </w:rPr>
        <w:t>2</w:t>
      </w:r>
      <w:r>
        <w:rPr>
          <w:rFonts w:hint="eastAsia" w:ascii="新宋体" w:hAnsi="新宋体" w:eastAsia="新宋体" w:cs="新宋体"/>
          <w:bCs/>
          <w:color w:val="auto"/>
          <w:sz w:val="21"/>
          <w:szCs w:val="21"/>
          <w:highlight w:val="none"/>
          <w:lang w:eastAsia="zh-CN"/>
        </w:rPr>
        <w:t>）PIR管道保温绝热层保温厚度不小于8cm。</w:t>
      </w:r>
    </w:p>
    <w:p>
      <w:pPr>
        <w:spacing w:line="336" w:lineRule="auto"/>
        <w:ind w:firstLine="422" w:firstLineChars="201"/>
        <w:rPr>
          <w:rFonts w:hint="eastAsia" w:ascii="新宋体" w:hAnsi="新宋体" w:eastAsia="新宋体" w:cs="新宋体"/>
          <w:bCs/>
          <w:color w:val="auto"/>
          <w:sz w:val="21"/>
          <w:szCs w:val="21"/>
          <w:highlight w:val="none"/>
          <w:lang w:eastAsia="zh-CN"/>
        </w:rPr>
      </w:pPr>
      <w:r>
        <w:rPr>
          <w:rFonts w:hint="eastAsia" w:ascii="新宋体" w:hAnsi="新宋体" w:eastAsia="新宋体" w:cs="新宋体"/>
          <w:bCs/>
          <w:color w:val="auto"/>
          <w:sz w:val="21"/>
          <w:szCs w:val="21"/>
          <w:highlight w:val="none"/>
          <w:lang w:eastAsia="zh-CN"/>
        </w:rPr>
        <w:t>（</w:t>
      </w:r>
      <w:r>
        <w:rPr>
          <w:rFonts w:hint="eastAsia" w:ascii="新宋体" w:hAnsi="新宋体" w:eastAsia="新宋体" w:cs="新宋体"/>
          <w:bCs/>
          <w:color w:val="auto"/>
          <w:sz w:val="21"/>
          <w:szCs w:val="21"/>
          <w:highlight w:val="none"/>
          <w:lang w:val="en-US" w:eastAsia="zh-CN"/>
        </w:rPr>
        <w:t>3</w:t>
      </w:r>
      <w:r>
        <w:rPr>
          <w:rFonts w:hint="eastAsia" w:ascii="新宋体" w:hAnsi="新宋体" w:eastAsia="新宋体" w:cs="新宋体"/>
          <w:bCs/>
          <w:color w:val="auto"/>
          <w:sz w:val="21"/>
          <w:szCs w:val="21"/>
          <w:highlight w:val="none"/>
          <w:lang w:eastAsia="zh-CN"/>
        </w:rPr>
        <w:t>）管路采用焊接方式连接，卸车液相连接管路设置拉断阀。配置1根4米卸车软管、1根4米增压液相软管、1根4米增压气相软管。</w:t>
      </w:r>
    </w:p>
    <w:p>
      <w:pPr>
        <w:spacing w:line="336" w:lineRule="auto"/>
        <w:ind w:firstLine="422" w:firstLineChars="201"/>
        <w:rPr>
          <w:rFonts w:hint="eastAsia" w:ascii="新宋体" w:hAnsi="新宋体" w:eastAsia="新宋体" w:cs="新宋体"/>
          <w:bCs/>
          <w:color w:val="auto"/>
          <w:sz w:val="21"/>
          <w:szCs w:val="21"/>
          <w:highlight w:val="none"/>
          <w:lang w:eastAsia="zh-CN"/>
        </w:rPr>
      </w:pPr>
      <w:r>
        <w:rPr>
          <w:rFonts w:hint="eastAsia" w:ascii="新宋体" w:hAnsi="新宋体" w:eastAsia="新宋体" w:cs="新宋体"/>
          <w:bCs/>
          <w:color w:val="auto"/>
          <w:sz w:val="21"/>
          <w:szCs w:val="21"/>
          <w:highlight w:val="none"/>
          <w:lang w:eastAsia="zh-CN"/>
        </w:rPr>
        <w:t>（</w:t>
      </w:r>
      <w:r>
        <w:rPr>
          <w:rFonts w:hint="eastAsia" w:ascii="新宋体" w:hAnsi="新宋体" w:eastAsia="新宋体" w:cs="新宋体"/>
          <w:bCs/>
          <w:color w:val="auto"/>
          <w:sz w:val="21"/>
          <w:szCs w:val="21"/>
          <w:highlight w:val="none"/>
          <w:lang w:val="en-US" w:eastAsia="zh-CN"/>
        </w:rPr>
        <w:t>4</w:t>
      </w:r>
      <w:r>
        <w:rPr>
          <w:rFonts w:hint="eastAsia" w:ascii="新宋体" w:hAnsi="新宋体" w:eastAsia="新宋体" w:cs="新宋体"/>
          <w:bCs/>
          <w:color w:val="auto"/>
          <w:sz w:val="21"/>
          <w:szCs w:val="21"/>
          <w:highlight w:val="none"/>
          <w:lang w:eastAsia="zh-CN"/>
        </w:rPr>
        <w:t>）阀门采用专用低温阀门，满足输送LNG压力、流量要求，且具备耐低温性能(-196℃)。</w:t>
      </w:r>
    </w:p>
    <w:p>
      <w:pPr>
        <w:spacing w:line="336" w:lineRule="auto"/>
        <w:ind w:firstLine="484" w:firstLineChars="201"/>
        <w:rPr>
          <w:rFonts w:hint="eastAsia" w:ascii="新宋体" w:hAnsi="新宋体" w:eastAsia="新宋体" w:cs="新宋体"/>
          <w:b/>
          <w:color w:val="auto"/>
          <w:sz w:val="24"/>
          <w:szCs w:val="24"/>
          <w:highlight w:val="none"/>
          <w:lang w:val="en-US" w:eastAsia="zh-CN"/>
        </w:rPr>
      </w:pPr>
      <w:r>
        <w:rPr>
          <w:rFonts w:hint="eastAsia" w:ascii="新宋体" w:hAnsi="新宋体" w:eastAsia="新宋体" w:cs="新宋体"/>
          <w:b/>
          <w:color w:val="auto"/>
          <w:sz w:val="24"/>
          <w:szCs w:val="24"/>
          <w:highlight w:val="none"/>
          <w:lang w:val="en-US" w:eastAsia="zh-CN"/>
        </w:rPr>
        <w:t>六、放散管组件</w:t>
      </w:r>
    </w:p>
    <w:p>
      <w:pPr>
        <w:spacing w:line="336" w:lineRule="auto"/>
        <w:ind w:firstLine="422" w:firstLineChars="201"/>
        <w:rPr>
          <w:rFonts w:hint="eastAsia" w:ascii="新宋体" w:hAnsi="新宋体" w:eastAsia="新宋体" w:cs="新宋体"/>
          <w:bCs/>
          <w:color w:val="auto"/>
          <w:sz w:val="21"/>
          <w:szCs w:val="21"/>
          <w:highlight w:val="none"/>
          <w:lang w:eastAsia="zh-CN"/>
        </w:rPr>
      </w:pPr>
      <w:r>
        <w:rPr>
          <w:rFonts w:hint="eastAsia" w:ascii="新宋体" w:hAnsi="新宋体" w:eastAsia="新宋体" w:cs="新宋体"/>
          <w:bCs/>
          <w:color w:val="auto"/>
          <w:sz w:val="21"/>
          <w:szCs w:val="21"/>
          <w:highlight w:val="none"/>
          <w:lang w:eastAsia="zh-CN"/>
        </w:rPr>
        <w:t>（</w:t>
      </w:r>
      <w:r>
        <w:rPr>
          <w:rFonts w:hint="eastAsia" w:ascii="新宋体" w:hAnsi="新宋体" w:eastAsia="新宋体" w:cs="新宋体"/>
          <w:bCs/>
          <w:color w:val="auto"/>
          <w:sz w:val="21"/>
          <w:szCs w:val="21"/>
          <w:highlight w:val="none"/>
          <w:lang w:val="en-US" w:eastAsia="zh-CN"/>
        </w:rPr>
        <w:t>1</w:t>
      </w:r>
      <w:r>
        <w:rPr>
          <w:rFonts w:hint="eastAsia" w:ascii="新宋体" w:hAnsi="新宋体" w:eastAsia="新宋体" w:cs="新宋体"/>
          <w:bCs/>
          <w:color w:val="auto"/>
          <w:sz w:val="21"/>
          <w:szCs w:val="21"/>
          <w:highlight w:val="none"/>
          <w:lang w:eastAsia="zh-CN"/>
        </w:rPr>
        <w:t>）设计符合GB50156-2021要求</w:t>
      </w:r>
    </w:p>
    <w:p>
      <w:pPr>
        <w:spacing w:line="336" w:lineRule="auto"/>
        <w:ind w:firstLine="422" w:firstLineChars="201"/>
        <w:rPr>
          <w:rFonts w:hint="eastAsia" w:ascii="新宋体" w:hAnsi="新宋体" w:eastAsia="新宋体" w:cs="新宋体"/>
          <w:bCs/>
          <w:color w:val="auto"/>
          <w:sz w:val="21"/>
          <w:szCs w:val="21"/>
          <w:highlight w:val="none"/>
          <w:lang w:eastAsia="zh-CN"/>
        </w:rPr>
      </w:pPr>
      <w:r>
        <w:rPr>
          <w:rFonts w:hint="eastAsia" w:ascii="新宋体" w:hAnsi="新宋体" w:eastAsia="新宋体" w:cs="新宋体"/>
          <w:bCs/>
          <w:color w:val="auto"/>
          <w:sz w:val="21"/>
          <w:szCs w:val="21"/>
          <w:highlight w:val="none"/>
          <w:lang w:eastAsia="zh-CN"/>
        </w:rPr>
        <w:t>（</w:t>
      </w:r>
      <w:r>
        <w:rPr>
          <w:rFonts w:hint="eastAsia" w:ascii="新宋体" w:hAnsi="新宋体" w:eastAsia="新宋体" w:cs="新宋体"/>
          <w:bCs/>
          <w:color w:val="auto"/>
          <w:sz w:val="21"/>
          <w:szCs w:val="21"/>
          <w:highlight w:val="none"/>
          <w:lang w:val="en-US" w:eastAsia="zh-CN"/>
        </w:rPr>
        <w:t>2</w:t>
      </w:r>
      <w:r>
        <w:rPr>
          <w:rFonts w:hint="eastAsia" w:ascii="新宋体" w:hAnsi="新宋体" w:eastAsia="新宋体" w:cs="新宋体"/>
          <w:bCs/>
          <w:color w:val="auto"/>
          <w:sz w:val="21"/>
          <w:szCs w:val="21"/>
          <w:highlight w:val="none"/>
          <w:lang w:eastAsia="zh-CN"/>
        </w:rPr>
        <w:t>）应包含放散管、阻火器、消音器。</w:t>
      </w:r>
    </w:p>
    <w:p>
      <w:pPr>
        <w:spacing w:line="336" w:lineRule="auto"/>
        <w:ind w:firstLine="484" w:firstLineChars="201"/>
        <w:rPr>
          <w:rFonts w:hint="eastAsia" w:ascii="新宋体" w:hAnsi="新宋体" w:eastAsia="新宋体" w:cs="新宋体"/>
          <w:b/>
          <w:color w:val="auto"/>
          <w:sz w:val="24"/>
          <w:szCs w:val="24"/>
          <w:highlight w:val="none"/>
          <w:lang w:val="en-US" w:eastAsia="zh-CN"/>
        </w:rPr>
      </w:pPr>
      <w:r>
        <w:rPr>
          <w:rFonts w:hint="eastAsia" w:ascii="新宋体" w:hAnsi="新宋体" w:eastAsia="新宋体" w:cs="新宋体"/>
          <w:b/>
          <w:color w:val="auto"/>
          <w:sz w:val="24"/>
          <w:szCs w:val="24"/>
          <w:highlight w:val="none"/>
          <w:lang w:val="en-US" w:eastAsia="zh-CN"/>
        </w:rPr>
        <w:t>七、压力表、液位计★</w:t>
      </w:r>
    </w:p>
    <w:p>
      <w:pPr>
        <w:spacing w:line="336" w:lineRule="auto"/>
        <w:ind w:firstLine="422" w:firstLineChars="201"/>
        <w:rPr>
          <w:rFonts w:hint="eastAsia" w:ascii="新宋体" w:hAnsi="新宋体" w:eastAsia="新宋体" w:cs="新宋体"/>
          <w:bCs/>
          <w:color w:val="auto"/>
          <w:sz w:val="21"/>
          <w:szCs w:val="21"/>
          <w:highlight w:val="none"/>
          <w:lang w:eastAsia="zh-CN"/>
        </w:rPr>
      </w:pPr>
      <w:r>
        <w:rPr>
          <w:rFonts w:hint="eastAsia" w:ascii="新宋体" w:hAnsi="新宋体" w:eastAsia="新宋体" w:cs="新宋体"/>
          <w:bCs/>
          <w:color w:val="auto"/>
          <w:sz w:val="21"/>
          <w:szCs w:val="21"/>
          <w:highlight w:val="none"/>
          <w:lang w:eastAsia="zh-CN"/>
        </w:rPr>
        <w:t>（</w:t>
      </w:r>
      <w:r>
        <w:rPr>
          <w:rFonts w:hint="eastAsia" w:ascii="新宋体" w:hAnsi="新宋体" w:eastAsia="新宋体" w:cs="新宋体"/>
          <w:bCs/>
          <w:color w:val="auto"/>
          <w:sz w:val="21"/>
          <w:szCs w:val="21"/>
          <w:highlight w:val="none"/>
          <w:lang w:val="en-US" w:eastAsia="zh-CN"/>
        </w:rPr>
        <w:t>1</w:t>
      </w:r>
      <w:r>
        <w:rPr>
          <w:rFonts w:hint="eastAsia" w:ascii="新宋体" w:hAnsi="新宋体" w:eastAsia="新宋体" w:cs="新宋体"/>
          <w:bCs/>
          <w:color w:val="auto"/>
          <w:sz w:val="21"/>
          <w:szCs w:val="21"/>
          <w:highlight w:val="none"/>
          <w:lang w:eastAsia="zh-CN"/>
        </w:rPr>
        <w:t>）压力表量程范围：0~2.5 Mpa，不锈钢外壳。</w:t>
      </w:r>
    </w:p>
    <w:p>
      <w:pPr>
        <w:spacing w:line="336" w:lineRule="auto"/>
        <w:ind w:firstLine="422" w:firstLineChars="201"/>
        <w:rPr>
          <w:rFonts w:hint="eastAsia" w:ascii="新宋体" w:hAnsi="新宋体" w:eastAsia="新宋体" w:cs="新宋体"/>
          <w:bCs/>
          <w:color w:val="auto"/>
          <w:sz w:val="21"/>
          <w:szCs w:val="21"/>
          <w:highlight w:val="none"/>
          <w:lang w:eastAsia="zh-CN"/>
        </w:rPr>
      </w:pPr>
      <w:r>
        <w:rPr>
          <w:rFonts w:hint="eastAsia" w:ascii="新宋体" w:hAnsi="新宋体" w:eastAsia="新宋体" w:cs="新宋体"/>
          <w:bCs/>
          <w:color w:val="auto"/>
          <w:sz w:val="21"/>
          <w:szCs w:val="21"/>
          <w:highlight w:val="none"/>
          <w:lang w:eastAsia="zh-CN"/>
        </w:rPr>
        <w:t>（</w:t>
      </w:r>
      <w:r>
        <w:rPr>
          <w:rFonts w:hint="eastAsia" w:ascii="新宋体" w:hAnsi="新宋体" w:eastAsia="新宋体" w:cs="新宋体"/>
          <w:bCs/>
          <w:color w:val="auto"/>
          <w:sz w:val="21"/>
          <w:szCs w:val="21"/>
          <w:highlight w:val="none"/>
          <w:lang w:val="en-US" w:eastAsia="zh-CN"/>
        </w:rPr>
        <w:t>2</w:t>
      </w:r>
      <w:r>
        <w:rPr>
          <w:rFonts w:hint="eastAsia" w:ascii="新宋体" w:hAnsi="新宋体" w:eastAsia="新宋体" w:cs="新宋体"/>
          <w:bCs/>
          <w:color w:val="auto"/>
          <w:sz w:val="21"/>
          <w:szCs w:val="21"/>
          <w:highlight w:val="none"/>
          <w:lang w:eastAsia="zh-CN"/>
        </w:rPr>
        <w:t>）液位计：不锈钢外壳。</w:t>
      </w:r>
    </w:p>
    <w:p>
      <w:pPr>
        <w:spacing w:line="336" w:lineRule="auto"/>
        <w:ind w:firstLine="484" w:firstLineChars="201"/>
        <w:rPr>
          <w:rFonts w:hint="eastAsia" w:ascii="新宋体" w:hAnsi="新宋体" w:eastAsia="新宋体" w:cs="新宋体"/>
          <w:b/>
          <w:color w:val="auto"/>
          <w:sz w:val="24"/>
          <w:szCs w:val="24"/>
          <w:highlight w:val="none"/>
          <w:lang w:val="en-US" w:eastAsia="zh-CN"/>
        </w:rPr>
      </w:pPr>
      <w:r>
        <w:rPr>
          <w:rFonts w:hint="eastAsia" w:ascii="新宋体" w:hAnsi="新宋体" w:eastAsia="新宋体" w:cs="新宋体"/>
          <w:b/>
          <w:color w:val="auto"/>
          <w:sz w:val="24"/>
          <w:szCs w:val="24"/>
          <w:highlight w:val="none"/>
          <w:lang w:val="en-US" w:eastAsia="zh-CN"/>
        </w:rPr>
        <w:t>八、安全监控系统★</w:t>
      </w:r>
    </w:p>
    <w:p>
      <w:pPr>
        <w:spacing w:line="336" w:lineRule="auto"/>
        <w:ind w:firstLine="422" w:firstLineChars="201"/>
        <w:rPr>
          <w:rFonts w:hint="eastAsia" w:ascii="新宋体" w:hAnsi="新宋体" w:eastAsia="新宋体" w:cs="新宋体"/>
          <w:bCs/>
          <w:color w:val="auto"/>
          <w:sz w:val="21"/>
          <w:szCs w:val="21"/>
          <w:highlight w:val="none"/>
          <w:lang w:eastAsia="zh-CN"/>
        </w:rPr>
      </w:pPr>
      <w:r>
        <w:rPr>
          <w:rFonts w:hint="eastAsia" w:ascii="新宋体" w:hAnsi="新宋体" w:eastAsia="新宋体" w:cs="新宋体"/>
          <w:bCs/>
          <w:color w:val="auto"/>
          <w:sz w:val="21"/>
          <w:szCs w:val="21"/>
          <w:highlight w:val="none"/>
          <w:lang w:eastAsia="zh-CN"/>
        </w:rPr>
        <w:t>（</w:t>
      </w:r>
      <w:r>
        <w:rPr>
          <w:rFonts w:hint="eastAsia" w:ascii="新宋体" w:hAnsi="新宋体" w:eastAsia="新宋体" w:cs="新宋体"/>
          <w:bCs/>
          <w:color w:val="auto"/>
          <w:sz w:val="21"/>
          <w:szCs w:val="21"/>
          <w:highlight w:val="none"/>
          <w:lang w:val="en-US" w:eastAsia="zh-CN"/>
        </w:rPr>
        <w:t>1</w:t>
      </w:r>
      <w:r>
        <w:rPr>
          <w:rFonts w:hint="eastAsia" w:ascii="新宋体" w:hAnsi="新宋体" w:eastAsia="新宋体" w:cs="新宋体"/>
          <w:bCs/>
          <w:color w:val="auto"/>
          <w:sz w:val="21"/>
          <w:szCs w:val="21"/>
          <w:highlight w:val="none"/>
          <w:lang w:eastAsia="zh-CN"/>
        </w:rPr>
        <w:t>）根据设计配置，包含可燃气体探测器、安全报警器。产品必须满足当地消防产品备案要求。</w:t>
      </w:r>
    </w:p>
    <w:p>
      <w:pPr>
        <w:spacing w:line="336" w:lineRule="auto"/>
        <w:ind w:firstLine="422" w:firstLineChars="201"/>
        <w:rPr>
          <w:rFonts w:hint="eastAsia" w:ascii="新宋体" w:hAnsi="新宋体" w:eastAsia="新宋体" w:cs="新宋体"/>
          <w:bCs/>
          <w:color w:val="auto"/>
          <w:sz w:val="21"/>
          <w:szCs w:val="21"/>
          <w:highlight w:val="none"/>
          <w:lang w:eastAsia="zh-CN"/>
        </w:rPr>
      </w:pPr>
      <w:r>
        <w:rPr>
          <w:rFonts w:hint="eastAsia" w:ascii="新宋体" w:hAnsi="新宋体" w:eastAsia="新宋体" w:cs="新宋体"/>
          <w:bCs/>
          <w:color w:val="auto"/>
          <w:sz w:val="21"/>
          <w:szCs w:val="21"/>
          <w:highlight w:val="none"/>
          <w:lang w:eastAsia="zh-CN"/>
        </w:rPr>
        <w:t>（</w:t>
      </w:r>
      <w:r>
        <w:rPr>
          <w:rFonts w:hint="eastAsia" w:ascii="新宋体" w:hAnsi="新宋体" w:eastAsia="新宋体" w:cs="新宋体"/>
          <w:bCs/>
          <w:color w:val="auto"/>
          <w:sz w:val="21"/>
          <w:szCs w:val="21"/>
          <w:highlight w:val="none"/>
          <w:lang w:val="en-US" w:eastAsia="zh-CN"/>
        </w:rPr>
        <w:t>2</w:t>
      </w:r>
      <w:r>
        <w:rPr>
          <w:rFonts w:hint="eastAsia" w:ascii="新宋体" w:hAnsi="新宋体" w:eastAsia="新宋体" w:cs="新宋体"/>
          <w:bCs/>
          <w:color w:val="auto"/>
          <w:sz w:val="21"/>
          <w:szCs w:val="21"/>
          <w:highlight w:val="none"/>
          <w:lang w:eastAsia="zh-CN"/>
        </w:rPr>
        <w:t>）可燃气体探测器监测区域包括：加气机、储罐根部及泵池、声光安全报警器等。</w:t>
      </w:r>
    </w:p>
    <w:p>
      <w:pPr>
        <w:spacing w:line="336" w:lineRule="auto"/>
        <w:ind w:firstLine="484" w:firstLineChars="201"/>
        <w:rPr>
          <w:rFonts w:hint="eastAsia" w:ascii="新宋体" w:hAnsi="新宋体" w:eastAsia="新宋体" w:cs="新宋体"/>
          <w:b/>
          <w:color w:val="auto"/>
          <w:sz w:val="24"/>
          <w:szCs w:val="24"/>
          <w:highlight w:val="none"/>
          <w:lang w:val="en-US" w:eastAsia="zh-CN"/>
        </w:rPr>
      </w:pPr>
      <w:r>
        <w:rPr>
          <w:rFonts w:hint="eastAsia" w:ascii="新宋体" w:hAnsi="新宋体" w:eastAsia="新宋体" w:cs="新宋体"/>
          <w:b/>
          <w:color w:val="auto"/>
          <w:sz w:val="24"/>
          <w:szCs w:val="24"/>
          <w:highlight w:val="none"/>
          <w:lang w:val="en-US" w:eastAsia="zh-CN"/>
        </w:rPr>
        <w:t>九、仪表风系统★</w:t>
      </w:r>
    </w:p>
    <w:p>
      <w:pPr>
        <w:spacing w:line="336" w:lineRule="auto"/>
        <w:ind w:firstLine="422" w:firstLineChars="201"/>
        <w:rPr>
          <w:rFonts w:hint="eastAsia" w:ascii="新宋体" w:hAnsi="新宋体" w:eastAsia="新宋体" w:cs="新宋体"/>
          <w:bCs/>
          <w:color w:val="auto"/>
          <w:sz w:val="21"/>
          <w:szCs w:val="21"/>
          <w:highlight w:val="none"/>
          <w:lang w:eastAsia="zh-CN"/>
        </w:rPr>
      </w:pPr>
      <w:r>
        <w:rPr>
          <w:rFonts w:hint="eastAsia" w:ascii="新宋体" w:hAnsi="新宋体" w:eastAsia="新宋体" w:cs="新宋体"/>
          <w:bCs/>
          <w:color w:val="auto"/>
          <w:sz w:val="21"/>
          <w:szCs w:val="21"/>
          <w:highlight w:val="none"/>
          <w:lang w:eastAsia="zh-CN"/>
        </w:rPr>
        <w:t>具体包括：空气压缩机、吸附式干燥机、油水分离（空气净化）、压力表等设备。</w:t>
      </w:r>
    </w:p>
    <w:p>
      <w:pPr>
        <w:spacing w:line="336" w:lineRule="auto"/>
        <w:ind w:firstLine="484" w:firstLineChars="201"/>
        <w:rPr>
          <w:rFonts w:hint="eastAsia" w:ascii="新宋体" w:hAnsi="新宋体" w:eastAsia="新宋体" w:cs="新宋体"/>
          <w:b/>
          <w:color w:val="auto"/>
          <w:sz w:val="24"/>
          <w:szCs w:val="24"/>
          <w:highlight w:val="none"/>
          <w:lang w:val="en-US" w:eastAsia="zh-CN"/>
        </w:rPr>
      </w:pPr>
      <w:r>
        <w:rPr>
          <w:rFonts w:hint="eastAsia" w:ascii="新宋体" w:hAnsi="新宋体" w:eastAsia="新宋体" w:cs="新宋体"/>
          <w:b/>
          <w:color w:val="auto"/>
          <w:sz w:val="24"/>
          <w:szCs w:val="24"/>
          <w:highlight w:val="none"/>
          <w:lang w:val="en-US" w:eastAsia="zh-CN"/>
        </w:rPr>
        <w:t>十、站控系统★</w:t>
      </w:r>
    </w:p>
    <w:p>
      <w:pPr>
        <w:spacing w:line="336" w:lineRule="auto"/>
        <w:ind w:firstLine="422" w:firstLineChars="201"/>
        <w:rPr>
          <w:rFonts w:hint="eastAsia" w:ascii="新宋体" w:hAnsi="新宋体" w:eastAsia="新宋体" w:cs="新宋体"/>
          <w:bCs/>
          <w:color w:val="auto"/>
          <w:sz w:val="21"/>
          <w:szCs w:val="21"/>
          <w:highlight w:val="none"/>
          <w:lang w:eastAsia="zh-CN"/>
        </w:rPr>
      </w:pPr>
      <w:r>
        <w:rPr>
          <w:rFonts w:hint="eastAsia" w:ascii="新宋体" w:hAnsi="新宋体" w:eastAsia="新宋体" w:cs="新宋体"/>
          <w:bCs/>
          <w:color w:val="auto"/>
          <w:sz w:val="21"/>
          <w:szCs w:val="21"/>
          <w:highlight w:val="none"/>
          <w:lang w:eastAsia="zh-CN"/>
        </w:rPr>
        <w:t>（</w:t>
      </w:r>
      <w:r>
        <w:rPr>
          <w:rFonts w:hint="eastAsia" w:ascii="新宋体" w:hAnsi="新宋体" w:eastAsia="新宋体" w:cs="新宋体"/>
          <w:bCs/>
          <w:color w:val="auto"/>
          <w:sz w:val="21"/>
          <w:szCs w:val="21"/>
          <w:highlight w:val="none"/>
          <w:lang w:val="en-US" w:eastAsia="zh-CN"/>
        </w:rPr>
        <w:t>1</w:t>
      </w:r>
      <w:r>
        <w:rPr>
          <w:rFonts w:hint="eastAsia" w:ascii="新宋体" w:hAnsi="新宋体" w:eastAsia="新宋体" w:cs="新宋体"/>
          <w:bCs/>
          <w:color w:val="auto"/>
          <w:sz w:val="21"/>
          <w:szCs w:val="21"/>
          <w:highlight w:val="none"/>
          <w:lang w:eastAsia="zh-CN"/>
        </w:rPr>
        <w:t>）具体包括：PLC、变频器、电磁阀、配电柜、控制柜、控制系统上位机及管理系统、连接线缆等；</w:t>
      </w:r>
    </w:p>
    <w:p>
      <w:pPr>
        <w:spacing w:line="336" w:lineRule="auto"/>
        <w:ind w:firstLine="422" w:firstLineChars="201"/>
        <w:rPr>
          <w:rFonts w:hint="eastAsia" w:ascii="新宋体" w:hAnsi="新宋体" w:eastAsia="新宋体" w:cs="新宋体"/>
          <w:bCs/>
          <w:color w:val="auto"/>
          <w:sz w:val="21"/>
          <w:szCs w:val="21"/>
          <w:highlight w:val="none"/>
          <w:lang w:eastAsia="zh-CN"/>
        </w:rPr>
      </w:pPr>
      <w:r>
        <w:rPr>
          <w:rFonts w:hint="eastAsia" w:ascii="新宋体" w:hAnsi="新宋体" w:eastAsia="新宋体" w:cs="新宋体"/>
          <w:bCs/>
          <w:color w:val="auto"/>
          <w:sz w:val="21"/>
          <w:szCs w:val="21"/>
          <w:highlight w:val="none"/>
          <w:lang w:eastAsia="zh-CN"/>
        </w:rPr>
        <w:t>（</w:t>
      </w:r>
      <w:r>
        <w:rPr>
          <w:rFonts w:hint="eastAsia" w:ascii="新宋体" w:hAnsi="新宋体" w:eastAsia="新宋体" w:cs="新宋体"/>
          <w:bCs/>
          <w:color w:val="auto"/>
          <w:sz w:val="21"/>
          <w:szCs w:val="21"/>
          <w:highlight w:val="none"/>
          <w:lang w:val="en-US" w:eastAsia="zh-CN"/>
        </w:rPr>
        <w:t>2</w:t>
      </w:r>
      <w:r>
        <w:rPr>
          <w:rFonts w:hint="eastAsia" w:ascii="新宋体" w:hAnsi="新宋体" w:eastAsia="新宋体" w:cs="新宋体"/>
          <w:bCs/>
          <w:color w:val="auto"/>
          <w:sz w:val="21"/>
          <w:szCs w:val="21"/>
          <w:highlight w:val="none"/>
          <w:lang w:eastAsia="zh-CN"/>
        </w:rPr>
        <w:t>）具备卸车、加气、待机、卸车加气、紧急控制、显示、报警、参数查询、历史记录查询、报表打印等功能。</w:t>
      </w:r>
    </w:p>
    <w:p>
      <w:pPr>
        <w:spacing w:line="336" w:lineRule="auto"/>
        <w:ind w:firstLine="422" w:firstLineChars="201"/>
        <w:rPr>
          <w:rFonts w:hint="eastAsia" w:ascii="新宋体" w:hAnsi="新宋体" w:eastAsia="新宋体" w:cs="新宋体"/>
          <w:bCs/>
          <w:color w:val="auto"/>
          <w:sz w:val="21"/>
          <w:szCs w:val="21"/>
          <w:highlight w:val="none"/>
          <w:lang w:eastAsia="zh-CN"/>
        </w:rPr>
      </w:pPr>
      <w:r>
        <w:rPr>
          <w:rFonts w:hint="eastAsia" w:ascii="新宋体" w:hAnsi="新宋体" w:eastAsia="新宋体" w:cs="新宋体"/>
          <w:bCs/>
          <w:color w:val="auto"/>
          <w:sz w:val="21"/>
          <w:szCs w:val="21"/>
          <w:highlight w:val="none"/>
          <w:lang w:eastAsia="zh-CN"/>
        </w:rPr>
        <w:t>（</w:t>
      </w:r>
      <w:r>
        <w:rPr>
          <w:rFonts w:hint="eastAsia" w:ascii="新宋体" w:hAnsi="新宋体" w:eastAsia="新宋体" w:cs="新宋体"/>
          <w:bCs/>
          <w:color w:val="auto"/>
          <w:sz w:val="21"/>
          <w:szCs w:val="21"/>
          <w:highlight w:val="none"/>
          <w:lang w:val="en-US" w:eastAsia="zh-CN"/>
        </w:rPr>
        <w:t>3</w:t>
      </w:r>
      <w:r>
        <w:rPr>
          <w:rFonts w:hint="eastAsia" w:ascii="新宋体" w:hAnsi="新宋体" w:eastAsia="新宋体" w:cs="新宋体"/>
          <w:bCs/>
          <w:color w:val="auto"/>
          <w:sz w:val="21"/>
          <w:szCs w:val="21"/>
          <w:highlight w:val="none"/>
          <w:lang w:eastAsia="zh-CN"/>
        </w:rPr>
        <w:t>）PLC：I/0卡件插槽预留不少于10%的余量，4～20mA模拟信号输入，支持MODBUS RTU通讯协议、MODBUS TCP/IP、ETHERNET/IP通讯协议。</w:t>
      </w:r>
    </w:p>
    <w:p>
      <w:pPr>
        <w:spacing w:line="336" w:lineRule="auto"/>
        <w:ind w:firstLine="422" w:firstLineChars="201"/>
        <w:rPr>
          <w:rFonts w:hint="eastAsia" w:ascii="新宋体" w:hAnsi="新宋体" w:eastAsia="新宋体" w:cs="新宋体"/>
          <w:bCs/>
          <w:color w:val="auto"/>
          <w:sz w:val="21"/>
          <w:szCs w:val="21"/>
          <w:highlight w:val="none"/>
          <w:lang w:eastAsia="zh-CN"/>
        </w:rPr>
      </w:pPr>
      <w:r>
        <w:rPr>
          <w:rFonts w:hint="eastAsia" w:ascii="新宋体" w:hAnsi="新宋体" w:eastAsia="新宋体" w:cs="新宋体"/>
          <w:bCs/>
          <w:color w:val="auto"/>
          <w:sz w:val="21"/>
          <w:szCs w:val="21"/>
          <w:highlight w:val="none"/>
          <w:lang w:eastAsia="zh-CN"/>
        </w:rPr>
        <w:t>（</w:t>
      </w:r>
      <w:r>
        <w:rPr>
          <w:rFonts w:hint="eastAsia" w:ascii="新宋体" w:hAnsi="新宋体" w:eastAsia="新宋体" w:cs="新宋体"/>
          <w:bCs/>
          <w:color w:val="auto"/>
          <w:sz w:val="21"/>
          <w:szCs w:val="21"/>
          <w:highlight w:val="none"/>
          <w:lang w:val="en-US" w:eastAsia="zh-CN"/>
        </w:rPr>
        <w:t>4</w:t>
      </w:r>
      <w:r>
        <w:rPr>
          <w:rFonts w:hint="eastAsia" w:ascii="新宋体" w:hAnsi="新宋体" w:eastAsia="新宋体" w:cs="新宋体"/>
          <w:bCs/>
          <w:color w:val="auto"/>
          <w:sz w:val="21"/>
          <w:szCs w:val="21"/>
          <w:highlight w:val="none"/>
          <w:lang w:eastAsia="zh-CN"/>
        </w:rPr>
        <w:t>）PLC要求采用模块式设计，抗震性强，耐高温，抗电磁干扰等性能。模拟量模块要求有较高的精度和分辨率，且具备加强的稳定性。应采用品质等于或高于SIEMENS西门子、ABB、罗克韦尔等品牌产品。</w:t>
      </w:r>
    </w:p>
    <w:p>
      <w:pPr>
        <w:spacing w:line="336" w:lineRule="auto"/>
        <w:ind w:firstLine="422" w:firstLineChars="201"/>
        <w:rPr>
          <w:rFonts w:hint="eastAsia" w:ascii="新宋体" w:hAnsi="新宋体" w:eastAsia="新宋体" w:cs="新宋体"/>
          <w:bCs/>
          <w:color w:val="auto"/>
          <w:sz w:val="21"/>
          <w:szCs w:val="21"/>
          <w:highlight w:val="none"/>
          <w:lang w:eastAsia="zh-CN"/>
        </w:rPr>
      </w:pPr>
      <w:r>
        <w:rPr>
          <w:rFonts w:hint="eastAsia" w:ascii="新宋体" w:hAnsi="新宋体" w:eastAsia="新宋体" w:cs="新宋体"/>
          <w:bCs/>
          <w:color w:val="auto"/>
          <w:sz w:val="21"/>
          <w:szCs w:val="21"/>
          <w:highlight w:val="none"/>
          <w:lang w:eastAsia="zh-CN"/>
        </w:rPr>
        <w:t>（</w:t>
      </w:r>
      <w:r>
        <w:rPr>
          <w:rFonts w:hint="eastAsia" w:ascii="新宋体" w:hAnsi="新宋体" w:eastAsia="新宋体" w:cs="新宋体"/>
          <w:bCs/>
          <w:color w:val="auto"/>
          <w:sz w:val="21"/>
          <w:szCs w:val="21"/>
          <w:highlight w:val="none"/>
          <w:lang w:val="en-US" w:eastAsia="zh-CN"/>
        </w:rPr>
        <w:t>5</w:t>
      </w:r>
      <w:r>
        <w:rPr>
          <w:rFonts w:hint="eastAsia" w:ascii="新宋体" w:hAnsi="新宋体" w:eastAsia="新宋体" w:cs="新宋体"/>
          <w:bCs/>
          <w:color w:val="auto"/>
          <w:sz w:val="21"/>
          <w:szCs w:val="21"/>
          <w:highlight w:val="none"/>
          <w:lang w:eastAsia="zh-CN"/>
        </w:rPr>
        <w:t>）站控系统操作页面按照业主要求显示形象标识及LOGO，所有页面醒目位置不得显示投标人品牌标识及LOGO。</w:t>
      </w:r>
    </w:p>
    <w:p>
      <w:pPr>
        <w:spacing w:line="336" w:lineRule="auto"/>
        <w:ind w:firstLine="484" w:firstLineChars="201"/>
        <w:rPr>
          <w:rFonts w:hint="eastAsia" w:ascii="新宋体" w:hAnsi="新宋体" w:eastAsia="新宋体" w:cs="新宋体"/>
          <w:b/>
          <w:color w:val="auto"/>
          <w:sz w:val="24"/>
          <w:szCs w:val="24"/>
          <w:highlight w:val="none"/>
          <w:lang w:val="en-US" w:eastAsia="zh-CN"/>
        </w:rPr>
      </w:pPr>
      <w:r>
        <w:rPr>
          <w:rFonts w:hint="eastAsia" w:ascii="新宋体" w:hAnsi="新宋体" w:eastAsia="新宋体" w:cs="新宋体"/>
          <w:b/>
          <w:color w:val="auto"/>
          <w:sz w:val="24"/>
          <w:szCs w:val="24"/>
          <w:highlight w:val="none"/>
          <w:lang w:val="en-US" w:eastAsia="zh-CN"/>
        </w:rPr>
        <w:t>十一、UPS★</w:t>
      </w:r>
    </w:p>
    <w:p>
      <w:pPr>
        <w:spacing w:line="336" w:lineRule="auto"/>
        <w:ind w:firstLine="422" w:firstLineChars="201"/>
        <w:rPr>
          <w:rFonts w:hint="eastAsia" w:ascii="新宋体" w:hAnsi="新宋体" w:eastAsia="新宋体" w:cs="新宋体"/>
          <w:bCs/>
          <w:color w:val="auto"/>
          <w:sz w:val="21"/>
          <w:szCs w:val="21"/>
          <w:highlight w:val="none"/>
          <w:lang w:eastAsia="zh-CN"/>
        </w:rPr>
      </w:pPr>
      <w:r>
        <w:rPr>
          <w:rFonts w:hint="eastAsia" w:ascii="新宋体" w:hAnsi="新宋体" w:eastAsia="新宋体" w:cs="新宋体"/>
          <w:bCs/>
          <w:color w:val="auto"/>
          <w:sz w:val="21"/>
          <w:szCs w:val="21"/>
          <w:highlight w:val="none"/>
          <w:lang w:eastAsia="zh-CN"/>
        </w:rPr>
        <w:t>（</w:t>
      </w:r>
      <w:r>
        <w:rPr>
          <w:rFonts w:hint="eastAsia" w:ascii="新宋体" w:hAnsi="新宋体" w:eastAsia="新宋体" w:cs="新宋体"/>
          <w:bCs/>
          <w:color w:val="auto"/>
          <w:sz w:val="21"/>
          <w:szCs w:val="21"/>
          <w:highlight w:val="none"/>
          <w:lang w:val="en-US" w:eastAsia="zh-CN"/>
        </w:rPr>
        <w:t>1</w:t>
      </w:r>
      <w:r>
        <w:rPr>
          <w:rFonts w:hint="eastAsia" w:ascii="新宋体" w:hAnsi="新宋体" w:eastAsia="新宋体" w:cs="新宋体"/>
          <w:bCs/>
          <w:color w:val="auto"/>
          <w:sz w:val="21"/>
          <w:szCs w:val="21"/>
          <w:highlight w:val="none"/>
          <w:lang w:eastAsia="zh-CN"/>
        </w:rPr>
        <w:t>）安装于站房控制室内，满足上位机、零管系统、视频监控系统、可燃报警系统等在断电条件下的供电需求。</w:t>
      </w:r>
    </w:p>
    <w:p>
      <w:pPr>
        <w:spacing w:line="336" w:lineRule="auto"/>
        <w:ind w:firstLine="422" w:firstLineChars="201"/>
        <w:rPr>
          <w:rFonts w:hint="eastAsia" w:ascii="新宋体" w:hAnsi="新宋体" w:eastAsia="新宋体" w:cs="新宋体"/>
          <w:bCs/>
          <w:color w:val="auto"/>
          <w:sz w:val="21"/>
          <w:szCs w:val="21"/>
          <w:highlight w:val="none"/>
          <w:lang w:eastAsia="zh-CN"/>
        </w:rPr>
      </w:pPr>
      <w:r>
        <w:rPr>
          <w:rFonts w:hint="eastAsia" w:ascii="新宋体" w:hAnsi="新宋体" w:eastAsia="新宋体" w:cs="新宋体"/>
          <w:bCs/>
          <w:color w:val="auto"/>
          <w:sz w:val="21"/>
          <w:szCs w:val="21"/>
          <w:highlight w:val="none"/>
          <w:lang w:eastAsia="zh-CN"/>
        </w:rPr>
        <w:t>（</w:t>
      </w:r>
      <w:r>
        <w:rPr>
          <w:rFonts w:hint="eastAsia" w:ascii="新宋体" w:hAnsi="新宋体" w:eastAsia="新宋体" w:cs="新宋体"/>
          <w:bCs/>
          <w:color w:val="auto"/>
          <w:sz w:val="21"/>
          <w:szCs w:val="21"/>
          <w:highlight w:val="none"/>
          <w:lang w:val="en-US" w:eastAsia="zh-CN"/>
        </w:rPr>
        <w:t>2</w:t>
      </w:r>
      <w:r>
        <w:rPr>
          <w:rFonts w:hint="eastAsia" w:ascii="新宋体" w:hAnsi="新宋体" w:eastAsia="新宋体" w:cs="新宋体"/>
          <w:bCs/>
          <w:color w:val="auto"/>
          <w:sz w:val="21"/>
          <w:szCs w:val="21"/>
          <w:highlight w:val="none"/>
          <w:lang w:eastAsia="zh-CN"/>
        </w:rPr>
        <w:t>）容量≥6Kva，UPS主机和电池柜独立设置不与配电柜集成。</w:t>
      </w:r>
    </w:p>
    <w:p>
      <w:pPr>
        <w:spacing w:line="336" w:lineRule="auto"/>
        <w:ind w:firstLine="484" w:firstLineChars="201"/>
        <w:rPr>
          <w:rFonts w:hint="eastAsia" w:ascii="新宋体" w:hAnsi="新宋体" w:eastAsia="新宋体" w:cs="新宋体"/>
          <w:b/>
          <w:color w:val="auto"/>
          <w:sz w:val="24"/>
          <w:szCs w:val="24"/>
          <w:highlight w:val="none"/>
          <w:lang w:val="en-US" w:eastAsia="zh-CN"/>
        </w:rPr>
      </w:pPr>
      <w:r>
        <w:rPr>
          <w:rFonts w:hint="eastAsia" w:ascii="新宋体" w:hAnsi="新宋体" w:eastAsia="新宋体" w:cs="新宋体"/>
          <w:b/>
          <w:color w:val="auto"/>
          <w:sz w:val="24"/>
          <w:szCs w:val="24"/>
          <w:highlight w:val="none"/>
          <w:lang w:val="en-US" w:eastAsia="zh-CN"/>
        </w:rPr>
        <w:t>十二、变送器★</w:t>
      </w:r>
    </w:p>
    <w:p>
      <w:pPr>
        <w:spacing w:line="336" w:lineRule="auto"/>
        <w:ind w:firstLine="422" w:firstLineChars="201"/>
        <w:rPr>
          <w:rFonts w:hint="eastAsia" w:ascii="新宋体" w:hAnsi="新宋体" w:eastAsia="新宋体" w:cs="新宋体"/>
          <w:bCs/>
          <w:color w:val="auto"/>
          <w:sz w:val="21"/>
          <w:szCs w:val="21"/>
          <w:highlight w:val="none"/>
          <w:lang w:eastAsia="zh-CN"/>
        </w:rPr>
      </w:pPr>
      <w:r>
        <w:rPr>
          <w:rFonts w:hint="eastAsia" w:ascii="新宋体" w:hAnsi="新宋体" w:eastAsia="新宋体" w:cs="新宋体"/>
          <w:bCs/>
          <w:color w:val="auto"/>
          <w:sz w:val="21"/>
          <w:szCs w:val="21"/>
          <w:highlight w:val="none"/>
          <w:lang w:eastAsia="zh-CN"/>
        </w:rPr>
        <w:t>（</w:t>
      </w:r>
      <w:r>
        <w:rPr>
          <w:rFonts w:hint="eastAsia" w:ascii="新宋体" w:hAnsi="新宋体" w:eastAsia="新宋体" w:cs="新宋体"/>
          <w:bCs/>
          <w:color w:val="auto"/>
          <w:sz w:val="21"/>
          <w:szCs w:val="21"/>
          <w:highlight w:val="none"/>
          <w:lang w:val="en-US" w:eastAsia="zh-CN"/>
        </w:rPr>
        <w:t>1</w:t>
      </w:r>
      <w:r>
        <w:rPr>
          <w:rFonts w:hint="eastAsia" w:ascii="新宋体" w:hAnsi="新宋体" w:eastAsia="新宋体" w:cs="新宋体"/>
          <w:bCs/>
          <w:color w:val="auto"/>
          <w:sz w:val="21"/>
          <w:szCs w:val="21"/>
          <w:highlight w:val="none"/>
          <w:lang w:eastAsia="zh-CN"/>
        </w:rPr>
        <w:t>）防爆等级：Exd IIB T4，防护等级：IP65及以上。</w:t>
      </w:r>
    </w:p>
    <w:p>
      <w:pPr>
        <w:spacing w:line="336" w:lineRule="auto"/>
        <w:ind w:firstLine="422" w:firstLineChars="201"/>
        <w:rPr>
          <w:rFonts w:hint="eastAsia" w:ascii="新宋体" w:hAnsi="新宋体" w:eastAsia="新宋体" w:cs="新宋体"/>
          <w:bCs/>
          <w:color w:val="auto"/>
          <w:sz w:val="21"/>
          <w:szCs w:val="21"/>
          <w:highlight w:val="none"/>
          <w:lang w:eastAsia="zh-CN"/>
        </w:rPr>
      </w:pPr>
      <w:r>
        <w:rPr>
          <w:rFonts w:hint="eastAsia" w:ascii="新宋体" w:hAnsi="新宋体" w:eastAsia="新宋体" w:cs="新宋体"/>
          <w:bCs/>
          <w:color w:val="auto"/>
          <w:sz w:val="21"/>
          <w:szCs w:val="21"/>
          <w:highlight w:val="none"/>
          <w:lang w:eastAsia="zh-CN"/>
        </w:rPr>
        <w:t>（</w:t>
      </w:r>
      <w:r>
        <w:rPr>
          <w:rFonts w:hint="eastAsia" w:ascii="新宋体" w:hAnsi="新宋体" w:eastAsia="新宋体" w:cs="新宋体"/>
          <w:bCs/>
          <w:color w:val="auto"/>
          <w:sz w:val="21"/>
          <w:szCs w:val="21"/>
          <w:highlight w:val="none"/>
          <w:lang w:val="en-US" w:eastAsia="zh-CN"/>
        </w:rPr>
        <w:t>2</w:t>
      </w:r>
      <w:r>
        <w:rPr>
          <w:rFonts w:hint="eastAsia" w:ascii="新宋体" w:hAnsi="新宋体" w:eastAsia="新宋体" w:cs="新宋体"/>
          <w:bCs/>
          <w:color w:val="auto"/>
          <w:sz w:val="21"/>
          <w:szCs w:val="21"/>
          <w:highlight w:val="none"/>
          <w:lang w:eastAsia="zh-CN"/>
        </w:rPr>
        <w:t>）量程范围：不小于被测量的1.5倍。</w:t>
      </w:r>
    </w:p>
    <w:p>
      <w:pPr>
        <w:spacing w:line="336" w:lineRule="auto"/>
        <w:ind w:firstLine="484" w:firstLineChars="201"/>
        <w:rPr>
          <w:rFonts w:hint="eastAsia" w:ascii="新宋体" w:hAnsi="新宋体" w:eastAsia="新宋体" w:cs="新宋体"/>
          <w:b/>
          <w:color w:val="auto"/>
          <w:sz w:val="24"/>
          <w:szCs w:val="24"/>
          <w:highlight w:val="none"/>
          <w:lang w:val="en-US" w:eastAsia="zh-CN"/>
        </w:rPr>
      </w:pPr>
      <w:r>
        <w:rPr>
          <w:rFonts w:hint="eastAsia" w:ascii="新宋体" w:hAnsi="新宋体" w:eastAsia="新宋体" w:cs="新宋体"/>
          <w:b/>
          <w:color w:val="auto"/>
          <w:sz w:val="24"/>
          <w:szCs w:val="24"/>
          <w:highlight w:val="none"/>
          <w:lang w:val="en-US" w:eastAsia="zh-CN"/>
        </w:rPr>
        <w:t>十三、整机要求★</w:t>
      </w:r>
    </w:p>
    <w:p>
      <w:pPr>
        <w:spacing w:line="336" w:lineRule="auto"/>
        <w:ind w:firstLine="422" w:firstLineChars="201"/>
        <w:rPr>
          <w:rFonts w:hint="eastAsia" w:ascii="新宋体" w:hAnsi="新宋体" w:eastAsia="新宋体" w:cs="新宋体"/>
          <w:bCs/>
          <w:color w:val="auto"/>
          <w:sz w:val="21"/>
          <w:szCs w:val="21"/>
          <w:highlight w:val="none"/>
          <w:lang w:eastAsia="zh-CN"/>
        </w:rPr>
      </w:pPr>
      <w:r>
        <w:rPr>
          <w:rFonts w:hint="eastAsia" w:ascii="新宋体" w:hAnsi="新宋体" w:eastAsia="新宋体" w:cs="新宋体"/>
          <w:bCs/>
          <w:color w:val="auto"/>
          <w:sz w:val="21"/>
          <w:szCs w:val="21"/>
          <w:highlight w:val="none"/>
          <w:lang w:eastAsia="zh-CN"/>
        </w:rPr>
        <w:t>（</w:t>
      </w:r>
      <w:r>
        <w:rPr>
          <w:rFonts w:hint="eastAsia" w:ascii="新宋体" w:hAnsi="新宋体" w:eastAsia="新宋体" w:cs="新宋体"/>
          <w:bCs/>
          <w:color w:val="auto"/>
          <w:sz w:val="21"/>
          <w:szCs w:val="21"/>
          <w:highlight w:val="none"/>
          <w:lang w:val="en-US" w:eastAsia="zh-CN"/>
        </w:rPr>
        <w:t>1</w:t>
      </w:r>
      <w:r>
        <w:rPr>
          <w:rFonts w:hint="eastAsia" w:ascii="新宋体" w:hAnsi="新宋体" w:eastAsia="新宋体" w:cs="新宋体"/>
          <w:bCs/>
          <w:color w:val="auto"/>
          <w:sz w:val="21"/>
          <w:szCs w:val="21"/>
          <w:highlight w:val="none"/>
          <w:lang w:eastAsia="zh-CN"/>
        </w:rPr>
        <w:t>）设备整体LNG排放量少，气体损耗小，正常情况下整站不产生放散。</w:t>
      </w:r>
    </w:p>
    <w:p>
      <w:pPr>
        <w:spacing w:line="336" w:lineRule="auto"/>
        <w:ind w:firstLine="422" w:firstLineChars="201"/>
        <w:rPr>
          <w:rFonts w:hint="eastAsia" w:ascii="新宋体" w:hAnsi="新宋体" w:eastAsia="新宋体" w:cs="新宋体"/>
          <w:bCs/>
          <w:color w:val="auto"/>
          <w:sz w:val="21"/>
          <w:szCs w:val="21"/>
          <w:highlight w:val="none"/>
          <w:lang w:eastAsia="zh-CN"/>
        </w:rPr>
      </w:pPr>
      <w:r>
        <w:rPr>
          <w:rFonts w:hint="eastAsia" w:ascii="新宋体" w:hAnsi="新宋体" w:eastAsia="新宋体" w:cs="新宋体"/>
          <w:bCs/>
          <w:color w:val="auto"/>
          <w:sz w:val="21"/>
          <w:szCs w:val="21"/>
          <w:highlight w:val="none"/>
          <w:lang w:eastAsia="zh-CN"/>
        </w:rPr>
        <w:t>（</w:t>
      </w:r>
      <w:r>
        <w:rPr>
          <w:rFonts w:hint="eastAsia" w:ascii="新宋体" w:hAnsi="新宋体" w:eastAsia="新宋体" w:cs="新宋体"/>
          <w:bCs/>
          <w:color w:val="auto"/>
          <w:sz w:val="21"/>
          <w:szCs w:val="21"/>
          <w:highlight w:val="none"/>
          <w:lang w:val="en-US" w:eastAsia="zh-CN"/>
        </w:rPr>
        <w:t>2</w:t>
      </w:r>
      <w:r>
        <w:rPr>
          <w:rFonts w:hint="eastAsia" w:ascii="新宋体" w:hAnsi="新宋体" w:eastAsia="新宋体" w:cs="新宋体"/>
          <w:bCs/>
          <w:color w:val="auto"/>
          <w:sz w:val="21"/>
          <w:szCs w:val="21"/>
          <w:highlight w:val="none"/>
          <w:lang w:eastAsia="zh-CN"/>
        </w:rPr>
        <w:t>）设备整体取液率高，正常运行残液剩余不多于2000kg，即LNG储罐剩余LNG液位高于2000kg时，设备可以自动正常加液，无需进行手动开启放散等操作。</w:t>
      </w:r>
    </w:p>
    <w:p>
      <w:pPr>
        <w:spacing w:line="336" w:lineRule="auto"/>
        <w:ind w:firstLine="422" w:firstLineChars="201"/>
        <w:rPr>
          <w:rFonts w:hint="eastAsia" w:ascii="新宋体" w:hAnsi="新宋体" w:eastAsia="新宋体" w:cs="新宋体"/>
          <w:bCs/>
          <w:color w:val="auto"/>
          <w:sz w:val="21"/>
          <w:szCs w:val="21"/>
          <w:highlight w:val="none"/>
          <w:lang w:eastAsia="zh-CN"/>
        </w:rPr>
      </w:pPr>
      <w:r>
        <w:rPr>
          <w:rFonts w:hint="eastAsia" w:ascii="新宋体" w:hAnsi="新宋体" w:eastAsia="新宋体" w:cs="新宋体"/>
          <w:bCs/>
          <w:color w:val="auto"/>
          <w:sz w:val="21"/>
          <w:szCs w:val="21"/>
          <w:highlight w:val="none"/>
          <w:lang w:eastAsia="zh-CN"/>
        </w:rPr>
        <w:t>（</w:t>
      </w:r>
      <w:r>
        <w:rPr>
          <w:rFonts w:hint="eastAsia" w:ascii="新宋体" w:hAnsi="新宋体" w:eastAsia="新宋体" w:cs="新宋体"/>
          <w:bCs/>
          <w:color w:val="auto"/>
          <w:sz w:val="21"/>
          <w:szCs w:val="21"/>
          <w:highlight w:val="none"/>
          <w:lang w:val="en-US" w:eastAsia="zh-CN"/>
        </w:rPr>
        <w:t>3</w:t>
      </w:r>
      <w:r>
        <w:rPr>
          <w:rFonts w:hint="eastAsia" w:ascii="新宋体" w:hAnsi="新宋体" w:eastAsia="新宋体" w:cs="新宋体"/>
          <w:bCs/>
          <w:color w:val="auto"/>
          <w:sz w:val="21"/>
          <w:szCs w:val="21"/>
          <w:highlight w:val="none"/>
          <w:lang w:eastAsia="zh-CN"/>
        </w:rPr>
        <w:t xml:space="preserve">）支持自动卸车加气功能，通过站控系统操作，进行卸车流程时可以通过自动操作对车辆进行加气。 </w:t>
      </w:r>
    </w:p>
    <w:bookmarkEnd w:id="612"/>
    <w:p>
      <w:pPr>
        <w:spacing w:line="360" w:lineRule="auto"/>
        <w:rPr>
          <w:rFonts w:hint="eastAsia" w:ascii="新宋体" w:hAnsi="新宋体" w:eastAsia="新宋体" w:cs="新宋体"/>
          <w:color w:val="auto"/>
          <w:highlight w:val="none"/>
        </w:rPr>
      </w:pPr>
    </w:p>
    <w:p>
      <w:pPr>
        <w:rPr>
          <w:rFonts w:hint="eastAsia" w:ascii="新宋体" w:hAnsi="新宋体" w:eastAsia="新宋体" w:cs="新宋体"/>
          <w:color w:val="auto"/>
          <w:highlight w:val="none"/>
        </w:rPr>
      </w:pPr>
      <w:bookmarkStart w:id="613" w:name="招标文件08章投标文件格式"/>
      <w:bookmarkEnd w:id="613"/>
      <w:bookmarkStart w:id="614" w:name="_Toc509218852"/>
      <w:bookmarkStart w:id="615" w:name="_Toc287607865"/>
      <w:bookmarkStart w:id="616" w:name="_Toc430530528"/>
      <w:bookmarkStart w:id="617" w:name="_Toc57820646"/>
      <w:bookmarkStart w:id="618" w:name="_Toc287620812"/>
      <w:bookmarkStart w:id="619" w:name="_Toc534185829"/>
      <w:r>
        <w:rPr>
          <w:rFonts w:hint="eastAsia" w:ascii="新宋体" w:hAnsi="新宋体" w:eastAsia="新宋体" w:cs="新宋体"/>
          <w:color w:val="auto"/>
          <w:highlight w:val="none"/>
        </w:rPr>
        <w:br w:type="page"/>
      </w:r>
    </w:p>
    <w:p>
      <w:pPr>
        <w:pStyle w:val="3"/>
        <w:spacing w:line="360" w:lineRule="auto"/>
        <w:jc w:val="center"/>
        <w:rPr>
          <w:rFonts w:hint="eastAsia" w:ascii="新宋体" w:hAnsi="新宋体" w:eastAsia="新宋体" w:cs="新宋体"/>
          <w:color w:val="auto"/>
          <w:highlight w:val="none"/>
        </w:rPr>
      </w:pPr>
      <w:r>
        <w:rPr>
          <w:rFonts w:hint="eastAsia" w:ascii="新宋体" w:hAnsi="新宋体" w:eastAsia="新宋体" w:cs="新宋体"/>
          <w:color w:val="auto"/>
          <w:highlight w:val="none"/>
        </w:rPr>
        <w:t>第</w:t>
      </w:r>
      <w:r>
        <w:rPr>
          <w:rFonts w:hint="eastAsia" w:ascii="新宋体" w:hAnsi="新宋体" w:eastAsia="新宋体" w:cs="新宋体"/>
          <w:color w:val="auto"/>
          <w:highlight w:val="none"/>
          <w:lang w:val="en-US" w:eastAsia="zh-CN"/>
        </w:rPr>
        <w:t>六</w:t>
      </w:r>
      <w:r>
        <w:rPr>
          <w:rFonts w:hint="eastAsia" w:ascii="新宋体" w:hAnsi="新宋体" w:eastAsia="新宋体" w:cs="新宋体"/>
          <w:color w:val="auto"/>
          <w:highlight w:val="none"/>
        </w:rPr>
        <w:t>章  投标文件格式</w:t>
      </w:r>
      <w:bookmarkEnd w:id="614"/>
      <w:bookmarkEnd w:id="615"/>
      <w:bookmarkEnd w:id="616"/>
      <w:bookmarkEnd w:id="617"/>
      <w:bookmarkEnd w:id="618"/>
      <w:bookmarkEnd w:id="619"/>
    </w:p>
    <w:p>
      <w:pPr>
        <w:spacing w:line="360" w:lineRule="auto"/>
        <w:rPr>
          <w:rFonts w:hint="eastAsia" w:ascii="新宋体" w:hAnsi="新宋体" w:eastAsia="新宋体" w:cs="新宋体"/>
          <w:color w:val="auto"/>
          <w:sz w:val="32"/>
          <w:szCs w:val="32"/>
          <w:highlight w:val="none"/>
        </w:rPr>
      </w:pPr>
    </w:p>
    <w:p>
      <w:pPr>
        <w:spacing w:line="360" w:lineRule="auto"/>
        <w:jc w:val="center"/>
        <w:rPr>
          <w:rFonts w:hint="eastAsia" w:ascii="新宋体" w:hAnsi="新宋体" w:eastAsia="新宋体" w:cs="新宋体"/>
          <w:color w:val="auto"/>
          <w:sz w:val="36"/>
          <w:szCs w:val="36"/>
          <w:highlight w:val="none"/>
        </w:rPr>
      </w:pPr>
      <w:r>
        <w:rPr>
          <w:rFonts w:hint="eastAsia" w:ascii="新宋体" w:hAnsi="新宋体" w:eastAsia="新宋体" w:cs="新宋体"/>
          <w:color w:val="auto"/>
          <w:szCs w:val="20"/>
          <w:highlight w:val="none"/>
        </w:rPr>
        <w:br w:type="page"/>
      </w:r>
      <w:bookmarkStart w:id="620" w:name="_Toc224103493"/>
      <w:r>
        <w:rPr>
          <w:rFonts w:hint="eastAsia" w:ascii="新宋体" w:hAnsi="新宋体" w:eastAsia="新宋体" w:cs="新宋体"/>
          <w:color w:val="auto"/>
          <w:sz w:val="36"/>
          <w:szCs w:val="36"/>
          <w:highlight w:val="none"/>
        </w:rPr>
        <w:t>目  录</w:t>
      </w:r>
      <w:bookmarkEnd w:id="620"/>
    </w:p>
    <w:p>
      <w:pPr>
        <w:spacing w:line="360" w:lineRule="auto"/>
        <w:jc w:val="center"/>
        <w:rPr>
          <w:rFonts w:hint="eastAsia" w:ascii="新宋体" w:hAnsi="新宋体" w:eastAsia="新宋体" w:cs="新宋体"/>
          <w:color w:val="auto"/>
          <w:szCs w:val="20"/>
          <w:highlight w:val="none"/>
        </w:rPr>
      </w:pPr>
    </w:p>
    <w:p>
      <w:pPr>
        <w:spacing w:line="360" w:lineRule="auto"/>
        <w:rPr>
          <w:rFonts w:hint="eastAsia" w:ascii="新宋体" w:hAnsi="新宋体" w:eastAsia="新宋体" w:cs="新宋体"/>
          <w:b/>
          <w:color w:val="auto"/>
          <w:highlight w:val="none"/>
        </w:rPr>
      </w:pPr>
      <w:r>
        <w:rPr>
          <w:rFonts w:hint="eastAsia" w:ascii="新宋体" w:hAnsi="新宋体" w:eastAsia="新宋体" w:cs="新宋体"/>
          <w:b/>
          <w:color w:val="auto"/>
          <w:highlight w:val="none"/>
        </w:rPr>
        <w:t>一、投标函部分</w:t>
      </w:r>
    </w:p>
    <w:p>
      <w:pPr>
        <w:spacing w:line="360" w:lineRule="auto"/>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（一）投标函</w:t>
      </w:r>
    </w:p>
    <w:p>
      <w:pPr>
        <w:spacing w:line="360" w:lineRule="auto"/>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（二）法定代表人身份证明或附有法定代表人身份证明的授权委托书</w:t>
      </w:r>
    </w:p>
    <w:p>
      <w:pPr>
        <w:spacing w:line="360" w:lineRule="auto"/>
        <w:rPr>
          <w:rFonts w:hint="eastAsia" w:ascii="新宋体" w:hAnsi="新宋体" w:eastAsia="新宋体" w:cs="新宋体"/>
          <w:b/>
          <w:color w:val="auto"/>
          <w:highlight w:val="none"/>
        </w:rPr>
      </w:pPr>
      <w:r>
        <w:rPr>
          <w:rFonts w:hint="eastAsia" w:ascii="新宋体" w:hAnsi="新宋体" w:eastAsia="新宋体" w:cs="新宋体"/>
          <w:b/>
          <w:color w:val="auto"/>
          <w:highlight w:val="none"/>
        </w:rPr>
        <w:t>二、经济部分</w:t>
      </w:r>
    </w:p>
    <w:p>
      <w:pPr>
        <w:spacing w:line="360" w:lineRule="auto"/>
        <w:rPr>
          <w:rFonts w:hint="eastAsia" w:ascii="新宋体" w:hAnsi="新宋体" w:eastAsia="新宋体" w:cs="新宋体"/>
          <w:b/>
          <w:color w:val="auto"/>
          <w:highlight w:val="none"/>
        </w:rPr>
      </w:pPr>
      <w:r>
        <w:rPr>
          <w:rFonts w:hint="eastAsia" w:ascii="新宋体" w:hAnsi="新宋体" w:eastAsia="新宋体" w:cs="新宋体"/>
          <w:b/>
          <w:color w:val="auto"/>
          <w:highlight w:val="none"/>
        </w:rPr>
        <w:t>三、技术部分</w:t>
      </w:r>
    </w:p>
    <w:p>
      <w:pPr>
        <w:spacing w:line="360" w:lineRule="auto"/>
        <w:rPr>
          <w:rFonts w:hint="eastAsia" w:ascii="新宋体" w:hAnsi="新宋体" w:eastAsia="新宋体" w:cs="新宋体"/>
          <w:b/>
          <w:color w:val="auto"/>
          <w:highlight w:val="none"/>
          <w:lang w:val="en-US" w:eastAsia="zh-CN"/>
        </w:rPr>
      </w:pPr>
      <w:r>
        <w:rPr>
          <w:rFonts w:hint="eastAsia" w:ascii="新宋体" w:hAnsi="新宋体" w:eastAsia="新宋体" w:cs="新宋体"/>
          <w:b/>
          <w:color w:val="auto"/>
          <w:highlight w:val="none"/>
        </w:rPr>
        <w:t>四</w:t>
      </w:r>
      <w:r>
        <w:rPr>
          <w:rFonts w:hint="eastAsia" w:ascii="新宋体" w:hAnsi="新宋体" w:eastAsia="新宋体" w:cs="新宋体"/>
          <w:b/>
          <w:color w:val="auto"/>
          <w:highlight w:val="none"/>
          <w:lang w:eastAsia="zh-CN"/>
        </w:rPr>
        <w:t>、</w:t>
      </w:r>
      <w:r>
        <w:rPr>
          <w:rFonts w:hint="eastAsia" w:ascii="新宋体" w:hAnsi="新宋体" w:eastAsia="新宋体" w:cs="新宋体"/>
          <w:b/>
          <w:color w:val="auto"/>
          <w:highlight w:val="none"/>
          <w:lang w:val="en-US" w:eastAsia="zh-CN"/>
        </w:rPr>
        <w:t>商务部分</w:t>
      </w:r>
    </w:p>
    <w:p>
      <w:pPr>
        <w:spacing w:line="360" w:lineRule="auto"/>
        <w:rPr>
          <w:rFonts w:hint="eastAsia" w:ascii="新宋体" w:hAnsi="新宋体" w:eastAsia="新宋体" w:cs="新宋体"/>
          <w:b/>
          <w:color w:val="auto"/>
          <w:highlight w:val="none"/>
        </w:rPr>
      </w:pPr>
      <w:r>
        <w:rPr>
          <w:rFonts w:hint="eastAsia" w:ascii="新宋体" w:hAnsi="新宋体" w:eastAsia="新宋体" w:cs="新宋体"/>
          <w:b/>
          <w:color w:val="auto"/>
          <w:highlight w:val="none"/>
          <w:lang w:val="en-US" w:eastAsia="zh-CN"/>
        </w:rPr>
        <w:t>五</w:t>
      </w:r>
      <w:r>
        <w:rPr>
          <w:rFonts w:hint="eastAsia" w:ascii="新宋体" w:hAnsi="新宋体" w:eastAsia="新宋体" w:cs="新宋体"/>
          <w:b/>
          <w:color w:val="auto"/>
          <w:highlight w:val="none"/>
        </w:rPr>
        <w:t>、资格审查部分</w:t>
      </w:r>
    </w:p>
    <w:p>
      <w:pPr>
        <w:spacing w:line="360" w:lineRule="auto"/>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（一）法定代表人身份证明或附有法定代表人身份证明的授权委托书</w:t>
      </w:r>
    </w:p>
    <w:p>
      <w:pPr>
        <w:spacing w:line="360" w:lineRule="auto"/>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w:t>
      </w:r>
      <w:r>
        <w:rPr>
          <w:rFonts w:hint="eastAsia" w:ascii="新宋体" w:hAnsi="新宋体" w:eastAsia="新宋体" w:cs="新宋体"/>
          <w:color w:val="auto"/>
          <w:highlight w:val="none"/>
          <w:lang w:val="en-US" w:eastAsia="zh-CN"/>
        </w:rPr>
        <w:t>二</w:t>
      </w:r>
      <w:r>
        <w:rPr>
          <w:rFonts w:hint="eastAsia" w:ascii="新宋体" w:hAnsi="新宋体" w:eastAsia="新宋体" w:cs="新宋体"/>
          <w:color w:val="auto"/>
          <w:highlight w:val="none"/>
        </w:rPr>
        <w:t>）投标人基本情况表</w:t>
      </w:r>
    </w:p>
    <w:p>
      <w:pPr>
        <w:spacing w:line="360" w:lineRule="auto"/>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w:t>
      </w:r>
      <w:r>
        <w:rPr>
          <w:rFonts w:hint="eastAsia" w:ascii="新宋体" w:hAnsi="新宋体" w:eastAsia="新宋体" w:cs="新宋体"/>
          <w:color w:val="auto"/>
          <w:highlight w:val="none"/>
          <w:lang w:val="en-US" w:eastAsia="zh-CN"/>
        </w:rPr>
        <w:t>三</w:t>
      </w:r>
      <w:r>
        <w:rPr>
          <w:rFonts w:hint="eastAsia" w:ascii="新宋体" w:hAnsi="新宋体" w:eastAsia="新宋体" w:cs="新宋体"/>
          <w:color w:val="auto"/>
          <w:highlight w:val="none"/>
        </w:rPr>
        <w:t>）近年财务状况表</w:t>
      </w:r>
    </w:p>
    <w:p>
      <w:pPr>
        <w:spacing w:line="360" w:lineRule="auto"/>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w:t>
      </w:r>
      <w:r>
        <w:rPr>
          <w:rFonts w:hint="eastAsia" w:ascii="新宋体" w:hAnsi="新宋体" w:eastAsia="新宋体" w:cs="新宋体"/>
          <w:color w:val="auto"/>
          <w:highlight w:val="none"/>
          <w:lang w:val="en-US" w:eastAsia="zh-CN"/>
        </w:rPr>
        <w:t>四</w:t>
      </w:r>
      <w:r>
        <w:rPr>
          <w:rFonts w:hint="eastAsia" w:ascii="新宋体" w:hAnsi="新宋体" w:eastAsia="新宋体" w:cs="新宋体"/>
          <w:color w:val="auto"/>
          <w:highlight w:val="none"/>
        </w:rPr>
        <w:t>）类似项目情况表</w:t>
      </w:r>
    </w:p>
    <w:p>
      <w:pPr>
        <w:spacing w:line="360" w:lineRule="auto"/>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w:t>
      </w:r>
      <w:r>
        <w:rPr>
          <w:rFonts w:hint="eastAsia" w:ascii="新宋体" w:hAnsi="新宋体" w:eastAsia="新宋体" w:cs="新宋体"/>
          <w:color w:val="auto"/>
          <w:highlight w:val="none"/>
          <w:lang w:val="en-US" w:eastAsia="zh-CN"/>
        </w:rPr>
        <w:t>五</w:t>
      </w:r>
      <w:r>
        <w:rPr>
          <w:rFonts w:hint="eastAsia" w:ascii="新宋体" w:hAnsi="新宋体" w:eastAsia="新宋体" w:cs="新宋体"/>
          <w:color w:val="auto"/>
          <w:highlight w:val="none"/>
        </w:rPr>
        <w:t>）承诺</w:t>
      </w:r>
    </w:p>
    <w:p>
      <w:pPr>
        <w:spacing w:line="360" w:lineRule="auto"/>
        <w:ind w:firstLine="420" w:firstLineChars="200"/>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rPr>
        <w:t>（</w:t>
      </w:r>
      <w:r>
        <w:rPr>
          <w:rFonts w:hint="eastAsia" w:ascii="新宋体" w:hAnsi="新宋体" w:eastAsia="新宋体" w:cs="新宋体"/>
          <w:color w:val="auto"/>
          <w:szCs w:val="21"/>
          <w:highlight w:val="none"/>
          <w:lang w:val="en-US" w:eastAsia="zh-CN"/>
        </w:rPr>
        <w:t>六</w:t>
      </w:r>
      <w:r>
        <w:rPr>
          <w:rFonts w:hint="eastAsia" w:ascii="新宋体" w:hAnsi="新宋体" w:eastAsia="新宋体" w:cs="新宋体"/>
          <w:color w:val="auto"/>
          <w:szCs w:val="21"/>
          <w:highlight w:val="none"/>
        </w:rPr>
        <w:t>）</w:t>
      </w:r>
      <w:r>
        <w:rPr>
          <w:rFonts w:hint="eastAsia" w:ascii="新宋体" w:hAnsi="新宋体" w:eastAsia="新宋体" w:cs="新宋体"/>
          <w:color w:val="auto"/>
          <w:szCs w:val="21"/>
          <w:highlight w:val="none"/>
          <w:lang w:val="en-US" w:eastAsia="zh-CN"/>
        </w:rPr>
        <w:t>其他证书</w:t>
      </w:r>
    </w:p>
    <w:p>
      <w:pPr>
        <w:spacing w:line="360" w:lineRule="auto"/>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lang w:eastAsia="zh-CN"/>
        </w:rPr>
        <w:t>（</w:t>
      </w:r>
      <w:r>
        <w:rPr>
          <w:rFonts w:hint="eastAsia" w:ascii="新宋体" w:hAnsi="新宋体" w:eastAsia="新宋体" w:cs="新宋体"/>
          <w:color w:val="auto"/>
          <w:szCs w:val="21"/>
          <w:highlight w:val="none"/>
          <w:lang w:val="en-US" w:eastAsia="zh-CN"/>
        </w:rPr>
        <w:t>七</w:t>
      </w:r>
      <w:r>
        <w:rPr>
          <w:rFonts w:hint="eastAsia" w:ascii="新宋体" w:hAnsi="新宋体" w:eastAsia="新宋体" w:cs="新宋体"/>
          <w:color w:val="auto"/>
          <w:szCs w:val="21"/>
          <w:highlight w:val="none"/>
          <w:lang w:eastAsia="zh-CN"/>
        </w:rPr>
        <w:t>）</w:t>
      </w:r>
      <w:r>
        <w:rPr>
          <w:rFonts w:hint="eastAsia" w:ascii="新宋体" w:hAnsi="新宋体" w:eastAsia="新宋体" w:cs="新宋体"/>
          <w:color w:val="auto"/>
          <w:szCs w:val="21"/>
          <w:highlight w:val="none"/>
        </w:rPr>
        <w:t>其他资料</w:t>
      </w:r>
    </w:p>
    <w:p>
      <w:pPr>
        <w:autoSpaceDE w:val="0"/>
        <w:autoSpaceDN w:val="0"/>
        <w:adjustRightInd w:val="0"/>
        <w:spacing w:line="276" w:lineRule="auto"/>
        <w:ind w:right="-23"/>
        <w:jc w:val="left"/>
        <w:rPr>
          <w:rFonts w:hint="eastAsia" w:ascii="新宋体" w:hAnsi="新宋体" w:eastAsia="新宋体" w:cs="新宋体"/>
          <w:color w:val="auto"/>
          <w:kern w:val="0"/>
          <w:szCs w:val="21"/>
          <w:highlight w:val="none"/>
          <w:u w:val="single"/>
        </w:rPr>
      </w:pPr>
      <w:r>
        <w:rPr>
          <w:rFonts w:hint="eastAsia" w:ascii="新宋体" w:hAnsi="新宋体" w:eastAsia="新宋体" w:cs="新宋体"/>
          <w:b/>
          <w:color w:val="auto"/>
          <w:kern w:val="0"/>
          <w:sz w:val="24"/>
          <w:highlight w:val="none"/>
        </w:rPr>
        <w:br w:type="page"/>
      </w:r>
      <w:bookmarkStart w:id="621" w:name="_Toc430530529"/>
      <w:bookmarkStart w:id="622" w:name="_Toc287607866"/>
      <w:bookmarkStart w:id="623" w:name="_Toc224103494"/>
      <w:bookmarkStart w:id="624" w:name="_Toc277082642"/>
      <w:bookmarkStart w:id="625" w:name="_Toc287620813"/>
    </w:p>
    <w:p>
      <w:pPr>
        <w:pStyle w:val="4"/>
        <w:spacing w:line="360" w:lineRule="auto"/>
        <w:jc w:val="center"/>
        <w:rPr>
          <w:rFonts w:hint="eastAsia" w:ascii="新宋体" w:hAnsi="新宋体" w:eastAsia="新宋体" w:cs="新宋体"/>
          <w:b w:val="0"/>
          <w:bCs w:val="0"/>
          <w:color w:val="auto"/>
          <w:sz w:val="44"/>
          <w:szCs w:val="44"/>
          <w:highlight w:val="none"/>
        </w:rPr>
      </w:pPr>
      <w:bookmarkStart w:id="626" w:name="_Toc57820647"/>
      <w:r>
        <w:rPr>
          <w:rFonts w:hint="eastAsia" w:ascii="新宋体" w:hAnsi="新宋体" w:eastAsia="新宋体" w:cs="新宋体"/>
          <w:b w:val="0"/>
          <w:bCs w:val="0"/>
          <w:color w:val="auto"/>
          <w:sz w:val="44"/>
          <w:szCs w:val="44"/>
          <w:highlight w:val="none"/>
        </w:rPr>
        <w:t>一、投标函部分</w:t>
      </w:r>
      <w:bookmarkEnd w:id="621"/>
      <w:bookmarkEnd w:id="622"/>
      <w:bookmarkEnd w:id="623"/>
      <w:bookmarkEnd w:id="624"/>
      <w:bookmarkEnd w:id="625"/>
      <w:bookmarkEnd w:id="626"/>
    </w:p>
    <w:p>
      <w:pPr>
        <w:tabs>
          <w:tab w:val="left" w:pos="2580"/>
          <w:tab w:val="left" w:pos="5940"/>
        </w:tabs>
        <w:autoSpaceDE w:val="0"/>
        <w:autoSpaceDN w:val="0"/>
        <w:adjustRightInd w:val="0"/>
        <w:snapToGrid w:val="0"/>
        <w:spacing w:line="360" w:lineRule="auto"/>
        <w:jc w:val="left"/>
        <w:rPr>
          <w:rFonts w:hint="eastAsia" w:ascii="新宋体" w:hAnsi="新宋体" w:eastAsia="新宋体" w:cs="新宋体"/>
          <w:color w:val="auto"/>
          <w:kern w:val="0"/>
          <w:sz w:val="28"/>
          <w:szCs w:val="28"/>
          <w:highlight w:val="none"/>
          <w:u w:val="single"/>
        </w:rPr>
      </w:pPr>
      <w:r>
        <w:rPr>
          <w:rFonts w:hint="eastAsia" w:ascii="新宋体" w:hAnsi="新宋体" w:eastAsia="新宋体" w:cs="新宋体"/>
          <w:color w:val="auto"/>
          <w:kern w:val="0"/>
          <w:sz w:val="28"/>
          <w:szCs w:val="28"/>
          <w:highlight w:val="none"/>
          <w:u w:val="single"/>
        </w:rPr>
        <w:br w:type="page"/>
      </w:r>
    </w:p>
    <w:p>
      <w:pPr>
        <w:spacing w:line="360" w:lineRule="auto"/>
        <w:jc w:val="center"/>
        <w:rPr>
          <w:rFonts w:hint="eastAsia" w:ascii="新宋体" w:hAnsi="新宋体" w:eastAsia="新宋体" w:cs="新宋体"/>
          <w:color w:val="auto"/>
          <w:kern w:val="0"/>
          <w:sz w:val="32"/>
          <w:szCs w:val="32"/>
          <w:highlight w:val="none"/>
        </w:rPr>
      </w:pPr>
      <w:r>
        <w:rPr>
          <w:rFonts w:hint="eastAsia" w:ascii="新宋体" w:hAnsi="新宋体" w:eastAsia="新宋体" w:cs="新宋体"/>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hint="eastAsia" w:ascii="新宋体" w:hAnsi="新宋体" w:eastAsia="新宋体" w:cs="新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新宋体" w:hAnsi="新宋体" w:eastAsia="新宋体" w:cs="新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新宋体" w:hAnsi="新宋体" w:eastAsia="新宋体" w:cs="新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新宋体" w:hAnsi="新宋体" w:eastAsia="新宋体" w:cs="新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新宋体" w:hAnsi="新宋体" w:eastAsia="新宋体" w:cs="新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新宋体" w:hAnsi="新宋体" w:eastAsia="新宋体" w:cs="新宋体"/>
          <w:color w:val="auto"/>
          <w:kern w:val="0"/>
          <w:sz w:val="72"/>
          <w:szCs w:val="72"/>
          <w:highlight w:val="none"/>
        </w:rPr>
      </w:pPr>
      <w:r>
        <w:rPr>
          <w:rFonts w:hint="eastAsia" w:ascii="新宋体" w:hAnsi="新宋体" w:eastAsia="新宋体" w:cs="新宋体"/>
          <w:color w:val="auto"/>
          <w:kern w:val="0"/>
          <w:sz w:val="72"/>
          <w:szCs w:val="72"/>
          <w:highlight w:val="none"/>
        </w:rPr>
        <w:t>投 标 文 件</w:t>
      </w:r>
    </w:p>
    <w:p>
      <w:pPr>
        <w:autoSpaceDE w:val="0"/>
        <w:autoSpaceDN w:val="0"/>
        <w:adjustRightInd w:val="0"/>
        <w:snapToGrid w:val="0"/>
        <w:spacing w:line="360" w:lineRule="auto"/>
        <w:jc w:val="left"/>
        <w:rPr>
          <w:rFonts w:hint="eastAsia" w:ascii="新宋体" w:hAnsi="新宋体" w:eastAsia="新宋体" w:cs="新宋体"/>
          <w:color w:val="auto"/>
          <w:kern w:val="0"/>
          <w:sz w:val="16"/>
          <w:szCs w:val="16"/>
          <w:highlight w:val="none"/>
        </w:rPr>
      </w:pPr>
    </w:p>
    <w:p>
      <w:pPr>
        <w:autoSpaceDE w:val="0"/>
        <w:autoSpaceDN w:val="0"/>
        <w:adjustRightInd w:val="0"/>
        <w:snapToGrid w:val="0"/>
        <w:spacing w:line="360" w:lineRule="auto"/>
        <w:jc w:val="center"/>
        <w:rPr>
          <w:rFonts w:hint="eastAsia" w:ascii="新宋体" w:hAnsi="新宋体" w:eastAsia="新宋体" w:cs="新宋体"/>
          <w:color w:val="auto"/>
          <w:kern w:val="0"/>
          <w:sz w:val="36"/>
          <w:szCs w:val="36"/>
          <w:highlight w:val="none"/>
        </w:rPr>
      </w:pPr>
      <w:r>
        <w:rPr>
          <w:rFonts w:hint="eastAsia" w:ascii="新宋体" w:hAnsi="新宋体" w:eastAsia="新宋体" w:cs="新宋体"/>
          <w:color w:val="auto"/>
          <w:kern w:val="0"/>
          <w:sz w:val="36"/>
          <w:szCs w:val="36"/>
          <w:highlight w:val="none"/>
        </w:rPr>
        <w:t>投标函部分</w:t>
      </w:r>
    </w:p>
    <w:p>
      <w:pPr>
        <w:autoSpaceDE w:val="0"/>
        <w:autoSpaceDN w:val="0"/>
        <w:adjustRightInd w:val="0"/>
        <w:snapToGrid w:val="0"/>
        <w:spacing w:line="360" w:lineRule="auto"/>
        <w:jc w:val="left"/>
        <w:rPr>
          <w:rFonts w:hint="eastAsia" w:ascii="新宋体" w:hAnsi="新宋体" w:eastAsia="新宋体" w:cs="新宋体"/>
          <w:b/>
          <w:color w:val="auto"/>
          <w:kern w:val="0"/>
          <w:sz w:val="20"/>
          <w:szCs w:val="20"/>
          <w:highlight w:val="none"/>
        </w:rPr>
      </w:pPr>
    </w:p>
    <w:p>
      <w:pPr>
        <w:autoSpaceDE w:val="0"/>
        <w:autoSpaceDN w:val="0"/>
        <w:adjustRightInd w:val="0"/>
        <w:snapToGrid w:val="0"/>
        <w:spacing w:line="360" w:lineRule="auto"/>
        <w:jc w:val="left"/>
        <w:rPr>
          <w:rFonts w:hint="eastAsia" w:ascii="新宋体" w:hAnsi="新宋体" w:eastAsia="新宋体" w:cs="新宋体"/>
          <w:b/>
          <w:color w:val="auto"/>
          <w:kern w:val="0"/>
          <w:sz w:val="20"/>
          <w:szCs w:val="20"/>
          <w:highlight w:val="none"/>
        </w:rPr>
      </w:pPr>
    </w:p>
    <w:p>
      <w:pPr>
        <w:autoSpaceDE w:val="0"/>
        <w:autoSpaceDN w:val="0"/>
        <w:adjustRightInd w:val="0"/>
        <w:snapToGrid w:val="0"/>
        <w:spacing w:line="360" w:lineRule="auto"/>
        <w:jc w:val="left"/>
        <w:rPr>
          <w:rFonts w:hint="eastAsia" w:ascii="新宋体" w:hAnsi="新宋体" w:eastAsia="新宋体" w:cs="新宋体"/>
          <w:b/>
          <w:color w:val="auto"/>
          <w:kern w:val="0"/>
          <w:sz w:val="20"/>
          <w:szCs w:val="20"/>
          <w:highlight w:val="none"/>
        </w:rPr>
      </w:pPr>
    </w:p>
    <w:p>
      <w:pPr>
        <w:autoSpaceDE w:val="0"/>
        <w:autoSpaceDN w:val="0"/>
        <w:adjustRightInd w:val="0"/>
        <w:snapToGrid w:val="0"/>
        <w:spacing w:line="360" w:lineRule="auto"/>
        <w:jc w:val="left"/>
        <w:rPr>
          <w:rFonts w:hint="eastAsia" w:ascii="新宋体" w:hAnsi="新宋体" w:eastAsia="新宋体" w:cs="新宋体"/>
          <w:b/>
          <w:color w:val="auto"/>
          <w:kern w:val="0"/>
          <w:sz w:val="20"/>
          <w:szCs w:val="20"/>
          <w:highlight w:val="none"/>
        </w:rPr>
      </w:pPr>
    </w:p>
    <w:p>
      <w:pPr>
        <w:autoSpaceDE w:val="0"/>
        <w:autoSpaceDN w:val="0"/>
        <w:adjustRightInd w:val="0"/>
        <w:snapToGrid w:val="0"/>
        <w:spacing w:line="360" w:lineRule="auto"/>
        <w:jc w:val="left"/>
        <w:rPr>
          <w:rFonts w:hint="eastAsia" w:ascii="新宋体" w:hAnsi="新宋体" w:eastAsia="新宋体" w:cs="新宋体"/>
          <w:b/>
          <w:color w:val="auto"/>
          <w:kern w:val="0"/>
          <w:sz w:val="20"/>
          <w:szCs w:val="20"/>
          <w:highlight w:val="none"/>
        </w:rPr>
      </w:pPr>
    </w:p>
    <w:p>
      <w:pPr>
        <w:autoSpaceDE w:val="0"/>
        <w:autoSpaceDN w:val="0"/>
        <w:adjustRightInd w:val="0"/>
        <w:snapToGrid w:val="0"/>
        <w:spacing w:line="360" w:lineRule="auto"/>
        <w:jc w:val="left"/>
        <w:rPr>
          <w:rFonts w:hint="eastAsia" w:ascii="新宋体" w:hAnsi="新宋体" w:eastAsia="新宋体" w:cs="新宋体"/>
          <w:b/>
          <w:color w:val="auto"/>
          <w:kern w:val="0"/>
          <w:sz w:val="20"/>
          <w:szCs w:val="20"/>
          <w:highlight w:val="none"/>
        </w:rPr>
      </w:pPr>
    </w:p>
    <w:p>
      <w:pPr>
        <w:autoSpaceDE w:val="0"/>
        <w:autoSpaceDN w:val="0"/>
        <w:adjustRightInd w:val="0"/>
        <w:snapToGrid w:val="0"/>
        <w:spacing w:line="360" w:lineRule="auto"/>
        <w:jc w:val="left"/>
        <w:rPr>
          <w:rFonts w:hint="eastAsia" w:ascii="新宋体" w:hAnsi="新宋体" w:eastAsia="新宋体" w:cs="新宋体"/>
          <w:b/>
          <w:color w:val="auto"/>
          <w:kern w:val="0"/>
          <w:sz w:val="20"/>
          <w:szCs w:val="20"/>
          <w:highlight w:val="none"/>
        </w:rPr>
      </w:pPr>
    </w:p>
    <w:p>
      <w:pPr>
        <w:autoSpaceDE w:val="0"/>
        <w:autoSpaceDN w:val="0"/>
        <w:adjustRightInd w:val="0"/>
        <w:snapToGrid w:val="0"/>
        <w:spacing w:line="360" w:lineRule="auto"/>
        <w:jc w:val="left"/>
        <w:rPr>
          <w:rFonts w:hint="eastAsia" w:ascii="新宋体" w:hAnsi="新宋体" w:eastAsia="新宋体" w:cs="新宋体"/>
          <w:b/>
          <w:color w:val="auto"/>
          <w:kern w:val="0"/>
          <w:sz w:val="20"/>
          <w:szCs w:val="20"/>
          <w:highlight w:val="none"/>
        </w:rPr>
      </w:pPr>
    </w:p>
    <w:p>
      <w:pPr>
        <w:autoSpaceDE w:val="0"/>
        <w:autoSpaceDN w:val="0"/>
        <w:adjustRightInd w:val="0"/>
        <w:snapToGrid w:val="0"/>
        <w:spacing w:line="360" w:lineRule="auto"/>
        <w:jc w:val="left"/>
        <w:rPr>
          <w:rFonts w:hint="eastAsia" w:ascii="新宋体" w:hAnsi="新宋体" w:eastAsia="新宋体" w:cs="新宋体"/>
          <w:b/>
          <w:color w:val="auto"/>
          <w:kern w:val="0"/>
          <w:sz w:val="20"/>
          <w:szCs w:val="20"/>
          <w:highlight w:val="none"/>
        </w:rPr>
      </w:pPr>
    </w:p>
    <w:p>
      <w:pPr>
        <w:autoSpaceDE w:val="0"/>
        <w:autoSpaceDN w:val="0"/>
        <w:adjustRightInd w:val="0"/>
        <w:snapToGrid w:val="0"/>
        <w:spacing w:line="360" w:lineRule="auto"/>
        <w:jc w:val="left"/>
        <w:rPr>
          <w:rFonts w:hint="eastAsia" w:ascii="新宋体" w:hAnsi="新宋体" w:eastAsia="新宋体" w:cs="新宋体"/>
          <w:b/>
          <w:color w:val="auto"/>
          <w:kern w:val="0"/>
          <w:sz w:val="20"/>
          <w:szCs w:val="20"/>
          <w:highlight w:val="none"/>
        </w:rPr>
      </w:pPr>
    </w:p>
    <w:p>
      <w:pPr>
        <w:autoSpaceDE w:val="0"/>
        <w:autoSpaceDN w:val="0"/>
        <w:adjustRightInd w:val="0"/>
        <w:snapToGrid w:val="0"/>
        <w:spacing w:line="360" w:lineRule="auto"/>
        <w:jc w:val="left"/>
        <w:rPr>
          <w:rFonts w:hint="eastAsia" w:ascii="新宋体" w:hAnsi="新宋体" w:eastAsia="新宋体" w:cs="新宋体"/>
          <w:b/>
          <w:color w:val="auto"/>
          <w:kern w:val="0"/>
          <w:sz w:val="20"/>
          <w:szCs w:val="20"/>
          <w:highlight w:val="none"/>
        </w:rPr>
      </w:pPr>
    </w:p>
    <w:p>
      <w:pPr>
        <w:tabs>
          <w:tab w:val="left" w:pos="6080"/>
          <w:tab w:val="left" w:pos="6640"/>
        </w:tabs>
        <w:autoSpaceDE w:val="0"/>
        <w:autoSpaceDN w:val="0"/>
        <w:adjustRightInd w:val="0"/>
        <w:snapToGrid w:val="0"/>
        <w:spacing w:after="156" w:afterLines="50" w:line="360" w:lineRule="auto"/>
        <w:jc w:val="center"/>
        <w:rPr>
          <w:rFonts w:hint="eastAsia" w:ascii="新宋体" w:hAnsi="新宋体" w:eastAsia="新宋体" w:cs="新宋体"/>
          <w:color w:val="auto"/>
          <w:w w:val="99"/>
          <w:kern w:val="0"/>
          <w:sz w:val="28"/>
          <w:szCs w:val="28"/>
          <w:highlight w:val="none"/>
        </w:rPr>
      </w:pPr>
      <w:r>
        <w:rPr>
          <w:rFonts w:hint="eastAsia" w:ascii="新宋体" w:hAnsi="新宋体" w:eastAsia="新宋体" w:cs="新宋体"/>
          <w:color w:val="auto"/>
          <w:w w:val="99"/>
          <w:kern w:val="0"/>
          <w:sz w:val="28"/>
          <w:szCs w:val="28"/>
          <w:highlight w:val="none"/>
        </w:rPr>
        <w:t>投标人</w:t>
      </w:r>
      <w:r>
        <w:rPr>
          <w:rFonts w:hint="eastAsia" w:ascii="新宋体" w:hAnsi="新宋体" w:eastAsia="新宋体" w:cs="新宋体"/>
          <w:color w:val="auto"/>
          <w:spacing w:val="1"/>
          <w:w w:val="99"/>
          <w:kern w:val="0"/>
          <w:sz w:val="28"/>
          <w:szCs w:val="28"/>
          <w:highlight w:val="none"/>
        </w:rPr>
        <w:t>：</w:t>
      </w:r>
      <w:r>
        <w:rPr>
          <w:rFonts w:hint="eastAsia" w:ascii="新宋体" w:hAnsi="新宋体" w:eastAsia="新宋体" w:cs="新宋体"/>
          <w:color w:val="auto"/>
          <w:w w:val="198"/>
          <w:kern w:val="0"/>
          <w:sz w:val="28"/>
          <w:szCs w:val="28"/>
          <w:highlight w:val="none"/>
          <w:u w:val="single"/>
        </w:rPr>
        <w:t xml:space="preserve"> 　　　　 　　</w:t>
      </w:r>
      <w:r>
        <w:rPr>
          <w:rFonts w:hint="eastAsia" w:ascii="新宋体" w:hAnsi="新宋体" w:eastAsia="新宋体" w:cs="新宋体"/>
          <w:color w:val="auto"/>
          <w:w w:val="99"/>
          <w:kern w:val="0"/>
          <w:sz w:val="28"/>
          <w:szCs w:val="28"/>
          <w:highlight w:val="none"/>
        </w:rPr>
        <w:t>（盖单位法人章）</w:t>
      </w:r>
    </w:p>
    <w:p>
      <w:pPr>
        <w:tabs>
          <w:tab w:val="left" w:pos="6080"/>
          <w:tab w:val="left" w:pos="6640"/>
        </w:tabs>
        <w:autoSpaceDE w:val="0"/>
        <w:autoSpaceDN w:val="0"/>
        <w:adjustRightInd w:val="0"/>
        <w:snapToGrid w:val="0"/>
        <w:spacing w:after="156" w:afterLines="50" w:line="360" w:lineRule="auto"/>
        <w:jc w:val="center"/>
        <w:rPr>
          <w:rFonts w:hint="eastAsia" w:ascii="新宋体" w:hAnsi="新宋体" w:eastAsia="新宋体" w:cs="新宋体"/>
          <w:color w:val="auto"/>
          <w:kern w:val="0"/>
          <w:sz w:val="28"/>
          <w:szCs w:val="28"/>
          <w:highlight w:val="none"/>
        </w:rPr>
      </w:pPr>
      <w:r>
        <w:rPr>
          <w:rFonts w:hint="eastAsia" w:ascii="新宋体" w:hAnsi="新宋体" w:eastAsia="新宋体" w:cs="新宋体"/>
          <w:color w:val="auto"/>
          <w:w w:val="99"/>
          <w:kern w:val="0"/>
          <w:sz w:val="28"/>
          <w:szCs w:val="28"/>
          <w:highlight w:val="none"/>
        </w:rPr>
        <w:t>法定代表人或其委托代理人：</w:t>
      </w:r>
      <w:r>
        <w:rPr>
          <w:rFonts w:hint="eastAsia" w:ascii="新宋体" w:hAnsi="新宋体" w:eastAsia="新宋体" w:cs="新宋体"/>
          <w:color w:val="auto"/>
          <w:w w:val="198"/>
          <w:kern w:val="0"/>
          <w:sz w:val="28"/>
          <w:szCs w:val="28"/>
          <w:highlight w:val="none"/>
          <w:u w:val="single"/>
        </w:rPr>
        <w:t xml:space="preserve"> 　　 </w:t>
      </w:r>
      <w:r>
        <w:rPr>
          <w:rFonts w:hint="eastAsia" w:ascii="新宋体" w:hAnsi="新宋体" w:eastAsia="新宋体" w:cs="新宋体"/>
          <w:color w:val="auto"/>
          <w:w w:val="99"/>
          <w:kern w:val="0"/>
          <w:sz w:val="28"/>
          <w:szCs w:val="28"/>
          <w:highlight w:val="none"/>
        </w:rPr>
        <w:t>（签名或盖章）</w:t>
      </w:r>
    </w:p>
    <w:p>
      <w:pPr>
        <w:autoSpaceDE w:val="0"/>
        <w:autoSpaceDN w:val="0"/>
        <w:adjustRightInd w:val="0"/>
        <w:snapToGrid w:val="0"/>
        <w:spacing w:line="360" w:lineRule="auto"/>
        <w:jc w:val="center"/>
        <w:rPr>
          <w:rFonts w:hint="eastAsia" w:ascii="新宋体" w:hAnsi="新宋体" w:eastAsia="新宋体" w:cs="新宋体"/>
          <w:color w:val="auto"/>
          <w:kern w:val="0"/>
          <w:sz w:val="24"/>
          <w:szCs w:val="21"/>
          <w:highlight w:val="none"/>
        </w:rPr>
      </w:pPr>
      <w:r>
        <w:rPr>
          <w:rFonts w:hint="eastAsia" w:ascii="新宋体" w:hAnsi="新宋体" w:eastAsia="新宋体" w:cs="新宋体"/>
          <w:color w:val="auto"/>
          <w:w w:val="99"/>
          <w:kern w:val="0"/>
          <w:sz w:val="28"/>
          <w:szCs w:val="28"/>
          <w:highlight w:val="none"/>
          <w:u w:val="single"/>
        </w:rPr>
        <w:t xml:space="preserve">    </w:t>
      </w:r>
      <w:r>
        <w:rPr>
          <w:rFonts w:hint="eastAsia" w:ascii="新宋体" w:hAnsi="新宋体" w:eastAsia="新宋体" w:cs="新宋体"/>
          <w:color w:val="auto"/>
          <w:w w:val="99"/>
          <w:kern w:val="0"/>
          <w:sz w:val="28"/>
          <w:szCs w:val="28"/>
          <w:highlight w:val="none"/>
        </w:rPr>
        <w:t>年</w:t>
      </w:r>
      <w:r>
        <w:rPr>
          <w:rFonts w:hint="eastAsia" w:ascii="新宋体" w:hAnsi="新宋体" w:eastAsia="新宋体" w:cs="新宋体"/>
          <w:color w:val="auto"/>
          <w:w w:val="99"/>
          <w:kern w:val="0"/>
          <w:sz w:val="28"/>
          <w:szCs w:val="28"/>
          <w:highlight w:val="none"/>
          <w:u w:val="single"/>
        </w:rPr>
        <w:t xml:space="preserve">    </w:t>
      </w:r>
      <w:r>
        <w:rPr>
          <w:rFonts w:hint="eastAsia" w:ascii="新宋体" w:hAnsi="新宋体" w:eastAsia="新宋体" w:cs="新宋体"/>
          <w:color w:val="auto"/>
          <w:w w:val="99"/>
          <w:kern w:val="0"/>
          <w:sz w:val="28"/>
          <w:szCs w:val="28"/>
          <w:highlight w:val="none"/>
        </w:rPr>
        <w:t>月</w:t>
      </w:r>
      <w:r>
        <w:rPr>
          <w:rFonts w:hint="eastAsia" w:ascii="新宋体" w:hAnsi="新宋体" w:eastAsia="新宋体" w:cs="新宋体"/>
          <w:color w:val="auto"/>
          <w:w w:val="99"/>
          <w:kern w:val="0"/>
          <w:sz w:val="28"/>
          <w:szCs w:val="28"/>
          <w:highlight w:val="none"/>
          <w:u w:val="single"/>
        </w:rPr>
        <w:t xml:space="preserve">    </w:t>
      </w:r>
      <w:r>
        <w:rPr>
          <w:rFonts w:hint="eastAsia" w:ascii="新宋体" w:hAnsi="新宋体" w:eastAsia="新宋体" w:cs="新宋体"/>
          <w:color w:val="auto"/>
          <w:w w:val="99"/>
          <w:kern w:val="0"/>
          <w:sz w:val="28"/>
          <w:szCs w:val="28"/>
          <w:highlight w:val="none"/>
        </w:rPr>
        <w:t>日</w:t>
      </w:r>
      <w:r>
        <w:rPr>
          <w:rFonts w:hint="eastAsia" w:ascii="新宋体" w:hAnsi="新宋体" w:eastAsia="新宋体" w:cs="新宋体"/>
          <w:color w:val="auto"/>
          <w:kern w:val="0"/>
          <w:sz w:val="24"/>
          <w:szCs w:val="21"/>
          <w:highlight w:val="none"/>
        </w:rPr>
        <w:br w:type="page"/>
      </w:r>
    </w:p>
    <w:p>
      <w:pPr>
        <w:autoSpaceDE w:val="0"/>
        <w:autoSpaceDN w:val="0"/>
        <w:adjustRightInd w:val="0"/>
        <w:snapToGrid w:val="0"/>
        <w:spacing w:line="360" w:lineRule="auto"/>
        <w:jc w:val="center"/>
        <w:rPr>
          <w:rFonts w:hint="eastAsia" w:ascii="新宋体" w:hAnsi="新宋体" w:eastAsia="新宋体" w:cs="新宋体"/>
          <w:color w:val="auto"/>
          <w:kern w:val="0"/>
          <w:sz w:val="36"/>
          <w:szCs w:val="36"/>
          <w:highlight w:val="none"/>
        </w:rPr>
      </w:pPr>
      <w:r>
        <w:rPr>
          <w:rFonts w:hint="eastAsia" w:ascii="新宋体" w:hAnsi="新宋体" w:eastAsia="新宋体" w:cs="新宋体"/>
          <w:color w:val="auto"/>
          <w:kern w:val="0"/>
          <w:sz w:val="36"/>
          <w:szCs w:val="36"/>
          <w:highlight w:val="none"/>
        </w:rPr>
        <w:t>目  录</w:t>
      </w:r>
    </w:p>
    <w:p>
      <w:pPr>
        <w:autoSpaceDE w:val="0"/>
        <w:autoSpaceDN w:val="0"/>
        <w:adjustRightInd w:val="0"/>
        <w:spacing w:line="360" w:lineRule="auto"/>
        <w:ind w:firstLine="480" w:firstLineChars="200"/>
        <w:jc w:val="left"/>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（一）投标函</w:t>
      </w:r>
    </w:p>
    <w:p>
      <w:pPr>
        <w:autoSpaceDE w:val="0"/>
        <w:autoSpaceDN w:val="0"/>
        <w:adjustRightInd w:val="0"/>
        <w:spacing w:line="360" w:lineRule="auto"/>
        <w:ind w:firstLine="480" w:firstLineChars="200"/>
        <w:jc w:val="left"/>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w:t>
      </w:r>
      <w:r>
        <w:rPr>
          <w:rFonts w:hint="eastAsia" w:ascii="新宋体" w:hAnsi="新宋体" w:eastAsia="新宋体" w:cs="新宋体"/>
          <w:color w:val="auto"/>
          <w:kern w:val="0"/>
          <w:sz w:val="24"/>
          <w:highlight w:val="none"/>
          <w:lang w:val="en-US" w:eastAsia="zh-CN"/>
        </w:rPr>
        <w:t>二</w:t>
      </w:r>
      <w:r>
        <w:rPr>
          <w:rFonts w:hint="eastAsia" w:ascii="新宋体" w:hAnsi="新宋体" w:eastAsia="新宋体" w:cs="新宋体"/>
          <w:color w:val="auto"/>
          <w:kern w:val="0"/>
          <w:sz w:val="24"/>
          <w:highlight w:val="none"/>
        </w:rPr>
        <w:t>）法定代表人身份证明或附有法定代表人身份证明的授权委托书</w:t>
      </w:r>
    </w:p>
    <w:p>
      <w:pPr>
        <w:pStyle w:val="2"/>
        <w:spacing w:before="0" w:after="0" w:line="240" w:lineRule="auto"/>
        <w:jc w:val="center"/>
        <w:rPr>
          <w:rFonts w:hint="eastAsia" w:ascii="新宋体" w:hAnsi="新宋体" w:eastAsia="新宋体" w:cs="新宋体"/>
          <w:b w:val="0"/>
          <w:color w:val="auto"/>
          <w:highlight w:val="none"/>
        </w:rPr>
      </w:pPr>
      <w:bookmarkStart w:id="627" w:name="_Toc287607867"/>
      <w:bookmarkStart w:id="628" w:name="_Toc509218854"/>
      <w:bookmarkStart w:id="629" w:name="_Toc287620814"/>
      <w:bookmarkStart w:id="630" w:name="_Toc534185831"/>
      <w:bookmarkStart w:id="631" w:name="_Toc277082643"/>
      <w:bookmarkStart w:id="632" w:name="_Toc224103495"/>
      <w:bookmarkStart w:id="633" w:name="_Toc430530530"/>
      <w:r>
        <w:rPr>
          <w:rFonts w:hint="eastAsia" w:ascii="新宋体" w:hAnsi="新宋体" w:eastAsia="新宋体" w:cs="新宋体"/>
          <w:color w:val="auto"/>
          <w:highlight w:val="none"/>
        </w:rPr>
        <w:br w:type="page"/>
      </w:r>
      <w:bookmarkStart w:id="634" w:name="_Toc57820648"/>
      <w:r>
        <w:rPr>
          <w:rFonts w:hint="eastAsia" w:ascii="新宋体" w:hAnsi="新宋体" w:eastAsia="新宋体" w:cs="新宋体"/>
          <w:b w:val="0"/>
          <w:bCs w:val="0"/>
          <w:color w:val="auto"/>
          <w:highlight w:val="none"/>
        </w:rPr>
        <w:t>（一）投标函</w:t>
      </w:r>
      <w:bookmarkEnd w:id="627"/>
      <w:bookmarkEnd w:id="628"/>
      <w:bookmarkEnd w:id="629"/>
      <w:bookmarkEnd w:id="630"/>
      <w:bookmarkEnd w:id="631"/>
      <w:bookmarkEnd w:id="632"/>
      <w:bookmarkEnd w:id="633"/>
      <w:bookmarkEnd w:id="634"/>
    </w:p>
    <w:p>
      <w:pPr>
        <w:tabs>
          <w:tab w:val="left" w:pos="2640"/>
        </w:tabs>
        <w:autoSpaceDE w:val="0"/>
        <w:autoSpaceDN w:val="0"/>
        <w:adjustRightInd w:val="0"/>
        <w:spacing w:line="400" w:lineRule="exact"/>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u w:val="single"/>
        </w:rPr>
        <w:tab/>
      </w:r>
      <w:r>
        <w:rPr>
          <w:rFonts w:hint="eastAsia" w:ascii="新宋体" w:hAnsi="新宋体" w:eastAsia="新宋体" w:cs="新宋体"/>
          <w:snapToGrid w:val="0"/>
          <w:color w:val="auto"/>
          <w:kern w:val="0"/>
          <w:szCs w:val="21"/>
          <w:highlight w:val="none"/>
          <w:u w:val="single"/>
        </w:rPr>
        <w:t>（招标人名称）</w:t>
      </w:r>
      <w:r>
        <w:rPr>
          <w:rFonts w:hint="eastAsia" w:ascii="新宋体" w:hAnsi="新宋体" w:eastAsia="新宋体" w:cs="新宋体"/>
          <w:snapToGrid w:val="0"/>
          <w:color w:val="auto"/>
          <w:kern w:val="0"/>
          <w:szCs w:val="21"/>
          <w:highlight w:val="none"/>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1. 我方已仔细研究了</w:t>
      </w:r>
      <w:r>
        <w:rPr>
          <w:rFonts w:hint="eastAsia" w:ascii="新宋体" w:hAnsi="新宋体" w:eastAsia="新宋体" w:cs="新宋体"/>
          <w:snapToGrid w:val="0"/>
          <w:color w:val="auto"/>
          <w:kern w:val="0"/>
          <w:szCs w:val="21"/>
          <w:highlight w:val="none"/>
          <w:u w:val="single"/>
        </w:rPr>
        <w:tab/>
      </w:r>
      <w:r>
        <w:rPr>
          <w:rFonts w:hint="eastAsia" w:ascii="新宋体" w:hAnsi="新宋体" w:eastAsia="新宋体" w:cs="新宋体"/>
          <w:snapToGrid w:val="0"/>
          <w:color w:val="auto"/>
          <w:kern w:val="0"/>
          <w:szCs w:val="21"/>
          <w:highlight w:val="none"/>
          <w:u w:val="single"/>
        </w:rPr>
        <w:tab/>
      </w:r>
      <w:r>
        <w:rPr>
          <w:rFonts w:hint="eastAsia" w:ascii="新宋体" w:hAnsi="新宋体" w:eastAsia="新宋体" w:cs="新宋体"/>
          <w:snapToGrid w:val="0"/>
          <w:color w:val="auto"/>
          <w:kern w:val="0"/>
          <w:szCs w:val="21"/>
          <w:highlight w:val="none"/>
          <w:u w:val="single"/>
        </w:rPr>
        <w:t>（项目名称）</w:t>
      </w:r>
      <w:r>
        <w:rPr>
          <w:rFonts w:hint="eastAsia" w:ascii="新宋体" w:hAnsi="新宋体" w:eastAsia="新宋体" w:cs="新宋体"/>
          <w:snapToGrid w:val="0"/>
          <w:color w:val="auto"/>
          <w:kern w:val="0"/>
          <w:szCs w:val="21"/>
          <w:highlight w:val="none"/>
        </w:rPr>
        <w:t>招标文件的全部内容，愿意以人民币（大写）</w:t>
      </w:r>
      <w:r>
        <w:rPr>
          <w:rFonts w:hint="eastAsia" w:ascii="新宋体" w:hAnsi="新宋体" w:eastAsia="新宋体" w:cs="新宋体"/>
          <w:snapToGrid w:val="0"/>
          <w:color w:val="auto"/>
          <w:kern w:val="0"/>
          <w:szCs w:val="21"/>
          <w:highlight w:val="none"/>
          <w:u w:val="single"/>
        </w:rPr>
        <w:tab/>
      </w:r>
      <w:r>
        <w:rPr>
          <w:rFonts w:hint="eastAsia" w:ascii="新宋体" w:hAnsi="新宋体" w:eastAsia="新宋体" w:cs="新宋体"/>
          <w:snapToGrid w:val="0"/>
          <w:color w:val="auto"/>
          <w:kern w:val="0"/>
          <w:szCs w:val="21"/>
          <w:highlight w:val="none"/>
        </w:rPr>
        <w:t>（¥</w:t>
      </w:r>
      <w:r>
        <w:rPr>
          <w:rFonts w:hint="eastAsia" w:ascii="新宋体" w:hAnsi="新宋体" w:eastAsia="新宋体" w:cs="新宋体"/>
          <w:snapToGrid w:val="0"/>
          <w:color w:val="auto"/>
          <w:kern w:val="0"/>
          <w:szCs w:val="21"/>
          <w:highlight w:val="none"/>
          <w:u w:val="single"/>
        </w:rPr>
        <w:t xml:space="preserve">    </w:t>
      </w:r>
      <w:r>
        <w:rPr>
          <w:rFonts w:hint="eastAsia" w:ascii="新宋体" w:hAnsi="新宋体" w:eastAsia="新宋体" w:cs="新宋体"/>
          <w:snapToGrid w:val="0"/>
          <w:color w:val="auto"/>
          <w:kern w:val="0"/>
          <w:szCs w:val="21"/>
          <w:highlight w:val="none"/>
        </w:rPr>
        <w:t>）的投标总报价进行报价</w:t>
      </w:r>
      <w:r>
        <w:rPr>
          <w:rFonts w:hint="eastAsia" w:ascii="新宋体" w:hAnsi="新宋体" w:eastAsia="新宋体" w:cs="新宋体"/>
          <w:snapToGrid w:val="0"/>
          <w:color w:val="auto"/>
          <w:kern w:val="0"/>
          <w:szCs w:val="21"/>
          <w:highlight w:val="none"/>
          <w:lang w:eastAsia="zh-CN"/>
        </w:rPr>
        <w:t>。</w:t>
      </w:r>
      <w:r>
        <w:rPr>
          <w:rFonts w:hint="eastAsia" w:ascii="新宋体" w:hAnsi="新宋体" w:eastAsia="新宋体" w:cs="新宋体"/>
          <w:snapToGrid w:val="0"/>
          <w:color w:val="auto"/>
          <w:kern w:val="0"/>
          <w:szCs w:val="21"/>
          <w:highlight w:val="none"/>
        </w:rPr>
        <w:t>委托代理人为：</w:t>
      </w:r>
      <w:r>
        <w:rPr>
          <w:rFonts w:hint="eastAsia" w:ascii="新宋体" w:hAnsi="新宋体" w:eastAsia="新宋体" w:cs="新宋体"/>
          <w:snapToGrid w:val="0"/>
          <w:color w:val="auto"/>
          <w:kern w:val="0"/>
          <w:szCs w:val="21"/>
          <w:highlight w:val="none"/>
          <w:u w:val="single"/>
        </w:rPr>
        <w:t xml:space="preserve">        </w:t>
      </w:r>
      <w:r>
        <w:rPr>
          <w:rFonts w:hint="eastAsia" w:ascii="新宋体" w:hAnsi="新宋体" w:eastAsia="新宋体" w:cs="新宋体"/>
          <w:snapToGrid w:val="0"/>
          <w:color w:val="auto"/>
          <w:kern w:val="0"/>
          <w:szCs w:val="21"/>
          <w:highlight w:val="none"/>
        </w:rPr>
        <w:t>，身份证号码为</w:t>
      </w:r>
      <w:r>
        <w:rPr>
          <w:rFonts w:hint="eastAsia" w:ascii="新宋体" w:hAnsi="新宋体" w:eastAsia="新宋体" w:cs="新宋体"/>
          <w:snapToGrid w:val="0"/>
          <w:color w:val="auto"/>
          <w:kern w:val="0"/>
          <w:szCs w:val="21"/>
          <w:highlight w:val="none"/>
          <w:u w:val="single"/>
        </w:rPr>
        <w:t xml:space="preserve">        </w:t>
      </w:r>
      <w:r>
        <w:rPr>
          <w:rFonts w:hint="eastAsia" w:ascii="新宋体" w:hAnsi="新宋体" w:eastAsia="新宋体" w:cs="新宋体"/>
          <w:snapToGrid w:val="0"/>
          <w:color w:val="auto"/>
          <w:kern w:val="0"/>
          <w:szCs w:val="21"/>
          <w:highlight w:val="none"/>
        </w:rPr>
        <w:t>。</w:t>
      </w:r>
      <w:r>
        <w:rPr>
          <w:rFonts w:hint="eastAsia" w:ascii="新宋体" w:hAnsi="新宋体" w:eastAsia="新宋体" w:cs="新宋体"/>
          <w:snapToGrid w:val="0"/>
          <w:color w:val="auto"/>
          <w:kern w:val="0"/>
          <w:szCs w:val="21"/>
          <w:highlight w:val="none"/>
          <w:lang w:val="en-US" w:eastAsia="zh-CN"/>
        </w:rPr>
        <w:t>交货期</w:t>
      </w:r>
      <w:r>
        <w:rPr>
          <w:rFonts w:hint="eastAsia" w:ascii="新宋体" w:hAnsi="新宋体" w:eastAsia="新宋体" w:cs="新宋体"/>
          <w:snapToGrid w:val="0"/>
          <w:color w:val="auto"/>
          <w:kern w:val="0"/>
          <w:szCs w:val="21"/>
          <w:highlight w:val="none"/>
          <w:u w:val="single"/>
        </w:rPr>
        <w:t>达到招标文件的要求</w:t>
      </w:r>
      <w:r>
        <w:rPr>
          <w:rFonts w:hint="eastAsia" w:ascii="新宋体" w:hAnsi="新宋体" w:eastAsia="新宋体" w:cs="新宋体"/>
          <w:snapToGrid w:val="0"/>
          <w:color w:val="auto"/>
          <w:kern w:val="0"/>
          <w:szCs w:val="21"/>
          <w:highlight w:val="none"/>
        </w:rPr>
        <w:t xml:space="preserve">， </w:t>
      </w:r>
      <w:r>
        <w:rPr>
          <w:rFonts w:hint="eastAsia" w:ascii="新宋体" w:hAnsi="新宋体" w:eastAsia="新宋体" w:cs="新宋体"/>
          <w:snapToGrid w:val="0"/>
          <w:color w:val="auto"/>
          <w:kern w:val="0"/>
          <w:szCs w:val="21"/>
          <w:highlight w:val="none"/>
          <w:lang w:val="en-US" w:eastAsia="zh-CN"/>
        </w:rPr>
        <w:t>交货地点</w:t>
      </w:r>
      <w:r>
        <w:rPr>
          <w:rFonts w:hint="eastAsia" w:ascii="新宋体" w:hAnsi="新宋体" w:eastAsia="新宋体" w:cs="新宋体"/>
          <w:snapToGrid w:val="0"/>
          <w:color w:val="auto"/>
          <w:kern w:val="0"/>
          <w:szCs w:val="21"/>
          <w:highlight w:val="none"/>
          <w:u w:val="single"/>
        </w:rPr>
        <w:t>达到招标文件的要求</w:t>
      </w:r>
      <w:r>
        <w:rPr>
          <w:rFonts w:hint="eastAsia" w:ascii="新宋体" w:hAnsi="新宋体" w:eastAsia="新宋体" w:cs="新宋体"/>
          <w:snapToGrid w:val="0"/>
          <w:color w:val="auto"/>
          <w:kern w:val="0"/>
          <w:szCs w:val="21"/>
          <w:highlight w:val="none"/>
          <w:u w:val="none"/>
          <w:lang w:eastAsia="zh-CN"/>
        </w:rPr>
        <w:t>，</w:t>
      </w:r>
      <w:r>
        <w:rPr>
          <w:rFonts w:hint="eastAsia" w:ascii="新宋体" w:hAnsi="新宋体" w:eastAsia="新宋体" w:cs="新宋体"/>
          <w:snapToGrid w:val="0"/>
          <w:color w:val="auto"/>
          <w:kern w:val="0"/>
          <w:szCs w:val="21"/>
          <w:highlight w:val="none"/>
        </w:rPr>
        <w:t>按合同约定实施和完成</w:t>
      </w:r>
      <w:r>
        <w:rPr>
          <w:rFonts w:hint="eastAsia" w:ascii="新宋体" w:hAnsi="新宋体" w:eastAsia="新宋体" w:cs="新宋体"/>
          <w:snapToGrid w:val="0"/>
          <w:color w:val="auto"/>
          <w:kern w:val="0"/>
          <w:szCs w:val="21"/>
          <w:highlight w:val="none"/>
          <w:lang w:val="en-US" w:eastAsia="zh-CN"/>
        </w:rPr>
        <w:t>本项目</w:t>
      </w:r>
      <w:r>
        <w:rPr>
          <w:rFonts w:hint="eastAsia" w:ascii="新宋体" w:hAnsi="新宋体" w:eastAsia="新宋体" w:cs="新宋体"/>
          <w:snapToGrid w:val="0"/>
          <w:color w:val="auto"/>
          <w:kern w:val="0"/>
          <w:szCs w:val="21"/>
          <w:highlight w:val="none"/>
        </w:rPr>
        <w:t>，修补</w:t>
      </w:r>
      <w:r>
        <w:rPr>
          <w:rFonts w:hint="eastAsia" w:ascii="新宋体" w:hAnsi="新宋体" w:eastAsia="新宋体" w:cs="新宋体"/>
          <w:snapToGrid w:val="0"/>
          <w:color w:val="auto"/>
          <w:kern w:val="0"/>
          <w:szCs w:val="21"/>
          <w:highlight w:val="none"/>
          <w:lang w:val="en-US" w:eastAsia="zh-CN"/>
        </w:rPr>
        <w:t>设备</w:t>
      </w:r>
      <w:r>
        <w:rPr>
          <w:rFonts w:hint="eastAsia" w:ascii="新宋体" w:hAnsi="新宋体" w:eastAsia="新宋体" w:cs="新宋体"/>
          <w:snapToGrid w:val="0"/>
          <w:color w:val="auto"/>
          <w:kern w:val="0"/>
          <w:szCs w:val="21"/>
          <w:highlight w:val="none"/>
        </w:rPr>
        <w:t>中的任何缺陷，质量</w:t>
      </w:r>
      <w:r>
        <w:rPr>
          <w:rFonts w:hint="eastAsia" w:ascii="新宋体" w:hAnsi="新宋体" w:eastAsia="新宋体" w:cs="新宋体"/>
          <w:snapToGrid w:val="0"/>
          <w:color w:val="auto"/>
          <w:kern w:val="0"/>
          <w:szCs w:val="21"/>
          <w:highlight w:val="none"/>
          <w:lang w:val="en-US" w:eastAsia="zh-CN"/>
        </w:rPr>
        <w:t>保证期</w:t>
      </w:r>
      <w:r>
        <w:rPr>
          <w:rFonts w:hint="eastAsia" w:ascii="新宋体" w:hAnsi="新宋体" w:eastAsia="新宋体" w:cs="新宋体"/>
          <w:snapToGrid w:val="0"/>
          <w:color w:val="auto"/>
          <w:kern w:val="0"/>
          <w:szCs w:val="21"/>
          <w:highlight w:val="none"/>
          <w:u w:val="single"/>
        </w:rPr>
        <w:t>达到招标文件的要求</w:t>
      </w:r>
      <w:r>
        <w:rPr>
          <w:rFonts w:hint="eastAsia" w:ascii="新宋体" w:hAnsi="新宋体" w:eastAsia="新宋体" w:cs="新宋体"/>
          <w:snapToGrid w:val="0"/>
          <w:color w:val="auto"/>
          <w:kern w:val="0"/>
          <w:szCs w:val="21"/>
          <w:highlight w:val="none"/>
        </w:rPr>
        <w:t>。</w:t>
      </w:r>
    </w:p>
    <w:p>
      <w:pPr>
        <w:autoSpaceDE w:val="0"/>
        <w:autoSpaceDN w:val="0"/>
        <w:adjustRightInd w:val="0"/>
        <w:spacing w:line="400" w:lineRule="exact"/>
        <w:ind w:firstLine="420" w:firstLineChars="200"/>
        <w:rPr>
          <w:rFonts w:hint="eastAsia" w:ascii="新宋体" w:hAnsi="新宋体" w:eastAsia="新宋体" w:cs="新宋体"/>
          <w:snapToGrid w:val="0"/>
          <w:color w:val="auto"/>
          <w:kern w:val="0"/>
          <w:sz w:val="10"/>
          <w:szCs w:val="10"/>
          <w:highlight w:val="none"/>
        </w:rPr>
      </w:pPr>
      <w:r>
        <w:rPr>
          <w:rFonts w:hint="eastAsia" w:ascii="新宋体" w:hAnsi="新宋体" w:eastAsia="新宋体" w:cs="新宋体"/>
          <w:snapToGrid w:val="0"/>
          <w:color w:val="auto"/>
          <w:kern w:val="0"/>
          <w:szCs w:val="21"/>
          <w:highlight w:val="none"/>
        </w:rPr>
        <w:t>2. 我方承诺响应招标文件规定的投标有效期，在投标有效期内不修改、撤销投标文件。</w:t>
      </w:r>
    </w:p>
    <w:p>
      <w:pPr>
        <w:tabs>
          <w:tab w:val="left" w:pos="2730"/>
          <w:tab w:val="left" w:pos="7980"/>
        </w:tabs>
        <w:autoSpaceDE w:val="0"/>
        <w:autoSpaceDN w:val="0"/>
        <w:adjustRightInd w:val="0"/>
        <w:spacing w:line="400" w:lineRule="exact"/>
        <w:ind w:firstLine="420" w:firstLineChars="200"/>
        <w:rPr>
          <w:rFonts w:hint="eastAsia" w:ascii="新宋体" w:hAnsi="新宋体" w:eastAsia="新宋体" w:cs="新宋体"/>
          <w:snapToGrid w:val="0"/>
          <w:color w:val="auto"/>
          <w:kern w:val="0"/>
          <w:sz w:val="10"/>
          <w:szCs w:val="10"/>
          <w:highlight w:val="none"/>
        </w:rPr>
      </w:pPr>
      <w:r>
        <w:rPr>
          <w:rFonts w:hint="eastAsia" w:ascii="新宋体" w:hAnsi="新宋体" w:eastAsia="新宋体" w:cs="新宋体"/>
          <w:snapToGrid w:val="0"/>
          <w:color w:val="auto"/>
          <w:kern w:val="0"/>
          <w:szCs w:val="21"/>
          <w:highlight w:val="none"/>
        </w:rPr>
        <w:t>3. 随同本投标函提交投标保证金一份，金额为人民币（大写）</w:t>
      </w:r>
      <w:r>
        <w:rPr>
          <w:rFonts w:hint="eastAsia" w:ascii="新宋体" w:hAnsi="新宋体" w:eastAsia="新宋体" w:cs="新宋体"/>
          <w:snapToGrid w:val="0"/>
          <w:color w:val="auto"/>
          <w:kern w:val="0"/>
          <w:szCs w:val="21"/>
          <w:highlight w:val="none"/>
          <w:u w:val="single"/>
        </w:rPr>
        <w:tab/>
      </w:r>
      <w:r>
        <w:rPr>
          <w:rFonts w:hint="eastAsia" w:ascii="新宋体" w:hAnsi="新宋体" w:eastAsia="新宋体" w:cs="新宋体"/>
          <w:snapToGrid w:val="0"/>
          <w:color w:val="auto"/>
          <w:kern w:val="0"/>
          <w:szCs w:val="21"/>
          <w:highlight w:val="none"/>
        </w:rPr>
        <w:t>（¥</w:t>
      </w:r>
      <w:r>
        <w:rPr>
          <w:rFonts w:hint="eastAsia" w:ascii="新宋体" w:hAnsi="新宋体" w:eastAsia="新宋体" w:cs="新宋体"/>
          <w:snapToGrid w:val="0"/>
          <w:color w:val="auto"/>
          <w:kern w:val="0"/>
          <w:szCs w:val="21"/>
          <w:highlight w:val="none"/>
          <w:u w:val="single"/>
        </w:rPr>
        <w:tab/>
      </w:r>
      <w:r>
        <w:rPr>
          <w:rFonts w:hint="eastAsia" w:ascii="新宋体" w:hAnsi="新宋体" w:eastAsia="新宋体" w:cs="新宋体"/>
          <w:snapToGrid w:val="0"/>
          <w:color w:val="auto"/>
          <w:kern w:val="0"/>
          <w:szCs w:val="21"/>
          <w:highlight w:val="none"/>
          <w:u w:val="single"/>
        </w:rPr>
        <w:t xml:space="preserve">   </w:t>
      </w:r>
      <w:r>
        <w:rPr>
          <w:rFonts w:hint="eastAsia" w:ascii="新宋体" w:hAnsi="新宋体" w:eastAsia="新宋体" w:cs="新宋体"/>
          <w:snapToGrid w:val="0"/>
          <w:color w:val="auto"/>
          <w:kern w:val="0"/>
          <w:szCs w:val="21"/>
          <w:highlight w:val="none"/>
        </w:rPr>
        <w:t>）。投标保证金有效期与投标有效期一致，在此期间，若我方违反招投标有关法律、法规及本招标文件的相关规定，投标保证金的受益人为招标人。</w:t>
      </w:r>
    </w:p>
    <w:p>
      <w:pPr>
        <w:autoSpaceDE w:val="0"/>
        <w:autoSpaceDN w:val="0"/>
        <w:adjustRightInd w:val="0"/>
        <w:spacing w:line="400" w:lineRule="exact"/>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4. 如我方中标：</w:t>
      </w:r>
    </w:p>
    <w:p>
      <w:pPr>
        <w:autoSpaceDE w:val="0"/>
        <w:autoSpaceDN w:val="0"/>
        <w:adjustRightInd w:val="0"/>
        <w:spacing w:line="400" w:lineRule="exact"/>
        <w:ind w:firstLine="420" w:firstLineChars="200"/>
        <w:rPr>
          <w:rFonts w:hint="eastAsia" w:ascii="新宋体" w:hAnsi="新宋体" w:eastAsia="新宋体" w:cs="新宋体"/>
          <w:snapToGrid w:val="0"/>
          <w:color w:val="auto"/>
          <w:kern w:val="0"/>
          <w:sz w:val="10"/>
          <w:szCs w:val="10"/>
          <w:highlight w:val="none"/>
        </w:rPr>
      </w:pPr>
      <w:r>
        <w:rPr>
          <w:rFonts w:hint="eastAsia" w:ascii="新宋体" w:hAnsi="新宋体" w:eastAsia="新宋体" w:cs="新宋体"/>
          <w:snapToGrid w:val="0"/>
          <w:color w:val="auto"/>
          <w:kern w:val="0"/>
          <w:szCs w:val="21"/>
          <w:highlight w:val="none"/>
        </w:rPr>
        <w:t>（1）我方承诺在收到中标通知书后，在中标通知书规定的期限内与你方签订合同。</w:t>
      </w:r>
    </w:p>
    <w:p>
      <w:pPr>
        <w:autoSpaceDE w:val="0"/>
        <w:autoSpaceDN w:val="0"/>
        <w:adjustRightInd w:val="0"/>
        <w:spacing w:line="400" w:lineRule="exact"/>
        <w:ind w:firstLine="420" w:firstLineChars="200"/>
        <w:rPr>
          <w:rFonts w:hint="eastAsia" w:ascii="新宋体" w:hAnsi="新宋体" w:eastAsia="新宋体" w:cs="新宋体"/>
          <w:snapToGrid w:val="0"/>
          <w:color w:val="auto"/>
          <w:kern w:val="0"/>
          <w:sz w:val="10"/>
          <w:szCs w:val="10"/>
          <w:highlight w:val="none"/>
        </w:rPr>
      </w:pPr>
      <w:r>
        <w:rPr>
          <w:rFonts w:hint="eastAsia" w:ascii="新宋体" w:hAnsi="新宋体" w:eastAsia="新宋体" w:cs="新宋体"/>
          <w:snapToGrid w:val="0"/>
          <w:color w:val="auto"/>
          <w:kern w:val="0"/>
          <w:szCs w:val="21"/>
          <w:highlight w:val="none"/>
        </w:rPr>
        <w:t>（</w:t>
      </w:r>
      <w:r>
        <w:rPr>
          <w:rFonts w:hint="eastAsia" w:ascii="新宋体" w:hAnsi="新宋体" w:eastAsia="新宋体" w:cs="新宋体"/>
          <w:snapToGrid w:val="0"/>
          <w:color w:val="auto"/>
          <w:kern w:val="0"/>
          <w:szCs w:val="21"/>
          <w:highlight w:val="none"/>
          <w:lang w:val="en-US" w:eastAsia="zh-CN"/>
        </w:rPr>
        <w:t>2</w:t>
      </w:r>
      <w:r>
        <w:rPr>
          <w:rFonts w:hint="eastAsia" w:ascii="新宋体" w:hAnsi="新宋体" w:eastAsia="新宋体" w:cs="新宋体"/>
          <w:snapToGrid w:val="0"/>
          <w:color w:val="auto"/>
          <w:kern w:val="0"/>
          <w:szCs w:val="21"/>
          <w:highlight w:val="none"/>
        </w:rPr>
        <w:t>）我方承诺按照招标文件规定向你方递交履约担保。</w:t>
      </w:r>
    </w:p>
    <w:p>
      <w:pPr>
        <w:autoSpaceDE w:val="0"/>
        <w:autoSpaceDN w:val="0"/>
        <w:adjustRightInd w:val="0"/>
        <w:spacing w:line="400" w:lineRule="exact"/>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w:t>
      </w:r>
      <w:r>
        <w:rPr>
          <w:rFonts w:hint="eastAsia" w:ascii="新宋体" w:hAnsi="新宋体" w:eastAsia="新宋体" w:cs="新宋体"/>
          <w:snapToGrid w:val="0"/>
          <w:color w:val="auto"/>
          <w:kern w:val="0"/>
          <w:szCs w:val="21"/>
          <w:highlight w:val="none"/>
          <w:lang w:val="en-US" w:eastAsia="zh-CN"/>
        </w:rPr>
        <w:t>3</w:t>
      </w:r>
      <w:r>
        <w:rPr>
          <w:rFonts w:hint="eastAsia" w:ascii="新宋体" w:hAnsi="新宋体" w:eastAsia="新宋体" w:cs="新宋体"/>
          <w:snapToGrid w:val="0"/>
          <w:color w:val="auto"/>
          <w:kern w:val="0"/>
          <w:szCs w:val="21"/>
          <w:highlight w:val="none"/>
        </w:rPr>
        <w:t>）我方承诺在合同约定的期限内完成移交</w:t>
      </w:r>
      <w:r>
        <w:rPr>
          <w:rFonts w:hint="eastAsia" w:ascii="新宋体" w:hAnsi="新宋体" w:eastAsia="新宋体" w:cs="新宋体"/>
          <w:snapToGrid w:val="0"/>
          <w:color w:val="auto"/>
          <w:kern w:val="0"/>
          <w:szCs w:val="21"/>
          <w:highlight w:val="none"/>
          <w:lang w:val="en-US" w:eastAsia="zh-CN"/>
        </w:rPr>
        <w:t>、验收合格至正常运行</w:t>
      </w:r>
      <w:r>
        <w:rPr>
          <w:rFonts w:hint="eastAsia" w:ascii="新宋体" w:hAnsi="新宋体" w:eastAsia="新宋体" w:cs="新宋体"/>
          <w:snapToGrid w:val="0"/>
          <w:color w:val="auto"/>
          <w:kern w:val="0"/>
          <w:szCs w:val="21"/>
          <w:highlight w:val="none"/>
        </w:rPr>
        <w:t>全部合同</w:t>
      </w:r>
      <w:r>
        <w:rPr>
          <w:rFonts w:hint="eastAsia" w:ascii="新宋体" w:hAnsi="新宋体" w:eastAsia="新宋体" w:cs="新宋体"/>
          <w:snapToGrid w:val="0"/>
          <w:color w:val="auto"/>
          <w:kern w:val="0"/>
          <w:szCs w:val="21"/>
          <w:highlight w:val="none"/>
          <w:lang w:val="en-US" w:eastAsia="zh-CN"/>
        </w:rPr>
        <w:t>内容</w:t>
      </w:r>
      <w:r>
        <w:rPr>
          <w:rFonts w:hint="eastAsia" w:ascii="新宋体" w:hAnsi="新宋体" w:eastAsia="新宋体" w:cs="新宋体"/>
          <w:snapToGrid w:val="0"/>
          <w:color w:val="auto"/>
          <w:kern w:val="0"/>
          <w:szCs w:val="21"/>
          <w:highlight w:val="none"/>
        </w:rPr>
        <w:t>。</w:t>
      </w:r>
    </w:p>
    <w:p>
      <w:pPr>
        <w:autoSpaceDE w:val="0"/>
        <w:autoSpaceDN w:val="0"/>
        <w:adjustRightInd w:val="0"/>
        <w:spacing w:line="400" w:lineRule="exact"/>
        <w:ind w:firstLine="420" w:firstLineChars="200"/>
        <w:rPr>
          <w:rFonts w:hint="eastAsia" w:ascii="新宋体" w:hAnsi="新宋体" w:eastAsia="新宋体" w:cs="新宋体"/>
          <w:snapToGrid w:val="0"/>
          <w:color w:val="auto"/>
          <w:kern w:val="0"/>
          <w:sz w:val="10"/>
          <w:szCs w:val="10"/>
          <w:highlight w:val="none"/>
        </w:rPr>
      </w:pPr>
      <w:r>
        <w:rPr>
          <w:rFonts w:hint="eastAsia" w:ascii="新宋体" w:hAnsi="新宋体" w:eastAsia="新宋体" w:cs="新宋体"/>
          <w:snapToGrid w:val="0"/>
          <w:color w:val="auto"/>
          <w:kern w:val="0"/>
          <w:szCs w:val="21"/>
          <w:highlight w:val="none"/>
        </w:rPr>
        <w:t>（</w:t>
      </w:r>
      <w:r>
        <w:rPr>
          <w:rFonts w:hint="eastAsia" w:ascii="新宋体" w:hAnsi="新宋体" w:eastAsia="新宋体" w:cs="新宋体"/>
          <w:snapToGrid w:val="0"/>
          <w:color w:val="auto"/>
          <w:kern w:val="0"/>
          <w:szCs w:val="21"/>
          <w:highlight w:val="none"/>
          <w:lang w:val="en-US" w:eastAsia="zh-CN"/>
        </w:rPr>
        <w:t>4</w:t>
      </w:r>
      <w:r>
        <w:rPr>
          <w:rFonts w:hint="eastAsia" w:ascii="新宋体" w:hAnsi="新宋体" w:eastAsia="新宋体" w:cs="新宋体"/>
          <w:snapToGrid w:val="0"/>
          <w:color w:val="auto"/>
          <w:kern w:val="0"/>
          <w:szCs w:val="21"/>
          <w:highlight w:val="none"/>
        </w:rPr>
        <w:t>）我方承诺以不低于招标文件第</w:t>
      </w:r>
      <w:r>
        <w:rPr>
          <w:rFonts w:hint="eastAsia" w:ascii="新宋体" w:hAnsi="新宋体" w:eastAsia="新宋体" w:cs="新宋体"/>
          <w:snapToGrid w:val="0"/>
          <w:color w:val="auto"/>
          <w:kern w:val="0"/>
          <w:szCs w:val="21"/>
          <w:highlight w:val="none"/>
          <w:lang w:val="en-US" w:eastAsia="zh-CN"/>
        </w:rPr>
        <w:t>五</w:t>
      </w:r>
      <w:r>
        <w:rPr>
          <w:rFonts w:hint="eastAsia" w:ascii="新宋体" w:hAnsi="新宋体" w:eastAsia="新宋体" w:cs="新宋体"/>
          <w:snapToGrid w:val="0"/>
          <w:color w:val="auto"/>
          <w:kern w:val="0"/>
          <w:szCs w:val="21"/>
          <w:highlight w:val="none"/>
        </w:rPr>
        <w:t>章 技术标准和要求中所列的技术指标和参数要求完成全部合同</w:t>
      </w:r>
      <w:r>
        <w:rPr>
          <w:rFonts w:hint="eastAsia" w:ascii="新宋体" w:hAnsi="新宋体" w:eastAsia="新宋体" w:cs="新宋体"/>
          <w:snapToGrid w:val="0"/>
          <w:color w:val="auto"/>
          <w:kern w:val="0"/>
          <w:szCs w:val="21"/>
          <w:highlight w:val="none"/>
          <w:lang w:val="en-US" w:eastAsia="zh-CN"/>
        </w:rPr>
        <w:t>内容</w:t>
      </w:r>
      <w:r>
        <w:rPr>
          <w:rFonts w:hint="eastAsia" w:ascii="新宋体" w:hAnsi="新宋体" w:eastAsia="新宋体" w:cs="新宋体"/>
          <w:snapToGrid w:val="0"/>
          <w:color w:val="auto"/>
          <w:kern w:val="0"/>
          <w:szCs w:val="21"/>
          <w:highlight w:val="none"/>
        </w:rPr>
        <w:t>。</w:t>
      </w:r>
    </w:p>
    <w:p>
      <w:pPr>
        <w:autoSpaceDE w:val="0"/>
        <w:autoSpaceDN w:val="0"/>
        <w:adjustRightInd w:val="0"/>
        <w:spacing w:line="400" w:lineRule="exact"/>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5. 我方</w:t>
      </w:r>
      <w:r>
        <w:rPr>
          <w:rFonts w:hint="eastAsia" w:ascii="新宋体" w:hAnsi="新宋体" w:eastAsia="新宋体" w:cs="新宋体"/>
          <w:snapToGrid w:val="0"/>
          <w:color w:val="auto"/>
          <w:spacing w:val="-2"/>
          <w:kern w:val="0"/>
          <w:szCs w:val="21"/>
          <w:highlight w:val="none"/>
        </w:rPr>
        <w:t>在此声明，所递交的投标文件及有关资料内容完整、真实和准确，且不存在第二章“投标人</w:t>
      </w:r>
      <w:r>
        <w:rPr>
          <w:rFonts w:hint="eastAsia" w:ascii="新宋体" w:hAnsi="新宋体" w:eastAsia="新宋体" w:cs="新宋体"/>
          <w:snapToGrid w:val="0"/>
          <w:color w:val="auto"/>
          <w:kern w:val="0"/>
          <w:szCs w:val="21"/>
          <w:highlight w:val="none"/>
        </w:rPr>
        <w:t>须知”第 1.4.3 项规定的任何一种情形。同时我方承诺接受招标文件及附件、澄清及修改通知中所有的内容。</w:t>
      </w:r>
    </w:p>
    <w:p>
      <w:pPr>
        <w:tabs>
          <w:tab w:val="left" w:pos="5985"/>
        </w:tabs>
        <w:autoSpaceDE w:val="0"/>
        <w:autoSpaceDN w:val="0"/>
        <w:adjustRightInd w:val="0"/>
        <w:spacing w:line="400" w:lineRule="exact"/>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 xml:space="preserve">6. </w:t>
      </w:r>
      <w:r>
        <w:rPr>
          <w:rFonts w:hint="eastAsia" w:ascii="新宋体" w:hAnsi="新宋体" w:eastAsia="新宋体" w:cs="新宋体"/>
          <w:snapToGrid w:val="0"/>
          <w:color w:val="auto"/>
          <w:w w:val="200"/>
          <w:kern w:val="0"/>
          <w:szCs w:val="21"/>
          <w:highlight w:val="none"/>
          <w:u w:val="single"/>
        </w:rPr>
        <w:t xml:space="preserve"> </w:t>
      </w:r>
      <w:r>
        <w:rPr>
          <w:rFonts w:hint="eastAsia" w:ascii="新宋体" w:hAnsi="新宋体" w:eastAsia="新宋体" w:cs="新宋体"/>
          <w:snapToGrid w:val="0"/>
          <w:color w:val="auto"/>
          <w:kern w:val="0"/>
          <w:szCs w:val="21"/>
          <w:highlight w:val="none"/>
          <w:u w:val="single"/>
        </w:rPr>
        <w:tab/>
      </w:r>
      <w:r>
        <w:rPr>
          <w:rFonts w:hint="eastAsia" w:ascii="新宋体" w:hAnsi="新宋体" w:eastAsia="新宋体" w:cs="新宋体"/>
          <w:snapToGrid w:val="0"/>
          <w:color w:val="auto"/>
          <w:kern w:val="0"/>
          <w:szCs w:val="21"/>
          <w:highlight w:val="none"/>
          <w:u w:val="single"/>
        </w:rPr>
        <w:t>（其他补充说明）</w:t>
      </w:r>
      <w:r>
        <w:rPr>
          <w:rFonts w:hint="eastAsia" w:ascii="新宋体" w:hAnsi="新宋体" w:eastAsia="新宋体" w:cs="新宋体"/>
          <w:snapToGrid w:val="0"/>
          <w:color w:val="auto"/>
          <w:kern w:val="0"/>
          <w:szCs w:val="21"/>
          <w:highlight w:val="none"/>
        </w:rPr>
        <w:t>。</w:t>
      </w:r>
    </w:p>
    <w:p>
      <w:pPr>
        <w:tabs>
          <w:tab w:val="left" w:pos="7140"/>
          <w:tab w:val="left" w:pos="7560"/>
          <w:tab w:val="left" w:pos="8300"/>
        </w:tabs>
        <w:autoSpaceDE w:val="0"/>
        <w:autoSpaceDN w:val="0"/>
        <w:adjustRightInd w:val="0"/>
        <w:spacing w:line="400" w:lineRule="exact"/>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投  标  人：</w:t>
      </w:r>
      <w:r>
        <w:rPr>
          <w:rFonts w:hint="eastAsia" w:ascii="新宋体" w:hAnsi="新宋体" w:eastAsia="新宋体" w:cs="新宋体"/>
          <w:snapToGrid w:val="0"/>
          <w:color w:val="auto"/>
          <w:kern w:val="0"/>
          <w:szCs w:val="21"/>
          <w:highlight w:val="none"/>
          <w:u w:val="single"/>
        </w:rPr>
        <w:t xml:space="preserve">                　　　　　               </w:t>
      </w:r>
      <w:r>
        <w:rPr>
          <w:rFonts w:hint="eastAsia" w:ascii="新宋体" w:hAnsi="新宋体" w:eastAsia="新宋体" w:cs="新宋体"/>
          <w:snapToGrid w:val="0"/>
          <w:color w:val="auto"/>
          <w:kern w:val="0"/>
          <w:szCs w:val="21"/>
          <w:highlight w:val="none"/>
        </w:rPr>
        <w:t xml:space="preserve">（盖单位法人章） </w:t>
      </w:r>
    </w:p>
    <w:p>
      <w:pPr>
        <w:tabs>
          <w:tab w:val="left" w:pos="7140"/>
          <w:tab w:val="left" w:pos="7560"/>
          <w:tab w:val="left" w:pos="8300"/>
        </w:tabs>
        <w:autoSpaceDE w:val="0"/>
        <w:autoSpaceDN w:val="0"/>
        <w:adjustRightInd w:val="0"/>
        <w:spacing w:line="400" w:lineRule="exact"/>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法定代表人或其委托代理人：</w:t>
      </w:r>
      <w:r>
        <w:rPr>
          <w:rFonts w:hint="eastAsia" w:ascii="新宋体" w:hAnsi="新宋体" w:eastAsia="新宋体" w:cs="新宋体"/>
          <w:snapToGrid w:val="0"/>
          <w:color w:val="auto"/>
          <w:kern w:val="0"/>
          <w:szCs w:val="21"/>
          <w:highlight w:val="none"/>
          <w:u w:val="single"/>
        </w:rPr>
        <w:t xml:space="preserve">                           </w:t>
      </w:r>
      <w:r>
        <w:rPr>
          <w:rFonts w:hint="eastAsia" w:ascii="新宋体" w:hAnsi="新宋体" w:eastAsia="新宋体" w:cs="新宋体"/>
          <w:snapToGrid w:val="0"/>
          <w:color w:val="auto"/>
          <w:kern w:val="0"/>
          <w:szCs w:val="21"/>
          <w:highlight w:val="none"/>
        </w:rPr>
        <w:t>（签名或盖章）</w:t>
      </w:r>
    </w:p>
    <w:p>
      <w:pPr>
        <w:tabs>
          <w:tab w:val="left" w:pos="7035"/>
          <w:tab w:val="left" w:pos="7560"/>
          <w:tab w:val="left" w:pos="8300"/>
        </w:tabs>
        <w:autoSpaceDE w:val="0"/>
        <w:autoSpaceDN w:val="0"/>
        <w:adjustRightInd w:val="0"/>
        <w:spacing w:line="400" w:lineRule="exact"/>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地    址：</w:t>
      </w:r>
      <w:r>
        <w:rPr>
          <w:rFonts w:hint="eastAsia" w:ascii="新宋体" w:hAnsi="新宋体" w:eastAsia="新宋体" w:cs="新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网    址：</w:t>
      </w:r>
      <w:r>
        <w:rPr>
          <w:rFonts w:hint="eastAsia" w:ascii="新宋体" w:hAnsi="新宋体" w:eastAsia="新宋体" w:cs="新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单位电话（座机）：</w:t>
      </w:r>
      <w:r>
        <w:rPr>
          <w:rFonts w:hint="eastAsia" w:ascii="新宋体" w:hAnsi="新宋体" w:eastAsia="新宋体" w:cs="新宋体"/>
          <w:snapToGrid w:val="0"/>
          <w:color w:val="auto"/>
          <w:kern w:val="0"/>
          <w:szCs w:val="21"/>
          <w:highlight w:val="none"/>
          <w:u w:val="single"/>
        </w:rPr>
        <w:t xml:space="preserve">                      </w:t>
      </w:r>
      <w:r>
        <w:rPr>
          <w:rFonts w:hint="eastAsia" w:ascii="新宋体" w:hAnsi="新宋体" w:eastAsia="新宋体" w:cs="新宋体"/>
          <w:snapToGrid w:val="0"/>
          <w:color w:val="auto"/>
          <w:kern w:val="0"/>
          <w:szCs w:val="21"/>
          <w:highlight w:val="none"/>
        </w:rPr>
        <w:t>委托代理人电话（手机）：</w:t>
      </w:r>
      <w:r>
        <w:rPr>
          <w:rFonts w:hint="eastAsia" w:ascii="新宋体" w:hAnsi="新宋体" w:eastAsia="新宋体" w:cs="新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hint="eastAsia" w:ascii="新宋体" w:hAnsi="新宋体" w:eastAsia="新宋体" w:cs="新宋体"/>
          <w:snapToGrid w:val="0"/>
          <w:color w:val="auto"/>
          <w:kern w:val="0"/>
          <w:szCs w:val="21"/>
          <w:highlight w:val="none"/>
        </w:rPr>
      </w:pPr>
      <w:r>
        <w:rPr>
          <w:rFonts w:hint="eastAsia" w:ascii="新宋体" w:hAnsi="新宋体" w:eastAsia="新宋体" w:cs="新宋体"/>
          <w:snapToGrid w:val="0"/>
          <w:color w:val="auto"/>
          <w:kern w:val="0"/>
          <w:szCs w:val="21"/>
          <w:highlight w:val="none"/>
        </w:rPr>
        <w:t>传    真：</w:t>
      </w:r>
      <w:r>
        <w:rPr>
          <w:rFonts w:hint="eastAsia" w:ascii="新宋体" w:hAnsi="新宋体" w:eastAsia="新宋体" w:cs="新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hint="eastAsia" w:ascii="新宋体" w:hAnsi="新宋体" w:eastAsia="新宋体" w:cs="新宋体"/>
          <w:snapToGrid w:val="0"/>
          <w:color w:val="auto"/>
          <w:kern w:val="0"/>
          <w:szCs w:val="21"/>
          <w:highlight w:val="none"/>
          <w:u w:val="single"/>
        </w:rPr>
      </w:pPr>
      <w:r>
        <w:rPr>
          <w:rFonts w:hint="eastAsia" w:ascii="新宋体" w:hAnsi="新宋体" w:eastAsia="新宋体" w:cs="新宋体"/>
          <w:snapToGrid w:val="0"/>
          <w:color w:val="auto"/>
          <w:kern w:val="0"/>
          <w:szCs w:val="21"/>
          <w:highlight w:val="none"/>
        </w:rPr>
        <w:t>邮政编码：</w:t>
      </w:r>
      <w:r>
        <w:rPr>
          <w:rFonts w:hint="eastAsia" w:ascii="新宋体" w:hAnsi="新宋体" w:eastAsia="新宋体" w:cs="新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00" w:firstLineChars="200"/>
        <w:rPr>
          <w:rFonts w:hint="eastAsia" w:ascii="新宋体" w:hAnsi="新宋体" w:eastAsia="新宋体" w:cs="新宋体"/>
          <w:snapToGrid w:val="0"/>
          <w:color w:val="auto"/>
          <w:kern w:val="0"/>
          <w:sz w:val="20"/>
          <w:szCs w:val="20"/>
          <w:highlight w:val="none"/>
        </w:rPr>
      </w:pPr>
    </w:p>
    <w:p>
      <w:pPr>
        <w:tabs>
          <w:tab w:val="left" w:pos="8300"/>
        </w:tabs>
        <w:autoSpaceDE w:val="0"/>
        <w:autoSpaceDN w:val="0"/>
        <w:adjustRightInd w:val="0"/>
        <w:spacing w:line="400" w:lineRule="exact"/>
        <w:ind w:firstLine="420" w:firstLineChars="200"/>
        <w:jc w:val="right"/>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u w:val="single"/>
        </w:rPr>
        <w:t xml:space="preserve">    </w:t>
      </w:r>
      <w:r>
        <w:rPr>
          <w:rFonts w:hint="eastAsia" w:ascii="新宋体" w:hAnsi="新宋体" w:eastAsia="新宋体" w:cs="新宋体"/>
          <w:color w:val="auto"/>
          <w:kern w:val="0"/>
          <w:szCs w:val="21"/>
          <w:highlight w:val="none"/>
        </w:rPr>
        <w:t>年</w:t>
      </w:r>
      <w:r>
        <w:rPr>
          <w:rFonts w:hint="eastAsia" w:ascii="新宋体" w:hAnsi="新宋体" w:eastAsia="新宋体" w:cs="新宋体"/>
          <w:color w:val="auto"/>
          <w:kern w:val="0"/>
          <w:szCs w:val="21"/>
          <w:highlight w:val="none"/>
          <w:u w:val="single"/>
        </w:rPr>
        <w:t xml:space="preserve">    </w:t>
      </w:r>
      <w:r>
        <w:rPr>
          <w:rFonts w:hint="eastAsia" w:ascii="新宋体" w:hAnsi="新宋体" w:eastAsia="新宋体" w:cs="新宋体"/>
          <w:color w:val="auto"/>
          <w:kern w:val="0"/>
          <w:szCs w:val="21"/>
          <w:highlight w:val="none"/>
        </w:rPr>
        <w:t>月</w:t>
      </w:r>
      <w:r>
        <w:rPr>
          <w:rFonts w:hint="eastAsia" w:ascii="新宋体" w:hAnsi="新宋体" w:eastAsia="新宋体" w:cs="新宋体"/>
          <w:color w:val="auto"/>
          <w:kern w:val="0"/>
          <w:szCs w:val="21"/>
          <w:highlight w:val="none"/>
          <w:u w:val="single"/>
        </w:rPr>
        <w:t xml:space="preserve">    </w:t>
      </w:r>
      <w:r>
        <w:rPr>
          <w:rFonts w:hint="eastAsia" w:ascii="新宋体" w:hAnsi="新宋体" w:eastAsia="新宋体" w:cs="新宋体"/>
          <w:color w:val="auto"/>
          <w:kern w:val="0"/>
          <w:szCs w:val="21"/>
          <w:highlight w:val="none"/>
        </w:rPr>
        <w:t>日</w:t>
      </w:r>
    </w:p>
    <w:p>
      <w:pPr>
        <w:tabs>
          <w:tab w:val="left" w:pos="8300"/>
        </w:tabs>
        <w:autoSpaceDE w:val="0"/>
        <w:autoSpaceDN w:val="0"/>
        <w:adjustRightInd w:val="0"/>
        <w:spacing w:line="400" w:lineRule="exact"/>
        <w:ind w:firstLine="420" w:firstLineChars="200"/>
        <w:jc w:val="right"/>
        <w:rPr>
          <w:rFonts w:hint="eastAsia" w:ascii="新宋体" w:hAnsi="新宋体" w:eastAsia="新宋体" w:cs="新宋体"/>
          <w:color w:val="auto"/>
          <w:kern w:val="0"/>
          <w:szCs w:val="21"/>
          <w:highlight w:val="none"/>
        </w:rPr>
      </w:pPr>
    </w:p>
    <w:p>
      <w:pPr>
        <w:pStyle w:val="2"/>
        <w:spacing w:before="0" w:after="0" w:line="240" w:lineRule="auto"/>
        <w:jc w:val="center"/>
        <w:rPr>
          <w:rFonts w:hint="eastAsia" w:ascii="新宋体" w:hAnsi="新宋体" w:eastAsia="新宋体" w:cs="新宋体"/>
          <w:snapToGrid w:val="0"/>
          <w:color w:val="auto"/>
          <w:kern w:val="0"/>
          <w:szCs w:val="21"/>
          <w:highlight w:val="none"/>
        </w:rPr>
      </w:pPr>
      <w:bookmarkStart w:id="635" w:name="_Toc224103496"/>
      <w:bookmarkStart w:id="636" w:name="_Toc430530531"/>
      <w:bookmarkStart w:id="637" w:name="_Toc287620815"/>
      <w:bookmarkStart w:id="638" w:name="_Toc287607868"/>
      <w:bookmarkStart w:id="639" w:name="_Toc277082644"/>
      <w:r>
        <w:rPr>
          <w:rFonts w:hint="eastAsia" w:ascii="新宋体" w:hAnsi="新宋体" w:eastAsia="新宋体" w:cs="新宋体"/>
          <w:color w:val="auto"/>
          <w:sz w:val="28"/>
          <w:highlight w:val="none"/>
        </w:rPr>
        <w:br w:type="page"/>
      </w:r>
      <w:bookmarkStart w:id="640" w:name="_Toc509218855"/>
      <w:bookmarkStart w:id="641" w:name="_Toc534185832"/>
      <w:bookmarkStart w:id="642" w:name="_Toc57820649"/>
      <w:r>
        <w:rPr>
          <w:rFonts w:hint="eastAsia" w:ascii="新宋体" w:hAnsi="新宋体" w:eastAsia="新宋体" w:cs="新宋体"/>
          <w:b w:val="0"/>
          <w:bCs w:val="0"/>
          <w:color w:val="auto"/>
          <w:highlight w:val="none"/>
        </w:rPr>
        <w:t>（二）</w:t>
      </w:r>
      <w:bookmarkStart w:id="643" w:name="_Toc57820650"/>
      <w:bookmarkStart w:id="644" w:name="_Toc277082645"/>
      <w:bookmarkStart w:id="645" w:name="_Toc224103497"/>
      <w:bookmarkStart w:id="646" w:name="_Toc287620816"/>
      <w:bookmarkStart w:id="647" w:name="_Toc430530532"/>
      <w:bookmarkStart w:id="648" w:name="_Toc287607869"/>
      <w:bookmarkEnd w:id="635"/>
      <w:bookmarkEnd w:id="636"/>
      <w:bookmarkEnd w:id="637"/>
      <w:bookmarkEnd w:id="638"/>
      <w:bookmarkEnd w:id="639"/>
      <w:bookmarkEnd w:id="640"/>
      <w:bookmarkEnd w:id="641"/>
      <w:bookmarkEnd w:id="642"/>
      <w:r>
        <w:rPr>
          <w:rFonts w:hint="eastAsia" w:ascii="新宋体" w:hAnsi="新宋体" w:eastAsia="新宋体" w:cs="新宋体"/>
          <w:b w:val="0"/>
          <w:bCs w:val="0"/>
          <w:color w:val="auto"/>
          <w:highlight w:val="none"/>
        </w:rPr>
        <w:t>法定代表人身份证明或附有法定代表人身份证明的授权委托书</w:t>
      </w:r>
      <w:bookmarkEnd w:id="643"/>
      <w:bookmarkEnd w:id="644"/>
      <w:bookmarkEnd w:id="645"/>
      <w:bookmarkEnd w:id="646"/>
      <w:bookmarkEnd w:id="647"/>
      <w:bookmarkEnd w:id="648"/>
    </w:p>
    <w:p>
      <w:pPr>
        <w:spacing w:line="480" w:lineRule="auto"/>
        <w:jc w:val="center"/>
        <w:rPr>
          <w:rFonts w:hint="eastAsia" w:ascii="新宋体" w:hAnsi="新宋体" w:eastAsia="新宋体" w:cs="新宋体"/>
          <w:color w:val="auto"/>
          <w:sz w:val="28"/>
          <w:highlight w:val="none"/>
        </w:rPr>
      </w:pPr>
      <w:r>
        <w:rPr>
          <w:rFonts w:hint="eastAsia" w:ascii="新宋体" w:hAnsi="新宋体" w:eastAsia="新宋体" w:cs="新宋体"/>
          <w:color w:val="auto"/>
          <w:sz w:val="28"/>
          <w:highlight w:val="none"/>
        </w:rPr>
        <w:t>法定代表人身份证明</w:t>
      </w:r>
    </w:p>
    <w:p>
      <w:pPr>
        <w:spacing w:line="480" w:lineRule="auto"/>
        <w:jc w:val="center"/>
        <w:rPr>
          <w:rFonts w:hint="eastAsia" w:ascii="新宋体" w:hAnsi="新宋体" w:eastAsia="新宋体" w:cs="新宋体"/>
          <w:color w:val="auto"/>
          <w:highlight w:val="none"/>
        </w:rPr>
      </w:pPr>
    </w:p>
    <w:p>
      <w:pPr>
        <w:tabs>
          <w:tab w:val="left" w:pos="5565"/>
        </w:tabs>
        <w:autoSpaceDE w:val="0"/>
        <w:autoSpaceDN w:val="0"/>
        <w:adjustRightInd w:val="0"/>
        <w:snapToGrid w:val="0"/>
        <w:spacing w:line="480" w:lineRule="auto"/>
        <w:ind w:firstLine="390" w:firstLineChars="186"/>
        <w:jc w:val="left"/>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投标人名称：</w:t>
      </w:r>
      <w:r>
        <w:rPr>
          <w:rFonts w:hint="eastAsia" w:ascii="新宋体" w:hAnsi="新宋体" w:eastAsia="新宋体" w:cs="新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单位性质：</w:t>
      </w:r>
      <w:r>
        <w:rPr>
          <w:rFonts w:hint="eastAsia" w:ascii="新宋体" w:hAnsi="新宋体" w:eastAsia="新宋体" w:cs="新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地    址：</w:t>
      </w:r>
      <w:r>
        <w:rPr>
          <w:rFonts w:hint="eastAsia" w:ascii="新宋体" w:hAnsi="新宋体" w:eastAsia="新宋体" w:cs="新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hint="eastAsia" w:ascii="新宋体" w:hAnsi="新宋体" w:eastAsia="新宋体" w:cs="新宋体"/>
          <w:color w:val="auto"/>
          <w:kern w:val="0"/>
          <w:sz w:val="10"/>
          <w:szCs w:val="10"/>
          <w:highlight w:val="none"/>
        </w:rPr>
      </w:pPr>
      <w:r>
        <w:rPr>
          <w:rFonts w:hint="eastAsia" w:ascii="新宋体" w:hAnsi="新宋体" w:eastAsia="新宋体" w:cs="新宋体"/>
          <w:color w:val="auto"/>
          <w:kern w:val="0"/>
          <w:szCs w:val="21"/>
          <w:highlight w:val="none"/>
        </w:rPr>
        <w:t>成立时间：</w:t>
      </w:r>
      <w:r>
        <w:rPr>
          <w:rFonts w:hint="eastAsia" w:ascii="新宋体" w:hAnsi="新宋体" w:eastAsia="新宋体" w:cs="新宋体"/>
          <w:color w:val="auto"/>
          <w:w w:val="200"/>
          <w:kern w:val="0"/>
          <w:szCs w:val="21"/>
          <w:highlight w:val="none"/>
          <w:u w:val="single"/>
        </w:rPr>
        <w:t xml:space="preserve">        </w:t>
      </w:r>
      <w:r>
        <w:rPr>
          <w:rFonts w:hint="eastAsia" w:ascii="新宋体" w:hAnsi="新宋体" w:eastAsia="新宋体" w:cs="新宋体"/>
          <w:color w:val="auto"/>
          <w:kern w:val="0"/>
          <w:szCs w:val="21"/>
          <w:highlight w:val="none"/>
        </w:rPr>
        <w:t>年</w:t>
      </w:r>
      <w:r>
        <w:rPr>
          <w:rFonts w:hint="eastAsia" w:ascii="新宋体" w:hAnsi="新宋体" w:eastAsia="新宋体" w:cs="新宋体"/>
          <w:color w:val="auto"/>
          <w:w w:val="200"/>
          <w:kern w:val="0"/>
          <w:szCs w:val="21"/>
          <w:highlight w:val="none"/>
          <w:u w:val="single"/>
        </w:rPr>
        <w:t xml:space="preserve"> </w:t>
      </w:r>
      <w:r>
        <w:rPr>
          <w:rFonts w:hint="eastAsia" w:ascii="新宋体" w:hAnsi="新宋体" w:eastAsia="新宋体" w:cs="新宋体"/>
          <w:color w:val="auto"/>
          <w:kern w:val="0"/>
          <w:szCs w:val="21"/>
          <w:highlight w:val="none"/>
          <w:u w:val="single"/>
        </w:rPr>
        <w:t xml:space="preserve">       </w:t>
      </w:r>
      <w:r>
        <w:rPr>
          <w:rFonts w:hint="eastAsia" w:ascii="新宋体" w:hAnsi="新宋体" w:eastAsia="新宋体" w:cs="新宋体"/>
          <w:color w:val="auto"/>
          <w:kern w:val="0"/>
          <w:szCs w:val="21"/>
          <w:highlight w:val="none"/>
        </w:rPr>
        <w:t>月</w:t>
      </w:r>
      <w:r>
        <w:rPr>
          <w:rFonts w:hint="eastAsia" w:ascii="新宋体" w:hAnsi="新宋体" w:eastAsia="新宋体" w:cs="新宋体"/>
          <w:color w:val="auto"/>
          <w:w w:val="200"/>
          <w:kern w:val="0"/>
          <w:szCs w:val="21"/>
          <w:highlight w:val="none"/>
          <w:u w:val="single"/>
        </w:rPr>
        <w:t xml:space="preserve"> </w:t>
      </w:r>
      <w:r>
        <w:rPr>
          <w:rFonts w:hint="eastAsia" w:ascii="新宋体" w:hAnsi="新宋体" w:eastAsia="新宋体" w:cs="新宋体"/>
          <w:color w:val="auto"/>
          <w:kern w:val="0"/>
          <w:szCs w:val="21"/>
          <w:highlight w:val="none"/>
          <w:u w:val="single"/>
        </w:rPr>
        <w:t xml:space="preserve">       </w:t>
      </w:r>
      <w:r>
        <w:rPr>
          <w:rFonts w:hint="eastAsia" w:ascii="新宋体" w:hAnsi="新宋体" w:eastAsia="新宋体" w:cs="新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经营期限：</w:t>
      </w:r>
      <w:r>
        <w:rPr>
          <w:rFonts w:hint="eastAsia" w:ascii="新宋体" w:hAnsi="新宋体" w:eastAsia="新宋体" w:cs="新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姓名：</w:t>
      </w:r>
      <w:r>
        <w:rPr>
          <w:rFonts w:hint="eastAsia" w:ascii="新宋体" w:hAnsi="新宋体" w:eastAsia="新宋体" w:cs="新宋体"/>
          <w:color w:val="auto"/>
          <w:w w:val="200"/>
          <w:kern w:val="0"/>
          <w:szCs w:val="21"/>
          <w:highlight w:val="none"/>
          <w:u w:val="single"/>
        </w:rPr>
        <w:t xml:space="preserve">        </w:t>
      </w:r>
      <w:r>
        <w:rPr>
          <w:rFonts w:hint="eastAsia" w:ascii="新宋体" w:hAnsi="新宋体" w:eastAsia="新宋体" w:cs="新宋体"/>
          <w:color w:val="auto"/>
          <w:kern w:val="0"/>
          <w:szCs w:val="21"/>
          <w:highlight w:val="none"/>
        </w:rPr>
        <w:t>性别</w:t>
      </w:r>
      <w:r>
        <w:rPr>
          <w:rFonts w:hint="eastAsia" w:ascii="新宋体" w:hAnsi="新宋体" w:eastAsia="新宋体" w:cs="新宋体"/>
          <w:color w:val="auto"/>
          <w:spacing w:val="-1"/>
          <w:kern w:val="0"/>
          <w:szCs w:val="21"/>
          <w:highlight w:val="none"/>
        </w:rPr>
        <w:t>：</w:t>
      </w:r>
      <w:r>
        <w:rPr>
          <w:rFonts w:hint="eastAsia" w:ascii="新宋体" w:hAnsi="新宋体" w:eastAsia="新宋体" w:cs="新宋体"/>
          <w:color w:val="auto"/>
          <w:kern w:val="0"/>
          <w:szCs w:val="21"/>
          <w:highlight w:val="none"/>
          <w:u w:val="single"/>
        </w:rPr>
        <w:t xml:space="preserve">       </w:t>
      </w:r>
      <w:r>
        <w:rPr>
          <w:rFonts w:hint="eastAsia" w:ascii="新宋体" w:hAnsi="新宋体" w:eastAsia="新宋体" w:cs="新宋体"/>
          <w:color w:val="auto"/>
          <w:spacing w:val="-1"/>
          <w:kern w:val="0"/>
          <w:szCs w:val="21"/>
          <w:highlight w:val="none"/>
        </w:rPr>
        <w:t>年</w:t>
      </w:r>
      <w:r>
        <w:rPr>
          <w:rFonts w:hint="eastAsia" w:ascii="新宋体" w:hAnsi="新宋体" w:eastAsia="新宋体" w:cs="新宋体"/>
          <w:color w:val="auto"/>
          <w:kern w:val="0"/>
          <w:szCs w:val="21"/>
          <w:highlight w:val="none"/>
        </w:rPr>
        <w:t>龄：</w:t>
      </w:r>
      <w:r>
        <w:rPr>
          <w:rFonts w:hint="eastAsia" w:ascii="新宋体" w:hAnsi="新宋体" w:eastAsia="新宋体" w:cs="新宋体"/>
          <w:color w:val="auto"/>
          <w:kern w:val="0"/>
          <w:szCs w:val="21"/>
          <w:highlight w:val="none"/>
          <w:u w:val="single"/>
        </w:rPr>
        <w:t xml:space="preserve">       </w:t>
      </w:r>
      <w:r>
        <w:rPr>
          <w:rFonts w:hint="eastAsia" w:ascii="新宋体" w:hAnsi="新宋体" w:eastAsia="新宋体" w:cs="新宋体"/>
          <w:color w:val="auto"/>
          <w:kern w:val="0"/>
          <w:szCs w:val="21"/>
          <w:highlight w:val="none"/>
        </w:rPr>
        <w:t>职务：</w:t>
      </w:r>
      <w:r>
        <w:rPr>
          <w:rFonts w:hint="eastAsia" w:ascii="新宋体" w:hAnsi="新宋体" w:eastAsia="新宋体" w:cs="新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系</w:t>
      </w:r>
      <w:r>
        <w:rPr>
          <w:rFonts w:hint="eastAsia" w:ascii="新宋体" w:hAnsi="新宋体" w:eastAsia="新宋体" w:cs="新宋体"/>
          <w:color w:val="auto"/>
          <w:kern w:val="0"/>
          <w:szCs w:val="21"/>
          <w:highlight w:val="none"/>
          <w:u w:val="single"/>
        </w:rPr>
        <w:t xml:space="preserve">                                                         （投标人名称）</w:t>
      </w:r>
      <w:r>
        <w:rPr>
          <w:rFonts w:hint="eastAsia" w:ascii="新宋体" w:hAnsi="新宋体" w:eastAsia="新宋体" w:cs="新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特此证明。</w:t>
      </w:r>
    </w:p>
    <w:p>
      <w:pPr>
        <w:autoSpaceDE w:val="0"/>
        <w:autoSpaceDN w:val="0"/>
        <w:adjustRightInd w:val="0"/>
        <w:snapToGrid w:val="0"/>
        <w:spacing w:line="480" w:lineRule="auto"/>
        <w:ind w:firstLine="810" w:firstLineChars="386"/>
        <w:jc w:val="left"/>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附：法定代表人身份证扫描件（双面）</w:t>
      </w:r>
    </w:p>
    <w:p>
      <w:pPr>
        <w:autoSpaceDE w:val="0"/>
        <w:autoSpaceDN w:val="0"/>
        <w:adjustRightInd w:val="0"/>
        <w:snapToGrid w:val="0"/>
        <w:spacing w:line="360" w:lineRule="auto"/>
        <w:jc w:val="left"/>
        <w:rPr>
          <w:rFonts w:hint="eastAsia" w:ascii="新宋体" w:hAnsi="新宋体" w:eastAsia="新宋体" w:cs="新宋体"/>
          <w:color w:val="auto"/>
          <w:szCs w:val="21"/>
          <w:highlight w:val="none"/>
        </w:rPr>
      </w:pPr>
    </w:p>
    <w:p>
      <w:pPr>
        <w:pStyle w:val="18"/>
        <w:spacing w:after="0" w:line="360" w:lineRule="auto"/>
        <w:rPr>
          <w:rFonts w:hint="eastAsia" w:ascii="新宋体" w:hAnsi="新宋体" w:eastAsia="新宋体" w:cs="新宋体"/>
          <w:color w:val="auto"/>
          <w:szCs w:val="21"/>
          <w:highlight w:val="none"/>
        </w:rPr>
      </w:pPr>
    </w:p>
    <w:p>
      <w:pPr>
        <w:pStyle w:val="18"/>
        <w:spacing w:after="0" w:line="360" w:lineRule="auto"/>
        <w:rPr>
          <w:rFonts w:hint="eastAsia" w:ascii="新宋体" w:hAnsi="新宋体" w:eastAsia="新宋体" w:cs="新宋体"/>
          <w:color w:val="auto"/>
          <w:szCs w:val="21"/>
          <w:highlight w:val="none"/>
        </w:rPr>
      </w:pPr>
    </w:p>
    <w:p>
      <w:pPr>
        <w:pStyle w:val="18"/>
        <w:spacing w:after="0" w:line="360" w:lineRule="auto"/>
        <w:rPr>
          <w:rFonts w:hint="eastAsia" w:ascii="新宋体" w:hAnsi="新宋体" w:eastAsia="新宋体" w:cs="新宋体"/>
          <w:color w:val="auto"/>
          <w:szCs w:val="21"/>
          <w:highlight w:val="none"/>
        </w:rPr>
      </w:pPr>
    </w:p>
    <w:p>
      <w:pPr>
        <w:pStyle w:val="18"/>
        <w:spacing w:after="0" w:line="360" w:lineRule="auto"/>
        <w:rPr>
          <w:rFonts w:hint="eastAsia" w:ascii="新宋体" w:hAnsi="新宋体" w:eastAsia="新宋体" w:cs="新宋体"/>
          <w:color w:val="auto"/>
          <w:szCs w:val="21"/>
          <w:highlight w:val="none"/>
        </w:rPr>
      </w:pPr>
    </w:p>
    <w:p>
      <w:pPr>
        <w:tabs>
          <w:tab w:val="left" w:pos="5475"/>
        </w:tabs>
        <w:autoSpaceDE w:val="0"/>
        <w:autoSpaceDN w:val="0"/>
        <w:adjustRightInd w:val="0"/>
        <w:snapToGrid w:val="0"/>
        <w:spacing w:line="480" w:lineRule="auto"/>
        <w:ind w:firstLine="372" w:firstLineChars="186"/>
        <w:jc w:val="left"/>
        <w:rPr>
          <w:rFonts w:hint="eastAsia" w:ascii="新宋体" w:hAnsi="新宋体" w:eastAsia="新宋体" w:cs="新宋体"/>
          <w:color w:val="auto"/>
          <w:kern w:val="0"/>
          <w:sz w:val="20"/>
          <w:szCs w:val="20"/>
          <w:highlight w:val="none"/>
        </w:rPr>
      </w:pPr>
    </w:p>
    <w:p>
      <w:pPr>
        <w:tabs>
          <w:tab w:val="left" w:pos="5460"/>
        </w:tabs>
        <w:autoSpaceDE w:val="0"/>
        <w:autoSpaceDN w:val="0"/>
        <w:adjustRightInd w:val="0"/>
        <w:snapToGrid w:val="0"/>
        <w:spacing w:line="480" w:lineRule="auto"/>
        <w:ind w:firstLine="2100"/>
        <w:jc w:val="right"/>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投标</w:t>
      </w:r>
      <w:r>
        <w:rPr>
          <w:rFonts w:hint="eastAsia" w:ascii="新宋体" w:hAnsi="新宋体" w:eastAsia="新宋体" w:cs="新宋体"/>
          <w:color w:val="auto"/>
          <w:spacing w:val="-1"/>
          <w:kern w:val="0"/>
          <w:szCs w:val="21"/>
          <w:highlight w:val="none"/>
        </w:rPr>
        <w:t>人</w:t>
      </w:r>
      <w:r>
        <w:rPr>
          <w:rFonts w:hint="eastAsia" w:ascii="新宋体" w:hAnsi="新宋体" w:eastAsia="新宋体" w:cs="新宋体"/>
          <w:color w:val="auto"/>
          <w:kern w:val="0"/>
          <w:szCs w:val="21"/>
          <w:highlight w:val="none"/>
        </w:rPr>
        <w:t>：</w:t>
      </w:r>
      <w:r>
        <w:rPr>
          <w:rFonts w:hint="eastAsia" w:ascii="新宋体" w:hAnsi="新宋体" w:eastAsia="新宋体" w:cs="新宋体"/>
          <w:color w:val="auto"/>
          <w:w w:val="200"/>
          <w:kern w:val="0"/>
          <w:szCs w:val="21"/>
          <w:highlight w:val="none"/>
          <w:u w:val="single"/>
        </w:rPr>
        <w:t xml:space="preserve">              </w:t>
      </w:r>
      <w:r>
        <w:rPr>
          <w:rFonts w:hint="eastAsia" w:ascii="新宋体" w:hAnsi="新宋体" w:eastAsia="新宋体" w:cs="新宋体"/>
          <w:color w:val="auto"/>
          <w:kern w:val="0"/>
          <w:szCs w:val="21"/>
          <w:highlight w:val="none"/>
          <w:u w:val="single"/>
        </w:rPr>
        <w:tab/>
      </w:r>
      <w:r>
        <w:rPr>
          <w:rFonts w:hint="eastAsia" w:ascii="新宋体" w:hAnsi="新宋体" w:eastAsia="新宋体" w:cs="新宋体"/>
          <w:color w:val="auto"/>
          <w:spacing w:val="-1"/>
          <w:kern w:val="0"/>
          <w:szCs w:val="21"/>
          <w:highlight w:val="none"/>
        </w:rPr>
        <w:t>（</w:t>
      </w:r>
      <w:r>
        <w:rPr>
          <w:rFonts w:hint="eastAsia" w:ascii="新宋体" w:hAnsi="新宋体" w:eastAsia="新宋体" w:cs="新宋体"/>
          <w:color w:val="auto"/>
          <w:kern w:val="0"/>
          <w:szCs w:val="21"/>
          <w:highlight w:val="none"/>
        </w:rPr>
        <w:t>盖单位法人章）</w:t>
      </w:r>
    </w:p>
    <w:p>
      <w:pPr>
        <w:autoSpaceDE w:val="0"/>
        <w:autoSpaceDN w:val="0"/>
        <w:adjustRightInd w:val="0"/>
        <w:snapToGrid w:val="0"/>
        <w:spacing w:line="480" w:lineRule="auto"/>
        <w:jc w:val="left"/>
        <w:rPr>
          <w:rFonts w:hint="eastAsia" w:ascii="新宋体" w:hAnsi="新宋体" w:eastAsia="新宋体" w:cs="新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新宋体" w:hAnsi="新宋体" w:eastAsia="新宋体" w:cs="新宋体"/>
          <w:color w:val="auto"/>
          <w:kern w:val="0"/>
          <w:szCs w:val="21"/>
          <w:highlight w:val="none"/>
        </w:rPr>
      </w:pPr>
      <w:r>
        <w:rPr>
          <w:rFonts w:hint="eastAsia" w:ascii="新宋体" w:hAnsi="新宋体" w:eastAsia="新宋体" w:cs="新宋体"/>
          <w:color w:val="auto"/>
          <w:w w:val="200"/>
          <w:kern w:val="0"/>
          <w:szCs w:val="21"/>
          <w:highlight w:val="none"/>
          <w:u w:val="single"/>
        </w:rPr>
        <w:t xml:space="preserve">      </w:t>
      </w:r>
      <w:r>
        <w:rPr>
          <w:rFonts w:hint="eastAsia" w:ascii="新宋体" w:hAnsi="新宋体" w:eastAsia="新宋体" w:cs="新宋体"/>
          <w:color w:val="auto"/>
          <w:kern w:val="0"/>
          <w:szCs w:val="21"/>
          <w:highlight w:val="none"/>
        </w:rPr>
        <w:t>年</w:t>
      </w:r>
      <w:r>
        <w:rPr>
          <w:rFonts w:hint="eastAsia" w:ascii="新宋体" w:hAnsi="新宋体" w:eastAsia="新宋体" w:cs="新宋体"/>
          <w:color w:val="auto"/>
          <w:w w:val="200"/>
          <w:kern w:val="0"/>
          <w:szCs w:val="21"/>
          <w:highlight w:val="none"/>
          <w:u w:val="single"/>
        </w:rPr>
        <w:t xml:space="preserve"> </w:t>
      </w:r>
      <w:r>
        <w:rPr>
          <w:rFonts w:hint="eastAsia" w:ascii="新宋体" w:hAnsi="新宋体" w:eastAsia="新宋体" w:cs="新宋体"/>
          <w:color w:val="auto"/>
          <w:kern w:val="0"/>
          <w:szCs w:val="21"/>
          <w:highlight w:val="none"/>
          <w:u w:val="single"/>
        </w:rPr>
        <w:t xml:space="preserve">     </w:t>
      </w:r>
      <w:r>
        <w:rPr>
          <w:rFonts w:hint="eastAsia" w:ascii="新宋体" w:hAnsi="新宋体" w:eastAsia="新宋体" w:cs="新宋体"/>
          <w:color w:val="auto"/>
          <w:kern w:val="0"/>
          <w:szCs w:val="21"/>
          <w:highlight w:val="none"/>
        </w:rPr>
        <w:t>月</w:t>
      </w:r>
      <w:r>
        <w:rPr>
          <w:rFonts w:hint="eastAsia" w:ascii="新宋体" w:hAnsi="新宋体" w:eastAsia="新宋体" w:cs="新宋体"/>
          <w:color w:val="auto"/>
          <w:w w:val="200"/>
          <w:kern w:val="0"/>
          <w:szCs w:val="21"/>
          <w:highlight w:val="none"/>
          <w:u w:val="single"/>
        </w:rPr>
        <w:t xml:space="preserve"> </w:t>
      </w:r>
      <w:r>
        <w:rPr>
          <w:rFonts w:hint="eastAsia" w:ascii="新宋体" w:hAnsi="新宋体" w:eastAsia="新宋体" w:cs="新宋体"/>
          <w:color w:val="auto"/>
          <w:kern w:val="0"/>
          <w:szCs w:val="21"/>
          <w:highlight w:val="none"/>
          <w:u w:val="single"/>
        </w:rPr>
        <w:t xml:space="preserve">     </w:t>
      </w:r>
      <w:r>
        <w:rPr>
          <w:rFonts w:hint="eastAsia" w:ascii="新宋体" w:hAnsi="新宋体" w:eastAsia="新宋体" w:cs="新宋体"/>
          <w:color w:val="auto"/>
          <w:kern w:val="0"/>
          <w:szCs w:val="21"/>
          <w:highlight w:val="none"/>
        </w:rPr>
        <w:t xml:space="preserve">日  </w:t>
      </w:r>
    </w:p>
    <w:p>
      <w:pPr>
        <w:autoSpaceDE w:val="0"/>
        <w:autoSpaceDN w:val="0"/>
        <w:adjustRightInd w:val="0"/>
        <w:snapToGrid w:val="0"/>
        <w:spacing w:line="360" w:lineRule="auto"/>
        <w:jc w:val="left"/>
        <w:rPr>
          <w:rFonts w:hint="eastAsia" w:ascii="新宋体" w:hAnsi="新宋体" w:eastAsia="新宋体" w:cs="新宋体"/>
          <w:color w:val="auto"/>
          <w:kern w:val="0"/>
          <w:highlight w:val="none"/>
        </w:rPr>
      </w:pPr>
    </w:p>
    <w:p>
      <w:pPr>
        <w:autoSpaceDE w:val="0"/>
        <w:autoSpaceDN w:val="0"/>
        <w:adjustRightInd w:val="0"/>
        <w:snapToGrid w:val="0"/>
        <w:spacing w:line="360" w:lineRule="auto"/>
        <w:jc w:val="left"/>
        <w:rPr>
          <w:rFonts w:hint="eastAsia" w:ascii="新宋体" w:hAnsi="新宋体" w:eastAsia="新宋体" w:cs="新宋体"/>
          <w:color w:val="auto"/>
          <w:kern w:val="0"/>
          <w:highlight w:val="none"/>
        </w:rPr>
      </w:pPr>
    </w:p>
    <w:p>
      <w:pPr>
        <w:spacing w:line="360" w:lineRule="auto"/>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注：法定代表人身份证明需按上述格式填写完整，不可缺少内容。在此基础上增加内容的不影响其有效性。</w:t>
      </w:r>
    </w:p>
    <w:p>
      <w:pPr>
        <w:spacing w:line="360" w:lineRule="auto"/>
        <w:ind w:firstLine="420" w:firstLineChars="200"/>
        <w:rPr>
          <w:rFonts w:hint="eastAsia" w:ascii="新宋体" w:hAnsi="新宋体" w:eastAsia="新宋体" w:cs="新宋体"/>
          <w:color w:val="auto"/>
          <w:highlight w:val="none"/>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新宋体" w:hAnsi="新宋体" w:eastAsia="新宋体" w:cs="新宋体"/>
          <w:color w:val="auto"/>
          <w:kern w:val="0"/>
          <w:sz w:val="28"/>
          <w:szCs w:val="28"/>
          <w:highlight w:val="none"/>
        </w:rPr>
      </w:pPr>
      <w:r>
        <w:rPr>
          <w:rFonts w:hint="eastAsia" w:ascii="新宋体" w:hAnsi="新宋体" w:eastAsia="新宋体" w:cs="新宋体"/>
          <w:color w:val="auto"/>
          <w:kern w:val="0"/>
          <w:highlight w:val="none"/>
        </w:rPr>
        <w:br w:type="page"/>
      </w:r>
      <w:r>
        <w:rPr>
          <w:rFonts w:hint="eastAsia" w:ascii="新宋体" w:hAnsi="新宋体" w:eastAsia="新宋体" w:cs="新宋体"/>
          <w:snapToGrid w:val="0"/>
          <w:color w:val="auto"/>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本人</w:t>
      </w:r>
      <w:r>
        <w:rPr>
          <w:rFonts w:hint="eastAsia" w:ascii="新宋体" w:hAnsi="新宋体" w:eastAsia="新宋体" w:cs="新宋体"/>
          <w:color w:val="auto"/>
          <w:w w:val="200"/>
          <w:kern w:val="0"/>
          <w:szCs w:val="21"/>
          <w:highlight w:val="none"/>
          <w:u w:val="single"/>
        </w:rPr>
        <w:t xml:space="preserve">    </w:t>
      </w:r>
      <w:r>
        <w:rPr>
          <w:rFonts w:hint="eastAsia" w:ascii="新宋体" w:hAnsi="新宋体" w:eastAsia="新宋体" w:cs="新宋体"/>
          <w:color w:val="auto"/>
          <w:kern w:val="0"/>
          <w:szCs w:val="21"/>
          <w:highlight w:val="none"/>
          <w:u w:val="single"/>
        </w:rPr>
        <w:t>（姓名）</w:t>
      </w:r>
      <w:r>
        <w:rPr>
          <w:rFonts w:hint="eastAsia" w:ascii="新宋体" w:hAnsi="新宋体" w:eastAsia="新宋体" w:cs="新宋体"/>
          <w:color w:val="auto"/>
          <w:kern w:val="0"/>
          <w:szCs w:val="21"/>
          <w:highlight w:val="none"/>
        </w:rPr>
        <w:t>系</w:t>
      </w:r>
      <w:r>
        <w:rPr>
          <w:rFonts w:hint="eastAsia" w:ascii="新宋体" w:hAnsi="新宋体" w:eastAsia="新宋体" w:cs="新宋体"/>
          <w:color w:val="auto"/>
          <w:w w:val="200"/>
          <w:kern w:val="0"/>
          <w:szCs w:val="21"/>
          <w:highlight w:val="none"/>
          <w:u w:val="single"/>
        </w:rPr>
        <w:t xml:space="preserve">        </w:t>
      </w:r>
      <w:r>
        <w:rPr>
          <w:rFonts w:hint="eastAsia" w:ascii="新宋体" w:hAnsi="新宋体" w:eastAsia="新宋体" w:cs="新宋体"/>
          <w:color w:val="auto"/>
          <w:kern w:val="0"/>
          <w:szCs w:val="21"/>
          <w:highlight w:val="none"/>
          <w:u w:val="single"/>
        </w:rPr>
        <w:t>（</w:t>
      </w:r>
      <w:r>
        <w:rPr>
          <w:rFonts w:hint="eastAsia" w:ascii="新宋体" w:hAnsi="新宋体" w:eastAsia="新宋体" w:cs="新宋体"/>
          <w:color w:val="auto"/>
          <w:spacing w:val="-1"/>
          <w:kern w:val="0"/>
          <w:szCs w:val="21"/>
          <w:highlight w:val="none"/>
          <w:u w:val="single"/>
        </w:rPr>
        <w:t>投</w:t>
      </w:r>
      <w:r>
        <w:rPr>
          <w:rFonts w:hint="eastAsia" w:ascii="新宋体" w:hAnsi="新宋体" w:eastAsia="新宋体" w:cs="新宋体"/>
          <w:color w:val="auto"/>
          <w:kern w:val="0"/>
          <w:szCs w:val="21"/>
          <w:highlight w:val="none"/>
          <w:u w:val="single"/>
        </w:rPr>
        <w:t>标人名称</w:t>
      </w:r>
      <w:r>
        <w:rPr>
          <w:rFonts w:hint="eastAsia" w:ascii="新宋体" w:hAnsi="新宋体" w:eastAsia="新宋体" w:cs="新宋体"/>
          <w:color w:val="auto"/>
          <w:spacing w:val="1"/>
          <w:kern w:val="0"/>
          <w:szCs w:val="21"/>
          <w:highlight w:val="none"/>
          <w:u w:val="single"/>
        </w:rPr>
        <w:t>）</w:t>
      </w:r>
      <w:r>
        <w:rPr>
          <w:rFonts w:hint="eastAsia" w:ascii="新宋体" w:hAnsi="新宋体" w:eastAsia="新宋体" w:cs="新宋体"/>
          <w:color w:val="auto"/>
          <w:kern w:val="0"/>
          <w:szCs w:val="21"/>
          <w:highlight w:val="none"/>
        </w:rPr>
        <w:t>的法定代</w:t>
      </w:r>
      <w:r>
        <w:rPr>
          <w:rFonts w:hint="eastAsia" w:ascii="新宋体" w:hAnsi="新宋体" w:eastAsia="新宋体" w:cs="新宋体"/>
          <w:color w:val="auto"/>
          <w:spacing w:val="1"/>
          <w:kern w:val="0"/>
          <w:szCs w:val="21"/>
          <w:highlight w:val="none"/>
        </w:rPr>
        <w:t>表</w:t>
      </w:r>
      <w:r>
        <w:rPr>
          <w:rFonts w:hint="eastAsia" w:ascii="新宋体" w:hAnsi="新宋体" w:eastAsia="新宋体" w:cs="新宋体"/>
          <w:color w:val="auto"/>
          <w:kern w:val="0"/>
          <w:szCs w:val="21"/>
          <w:highlight w:val="none"/>
        </w:rPr>
        <w:t>人，现委托</w:t>
      </w:r>
      <w:r>
        <w:rPr>
          <w:rFonts w:hint="eastAsia" w:ascii="新宋体" w:hAnsi="新宋体" w:eastAsia="新宋体" w:cs="新宋体"/>
          <w:color w:val="auto"/>
          <w:w w:val="200"/>
          <w:kern w:val="0"/>
          <w:szCs w:val="21"/>
          <w:highlight w:val="none"/>
          <w:u w:val="single"/>
        </w:rPr>
        <w:t xml:space="preserve">    </w:t>
      </w:r>
      <w:r>
        <w:rPr>
          <w:rFonts w:hint="eastAsia" w:ascii="新宋体" w:hAnsi="新宋体" w:eastAsia="新宋体" w:cs="新宋体"/>
          <w:color w:val="auto"/>
          <w:kern w:val="0"/>
          <w:szCs w:val="21"/>
          <w:highlight w:val="none"/>
          <w:u w:val="single"/>
        </w:rPr>
        <w:t>（姓名）</w:t>
      </w:r>
      <w:r>
        <w:rPr>
          <w:rFonts w:hint="eastAsia" w:ascii="新宋体" w:hAnsi="新宋体" w:eastAsia="新宋体" w:cs="新宋体"/>
          <w:color w:val="auto"/>
          <w:kern w:val="0"/>
          <w:szCs w:val="21"/>
          <w:highlight w:val="none"/>
        </w:rPr>
        <w:t>为我方代理人。代理人根据授权，以我方名义签署、澄清、说明、补正、递交、撤回、 修改</w:t>
      </w:r>
      <w:r>
        <w:rPr>
          <w:rFonts w:hint="eastAsia" w:ascii="新宋体" w:hAnsi="新宋体" w:eastAsia="新宋体" w:cs="新宋体"/>
          <w:color w:val="auto"/>
          <w:w w:val="200"/>
          <w:kern w:val="0"/>
          <w:szCs w:val="21"/>
          <w:highlight w:val="none"/>
          <w:u w:val="single"/>
        </w:rPr>
        <w:t xml:space="preserve">        </w:t>
      </w:r>
      <w:r>
        <w:rPr>
          <w:rFonts w:hint="eastAsia" w:ascii="新宋体" w:hAnsi="新宋体" w:eastAsia="新宋体" w:cs="新宋体"/>
          <w:color w:val="auto"/>
          <w:kern w:val="0"/>
          <w:szCs w:val="21"/>
          <w:highlight w:val="none"/>
          <w:u w:val="single"/>
        </w:rPr>
        <w:t>（项</w:t>
      </w:r>
      <w:r>
        <w:rPr>
          <w:rFonts w:hint="eastAsia" w:ascii="新宋体" w:hAnsi="新宋体" w:eastAsia="新宋体" w:cs="新宋体"/>
          <w:color w:val="auto"/>
          <w:spacing w:val="-1"/>
          <w:kern w:val="0"/>
          <w:szCs w:val="21"/>
          <w:highlight w:val="none"/>
          <w:u w:val="single"/>
        </w:rPr>
        <w:t>目</w:t>
      </w:r>
      <w:r>
        <w:rPr>
          <w:rFonts w:hint="eastAsia" w:ascii="新宋体" w:hAnsi="新宋体" w:eastAsia="新宋体" w:cs="新宋体"/>
          <w:color w:val="auto"/>
          <w:kern w:val="0"/>
          <w:szCs w:val="21"/>
          <w:highlight w:val="none"/>
          <w:u w:val="single"/>
        </w:rPr>
        <w:t>名称）</w:t>
      </w:r>
      <w:r>
        <w:rPr>
          <w:rFonts w:hint="eastAsia" w:ascii="新宋体" w:hAnsi="新宋体" w:eastAsia="新宋体" w:cs="新宋体"/>
          <w:color w:val="auto"/>
          <w:kern w:val="0"/>
          <w:szCs w:val="21"/>
          <w:highlight w:val="none"/>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委托</w:t>
      </w:r>
      <w:r>
        <w:rPr>
          <w:rFonts w:hint="eastAsia" w:ascii="新宋体" w:hAnsi="新宋体" w:eastAsia="新宋体" w:cs="新宋体"/>
          <w:color w:val="auto"/>
          <w:spacing w:val="-1"/>
          <w:kern w:val="0"/>
          <w:szCs w:val="21"/>
          <w:highlight w:val="none"/>
        </w:rPr>
        <w:t>期</w:t>
      </w:r>
      <w:r>
        <w:rPr>
          <w:rFonts w:hint="eastAsia" w:ascii="新宋体" w:hAnsi="新宋体" w:eastAsia="新宋体" w:cs="新宋体"/>
          <w:color w:val="auto"/>
          <w:kern w:val="0"/>
          <w:szCs w:val="21"/>
          <w:highlight w:val="none"/>
        </w:rPr>
        <w:t>限：</w:t>
      </w:r>
      <w:r>
        <w:rPr>
          <w:rFonts w:hint="eastAsia" w:ascii="新宋体" w:hAnsi="新宋体" w:eastAsia="新宋体" w:cs="新宋体"/>
          <w:color w:val="auto"/>
          <w:w w:val="200"/>
          <w:kern w:val="0"/>
          <w:szCs w:val="21"/>
          <w:highlight w:val="none"/>
          <w:u w:val="single"/>
        </w:rPr>
        <w:t xml:space="preserve">        </w:t>
      </w:r>
      <w:r>
        <w:rPr>
          <w:rFonts w:hint="eastAsia" w:ascii="新宋体" w:hAnsi="新宋体" w:eastAsia="新宋体" w:cs="新宋体"/>
          <w:color w:val="auto"/>
          <w:kern w:val="0"/>
          <w:szCs w:val="21"/>
          <w:highlight w:val="none"/>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新宋体" w:hAnsi="新宋体" w:eastAsia="新宋体" w:cs="新宋体"/>
          <w:color w:val="auto"/>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投  标  人：</w:t>
      </w:r>
      <w:r>
        <w:rPr>
          <w:rFonts w:hint="eastAsia" w:ascii="新宋体" w:hAnsi="新宋体" w:eastAsia="新宋体" w:cs="新宋体"/>
          <w:color w:val="auto"/>
          <w:w w:val="200"/>
          <w:kern w:val="0"/>
          <w:szCs w:val="21"/>
          <w:highlight w:val="none"/>
          <w:u w:val="single"/>
        </w:rPr>
        <w:t xml:space="preserve">                           </w:t>
      </w:r>
      <w:r>
        <w:rPr>
          <w:rFonts w:hint="eastAsia" w:ascii="新宋体" w:hAnsi="新宋体" w:eastAsia="新宋体" w:cs="新宋体"/>
          <w:color w:val="auto"/>
          <w:kern w:val="0"/>
          <w:szCs w:val="21"/>
          <w:highlight w:val="none"/>
        </w:rPr>
        <w:t>（</w:t>
      </w:r>
      <w:r>
        <w:rPr>
          <w:rFonts w:hint="eastAsia" w:ascii="新宋体" w:hAnsi="新宋体" w:eastAsia="新宋体" w:cs="新宋体"/>
          <w:color w:val="auto"/>
          <w:spacing w:val="-1"/>
          <w:kern w:val="0"/>
          <w:szCs w:val="21"/>
          <w:highlight w:val="none"/>
        </w:rPr>
        <w:t>盖单位法人章</w:t>
      </w:r>
      <w:r>
        <w:rPr>
          <w:rFonts w:hint="eastAsia" w:ascii="新宋体" w:hAnsi="新宋体" w:eastAsia="新宋体" w:cs="新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法定代表人：</w:t>
      </w:r>
      <w:r>
        <w:rPr>
          <w:rFonts w:hint="eastAsia" w:ascii="新宋体" w:hAnsi="新宋体" w:eastAsia="新宋体" w:cs="新宋体"/>
          <w:color w:val="auto"/>
          <w:w w:val="200"/>
          <w:kern w:val="0"/>
          <w:szCs w:val="21"/>
          <w:highlight w:val="none"/>
          <w:u w:val="single"/>
        </w:rPr>
        <w:t xml:space="preserve">                           </w:t>
      </w:r>
      <w:r>
        <w:rPr>
          <w:rFonts w:hint="eastAsia" w:ascii="新宋体" w:hAnsi="新宋体" w:eastAsia="新宋体" w:cs="新宋体"/>
          <w:color w:val="auto"/>
          <w:kern w:val="0"/>
          <w:szCs w:val="21"/>
          <w:highlight w:val="none"/>
        </w:rPr>
        <w:t>（签名或盖章）</w:t>
      </w:r>
    </w:p>
    <w:p>
      <w:pPr>
        <w:tabs>
          <w:tab w:val="left" w:pos="5260"/>
        </w:tabs>
        <w:autoSpaceDE w:val="0"/>
        <w:autoSpaceDN w:val="0"/>
        <w:adjustRightInd w:val="0"/>
        <w:snapToGrid w:val="0"/>
        <w:spacing w:line="480" w:lineRule="auto"/>
        <w:ind w:firstLine="420" w:firstLineChars="200"/>
        <w:jc w:val="left"/>
        <w:rPr>
          <w:rFonts w:hint="eastAsia" w:ascii="新宋体" w:hAnsi="新宋体" w:eastAsia="新宋体" w:cs="新宋体"/>
          <w:color w:val="auto"/>
          <w:kern w:val="0"/>
          <w:szCs w:val="21"/>
          <w:highlight w:val="none"/>
          <w:u w:val="single"/>
        </w:rPr>
      </w:pPr>
      <w:r>
        <w:rPr>
          <w:rFonts w:hint="eastAsia" w:ascii="新宋体" w:hAnsi="新宋体" w:eastAsia="新宋体" w:cs="新宋体"/>
          <w:color w:val="auto"/>
          <w:kern w:val="0"/>
          <w:szCs w:val="21"/>
          <w:highlight w:val="none"/>
        </w:rPr>
        <w:t>身份证号码：</w:t>
      </w:r>
      <w:r>
        <w:rPr>
          <w:rFonts w:hint="eastAsia" w:ascii="新宋体" w:hAnsi="新宋体" w:eastAsia="新宋体" w:cs="新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委托代理人：</w:t>
      </w:r>
      <w:r>
        <w:rPr>
          <w:rFonts w:hint="eastAsia" w:ascii="新宋体" w:hAnsi="新宋体" w:eastAsia="新宋体" w:cs="新宋体"/>
          <w:color w:val="auto"/>
          <w:w w:val="200"/>
          <w:kern w:val="0"/>
          <w:szCs w:val="21"/>
          <w:highlight w:val="none"/>
          <w:u w:val="single"/>
        </w:rPr>
        <w:t xml:space="preserve">                           </w:t>
      </w:r>
      <w:r>
        <w:rPr>
          <w:rFonts w:hint="eastAsia" w:ascii="新宋体" w:hAnsi="新宋体" w:eastAsia="新宋体" w:cs="新宋体"/>
          <w:color w:val="auto"/>
          <w:kern w:val="0"/>
          <w:szCs w:val="21"/>
          <w:highlight w:val="none"/>
        </w:rPr>
        <w:t>（签名）</w:t>
      </w:r>
    </w:p>
    <w:p>
      <w:pPr>
        <w:tabs>
          <w:tab w:val="left" w:pos="6825"/>
        </w:tabs>
        <w:autoSpaceDE w:val="0"/>
        <w:autoSpaceDN w:val="0"/>
        <w:adjustRightInd w:val="0"/>
        <w:snapToGrid w:val="0"/>
        <w:spacing w:line="480" w:lineRule="auto"/>
        <w:ind w:firstLine="420" w:firstLineChars="200"/>
        <w:jc w:val="left"/>
        <w:rPr>
          <w:rFonts w:hint="eastAsia" w:ascii="新宋体" w:hAnsi="新宋体" w:eastAsia="新宋体" w:cs="新宋体"/>
          <w:color w:val="auto"/>
          <w:w w:val="200"/>
          <w:kern w:val="0"/>
          <w:szCs w:val="21"/>
          <w:highlight w:val="none"/>
          <w:u w:val="single"/>
        </w:rPr>
      </w:pPr>
      <w:r>
        <w:rPr>
          <w:rFonts w:hint="eastAsia" w:ascii="新宋体" w:hAnsi="新宋体" w:eastAsia="新宋体" w:cs="新宋体"/>
          <w:color w:val="auto"/>
          <w:kern w:val="0"/>
          <w:szCs w:val="21"/>
          <w:highlight w:val="none"/>
        </w:rPr>
        <w:t>身份证号码：</w:t>
      </w:r>
      <w:r>
        <w:rPr>
          <w:rFonts w:hint="eastAsia" w:ascii="新宋体" w:hAnsi="新宋体" w:eastAsia="新宋体" w:cs="新宋体"/>
          <w:color w:val="auto"/>
          <w:w w:val="200"/>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新宋体" w:hAnsi="新宋体" w:eastAsia="新宋体" w:cs="新宋体"/>
          <w:color w:val="auto"/>
          <w:kern w:val="0"/>
          <w:szCs w:val="21"/>
          <w:highlight w:val="none"/>
          <w:u w:val="single"/>
        </w:rPr>
      </w:pPr>
      <w:r>
        <w:rPr>
          <w:rFonts w:hint="eastAsia" w:ascii="新宋体" w:hAnsi="新宋体" w:eastAsia="新宋体" w:cs="新宋体"/>
          <w:color w:val="auto"/>
          <w:kern w:val="0"/>
          <w:szCs w:val="21"/>
          <w:highlight w:val="none"/>
        </w:rPr>
        <w:t>单位电话（座机）：</w:t>
      </w:r>
      <w:r>
        <w:rPr>
          <w:rFonts w:hint="eastAsia" w:ascii="新宋体" w:hAnsi="新宋体" w:eastAsia="新宋体" w:cs="新宋体"/>
          <w:color w:val="auto"/>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 xml:space="preserve">委托代理人电话（手机）：                                          </w:t>
      </w:r>
    </w:p>
    <w:p>
      <w:pPr>
        <w:autoSpaceDE w:val="0"/>
        <w:autoSpaceDN w:val="0"/>
        <w:adjustRightInd w:val="0"/>
        <w:snapToGrid w:val="0"/>
        <w:spacing w:line="480" w:lineRule="auto"/>
        <w:ind w:firstLine="810" w:firstLineChars="386"/>
        <w:jc w:val="left"/>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新宋体" w:hAnsi="新宋体" w:eastAsia="新宋体" w:cs="新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新宋体" w:hAnsi="新宋体" w:eastAsia="新宋体" w:cs="新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新宋体" w:hAnsi="新宋体" w:eastAsia="新宋体" w:cs="新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新宋体" w:hAnsi="新宋体" w:eastAsia="新宋体" w:cs="新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新宋体" w:hAnsi="新宋体" w:eastAsia="新宋体" w:cs="新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新宋体" w:hAnsi="新宋体" w:eastAsia="新宋体" w:cs="新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新宋体" w:hAnsi="新宋体" w:eastAsia="新宋体" w:cs="新宋体"/>
          <w:color w:val="auto"/>
          <w:w w:val="200"/>
          <w:kern w:val="0"/>
          <w:szCs w:val="21"/>
          <w:highlight w:val="none"/>
          <w:u w:val="single"/>
        </w:rPr>
      </w:pPr>
    </w:p>
    <w:p>
      <w:pPr>
        <w:tabs>
          <w:tab w:val="left" w:pos="6825"/>
        </w:tabs>
        <w:autoSpaceDE w:val="0"/>
        <w:autoSpaceDN w:val="0"/>
        <w:adjustRightInd w:val="0"/>
        <w:snapToGrid w:val="0"/>
        <w:spacing w:line="480" w:lineRule="auto"/>
        <w:ind w:firstLine="420" w:firstLineChars="200"/>
        <w:jc w:val="left"/>
        <w:rPr>
          <w:rFonts w:hint="eastAsia" w:ascii="新宋体" w:hAnsi="新宋体" w:eastAsia="新宋体" w:cs="新宋体"/>
          <w:color w:val="auto"/>
          <w:kern w:val="0"/>
          <w:szCs w:val="21"/>
          <w:highlight w:val="none"/>
        </w:rPr>
      </w:pP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新宋体" w:hAnsi="新宋体" w:eastAsia="新宋体" w:cs="新宋体"/>
          <w:color w:val="auto"/>
          <w:kern w:val="0"/>
          <w:szCs w:val="21"/>
          <w:highlight w:val="none"/>
        </w:rPr>
      </w:pPr>
      <w:r>
        <w:rPr>
          <w:rFonts w:hint="eastAsia" w:ascii="新宋体" w:hAnsi="新宋体" w:eastAsia="新宋体" w:cs="新宋体"/>
          <w:color w:val="auto"/>
          <w:w w:val="200"/>
          <w:kern w:val="0"/>
          <w:szCs w:val="21"/>
          <w:highlight w:val="none"/>
          <w:u w:val="single"/>
        </w:rPr>
        <w:t xml:space="preserve">  </w:t>
      </w:r>
      <w:r>
        <w:rPr>
          <w:rFonts w:hint="eastAsia" w:ascii="新宋体" w:hAnsi="新宋体" w:eastAsia="新宋体" w:cs="新宋体"/>
          <w:color w:val="auto"/>
          <w:kern w:val="0"/>
          <w:szCs w:val="21"/>
          <w:highlight w:val="none"/>
        </w:rPr>
        <w:t>年</w:t>
      </w:r>
      <w:r>
        <w:rPr>
          <w:rFonts w:hint="eastAsia" w:ascii="新宋体" w:hAnsi="新宋体" w:eastAsia="新宋体" w:cs="新宋体"/>
          <w:color w:val="auto"/>
          <w:w w:val="200"/>
          <w:kern w:val="0"/>
          <w:szCs w:val="21"/>
          <w:highlight w:val="none"/>
          <w:u w:val="single"/>
        </w:rPr>
        <w:t xml:space="preserve">  </w:t>
      </w:r>
      <w:r>
        <w:rPr>
          <w:rFonts w:hint="eastAsia" w:ascii="新宋体" w:hAnsi="新宋体" w:eastAsia="新宋体" w:cs="新宋体"/>
          <w:color w:val="auto"/>
          <w:kern w:val="0"/>
          <w:szCs w:val="21"/>
          <w:highlight w:val="none"/>
        </w:rPr>
        <w:t>月</w:t>
      </w:r>
      <w:r>
        <w:rPr>
          <w:rFonts w:hint="eastAsia" w:ascii="新宋体" w:hAnsi="新宋体" w:eastAsia="新宋体" w:cs="新宋体"/>
          <w:color w:val="auto"/>
          <w:w w:val="200"/>
          <w:kern w:val="0"/>
          <w:szCs w:val="21"/>
          <w:highlight w:val="none"/>
          <w:u w:val="single"/>
        </w:rPr>
        <w:t xml:space="preserve">  </w:t>
      </w:r>
      <w:r>
        <w:rPr>
          <w:rFonts w:hint="eastAsia" w:ascii="新宋体" w:hAnsi="新宋体" w:eastAsia="新宋体" w:cs="新宋体"/>
          <w:color w:val="auto"/>
          <w:kern w:val="0"/>
          <w:szCs w:val="21"/>
          <w:highlight w:val="none"/>
        </w:rPr>
        <w:t xml:space="preserve">日 </w:t>
      </w:r>
    </w:p>
    <w:p>
      <w:pPr>
        <w:tabs>
          <w:tab w:val="left" w:pos="4005"/>
          <w:tab w:val="left" w:pos="4100"/>
          <w:tab w:val="left" w:pos="5040"/>
        </w:tabs>
        <w:autoSpaceDE w:val="0"/>
        <w:autoSpaceDN w:val="0"/>
        <w:adjustRightInd w:val="0"/>
        <w:snapToGrid w:val="0"/>
        <w:spacing w:line="360" w:lineRule="auto"/>
        <w:ind w:firstLine="3780"/>
        <w:jc w:val="right"/>
        <w:rPr>
          <w:rFonts w:hint="eastAsia" w:ascii="新宋体" w:hAnsi="新宋体" w:eastAsia="新宋体" w:cs="新宋体"/>
          <w:color w:val="auto"/>
          <w:kern w:val="0"/>
          <w:szCs w:val="21"/>
          <w:highlight w:val="none"/>
        </w:rPr>
      </w:pPr>
    </w:p>
    <w:p>
      <w:pPr>
        <w:tabs>
          <w:tab w:val="left" w:pos="5760"/>
        </w:tabs>
        <w:autoSpaceDE w:val="0"/>
        <w:autoSpaceDN w:val="0"/>
        <w:adjustRightInd w:val="0"/>
        <w:spacing w:line="360" w:lineRule="auto"/>
        <w:ind w:firstLine="420" w:firstLineChars="200"/>
        <w:rPr>
          <w:rFonts w:hint="eastAsia" w:ascii="新宋体" w:hAnsi="新宋体" w:eastAsia="新宋体" w:cs="新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1680"/>
          <w:tab w:val="left" w:pos="4215"/>
          <w:tab w:val="left" w:pos="4305"/>
          <w:tab w:val="left" w:pos="8000"/>
        </w:tabs>
        <w:autoSpaceDE w:val="0"/>
        <w:autoSpaceDN w:val="0"/>
        <w:adjustRightInd w:val="0"/>
        <w:snapToGrid w:val="0"/>
        <w:spacing w:line="360" w:lineRule="auto"/>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kern w:val="0"/>
          <w:szCs w:val="21"/>
          <w:highlight w:val="none"/>
        </w:rPr>
        <w:t>2.</w:t>
      </w:r>
      <w:r>
        <w:rPr>
          <w:rFonts w:hint="eastAsia" w:ascii="新宋体" w:hAnsi="新宋体" w:eastAsia="新宋体" w:cs="新宋体"/>
          <w:color w:val="auto"/>
          <w:highlight w:val="none"/>
        </w:rPr>
        <w:t>授权委托书需按上述格式填写完整，不可缺少内容。在此基础上增加内容的不影响其有效性。</w:t>
      </w:r>
    </w:p>
    <w:p>
      <w:pPr>
        <w:spacing w:line="360" w:lineRule="auto"/>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br w:type="page"/>
      </w:r>
    </w:p>
    <w:p>
      <w:pPr>
        <w:pStyle w:val="4"/>
        <w:spacing w:line="360" w:lineRule="auto"/>
        <w:jc w:val="center"/>
        <w:rPr>
          <w:rFonts w:hint="eastAsia" w:ascii="新宋体" w:hAnsi="新宋体" w:eastAsia="新宋体" w:cs="新宋体"/>
          <w:b w:val="0"/>
          <w:bCs w:val="0"/>
          <w:color w:val="auto"/>
          <w:sz w:val="44"/>
          <w:szCs w:val="44"/>
          <w:highlight w:val="none"/>
        </w:rPr>
      </w:pPr>
      <w:bookmarkStart w:id="649" w:name="_Toc224103500"/>
      <w:bookmarkStart w:id="650" w:name="_Toc287620819"/>
      <w:bookmarkStart w:id="651" w:name="_Toc430530534"/>
      <w:bookmarkStart w:id="652" w:name="_Toc57820653"/>
      <w:bookmarkStart w:id="653" w:name="_Toc287607872"/>
      <w:r>
        <w:rPr>
          <w:rFonts w:hint="eastAsia" w:ascii="新宋体" w:hAnsi="新宋体" w:eastAsia="新宋体" w:cs="新宋体"/>
          <w:b w:val="0"/>
          <w:bCs w:val="0"/>
          <w:color w:val="auto"/>
          <w:sz w:val="44"/>
          <w:szCs w:val="44"/>
          <w:highlight w:val="none"/>
        </w:rPr>
        <w:t>二、经济部分</w:t>
      </w:r>
      <w:bookmarkEnd w:id="649"/>
      <w:bookmarkEnd w:id="650"/>
      <w:bookmarkEnd w:id="651"/>
      <w:bookmarkEnd w:id="652"/>
      <w:bookmarkEnd w:id="653"/>
    </w:p>
    <w:p>
      <w:pPr>
        <w:spacing w:line="360" w:lineRule="auto"/>
        <w:jc w:val="center"/>
        <w:rPr>
          <w:rFonts w:hint="eastAsia" w:ascii="新宋体" w:hAnsi="新宋体" w:eastAsia="新宋体" w:cs="新宋体"/>
          <w:color w:val="auto"/>
          <w:kern w:val="0"/>
          <w:sz w:val="32"/>
          <w:szCs w:val="32"/>
          <w:highlight w:val="none"/>
        </w:rPr>
      </w:pPr>
      <w:r>
        <w:rPr>
          <w:rFonts w:hint="eastAsia" w:ascii="新宋体" w:hAnsi="新宋体" w:eastAsia="新宋体" w:cs="新宋体"/>
          <w:color w:val="auto"/>
          <w:kern w:val="0"/>
          <w:sz w:val="28"/>
          <w:szCs w:val="28"/>
          <w:highlight w:val="none"/>
        </w:rPr>
        <w:br w:type="page"/>
      </w:r>
      <w:r>
        <w:rPr>
          <w:rFonts w:hint="eastAsia" w:ascii="新宋体" w:hAnsi="新宋体" w:eastAsia="新宋体" w:cs="新宋体"/>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hint="eastAsia" w:ascii="新宋体" w:hAnsi="新宋体" w:eastAsia="新宋体" w:cs="新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新宋体" w:hAnsi="新宋体" w:eastAsia="新宋体" w:cs="新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新宋体" w:hAnsi="新宋体" w:eastAsia="新宋体" w:cs="新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新宋体" w:hAnsi="新宋体" w:eastAsia="新宋体" w:cs="新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新宋体" w:hAnsi="新宋体" w:eastAsia="新宋体" w:cs="新宋体"/>
          <w:color w:val="auto"/>
          <w:kern w:val="0"/>
          <w:sz w:val="72"/>
          <w:szCs w:val="72"/>
          <w:highlight w:val="none"/>
        </w:rPr>
      </w:pPr>
      <w:r>
        <w:rPr>
          <w:rFonts w:hint="eastAsia" w:ascii="新宋体" w:hAnsi="新宋体" w:eastAsia="新宋体" w:cs="新宋体"/>
          <w:color w:val="auto"/>
          <w:kern w:val="0"/>
          <w:sz w:val="72"/>
          <w:szCs w:val="72"/>
          <w:highlight w:val="none"/>
        </w:rPr>
        <w:t>投 标 文 件</w:t>
      </w:r>
    </w:p>
    <w:p>
      <w:pPr>
        <w:autoSpaceDE w:val="0"/>
        <w:autoSpaceDN w:val="0"/>
        <w:adjustRightInd w:val="0"/>
        <w:snapToGrid w:val="0"/>
        <w:spacing w:line="360" w:lineRule="auto"/>
        <w:jc w:val="left"/>
        <w:rPr>
          <w:rFonts w:hint="eastAsia" w:ascii="新宋体" w:hAnsi="新宋体" w:eastAsia="新宋体" w:cs="新宋体"/>
          <w:color w:val="auto"/>
          <w:kern w:val="0"/>
          <w:sz w:val="16"/>
          <w:szCs w:val="16"/>
          <w:highlight w:val="none"/>
        </w:rPr>
      </w:pPr>
    </w:p>
    <w:p>
      <w:pPr>
        <w:autoSpaceDE w:val="0"/>
        <w:autoSpaceDN w:val="0"/>
        <w:adjustRightInd w:val="0"/>
        <w:snapToGrid w:val="0"/>
        <w:spacing w:line="360" w:lineRule="auto"/>
        <w:jc w:val="center"/>
        <w:rPr>
          <w:rFonts w:hint="eastAsia" w:ascii="新宋体" w:hAnsi="新宋体" w:eastAsia="新宋体" w:cs="新宋体"/>
          <w:color w:val="auto"/>
          <w:kern w:val="0"/>
          <w:sz w:val="36"/>
          <w:szCs w:val="36"/>
          <w:highlight w:val="none"/>
        </w:rPr>
      </w:pPr>
      <w:r>
        <w:rPr>
          <w:rFonts w:hint="eastAsia" w:ascii="新宋体" w:hAnsi="新宋体" w:eastAsia="新宋体" w:cs="新宋体"/>
          <w:color w:val="auto"/>
          <w:kern w:val="0"/>
          <w:sz w:val="36"/>
          <w:szCs w:val="36"/>
          <w:highlight w:val="none"/>
        </w:rPr>
        <w:t>经济部分</w:t>
      </w:r>
    </w:p>
    <w:p>
      <w:pPr>
        <w:autoSpaceDE w:val="0"/>
        <w:autoSpaceDN w:val="0"/>
        <w:adjustRightInd w:val="0"/>
        <w:snapToGrid w:val="0"/>
        <w:spacing w:line="360" w:lineRule="auto"/>
        <w:jc w:val="left"/>
        <w:rPr>
          <w:rFonts w:hint="eastAsia" w:ascii="新宋体" w:hAnsi="新宋体" w:eastAsia="新宋体" w:cs="新宋体"/>
          <w:b/>
          <w:color w:val="auto"/>
          <w:kern w:val="0"/>
          <w:sz w:val="20"/>
          <w:szCs w:val="20"/>
          <w:highlight w:val="none"/>
        </w:rPr>
      </w:pPr>
    </w:p>
    <w:p>
      <w:pPr>
        <w:autoSpaceDE w:val="0"/>
        <w:autoSpaceDN w:val="0"/>
        <w:adjustRightInd w:val="0"/>
        <w:snapToGrid w:val="0"/>
        <w:spacing w:line="360" w:lineRule="auto"/>
        <w:jc w:val="left"/>
        <w:rPr>
          <w:rFonts w:hint="eastAsia" w:ascii="新宋体" w:hAnsi="新宋体" w:eastAsia="新宋体" w:cs="新宋体"/>
          <w:b/>
          <w:color w:val="auto"/>
          <w:kern w:val="0"/>
          <w:sz w:val="20"/>
          <w:szCs w:val="20"/>
          <w:highlight w:val="none"/>
        </w:rPr>
      </w:pPr>
    </w:p>
    <w:p>
      <w:pPr>
        <w:autoSpaceDE w:val="0"/>
        <w:autoSpaceDN w:val="0"/>
        <w:adjustRightInd w:val="0"/>
        <w:snapToGrid w:val="0"/>
        <w:spacing w:line="360" w:lineRule="auto"/>
        <w:jc w:val="left"/>
        <w:rPr>
          <w:rFonts w:hint="eastAsia" w:ascii="新宋体" w:hAnsi="新宋体" w:eastAsia="新宋体" w:cs="新宋体"/>
          <w:b/>
          <w:color w:val="auto"/>
          <w:kern w:val="0"/>
          <w:sz w:val="20"/>
          <w:szCs w:val="20"/>
          <w:highlight w:val="none"/>
        </w:rPr>
      </w:pPr>
    </w:p>
    <w:p>
      <w:pPr>
        <w:autoSpaceDE w:val="0"/>
        <w:autoSpaceDN w:val="0"/>
        <w:adjustRightInd w:val="0"/>
        <w:snapToGrid w:val="0"/>
        <w:spacing w:line="360" w:lineRule="auto"/>
        <w:jc w:val="left"/>
        <w:rPr>
          <w:rFonts w:hint="eastAsia" w:ascii="新宋体" w:hAnsi="新宋体" w:eastAsia="新宋体" w:cs="新宋体"/>
          <w:b/>
          <w:color w:val="auto"/>
          <w:kern w:val="0"/>
          <w:sz w:val="20"/>
          <w:szCs w:val="20"/>
          <w:highlight w:val="none"/>
        </w:rPr>
      </w:pPr>
    </w:p>
    <w:p>
      <w:pPr>
        <w:autoSpaceDE w:val="0"/>
        <w:autoSpaceDN w:val="0"/>
        <w:adjustRightInd w:val="0"/>
        <w:snapToGrid w:val="0"/>
        <w:spacing w:line="360" w:lineRule="auto"/>
        <w:jc w:val="left"/>
        <w:rPr>
          <w:rFonts w:hint="eastAsia" w:ascii="新宋体" w:hAnsi="新宋体" w:eastAsia="新宋体" w:cs="新宋体"/>
          <w:b/>
          <w:color w:val="auto"/>
          <w:kern w:val="0"/>
          <w:sz w:val="20"/>
          <w:szCs w:val="20"/>
          <w:highlight w:val="none"/>
        </w:rPr>
      </w:pPr>
    </w:p>
    <w:p>
      <w:pPr>
        <w:autoSpaceDE w:val="0"/>
        <w:autoSpaceDN w:val="0"/>
        <w:adjustRightInd w:val="0"/>
        <w:snapToGrid w:val="0"/>
        <w:spacing w:line="360" w:lineRule="auto"/>
        <w:jc w:val="left"/>
        <w:rPr>
          <w:rFonts w:hint="eastAsia" w:ascii="新宋体" w:hAnsi="新宋体" w:eastAsia="新宋体" w:cs="新宋体"/>
          <w:b/>
          <w:color w:val="auto"/>
          <w:kern w:val="0"/>
          <w:sz w:val="20"/>
          <w:szCs w:val="20"/>
          <w:highlight w:val="none"/>
        </w:rPr>
      </w:pPr>
    </w:p>
    <w:p>
      <w:pPr>
        <w:autoSpaceDE w:val="0"/>
        <w:autoSpaceDN w:val="0"/>
        <w:adjustRightInd w:val="0"/>
        <w:snapToGrid w:val="0"/>
        <w:spacing w:line="360" w:lineRule="auto"/>
        <w:jc w:val="left"/>
        <w:rPr>
          <w:rFonts w:hint="eastAsia" w:ascii="新宋体" w:hAnsi="新宋体" w:eastAsia="新宋体" w:cs="新宋体"/>
          <w:b/>
          <w:color w:val="auto"/>
          <w:kern w:val="0"/>
          <w:sz w:val="20"/>
          <w:szCs w:val="20"/>
          <w:highlight w:val="none"/>
        </w:rPr>
      </w:pPr>
    </w:p>
    <w:p>
      <w:pPr>
        <w:autoSpaceDE w:val="0"/>
        <w:autoSpaceDN w:val="0"/>
        <w:adjustRightInd w:val="0"/>
        <w:snapToGrid w:val="0"/>
        <w:spacing w:line="360" w:lineRule="auto"/>
        <w:jc w:val="left"/>
        <w:rPr>
          <w:rFonts w:hint="eastAsia" w:ascii="新宋体" w:hAnsi="新宋体" w:eastAsia="新宋体" w:cs="新宋体"/>
          <w:b/>
          <w:color w:val="auto"/>
          <w:kern w:val="0"/>
          <w:sz w:val="20"/>
          <w:szCs w:val="20"/>
          <w:highlight w:val="none"/>
        </w:rPr>
      </w:pPr>
    </w:p>
    <w:p>
      <w:pPr>
        <w:autoSpaceDE w:val="0"/>
        <w:autoSpaceDN w:val="0"/>
        <w:adjustRightInd w:val="0"/>
        <w:snapToGrid w:val="0"/>
        <w:spacing w:line="360" w:lineRule="auto"/>
        <w:jc w:val="left"/>
        <w:rPr>
          <w:rFonts w:hint="eastAsia" w:ascii="新宋体" w:hAnsi="新宋体" w:eastAsia="新宋体" w:cs="新宋体"/>
          <w:b/>
          <w:color w:val="auto"/>
          <w:kern w:val="0"/>
          <w:sz w:val="20"/>
          <w:szCs w:val="20"/>
          <w:highlight w:val="none"/>
        </w:rPr>
      </w:pPr>
    </w:p>
    <w:p>
      <w:pPr>
        <w:autoSpaceDE w:val="0"/>
        <w:autoSpaceDN w:val="0"/>
        <w:adjustRightInd w:val="0"/>
        <w:snapToGrid w:val="0"/>
        <w:spacing w:line="360" w:lineRule="auto"/>
        <w:jc w:val="left"/>
        <w:rPr>
          <w:rFonts w:hint="eastAsia" w:ascii="新宋体" w:hAnsi="新宋体" w:eastAsia="新宋体" w:cs="新宋体"/>
          <w:b/>
          <w:color w:val="auto"/>
          <w:kern w:val="0"/>
          <w:sz w:val="20"/>
          <w:szCs w:val="20"/>
          <w:highlight w:val="none"/>
        </w:rPr>
      </w:pPr>
    </w:p>
    <w:p>
      <w:pPr>
        <w:autoSpaceDE w:val="0"/>
        <w:autoSpaceDN w:val="0"/>
        <w:adjustRightInd w:val="0"/>
        <w:snapToGrid w:val="0"/>
        <w:spacing w:line="360" w:lineRule="auto"/>
        <w:jc w:val="left"/>
        <w:rPr>
          <w:rFonts w:hint="eastAsia" w:ascii="新宋体" w:hAnsi="新宋体" w:eastAsia="新宋体" w:cs="新宋体"/>
          <w:b/>
          <w:color w:val="auto"/>
          <w:kern w:val="0"/>
          <w:sz w:val="20"/>
          <w:szCs w:val="20"/>
          <w:highlight w:val="none"/>
        </w:rPr>
      </w:pPr>
    </w:p>
    <w:p>
      <w:pPr>
        <w:autoSpaceDE w:val="0"/>
        <w:autoSpaceDN w:val="0"/>
        <w:adjustRightInd w:val="0"/>
        <w:snapToGrid w:val="0"/>
        <w:spacing w:line="360" w:lineRule="auto"/>
        <w:jc w:val="left"/>
        <w:rPr>
          <w:rFonts w:hint="eastAsia" w:ascii="新宋体" w:hAnsi="新宋体" w:eastAsia="新宋体" w:cs="新宋体"/>
          <w:b/>
          <w:color w:val="auto"/>
          <w:kern w:val="0"/>
          <w:sz w:val="20"/>
          <w:szCs w:val="20"/>
          <w:highlight w:val="none"/>
        </w:rPr>
      </w:pPr>
    </w:p>
    <w:p>
      <w:pPr>
        <w:autoSpaceDE w:val="0"/>
        <w:autoSpaceDN w:val="0"/>
        <w:adjustRightInd w:val="0"/>
        <w:snapToGrid w:val="0"/>
        <w:spacing w:line="360" w:lineRule="auto"/>
        <w:jc w:val="left"/>
        <w:rPr>
          <w:rFonts w:hint="eastAsia" w:ascii="新宋体" w:hAnsi="新宋体" w:eastAsia="新宋体" w:cs="新宋体"/>
          <w:b/>
          <w:color w:val="auto"/>
          <w:kern w:val="0"/>
          <w:sz w:val="20"/>
          <w:szCs w:val="20"/>
          <w:highlight w:val="none"/>
        </w:rPr>
      </w:pPr>
    </w:p>
    <w:p>
      <w:pPr>
        <w:tabs>
          <w:tab w:val="left" w:pos="6080"/>
          <w:tab w:val="left" w:pos="6640"/>
        </w:tabs>
        <w:autoSpaceDE w:val="0"/>
        <w:autoSpaceDN w:val="0"/>
        <w:adjustRightInd w:val="0"/>
        <w:snapToGrid w:val="0"/>
        <w:spacing w:after="156" w:afterLines="50" w:line="360" w:lineRule="auto"/>
        <w:jc w:val="center"/>
        <w:rPr>
          <w:rFonts w:hint="eastAsia" w:ascii="新宋体" w:hAnsi="新宋体" w:eastAsia="新宋体" w:cs="新宋体"/>
          <w:color w:val="auto"/>
          <w:w w:val="99"/>
          <w:kern w:val="0"/>
          <w:sz w:val="28"/>
          <w:szCs w:val="28"/>
          <w:highlight w:val="none"/>
        </w:rPr>
      </w:pPr>
      <w:r>
        <w:rPr>
          <w:rFonts w:hint="eastAsia" w:ascii="新宋体" w:hAnsi="新宋体" w:eastAsia="新宋体" w:cs="新宋体"/>
          <w:color w:val="auto"/>
          <w:w w:val="99"/>
          <w:kern w:val="0"/>
          <w:sz w:val="28"/>
          <w:szCs w:val="28"/>
          <w:highlight w:val="none"/>
        </w:rPr>
        <w:t>投标人</w:t>
      </w:r>
      <w:r>
        <w:rPr>
          <w:rFonts w:hint="eastAsia" w:ascii="新宋体" w:hAnsi="新宋体" w:eastAsia="新宋体" w:cs="新宋体"/>
          <w:color w:val="auto"/>
          <w:spacing w:val="1"/>
          <w:w w:val="99"/>
          <w:kern w:val="0"/>
          <w:sz w:val="28"/>
          <w:szCs w:val="28"/>
          <w:highlight w:val="none"/>
        </w:rPr>
        <w:t>：</w:t>
      </w:r>
      <w:r>
        <w:rPr>
          <w:rFonts w:hint="eastAsia" w:ascii="新宋体" w:hAnsi="新宋体" w:eastAsia="新宋体" w:cs="新宋体"/>
          <w:color w:val="auto"/>
          <w:w w:val="198"/>
          <w:kern w:val="0"/>
          <w:sz w:val="28"/>
          <w:szCs w:val="28"/>
          <w:highlight w:val="none"/>
          <w:u w:val="single"/>
        </w:rPr>
        <w:t xml:space="preserve"> 　　　　 　　</w:t>
      </w:r>
      <w:r>
        <w:rPr>
          <w:rFonts w:hint="eastAsia" w:ascii="新宋体" w:hAnsi="新宋体" w:eastAsia="新宋体" w:cs="新宋体"/>
          <w:color w:val="auto"/>
          <w:w w:val="99"/>
          <w:kern w:val="0"/>
          <w:sz w:val="28"/>
          <w:szCs w:val="28"/>
          <w:highlight w:val="none"/>
        </w:rPr>
        <w:t>（盖单位法人章）</w:t>
      </w:r>
    </w:p>
    <w:p>
      <w:pPr>
        <w:tabs>
          <w:tab w:val="left" w:pos="6080"/>
          <w:tab w:val="left" w:pos="6640"/>
        </w:tabs>
        <w:autoSpaceDE w:val="0"/>
        <w:autoSpaceDN w:val="0"/>
        <w:adjustRightInd w:val="0"/>
        <w:snapToGrid w:val="0"/>
        <w:spacing w:after="156" w:afterLines="50" w:line="360" w:lineRule="auto"/>
        <w:jc w:val="center"/>
        <w:rPr>
          <w:rFonts w:hint="eastAsia" w:ascii="新宋体" w:hAnsi="新宋体" w:eastAsia="新宋体" w:cs="新宋体"/>
          <w:b/>
          <w:color w:val="auto"/>
          <w:kern w:val="0"/>
          <w:sz w:val="28"/>
          <w:szCs w:val="28"/>
          <w:highlight w:val="none"/>
        </w:rPr>
      </w:pPr>
      <w:r>
        <w:rPr>
          <w:rFonts w:hint="eastAsia" w:ascii="新宋体" w:hAnsi="新宋体" w:eastAsia="新宋体" w:cs="新宋体"/>
          <w:color w:val="auto"/>
          <w:w w:val="99"/>
          <w:kern w:val="0"/>
          <w:sz w:val="28"/>
          <w:szCs w:val="28"/>
          <w:highlight w:val="none"/>
        </w:rPr>
        <w:t>法定代表人或其委托代理人：</w:t>
      </w:r>
      <w:r>
        <w:rPr>
          <w:rFonts w:hint="eastAsia" w:ascii="新宋体" w:hAnsi="新宋体" w:eastAsia="新宋体" w:cs="新宋体"/>
          <w:color w:val="auto"/>
          <w:w w:val="198"/>
          <w:kern w:val="0"/>
          <w:sz w:val="28"/>
          <w:szCs w:val="28"/>
          <w:highlight w:val="none"/>
          <w:u w:val="single"/>
        </w:rPr>
        <w:t xml:space="preserve">  　　</w:t>
      </w:r>
      <w:r>
        <w:rPr>
          <w:rFonts w:hint="eastAsia" w:ascii="新宋体" w:hAnsi="新宋体" w:eastAsia="新宋体" w:cs="新宋体"/>
          <w:color w:val="auto"/>
          <w:w w:val="99"/>
          <w:kern w:val="0"/>
          <w:sz w:val="28"/>
          <w:szCs w:val="28"/>
          <w:highlight w:val="none"/>
        </w:rPr>
        <w:t>（签名或盖章）</w:t>
      </w:r>
    </w:p>
    <w:p>
      <w:pPr>
        <w:tabs>
          <w:tab w:val="left" w:pos="3280"/>
          <w:tab w:val="left" w:pos="4680"/>
          <w:tab w:val="left" w:pos="6080"/>
        </w:tabs>
        <w:autoSpaceDE w:val="0"/>
        <w:autoSpaceDN w:val="0"/>
        <w:adjustRightInd w:val="0"/>
        <w:snapToGrid w:val="0"/>
        <w:spacing w:after="156" w:afterLines="50" w:line="360" w:lineRule="auto"/>
        <w:jc w:val="center"/>
        <w:rPr>
          <w:rFonts w:hint="eastAsia" w:ascii="新宋体" w:hAnsi="新宋体" w:eastAsia="新宋体" w:cs="新宋体"/>
          <w:color w:val="auto"/>
          <w:kern w:val="0"/>
          <w:sz w:val="28"/>
          <w:szCs w:val="28"/>
          <w:highlight w:val="none"/>
        </w:rPr>
      </w:pPr>
      <w:r>
        <w:rPr>
          <w:rFonts w:hint="eastAsia" w:ascii="新宋体" w:hAnsi="新宋体" w:eastAsia="新宋体" w:cs="新宋体"/>
          <w:color w:val="auto"/>
          <w:w w:val="198"/>
          <w:kern w:val="0"/>
          <w:sz w:val="28"/>
          <w:szCs w:val="28"/>
          <w:highlight w:val="none"/>
          <w:u w:val="single"/>
        </w:rPr>
        <w:t xml:space="preserve">    </w:t>
      </w:r>
      <w:r>
        <w:rPr>
          <w:rFonts w:hint="eastAsia" w:ascii="新宋体" w:hAnsi="新宋体" w:eastAsia="新宋体" w:cs="新宋体"/>
          <w:color w:val="auto"/>
          <w:w w:val="99"/>
          <w:kern w:val="0"/>
          <w:sz w:val="28"/>
          <w:szCs w:val="28"/>
          <w:highlight w:val="none"/>
        </w:rPr>
        <w:t>年</w:t>
      </w:r>
      <w:r>
        <w:rPr>
          <w:rFonts w:hint="eastAsia" w:ascii="新宋体" w:hAnsi="新宋体" w:eastAsia="新宋体" w:cs="新宋体"/>
          <w:color w:val="auto"/>
          <w:w w:val="198"/>
          <w:kern w:val="0"/>
          <w:sz w:val="28"/>
          <w:szCs w:val="28"/>
          <w:highlight w:val="none"/>
          <w:u w:val="single"/>
        </w:rPr>
        <w:t xml:space="preserve">    </w:t>
      </w:r>
      <w:r>
        <w:rPr>
          <w:rFonts w:hint="eastAsia" w:ascii="新宋体" w:hAnsi="新宋体" w:eastAsia="新宋体" w:cs="新宋体"/>
          <w:color w:val="auto"/>
          <w:w w:val="99"/>
          <w:kern w:val="0"/>
          <w:sz w:val="28"/>
          <w:szCs w:val="28"/>
          <w:highlight w:val="none"/>
        </w:rPr>
        <w:t>月</w:t>
      </w:r>
      <w:r>
        <w:rPr>
          <w:rFonts w:hint="eastAsia" w:ascii="新宋体" w:hAnsi="新宋体" w:eastAsia="新宋体" w:cs="新宋体"/>
          <w:color w:val="auto"/>
          <w:w w:val="198"/>
          <w:kern w:val="0"/>
          <w:sz w:val="28"/>
          <w:szCs w:val="28"/>
          <w:highlight w:val="none"/>
          <w:u w:val="single"/>
        </w:rPr>
        <w:t xml:space="preserve">    </w:t>
      </w:r>
      <w:r>
        <w:rPr>
          <w:rFonts w:hint="eastAsia" w:ascii="新宋体" w:hAnsi="新宋体" w:eastAsia="新宋体" w:cs="新宋体"/>
          <w:color w:val="auto"/>
          <w:w w:val="99"/>
          <w:kern w:val="0"/>
          <w:sz w:val="28"/>
          <w:szCs w:val="28"/>
          <w:highlight w:val="none"/>
        </w:rPr>
        <w:t>日</w:t>
      </w:r>
    </w:p>
    <w:p>
      <w:pPr>
        <w:autoSpaceDE w:val="0"/>
        <w:autoSpaceDN w:val="0"/>
        <w:adjustRightInd w:val="0"/>
        <w:snapToGrid w:val="0"/>
        <w:spacing w:line="360" w:lineRule="auto"/>
        <w:jc w:val="left"/>
        <w:rPr>
          <w:rFonts w:hint="eastAsia" w:ascii="新宋体" w:hAnsi="新宋体" w:eastAsia="新宋体" w:cs="新宋体"/>
          <w:color w:val="auto"/>
          <w:kern w:val="0"/>
          <w:sz w:val="24"/>
          <w:szCs w:val="21"/>
          <w:highlight w:val="none"/>
        </w:rPr>
      </w:pPr>
      <w:r>
        <w:rPr>
          <w:rFonts w:hint="eastAsia" w:ascii="新宋体" w:hAnsi="新宋体" w:eastAsia="新宋体" w:cs="新宋体"/>
          <w:color w:val="auto"/>
          <w:kern w:val="0"/>
          <w:sz w:val="24"/>
          <w:szCs w:val="21"/>
          <w:highlight w:val="none"/>
        </w:rPr>
        <w:br w:type="page"/>
      </w:r>
    </w:p>
    <w:p>
      <w:pPr>
        <w:autoSpaceDE w:val="0"/>
        <w:autoSpaceDN w:val="0"/>
        <w:adjustRightInd w:val="0"/>
        <w:snapToGrid w:val="0"/>
        <w:spacing w:line="360" w:lineRule="auto"/>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 w:val="36"/>
          <w:szCs w:val="36"/>
          <w:highlight w:val="none"/>
        </w:rPr>
        <w:t>目  录</w:t>
      </w:r>
    </w:p>
    <w:p>
      <w:pPr>
        <w:autoSpaceDE w:val="0"/>
        <w:autoSpaceDN w:val="0"/>
        <w:adjustRightInd w:val="0"/>
        <w:snapToGrid w:val="0"/>
        <w:spacing w:line="360" w:lineRule="auto"/>
        <w:jc w:val="center"/>
        <w:rPr>
          <w:rFonts w:hint="eastAsia" w:ascii="新宋体" w:hAnsi="新宋体" w:eastAsia="新宋体" w:cs="新宋体"/>
          <w:i/>
          <w:iCs/>
          <w:color w:val="auto"/>
          <w:kern w:val="0"/>
          <w:szCs w:val="21"/>
          <w:highlight w:val="none"/>
        </w:rPr>
      </w:pPr>
      <w:r>
        <w:rPr>
          <w:rFonts w:hint="eastAsia" w:ascii="新宋体" w:hAnsi="新宋体" w:eastAsia="新宋体" w:cs="新宋体"/>
          <w:i/>
          <w:iCs/>
          <w:color w:val="auto"/>
          <w:kern w:val="0"/>
          <w:szCs w:val="21"/>
          <w:highlight w:val="none"/>
        </w:rPr>
        <w:t>[提示：目录由投标人自行编制]</w:t>
      </w:r>
    </w:p>
    <w:p>
      <w:pPr>
        <w:pStyle w:val="2"/>
        <w:spacing w:before="0" w:after="0" w:line="240" w:lineRule="auto"/>
        <w:jc w:val="center"/>
        <w:rPr>
          <w:rFonts w:hint="eastAsia" w:ascii="新宋体" w:hAnsi="新宋体" w:eastAsia="新宋体" w:cs="新宋体"/>
          <w:b w:val="0"/>
          <w:bCs w:val="0"/>
          <w:color w:val="auto"/>
          <w:highlight w:val="none"/>
        </w:rPr>
      </w:pPr>
      <w:bookmarkStart w:id="654" w:name="_Toc430530535"/>
      <w:bookmarkStart w:id="655" w:name="_Toc224103501"/>
      <w:bookmarkStart w:id="656" w:name="_Toc287607873"/>
      <w:bookmarkStart w:id="657" w:name="_Toc287620820"/>
      <w:bookmarkStart w:id="658" w:name="_Toc277082648"/>
      <w:r>
        <w:rPr>
          <w:rFonts w:hint="eastAsia" w:ascii="新宋体" w:hAnsi="新宋体" w:eastAsia="新宋体" w:cs="新宋体"/>
          <w:b w:val="0"/>
          <w:bCs w:val="0"/>
          <w:color w:val="auto"/>
          <w:kern w:val="0"/>
          <w:sz w:val="21"/>
          <w:szCs w:val="21"/>
          <w:highlight w:val="none"/>
        </w:rPr>
        <w:br w:type="page"/>
      </w:r>
      <w:bookmarkStart w:id="659" w:name="_Toc57820654"/>
      <w:r>
        <w:rPr>
          <w:rFonts w:hint="eastAsia" w:ascii="新宋体" w:hAnsi="新宋体" w:eastAsia="新宋体" w:cs="新宋体"/>
          <w:b w:val="0"/>
          <w:bCs w:val="0"/>
          <w:color w:val="auto"/>
          <w:highlight w:val="none"/>
        </w:rPr>
        <w:t>（一）</w:t>
      </w:r>
      <w:bookmarkStart w:id="660" w:name="_Toc430530536"/>
      <w:bookmarkStart w:id="661" w:name="_Toc224103502"/>
      <w:bookmarkStart w:id="662" w:name="_Toc287607874"/>
      <w:bookmarkStart w:id="663" w:name="_Toc287620821"/>
      <w:bookmarkEnd w:id="654"/>
      <w:bookmarkEnd w:id="655"/>
      <w:bookmarkEnd w:id="656"/>
      <w:bookmarkEnd w:id="657"/>
      <w:bookmarkEnd w:id="658"/>
      <w:bookmarkEnd w:id="659"/>
      <w:r>
        <w:rPr>
          <w:rFonts w:hint="eastAsia" w:ascii="新宋体" w:hAnsi="新宋体" w:eastAsia="新宋体" w:cs="新宋体"/>
          <w:b w:val="0"/>
          <w:bCs w:val="0"/>
          <w:color w:val="auto"/>
          <w:highlight w:val="none"/>
        </w:rPr>
        <w:t>LNG加注站成套设备清单</w:t>
      </w:r>
    </w:p>
    <w:p>
      <w:pPr>
        <w:pStyle w:val="2"/>
        <w:spacing w:before="0" w:after="0" w:line="240" w:lineRule="auto"/>
        <w:jc w:val="center"/>
        <w:rPr>
          <w:rFonts w:hint="eastAsia" w:ascii="新宋体" w:hAnsi="新宋体" w:eastAsia="新宋体" w:cs="新宋体"/>
          <w:b/>
          <w:color w:val="auto"/>
          <w:sz w:val="21"/>
          <w:szCs w:val="21"/>
          <w:highlight w:val="none"/>
        </w:rPr>
      </w:pPr>
      <w:r>
        <w:rPr>
          <w:rFonts w:hint="eastAsia" w:ascii="新宋体" w:hAnsi="新宋体" w:eastAsia="新宋体" w:cs="新宋体"/>
          <w:b/>
          <w:color w:val="auto"/>
          <w:sz w:val="30"/>
          <w:szCs w:val="30"/>
          <w:highlight w:val="none"/>
        </w:rPr>
        <w:t xml:space="preserve">       </w:t>
      </w:r>
      <w:r>
        <w:rPr>
          <w:rFonts w:hint="eastAsia" w:ascii="新宋体" w:hAnsi="新宋体" w:eastAsia="新宋体" w:cs="新宋体"/>
          <w:b/>
          <w:color w:val="auto"/>
          <w:sz w:val="30"/>
          <w:szCs w:val="30"/>
          <w:highlight w:val="none"/>
          <w:lang w:val="en-US" w:eastAsia="zh-CN"/>
        </w:rPr>
        <w:t xml:space="preserve">                                                 </w:t>
      </w:r>
    </w:p>
    <w:tbl>
      <w:tblPr>
        <w:tblStyle w:val="62"/>
        <w:tblW w:w="9378" w:type="dxa"/>
        <w:jc w:val="center"/>
        <w:tblInd w:w="0" w:type="dxa"/>
        <w:tblLayout w:type="fixed"/>
        <w:tblCellMar>
          <w:top w:w="0" w:type="dxa"/>
          <w:left w:w="108" w:type="dxa"/>
          <w:bottom w:w="0" w:type="dxa"/>
          <w:right w:w="108" w:type="dxa"/>
        </w:tblCellMar>
      </w:tblPr>
      <w:tblGrid>
        <w:gridCol w:w="828"/>
        <w:gridCol w:w="1873"/>
        <w:gridCol w:w="2492"/>
        <w:gridCol w:w="705"/>
        <w:gridCol w:w="630"/>
        <w:gridCol w:w="1050"/>
        <w:gridCol w:w="1065"/>
        <w:gridCol w:w="735"/>
      </w:tblGrid>
      <w:tr>
        <w:tblPrEx>
          <w:tblLayout w:type="fixed"/>
          <w:tblCellMar>
            <w:top w:w="0" w:type="dxa"/>
            <w:left w:w="108" w:type="dxa"/>
            <w:bottom w:w="0" w:type="dxa"/>
            <w:right w:w="108" w:type="dxa"/>
          </w:tblCellMar>
        </w:tblPrEx>
        <w:trPr>
          <w:trHeight w:val="452"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序号</w:t>
            </w:r>
          </w:p>
        </w:tc>
        <w:tc>
          <w:tcPr>
            <w:tcW w:w="187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lang w:val="en-US" w:eastAsia="zh-CN"/>
              </w:rPr>
              <w:t>设备</w:t>
            </w:r>
            <w:r>
              <w:rPr>
                <w:rFonts w:hint="eastAsia" w:ascii="新宋体" w:hAnsi="新宋体" w:eastAsia="新宋体" w:cs="新宋体"/>
                <w:color w:val="auto"/>
                <w:sz w:val="21"/>
                <w:szCs w:val="21"/>
                <w:highlight w:val="none"/>
              </w:rPr>
              <w:t>名称</w:t>
            </w:r>
          </w:p>
        </w:tc>
        <w:tc>
          <w:tcPr>
            <w:tcW w:w="24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规格型号</w:t>
            </w:r>
          </w:p>
        </w:tc>
        <w:tc>
          <w:tcPr>
            <w:tcW w:w="705"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数量</w:t>
            </w:r>
          </w:p>
        </w:tc>
        <w:tc>
          <w:tcPr>
            <w:tcW w:w="63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eastAsia="zh-CN"/>
              </w:rPr>
            </w:pPr>
            <w:r>
              <w:rPr>
                <w:rFonts w:hint="eastAsia" w:ascii="新宋体" w:hAnsi="新宋体" w:eastAsia="新宋体" w:cs="新宋体"/>
                <w:color w:val="auto"/>
                <w:sz w:val="21"/>
                <w:szCs w:val="21"/>
                <w:highlight w:val="none"/>
                <w:lang w:val="en-US" w:eastAsia="zh-CN"/>
              </w:rPr>
              <w:t>单位</w:t>
            </w:r>
          </w:p>
        </w:tc>
        <w:tc>
          <w:tcPr>
            <w:tcW w:w="10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单价</w:t>
            </w:r>
          </w:p>
          <w:p>
            <w:pPr>
              <w:jc w:val="center"/>
              <w:rPr>
                <w:rFonts w:hint="eastAsia" w:ascii="新宋体" w:hAnsi="新宋体" w:eastAsia="新宋体" w:cs="新宋体"/>
                <w:color w:val="auto"/>
                <w:sz w:val="21"/>
                <w:szCs w:val="21"/>
                <w:highlight w:val="none"/>
                <w:lang w:eastAsia="zh-CN"/>
              </w:rPr>
            </w:pPr>
            <w:r>
              <w:rPr>
                <w:rFonts w:hint="eastAsia" w:ascii="新宋体" w:hAnsi="新宋体" w:eastAsia="新宋体" w:cs="新宋体"/>
                <w:color w:val="auto"/>
                <w:sz w:val="21"/>
                <w:szCs w:val="21"/>
                <w:highlight w:val="none"/>
                <w:lang w:eastAsia="zh-CN"/>
              </w:rPr>
              <w:t>（</w:t>
            </w:r>
            <w:r>
              <w:rPr>
                <w:rFonts w:hint="eastAsia" w:ascii="新宋体" w:hAnsi="新宋体" w:eastAsia="新宋体" w:cs="新宋体"/>
                <w:color w:val="auto"/>
                <w:sz w:val="21"/>
                <w:szCs w:val="21"/>
                <w:highlight w:val="none"/>
                <w:lang w:val="en-US" w:eastAsia="zh-CN"/>
              </w:rPr>
              <w:t>元</w:t>
            </w:r>
            <w:r>
              <w:rPr>
                <w:rFonts w:hint="eastAsia" w:ascii="新宋体" w:hAnsi="新宋体" w:eastAsia="新宋体" w:cs="新宋体"/>
                <w:color w:val="auto"/>
                <w:sz w:val="21"/>
                <w:szCs w:val="21"/>
                <w:highlight w:val="none"/>
                <w:lang w:eastAsia="zh-CN"/>
              </w:rPr>
              <w:t>）</w:t>
            </w:r>
          </w:p>
        </w:tc>
        <w:tc>
          <w:tcPr>
            <w:tcW w:w="106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合价</w:t>
            </w:r>
          </w:p>
          <w:p>
            <w:pPr>
              <w:jc w:val="center"/>
              <w:rPr>
                <w:rFonts w:hint="eastAsia" w:ascii="新宋体" w:hAnsi="新宋体" w:eastAsia="新宋体" w:cs="新宋体"/>
                <w:color w:val="auto"/>
                <w:sz w:val="21"/>
                <w:szCs w:val="21"/>
                <w:highlight w:val="none"/>
                <w:lang w:eastAsia="zh-CN"/>
              </w:rPr>
            </w:pPr>
            <w:r>
              <w:rPr>
                <w:rFonts w:hint="eastAsia" w:ascii="新宋体" w:hAnsi="新宋体" w:eastAsia="新宋体" w:cs="新宋体"/>
                <w:color w:val="auto"/>
                <w:sz w:val="21"/>
                <w:szCs w:val="21"/>
                <w:highlight w:val="none"/>
                <w:lang w:eastAsia="zh-CN"/>
              </w:rPr>
              <w:t>（</w:t>
            </w:r>
            <w:r>
              <w:rPr>
                <w:rFonts w:hint="eastAsia" w:ascii="新宋体" w:hAnsi="新宋体" w:eastAsia="新宋体" w:cs="新宋体"/>
                <w:color w:val="auto"/>
                <w:sz w:val="21"/>
                <w:szCs w:val="21"/>
                <w:highlight w:val="none"/>
                <w:lang w:val="en-US" w:eastAsia="zh-CN"/>
              </w:rPr>
              <w:t>元</w:t>
            </w:r>
            <w:r>
              <w:rPr>
                <w:rFonts w:hint="eastAsia" w:ascii="新宋体" w:hAnsi="新宋体" w:eastAsia="新宋体" w:cs="新宋体"/>
                <w:color w:val="auto"/>
                <w:sz w:val="21"/>
                <w:szCs w:val="21"/>
                <w:highlight w:val="none"/>
                <w:lang w:eastAsia="zh-CN"/>
              </w:rPr>
              <w:t>）</w:t>
            </w:r>
          </w:p>
        </w:tc>
        <w:tc>
          <w:tcPr>
            <w:tcW w:w="7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备注</w:t>
            </w:r>
          </w:p>
        </w:tc>
      </w:tr>
      <w:tr>
        <w:tblPrEx>
          <w:tblLayout w:type="fixed"/>
          <w:tblCellMar>
            <w:top w:w="0" w:type="dxa"/>
            <w:left w:w="108" w:type="dxa"/>
            <w:bottom w:w="0" w:type="dxa"/>
            <w:right w:w="108" w:type="dxa"/>
          </w:tblCellMar>
        </w:tblPrEx>
        <w:trPr>
          <w:trHeight w:val="487" w:hRule="atLeast"/>
          <w:jc w:val="center"/>
        </w:trPr>
        <w:tc>
          <w:tcPr>
            <w:tcW w:w="937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1.储罐</w:t>
            </w:r>
          </w:p>
        </w:tc>
      </w:tr>
      <w:tr>
        <w:tblPrEx>
          <w:tblLayout w:type="fixed"/>
          <w:tblCellMar>
            <w:top w:w="0" w:type="dxa"/>
            <w:left w:w="108" w:type="dxa"/>
            <w:bottom w:w="0" w:type="dxa"/>
            <w:right w:w="108" w:type="dxa"/>
          </w:tblCellMar>
        </w:tblPrEx>
        <w:trPr>
          <w:trHeight w:val="280"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1.1</w:t>
            </w:r>
          </w:p>
        </w:tc>
        <w:tc>
          <w:tcPr>
            <w:tcW w:w="187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LNG储罐</w:t>
            </w:r>
          </w:p>
        </w:tc>
        <w:tc>
          <w:tcPr>
            <w:tcW w:w="24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60m3卧式真空缠绕绝热，设计压力1.44MPa；工作压力1.2MPa</w:t>
            </w:r>
          </w:p>
        </w:tc>
        <w:tc>
          <w:tcPr>
            <w:tcW w:w="705"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2</w:t>
            </w:r>
          </w:p>
        </w:tc>
        <w:tc>
          <w:tcPr>
            <w:tcW w:w="63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台</w:t>
            </w:r>
          </w:p>
        </w:tc>
        <w:tc>
          <w:tcPr>
            <w:tcW w:w="10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06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7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r>
      <w:tr>
        <w:tblPrEx>
          <w:tblLayout w:type="fixed"/>
          <w:tblCellMar>
            <w:top w:w="0" w:type="dxa"/>
            <w:left w:w="108" w:type="dxa"/>
            <w:bottom w:w="0" w:type="dxa"/>
            <w:right w:w="108" w:type="dxa"/>
          </w:tblCellMar>
        </w:tblPrEx>
        <w:trPr>
          <w:trHeight w:val="517" w:hRule="atLeast"/>
          <w:jc w:val="center"/>
        </w:trPr>
        <w:tc>
          <w:tcPr>
            <w:tcW w:w="937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lang w:val="en-US" w:eastAsia="zh-CN"/>
              </w:rPr>
              <w:t>2.集装箱体</w:t>
            </w:r>
          </w:p>
        </w:tc>
      </w:tr>
      <w:tr>
        <w:tblPrEx>
          <w:tblLayout w:type="fixed"/>
          <w:tblCellMar>
            <w:top w:w="0" w:type="dxa"/>
            <w:left w:w="108" w:type="dxa"/>
            <w:bottom w:w="0" w:type="dxa"/>
            <w:right w:w="108" w:type="dxa"/>
          </w:tblCellMar>
        </w:tblPrEx>
        <w:trPr>
          <w:trHeight w:val="280"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2.1</w:t>
            </w:r>
          </w:p>
        </w:tc>
        <w:tc>
          <w:tcPr>
            <w:tcW w:w="18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color w:val="auto"/>
                <w:sz w:val="21"/>
                <w:szCs w:val="21"/>
                <w:highlight w:val="none"/>
              </w:rPr>
            </w:pPr>
            <w:r>
              <w:rPr>
                <w:rFonts w:hint="eastAsia" w:ascii="宋体" w:hAnsi="宋体" w:eastAsia="宋体" w:cs="宋体"/>
                <w:i w:val="0"/>
                <w:color w:val="000000"/>
                <w:kern w:val="0"/>
                <w:sz w:val="21"/>
                <w:szCs w:val="21"/>
                <w:u w:val="none"/>
                <w:lang w:val="en-US" w:eastAsia="zh-CN" w:bidi="ar"/>
              </w:rPr>
              <w:t>集装箱体</w:t>
            </w:r>
          </w:p>
        </w:tc>
        <w:tc>
          <w:tcPr>
            <w:tcW w:w="24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color w:val="auto"/>
                <w:sz w:val="21"/>
                <w:szCs w:val="21"/>
                <w:highlight w:val="none"/>
              </w:rPr>
            </w:pPr>
            <w:r>
              <w:rPr>
                <w:rFonts w:hint="eastAsia" w:ascii="宋体" w:hAnsi="宋体" w:eastAsia="宋体" w:cs="宋体"/>
                <w:i w:val="0"/>
                <w:color w:val="000000"/>
                <w:kern w:val="0"/>
                <w:sz w:val="21"/>
                <w:szCs w:val="21"/>
                <w:u w:val="none"/>
                <w:lang w:val="en-US" w:eastAsia="zh-CN" w:bidi="ar"/>
              </w:rPr>
              <w:t>含S30408不锈钢金属围堰和防爆风机</w:t>
            </w:r>
          </w:p>
        </w:tc>
        <w:tc>
          <w:tcPr>
            <w:tcW w:w="70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2</w:t>
            </w:r>
          </w:p>
        </w:tc>
        <w:tc>
          <w:tcPr>
            <w:tcW w:w="63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台</w:t>
            </w:r>
          </w:p>
        </w:tc>
        <w:tc>
          <w:tcPr>
            <w:tcW w:w="10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06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7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r>
      <w:tr>
        <w:tblPrEx>
          <w:tblLayout w:type="fixed"/>
          <w:tblCellMar>
            <w:top w:w="0" w:type="dxa"/>
            <w:left w:w="108" w:type="dxa"/>
            <w:bottom w:w="0" w:type="dxa"/>
            <w:right w:w="108" w:type="dxa"/>
          </w:tblCellMar>
        </w:tblPrEx>
        <w:trPr>
          <w:trHeight w:val="512" w:hRule="atLeast"/>
          <w:jc w:val="center"/>
        </w:trPr>
        <w:tc>
          <w:tcPr>
            <w:tcW w:w="937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lang w:val="en-US" w:eastAsia="zh-CN"/>
              </w:rPr>
              <w:t>3.LNG系统</w:t>
            </w:r>
          </w:p>
        </w:tc>
      </w:tr>
      <w:tr>
        <w:tblPrEx>
          <w:tblLayout w:type="fixed"/>
          <w:tblCellMar>
            <w:top w:w="0" w:type="dxa"/>
            <w:left w:w="108" w:type="dxa"/>
            <w:bottom w:w="0" w:type="dxa"/>
            <w:right w:w="108" w:type="dxa"/>
          </w:tblCellMar>
        </w:tblPrEx>
        <w:trPr>
          <w:trHeight w:val="512"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3.1</w:t>
            </w:r>
          </w:p>
        </w:tc>
        <w:tc>
          <w:tcPr>
            <w:tcW w:w="18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color w:val="auto"/>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低温潜液泵</w:t>
            </w:r>
          </w:p>
        </w:tc>
        <w:tc>
          <w:tcPr>
            <w:tcW w:w="24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color w:val="auto"/>
                <w:sz w:val="21"/>
                <w:szCs w:val="21"/>
                <w:highlight w:val="none"/>
              </w:rPr>
            </w:pPr>
            <w:r>
              <w:rPr>
                <w:rFonts w:hint="eastAsia" w:ascii="宋体" w:hAnsi="宋体" w:eastAsia="宋体" w:cs="宋体"/>
                <w:i w:val="0"/>
                <w:color w:val="000000"/>
                <w:kern w:val="0"/>
                <w:sz w:val="21"/>
                <w:szCs w:val="21"/>
                <w:u w:val="none"/>
                <w:lang w:val="en-US" w:eastAsia="zh-CN" w:bidi="ar"/>
              </w:rPr>
              <w:t>0~340L/min，出口压力1.6MPa，扬程380m；设计压力≥1.92MPa；设计温度-196℃</w:t>
            </w:r>
          </w:p>
        </w:tc>
        <w:tc>
          <w:tcPr>
            <w:tcW w:w="705"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4</w:t>
            </w:r>
          </w:p>
        </w:tc>
        <w:tc>
          <w:tcPr>
            <w:tcW w:w="630"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台</w:t>
            </w:r>
          </w:p>
        </w:tc>
        <w:tc>
          <w:tcPr>
            <w:tcW w:w="10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06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7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r>
      <w:tr>
        <w:tblPrEx>
          <w:tblLayout w:type="fixed"/>
          <w:tblCellMar>
            <w:top w:w="0" w:type="dxa"/>
            <w:left w:w="108" w:type="dxa"/>
            <w:bottom w:w="0" w:type="dxa"/>
            <w:right w:w="108" w:type="dxa"/>
          </w:tblCellMar>
        </w:tblPrEx>
        <w:trPr>
          <w:trHeight w:val="512"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3.2</w:t>
            </w:r>
          </w:p>
        </w:tc>
        <w:tc>
          <w:tcPr>
            <w:tcW w:w="18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color w:val="auto"/>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低温泵池</w:t>
            </w:r>
          </w:p>
        </w:tc>
        <w:tc>
          <w:tcPr>
            <w:tcW w:w="24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color w:val="auto"/>
                <w:sz w:val="21"/>
                <w:szCs w:val="21"/>
                <w:highlight w:val="none"/>
              </w:rPr>
            </w:pPr>
            <w:r>
              <w:rPr>
                <w:rFonts w:hint="eastAsia" w:ascii="宋体" w:hAnsi="宋体" w:eastAsia="宋体" w:cs="宋体"/>
                <w:i w:val="0"/>
                <w:color w:val="000000"/>
                <w:kern w:val="0"/>
                <w:sz w:val="21"/>
                <w:szCs w:val="21"/>
                <w:u w:val="none"/>
                <w:lang w:val="en-US" w:eastAsia="zh-CN" w:bidi="ar"/>
              </w:rPr>
              <w:t>设计压力≥1.92MPa；设计温度-196℃</w:t>
            </w:r>
          </w:p>
        </w:tc>
        <w:tc>
          <w:tcPr>
            <w:tcW w:w="705"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4</w:t>
            </w:r>
          </w:p>
        </w:tc>
        <w:tc>
          <w:tcPr>
            <w:tcW w:w="630"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套</w:t>
            </w:r>
          </w:p>
        </w:tc>
        <w:tc>
          <w:tcPr>
            <w:tcW w:w="10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06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7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r>
      <w:tr>
        <w:tblPrEx>
          <w:tblLayout w:type="fixed"/>
          <w:tblCellMar>
            <w:top w:w="0" w:type="dxa"/>
            <w:left w:w="108" w:type="dxa"/>
            <w:bottom w:w="0" w:type="dxa"/>
            <w:right w:w="108" w:type="dxa"/>
          </w:tblCellMar>
        </w:tblPrEx>
        <w:trPr>
          <w:trHeight w:val="512"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3.3</w:t>
            </w:r>
          </w:p>
        </w:tc>
        <w:tc>
          <w:tcPr>
            <w:tcW w:w="18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color w:val="auto"/>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卸车增压器和EAG气化器</w:t>
            </w:r>
          </w:p>
        </w:tc>
        <w:tc>
          <w:tcPr>
            <w:tcW w:w="24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color w:val="auto"/>
                <w:sz w:val="21"/>
                <w:szCs w:val="21"/>
                <w:highlight w:val="none"/>
              </w:rPr>
            </w:pPr>
            <w:r>
              <w:rPr>
                <w:rFonts w:hint="eastAsia" w:ascii="宋体" w:hAnsi="宋体" w:eastAsia="宋体" w:cs="宋体"/>
                <w:i w:val="0"/>
                <w:color w:val="000000"/>
                <w:kern w:val="0"/>
                <w:sz w:val="21"/>
                <w:szCs w:val="21"/>
                <w:u w:val="none"/>
                <w:lang w:val="en-US" w:eastAsia="zh-CN" w:bidi="ar"/>
              </w:rPr>
              <w:t>300Nm3/h和150Nm3/h；设计压力1.92MPa；设计温度-196℃</w:t>
            </w:r>
          </w:p>
        </w:tc>
        <w:tc>
          <w:tcPr>
            <w:tcW w:w="705"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2</w:t>
            </w:r>
          </w:p>
        </w:tc>
        <w:tc>
          <w:tcPr>
            <w:tcW w:w="630"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套</w:t>
            </w:r>
          </w:p>
        </w:tc>
        <w:tc>
          <w:tcPr>
            <w:tcW w:w="10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06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7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r>
      <w:tr>
        <w:tblPrEx>
          <w:tblLayout w:type="fixed"/>
          <w:tblCellMar>
            <w:top w:w="0" w:type="dxa"/>
            <w:left w:w="108" w:type="dxa"/>
            <w:bottom w:w="0" w:type="dxa"/>
            <w:right w:w="108" w:type="dxa"/>
          </w:tblCellMar>
        </w:tblPrEx>
        <w:trPr>
          <w:trHeight w:val="512"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3.4</w:t>
            </w:r>
          </w:p>
        </w:tc>
        <w:tc>
          <w:tcPr>
            <w:tcW w:w="18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color w:val="auto"/>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LNG 加气机</w:t>
            </w:r>
          </w:p>
        </w:tc>
        <w:tc>
          <w:tcPr>
            <w:tcW w:w="24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color w:val="auto"/>
                <w:sz w:val="21"/>
                <w:szCs w:val="21"/>
                <w:highlight w:val="none"/>
              </w:rPr>
            </w:pPr>
            <w:r>
              <w:rPr>
                <w:rFonts w:hint="eastAsia" w:ascii="宋体" w:hAnsi="宋体" w:eastAsia="宋体" w:cs="宋体"/>
                <w:i w:val="0"/>
                <w:color w:val="000000"/>
                <w:kern w:val="0"/>
                <w:sz w:val="21"/>
                <w:szCs w:val="21"/>
                <w:u w:val="none"/>
                <w:lang w:val="en-US" w:eastAsia="zh-CN" w:bidi="ar"/>
              </w:rPr>
              <w:t>单枪；流量10~80kg/min；设计压力1.92MPa；设计温度-196℃</w:t>
            </w:r>
          </w:p>
        </w:tc>
        <w:tc>
          <w:tcPr>
            <w:tcW w:w="705"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4</w:t>
            </w:r>
          </w:p>
        </w:tc>
        <w:tc>
          <w:tcPr>
            <w:tcW w:w="630"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台</w:t>
            </w:r>
          </w:p>
        </w:tc>
        <w:tc>
          <w:tcPr>
            <w:tcW w:w="10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06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7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r>
      <w:tr>
        <w:tblPrEx>
          <w:tblLayout w:type="fixed"/>
          <w:tblCellMar>
            <w:top w:w="0" w:type="dxa"/>
            <w:left w:w="108" w:type="dxa"/>
            <w:bottom w:w="0" w:type="dxa"/>
            <w:right w:w="108" w:type="dxa"/>
          </w:tblCellMar>
        </w:tblPrEx>
        <w:trPr>
          <w:trHeight w:val="512"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3.5</w:t>
            </w:r>
          </w:p>
        </w:tc>
        <w:tc>
          <w:tcPr>
            <w:tcW w:w="18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color w:val="auto"/>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撬装设备阀门、真空管路及辅材</w:t>
            </w:r>
          </w:p>
        </w:tc>
        <w:tc>
          <w:tcPr>
            <w:tcW w:w="24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color w:val="auto"/>
                <w:sz w:val="21"/>
                <w:szCs w:val="21"/>
                <w:highlight w:val="none"/>
              </w:rPr>
            </w:pPr>
            <w:r>
              <w:rPr>
                <w:rFonts w:hint="eastAsia" w:ascii="宋体" w:hAnsi="宋体" w:eastAsia="宋体" w:cs="宋体"/>
                <w:i w:val="0"/>
                <w:color w:val="000000"/>
                <w:kern w:val="0"/>
                <w:sz w:val="21"/>
                <w:szCs w:val="21"/>
                <w:u w:val="none"/>
                <w:lang w:val="en-US" w:eastAsia="zh-CN" w:bidi="ar"/>
              </w:rPr>
              <w:t>设计压力1.92MPa；设计温度-196℃</w:t>
            </w:r>
          </w:p>
        </w:tc>
        <w:tc>
          <w:tcPr>
            <w:tcW w:w="705"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2</w:t>
            </w:r>
          </w:p>
        </w:tc>
        <w:tc>
          <w:tcPr>
            <w:tcW w:w="630"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项</w:t>
            </w:r>
          </w:p>
        </w:tc>
        <w:tc>
          <w:tcPr>
            <w:tcW w:w="10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06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7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r>
      <w:tr>
        <w:tblPrEx>
          <w:tblLayout w:type="fixed"/>
          <w:tblCellMar>
            <w:top w:w="0" w:type="dxa"/>
            <w:left w:w="108" w:type="dxa"/>
            <w:bottom w:w="0" w:type="dxa"/>
            <w:right w:w="108" w:type="dxa"/>
          </w:tblCellMar>
        </w:tblPrEx>
        <w:trPr>
          <w:trHeight w:val="512" w:hRule="atLeast"/>
          <w:jc w:val="center"/>
        </w:trPr>
        <w:tc>
          <w:tcPr>
            <w:tcW w:w="937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4.电气控制、仪表风系统</w:t>
            </w:r>
          </w:p>
        </w:tc>
      </w:tr>
      <w:tr>
        <w:tblPrEx>
          <w:tblLayout w:type="fixed"/>
          <w:tblCellMar>
            <w:top w:w="0" w:type="dxa"/>
            <w:left w:w="108" w:type="dxa"/>
            <w:bottom w:w="0" w:type="dxa"/>
            <w:right w:w="108" w:type="dxa"/>
          </w:tblCellMar>
        </w:tblPrEx>
        <w:trPr>
          <w:trHeight w:val="512"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4.1</w:t>
            </w:r>
          </w:p>
        </w:tc>
        <w:tc>
          <w:tcPr>
            <w:tcW w:w="18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color w:val="auto"/>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整站控制系统</w:t>
            </w:r>
          </w:p>
        </w:tc>
        <w:tc>
          <w:tcPr>
            <w:tcW w:w="24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705"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2</w:t>
            </w:r>
          </w:p>
        </w:tc>
        <w:tc>
          <w:tcPr>
            <w:tcW w:w="630"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套</w:t>
            </w:r>
          </w:p>
        </w:tc>
        <w:tc>
          <w:tcPr>
            <w:tcW w:w="10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06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7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r>
      <w:tr>
        <w:tblPrEx>
          <w:tblLayout w:type="fixed"/>
          <w:tblCellMar>
            <w:top w:w="0" w:type="dxa"/>
            <w:left w:w="108" w:type="dxa"/>
            <w:bottom w:w="0" w:type="dxa"/>
            <w:right w:w="108" w:type="dxa"/>
          </w:tblCellMar>
        </w:tblPrEx>
        <w:trPr>
          <w:trHeight w:val="512"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4.2</w:t>
            </w:r>
          </w:p>
        </w:tc>
        <w:tc>
          <w:tcPr>
            <w:tcW w:w="18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color w:val="auto"/>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空压机（含干燥）</w:t>
            </w:r>
          </w:p>
        </w:tc>
        <w:tc>
          <w:tcPr>
            <w:tcW w:w="24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color w:val="auto"/>
                <w:sz w:val="21"/>
                <w:szCs w:val="21"/>
                <w:highlight w:val="none"/>
              </w:rPr>
            </w:pPr>
            <w:r>
              <w:rPr>
                <w:rFonts w:hint="eastAsia" w:ascii="宋体" w:hAnsi="宋体" w:eastAsia="宋体" w:cs="宋体"/>
                <w:i w:val="0"/>
                <w:color w:val="000000"/>
                <w:kern w:val="0"/>
                <w:sz w:val="21"/>
                <w:szCs w:val="21"/>
                <w:u w:val="none"/>
                <w:lang w:val="en-US" w:eastAsia="zh-CN" w:bidi="ar"/>
              </w:rPr>
              <w:t>空压机流量0.5m3/min，排气压力0.6~0.8MPa；冷干机处理量0.8m3/min</w:t>
            </w:r>
          </w:p>
        </w:tc>
        <w:tc>
          <w:tcPr>
            <w:tcW w:w="705"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2</w:t>
            </w:r>
          </w:p>
        </w:tc>
        <w:tc>
          <w:tcPr>
            <w:tcW w:w="630"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台</w:t>
            </w:r>
          </w:p>
        </w:tc>
        <w:tc>
          <w:tcPr>
            <w:tcW w:w="10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06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7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r>
      <w:tr>
        <w:tblPrEx>
          <w:tblLayout w:type="fixed"/>
          <w:tblCellMar>
            <w:top w:w="0" w:type="dxa"/>
            <w:left w:w="108" w:type="dxa"/>
            <w:bottom w:w="0" w:type="dxa"/>
            <w:right w:w="108" w:type="dxa"/>
          </w:tblCellMar>
        </w:tblPrEx>
        <w:trPr>
          <w:trHeight w:val="512"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4.3</w:t>
            </w:r>
          </w:p>
        </w:tc>
        <w:tc>
          <w:tcPr>
            <w:tcW w:w="18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color w:val="auto"/>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氮气瓶（含减压装置）</w:t>
            </w:r>
          </w:p>
        </w:tc>
        <w:tc>
          <w:tcPr>
            <w:tcW w:w="24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color w:val="auto"/>
                <w:sz w:val="21"/>
                <w:szCs w:val="21"/>
                <w:highlight w:val="none"/>
              </w:rPr>
            </w:pPr>
            <w:r>
              <w:rPr>
                <w:rFonts w:hint="eastAsia" w:ascii="宋体" w:hAnsi="宋体" w:eastAsia="宋体" w:cs="宋体"/>
                <w:i w:val="0"/>
                <w:color w:val="000000"/>
                <w:kern w:val="0"/>
                <w:sz w:val="21"/>
                <w:szCs w:val="21"/>
                <w:u w:val="none"/>
                <w:lang w:val="en-US" w:eastAsia="zh-CN" w:bidi="ar"/>
              </w:rPr>
              <w:t>40L</w:t>
            </w:r>
          </w:p>
        </w:tc>
        <w:tc>
          <w:tcPr>
            <w:tcW w:w="705"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2</w:t>
            </w:r>
          </w:p>
        </w:tc>
        <w:tc>
          <w:tcPr>
            <w:tcW w:w="630"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套</w:t>
            </w:r>
          </w:p>
        </w:tc>
        <w:tc>
          <w:tcPr>
            <w:tcW w:w="10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06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7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r>
      <w:tr>
        <w:tblPrEx>
          <w:tblLayout w:type="fixed"/>
          <w:tblCellMar>
            <w:top w:w="0" w:type="dxa"/>
            <w:left w:w="108" w:type="dxa"/>
            <w:bottom w:w="0" w:type="dxa"/>
            <w:right w:w="108" w:type="dxa"/>
          </w:tblCellMar>
        </w:tblPrEx>
        <w:trPr>
          <w:trHeight w:val="512" w:hRule="atLeast"/>
          <w:jc w:val="center"/>
        </w:trPr>
        <w:tc>
          <w:tcPr>
            <w:tcW w:w="757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lang w:val="en-US" w:eastAsia="zh-CN"/>
              </w:rPr>
              <w:t>设备总价（元）</w:t>
            </w:r>
          </w:p>
        </w:tc>
        <w:tc>
          <w:tcPr>
            <w:tcW w:w="106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7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r>
      <w:tr>
        <w:tblPrEx>
          <w:tblLayout w:type="fixed"/>
          <w:tblCellMar>
            <w:top w:w="0" w:type="dxa"/>
            <w:left w:w="108" w:type="dxa"/>
            <w:bottom w:w="0" w:type="dxa"/>
            <w:right w:w="108" w:type="dxa"/>
          </w:tblCellMar>
        </w:tblPrEx>
        <w:trPr>
          <w:trHeight w:val="512" w:hRule="atLeast"/>
          <w:jc w:val="center"/>
        </w:trPr>
        <w:tc>
          <w:tcPr>
            <w:tcW w:w="937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5.运输、安装及其他费用</w:t>
            </w:r>
          </w:p>
        </w:tc>
      </w:tr>
      <w:tr>
        <w:tblPrEx>
          <w:tblLayout w:type="fixed"/>
          <w:tblCellMar>
            <w:top w:w="0" w:type="dxa"/>
            <w:left w:w="108" w:type="dxa"/>
            <w:bottom w:w="0" w:type="dxa"/>
            <w:right w:w="108" w:type="dxa"/>
          </w:tblCellMar>
        </w:tblPrEx>
        <w:trPr>
          <w:trHeight w:val="512"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5.1</w:t>
            </w:r>
          </w:p>
        </w:tc>
        <w:tc>
          <w:tcPr>
            <w:tcW w:w="18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4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70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p>
        </w:tc>
        <w:tc>
          <w:tcPr>
            <w:tcW w:w="63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p>
        </w:tc>
        <w:tc>
          <w:tcPr>
            <w:tcW w:w="10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06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7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r>
      <w:tr>
        <w:tblPrEx>
          <w:tblLayout w:type="fixed"/>
          <w:tblCellMar>
            <w:top w:w="0" w:type="dxa"/>
            <w:left w:w="108" w:type="dxa"/>
            <w:bottom w:w="0" w:type="dxa"/>
            <w:right w:w="108" w:type="dxa"/>
          </w:tblCellMar>
        </w:tblPrEx>
        <w:trPr>
          <w:trHeight w:val="512"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5.2</w:t>
            </w:r>
          </w:p>
        </w:tc>
        <w:tc>
          <w:tcPr>
            <w:tcW w:w="18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4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70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p>
        </w:tc>
        <w:tc>
          <w:tcPr>
            <w:tcW w:w="63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p>
        </w:tc>
        <w:tc>
          <w:tcPr>
            <w:tcW w:w="10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06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7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r>
      <w:tr>
        <w:tblPrEx>
          <w:tblLayout w:type="fixed"/>
          <w:tblCellMar>
            <w:top w:w="0" w:type="dxa"/>
            <w:left w:w="108" w:type="dxa"/>
            <w:bottom w:w="0" w:type="dxa"/>
            <w:right w:w="108" w:type="dxa"/>
          </w:tblCellMar>
        </w:tblPrEx>
        <w:trPr>
          <w:trHeight w:val="512"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5.3</w:t>
            </w:r>
          </w:p>
        </w:tc>
        <w:tc>
          <w:tcPr>
            <w:tcW w:w="18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4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70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p>
        </w:tc>
        <w:tc>
          <w:tcPr>
            <w:tcW w:w="63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p>
        </w:tc>
        <w:tc>
          <w:tcPr>
            <w:tcW w:w="10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06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7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r>
      <w:tr>
        <w:tblPrEx>
          <w:tblLayout w:type="fixed"/>
          <w:tblCellMar>
            <w:top w:w="0" w:type="dxa"/>
            <w:left w:w="108" w:type="dxa"/>
            <w:bottom w:w="0" w:type="dxa"/>
            <w:right w:w="108" w:type="dxa"/>
          </w:tblCellMar>
        </w:tblPrEx>
        <w:trPr>
          <w:trHeight w:val="512"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5.4</w:t>
            </w:r>
          </w:p>
        </w:tc>
        <w:tc>
          <w:tcPr>
            <w:tcW w:w="18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4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70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p>
        </w:tc>
        <w:tc>
          <w:tcPr>
            <w:tcW w:w="63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p>
        </w:tc>
        <w:tc>
          <w:tcPr>
            <w:tcW w:w="10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06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7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r>
      <w:tr>
        <w:tblPrEx>
          <w:tblLayout w:type="fixed"/>
          <w:tblCellMar>
            <w:top w:w="0" w:type="dxa"/>
            <w:left w:w="108" w:type="dxa"/>
            <w:bottom w:w="0" w:type="dxa"/>
            <w:right w:w="108" w:type="dxa"/>
          </w:tblCellMar>
        </w:tblPrEx>
        <w:trPr>
          <w:trHeight w:val="512"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5.5</w:t>
            </w:r>
          </w:p>
        </w:tc>
        <w:tc>
          <w:tcPr>
            <w:tcW w:w="18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4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70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p>
        </w:tc>
        <w:tc>
          <w:tcPr>
            <w:tcW w:w="63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p>
        </w:tc>
        <w:tc>
          <w:tcPr>
            <w:tcW w:w="10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06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7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r>
      <w:tr>
        <w:tblPrEx>
          <w:tblLayout w:type="fixed"/>
          <w:tblCellMar>
            <w:top w:w="0" w:type="dxa"/>
            <w:left w:w="108" w:type="dxa"/>
            <w:bottom w:w="0" w:type="dxa"/>
            <w:right w:w="108" w:type="dxa"/>
          </w:tblCellMar>
        </w:tblPrEx>
        <w:trPr>
          <w:trHeight w:val="512"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w:t>
            </w:r>
          </w:p>
        </w:tc>
        <w:tc>
          <w:tcPr>
            <w:tcW w:w="18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4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70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p>
        </w:tc>
        <w:tc>
          <w:tcPr>
            <w:tcW w:w="63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p>
        </w:tc>
        <w:tc>
          <w:tcPr>
            <w:tcW w:w="10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06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7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r>
      <w:tr>
        <w:tblPrEx>
          <w:tblLayout w:type="fixed"/>
          <w:tblCellMar>
            <w:top w:w="0" w:type="dxa"/>
            <w:left w:w="108" w:type="dxa"/>
            <w:bottom w:w="0" w:type="dxa"/>
            <w:right w:w="108" w:type="dxa"/>
          </w:tblCellMar>
        </w:tblPrEx>
        <w:trPr>
          <w:trHeight w:val="512" w:hRule="atLeast"/>
          <w:jc w:val="center"/>
        </w:trPr>
        <w:tc>
          <w:tcPr>
            <w:tcW w:w="757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合计：       元</w:t>
            </w:r>
          </w:p>
        </w:tc>
        <w:tc>
          <w:tcPr>
            <w:tcW w:w="106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7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r>
    </w:tbl>
    <w:p>
      <w:pPr>
        <w:rPr>
          <w:rFonts w:hint="eastAsia" w:ascii="新宋体" w:hAnsi="新宋体" w:eastAsia="新宋体" w:cs="新宋体"/>
          <w:b w:val="0"/>
          <w:bCs w:val="0"/>
          <w:color w:val="auto"/>
          <w:highlight w:val="none"/>
          <w:lang w:eastAsia="zh-CN"/>
        </w:rPr>
      </w:pPr>
      <w:r>
        <w:rPr>
          <w:rFonts w:hint="eastAsia" w:ascii="新宋体" w:hAnsi="新宋体" w:eastAsia="新宋体" w:cs="新宋体"/>
          <w:b w:val="0"/>
          <w:bCs w:val="0"/>
          <w:color w:val="auto"/>
          <w:highlight w:val="none"/>
          <w:lang w:eastAsia="zh-CN"/>
        </w:rPr>
        <w:br w:type="page"/>
      </w:r>
    </w:p>
    <w:p>
      <w:pPr>
        <w:pStyle w:val="2"/>
        <w:spacing w:before="0" w:after="0" w:line="240" w:lineRule="auto"/>
        <w:jc w:val="center"/>
        <w:rPr>
          <w:rFonts w:hint="eastAsia" w:ascii="新宋体" w:hAnsi="新宋体" w:eastAsia="新宋体" w:cs="新宋体"/>
          <w:b w:val="0"/>
          <w:bCs w:val="0"/>
          <w:color w:val="auto"/>
          <w:highlight w:val="none"/>
        </w:rPr>
      </w:pPr>
      <w:r>
        <w:rPr>
          <w:rFonts w:hint="eastAsia" w:ascii="新宋体" w:hAnsi="新宋体" w:eastAsia="新宋体" w:cs="新宋体"/>
          <w:b w:val="0"/>
          <w:bCs w:val="0"/>
          <w:color w:val="auto"/>
          <w:highlight w:val="none"/>
          <w:lang w:eastAsia="zh-CN"/>
        </w:rPr>
        <w:t>（</w:t>
      </w:r>
      <w:r>
        <w:rPr>
          <w:rFonts w:hint="eastAsia" w:ascii="新宋体" w:hAnsi="新宋体" w:eastAsia="新宋体" w:cs="新宋体"/>
          <w:b w:val="0"/>
          <w:bCs w:val="0"/>
          <w:color w:val="auto"/>
          <w:highlight w:val="none"/>
          <w:lang w:val="en-US" w:eastAsia="zh-CN"/>
        </w:rPr>
        <w:t>二</w:t>
      </w:r>
      <w:r>
        <w:rPr>
          <w:rFonts w:hint="eastAsia" w:ascii="新宋体" w:hAnsi="新宋体" w:eastAsia="新宋体" w:cs="新宋体"/>
          <w:b w:val="0"/>
          <w:bCs w:val="0"/>
          <w:color w:val="auto"/>
          <w:highlight w:val="none"/>
          <w:lang w:eastAsia="zh-CN"/>
        </w:rPr>
        <w:t>）</w:t>
      </w:r>
      <w:r>
        <w:rPr>
          <w:rFonts w:hint="eastAsia" w:ascii="新宋体" w:hAnsi="新宋体" w:eastAsia="新宋体" w:cs="新宋体"/>
          <w:b w:val="0"/>
          <w:bCs w:val="0"/>
          <w:color w:val="auto"/>
          <w:highlight w:val="none"/>
        </w:rPr>
        <w:t>专用工具详细清单</w:t>
      </w:r>
    </w:p>
    <w:tbl>
      <w:tblPr>
        <w:tblStyle w:val="62"/>
        <w:tblW w:w="9335" w:type="dxa"/>
        <w:jc w:val="center"/>
        <w:tblInd w:w="0" w:type="dxa"/>
        <w:tblLayout w:type="fixed"/>
        <w:tblCellMar>
          <w:top w:w="0" w:type="dxa"/>
          <w:left w:w="108" w:type="dxa"/>
          <w:bottom w:w="0" w:type="dxa"/>
          <w:right w:w="108" w:type="dxa"/>
        </w:tblCellMar>
      </w:tblPr>
      <w:tblGrid>
        <w:gridCol w:w="773"/>
        <w:gridCol w:w="1450"/>
        <w:gridCol w:w="1304"/>
        <w:gridCol w:w="1487"/>
        <w:gridCol w:w="1296"/>
        <w:gridCol w:w="1411"/>
        <w:gridCol w:w="1614"/>
      </w:tblGrid>
      <w:tr>
        <w:tblPrEx>
          <w:tblLayout w:type="fixed"/>
          <w:tblCellMar>
            <w:top w:w="0" w:type="dxa"/>
            <w:left w:w="108" w:type="dxa"/>
            <w:bottom w:w="0" w:type="dxa"/>
            <w:right w:w="108" w:type="dxa"/>
          </w:tblCellMar>
        </w:tblPrEx>
        <w:trPr>
          <w:trHeight w:val="540" w:hRule="atLeast"/>
          <w:jc w:val="center"/>
        </w:trPr>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序号</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名称</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型号规格</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合计数量</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单价（元）</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合价（元）</w:t>
            </w: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备注</w:t>
            </w:r>
          </w:p>
        </w:tc>
      </w:tr>
      <w:tr>
        <w:tblPrEx>
          <w:tblLayout w:type="fixed"/>
          <w:tblCellMar>
            <w:top w:w="0" w:type="dxa"/>
            <w:left w:w="108" w:type="dxa"/>
            <w:bottom w:w="0" w:type="dxa"/>
            <w:right w:w="108" w:type="dxa"/>
          </w:tblCellMar>
        </w:tblPrEx>
        <w:trPr>
          <w:trHeight w:val="517" w:hRule="atLeast"/>
          <w:jc w:val="center"/>
        </w:trPr>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1</w:t>
            </w:r>
          </w:p>
        </w:tc>
        <w:tc>
          <w:tcPr>
            <w:tcW w:w="14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30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48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29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614"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赠送</w:t>
            </w:r>
          </w:p>
        </w:tc>
      </w:tr>
      <w:tr>
        <w:tblPrEx>
          <w:tblLayout w:type="fixed"/>
          <w:tblCellMar>
            <w:top w:w="0" w:type="dxa"/>
            <w:left w:w="108" w:type="dxa"/>
            <w:bottom w:w="0" w:type="dxa"/>
            <w:right w:w="108" w:type="dxa"/>
          </w:tblCellMar>
        </w:tblPrEx>
        <w:trPr>
          <w:trHeight w:val="517" w:hRule="atLeast"/>
          <w:jc w:val="center"/>
        </w:trPr>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2</w:t>
            </w:r>
          </w:p>
        </w:tc>
        <w:tc>
          <w:tcPr>
            <w:tcW w:w="14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30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48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29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614" w:type="dxa"/>
            <w:vMerge w:val="continue"/>
            <w:tcBorders>
              <w:left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p>
        </w:tc>
      </w:tr>
      <w:tr>
        <w:tblPrEx>
          <w:tblLayout w:type="fixed"/>
          <w:tblCellMar>
            <w:top w:w="0" w:type="dxa"/>
            <w:left w:w="108" w:type="dxa"/>
            <w:bottom w:w="0" w:type="dxa"/>
            <w:right w:w="108" w:type="dxa"/>
          </w:tblCellMar>
        </w:tblPrEx>
        <w:trPr>
          <w:trHeight w:val="517" w:hRule="atLeast"/>
          <w:jc w:val="center"/>
        </w:trPr>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3</w:t>
            </w:r>
          </w:p>
        </w:tc>
        <w:tc>
          <w:tcPr>
            <w:tcW w:w="14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30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48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29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614" w:type="dxa"/>
            <w:vMerge w:val="continue"/>
            <w:tcBorders>
              <w:left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p>
        </w:tc>
      </w:tr>
      <w:tr>
        <w:tblPrEx>
          <w:tblLayout w:type="fixed"/>
          <w:tblCellMar>
            <w:top w:w="0" w:type="dxa"/>
            <w:left w:w="108" w:type="dxa"/>
            <w:bottom w:w="0" w:type="dxa"/>
            <w:right w:w="108" w:type="dxa"/>
          </w:tblCellMar>
        </w:tblPrEx>
        <w:trPr>
          <w:trHeight w:val="517" w:hRule="atLeast"/>
          <w:jc w:val="center"/>
        </w:trPr>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4</w:t>
            </w:r>
          </w:p>
        </w:tc>
        <w:tc>
          <w:tcPr>
            <w:tcW w:w="14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30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48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29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614" w:type="dxa"/>
            <w:vMerge w:val="continue"/>
            <w:tcBorders>
              <w:left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p>
        </w:tc>
      </w:tr>
      <w:tr>
        <w:tblPrEx>
          <w:tblLayout w:type="fixed"/>
          <w:tblCellMar>
            <w:top w:w="0" w:type="dxa"/>
            <w:left w:w="108" w:type="dxa"/>
            <w:bottom w:w="0" w:type="dxa"/>
            <w:right w:w="108" w:type="dxa"/>
          </w:tblCellMar>
        </w:tblPrEx>
        <w:trPr>
          <w:trHeight w:val="517" w:hRule="atLeast"/>
          <w:jc w:val="center"/>
        </w:trPr>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5</w:t>
            </w:r>
          </w:p>
        </w:tc>
        <w:tc>
          <w:tcPr>
            <w:tcW w:w="14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30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48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29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614" w:type="dxa"/>
            <w:vMerge w:val="continue"/>
            <w:tcBorders>
              <w:left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p>
        </w:tc>
      </w:tr>
      <w:tr>
        <w:tblPrEx>
          <w:tblLayout w:type="fixed"/>
          <w:tblCellMar>
            <w:top w:w="0" w:type="dxa"/>
            <w:left w:w="108" w:type="dxa"/>
            <w:bottom w:w="0" w:type="dxa"/>
            <w:right w:w="108" w:type="dxa"/>
          </w:tblCellMar>
        </w:tblPrEx>
        <w:trPr>
          <w:trHeight w:val="517" w:hRule="atLeast"/>
          <w:jc w:val="center"/>
        </w:trPr>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6</w:t>
            </w:r>
          </w:p>
        </w:tc>
        <w:tc>
          <w:tcPr>
            <w:tcW w:w="14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30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48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29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614" w:type="dxa"/>
            <w:vMerge w:val="continue"/>
            <w:tcBorders>
              <w:left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p>
        </w:tc>
      </w:tr>
      <w:tr>
        <w:tblPrEx>
          <w:tblLayout w:type="fixed"/>
          <w:tblCellMar>
            <w:top w:w="0" w:type="dxa"/>
            <w:left w:w="108" w:type="dxa"/>
            <w:bottom w:w="0" w:type="dxa"/>
            <w:right w:w="108" w:type="dxa"/>
          </w:tblCellMar>
        </w:tblPrEx>
        <w:trPr>
          <w:trHeight w:val="517" w:hRule="atLeast"/>
          <w:jc w:val="center"/>
        </w:trPr>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7</w:t>
            </w:r>
          </w:p>
        </w:tc>
        <w:tc>
          <w:tcPr>
            <w:tcW w:w="14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30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48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29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614" w:type="dxa"/>
            <w:vMerge w:val="continue"/>
            <w:tcBorders>
              <w:left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p>
        </w:tc>
      </w:tr>
      <w:tr>
        <w:tblPrEx>
          <w:tblLayout w:type="fixed"/>
          <w:tblCellMar>
            <w:top w:w="0" w:type="dxa"/>
            <w:left w:w="108" w:type="dxa"/>
            <w:bottom w:w="0" w:type="dxa"/>
            <w:right w:w="108" w:type="dxa"/>
          </w:tblCellMar>
        </w:tblPrEx>
        <w:trPr>
          <w:trHeight w:val="517" w:hRule="atLeast"/>
          <w:jc w:val="center"/>
        </w:trPr>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8</w:t>
            </w:r>
          </w:p>
        </w:tc>
        <w:tc>
          <w:tcPr>
            <w:tcW w:w="14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30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48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29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614" w:type="dxa"/>
            <w:vMerge w:val="continue"/>
            <w:tcBorders>
              <w:left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p>
        </w:tc>
      </w:tr>
      <w:tr>
        <w:tblPrEx>
          <w:tblLayout w:type="fixed"/>
          <w:tblCellMar>
            <w:top w:w="0" w:type="dxa"/>
            <w:left w:w="108" w:type="dxa"/>
            <w:bottom w:w="0" w:type="dxa"/>
            <w:right w:w="108" w:type="dxa"/>
          </w:tblCellMar>
        </w:tblPrEx>
        <w:trPr>
          <w:trHeight w:val="517" w:hRule="atLeast"/>
          <w:jc w:val="center"/>
        </w:trPr>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9</w:t>
            </w:r>
          </w:p>
        </w:tc>
        <w:tc>
          <w:tcPr>
            <w:tcW w:w="14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30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48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29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614" w:type="dxa"/>
            <w:vMerge w:val="continue"/>
            <w:tcBorders>
              <w:left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p>
        </w:tc>
      </w:tr>
      <w:tr>
        <w:tblPrEx>
          <w:tblLayout w:type="fixed"/>
          <w:tblCellMar>
            <w:top w:w="0" w:type="dxa"/>
            <w:left w:w="108" w:type="dxa"/>
            <w:bottom w:w="0" w:type="dxa"/>
            <w:right w:w="108" w:type="dxa"/>
          </w:tblCellMar>
        </w:tblPrEx>
        <w:trPr>
          <w:trHeight w:val="517" w:hRule="atLeast"/>
          <w:jc w:val="center"/>
        </w:trPr>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10</w:t>
            </w:r>
          </w:p>
        </w:tc>
        <w:tc>
          <w:tcPr>
            <w:tcW w:w="14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30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48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29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614" w:type="dxa"/>
            <w:vMerge w:val="continue"/>
            <w:tcBorders>
              <w:left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p>
        </w:tc>
      </w:tr>
      <w:tr>
        <w:tblPrEx>
          <w:tblLayout w:type="fixed"/>
          <w:tblCellMar>
            <w:top w:w="0" w:type="dxa"/>
            <w:left w:w="108" w:type="dxa"/>
            <w:bottom w:w="0" w:type="dxa"/>
            <w:right w:w="108" w:type="dxa"/>
          </w:tblCellMar>
        </w:tblPrEx>
        <w:trPr>
          <w:trHeight w:val="517" w:hRule="atLeast"/>
          <w:jc w:val="center"/>
        </w:trPr>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11</w:t>
            </w:r>
          </w:p>
        </w:tc>
        <w:tc>
          <w:tcPr>
            <w:tcW w:w="14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30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48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29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614" w:type="dxa"/>
            <w:vMerge w:val="continue"/>
            <w:tcBorders>
              <w:left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p>
        </w:tc>
      </w:tr>
      <w:tr>
        <w:tblPrEx>
          <w:tblLayout w:type="fixed"/>
          <w:tblCellMar>
            <w:top w:w="0" w:type="dxa"/>
            <w:left w:w="108" w:type="dxa"/>
            <w:bottom w:w="0" w:type="dxa"/>
            <w:right w:w="108" w:type="dxa"/>
          </w:tblCellMar>
        </w:tblPrEx>
        <w:trPr>
          <w:trHeight w:val="517" w:hRule="atLeast"/>
          <w:jc w:val="center"/>
        </w:trPr>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12</w:t>
            </w:r>
          </w:p>
        </w:tc>
        <w:tc>
          <w:tcPr>
            <w:tcW w:w="14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30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48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29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614" w:type="dxa"/>
            <w:vMerge w:val="continue"/>
            <w:tcBorders>
              <w:left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p>
        </w:tc>
      </w:tr>
      <w:tr>
        <w:tblPrEx>
          <w:tblLayout w:type="fixed"/>
          <w:tblCellMar>
            <w:top w:w="0" w:type="dxa"/>
            <w:left w:w="108" w:type="dxa"/>
            <w:bottom w:w="0" w:type="dxa"/>
            <w:right w:w="108" w:type="dxa"/>
          </w:tblCellMar>
        </w:tblPrEx>
        <w:trPr>
          <w:trHeight w:val="517" w:hRule="atLeast"/>
          <w:jc w:val="center"/>
        </w:trPr>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13</w:t>
            </w:r>
          </w:p>
        </w:tc>
        <w:tc>
          <w:tcPr>
            <w:tcW w:w="14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30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48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29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614" w:type="dxa"/>
            <w:vMerge w:val="continue"/>
            <w:tcBorders>
              <w:left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p>
        </w:tc>
      </w:tr>
      <w:tr>
        <w:tblPrEx>
          <w:tblLayout w:type="fixed"/>
          <w:tblCellMar>
            <w:top w:w="0" w:type="dxa"/>
            <w:left w:w="108" w:type="dxa"/>
            <w:bottom w:w="0" w:type="dxa"/>
            <w:right w:w="108" w:type="dxa"/>
          </w:tblCellMar>
        </w:tblPrEx>
        <w:trPr>
          <w:trHeight w:val="517" w:hRule="atLeast"/>
          <w:jc w:val="center"/>
        </w:trPr>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14</w:t>
            </w:r>
          </w:p>
        </w:tc>
        <w:tc>
          <w:tcPr>
            <w:tcW w:w="14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30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48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29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614" w:type="dxa"/>
            <w:vMerge w:val="continue"/>
            <w:tcBorders>
              <w:left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p>
        </w:tc>
      </w:tr>
      <w:tr>
        <w:tblPrEx>
          <w:tblLayout w:type="fixed"/>
          <w:tblCellMar>
            <w:top w:w="0" w:type="dxa"/>
            <w:left w:w="108" w:type="dxa"/>
            <w:bottom w:w="0" w:type="dxa"/>
            <w:right w:w="108" w:type="dxa"/>
          </w:tblCellMar>
        </w:tblPrEx>
        <w:trPr>
          <w:trHeight w:val="517" w:hRule="atLeast"/>
          <w:jc w:val="center"/>
        </w:trPr>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15</w:t>
            </w:r>
          </w:p>
        </w:tc>
        <w:tc>
          <w:tcPr>
            <w:tcW w:w="14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30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48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29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614" w:type="dxa"/>
            <w:vMerge w:val="continue"/>
            <w:tcBorders>
              <w:left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p>
        </w:tc>
      </w:tr>
      <w:tr>
        <w:tblPrEx>
          <w:tblLayout w:type="fixed"/>
          <w:tblCellMar>
            <w:top w:w="0" w:type="dxa"/>
            <w:left w:w="108" w:type="dxa"/>
            <w:bottom w:w="0" w:type="dxa"/>
            <w:right w:w="108" w:type="dxa"/>
          </w:tblCellMar>
        </w:tblPrEx>
        <w:trPr>
          <w:trHeight w:val="517" w:hRule="atLeast"/>
          <w:jc w:val="center"/>
        </w:trPr>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w:t>
            </w:r>
          </w:p>
        </w:tc>
        <w:tc>
          <w:tcPr>
            <w:tcW w:w="14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30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48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29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614"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p>
        </w:tc>
      </w:tr>
    </w:tbl>
    <w:p>
      <w:pPr>
        <w:rPr>
          <w:rFonts w:hint="eastAsia" w:ascii="新宋体" w:hAnsi="新宋体" w:eastAsia="新宋体" w:cs="新宋体"/>
          <w:color w:val="auto"/>
          <w:sz w:val="28"/>
          <w:szCs w:val="28"/>
          <w:highlight w:val="none"/>
          <w:lang w:eastAsia="zh-CN"/>
        </w:rPr>
      </w:pPr>
      <w:r>
        <w:rPr>
          <w:rFonts w:hint="eastAsia" w:ascii="新宋体" w:hAnsi="新宋体" w:eastAsia="新宋体" w:cs="新宋体"/>
          <w:color w:val="auto"/>
          <w:sz w:val="28"/>
          <w:szCs w:val="28"/>
          <w:highlight w:val="none"/>
          <w:lang w:eastAsia="zh-CN"/>
        </w:rPr>
        <w:br w:type="page"/>
      </w:r>
    </w:p>
    <w:p>
      <w:pPr>
        <w:jc w:val="center"/>
        <w:rPr>
          <w:rFonts w:hint="eastAsia" w:ascii="新宋体" w:hAnsi="新宋体" w:eastAsia="新宋体" w:cs="新宋体"/>
          <w:b w:val="0"/>
          <w:bCs w:val="0"/>
          <w:color w:val="auto"/>
          <w:kern w:val="2"/>
          <w:sz w:val="32"/>
          <w:szCs w:val="32"/>
          <w:highlight w:val="none"/>
          <w:lang w:val="en-US" w:eastAsia="zh-CN" w:bidi="ar-SA"/>
        </w:rPr>
      </w:pPr>
      <w:r>
        <w:rPr>
          <w:rFonts w:hint="eastAsia" w:ascii="新宋体" w:hAnsi="新宋体" w:eastAsia="新宋体" w:cs="新宋体"/>
          <w:b w:val="0"/>
          <w:bCs w:val="0"/>
          <w:color w:val="auto"/>
          <w:kern w:val="2"/>
          <w:sz w:val="32"/>
          <w:szCs w:val="32"/>
          <w:highlight w:val="none"/>
          <w:lang w:val="en-US" w:eastAsia="zh-CN" w:bidi="ar-SA"/>
        </w:rPr>
        <w:t>（三）质保期内标准备品备件、易损件详细清单</w:t>
      </w:r>
    </w:p>
    <w:tbl>
      <w:tblPr>
        <w:tblStyle w:val="62"/>
        <w:tblW w:w="9180" w:type="dxa"/>
        <w:jc w:val="center"/>
        <w:tblInd w:w="0" w:type="dxa"/>
        <w:tblLayout w:type="fixed"/>
        <w:tblCellMar>
          <w:top w:w="0" w:type="dxa"/>
          <w:left w:w="108" w:type="dxa"/>
          <w:bottom w:w="0" w:type="dxa"/>
          <w:right w:w="108" w:type="dxa"/>
        </w:tblCellMar>
      </w:tblPr>
      <w:tblGrid>
        <w:gridCol w:w="858"/>
        <w:gridCol w:w="2080"/>
        <w:gridCol w:w="1660"/>
        <w:gridCol w:w="603"/>
        <w:gridCol w:w="609"/>
        <w:gridCol w:w="850"/>
        <w:gridCol w:w="881"/>
        <w:gridCol w:w="1639"/>
      </w:tblGrid>
      <w:tr>
        <w:tblPrEx>
          <w:tblLayout w:type="fixed"/>
          <w:tblCellMar>
            <w:top w:w="0" w:type="dxa"/>
            <w:left w:w="108" w:type="dxa"/>
            <w:bottom w:w="0" w:type="dxa"/>
            <w:right w:w="108" w:type="dxa"/>
          </w:tblCellMar>
        </w:tblPrEx>
        <w:trPr>
          <w:trHeight w:val="520"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序号</w:t>
            </w:r>
          </w:p>
        </w:tc>
        <w:tc>
          <w:tcPr>
            <w:tcW w:w="20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名称</w:t>
            </w:r>
          </w:p>
        </w:tc>
        <w:tc>
          <w:tcPr>
            <w:tcW w:w="166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型号规格</w:t>
            </w:r>
          </w:p>
        </w:tc>
        <w:tc>
          <w:tcPr>
            <w:tcW w:w="60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单位</w:t>
            </w:r>
          </w:p>
        </w:tc>
        <w:tc>
          <w:tcPr>
            <w:tcW w:w="6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数量</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eastAsia="zh-CN"/>
              </w:rPr>
            </w:pPr>
            <w:r>
              <w:rPr>
                <w:rFonts w:hint="eastAsia" w:ascii="新宋体" w:hAnsi="新宋体" w:eastAsia="新宋体" w:cs="新宋体"/>
                <w:color w:val="auto"/>
                <w:sz w:val="21"/>
                <w:szCs w:val="21"/>
                <w:highlight w:val="none"/>
              </w:rPr>
              <w:t>单价</w:t>
            </w:r>
          </w:p>
          <w:p>
            <w:pPr>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（元）</w:t>
            </w:r>
          </w:p>
        </w:tc>
        <w:tc>
          <w:tcPr>
            <w:tcW w:w="88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eastAsia="zh-CN"/>
              </w:rPr>
            </w:pPr>
            <w:r>
              <w:rPr>
                <w:rFonts w:hint="eastAsia" w:ascii="新宋体" w:hAnsi="新宋体" w:eastAsia="新宋体" w:cs="新宋体"/>
                <w:color w:val="auto"/>
                <w:sz w:val="21"/>
                <w:szCs w:val="21"/>
                <w:highlight w:val="none"/>
              </w:rPr>
              <w:t>合价</w:t>
            </w:r>
          </w:p>
          <w:p>
            <w:pPr>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（元）</w:t>
            </w:r>
          </w:p>
        </w:tc>
        <w:tc>
          <w:tcPr>
            <w:tcW w:w="163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备注</w:t>
            </w:r>
          </w:p>
        </w:tc>
      </w:tr>
      <w:tr>
        <w:tblPrEx>
          <w:tblLayout w:type="fixed"/>
          <w:tblCellMar>
            <w:top w:w="0" w:type="dxa"/>
            <w:left w:w="108" w:type="dxa"/>
            <w:bottom w:w="0" w:type="dxa"/>
            <w:right w:w="108" w:type="dxa"/>
          </w:tblCellMar>
        </w:tblPrEx>
        <w:trPr>
          <w:trHeight w:val="503" w:hRule="atLeast"/>
          <w:jc w:val="center"/>
        </w:trPr>
        <w:tc>
          <w:tcPr>
            <w:tcW w:w="85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1</w:t>
            </w:r>
          </w:p>
        </w:tc>
        <w:tc>
          <w:tcPr>
            <w:tcW w:w="2080"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660"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603"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609"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881"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639"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r>
      <w:tr>
        <w:tblPrEx>
          <w:tblLayout w:type="fixed"/>
          <w:tblCellMar>
            <w:top w:w="0" w:type="dxa"/>
            <w:left w:w="108" w:type="dxa"/>
            <w:bottom w:w="0" w:type="dxa"/>
            <w:right w:w="108" w:type="dxa"/>
          </w:tblCellMar>
        </w:tblPrEx>
        <w:trPr>
          <w:trHeight w:val="503" w:hRule="atLeast"/>
          <w:jc w:val="center"/>
        </w:trPr>
        <w:tc>
          <w:tcPr>
            <w:tcW w:w="85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2</w:t>
            </w:r>
          </w:p>
        </w:tc>
        <w:tc>
          <w:tcPr>
            <w:tcW w:w="2080"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660"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603"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609"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881"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639"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r>
      <w:tr>
        <w:tblPrEx>
          <w:tblLayout w:type="fixed"/>
          <w:tblCellMar>
            <w:top w:w="0" w:type="dxa"/>
            <w:left w:w="108" w:type="dxa"/>
            <w:bottom w:w="0" w:type="dxa"/>
            <w:right w:w="108" w:type="dxa"/>
          </w:tblCellMar>
        </w:tblPrEx>
        <w:trPr>
          <w:trHeight w:val="503" w:hRule="atLeast"/>
          <w:jc w:val="center"/>
        </w:trPr>
        <w:tc>
          <w:tcPr>
            <w:tcW w:w="85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3</w:t>
            </w:r>
          </w:p>
        </w:tc>
        <w:tc>
          <w:tcPr>
            <w:tcW w:w="2080"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660"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603"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609"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881"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639"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r>
      <w:tr>
        <w:tblPrEx>
          <w:tblLayout w:type="fixed"/>
          <w:tblCellMar>
            <w:top w:w="0" w:type="dxa"/>
            <w:left w:w="108" w:type="dxa"/>
            <w:bottom w:w="0" w:type="dxa"/>
            <w:right w:w="108" w:type="dxa"/>
          </w:tblCellMar>
        </w:tblPrEx>
        <w:trPr>
          <w:trHeight w:val="503" w:hRule="atLeast"/>
          <w:jc w:val="center"/>
        </w:trPr>
        <w:tc>
          <w:tcPr>
            <w:tcW w:w="85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4</w:t>
            </w:r>
          </w:p>
        </w:tc>
        <w:tc>
          <w:tcPr>
            <w:tcW w:w="2080"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660"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603"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609"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881"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639"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r>
      <w:tr>
        <w:tblPrEx>
          <w:tblLayout w:type="fixed"/>
          <w:tblCellMar>
            <w:top w:w="0" w:type="dxa"/>
            <w:left w:w="108" w:type="dxa"/>
            <w:bottom w:w="0" w:type="dxa"/>
            <w:right w:w="108" w:type="dxa"/>
          </w:tblCellMar>
        </w:tblPrEx>
        <w:trPr>
          <w:trHeight w:val="503" w:hRule="atLeast"/>
          <w:jc w:val="center"/>
        </w:trPr>
        <w:tc>
          <w:tcPr>
            <w:tcW w:w="85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5</w:t>
            </w:r>
          </w:p>
        </w:tc>
        <w:tc>
          <w:tcPr>
            <w:tcW w:w="2080"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660"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603"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609"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881"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639"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r>
      <w:tr>
        <w:tblPrEx>
          <w:tblLayout w:type="fixed"/>
          <w:tblCellMar>
            <w:top w:w="0" w:type="dxa"/>
            <w:left w:w="108" w:type="dxa"/>
            <w:bottom w:w="0" w:type="dxa"/>
            <w:right w:w="108" w:type="dxa"/>
          </w:tblCellMar>
        </w:tblPrEx>
        <w:trPr>
          <w:trHeight w:val="503" w:hRule="atLeast"/>
          <w:jc w:val="center"/>
        </w:trPr>
        <w:tc>
          <w:tcPr>
            <w:tcW w:w="85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6</w:t>
            </w:r>
          </w:p>
        </w:tc>
        <w:tc>
          <w:tcPr>
            <w:tcW w:w="2080"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660"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603"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609"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881"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639"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r>
      <w:tr>
        <w:tblPrEx>
          <w:tblLayout w:type="fixed"/>
          <w:tblCellMar>
            <w:top w:w="0" w:type="dxa"/>
            <w:left w:w="108" w:type="dxa"/>
            <w:bottom w:w="0" w:type="dxa"/>
            <w:right w:w="108" w:type="dxa"/>
          </w:tblCellMar>
        </w:tblPrEx>
        <w:trPr>
          <w:trHeight w:val="503" w:hRule="atLeast"/>
          <w:jc w:val="center"/>
        </w:trPr>
        <w:tc>
          <w:tcPr>
            <w:tcW w:w="85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7</w:t>
            </w:r>
          </w:p>
        </w:tc>
        <w:tc>
          <w:tcPr>
            <w:tcW w:w="2080"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660"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603"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609"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881"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639"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r>
      <w:tr>
        <w:tblPrEx>
          <w:tblLayout w:type="fixed"/>
          <w:tblCellMar>
            <w:top w:w="0" w:type="dxa"/>
            <w:left w:w="108" w:type="dxa"/>
            <w:bottom w:w="0" w:type="dxa"/>
            <w:right w:w="108" w:type="dxa"/>
          </w:tblCellMar>
        </w:tblPrEx>
        <w:trPr>
          <w:trHeight w:val="503" w:hRule="atLeast"/>
          <w:jc w:val="center"/>
        </w:trPr>
        <w:tc>
          <w:tcPr>
            <w:tcW w:w="85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8</w:t>
            </w:r>
          </w:p>
        </w:tc>
        <w:tc>
          <w:tcPr>
            <w:tcW w:w="2080"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660"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603"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609"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881"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639"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r>
      <w:tr>
        <w:tblPrEx>
          <w:tblLayout w:type="fixed"/>
          <w:tblCellMar>
            <w:top w:w="0" w:type="dxa"/>
            <w:left w:w="108" w:type="dxa"/>
            <w:bottom w:w="0" w:type="dxa"/>
            <w:right w:w="108" w:type="dxa"/>
          </w:tblCellMar>
        </w:tblPrEx>
        <w:trPr>
          <w:trHeight w:val="503" w:hRule="atLeast"/>
          <w:jc w:val="center"/>
        </w:trPr>
        <w:tc>
          <w:tcPr>
            <w:tcW w:w="85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9</w:t>
            </w:r>
          </w:p>
        </w:tc>
        <w:tc>
          <w:tcPr>
            <w:tcW w:w="2080"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660"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603"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609"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881"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639"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r>
      <w:tr>
        <w:tblPrEx>
          <w:tblLayout w:type="fixed"/>
          <w:tblCellMar>
            <w:top w:w="0" w:type="dxa"/>
            <w:left w:w="108" w:type="dxa"/>
            <w:bottom w:w="0" w:type="dxa"/>
            <w:right w:w="108" w:type="dxa"/>
          </w:tblCellMar>
        </w:tblPrEx>
        <w:trPr>
          <w:trHeight w:val="503" w:hRule="atLeast"/>
          <w:jc w:val="center"/>
        </w:trPr>
        <w:tc>
          <w:tcPr>
            <w:tcW w:w="85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10</w:t>
            </w:r>
          </w:p>
        </w:tc>
        <w:tc>
          <w:tcPr>
            <w:tcW w:w="2080"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660"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603"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609"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881"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639"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r>
      <w:tr>
        <w:tblPrEx>
          <w:tblLayout w:type="fixed"/>
          <w:tblCellMar>
            <w:top w:w="0" w:type="dxa"/>
            <w:left w:w="108" w:type="dxa"/>
            <w:bottom w:w="0" w:type="dxa"/>
            <w:right w:w="108" w:type="dxa"/>
          </w:tblCellMar>
        </w:tblPrEx>
        <w:trPr>
          <w:trHeight w:val="503" w:hRule="atLeast"/>
          <w:jc w:val="center"/>
        </w:trPr>
        <w:tc>
          <w:tcPr>
            <w:tcW w:w="85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11</w:t>
            </w:r>
          </w:p>
        </w:tc>
        <w:tc>
          <w:tcPr>
            <w:tcW w:w="2080"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660"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603"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609"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881"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639"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r>
      <w:tr>
        <w:tblPrEx>
          <w:tblLayout w:type="fixed"/>
          <w:tblCellMar>
            <w:top w:w="0" w:type="dxa"/>
            <w:left w:w="108" w:type="dxa"/>
            <w:bottom w:w="0" w:type="dxa"/>
            <w:right w:w="108" w:type="dxa"/>
          </w:tblCellMar>
        </w:tblPrEx>
        <w:trPr>
          <w:trHeight w:val="503" w:hRule="atLeast"/>
          <w:jc w:val="center"/>
        </w:trPr>
        <w:tc>
          <w:tcPr>
            <w:tcW w:w="85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12</w:t>
            </w:r>
          </w:p>
        </w:tc>
        <w:tc>
          <w:tcPr>
            <w:tcW w:w="2080"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660"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603"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609"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881"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639"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r>
      <w:tr>
        <w:tblPrEx>
          <w:tblLayout w:type="fixed"/>
          <w:tblCellMar>
            <w:top w:w="0" w:type="dxa"/>
            <w:left w:w="108" w:type="dxa"/>
            <w:bottom w:w="0" w:type="dxa"/>
            <w:right w:w="108" w:type="dxa"/>
          </w:tblCellMar>
        </w:tblPrEx>
        <w:trPr>
          <w:trHeight w:val="503" w:hRule="atLeast"/>
          <w:jc w:val="center"/>
        </w:trPr>
        <w:tc>
          <w:tcPr>
            <w:tcW w:w="85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13</w:t>
            </w:r>
          </w:p>
        </w:tc>
        <w:tc>
          <w:tcPr>
            <w:tcW w:w="2080"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660"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603"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609"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881"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639"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r>
      <w:tr>
        <w:tblPrEx>
          <w:tblLayout w:type="fixed"/>
          <w:tblCellMar>
            <w:top w:w="0" w:type="dxa"/>
            <w:left w:w="108" w:type="dxa"/>
            <w:bottom w:w="0" w:type="dxa"/>
            <w:right w:w="108" w:type="dxa"/>
          </w:tblCellMar>
        </w:tblPrEx>
        <w:trPr>
          <w:trHeight w:val="503" w:hRule="atLeast"/>
          <w:jc w:val="center"/>
        </w:trPr>
        <w:tc>
          <w:tcPr>
            <w:tcW w:w="85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14</w:t>
            </w:r>
          </w:p>
        </w:tc>
        <w:tc>
          <w:tcPr>
            <w:tcW w:w="2080"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660"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603"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609"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881"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639"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r>
      <w:tr>
        <w:tblPrEx>
          <w:tblLayout w:type="fixed"/>
          <w:tblCellMar>
            <w:top w:w="0" w:type="dxa"/>
            <w:left w:w="108" w:type="dxa"/>
            <w:bottom w:w="0" w:type="dxa"/>
            <w:right w:w="108" w:type="dxa"/>
          </w:tblCellMar>
        </w:tblPrEx>
        <w:trPr>
          <w:trHeight w:val="503" w:hRule="atLeast"/>
          <w:jc w:val="center"/>
        </w:trPr>
        <w:tc>
          <w:tcPr>
            <w:tcW w:w="85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15</w:t>
            </w:r>
          </w:p>
        </w:tc>
        <w:tc>
          <w:tcPr>
            <w:tcW w:w="2080"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660"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603"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609"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881"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639"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r>
      <w:tr>
        <w:tblPrEx>
          <w:tblLayout w:type="fixed"/>
          <w:tblCellMar>
            <w:top w:w="0" w:type="dxa"/>
            <w:left w:w="108" w:type="dxa"/>
            <w:bottom w:w="0" w:type="dxa"/>
            <w:right w:w="108" w:type="dxa"/>
          </w:tblCellMar>
        </w:tblPrEx>
        <w:trPr>
          <w:trHeight w:val="503" w:hRule="atLeast"/>
          <w:jc w:val="center"/>
        </w:trPr>
        <w:tc>
          <w:tcPr>
            <w:tcW w:w="85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lang w:eastAsia="zh-CN"/>
              </w:rPr>
            </w:pPr>
            <w:r>
              <w:rPr>
                <w:rFonts w:hint="eastAsia" w:ascii="新宋体" w:hAnsi="新宋体" w:eastAsia="新宋体" w:cs="新宋体"/>
                <w:color w:val="auto"/>
                <w:sz w:val="21"/>
                <w:szCs w:val="21"/>
                <w:highlight w:val="none"/>
                <w:lang w:eastAsia="zh-CN"/>
              </w:rPr>
              <w:t>……</w:t>
            </w:r>
          </w:p>
        </w:tc>
        <w:tc>
          <w:tcPr>
            <w:tcW w:w="2080"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660"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603"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609"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881"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c>
          <w:tcPr>
            <w:tcW w:w="1639" w:type="dxa"/>
            <w:tcBorders>
              <w:top w:val="nil"/>
              <w:left w:val="nil"/>
              <w:bottom w:val="single" w:color="auto" w:sz="4" w:space="0"/>
              <w:right w:val="single" w:color="auto" w:sz="4" w:space="0"/>
            </w:tcBorders>
            <w:shd w:val="clear" w:color="auto" w:fill="auto"/>
            <w:vAlign w:val="center"/>
          </w:tcPr>
          <w:p>
            <w:pPr>
              <w:jc w:val="center"/>
              <w:rPr>
                <w:rFonts w:hint="eastAsia" w:ascii="新宋体" w:hAnsi="新宋体" w:eastAsia="新宋体" w:cs="新宋体"/>
                <w:color w:val="auto"/>
                <w:sz w:val="21"/>
                <w:szCs w:val="21"/>
                <w:highlight w:val="none"/>
              </w:rPr>
            </w:pPr>
          </w:p>
        </w:tc>
      </w:tr>
    </w:tbl>
    <w:p>
      <w:pPr>
        <w:pStyle w:val="4"/>
        <w:spacing w:line="360" w:lineRule="auto"/>
        <w:rPr>
          <w:rFonts w:hint="eastAsia" w:ascii="新宋体" w:hAnsi="新宋体" w:eastAsia="新宋体" w:cs="新宋体"/>
          <w:color w:val="auto"/>
          <w:kern w:val="0"/>
          <w:sz w:val="24"/>
          <w:szCs w:val="21"/>
          <w:highlight w:val="none"/>
        </w:rPr>
      </w:pPr>
    </w:p>
    <w:p>
      <w:pPr>
        <w:rPr>
          <w:rFonts w:hint="eastAsia" w:ascii="新宋体" w:hAnsi="新宋体" w:eastAsia="新宋体" w:cs="新宋体"/>
          <w:b w:val="0"/>
          <w:bCs w:val="0"/>
          <w:color w:val="auto"/>
          <w:sz w:val="44"/>
          <w:szCs w:val="44"/>
          <w:highlight w:val="none"/>
        </w:rPr>
      </w:pPr>
      <w:bookmarkStart w:id="664" w:name="_Toc57820655"/>
      <w:r>
        <w:rPr>
          <w:rFonts w:hint="eastAsia" w:ascii="新宋体" w:hAnsi="新宋体" w:eastAsia="新宋体" w:cs="新宋体"/>
          <w:b w:val="0"/>
          <w:bCs w:val="0"/>
          <w:color w:val="auto"/>
          <w:sz w:val="44"/>
          <w:szCs w:val="44"/>
          <w:highlight w:val="none"/>
        </w:rPr>
        <w:br w:type="page"/>
      </w:r>
    </w:p>
    <w:p>
      <w:pPr>
        <w:pStyle w:val="4"/>
        <w:spacing w:line="360" w:lineRule="auto"/>
        <w:jc w:val="center"/>
        <w:rPr>
          <w:rFonts w:hint="eastAsia" w:ascii="新宋体" w:hAnsi="新宋体" w:eastAsia="新宋体" w:cs="新宋体"/>
          <w:b w:val="0"/>
          <w:bCs w:val="0"/>
          <w:color w:val="auto"/>
          <w:sz w:val="44"/>
          <w:szCs w:val="44"/>
          <w:highlight w:val="none"/>
        </w:rPr>
      </w:pPr>
      <w:r>
        <w:rPr>
          <w:rFonts w:hint="eastAsia" w:ascii="新宋体" w:hAnsi="新宋体" w:eastAsia="新宋体" w:cs="新宋体"/>
          <w:b w:val="0"/>
          <w:bCs w:val="0"/>
          <w:color w:val="auto"/>
          <w:sz w:val="44"/>
          <w:szCs w:val="44"/>
          <w:highlight w:val="none"/>
        </w:rPr>
        <w:t>三、技术部分</w:t>
      </w:r>
      <w:bookmarkEnd w:id="660"/>
      <w:bookmarkEnd w:id="661"/>
      <w:bookmarkEnd w:id="664"/>
    </w:p>
    <w:p>
      <w:pPr>
        <w:jc w:val="center"/>
        <w:rPr>
          <w:rFonts w:hint="eastAsia" w:ascii="新宋体" w:hAnsi="新宋体" w:eastAsia="新宋体" w:cs="新宋体"/>
          <w:i/>
          <w:iCs/>
          <w:color w:val="auto"/>
          <w:kern w:val="0"/>
          <w:szCs w:val="21"/>
          <w:highlight w:val="none"/>
        </w:rPr>
      </w:pPr>
      <w:bookmarkStart w:id="665" w:name="_Toc509218856"/>
      <w:bookmarkStart w:id="666" w:name="_Toc536628352"/>
      <w:bookmarkStart w:id="667" w:name="_Toc534185833"/>
      <w:bookmarkStart w:id="668" w:name="_Toc430530537"/>
      <w:r>
        <w:rPr>
          <w:rFonts w:hint="eastAsia" w:ascii="新宋体" w:hAnsi="新宋体" w:eastAsia="新宋体" w:cs="新宋体"/>
          <w:i/>
          <w:iCs/>
          <w:color w:val="auto"/>
          <w:kern w:val="0"/>
          <w:szCs w:val="21"/>
          <w:highlight w:val="none"/>
        </w:rPr>
        <w:t>[</w:t>
      </w:r>
      <w:r>
        <w:rPr>
          <w:rFonts w:hint="eastAsia" w:ascii="新宋体" w:hAnsi="新宋体" w:eastAsia="新宋体" w:cs="新宋体"/>
          <w:i/>
          <w:iCs/>
          <w:color w:val="auto"/>
          <w:highlight w:val="none"/>
        </w:rPr>
        <w:t>提示：不设置技术方案评审的不设此部分</w:t>
      </w:r>
      <w:bookmarkEnd w:id="662"/>
      <w:bookmarkEnd w:id="663"/>
      <w:bookmarkEnd w:id="665"/>
      <w:bookmarkEnd w:id="666"/>
      <w:bookmarkEnd w:id="667"/>
      <w:bookmarkEnd w:id="668"/>
      <w:r>
        <w:rPr>
          <w:rFonts w:hint="eastAsia" w:ascii="新宋体" w:hAnsi="新宋体" w:eastAsia="新宋体" w:cs="新宋体"/>
          <w:i/>
          <w:iCs/>
          <w:color w:val="auto"/>
          <w:kern w:val="0"/>
          <w:szCs w:val="21"/>
          <w:highlight w:val="none"/>
        </w:rPr>
        <w:t>]</w:t>
      </w:r>
    </w:p>
    <w:p>
      <w:pPr>
        <w:jc w:val="center"/>
        <w:rPr>
          <w:rFonts w:hint="eastAsia" w:ascii="新宋体" w:hAnsi="新宋体" w:eastAsia="新宋体" w:cs="新宋体"/>
          <w:i w:val="0"/>
          <w:iCs w:val="0"/>
          <w:color w:val="auto"/>
          <w:highlight w:val="none"/>
          <w:lang w:eastAsia="zh-CN"/>
        </w:rPr>
      </w:pPr>
      <w:r>
        <w:rPr>
          <w:rFonts w:hint="eastAsia" w:ascii="新宋体" w:hAnsi="新宋体" w:eastAsia="新宋体" w:cs="新宋体"/>
          <w:i w:val="0"/>
          <w:iCs w:val="0"/>
          <w:color w:val="auto"/>
          <w:kern w:val="0"/>
          <w:szCs w:val="21"/>
          <w:highlight w:val="none"/>
          <w:lang w:eastAsia="zh-CN"/>
        </w:rPr>
        <w:t>（</w:t>
      </w:r>
      <w:r>
        <w:rPr>
          <w:rFonts w:hint="eastAsia" w:ascii="新宋体" w:hAnsi="新宋体" w:eastAsia="新宋体" w:cs="新宋体"/>
          <w:i w:val="0"/>
          <w:iCs w:val="0"/>
          <w:color w:val="auto"/>
          <w:kern w:val="0"/>
          <w:szCs w:val="21"/>
          <w:highlight w:val="none"/>
          <w:lang w:val="en-US" w:eastAsia="zh-CN"/>
        </w:rPr>
        <w:t>注：</w:t>
      </w:r>
      <w:r>
        <w:rPr>
          <w:rFonts w:hint="eastAsia" w:ascii="新宋体" w:hAnsi="新宋体" w:eastAsia="新宋体" w:cs="新宋体"/>
          <w:i w:val="0"/>
          <w:iCs w:val="0"/>
          <w:color w:val="auto"/>
          <w:szCs w:val="21"/>
          <w:highlight w:val="none"/>
        </w:rPr>
        <w:t>电子投标文件技术明</w:t>
      </w:r>
      <w:r>
        <w:rPr>
          <w:rFonts w:hint="eastAsia" w:ascii="新宋体" w:hAnsi="新宋体" w:eastAsia="新宋体" w:cs="新宋体"/>
          <w:i w:val="0"/>
          <w:iCs w:val="0"/>
          <w:color w:val="auto"/>
          <w:szCs w:val="21"/>
          <w:highlight w:val="none"/>
          <w:lang w:eastAsia="zh-CN"/>
        </w:rPr>
        <w:t>、</w:t>
      </w:r>
      <w:r>
        <w:rPr>
          <w:rFonts w:hint="eastAsia" w:ascii="新宋体" w:hAnsi="新宋体" w:eastAsia="新宋体" w:cs="新宋体"/>
          <w:i w:val="0"/>
          <w:iCs w:val="0"/>
          <w:color w:val="auto"/>
          <w:szCs w:val="21"/>
          <w:highlight w:val="none"/>
          <w:lang w:val="en-US" w:eastAsia="zh-CN"/>
        </w:rPr>
        <w:t>暗</w:t>
      </w:r>
      <w:r>
        <w:rPr>
          <w:rFonts w:hint="eastAsia" w:ascii="新宋体" w:hAnsi="新宋体" w:eastAsia="新宋体" w:cs="新宋体"/>
          <w:i w:val="0"/>
          <w:iCs w:val="0"/>
          <w:color w:val="auto"/>
          <w:szCs w:val="21"/>
          <w:highlight w:val="none"/>
        </w:rPr>
        <w:t>标</w:t>
      </w:r>
      <w:r>
        <w:rPr>
          <w:rFonts w:hint="eastAsia" w:ascii="新宋体" w:hAnsi="新宋体" w:eastAsia="新宋体" w:cs="新宋体"/>
          <w:i w:val="0"/>
          <w:iCs w:val="0"/>
          <w:color w:val="auto"/>
          <w:szCs w:val="21"/>
          <w:highlight w:val="none"/>
          <w:lang w:val="en-US" w:eastAsia="zh-CN"/>
        </w:rPr>
        <w:t>均</w:t>
      </w:r>
      <w:r>
        <w:rPr>
          <w:rFonts w:hint="eastAsia" w:ascii="新宋体" w:hAnsi="新宋体" w:eastAsia="新宋体" w:cs="新宋体"/>
          <w:i w:val="0"/>
          <w:iCs w:val="0"/>
          <w:color w:val="auto"/>
          <w:szCs w:val="21"/>
          <w:highlight w:val="none"/>
        </w:rPr>
        <w:t>不设封面</w:t>
      </w:r>
      <w:r>
        <w:rPr>
          <w:rFonts w:hint="eastAsia" w:ascii="新宋体" w:hAnsi="新宋体" w:eastAsia="新宋体" w:cs="新宋体"/>
          <w:i w:val="0"/>
          <w:iCs w:val="0"/>
          <w:color w:val="auto"/>
          <w:kern w:val="0"/>
          <w:szCs w:val="21"/>
          <w:highlight w:val="none"/>
          <w:lang w:eastAsia="zh-CN"/>
        </w:rPr>
        <w:t>）</w:t>
      </w:r>
    </w:p>
    <w:p>
      <w:pPr>
        <w:autoSpaceDE w:val="0"/>
        <w:autoSpaceDN w:val="0"/>
        <w:adjustRightInd w:val="0"/>
        <w:snapToGrid w:val="0"/>
        <w:spacing w:line="360" w:lineRule="auto"/>
        <w:ind w:firstLine="472" w:firstLineChars="196"/>
        <w:rPr>
          <w:rFonts w:hint="eastAsia" w:ascii="新宋体" w:hAnsi="新宋体" w:eastAsia="新宋体" w:cs="新宋体"/>
          <w:b/>
          <w:snapToGrid w:val="0"/>
          <w:color w:val="auto"/>
          <w:kern w:val="0"/>
          <w:sz w:val="24"/>
          <w:highlight w:val="none"/>
        </w:rPr>
      </w:pPr>
    </w:p>
    <w:p>
      <w:pPr>
        <w:autoSpaceDE w:val="0"/>
        <w:autoSpaceDN w:val="0"/>
        <w:adjustRightInd w:val="0"/>
        <w:snapToGrid w:val="0"/>
        <w:spacing w:line="360" w:lineRule="auto"/>
        <w:jc w:val="center"/>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br w:type="page"/>
      </w:r>
    </w:p>
    <w:p>
      <w:pPr>
        <w:autoSpaceDE w:val="0"/>
        <w:autoSpaceDN w:val="0"/>
        <w:adjustRightInd w:val="0"/>
        <w:snapToGrid w:val="0"/>
        <w:spacing w:line="360" w:lineRule="auto"/>
        <w:jc w:val="center"/>
        <w:rPr>
          <w:rFonts w:hint="eastAsia" w:ascii="新宋体" w:hAnsi="新宋体" w:eastAsia="新宋体" w:cs="新宋体"/>
          <w:color w:val="auto"/>
          <w:kern w:val="0"/>
          <w:sz w:val="32"/>
          <w:szCs w:val="32"/>
          <w:highlight w:val="none"/>
        </w:rPr>
      </w:pPr>
      <w:r>
        <w:rPr>
          <w:rFonts w:hint="eastAsia" w:ascii="新宋体" w:hAnsi="新宋体" w:eastAsia="新宋体" w:cs="新宋体"/>
          <w:color w:val="auto"/>
          <w:kern w:val="0"/>
          <w:sz w:val="36"/>
          <w:szCs w:val="36"/>
          <w:highlight w:val="none"/>
        </w:rPr>
        <w:t>目  录</w:t>
      </w:r>
    </w:p>
    <w:p>
      <w:pPr>
        <w:autoSpaceDE w:val="0"/>
        <w:autoSpaceDN w:val="0"/>
        <w:adjustRightInd w:val="0"/>
        <w:snapToGrid w:val="0"/>
        <w:spacing w:line="360" w:lineRule="auto"/>
        <w:jc w:val="center"/>
        <w:rPr>
          <w:rFonts w:hint="eastAsia" w:ascii="新宋体" w:hAnsi="新宋体" w:eastAsia="新宋体" w:cs="新宋体"/>
          <w:i/>
          <w:iCs/>
          <w:color w:val="auto"/>
          <w:kern w:val="0"/>
          <w:szCs w:val="21"/>
          <w:highlight w:val="none"/>
        </w:rPr>
      </w:pPr>
      <w:r>
        <w:rPr>
          <w:rFonts w:hint="eastAsia" w:ascii="新宋体" w:hAnsi="新宋体" w:eastAsia="新宋体" w:cs="新宋体"/>
          <w:i/>
          <w:iCs/>
          <w:color w:val="auto"/>
          <w:kern w:val="0"/>
          <w:szCs w:val="21"/>
          <w:highlight w:val="none"/>
        </w:rPr>
        <w:t>[提示：目录由投标人自行编制]</w:t>
      </w:r>
    </w:p>
    <w:p>
      <w:pPr>
        <w:autoSpaceDE w:val="0"/>
        <w:autoSpaceDN w:val="0"/>
        <w:adjustRightInd w:val="0"/>
        <w:snapToGrid w:val="0"/>
        <w:spacing w:line="360" w:lineRule="auto"/>
        <w:jc w:val="center"/>
        <w:rPr>
          <w:rFonts w:hint="eastAsia" w:ascii="新宋体" w:hAnsi="新宋体" w:eastAsia="新宋体" w:cs="新宋体"/>
          <w:color w:val="auto"/>
          <w:sz w:val="36"/>
          <w:szCs w:val="36"/>
          <w:highlight w:val="none"/>
        </w:rPr>
      </w:pPr>
      <w:r>
        <w:rPr>
          <w:rFonts w:hint="eastAsia" w:ascii="新宋体" w:hAnsi="新宋体" w:eastAsia="新宋体" w:cs="新宋体"/>
          <w:color w:val="auto"/>
          <w:highlight w:val="none"/>
        </w:rPr>
        <w:br w:type="page"/>
      </w:r>
    </w:p>
    <w:p>
      <w:pPr>
        <w:pStyle w:val="4"/>
        <w:spacing w:line="360" w:lineRule="auto"/>
        <w:jc w:val="center"/>
        <w:rPr>
          <w:rFonts w:hint="eastAsia" w:ascii="新宋体" w:hAnsi="新宋体" w:eastAsia="新宋体" w:cs="新宋体"/>
          <w:b w:val="0"/>
          <w:bCs w:val="0"/>
          <w:color w:val="auto"/>
          <w:sz w:val="44"/>
          <w:szCs w:val="44"/>
          <w:highlight w:val="none"/>
          <w:lang w:val="en-US" w:eastAsia="zh-CN"/>
        </w:rPr>
      </w:pPr>
      <w:bookmarkStart w:id="669" w:name="_Toc287620829"/>
      <w:bookmarkStart w:id="670" w:name="_Toc430530545"/>
      <w:bookmarkStart w:id="671" w:name="_Toc277082656"/>
      <w:bookmarkStart w:id="672" w:name="_Toc287607882"/>
      <w:bookmarkStart w:id="673" w:name="_Toc224103510"/>
      <w:bookmarkStart w:id="674" w:name="_Toc57820657"/>
      <w:r>
        <w:rPr>
          <w:rFonts w:hint="eastAsia" w:ascii="新宋体" w:hAnsi="新宋体" w:eastAsia="新宋体" w:cs="新宋体"/>
          <w:b w:val="0"/>
          <w:bCs w:val="0"/>
          <w:color w:val="auto"/>
          <w:sz w:val="44"/>
          <w:szCs w:val="44"/>
          <w:highlight w:val="none"/>
        </w:rPr>
        <w:t>四、</w:t>
      </w:r>
      <w:bookmarkEnd w:id="669"/>
      <w:bookmarkEnd w:id="670"/>
      <w:bookmarkEnd w:id="671"/>
      <w:bookmarkEnd w:id="672"/>
      <w:bookmarkEnd w:id="673"/>
      <w:r>
        <w:rPr>
          <w:rFonts w:hint="eastAsia" w:ascii="新宋体" w:hAnsi="新宋体" w:eastAsia="新宋体" w:cs="新宋体"/>
          <w:b w:val="0"/>
          <w:bCs w:val="0"/>
          <w:color w:val="auto"/>
          <w:sz w:val="44"/>
          <w:szCs w:val="44"/>
          <w:highlight w:val="none"/>
          <w:lang w:val="en-US" w:eastAsia="zh-CN"/>
        </w:rPr>
        <w:t>商务部分</w:t>
      </w:r>
    </w:p>
    <w:p>
      <w:pPr>
        <w:rPr>
          <w:rFonts w:hint="eastAsia" w:ascii="新宋体" w:hAnsi="新宋体" w:eastAsia="新宋体" w:cs="新宋体"/>
          <w:b w:val="0"/>
          <w:bCs w:val="0"/>
          <w:color w:val="auto"/>
          <w:sz w:val="44"/>
          <w:szCs w:val="44"/>
          <w:highlight w:val="none"/>
        </w:rPr>
      </w:pPr>
      <w:r>
        <w:rPr>
          <w:rFonts w:hint="eastAsia" w:ascii="新宋体" w:hAnsi="新宋体" w:eastAsia="新宋体" w:cs="新宋体"/>
          <w:b w:val="0"/>
          <w:bCs w:val="0"/>
          <w:color w:val="auto"/>
          <w:sz w:val="44"/>
          <w:szCs w:val="44"/>
          <w:highlight w:val="none"/>
        </w:rPr>
        <w:br w:type="page"/>
      </w:r>
    </w:p>
    <w:p>
      <w:pPr>
        <w:spacing w:line="360" w:lineRule="auto"/>
        <w:jc w:val="center"/>
        <w:rPr>
          <w:rFonts w:hint="eastAsia" w:ascii="新宋体" w:hAnsi="新宋体" w:eastAsia="新宋体" w:cs="新宋体"/>
          <w:color w:val="auto"/>
          <w:kern w:val="0"/>
          <w:sz w:val="32"/>
          <w:szCs w:val="32"/>
          <w:highlight w:val="none"/>
        </w:rPr>
      </w:pPr>
      <w:r>
        <w:rPr>
          <w:rFonts w:hint="eastAsia" w:ascii="新宋体" w:hAnsi="新宋体" w:eastAsia="新宋体" w:cs="新宋体"/>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hint="eastAsia" w:ascii="新宋体" w:hAnsi="新宋体" w:eastAsia="新宋体" w:cs="新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新宋体" w:hAnsi="新宋体" w:eastAsia="新宋体" w:cs="新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新宋体" w:hAnsi="新宋体" w:eastAsia="新宋体" w:cs="新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新宋体" w:hAnsi="新宋体" w:eastAsia="新宋体" w:cs="新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新宋体" w:hAnsi="新宋体" w:eastAsia="新宋体" w:cs="新宋体"/>
          <w:color w:val="auto"/>
          <w:kern w:val="0"/>
          <w:sz w:val="72"/>
          <w:szCs w:val="72"/>
          <w:highlight w:val="none"/>
        </w:rPr>
      </w:pPr>
      <w:r>
        <w:rPr>
          <w:rFonts w:hint="eastAsia" w:ascii="新宋体" w:hAnsi="新宋体" w:eastAsia="新宋体" w:cs="新宋体"/>
          <w:color w:val="auto"/>
          <w:kern w:val="0"/>
          <w:sz w:val="72"/>
          <w:szCs w:val="72"/>
          <w:highlight w:val="none"/>
        </w:rPr>
        <w:t>投 标 文 件</w:t>
      </w:r>
    </w:p>
    <w:p>
      <w:pPr>
        <w:autoSpaceDE w:val="0"/>
        <w:autoSpaceDN w:val="0"/>
        <w:adjustRightInd w:val="0"/>
        <w:snapToGrid w:val="0"/>
        <w:spacing w:line="360" w:lineRule="auto"/>
        <w:jc w:val="left"/>
        <w:rPr>
          <w:rFonts w:hint="eastAsia" w:ascii="新宋体" w:hAnsi="新宋体" w:eastAsia="新宋体" w:cs="新宋体"/>
          <w:color w:val="auto"/>
          <w:kern w:val="0"/>
          <w:sz w:val="16"/>
          <w:szCs w:val="16"/>
          <w:highlight w:val="none"/>
        </w:rPr>
      </w:pPr>
    </w:p>
    <w:p>
      <w:pPr>
        <w:autoSpaceDE w:val="0"/>
        <w:autoSpaceDN w:val="0"/>
        <w:adjustRightInd w:val="0"/>
        <w:snapToGrid w:val="0"/>
        <w:spacing w:line="360" w:lineRule="auto"/>
        <w:jc w:val="center"/>
        <w:rPr>
          <w:rFonts w:hint="eastAsia" w:ascii="新宋体" w:hAnsi="新宋体" w:eastAsia="新宋体" w:cs="新宋体"/>
          <w:color w:val="auto"/>
          <w:kern w:val="0"/>
          <w:sz w:val="36"/>
          <w:szCs w:val="36"/>
          <w:highlight w:val="none"/>
        </w:rPr>
      </w:pPr>
      <w:r>
        <w:rPr>
          <w:rFonts w:hint="eastAsia" w:ascii="新宋体" w:hAnsi="新宋体" w:eastAsia="新宋体" w:cs="新宋体"/>
          <w:color w:val="auto"/>
          <w:kern w:val="0"/>
          <w:sz w:val="36"/>
          <w:szCs w:val="36"/>
          <w:highlight w:val="none"/>
          <w:lang w:val="en-US" w:eastAsia="zh-CN"/>
        </w:rPr>
        <w:t>商务</w:t>
      </w:r>
      <w:r>
        <w:rPr>
          <w:rFonts w:hint="eastAsia" w:ascii="新宋体" w:hAnsi="新宋体" w:eastAsia="新宋体" w:cs="新宋体"/>
          <w:color w:val="auto"/>
          <w:kern w:val="0"/>
          <w:sz w:val="36"/>
          <w:szCs w:val="36"/>
          <w:highlight w:val="none"/>
        </w:rPr>
        <w:t>部分</w:t>
      </w:r>
    </w:p>
    <w:p>
      <w:pPr>
        <w:autoSpaceDE w:val="0"/>
        <w:autoSpaceDN w:val="0"/>
        <w:adjustRightInd w:val="0"/>
        <w:snapToGrid w:val="0"/>
        <w:spacing w:line="360" w:lineRule="auto"/>
        <w:jc w:val="left"/>
        <w:rPr>
          <w:rFonts w:hint="eastAsia" w:ascii="新宋体" w:hAnsi="新宋体" w:eastAsia="新宋体" w:cs="新宋体"/>
          <w:b/>
          <w:color w:val="auto"/>
          <w:kern w:val="0"/>
          <w:sz w:val="20"/>
          <w:szCs w:val="20"/>
          <w:highlight w:val="none"/>
        </w:rPr>
      </w:pPr>
    </w:p>
    <w:p>
      <w:pPr>
        <w:autoSpaceDE w:val="0"/>
        <w:autoSpaceDN w:val="0"/>
        <w:adjustRightInd w:val="0"/>
        <w:snapToGrid w:val="0"/>
        <w:spacing w:line="360" w:lineRule="auto"/>
        <w:jc w:val="left"/>
        <w:rPr>
          <w:rFonts w:hint="eastAsia" w:ascii="新宋体" w:hAnsi="新宋体" w:eastAsia="新宋体" w:cs="新宋体"/>
          <w:b/>
          <w:color w:val="auto"/>
          <w:kern w:val="0"/>
          <w:sz w:val="20"/>
          <w:szCs w:val="20"/>
          <w:highlight w:val="none"/>
        </w:rPr>
      </w:pPr>
    </w:p>
    <w:p>
      <w:pPr>
        <w:autoSpaceDE w:val="0"/>
        <w:autoSpaceDN w:val="0"/>
        <w:adjustRightInd w:val="0"/>
        <w:snapToGrid w:val="0"/>
        <w:spacing w:line="360" w:lineRule="auto"/>
        <w:jc w:val="left"/>
        <w:rPr>
          <w:rFonts w:hint="eastAsia" w:ascii="新宋体" w:hAnsi="新宋体" w:eastAsia="新宋体" w:cs="新宋体"/>
          <w:b/>
          <w:color w:val="auto"/>
          <w:kern w:val="0"/>
          <w:sz w:val="20"/>
          <w:szCs w:val="20"/>
          <w:highlight w:val="none"/>
        </w:rPr>
      </w:pPr>
    </w:p>
    <w:p>
      <w:pPr>
        <w:autoSpaceDE w:val="0"/>
        <w:autoSpaceDN w:val="0"/>
        <w:adjustRightInd w:val="0"/>
        <w:snapToGrid w:val="0"/>
        <w:spacing w:line="360" w:lineRule="auto"/>
        <w:jc w:val="left"/>
        <w:rPr>
          <w:rFonts w:hint="eastAsia" w:ascii="新宋体" w:hAnsi="新宋体" w:eastAsia="新宋体" w:cs="新宋体"/>
          <w:b/>
          <w:color w:val="auto"/>
          <w:kern w:val="0"/>
          <w:sz w:val="20"/>
          <w:szCs w:val="20"/>
          <w:highlight w:val="none"/>
        </w:rPr>
      </w:pPr>
    </w:p>
    <w:p>
      <w:pPr>
        <w:autoSpaceDE w:val="0"/>
        <w:autoSpaceDN w:val="0"/>
        <w:adjustRightInd w:val="0"/>
        <w:snapToGrid w:val="0"/>
        <w:spacing w:line="360" w:lineRule="auto"/>
        <w:jc w:val="left"/>
        <w:rPr>
          <w:rFonts w:hint="eastAsia" w:ascii="新宋体" w:hAnsi="新宋体" w:eastAsia="新宋体" w:cs="新宋体"/>
          <w:b/>
          <w:color w:val="auto"/>
          <w:kern w:val="0"/>
          <w:sz w:val="20"/>
          <w:szCs w:val="20"/>
          <w:highlight w:val="none"/>
        </w:rPr>
      </w:pPr>
    </w:p>
    <w:p>
      <w:pPr>
        <w:autoSpaceDE w:val="0"/>
        <w:autoSpaceDN w:val="0"/>
        <w:adjustRightInd w:val="0"/>
        <w:snapToGrid w:val="0"/>
        <w:spacing w:line="360" w:lineRule="auto"/>
        <w:jc w:val="left"/>
        <w:rPr>
          <w:rFonts w:hint="eastAsia" w:ascii="新宋体" w:hAnsi="新宋体" w:eastAsia="新宋体" w:cs="新宋体"/>
          <w:b/>
          <w:color w:val="auto"/>
          <w:kern w:val="0"/>
          <w:sz w:val="20"/>
          <w:szCs w:val="20"/>
          <w:highlight w:val="none"/>
        </w:rPr>
      </w:pPr>
    </w:p>
    <w:p>
      <w:pPr>
        <w:autoSpaceDE w:val="0"/>
        <w:autoSpaceDN w:val="0"/>
        <w:adjustRightInd w:val="0"/>
        <w:snapToGrid w:val="0"/>
        <w:spacing w:line="360" w:lineRule="auto"/>
        <w:jc w:val="left"/>
        <w:rPr>
          <w:rFonts w:hint="eastAsia" w:ascii="新宋体" w:hAnsi="新宋体" w:eastAsia="新宋体" w:cs="新宋体"/>
          <w:b/>
          <w:color w:val="auto"/>
          <w:kern w:val="0"/>
          <w:sz w:val="20"/>
          <w:szCs w:val="20"/>
          <w:highlight w:val="none"/>
        </w:rPr>
      </w:pPr>
    </w:p>
    <w:p>
      <w:pPr>
        <w:autoSpaceDE w:val="0"/>
        <w:autoSpaceDN w:val="0"/>
        <w:adjustRightInd w:val="0"/>
        <w:snapToGrid w:val="0"/>
        <w:spacing w:line="360" w:lineRule="auto"/>
        <w:jc w:val="left"/>
        <w:rPr>
          <w:rFonts w:hint="eastAsia" w:ascii="新宋体" w:hAnsi="新宋体" w:eastAsia="新宋体" w:cs="新宋体"/>
          <w:b/>
          <w:color w:val="auto"/>
          <w:kern w:val="0"/>
          <w:sz w:val="20"/>
          <w:szCs w:val="20"/>
          <w:highlight w:val="none"/>
        </w:rPr>
      </w:pPr>
    </w:p>
    <w:p>
      <w:pPr>
        <w:autoSpaceDE w:val="0"/>
        <w:autoSpaceDN w:val="0"/>
        <w:adjustRightInd w:val="0"/>
        <w:snapToGrid w:val="0"/>
        <w:spacing w:line="360" w:lineRule="auto"/>
        <w:jc w:val="left"/>
        <w:rPr>
          <w:rFonts w:hint="eastAsia" w:ascii="新宋体" w:hAnsi="新宋体" w:eastAsia="新宋体" w:cs="新宋体"/>
          <w:b/>
          <w:color w:val="auto"/>
          <w:kern w:val="0"/>
          <w:sz w:val="20"/>
          <w:szCs w:val="20"/>
          <w:highlight w:val="none"/>
        </w:rPr>
      </w:pPr>
    </w:p>
    <w:p>
      <w:pPr>
        <w:autoSpaceDE w:val="0"/>
        <w:autoSpaceDN w:val="0"/>
        <w:adjustRightInd w:val="0"/>
        <w:snapToGrid w:val="0"/>
        <w:spacing w:line="360" w:lineRule="auto"/>
        <w:jc w:val="left"/>
        <w:rPr>
          <w:rFonts w:hint="eastAsia" w:ascii="新宋体" w:hAnsi="新宋体" w:eastAsia="新宋体" w:cs="新宋体"/>
          <w:b/>
          <w:color w:val="auto"/>
          <w:kern w:val="0"/>
          <w:sz w:val="20"/>
          <w:szCs w:val="20"/>
          <w:highlight w:val="none"/>
        </w:rPr>
      </w:pPr>
    </w:p>
    <w:p>
      <w:pPr>
        <w:autoSpaceDE w:val="0"/>
        <w:autoSpaceDN w:val="0"/>
        <w:adjustRightInd w:val="0"/>
        <w:snapToGrid w:val="0"/>
        <w:spacing w:line="360" w:lineRule="auto"/>
        <w:jc w:val="left"/>
        <w:rPr>
          <w:rFonts w:hint="eastAsia" w:ascii="新宋体" w:hAnsi="新宋体" w:eastAsia="新宋体" w:cs="新宋体"/>
          <w:b/>
          <w:color w:val="auto"/>
          <w:kern w:val="0"/>
          <w:sz w:val="20"/>
          <w:szCs w:val="20"/>
          <w:highlight w:val="none"/>
        </w:rPr>
      </w:pPr>
    </w:p>
    <w:p>
      <w:pPr>
        <w:autoSpaceDE w:val="0"/>
        <w:autoSpaceDN w:val="0"/>
        <w:adjustRightInd w:val="0"/>
        <w:snapToGrid w:val="0"/>
        <w:spacing w:line="360" w:lineRule="auto"/>
        <w:jc w:val="left"/>
        <w:rPr>
          <w:rFonts w:hint="eastAsia" w:ascii="新宋体" w:hAnsi="新宋体" w:eastAsia="新宋体" w:cs="新宋体"/>
          <w:b/>
          <w:color w:val="auto"/>
          <w:kern w:val="0"/>
          <w:sz w:val="20"/>
          <w:szCs w:val="20"/>
          <w:highlight w:val="none"/>
        </w:rPr>
      </w:pPr>
    </w:p>
    <w:p>
      <w:pPr>
        <w:autoSpaceDE w:val="0"/>
        <w:autoSpaceDN w:val="0"/>
        <w:adjustRightInd w:val="0"/>
        <w:snapToGrid w:val="0"/>
        <w:spacing w:line="360" w:lineRule="auto"/>
        <w:jc w:val="left"/>
        <w:rPr>
          <w:rFonts w:hint="eastAsia" w:ascii="新宋体" w:hAnsi="新宋体" w:eastAsia="新宋体" w:cs="新宋体"/>
          <w:b/>
          <w:color w:val="auto"/>
          <w:kern w:val="0"/>
          <w:sz w:val="20"/>
          <w:szCs w:val="20"/>
          <w:highlight w:val="none"/>
        </w:rPr>
      </w:pPr>
    </w:p>
    <w:p>
      <w:pPr>
        <w:tabs>
          <w:tab w:val="left" w:pos="6080"/>
          <w:tab w:val="left" w:pos="6640"/>
        </w:tabs>
        <w:autoSpaceDE w:val="0"/>
        <w:autoSpaceDN w:val="0"/>
        <w:adjustRightInd w:val="0"/>
        <w:snapToGrid w:val="0"/>
        <w:spacing w:after="156" w:afterLines="50" w:line="360" w:lineRule="auto"/>
        <w:jc w:val="center"/>
        <w:rPr>
          <w:rFonts w:hint="eastAsia" w:ascii="新宋体" w:hAnsi="新宋体" w:eastAsia="新宋体" w:cs="新宋体"/>
          <w:color w:val="auto"/>
          <w:w w:val="99"/>
          <w:kern w:val="0"/>
          <w:sz w:val="28"/>
          <w:szCs w:val="28"/>
          <w:highlight w:val="none"/>
        </w:rPr>
      </w:pPr>
      <w:r>
        <w:rPr>
          <w:rFonts w:hint="eastAsia" w:ascii="新宋体" w:hAnsi="新宋体" w:eastAsia="新宋体" w:cs="新宋体"/>
          <w:color w:val="auto"/>
          <w:w w:val="99"/>
          <w:kern w:val="0"/>
          <w:sz w:val="28"/>
          <w:szCs w:val="28"/>
          <w:highlight w:val="none"/>
        </w:rPr>
        <w:t>投标人</w:t>
      </w:r>
      <w:r>
        <w:rPr>
          <w:rFonts w:hint="eastAsia" w:ascii="新宋体" w:hAnsi="新宋体" w:eastAsia="新宋体" w:cs="新宋体"/>
          <w:color w:val="auto"/>
          <w:spacing w:val="1"/>
          <w:w w:val="99"/>
          <w:kern w:val="0"/>
          <w:sz w:val="28"/>
          <w:szCs w:val="28"/>
          <w:highlight w:val="none"/>
        </w:rPr>
        <w:t>：</w:t>
      </w:r>
      <w:r>
        <w:rPr>
          <w:rFonts w:hint="eastAsia" w:ascii="新宋体" w:hAnsi="新宋体" w:eastAsia="新宋体" w:cs="新宋体"/>
          <w:color w:val="auto"/>
          <w:w w:val="198"/>
          <w:kern w:val="0"/>
          <w:sz w:val="28"/>
          <w:szCs w:val="28"/>
          <w:highlight w:val="none"/>
          <w:u w:val="single"/>
        </w:rPr>
        <w:t xml:space="preserve"> 　　　　 　　</w:t>
      </w:r>
      <w:r>
        <w:rPr>
          <w:rFonts w:hint="eastAsia" w:ascii="新宋体" w:hAnsi="新宋体" w:eastAsia="新宋体" w:cs="新宋体"/>
          <w:color w:val="auto"/>
          <w:w w:val="99"/>
          <w:kern w:val="0"/>
          <w:sz w:val="28"/>
          <w:szCs w:val="28"/>
          <w:highlight w:val="none"/>
        </w:rPr>
        <w:t>（盖单位法人章）</w:t>
      </w:r>
    </w:p>
    <w:p>
      <w:pPr>
        <w:tabs>
          <w:tab w:val="left" w:pos="6080"/>
          <w:tab w:val="left" w:pos="6640"/>
        </w:tabs>
        <w:autoSpaceDE w:val="0"/>
        <w:autoSpaceDN w:val="0"/>
        <w:adjustRightInd w:val="0"/>
        <w:snapToGrid w:val="0"/>
        <w:spacing w:after="156" w:afterLines="50" w:line="360" w:lineRule="auto"/>
        <w:jc w:val="center"/>
        <w:rPr>
          <w:rFonts w:hint="eastAsia" w:ascii="新宋体" w:hAnsi="新宋体" w:eastAsia="新宋体" w:cs="新宋体"/>
          <w:b/>
          <w:color w:val="auto"/>
          <w:kern w:val="0"/>
          <w:sz w:val="28"/>
          <w:szCs w:val="28"/>
          <w:highlight w:val="none"/>
        </w:rPr>
      </w:pPr>
      <w:r>
        <w:rPr>
          <w:rFonts w:hint="eastAsia" w:ascii="新宋体" w:hAnsi="新宋体" w:eastAsia="新宋体" w:cs="新宋体"/>
          <w:color w:val="auto"/>
          <w:w w:val="99"/>
          <w:kern w:val="0"/>
          <w:sz w:val="28"/>
          <w:szCs w:val="28"/>
          <w:highlight w:val="none"/>
        </w:rPr>
        <w:t>法定代表人或其委托代理人：</w:t>
      </w:r>
      <w:r>
        <w:rPr>
          <w:rFonts w:hint="eastAsia" w:ascii="新宋体" w:hAnsi="新宋体" w:eastAsia="新宋体" w:cs="新宋体"/>
          <w:color w:val="auto"/>
          <w:w w:val="198"/>
          <w:kern w:val="0"/>
          <w:sz w:val="28"/>
          <w:szCs w:val="28"/>
          <w:highlight w:val="none"/>
          <w:u w:val="single"/>
        </w:rPr>
        <w:t xml:space="preserve">  　　</w:t>
      </w:r>
      <w:r>
        <w:rPr>
          <w:rFonts w:hint="eastAsia" w:ascii="新宋体" w:hAnsi="新宋体" w:eastAsia="新宋体" w:cs="新宋体"/>
          <w:color w:val="auto"/>
          <w:w w:val="99"/>
          <w:kern w:val="0"/>
          <w:sz w:val="28"/>
          <w:szCs w:val="28"/>
          <w:highlight w:val="none"/>
        </w:rPr>
        <w:t>（签名或盖章）</w:t>
      </w:r>
    </w:p>
    <w:p>
      <w:pPr>
        <w:tabs>
          <w:tab w:val="left" w:pos="3280"/>
          <w:tab w:val="left" w:pos="4680"/>
          <w:tab w:val="left" w:pos="6080"/>
        </w:tabs>
        <w:autoSpaceDE w:val="0"/>
        <w:autoSpaceDN w:val="0"/>
        <w:adjustRightInd w:val="0"/>
        <w:snapToGrid w:val="0"/>
        <w:spacing w:after="156" w:afterLines="50" w:line="360" w:lineRule="auto"/>
        <w:jc w:val="center"/>
        <w:rPr>
          <w:rFonts w:hint="eastAsia" w:ascii="新宋体" w:hAnsi="新宋体" w:eastAsia="新宋体" w:cs="新宋体"/>
          <w:color w:val="auto"/>
          <w:kern w:val="0"/>
          <w:sz w:val="28"/>
          <w:szCs w:val="28"/>
          <w:highlight w:val="none"/>
        </w:rPr>
      </w:pPr>
      <w:r>
        <w:rPr>
          <w:rFonts w:hint="eastAsia" w:ascii="新宋体" w:hAnsi="新宋体" w:eastAsia="新宋体" w:cs="新宋体"/>
          <w:color w:val="auto"/>
          <w:w w:val="198"/>
          <w:kern w:val="0"/>
          <w:sz w:val="28"/>
          <w:szCs w:val="28"/>
          <w:highlight w:val="none"/>
          <w:u w:val="single"/>
        </w:rPr>
        <w:t xml:space="preserve">    </w:t>
      </w:r>
      <w:r>
        <w:rPr>
          <w:rFonts w:hint="eastAsia" w:ascii="新宋体" w:hAnsi="新宋体" w:eastAsia="新宋体" w:cs="新宋体"/>
          <w:color w:val="auto"/>
          <w:w w:val="99"/>
          <w:kern w:val="0"/>
          <w:sz w:val="28"/>
          <w:szCs w:val="28"/>
          <w:highlight w:val="none"/>
        </w:rPr>
        <w:t>年</w:t>
      </w:r>
      <w:r>
        <w:rPr>
          <w:rFonts w:hint="eastAsia" w:ascii="新宋体" w:hAnsi="新宋体" w:eastAsia="新宋体" w:cs="新宋体"/>
          <w:color w:val="auto"/>
          <w:w w:val="198"/>
          <w:kern w:val="0"/>
          <w:sz w:val="28"/>
          <w:szCs w:val="28"/>
          <w:highlight w:val="none"/>
          <w:u w:val="single"/>
        </w:rPr>
        <w:t xml:space="preserve">    </w:t>
      </w:r>
      <w:r>
        <w:rPr>
          <w:rFonts w:hint="eastAsia" w:ascii="新宋体" w:hAnsi="新宋体" w:eastAsia="新宋体" w:cs="新宋体"/>
          <w:color w:val="auto"/>
          <w:w w:val="99"/>
          <w:kern w:val="0"/>
          <w:sz w:val="28"/>
          <w:szCs w:val="28"/>
          <w:highlight w:val="none"/>
        </w:rPr>
        <w:t>月</w:t>
      </w:r>
      <w:r>
        <w:rPr>
          <w:rFonts w:hint="eastAsia" w:ascii="新宋体" w:hAnsi="新宋体" w:eastAsia="新宋体" w:cs="新宋体"/>
          <w:color w:val="auto"/>
          <w:w w:val="198"/>
          <w:kern w:val="0"/>
          <w:sz w:val="28"/>
          <w:szCs w:val="28"/>
          <w:highlight w:val="none"/>
          <w:u w:val="single"/>
        </w:rPr>
        <w:t xml:space="preserve">    </w:t>
      </w:r>
      <w:r>
        <w:rPr>
          <w:rFonts w:hint="eastAsia" w:ascii="新宋体" w:hAnsi="新宋体" w:eastAsia="新宋体" w:cs="新宋体"/>
          <w:color w:val="auto"/>
          <w:w w:val="99"/>
          <w:kern w:val="0"/>
          <w:sz w:val="28"/>
          <w:szCs w:val="28"/>
          <w:highlight w:val="none"/>
        </w:rPr>
        <w:t>日</w:t>
      </w:r>
    </w:p>
    <w:p>
      <w:pPr>
        <w:autoSpaceDE w:val="0"/>
        <w:autoSpaceDN w:val="0"/>
        <w:adjustRightInd w:val="0"/>
        <w:snapToGrid w:val="0"/>
        <w:spacing w:line="360" w:lineRule="auto"/>
        <w:jc w:val="left"/>
        <w:rPr>
          <w:rFonts w:hint="eastAsia" w:ascii="新宋体" w:hAnsi="新宋体" w:eastAsia="新宋体" w:cs="新宋体"/>
          <w:color w:val="auto"/>
          <w:kern w:val="0"/>
          <w:sz w:val="24"/>
          <w:szCs w:val="21"/>
          <w:highlight w:val="none"/>
        </w:rPr>
      </w:pPr>
      <w:r>
        <w:rPr>
          <w:rFonts w:hint="eastAsia" w:ascii="新宋体" w:hAnsi="新宋体" w:eastAsia="新宋体" w:cs="新宋体"/>
          <w:color w:val="auto"/>
          <w:kern w:val="0"/>
          <w:sz w:val="24"/>
          <w:szCs w:val="21"/>
          <w:highlight w:val="none"/>
        </w:rPr>
        <w:br w:type="page"/>
      </w:r>
    </w:p>
    <w:p>
      <w:pPr>
        <w:autoSpaceDE w:val="0"/>
        <w:autoSpaceDN w:val="0"/>
        <w:adjustRightInd w:val="0"/>
        <w:snapToGrid w:val="0"/>
        <w:spacing w:line="360" w:lineRule="auto"/>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 w:val="36"/>
          <w:szCs w:val="36"/>
          <w:highlight w:val="none"/>
        </w:rPr>
        <w:t>目  录</w:t>
      </w:r>
    </w:p>
    <w:p>
      <w:pPr>
        <w:autoSpaceDE w:val="0"/>
        <w:autoSpaceDN w:val="0"/>
        <w:adjustRightInd w:val="0"/>
        <w:snapToGrid w:val="0"/>
        <w:spacing w:line="360" w:lineRule="auto"/>
        <w:jc w:val="center"/>
        <w:rPr>
          <w:rFonts w:hint="eastAsia" w:ascii="新宋体" w:hAnsi="新宋体" w:eastAsia="新宋体" w:cs="新宋体"/>
          <w:i/>
          <w:iCs/>
          <w:color w:val="auto"/>
          <w:kern w:val="0"/>
          <w:szCs w:val="21"/>
          <w:highlight w:val="none"/>
        </w:rPr>
      </w:pPr>
      <w:r>
        <w:rPr>
          <w:rFonts w:hint="eastAsia" w:ascii="新宋体" w:hAnsi="新宋体" w:eastAsia="新宋体" w:cs="新宋体"/>
          <w:i/>
          <w:iCs/>
          <w:color w:val="auto"/>
          <w:kern w:val="0"/>
          <w:szCs w:val="21"/>
          <w:highlight w:val="none"/>
        </w:rPr>
        <w:t>[提示：目录由投标人自行编制]</w:t>
      </w:r>
    </w:p>
    <w:p>
      <w:pPr>
        <w:rPr>
          <w:rFonts w:hint="eastAsia" w:ascii="新宋体" w:hAnsi="新宋体" w:eastAsia="新宋体" w:cs="新宋体"/>
          <w:b w:val="0"/>
          <w:bCs w:val="0"/>
          <w:color w:val="auto"/>
          <w:sz w:val="44"/>
          <w:szCs w:val="44"/>
          <w:highlight w:val="none"/>
          <w:lang w:val="en-US" w:eastAsia="zh-CN"/>
        </w:rPr>
      </w:pPr>
      <w:r>
        <w:rPr>
          <w:rFonts w:hint="eastAsia" w:ascii="新宋体" w:hAnsi="新宋体" w:eastAsia="新宋体" w:cs="新宋体"/>
          <w:b w:val="0"/>
          <w:bCs w:val="0"/>
          <w:color w:val="auto"/>
          <w:sz w:val="44"/>
          <w:szCs w:val="44"/>
          <w:highlight w:val="none"/>
          <w:lang w:val="en-US" w:eastAsia="zh-CN"/>
        </w:rPr>
        <w:br w:type="page"/>
      </w:r>
    </w:p>
    <w:p>
      <w:pPr>
        <w:pStyle w:val="4"/>
        <w:spacing w:line="360" w:lineRule="auto"/>
        <w:jc w:val="center"/>
        <w:rPr>
          <w:rFonts w:hint="eastAsia" w:ascii="新宋体" w:hAnsi="新宋体" w:eastAsia="新宋体" w:cs="新宋体"/>
          <w:b w:val="0"/>
          <w:bCs w:val="0"/>
          <w:color w:val="auto"/>
          <w:sz w:val="44"/>
          <w:szCs w:val="44"/>
          <w:highlight w:val="none"/>
        </w:rPr>
      </w:pPr>
      <w:r>
        <w:rPr>
          <w:rFonts w:hint="eastAsia" w:ascii="新宋体" w:hAnsi="新宋体" w:eastAsia="新宋体" w:cs="新宋体"/>
          <w:b w:val="0"/>
          <w:bCs w:val="0"/>
          <w:color w:val="auto"/>
          <w:sz w:val="44"/>
          <w:szCs w:val="44"/>
          <w:highlight w:val="none"/>
          <w:lang w:val="en-US" w:eastAsia="zh-CN"/>
        </w:rPr>
        <w:t>五、</w:t>
      </w:r>
      <w:r>
        <w:rPr>
          <w:rFonts w:hint="eastAsia" w:ascii="新宋体" w:hAnsi="新宋体" w:eastAsia="新宋体" w:cs="新宋体"/>
          <w:b w:val="0"/>
          <w:bCs w:val="0"/>
          <w:color w:val="auto"/>
          <w:sz w:val="44"/>
          <w:szCs w:val="44"/>
          <w:highlight w:val="none"/>
        </w:rPr>
        <w:t>资格审查部分</w:t>
      </w:r>
      <w:bookmarkEnd w:id="674"/>
    </w:p>
    <w:p>
      <w:pPr>
        <w:spacing w:line="360" w:lineRule="auto"/>
        <w:jc w:val="center"/>
        <w:rPr>
          <w:rFonts w:hint="eastAsia" w:ascii="新宋体" w:hAnsi="新宋体" w:eastAsia="新宋体" w:cs="新宋体"/>
          <w:color w:val="auto"/>
          <w:kern w:val="0"/>
          <w:sz w:val="32"/>
          <w:szCs w:val="32"/>
          <w:highlight w:val="none"/>
        </w:rPr>
      </w:pPr>
      <w:r>
        <w:rPr>
          <w:rFonts w:hint="eastAsia" w:ascii="新宋体" w:hAnsi="新宋体" w:eastAsia="新宋体" w:cs="新宋体"/>
          <w:color w:val="auto"/>
          <w:sz w:val="32"/>
          <w:szCs w:val="32"/>
          <w:highlight w:val="none"/>
        </w:rPr>
        <w:br w:type="page"/>
      </w:r>
      <w:r>
        <w:rPr>
          <w:rFonts w:hint="eastAsia" w:ascii="新宋体" w:hAnsi="新宋体" w:eastAsia="新宋体" w:cs="新宋体"/>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hint="eastAsia" w:ascii="新宋体" w:hAnsi="新宋体" w:eastAsia="新宋体" w:cs="新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新宋体" w:hAnsi="新宋体" w:eastAsia="新宋体" w:cs="新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新宋体" w:hAnsi="新宋体" w:eastAsia="新宋体" w:cs="新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新宋体" w:hAnsi="新宋体" w:eastAsia="新宋体" w:cs="新宋体"/>
          <w:color w:val="auto"/>
          <w:kern w:val="0"/>
          <w:sz w:val="72"/>
          <w:szCs w:val="72"/>
          <w:highlight w:val="none"/>
        </w:rPr>
      </w:pPr>
      <w:r>
        <w:rPr>
          <w:rFonts w:hint="eastAsia" w:ascii="新宋体" w:hAnsi="新宋体" w:eastAsia="新宋体" w:cs="新宋体"/>
          <w:color w:val="auto"/>
          <w:kern w:val="0"/>
          <w:sz w:val="72"/>
          <w:szCs w:val="72"/>
          <w:highlight w:val="none"/>
        </w:rPr>
        <w:t>投 标 文 件</w:t>
      </w:r>
    </w:p>
    <w:p>
      <w:pPr>
        <w:autoSpaceDE w:val="0"/>
        <w:autoSpaceDN w:val="0"/>
        <w:adjustRightInd w:val="0"/>
        <w:snapToGrid w:val="0"/>
        <w:spacing w:line="360" w:lineRule="auto"/>
        <w:jc w:val="left"/>
        <w:rPr>
          <w:rFonts w:hint="eastAsia" w:ascii="新宋体" w:hAnsi="新宋体" w:eastAsia="新宋体" w:cs="新宋体"/>
          <w:color w:val="auto"/>
          <w:kern w:val="0"/>
          <w:sz w:val="16"/>
          <w:szCs w:val="16"/>
          <w:highlight w:val="none"/>
        </w:rPr>
      </w:pPr>
    </w:p>
    <w:p>
      <w:pPr>
        <w:autoSpaceDE w:val="0"/>
        <w:autoSpaceDN w:val="0"/>
        <w:adjustRightInd w:val="0"/>
        <w:snapToGrid w:val="0"/>
        <w:spacing w:line="360" w:lineRule="auto"/>
        <w:jc w:val="center"/>
        <w:rPr>
          <w:rFonts w:hint="eastAsia" w:ascii="新宋体" w:hAnsi="新宋体" w:eastAsia="新宋体" w:cs="新宋体"/>
          <w:color w:val="auto"/>
          <w:kern w:val="0"/>
          <w:sz w:val="36"/>
          <w:szCs w:val="36"/>
          <w:highlight w:val="none"/>
        </w:rPr>
      </w:pPr>
      <w:r>
        <w:rPr>
          <w:rFonts w:hint="eastAsia" w:ascii="新宋体" w:hAnsi="新宋体" w:eastAsia="新宋体" w:cs="新宋体"/>
          <w:color w:val="auto"/>
          <w:kern w:val="0"/>
          <w:sz w:val="36"/>
          <w:szCs w:val="36"/>
          <w:highlight w:val="none"/>
        </w:rPr>
        <w:t>资格审查部分</w:t>
      </w:r>
    </w:p>
    <w:p>
      <w:pPr>
        <w:autoSpaceDE w:val="0"/>
        <w:autoSpaceDN w:val="0"/>
        <w:adjustRightInd w:val="0"/>
        <w:snapToGrid w:val="0"/>
        <w:spacing w:line="360" w:lineRule="auto"/>
        <w:jc w:val="left"/>
        <w:rPr>
          <w:rFonts w:hint="eastAsia" w:ascii="新宋体" w:hAnsi="新宋体" w:eastAsia="新宋体" w:cs="新宋体"/>
          <w:color w:val="auto"/>
          <w:kern w:val="0"/>
          <w:sz w:val="20"/>
          <w:szCs w:val="20"/>
          <w:highlight w:val="none"/>
        </w:rPr>
      </w:pPr>
    </w:p>
    <w:p>
      <w:pPr>
        <w:adjustRightInd w:val="0"/>
        <w:snapToGrid w:val="0"/>
        <w:spacing w:line="264" w:lineRule="auto"/>
        <w:rPr>
          <w:rFonts w:hint="eastAsia" w:ascii="新宋体" w:hAnsi="新宋体" w:eastAsia="新宋体" w:cs="新宋体"/>
          <w:color w:val="auto"/>
          <w:szCs w:val="21"/>
          <w:highlight w:val="none"/>
        </w:rPr>
      </w:pPr>
    </w:p>
    <w:p>
      <w:pPr>
        <w:autoSpaceDE w:val="0"/>
        <w:autoSpaceDN w:val="0"/>
        <w:adjustRightInd w:val="0"/>
        <w:snapToGrid w:val="0"/>
        <w:spacing w:line="360" w:lineRule="auto"/>
        <w:jc w:val="left"/>
        <w:rPr>
          <w:rFonts w:hint="eastAsia" w:ascii="新宋体" w:hAnsi="新宋体" w:eastAsia="新宋体" w:cs="新宋体"/>
          <w:color w:val="auto"/>
          <w:kern w:val="0"/>
          <w:sz w:val="20"/>
          <w:szCs w:val="20"/>
          <w:highlight w:val="none"/>
        </w:rPr>
      </w:pPr>
    </w:p>
    <w:p>
      <w:pPr>
        <w:autoSpaceDE w:val="0"/>
        <w:autoSpaceDN w:val="0"/>
        <w:adjustRightInd w:val="0"/>
        <w:snapToGrid w:val="0"/>
        <w:spacing w:line="360" w:lineRule="auto"/>
        <w:jc w:val="left"/>
        <w:rPr>
          <w:rFonts w:hint="eastAsia" w:ascii="新宋体" w:hAnsi="新宋体" w:eastAsia="新宋体" w:cs="新宋体"/>
          <w:color w:val="auto"/>
          <w:kern w:val="0"/>
          <w:sz w:val="20"/>
          <w:szCs w:val="20"/>
          <w:highlight w:val="none"/>
        </w:rPr>
      </w:pPr>
    </w:p>
    <w:p>
      <w:pPr>
        <w:autoSpaceDE w:val="0"/>
        <w:autoSpaceDN w:val="0"/>
        <w:adjustRightInd w:val="0"/>
        <w:snapToGrid w:val="0"/>
        <w:spacing w:line="360" w:lineRule="auto"/>
        <w:jc w:val="left"/>
        <w:rPr>
          <w:rFonts w:hint="eastAsia" w:ascii="新宋体" w:hAnsi="新宋体" w:eastAsia="新宋体" w:cs="新宋体"/>
          <w:color w:val="auto"/>
          <w:kern w:val="0"/>
          <w:sz w:val="20"/>
          <w:szCs w:val="20"/>
          <w:highlight w:val="none"/>
        </w:rPr>
      </w:pPr>
    </w:p>
    <w:p>
      <w:pPr>
        <w:autoSpaceDE w:val="0"/>
        <w:autoSpaceDN w:val="0"/>
        <w:adjustRightInd w:val="0"/>
        <w:snapToGrid w:val="0"/>
        <w:spacing w:line="360" w:lineRule="auto"/>
        <w:jc w:val="left"/>
        <w:rPr>
          <w:rFonts w:hint="eastAsia" w:ascii="新宋体" w:hAnsi="新宋体" w:eastAsia="新宋体" w:cs="新宋体"/>
          <w:color w:val="auto"/>
          <w:kern w:val="0"/>
          <w:sz w:val="20"/>
          <w:szCs w:val="20"/>
          <w:highlight w:val="none"/>
        </w:rPr>
      </w:pPr>
    </w:p>
    <w:p>
      <w:pPr>
        <w:autoSpaceDE w:val="0"/>
        <w:autoSpaceDN w:val="0"/>
        <w:adjustRightInd w:val="0"/>
        <w:snapToGrid w:val="0"/>
        <w:spacing w:line="360" w:lineRule="auto"/>
        <w:jc w:val="left"/>
        <w:rPr>
          <w:rFonts w:hint="eastAsia" w:ascii="新宋体" w:hAnsi="新宋体" w:eastAsia="新宋体" w:cs="新宋体"/>
          <w:color w:val="auto"/>
          <w:kern w:val="0"/>
          <w:sz w:val="20"/>
          <w:szCs w:val="20"/>
          <w:highlight w:val="none"/>
        </w:rPr>
      </w:pPr>
    </w:p>
    <w:p>
      <w:pPr>
        <w:autoSpaceDE w:val="0"/>
        <w:autoSpaceDN w:val="0"/>
        <w:adjustRightInd w:val="0"/>
        <w:snapToGrid w:val="0"/>
        <w:spacing w:line="360" w:lineRule="auto"/>
        <w:jc w:val="left"/>
        <w:rPr>
          <w:rFonts w:hint="eastAsia" w:ascii="新宋体" w:hAnsi="新宋体" w:eastAsia="新宋体" w:cs="新宋体"/>
          <w:color w:val="auto"/>
          <w:kern w:val="0"/>
          <w:sz w:val="20"/>
          <w:szCs w:val="20"/>
          <w:highlight w:val="none"/>
        </w:rPr>
      </w:pPr>
    </w:p>
    <w:p>
      <w:pPr>
        <w:autoSpaceDE w:val="0"/>
        <w:autoSpaceDN w:val="0"/>
        <w:adjustRightInd w:val="0"/>
        <w:snapToGrid w:val="0"/>
        <w:spacing w:line="360" w:lineRule="auto"/>
        <w:jc w:val="left"/>
        <w:rPr>
          <w:rFonts w:hint="eastAsia" w:ascii="新宋体" w:hAnsi="新宋体" w:eastAsia="新宋体" w:cs="新宋体"/>
          <w:color w:val="auto"/>
          <w:kern w:val="0"/>
          <w:sz w:val="20"/>
          <w:szCs w:val="20"/>
          <w:highlight w:val="none"/>
        </w:rPr>
      </w:pPr>
    </w:p>
    <w:p>
      <w:pPr>
        <w:autoSpaceDE w:val="0"/>
        <w:autoSpaceDN w:val="0"/>
        <w:adjustRightInd w:val="0"/>
        <w:snapToGrid w:val="0"/>
        <w:spacing w:line="360" w:lineRule="auto"/>
        <w:jc w:val="left"/>
        <w:rPr>
          <w:rFonts w:hint="eastAsia" w:ascii="新宋体" w:hAnsi="新宋体" w:eastAsia="新宋体" w:cs="新宋体"/>
          <w:color w:val="auto"/>
          <w:kern w:val="0"/>
          <w:sz w:val="20"/>
          <w:szCs w:val="20"/>
          <w:highlight w:val="none"/>
        </w:rPr>
      </w:pPr>
    </w:p>
    <w:p>
      <w:pPr>
        <w:autoSpaceDE w:val="0"/>
        <w:autoSpaceDN w:val="0"/>
        <w:adjustRightInd w:val="0"/>
        <w:snapToGrid w:val="0"/>
        <w:spacing w:line="360" w:lineRule="auto"/>
        <w:jc w:val="left"/>
        <w:rPr>
          <w:rFonts w:hint="eastAsia" w:ascii="新宋体" w:hAnsi="新宋体" w:eastAsia="新宋体" w:cs="新宋体"/>
          <w:color w:val="auto"/>
          <w:kern w:val="0"/>
          <w:sz w:val="20"/>
          <w:szCs w:val="20"/>
          <w:highlight w:val="none"/>
        </w:rPr>
      </w:pPr>
    </w:p>
    <w:p>
      <w:pPr>
        <w:autoSpaceDE w:val="0"/>
        <w:autoSpaceDN w:val="0"/>
        <w:adjustRightInd w:val="0"/>
        <w:snapToGrid w:val="0"/>
        <w:spacing w:line="360" w:lineRule="auto"/>
        <w:jc w:val="left"/>
        <w:rPr>
          <w:rFonts w:hint="eastAsia" w:ascii="新宋体" w:hAnsi="新宋体" w:eastAsia="新宋体" w:cs="新宋体"/>
          <w:color w:val="auto"/>
          <w:kern w:val="0"/>
          <w:sz w:val="20"/>
          <w:szCs w:val="20"/>
          <w:highlight w:val="none"/>
        </w:rPr>
      </w:pPr>
    </w:p>
    <w:p>
      <w:pPr>
        <w:autoSpaceDE w:val="0"/>
        <w:autoSpaceDN w:val="0"/>
        <w:adjustRightInd w:val="0"/>
        <w:snapToGrid w:val="0"/>
        <w:spacing w:line="360" w:lineRule="auto"/>
        <w:jc w:val="left"/>
        <w:rPr>
          <w:rFonts w:hint="eastAsia" w:ascii="新宋体" w:hAnsi="新宋体" w:eastAsia="新宋体" w:cs="新宋体"/>
          <w:color w:val="auto"/>
          <w:kern w:val="0"/>
          <w:sz w:val="20"/>
          <w:szCs w:val="20"/>
          <w:highlight w:val="none"/>
        </w:rPr>
      </w:pPr>
    </w:p>
    <w:p>
      <w:pPr>
        <w:autoSpaceDE w:val="0"/>
        <w:autoSpaceDN w:val="0"/>
        <w:adjustRightInd w:val="0"/>
        <w:snapToGrid w:val="0"/>
        <w:spacing w:line="360" w:lineRule="auto"/>
        <w:jc w:val="left"/>
        <w:rPr>
          <w:rFonts w:hint="eastAsia" w:ascii="新宋体" w:hAnsi="新宋体" w:eastAsia="新宋体" w:cs="新宋体"/>
          <w:color w:val="auto"/>
          <w:kern w:val="0"/>
          <w:sz w:val="20"/>
          <w:szCs w:val="20"/>
          <w:highlight w:val="none"/>
        </w:rPr>
      </w:pPr>
    </w:p>
    <w:p>
      <w:pPr>
        <w:autoSpaceDE w:val="0"/>
        <w:autoSpaceDN w:val="0"/>
        <w:adjustRightInd w:val="0"/>
        <w:snapToGrid w:val="0"/>
        <w:spacing w:line="360" w:lineRule="auto"/>
        <w:jc w:val="left"/>
        <w:rPr>
          <w:rFonts w:hint="eastAsia" w:ascii="新宋体" w:hAnsi="新宋体" w:eastAsia="新宋体" w:cs="新宋体"/>
          <w:color w:val="auto"/>
          <w:kern w:val="0"/>
          <w:sz w:val="20"/>
          <w:szCs w:val="20"/>
          <w:highlight w:val="none"/>
        </w:rPr>
      </w:pPr>
    </w:p>
    <w:p>
      <w:pPr>
        <w:tabs>
          <w:tab w:val="left" w:pos="6080"/>
          <w:tab w:val="left" w:pos="6640"/>
        </w:tabs>
        <w:autoSpaceDE w:val="0"/>
        <w:autoSpaceDN w:val="0"/>
        <w:adjustRightInd w:val="0"/>
        <w:snapToGrid w:val="0"/>
        <w:spacing w:line="480" w:lineRule="auto"/>
        <w:jc w:val="center"/>
        <w:rPr>
          <w:rFonts w:hint="eastAsia" w:ascii="新宋体" w:hAnsi="新宋体" w:eastAsia="新宋体" w:cs="新宋体"/>
          <w:color w:val="auto"/>
          <w:w w:val="99"/>
          <w:kern w:val="0"/>
          <w:sz w:val="28"/>
          <w:szCs w:val="28"/>
          <w:highlight w:val="none"/>
        </w:rPr>
      </w:pPr>
      <w:r>
        <w:rPr>
          <w:rFonts w:hint="eastAsia" w:ascii="新宋体" w:hAnsi="新宋体" w:eastAsia="新宋体" w:cs="新宋体"/>
          <w:color w:val="auto"/>
          <w:w w:val="99"/>
          <w:kern w:val="0"/>
          <w:sz w:val="28"/>
          <w:szCs w:val="28"/>
          <w:highlight w:val="none"/>
        </w:rPr>
        <w:t>投标人</w:t>
      </w:r>
      <w:r>
        <w:rPr>
          <w:rFonts w:hint="eastAsia" w:ascii="新宋体" w:hAnsi="新宋体" w:eastAsia="新宋体" w:cs="新宋体"/>
          <w:color w:val="auto"/>
          <w:spacing w:val="1"/>
          <w:w w:val="99"/>
          <w:kern w:val="0"/>
          <w:sz w:val="28"/>
          <w:szCs w:val="28"/>
          <w:highlight w:val="none"/>
        </w:rPr>
        <w:t>：</w:t>
      </w:r>
      <w:r>
        <w:rPr>
          <w:rFonts w:hint="eastAsia" w:ascii="新宋体" w:hAnsi="新宋体" w:eastAsia="新宋体" w:cs="新宋体"/>
          <w:color w:val="auto"/>
          <w:w w:val="198"/>
          <w:kern w:val="0"/>
          <w:sz w:val="28"/>
          <w:szCs w:val="28"/>
          <w:highlight w:val="none"/>
          <w:u w:val="single"/>
        </w:rPr>
        <w:t xml:space="preserve"> 　　 　　 　　</w:t>
      </w:r>
      <w:r>
        <w:rPr>
          <w:rFonts w:hint="eastAsia" w:ascii="新宋体" w:hAnsi="新宋体" w:eastAsia="新宋体" w:cs="新宋体"/>
          <w:color w:val="auto"/>
          <w:w w:val="99"/>
          <w:kern w:val="0"/>
          <w:sz w:val="28"/>
          <w:szCs w:val="28"/>
          <w:highlight w:val="none"/>
        </w:rPr>
        <w:t>（盖单位法人章）</w:t>
      </w:r>
    </w:p>
    <w:p>
      <w:pPr>
        <w:tabs>
          <w:tab w:val="left" w:pos="6080"/>
          <w:tab w:val="left" w:pos="6640"/>
        </w:tabs>
        <w:autoSpaceDE w:val="0"/>
        <w:autoSpaceDN w:val="0"/>
        <w:adjustRightInd w:val="0"/>
        <w:snapToGrid w:val="0"/>
        <w:spacing w:line="480" w:lineRule="auto"/>
        <w:jc w:val="center"/>
        <w:rPr>
          <w:rFonts w:hint="eastAsia" w:ascii="新宋体" w:hAnsi="新宋体" w:eastAsia="新宋体" w:cs="新宋体"/>
          <w:color w:val="auto"/>
          <w:kern w:val="0"/>
          <w:sz w:val="28"/>
          <w:szCs w:val="28"/>
          <w:highlight w:val="none"/>
        </w:rPr>
      </w:pPr>
      <w:r>
        <w:rPr>
          <w:rFonts w:hint="eastAsia" w:ascii="新宋体" w:hAnsi="新宋体" w:eastAsia="新宋体" w:cs="新宋体"/>
          <w:color w:val="auto"/>
          <w:w w:val="99"/>
          <w:kern w:val="0"/>
          <w:sz w:val="28"/>
          <w:szCs w:val="28"/>
          <w:highlight w:val="none"/>
        </w:rPr>
        <w:t>法定代表人或其委托代理人：</w:t>
      </w:r>
      <w:r>
        <w:rPr>
          <w:rFonts w:hint="eastAsia" w:ascii="新宋体" w:hAnsi="新宋体" w:eastAsia="新宋体" w:cs="新宋体"/>
          <w:color w:val="auto"/>
          <w:w w:val="198"/>
          <w:kern w:val="0"/>
          <w:sz w:val="28"/>
          <w:szCs w:val="28"/>
          <w:highlight w:val="none"/>
          <w:u w:val="single"/>
        </w:rPr>
        <w:t xml:space="preserve"> 　 　</w:t>
      </w:r>
      <w:r>
        <w:rPr>
          <w:rFonts w:hint="eastAsia" w:ascii="新宋体" w:hAnsi="新宋体" w:eastAsia="新宋体" w:cs="新宋体"/>
          <w:color w:val="auto"/>
          <w:w w:val="99"/>
          <w:kern w:val="0"/>
          <w:sz w:val="28"/>
          <w:szCs w:val="28"/>
          <w:highlight w:val="none"/>
        </w:rPr>
        <w:t>（签名或盖章）</w:t>
      </w:r>
    </w:p>
    <w:p>
      <w:pPr>
        <w:tabs>
          <w:tab w:val="left" w:pos="3280"/>
          <w:tab w:val="left" w:pos="4680"/>
          <w:tab w:val="left" w:pos="6080"/>
        </w:tabs>
        <w:autoSpaceDE w:val="0"/>
        <w:autoSpaceDN w:val="0"/>
        <w:adjustRightInd w:val="0"/>
        <w:snapToGrid w:val="0"/>
        <w:spacing w:line="480" w:lineRule="auto"/>
        <w:jc w:val="center"/>
        <w:rPr>
          <w:rFonts w:hint="eastAsia" w:ascii="新宋体" w:hAnsi="新宋体" w:eastAsia="新宋体" w:cs="新宋体"/>
          <w:color w:val="auto"/>
          <w:w w:val="99"/>
          <w:kern w:val="0"/>
          <w:sz w:val="28"/>
          <w:szCs w:val="28"/>
          <w:highlight w:val="none"/>
        </w:rPr>
      </w:pPr>
      <w:r>
        <w:rPr>
          <w:rFonts w:hint="eastAsia" w:ascii="新宋体" w:hAnsi="新宋体" w:eastAsia="新宋体" w:cs="新宋体"/>
          <w:color w:val="auto"/>
          <w:w w:val="198"/>
          <w:kern w:val="0"/>
          <w:sz w:val="28"/>
          <w:szCs w:val="28"/>
          <w:highlight w:val="none"/>
          <w:u w:val="single"/>
        </w:rPr>
        <w:t xml:space="preserve">    </w:t>
      </w:r>
      <w:r>
        <w:rPr>
          <w:rFonts w:hint="eastAsia" w:ascii="新宋体" w:hAnsi="新宋体" w:eastAsia="新宋体" w:cs="新宋体"/>
          <w:color w:val="auto"/>
          <w:w w:val="99"/>
          <w:kern w:val="0"/>
          <w:sz w:val="28"/>
          <w:szCs w:val="28"/>
          <w:highlight w:val="none"/>
        </w:rPr>
        <w:t>年</w:t>
      </w:r>
      <w:r>
        <w:rPr>
          <w:rFonts w:hint="eastAsia" w:ascii="新宋体" w:hAnsi="新宋体" w:eastAsia="新宋体" w:cs="新宋体"/>
          <w:color w:val="auto"/>
          <w:w w:val="198"/>
          <w:kern w:val="0"/>
          <w:sz w:val="28"/>
          <w:szCs w:val="28"/>
          <w:highlight w:val="none"/>
          <w:u w:val="single"/>
        </w:rPr>
        <w:t xml:space="preserve">    </w:t>
      </w:r>
      <w:r>
        <w:rPr>
          <w:rFonts w:hint="eastAsia" w:ascii="新宋体" w:hAnsi="新宋体" w:eastAsia="新宋体" w:cs="新宋体"/>
          <w:color w:val="auto"/>
          <w:w w:val="99"/>
          <w:kern w:val="0"/>
          <w:sz w:val="28"/>
          <w:szCs w:val="28"/>
          <w:highlight w:val="none"/>
        </w:rPr>
        <w:t>月</w:t>
      </w:r>
      <w:r>
        <w:rPr>
          <w:rFonts w:hint="eastAsia" w:ascii="新宋体" w:hAnsi="新宋体" w:eastAsia="新宋体" w:cs="新宋体"/>
          <w:color w:val="auto"/>
          <w:w w:val="198"/>
          <w:kern w:val="0"/>
          <w:sz w:val="28"/>
          <w:szCs w:val="28"/>
          <w:highlight w:val="none"/>
          <w:u w:val="single"/>
        </w:rPr>
        <w:t xml:space="preserve">    </w:t>
      </w:r>
      <w:r>
        <w:rPr>
          <w:rFonts w:hint="eastAsia" w:ascii="新宋体" w:hAnsi="新宋体" w:eastAsia="新宋体" w:cs="新宋体"/>
          <w:color w:val="auto"/>
          <w:w w:val="99"/>
          <w:kern w:val="0"/>
          <w:sz w:val="28"/>
          <w:szCs w:val="28"/>
          <w:highlight w:val="none"/>
        </w:rPr>
        <w:t>日</w:t>
      </w:r>
    </w:p>
    <w:p>
      <w:pPr>
        <w:tabs>
          <w:tab w:val="left" w:pos="3280"/>
          <w:tab w:val="left" w:pos="4680"/>
          <w:tab w:val="left" w:pos="6080"/>
        </w:tabs>
        <w:autoSpaceDE w:val="0"/>
        <w:autoSpaceDN w:val="0"/>
        <w:adjustRightInd w:val="0"/>
        <w:snapToGrid w:val="0"/>
        <w:spacing w:line="480" w:lineRule="auto"/>
        <w:jc w:val="center"/>
        <w:rPr>
          <w:rFonts w:hint="eastAsia" w:ascii="新宋体" w:hAnsi="新宋体" w:eastAsia="新宋体" w:cs="新宋体"/>
          <w:b/>
          <w:color w:val="auto"/>
          <w:kern w:val="0"/>
          <w:sz w:val="28"/>
          <w:szCs w:val="28"/>
          <w:highlight w:val="none"/>
        </w:rPr>
      </w:pPr>
      <w:r>
        <w:rPr>
          <w:rFonts w:hint="eastAsia" w:ascii="新宋体" w:hAnsi="新宋体" w:eastAsia="新宋体" w:cs="新宋体"/>
          <w:color w:val="auto"/>
          <w:w w:val="99"/>
          <w:kern w:val="0"/>
          <w:sz w:val="28"/>
          <w:szCs w:val="28"/>
          <w:highlight w:val="none"/>
        </w:rPr>
        <w:br w:type="page"/>
      </w:r>
    </w:p>
    <w:p>
      <w:pPr>
        <w:autoSpaceDE w:val="0"/>
        <w:autoSpaceDN w:val="0"/>
        <w:adjustRightInd w:val="0"/>
        <w:snapToGrid w:val="0"/>
        <w:jc w:val="center"/>
        <w:rPr>
          <w:rFonts w:hint="eastAsia" w:ascii="新宋体" w:hAnsi="新宋体" w:eastAsia="新宋体" w:cs="新宋体"/>
          <w:color w:val="auto"/>
          <w:kern w:val="0"/>
          <w:sz w:val="36"/>
          <w:szCs w:val="36"/>
          <w:highlight w:val="none"/>
        </w:rPr>
      </w:pPr>
      <w:r>
        <w:rPr>
          <w:rFonts w:hint="eastAsia" w:ascii="新宋体" w:hAnsi="新宋体" w:eastAsia="新宋体" w:cs="新宋体"/>
          <w:color w:val="auto"/>
          <w:kern w:val="0"/>
          <w:sz w:val="36"/>
          <w:szCs w:val="36"/>
          <w:highlight w:val="none"/>
        </w:rPr>
        <w:t>目  录</w:t>
      </w:r>
    </w:p>
    <w:p>
      <w:pPr>
        <w:spacing w:line="360" w:lineRule="auto"/>
        <w:jc w:val="center"/>
        <w:rPr>
          <w:rFonts w:hint="eastAsia" w:ascii="新宋体" w:hAnsi="新宋体" w:eastAsia="新宋体" w:cs="新宋体"/>
          <w:b/>
          <w:color w:val="auto"/>
          <w:kern w:val="0"/>
          <w:sz w:val="32"/>
          <w:szCs w:val="32"/>
          <w:highlight w:val="none"/>
        </w:rPr>
      </w:pPr>
    </w:p>
    <w:p>
      <w:pPr>
        <w:autoSpaceDE w:val="0"/>
        <w:autoSpaceDN w:val="0"/>
        <w:adjustRightInd w:val="0"/>
        <w:spacing w:line="360" w:lineRule="auto"/>
        <w:ind w:firstLine="480" w:firstLineChars="200"/>
        <w:jc w:val="left"/>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（一）法定代表人身份证明或附有法定代表人身份证明的授权委托书</w:t>
      </w:r>
    </w:p>
    <w:p>
      <w:pPr>
        <w:autoSpaceDE w:val="0"/>
        <w:autoSpaceDN w:val="0"/>
        <w:adjustRightInd w:val="0"/>
        <w:spacing w:line="360" w:lineRule="auto"/>
        <w:ind w:firstLine="480" w:firstLineChars="200"/>
        <w:jc w:val="left"/>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w:t>
      </w:r>
      <w:r>
        <w:rPr>
          <w:rFonts w:hint="eastAsia" w:ascii="新宋体" w:hAnsi="新宋体" w:eastAsia="新宋体" w:cs="新宋体"/>
          <w:color w:val="auto"/>
          <w:kern w:val="0"/>
          <w:sz w:val="24"/>
          <w:highlight w:val="none"/>
          <w:lang w:val="en-US" w:eastAsia="zh-CN"/>
        </w:rPr>
        <w:t>二</w:t>
      </w:r>
      <w:r>
        <w:rPr>
          <w:rFonts w:hint="eastAsia" w:ascii="新宋体" w:hAnsi="新宋体" w:eastAsia="新宋体" w:cs="新宋体"/>
          <w:color w:val="auto"/>
          <w:kern w:val="0"/>
          <w:sz w:val="24"/>
          <w:highlight w:val="none"/>
        </w:rPr>
        <w:t>）投标人基本情况表</w:t>
      </w:r>
    </w:p>
    <w:p>
      <w:pPr>
        <w:autoSpaceDE w:val="0"/>
        <w:autoSpaceDN w:val="0"/>
        <w:adjustRightInd w:val="0"/>
        <w:spacing w:line="360" w:lineRule="auto"/>
        <w:ind w:firstLine="480" w:firstLineChars="200"/>
        <w:jc w:val="left"/>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w:t>
      </w:r>
      <w:r>
        <w:rPr>
          <w:rFonts w:hint="eastAsia" w:ascii="新宋体" w:hAnsi="新宋体" w:eastAsia="新宋体" w:cs="新宋体"/>
          <w:color w:val="auto"/>
          <w:kern w:val="0"/>
          <w:sz w:val="24"/>
          <w:highlight w:val="none"/>
          <w:lang w:val="en-US" w:eastAsia="zh-CN"/>
        </w:rPr>
        <w:t>三</w:t>
      </w:r>
      <w:r>
        <w:rPr>
          <w:rFonts w:hint="eastAsia" w:ascii="新宋体" w:hAnsi="新宋体" w:eastAsia="新宋体" w:cs="新宋体"/>
          <w:color w:val="auto"/>
          <w:kern w:val="0"/>
          <w:sz w:val="24"/>
          <w:highlight w:val="none"/>
        </w:rPr>
        <w:t>）近年财务状况表</w:t>
      </w:r>
    </w:p>
    <w:p>
      <w:pPr>
        <w:autoSpaceDE w:val="0"/>
        <w:autoSpaceDN w:val="0"/>
        <w:adjustRightInd w:val="0"/>
        <w:spacing w:line="360" w:lineRule="auto"/>
        <w:ind w:firstLine="480" w:firstLineChars="200"/>
        <w:jc w:val="left"/>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w:t>
      </w:r>
      <w:r>
        <w:rPr>
          <w:rFonts w:hint="eastAsia" w:ascii="新宋体" w:hAnsi="新宋体" w:eastAsia="新宋体" w:cs="新宋体"/>
          <w:color w:val="auto"/>
          <w:kern w:val="0"/>
          <w:sz w:val="24"/>
          <w:highlight w:val="none"/>
          <w:lang w:val="en-US" w:eastAsia="zh-CN"/>
        </w:rPr>
        <w:t>四</w:t>
      </w:r>
      <w:r>
        <w:rPr>
          <w:rFonts w:hint="eastAsia" w:ascii="新宋体" w:hAnsi="新宋体" w:eastAsia="新宋体" w:cs="新宋体"/>
          <w:color w:val="auto"/>
          <w:kern w:val="0"/>
          <w:sz w:val="24"/>
          <w:highlight w:val="none"/>
        </w:rPr>
        <w:t>）类似项目情况表</w:t>
      </w:r>
    </w:p>
    <w:p>
      <w:pPr>
        <w:autoSpaceDE w:val="0"/>
        <w:autoSpaceDN w:val="0"/>
        <w:adjustRightInd w:val="0"/>
        <w:spacing w:line="360" w:lineRule="auto"/>
        <w:ind w:firstLine="480" w:firstLineChars="200"/>
        <w:jc w:val="left"/>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w:t>
      </w:r>
      <w:r>
        <w:rPr>
          <w:rFonts w:hint="eastAsia" w:ascii="新宋体" w:hAnsi="新宋体" w:eastAsia="新宋体" w:cs="新宋体"/>
          <w:color w:val="auto"/>
          <w:kern w:val="0"/>
          <w:sz w:val="24"/>
          <w:highlight w:val="none"/>
          <w:lang w:val="en-US" w:eastAsia="zh-CN"/>
        </w:rPr>
        <w:t>五</w:t>
      </w:r>
      <w:r>
        <w:rPr>
          <w:rFonts w:hint="eastAsia" w:ascii="新宋体" w:hAnsi="新宋体" w:eastAsia="新宋体" w:cs="新宋体"/>
          <w:color w:val="auto"/>
          <w:kern w:val="0"/>
          <w:sz w:val="24"/>
          <w:highlight w:val="none"/>
        </w:rPr>
        <w:t>）承诺</w:t>
      </w:r>
    </w:p>
    <w:p>
      <w:pPr>
        <w:autoSpaceDE w:val="0"/>
        <w:autoSpaceDN w:val="0"/>
        <w:adjustRightInd w:val="0"/>
        <w:spacing w:line="360" w:lineRule="auto"/>
        <w:ind w:firstLine="480" w:firstLineChars="200"/>
        <w:jc w:val="left"/>
        <w:rPr>
          <w:rFonts w:hint="eastAsia" w:ascii="新宋体" w:hAnsi="新宋体" w:eastAsia="新宋体" w:cs="新宋体"/>
          <w:color w:val="auto"/>
          <w:kern w:val="0"/>
          <w:sz w:val="24"/>
          <w:highlight w:val="none"/>
          <w:lang w:val="en-US" w:eastAsia="zh-CN"/>
        </w:rPr>
      </w:pPr>
      <w:r>
        <w:rPr>
          <w:rFonts w:hint="eastAsia" w:ascii="新宋体" w:hAnsi="新宋体" w:eastAsia="新宋体" w:cs="新宋体"/>
          <w:color w:val="auto"/>
          <w:kern w:val="0"/>
          <w:sz w:val="24"/>
          <w:highlight w:val="none"/>
        </w:rPr>
        <w:t>（</w:t>
      </w:r>
      <w:r>
        <w:rPr>
          <w:rFonts w:hint="eastAsia" w:ascii="新宋体" w:hAnsi="新宋体" w:eastAsia="新宋体" w:cs="新宋体"/>
          <w:color w:val="auto"/>
          <w:kern w:val="0"/>
          <w:sz w:val="24"/>
          <w:highlight w:val="none"/>
          <w:lang w:val="en-US" w:eastAsia="zh-CN"/>
        </w:rPr>
        <w:t>六</w:t>
      </w:r>
      <w:r>
        <w:rPr>
          <w:rFonts w:hint="eastAsia" w:ascii="新宋体" w:hAnsi="新宋体" w:eastAsia="新宋体" w:cs="新宋体"/>
          <w:color w:val="auto"/>
          <w:kern w:val="0"/>
          <w:sz w:val="24"/>
          <w:highlight w:val="none"/>
        </w:rPr>
        <w:t>）</w:t>
      </w:r>
      <w:r>
        <w:rPr>
          <w:rFonts w:hint="eastAsia" w:ascii="新宋体" w:hAnsi="新宋体" w:eastAsia="新宋体" w:cs="新宋体"/>
          <w:color w:val="auto"/>
          <w:kern w:val="0"/>
          <w:sz w:val="24"/>
          <w:highlight w:val="none"/>
          <w:lang w:val="en-US" w:eastAsia="zh-CN"/>
        </w:rPr>
        <w:t>其他证书</w:t>
      </w:r>
    </w:p>
    <w:p>
      <w:pPr>
        <w:autoSpaceDE w:val="0"/>
        <w:autoSpaceDN w:val="0"/>
        <w:adjustRightInd w:val="0"/>
        <w:spacing w:line="360" w:lineRule="auto"/>
        <w:ind w:firstLine="480" w:firstLineChars="200"/>
        <w:jc w:val="left"/>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lang w:eastAsia="zh-CN"/>
        </w:rPr>
        <w:t>（</w:t>
      </w:r>
      <w:r>
        <w:rPr>
          <w:rFonts w:hint="eastAsia" w:ascii="新宋体" w:hAnsi="新宋体" w:eastAsia="新宋体" w:cs="新宋体"/>
          <w:color w:val="auto"/>
          <w:kern w:val="0"/>
          <w:sz w:val="24"/>
          <w:highlight w:val="none"/>
          <w:lang w:val="en-US" w:eastAsia="zh-CN"/>
        </w:rPr>
        <w:t>七</w:t>
      </w:r>
      <w:r>
        <w:rPr>
          <w:rFonts w:hint="eastAsia" w:ascii="新宋体" w:hAnsi="新宋体" w:eastAsia="新宋体" w:cs="新宋体"/>
          <w:color w:val="auto"/>
          <w:kern w:val="0"/>
          <w:sz w:val="24"/>
          <w:highlight w:val="none"/>
          <w:lang w:eastAsia="zh-CN"/>
        </w:rPr>
        <w:t>）</w:t>
      </w:r>
      <w:r>
        <w:rPr>
          <w:rFonts w:hint="eastAsia" w:ascii="新宋体" w:hAnsi="新宋体" w:eastAsia="新宋体" w:cs="新宋体"/>
          <w:color w:val="auto"/>
          <w:kern w:val="0"/>
          <w:sz w:val="24"/>
          <w:highlight w:val="none"/>
        </w:rPr>
        <w:t>其他资料</w:t>
      </w:r>
    </w:p>
    <w:p>
      <w:pPr>
        <w:spacing w:line="360" w:lineRule="auto"/>
        <w:jc w:val="center"/>
        <w:rPr>
          <w:rFonts w:hint="eastAsia" w:ascii="新宋体" w:hAnsi="新宋体" w:eastAsia="新宋体" w:cs="新宋体"/>
          <w:b/>
          <w:color w:val="auto"/>
          <w:kern w:val="0"/>
          <w:sz w:val="32"/>
          <w:szCs w:val="32"/>
          <w:highlight w:val="none"/>
        </w:rPr>
      </w:pPr>
    </w:p>
    <w:p>
      <w:pPr>
        <w:spacing w:line="360" w:lineRule="auto"/>
        <w:jc w:val="center"/>
        <w:rPr>
          <w:rFonts w:hint="eastAsia" w:ascii="新宋体" w:hAnsi="新宋体" w:eastAsia="新宋体" w:cs="新宋体"/>
          <w:b/>
          <w:color w:val="auto"/>
          <w:kern w:val="0"/>
          <w:sz w:val="32"/>
          <w:szCs w:val="32"/>
          <w:highlight w:val="none"/>
        </w:rPr>
      </w:pPr>
    </w:p>
    <w:p>
      <w:pPr>
        <w:pStyle w:val="2"/>
        <w:spacing w:before="0" w:after="0" w:line="240" w:lineRule="auto"/>
        <w:jc w:val="center"/>
        <w:rPr>
          <w:rFonts w:hint="eastAsia" w:ascii="新宋体" w:hAnsi="新宋体" w:eastAsia="新宋体" w:cs="新宋体"/>
          <w:color w:val="auto"/>
          <w:sz w:val="36"/>
          <w:szCs w:val="36"/>
          <w:highlight w:val="none"/>
        </w:rPr>
      </w:pPr>
      <w:r>
        <w:rPr>
          <w:rFonts w:hint="eastAsia" w:ascii="新宋体" w:hAnsi="新宋体" w:eastAsia="新宋体" w:cs="新宋体"/>
          <w:color w:val="auto"/>
          <w:highlight w:val="none"/>
        </w:rPr>
        <w:br w:type="page"/>
      </w:r>
      <w:bookmarkStart w:id="675" w:name="_Toc287607883"/>
      <w:bookmarkStart w:id="676" w:name="_Toc430530546"/>
      <w:bookmarkStart w:id="677" w:name="_Toc277082657"/>
      <w:bookmarkStart w:id="678" w:name="_Toc224103511"/>
      <w:bookmarkStart w:id="679" w:name="_Toc287620830"/>
      <w:bookmarkStart w:id="680" w:name="_Toc57820658"/>
      <w:r>
        <w:rPr>
          <w:rFonts w:hint="eastAsia" w:ascii="新宋体" w:hAnsi="新宋体" w:eastAsia="新宋体" w:cs="新宋体"/>
          <w:b w:val="0"/>
          <w:bCs w:val="0"/>
          <w:color w:val="auto"/>
          <w:highlight w:val="none"/>
        </w:rPr>
        <w:t>（一）法定代表人身份证明或附有法定代表人身份证明的授权委托书</w:t>
      </w:r>
      <w:bookmarkEnd w:id="675"/>
      <w:bookmarkEnd w:id="676"/>
      <w:bookmarkEnd w:id="677"/>
      <w:bookmarkEnd w:id="678"/>
      <w:bookmarkEnd w:id="679"/>
      <w:bookmarkEnd w:id="680"/>
    </w:p>
    <w:p>
      <w:pPr>
        <w:spacing w:line="480" w:lineRule="auto"/>
        <w:jc w:val="center"/>
        <w:rPr>
          <w:rFonts w:hint="eastAsia" w:ascii="新宋体" w:hAnsi="新宋体" w:eastAsia="新宋体" w:cs="新宋体"/>
          <w:color w:val="auto"/>
          <w:sz w:val="28"/>
          <w:highlight w:val="none"/>
        </w:rPr>
      </w:pPr>
      <w:r>
        <w:rPr>
          <w:rFonts w:hint="eastAsia" w:ascii="新宋体" w:hAnsi="新宋体" w:eastAsia="新宋体" w:cs="新宋体"/>
          <w:color w:val="auto"/>
          <w:sz w:val="28"/>
          <w:highlight w:val="none"/>
        </w:rPr>
        <w:t>法定代表人身份证明</w:t>
      </w:r>
    </w:p>
    <w:p>
      <w:pPr>
        <w:spacing w:line="480" w:lineRule="auto"/>
        <w:jc w:val="center"/>
        <w:rPr>
          <w:rFonts w:hint="eastAsia" w:ascii="新宋体" w:hAnsi="新宋体" w:eastAsia="新宋体" w:cs="新宋体"/>
          <w:color w:val="auto"/>
          <w:highlight w:val="none"/>
        </w:rPr>
      </w:pPr>
    </w:p>
    <w:p>
      <w:pPr>
        <w:tabs>
          <w:tab w:val="left" w:pos="5565"/>
        </w:tabs>
        <w:autoSpaceDE w:val="0"/>
        <w:autoSpaceDN w:val="0"/>
        <w:adjustRightInd w:val="0"/>
        <w:snapToGrid w:val="0"/>
        <w:spacing w:line="480" w:lineRule="auto"/>
        <w:ind w:firstLine="390" w:firstLineChars="186"/>
        <w:jc w:val="left"/>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投标人名称：</w:t>
      </w:r>
      <w:r>
        <w:rPr>
          <w:rFonts w:hint="eastAsia" w:ascii="新宋体" w:hAnsi="新宋体" w:eastAsia="新宋体" w:cs="新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单位性质：</w:t>
      </w:r>
      <w:r>
        <w:rPr>
          <w:rFonts w:hint="eastAsia" w:ascii="新宋体" w:hAnsi="新宋体" w:eastAsia="新宋体" w:cs="新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地    址：</w:t>
      </w:r>
      <w:r>
        <w:rPr>
          <w:rFonts w:hint="eastAsia" w:ascii="新宋体" w:hAnsi="新宋体" w:eastAsia="新宋体" w:cs="新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hint="eastAsia" w:ascii="新宋体" w:hAnsi="新宋体" w:eastAsia="新宋体" w:cs="新宋体"/>
          <w:color w:val="auto"/>
          <w:kern w:val="0"/>
          <w:sz w:val="10"/>
          <w:szCs w:val="10"/>
          <w:highlight w:val="none"/>
        </w:rPr>
      </w:pPr>
      <w:r>
        <w:rPr>
          <w:rFonts w:hint="eastAsia" w:ascii="新宋体" w:hAnsi="新宋体" w:eastAsia="新宋体" w:cs="新宋体"/>
          <w:color w:val="auto"/>
          <w:kern w:val="0"/>
          <w:szCs w:val="21"/>
          <w:highlight w:val="none"/>
        </w:rPr>
        <w:t>成立时间：</w:t>
      </w:r>
      <w:r>
        <w:rPr>
          <w:rFonts w:hint="eastAsia" w:ascii="新宋体" w:hAnsi="新宋体" w:eastAsia="新宋体" w:cs="新宋体"/>
          <w:color w:val="auto"/>
          <w:w w:val="200"/>
          <w:kern w:val="0"/>
          <w:szCs w:val="21"/>
          <w:highlight w:val="none"/>
          <w:u w:val="single"/>
        </w:rPr>
        <w:t xml:space="preserve">        </w:t>
      </w:r>
      <w:r>
        <w:rPr>
          <w:rFonts w:hint="eastAsia" w:ascii="新宋体" w:hAnsi="新宋体" w:eastAsia="新宋体" w:cs="新宋体"/>
          <w:color w:val="auto"/>
          <w:kern w:val="0"/>
          <w:szCs w:val="21"/>
          <w:highlight w:val="none"/>
        </w:rPr>
        <w:t>年</w:t>
      </w:r>
      <w:r>
        <w:rPr>
          <w:rFonts w:hint="eastAsia" w:ascii="新宋体" w:hAnsi="新宋体" w:eastAsia="新宋体" w:cs="新宋体"/>
          <w:color w:val="auto"/>
          <w:w w:val="200"/>
          <w:kern w:val="0"/>
          <w:szCs w:val="21"/>
          <w:highlight w:val="none"/>
          <w:u w:val="single"/>
        </w:rPr>
        <w:t xml:space="preserve"> </w:t>
      </w:r>
      <w:r>
        <w:rPr>
          <w:rFonts w:hint="eastAsia" w:ascii="新宋体" w:hAnsi="新宋体" w:eastAsia="新宋体" w:cs="新宋体"/>
          <w:color w:val="auto"/>
          <w:kern w:val="0"/>
          <w:szCs w:val="21"/>
          <w:highlight w:val="none"/>
          <w:u w:val="single"/>
        </w:rPr>
        <w:t xml:space="preserve">       </w:t>
      </w:r>
      <w:r>
        <w:rPr>
          <w:rFonts w:hint="eastAsia" w:ascii="新宋体" w:hAnsi="新宋体" w:eastAsia="新宋体" w:cs="新宋体"/>
          <w:color w:val="auto"/>
          <w:kern w:val="0"/>
          <w:szCs w:val="21"/>
          <w:highlight w:val="none"/>
        </w:rPr>
        <w:t>月</w:t>
      </w:r>
      <w:r>
        <w:rPr>
          <w:rFonts w:hint="eastAsia" w:ascii="新宋体" w:hAnsi="新宋体" w:eastAsia="新宋体" w:cs="新宋体"/>
          <w:color w:val="auto"/>
          <w:w w:val="200"/>
          <w:kern w:val="0"/>
          <w:szCs w:val="21"/>
          <w:highlight w:val="none"/>
          <w:u w:val="single"/>
        </w:rPr>
        <w:t xml:space="preserve"> </w:t>
      </w:r>
      <w:r>
        <w:rPr>
          <w:rFonts w:hint="eastAsia" w:ascii="新宋体" w:hAnsi="新宋体" w:eastAsia="新宋体" w:cs="新宋体"/>
          <w:color w:val="auto"/>
          <w:kern w:val="0"/>
          <w:szCs w:val="21"/>
          <w:highlight w:val="none"/>
          <w:u w:val="single"/>
        </w:rPr>
        <w:t xml:space="preserve">       </w:t>
      </w:r>
      <w:r>
        <w:rPr>
          <w:rFonts w:hint="eastAsia" w:ascii="新宋体" w:hAnsi="新宋体" w:eastAsia="新宋体" w:cs="新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经营期限：</w:t>
      </w:r>
      <w:r>
        <w:rPr>
          <w:rFonts w:hint="eastAsia" w:ascii="新宋体" w:hAnsi="新宋体" w:eastAsia="新宋体" w:cs="新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姓名：</w:t>
      </w:r>
      <w:r>
        <w:rPr>
          <w:rFonts w:hint="eastAsia" w:ascii="新宋体" w:hAnsi="新宋体" w:eastAsia="新宋体" w:cs="新宋体"/>
          <w:color w:val="auto"/>
          <w:w w:val="200"/>
          <w:kern w:val="0"/>
          <w:szCs w:val="21"/>
          <w:highlight w:val="none"/>
          <w:u w:val="single"/>
        </w:rPr>
        <w:t xml:space="preserve">        </w:t>
      </w:r>
      <w:r>
        <w:rPr>
          <w:rFonts w:hint="eastAsia" w:ascii="新宋体" w:hAnsi="新宋体" w:eastAsia="新宋体" w:cs="新宋体"/>
          <w:color w:val="auto"/>
          <w:kern w:val="0"/>
          <w:szCs w:val="21"/>
          <w:highlight w:val="none"/>
        </w:rPr>
        <w:t>性别</w:t>
      </w:r>
      <w:r>
        <w:rPr>
          <w:rFonts w:hint="eastAsia" w:ascii="新宋体" w:hAnsi="新宋体" w:eastAsia="新宋体" w:cs="新宋体"/>
          <w:color w:val="auto"/>
          <w:spacing w:val="-1"/>
          <w:kern w:val="0"/>
          <w:szCs w:val="21"/>
          <w:highlight w:val="none"/>
        </w:rPr>
        <w:t>：</w:t>
      </w:r>
      <w:r>
        <w:rPr>
          <w:rFonts w:hint="eastAsia" w:ascii="新宋体" w:hAnsi="新宋体" w:eastAsia="新宋体" w:cs="新宋体"/>
          <w:color w:val="auto"/>
          <w:kern w:val="0"/>
          <w:szCs w:val="21"/>
          <w:highlight w:val="none"/>
          <w:u w:val="single"/>
        </w:rPr>
        <w:t xml:space="preserve">       </w:t>
      </w:r>
      <w:r>
        <w:rPr>
          <w:rFonts w:hint="eastAsia" w:ascii="新宋体" w:hAnsi="新宋体" w:eastAsia="新宋体" w:cs="新宋体"/>
          <w:color w:val="auto"/>
          <w:spacing w:val="-1"/>
          <w:kern w:val="0"/>
          <w:szCs w:val="21"/>
          <w:highlight w:val="none"/>
        </w:rPr>
        <w:t>年</w:t>
      </w:r>
      <w:r>
        <w:rPr>
          <w:rFonts w:hint="eastAsia" w:ascii="新宋体" w:hAnsi="新宋体" w:eastAsia="新宋体" w:cs="新宋体"/>
          <w:color w:val="auto"/>
          <w:kern w:val="0"/>
          <w:szCs w:val="21"/>
          <w:highlight w:val="none"/>
        </w:rPr>
        <w:t>龄：</w:t>
      </w:r>
      <w:r>
        <w:rPr>
          <w:rFonts w:hint="eastAsia" w:ascii="新宋体" w:hAnsi="新宋体" w:eastAsia="新宋体" w:cs="新宋体"/>
          <w:color w:val="auto"/>
          <w:kern w:val="0"/>
          <w:szCs w:val="21"/>
          <w:highlight w:val="none"/>
          <w:u w:val="single"/>
        </w:rPr>
        <w:t xml:space="preserve">       </w:t>
      </w:r>
      <w:r>
        <w:rPr>
          <w:rFonts w:hint="eastAsia" w:ascii="新宋体" w:hAnsi="新宋体" w:eastAsia="新宋体" w:cs="新宋体"/>
          <w:color w:val="auto"/>
          <w:kern w:val="0"/>
          <w:szCs w:val="21"/>
          <w:highlight w:val="none"/>
        </w:rPr>
        <w:t>职务：</w:t>
      </w:r>
      <w:r>
        <w:rPr>
          <w:rFonts w:hint="eastAsia" w:ascii="新宋体" w:hAnsi="新宋体" w:eastAsia="新宋体" w:cs="新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系</w:t>
      </w:r>
      <w:r>
        <w:rPr>
          <w:rFonts w:hint="eastAsia" w:ascii="新宋体" w:hAnsi="新宋体" w:eastAsia="新宋体" w:cs="新宋体"/>
          <w:color w:val="auto"/>
          <w:kern w:val="0"/>
          <w:szCs w:val="21"/>
          <w:highlight w:val="none"/>
          <w:u w:val="single"/>
        </w:rPr>
        <w:t xml:space="preserve">                                                         （投标人名称）</w:t>
      </w:r>
      <w:r>
        <w:rPr>
          <w:rFonts w:hint="eastAsia" w:ascii="新宋体" w:hAnsi="新宋体" w:eastAsia="新宋体" w:cs="新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特此证明。</w:t>
      </w:r>
    </w:p>
    <w:p>
      <w:pPr>
        <w:autoSpaceDE w:val="0"/>
        <w:autoSpaceDN w:val="0"/>
        <w:adjustRightInd w:val="0"/>
        <w:snapToGrid w:val="0"/>
        <w:spacing w:line="480" w:lineRule="auto"/>
        <w:ind w:firstLine="810" w:firstLineChars="386"/>
        <w:jc w:val="left"/>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附：法定代表人身份证扫描件（双面）</w:t>
      </w:r>
    </w:p>
    <w:p>
      <w:pPr>
        <w:autoSpaceDE w:val="0"/>
        <w:autoSpaceDN w:val="0"/>
        <w:adjustRightInd w:val="0"/>
        <w:snapToGrid w:val="0"/>
        <w:spacing w:line="360" w:lineRule="auto"/>
        <w:jc w:val="left"/>
        <w:rPr>
          <w:rFonts w:hint="eastAsia" w:ascii="新宋体" w:hAnsi="新宋体" w:eastAsia="新宋体" w:cs="新宋体"/>
          <w:color w:val="auto"/>
          <w:szCs w:val="21"/>
          <w:highlight w:val="none"/>
        </w:rPr>
      </w:pPr>
    </w:p>
    <w:p>
      <w:pPr>
        <w:pStyle w:val="18"/>
        <w:spacing w:after="0" w:line="360" w:lineRule="auto"/>
        <w:rPr>
          <w:rFonts w:hint="eastAsia" w:ascii="新宋体" w:hAnsi="新宋体" w:eastAsia="新宋体" w:cs="新宋体"/>
          <w:color w:val="auto"/>
          <w:szCs w:val="21"/>
          <w:highlight w:val="none"/>
        </w:rPr>
      </w:pPr>
    </w:p>
    <w:p>
      <w:pPr>
        <w:pStyle w:val="18"/>
        <w:spacing w:after="0" w:line="360" w:lineRule="auto"/>
        <w:rPr>
          <w:rFonts w:hint="eastAsia" w:ascii="新宋体" w:hAnsi="新宋体" w:eastAsia="新宋体" w:cs="新宋体"/>
          <w:color w:val="auto"/>
          <w:szCs w:val="21"/>
          <w:highlight w:val="none"/>
        </w:rPr>
      </w:pPr>
    </w:p>
    <w:p>
      <w:pPr>
        <w:pStyle w:val="18"/>
        <w:spacing w:after="0" w:line="360" w:lineRule="auto"/>
        <w:rPr>
          <w:rFonts w:hint="eastAsia" w:ascii="新宋体" w:hAnsi="新宋体" w:eastAsia="新宋体" w:cs="新宋体"/>
          <w:color w:val="auto"/>
          <w:szCs w:val="21"/>
          <w:highlight w:val="none"/>
        </w:rPr>
      </w:pPr>
    </w:p>
    <w:p>
      <w:pPr>
        <w:pStyle w:val="18"/>
        <w:spacing w:after="0" w:line="360" w:lineRule="auto"/>
        <w:rPr>
          <w:rFonts w:hint="eastAsia" w:ascii="新宋体" w:hAnsi="新宋体" w:eastAsia="新宋体" w:cs="新宋体"/>
          <w:color w:val="auto"/>
          <w:szCs w:val="21"/>
          <w:highlight w:val="none"/>
        </w:rPr>
      </w:pPr>
    </w:p>
    <w:p>
      <w:pPr>
        <w:pStyle w:val="18"/>
        <w:spacing w:after="0" w:line="360" w:lineRule="auto"/>
        <w:rPr>
          <w:rFonts w:hint="eastAsia" w:ascii="新宋体" w:hAnsi="新宋体" w:eastAsia="新宋体" w:cs="新宋体"/>
          <w:color w:val="auto"/>
          <w:szCs w:val="21"/>
          <w:highlight w:val="none"/>
        </w:rPr>
      </w:pPr>
    </w:p>
    <w:p>
      <w:pPr>
        <w:autoSpaceDE w:val="0"/>
        <w:autoSpaceDN w:val="0"/>
        <w:adjustRightInd w:val="0"/>
        <w:snapToGrid w:val="0"/>
        <w:spacing w:line="480" w:lineRule="auto"/>
        <w:ind w:firstLine="420" w:firstLineChars="200"/>
        <w:jc w:val="right"/>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投标</w:t>
      </w:r>
      <w:r>
        <w:rPr>
          <w:rFonts w:hint="eastAsia" w:ascii="新宋体" w:hAnsi="新宋体" w:eastAsia="新宋体" w:cs="新宋体"/>
          <w:color w:val="auto"/>
          <w:spacing w:val="-1"/>
          <w:kern w:val="0"/>
          <w:szCs w:val="21"/>
          <w:highlight w:val="none"/>
        </w:rPr>
        <w:t>人</w:t>
      </w:r>
      <w:r>
        <w:rPr>
          <w:rFonts w:hint="eastAsia" w:ascii="新宋体" w:hAnsi="新宋体" w:eastAsia="新宋体" w:cs="新宋体"/>
          <w:color w:val="auto"/>
          <w:kern w:val="0"/>
          <w:szCs w:val="21"/>
          <w:highlight w:val="none"/>
        </w:rPr>
        <w:t>：</w:t>
      </w:r>
      <w:r>
        <w:rPr>
          <w:rFonts w:hint="eastAsia" w:ascii="新宋体" w:hAnsi="新宋体" w:eastAsia="新宋体" w:cs="新宋体"/>
          <w:color w:val="auto"/>
          <w:w w:val="200"/>
          <w:kern w:val="0"/>
          <w:szCs w:val="21"/>
          <w:highlight w:val="none"/>
          <w:u w:val="single"/>
        </w:rPr>
        <w:t xml:space="preserve">              </w:t>
      </w:r>
      <w:r>
        <w:rPr>
          <w:rFonts w:hint="eastAsia" w:ascii="新宋体" w:hAnsi="新宋体" w:eastAsia="新宋体" w:cs="新宋体"/>
          <w:color w:val="auto"/>
          <w:kern w:val="0"/>
          <w:szCs w:val="21"/>
          <w:highlight w:val="none"/>
          <w:u w:val="single"/>
        </w:rPr>
        <w:tab/>
      </w:r>
      <w:r>
        <w:rPr>
          <w:rFonts w:hint="eastAsia" w:ascii="新宋体" w:hAnsi="新宋体" w:eastAsia="新宋体" w:cs="新宋体"/>
          <w:color w:val="auto"/>
          <w:spacing w:val="-1"/>
          <w:kern w:val="0"/>
          <w:szCs w:val="21"/>
          <w:highlight w:val="none"/>
        </w:rPr>
        <w:t>（</w:t>
      </w:r>
      <w:r>
        <w:rPr>
          <w:rFonts w:hint="eastAsia" w:ascii="新宋体" w:hAnsi="新宋体" w:eastAsia="新宋体" w:cs="新宋体"/>
          <w:color w:val="auto"/>
          <w:kern w:val="0"/>
          <w:szCs w:val="21"/>
          <w:highlight w:val="none"/>
        </w:rPr>
        <w:t>盖单位法人章）</w:t>
      </w:r>
    </w:p>
    <w:p>
      <w:pPr>
        <w:autoSpaceDE w:val="0"/>
        <w:autoSpaceDN w:val="0"/>
        <w:adjustRightInd w:val="0"/>
        <w:snapToGrid w:val="0"/>
        <w:spacing w:line="480" w:lineRule="auto"/>
        <w:jc w:val="left"/>
        <w:rPr>
          <w:rFonts w:hint="eastAsia" w:ascii="新宋体" w:hAnsi="新宋体" w:eastAsia="新宋体" w:cs="新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新宋体" w:hAnsi="新宋体" w:eastAsia="新宋体" w:cs="新宋体"/>
          <w:color w:val="auto"/>
          <w:kern w:val="0"/>
          <w:szCs w:val="21"/>
          <w:highlight w:val="none"/>
        </w:rPr>
      </w:pPr>
      <w:r>
        <w:rPr>
          <w:rFonts w:hint="eastAsia" w:ascii="新宋体" w:hAnsi="新宋体" w:eastAsia="新宋体" w:cs="新宋体"/>
          <w:color w:val="auto"/>
          <w:w w:val="200"/>
          <w:kern w:val="0"/>
          <w:szCs w:val="21"/>
          <w:highlight w:val="none"/>
          <w:u w:val="single"/>
        </w:rPr>
        <w:t xml:space="preserve">      </w:t>
      </w:r>
      <w:r>
        <w:rPr>
          <w:rFonts w:hint="eastAsia" w:ascii="新宋体" w:hAnsi="新宋体" w:eastAsia="新宋体" w:cs="新宋体"/>
          <w:color w:val="auto"/>
          <w:kern w:val="0"/>
          <w:szCs w:val="21"/>
          <w:highlight w:val="none"/>
        </w:rPr>
        <w:t>年</w:t>
      </w:r>
      <w:r>
        <w:rPr>
          <w:rFonts w:hint="eastAsia" w:ascii="新宋体" w:hAnsi="新宋体" w:eastAsia="新宋体" w:cs="新宋体"/>
          <w:color w:val="auto"/>
          <w:w w:val="200"/>
          <w:kern w:val="0"/>
          <w:szCs w:val="21"/>
          <w:highlight w:val="none"/>
          <w:u w:val="single"/>
        </w:rPr>
        <w:t xml:space="preserve"> </w:t>
      </w:r>
      <w:r>
        <w:rPr>
          <w:rFonts w:hint="eastAsia" w:ascii="新宋体" w:hAnsi="新宋体" w:eastAsia="新宋体" w:cs="新宋体"/>
          <w:color w:val="auto"/>
          <w:kern w:val="0"/>
          <w:szCs w:val="21"/>
          <w:highlight w:val="none"/>
          <w:u w:val="single"/>
        </w:rPr>
        <w:t xml:space="preserve">     </w:t>
      </w:r>
      <w:r>
        <w:rPr>
          <w:rFonts w:hint="eastAsia" w:ascii="新宋体" w:hAnsi="新宋体" w:eastAsia="新宋体" w:cs="新宋体"/>
          <w:color w:val="auto"/>
          <w:kern w:val="0"/>
          <w:szCs w:val="21"/>
          <w:highlight w:val="none"/>
        </w:rPr>
        <w:t>月</w:t>
      </w:r>
      <w:r>
        <w:rPr>
          <w:rFonts w:hint="eastAsia" w:ascii="新宋体" w:hAnsi="新宋体" w:eastAsia="新宋体" w:cs="新宋体"/>
          <w:color w:val="auto"/>
          <w:w w:val="200"/>
          <w:kern w:val="0"/>
          <w:szCs w:val="21"/>
          <w:highlight w:val="none"/>
          <w:u w:val="single"/>
        </w:rPr>
        <w:t xml:space="preserve"> </w:t>
      </w:r>
      <w:r>
        <w:rPr>
          <w:rFonts w:hint="eastAsia" w:ascii="新宋体" w:hAnsi="新宋体" w:eastAsia="新宋体" w:cs="新宋体"/>
          <w:color w:val="auto"/>
          <w:kern w:val="0"/>
          <w:szCs w:val="21"/>
          <w:highlight w:val="none"/>
          <w:u w:val="single"/>
        </w:rPr>
        <w:t xml:space="preserve">     </w:t>
      </w:r>
      <w:r>
        <w:rPr>
          <w:rFonts w:hint="eastAsia" w:ascii="新宋体" w:hAnsi="新宋体" w:eastAsia="新宋体" w:cs="新宋体"/>
          <w:color w:val="auto"/>
          <w:kern w:val="0"/>
          <w:szCs w:val="21"/>
          <w:highlight w:val="none"/>
        </w:rPr>
        <w:t xml:space="preserve">日  </w:t>
      </w:r>
    </w:p>
    <w:p>
      <w:pPr>
        <w:autoSpaceDE w:val="0"/>
        <w:autoSpaceDN w:val="0"/>
        <w:adjustRightInd w:val="0"/>
        <w:snapToGrid w:val="0"/>
        <w:spacing w:line="360" w:lineRule="auto"/>
        <w:jc w:val="left"/>
        <w:rPr>
          <w:rFonts w:hint="eastAsia" w:ascii="新宋体" w:hAnsi="新宋体" w:eastAsia="新宋体" w:cs="新宋体"/>
          <w:color w:val="auto"/>
          <w:kern w:val="0"/>
          <w:highlight w:val="none"/>
        </w:rPr>
      </w:pPr>
    </w:p>
    <w:p>
      <w:pPr>
        <w:autoSpaceDE w:val="0"/>
        <w:autoSpaceDN w:val="0"/>
        <w:adjustRightInd w:val="0"/>
        <w:snapToGrid w:val="0"/>
        <w:spacing w:line="360" w:lineRule="auto"/>
        <w:jc w:val="left"/>
        <w:rPr>
          <w:rFonts w:hint="eastAsia" w:ascii="新宋体" w:hAnsi="新宋体" w:eastAsia="新宋体" w:cs="新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hint="eastAsia" w:ascii="新宋体" w:hAnsi="新宋体" w:eastAsia="新宋体" w:cs="新宋体"/>
          <w:color w:val="auto"/>
          <w:kern w:val="0"/>
          <w:szCs w:val="21"/>
          <w:highlight w:val="none"/>
        </w:rPr>
      </w:pPr>
      <w:r>
        <w:rPr>
          <w:rFonts w:hint="eastAsia" w:ascii="新宋体" w:hAnsi="新宋体" w:eastAsia="新宋体" w:cs="新宋体"/>
          <w:color w:val="auto"/>
          <w:highlight w:val="none"/>
        </w:rPr>
        <w:t>注：法定代表人身份证明需按上述格式填写完整，不可缺少内容。在此基础上增加内容的不影响其有效性</w:t>
      </w:r>
      <w:r>
        <w:rPr>
          <w:rFonts w:hint="eastAsia" w:ascii="新宋体" w:hAnsi="新宋体" w:eastAsia="新宋体" w:cs="新宋体"/>
          <w:color w:val="auto"/>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hint="eastAsia" w:ascii="新宋体" w:hAnsi="新宋体" w:eastAsia="新宋体" w:cs="新宋体"/>
          <w:color w:val="auto"/>
          <w:kern w:val="0"/>
          <w:szCs w:val="21"/>
          <w:highlight w:val="none"/>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新宋体" w:hAnsi="新宋体" w:eastAsia="新宋体" w:cs="新宋体"/>
          <w:color w:val="auto"/>
          <w:kern w:val="0"/>
          <w:sz w:val="28"/>
          <w:szCs w:val="28"/>
          <w:highlight w:val="none"/>
        </w:rPr>
      </w:pPr>
      <w:r>
        <w:rPr>
          <w:rFonts w:hint="eastAsia" w:ascii="新宋体" w:hAnsi="新宋体" w:eastAsia="新宋体" w:cs="新宋体"/>
          <w:b/>
          <w:color w:val="auto"/>
          <w:kern w:val="0"/>
          <w:sz w:val="28"/>
          <w:szCs w:val="28"/>
          <w:highlight w:val="none"/>
        </w:rPr>
        <w:br w:type="page"/>
      </w:r>
      <w:r>
        <w:rPr>
          <w:rFonts w:hint="eastAsia" w:ascii="新宋体" w:hAnsi="新宋体" w:eastAsia="新宋体" w:cs="新宋体"/>
          <w:snapToGrid w:val="0"/>
          <w:color w:val="auto"/>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本人</w:t>
      </w:r>
      <w:r>
        <w:rPr>
          <w:rFonts w:hint="eastAsia" w:ascii="新宋体" w:hAnsi="新宋体" w:eastAsia="新宋体" w:cs="新宋体"/>
          <w:color w:val="auto"/>
          <w:w w:val="200"/>
          <w:kern w:val="0"/>
          <w:szCs w:val="21"/>
          <w:highlight w:val="none"/>
          <w:u w:val="single"/>
        </w:rPr>
        <w:t xml:space="preserve">    </w:t>
      </w:r>
      <w:r>
        <w:rPr>
          <w:rFonts w:hint="eastAsia" w:ascii="新宋体" w:hAnsi="新宋体" w:eastAsia="新宋体" w:cs="新宋体"/>
          <w:color w:val="auto"/>
          <w:kern w:val="0"/>
          <w:szCs w:val="21"/>
          <w:highlight w:val="none"/>
          <w:u w:val="single"/>
        </w:rPr>
        <w:t>（姓名）</w:t>
      </w:r>
      <w:r>
        <w:rPr>
          <w:rFonts w:hint="eastAsia" w:ascii="新宋体" w:hAnsi="新宋体" w:eastAsia="新宋体" w:cs="新宋体"/>
          <w:color w:val="auto"/>
          <w:kern w:val="0"/>
          <w:szCs w:val="21"/>
          <w:highlight w:val="none"/>
        </w:rPr>
        <w:t>系</w:t>
      </w:r>
      <w:r>
        <w:rPr>
          <w:rFonts w:hint="eastAsia" w:ascii="新宋体" w:hAnsi="新宋体" w:eastAsia="新宋体" w:cs="新宋体"/>
          <w:color w:val="auto"/>
          <w:w w:val="200"/>
          <w:kern w:val="0"/>
          <w:szCs w:val="21"/>
          <w:highlight w:val="none"/>
          <w:u w:val="single"/>
        </w:rPr>
        <w:t xml:space="preserve">        </w:t>
      </w:r>
      <w:r>
        <w:rPr>
          <w:rFonts w:hint="eastAsia" w:ascii="新宋体" w:hAnsi="新宋体" w:eastAsia="新宋体" w:cs="新宋体"/>
          <w:color w:val="auto"/>
          <w:kern w:val="0"/>
          <w:szCs w:val="21"/>
          <w:highlight w:val="none"/>
          <w:u w:val="single"/>
        </w:rPr>
        <w:t>（</w:t>
      </w:r>
      <w:r>
        <w:rPr>
          <w:rFonts w:hint="eastAsia" w:ascii="新宋体" w:hAnsi="新宋体" w:eastAsia="新宋体" w:cs="新宋体"/>
          <w:color w:val="auto"/>
          <w:spacing w:val="-1"/>
          <w:kern w:val="0"/>
          <w:szCs w:val="21"/>
          <w:highlight w:val="none"/>
          <w:u w:val="single"/>
        </w:rPr>
        <w:t>投</w:t>
      </w:r>
      <w:r>
        <w:rPr>
          <w:rFonts w:hint="eastAsia" w:ascii="新宋体" w:hAnsi="新宋体" w:eastAsia="新宋体" w:cs="新宋体"/>
          <w:color w:val="auto"/>
          <w:kern w:val="0"/>
          <w:szCs w:val="21"/>
          <w:highlight w:val="none"/>
          <w:u w:val="single"/>
        </w:rPr>
        <w:t>标人名称</w:t>
      </w:r>
      <w:r>
        <w:rPr>
          <w:rFonts w:hint="eastAsia" w:ascii="新宋体" w:hAnsi="新宋体" w:eastAsia="新宋体" w:cs="新宋体"/>
          <w:color w:val="auto"/>
          <w:spacing w:val="1"/>
          <w:kern w:val="0"/>
          <w:szCs w:val="21"/>
          <w:highlight w:val="none"/>
          <w:u w:val="single"/>
        </w:rPr>
        <w:t>）</w:t>
      </w:r>
      <w:r>
        <w:rPr>
          <w:rFonts w:hint="eastAsia" w:ascii="新宋体" w:hAnsi="新宋体" w:eastAsia="新宋体" w:cs="新宋体"/>
          <w:color w:val="auto"/>
          <w:kern w:val="0"/>
          <w:szCs w:val="21"/>
          <w:highlight w:val="none"/>
        </w:rPr>
        <w:t>的法定代</w:t>
      </w:r>
      <w:r>
        <w:rPr>
          <w:rFonts w:hint="eastAsia" w:ascii="新宋体" w:hAnsi="新宋体" w:eastAsia="新宋体" w:cs="新宋体"/>
          <w:color w:val="auto"/>
          <w:spacing w:val="1"/>
          <w:kern w:val="0"/>
          <w:szCs w:val="21"/>
          <w:highlight w:val="none"/>
        </w:rPr>
        <w:t>表</w:t>
      </w:r>
      <w:r>
        <w:rPr>
          <w:rFonts w:hint="eastAsia" w:ascii="新宋体" w:hAnsi="新宋体" w:eastAsia="新宋体" w:cs="新宋体"/>
          <w:color w:val="auto"/>
          <w:kern w:val="0"/>
          <w:szCs w:val="21"/>
          <w:highlight w:val="none"/>
        </w:rPr>
        <w:t>人，现委托</w:t>
      </w:r>
      <w:r>
        <w:rPr>
          <w:rFonts w:hint="eastAsia" w:ascii="新宋体" w:hAnsi="新宋体" w:eastAsia="新宋体" w:cs="新宋体"/>
          <w:color w:val="auto"/>
          <w:w w:val="200"/>
          <w:kern w:val="0"/>
          <w:szCs w:val="21"/>
          <w:highlight w:val="none"/>
          <w:u w:val="single"/>
        </w:rPr>
        <w:t xml:space="preserve">    </w:t>
      </w:r>
      <w:r>
        <w:rPr>
          <w:rFonts w:hint="eastAsia" w:ascii="新宋体" w:hAnsi="新宋体" w:eastAsia="新宋体" w:cs="新宋体"/>
          <w:color w:val="auto"/>
          <w:kern w:val="0"/>
          <w:szCs w:val="21"/>
          <w:highlight w:val="none"/>
          <w:u w:val="single"/>
        </w:rPr>
        <w:t>（姓名）</w:t>
      </w:r>
      <w:r>
        <w:rPr>
          <w:rFonts w:hint="eastAsia" w:ascii="新宋体" w:hAnsi="新宋体" w:eastAsia="新宋体" w:cs="新宋体"/>
          <w:color w:val="auto"/>
          <w:kern w:val="0"/>
          <w:szCs w:val="21"/>
          <w:highlight w:val="none"/>
        </w:rPr>
        <w:t>为我方代理人。代理人根据授权，以我方名义签署、澄清、说明、补正、递交、撤回、 修改</w:t>
      </w:r>
      <w:r>
        <w:rPr>
          <w:rFonts w:hint="eastAsia" w:ascii="新宋体" w:hAnsi="新宋体" w:eastAsia="新宋体" w:cs="新宋体"/>
          <w:color w:val="auto"/>
          <w:w w:val="200"/>
          <w:kern w:val="0"/>
          <w:szCs w:val="21"/>
          <w:highlight w:val="none"/>
          <w:u w:val="single"/>
        </w:rPr>
        <w:t xml:space="preserve">        </w:t>
      </w:r>
      <w:r>
        <w:rPr>
          <w:rFonts w:hint="eastAsia" w:ascii="新宋体" w:hAnsi="新宋体" w:eastAsia="新宋体" w:cs="新宋体"/>
          <w:color w:val="auto"/>
          <w:kern w:val="0"/>
          <w:szCs w:val="21"/>
          <w:highlight w:val="none"/>
          <w:u w:val="single"/>
        </w:rPr>
        <w:t>（项</w:t>
      </w:r>
      <w:r>
        <w:rPr>
          <w:rFonts w:hint="eastAsia" w:ascii="新宋体" w:hAnsi="新宋体" w:eastAsia="新宋体" w:cs="新宋体"/>
          <w:color w:val="auto"/>
          <w:spacing w:val="-1"/>
          <w:kern w:val="0"/>
          <w:szCs w:val="21"/>
          <w:highlight w:val="none"/>
          <w:u w:val="single"/>
        </w:rPr>
        <w:t>目</w:t>
      </w:r>
      <w:r>
        <w:rPr>
          <w:rFonts w:hint="eastAsia" w:ascii="新宋体" w:hAnsi="新宋体" w:eastAsia="新宋体" w:cs="新宋体"/>
          <w:color w:val="auto"/>
          <w:kern w:val="0"/>
          <w:szCs w:val="21"/>
          <w:highlight w:val="none"/>
          <w:u w:val="single"/>
        </w:rPr>
        <w:t>名称）</w:t>
      </w:r>
      <w:r>
        <w:rPr>
          <w:rFonts w:hint="eastAsia" w:ascii="新宋体" w:hAnsi="新宋体" w:eastAsia="新宋体" w:cs="新宋体"/>
          <w:color w:val="auto"/>
          <w:kern w:val="0"/>
          <w:szCs w:val="21"/>
          <w:highlight w:val="none"/>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委托</w:t>
      </w:r>
      <w:r>
        <w:rPr>
          <w:rFonts w:hint="eastAsia" w:ascii="新宋体" w:hAnsi="新宋体" w:eastAsia="新宋体" w:cs="新宋体"/>
          <w:color w:val="auto"/>
          <w:spacing w:val="-1"/>
          <w:kern w:val="0"/>
          <w:szCs w:val="21"/>
          <w:highlight w:val="none"/>
        </w:rPr>
        <w:t>期</w:t>
      </w:r>
      <w:r>
        <w:rPr>
          <w:rFonts w:hint="eastAsia" w:ascii="新宋体" w:hAnsi="新宋体" w:eastAsia="新宋体" w:cs="新宋体"/>
          <w:color w:val="auto"/>
          <w:kern w:val="0"/>
          <w:szCs w:val="21"/>
          <w:highlight w:val="none"/>
        </w:rPr>
        <w:t>限：</w:t>
      </w:r>
      <w:r>
        <w:rPr>
          <w:rFonts w:hint="eastAsia" w:ascii="新宋体" w:hAnsi="新宋体" w:eastAsia="新宋体" w:cs="新宋体"/>
          <w:color w:val="auto"/>
          <w:w w:val="200"/>
          <w:kern w:val="0"/>
          <w:szCs w:val="21"/>
          <w:highlight w:val="none"/>
          <w:u w:val="single"/>
        </w:rPr>
        <w:t xml:space="preserve">        </w:t>
      </w:r>
      <w:r>
        <w:rPr>
          <w:rFonts w:hint="eastAsia" w:ascii="新宋体" w:hAnsi="新宋体" w:eastAsia="新宋体" w:cs="新宋体"/>
          <w:color w:val="auto"/>
          <w:kern w:val="0"/>
          <w:szCs w:val="21"/>
          <w:highlight w:val="none"/>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新宋体" w:hAnsi="新宋体" w:eastAsia="新宋体" w:cs="新宋体"/>
          <w:color w:val="auto"/>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投  标  人：</w:t>
      </w:r>
      <w:r>
        <w:rPr>
          <w:rFonts w:hint="eastAsia" w:ascii="新宋体" w:hAnsi="新宋体" w:eastAsia="新宋体" w:cs="新宋体"/>
          <w:color w:val="auto"/>
          <w:w w:val="200"/>
          <w:kern w:val="0"/>
          <w:szCs w:val="21"/>
          <w:highlight w:val="none"/>
          <w:u w:val="single"/>
        </w:rPr>
        <w:t xml:space="preserve">                           </w:t>
      </w:r>
      <w:r>
        <w:rPr>
          <w:rFonts w:hint="eastAsia" w:ascii="新宋体" w:hAnsi="新宋体" w:eastAsia="新宋体" w:cs="新宋体"/>
          <w:color w:val="auto"/>
          <w:kern w:val="0"/>
          <w:szCs w:val="21"/>
          <w:highlight w:val="none"/>
        </w:rPr>
        <w:t>（</w:t>
      </w:r>
      <w:r>
        <w:rPr>
          <w:rFonts w:hint="eastAsia" w:ascii="新宋体" w:hAnsi="新宋体" w:eastAsia="新宋体" w:cs="新宋体"/>
          <w:color w:val="auto"/>
          <w:spacing w:val="-1"/>
          <w:kern w:val="0"/>
          <w:szCs w:val="21"/>
          <w:highlight w:val="none"/>
        </w:rPr>
        <w:t>盖单位法人章</w:t>
      </w:r>
      <w:r>
        <w:rPr>
          <w:rFonts w:hint="eastAsia" w:ascii="新宋体" w:hAnsi="新宋体" w:eastAsia="新宋体" w:cs="新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法定代表人：</w:t>
      </w:r>
      <w:r>
        <w:rPr>
          <w:rFonts w:hint="eastAsia" w:ascii="新宋体" w:hAnsi="新宋体" w:eastAsia="新宋体" w:cs="新宋体"/>
          <w:color w:val="auto"/>
          <w:w w:val="200"/>
          <w:kern w:val="0"/>
          <w:szCs w:val="21"/>
          <w:highlight w:val="none"/>
          <w:u w:val="single"/>
        </w:rPr>
        <w:t xml:space="preserve">                           </w:t>
      </w:r>
      <w:r>
        <w:rPr>
          <w:rFonts w:hint="eastAsia" w:ascii="新宋体" w:hAnsi="新宋体" w:eastAsia="新宋体" w:cs="新宋体"/>
          <w:color w:val="auto"/>
          <w:kern w:val="0"/>
          <w:szCs w:val="21"/>
          <w:highlight w:val="none"/>
        </w:rPr>
        <w:t>（签名或盖章）</w:t>
      </w:r>
    </w:p>
    <w:p>
      <w:pPr>
        <w:tabs>
          <w:tab w:val="left" w:pos="5260"/>
        </w:tabs>
        <w:autoSpaceDE w:val="0"/>
        <w:autoSpaceDN w:val="0"/>
        <w:adjustRightInd w:val="0"/>
        <w:snapToGrid w:val="0"/>
        <w:spacing w:line="480" w:lineRule="auto"/>
        <w:ind w:firstLine="420" w:firstLineChars="200"/>
        <w:jc w:val="left"/>
        <w:rPr>
          <w:rFonts w:hint="eastAsia" w:ascii="新宋体" w:hAnsi="新宋体" w:eastAsia="新宋体" w:cs="新宋体"/>
          <w:color w:val="auto"/>
          <w:kern w:val="0"/>
          <w:szCs w:val="21"/>
          <w:highlight w:val="none"/>
          <w:u w:val="single"/>
        </w:rPr>
      </w:pPr>
      <w:r>
        <w:rPr>
          <w:rFonts w:hint="eastAsia" w:ascii="新宋体" w:hAnsi="新宋体" w:eastAsia="新宋体" w:cs="新宋体"/>
          <w:color w:val="auto"/>
          <w:kern w:val="0"/>
          <w:szCs w:val="21"/>
          <w:highlight w:val="none"/>
        </w:rPr>
        <w:t>身份证号码：</w:t>
      </w:r>
      <w:r>
        <w:rPr>
          <w:rFonts w:hint="eastAsia" w:ascii="新宋体" w:hAnsi="新宋体" w:eastAsia="新宋体" w:cs="新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委托代理人：</w:t>
      </w:r>
      <w:r>
        <w:rPr>
          <w:rFonts w:hint="eastAsia" w:ascii="新宋体" w:hAnsi="新宋体" w:eastAsia="新宋体" w:cs="新宋体"/>
          <w:color w:val="auto"/>
          <w:w w:val="200"/>
          <w:kern w:val="0"/>
          <w:szCs w:val="21"/>
          <w:highlight w:val="none"/>
          <w:u w:val="single"/>
        </w:rPr>
        <w:t xml:space="preserve">                           </w:t>
      </w:r>
      <w:r>
        <w:rPr>
          <w:rFonts w:hint="eastAsia" w:ascii="新宋体" w:hAnsi="新宋体" w:eastAsia="新宋体" w:cs="新宋体"/>
          <w:color w:val="auto"/>
          <w:kern w:val="0"/>
          <w:szCs w:val="21"/>
          <w:highlight w:val="none"/>
        </w:rPr>
        <w:t>（签名</w:t>
      </w:r>
      <w:r>
        <w:rPr>
          <w:rFonts w:hint="eastAsia" w:ascii="新宋体" w:hAnsi="新宋体" w:eastAsia="新宋体" w:cs="新宋体"/>
          <w:color w:val="auto"/>
          <w:spacing w:val="-1"/>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hint="eastAsia" w:ascii="新宋体" w:hAnsi="新宋体" w:eastAsia="新宋体" w:cs="新宋体"/>
          <w:color w:val="auto"/>
          <w:w w:val="200"/>
          <w:kern w:val="0"/>
          <w:szCs w:val="21"/>
          <w:highlight w:val="none"/>
          <w:u w:val="single"/>
        </w:rPr>
      </w:pPr>
      <w:r>
        <w:rPr>
          <w:rFonts w:hint="eastAsia" w:ascii="新宋体" w:hAnsi="新宋体" w:eastAsia="新宋体" w:cs="新宋体"/>
          <w:color w:val="auto"/>
          <w:kern w:val="0"/>
          <w:szCs w:val="21"/>
          <w:highlight w:val="none"/>
        </w:rPr>
        <w:t>身份证号码：</w:t>
      </w:r>
      <w:r>
        <w:rPr>
          <w:rFonts w:hint="eastAsia" w:ascii="新宋体" w:hAnsi="新宋体" w:eastAsia="新宋体" w:cs="新宋体"/>
          <w:color w:val="auto"/>
          <w:w w:val="200"/>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新宋体" w:hAnsi="新宋体" w:eastAsia="新宋体" w:cs="新宋体"/>
          <w:color w:val="auto"/>
          <w:kern w:val="0"/>
          <w:szCs w:val="21"/>
          <w:highlight w:val="none"/>
          <w:u w:val="single"/>
        </w:rPr>
      </w:pPr>
      <w:r>
        <w:rPr>
          <w:rFonts w:hint="eastAsia" w:ascii="新宋体" w:hAnsi="新宋体" w:eastAsia="新宋体" w:cs="新宋体"/>
          <w:color w:val="auto"/>
          <w:kern w:val="0"/>
          <w:szCs w:val="21"/>
          <w:highlight w:val="none"/>
        </w:rPr>
        <w:t>单位电话（座机）：</w:t>
      </w:r>
      <w:r>
        <w:rPr>
          <w:rFonts w:hint="eastAsia" w:ascii="新宋体" w:hAnsi="新宋体" w:eastAsia="新宋体" w:cs="新宋体"/>
          <w:color w:val="auto"/>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 xml:space="preserve">委托代理人电话（手机）：                                          </w:t>
      </w:r>
    </w:p>
    <w:p>
      <w:pPr>
        <w:autoSpaceDE w:val="0"/>
        <w:autoSpaceDN w:val="0"/>
        <w:adjustRightInd w:val="0"/>
        <w:snapToGrid w:val="0"/>
        <w:spacing w:line="480" w:lineRule="auto"/>
        <w:ind w:firstLine="810" w:firstLineChars="386"/>
        <w:jc w:val="left"/>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新宋体" w:hAnsi="新宋体" w:eastAsia="新宋体" w:cs="新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新宋体" w:hAnsi="新宋体" w:eastAsia="新宋体" w:cs="新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新宋体" w:hAnsi="新宋体" w:eastAsia="新宋体" w:cs="新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新宋体" w:hAnsi="新宋体" w:eastAsia="新宋体" w:cs="新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新宋体" w:hAnsi="新宋体" w:eastAsia="新宋体" w:cs="新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新宋体" w:hAnsi="新宋体" w:eastAsia="新宋体" w:cs="新宋体"/>
          <w:color w:val="auto"/>
          <w:w w:val="200"/>
          <w:kern w:val="0"/>
          <w:szCs w:val="21"/>
          <w:highlight w:val="none"/>
          <w:u w:val="single"/>
        </w:rPr>
      </w:pPr>
    </w:p>
    <w:p>
      <w:pPr>
        <w:tabs>
          <w:tab w:val="left" w:pos="6825"/>
        </w:tabs>
        <w:autoSpaceDE w:val="0"/>
        <w:autoSpaceDN w:val="0"/>
        <w:adjustRightInd w:val="0"/>
        <w:snapToGrid w:val="0"/>
        <w:spacing w:line="480" w:lineRule="auto"/>
        <w:ind w:firstLine="420" w:firstLineChars="200"/>
        <w:jc w:val="left"/>
        <w:rPr>
          <w:rFonts w:hint="eastAsia" w:ascii="新宋体" w:hAnsi="新宋体" w:eastAsia="新宋体" w:cs="新宋体"/>
          <w:color w:val="auto"/>
          <w:kern w:val="0"/>
          <w:szCs w:val="21"/>
          <w:highlight w:val="none"/>
        </w:rPr>
      </w:pP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新宋体" w:hAnsi="新宋体" w:eastAsia="新宋体" w:cs="新宋体"/>
          <w:color w:val="auto"/>
          <w:kern w:val="0"/>
          <w:szCs w:val="21"/>
          <w:highlight w:val="none"/>
        </w:rPr>
      </w:pPr>
      <w:r>
        <w:rPr>
          <w:rFonts w:hint="eastAsia" w:ascii="新宋体" w:hAnsi="新宋体" w:eastAsia="新宋体" w:cs="新宋体"/>
          <w:color w:val="auto"/>
          <w:w w:val="200"/>
          <w:kern w:val="0"/>
          <w:szCs w:val="21"/>
          <w:highlight w:val="none"/>
          <w:u w:val="single"/>
        </w:rPr>
        <w:t xml:space="preserve">  </w:t>
      </w:r>
      <w:r>
        <w:rPr>
          <w:rFonts w:hint="eastAsia" w:ascii="新宋体" w:hAnsi="新宋体" w:eastAsia="新宋体" w:cs="新宋体"/>
          <w:color w:val="auto"/>
          <w:kern w:val="0"/>
          <w:szCs w:val="21"/>
          <w:highlight w:val="none"/>
        </w:rPr>
        <w:t>年</w:t>
      </w:r>
      <w:r>
        <w:rPr>
          <w:rFonts w:hint="eastAsia" w:ascii="新宋体" w:hAnsi="新宋体" w:eastAsia="新宋体" w:cs="新宋体"/>
          <w:color w:val="auto"/>
          <w:w w:val="200"/>
          <w:kern w:val="0"/>
          <w:szCs w:val="21"/>
          <w:highlight w:val="none"/>
          <w:u w:val="single"/>
        </w:rPr>
        <w:t xml:space="preserve">  </w:t>
      </w:r>
      <w:r>
        <w:rPr>
          <w:rFonts w:hint="eastAsia" w:ascii="新宋体" w:hAnsi="新宋体" w:eastAsia="新宋体" w:cs="新宋体"/>
          <w:color w:val="auto"/>
          <w:kern w:val="0"/>
          <w:szCs w:val="21"/>
          <w:highlight w:val="none"/>
        </w:rPr>
        <w:t>月</w:t>
      </w:r>
      <w:r>
        <w:rPr>
          <w:rFonts w:hint="eastAsia" w:ascii="新宋体" w:hAnsi="新宋体" w:eastAsia="新宋体" w:cs="新宋体"/>
          <w:color w:val="auto"/>
          <w:w w:val="200"/>
          <w:kern w:val="0"/>
          <w:szCs w:val="21"/>
          <w:highlight w:val="none"/>
          <w:u w:val="single"/>
        </w:rPr>
        <w:t xml:space="preserve">  </w:t>
      </w:r>
      <w:r>
        <w:rPr>
          <w:rFonts w:hint="eastAsia" w:ascii="新宋体" w:hAnsi="新宋体" w:eastAsia="新宋体" w:cs="新宋体"/>
          <w:color w:val="auto"/>
          <w:kern w:val="0"/>
          <w:szCs w:val="21"/>
          <w:highlight w:val="none"/>
        </w:rPr>
        <w:t xml:space="preserve">日 </w:t>
      </w:r>
    </w:p>
    <w:p>
      <w:pPr>
        <w:tabs>
          <w:tab w:val="left" w:pos="4005"/>
          <w:tab w:val="left" w:pos="4100"/>
          <w:tab w:val="left" w:pos="5040"/>
        </w:tabs>
        <w:autoSpaceDE w:val="0"/>
        <w:autoSpaceDN w:val="0"/>
        <w:adjustRightInd w:val="0"/>
        <w:snapToGrid w:val="0"/>
        <w:spacing w:line="360" w:lineRule="auto"/>
        <w:ind w:firstLine="3780"/>
        <w:jc w:val="right"/>
        <w:rPr>
          <w:rFonts w:hint="eastAsia" w:ascii="新宋体" w:hAnsi="新宋体" w:eastAsia="新宋体" w:cs="新宋体"/>
          <w:color w:val="auto"/>
          <w:kern w:val="0"/>
          <w:szCs w:val="21"/>
          <w:highlight w:val="none"/>
        </w:rPr>
      </w:pPr>
    </w:p>
    <w:p>
      <w:pPr>
        <w:tabs>
          <w:tab w:val="left" w:pos="5760"/>
        </w:tabs>
        <w:autoSpaceDE w:val="0"/>
        <w:autoSpaceDN w:val="0"/>
        <w:adjustRightInd w:val="0"/>
        <w:spacing w:line="360" w:lineRule="auto"/>
        <w:ind w:firstLine="420" w:firstLineChars="200"/>
        <w:rPr>
          <w:rFonts w:hint="eastAsia" w:ascii="新宋体" w:hAnsi="新宋体" w:eastAsia="新宋体" w:cs="新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20" w:firstLine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autoSpaceDE w:val="0"/>
        <w:autoSpaceDN w:val="0"/>
        <w:adjustRightInd w:val="0"/>
        <w:snapToGrid w:val="0"/>
        <w:spacing w:line="360" w:lineRule="auto"/>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kern w:val="0"/>
          <w:szCs w:val="21"/>
          <w:highlight w:val="none"/>
        </w:rPr>
        <w:t>2.</w:t>
      </w:r>
      <w:r>
        <w:rPr>
          <w:rFonts w:hint="eastAsia" w:ascii="新宋体" w:hAnsi="新宋体" w:eastAsia="新宋体" w:cs="新宋体"/>
          <w:color w:val="auto"/>
          <w:highlight w:val="none"/>
        </w:rPr>
        <w:t>授权委托书需按上述格式填写完整，不可缺少内容。在此基础上增加内容的不影响其有效性。</w:t>
      </w:r>
    </w:p>
    <w:p>
      <w:pPr>
        <w:autoSpaceDE w:val="0"/>
        <w:autoSpaceDN w:val="0"/>
        <w:adjustRightInd w:val="0"/>
        <w:snapToGrid w:val="0"/>
        <w:jc w:val="center"/>
        <w:rPr>
          <w:rFonts w:hint="eastAsia" w:ascii="新宋体" w:hAnsi="新宋体" w:eastAsia="新宋体" w:cs="新宋体"/>
          <w:color w:val="auto"/>
          <w:highlight w:val="none"/>
        </w:rPr>
      </w:pPr>
      <w:r>
        <w:rPr>
          <w:rFonts w:hint="eastAsia" w:ascii="新宋体" w:hAnsi="新宋体" w:eastAsia="新宋体" w:cs="新宋体"/>
          <w:color w:val="auto"/>
          <w:highlight w:val="none"/>
        </w:rPr>
        <w:br w:type="page"/>
      </w:r>
    </w:p>
    <w:p>
      <w:pPr>
        <w:pStyle w:val="2"/>
        <w:spacing w:before="0" w:after="0" w:line="240" w:lineRule="auto"/>
        <w:jc w:val="center"/>
        <w:rPr>
          <w:rFonts w:hint="eastAsia" w:ascii="新宋体" w:hAnsi="新宋体" w:eastAsia="新宋体" w:cs="新宋体"/>
          <w:color w:val="auto"/>
          <w:highlight w:val="none"/>
        </w:rPr>
      </w:pPr>
      <w:bookmarkStart w:id="681" w:name="_Toc430530547"/>
      <w:bookmarkStart w:id="682" w:name="_Toc277082658"/>
      <w:bookmarkStart w:id="683" w:name="_Toc224103512"/>
      <w:bookmarkStart w:id="684" w:name="_Toc287607884"/>
      <w:bookmarkStart w:id="685" w:name="_Toc57820659"/>
      <w:bookmarkStart w:id="686" w:name="_Toc287620831"/>
      <w:r>
        <w:rPr>
          <w:rFonts w:hint="eastAsia" w:ascii="新宋体" w:hAnsi="新宋体" w:eastAsia="新宋体" w:cs="新宋体"/>
          <w:b w:val="0"/>
          <w:bCs w:val="0"/>
          <w:color w:val="auto"/>
          <w:highlight w:val="none"/>
        </w:rPr>
        <w:t>（二）</w:t>
      </w:r>
      <w:bookmarkStart w:id="687" w:name="_Toc57820660"/>
      <w:bookmarkStart w:id="688" w:name="_Toc277082659"/>
      <w:bookmarkStart w:id="689" w:name="_Toc287607887"/>
      <w:bookmarkEnd w:id="681"/>
      <w:bookmarkEnd w:id="682"/>
      <w:bookmarkEnd w:id="683"/>
      <w:bookmarkEnd w:id="684"/>
      <w:bookmarkEnd w:id="685"/>
      <w:bookmarkEnd w:id="686"/>
      <w:r>
        <w:rPr>
          <w:rFonts w:hint="eastAsia" w:ascii="新宋体" w:hAnsi="新宋体" w:eastAsia="新宋体" w:cs="新宋体"/>
          <w:b w:val="0"/>
          <w:bCs w:val="0"/>
          <w:color w:val="auto"/>
          <w:highlight w:val="none"/>
        </w:rPr>
        <w:t>投标人基本情况表</w:t>
      </w:r>
      <w:bookmarkEnd w:id="687"/>
    </w:p>
    <w:tbl>
      <w:tblPr>
        <w:tblStyle w:val="62"/>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投标人名称</w:t>
            </w:r>
          </w:p>
        </w:tc>
        <w:tc>
          <w:tcPr>
            <w:tcW w:w="7607" w:type="dxa"/>
            <w:gridSpan w:val="9"/>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注册地址</w:t>
            </w:r>
          </w:p>
        </w:tc>
        <w:tc>
          <w:tcPr>
            <w:tcW w:w="3450" w:type="dxa"/>
            <w:gridSpan w:val="5"/>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p>
        </w:tc>
        <w:tc>
          <w:tcPr>
            <w:tcW w:w="1392" w:type="dxa"/>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邮政编码</w:t>
            </w:r>
          </w:p>
        </w:tc>
        <w:tc>
          <w:tcPr>
            <w:tcW w:w="2765" w:type="dxa"/>
            <w:gridSpan w:val="3"/>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联系方式</w:t>
            </w:r>
          </w:p>
        </w:tc>
        <w:tc>
          <w:tcPr>
            <w:tcW w:w="967" w:type="dxa"/>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联系人</w:t>
            </w:r>
          </w:p>
        </w:tc>
        <w:tc>
          <w:tcPr>
            <w:tcW w:w="2483" w:type="dxa"/>
            <w:gridSpan w:val="4"/>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p>
        </w:tc>
        <w:tc>
          <w:tcPr>
            <w:tcW w:w="1392" w:type="dxa"/>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电话</w:t>
            </w:r>
          </w:p>
        </w:tc>
        <w:tc>
          <w:tcPr>
            <w:tcW w:w="2765" w:type="dxa"/>
            <w:gridSpan w:val="3"/>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p>
        </w:tc>
        <w:tc>
          <w:tcPr>
            <w:tcW w:w="967" w:type="dxa"/>
            <w:vAlign w:val="center"/>
          </w:tcPr>
          <w:p>
            <w:pPr>
              <w:tabs>
                <w:tab w:val="left" w:pos="540"/>
              </w:tabs>
              <w:autoSpaceDE w:val="0"/>
              <w:autoSpaceDN w:val="0"/>
              <w:adjustRightInd w:val="0"/>
              <w:snapToGrid w:val="0"/>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传  真</w:t>
            </w:r>
          </w:p>
        </w:tc>
        <w:tc>
          <w:tcPr>
            <w:tcW w:w="2483" w:type="dxa"/>
            <w:gridSpan w:val="4"/>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p>
        </w:tc>
        <w:tc>
          <w:tcPr>
            <w:tcW w:w="1392" w:type="dxa"/>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网址</w:t>
            </w:r>
          </w:p>
        </w:tc>
        <w:tc>
          <w:tcPr>
            <w:tcW w:w="2765" w:type="dxa"/>
            <w:gridSpan w:val="3"/>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组织结构</w:t>
            </w:r>
          </w:p>
        </w:tc>
        <w:tc>
          <w:tcPr>
            <w:tcW w:w="7607" w:type="dxa"/>
            <w:gridSpan w:val="9"/>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法定代表人</w:t>
            </w:r>
          </w:p>
        </w:tc>
        <w:tc>
          <w:tcPr>
            <w:tcW w:w="967" w:type="dxa"/>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姓  名</w:t>
            </w:r>
          </w:p>
        </w:tc>
        <w:tc>
          <w:tcPr>
            <w:tcW w:w="1024" w:type="dxa"/>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p>
        </w:tc>
        <w:tc>
          <w:tcPr>
            <w:tcW w:w="1356" w:type="dxa"/>
            <w:gridSpan w:val="2"/>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技术职称</w:t>
            </w:r>
          </w:p>
        </w:tc>
        <w:tc>
          <w:tcPr>
            <w:tcW w:w="2024" w:type="dxa"/>
            <w:gridSpan w:val="3"/>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p>
        </w:tc>
        <w:tc>
          <w:tcPr>
            <w:tcW w:w="925" w:type="dxa"/>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电  话</w:t>
            </w:r>
          </w:p>
        </w:tc>
        <w:tc>
          <w:tcPr>
            <w:tcW w:w="1311" w:type="dxa"/>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技术负责人</w:t>
            </w:r>
          </w:p>
        </w:tc>
        <w:tc>
          <w:tcPr>
            <w:tcW w:w="967" w:type="dxa"/>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姓  名</w:t>
            </w:r>
          </w:p>
        </w:tc>
        <w:tc>
          <w:tcPr>
            <w:tcW w:w="1024" w:type="dxa"/>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p>
        </w:tc>
        <w:tc>
          <w:tcPr>
            <w:tcW w:w="1356" w:type="dxa"/>
            <w:gridSpan w:val="2"/>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技术职称</w:t>
            </w:r>
          </w:p>
        </w:tc>
        <w:tc>
          <w:tcPr>
            <w:tcW w:w="2024" w:type="dxa"/>
            <w:gridSpan w:val="3"/>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p>
        </w:tc>
        <w:tc>
          <w:tcPr>
            <w:tcW w:w="925" w:type="dxa"/>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电  话</w:t>
            </w:r>
          </w:p>
        </w:tc>
        <w:tc>
          <w:tcPr>
            <w:tcW w:w="1311" w:type="dxa"/>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成立时间</w:t>
            </w:r>
          </w:p>
        </w:tc>
        <w:tc>
          <w:tcPr>
            <w:tcW w:w="1991" w:type="dxa"/>
            <w:gridSpan w:val="2"/>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p>
        </w:tc>
        <w:tc>
          <w:tcPr>
            <w:tcW w:w="5616" w:type="dxa"/>
            <w:gridSpan w:val="7"/>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企业资质等级</w:t>
            </w:r>
          </w:p>
        </w:tc>
        <w:tc>
          <w:tcPr>
            <w:tcW w:w="1991" w:type="dxa"/>
            <w:gridSpan w:val="2"/>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p>
        </w:tc>
        <w:tc>
          <w:tcPr>
            <w:tcW w:w="904" w:type="dxa"/>
            <w:vMerge w:val="restart"/>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其中</w:t>
            </w:r>
          </w:p>
        </w:tc>
        <w:tc>
          <w:tcPr>
            <w:tcW w:w="2476" w:type="dxa"/>
            <w:gridSpan w:val="4"/>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项目经理</w:t>
            </w:r>
          </w:p>
        </w:tc>
        <w:tc>
          <w:tcPr>
            <w:tcW w:w="2236" w:type="dxa"/>
            <w:gridSpan w:val="2"/>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统一社会信用代码</w:t>
            </w:r>
          </w:p>
        </w:tc>
        <w:tc>
          <w:tcPr>
            <w:tcW w:w="1991" w:type="dxa"/>
            <w:gridSpan w:val="2"/>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p>
        </w:tc>
        <w:tc>
          <w:tcPr>
            <w:tcW w:w="904" w:type="dxa"/>
            <w:vMerge w:val="continue"/>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p>
        </w:tc>
        <w:tc>
          <w:tcPr>
            <w:tcW w:w="2476" w:type="dxa"/>
            <w:gridSpan w:val="4"/>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高级职称人员</w:t>
            </w:r>
          </w:p>
        </w:tc>
        <w:tc>
          <w:tcPr>
            <w:tcW w:w="2236" w:type="dxa"/>
            <w:gridSpan w:val="2"/>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注册资金</w:t>
            </w:r>
          </w:p>
        </w:tc>
        <w:tc>
          <w:tcPr>
            <w:tcW w:w="1991" w:type="dxa"/>
            <w:gridSpan w:val="2"/>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p>
        </w:tc>
        <w:tc>
          <w:tcPr>
            <w:tcW w:w="904" w:type="dxa"/>
            <w:vMerge w:val="continue"/>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p>
        </w:tc>
        <w:tc>
          <w:tcPr>
            <w:tcW w:w="2476" w:type="dxa"/>
            <w:gridSpan w:val="4"/>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中级职称人员</w:t>
            </w:r>
          </w:p>
        </w:tc>
        <w:tc>
          <w:tcPr>
            <w:tcW w:w="2236" w:type="dxa"/>
            <w:gridSpan w:val="2"/>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开户银行</w:t>
            </w:r>
          </w:p>
        </w:tc>
        <w:tc>
          <w:tcPr>
            <w:tcW w:w="1991" w:type="dxa"/>
            <w:gridSpan w:val="2"/>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p>
        </w:tc>
        <w:tc>
          <w:tcPr>
            <w:tcW w:w="904" w:type="dxa"/>
            <w:vMerge w:val="continue"/>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p>
        </w:tc>
        <w:tc>
          <w:tcPr>
            <w:tcW w:w="2476" w:type="dxa"/>
            <w:gridSpan w:val="4"/>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初级职称人员</w:t>
            </w:r>
          </w:p>
        </w:tc>
        <w:tc>
          <w:tcPr>
            <w:tcW w:w="2236" w:type="dxa"/>
            <w:gridSpan w:val="2"/>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账号</w:t>
            </w:r>
          </w:p>
        </w:tc>
        <w:tc>
          <w:tcPr>
            <w:tcW w:w="1991" w:type="dxa"/>
            <w:gridSpan w:val="2"/>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p>
        </w:tc>
        <w:tc>
          <w:tcPr>
            <w:tcW w:w="904" w:type="dxa"/>
            <w:vMerge w:val="continue"/>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p>
        </w:tc>
        <w:tc>
          <w:tcPr>
            <w:tcW w:w="2476" w:type="dxa"/>
            <w:gridSpan w:val="4"/>
            <w:vAlign w:val="center"/>
          </w:tcPr>
          <w:p>
            <w:pPr>
              <w:tabs>
                <w:tab w:val="left" w:pos="1240"/>
              </w:tabs>
              <w:autoSpaceDE w:val="0"/>
              <w:autoSpaceDN w:val="0"/>
              <w:adjustRightInd w:val="0"/>
              <w:snapToGrid w:val="0"/>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技</w:t>
            </w:r>
            <w:r>
              <w:rPr>
                <w:rFonts w:hint="eastAsia" w:ascii="新宋体" w:hAnsi="新宋体" w:eastAsia="新宋体" w:cs="新宋体"/>
                <w:color w:val="auto"/>
                <w:kern w:val="0"/>
                <w:szCs w:val="21"/>
                <w:highlight w:val="none"/>
              </w:rPr>
              <w:tab/>
            </w:r>
            <w:r>
              <w:rPr>
                <w:rFonts w:hint="eastAsia" w:ascii="新宋体" w:hAnsi="新宋体" w:eastAsia="新宋体" w:cs="新宋体"/>
                <w:color w:val="auto"/>
                <w:kern w:val="0"/>
                <w:szCs w:val="21"/>
                <w:highlight w:val="none"/>
              </w:rPr>
              <w:t>工</w:t>
            </w:r>
          </w:p>
        </w:tc>
        <w:tc>
          <w:tcPr>
            <w:tcW w:w="2236" w:type="dxa"/>
            <w:gridSpan w:val="2"/>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经营范围</w:t>
            </w:r>
          </w:p>
        </w:tc>
        <w:tc>
          <w:tcPr>
            <w:tcW w:w="7607" w:type="dxa"/>
            <w:gridSpan w:val="9"/>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备注</w:t>
            </w:r>
          </w:p>
        </w:tc>
        <w:tc>
          <w:tcPr>
            <w:tcW w:w="7607" w:type="dxa"/>
            <w:gridSpan w:val="9"/>
            <w:vAlign w:val="center"/>
          </w:tcPr>
          <w:p>
            <w:pPr>
              <w:autoSpaceDE w:val="0"/>
              <w:autoSpaceDN w:val="0"/>
              <w:adjustRightInd w:val="0"/>
              <w:snapToGrid w:val="0"/>
              <w:jc w:val="center"/>
              <w:rPr>
                <w:rFonts w:hint="eastAsia" w:ascii="新宋体" w:hAnsi="新宋体" w:eastAsia="新宋体" w:cs="新宋体"/>
                <w:color w:val="auto"/>
                <w:kern w:val="0"/>
                <w:szCs w:val="21"/>
                <w:highlight w:val="none"/>
              </w:rPr>
            </w:pPr>
          </w:p>
        </w:tc>
      </w:tr>
    </w:tbl>
    <w:p>
      <w:pPr>
        <w:spacing w:line="360" w:lineRule="auto"/>
        <w:jc w:val="center"/>
        <w:rPr>
          <w:rFonts w:hint="eastAsia" w:ascii="新宋体" w:hAnsi="新宋体" w:eastAsia="新宋体" w:cs="新宋体"/>
          <w:color w:val="auto"/>
          <w:szCs w:val="21"/>
          <w:highlight w:val="none"/>
        </w:rPr>
      </w:pPr>
    </w:p>
    <w:p>
      <w:pPr>
        <w:pStyle w:val="2"/>
        <w:spacing w:before="0" w:line="240" w:lineRule="auto"/>
        <w:jc w:val="center"/>
        <w:rPr>
          <w:rFonts w:hint="eastAsia" w:ascii="新宋体" w:hAnsi="新宋体" w:eastAsia="新宋体" w:cs="新宋体"/>
          <w:b w:val="0"/>
          <w:color w:val="auto"/>
          <w:highlight w:val="none"/>
        </w:rPr>
      </w:pPr>
      <w:r>
        <w:rPr>
          <w:rFonts w:hint="eastAsia" w:ascii="新宋体" w:hAnsi="新宋体" w:eastAsia="新宋体" w:cs="新宋体"/>
          <w:color w:val="auto"/>
          <w:szCs w:val="21"/>
          <w:highlight w:val="none"/>
        </w:rPr>
        <w:br w:type="page"/>
      </w:r>
      <w:bookmarkEnd w:id="688"/>
      <w:bookmarkEnd w:id="689"/>
      <w:bookmarkStart w:id="690" w:name="_Toc57820662"/>
      <w:bookmarkStart w:id="691" w:name="_Toc224103515"/>
      <w:bookmarkStart w:id="692" w:name="_Toc534185841"/>
      <w:bookmarkStart w:id="693" w:name="_Toc430530550"/>
      <w:bookmarkStart w:id="694" w:name="_Toc287620834"/>
      <w:bookmarkStart w:id="695" w:name="_Toc509218864"/>
      <w:bookmarkStart w:id="696" w:name="_Toc287607888"/>
      <w:bookmarkStart w:id="697" w:name="_Toc277082660"/>
      <w:r>
        <w:rPr>
          <w:rFonts w:hint="eastAsia" w:ascii="新宋体" w:hAnsi="新宋体" w:eastAsia="新宋体" w:cs="新宋体"/>
          <w:b w:val="0"/>
          <w:color w:val="auto"/>
          <w:highlight w:val="none"/>
        </w:rPr>
        <w:t>（</w:t>
      </w:r>
      <w:r>
        <w:rPr>
          <w:rFonts w:hint="eastAsia" w:ascii="新宋体" w:hAnsi="新宋体" w:eastAsia="新宋体" w:cs="新宋体"/>
          <w:b w:val="0"/>
          <w:color w:val="auto"/>
          <w:highlight w:val="none"/>
          <w:lang w:val="en-US" w:eastAsia="zh-CN"/>
        </w:rPr>
        <w:t>三</w:t>
      </w:r>
      <w:r>
        <w:rPr>
          <w:rFonts w:hint="eastAsia" w:ascii="新宋体" w:hAnsi="新宋体" w:eastAsia="新宋体" w:cs="新宋体"/>
          <w:b w:val="0"/>
          <w:color w:val="auto"/>
          <w:highlight w:val="none"/>
        </w:rPr>
        <w:t>）近年财务状况表</w:t>
      </w:r>
      <w:bookmarkEnd w:id="690"/>
      <w:bookmarkEnd w:id="691"/>
      <w:bookmarkEnd w:id="692"/>
      <w:bookmarkEnd w:id="693"/>
      <w:bookmarkEnd w:id="694"/>
      <w:bookmarkEnd w:id="695"/>
      <w:bookmarkEnd w:id="696"/>
      <w:bookmarkEnd w:id="697"/>
    </w:p>
    <w:p>
      <w:pPr>
        <w:adjustRightInd w:val="0"/>
        <w:snapToGrid w:val="0"/>
        <w:spacing w:line="360" w:lineRule="auto"/>
        <w:rPr>
          <w:rFonts w:hint="eastAsia" w:ascii="新宋体" w:hAnsi="新宋体" w:eastAsia="新宋体" w:cs="新宋体"/>
          <w:color w:val="auto"/>
          <w:highlight w:val="none"/>
        </w:rPr>
      </w:pPr>
      <w:r>
        <w:rPr>
          <w:rFonts w:hint="eastAsia" w:ascii="新宋体" w:hAnsi="新宋体" w:eastAsia="新宋体" w:cs="新宋体"/>
          <w:color w:val="auto"/>
          <w:highlight w:val="none"/>
        </w:rPr>
        <w:br w:type="page"/>
      </w:r>
    </w:p>
    <w:p>
      <w:pPr>
        <w:pStyle w:val="2"/>
        <w:spacing w:before="0" w:line="240" w:lineRule="auto"/>
        <w:jc w:val="center"/>
        <w:rPr>
          <w:rFonts w:hint="eastAsia" w:ascii="新宋体" w:hAnsi="新宋体" w:eastAsia="新宋体" w:cs="新宋体"/>
          <w:b w:val="0"/>
          <w:color w:val="auto"/>
          <w:highlight w:val="none"/>
        </w:rPr>
      </w:pPr>
      <w:bookmarkStart w:id="698" w:name="_Toc277082661"/>
      <w:bookmarkStart w:id="699" w:name="_Toc224103516"/>
      <w:bookmarkStart w:id="700" w:name="_Toc534185842"/>
      <w:bookmarkStart w:id="701" w:name="_Toc57820663"/>
      <w:bookmarkStart w:id="702" w:name="_Toc430530551"/>
      <w:bookmarkStart w:id="703" w:name="_Toc509218865"/>
      <w:bookmarkStart w:id="704" w:name="_Toc287607889"/>
      <w:bookmarkStart w:id="705" w:name="_Toc287620835"/>
      <w:r>
        <w:rPr>
          <w:rFonts w:hint="eastAsia" w:ascii="新宋体" w:hAnsi="新宋体" w:eastAsia="新宋体" w:cs="新宋体"/>
          <w:b w:val="0"/>
          <w:color w:val="auto"/>
          <w:highlight w:val="none"/>
        </w:rPr>
        <w:t>（</w:t>
      </w:r>
      <w:r>
        <w:rPr>
          <w:rFonts w:hint="eastAsia" w:ascii="新宋体" w:hAnsi="新宋体" w:eastAsia="新宋体" w:cs="新宋体"/>
          <w:b w:val="0"/>
          <w:color w:val="auto"/>
          <w:highlight w:val="none"/>
          <w:lang w:val="en-US" w:eastAsia="zh-CN"/>
        </w:rPr>
        <w:t>四</w:t>
      </w:r>
      <w:r>
        <w:rPr>
          <w:rFonts w:hint="eastAsia" w:ascii="新宋体" w:hAnsi="新宋体" w:eastAsia="新宋体" w:cs="新宋体"/>
          <w:b w:val="0"/>
          <w:color w:val="auto"/>
          <w:highlight w:val="none"/>
        </w:rPr>
        <w:t>）类似项目情况表</w:t>
      </w:r>
      <w:bookmarkEnd w:id="698"/>
      <w:bookmarkEnd w:id="699"/>
      <w:bookmarkEnd w:id="700"/>
      <w:bookmarkEnd w:id="701"/>
      <w:bookmarkEnd w:id="702"/>
      <w:bookmarkEnd w:id="703"/>
      <w:bookmarkEnd w:id="704"/>
      <w:bookmarkEnd w:id="705"/>
    </w:p>
    <w:p>
      <w:pPr>
        <w:rPr>
          <w:rFonts w:hint="eastAsia" w:ascii="新宋体" w:hAnsi="新宋体" w:eastAsia="新宋体" w:cs="新宋体"/>
          <w:b w:val="0"/>
          <w:color w:val="auto"/>
          <w:highlight w:val="none"/>
        </w:rPr>
      </w:pPr>
      <w:bookmarkStart w:id="706" w:name="_Toc430530552"/>
      <w:bookmarkStart w:id="707" w:name="_Toc224103520"/>
      <w:bookmarkStart w:id="708" w:name="_Toc277082663"/>
      <w:bookmarkStart w:id="709" w:name="_Toc534185843"/>
      <w:bookmarkStart w:id="710" w:name="_Toc287620839"/>
      <w:bookmarkStart w:id="711" w:name="_Toc287607893"/>
      <w:bookmarkStart w:id="712" w:name="_Toc509218866"/>
      <w:bookmarkStart w:id="713" w:name="_Toc57820664"/>
      <w:r>
        <w:rPr>
          <w:rFonts w:hint="eastAsia" w:ascii="新宋体" w:hAnsi="新宋体" w:eastAsia="新宋体" w:cs="新宋体"/>
          <w:b w:val="0"/>
          <w:color w:val="auto"/>
          <w:highlight w:val="none"/>
        </w:rPr>
        <w:br w:type="page"/>
      </w:r>
    </w:p>
    <w:p>
      <w:pPr>
        <w:pStyle w:val="2"/>
        <w:spacing w:before="0" w:line="360" w:lineRule="auto"/>
        <w:jc w:val="center"/>
        <w:rPr>
          <w:rFonts w:hint="eastAsia" w:ascii="新宋体" w:hAnsi="新宋体" w:eastAsia="新宋体" w:cs="新宋体"/>
          <w:b w:val="0"/>
          <w:color w:val="auto"/>
          <w:highlight w:val="none"/>
        </w:rPr>
      </w:pPr>
      <w:r>
        <w:rPr>
          <w:rFonts w:hint="eastAsia" w:ascii="新宋体" w:hAnsi="新宋体" w:eastAsia="新宋体" w:cs="新宋体"/>
          <w:b w:val="0"/>
          <w:color w:val="auto"/>
          <w:highlight w:val="none"/>
        </w:rPr>
        <w:t>（</w:t>
      </w:r>
      <w:r>
        <w:rPr>
          <w:rFonts w:hint="eastAsia" w:ascii="新宋体" w:hAnsi="新宋体" w:eastAsia="新宋体" w:cs="新宋体"/>
          <w:b w:val="0"/>
          <w:color w:val="auto"/>
          <w:highlight w:val="none"/>
          <w:lang w:val="en-US" w:eastAsia="zh-CN"/>
        </w:rPr>
        <w:t>五</w:t>
      </w:r>
      <w:r>
        <w:rPr>
          <w:rFonts w:hint="eastAsia" w:ascii="新宋体" w:hAnsi="新宋体" w:eastAsia="新宋体" w:cs="新宋体"/>
          <w:b w:val="0"/>
          <w:color w:val="auto"/>
          <w:highlight w:val="none"/>
        </w:rPr>
        <w:t>）</w:t>
      </w:r>
      <w:bookmarkEnd w:id="706"/>
      <w:bookmarkEnd w:id="707"/>
      <w:bookmarkEnd w:id="708"/>
      <w:bookmarkEnd w:id="709"/>
      <w:bookmarkEnd w:id="710"/>
      <w:bookmarkEnd w:id="711"/>
      <w:bookmarkEnd w:id="712"/>
      <w:r>
        <w:rPr>
          <w:rFonts w:hint="eastAsia" w:ascii="新宋体" w:hAnsi="新宋体" w:eastAsia="新宋体" w:cs="新宋体"/>
          <w:b w:val="0"/>
          <w:color w:val="auto"/>
          <w:highlight w:val="none"/>
        </w:rPr>
        <w:t>承诺</w:t>
      </w:r>
      <w:bookmarkEnd w:id="713"/>
    </w:p>
    <w:p>
      <w:pPr>
        <w:snapToGrid w:val="0"/>
        <w:spacing w:line="380" w:lineRule="exact"/>
        <w:rPr>
          <w:rFonts w:hint="eastAsia" w:ascii="新宋体" w:hAnsi="新宋体" w:eastAsia="新宋体" w:cs="新宋体"/>
          <w:color w:val="auto"/>
          <w:szCs w:val="21"/>
          <w:highlight w:val="none"/>
          <w:u w:val="single"/>
        </w:rPr>
      </w:pPr>
      <w:r>
        <w:rPr>
          <w:rFonts w:hint="eastAsia" w:ascii="新宋体" w:hAnsi="新宋体" w:eastAsia="新宋体" w:cs="新宋体"/>
          <w:color w:val="auto"/>
          <w:szCs w:val="21"/>
          <w:highlight w:val="none"/>
          <w:u w:val="single"/>
        </w:rPr>
        <w:t xml:space="preserve">        （招标人名称）</w:t>
      </w:r>
      <w:r>
        <w:rPr>
          <w:rFonts w:hint="eastAsia" w:ascii="新宋体" w:hAnsi="新宋体" w:eastAsia="新宋体" w:cs="新宋体"/>
          <w:color w:val="auto"/>
          <w:szCs w:val="21"/>
          <w:highlight w:val="none"/>
        </w:rPr>
        <w:t>：</w:t>
      </w:r>
    </w:p>
    <w:p>
      <w:pPr>
        <w:snapToGrid w:val="0"/>
        <w:spacing w:line="38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我公司</w:t>
      </w:r>
      <w:r>
        <w:rPr>
          <w:rFonts w:hint="eastAsia" w:ascii="新宋体" w:hAnsi="新宋体" w:eastAsia="新宋体" w:cs="新宋体"/>
          <w:color w:val="auto"/>
          <w:szCs w:val="21"/>
          <w:highlight w:val="none"/>
          <w:u w:val="single"/>
        </w:rPr>
        <w:t xml:space="preserve">        （投标人名称）</w:t>
      </w:r>
      <w:r>
        <w:rPr>
          <w:rFonts w:hint="eastAsia" w:ascii="新宋体" w:hAnsi="新宋体" w:eastAsia="新宋体" w:cs="新宋体"/>
          <w:color w:val="auto"/>
          <w:szCs w:val="21"/>
          <w:highlight w:val="none"/>
        </w:rPr>
        <w:t>参加了贵单位</w:t>
      </w:r>
      <w:r>
        <w:rPr>
          <w:rFonts w:hint="eastAsia" w:ascii="新宋体" w:hAnsi="新宋体" w:eastAsia="新宋体" w:cs="新宋体"/>
          <w:color w:val="auto"/>
          <w:szCs w:val="21"/>
          <w:highlight w:val="none"/>
          <w:u w:val="single"/>
        </w:rPr>
        <w:t xml:space="preserve">        （项目名称）</w:t>
      </w:r>
      <w:r>
        <w:rPr>
          <w:rFonts w:hint="eastAsia" w:ascii="新宋体" w:hAnsi="新宋体" w:eastAsia="新宋体" w:cs="新宋体"/>
          <w:color w:val="auto"/>
          <w:szCs w:val="21"/>
          <w:highlight w:val="none"/>
        </w:rPr>
        <w:t>的投标，自愿作出以下承诺：</w:t>
      </w:r>
    </w:p>
    <w:p>
      <w:pPr>
        <w:snapToGrid w:val="0"/>
        <w:spacing w:line="38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1、我公司投标截止日投标资格情况不存在下列情形之一：</w:t>
      </w:r>
    </w:p>
    <w:p>
      <w:pPr>
        <w:snapToGrid w:val="0"/>
        <w:spacing w:line="380" w:lineRule="exact"/>
        <w:ind w:firstLine="420" w:firstLineChars="200"/>
        <w:jc w:val="lef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（1）被人民法院列入失信被执行人名单且在被执行期内；</w:t>
      </w:r>
    </w:p>
    <w:p>
      <w:pPr>
        <w:snapToGrid w:val="0"/>
        <w:spacing w:line="38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（2）被列入《重庆市工程建设领域招标投标信用管理暂行办法》规定的重点关注名单且记分达到12分且在记分有效期内；</w:t>
      </w:r>
    </w:p>
    <w:p>
      <w:pPr>
        <w:snapToGrid w:val="0"/>
        <w:spacing w:line="38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（3）被列入《重庆市工程建设领域招标投标信用管理暂行办法》规定的黑名单且在记分有效期内；</w:t>
      </w:r>
    </w:p>
    <w:p>
      <w:pPr>
        <w:snapToGrid w:val="0"/>
        <w:spacing w:line="38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（4）被国家、重庆市（含市或任意区县）有关行政部门处以暂停投标资格行政处罚，且在处罚期限内；</w:t>
      </w:r>
    </w:p>
    <w:p>
      <w:pPr>
        <w:snapToGrid w:val="0"/>
        <w:spacing w:line="38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（5）被重庆市</w:t>
      </w:r>
      <w:r>
        <w:rPr>
          <w:rFonts w:hint="eastAsia" w:ascii="新宋体" w:hAnsi="新宋体" w:eastAsia="新宋体" w:cs="新宋体"/>
          <w:color w:val="auto"/>
          <w:szCs w:val="21"/>
          <w:highlight w:val="none"/>
          <w:lang w:eastAsia="zh-CN"/>
        </w:rPr>
        <w:t>市级有关行业</w:t>
      </w:r>
      <w:r>
        <w:rPr>
          <w:rFonts w:hint="eastAsia" w:ascii="新宋体" w:hAnsi="新宋体" w:eastAsia="新宋体" w:cs="新宋体"/>
          <w:color w:val="auto"/>
          <w:szCs w:val="21"/>
          <w:highlight w:val="none"/>
        </w:rPr>
        <w:t>主管部门暂停在渝承揽新业务且在暂停期内。</w:t>
      </w:r>
    </w:p>
    <w:p>
      <w:pPr>
        <w:snapToGrid w:val="0"/>
        <w:spacing w:line="38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lang w:val="en-US" w:eastAsia="zh-CN"/>
        </w:rPr>
        <w:t>2</w:t>
      </w:r>
      <w:r>
        <w:rPr>
          <w:rFonts w:hint="eastAsia" w:ascii="新宋体" w:hAnsi="新宋体" w:eastAsia="新宋体" w:cs="新宋体"/>
          <w:color w:val="auto"/>
          <w:szCs w:val="21"/>
          <w:highlight w:val="none"/>
        </w:rPr>
        <w:t>、我公司在资格审查部分中提供的相关证明材料真实有效，不存在弄虚作假情形。</w:t>
      </w:r>
      <w:r>
        <w:rPr>
          <w:rFonts w:hint="eastAsia" w:ascii="新宋体" w:hAnsi="新宋体" w:eastAsia="新宋体" w:cs="新宋体"/>
          <w:color w:val="auto"/>
          <w:szCs w:val="21"/>
          <w:highlight w:val="none"/>
          <w:u w:val="single"/>
          <w:lang w:eastAsia="zh-CN"/>
        </w:rPr>
        <w:t>贵单位</w:t>
      </w:r>
      <w:r>
        <w:rPr>
          <w:rFonts w:hint="eastAsia" w:ascii="新宋体" w:hAnsi="新宋体" w:eastAsia="新宋体" w:cs="新宋体"/>
          <w:color w:val="auto"/>
          <w:szCs w:val="21"/>
          <w:highlight w:val="none"/>
          <w:u w:val="single"/>
        </w:rPr>
        <w:t>在合同签订前均有权对我</w:t>
      </w:r>
      <w:r>
        <w:rPr>
          <w:rFonts w:hint="eastAsia" w:ascii="新宋体" w:hAnsi="新宋体" w:eastAsia="新宋体" w:cs="新宋体"/>
          <w:color w:val="auto"/>
          <w:szCs w:val="21"/>
          <w:highlight w:val="none"/>
          <w:u w:val="single"/>
          <w:lang w:eastAsia="zh-CN"/>
        </w:rPr>
        <w:t>公</w:t>
      </w:r>
      <w:r>
        <w:rPr>
          <w:rFonts w:hint="eastAsia" w:ascii="新宋体" w:hAnsi="新宋体" w:eastAsia="新宋体" w:cs="新宋体"/>
          <w:color w:val="auto"/>
          <w:szCs w:val="21"/>
          <w:highlight w:val="none"/>
          <w:u w:val="single"/>
        </w:rPr>
        <w:t>司提供的资料进行核实，若发现弄虚作假，</w:t>
      </w:r>
      <w:r>
        <w:rPr>
          <w:rFonts w:hint="eastAsia" w:ascii="新宋体" w:hAnsi="新宋体" w:eastAsia="新宋体" w:cs="新宋体"/>
          <w:color w:val="auto"/>
          <w:szCs w:val="21"/>
          <w:highlight w:val="none"/>
          <w:u w:val="single"/>
          <w:lang w:eastAsia="zh-CN"/>
        </w:rPr>
        <w:t>按相关规定</w:t>
      </w:r>
      <w:r>
        <w:rPr>
          <w:rFonts w:hint="eastAsia" w:ascii="新宋体" w:hAnsi="新宋体" w:eastAsia="新宋体" w:cs="新宋体"/>
          <w:color w:val="auto"/>
          <w:szCs w:val="21"/>
          <w:highlight w:val="none"/>
          <w:u w:val="single"/>
        </w:rPr>
        <w:t>取消</w:t>
      </w:r>
      <w:r>
        <w:rPr>
          <w:rFonts w:hint="eastAsia" w:ascii="新宋体" w:hAnsi="新宋体" w:eastAsia="新宋体" w:cs="新宋体"/>
          <w:color w:val="auto"/>
          <w:szCs w:val="21"/>
          <w:highlight w:val="none"/>
          <w:u w:val="single"/>
          <w:lang w:eastAsia="zh-CN"/>
        </w:rPr>
        <w:t>我公司</w:t>
      </w:r>
      <w:r>
        <w:rPr>
          <w:rFonts w:hint="eastAsia" w:ascii="新宋体" w:hAnsi="新宋体" w:eastAsia="新宋体" w:cs="新宋体"/>
          <w:color w:val="auto"/>
          <w:szCs w:val="21"/>
          <w:highlight w:val="none"/>
          <w:u w:val="single"/>
        </w:rPr>
        <w:t>中标资格，并按相关法律法规报招标投标监督部门，投标保证金不予退还，我</w:t>
      </w:r>
      <w:r>
        <w:rPr>
          <w:rFonts w:hint="eastAsia" w:ascii="新宋体" w:hAnsi="新宋体" w:eastAsia="新宋体" w:cs="新宋体"/>
          <w:color w:val="auto"/>
          <w:szCs w:val="21"/>
          <w:highlight w:val="none"/>
          <w:u w:val="single"/>
          <w:lang w:eastAsia="zh-CN"/>
        </w:rPr>
        <w:t>公</w:t>
      </w:r>
      <w:r>
        <w:rPr>
          <w:rFonts w:hint="eastAsia" w:ascii="新宋体" w:hAnsi="新宋体" w:eastAsia="新宋体" w:cs="新宋体"/>
          <w:color w:val="auto"/>
          <w:szCs w:val="21"/>
          <w:highlight w:val="none"/>
          <w:u w:val="single"/>
        </w:rPr>
        <w:t>司自愿承担因此造成的相关责任并赔偿相应损失</w:t>
      </w:r>
      <w:r>
        <w:rPr>
          <w:rFonts w:hint="eastAsia" w:ascii="新宋体" w:hAnsi="新宋体" w:eastAsia="新宋体" w:cs="新宋体"/>
          <w:color w:val="auto"/>
          <w:szCs w:val="21"/>
          <w:highlight w:val="none"/>
        </w:rPr>
        <w:t>。</w:t>
      </w:r>
    </w:p>
    <w:p>
      <w:pPr>
        <w:snapToGrid w:val="0"/>
        <w:spacing w:line="38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5、我公司不存在第二章 投标人须知第 1.4.3 项规定的任何一种情形。</w:t>
      </w:r>
    </w:p>
    <w:p>
      <w:pPr>
        <w:snapToGrid w:val="0"/>
        <w:spacing w:line="38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6、我公司的投标文件符合第二章 投标人须知第 1.3.1 项的规定。</w:t>
      </w:r>
    </w:p>
    <w:p>
      <w:pPr>
        <w:snapToGrid w:val="0"/>
        <w:spacing w:line="38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7、我公司的投标文件符合第四章 合同条款及格式规定，投标文件中没有</w:t>
      </w:r>
      <w:r>
        <w:rPr>
          <w:rFonts w:hint="eastAsia" w:ascii="新宋体" w:hAnsi="新宋体" w:eastAsia="新宋体" w:cs="新宋体"/>
          <w:color w:val="auto"/>
          <w:szCs w:val="21"/>
          <w:highlight w:val="none"/>
          <w:lang w:eastAsia="zh-CN"/>
        </w:rPr>
        <w:t>贵单位</w:t>
      </w:r>
      <w:r>
        <w:rPr>
          <w:rFonts w:hint="eastAsia" w:ascii="新宋体" w:hAnsi="新宋体" w:eastAsia="新宋体" w:cs="新宋体"/>
          <w:color w:val="auto"/>
          <w:szCs w:val="21"/>
          <w:highlight w:val="none"/>
        </w:rPr>
        <w:t>不能接受的条件。</w:t>
      </w:r>
    </w:p>
    <w:p>
      <w:pPr>
        <w:snapToGrid w:val="0"/>
        <w:spacing w:line="38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8、我公司的投标文件符合第</w:t>
      </w:r>
      <w:r>
        <w:rPr>
          <w:rFonts w:hint="eastAsia" w:ascii="新宋体" w:hAnsi="新宋体" w:eastAsia="新宋体" w:cs="新宋体"/>
          <w:color w:val="auto"/>
          <w:szCs w:val="21"/>
          <w:highlight w:val="none"/>
          <w:lang w:val="en-US" w:eastAsia="zh-CN"/>
        </w:rPr>
        <w:t>五</w:t>
      </w:r>
      <w:r>
        <w:rPr>
          <w:rFonts w:hint="eastAsia" w:ascii="新宋体" w:hAnsi="新宋体" w:eastAsia="新宋体" w:cs="新宋体"/>
          <w:color w:val="auto"/>
          <w:szCs w:val="21"/>
          <w:highlight w:val="none"/>
        </w:rPr>
        <w:t>章 技术标准和要求。</w:t>
      </w:r>
    </w:p>
    <w:p>
      <w:pPr>
        <w:snapToGrid w:val="0"/>
        <w:spacing w:line="380" w:lineRule="exact"/>
        <w:ind w:firstLine="420" w:firstLineChars="200"/>
        <w:rPr>
          <w:rFonts w:hint="eastAsia" w:ascii="新宋体" w:hAnsi="新宋体" w:eastAsia="新宋体" w:cs="新宋体"/>
          <w:color w:val="auto"/>
          <w:szCs w:val="21"/>
          <w:highlight w:val="none"/>
        </w:rPr>
      </w:pPr>
    </w:p>
    <w:p>
      <w:pPr>
        <w:pStyle w:val="32"/>
        <w:rPr>
          <w:rFonts w:hint="eastAsia" w:ascii="新宋体" w:hAnsi="新宋体" w:eastAsia="新宋体" w:cs="新宋体"/>
          <w:color w:val="auto"/>
          <w:szCs w:val="21"/>
          <w:highlight w:val="none"/>
        </w:rPr>
      </w:pPr>
    </w:p>
    <w:p>
      <w:pPr>
        <w:rPr>
          <w:rFonts w:hint="eastAsia" w:ascii="新宋体" w:hAnsi="新宋体" w:eastAsia="新宋体" w:cs="新宋体"/>
          <w:color w:val="auto"/>
          <w:highlight w:val="none"/>
        </w:rPr>
      </w:pPr>
    </w:p>
    <w:p>
      <w:pPr>
        <w:tabs>
          <w:tab w:val="left" w:pos="4200"/>
          <w:tab w:val="left" w:pos="4620"/>
        </w:tabs>
        <w:autoSpaceDE w:val="0"/>
        <w:autoSpaceDN w:val="0"/>
        <w:adjustRightInd w:val="0"/>
        <w:snapToGrid w:val="0"/>
        <w:spacing w:line="380" w:lineRule="exact"/>
        <w:ind w:firstLine="420" w:firstLineChars="200"/>
        <w:jc w:val="left"/>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投  标  人：</w:t>
      </w:r>
      <w:r>
        <w:rPr>
          <w:rFonts w:hint="eastAsia" w:ascii="新宋体" w:hAnsi="新宋体" w:eastAsia="新宋体" w:cs="新宋体"/>
          <w:color w:val="auto"/>
          <w:w w:val="200"/>
          <w:kern w:val="0"/>
          <w:szCs w:val="21"/>
          <w:highlight w:val="none"/>
          <w:u w:val="single"/>
        </w:rPr>
        <w:t xml:space="preserve">                           </w:t>
      </w:r>
      <w:r>
        <w:rPr>
          <w:rFonts w:hint="eastAsia" w:ascii="新宋体" w:hAnsi="新宋体" w:eastAsia="新宋体" w:cs="新宋体"/>
          <w:color w:val="auto"/>
          <w:kern w:val="0"/>
          <w:szCs w:val="21"/>
          <w:highlight w:val="none"/>
        </w:rPr>
        <w:t>（</w:t>
      </w:r>
      <w:r>
        <w:rPr>
          <w:rFonts w:hint="eastAsia" w:ascii="新宋体" w:hAnsi="新宋体" w:eastAsia="新宋体" w:cs="新宋体"/>
          <w:color w:val="auto"/>
          <w:spacing w:val="-1"/>
          <w:kern w:val="0"/>
          <w:szCs w:val="21"/>
          <w:highlight w:val="none"/>
        </w:rPr>
        <w:t>盖单位法人章</w:t>
      </w:r>
      <w:r>
        <w:rPr>
          <w:rFonts w:hint="eastAsia" w:ascii="新宋体" w:hAnsi="新宋体" w:eastAsia="新宋体" w:cs="新宋体"/>
          <w:color w:val="auto"/>
          <w:kern w:val="0"/>
          <w:szCs w:val="21"/>
          <w:highlight w:val="none"/>
        </w:rPr>
        <w:t>）</w:t>
      </w:r>
    </w:p>
    <w:p>
      <w:pPr>
        <w:tabs>
          <w:tab w:val="left" w:pos="6300"/>
        </w:tabs>
        <w:autoSpaceDE w:val="0"/>
        <w:autoSpaceDN w:val="0"/>
        <w:adjustRightInd w:val="0"/>
        <w:snapToGrid w:val="0"/>
        <w:spacing w:line="380" w:lineRule="exact"/>
        <w:ind w:firstLine="420" w:firstLineChars="200"/>
        <w:jc w:val="left"/>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法定代表人：</w:t>
      </w:r>
      <w:r>
        <w:rPr>
          <w:rFonts w:hint="eastAsia" w:ascii="新宋体" w:hAnsi="新宋体" w:eastAsia="新宋体" w:cs="新宋体"/>
          <w:color w:val="auto"/>
          <w:w w:val="200"/>
          <w:kern w:val="0"/>
          <w:szCs w:val="21"/>
          <w:highlight w:val="none"/>
          <w:u w:val="single"/>
        </w:rPr>
        <w:t xml:space="preserve">                           </w:t>
      </w:r>
      <w:r>
        <w:rPr>
          <w:rFonts w:hint="eastAsia" w:ascii="新宋体" w:hAnsi="新宋体" w:eastAsia="新宋体" w:cs="新宋体"/>
          <w:color w:val="auto"/>
          <w:kern w:val="0"/>
          <w:szCs w:val="21"/>
          <w:highlight w:val="none"/>
        </w:rPr>
        <w:t>（签名或盖章）</w:t>
      </w:r>
    </w:p>
    <w:p>
      <w:pPr>
        <w:snapToGrid w:val="0"/>
        <w:spacing w:line="380" w:lineRule="exact"/>
        <w:ind w:firstLine="420" w:firstLineChars="200"/>
        <w:jc w:val="right"/>
        <w:rPr>
          <w:rFonts w:hint="eastAsia" w:ascii="新宋体" w:hAnsi="新宋体" w:eastAsia="新宋体" w:cs="新宋体"/>
          <w:color w:val="auto"/>
          <w:szCs w:val="21"/>
          <w:highlight w:val="none"/>
        </w:rPr>
      </w:pPr>
      <w:r>
        <w:rPr>
          <w:rFonts w:hint="eastAsia" w:ascii="新宋体" w:hAnsi="新宋体" w:eastAsia="新宋体" w:cs="新宋体"/>
          <w:color w:val="auto"/>
          <w:kern w:val="0"/>
          <w:szCs w:val="21"/>
          <w:highlight w:val="none"/>
          <w:u w:val="single"/>
        </w:rPr>
        <w:t xml:space="preserve">    </w:t>
      </w:r>
      <w:r>
        <w:rPr>
          <w:rFonts w:hint="eastAsia" w:ascii="新宋体" w:hAnsi="新宋体" w:eastAsia="新宋体" w:cs="新宋体"/>
          <w:color w:val="auto"/>
          <w:kern w:val="0"/>
          <w:szCs w:val="21"/>
          <w:highlight w:val="none"/>
        </w:rPr>
        <w:t>年</w:t>
      </w:r>
      <w:r>
        <w:rPr>
          <w:rFonts w:hint="eastAsia" w:ascii="新宋体" w:hAnsi="新宋体" w:eastAsia="新宋体" w:cs="新宋体"/>
          <w:color w:val="auto"/>
          <w:kern w:val="0"/>
          <w:szCs w:val="21"/>
          <w:highlight w:val="none"/>
          <w:u w:val="single"/>
        </w:rPr>
        <w:t xml:space="preserve">    </w:t>
      </w:r>
      <w:r>
        <w:rPr>
          <w:rFonts w:hint="eastAsia" w:ascii="新宋体" w:hAnsi="新宋体" w:eastAsia="新宋体" w:cs="新宋体"/>
          <w:color w:val="auto"/>
          <w:kern w:val="0"/>
          <w:szCs w:val="21"/>
          <w:highlight w:val="none"/>
        </w:rPr>
        <w:t>月</w:t>
      </w:r>
      <w:r>
        <w:rPr>
          <w:rFonts w:hint="eastAsia" w:ascii="新宋体" w:hAnsi="新宋体" w:eastAsia="新宋体" w:cs="新宋体"/>
          <w:color w:val="auto"/>
          <w:kern w:val="0"/>
          <w:szCs w:val="21"/>
          <w:highlight w:val="none"/>
          <w:u w:val="single"/>
        </w:rPr>
        <w:t xml:space="preserve">    </w:t>
      </w:r>
      <w:r>
        <w:rPr>
          <w:rFonts w:hint="eastAsia" w:ascii="新宋体" w:hAnsi="新宋体" w:eastAsia="新宋体" w:cs="新宋体"/>
          <w:color w:val="auto"/>
          <w:kern w:val="0"/>
          <w:szCs w:val="21"/>
          <w:highlight w:val="none"/>
        </w:rPr>
        <w:t>日</w:t>
      </w:r>
    </w:p>
    <w:p>
      <w:pPr>
        <w:rPr>
          <w:rFonts w:hint="eastAsia" w:ascii="新宋体" w:hAnsi="新宋体" w:eastAsia="新宋体" w:cs="新宋体"/>
          <w:color w:val="auto"/>
          <w:highlight w:val="none"/>
        </w:rPr>
      </w:pPr>
    </w:p>
    <w:p>
      <w:pPr>
        <w:rPr>
          <w:rFonts w:hint="eastAsia" w:ascii="新宋体" w:hAnsi="新宋体" w:eastAsia="新宋体" w:cs="新宋体"/>
          <w:color w:val="auto"/>
          <w:highlight w:val="none"/>
        </w:rPr>
      </w:pPr>
      <w:r>
        <w:rPr>
          <w:rFonts w:hint="eastAsia" w:ascii="新宋体" w:hAnsi="新宋体" w:eastAsia="新宋体" w:cs="新宋体"/>
          <w:color w:val="auto"/>
          <w:highlight w:val="none"/>
        </w:rPr>
        <w:br w:type="page"/>
      </w:r>
    </w:p>
    <w:p>
      <w:pPr>
        <w:pStyle w:val="2"/>
        <w:spacing w:before="0" w:line="360" w:lineRule="auto"/>
        <w:jc w:val="center"/>
        <w:rPr>
          <w:rFonts w:hint="eastAsia" w:ascii="新宋体" w:hAnsi="新宋体" w:eastAsia="新宋体" w:cs="新宋体"/>
          <w:b w:val="0"/>
          <w:color w:val="auto"/>
          <w:highlight w:val="none"/>
          <w:lang w:val="en-US" w:eastAsia="zh-CN"/>
        </w:rPr>
      </w:pPr>
      <w:bookmarkStart w:id="714" w:name="_Toc57820665"/>
      <w:r>
        <w:rPr>
          <w:rFonts w:hint="eastAsia" w:ascii="新宋体" w:hAnsi="新宋体" w:eastAsia="新宋体" w:cs="新宋体"/>
          <w:b w:val="0"/>
          <w:color w:val="auto"/>
          <w:highlight w:val="none"/>
        </w:rPr>
        <w:t>（</w:t>
      </w:r>
      <w:r>
        <w:rPr>
          <w:rFonts w:hint="eastAsia" w:ascii="新宋体" w:hAnsi="新宋体" w:eastAsia="新宋体" w:cs="新宋体"/>
          <w:b w:val="0"/>
          <w:color w:val="auto"/>
          <w:highlight w:val="none"/>
          <w:lang w:val="en-US" w:eastAsia="zh-CN"/>
        </w:rPr>
        <w:t>六</w:t>
      </w:r>
      <w:r>
        <w:rPr>
          <w:rFonts w:hint="eastAsia" w:ascii="新宋体" w:hAnsi="新宋体" w:eastAsia="新宋体" w:cs="新宋体"/>
          <w:b w:val="0"/>
          <w:color w:val="auto"/>
          <w:highlight w:val="none"/>
        </w:rPr>
        <w:t>）</w:t>
      </w:r>
      <w:r>
        <w:rPr>
          <w:rFonts w:hint="eastAsia" w:ascii="新宋体" w:hAnsi="新宋体" w:eastAsia="新宋体" w:cs="新宋体"/>
          <w:b w:val="0"/>
          <w:color w:val="auto"/>
          <w:highlight w:val="none"/>
          <w:lang w:val="en-US" w:eastAsia="zh-CN"/>
        </w:rPr>
        <w:t>其他证书</w:t>
      </w:r>
    </w:p>
    <w:p>
      <w:pPr>
        <w:rPr>
          <w:rFonts w:hint="eastAsia" w:ascii="新宋体" w:hAnsi="新宋体" w:eastAsia="新宋体" w:cs="新宋体"/>
          <w:b w:val="0"/>
          <w:color w:val="auto"/>
          <w:highlight w:val="none"/>
          <w:lang w:val="en-US" w:eastAsia="zh-CN"/>
        </w:rPr>
      </w:pPr>
      <w:r>
        <w:rPr>
          <w:rFonts w:hint="eastAsia" w:ascii="新宋体" w:hAnsi="新宋体" w:eastAsia="新宋体" w:cs="新宋体"/>
          <w:b w:val="0"/>
          <w:color w:val="auto"/>
          <w:highlight w:val="none"/>
          <w:lang w:val="en-US" w:eastAsia="zh-CN"/>
        </w:rPr>
        <w:br w:type="page"/>
      </w:r>
    </w:p>
    <w:p>
      <w:pPr>
        <w:pStyle w:val="2"/>
        <w:spacing w:before="0" w:line="360" w:lineRule="auto"/>
        <w:jc w:val="center"/>
        <w:rPr>
          <w:rFonts w:hint="eastAsia" w:ascii="新宋体" w:hAnsi="新宋体" w:eastAsia="新宋体" w:cs="新宋体"/>
          <w:color w:val="auto"/>
          <w:highlight w:val="none"/>
        </w:rPr>
      </w:pPr>
      <w:r>
        <w:rPr>
          <w:rFonts w:hint="eastAsia" w:ascii="新宋体" w:hAnsi="新宋体" w:eastAsia="新宋体" w:cs="新宋体"/>
          <w:b w:val="0"/>
          <w:color w:val="auto"/>
          <w:highlight w:val="none"/>
          <w:lang w:eastAsia="zh-CN"/>
        </w:rPr>
        <w:t>（</w:t>
      </w:r>
      <w:r>
        <w:rPr>
          <w:rFonts w:hint="eastAsia" w:ascii="新宋体" w:hAnsi="新宋体" w:eastAsia="新宋体" w:cs="新宋体"/>
          <w:b w:val="0"/>
          <w:color w:val="auto"/>
          <w:highlight w:val="none"/>
          <w:lang w:val="en-US" w:eastAsia="zh-CN"/>
        </w:rPr>
        <w:t>七</w:t>
      </w:r>
      <w:r>
        <w:rPr>
          <w:rFonts w:hint="eastAsia" w:ascii="新宋体" w:hAnsi="新宋体" w:eastAsia="新宋体" w:cs="新宋体"/>
          <w:b w:val="0"/>
          <w:color w:val="auto"/>
          <w:highlight w:val="none"/>
          <w:lang w:eastAsia="zh-CN"/>
        </w:rPr>
        <w:t>）</w:t>
      </w:r>
      <w:r>
        <w:rPr>
          <w:rFonts w:hint="eastAsia" w:ascii="新宋体" w:hAnsi="新宋体" w:eastAsia="新宋体" w:cs="新宋体"/>
          <w:b w:val="0"/>
          <w:color w:val="auto"/>
          <w:highlight w:val="none"/>
        </w:rPr>
        <w:t>其他资料</w:t>
      </w:r>
      <w:bookmarkEnd w:id="714"/>
    </w:p>
    <w:bookmarkEnd w:id="596"/>
    <w:bookmarkEnd w:id="597"/>
    <w:bookmarkEnd w:id="598"/>
    <w:p>
      <w:pPr>
        <w:spacing w:line="360" w:lineRule="auto"/>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1. 投标保证金</w:t>
      </w:r>
    </w:p>
    <w:p>
      <w:pPr>
        <w:spacing w:line="360" w:lineRule="auto"/>
        <w:ind w:firstLine="420" w:firstLineChars="200"/>
        <w:rPr>
          <w:rFonts w:hint="eastAsia" w:ascii="新宋体" w:hAnsi="新宋体" w:eastAsia="新宋体" w:cs="新宋体"/>
          <w:i/>
          <w:color w:val="auto"/>
          <w:szCs w:val="21"/>
          <w:highlight w:val="none"/>
        </w:rPr>
      </w:pPr>
      <w:r>
        <w:rPr>
          <w:rFonts w:hint="eastAsia" w:ascii="新宋体" w:hAnsi="新宋体" w:eastAsia="新宋体" w:cs="新宋体"/>
          <w:i/>
          <w:color w:val="auto"/>
          <w:szCs w:val="21"/>
          <w:highlight w:val="none"/>
        </w:rPr>
        <w:t>[提示：以转账支票或电汇形式交纳投标保证金的提供以下资料]</w:t>
      </w:r>
    </w:p>
    <w:p>
      <w:pPr>
        <w:spacing w:line="360" w:lineRule="auto"/>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（1）企业基本账户开户证明文件。</w:t>
      </w:r>
    </w:p>
    <w:p>
      <w:pPr>
        <w:rPr>
          <w:rFonts w:hint="eastAsia" w:ascii="新宋体" w:hAnsi="新宋体" w:eastAsia="新宋体" w:cs="新宋体"/>
          <w:i/>
          <w:color w:val="auto"/>
          <w:szCs w:val="21"/>
          <w:highlight w:val="none"/>
        </w:rPr>
      </w:pPr>
      <w:r>
        <w:rPr>
          <w:rFonts w:hint="eastAsia" w:ascii="新宋体" w:hAnsi="新宋体" w:eastAsia="新宋体" w:cs="新宋体"/>
          <w:i/>
          <w:color w:val="auto"/>
          <w:szCs w:val="21"/>
          <w:highlight w:val="none"/>
        </w:rPr>
        <w:br w:type="page"/>
      </w:r>
    </w:p>
    <w:p>
      <w:pPr>
        <w:spacing w:line="360" w:lineRule="auto"/>
        <w:ind w:firstLine="420" w:firstLineChars="200"/>
        <w:rPr>
          <w:rFonts w:hint="eastAsia" w:ascii="新宋体" w:hAnsi="新宋体" w:eastAsia="新宋体" w:cs="新宋体"/>
          <w:i/>
          <w:color w:val="auto"/>
          <w:szCs w:val="21"/>
          <w:highlight w:val="none"/>
        </w:rPr>
      </w:pPr>
      <w:r>
        <w:rPr>
          <w:rFonts w:hint="eastAsia" w:ascii="新宋体" w:hAnsi="新宋体" w:eastAsia="新宋体" w:cs="新宋体"/>
          <w:i/>
          <w:color w:val="auto"/>
          <w:szCs w:val="21"/>
          <w:highlight w:val="none"/>
        </w:rPr>
        <w:t>[提示：以纸质投标保函形式交纳投标保证金的提供以下资料]</w:t>
      </w:r>
    </w:p>
    <w:p>
      <w:pPr>
        <w:spacing w:line="360" w:lineRule="auto"/>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（1）纸质</w:t>
      </w:r>
      <w:r>
        <w:rPr>
          <w:rFonts w:hint="eastAsia" w:ascii="新宋体" w:hAnsi="新宋体" w:eastAsia="新宋体" w:cs="新宋体"/>
          <w:color w:val="auto"/>
          <w:szCs w:val="21"/>
          <w:highlight w:val="none"/>
          <w:lang w:val="en-US" w:eastAsia="zh-CN"/>
        </w:rPr>
        <w:t>投标</w:t>
      </w:r>
      <w:r>
        <w:rPr>
          <w:rFonts w:hint="eastAsia" w:ascii="新宋体" w:hAnsi="新宋体" w:eastAsia="新宋体" w:cs="新宋体"/>
          <w:color w:val="auto"/>
          <w:szCs w:val="21"/>
          <w:highlight w:val="none"/>
        </w:rPr>
        <w:t>保函</w:t>
      </w:r>
      <w:r>
        <w:rPr>
          <w:rFonts w:hint="eastAsia" w:ascii="新宋体" w:hAnsi="新宋体" w:eastAsia="新宋体" w:cs="新宋体"/>
          <w:color w:val="auto"/>
          <w:szCs w:val="21"/>
          <w:highlight w:val="none"/>
          <w:lang w:eastAsia="zh-CN"/>
        </w:rPr>
        <w:t>（</w:t>
      </w:r>
      <w:r>
        <w:rPr>
          <w:rFonts w:hint="eastAsia" w:ascii="新宋体" w:hAnsi="新宋体" w:eastAsia="新宋体" w:cs="新宋体"/>
          <w:color w:val="auto"/>
          <w:szCs w:val="21"/>
          <w:highlight w:val="none"/>
          <w:lang w:val="en-US" w:eastAsia="zh-CN"/>
        </w:rPr>
        <w:t>如有</w:t>
      </w:r>
      <w:r>
        <w:rPr>
          <w:rFonts w:hint="eastAsia" w:ascii="新宋体" w:hAnsi="新宋体" w:eastAsia="新宋体" w:cs="新宋体"/>
          <w:color w:val="auto"/>
          <w:szCs w:val="21"/>
          <w:highlight w:val="none"/>
          <w:lang w:eastAsia="zh-CN"/>
        </w:rPr>
        <w:t>）</w:t>
      </w:r>
    </w:p>
    <w:p>
      <w:pPr>
        <w:keepNext w:val="0"/>
        <w:keepLines w:val="0"/>
        <w:pageBreakBefore w:val="0"/>
        <w:widowControl w:val="0"/>
        <w:kinsoku/>
        <w:overflowPunct/>
        <w:topLinePunct w:val="0"/>
        <w:autoSpaceDE/>
        <w:autoSpaceDN/>
        <w:bidi w:val="0"/>
        <w:adjustRightInd/>
        <w:snapToGrid/>
        <w:spacing w:line="360" w:lineRule="auto"/>
        <w:ind w:right="0" w:rightChars="0"/>
        <w:jc w:val="center"/>
        <w:textAlignment w:val="auto"/>
        <w:outlineLvl w:val="9"/>
        <w:rPr>
          <w:rFonts w:hint="eastAsia" w:ascii="新宋体" w:hAnsi="新宋体" w:eastAsia="新宋体" w:cs="新宋体"/>
          <w:b w:val="0"/>
          <w:bCs w:val="0"/>
          <w:color w:val="auto"/>
          <w:sz w:val="21"/>
          <w:szCs w:val="21"/>
          <w:highlight w:val="none"/>
        </w:rPr>
      </w:pPr>
      <w:r>
        <w:rPr>
          <w:rFonts w:hint="eastAsia" w:ascii="新宋体" w:hAnsi="新宋体" w:eastAsia="新宋体" w:cs="新宋体"/>
          <w:b w:val="0"/>
          <w:bCs w:val="0"/>
          <w:color w:val="auto"/>
          <w:sz w:val="21"/>
          <w:szCs w:val="21"/>
          <w:highlight w:val="none"/>
        </w:rPr>
        <w:t>投标保函示范文本</w:t>
      </w:r>
    </w:p>
    <w:p>
      <w:pPr>
        <w:wordWrap w:val="0"/>
        <w:spacing w:line="360" w:lineRule="auto"/>
        <w:rPr>
          <w:rFonts w:hint="eastAsia" w:ascii="新宋体" w:hAnsi="新宋体" w:eastAsia="新宋体" w:cs="新宋体"/>
          <w:color w:val="auto"/>
          <w:szCs w:val="21"/>
          <w:highlight w:val="none"/>
        </w:rPr>
      </w:pPr>
    </w:p>
    <w:p>
      <w:pPr>
        <w:wordWrap w:val="0"/>
        <w:spacing w:line="360" w:lineRule="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申请人：</w:t>
      </w:r>
    </w:p>
    <w:p>
      <w:pPr>
        <w:wordWrap w:val="0"/>
        <w:spacing w:line="360" w:lineRule="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地  址：</w:t>
      </w:r>
    </w:p>
    <w:p>
      <w:pPr>
        <w:wordWrap w:val="0"/>
        <w:spacing w:line="360" w:lineRule="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受益人：</w:t>
      </w:r>
    </w:p>
    <w:p>
      <w:pPr>
        <w:wordWrap w:val="0"/>
        <w:spacing w:line="360" w:lineRule="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地  址：</w:t>
      </w:r>
    </w:p>
    <w:p>
      <w:pPr>
        <w:wordWrap w:val="0"/>
        <w:spacing w:line="360" w:lineRule="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开立人：</w:t>
      </w:r>
    </w:p>
    <w:p>
      <w:pPr>
        <w:wordWrap w:val="0"/>
        <w:spacing w:line="360" w:lineRule="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地  址：</w:t>
      </w:r>
    </w:p>
    <w:p>
      <w:pPr>
        <w:keepNext w:val="0"/>
        <w:keepLines w:val="0"/>
        <w:pageBreakBefore w:val="0"/>
        <w:widowControl w:val="0"/>
        <w:kinsoku/>
        <w:wordWrap w:val="0"/>
        <w:overflowPunct/>
        <w:topLinePunct w:val="0"/>
        <w:autoSpaceDE/>
        <w:autoSpaceDN/>
        <w:bidi w:val="0"/>
        <w:adjustRightInd/>
        <w:snapToGrid/>
        <w:spacing w:line="360" w:lineRule="auto"/>
        <w:ind w:right="0" w:rightChars="0"/>
        <w:jc w:val="right"/>
        <w:textAlignment w:val="auto"/>
        <w:outlineLvl w:val="9"/>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新宋体" w:hAnsi="新宋体" w:eastAsia="新宋体" w:cs="新宋体"/>
          <w:color w:val="auto"/>
          <w:kern w:val="2"/>
          <w:sz w:val="21"/>
          <w:szCs w:val="21"/>
          <w:highlight w:val="none"/>
        </w:rPr>
      </w:pPr>
      <w:r>
        <w:rPr>
          <w:rFonts w:hint="eastAsia" w:ascii="新宋体" w:hAnsi="新宋体" w:eastAsia="新宋体" w:cs="新宋体"/>
          <w:color w:val="auto"/>
          <w:kern w:val="2"/>
          <w:sz w:val="21"/>
          <w:szCs w:val="21"/>
          <w:highlight w:val="none"/>
          <w:u w:val="single"/>
        </w:rPr>
        <w:t xml:space="preserve">                 </w:t>
      </w:r>
      <w:r>
        <w:rPr>
          <w:rFonts w:hint="eastAsia" w:ascii="新宋体" w:hAnsi="新宋体" w:eastAsia="新宋体" w:cs="新宋体"/>
          <w:color w:val="auto"/>
          <w:kern w:val="2"/>
          <w:sz w:val="21"/>
          <w:szCs w:val="21"/>
          <w:highlight w:val="none"/>
        </w:rPr>
        <w:t>（受益人名称）</w:t>
      </w:r>
      <w:r>
        <w:rPr>
          <w:rFonts w:hint="eastAsia" w:ascii="新宋体" w:hAnsi="新宋体" w:eastAsia="新宋体" w:cs="新宋体"/>
          <w:color w:val="auto"/>
          <w:kern w:val="2"/>
          <w:sz w:val="21"/>
          <w:szCs w:val="21"/>
          <w:highlight w:val="none"/>
          <w:lang w:eastAsia="zh-CN"/>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396" w:firstLineChars="200"/>
        <w:jc w:val="both"/>
        <w:textAlignment w:val="auto"/>
        <w:outlineLvl w:val="9"/>
        <w:rPr>
          <w:rFonts w:hint="eastAsia" w:ascii="新宋体" w:hAnsi="新宋体" w:eastAsia="新宋体" w:cs="新宋体"/>
          <w:color w:val="auto"/>
          <w:spacing w:val="-6"/>
          <w:kern w:val="0"/>
          <w:sz w:val="21"/>
          <w:szCs w:val="21"/>
          <w:highlight w:val="none"/>
          <w:lang w:val="en-US" w:eastAsia="zh-CN" w:bidi="ar-SA"/>
        </w:rPr>
      </w:pPr>
      <w:r>
        <w:rPr>
          <w:rFonts w:hint="eastAsia" w:ascii="新宋体" w:hAnsi="新宋体" w:eastAsia="新宋体" w:cs="新宋体"/>
          <w:color w:val="auto"/>
          <w:spacing w:val="-6"/>
          <w:kern w:val="0"/>
          <w:sz w:val="21"/>
          <w:szCs w:val="21"/>
          <w:highlight w:val="none"/>
          <w:lang w:val="en-US" w:eastAsia="zh-CN" w:bidi="ar-SA"/>
        </w:rPr>
        <w:t>我方（即“开立人”）已获得通知，本保函申请人（即“投标人”）已响应贵方于</w:t>
      </w:r>
      <w:r>
        <w:rPr>
          <w:rFonts w:hint="eastAsia" w:ascii="新宋体" w:hAnsi="新宋体" w:eastAsia="新宋体" w:cs="新宋体"/>
          <w:color w:val="auto"/>
          <w:kern w:val="2"/>
          <w:sz w:val="21"/>
          <w:szCs w:val="21"/>
          <w:highlight w:val="none"/>
          <w:u w:val="single"/>
        </w:rPr>
        <w:t xml:space="preserve">  </w:t>
      </w:r>
      <w:r>
        <w:rPr>
          <w:rFonts w:hint="eastAsia" w:ascii="新宋体" w:hAnsi="新宋体" w:eastAsia="新宋体" w:cs="新宋体"/>
          <w:color w:val="auto"/>
          <w:kern w:val="2"/>
          <w:sz w:val="21"/>
          <w:szCs w:val="21"/>
          <w:highlight w:val="none"/>
          <w:u w:val="single"/>
          <w:lang w:val="en-US" w:eastAsia="zh-CN"/>
        </w:rPr>
        <w:t xml:space="preserve"> </w:t>
      </w:r>
      <w:r>
        <w:rPr>
          <w:rFonts w:hint="eastAsia" w:ascii="新宋体" w:hAnsi="新宋体" w:eastAsia="新宋体" w:cs="新宋体"/>
          <w:color w:val="auto"/>
          <w:kern w:val="2"/>
          <w:sz w:val="21"/>
          <w:szCs w:val="21"/>
          <w:highlight w:val="none"/>
          <w:u w:val="single"/>
        </w:rPr>
        <w:t xml:space="preserve"> </w:t>
      </w:r>
      <w:r>
        <w:rPr>
          <w:rFonts w:hint="eastAsia" w:ascii="新宋体" w:hAnsi="新宋体" w:eastAsia="新宋体" w:cs="新宋体"/>
          <w:color w:val="auto"/>
          <w:kern w:val="2"/>
          <w:sz w:val="21"/>
          <w:szCs w:val="21"/>
          <w:highlight w:val="none"/>
        </w:rPr>
        <w:t>年</w:t>
      </w:r>
      <w:r>
        <w:rPr>
          <w:rFonts w:hint="eastAsia" w:ascii="新宋体" w:hAnsi="新宋体" w:eastAsia="新宋体" w:cs="新宋体"/>
          <w:color w:val="auto"/>
          <w:kern w:val="2"/>
          <w:sz w:val="21"/>
          <w:szCs w:val="21"/>
          <w:highlight w:val="none"/>
          <w:u w:val="single"/>
        </w:rPr>
        <w:t xml:space="preserve">  </w:t>
      </w:r>
      <w:r>
        <w:rPr>
          <w:rFonts w:hint="eastAsia" w:ascii="新宋体" w:hAnsi="新宋体" w:eastAsia="新宋体" w:cs="新宋体"/>
          <w:color w:val="auto"/>
          <w:kern w:val="2"/>
          <w:sz w:val="21"/>
          <w:szCs w:val="21"/>
          <w:highlight w:val="none"/>
          <w:u w:val="single"/>
          <w:lang w:val="en-US" w:eastAsia="zh-CN"/>
        </w:rPr>
        <w:t xml:space="preserve"> </w:t>
      </w:r>
      <w:r>
        <w:rPr>
          <w:rFonts w:hint="eastAsia" w:ascii="新宋体" w:hAnsi="新宋体" w:eastAsia="新宋体" w:cs="新宋体"/>
          <w:color w:val="auto"/>
          <w:kern w:val="2"/>
          <w:sz w:val="21"/>
          <w:szCs w:val="21"/>
          <w:highlight w:val="none"/>
          <w:u w:val="single"/>
        </w:rPr>
        <w:t xml:space="preserve"> </w:t>
      </w:r>
      <w:r>
        <w:rPr>
          <w:rFonts w:hint="eastAsia" w:ascii="新宋体" w:hAnsi="新宋体" w:eastAsia="新宋体" w:cs="新宋体"/>
          <w:color w:val="auto"/>
          <w:kern w:val="2"/>
          <w:sz w:val="21"/>
          <w:szCs w:val="21"/>
          <w:highlight w:val="none"/>
        </w:rPr>
        <w:t>月</w:t>
      </w:r>
      <w:r>
        <w:rPr>
          <w:rFonts w:hint="eastAsia" w:ascii="新宋体" w:hAnsi="新宋体" w:eastAsia="新宋体" w:cs="新宋体"/>
          <w:color w:val="auto"/>
          <w:kern w:val="2"/>
          <w:sz w:val="21"/>
          <w:szCs w:val="21"/>
          <w:highlight w:val="none"/>
          <w:u w:val="single"/>
        </w:rPr>
        <w:t xml:space="preserve">  </w:t>
      </w:r>
      <w:r>
        <w:rPr>
          <w:rFonts w:hint="eastAsia" w:ascii="新宋体" w:hAnsi="新宋体" w:eastAsia="新宋体" w:cs="新宋体"/>
          <w:color w:val="auto"/>
          <w:kern w:val="2"/>
          <w:sz w:val="21"/>
          <w:szCs w:val="21"/>
          <w:highlight w:val="none"/>
          <w:u w:val="single"/>
          <w:lang w:val="en-US" w:eastAsia="zh-CN"/>
        </w:rPr>
        <w:t xml:space="preserve"> </w:t>
      </w:r>
      <w:r>
        <w:rPr>
          <w:rFonts w:hint="eastAsia" w:ascii="新宋体" w:hAnsi="新宋体" w:eastAsia="新宋体" w:cs="新宋体"/>
          <w:color w:val="auto"/>
          <w:kern w:val="2"/>
          <w:sz w:val="21"/>
          <w:szCs w:val="21"/>
          <w:highlight w:val="none"/>
          <w:u w:val="single"/>
        </w:rPr>
        <w:t xml:space="preserve"> </w:t>
      </w:r>
      <w:r>
        <w:rPr>
          <w:rFonts w:hint="eastAsia" w:ascii="新宋体" w:hAnsi="新宋体" w:eastAsia="新宋体" w:cs="新宋体"/>
          <w:color w:val="auto"/>
          <w:kern w:val="2"/>
          <w:sz w:val="21"/>
          <w:szCs w:val="21"/>
          <w:highlight w:val="none"/>
        </w:rPr>
        <w:t>日</w:t>
      </w:r>
      <w:r>
        <w:rPr>
          <w:rFonts w:hint="eastAsia" w:ascii="新宋体" w:hAnsi="新宋体" w:eastAsia="新宋体" w:cs="新宋体"/>
          <w:color w:val="auto"/>
          <w:spacing w:val="-6"/>
          <w:kern w:val="0"/>
          <w:sz w:val="21"/>
          <w:szCs w:val="21"/>
          <w:highlight w:val="none"/>
          <w:lang w:val="en-US" w:eastAsia="zh-CN" w:bidi="ar-SA"/>
        </w:rPr>
        <w:t>就</w:t>
      </w:r>
      <w:r>
        <w:rPr>
          <w:rFonts w:hint="eastAsia" w:ascii="新宋体" w:hAnsi="新宋体" w:eastAsia="新宋体" w:cs="新宋体"/>
          <w:color w:val="auto"/>
          <w:spacing w:val="-6"/>
          <w:kern w:val="0"/>
          <w:sz w:val="21"/>
          <w:szCs w:val="21"/>
          <w:highlight w:val="none"/>
          <w:u w:val="single"/>
          <w:lang w:val="en-US" w:eastAsia="zh-CN" w:bidi="ar-SA"/>
        </w:rPr>
        <w:t xml:space="preserve">                   </w:t>
      </w:r>
      <w:r>
        <w:rPr>
          <w:rFonts w:hint="eastAsia" w:ascii="新宋体" w:hAnsi="新宋体" w:eastAsia="新宋体" w:cs="新宋体"/>
          <w:color w:val="auto"/>
          <w:spacing w:val="-6"/>
          <w:kern w:val="0"/>
          <w:sz w:val="21"/>
          <w:szCs w:val="21"/>
          <w:highlight w:val="none"/>
          <w:lang w:val="en-US" w:eastAsia="zh-CN" w:bidi="ar-SA"/>
        </w:rPr>
        <w:t>（以下简称“本工程”）发出的招标文件以及后续发布的答疑补遗文件，并拟向招标人（即“受益人”）提交投标文件（即“基础交易”）。</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新宋体" w:hAnsi="新宋体" w:eastAsia="新宋体" w:cs="新宋体"/>
          <w:color w:val="auto"/>
          <w:kern w:val="0"/>
          <w:sz w:val="21"/>
          <w:szCs w:val="21"/>
          <w:highlight w:val="none"/>
          <w:lang w:val="en-US" w:eastAsia="zh-CN" w:bidi="ar-SA"/>
        </w:rPr>
      </w:pPr>
      <w:r>
        <w:rPr>
          <w:rFonts w:hint="eastAsia" w:ascii="新宋体" w:hAnsi="新宋体" w:eastAsia="新宋体" w:cs="新宋体"/>
          <w:color w:val="auto"/>
          <w:kern w:val="0"/>
          <w:sz w:val="21"/>
          <w:szCs w:val="21"/>
          <w:highlight w:val="none"/>
          <w:lang w:val="en-US" w:eastAsia="zh-CN" w:bidi="ar-SA"/>
        </w:rPr>
        <w:t>一、我方理解根据招标条件，投标人必须提交一份投标保函（以下简称“本保函”），以担保投标人诚信履行其在上述基础交易中承担的投标人义务。鉴此，应申请人要求，我方在此同意向贵方出具此投标保函，本保函担保金额为人民币（大写）</w:t>
      </w:r>
      <w:r>
        <w:rPr>
          <w:rFonts w:hint="eastAsia" w:ascii="新宋体" w:hAnsi="新宋体" w:eastAsia="新宋体" w:cs="新宋体"/>
          <w:color w:val="auto"/>
          <w:kern w:val="0"/>
          <w:sz w:val="21"/>
          <w:szCs w:val="21"/>
          <w:highlight w:val="none"/>
          <w:u w:val="single"/>
          <w:lang w:val="en-US" w:eastAsia="zh-CN" w:bidi="ar-SA"/>
        </w:rPr>
        <w:t xml:space="preserve">    </w:t>
      </w:r>
      <w:r>
        <w:rPr>
          <w:rFonts w:hint="eastAsia" w:ascii="新宋体" w:hAnsi="新宋体" w:eastAsia="新宋体" w:cs="新宋体"/>
          <w:color w:val="auto"/>
          <w:kern w:val="0"/>
          <w:sz w:val="21"/>
          <w:szCs w:val="21"/>
          <w:highlight w:val="none"/>
          <w:lang w:val="en-US" w:eastAsia="zh-CN" w:bidi="ar-SA"/>
        </w:rPr>
        <w:t>元（¥</w:t>
      </w:r>
      <w:r>
        <w:rPr>
          <w:rFonts w:hint="eastAsia" w:ascii="新宋体" w:hAnsi="新宋体" w:eastAsia="新宋体" w:cs="新宋体"/>
          <w:color w:val="auto"/>
          <w:kern w:val="0"/>
          <w:sz w:val="21"/>
          <w:szCs w:val="21"/>
          <w:highlight w:val="none"/>
          <w:u w:val="single"/>
          <w:lang w:val="en-US" w:eastAsia="zh-CN" w:bidi="ar-SA"/>
        </w:rPr>
        <w:t xml:space="preserve">        </w:t>
      </w:r>
      <w:r>
        <w:rPr>
          <w:rFonts w:hint="eastAsia" w:ascii="新宋体" w:hAnsi="新宋体" w:eastAsia="新宋体" w:cs="新宋体"/>
          <w:color w:val="auto"/>
          <w:kern w:val="0"/>
          <w:sz w:val="21"/>
          <w:szCs w:val="21"/>
          <w:highlight w:val="none"/>
          <w:lang w:val="en-US" w:eastAsia="zh-CN" w:bidi="ar-SA"/>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新宋体" w:hAnsi="新宋体" w:eastAsia="新宋体" w:cs="新宋体"/>
          <w:color w:val="auto"/>
          <w:kern w:val="2"/>
          <w:sz w:val="21"/>
          <w:szCs w:val="21"/>
          <w:highlight w:val="none"/>
        </w:rPr>
      </w:pPr>
      <w:r>
        <w:rPr>
          <w:rFonts w:hint="eastAsia" w:ascii="新宋体" w:hAnsi="新宋体" w:eastAsia="新宋体" w:cs="新宋体"/>
          <w:color w:val="auto"/>
          <w:kern w:val="2"/>
          <w:sz w:val="21"/>
          <w:szCs w:val="21"/>
          <w:highlight w:val="none"/>
        </w:rPr>
        <w:t>二、我方在投标人发生以下情形时承担保证担保责任：</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left="0" w:leftChars="0" w:right="0" w:rightChars="0" w:firstLine="420" w:firstLineChars="200"/>
        <w:jc w:val="both"/>
        <w:textAlignment w:val="auto"/>
        <w:outlineLvl w:val="9"/>
        <w:rPr>
          <w:rFonts w:hint="eastAsia" w:ascii="新宋体" w:hAnsi="新宋体" w:eastAsia="新宋体" w:cs="新宋体"/>
          <w:color w:val="auto"/>
          <w:kern w:val="2"/>
          <w:sz w:val="21"/>
          <w:szCs w:val="21"/>
          <w:highlight w:val="none"/>
          <w:lang w:val="en-US" w:eastAsia="zh-CN" w:bidi="ar-SA"/>
        </w:rPr>
      </w:pPr>
      <w:r>
        <w:rPr>
          <w:rFonts w:hint="eastAsia" w:ascii="新宋体" w:hAnsi="新宋体" w:eastAsia="新宋体" w:cs="新宋体"/>
          <w:color w:val="auto"/>
          <w:kern w:val="2"/>
          <w:sz w:val="21"/>
          <w:szCs w:val="21"/>
          <w:highlight w:val="none"/>
          <w:lang w:val="en-US" w:eastAsia="zh-CN" w:bidi="ar-SA"/>
        </w:rPr>
        <w:t xml:space="preserve">（1）投标人在开标后至投标有效期满之前撤销投标的； </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新宋体" w:hAnsi="新宋体" w:eastAsia="新宋体" w:cs="新宋体"/>
          <w:color w:val="auto"/>
          <w:kern w:val="2"/>
          <w:sz w:val="21"/>
          <w:szCs w:val="21"/>
          <w:highlight w:val="none"/>
          <w:lang w:val="en-US" w:eastAsia="zh-CN" w:bidi="ar-SA"/>
        </w:rPr>
      </w:pPr>
      <w:r>
        <w:rPr>
          <w:rFonts w:hint="eastAsia" w:ascii="新宋体" w:hAnsi="新宋体" w:eastAsia="新宋体" w:cs="新宋体"/>
          <w:color w:val="auto"/>
          <w:kern w:val="2"/>
          <w:sz w:val="21"/>
          <w:szCs w:val="21"/>
          <w:highlight w:val="none"/>
          <w:lang w:val="en-US" w:eastAsia="zh-CN" w:bidi="ar-SA"/>
        </w:rPr>
        <w:t xml:space="preserve">（2）投标人在收到中标通知后，不能或拒绝在中标通知书规定的时间内与贵方签订合同； </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新宋体" w:hAnsi="新宋体" w:eastAsia="新宋体" w:cs="新宋体"/>
          <w:color w:val="auto"/>
          <w:kern w:val="2"/>
          <w:sz w:val="21"/>
          <w:szCs w:val="21"/>
          <w:highlight w:val="none"/>
          <w:lang w:val="en-US" w:eastAsia="zh-CN" w:bidi="ar-SA"/>
        </w:rPr>
      </w:pPr>
      <w:r>
        <w:rPr>
          <w:rFonts w:hint="eastAsia" w:ascii="新宋体" w:hAnsi="新宋体" w:eastAsia="新宋体" w:cs="新宋体"/>
          <w:color w:val="auto"/>
          <w:kern w:val="2"/>
          <w:sz w:val="21"/>
          <w:szCs w:val="21"/>
          <w:highlight w:val="none"/>
          <w:lang w:val="en-US" w:eastAsia="zh-CN" w:bidi="ar-SA"/>
        </w:rPr>
        <w:t>（3）投标人在与贵方签订合同前，未在规定的时间内提交符合招标文件要求的履约担保；</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新宋体" w:hAnsi="新宋体" w:eastAsia="新宋体" w:cs="新宋体"/>
          <w:color w:val="auto"/>
          <w:kern w:val="2"/>
          <w:sz w:val="21"/>
          <w:szCs w:val="21"/>
          <w:highlight w:val="none"/>
          <w:lang w:val="en-US" w:eastAsia="zh-CN" w:bidi="ar-SA"/>
        </w:rPr>
      </w:pPr>
      <w:r>
        <w:rPr>
          <w:rFonts w:hint="eastAsia" w:ascii="新宋体" w:hAnsi="新宋体" w:eastAsia="新宋体" w:cs="新宋体"/>
          <w:color w:val="auto"/>
          <w:kern w:val="2"/>
          <w:sz w:val="21"/>
          <w:szCs w:val="21"/>
          <w:highlight w:val="none"/>
          <w:lang w:val="en-US" w:eastAsia="zh-CN" w:bidi="ar-SA"/>
        </w:rPr>
        <w:t>（4）投标人违反招标文件规定的其他情形。</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新宋体" w:hAnsi="新宋体" w:eastAsia="新宋体" w:cs="新宋体"/>
          <w:color w:val="auto"/>
          <w:kern w:val="2"/>
          <w:sz w:val="21"/>
          <w:szCs w:val="21"/>
          <w:highlight w:val="none"/>
        </w:rPr>
      </w:pPr>
      <w:r>
        <w:rPr>
          <w:rFonts w:hint="eastAsia" w:ascii="新宋体" w:hAnsi="新宋体" w:eastAsia="新宋体" w:cs="新宋体"/>
          <w:color w:val="auto"/>
          <w:kern w:val="2"/>
          <w:sz w:val="21"/>
          <w:szCs w:val="21"/>
          <w:highlight w:val="none"/>
        </w:rPr>
        <w:t>三、本保函为不可撤销、不可转让的见索即付保函。本保函有效期自开立之日起至投标有效期届满之日后的</w:t>
      </w:r>
      <w:r>
        <w:rPr>
          <w:rFonts w:hint="eastAsia" w:ascii="新宋体" w:hAnsi="新宋体" w:eastAsia="新宋体" w:cs="新宋体"/>
          <w:color w:val="auto"/>
          <w:kern w:val="2"/>
          <w:sz w:val="21"/>
          <w:szCs w:val="21"/>
          <w:highlight w:val="none"/>
          <w:u w:val="single"/>
        </w:rPr>
        <w:t xml:space="preserve"> </w:t>
      </w:r>
      <w:r>
        <w:rPr>
          <w:rFonts w:hint="eastAsia" w:ascii="新宋体" w:hAnsi="新宋体" w:eastAsia="新宋体" w:cs="新宋体"/>
          <w:color w:val="auto"/>
          <w:kern w:val="2"/>
          <w:sz w:val="21"/>
          <w:szCs w:val="21"/>
          <w:highlight w:val="none"/>
          <w:u w:val="single"/>
          <w:lang w:val="en-US" w:eastAsia="zh-CN"/>
        </w:rPr>
        <w:t xml:space="preserve">   </w:t>
      </w:r>
      <w:r>
        <w:rPr>
          <w:rFonts w:hint="eastAsia" w:ascii="新宋体" w:hAnsi="新宋体" w:eastAsia="新宋体" w:cs="新宋体"/>
          <w:color w:val="auto"/>
          <w:kern w:val="2"/>
          <w:sz w:val="21"/>
          <w:szCs w:val="21"/>
          <w:highlight w:val="none"/>
        </w:rPr>
        <w:t>日</w:t>
      </w:r>
      <w:r>
        <w:rPr>
          <w:rFonts w:hint="eastAsia" w:ascii="新宋体" w:hAnsi="新宋体" w:eastAsia="新宋体" w:cs="新宋体"/>
          <w:color w:val="auto"/>
          <w:kern w:val="2"/>
          <w:sz w:val="21"/>
          <w:szCs w:val="21"/>
          <w:highlight w:val="none"/>
          <w:lang w:eastAsia="zh-CN"/>
        </w:rPr>
        <w:t>止（提示：建议</w:t>
      </w:r>
      <w:r>
        <w:rPr>
          <w:rFonts w:hint="eastAsia" w:ascii="新宋体" w:hAnsi="新宋体" w:eastAsia="新宋体" w:cs="新宋体"/>
          <w:color w:val="auto"/>
          <w:kern w:val="2"/>
          <w:sz w:val="21"/>
          <w:szCs w:val="21"/>
          <w:highlight w:val="none"/>
          <w:lang w:val="en-US" w:eastAsia="zh-CN"/>
        </w:rPr>
        <w:t>30日</w:t>
      </w:r>
      <w:r>
        <w:rPr>
          <w:rFonts w:hint="eastAsia" w:ascii="新宋体" w:hAnsi="新宋体" w:eastAsia="新宋体" w:cs="新宋体"/>
          <w:color w:val="auto"/>
          <w:kern w:val="2"/>
          <w:sz w:val="21"/>
          <w:szCs w:val="21"/>
          <w:highlight w:val="none"/>
          <w:lang w:eastAsia="zh-CN"/>
        </w:rPr>
        <w:t>）</w:t>
      </w:r>
      <w:r>
        <w:rPr>
          <w:rFonts w:hint="eastAsia" w:ascii="新宋体" w:hAnsi="新宋体" w:eastAsia="新宋体" w:cs="新宋体"/>
          <w:color w:val="auto"/>
          <w:kern w:val="2"/>
          <w:sz w:val="21"/>
          <w:szCs w:val="21"/>
          <w:highlight w:val="none"/>
        </w:rPr>
        <w:t>。投标有效期延长的，本保函有效期相应顺延，最迟不超过</w:t>
      </w:r>
      <w:r>
        <w:rPr>
          <w:rFonts w:hint="eastAsia" w:ascii="新宋体" w:hAnsi="新宋体" w:eastAsia="新宋体" w:cs="新宋体"/>
          <w:color w:val="auto"/>
          <w:kern w:val="2"/>
          <w:sz w:val="21"/>
          <w:szCs w:val="21"/>
          <w:highlight w:val="none"/>
          <w:u w:val="single"/>
        </w:rPr>
        <w:t xml:space="preserve">  </w:t>
      </w:r>
      <w:r>
        <w:rPr>
          <w:rFonts w:hint="eastAsia" w:ascii="新宋体" w:hAnsi="新宋体" w:eastAsia="新宋体" w:cs="新宋体"/>
          <w:color w:val="auto"/>
          <w:kern w:val="2"/>
          <w:sz w:val="21"/>
          <w:szCs w:val="21"/>
          <w:highlight w:val="none"/>
          <w:u w:val="single"/>
          <w:lang w:val="en-US" w:eastAsia="zh-CN"/>
        </w:rPr>
        <w:t xml:space="preserve"> </w:t>
      </w:r>
      <w:r>
        <w:rPr>
          <w:rFonts w:hint="eastAsia" w:ascii="新宋体" w:hAnsi="新宋体" w:eastAsia="新宋体" w:cs="新宋体"/>
          <w:color w:val="auto"/>
          <w:kern w:val="2"/>
          <w:sz w:val="21"/>
          <w:szCs w:val="21"/>
          <w:highlight w:val="none"/>
          <w:u w:val="single"/>
        </w:rPr>
        <w:t xml:space="preserve"> </w:t>
      </w:r>
      <w:r>
        <w:rPr>
          <w:rFonts w:hint="eastAsia" w:ascii="新宋体" w:hAnsi="新宋体" w:eastAsia="新宋体" w:cs="新宋体"/>
          <w:color w:val="auto"/>
          <w:kern w:val="2"/>
          <w:sz w:val="21"/>
          <w:szCs w:val="21"/>
          <w:highlight w:val="none"/>
        </w:rPr>
        <w:t>年</w:t>
      </w:r>
      <w:r>
        <w:rPr>
          <w:rFonts w:hint="eastAsia" w:ascii="新宋体" w:hAnsi="新宋体" w:eastAsia="新宋体" w:cs="新宋体"/>
          <w:color w:val="auto"/>
          <w:kern w:val="2"/>
          <w:sz w:val="21"/>
          <w:szCs w:val="21"/>
          <w:highlight w:val="none"/>
          <w:u w:val="single"/>
        </w:rPr>
        <w:t xml:space="preserve">  </w:t>
      </w:r>
      <w:r>
        <w:rPr>
          <w:rFonts w:hint="eastAsia" w:ascii="新宋体" w:hAnsi="新宋体" w:eastAsia="新宋体" w:cs="新宋体"/>
          <w:color w:val="auto"/>
          <w:kern w:val="2"/>
          <w:sz w:val="21"/>
          <w:szCs w:val="21"/>
          <w:highlight w:val="none"/>
          <w:u w:val="single"/>
          <w:lang w:val="en-US" w:eastAsia="zh-CN"/>
        </w:rPr>
        <w:t xml:space="preserve"> </w:t>
      </w:r>
      <w:r>
        <w:rPr>
          <w:rFonts w:hint="eastAsia" w:ascii="新宋体" w:hAnsi="新宋体" w:eastAsia="新宋体" w:cs="新宋体"/>
          <w:color w:val="auto"/>
          <w:kern w:val="2"/>
          <w:sz w:val="21"/>
          <w:szCs w:val="21"/>
          <w:highlight w:val="none"/>
          <w:u w:val="single"/>
        </w:rPr>
        <w:t xml:space="preserve"> </w:t>
      </w:r>
      <w:r>
        <w:rPr>
          <w:rFonts w:hint="eastAsia" w:ascii="新宋体" w:hAnsi="新宋体" w:eastAsia="新宋体" w:cs="新宋体"/>
          <w:color w:val="auto"/>
          <w:kern w:val="2"/>
          <w:sz w:val="21"/>
          <w:szCs w:val="21"/>
          <w:highlight w:val="none"/>
        </w:rPr>
        <w:t>月</w:t>
      </w:r>
      <w:r>
        <w:rPr>
          <w:rFonts w:hint="eastAsia" w:ascii="新宋体" w:hAnsi="新宋体" w:eastAsia="新宋体" w:cs="新宋体"/>
          <w:color w:val="auto"/>
          <w:kern w:val="2"/>
          <w:sz w:val="21"/>
          <w:szCs w:val="21"/>
          <w:highlight w:val="none"/>
          <w:u w:val="single"/>
        </w:rPr>
        <w:t xml:space="preserve"> </w:t>
      </w:r>
      <w:r>
        <w:rPr>
          <w:rFonts w:hint="eastAsia" w:ascii="新宋体" w:hAnsi="新宋体" w:eastAsia="新宋体" w:cs="新宋体"/>
          <w:color w:val="auto"/>
          <w:kern w:val="2"/>
          <w:sz w:val="21"/>
          <w:szCs w:val="21"/>
          <w:highlight w:val="none"/>
          <w:u w:val="single"/>
          <w:lang w:val="en-US" w:eastAsia="zh-CN"/>
        </w:rPr>
        <w:t xml:space="preserve"> </w:t>
      </w:r>
      <w:r>
        <w:rPr>
          <w:rFonts w:hint="eastAsia" w:ascii="新宋体" w:hAnsi="新宋体" w:eastAsia="新宋体" w:cs="新宋体"/>
          <w:color w:val="auto"/>
          <w:kern w:val="2"/>
          <w:sz w:val="21"/>
          <w:szCs w:val="21"/>
          <w:highlight w:val="none"/>
          <w:u w:val="single"/>
        </w:rPr>
        <w:t xml:space="preserve">  </w:t>
      </w:r>
      <w:r>
        <w:rPr>
          <w:rFonts w:hint="eastAsia" w:ascii="新宋体" w:hAnsi="新宋体" w:eastAsia="新宋体" w:cs="新宋体"/>
          <w:color w:val="auto"/>
          <w:kern w:val="2"/>
          <w:sz w:val="21"/>
          <w:szCs w:val="21"/>
          <w:highlight w:val="none"/>
        </w:rPr>
        <w:t>日</w:t>
      </w:r>
      <w:r>
        <w:rPr>
          <w:rFonts w:hint="eastAsia" w:ascii="新宋体" w:hAnsi="新宋体" w:eastAsia="新宋体" w:cs="新宋体"/>
          <w:color w:val="auto"/>
          <w:kern w:val="2"/>
          <w:sz w:val="21"/>
          <w:szCs w:val="21"/>
          <w:highlight w:val="none"/>
          <w:lang w:eastAsia="zh-CN"/>
        </w:rPr>
        <w:t>（提示：建议按保函有效期不超过</w:t>
      </w:r>
      <w:r>
        <w:rPr>
          <w:rFonts w:hint="eastAsia" w:ascii="新宋体" w:hAnsi="新宋体" w:eastAsia="新宋体" w:cs="新宋体"/>
          <w:color w:val="auto"/>
          <w:kern w:val="2"/>
          <w:sz w:val="21"/>
          <w:szCs w:val="21"/>
          <w:highlight w:val="none"/>
          <w:lang w:val="en-US" w:eastAsia="zh-CN"/>
        </w:rPr>
        <w:t>270日考虑</w:t>
      </w:r>
      <w:r>
        <w:rPr>
          <w:rFonts w:hint="eastAsia" w:ascii="新宋体" w:hAnsi="新宋体" w:eastAsia="新宋体" w:cs="新宋体"/>
          <w:color w:val="auto"/>
          <w:kern w:val="2"/>
          <w:sz w:val="21"/>
          <w:szCs w:val="21"/>
          <w:highlight w:val="none"/>
          <w:lang w:eastAsia="zh-CN"/>
        </w:rPr>
        <w:t>）</w:t>
      </w:r>
      <w:r>
        <w:rPr>
          <w:rFonts w:hint="eastAsia" w:ascii="新宋体" w:hAnsi="新宋体" w:eastAsia="新宋体" w:cs="新宋体"/>
          <w:color w:val="auto"/>
          <w:kern w:val="2"/>
          <w:sz w:val="21"/>
          <w:szCs w:val="21"/>
          <w:highlight w:val="none"/>
        </w:rPr>
        <w:t>。</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新宋体" w:hAnsi="新宋体" w:eastAsia="新宋体" w:cs="新宋体"/>
          <w:color w:val="auto"/>
          <w:kern w:val="2"/>
          <w:sz w:val="21"/>
          <w:szCs w:val="21"/>
          <w:highlight w:val="none"/>
        </w:rPr>
      </w:pPr>
      <w:r>
        <w:rPr>
          <w:rFonts w:hint="eastAsia" w:ascii="新宋体" w:hAnsi="新宋体" w:eastAsia="新宋体" w:cs="新宋体"/>
          <w:color w:val="auto"/>
          <w:kern w:val="2"/>
          <w:sz w:val="21"/>
          <w:szCs w:val="21"/>
          <w:highlight w:val="none"/>
          <w:lang w:eastAsia="zh-CN"/>
        </w:rPr>
        <w:t>四、</w:t>
      </w:r>
      <w:r>
        <w:rPr>
          <w:rFonts w:hint="eastAsia" w:ascii="新宋体" w:hAnsi="新宋体" w:eastAsia="新宋体" w:cs="新宋体"/>
          <w:color w:val="auto"/>
          <w:kern w:val="2"/>
          <w:sz w:val="21"/>
          <w:szCs w:val="21"/>
          <w:highlight w:val="none"/>
        </w:rPr>
        <w:t>我方承诺，在收到受益人发来的书面</w:t>
      </w:r>
      <w:r>
        <w:rPr>
          <w:rFonts w:hint="eastAsia" w:ascii="新宋体" w:hAnsi="新宋体" w:eastAsia="新宋体" w:cs="新宋体"/>
          <w:color w:val="auto"/>
          <w:kern w:val="2"/>
          <w:sz w:val="21"/>
          <w:szCs w:val="21"/>
          <w:highlight w:val="none"/>
          <w:lang w:eastAsia="zh-CN"/>
        </w:rPr>
        <w:t>索赔</w:t>
      </w:r>
      <w:r>
        <w:rPr>
          <w:rFonts w:hint="eastAsia" w:ascii="新宋体" w:hAnsi="新宋体" w:eastAsia="新宋体" w:cs="新宋体"/>
          <w:color w:val="auto"/>
          <w:kern w:val="2"/>
          <w:sz w:val="21"/>
          <w:szCs w:val="21"/>
          <w:highlight w:val="none"/>
        </w:rPr>
        <w:t>通知后的</w:t>
      </w:r>
      <w:r>
        <w:rPr>
          <w:rFonts w:hint="eastAsia" w:ascii="新宋体" w:hAnsi="新宋体" w:eastAsia="新宋体" w:cs="新宋体"/>
          <w:color w:val="auto"/>
          <w:kern w:val="2"/>
          <w:sz w:val="21"/>
          <w:szCs w:val="21"/>
          <w:highlight w:val="none"/>
          <w:u w:val="single"/>
        </w:rPr>
        <w:t xml:space="preserve">   </w:t>
      </w:r>
      <w:r>
        <w:rPr>
          <w:rFonts w:hint="eastAsia" w:ascii="新宋体" w:hAnsi="新宋体" w:eastAsia="新宋体" w:cs="新宋体"/>
          <w:color w:val="auto"/>
          <w:kern w:val="2"/>
          <w:sz w:val="21"/>
          <w:szCs w:val="21"/>
          <w:highlight w:val="none"/>
          <w:u w:val="none"/>
          <w:lang w:eastAsia="zh-CN"/>
        </w:rPr>
        <w:t>个工作</w:t>
      </w:r>
      <w:r>
        <w:rPr>
          <w:rFonts w:hint="eastAsia" w:ascii="新宋体" w:hAnsi="新宋体" w:eastAsia="新宋体" w:cs="新宋体"/>
          <w:color w:val="auto"/>
          <w:kern w:val="2"/>
          <w:sz w:val="21"/>
          <w:szCs w:val="21"/>
          <w:highlight w:val="none"/>
        </w:rPr>
        <w:t>日</w:t>
      </w:r>
      <w:r>
        <w:rPr>
          <w:rFonts w:hint="eastAsia" w:ascii="新宋体" w:hAnsi="新宋体" w:eastAsia="新宋体" w:cs="新宋体"/>
          <w:color w:val="auto"/>
          <w:kern w:val="2"/>
          <w:sz w:val="21"/>
          <w:szCs w:val="21"/>
          <w:highlight w:val="none"/>
          <w:lang w:eastAsia="zh-CN"/>
        </w:rPr>
        <w:t>（提示：建议</w:t>
      </w:r>
      <w:r>
        <w:rPr>
          <w:rFonts w:hint="eastAsia" w:ascii="新宋体" w:hAnsi="新宋体" w:eastAsia="新宋体" w:cs="新宋体"/>
          <w:color w:val="auto"/>
          <w:kern w:val="2"/>
          <w:sz w:val="21"/>
          <w:szCs w:val="21"/>
          <w:highlight w:val="none"/>
          <w:lang w:val="en-US" w:eastAsia="zh-CN"/>
        </w:rPr>
        <w:t>10—15个工作日</w:t>
      </w:r>
      <w:r>
        <w:rPr>
          <w:rFonts w:hint="eastAsia" w:ascii="新宋体" w:hAnsi="新宋体" w:eastAsia="新宋体" w:cs="新宋体"/>
          <w:color w:val="auto"/>
          <w:kern w:val="2"/>
          <w:sz w:val="21"/>
          <w:szCs w:val="21"/>
          <w:highlight w:val="none"/>
          <w:lang w:eastAsia="zh-CN"/>
        </w:rPr>
        <w:t>）</w:t>
      </w:r>
      <w:r>
        <w:rPr>
          <w:rFonts w:hint="eastAsia" w:ascii="新宋体" w:hAnsi="新宋体" w:eastAsia="新宋体" w:cs="新宋体"/>
          <w:color w:val="auto"/>
          <w:kern w:val="2"/>
          <w:sz w:val="21"/>
          <w:szCs w:val="21"/>
          <w:highlight w:val="none"/>
        </w:rPr>
        <w:t>内无条件支付，前述书面</w:t>
      </w:r>
      <w:r>
        <w:rPr>
          <w:rFonts w:hint="eastAsia" w:ascii="新宋体" w:hAnsi="新宋体" w:eastAsia="新宋体" w:cs="新宋体"/>
          <w:color w:val="auto"/>
          <w:kern w:val="2"/>
          <w:sz w:val="21"/>
          <w:szCs w:val="21"/>
          <w:highlight w:val="none"/>
          <w:lang w:eastAsia="zh-CN"/>
        </w:rPr>
        <w:t>索赔</w:t>
      </w:r>
      <w:r>
        <w:rPr>
          <w:rFonts w:hint="eastAsia" w:ascii="新宋体" w:hAnsi="新宋体" w:eastAsia="新宋体" w:cs="新宋体"/>
          <w:color w:val="auto"/>
          <w:kern w:val="2"/>
          <w:sz w:val="21"/>
          <w:szCs w:val="21"/>
          <w:highlight w:val="none"/>
        </w:rPr>
        <w:t>通知即为付款要求之单据，且应满足以下要求：</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新宋体" w:hAnsi="新宋体" w:eastAsia="新宋体" w:cs="新宋体"/>
          <w:color w:val="auto"/>
          <w:kern w:val="2"/>
          <w:sz w:val="21"/>
          <w:szCs w:val="21"/>
          <w:highlight w:val="none"/>
        </w:rPr>
      </w:pPr>
      <w:r>
        <w:rPr>
          <w:rFonts w:hint="eastAsia" w:ascii="新宋体" w:hAnsi="新宋体" w:eastAsia="新宋体" w:cs="新宋体"/>
          <w:color w:val="auto"/>
          <w:kern w:val="2"/>
          <w:sz w:val="21"/>
          <w:szCs w:val="21"/>
          <w:highlight w:val="none"/>
        </w:rPr>
        <w:t>（1）</w:t>
      </w:r>
      <w:r>
        <w:rPr>
          <w:rFonts w:hint="eastAsia" w:ascii="新宋体" w:hAnsi="新宋体" w:eastAsia="新宋体" w:cs="新宋体"/>
          <w:color w:val="auto"/>
          <w:kern w:val="2"/>
          <w:sz w:val="21"/>
          <w:szCs w:val="21"/>
          <w:highlight w:val="none"/>
          <w:lang w:eastAsia="zh-CN"/>
        </w:rPr>
        <w:t>索赔</w:t>
      </w:r>
      <w:r>
        <w:rPr>
          <w:rFonts w:hint="eastAsia" w:ascii="新宋体" w:hAnsi="新宋体" w:eastAsia="新宋体" w:cs="新宋体"/>
          <w:color w:val="auto"/>
          <w:kern w:val="2"/>
          <w:sz w:val="21"/>
          <w:szCs w:val="21"/>
          <w:highlight w:val="none"/>
        </w:rPr>
        <w:t>通知到达的日期在本保函的有效期内；</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新宋体" w:hAnsi="新宋体" w:eastAsia="新宋体" w:cs="新宋体"/>
          <w:color w:val="auto"/>
          <w:kern w:val="2"/>
          <w:sz w:val="21"/>
          <w:szCs w:val="21"/>
          <w:highlight w:val="none"/>
        </w:rPr>
      </w:pPr>
      <w:r>
        <w:rPr>
          <w:rFonts w:hint="eastAsia" w:ascii="新宋体" w:hAnsi="新宋体" w:eastAsia="新宋体" w:cs="新宋体"/>
          <w:color w:val="auto"/>
          <w:kern w:val="2"/>
          <w:sz w:val="21"/>
          <w:szCs w:val="21"/>
          <w:highlight w:val="none"/>
        </w:rPr>
        <w:t>（2）载明要求支付的金额；</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新宋体" w:hAnsi="新宋体" w:eastAsia="新宋体" w:cs="新宋体"/>
          <w:color w:val="auto"/>
          <w:kern w:val="2"/>
          <w:sz w:val="21"/>
          <w:szCs w:val="21"/>
          <w:highlight w:val="none"/>
        </w:rPr>
      </w:pPr>
      <w:r>
        <w:rPr>
          <w:rFonts w:hint="eastAsia" w:ascii="新宋体" w:hAnsi="新宋体" w:eastAsia="新宋体" w:cs="新宋体"/>
          <w:color w:val="auto"/>
          <w:kern w:val="2"/>
          <w:sz w:val="21"/>
          <w:szCs w:val="21"/>
          <w:highlight w:val="none"/>
        </w:rPr>
        <w:t>（3）载明申请人违反招投标文件规定的义务内容和具体条款；</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新宋体" w:hAnsi="新宋体" w:eastAsia="新宋体" w:cs="新宋体"/>
          <w:color w:val="auto"/>
          <w:kern w:val="2"/>
          <w:sz w:val="21"/>
          <w:szCs w:val="21"/>
          <w:highlight w:val="none"/>
        </w:rPr>
      </w:pPr>
      <w:r>
        <w:rPr>
          <w:rFonts w:hint="eastAsia" w:ascii="新宋体" w:hAnsi="新宋体" w:eastAsia="新宋体" w:cs="新宋体"/>
          <w:color w:val="auto"/>
          <w:kern w:val="2"/>
          <w:sz w:val="21"/>
          <w:szCs w:val="21"/>
          <w:highlight w:val="none"/>
        </w:rPr>
        <w:t>（4）声明不存在招标文件规定免除申请人或我方支付责任的情形；</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新宋体" w:hAnsi="新宋体" w:eastAsia="新宋体" w:cs="新宋体"/>
          <w:color w:val="auto"/>
          <w:kern w:val="2"/>
          <w:sz w:val="21"/>
          <w:szCs w:val="21"/>
          <w:highlight w:val="none"/>
        </w:rPr>
      </w:pPr>
      <w:r>
        <w:rPr>
          <w:rFonts w:hint="eastAsia" w:ascii="新宋体" w:hAnsi="新宋体" w:eastAsia="新宋体" w:cs="新宋体"/>
          <w:color w:val="auto"/>
          <w:spacing w:val="0"/>
          <w:kern w:val="2"/>
          <w:sz w:val="21"/>
          <w:szCs w:val="21"/>
          <w:highlight w:val="none"/>
          <w:lang w:eastAsia="zh-CN"/>
        </w:rPr>
        <w:t>（</w:t>
      </w:r>
      <w:r>
        <w:rPr>
          <w:rFonts w:hint="eastAsia" w:ascii="新宋体" w:hAnsi="新宋体" w:eastAsia="新宋体" w:cs="新宋体"/>
          <w:color w:val="auto"/>
          <w:spacing w:val="0"/>
          <w:kern w:val="2"/>
          <w:sz w:val="21"/>
          <w:szCs w:val="21"/>
          <w:highlight w:val="none"/>
          <w:lang w:val="en-US" w:eastAsia="zh-CN"/>
        </w:rPr>
        <w:t>5</w:t>
      </w:r>
      <w:r>
        <w:rPr>
          <w:rFonts w:hint="eastAsia" w:ascii="新宋体" w:hAnsi="新宋体" w:eastAsia="新宋体" w:cs="新宋体"/>
          <w:color w:val="auto"/>
          <w:spacing w:val="0"/>
          <w:kern w:val="2"/>
          <w:sz w:val="21"/>
          <w:szCs w:val="21"/>
          <w:highlight w:val="none"/>
          <w:lang w:eastAsia="zh-CN"/>
        </w:rPr>
        <w:t>）索赔</w:t>
      </w:r>
      <w:r>
        <w:rPr>
          <w:rFonts w:hint="eastAsia" w:ascii="新宋体" w:hAnsi="新宋体" w:eastAsia="新宋体" w:cs="新宋体"/>
          <w:color w:val="auto"/>
          <w:spacing w:val="0"/>
          <w:kern w:val="2"/>
          <w:sz w:val="21"/>
          <w:szCs w:val="21"/>
          <w:highlight w:val="none"/>
        </w:rPr>
        <w:t>通知应在本保函有效期内到达的地址是：</w:t>
      </w:r>
      <w:r>
        <w:rPr>
          <w:rFonts w:hint="eastAsia" w:ascii="新宋体" w:hAnsi="新宋体" w:eastAsia="新宋体" w:cs="新宋体"/>
          <w:color w:val="auto"/>
          <w:kern w:val="2"/>
          <w:sz w:val="21"/>
          <w:szCs w:val="21"/>
          <w:highlight w:val="none"/>
          <w:u w:val="single"/>
        </w:rPr>
        <w:t xml:space="preserve">     </w:t>
      </w:r>
      <w:r>
        <w:rPr>
          <w:rFonts w:hint="eastAsia" w:ascii="新宋体" w:hAnsi="新宋体" w:eastAsia="新宋体" w:cs="新宋体"/>
          <w:color w:val="auto"/>
          <w:kern w:val="2"/>
          <w:sz w:val="21"/>
          <w:szCs w:val="21"/>
          <w:highlight w:val="none"/>
          <w:u w:val="single"/>
          <w:lang w:val="en-US" w:eastAsia="zh-CN"/>
        </w:rPr>
        <w:t xml:space="preserve">  </w:t>
      </w:r>
      <w:r>
        <w:rPr>
          <w:rFonts w:hint="eastAsia" w:ascii="新宋体" w:hAnsi="新宋体" w:eastAsia="新宋体" w:cs="新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新宋体" w:hAnsi="新宋体" w:eastAsia="新宋体" w:cs="新宋体"/>
          <w:color w:val="auto"/>
          <w:kern w:val="2"/>
          <w:sz w:val="21"/>
          <w:szCs w:val="21"/>
          <w:highlight w:val="none"/>
        </w:rPr>
      </w:pPr>
      <w:r>
        <w:rPr>
          <w:rFonts w:hint="eastAsia" w:ascii="新宋体" w:hAnsi="新宋体" w:eastAsia="新宋体" w:cs="新宋体"/>
          <w:color w:val="auto"/>
          <w:kern w:val="2"/>
          <w:sz w:val="21"/>
          <w:szCs w:val="21"/>
          <w:highlight w:val="none"/>
        </w:rPr>
        <w:t>受益人发出的书面</w:t>
      </w:r>
      <w:r>
        <w:rPr>
          <w:rFonts w:hint="eastAsia" w:ascii="新宋体" w:hAnsi="新宋体" w:eastAsia="新宋体" w:cs="新宋体"/>
          <w:color w:val="auto"/>
          <w:kern w:val="2"/>
          <w:sz w:val="21"/>
          <w:szCs w:val="21"/>
          <w:highlight w:val="none"/>
          <w:lang w:eastAsia="zh-CN"/>
        </w:rPr>
        <w:t>索赔</w:t>
      </w:r>
      <w:r>
        <w:rPr>
          <w:rFonts w:hint="eastAsia" w:ascii="新宋体" w:hAnsi="新宋体" w:eastAsia="新宋体" w:cs="新宋体"/>
          <w:color w:val="auto"/>
          <w:kern w:val="2"/>
          <w:sz w:val="21"/>
          <w:szCs w:val="21"/>
          <w:highlight w:val="none"/>
        </w:rPr>
        <w:t>通知应由其为鉴明受益人法定代表人或授权代理人签</w:t>
      </w:r>
      <w:r>
        <w:rPr>
          <w:rFonts w:hint="eastAsia" w:ascii="新宋体" w:hAnsi="新宋体" w:eastAsia="新宋体" w:cs="新宋体"/>
          <w:color w:val="auto"/>
          <w:kern w:val="2"/>
          <w:sz w:val="21"/>
          <w:szCs w:val="21"/>
          <w:highlight w:val="none"/>
          <w:lang w:eastAsia="zh-CN"/>
        </w:rPr>
        <w:t>名</w:t>
      </w:r>
      <w:r>
        <w:rPr>
          <w:rFonts w:hint="eastAsia" w:ascii="新宋体" w:hAnsi="新宋体" w:eastAsia="新宋体" w:cs="新宋体"/>
          <w:color w:val="auto"/>
          <w:kern w:val="2"/>
          <w:sz w:val="21"/>
          <w:szCs w:val="21"/>
          <w:highlight w:val="none"/>
        </w:rPr>
        <w:t>并加盖公章。</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新宋体" w:hAnsi="新宋体" w:eastAsia="新宋体" w:cs="新宋体"/>
          <w:color w:val="auto"/>
          <w:kern w:val="2"/>
          <w:sz w:val="21"/>
          <w:szCs w:val="21"/>
          <w:highlight w:val="none"/>
        </w:rPr>
      </w:pPr>
      <w:r>
        <w:rPr>
          <w:rFonts w:hint="eastAsia" w:ascii="新宋体" w:hAnsi="新宋体" w:eastAsia="新宋体" w:cs="新宋体"/>
          <w:color w:val="auto"/>
          <w:kern w:val="2"/>
          <w:sz w:val="21"/>
          <w:szCs w:val="21"/>
          <w:highlight w:val="none"/>
        </w:rPr>
        <w:t>五、本保函项下的权利不得转让，不得设定担保。</w:t>
      </w:r>
      <w:r>
        <w:rPr>
          <w:rFonts w:hint="eastAsia" w:ascii="新宋体" w:hAnsi="新宋体" w:eastAsia="新宋体" w:cs="新宋体"/>
          <w:color w:val="auto"/>
          <w:kern w:val="2"/>
          <w:sz w:val="21"/>
          <w:szCs w:val="21"/>
          <w:highlight w:val="none"/>
          <w:lang w:eastAsia="zh-CN"/>
        </w:rPr>
        <w:t>贵方</w:t>
      </w:r>
      <w:r>
        <w:rPr>
          <w:rFonts w:hint="eastAsia" w:ascii="新宋体" w:hAnsi="新宋体" w:eastAsia="新宋体" w:cs="新宋体"/>
          <w:color w:val="auto"/>
          <w:kern w:val="2"/>
          <w:sz w:val="21"/>
          <w:szCs w:val="21"/>
          <w:highlight w:val="none"/>
        </w:rPr>
        <w:t>未经我方书面同意转让本保函或其项下任何权利，对我方不发生法律效力。</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新宋体" w:hAnsi="新宋体" w:eastAsia="新宋体" w:cs="新宋体"/>
          <w:color w:val="auto"/>
          <w:kern w:val="2"/>
          <w:sz w:val="21"/>
          <w:szCs w:val="21"/>
          <w:highlight w:val="none"/>
        </w:rPr>
      </w:pPr>
      <w:r>
        <w:rPr>
          <w:rFonts w:hint="eastAsia" w:ascii="新宋体" w:hAnsi="新宋体" w:eastAsia="新宋体" w:cs="新宋体"/>
          <w:color w:val="auto"/>
          <w:kern w:val="2"/>
          <w:sz w:val="21"/>
          <w:szCs w:val="21"/>
          <w:highlight w:val="none"/>
        </w:rPr>
        <w:t xml:space="preserve">六、本保函项下的基础交易不成立、不生效、无效、被撤销、被解除，不影响本保函的独立有效。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新宋体" w:hAnsi="新宋体" w:eastAsia="新宋体" w:cs="新宋体"/>
          <w:color w:val="auto"/>
          <w:kern w:val="2"/>
          <w:sz w:val="21"/>
          <w:szCs w:val="21"/>
          <w:highlight w:val="none"/>
        </w:rPr>
      </w:pPr>
      <w:r>
        <w:rPr>
          <w:rFonts w:hint="eastAsia" w:ascii="新宋体" w:hAnsi="新宋体" w:eastAsia="新宋体" w:cs="新宋体"/>
          <w:color w:val="auto"/>
          <w:kern w:val="2"/>
          <w:sz w:val="21"/>
          <w:szCs w:val="21"/>
          <w:highlight w:val="none"/>
        </w:rPr>
        <w:t>七、受益人应在本保函到期后的</w:t>
      </w:r>
      <w:r>
        <w:rPr>
          <w:rFonts w:hint="eastAsia" w:ascii="新宋体" w:hAnsi="新宋体" w:eastAsia="新宋体" w:cs="新宋体"/>
          <w:color w:val="auto"/>
          <w:kern w:val="2"/>
          <w:sz w:val="21"/>
          <w:szCs w:val="21"/>
          <w:highlight w:val="none"/>
          <w:lang w:val="en-US" w:eastAsia="zh-CN"/>
        </w:rPr>
        <w:t>七</w:t>
      </w:r>
      <w:r>
        <w:rPr>
          <w:rFonts w:hint="eastAsia" w:ascii="新宋体" w:hAnsi="新宋体" w:eastAsia="新宋体" w:cs="新宋体"/>
          <w:color w:val="auto"/>
          <w:kern w:val="2"/>
          <w:sz w:val="21"/>
          <w:szCs w:val="21"/>
          <w:highlight w:val="none"/>
          <w:lang w:eastAsia="zh-CN"/>
        </w:rPr>
        <w:t>个工作</w:t>
      </w:r>
      <w:r>
        <w:rPr>
          <w:rFonts w:hint="eastAsia" w:ascii="新宋体" w:hAnsi="新宋体" w:eastAsia="新宋体" w:cs="新宋体"/>
          <w:color w:val="auto"/>
          <w:kern w:val="2"/>
          <w:sz w:val="21"/>
          <w:szCs w:val="21"/>
          <w:highlight w:val="none"/>
        </w:rPr>
        <w:t>日内将本保函正本退回我方注销，但是不论受益人是否按此要求将本保函正本退回我方，我方在本保函项下的义务和责任均在保函有效期到期后自动消灭。</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新宋体" w:hAnsi="新宋体" w:eastAsia="新宋体" w:cs="新宋体"/>
          <w:color w:val="auto"/>
          <w:kern w:val="2"/>
          <w:sz w:val="21"/>
          <w:szCs w:val="21"/>
          <w:highlight w:val="none"/>
          <w:lang w:eastAsia="zh-CN"/>
        </w:rPr>
      </w:pPr>
      <w:r>
        <w:rPr>
          <w:rFonts w:hint="eastAsia" w:ascii="新宋体" w:hAnsi="新宋体" w:eastAsia="新宋体" w:cs="新宋体"/>
          <w:color w:val="auto"/>
          <w:kern w:val="2"/>
          <w:sz w:val="21"/>
          <w:szCs w:val="21"/>
          <w:highlight w:val="none"/>
        </w:rPr>
        <w:t>八、</w:t>
      </w:r>
      <w:r>
        <w:rPr>
          <w:rFonts w:hint="eastAsia" w:ascii="新宋体" w:hAnsi="新宋体" w:eastAsia="新宋体" w:cs="新宋体"/>
          <w:color w:val="auto"/>
          <w:kern w:val="2"/>
          <w:sz w:val="21"/>
          <w:szCs w:val="21"/>
          <w:highlight w:val="none"/>
          <w:lang w:eastAsia="zh-CN"/>
        </w:rPr>
        <w:t>本保函的开具是我方真实意思表示，符合法律法规规定，我方同意遵守本保函约定并无条件承担担保责任。本保函与其他规定或条款不一致时，以本保函约定为准。</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新宋体" w:hAnsi="新宋体" w:eastAsia="新宋体" w:cs="新宋体"/>
          <w:color w:val="auto"/>
          <w:kern w:val="2"/>
          <w:sz w:val="21"/>
          <w:szCs w:val="21"/>
          <w:highlight w:val="none"/>
        </w:rPr>
      </w:pPr>
      <w:r>
        <w:rPr>
          <w:rFonts w:hint="eastAsia" w:ascii="新宋体" w:hAnsi="新宋体" w:eastAsia="新宋体" w:cs="新宋体"/>
          <w:color w:val="auto"/>
          <w:kern w:val="2"/>
          <w:sz w:val="21"/>
          <w:szCs w:val="21"/>
          <w:highlight w:val="none"/>
          <w:lang w:eastAsia="zh-CN"/>
        </w:rPr>
        <w:t>九、</w:t>
      </w:r>
      <w:r>
        <w:rPr>
          <w:rFonts w:hint="eastAsia" w:ascii="新宋体" w:hAnsi="新宋体" w:eastAsia="新宋体" w:cs="新宋体"/>
          <w:color w:val="auto"/>
          <w:kern w:val="2"/>
          <w:sz w:val="21"/>
          <w:szCs w:val="21"/>
          <w:highlight w:val="none"/>
        </w:rPr>
        <w:t>本保函适用的法律为中华人民共和国法律，争议裁判管辖地为中华人民共和国</w:t>
      </w:r>
      <w:r>
        <w:rPr>
          <w:rFonts w:hint="eastAsia" w:ascii="新宋体" w:hAnsi="新宋体" w:eastAsia="新宋体" w:cs="新宋体"/>
          <w:color w:val="auto"/>
          <w:kern w:val="2"/>
          <w:sz w:val="21"/>
          <w:szCs w:val="21"/>
          <w:highlight w:val="none"/>
          <w:u w:val="single"/>
        </w:rPr>
        <w:t xml:space="preserve">   </w:t>
      </w:r>
      <w:r>
        <w:rPr>
          <w:rFonts w:hint="eastAsia" w:ascii="新宋体" w:hAnsi="新宋体" w:eastAsia="新宋体" w:cs="新宋体"/>
          <w:color w:val="auto"/>
          <w:kern w:val="2"/>
          <w:sz w:val="21"/>
          <w:szCs w:val="21"/>
          <w:highlight w:val="none"/>
          <w:u w:val="single"/>
          <w:lang w:val="en-US" w:eastAsia="zh-CN"/>
        </w:rPr>
        <w:t xml:space="preserve">         </w:t>
      </w:r>
      <w:r>
        <w:rPr>
          <w:rFonts w:hint="eastAsia" w:ascii="新宋体" w:hAnsi="新宋体" w:eastAsia="新宋体" w:cs="新宋体"/>
          <w:color w:val="auto"/>
          <w:kern w:val="2"/>
          <w:sz w:val="21"/>
          <w:szCs w:val="21"/>
          <w:highlight w:val="none"/>
          <w:u w:val="single"/>
        </w:rPr>
        <w:t xml:space="preserve">  </w:t>
      </w:r>
      <w:r>
        <w:rPr>
          <w:rFonts w:hint="eastAsia" w:ascii="新宋体" w:hAnsi="新宋体" w:eastAsia="新宋体" w:cs="新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新宋体" w:hAnsi="新宋体" w:eastAsia="新宋体" w:cs="新宋体"/>
          <w:color w:val="auto"/>
          <w:kern w:val="2"/>
          <w:sz w:val="21"/>
          <w:szCs w:val="21"/>
          <w:highlight w:val="none"/>
        </w:rPr>
      </w:pPr>
      <w:r>
        <w:rPr>
          <w:rFonts w:hint="eastAsia" w:ascii="新宋体" w:hAnsi="新宋体" w:eastAsia="新宋体" w:cs="新宋体"/>
          <w:color w:val="auto"/>
          <w:kern w:val="2"/>
          <w:sz w:val="21"/>
          <w:szCs w:val="21"/>
          <w:highlight w:val="none"/>
          <w:lang w:eastAsia="zh-CN"/>
        </w:rPr>
        <w:t>十</w:t>
      </w:r>
      <w:r>
        <w:rPr>
          <w:rFonts w:hint="eastAsia" w:ascii="新宋体" w:hAnsi="新宋体" w:eastAsia="新宋体" w:cs="新宋体"/>
          <w:color w:val="auto"/>
          <w:kern w:val="2"/>
          <w:sz w:val="21"/>
          <w:szCs w:val="21"/>
          <w:highlight w:val="none"/>
        </w:rPr>
        <w:t>、本保函自我方法定代表人或授权代表</w:t>
      </w:r>
      <w:r>
        <w:rPr>
          <w:rFonts w:hint="eastAsia" w:ascii="新宋体" w:hAnsi="新宋体" w:eastAsia="新宋体" w:cs="新宋体"/>
          <w:color w:val="auto"/>
          <w:kern w:val="2"/>
          <w:sz w:val="21"/>
          <w:szCs w:val="21"/>
          <w:highlight w:val="none"/>
          <w:lang w:eastAsia="zh-CN"/>
        </w:rPr>
        <w:t>签名</w:t>
      </w:r>
      <w:r>
        <w:rPr>
          <w:rFonts w:hint="eastAsia" w:ascii="新宋体" w:hAnsi="新宋体" w:eastAsia="新宋体" w:cs="新宋体"/>
          <w:color w:val="auto"/>
          <w:kern w:val="2"/>
          <w:sz w:val="21"/>
          <w:szCs w:val="21"/>
          <w:highlight w:val="none"/>
        </w:rPr>
        <w:t>并加盖公章之日起生效。</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新宋体" w:hAnsi="新宋体" w:eastAsia="新宋体" w:cs="新宋体"/>
          <w:color w:val="auto"/>
          <w:kern w:val="2"/>
          <w:sz w:val="21"/>
          <w:szCs w:val="21"/>
          <w:highlight w:val="none"/>
          <w:u w:val="none"/>
        </w:rPr>
      </w:pPr>
      <w:r>
        <w:rPr>
          <w:rFonts w:hint="eastAsia" w:ascii="新宋体" w:hAnsi="新宋体" w:eastAsia="新宋体" w:cs="新宋体"/>
          <w:color w:val="auto"/>
          <w:kern w:val="2"/>
          <w:sz w:val="21"/>
          <w:szCs w:val="21"/>
          <w:highlight w:val="none"/>
          <w:lang w:eastAsia="zh-CN"/>
        </w:rPr>
        <w:t>十一、本保函在重庆市辖区范围内的核验地点：</w:t>
      </w:r>
      <w:r>
        <w:rPr>
          <w:rFonts w:hint="eastAsia" w:ascii="新宋体" w:hAnsi="新宋体" w:eastAsia="新宋体" w:cs="新宋体"/>
          <w:color w:val="auto"/>
          <w:kern w:val="2"/>
          <w:sz w:val="21"/>
          <w:szCs w:val="21"/>
          <w:highlight w:val="none"/>
          <w:u w:val="single"/>
        </w:rPr>
        <w:t xml:space="preserve">   </w:t>
      </w:r>
      <w:r>
        <w:rPr>
          <w:rFonts w:hint="eastAsia" w:ascii="新宋体" w:hAnsi="新宋体" w:eastAsia="新宋体" w:cs="新宋体"/>
          <w:color w:val="auto"/>
          <w:kern w:val="2"/>
          <w:sz w:val="21"/>
          <w:szCs w:val="21"/>
          <w:highlight w:val="none"/>
          <w:u w:val="single"/>
          <w:lang w:val="en-US" w:eastAsia="zh-CN"/>
        </w:rPr>
        <w:t xml:space="preserve">  </w:t>
      </w:r>
      <w:r>
        <w:rPr>
          <w:rFonts w:hint="eastAsia" w:ascii="新宋体" w:hAnsi="新宋体" w:eastAsia="新宋体" w:cs="新宋体"/>
          <w:color w:val="auto"/>
          <w:kern w:val="2"/>
          <w:sz w:val="21"/>
          <w:szCs w:val="21"/>
          <w:highlight w:val="none"/>
          <w:u w:val="single"/>
        </w:rPr>
        <w:t xml:space="preserve">   </w:t>
      </w:r>
      <w:r>
        <w:rPr>
          <w:rFonts w:hint="eastAsia" w:ascii="新宋体" w:hAnsi="新宋体" w:eastAsia="新宋体" w:cs="新宋体"/>
          <w:color w:val="auto"/>
          <w:kern w:val="2"/>
          <w:sz w:val="21"/>
          <w:szCs w:val="21"/>
          <w:highlight w:val="none"/>
          <w:u w:val="none"/>
          <w:lang w:eastAsia="zh-CN"/>
        </w:rPr>
        <w:t>；核验方式：</w:t>
      </w:r>
      <w:r>
        <w:rPr>
          <w:rFonts w:hint="eastAsia" w:ascii="新宋体" w:hAnsi="新宋体" w:eastAsia="新宋体" w:cs="新宋体"/>
          <w:color w:val="auto"/>
          <w:kern w:val="2"/>
          <w:sz w:val="21"/>
          <w:szCs w:val="21"/>
          <w:highlight w:val="none"/>
          <w:u w:val="single"/>
        </w:rPr>
        <w:t xml:space="preserve">      </w:t>
      </w:r>
      <w:r>
        <w:rPr>
          <w:rFonts w:hint="eastAsia" w:ascii="新宋体" w:hAnsi="新宋体" w:eastAsia="新宋体" w:cs="新宋体"/>
          <w:color w:val="auto"/>
          <w:kern w:val="2"/>
          <w:sz w:val="21"/>
          <w:szCs w:val="21"/>
          <w:highlight w:val="none"/>
          <w:u w:val="single"/>
          <w:lang w:val="en-US" w:eastAsia="zh-CN"/>
        </w:rPr>
        <w:t xml:space="preserve">  </w:t>
      </w:r>
      <w:r>
        <w:rPr>
          <w:rFonts w:hint="eastAsia" w:ascii="新宋体" w:hAnsi="新宋体" w:eastAsia="新宋体" w:cs="新宋体"/>
          <w:color w:val="auto"/>
          <w:kern w:val="2"/>
          <w:sz w:val="21"/>
          <w:szCs w:val="21"/>
          <w:highlight w:val="none"/>
          <w:u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新宋体" w:hAnsi="新宋体" w:eastAsia="新宋体" w:cs="新宋体"/>
          <w:color w:val="auto"/>
          <w:kern w:val="2"/>
          <w:sz w:val="21"/>
          <w:szCs w:val="21"/>
          <w:highlight w:val="none"/>
        </w:rPr>
      </w:pP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新宋体" w:hAnsi="新宋体" w:eastAsia="新宋体" w:cs="新宋体"/>
          <w:color w:val="auto"/>
          <w:kern w:val="2"/>
          <w:sz w:val="21"/>
          <w:szCs w:val="21"/>
          <w:highlight w:val="none"/>
        </w:rPr>
      </w:pPr>
      <w:r>
        <w:rPr>
          <w:rFonts w:hint="eastAsia" w:ascii="新宋体" w:hAnsi="新宋体" w:eastAsia="新宋体" w:cs="新宋体"/>
          <w:color w:val="auto"/>
          <w:kern w:val="2"/>
          <w:sz w:val="21"/>
          <w:szCs w:val="21"/>
          <w:highlight w:val="none"/>
        </w:rPr>
        <w:t xml:space="preserve">开 立 人： </w:t>
      </w:r>
      <w:r>
        <w:rPr>
          <w:rFonts w:hint="eastAsia" w:ascii="新宋体" w:hAnsi="新宋体" w:eastAsia="新宋体" w:cs="新宋体"/>
          <w:color w:val="auto"/>
          <w:kern w:val="2"/>
          <w:sz w:val="21"/>
          <w:szCs w:val="21"/>
          <w:highlight w:val="none"/>
          <w:u w:val="single"/>
        </w:rPr>
        <w:t xml:space="preserve">                </w:t>
      </w:r>
      <w:r>
        <w:rPr>
          <w:rFonts w:hint="eastAsia" w:ascii="新宋体" w:hAnsi="新宋体" w:eastAsia="新宋体" w:cs="新宋体"/>
          <w:color w:val="auto"/>
          <w:kern w:val="2"/>
          <w:sz w:val="21"/>
          <w:szCs w:val="21"/>
          <w:highlight w:val="none"/>
          <w:u w:val="single"/>
          <w:lang w:val="en-US" w:eastAsia="zh-CN"/>
        </w:rPr>
        <w:t xml:space="preserve">                  </w:t>
      </w:r>
      <w:r>
        <w:rPr>
          <w:rFonts w:hint="eastAsia" w:ascii="新宋体" w:hAnsi="新宋体" w:eastAsia="新宋体" w:cs="新宋体"/>
          <w:color w:val="auto"/>
          <w:kern w:val="2"/>
          <w:sz w:val="21"/>
          <w:szCs w:val="21"/>
          <w:highlight w:val="none"/>
        </w:rPr>
        <w:t>（公章）</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新宋体" w:hAnsi="新宋体" w:eastAsia="新宋体" w:cs="新宋体"/>
          <w:color w:val="auto"/>
          <w:kern w:val="2"/>
          <w:sz w:val="21"/>
          <w:szCs w:val="21"/>
          <w:highlight w:val="none"/>
        </w:rPr>
      </w:pPr>
      <w:r>
        <w:rPr>
          <w:rFonts w:hint="eastAsia" w:ascii="新宋体" w:hAnsi="新宋体" w:eastAsia="新宋体" w:cs="新宋体"/>
          <w:color w:val="auto"/>
          <w:kern w:val="2"/>
          <w:sz w:val="21"/>
          <w:szCs w:val="21"/>
          <w:highlight w:val="none"/>
        </w:rPr>
        <w:t>法定代表人（或授权</w:t>
      </w:r>
      <w:r>
        <w:rPr>
          <w:rFonts w:hint="eastAsia" w:ascii="新宋体" w:hAnsi="新宋体" w:eastAsia="新宋体" w:cs="新宋体"/>
          <w:color w:val="auto"/>
          <w:kern w:val="2"/>
          <w:sz w:val="21"/>
          <w:szCs w:val="21"/>
          <w:highlight w:val="none"/>
          <w:lang w:eastAsia="zh-CN"/>
        </w:rPr>
        <w:t>代表</w:t>
      </w:r>
      <w:r>
        <w:rPr>
          <w:rFonts w:hint="eastAsia" w:ascii="新宋体" w:hAnsi="新宋体" w:eastAsia="新宋体" w:cs="新宋体"/>
          <w:color w:val="auto"/>
          <w:kern w:val="2"/>
          <w:sz w:val="21"/>
          <w:szCs w:val="21"/>
          <w:highlight w:val="none"/>
        </w:rPr>
        <w:t>）：</w:t>
      </w:r>
      <w:r>
        <w:rPr>
          <w:rFonts w:hint="eastAsia" w:ascii="新宋体" w:hAnsi="新宋体" w:eastAsia="新宋体" w:cs="新宋体"/>
          <w:color w:val="auto"/>
          <w:kern w:val="2"/>
          <w:sz w:val="21"/>
          <w:szCs w:val="21"/>
          <w:highlight w:val="none"/>
          <w:u w:val="single"/>
        </w:rPr>
        <w:t xml:space="preserve">    </w:t>
      </w:r>
      <w:r>
        <w:rPr>
          <w:rFonts w:hint="eastAsia" w:ascii="新宋体" w:hAnsi="新宋体" w:eastAsia="新宋体" w:cs="新宋体"/>
          <w:color w:val="auto"/>
          <w:kern w:val="2"/>
          <w:sz w:val="21"/>
          <w:szCs w:val="21"/>
          <w:highlight w:val="none"/>
          <w:u w:val="single"/>
          <w:lang w:val="en-US" w:eastAsia="zh-CN"/>
        </w:rPr>
        <w:t xml:space="preserve">  </w:t>
      </w:r>
      <w:r>
        <w:rPr>
          <w:rFonts w:hint="eastAsia" w:ascii="新宋体" w:hAnsi="新宋体" w:eastAsia="新宋体" w:cs="新宋体"/>
          <w:color w:val="auto"/>
          <w:kern w:val="2"/>
          <w:sz w:val="21"/>
          <w:szCs w:val="21"/>
          <w:highlight w:val="none"/>
          <w:u w:val="single"/>
        </w:rPr>
        <w:t xml:space="preserve">        </w:t>
      </w:r>
      <w:r>
        <w:rPr>
          <w:rFonts w:hint="eastAsia" w:ascii="新宋体" w:hAnsi="新宋体" w:eastAsia="新宋体" w:cs="新宋体"/>
          <w:color w:val="auto"/>
          <w:kern w:val="2"/>
          <w:sz w:val="21"/>
          <w:szCs w:val="21"/>
          <w:highlight w:val="none"/>
          <w:u w:val="single"/>
          <w:lang w:val="en-US" w:eastAsia="zh-CN"/>
        </w:rPr>
        <w:t xml:space="preserve">    </w:t>
      </w:r>
      <w:r>
        <w:rPr>
          <w:rFonts w:hint="eastAsia" w:ascii="新宋体" w:hAnsi="新宋体" w:eastAsia="新宋体" w:cs="新宋体"/>
          <w:color w:val="auto"/>
          <w:kern w:val="2"/>
          <w:sz w:val="21"/>
          <w:szCs w:val="21"/>
          <w:highlight w:val="none"/>
          <w:u w:val="single"/>
        </w:rPr>
        <w:t xml:space="preserve">   </w:t>
      </w:r>
      <w:r>
        <w:rPr>
          <w:rFonts w:hint="eastAsia" w:ascii="新宋体" w:hAnsi="新宋体" w:eastAsia="新宋体" w:cs="新宋体"/>
          <w:color w:val="auto"/>
          <w:kern w:val="2"/>
          <w:sz w:val="21"/>
          <w:szCs w:val="21"/>
          <w:highlight w:val="none"/>
        </w:rPr>
        <w:t>（</w:t>
      </w:r>
      <w:r>
        <w:rPr>
          <w:rFonts w:hint="eastAsia" w:ascii="新宋体" w:hAnsi="新宋体" w:eastAsia="新宋体" w:cs="新宋体"/>
          <w:color w:val="auto"/>
          <w:kern w:val="2"/>
          <w:sz w:val="21"/>
          <w:szCs w:val="21"/>
          <w:highlight w:val="none"/>
          <w:lang w:eastAsia="zh-CN"/>
        </w:rPr>
        <w:t>签名</w:t>
      </w:r>
      <w:r>
        <w:rPr>
          <w:rFonts w:hint="eastAsia" w:ascii="新宋体" w:hAnsi="新宋体" w:eastAsia="新宋体" w:cs="新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新宋体" w:hAnsi="新宋体" w:eastAsia="新宋体" w:cs="新宋体"/>
          <w:color w:val="auto"/>
          <w:kern w:val="2"/>
          <w:sz w:val="21"/>
          <w:szCs w:val="21"/>
          <w:highlight w:val="none"/>
        </w:rPr>
      </w:pPr>
      <w:r>
        <w:rPr>
          <w:rFonts w:hint="eastAsia" w:ascii="新宋体" w:hAnsi="新宋体" w:eastAsia="新宋体" w:cs="新宋体"/>
          <w:color w:val="auto"/>
          <w:kern w:val="2"/>
          <w:sz w:val="21"/>
          <w:szCs w:val="21"/>
          <w:highlight w:val="none"/>
        </w:rPr>
        <w:t>地    址：</w:t>
      </w:r>
      <w:r>
        <w:rPr>
          <w:rFonts w:hint="eastAsia" w:ascii="新宋体" w:hAnsi="新宋体" w:eastAsia="新宋体" w:cs="新宋体"/>
          <w:color w:val="auto"/>
          <w:kern w:val="2"/>
          <w:sz w:val="21"/>
          <w:szCs w:val="21"/>
          <w:highlight w:val="none"/>
          <w:u w:val="single"/>
        </w:rPr>
        <w:t xml:space="preserve">                                </w:t>
      </w:r>
      <w:r>
        <w:rPr>
          <w:rFonts w:hint="eastAsia" w:ascii="新宋体" w:hAnsi="新宋体" w:eastAsia="新宋体" w:cs="新宋体"/>
          <w:color w:val="auto"/>
          <w:kern w:val="2"/>
          <w:sz w:val="21"/>
          <w:szCs w:val="21"/>
          <w:highlight w:val="none"/>
          <w:u w:val="single"/>
          <w:lang w:val="en-US" w:eastAsia="zh-CN"/>
        </w:rPr>
        <w:t xml:space="preserve">          </w:t>
      </w:r>
      <w:r>
        <w:rPr>
          <w:rFonts w:hint="eastAsia" w:ascii="新宋体" w:hAnsi="新宋体" w:eastAsia="新宋体" w:cs="新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新宋体" w:hAnsi="新宋体" w:eastAsia="新宋体" w:cs="新宋体"/>
          <w:color w:val="auto"/>
          <w:kern w:val="2"/>
          <w:sz w:val="21"/>
          <w:szCs w:val="21"/>
          <w:highlight w:val="none"/>
        </w:rPr>
      </w:pPr>
      <w:r>
        <w:rPr>
          <w:rFonts w:hint="eastAsia" w:ascii="新宋体" w:hAnsi="新宋体" w:eastAsia="新宋体" w:cs="新宋体"/>
          <w:color w:val="auto"/>
          <w:kern w:val="2"/>
          <w:sz w:val="21"/>
          <w:szCs w:val="21"/>
          <w:highlight w:val="none"/>
        </w:rPr>
        <w:t>邮政编码：</w:t>
      </w:r>
      <w:r>
        <w:rPr>
          <w:rFonts w:hint="eastAsia" w:ascii="新宋体" w:hAnsi="新宋体" w:eastAsia="新宋体" w:cs="新宋体"/>
          <w:color w:val="auto"/>
          <w:kern w:val="2"/>
          <w:sz w:val="21"/>
          <w:szCs w:val="21"/>
          <w:highlight w:val="none"/>
          <w:u w:val="single"/>
        </w:rPr>
        <w:t xml:space="preserve">                                </w:t>
      </w:r>
      <w:r>
        <w:rPr>
          <w:rFonts w:hint="eastAsia" w:ascii="新宋体" w:hAnsi="新宋体" w:eastAsia="新宋体" w:cs="新宋体"/>
          <w:color w:val="auto"/>
          <w:kern w:val="2"/>
          <w:sz w:val="21"/>
          <w:szCs w:val="21"/>
          <w:highlight w:val="none"/>
          <w:u w:val="single"/>
          <w:lang w:val="en-US" w:eastAsia="zh-CN"/>
        </w:rPr>
        <w:t xml:space="preserve">          </w:t>
      </w:r>
      <w:r>
        <w:rPr>
          <w:rFonts w:hint="eastAsia" w:ascii="新宋体" w:hAnsi="新宋体" w:eastAsia="新宋体" w:cs="新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新宋体" w:hAnsi="新宋体" w:eastAsia="新宋体" w:cs="新宋体"/>
          <w:color w:val="auto"/>
          <w:kern w:val="2"/>
          <w:sz w:val="21"/>
          <w:szCs w:val="21"/>
          <w:highlight w:val="none"/>
        </w:rPr>
      </w:pPr>
      <w:r>
        <w:rPr>
          <w:rFonts w:hint="eastAsia" w:ascii="新宋体" w:hAnsi="新宋体" w:eastAsia="新宋体" w:cs="新宋体"/>
          <w:color w:val="auto"/>
          <w:kern w:val="2"/>
          <w:sz w:val="21"/>
          <w:szCs w:val="21"/>
          <w:highlight w:val="none"/>
        </w:rPr>
        <w:t>电    话：</w:t>
      </w:r>
      <w:r>
        <w:rPr>
          <w:rFonts w:hint="eastAsia" w:ascii="新宋体" w:hAnsi="新宋体" w:eastAsia="新宋体" w:cs="新宋体"/>
          <w:color w:val="auto"/>
          <w:kern w:val="2"/>
          <w:sz w:val="21"/>
          <w:szCs w:val="21"/>
          <w:highlight w:val="none"/>
          <w:u w:val="single"/>
        </w:rPr>
        <w:t xml:space="preserve">                                </w:t>
      </w:r>
      <w:r>
        <w:rPr>
          <w:rFonts w:hint="eastAsia" w:ascii="新宋体" w:hAnsi="新宋体" w:eastAsia="新宋体" w:cs="新宋体"/>
          <w:color w:val="auto"/>
          <w:kern w:val="2"/>
          <w:sz w:val="21"/>
          <w:szCs w:val="21"/>
          <w:highlight w:val="none"/>
          <w:u w:val="single"/>
          <w:lang w:val="en-US" w:eastAsia="zh-CN"/>
        </w:rPr>
        <w:t xml:space="preserve">          </w:t>
      </w:r>
      <w:r>
        <w:rPr>
          <w:rFonts w:hint="eastAsia" w:ascii="新宋体" w:hAnsi="新宋体" w:eastAsia="新宋体" w:cs="新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新宋体" w:hAnsi="新宋体" w:eastAsia="新宋体" w:cs="新宋体"/>
          <w:color w:val="auto"/>
          <w:kern w:val="2"/>
          <w:sz w:val="21"/>
          <w:szCs w:val="21"/>
          <w:highlight w:val="none"/>
        </w:rPr>
      </w:pPr>
      <w:r>
        <w:rPr>
          <w:rFonts w:hint="eastAsia" w:ascii="新宋体" w:hAnsi="新宋体" w:eastAsia="新宋体" w:cs="新宋体"/>
          <w:color w:val="auto"/>
          <w:kern w:val="2"/>
          <w:sz w:val="21"/>
          <w:szCs w:val="21"/>
          <w:highlight w:val="none"/>
        </w:rPr>
        <w:t>传    真：</w:t>
      </w:r>
      <w:r>
        <w:rPr>
          <w:rFonts w:hint="eastAsia" w:ascii="新宋体" w:hAnsi="新宋体" w:eastAsia="新宋体" w:cs="新宋体"/>
          <w:color w:val="auto"/>
          <w:kern w:val="2"/>
          <w:sz w:val="21"/>
          <w:szCs w:val="21"/>
          <w:highlight w:val="none"/>
          <w:u w:val="single"/>
        </w:rPr>
        <w:t xml:space="preserve">                                </w:t>
      </w:r>
      <w:r>
        <w:rPr>
          <w:rFonts w:hint="eastAsia" w:ascii="新宋体" w:hAnsi="新宋体" w:eastAsia="新宋体" w:cs="新宋体"/>
          <w:color w:val="auto"/>
          <w:kern w:val="2"/>
          <w:sz w:val="21"/>
          <w:szCs w:val="21"/>
          <w:highlight w:val="none"/>
          <w:u w:val="single"/>
          <w:lang w:val="en-US" w:eastAsia="zh-CN"/>
        </w:rPr>
        <w:t xml:space="preserve">          </w:t>
      </w:r>
      <w:r>
        <w:rPr>
          <w:rFonts w:hint="eastAsia" w:ascii="新宋体" w:hAnsi="新宋体" w:eastAsia="新宋体" w:cs="新宋体"/>
          <w:color w:val="auto"/>
          <w:kern w:val="2"/>
          <w:sz w:val="21"/>
          <w:szCs w:val="21"/>
          <w:highlight w:val="none"/>
        </w:rPr>
        <w:t xml:space="preserve"> </w:t>
      </w:r>
    </w:p>
    <w:p>
      <w:pPr>
        <w:spacing w:line="240" w:lineRule="auto"/>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kern w:val="2"/>
          <w:sz w:val="21"/>
          <w:szCs w:val="21"/>
          <w:highlight w:val="none"/>
        </w:rPr>
        <w:t xml:space="preserve">开立时间：    年 </w:t>
      </w:r>
      <w:r>
        <w:rPr>
          <w:rFonts w:hint="eastAsia" w:ascii="新宋体" w:hAnsi="新宋体" w:eastAsia="新宋体" w:cs="新宋体"/>
          <w:color w:val="auto"/>
          <w:kern w:val="2"/>
          <w:sz w:val="21"/>
          <w:szCs w:val="21"/>
          <w:highlight w:val="none"/>
          <w:lang w:val="en-US" w:eastAsia="zh-CN"/>
        </w:rPr>
        <w:t xml:space="preserve"> </w:t>
      </w:r>
      <w:r>
        <w:rPr>
          <w:rFonts w:hint="eastAsia" w:ascii="新宋体" w:hAnsi="新宋体" w:eastAsia="新宋体" w:cs="新宋体"/>
          <w:color w:val="auto"/>
          <w:kern w:val="2"/>
          <w:sz w:val="21"/>
          <w:szCs w:val="21"/>
          <w:highlight w:val="none"/>
        </w:rPr>
        <w:t xml:space="preserve">  月 </w:t>
      </w:r>
      <w:r>
        <w:rPr>
          <w:rFonts w:hint="eastAsia" w:ascii="新宋体" w:hAnsi="新宋体" w:eastAsia="新宋体" w:cs="新宋体"/>
          <w:color w:val="auto"/>
          <w:kern w:val="2"/>
          <w:sz w:val="21"/>
          <w:szCs w:val="21"/>
          <w:highlight w:val="none"/>
          <w:lang w:val="en-US" w:eastAsia="zh-CN"/>
        </w:rPr>
        <w:t xml:space="preserve">  </w:t>
      </w:r>
      <w:r>
        <w:rPr>
          <w:rFonts w:hint="eastAsia" w:ascii="新宋体" w:hAnsi="新宋体" w:eastAsia="新宋体" w:cs="新宋体"/>
          <w:color w:val="auto"/>
          <w:kern w:val="2"/>
          <w:sz w:val="21"/>
          <w:szCs w:val="21"/>
          <w:highlight w:val="none"/>
        </w:rPr>
        <w:t xml:space="preserve"> </w:t>
      </w:r>
      <w:r>
        <w:rPr>
          <w:rFonts w:hint="eastAsia" w:ascii="新宋体" w:hAnsi="新宋体" w:eastAsia="新宋体" w:cs="新宋体"/>
          <w:color w:val="auto"/>
          <w:kern w:val="2"/>
          <w:sz w:val="21"/>
          <w:szCs w:val="21"/>
          <w:highlight w:val="none"/>
          <w:lang w:eastAsia="zh-CN"/>
        </w:rPr>
        <w:t>日</w:t>
      </w:r>
      <w:r>
        <w:rPr>
          <w:rFonts w:hint="eastAsia" w:ascii="新宋体" w:hAnsi="新宋体" w:eastAsia="新宋体" w:cs="新宋体"/>
          <w:color w:val="auto"/>
          <w:szCs w:val="21"/>
          <w:highlight w:val="none"/>
        </w:rPr>
        <w:br w:type="page"/>
      </w:r>
    </w:p>
    <w:p>
      <w:pPr>
        <w:spacing w:line="360" w:lineRule="auto"/>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 xml:space="preserve">2. </w:t>
      </w:r>
    </w:p>
    <w:p>
      <w:pPr>
        <w:spacing w:line="360" w:lineRule="auto"/>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w:t>
      </w:r>
    </w:p>
    <w:sectPr>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方正书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新宋体">
    <w:panose1 w:val="02010609030101010101"/>
    <w:charset w:val="86"/>
    <w:family w:val="auto"/>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8"/>
      </w:rPr>
    </w:pPr>
    <w:r>
      <w:fldChar w:fldCharType="begin"/>
    </w:r>
    <w:r>
      <w:rPr>
        <w:rStyle w:val="48"/>
      </w:rPr>
      <w:instrText xml:space="preserve">PAGE  </w:instrText>
    </w:r>
    <w:r>
      <w:fldChar w:fldCharType="separate"/>
    </w:r>
    <w:r>
      <w:rPr>
        <w:rStyle w:val="48"/>
      </w:rPr>
      <w:t>- 3 -</w:t>
    </w:r>
    <w:r>
      <w:fldChar w:fldCharType="end"/>
    </w: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t xml:space="preserve">- </w:t>
    </w:r>
    <w:r>
      <w:fldChar w:fldCharType="begin"/>
    </w:r>
    <w:r>
      <w:instrText xml:space="preserve"> PAGE </w:instrText>
    </w:r>
    <w:r>
      <w:fldChar w:fldCharType="separate"/>
    </w:r>
    <w:r>
      <w:t>63</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8"/>
      </w:rPr>
    </w:pPr>
    <w:r>
      <w:fldChar w:fldCharType="begin"/>
    </w:r>
    <w:r>
      <w:rPr>
        <w:rStyle w:val="48"/>
      </w:rPr>
      <w:instrText xml:space="preserve">PAGE  </w:instrText>
    </w:r>
    <w:r>
      <w:fldChar w:fldCharType="separate"/>
    </w:r>
    <w:r>
      <w:rPr>
        <w:rStyle w:val="48"/>
      </w:rPr>
      <w:t>264</w:t>
    </w:r>
    <w:r>
      <w:fldChar w:fldCharType="end"/>
    </w:r>
  </w:p>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singleLevel"/>
    <w:tmpl w:val="0053208E"/>
    <w:lvl w:ilvl="0" w:tentative="0">
      <w:start w:val="1"/>
      <w:numFmt w:val="chineseCounting"/>
      <w:suff w:val="nothing"/>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wNDUyMTZhYTQxMDM3N2QwNjk0Njg3YWZiMDc3MjgifQ=="/>
  </w:docVars>
  <w:rsids>
    <w:rsidRoot w:val="00172A27"/>
    <w:rsid w:val="00001345"/>
    <w:rsid w:val="00001A09"/>
    <w:rsid w:val="00001B1E"/>
    <w:rsid w:val="000027C8"/>
    <w:rsid w:val="0000285A"/>
    <w:rsid w:val="00002D86"/>
    <w:rsid w:val="00003A3F"/>
    <w:rsid w:val="00005443"/>
    <w:rsid w:val="00005E79"/>
    <w:rsid w:val="000067A3"/>
    <w:rsid w:val="00014531"/>
    <w:rsid w:val="00014DF1"/>
    <w:rsid w:val="00015333"/>
    <w:rsid w:val="00015C9C"/>
    <w:rsid w:val="0001647D"/>
    <w:rsid w:val="0001650A"/>
    <w:rsid w:val="000165A8"/>
    <w:rsid w:val="0001665A"/>
    <w:rsid w:val="00017F2D"/>
    <w:rsid w:val="00020EB1"/>
    <w:rsid w:val="00021228"/>
    <w:rsid w:val="000215EB"/>
    <w:rsid w:val="00022747"/>
    <w:rsid w:val="00022F4C"/>
    <w:rsid w:val="00023AD6"/>
    <w:rsid w:val="00023B7F"/>
    <w:rsid w:val="00024492"/>
    <w:rsid w:val="00025644"/>
    <w:rsid w:val="00025750"/>
    <w:rsid w:val="0002592F"/>
    <w:rsid w:val="00025DD0"/>
    <w:rsid w:val="0002735F"/>
    <w:rsid w:val="000301A4"/>
    <w:rsid w:val="000316FE"/>
    <w:rsid w:val="00031F42"/>
    <w:rsid w:val="00032255"/>
    <w:rsid w:val="0003256A"/>
    <w:rsid w:val="00032B15"/>
    <w:rsid w:val="00033076"/>
    <w:rsid w:val="00033847"/>
    <w:rsid w:val="000347EB"/>
    <w:rsid w:val="00034B81"/>
    <w:rsid w:val="00035320"/>
    <w:rsid w:val="0003558C"/>
    <w:rsid w:val="000355D8"/>
    <w:rsid w:val="00035E2F"/>
    <w:rsid w:val="000365B0"/>
    <w:rsid w:val="0003673D"/>
    <w:rsid w:val="00037549"/>
    <w:rsid w:val="00037672"/>
    <w:rsid w:val="000407E9"/>
    <w:rsid w:val="000415C5"/>
    <w:rsid w:val="000418B4"/>
    <w:rsid w:val="000426A8"/>
    <w:rsid w:val="000426EA"/>
    <w:rsid w:val="000434B1"/>
    <w:rsid w:val="000437CD"/>
    <w:rsid w:val="00044029"/>
    <w:rsid w:val="00046EAC"/>
    <w:rsid w:val="000477EA"/>
    <w:rsid w:val="00050329"/>
    <w:rsid w:val="00050A2B"/>
    <w:rsid w:val="00050F21"/>
    <w:rsid w:val="00053B37"/>
    <w:rsid w:val="00053DC4"/>
    <w:rsid w:val="00054784"/>
    <w:rsid w:val="00054C30"/>
    <w:rsid w:val="00054D78"/>
    <w:rsid w:val="00054F64"/>
    <w:rsid w:val="0005572F"/>
    <w:rsid w:val="00057103"/>
    <w:rsid w:val="000578DC"/>
    <w:rsid w:val="00057D13"/>
    <w:rsid w:val="00061927"/>
    <w:rsid w:val="00061B42"/>
    <w:rsid w:val="0006245E"/>
    <w:rsid w:val="00062D58"/>
    <w:rsid w:val="00063C01"/>
    <w:rsid w:val="000640B5"/>
    <w:rsid w:val="000654D9"/>
    <w:rsid w:val="00065C93"/>
    <w:rsid w:val="00065F0A"/>
    <w:rsid w:val="000677BF"/>
    <w:rsid w:val="00067885"/>
    <w:rsid w:val="00067E50"/>
    <w:rsid w:val="0007009B"/>
    <w:rsid w:val="000703E1"/>
    <w:rsid w:val="00070444"/>
    <w:rsid w:val="0007082A"/>
    <w:rsid w:val="00070DB4"/>
    <w:rsid w:val="00072AEF"/>
    <w:rsid w:val="00072C40"/>
    <w:rsid w:val="0007377C"/>
    <w:rsid w:val="00073E89"/>
    <w:rsid w:val="00074445"/>
    <w:rsid w:val="00074926"/>
    <w:rsid w:val="000753AE"/>
    <w:rsid w:val="0007662F"/>
    <w:rsid w:val="00077788"/>
    <w:rsid w:val="000777DB"/>
    <w:rsid w:val="00080479"/>
    <w:rsid w:val="00080C91"/>
    <w:rsid w:val="00081E58"/>
    <w:rsid w:val="00084056"/>
    <w:rsid w:val="00084085"/>
    <w:rsid w:val="000843AE"/>
    <w:rsid w:val="00084AD3"/>
    <w:rsid w:val="00085720"/>
    <w:rsid w:val="00085DDD"/>
    <w:rsid w:val="00086F23"/>
    <w:rsid w:val="000874F6"/>
    <w:rsid w:val="00090828"/>
    <w:rsid w:val="0009083C"/>
    <w:rsid w:val="00090A07"/>
    <w:rsid w:val="00090FA6"/>
    <w:rsid w:val="00090FD7"/>
    <w:rsid w:val="000925AC"/>
    <w:rsid w:val="000927A3"/>
    <w:rsid w:val="00092F8F"/>
    <w:rsid w:val="0009358F"/>
    <w:rsid w:val="00094007"/>
    <w:rsid w:val="00095189"/>
    <w:rsid w:val="0009559A"/>
    <w:rsid w:val="00095DEF"/>
    <w:rsid w:val="000967E2"/>
    <w:rsid w:val="00096C42"/>
    <w:rsid w:val="00097C86"/>
    <w:rsid w:val="000A0398"/>
    <w:rsid w:val="000A0D3C"/>
    <w:rsid w:val="000A2AF4"/>
    <w:rsid w:val="000A2CA5"/>
    <w:rsid w:val="000A3817"/>
    <w:rsid w:val="000A41FD"/>
    <w:rsid w:val="000A4A55"/>
    <w:rsid w:val="000A569B"/>
    <w:rsid w:val="000A7403"/>
    <w:rsid w:val="000A7D07"/>
    <w:rsid w:val="000B0A2E"/>
    <w:rsid w:val="000B0F51"/>
    <w:rsid w:val="000B1596"/>
    <w:rsid w:val="000B1B81"/>
    <w:rsid w:val="000B1DE8"/>
    <w:rsid w:val="000B283B"/>
    <w:rsid w:val="000B3303"/>
    <w:rsid w:val="000B3431"/>
    <w:rsid w:val="000B489F"/>
    <w:rsid w:val="000B4C5B"/>
    <w:rsid w:val="000B5039"/>
    <w:rsid w:val="000B55BE"/>
    <w:rsid w:val="000B5C3A"/>
    <w:rsid w:val="000B5E88"/>
    <w:rsid w:val="000B6027"/>
    <w:rsid w:val="000B6648"/>
    <w:rsid w:val="000B786B"/>
    <w:rsid w:val="000C079C"/>
    <w:rsid w:val="000C0EE5"/>
    <w:rsid w:val="000C13A1"/>
    <w:rsid w:val="000C260D"/>
    <w:rsid w:val="000C30AC"/>
    <w:rsid w:val="000C4579"/>
    <w:rsid w:val="000C463E"/>
    <w:rsid w:val="000C4E06"/>
    <w:rsid w:val="000C5056"/>
    <w:rsid w:val="000C52AB"/>
    <w:rsid w:val="000C5AA2"/>
    <w:rsid w:val="000C5C93"/>
    <w:rsid w:val="000C5D12"/>
    <w:rsid w:val="000C6F15"/>
    <w:rsid w:val="000C6F2A"/>
    <w:rsid w:val="000D1F8D"/>
    <w:rsid w:val="000D21F1"/>
    <w:rsid w:val="000D252E"/>
    <w:rsid w:val="000D2ED1"/>
    <w:rsid w:val="000D3548"/>
    <w:rsid w:val="000D3551"/>
    <w:rsid w:val="000D35B5"/>
    <w:rsid w:val="000D42D0"/>
    <w:rsid w:val="000D5211"/>
    <w:rsid w:val="000D5B51"/>
    <w:rsid w:val="000D65FC"/>
    <w:rsid w:val="000D6B45"/>
    <w:rsid w:val="000D6FB3"/>
    <w:rsid w:val="000D7254"/>
    <w:rsid w:val="000D753D"/>
    <w:rsid w:val="000D76E1"/>
    <w:rsid w:val="000D7823"/>
    <w:rsid w:val="000E0DB3"/>
    <w:rsid w:val="000E10A5"/>
    <w:rsid w:val="000E1407"/>
    <w:rsid w:val="000E1A63"/>
    <w:rsid w:val="000E33CF"/>
    <w:rsid w:val="000E4C3D"/>
    <w:rsid w:val="000E6849"/>
    <w:rsid w:val="000E72B9"/>
    <w:rsid w:val="000F05AB"/>
    <w:rsid w:val="000F091D"/>
    <w:rsid w:val="000F1B68"/>
    <w:rsid w:val="000F2179"/>
    <w:rsid w:val="000F278B"/>
    <w:rsid w:val="000F2955"/>
    <w:rsid w:val="000F2C67"/>
    <w:rsid w:val="000F40C0"/>
    <w:rsid w:val="000F45C8"/>
    <w:rsid w:val="000F4BBE"/>
    <w:rsid w:val="000F50C6"/>
    <w:rsid w:val="000F51EA"/>
    <w:rsid w:val="000F5AD4"/>
    <w:rsid w:val="000F7BB7"/>
    <w:rsid w:val="000F7CF5"/>
    <w:rsid w:val="00100471"/>
    <w:rsid w:val="001019D6"/>
    <w:rsid w:val="00101E5F"/>
    <w:rsid w:val="001025D9"/>
    <w:rsid w:val="00102EBB"/>
    <w:rsid w:val="00104353"/>
    <w:rsid w:val="00105F22"/>
    <w:rsid w:val="001062D4"/>
    <w:rsid w:val="00106436"/>
    <w:rsid w:val="001066B1"/>
    <w:rsid w:val="00107DA6"/>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17B2C"/>
    <w:rsid w:val="0012046B"/>
    <w:rsid w:val="001209B5"/>
    <w:rsid w:val="00120E02"/>
    <w:rsid w:val="001214C7"/>
    <w:rsid w:val="00121F6B"/>
    <w:rsid w:val="00122362"/>
    <w:rsid w:val="0012259E"/>
    <w:rsid w:val="001228C8"/>
    <w:rsid w:val="00122C0D"/>
    <w:rsid w:val="00122D4D"/>
    <w:rsid w:val="0012481C"/>
    <w:rsid w:val="001269FF"/>
    <w:rsid w:val="001303A1"/>
    <w:rsid w:val="001303B7"/>
    <w:rsid w:val="00131D1B"/>
    <w:rsid w:val="00132B99"/>
    <w:rsid w:val="00132BF1"/>
    <w:rsid w:val="001330BB"/>
    <w:rsid w:val="001339C6"/>
    <w:rsid w:val="00134327"/>
    <w:rsid w:val="001347A9"/>
    <w:rsid w:val="00135872"/>
    <w:rsid w:val="00136173"/>
    <w:rsid w:val="00136D1E"/>
    <w:rsid w:val="001377F8"/>
    <w:rsid w:val="00137F99"/>
    <w:rsid w:val="0014084B"/>
    <w:rsid w:val="001440F2"/>
    <w:rsid w:val="00145318"/>
    <w:rsid w:val="001455A1"/>
    <w:rsid w:val="00145AE6"/>
    <w:rsid w:val="00145F46"/>
    <w:rsid w:val="001460D9"/>
    <w:rsid w:val="001466BF"/>
    <w:rsid w:val="00146976"/>
    <w:rsid w:val="00146C44"/>
    <w:rsid w:val="001477E7"/>
    <w:rsid w:val="00147FD9"/>
    <w:rsid w:val="00150025"/>
    <w:rsid w:val="00150964"/>
    <w:rsid w:val="00150A27"/>
    <w:rsid w:val="00150F2A"/>
    <w:rsid w:val="00152078"/>
    <w:rsid w:val="00154963"/>
    <w:rsid w:val="0015596B"/>
    <w:rsid w:val="00155D1F"/>
    <w:rsid w:val="001561B1"/>
    <w:rsid w:val="00157A5C"/>
    <w:rsid w:val="001600A3"/>
    <w:rsid w:val="0016132F"/>
    <w:rsid w:val="0016174D"/>
    <w:rsid w:val="00162B36"/>
    <w:rsid w:val="0016317C"/>
    <w:rsid w:val="00164DCB"/>
    <w:rsid w:val="00165642"/>
    <w:rsid w:val="00165B64"/>
    <w:rsid w:val="00165D82"/>
    <w:rsid w:val="00166C40"/>
    <w:rsid w:val="00166F24"/>
    <w:rsid w:val="00167BBE"/>
    <w:rsid w:val="00171489"/>
    <w:rsid w:val="001721A5"/>
    <w:rsid w:val="0017293A"/>
    <w:rsid w:val="00172A27"/>
    <w:rsid w:val="00172DEA"/>
    <w:rsid w:val="00172F37"/>
    <w:rsid w:val="00174134"/>
    <w:rsid w:val="001745A8"/>
    <w:rsid w:val="00175461"/>
    <w:rsid w:val="00176A64"/>
    <w:rsid w:val="00176B11"/>
    <w:rsid w:val="00176C6C"/>
    <w:rsid w:val="00177E29"/>
    <w:rsid w:val="00177F0D"/>
    <w:rsid w:val="00177F8E"/>
    <w:rsid w:val="001806AD"/>
    <w:rsid w:val="00181796"/>
    <w:rsid w:val="001818BD"/>
    <w:rsid w:val="0018204B"/>
    <w:rsid w:val="00182F9F"/>
    <w:rsid w:val="00184528"/>
    <w:rsid w:val="00184AF6"/>
    <w:rsid w:val="001862DC"/>
    <w:rsid w:val="00186401"/>
    <w:rsid w:val="00186442"/>
    <w:rsid w:val="001866A1"/>
    <w:rsid w:val="001923EA"/>
    <w:rsid w:val="00192735"/>
    <w:rsid w:val="00192FBA"/>
    <w:rsid w:val="00193696"/>
    <w:rsid w:val="00193EC6"/>
    <w:rsid w:val="0019411E"/>
    <w:rsid w:val="001947FB"/>
    <w:rsid w:val="00195720"/>
    <w:rsid w:val="001958B9"/>
    <w:rsid w:val="00196CDD"/>
    <w:rsid w:val="001975C9"/>
    <w:rsid w:val="001A065E"/>
    <w:rsid w:val="001A189F"/>
    <w:rsid w:val="001A293D"/>
    <w:rsid w:val="001A2A77"/>
    <w:rsid w:val="001A3908"/>
    <w:rsid w:val="001A3A5A"/>
    <w:rsid w:val="001A4457"/>
    <w:rsid w:val="001A5133"/>
    <w:rsid w:val="001A5EA1"/>
    <w:rsid w:val="001A6DCB"/>
    <w:rsid w:val="001A773A"/>
    <w:rsid w:val="001A77C4"/>
    <w:rsid w:val="001A7BE0"/>
    <w:rsid w:val="001B15C6"/>
    <w:rsid w:val="001B17D1"/>
    <w:rsid w:val="001B229E"/>
    <w:rsid w:val="001B2B2F"/>
    <w:rsid w:val="001B2DEF"/>
    <w:rsid w:val="001B412E"/>
    <w:rsid w:val="001B4136"/>
    <w:rsid w:val="001B45EF"/>
    <w:rsid w:val="001B48E0"/>
    <w:rsid w:val="001B4D7D"/>
    <w:rsid w:val="001B5125"/>
    <w:rsid w:val="001B5B97"/>
    <w:rsid w:val="001B6AA4"/>
    <w:rsid w:val="001C023F"/>
    <w:rsid w:val="001C02D5"/>
    <w:rsid w:val="001C0500"/>
    <w:rsid w:val="001C059B"/>
    <w:rsid w:val="001C0B84"/>
    <w:rsid w:val="001C1192"/>
    <w:rsid w:val="001C1E56"/>
    <w:rsid w:val="001C28B3"/>
    <w:rsid w:val="001C2CF6"/>
    <w:rsid w:val="001C4064"/>
    <w:rsid w:val="001C49F4"/>
    <w:rsid w:val="001C71D7"/>
    <w:rsid w:val="001D0F66"/>
    <w:rsid w:val="001D125F"/>
    <w:rsid w:val="001D16DA"/>
    <w:rsid w:val="001D17FB"/>
    <w:rsid w:val="001D2271"/>
    <w:rsid w:val="001D23D8"/>
    <w:rsid w:val="001D251C"/>
    <w:rsid w:val="001D3B3D"/>
    <w:rsid w:val="001D42FF"/>
    <w:rsid w:val="001D4381"/>
    <w:rsid w:val="001D47CF"/>
    <w:rsid w:val="001D4A3E"/>
    <w:rsid w:val="001D4B38"/>
    <w:rsid w:val="001D6225"/>
    <w:rsid w:val="001D6439"/>
    <w:rsid w:val="001D6D8C"/>
    <w:rsid w:val="001D7E9C"/>
    <w:rsid w:val="001E054D"/>
    <w:rsid w:val="001E0FAD"/>
    <w:rsid w:val="001E1308"/>
    <w:rsid w:val="001E1520"/>
    <w:rsid w:val="001E19DD"/>
    <w:rsid w:val="001E19F9"/>
    <w:rsid w:val="001E2C16"/>
    <w:rsid w:val="001E394D"/>
    <w:rsid w:val="001E39AA"/>
    <w:rsid w:val="001E3AAF"/>
    <w:rsid w:val="001E3D84"/>
    <w:rsid w:val="001E4F0E"/>
    <w:rsid w:val="001E594C"/>
    <w:rsid w:val="001E6BFA"/>
    <w:rsid w:val="001E6F59"/>
    <w:rsid w:val="001F07E9"/>
    <w:rsid w:val="001F0D0C"/>
    <w:rsid w:val="001F11F5"/>
    <w:rsid w:val="001F12EE"/>
    <w:rsid w:val="001F24B9"/>
    <w:rsid w:val="001F31AC"/>
    <w:rsid w:val="001F3815"/>
    <w:rsid w:val="001F3DB0"/>
    <w:rsid w:val="001F3E77"/>
    <w:rsid w:val="001F57A7"/>
    <w:rsid w:val="001F5A67"/>
    <w:rsid w:val="001F6B1B"/>
    <w:rsid w:val="001F7FF6"/>
    <w:rsid w:val="00200EBF"/>
    <w:rsid w:val="00204651"/>
    <w:rsid w:val="00204D75"/>
    <w:rsid w:val="002050D7"/>
    <w:rsid w:val="002051B0"/>
    <w:rsid w:val="00205225"/>
    <w:rsid w:val="00205413"/>
    <w:rsid w:val="00205AEF"/>
    <w:rsid w:val="00205D72"/>
    <w:rsid w:val="0020686F"/>
    <w:rsid w:val="002076AA"/>
    <w:rsid w:val="0021027A"/>
    <w:rsid w:val="00212A14"/>
    <w:rsid w:val="00214D7A"/>
    <w:rsid w:val="00214D88"/>
    <w:rsid w:val="00215286"/>
    <w:rsid w:val="00215906"/>
    <w:rsid w:val="002159C6"/>
    <w:rsid w:val="00215A2A"/>
    <w:rsid w:val="00215CE0"/>
    <w:rsid w:val="00215DA1"/>
    <w:rsid w:val="00216156"/>
    <w:rsid w:val="0021687E"/>
    <w:rsid w:val="002168E9"/>
    <w:rsid w:val="0021733C"/>
    <w:rsid w:val="002207FA"/>
    <w:rsid w:val="00221627"/>
    <w:rsid w:val="00221E51"/>
    <w:rsid w:val="00221F8E"/>
    <w:rsid w:val="00221FE1"/>
    <w:rsid w:val="002220C5"/>
    <w:rsid w:val="00222689"/>
    <w:rsid w:val="00223852"/>
    <w:rsid w:val="00223ADA"/>
    <w:rsid w:val="002245B9"/>
    <w:rsid w:val="00224A21"/>
    <w:rsid w:val="00225099"/>
    <w:rsid w:val="002250CA"/>
    <w:rsid w:val="0022607A"/>
    <w:rsid w:val="00226152"/>
    <w:rsid w:val="00226456"/>
    <w:rsid w:val="002264D0"/>
    <w:rsid w:val="002270BE"/>
    <w:rsid w:val="00232211"/>
    <w:rsid w:val="002329B7"/>
    <w:rsid w:val="00232AD2"/>
    <w:rsid w:val="002330FC"/>
    <w:rsid w:val="002343A7"/>
    <w:rsid w:val="0023462F"/>
    <w:rsid w:val="00234BF0"/>
    <w:rsid w:val="00235CE8"/>
    <w:rsid w:val="002369E6"/>
    <w:rsid w:val="00237DCC"/>
    <w:rsid w:val="00237DD3"/>
    <w:rsid w:val="00237F17"/>
    <w:rsid w:val="0024052C"/>
    <w:rsid w:val="002410BB"/>
    <w:rsid w:val="0024122A"/>
    <w:rsid w:val="00241889"/>
    <w:rsid w:val="00243253"/>
    <w:rsid w:val="002432CD"/>
    <w:rsid w:val="002476F0"/>
    <w:rsid w:val="00247DA6"/>
    <w:rsid w:val="00251F81"/>
    <w:rsid w:val="0025253B"/>
    <w:rsid w:val="002526AC"/>
    <w:rsid w:val="00252997"/>
    <w:rsid w:val="002534E3"/>
    <w:rsid w:val="00253DE9"/>
    <w:rsid w:val="00254512"/>
    <w:rsid w:val="00254725"/>
    <w:rsid w:val="002555DD"/>
    <w:rsid w:val="002555E1"/>
    <w:rsid w:val="00255C94"/>
    <w:rsid w:val="00257031"/>
    <w:rsid w:val="00257CB4"/>
    <w:rsid w:val="002603C8"/>
    <w:rsid w:val="0026138C"/>
    <w:rsid w:val="00262012"/>
    <w:rsid w:val="00263DE8"/>
    <w:rsid w:val="0026466E"/>
    <w:rsid w:val="00264D7B"/>
    <w:rsid w:val="00264EBF"/>
    <w:rsid w:val="00265DD9"/>
    <w:rsid w:val="002667EA"/>
    <w:rsid w:val="00266C56"/>
    <w:rsid w:val="00267A99"/>
    <w:rsid w:val="002702C1"/>
    <w:rsid w:val="0027264B"/>
    <w:rsid w:val="002736CE"/>
    <w:rsid w:val="002742E2"/>
    <w:rsid w:val="00274CFD"/>
    <w:rsid w:val="00274ED6"/>
    <w:rsid w:val="002752C6"/>
    <w:rsid w:val="002755EF"/>
    <w:rsid w:val="0027586B"/>
    <w:rsid w:val="00276BC6"/>
    <w:rsid w:val="00276C59"/>
    <w:rsid w:val="0027792D"/>
    <w:rsid w:val="00281357"/>
    <w:rsid w:val="00282A25"/>
    <w:rsid w:val="00282F72"/>
    <w:rsid w:val="002830A8"/>
    <w:rsid w:val="00283515"/>
    <w:rsid w:val="00283721"/>
    <w:rsid w:val="00283BAD"/>
    <w:rsid w:val="0028466A"/>
    <w:rsid w:val="002846E8"/>
    <w:rsid w:val="002849BD"/>
    <w:rsid w:val="00284F98"/>
    <w:rsid w:val="0028561D"/>
    <w:rsid w:val="00285FF7"/>
    <w:rsid w:val="002860F1"/>
    <w:rsid w:val="002907E7"/>
    <w:rsid w:val="00291148"/>
    <w:rsid w:val="00292278"/>
    <w:rsid w:val="00295263"/>
    <w:rsid w:val="0029555F"/>
    <w:rsid w:val="00295590"/>
    <w:rsid w:val="0029631A"/>
    <w:rsid w:val="00297BEE"/>
    <w:rsid w:val="002A05DC"/>
    <w:rsid w:val="002A0F20"/>
    <w:rsid w:val="002A104F"/>
    <w:rsid w:val="002A13A2"/>
    <w:rsid w:val="002A3274"/>
    <w:rsid w:val="002A32D9"/>
    <w:rsid w:val="002A3CF1"/>
    <w:rsid w:val="002A59B9"/>
    <w:rsid w:val="002A5E8D"/>
    <w:rsid w:val="002A68CD"/>
    <w:rsid w:val="002B13CB"/>
    <w:rsid w:val="002B14EA"/>
    <w:rsid w:val="002B1854"/>
    <w:rsid w:val="002B1A51"/>
    <w:rsid w:val="002B2AE1"/>
    <w:rsid w:val="002B3159"/>
    <w:rsid w:val="002B3A8F"/>
    <w:rsid w:val="002B3E1F"/>
    <w:rsid w:val="002B4646"/>
    <w:rsid w:val="002B5324"/>
    <w:rsid w:val="002B5C76"/>
    <w:rsid w:val="002B5C91"/>
    <w:rsid w:val="002B5F4B"/>
    <w:rsid w:val="002B6603"/>
    <w:rsid w:val="002B6F5F"/>
    <w:rsid w:val="002C0828"/>
    <w:rsid w:val="002C124B"/>
    <w:rsid w:val="002C1A0B"/>
    <w:rsid w:val="002C33AF"/>
    <w:rsid w:val="002C370D"/>
    <w:rsid w:val="002C3B75"/>
    <w:rsid w:val="002C450A"/>
    <w:rsid w:val="002C47E9"/>
    <w:rsid w:val="002C4E26"/>
    <w:rsid w:val="002C4E6C"/>
    <w:rsid w:val="002C5092"/>
    <w:rsid w:val="002C54BF"/>
    <w:rsid w:val="002C5519"/>
    <w:rsid w:val="002C59CD"/>
    <w:rsid w:val="002C67E5"/>
    <w:rsid w:val="002C6D0D"/>
    <w:rsid w:val="002C6F5D"/>
    <w:rsid w:val="002D0639"/>
    <w:rsid w:val="002D08F4"/>
    <w:rsid w:val="002D097F"/>
    <w:rsid w:val="002D0D0C"/>
    <w:rsid w:val="002D1258"/>
    <w:rsid w:val="002D13E8"/>
    <w:rsid w:val="002D2807"/>
    <w:rsid w:val="002D2D97"/>
    <w:rsid w:val="002D3BDF"/>
    <w:rsid w:val="002D426C"/>
    <w:rsid w:val="002D4721"/>
    <w:rsid w:val="002D472F"/>
    <w:rsid w:val="002D4803"/>
    <w:rsid w:val="002D6CDA"/>
    <w:rsid w:val="002D6EFD"/>
    <w:rsid w:val="002E0D86"/>
    <w:rsid w:val="002E16AE"/>
    <w:rsid w:val="002E1795"/>
    <w:rsid w:val="002E1871"/>
    <w:rsid w:val="002E1A25"/>
    <w:rsid w:val="002E1C38"/>
    <w:rsid w:val="002E3521"/>
    <w:rsid w:val="002E37F4"/>
    <w:rsid w:val="002E43A5"/>
    <w:rsid w:val="002E5665"/>
    <w:rsid w:val="002E7318"/>
    <w:rsid w:val="002E7617"/>
    <w:rsid w:val="002E7C56"/>
    <w:rsid w:val="002E7D8E"/>
    <w:rsid w:val="002F0408"/>
    <w:rsid w:val="002F06FF"/>
    <w:rsid w:val="002F210E"/>
    <w:rsid w:val="002F27B6"/>
    <w:rsid w:val="002F2B50"/>
    <w:rsid w:val="002F3CDE"/>
    <w:rsid w:val="002F405F"/>
    <w:rsid w:val="002F491B"/>
    <w:rsid w:val="002F4953"/>
    <w:rsid w:val="002F4ACB"/>
    <w:rsid w:val="002F7430"/>
    <w:rsid w:val="002F777B"/>
    <w:rsid w:val="00300191"/>
    <w:rsid w:val="00300414"/>
    <w:rsid w:val="00300578"/>
    <w:rsid w:val="00300AAF"/>
    <w:rsid w:val="00300F8D"/>
    <w:rsid w:val="00304FC4"/>
    <w:rsid w:val="003059F4"/>
    <w:rsid w:val="0030689E"/>
    <w:rsid w:val="003068D7"/>
    <w:rsid w:val="003071B2"/>
    <w:rsid w:val="00307599"/>
    <w:rsid w:val="003075B8"/>
    <w:rsid w:val="00310399"/>
    <w:rsid w:val="00310D8D"/>
    <w:rsid w:val="0031445A"/>
    <w:rsid w:val="003149F6"/>
    <w:rsid w:val="00315977"/>
    <w:rsid w:val="00316368"/>
    <w:rsid w:val="003174B4"/>
    <w:rsid w:val="0032047A"/>
    <w:rsid w:val="00320939"/>
    <w:rsid w:val="00320F9D"/>
    <w:rsid w:val="00321B76"/>
    <w:rsid w:val="00321BBE"/>
    <w:rsid w:val="00323813"/>
    <w:rsid w:val="00325077"/>
    <w:rsid w:val="0032515F"/>
    <w:rsid w:val="003253BE"/>
    <w:rsid w:val="00325C89"/>
    <w:rsid w:val="0032679D"/>
    <w:rsid w:val="00326D1D"/>
    <w:rsid w:val="00327D78"/>
    <w:rsid w:val="00327D80"/>
    <w:rsid w:val="00327DF9"/>
    <w:rsid w:val="00327E48"/>
    <w:rsid w:val="003302F7"/>
    <w:rsid w:val="00332437"/>
    <w:rsid w:val="00332A1C"/>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735"/>
    <w:rsid w:val="00343F87"/>
    <w:rsid w:val="00345DCC"/>
    <w:rsid w:val="00346101"/>
    <w:rsid w:val="00346CAB"/>
    <w:rsid w:val="00347C24"/>
    <w:rsid w:val="00347EB1"/>
    <w:rsid w:val="003508F6"/>
    <w:rsid w:val="00351DDB"/>
    <w:rsid w:val="00351FF3"/>
    <w:rsid w:val="00352B90"/>
    <w:rsid w:val="00353231"/>
    <w:rsid w:val="00353F39"/>
    <w:rsid w:val="00354D6E"/>
    <w:rsid w:val="0035514C"/>
    <w:rsid w:val="00356084"/>
    <w:rsid w:val="003568C0"/>
    <w:rsid w:val="00356E07"/>
    <w:rsid w:val="0036056A"/>
    <w:rsid w:val="003639E8"/>
    <w:rsid w:val="003642D2"/>
    <w:rsid w:val="0036450C"/>
    <w:rsid w:val="00364574"/>
    <w:rsid w:val="0036468B"/>
    <w:rsid w:val="0036546D"/>
    <w:rsid w:val="003664C3"/>
    <w:rsid w:val="003675A1"/>
    <w:rsid w:val="0036773D"/>
    <w:rsid w:val="00367FEB"/>
    <w:rsid w:val="003711C1"/>
    <w:rsid w:val="00371BC3"/>
    <w:rsid w:val="00371CBE"/>
    <w:rsid w:val="00372C24"/>
    <w:rsid w:val="00372C38"/>
    <w:rsid w:val="00372C9E"/>
    <w:rsid w:val="0037332F"/>
    <w:rsid w:val="00373AD4"/>
    <w:rsid w:val="0037428F"/>
    <w:rsid w:val="00374539"/>
    <w:rsid w:val="003747BD"/>
    <w:rsid w:val="00374DD5"/>
    <w:rsid w:val="0037591D"/>
    <w:rsid w:val="00376E05"/>
    <w:rsid w:val="0037720A"/>
    <w:rsid w:val="003774FC"/>
    <w:rsid w:val="00377F5B"/>
    <w:rsid w:val="0038006D"/>
    <w:rsid w:val="00381EB9"/>
    <w:rsid w:val="0038206D"/>
    <w:rsid w:val="00383A81"/>
    <w:rsid w:val="00383D6A"/>
    <w:rsid w:val="00384693"/>
    <w:rsid w:val="00385DC1"/>
    <w:rsid w:val="00385F02"/>
    <w:rsid w:val="0038641A"/>
    <w:rsid w:val="00386DED"/>
    <w:rsid w:val="0038719C"/>
    <w:rsid w:val="00390E97"/>
    <w:rsid w:val="003924AE"/>
    <w:rsid w:val="00392E76"/>
    <w:rsid w:val="00393BF6"/>
    <w:rsid w:val="00393F1C"/>
    <w:rsid w:val="00393F6E"/>
    <w:rsid w:val="00394276"/>
    <w:rsid w:val="00394BA4"/>
    <w:rsid w:val="0039597A"/>
    <w:rsid w:val="0039697D"/>
    <w:rsid w:val="00396DAE"/>
    <w:rsid w:val="0039750E"/>
    <w:rsid w:val="00397618"/>
    <w:rsid w:val="00397731"/>
    <w:rsid w:val="00397EA7"/>
    <w:rsid w:val="003A1350"/>
    <w:rsid w:val="003A17CE"/>
    <w:rsid w:val="003A1920"/>
    <w:rsid w:val="003A1A61"/>
    <w:rsid w:val="003A2C3E"/>
    <w:rsid w:val="003A2D49"/>
    <w:rsid w:val="003A3487"/>
    <w:rsid w:val="003A5228"/>
    <w:rsid w:val="003A583A"/>
    <w:rsid w:val="003A591A"/>
    <w:rsid w:val="003A5F2B"/>
    <w:rsid w:val="003A722D"/>
    <w:rsid w:val="003B01FB"/>
    <w:rsid w:val="003B0557"/>
    <w:rsid w:val="003B0E02"/>
    <w:rsid w:val="003B0FDA"/>
    <w:rsid w:val="003B1656"/>
    <w:rsid w:val="003B231B"/>
    <w:rsid w:val="003B3157"/>
    <w:rsid w:val="003B3FC0"/>
    <w:rsid w:val="003B4786"/>
    <w:rsid w:val="003B56E2"/>
    <w:rsid w:val="003B5926"/>
    <w:rsid w:val="003B602A"/>
    <w:rsid w:val="003B71D0"/>
    <w:rsid w:val="003B7450"/>
    <w:rsid w:val="003C2C74"/>
    <w:rsid w:val="003C3055"/>
    <w:rsid w:val="003C3EAC"/>
    <w:rsid w:val="003C4015"/>
    <w:rsid w:val="003C45E6"/>
    <w:rsid w:val="003C4A67"/>
    <w:rsid w:val="003C568C"/>
    <w:rsid w:val="003C56E9"/>
    <w:rsid w:val="003C63A8"/>
    <w:rsid w:val="003C6725"/>
    <w:rsid w:val="003C6F78"/>
    <w:rsid w:val="003C703E"/>
    <w:rsid w:val="003C7107"/>
    <w:rsid w:val="003D0D2D"/>
    <w:rsid w:val="003D16A1"/>
    <w:rsid w:val="003D16F1"/>
    <w:rsid w:val="003D1778"/>
    <w:rsid w:val="003D1B5E"/>
    <w:rsid w:val="003D28A5"/>
    <w:rsid w:val="003D30C9"/>
    <w:rsid w:val="003D472B"/>
    <w:rsid w:val="003D4F91"/>
    <w:rsid w:val="003D5092"/>
    <w:rsid w:val="003D6240"/>
    <w:rsid w:val="003D7A99"/>
    <w:rsid w:val="003D7D65"/>
    <w:rsid w:val="003E007A"/>
    <w:rsid w:val="003E09C9"/>
    <w:rsid w:val="003E0CFA"/>
    <w:rsid w:val="003E0D77"/>
    <w:rsid w:val="003E0DA2"/>
    <w:rsid w:val="003E11B1"/>
    <w:rsid w:val="003E11D8"/>
    <w:rsid w:val="003E1873"/>
    <w:rsid w:val="003E25CD"/>
    <w:rsid w:val="003E25DA"/>
    <w:rsid w:val="003E2BDE"/>
    <w:rsid w:val="003E2F13"/>
    <w:rsid w:val="003E3005"/>
    <w:rsid w:val="003E3092"/>
    <w:rsid w:val="003E386C"/>
    <w:rsid w:val="003E44BC"/>
    <w:rsid w:val="003E509B"/>
    <w:rsid w:val="003E60A8"/>
    <w:rsid w:val="003E6141"/>
    <w:rsid w:val="003E620D"/>
    <w:rsid w:val="003E6F86"/>
    <w:rsid w:val="003F111F"/>
    <w:rsid w:val="003F1441"/>
    <w:rsid w:val="003F1A7F"/>
    <w:rsid w:val="003F330F"/>
    <w:rsid w:val="003F36C9"/>
    <w:rsid w:val="003F43BB"/>
    <w:rsid w:val="003F441E"/>
    <w:rsid w:val="003F4A7C"/>
    <w:rsid w:val="003F5144"/>
    <w:rsid w:val="003F584D"/>
    <w:rsid w:val="003F5DC0"/>
    <w:rsid w:val="003F73B2"/>
    <w:rsid w:val="00400538"/>
    <w:rsid w:val="0040067C"/>
    <w:rsid w:val="004012CF"/>
    <w:rsid w:val="0040177F"/>
    <w:rsid w:val="00401801"/>
    <w:rsid w:val="00402034"/>
    <w:rsid w:val="00402AC1"/>
    <w:rsid w:val="00402FB4"/>
    <w:rsid w:val="004032FE"/>
    <w:rsid w:val="00403576"/>
    <w:rsid w:val="00403A5F"/>
    <w:rsid w:val="00404A4F"/>
    <w:rsid w:val="00405414"/>
    <w:rsid w:val="004058F1"/>
    <w:rsid w:val="00405B47"/>
    <w:rsid w:val="00406172"/>
    <w:rsid w:val="004061C3"/>
    <w:rsid w:val="0040716B"/>
    <w:rsid w:val="00407301"/>
    <w:rsid w:val="00407985"/>
    <w:rsid w:val="00410BE9"/>
    <w:rsid w:val="004117D4"/>
    <w:rsid w:val="00411C6C"/>
    <w:rsid w:val="004133BA"/>
    <w:rsid w:val="00413638"/>
    <w:rsid w:val="00413B4D"/>
    <w:rsid w:val="00413ED4"/>
    <w:rsid w:val="00414B0A"/>
    <w:rsid w:val="00414B6F"/>
    <w:rsid w:val="00414DD6"/>
    <w:rsid w:val="004159EE"/>
    <w:rsid w:val="0041663C"/>
    <w:rsid w:val="00417D6B"/>
    <w:rsid w:val="00422EB1"/>
    <w:rsid w:val="00422F2E"/>
    <w:rsid w:val="0042336B"/>
    <w:rsid w:val="004237E6"/>
    <w:rsid w:val="00424573"/>
    <w:rsid w:val="00425258"/>
    <w:rsid w:val="0042547A"/>
    <w:rsid w:val="0042551A"/>
    <w:rsid w:val="00425FAD"/>
    <w:rsid w:val="00426C16"/>
    <w:rsid w:val="00426CCD"/>
    <w:rsid w:val="00426F2C"/>
    <w:rsid w:val="00426F58"/>
    <w:rsid w:val="0042720C"/>
    <w:rsid w:val="004307C5"/>
    <w:rsid w:val="00430AD8"/>
    <w:rsid w:val="00430E04"/>
    <w:rsid w:val="00433728"/>
    <w:rsid w:val="004338FB"/>
    <w:rsid w:val="00433CB6"/>
    <w:rsid w:val="00434569"/>
    <w:rsid w:val="00434775"/>
    <w:rsid w:val="00436264"/>
    <w:rsid w:val="0043688D"/>
    <w:rsid w:val="0044016F"/>
    <w:rsid w:val="004403BC"/>
    <w:rsid w:val="00440C8E"/>
    <w:rsid w:val="004411B0"/>
    <w:rsid w:val="0044183D"/>
    <w:rsid w:val="00441862"/>
    <w:rsid w:val="004422F3"/>
    <w:rsid w:val="004424D6"/>
    <w:rsid w:val="004426D5"/>
    <w:rsid w:val="00442B64"/>
    <w:rsid w:val="004437A8"/>
    <w:rsid w:val="00443AA8"/>
    <w:rsid w:val="00444AFB"/>
    <w:rsid w:val="00444F38"/>
    <w:rsid w:val="00445781"/>
    <w:rsid w:val="004468EF"/>
    <w:rsid w:val="00446F78"/>
    <w:rsid w:val="00450535"/>
    <w:rsid w:val="00450551"/>
    <w:rsid w:val="00450E73"/>
    <w:rsid w:val="00451333"/>
    <w:rsid w:val="00451AD8"/>
    <w:rsid w:val="00452BA8"/>
    <w:rsid w:val="00452C04"/>
    <w:rsid w:val="00452C3B"/>
    <w:rsid w:val="00453AEE"/>
    <w:rsid w:val="0045516B"/>
    <w:rsid w:val="00455783"/>
    <w:rsid w:val="00455C4E"/>
    <w:rsid w:val="00456C7D"/>
    <w:rsid w:val="00457C26"/>
    <w:rsid w:val="004607DA"/>
    <w:rsid w:val="00460A63"/>
    <w:rsid w:val="004611AB"/>
    <w:rsid w:val="00461886"/>
    <w:rsid w:val="004628A4"/>
    <w:rsid w:val="00462A0F"/>
    <w:rsid w:val="004645C9"/>
    <w:rsid w:val="00464BDB"/>
    <w:rsid w:val="00464FEE"/>
    <w:rsid w:val="004657E9"/>
    <w:rsid w:val="00465B8F"/>
    <w:rsid w:val="00465BC5"/>
    <w:rsid w:val="00467813"/>
    <w:rsid w:val="004704EB"/>
    <w:rsid w:val="00470B02"/>
    <w:rsid w:val="00470D29"/>
    <w:rsid w:val="004738CC"/>
    <w:rsid w:val="00473922"/>
    <w:rsid w:val="00473BE0"/>
    <w:rsid w:val="004742F2"/>
    <w:rsid w:val="004749A9"/>
    <w:rsid w:val="00474B56"/>
    <w:rsid w:val="00474B70"/>
    <w:rsid w:val="004750DD"/>
    <w:rsid w:val="0047645E"/>
    <w:rsid w:val="004779E1"/>
    <w:rsid w:val="00477CA6"/>
    <w:rsid w:val="00477F89"/>
    <w:rsid w:val="0048030D"/>
    <w:rsid w:val="004806FB"/>
    <w:rsid w:val="004807F6"/>
    <w:rsid w:val="00480C5C"/>
    <w:rsid w:val="00480F9B"/>
    <w:rsid w:val="004815B3"/>
    <w:rsid w:val="004815E1"/>
    <w:rsid w:val="004824CC"/>
    <w:rsid w:val="00482F64"/>
    <w:rsid w:val="00482FF5"/>
    <w:rsid w:val="0048533A"/>
    <w:rsid w:val="004861E3"/>
    <w:rsid w:val="004864EC"/>
    <w:rsid w:val="00486E1F"/>
    <w:rsid w:val="00487255"/>
    <w:rsid w:val="004877A9"/>
    <w:rsid w:val="00491E53"/>
    <w:rsid w:val="0049221E"/>
    <w:rsid w:val="0049286D"/>
    <w:rsid w:val="00492C5B"/>
    <w:rsid w:val="0049312E"/>
    <w:rsid w:val="004933BA"/>
    <w:rsid w:val="00493CD1"/>
    <w:rsid w:val="00494084"/>
    <w:rsid w:val="004944CE"/>
    <w:rsid w:val="00494BCE"/>
    <w:rsid w:val="0049512D"/>
    <w:rsid w:val="0049547D"/>
    <w:rsid w:val="004956F3"/>
    <w:rsid w:val="00496A42"/>
    <w:rsid w:val="00497B07"/>
    <w:rsid w:val="00497F32"/>
    <w:rsid w:val="004A0046"/>
    <w:rsid w:val="004A14A9"/>
    <w:rsid w:val="004A195A"/>
    <w:rsid w:val="004A2078"/>
    <w:rsid w:val="004A2959"/>
    <w:rsid w:val="004A3BE1"/>
    <w:rsid w:val="004A45C0"/>
    <w:rsid w:val="004A46D2"/>
    <w:rsid w:val="004A4B79"/>
    <w:rsid w:val="004A5051"/>
    <w:rsid w:val="004A7153"/>
    <w:rsid w:val="004A7948"/>
    <w:rsid w:val="004A7ADA"/>
    <w:rsid w:val="004B04F6"/>
    <w:rsid w:val="004B0657"/>
    <w:rsid w:val="004B134A"/>
    <w:rsid w:val="004B147C"/>
    <w:rsid w:val="004B256E"/>
    <w:rsid w:val="004B2D58"/>
    <w:rsid w:val="004B53F7"/>
    <w:rsid w:val="004B709E"/>
    <w:rsid w:val="004C0B6B"/>
    <w:rsid w:val="004C0FA9"/>
    <w:rsid w:val="004C1884"/>
    <w:rsid w:val="004C1AFC"/>
    <w:rsid w:val="004C3A86"/>
    <w:rsid w:val="004C52F8"/>
    <w:rsid w:val="004C552D"/>
    <w:rsid w:val="004C5E6B"/>
    <w:rsid w:val="004C6663"/>
    <w:rsid w:val="004C70BF"/>
    <w:rsid w:val="004D011B"/>
    <w:rsid w:val="004D0B12"/>
    <w:rsid w:val="004D0F84"/>
    <w:rsid w:val="004D1CA0"/>
    <w:rsid w:val="004D23CC"/>
    <w:rsid w:val="004D2C26"/>
    <w:rsid w:val="004D3D5B"/>
    <w:rsid w:val="004D51D6"/>
    <w:rsid w:val="004D62A4"/>
    <w:rsid w:val="004D646A"/>
    <w:rsid w:val="004D6CB7"/>
    <w:rsid w:val="004D7170"/>
    <w:rsid w:val="004D786D"/>
    <w:rsid w:val="004D79D7"/>
    <w:rsid w:val="004E104C"/>
    <w:rsid w:val="004E20A4"/>
    <w:rsid w:val="004E25EB"/>
    <w:rsid w:val="004E2FF4"/>
    <w:rsid w:val="004E37B5"/>
    <w:rsid w:val="004E3C1F"/>
    <w:rsid w:val="004E42F1"/>
    <w:rsid w:val="004E4817"/>
    <w:rsid w:val="004E5189"/>
    <w:rsid w:val="004E5C08"/>
    <w:rsid w:val="004E61F6"/>
    <w:rsid w:val="004E6478"/>
    <w:rsid w:val="004E670B"/>
    <w:rsid w:val="004E6B0B"/>
    <w:rsid w:val="004E755F"/>
    <w:rsid w:val="004E79D0"/>
    <w:rsid w:val="004F18EA"/>
    <w:rsid w:val="004F210D"/>
    <w:rsid w:val="004F22A2"/>
    <w:rsid w:val="004F2678"/>
    <w:rsid w:val="004F2D46"/>
    <w:rsid w:val="004F2DD9"/>
    <w:rsid w:val="004F4D07"/>
    <w:rsid w:val="004F58BD"/>
    <w:rsid w:val="004F6936"/>
    <w:rsid w:val="004F6BD5"/>
    <w:rsid w:val="004F74C3"/>
    <w:rsid w:val="004F7829"/>
    <w:rsid w:val="004F7B94"/>
    <w:rsid w:val="00500041"/>
    <w:rsid w:val="00500514"/>
    <w:rsid w:val="005005B7"/>
    <w:rsid w:val="0050073E"/>
    <w:rsid w:val="0050188D"/>
    <w:rsid w:val="0050241E"/>
    <w:rsid w:val="0050246E"/>
    <w:rsid w:val="005024B2"/>
    <w:rsid w:val="005041DF"/>
    <w:rsid w:val="00504207"/>
    <w:rsid w:val="005049DE"/>
    <w:rsid w:val="00504DDF"/>
    <w:rsid w:val="0050543E"/>
    <w:rsid w:val="00505AFF"/>
    <w:rsid w:val="00505C40"/>
    <w:rsid w:val="00506BCC"/>
    <w:rsid w:val="00506D93"/>
    <w:rsid w:val="0050725D"/>
    <w:rsid w:val="00507D2E"/>
    <w:rsid w:val="005105D0"/>
    <w:rsid w:val="00510C3C"/>
    <w:rsid w:val="00510F3D"/>
    <w:rsid w:val="0051174F"/>
    <w:rsid w:val="00511B7C"/>
    <w:rsid w:val="005121F6"/>
    <w:rsid w:val="005124E1"/>
    <w:rsid w:val="005126A3"/>
    <w:rsid w:val="00512791"/>
    <w:rsid w:val="00512A0B"/>
    <w:rsid w:val="00513FA7"/>
    <w:rsid w:val="00513FCB"/>
    <w:rsid w:val="005145EB"/>
    <w:rsid w:val="005149CC"/>
    <w:rsid w:val="00514D8B"/>
    <w:rsid w:val="00515025"/>
    <w:rsid w:val="00515A9C"/>
    <w:rsid w:val="00516A7C"/>
    <w:rsid w:val="00516B9F"/>
    <w:rsid w:val="00517675"/>
    <w:rsid w:val="0052022B"/>
    <w:rsid w:val="005202FC"/>
    <w:rsid w:val="0052138F"/>
    <w:rsid w:val="0052139B"/>
    <w:rsid w:val="00522BC7"/>
    <w:rsid w:val="00523E65"/>
    <w:rsid w:val="00523F75"/>
    <w:rsid w:val="00524397"/>
    <w:rsid w:val="00524716"/>
    <w:rsid w:val="0052524B"/>
    <w:rsid w:val="00525557"/>
    <w:rsid w:val="00525833"/>
    <w:rsid w:val="00526131"/>
    <w:rsid w:val="00526E2B"/>
    <w:rsid w:val="00527756"/>
    <w:rsid w:val="00527C26"/>
    <w:rsid w:val="0053229A"/>
    <w:rsid w:val="0053293B"/>
    <w:rsid w:val="005333D5"/>
    <w:rsid w:val="00533882"/>
    <w:rsid w:val="00533A0E"/>
    <w:rsid w:val="005341E3"/>
    <w:rsid w:val="0053428F"/>
    <w:rsid w:val="005348C6"/>
    <w:rsid w:val="00536682"/>
    <w:rsid w:val="005369A9"/>
    <w:rsid w:val="005374EA"/>
    <w:rsid w:val="00537BE1"/>
    <w:rsid w:val="005405A8"/>
    <w:rsid w:val="00540675"/>
    <w:rsid w:val="005413F9"/>
    <w:rsid w:val="005417DF"/>
    <w:rsid w:val="00541A86"/>
    <w:rsid w:val="0054235C"/>
    <w:rsid w:val="0054329C"/>
    <w:rsid w:val="00543AC4"/>
    <w:rsid w:val="00545811"/>
    <w:rsid w:val="00545BF2"/>
    <w:rsid w:val="0054791B"/>
    <w:rsid w:val="00550520"/>
    <w:rsid w:val="00551A81"/>
    <w:rsid w:val="0055250D"/>
    <w:rsid w:val="00552BFC"/>
    <w:rsid w:val="00554298"/>
    <w:rsid w:val="00555BE1"/>
    <w:rsid w:val="0055676A"/>
    <w:rsid w:val="005567C4"/>
    <w:rsid w:val="00557913"/>
    <w:rsid w:val="00560AC2"/>
    <w:rsid w:val="00560BB3"/>
    <w:rsid w:val="00561FA5"/>
    <w:rsid w:val="00562C60"/>
    <w:rsid w:val="00563644"/>
    <w:rsid w:val="00563773"/>
    <w:rsid w:val="00563AEA"/>
    <w:rsid w:val="00564141"/>
    <w:rsid w:val="005644A8"/>
    <w:rsid w:val="00564947"/>
    <w:rsid w:val="00564E1B"/>
    <w:rsid w:val="00564F4F"/>
    <w:rsid w:val="005652C8"/>
    <w:rsid w:val="0056698E"/>
    <w:rsid w:val="005676F1"/>
    <w:rsid w:val="00567723"/>
    <w:rsid w:val="00571233"/>
    <w:rsid w:val="0057130A"/>
    <w:rsid w:val="00571907"/>
    <w:rsid w:val="0057274D"/>
    <w:rsid w:val="00572924"/>
    <w:rsid w:val="00573BDF"/>
    <w:rsid w:val="00573CC6"/>
    <w:rsid w:val="00573E1E"/>
    <w:rsid w:val="005744A4"/>
    <w:rsid w:val="0057597C"/>
    <w:rsid w:val="0057633C"/>
    <w:rsid w:val="005766A1"/>
    <w:rsid w:val="0057676F"/>
    <w:rsid w:val="005769A2"/>
    <w:rsid w:val="00576C7A"/>
    <w:rsid w:val="005815B7"/>
    <w:rsid w:val="00581682"/>
    <w:rsid w:val="00581B14"/>
    <w:rsid w:val="00582382"/>
    <w:rsid w:val="00582527"/>
    <w:rsid w:val="00582D77"/>
    <w:rsid w:val="00582DFB"/>
    <w:rsid w:val="00583203"/>
    <w:rsid w:val="0058364F"/>
    <w:rsid w:val="005842AD"/>
    <w:rsid w:val="005849EA"/>
    <w:rsid w:val="00585B55"/>
    <w:rsid w:val="00586CF4"/>
    <w:rsid w:val="005877E5"/>
    <w:rsid w:val="0058790A"/>
    <w:rsid w:val="00590842"/>
    <w:rsid w:val="00590CDB"/>
    <w:rsid w:val="00591928"/>
    <w:rsid w:val="00591A75"/>
    <w:rsid w:val="00591D65"/>
    <w:rsid w:val="00592A43"/>
    <w:rsid w:val="00592E82"/>
    <w:rsid w:val="00593DC3"/>
    <w:rsid w:val="00593E6C"/>
    <w:rsid w:val="0059433A"/>
    <w:rsid w:val="00594ADE"/>
    <w:rsid w:val="00594ECA"/>
    <w:rsid w:val="00595505"/>
    <w:rsid w:val="005964EC"/>
    <w:rsid w:val="00596AB7"/>
    <w:rsid w:val="00596D1F"/>
    <w:rsid w:val="00597CA5"/>
    <w:rsid w:val="005A1261"/>
    <w:rsid w:val="005A1DB5"/>
    <w:rsid w:val="005A4C07"/>
    <w:rsid w:val="005A5DA5"/>
    <w:rsid w:val="005A5F3A"/>
    <w:rsid w:val="005A7422"/>
    <w:rsid w:val="005A76AD"/>
    <w:rsid w:val="005A79D6"/>
    <w:rsid w:val="005A7A28"/>
    <w:rsid w:val="005B1893"/>
    <w:rsid w:val="005B1C4C"/>
    <w:rsid w:val="005B1ECD"/>
    <w:rsid w:val="005B1FEB"/>
    <w:rsid w:val="005B32A0"/>
    <w:rsid w:val="005B3807"/>
    <w:rsid w:val="005B43D5"/>
    <w:rsid w:val="005B4F87"/>
    <w:rsid w:val="005B542D"/>
    <w:rsid w:val="005B5D9A"/>
    <w:rsid w:val="005B677B"/>
    <w:rsid w:val="005B7D9A"/>
    <w:rsid w:val="005C1A57"/>
    <w:rsid w:val="005C1C8B"/>
    <w:rsid w:val="005C2504"/>
    <w:rsid w:val="005C41C5"/>
    <w:rsid w:val="005C5B5C"/>
    <w:rsid w:val="005D1036"/>
    <w:rsid w:val="005D1A4D"/>
    <w:rsid w:val="005D213D"/>
    <w:rsid w:val="005D22BA"/>
    <w:rsid w:val="005D2E9B"/>
    <w:rsid w:val="005D35F9"/>
    <w:rsid w:val="005D4D8B"/>
    <w:rsid w:val="005D5BBA"/>
    <w:rsid w:val="005D629A"/>
    <w:rsid w:val="005D7183"/>
    <w:rsid w:val="005E0730"/>
    <w:rsid w:val="005E0759"/>
    <w:rsid w:val="005E0A8E"/>
    <w:rsid w:val="005E124F"/>
    <w:rsid w:val="005E16C5"/>
    <w:rsid w:val="005E1D48"/>
    <w:rsid w:val="005E1FF0"/>
    <w:rsid w:val="005E26FB"/>
    <w:rsid w:val="005E2B27"/>
    <w:rsid w:val="005E2F31"/>
    <w:rsid w:val="005E4400"/>
    <w:rsid w:val="005E46B3"/>
    <w:rsid w:val="005E5BDB"/>
    <w:rsid w:val="005E681E"/>
    <w:rsid w:val="005E776F"/>
    <w:rsid w:val="005F023F"/>
    <w:rsid w:val="005F089F"/>
    <w:rsid w:val="005F0A40"/>
    <w:rsid w:val="005F0A77"/>
    <w:rsid w:val="005F0C3A"/>
    <w:rsid w:val="005F133C"/>
    <w:rsid w:val="005F1E3B"/>
    <w:rsid w:val="005F2C7A"/>
    <w:rsid w:val="005F30C1"/>
    <w:rsid w:val="005F3260"/>
    <w:rsid w:val="005F4B8E"/>
    <w:rsid w:val="005F5DE4"/>
    <w:rsid w:val="006002F0"/>
    <w:rsid w:val="0060077C"/>
    <w:rsid w:val="00600CD2"/>
    <w:rsid w:val="00600F4E"/>
    <w:rsid w:val="00601949"/>
    <w:rsid w:val="00602468"/>
    <w:rsid w:val="006028D2"/>
    <w:rsid w:val="006042C2"/>
    <w:rsid w:val="00605D03"/>
    <w:rsid w:val="00605DDB"/>
    <w:rsid w:val="006061FB"/>
    <w:rsid w:val="00606EC0"/>
    <w:rsid w:val="00607AE9"/>
    <w:rsid w:val="00607B18"/>
    <w:rsid w:val="00610ED1"/>
    <w:rsid w:val="006112E4"/>
    <w:rsid w:val="006132AB"/>
    <w:rsid w:val="00613EE3"/>
    <w:rsid w:val="00613FE1"/>
    <w:rsid w:val="006140DF"/>
    <w:rsid w:val="00614799"/>
    <w:rsid w:val="00615DDA"/>
    <w:rsid w:val="006167A3"/>
    <w:rsid w:val="00616DC1"/>
    <w:rsid w:val="00616DC5"/>
    <w:rsid w:val="006176A7"/>
    <w:rsid w:val="00621192"/>
    <w:rsid w:val="0062208C"/>
    <w:rsid w:val="0062287B"/>
    <w:rsid w:val="00623C2F"/>
    <w:rsid w:val="006242A7"/>
    <w:rsid w:val="0062464B"/>
    <w:rsid w:val="00624C04"/>
    <w:rsid w:val="00625243"/>
    <w:rsid w:val="00626A94"/>
    <w:rsid w:val="0062773D"/>
    <w:rsid w:val="0062794E"/>
    <w:rsid w:val="00627EF5"/>
    <w:rsid w:val="006303C8"/>
    <w:rsid w:val="0063110A"/>
    <w:rsid w:val="006313F2"/>
    <w:rsid w:val="006317AC"/>
    <w:rsid w:val="0063297F"/>
    <w:rsid w:val="0063688A"/>
    <w:rsid w:val="00637C91"/>
    <w:rsid w:val="00640A23"/>
    <w:rsid w:val="00641343"/>
    <w:rsid w:val="0064225F"/>
    <w:rsid w:val="00642829"/>
    <w:rsid w:val="00643351"/>
    <w:rsid w:val="0064392A"/>
    <w:rsid w:val="00643B9A"/>
    <w:rsid w:val="006443D9"/>
    <w:rsid w:val="00645167"/>
    <w:rsid w:val="0064565A"/>
    <w:rsid w:val="0064598C"/>
    <w:rsid w:val="00645DD1"/>
    <w:rsid w:val="006467D5"/>
    <w:rsid w:val="00646A04"/>
    <w:rsid w:val="00646E99"/>
    <w:rsid w:val="0064702D"/>
    <w:rsid w:val="006474D1"/>
    <w:rsid w:val="0065141B"/>
    <w:rsid w:val="00651C3D"/>
    <w:rsid w:val="00651CC5"/>
    <w:rsid w:val="00651DFD"/>
    <w:rsid w:val="00652286"/>
    <w:rsid w:val="006527CC"/>
    <w:rsid w:val="00652B48"/>
    <w:rsid w:val="00653B6F"/>
    <w:rsid w:val="006549EA"/>
    <w:rsid w:val="00654A45"/>
    <w:rsid w:val="00654D9A"/>
    <w:rsid w:val="0065537B"/>
    <w:rsid w:val="006555FB"/>
    <w:rsid w:val="0065672C"/>
    <w:rsid w:val="0065683F"/>
    <w:rsid w:val="00656D03"/>
    <w:rsid w:val="0066042B"/>
    <w:rsid w:val="00660879"/>
    <w:rsid w:val="00661519"/>
    <w:rsid w:val="0066358C"/>
    <w:rsid w:val="006650EA"/>
    <w:rsid w:val="0066562C"/>
    <w:rsid w:val="00666821"/>
    <w:rsid w:val="00670350"/>
    <w:rsid w:val="00670441"/>
    <w:rsid w:val="006718E5"/>
    <w:rsid w:val="00671A10"/>
    <w:rsid w:val="00672CE5"/>
    <w:rsid w:val="00673818"/>
    <w:rsid w:val="00674103"/>
    <w:rsid w:val="00674F36"/>
    <w:rsid w:val="00674FDB"/>
    <w:rsid w:val="006753A4"/>
    <w:rsid w:val="00675DD9"/>
    <w:rsid w:val="006760D5"/>
    <w:rsid w:val="0067643C"/>
    <w:rsid w:val="00676C1D"/>
    <w:rsid w:val="00677D27"/>
    <w:rsid w:val="006800ED"/>
    <w:rsid w:val="0068077A"/>
    <w:rsid w:val="006809F0"/>
    <w:rsid w:val="006811ED"/>
    <w:rsid w:val="00682E75"/>
    <w:rsid w:val="006839A4"/>
    <w:rsid w:val="00683D0B"/>
    <w:rsid w:val="00683F5A"/>
    <w:rsid w:val="00685501"/>
    <w:rsid w:val="0068641B"/>
    <w:rsid w:val="006869E5"/>
    <w:rsid w:val="0068752F"/>
    <w:rsid w:val="00691169"/>
    <w:rsid w:val="00691E55"/>
    <w:rsid w:val="006926BE"/>
    <w:rsid w:val="006940C2"/>
    <w:rsid w:val="00694876"/>
    <w:rsid w:val="00694A8B"/>
    <w:rsid w:val="00695AB4"/>
    <w:rsid w:val="00696FBE"/>
    <w:rsid w:val="00697459"/>
    <w:rsid w:val="006A00F4"/>
    <w:rsid w:val="006A06AA"/>
    <w:rsid w:val="006A096B"/>
    <w:rsid w:val="006A0E29"/>
    <w:rsid w:val="006A17EA"/>
    <w:rsid w:val="006A1A5D"/>
    <w:rsid w:val="006A2A92"/>
    <w:rsid w:val="006A3519"/>
    <w:rsid w:val="006A3DB7"/>
    <w:rsid w:val="006A47CB"/>
    <w:rsid w:val="006A4B16"/>
    <w:rsid w:val="006A6079"/>
    <w:rsid w:val="006A635E"/>
    <w:rsid w:val="006A731A"/>
    <w:rsid w:val="006A7A44"/>
    <w:rsid w:val="006B01AE"/>
    <w:rsid w:val="006B03ED"/>
    <w:rsid w:val="006B0C7E"/>
    <w:rsid w:val="006B107F"/>
    <w:rsid w:val="006B1EE4"/>
    <w:rsid w:val="006B21C1"/>
    <w:rsid w:val="006B228B"/>
    <w:rsid w:val="006B33D4"/>
    <w:rsid w:val="006B348A"/>
    <w:rsid w:val="006B3D38"/>
    <w:rsid w:val="006B4003"/>
    <w:rsid w:val="006B4F96"/>
    <w:rsid w:val="006B5455"/>
    <w:rsid w:val="006B5BD6"/>
    <w:rsid w:val="006B5EB2"/>
    <w:rsid w:val="006B6FB8"/>
    <w:rsid w:val="006C19F2"/>
    <w:rsid w:val="006C358C"/>
    <w:rsid w:val="006C67A1"/>
    <w:rsid w:val="006C6A2A"/>
    <w:rsid w:val="006C7369"/>
    <w:rsid w:val="006C7791"/>
    <w:rsid w:val="006D09F4"/>
    <w:rsid w:val="006D0F43"/>
    <w:rsid w:val="006D1589"/>
    <w:rsid w:val="006D1920"/>
    <w:rsid w:val="006D1D2D"/>
    <w:rsid w:val="006D1E11"/>
    <w:rsid w:val="006D28F9"/>
    <w:rsid w:val="006D397D"/>
    <w:rsid w:val="006D4276"/>
    <w:rsid w:val="006D56C0"/>
    <w:rsid w:val="006D5950"/>
    <w:rsid w:val="006D59D2"/>
    <w:rsid w:val="006D5B0B"/>
    <w:rsid w:val="006D60CB"/>
    <w:rsid w:val="006D63F3"/>
    <w:rsid w:val="006D65DB"/>
    <w:rsid w:val="006D660E"/>
    <w:rsid w:val="006D6652"/>
    <w:rsid w:val="006D69E1"/>
    <w:rsid w:val="006E11DD"/>
    <w:rsid w:val="006E247D"/>
    <w:rsid w:val="006E3AB9"/>
    <w:rsid w:val="006E4199"/>
    <w:rsid w:val="006E437C"/>
    <w:rsid w:val="006E471D"/>
    <w:rsid w:val="006E4760"/>
    <w:rsid w:val="006E4B23"/>
    <w:rsid w:val="006E5E47"/>
    <w:rsid w:val="006E6CD5"/>
    <w:rsid w:val="006E736B"/>
    <w:rsid w:val="006E7915"/>
    <w:rsid w:val="006F1775"/>
    <w:rsid w:val="006F21DF"/>
    <w:rsid w:val="006F22B4"/>
    <w:rsid w:val="006F37F6"/>
    <w:rsid w:val="006F453E"/>
    <w:rsid w:val="006F5759"/>
    <w:rsid w:val="006F5A07"/>
    <w:rsid w:val="006F5B3E"/>
    <w:rsid w:val="006F6BA4"/>
    <w:rsid w:val="006F7FC3"/>
    <w:rsid w:val="0070125B"/>
    <w:rsid w:val="0070154F"/>
    <w:rsid w:val="007017D0"/>
    <w:rsid w:val="00701BA5"/>
    <w:rsid w:val="00704820"/>
    <w:rsid w:val="00705B58"/>
    <w:rsid w:val="00705FD1"/>
    <w:rsid w:val="0071018D"/>
    <w:rsid w:val="00710221"/>
    <w:rsid w:val="007115CF"/>
    <w:rsid w:val="00711643"/>
    <w:rsid w:val="00713B15"/>
    <w:rsid w:val="00713B1F"/>
    <w:rsid w:val="007141D0"/>
    <w:rsid w:val="0071475A"/>
    <w:rsid w:val="007148D1"/>
    <w:rsid w:val="00714A05"/>
    <w:rsid w:val="00715E70"/>
    <w:rsid w:val="0071655A"/>
    <w:rsid w:val="0071695D"/>
    <w:rsid w:val="00716CC1"/>
    <w:rsid w:val="00720F38"/>
    <w:rsid w:val="00721ECB"/>
    <w:rsid w:val="007229DE"/>
    <w:rsid w:val="00722B44"/>
    <w:rsid w:val="00722C6D"/>
    <w:rsid w:val="00722D39"/>
    <w:rsid w:val="00723857"/>
    <w:rsid w:val="00723AA7"/>
    <w:rsid w:val="00724BD6"/>
    <w:rsid w:val="007251B2"/>
    <w:rsid w:val="0072575D"/>
    <w:rsid w:val="007273C5"/>
    <w:rsid w:val="00727695"/>
    <w:rsid w:val="00727D4F"/>
    <w:rsid w:val="00730C6C"/>
    <w:rsid w:val="007323BE"/>
    <w:rsid w:val="0073255F"/>
    <w:rsid w:val="0073274E"/>
    <w:rsid w:val="007335DB"/>
    <w:rsid w:val="0073384E"/>
    <w:rsid w:val="0073499B"/>
    <w:rsid w:val="007355ED"/>
    <w:rsid w:val="007365F0"/>
    <w:rsid w:val="00736977"/>
    <w:rsid w:val="00737307"/>
    <w:rsid w:val="00737C7A"/>
    <w:rsid w:val="00740015"/>
    <w:rsid w:val="0074049E"/>
    <w:rsid w:val="00740B05"/>
    <w:rsid w:val="00741AF0"/>
    <w:rsid w:val="00742860"/>
    <w:rsid w:val="0074408D"/>
    <w:rsid w:val="007447A5"/>
    <w:rsid w:val="007455C8"/>
    <w:rsid w:val="00745C76"/>
    <w:rsid w:val="00745DEE"/>
    <w:rsid w:val="0074667D"/>
    <w:rsid w:val="0074697F"/>
    <w:rsid w:val="007469D3"/>
    <w:rsid w:val="00747DC1"/>
    <w:rsid w:val="00747E7D"/>
    <w:rsid w:val="007507CF"/>
    <w:rsid w:val="00751DDE"/>
    <w:rsid w:val="007523B9"/>
    <w:rsid w:val="00752749"/>
    <w:rsid w:val="00752A3C"/>
    <w:rsid w:val="00753B60"/>
    <w:rsid w:val="007542C5"/>
    <w:rsid w:val="0075437C"/>
    <w:rsid w:val="00754686"/>
    <w:rsid w:val="007546CD"/>
    <w:rsid w:val="00754F5E"/>
    <w:rsid w:val="007550FE"/>
    <w:rsid w:val="00755721"/>
    <w:rsid w:val="00755CE8"/>
    <w:rsid w:val="00756C7E"/>
    <w:rsid w:val="00757755"/>
    <w:rsid w:val="007604FB"/>
    <w:rsid w:val="007615EF"/>
    <w:rsid w:val="00761B67"/>
    <w:rsid w:val="00763440"/>
    <w:rsid w:val="0076352C"/>
    <w:rsid w:val="00763A24"/>
    <w:rsid w:val="00763A72"/>
    <w:rsid w:val="00764005"/>
    <w:rsid w:val="00764085"/>
    <w:rsid w:val="0076426C"/>
    <w:rsid w:val="00767B35"/>
    <w:rsid w:val="00767DCD"/>
    <w:rsid w:val="007709C0"/>
    <w:rsid w:val="00770D17"/>
    <w:rsid w:val="00771293"/>
    <w:rsid w:val="00771628"/>
    <w:rsid w:val="00771A5F"/>
    <w:rsid w:val="00771BA2"/>
    <w:rsid w:val="00771DA3"/>
    <w:rsid w:val="00771EA2"/>
    <w:rsid w:val="00772D14"/>
    <w:rsid w:val="0077354E"/>
    <w:rsid w:val="00773F60"/>
    <w:rsid w:val="007741CD"/>
    <w:rsid w:val="0077429A"/>
    <w:rsid w:val="0077524C"/>
    <w:rsid w:val="00776715"/>
    <w:rsid w:val="007769F4"/>
    <w:rsid w:val="0077768C"/>
    <w:rsid w:val="0078006D"/>
    <w:rsid w:val="0078014D"/>
    <w:rsid w:val="00780869"/>
    <w:rsid w:val="00780CCE"/>
    <w:rsid w:val="00781B0F"/>
    <w:rsid w:val="00781EF3"/>
    <w:rsid w:val="00781F85"/>
    <w:rsid w:val="007838FC"/>
    <w:rsid w:val="00784124"/>
    <w:rsid w:val="00784656"/>
    <w:rsid w:val="00785BF3"/>
    <w:rsid w:val="0078684A"/>
    <w:rsid w:val="007900FE"/>
    <w:rsid w:val="00792302"/>
    <w:rsid w:val="007927E7"/>
    <w:rsid w:val="00792AA5"/>
    <w:rsid w:val="0079367B"/>
    <w:rsid w:val="00793EF6"/>
    <w:rsid w:val="00794924"/>
    <w:rsid w:val="00794CA6"/>
    <w:rsid w:val="00794E88"/>
    <w:rsid w:val="00795DD9"/>
    <w:rsid w:val="007971B7"/>
    <w:rsid w:val="007976FB"/>
    <w:rsid w:val="007A0946"/>
    <w:rsid w:val="007A127B"/>
    <w:rsid w:val="007A1D72"/>
    <w:rsid w:val="007A26FC"/>
    <w:rsid w:val="007A27C0"/>
    <w:rsid w:val="007A4182"/>
    <w:rsid w:val="007A41E1"/>
    <w:rsid w:val="007A5158"/>
    <w:rsid w:val="007A5201"/>
    <w:rsid w:val="007A5774"/>
    <w:rsid w:val="007A6735"/>
    <w:rsid w:val="007A68F1"/>
    <w:rsid w:val="007A7185"/>
    <w:rsid w:val="007A7788"/>
    <w:rsid w:val="007A7C4D"/>
    <w:rsid w:val="007B0214"/>
    <w:rsid w:val="007B130C"/>
    <w:rsid w:val="007B1B5B"/>
    <w:rsid w:val="007B1BAB"/>
    <w:rsid w:val="007B1CD2"/>
    <w:rsid w:val="007B2DB4"/>
    <w:rsid w:val="007B2F45"/>
    <w:rsid w:val="007B361F"/>
    <w:rsid w:val="007B4EDE"/>
    <w:rsid w:val="007B70C3"/>
    <w:rsid w:val="007B75D5"/>
    <w:rsid w:val="007B773F"/>
    <w:rsid w:val="007B7D6F"/>
    <w:rsid w:val="007C0323"/>
    <w:rsid w:val="007C0459"/>
    <w:rsid w:val="007C04BC"/>
    <w:rsid w:val="007C285A"/>
    <w:rsid w:val="007C3562"/>
    <w:rsid w:val="007C359F"/>
    <w:rsid w:val="007C3F2A"/>
    <w:rsid w:val="007C3F4B"/>
    <w:rsid w:val="007C4164"/>
    <w:rsid w:val="007C4426"/>
    <w:rsid w:val="007C4F86"/>
    <w:rsid w:val="007C52EA"/>
    <w:rsid w:val="007C5BDF"/>
    <w:rsid w:val="007C6F61"/>
    <w:rsid w:val="007C798B"/>
    <w:rsid w:val="007D05E5"/>
    <w:rsid w:val="007D0FAC"/>
    <w:rsid w:val="007D1168"/>
    <w:rsid w:val="007D1CD7"/>
    <w:rsid w:val="007D1DF1"/>
    <w:rsid w:val="007D1FEE"/>
    <w:rsid w:val="007D20DA"/>
    <w:rsid w:val="007D2FD3"/>
    <w:rsid w:val="007D3E26"/>
    <w:rsid w:val="007D4408"/>
    <w:rsid w:val="007D4C7D"/>
    <w:rsid w:val="007D642C"/>
    <w:rsid w:val="007D7C6D"/>
    <w:rsid w:val="007E05AE"/>
    <w:rsid w:val="007E0641"/>
    <w:rsid w:val="007E06CE"/>
    <w:rsid w:val="007E07F2"/>
    <w:rsid w:val="007E167D"/>
    <w:rsid w:val="007E1889"/>
    <w:rsid w:val="007E1E2C"/>
    <w:rsid w:val="007E39CD"/>
    <w:rsid w:val="007E4F78"/>
    <w:rsid w:val="007E543C"/>
    <w:rsid w:val="007E5C7A"/>
    <w:rsid w:val="007E5E39"/>
    <w:rsid w:val="007E5E79"/>
    <w:rsid w:val="007E5F69"/>
    <w:rsid w:val="007E62E4"/>
    <w:rsid w:val="007E6EA8"/>
    <w:rsid w:val="007F0040"/>
    <w:rsid w:val="007F03F4"/>
    <w:rsid w:val="007F0C1B"/>
    <w:rsid w:val="007F2B15"/>
    <w:rsid w:val="007F2E3D"/>
    <w:rsid w:val="007F40B6"/>
    <w:rsid w:val="007F452E"/>
    <w:rsid w:val="007F4693"/>
    <w:rsid w:val="007F4D6C"/>
    <w:rsid w:val="007F4DE0"/>
    <w:rsid w:val="007F5766"/>
    <w:rsid w:val="007F5E0C"/>
    <w:rsid w:val="007F6734"/>
    <w:rsid w:val="007F67A4"/>
    <w:rsid w:val="007F6A71"/>
    <w:rsid w:val="007F7A1B"/>
    <w:rsid w:val="007F7F4F"/>
    <w:rsid w:val="008002AC"/>
    <w:rsid w:val="00801475"/>
    <w:rsid w:val="00802911"/>
    <w:rsid w:val="00802A8E"/>
    <w:rsid w:val="00804EE8"/>
    <w:rsid w:val="008051E8"/>
    <w:rsid w:val="00805A06"/>
    <w:rsid w:val="00805FEB"/>
    <w:rsid w:val="00806091"/>
    <w:rsid w:val="008063C5"/>
    <w:rsid w:val="00806654"/>
    <w:rsid w:val="008066D8"/>
    <w:rsid w:val="00806F52"/>
    <w:rsid w:val="008073AD"/>
    <w:rsid w:val="00807A31"/>
    <w:rsid w:val="00807F1F"/>
    <w:rsid w:val="0081099F"/>
    <w:rsid w:val="008115E4"/>
    <w:rsid w:val="008118B2"/>
    <w:rsid w:val="00812040"/>
    <w:rsid w:val="008124E6"/>
    <w:rsid w:val="00812E21"/>
    <w:rsid w:val="00813374"/>
    <w:rsid w:val="008136A3"/>
    <w:rsid w:val="008140D1"/>
    <w:rsid w:val="00814A2E"/>
    <w:rsid w:val="00814AD7"/>
    <w:rsid w:val="00814B26"/>
    <w:rsid w:val="00815897"/>
    <w:rsid w:val="00815F0A"/>
    <w:rsid w:val="00816752"/>
    <w:rsid w:val="00817191"/>
    <w:rsid w:val="00817CC9"/>
    <w:rsid w:val="00817D58"/>
    <w:rsid w:val="008201A2"/>
    <w:rsid w:val="008204D1"/>
    <w:rsid w:val="0082072D"/>
    <w:rsid w:val="0082081D"/>
    <w:rsid w:val="00820F5A"/>
    <w:rsid w:val="008217AF"/>
    <w:rsid w:val="008228F2"/>
    <w:rsid w:val="00822D67"/>
    <w:rsid w:val="00824092"/>
    <w:rsid w:val="00824CA2"/>
    <w:rsid w:val="008254D6"/>
    <w:rsid w:val="00826C9F"/>
    <w:rsid w:val="008275BB"/>
    <w:rsid w:val="00827796"/>
    <w:rsid w:val="00827CA0"/>
    <w:rsid w:val="00827EE3"/>
    <w:rsid w:val="00830143"/>
    <w:rsid w:val="00830720"/>
    <w:rsid w:val="00830881"/>
    <w:rsid w:val="0083108D"/>
    <w:rsid w:val="008311E8"/>
    <w:rsid w:val="008314F9"/>
    <w:rsid w:val="0083198D"/>
    <w:rsid w:val="00833CAA"/>
    <w:rsid w:val="0083432A"/>
    <w:rsid w:val="00835326"/>
    <w:rsid w:val="008353C5"/>
    <w:rsid w:val="008367B9"/>
    <w:rsid w:val="00836AC6"/>
    <w:rsid w:val="00836E15"/>
    <w:rsid w:val="00842F85"/>
    <w:rsid w:val="008431C6"/>
    <w:rsid w:val="008433BB"/>
    <w:rsid w:val="0084589D"/>
    <w:rsid w:val="00845BB4"/>
    <w:rsid w:val="008462EA"/>
    <w:rsid w:val="00846FD1"/>
    <w:rsid w:val="00847C0F"/>
    <w:rsid w:val="00847F2D"/>
    <w:rsid w:val="008508B0"/>
    <w:rsid w:val="00850CDE"/>
    <w:rsid w:val="008512D0"/>
    <w:rsid w:val="00851DA3"/>
    <w:rsid w:val="00851EC3"/>
    <w:rsid w:val="00851EFD"/>
    <w:rsid w:val="00852749"/>
    <w:rsid w:val="00854127"/>
    <w:rsid w:val="008541BD"/>
    <w:rsid w:val="008545CF"/>
    <w:rsid w:val="00854CE0"/>
    <w:rsid w:val="00855467"/>
    <w:rsid w:val="008558F4"/>
    <w:rsid w:val="00855C82"/>
    <w:rsid w:val="008569D1"/>
    <w:rsid w:val="00857C40"/>
    <w:rsid w:val="00857D66"/>
    <w:rsid w:val="008604B3"/>
    <w:rsid w:val="0086065E"/>
    <w:rsid w:val="00860D44"/>
    <w:rsid w:val="00861777"/>
    <w:rsid w:val="008618BC"/>
    <w:rsid w:val="008625CF"/>
    <w:rsid w:val="008631A9"/>
    <w:rsid w:val="00863B1E"/>
    <w:rsid w:val="008644AA"/>
    <w:rsid w:val="00870412"/>
    <w:rsid w:val="00870EBE"/>
    <w:rsid w:val="00871286"/>
    <w:rsid w:val="0087150C"/>
    <w:rsid w:val="008726C1"/>
    <w:rsid w:val="0087317F"/>
    <w:rsid w:val="00873244"/>
    <w:rsid w:val="00873488"/>
    <w:rsid w:val="00873586"/>
    <w:rsid w:val="00873B3D"/>
    <w:rsid w:val="008746CF"/>
    <w:rsid w:val="008747AD"/>
    <w:rsid w:val="00874831"/>
    <w:rsid w:val="00874861"/>
    <w:rsid w:val="00874E4B"/>
    <w:rsid w:val="00876C60"/>
    <w:rsid w:val="008771F7"/>
    <w:rsid w:val="00877736"/>
    <w:rsid w:val="00880506"/>
    <w:rsid w:val="0088114A"/>
    <w:rsid w:val="00881758"/>
    <w:rsid w:val="0088237B"/>
    <w:rsid w:val="00882739"/>
    <w:rsid w:val="00882863"/>
    <w:rsid w:val="00882DFA"/>
    <w:rsid w:val="0088455D"/>
    <w:rsid w:val="008854F6"/>
    <w:rsid w:val="0088566E"/>
    <w:rsid w:val="00887615"/>
    <w:rsid w:val="00890576"/>
    <w:rsid w:val="00890A11"/>
    <w:rsid w:val="008917C1"/>
    <w:rsid w:val="008919D8"/>
    <w:rsid w:val="00891C32"/>
    <w:rsid w:val="00891D81"/>
    <w:rsid w:val="00892F7A"/>
    <w:rsid w:val="0089332E"/>
    <w:rsid w:val="00893463"/>
    <w:rsid w:val="00893902"/>
    <w:rsid w:val="0089431F"/>
    <w:rsid w:val="00894DCB"/>
    <w:rsid w:val="00894FBE"/>
    <w:rsid w:val="00895B32"/>
    <w:rsid w:val="00896169"/>
    <w:rsid w:val="00896671"/>
    <w:rsid w:val="00897794"/>
    <w:rsid w:val="008A01F2"/>
    <w:rsid w:val="008A040A"/>
    <w:rsid w:val="008A059F"/>
    <w:rsid w:val="008A08FF"/>
    <w:rsid w:val="008A0B95"/>
    <w:rsid w:val="008A1712"/>
    <w:rsid w:val="008A1CF2"/>
    <w:rsid w:val="008A2622"/>
    <w:rsid w:val="008A2CAD"/>
    <w:rsid w:val="008A3788"/>
    <w:rsid w:val="008A4912"/>
    <w:rsid w:val="008A5076"/>
    <w:rsid w:val="008A5662"/>
    <w:rsid w:val="008A599D"/>
    <w:rsid w:val="008A5FF2"/>
    <w:rsid w:val="008A6976"/>
    <w:rsid w:val="008A6CBE"/>
    <w:rsid w:val="008A7EE8"/>
    <w:rsid w:val="008B0DE7"/>
    <w:rsid w:val="008B1D38"/>
    <w:rsid w:val="008B280C"/>
    <w:rsid w:val="008B304A"/>
    <w:rsid w:val="008B32A3"/>
    <w:rsid w:val="008B3F1E"/>
    <w:rsid w:val="008B3FF9"/>
    <w:rsid w:val="008B4641"/>
    <w:rsid w:val="008B5D25"/>
    <w:rsid w:val="008B6294"/>
    <w:rsid w:val="008B66EC"/>
    <w:rsid w:val="008B6D7A"/>
    <w:rsid w:val="008C0197"/>
    <w:rsid w:val="008C07D0"/>
    <w:rsid w:val="008C0B7B"/>
    <w:rsid w:val="008C0BCA"/>
    <w:rsid w:val="008C1FAE"/>
    <w:rsid w:val="008C2336"/>
    <w:rsid w:val="008C26A4"/>
    <w:rsid w:val="008C29B2"/>
    <w:rsid w:val="008C34A9"/>
    <w:rsid w:val="008C466B"/>
    <w:rsid w:val="008C5F6D"/>
    <w:rsid w:val="008C6044"/>
    <w:rsid w:val="008C69AD"/>
    <w:rsid w:val="008C69BC"/>
    <w:rsid w:val="008C741E"/>
    <w:rsid w:val="008D081C"/>
    <w:rsid w:val="008D08A4"/>
    <w:rsid w:val="008D0F5E"/>
    <w:rsid w:val="008D17DD"/>
    <w:rsid w:val="008D1D11"/>
    <w:rsid w:val="008D5278"/>
    <w:rsid w:val="008D556A"/>
    <w:rsid w:val="008D5696"/>
    <w:rsid w:val="008D619E"/>
    <w:rsid w:val="008D6BAE"/>
    <w:rsid w:val="008E0D8F"/>
    <w:rsid w:val="008E128C"/>
    <w:rsid w:val="008E1C9B"/>
    <w:rsid w:val="008E3B40"/>
    <w:rsid w:val="008E55CE"/>
    <w:rsid w:val="008E582E"/>
    <w:rsid w:val="008E5B5E"/>
    <w:rsid w:val="008E5CC0"/>
    <w:rsid w:val="008E601C"/>
    <w:rsid w:val="008E626D"/>
    <w:rsid w:val="008E7CA7"/>
    <w:rsid w:val="008F156B"/>
    <w:rsid w:val="008F191F"/>
    <w:rsid w:val="008F2F0A"/>
    <w:rsid w:val="008F55C0"/>
    <w:rsid w:val="008F5751"/>
    <w:rsid w:val="008F5B0A"/>
    <w:rsid w:val="008F5EA9"/>
    <w:rsid w:val="008F7C2F"/>
    <w:rsid w:val="00900130"/>
    <w:rsid w:val="00901034"/>
    <w:rsid w:val="00901911"/>
    <w:rsid w:val="009024D7"/>
    <w:rsid w:val="00902520"/>
    <w:rsid w:val="0090254C"/>
    <w:rsid w:val="00902D20"/>
    <w:rsid w:val="0090353E"/>
    <w:rsid w:val="0090392D"/>
    <w:rsid w:val="00904D25"/>
    <w:rsid w:val="00904E04"/>
    <w:rsid w:val="00906450"/>
    <w:rsid w:val="009067E6"/>
    <w:rsid w:val="0090683B"/>
    <w:rsid w:val="009076C9"/>
    <w:rsid w:val="00907B80"/>
    <w:rsid w:val="00910CA5"/>
    <w:rsid w:val="00911600"/>
    <w:rsid w:val="00912854"/>
    <w:rsid w:val="0091461A"/>
    <w:rsid w:val="00915CE8"/>
    <w:rsid w:val="00916EA1"/>
    <w:rsid w:val="00916F91"/>
    <w:rsid w:val="00917CA5"/>
    <w:rsid w:val="00920A83"/>
    <w:rsid w:val="009211E9"/>
    <w:rsid w:val="00922085"/>
    <w:rsid w:val="0092319C"/>
    <w:rsid w:val="00923573"/>
    <w:rsid w:val="00923DBC"/>
    <w:rsid w:val="00924D5F"/>
    <w:rsid w:val="00925380"/>
    <w:rsid w:val="0092582C"/>
    <w:rsid w:val="00925B41"/>
    <w:rsid w:val="00925F6E"/>
    <w:rsid w:val="00926535"/>
    <w:rsid w:val="00926FCA"/>
    <w:rsid w:val="00927160"/>
    <w:rsid w:val="00927A54"/>
    <w:rsid w:val="00930568"/>
    <w:rsid w:val="0093094E"/>
    <w:rsid w:val="00931BB4"/>
    <w:rsid w:val="00932284"/>
    <w:rsid w:val="00933AF5"/>
    <w:rsid w:val="009340F4"/>
    <w:rsid w:val="00934291"/>
    <w:rsid w:val="00935AF5"/>
    <w:rsid w:val="00935B3A"/>
    <w:rsid w:val="00935EDE"/>
    <w:rsid w:val="00940C05"/>
    <w:rsid w:val="00943C7C"/>
    <w:rsid w:val="00944CB1"/>
    <w:rsid w:val="00944D93"/>
    <w:rsid w:val="00945B2A"/>
    <w:rsid w:val="00945B4F"/>
    <w:rsid w:val="00945CD7"/>
    <w:rsid w:val="00947CCD"/>
    <w:rsid w:val="00951737"/>
    <w:rsid w:val="009518B9"/>
    <w:rsid w:val="00952047"/>
    <w:rsid w:val="0095238C"/>
    <w:rsid w:val="00953021"/>
    <w:rsid w:val="009539D5"/>
    <w:rsid w:val="00954802"/>
    <w:rsid w:val="00954D23"/>
    <w:rsid w:val="00954E10"/>
    <w:rsid w:val="00955131"/>
    <w:rsid w:val="0095513A"/>
    <w:rsid w:val="00955DC9"/>
    <w:rsid w:val="00956987"/>
    <w:rsid w:val="00956C0F"/>
    <w:rsid w:val="00957CE3"/>
    <w:rsid w:val="009615C0"/>
    <w:rsid w:val="009619FB"/>
    <w:rsid w:val="00961F6F"/>
    <w:rsid w:val="00963200"/>
    <w:rsid w:val="009634A8"/>
    <w:rsid w:val="00963865"/>
    <w:rsid w:val="009647DE"/>
    <w:rsid w:val="00965BE5"/>
    <w:rsid w:val="00965D6D"/>
    <w:rsid w:val="0096721E"/>
    <w:rsid w:val="00967499"/>
    <w:rsid w:val="009678C6"/>
    <w:rsid w:val="009678CB"/>
    <w:rsid w:val="00967A83"/>
    <w:rsid w:val="009700F7"/>
    <w:rsid w:val="00970D15"/>
    <w:rsid w:val="009717E4"/>
    <w:rsid w:val="00971861"/>
    <w:rsid w:val="00972C4F"/>
    <w:rsid w:val="00972FF8"/>
    <w:rsid w:val="00973B22"/>
    <w:rsid w:val="00974B5C"/>
    <w:rsid w:val="009763A2"/>
    <w:rsid w:val="009768B0"/>
    <w:rsid w:val="00980C1A"/>
    <w:rsid w:val="0098119B"/>
    <w:rsid w:val="0098352A"/>
    <w:rsid w:val="00983D97"/>
    <w:rsid w:val="0098535F"/>
    <w:rsid w:val="00985785"/>
    <w:rsid w:val="0098653C"/>
    <w:rsid w:val="009865D9"/>
    <w:rsid w:val="00986D20"/>
    <w:rsid w:val="00986D76"/>
    <w:rsid w:val="00987FCC"/>
    <w:rsid w:val="0099002E"/>
    <w:rsid w:val="00990FCB"/>
    <w:rsid w:val="00992ADB"/>
    <w:rsid w:val="009937FC"/>
    <w:rsid w:val="00995784"/>
    <w:rsid w:val="009957F2"/>
    <w:rsid w:val="0099634D"/>
    <w:rsid w:val="00997714"/>
    <w:rsid w:val="009A0F2E"/>
    <w:rsid w:val="009A23D1"/>
    <w:rsid w:val="009A2623"/>
    <w:rsid w:val="009A26B4"/>
    <w:rsid w:val="009A2CA5"/>
    <w:rsid w:val="009A36C9"/>
    <w:rsid w:val="009A3F4F"/>
    <w:rsid w:val="009A41E9"/>
    <w:rsid w:val="009A4CB1"/>
    <w:rsid w:val="009A5014"/>
    <w:rsid w:val="009A58D9"/>
    <w:rsid w:val="009A66B4"/>
    <w:rsid w:val="009A6F18"/>
    <w:rsid w:val="009B0EBD"/>
    <w:rsid w:val="009B1893"/>
    <w:rsid w:val="009B24A4"/>
    <w:rsid w:val="009B2621"/>
    <w:rsid w:val="009B34E3"/>
    <w:rsid w:val="009B38A3"/>
    <w:rsid w:val="009B44FE"/>
    <w:rsid w:val="009B50F1"/>
    <w:rsid w:val="009B5107"/>
    <w:rsid w:val="009B6D2B"/>
    <w:rsid w:val="009C0007"/>
    <w:rsid w:val="009C0924"/>
    <w:rsid w:val="009C2A4C"/>
    <w:rsid w:val="009C2CB0"/>
    <w:rsid w:val="009C3B75"/>
    <w:rsid w:val="009C3E28"/>
    <w:rsid w:val="009C4064"/>
    <w:rsid w:val="009C434F"/>
    <w:rsid w:val="009C43F3"/>
    <w:rsid w:val="009C4AC7"/>
    <w:rsid w:val="009C4CE2"/>
    <w:rsid w:val="009C4FC4"/>
    <w:rsid w:val="009C6373"/>
    <w:rsid w:val="009C7251"/>
    <w:rsid w:val="009C7D4B"/>
    <w:rsid w:val="009D037F"/>
    <w:rsid w:val="009D076A"/>
    <w:rsid w:val="009D108B"/>
    <w:rsid w:val="009D194F"/>
    <w:rsid w:val="009D1F58"/>
    <w:rsid w:val="009D24BE"/>
    <w:rsid w:val="009D2930"/>
    <w:rsid w:val="009D2AE5"/>
    <w:rsid w:val="009D2CF3"/>
    <w:rsid w:val="009D37F9"/>
    <w:rsid w:val="009D3921"/>
    <w:rsid w:val="009D3AE8"/>
    <w:rsid w:val="009D3CBC"/>
    <w:rsid w:val="009D47EF"/>
    <w:rsid w:val="009D4AD8"/>
    <w:rsid w:val="009D4B56"/>
    <w:rsid w:val="009D4C64"/>
    <w:rsid w:val="009D5C59"/>
    <w:rsid w:val="009D6C33"/>
    <w:rsid w:val="009D7108"/>
    <w:rsid w:val="009D7273"/>
    <w:rsid w:val="009D773E"/>
    <w:rsid w:val="009D7C39"/>
    <w:rsid w:val="009E0981"/>
    <w:rsid w:val="009E0D44"/>
    <w:rsid w:val="009E114C"/>
    <w:rsid w:val="009E230A"/>
    <w:rsid w:val="009E30CC"/>
    <w:rsid w:val="009E3C16"/>
    <w:rsid w:val="009E4D7C"/>
    <w:rsid w:val="009E4DD0"/>
    <w:rsid w:val="009E5F04"/>
    <w:rsid w:val="009E7B97"/>
    <w:rsid w:val="009F00F6"/>
    <w:rsid w:val="009F09F3"/>
    <w:rsid w:val="009F0E84"/>
    <w:rsid w:val="009F130C"/>
    <w:rsid w:val="009F2D54"/>
    <w:rsid w:val="009F2F92"/>
    <w:rsid w:val="009F3395"/>
    <w:rsid w:val="009F4163"/>
    <w:rsid w:val="009F50DD"/>
    <w:rsid w:val="009F6DDF"/>
    <w:rsid w:val="009F70B8"/>
    <w:rsid w:val="00A009B3"/>
    <w:rsid w:val="00A00C92"/>
    <w:rsid w:val="00A02691"/>
    <w:rsid w:val="00A03272"/>
    <w:rsid w:val="00A06AAB"/>
    <w:rsid w:val="00A0758E"/>
    <w:rsid w:val="00A0783C"/>
    <w:rsid w:val="00A078F5"/>
    <w:rsid w:val="00A07E1C"/>
    <w:rsid w:val="00A11238"/>
    <w:rsid w:val="00A11F67"/>
    <w:rsid w:val="00A11FCC"/>
    <w:rsid w:val="00A12825"/>
    <w:rsid w:val="00A12B21"/>
    <w:rsid w:val="00A12E36"/>
    <w:rsid w:val="00A13146"/>
    <w:rsid w:val="00A132BF"/>
    <w:rsid w:val="00A1481C"/>
    <w:rsid w:val="00A14FA1"/>
    <w:rsid w:val="00A15384"/>
    <w:rsid w:val="00A157A3"/>
    <w:rsid w:val="00A16207"/>
    <w:rsid w:val="00A163EA"/>
    <w:rsid w:val="00A1667D"/>
    <w:rsid w:val="00A16E2A"/>
    <w:rsid w:val="00A16F5C"/>
    <w:rsid w:val="00A174BA"/>
    <w:rsid w:val="00A174EE"/>
    <w:rsid w:val="00A17AD1"/>
    <w:rsid w:val="00A17E5E"/>
    <w:rsid w:val="00A200BF"/>
    <w:rsid w:val="00A202E6"/>
    <w:rsid w:val="00A2039D"/>
    <w:rsid w:val="00A20D9D"/>
    <w:rsid w:val="00A20EE7"/>
    <w:rsid w:val="00A2144C"/>
    <w:rsid w:val="00A21F65"/>
    <w:rsid w:val="00A2227D"/>
    <w:rsid w:val="00A2279E"/>
    <w:rsid w:val="00A23769"/>
    <w:rsid w:val="00A24EAE"/>
    <w:rsid w:val="00A25699"/>
    <w:rsid w:val="00A25723"/>
    <w:rsid w:val="00A25A39"/>
    <w:rsid w:val="00A25A8C"/>
    <w:rsid w:val="00A27BCB"/>
    <w:rsid w:val="00A304D0"/>
    <w:rsid w:val="00A30D97"/>
    <w:rsid w:val="00A30ED2"/>
    <w:rsid w:val="00A333A6"/>
    <w:rsid w:val="00A33719"/>
    <w:rsid w:val="00A345A7"/>
    <w:rsid w:val="00A34D0F"/>
    <w:rsid w:val="00A35B59"/>
    <w:rsid w:val="00A368B3"/>
    <w:rsid w:val="00A371EB"/>
    <w:rsid w:val="00A37219"/>
    <w:rsid w:val="00A37D42"/>
    <w:rsid w:val="00A40544"/>
    <w:rsid w:val="00A4170D"/>
    <w:rsid w:val="00A41E6F"/>
    <w:rsid w:val="00A425C1"/>
    <w:rsid w:val="00A431C0"/>
    <w:rsid w:val="00A43902"/>
    <w:rsid w:val="00A4422F"/>
    <w:rsid w:val="00A4426D"/>
    <w:rsid w:val="00A44B7E"/>
    <w:rsid w:val="00A44FDF"/>
    <w:rsid w:val="00A450A8"/>
    <w:rsid w:val="00A479D5"/>
    <w:rsid w:val="00A51227"/>
    <w:rsid w:val="00A517BD"/>
    <w:rsid w:val="00A52410"/>
    <w:rsid w:val="00A5330A"/>
    <w:rsid w:val="00A533C0"/>
    <w:rsid w:val="00A53BE0"/>
    <w:rsid w:val="00A55075"/>
    <w:rsid w:val="00A55120"/>
    <w:rsid w:val="00A55398"/>
    <w:rsid w:val="00A553A4"/>
    <w:rsid w:val="00A56520"/>
    <w:rsid w:val="00A567CB"/>
    <w:rsid w:val="00A6117A"/>
    <w:rsid w:val="00A6177D"/>
    <w:rsid w:val="00A61C04"/>
    <w:rsid w:val="00A6310C"/>
    <w:rsid w:val="00A63A13"/>
    <w:rsid w:val="00A643F8"/>
    <w:rsid w:val="00A65DD1"/>
    <w:rsid w:val="00A663EC"/>
    <w:rsid w:val="00A66E0B"/>
    <w:rsid w:val="00A6760C"/>
    <w:rsid w:val="00A70557"/>
    <w:rsid w:val="00A70C31"/>
    <w:rsid w:val="00A7104B"/>
    <w:rsid w:val="00A712CE"/>
    <w:rsid w:val="00A71DB5"/>
    <w:rsid w:val="00A729A6"/>
    <w:rsid w:val="00A7346F"/>
    <w:rsid w:val="00A74A86"/>
    <w:rsid w:val="00A74C39"/>
    <w:rsid w:val="00A75C0F"/>
    <w:rsid w:val="00A760F3"/>
    <w:rsid w:val="00A7624A"/>
    <w:rsid w:val="00A776C2"/>
    <w:rsid w:val="00A776D1"/>
    <w:rsid w:val="00A77E09"/>
    <w:rsid w:val="00A816AF"/>
    <w:rsid w:val="00A81720"/>
    <w:rsid w:val="00A818E4"/>
    <w:rsid w:val="00A82B19"/>
    <w:rsid w:val="00A83C04"/>
    <w:rsid w:val="00A83ED1"/>
    <w:rsid w:val="00A84DE6"/>
    <w:rsid w:val="00A85C63"/>
    <w:rsid w:val="00A87111"/>
    <w:rsid w:val="00A87CA6"/>
    <w:rsid w:val="00A9066E"/>
    <w:rsid w:val="00A90D15"/>
    <w:rsid w:val="00A90F3D"/>
    <w:rsid w:val="00A920A7"/>
    <w:rsid w:val="00A92878"/>
    <w:rsid w:val="00A929A2"/>
    <w:rsid w:val="00A92FE9"/>
    <w:rsid w:val="00A93DF7"/>
    <w:rsid w:val="00A94383"/>
    <w:rsid w:val="00A9448C"/>
    <w:rsid w:val="00A94545"/>
    <w:rsid w:val="00A95A20"/>
    <w:rsid w:val="00A96F32"/>
    <w:rsid w:val="00A9721B"/>
    <w:rsid w:val="00AA0635"/>
    <w:rsid w:val="00AA068C"/>
    <w:rsid w:val="00AA1412"/>
    <w:rsid w:val="00AA162D"/>
    <w:rsid w:val="00AA21C4"/>
    <w:rsid w:val="00AA2A40"/>
    <w:rsid w:val="00AA36ED"/>
    <w:rsid w:val="00AA37B5"/>
    <w:rsid w:val="00AA4737"/>
    <w:rsid w:val="00AA4899"/>
    <w:rsid w:val="00AA48B5"/>
    <w:rsid w:val="00AA5262"/>
    <w:rsid w:val="00AA5AB7"/>
    <w:rsid w:val="00AA5BE3"/>
    <w:rsid w:val="00AA77EF"/>
    <w:rsid w:val="00AB019A"/>
    <w:rsid w:val="00AB22B2"/>
    <w:rsid w:val="00AB2877"/>
    <w:rsid w:val="00AB2F06"/>
    <w:rsid w:val="00AB315D"/>
    <w:rsid w:val="00AB3E95"/>
    <w:rsid w:val="00AB54CB"/>
    <w:rsid w:val="00AB661C"/>
    <w:rsid w:val="00AB689D"/>
    <w:rsid w:val="00AB7491"/>
    <w:rsid w:val="00AB7519"/>
    <w:rsid w:val="00AB79CA"/>
    <w:rsid w:val="00AB7A7D"/>
    <w:rsid w:val="00AC0487"/>
    <w:rsid w:val="00AC1797"/>
    <w:rsid w:val="00AC1E7A"/>
    <w:rsid w:val="00AC2E6C"/>
    <w:rsid w:val="00AC4151"/>
    <w:rsid w:val="00AC5372"/>
    <w:rsid w:val="00AC656E"/>
    <w:rsid w:val="00AC6B32"/>
    <w:rsid w:val="00AC6CEC"/>
    <w:rsid w:val="00AC6EAD"/>
    <w:rsid w:val="00AC7C73"/>
    <w:rsid w:val="00AD0375"/>
    <w:rsid w:val="00AD26BD"/>
    <w:rsid w:val="00AD3A05"/>
    <w:rsid w:val="00AD3AEF"/>
    <w:rsid w:val="00AD3E0E"/>
    <w:rsid w:val="00AD50F5"/>
    <w:rsid w:val="00AD554D"/>
    <w:rsid w:val="00AD59DD"/>
    <w:rsid w:val="00AD6676"/>
    <w:rsid w:val="00AD67B3"/>
    <w:rsid w:val="00AD68C8"/>
    <w:rsid w:val="00AD6C4D"/>
    <w:rsid w:val="00AE0021"/>
    <w:rsid w:val="00AE0E2E"/>
    <w:rsid w:val="00AE1841"/>
    <w:rsid w:val="00AE2231"/>
    <w:rsid w:val="00AE2348"/>
    <w:rsid w:val="00AE24DA"/>
    <w:rsid w:val="00AE25A2"/>
    <w:rsid w:val="00AE283B"/>
    <w:rsid w:val="00AE3E0B"/>
    <w:rsid w:val="00AE4C8C"/>
    <w:rsid w:val="00AE5231"/>
    <w:rsid w:val="00AE588D"/>
    <w:rsid w:val="00AE5D50"/>
    <w:rsid w:val="00AE624F"/>
    <w:rsid w:val="00AE63E4"/>
    <w:rsid w:val="00AE7A44"/>
    <w:rsid w:val="00AE7B48"/>
    <w:rsid w:val="00AF007F"/>
    <w:rsid w:val="00AF1536"/>
    <w:rsid w:val="00AF1A4C"/>
    <w:rsid w:val="00AF2B90"/>
    <w:rsid w:val="00AF4A9F"/>
    <w:rsid w:val="00AF4BC0"/>
    <w:rsid w:val="00AF4CF2"/>
    <w:rsid w:val="00AF4F99"/>
    <w:rsid w:val="00AF501B"/>
    <w:rsid w:val="00AF56ED"/>
    <w:rsid w:val="00AF62F4"/>
    <w:rsid w:val="00AF6473"/>
    <w:rsid w:val="00AF7CBB"/>
    <w:rsid w:val="00AF7F4D"/>
    <w:rsid w:val="00B00065"/>
    <w:rsid w:val="00B01DF9"/>
    <w:rsid w:val="00B01EDB"/>
    <w:rsid w:val="00B028FA"/>
    <w:rsid w:val="00B03C25"/>
    <w:rsid w:val="00B04490"/>
    <w:rsid w:val="00B0491A"/>
    <w:rsid w:val="00B05ECB"/>
    <w:rsid w:val="00B067AF"/>
    <w:rsid w:val="00B10129"/>
    <w:rsid w:val="00B1026B"/>
    <w:rsid w:val="00B10F2A"/>
    <w:rsid w:val="00B11B90"/>
    <w:rsid w:val="00B11D89"/>
    <w:rsid w:val="00B121C0"/>
    <w:rsid w:val="00B1252E"/>
    <w:rsid w:val="00B12FBB"/>
    <w:rsid w:val="00B13044"/>
    <w:rsid w:val="00B14455"/>
    <w:rsid w:val="00B14699"/>
    <w:rsid w:val="00B14D9F"/>
    <w:rsid w:val="00B14DB1"/>
    <w:rsid w:val="00B156B7"/>
    <w:rsid w:val="00B1585A"/>
    <w:rsid w:val="00B15F1B"/>
    <w:rsid w:val="00B16181"/>
    <w:rsid w:val="00B16D73"/>
    <w:rsid w:val="00B17BE7"/>
    <w:rsid w:val="00B204F6"/>
    <w:rsid w:val="00B21A74"/>
    <w:rsid w:val="00B21F71"/>
    <w:rsid w:val="00B22797"/>
    <w:rsid w:val="00B22D45"/>
    <w:rsid w:val="00B232E1"/>
    <w:rsid w:val="00B238C9"/>
    <w:rsid w:val="00B248C2"/>
    <w:rsid w:val="00B27178"/>
    <w:rsid w:val="00B2717C"/>
    <w:rsid w:val="00B27414"/>
    <w:rsid w:val="00B3092D"/>
    <w:rsid w:val="00B30A4B"/>
    <w:rsid w:val="00B30B15"/>
    <w:rsid w:val="00B31853"/>
    <w:rsid w:val="00B3191E"/>
    <w:rsid w:val="00B31E1E"/>
    <w:rsid w:val="00B32204"/>
    <w:rsid w:val="00B330B8"/>
    <w:rsid w:val="00B333E1"/>
    <w:rsid w:val="00B33DB2"/>
    <w:rsid w:val="00B33F8E"/>
    <w:rsid w:val="00B3407F"/>
    <w:rsid w:val="00B345D2"/>
    <w:rsid w:val="00B35148"/>
    <w:rsid w:val="00B3569F"/>
    <w:rsid w:val="00B364AD"/>
    <w:rsid w:val="00B36740"/>
    <w:rsid w:val="00B3716B"/>
    <w:rsid w:val="00B37DE4"/>
    <w:rsid w:val="00B40765"/>
    <w:rsid w:val="00B40FE7"/>
    <w:rsid w:val="00B41E4B"/>
    <w:rsid w:val="00B4365F"/>
    <w:rsid w:val="00B44A73"/>
    <w:rsid w:val="00B46EFE"/>
    <w:rsid w:val="00B473B8"/>
    <w:rsid w:val="00B5187F"/>
    <w:rsid w:val="00B52206"/>
    <w:rsid w:val="00B53D03"/>
    <w:rsid w:val="00B55359"/>
    <w:rsid w:val="00B557E1"/>
    <w:rsid w:val="00B558D1"/>
    <w:rsid w:val="00B56207"/>
    <w:rsid w:val="00B56D7A"/>
    <w:rsid w:val="00B61369"/>
    <w:rsid w:val="00B64716"/>
    <w:rsid w:val="00B649ED"/>
    <w:rsid w:val="00B64E56"/>
    <w:rsid w:val="00B64FA6"/>
    <w:rsid w:val="00B66C2B"/>
    <w:rsid w:val="00B70A6C"/>
    <w:rsid w:val="00B712BB"/>
    <w:rsid w:val="00B7175B"/>
    <w:rsid w:val="00B718C5"/>
    <w:rsid w:val="00B71ECC"/>
    <w:rsid w:val="00B72CBC"/>
    <w:rsid w:val="00B730D5"/>
    <w:rsid w:val="00B73D09"/>
    <w:rsid w:val="00B7416C"/>
    <w:rsid w:val="00B74604"/>
    <w:rsid w:val="00B757BB"/>
    <w:rsid w:val="00B75904"/>
    <w:rsid w:val="00B760E3"/>
    <w:rsid w:val="00B76FFC"/>
    <w:rsid w:val="00B7782C"/>
    <w:rsid w:val="00B80280"/>
    <w:rsid w:val="00B80B44"/>
    <w:rsid w:val="00B81F41"/>
    <w:rsid w:val="00B81FED"/>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324"/>
    <w:rsid w:val="00B915B7"/>
    <w:rsid w:val="00B91C34"/>
    <w:rsid w:val="00B9224A"/>
    <w:rsid w:val="00B9228D"/>
    <w:rsid w:val="00B9249D"/>
    <w:rsid w:val="00B928A6"/>
    <w:rsid w:val="00B92B28"/>
    <w:rsid w:val="00B9378D"/>
    <w:rsid w:val="00B937CE"/>
    <w:rsid w:val="00B94C5B"/>
    <w:rsid w:val="00B94C69"/>
    <w:rsid w:val="00B966D0"/>
    <w:rsid w:val="00B97E0C"/>
    <w:rsid w:val="00BA03D4"/>
    <w:rsid w:val="00BA0EF1"/>
    <w:rsid w:val="00BA29C7"/>
    <w:rsid w:val="00BA2CE6"/>
    <w:rsid w:val="00BA3BF9"/>
    <w:rsid w:val="00BA3F9C"/>
    <w:rsid w:val="00BA5C2F"/>
    <w:rsid w:val="00BA6488"/>
    <w:rsid w:val="00BA6830"/>
    <w:rsid w:val="00BA6CA3"/>
    <w:rsid w:val="00BA6E26"/>
    <w:rsid w:val="00BA74AB"/>
    <w:rsid w:val="00BA789B"/>
    <w:rsid w:val="00BA7F0D"/>
    <w:rsid w:val="00BB0786"/>
    <w:rsid w:val="00BB0EB1"/>
    <w:rsid w:val="00BB101A"/>
    <w:rsid w:val="00BB2296"/>
    <w:rsid w:val="00BB3443"/>
    <w:rsid w:val="00BB43C3"/>
    <w:rsid w:val="00BB45B4"/>
    <w:rsid w:val="00BB53C1"/>
    <w:rsid w:val="00BB639A"/>
    <w:rsid w:val="00BB6CDC"/>
    <w:rsid w:val="00BB713F"/>
    <w:rsid w:val="00BC03DE"/>
    <w:rsid w:val="00BC2790"/>
    <w:rsid w:val="00BC3892"/>
    <w:rsid w:val="00BC4BD9"/>
    <w:rsid w:val="00BC4E9C"/>
    <w:rsid w:val="00BC58C9"/>
    <w:rsid w:val="00BC5BCB"/>
    <w:rsid w:val="00BC5F7D"/>
    <w:rsid w:val="00BC746F"/>
    <w:rsid w:val="00BD0221"/>
    <w:rsid w:val="00BD0B37"/>
    <w:rsid w:val="00BD0E48"/>
    <w:rsid w:val="00BD1225"/>
    <w:rsid w:val="00BD1CD8"/>
    <w:rsid w:val="00BD2F8E"/>
    <w:rsid w:val="00BD30D5"/>
    <w:rsid w:val="00BD3281"/>
    <w:rsid w:val="00BD538C"/>
    <w:rsid w:val="00BD59D4"/>
    <w:rsid w:val="00BD6083"/>
    <w:rsid w:val="00BD608A"/>
    <w:rsid w:val="00BD60D9"/>
    <w:rsid w:val="00BD68E0"/>
    <w:rsid w:val="00BD79ED"/>
    <w:rsid w:val="00BE04D0"/>
    <w:rsid w:val="00BE0DE5"/>
    <w:rsid w:val="00BE0F85"/>
    <w:rsid w:val="00BE16CE"/>
    <w:rsid w:val="00BE1D2C"/>
    <w:rsid w:val="00BE1F84"/>
    <w:rsid w:val="00BE270B"/>
    <w:rsid w:val="00BE4A5B"/>
    <w:rsid w:val="00BE5B39"/>
    <w:rsid w:val="00BE6456"/>
    <w:rsid w:val="00BE6784"/>
    <w:rsid w:val="00BE7CF6"/>
    <w:rsid w:val="00BF26D7"/>
    <w:rsid w:val="00BF3228"/>
    <w:rsid w:val="00BF3260"/>
    <w:rsid w:val="00BF3B1C"/>
    <w:rsid w:val="00BF4BDF"/>
    <w:rsid w:val="00BF7B0F"/>
    <w:rsid w:val="00C00816"/>
    <w:rsid w:val="00C014BE"/>
    <w:rsid w:val="00C014D1"/>
    <w:rsid w:val="00C01702"/>
    <w:rsid w:val="00C0174D"/>
    <w:rsid w:val="00C0190A"/>
    <w:rsid w:val="00C01ABD"/>
    <w:rsid w:val="00C021A4"/>
    <w:rsid w:val="00C0335F"/>
    <w:rsid w:val="00C03999"/>
    <w:rsid w:val="00C04E1F"/>
    <w:rsid w:val="00C05505"/>
    <w:rsid w:val="00C05E35"/>
    <w:rsid w:val="00C06A89"/>
    <w:rsid w:val="00C06CFB"/>
    <w:rsid w:val="00C07044"/>
    <w:rsid w:val="00C112EE"/>
    <w:rsid w:val="00C11313"/>
    <w:rsid w:val="00C11FA6"/>
    <w:rsid w:val="00C121EC"/>
    <w:rsid w:val="00C126AC"/>
    <w:rsid w:val="00C129A2"/>
    <w:rsid w:val="00C12D8D"/>
    <w:rsid w:val="00C14070"/>
    <w:rsid w:val="00C147DD"/>
    <w:rsid w:val="00C149B9"/>
    <w:rsid w:val="00C1548D"/>
    <w:rsid w:val="00C166FB"/>
    <w:rsid w:val="00C167EF"/>
    <w:rsid w:val="00C16869"/>
    <w:rsid w:val="00C16F23"/>
    <w:rsid w:val="00C17337"/>
    <w:rsid w:val="00C20444"/>
    <w:rsid w:val="00C20EBB"/>
    <w:rsid w:val="00C21065"/>
    <w:rsid w:val="00C21185"/>
    <w:rsid w:val="00C21EBC"/>
    <w:rsid w:val="00C2206E"/>
    <w:rsid w:val="00C22477"/>
    <w:rsid w:val="00C22C1A"/>
    <w:rsid w:val="00C22C27"/>
    <w:rsid w:val="00C234D3"/>
    <w:rsid w:val="00C23C53"/>
    <w:rsid w:val="00C24157"/>
    <w:rsid w:val="00C241C7"/>
    <w:rsid w:val="00C2526D"/>
    <w:rsid w:val="00C25332"/>
    <w:rsid w:val="00C2543D"/>
    <w:rsid w:val="00C26316"/>
    <w:rsid w:val="00C266D1"/>
    <w:rsid w:val="00C26F54"/>
    <w:rsid w:val="00C31B96"/>
    <w:rsid w:val="00C32BB7"/>
    <w:rsid w:val="00C33E4C"/>
    <w:rsid w:val="00C3487F"/>
    <w:rsid w:val="00C34FAA"/>
    <w:rsid w:val="00C35245"/>
    <w:rsid w:val="00C35655"/>
    <w:rsid w:val="00C357DB"/>
    <w:rsid w:val="00C37A26"/>
    <w:rsid w:val="00C41C76"/>
    <w:rsid w:val="00C41D75"/>
    <w:rsid w:val="00C4221D"/>
    <w:rsid w:val="00C426EF"/>
    <w:rsid w:val="00C427EA"/>
    <w:rsid w:val="00C4297A"/>
    <w:rsid w:val="00C432D2"/>
    <w:rsid w:val="00C43980"/>
    <w:rsid w:val="00C43A62"/>
    <w:rsid w:val="00C44A54"/>
    <w:rsid w:val="00C44B2A"/>
    <w:rsid w:val="00C44EDC"/>
    <w:rsid w:val="00C4526C"/>
    <w:rsid w:val="00C46FB0"/>
    <w:rsid w:val="00C47DE7"/>
    <w:rsid w:val="00C5095B"/>
    <w:rsid w:val="00C50AF2"/>
    <w:rsid w:val="00C51006"/>
    <w:rsid w:val="00C51B9A"/>
    <w:rsid w:val="00C520E6"/>
    <w:rsid w:val="00C521ED"/>
    <w:rsid w:val="00C522F3"/>
    <w:rsid w:val="00C536ED"/>
    <w:rsid w:val="00C539DD"/>
    <w:rsid w:val="00C541F9"/>
    <w:rsid w:val="00C543EE"/>
    <w:rsid w:val="00C543F3"/>
    <w:rsid w:val="00C55D19"/>
    <w:rsid w:val="00C56429"/>
    <w:rsid w:val="00C5693C"/>
    <w:rsid w:val="00C5783C"/>
    <w:rsid w:val="00C602AF"/>
    <w:rsid w:val="00C63703"/>
    <w:rsid w:val="00C647A6"/>
    <w:rsid w:val="00C64C37"/>
    <w:rsid w:val="00C655BE"/>
    <w:rsid w:val="00C65D0E"/>
    <w:rsid w:val="00C66156"/>
    <w:rsid w:val="00C666CD"/>
    <w:rsid w:val="00C67684"/>
    <w:rsid w:val="00C679A1"/>
    <w:rsid w:val="00C67F18"/>
    <w:rsid w:val="00C7080B"/>
    <w:rsid w:val="00C70F8D"/>
    <w:rsid w:val="00C72031"/>
    <w:rsid w:val="00C725A3"/>
    <w:rsid w:val="00C7270D"/>
    <w:rsid w:val="00C72C20"/>
    <w:rsid w:val="00C730F9"/>
    <w:rsid w:val="00C74557"/>
    <w:rsid w:val="00C75B0A"/>
    <w:rsid w:val="00C75D10"/>
    <w:rsid w:val="00C76834"/>
    <w:rsid w:val="00C76FEB"/>
    <w:rsid w:val="00C8000E"/>
    <w:rsid w:val="00C8093C"/>
    <w:rsid w:val="00C80A8B"/>
    <w:rsid w:val="00C8118D"/>
    <w:rsid w:val="00C82108"/>
    <w:rsid w:val="00C8314F"/>
    <w:rsid w:val="00C8376F"/>
    <w:rsid w:val="00C83C87"/>
    <w:rsid w:val="00C8449B"/>
    <w:rsid w:val="00C8642F"/>
    <w:rsid w:val="00C86596"/>
    <w:rsid w:val="00C876E4"/>
    <w:rsid w:val="00C87CDF"/>
    <w:rsid w:val="00C90B07"/>
    <w:rsid w:val="00C9124D"/>
    <w:rsid w:val="00C9228D"/>
    <w:rsid w:val="00C92A40"/>
    <w:rsid w:val="00C92A53"/>
    <w:rsid w:val="00C92B48"/>
    <w:rsid w:val="00C960EB"/>
    <w:rsid w:val="00C964D5"/>
    <w:rsid w:val="00CA213B"/>
    <w:rsid w:val="00CA2D27"/>
    <w:rsid w:val="00CA42C9"/>
    <w:rsid w:val="00CA4458"/>
    <w:rsid w:val="00CA4800"/>
    <w:rsid w:val="00CA48E7"/>
    <w:rsid w:val="00CA4EF5"/>
    <w:rsid w:val="00CA51B9"/>
    <w:rsid w:val="00CA5B37"/>
    <w:rsid w:val="00CA5B85"/>
    <w:rsid w:val="00CB0BC4"/>
    <w:rsid w:val="00CB1407"/>
    <w:rsid w:val="00CB2195"/>
    <w:rsid w:val="00CB2EAC"/>
    <w:rsid w:val="00CB3118"/>
    <w:rsid w:val="00CB3617"/>
    <w:rsid w:val="00CB3A12"/>
    <w:rsid w:val="00CB44DA"/>
    <w:rsid w:val="00CB495D"/>
    <w:rsid w:val="00CB5035"/>
    <w:rsid w:val="00CB512B"/>
    <w:rsid w:val="00CB52B2"/>
    <w:rsid w:val="00CB5359"/>
    <w:rsid w:val="00CB55F0"/>
    <w:rsid w:val="00CB68D8"/>
    <w:rsid w:val="00CB7DD3"/>
    <w:rsid w:val="00CC0967"/>
    <w:rsid w:val="00CC0ACB"/>
    <w:rsid w:val="00CC0CDD"/>
    <w:rsid w:val="00CC1FF4"/>
    <w:rsid w:val="00CC2777"/>
    <w:rsid w:val="00CC30B6"/>
    <w:rsid w:val="00CC4280"/>
    <w:rsid w:val="00CC552B"/>
    <w:rsid w:val="00CC642C"/>
    <w:rsid w:val="00CC65DB"/>
    <w:rsid w:val="00CC6931"/>
    <w:rsid w:val="00CC6AD5"/>
    <w:rsid w:val="00CC71B4"/>
    <w:rsid w:val="00CD00A5"/>
    <w:rsid w:val="00CD00EF"/>
    <w:rsid w:val="00CD1331"/>
    <w:rsid w:val="00CD16A3"/>
    <w:rsid w:val="00CD2D67"/>
    <w:rsid w:val="00CD31D8"/>
    <w:rsid w:val="00CD3DBB"/>
    <w:rsid w:val="00CD455C"/>
    <w:rsid w:val="00CD4E3E"/>
    <w:rsid w:val="00CD5373"/>
    <w:rsid w:val="00CD57CE"/>
    <w:rsid w:val="00CD5C53"/>
    <w:rsid w:val="00CD6005"/>
    <w:rsid w:val="00CD603B"/>
    <w:rsid w:val="00CD6131"/>
    <w:rsid w:val="00CD65CC"/>
    <w:rsid w:val="00CD686F"/>
    <w:rsid w:val="00CD6B27"/>
    <w:rsid w:val="00CD6B44"/>
    <w:rsid w:val="00CD6C7A"/>
    <w:rsid w:val="00CD728A"/>
    <w:rsid w:val="00CD75FB"/>
    <w:rsid w:val="00CE02DE"/>
    <w:rsid w:val="00CE1295"/>
    <w:rsid w:val="00CE1838"/>
    <w:rsid w:val="00CE1A55"/>
    <w:rsid w:val="00CE33C6"/>
    <w:rsid w:val="00CE3862"/>
    <w:rsid w:val="00CE393F"/>
    <w:rsid w:val="00CE41E1"/>
    <w:rsid w:val="00CE47CA"/>
    <w:rsid w:val="00CE5294"/>
    <w:rsid w:val="00CE5E7A"/>
    <w:rsid w:val="00CE6071"/>
    <w:rsid w:val="00CE7253"/>
    <w:rsid w:val="00CE7D13"/>
    <w:rsid w:val="00CF0B5D"/>
    <w:rsid w:val="00CF2621"/>
    <w:rsid w:val="00CF2EA3"/>
    <w:rsid w:val="00CF2ED6"/>
    <w:rsid w:val="00CF31D7"/>
    <w:rsid w:val="00CF3926"/>
    <w:rsid w:val="00CF3DF7"/>
    <w:rsid w:val="00CF5476"/>
    <w:rsid w:val="00CF5A08"/>
    <w:rsid w:val="00CF5FCD"/>
    <w:rsid w:val="00CF6C04"/>
    <w:rsid w:val="00CF7883"/>
    <w:rsid w:val="00CF7F9F"/>
    <w:rsid w:val="00D0085C"/>
    <w:rsid w:val="00D00BA8"/>
    <w:rsid w:val="00D00DCF"/>
    <w:rsid w:val="00D0139A"/>
    <w:rsid w:val="00D01AB1"/>
    <w:rsid w:val="00D02201"/>
    <w:rsid w:val="00D02643"/>
    <w:rsid w:val="00D03E5E"/>
    <w:rsid w:val="00D04DA6"/>
    <w:rsid w:val="00D05B8C"/>
    <w:rsid w:val="00D06725"/>
    <w:rsid w:val="00D071F2"/>
    <w:rsid w:val="00D073F9"/>
    <w:rsid w:val="00D10337"/>
    <w:rsid w:val="00D10859"/>
    <w:rsid w:val="00D10EC5"/>
    <w:rsid w:val="00D11784"/>
    <w:rsid w:val="00D1221F"/>
    <w:rsid w:val="00D126B1"/>
    <w:rsid w:val="00D13B4B"/>
    <w:rsid w:val="00D160D4"/>
    <w:rsid w:val="00D161D3"/>
    <w:rsid w:val="00D1654C"/>
    <w:rsid w:val="00D1657E"/>
    <w:rsid w:val="00D16E24"/>
    <w:rsid w:val="00D2013B"/>
    <w:rsid w:val="00D207F5"/>
    <w:rsid w:val="00D20DE3"/>
    <w:rsid w:val="00D21072"/>
    <w:rsid w:val="00D21526"/>
    <w:rsid w:val="00D2153B"/>
    <w:rsid w:val="00D21691"/>
    <w:rsid w:val="00D2187E"/>
    <w:rsid w:val="00D21F51"/>
    <w:rsid w:val="00D226A5"/>
    <w:rsid w:val="00D22BCC"/>
    <w:rsid w:val="00D25868"/>
    <w:rsid w:val="00D25AD0"/>
    <w:rsid w:val="00D25B75"/>
    <w:rsid w:val="00D25EBB"/>
    <w:rsid w:val="00D26B05"/>
    <w:rsid w:val="00D26BE3"/>
    <w:rsid w:val="00D26FC1"/>
    <w:rsid w:val="00D27A2D"/>
    <w:rsid w:val="00D31956"/>
    <w:rsid w:val="00D31B91"/>
    <w:rsid w:val="00D32B06"/>
    <w:rsid w:val="00D32D41"/>
    <w:rsid w:val="00D335DA"/>
    <w:rsid w:val="00D33766"/>
    <w:rsid w:val="00D33996"/>
    <w:rsid w:val="00D34711"/>
    <w:rsid w:val="00D34779"/>
    <w:rsid w:val="00D35050"/>
    <w:rsid w:val="00D352DB"/>
    <w:rsid w:val="00D3534A"/>
    <w:rsid w:val="00D35B32"/>
    <w:rsid w:val="00D36556"/>
    <w:rsid w:val="00D36B7F"/>
    <w:rsid w:val="00D36C82"/>
    <w:rsid w:val="00D372E1"/>
    <w:rsid w:val="00D40100"/>
    <w:rsid w:val="00D40C39"/>
    <w:rsid w:val="00D41F92"/>
    <w:rsid w:val="00D429F0"/>
    <w:rsid w:val="00D42C8C"/>
    <w:rsid w:val="00D45057"/>
    <w:rsid w:val="00D45EFC"/>
    <w:rsid w:val="00D4654F"/>
    <w:rsid w:val="00D467EF"/>
    <w:rsid w:val="00D51B97"/>
    <w:rsid w:val="00D523B3"/>
    <w:rsid w:val="00D52DA8"/>
    <w:rsid w:val="00D54942"/>
    <w:rsid w:val="00D54F7E"/>
    <w:rsid w:val="00D55E24"/>
    <w:rsid w:val="00D56336"/>
    <w:rsid w:val="00D56FAE"/>
    <w:rsid w:val="00D5718E"/>
    <w:rsid w:val="00D5771F"/>
    <w:rsid w:val="00D577B2"/>
    <w:rsid w:val="00D604ED"/>
    <w:rsid w:val="00D60F10"/>
    <w:rsid w:val="00D62BF4"/>
    <w:rsid w:val="00D634FD"/>
    <w:rsid w:val="00D64314"/>
    <w:rsid w:val="00D64567"/>
    <w:rsid w:val="00D646D8"/>
    <w:rsid w:val="00D659FA"/>
    <w:rsid w:val="00D65D3B"/>
    <w:rsid w:val="00D665F6"/>
    <w:rsid w:val="00D67EBE"/>
    <w:rsid w:val="00D7039D"/>
    <w:rsid w:val="00D704B0"/>
    <w:rsid w:val="00D7100F"/>
    <w:rsid w:val="00D7161A"/>
    <w:rsid w:val="00D72EF0"/>
    <w:rsid w:val="00D73215"/>
    <w:rsid w:val="00D744BC"/>
    <w:rsid w:val="00D74D73"/>
    <w:rsid w:val="00D75C55"/>
    <w:rsid w:val="00D76B29"/>
    <w:rsid w:val="00D76D98"/>
    <w:rsid w:val="00D77AFA"/>
    <w:rsid w:val="00D77FB1"/>
    <w:rsid w:val="00D8046D"/>
    <w:rsid w:val="00D80A35"/>
    <w:rsid w:val="00D81ADE"/>
    <w:rsid w:val="00D81D7C"/>
    <w:rsid w:val="00D821D2"/>
    <w:rsid w:val="00D83CCD"/>
    <w:rsid w:val="00D83D28"/>
    <w:rsid w:val="00D83E8F"/>
    <w:rsid w:val="00D83FF1"/>
    <w:rsid w:val="00D84F9E"/>
    <w:rsid w:val="00D870A5"/>
    <w:rsid w:val="00D87136"/>
    <w:rsid w:val="00D907F5"/>
    <w:rsid w:val="00D917FD"/>
    <w:rsid w:val="00D9264F"/>
    <w:rsid w:val="00D92F8A"/>
    <w:rsid w:val="00D93379"/>
    <w:rsid w:val="00D969D1"/>
    <w:rsid w:val="00DA0302"/>
    <w:rsid w:val="00DA0369"/>
    <w:rsid w:val="00DA0496"/>
    <w:rsid w:val="00DA07DE"/>
    <w:rsid w:val="00DA0BED"/>
    <w:rsid w:val="00DA1E08"/>
    <w:rsid w:val="00DA2047"/>
    <w:rsid w:val="00DA26AA"/>
    <w:rsid w:val="00DA326C"/>
    <w:rsid w:val="00DA36FD"/>
    <w:rsid w:val="00DA3EC7"/>
    <w:rsid w:val="00DA5430"/>
    <w:rsid w:val="00DA5854"/>
    <w:rsid w:val="00DA62D6"/>
    <w:rsid w:val="00DA64AB"/>
    <w:rsid w:val="00DA675A"/>
    <w:rsid w:val="00DA6C90"/>
    <w:rsid w:val="00DA73A2"/>
    <w:rsid w:val="00DB0865"/>
    <w:rsid w:val="00DB119D"/>
    <w:rsid w:val="00DB1B65"/>
    <w:rsid w:val="00DB1CDB"/>
    <w:rsid w:val="00DB2DF4"/>
    <w:rsid w:val="00DB4D7C"/>
    <w:rsid w:val="00DB5213"/>
    <w:rsid w:val="00DB5749"/>
    <w:rsid w:val="00DB5BB9"/>
    <w:rsid w:val="00DB6038"/>
    <w:rsid w:val="00DB60AF"/>
    <w:rsid w:val="00DB64AD"/>
    <w:rsid w:val="00DB6BD9"/>
    <w:rsid w:val="00DB6C95"/>
    <w:rsid w:val="00DB6C9F"/>
    <w:rsid w:val="00DB7AD6"/>
    <w:rsid w:val="00DB7B8B"/>
    <w:rsid w:val="00DC157B"/>
    <w:rsid w:val="00DC287C"/>
    <w:rsid w:val="00DC2B68"/>
    <w:rsid w:val="00DC34D4"/>
    <w:rsid w:val="00DC3674"/>
    <w:rsid w:val="00DC5581"/>
    <w:rsid w:val="00DC674C"/>
    <w:rsid w:val="00DC7452"/>
    <w:rsid w:val="00DD05FF"/>
    <w:rsid w:val="00DD06EF"/>
    <w:rsid w:val="00DD0B9D"/>
    <w:rsid w:val="00DD0D00"/>
    <w:rsid w:val="00DD0DCA"/>
    <w:rsid w:val="00DD2CAD"/>
    <w:rsid w:val="00DD2CE7"/>
    <w:rsid w:val="00DD3370"/>
    <w:rsid w:val="00DD376D"/>
    <w:rsid w:val="00DD4286"/>
    <w:rsid w:val="00DD4383"/>
    <w:rsid w:val="00DD43B9"/>
    <w:rsid w:val="00DD4F6F"/>
    <w:rsid w:val="00DD7853"/>
    <w:rsid w:val="00DE1399"/>
    <w:rsid w:val="00DE1CDF"/>
    <w:rsid w:val="00DE1EBB"/>
    <w:rsid w:val="00DE2F78"/>
    <w:rsid w:val="00DE2FA9"/>
    <w:rsid w:val="00DE35EE"/>
    <w:rsid w:val="00DE39C4"/>
    <w:rsid w:val="00DE3C25"/>
    <w:rsid w:val="00DE3CF2"/>
    <w:rsid w:val="00DE419F"/>
    <w:rsid w:val="00DE44F7"/>
    <w:rsid w:val="00DE462E"/>
    <w:rsid w:val="00DE5652"/>
    <w:rsid w:val="00DE66F2"/>
    <w:rsid w:val="00DF0D48"/>
    <w:rsid w:val="00DF1FD2"/>
    <w:rsid w:val="00DF2C55"/>
    <w:rsid w:val="00DF3D68"/>
    <w:rsid w:val="00DF4C1E"/>
    <w:rsid w:val="00DF5151"/>
    <w:rsid w:val="00DF5373"/>
    <w:rsid w:val="00DF5BE1"/>
    <w:rsid w:val="00DF64FF"/>
    <w:rsid w:val="00E00F29"/>
    <w:rsid w:val="00E01129"/>
    <w:rsid w:val="00E01201"/>
    <w:rsid w:val="00E01C52"/>
    <w:rsid w:val="00E024A7"/>
    <w:rsid w:val="00E02E63"/>
    <w:rsid w:val="00E05F28"/>
    <w:rsid w:val="00E06D35"/>
    <w:rsid w:val="00E07F5E"/>
    <w:rsid w:val="00E1018C"/>
    <w:rsid w:val="00E118CC"/>
    <w:rsid w:val="00E12149"/>
    <w:rsid w:val="00E132AD"/>
    <w:rsid w:val="00E13809"/>
    <w:rsid w:val="00E1431C"/>
    <w:rsid w:val="00E14521"/>
    <w:rsid w:val="00E14850"/>
    <w:rsid w:val="00E171E9"/>
    <w:rsid w:val="00E171F6"/>
    <w:rsid w:val="00E20BCE"/>
    <w:rsid w:val="00E20F38"/>
    <w:rsid w:val="00E2104A"/>
    <w:rsid w:val="00E22CE6"/>
    <w:rsid w:val="00E233DE"/>
    <w:rsid w:val="00E2443B"/>
    <w:rsid w:val="00E2487A"/>
    <w:rsid w:val="00E25255"/>
    <w:rsid w:val="00E252B2"/>
    <w:rsid w:val="00E25481"/>
    <w:rsid w:val="00E25483"/>
    <w:rsid w:val="00E256F5"/>
    <w:rsid w:val="00E259B8"/>
    <w:rsid w:val="00E261EE"/>
    <w:rsid w:val="00E27141"/>
    <w:rsid w:val="00E27F67"/>
    <w:rsid w:val="00E316DD"/>
    <w:rsid w:val="00E318EE"/>
    <w:rsid w:val="00E3316D"/>
    <w:rsid w:val="00E36A5F"/>
    <w:rsid w:val="00E404D3"/>
    <w:rsid w:val="00E410BA"/>
    <w:rsid w:val="00E4118B"/>
    <w:rsid w:val="00E41762"/>
    <w:rsid w:val="00E41A8B"/>
    <w:rsid w:val="00E42601"/>
    <w:rsid w:val="00E45359"/>
    <w:rsid w:val="00E45626"/>
    <w:rsid w:val="00E45EEA"/>
    <w:rsid w:val="00E4631A"/>
    <w:rsid w:val="00E46AEE"/>
    <w:rsid w:val="00E46C04"/>
    <w:rsid w:val="00E4769F"/>
    <w:rsid w:val="00E47A93"/>
    <w:rsid w:val="00E50C5D"/>
    <w:rsid w:val="00E50EBA"/>
    <w:rsid w:val="00E51114"/>
    <w:rsid w:val="00E512ED"/>
    <w:rsid w:val="00E51558"/>
    <w:rsid w:val="00E51595"/>
    <w:rsid w:val="00E534C8"/>
    <w:rsid w:val="00E541A0"/>
    <w:rsid w:val="00E56602"/>
    <w:rsid w:val="00E56D48"/>
    <w:rsid w:val="00E5799C"/>
    <w:rsid w:val="00E60F41"/>
    <w:rsid w:val="00E61F35"/>
    <w:rsid w:val="00E61FB6"/>
    <w:rsid w:val="00E62B88"/>
    <w:rsid w:val="00E6329E"/>
    <w:rsid w:val="00E63861"/>
    <w:rsid w:val="00E63881"/>
    <w:rsid w:val="00E6464E"/>
    <w:rsid w:val="00E6512C"/>
    <w:rsid w:val="00E663B5"/>
    <w:rsid w:val="00E66EE1"/>
    <w:rsid w:val="00E675A2"/>
    <w:rsid w:val="00E67E41"/>
    <w:rsid w:val="00E70007"/>
    <w:rsid w:val="00E70552"/>
    <w:rsid w:val="00E70838"/>
    <w:rsid w:val="00E7161A"/>
    <w:rsid w:val="00E71681"/>
    <w:rsid w:val="00E71AE5"/>
    <w:rsid w:val="00E72586"/>
    <w:rsid w:val="00E72682"/>
    <w:rsid w:val="00E734C9"/>
    <w:rsid w:val="00E73D82"/>
    <w:rsid w:val="00E73FD9"/>
    <w:rsid w:val="00E801B6"/>
    <w:rsid w:val="00E80CF8"/>
    <w:rsid w:val="00E816C9"/>
    <w:rsid w:val="00E817DA"/>
    <w:rsid w:val="00E81D4B"/>
    <w:rsid w:val="00E83271"/>
    <w:rsid w:val="00E83AEE"/>
    <w:rsid w:val="00E84406"/>
    <w:rsid w:val="00E8473D"/>
    <w:rsid w:val="00E8484E"/>
    <w:rsid w:val="00E849E3"/>
    <w:rsid w:val="00E84A78"/>
    <w:rsid w:val="00E86053"/>
    <w:rsid w:val="00E86097"/>
    <w:rsid w:val="00E86566"/>
    <w:rsid w:val="00E867CC"/>
    <w:rsid w:val="00E86987"/>
    <w:rsid w:val="00E86E65"/>
    <w:rsid w:val="00E87129"/>
    <w:rsid w:val="00E87130"/>
    <w:rsid w:val="00E91EBC"/>
    <w:rsid w:val="00E92D94"/>
    <w:rsid w:val="00E9398B"/>
    <w:rsid w:val="00E93AA4"/>
    <w:rsid w:val="00E942B7"/>
    <w:rsid w:val="00E94F81"/>
    <w:rsid w:val="00E952F3"/>
    <w:rsid w:val="00E95A72"/>
    <w:rsid w:val="00E95A93"/>
    <w:rsid w:val="00E965B8"/>
    <w:rsid w:val="00E96746"/>
    <w:rsid w:val="00E9698C"/>
    <w:rsid w:val="00E975FC"/>
    <w:rsid w:val="00EA02C5"/>
    <w:rsid w:val="00EA06C2"/>
    <w:rsid w:val="00EA0800"/>
    <w:rsid w:val="00EA0B57"/>
    <w:rsid w:val="00EA1072"/>
    <w:rsid w:val="00EA2AE8"/>
    <w:rsid w:val="00EA415F"/>
    <w:rsid w:val="00EA46E3"/>
    <w:rsid w:val="00EA4999"/>
    <w:rsid w:val="00EA513C"/>
    <w:rsid w:val="00EA576B"/>
    <w:rsid w:val="00EA5D05"/>
    <w:rsid w:val="00EA7670"/>
    <w:rsid w:val="00EB083C"/>
    <w:rsid w:val="00EB20D2"/>
    <w:rsid w:val="00EB2305"/>
    <w:rsid w:val="00EB3DE4"/>
    <w:rsid w:val="00EB4580"/>
    <w:rsid w:val="00EB4DDB"/>
    <w:rsid w:val="00EB6C2E"/>
    <w:rsid w:val="00EB79C7"/>
    <w:rsid w:val="00EB7E92"/>
    <w:rsid w:val="00EC09D7"/>
    <w:rsid w:val="00EC0A46"/>
    <w:rsid w:val="00EC1EEF"/>
    <w:rsid w:val="00EC220B"/>
    <w:rsid w:val="00EC27C1"/>
    <w:rsid w:val="00EC287D"/>
    <w:rsid w:val="00EC36C5"/>
    <w:rsid w:val="00EC3BF9"/>
    <w:rsid w:val="00EC433E"/>
    <w:rsid w:val="00EC4755"/>
    <w:rsid w:val="00EC5363"/>
    <w:rsid w:val="00EC5D20"/>
    <w:rsid w:val="00EC5DFE"/>
    <w:rsid w:val="00EC63A1"/>
    <w:rsid w:val="00EC66C4"/>
    <w:rsid w:val="00EC72AE"/>
    <w:rsid w:val="00EC7BA5"/>
    <w:rsid w:val="00EC7EB4"/>
    <w:rsid w:val="00ED0C88"/>
    <w:rsid w:val="00ED11CC"/>
    <w:rsid w:val="00ED1414"/>
    <w:rsid w:val="00ED19AB"/>
    <w:rsid w:val="00ED1EB8"/>
    <w:rsid w:val="00ED2D76"/>
    <w:rsid w:val="00ED3919"/>
    <w:rsid w:val="00ED438A"/>
    <w:rsid w:val="00ED43AC"/>
    <w:rsid w:val="00ED4DFA"/>
    <w:rsid w:val="00ED54F5"/>
    <w:rsid w:val="00ED5C9D"/>
    <w:rsid w:val="00ED78C1"/>
    <w:rsid w:val="00ED7A70"/>
    <w:rsid w:val="00ED7DA5"/>
    <w:rsid w:val="00EE0A05"/>
    <w:rsid w:val="00EE0E28"/>
    <w:rsid w:val="00EE145D"/>
    <w:rsid w:val="00EE5BEF"/>
    <w:rsid w:val="00EE646B"/>
    <w:rsid w:val="00EE6962"/>
    <w:rsid w:val="00EE6D18"/>
    <w:rsid w:val="00EE7234"/>
    <w:rsid w:val="00EE78F6"/>
    <w:rsid w:val="00EE7A29"/>
    <w:rsid w:val="00EF0D9F"/>
    <w:rsid w:val="00EF1ECC"/>
    <w:rsid w:val="00EF2B3F"/>
    <w:rsid w:val="00EF30BD"/>
    <w:rsid w:val="00EF3E73"/>
    <w:rsid w:val="00EF4F08"/>
    <w:rsid w:val="00EF5801"/>
    <w:rsid w:val="00EF63A9"/>
    <w:rsid w:val="00EF657C"/>
    <w:rsid w:val="00EF6DB2"/>
    <w:rsid w:val="00EF6F37"/>
    <w:rsid w:val="00F003BF"/>
    <w:rsid w:val="00F02DBA"/>
    <w:rsid w:val="00F0315C"/>
    <w:rsid w:val="00F0389C"/>
    <w:rsid w:val="00F04313"/>
    <w:rsid w:val="00F06086"/>
    <w:rsid w:val="00F0726F"/>
    <w:rsid w:val="00F07B12"/>
    <w:rsid w:val="00F07D69"/>
    <w:rsid w:val="00F1034D"/>
    <w:rsid w:val="00F1079F"/>
    <w:rsid w:val="00F117ED"/>
    <w:rsid w:val="00F11876"/>
    <w:rsid w:val="00F1193D"/>
    <w:rsid w:val="00F12A31"/>
    <w:rsid w:val="00F132B1"/>
    <w:rsid w:val="00F148C3"/>
    <w:rsid w:val="00F15A83"/>
    <w:rsid w:val="00F15D66"/>
    <w:rsid w:val="00F15DEB"/>
    <w:rsid w:val="00F21D22"/>
    <w:rsid w:val="00F223DB"/>
    <w:rsid w:val="00F229E1"/>
    <w:rsid w:val="00F23AB2"/>
    <w:rsid w:val="00F24BC9"/>
    <w:rsid w:val="00F25A5C"/>
    <w:rsid w:val="00F27375"/>
    <w:rsid w:val="00F27CDB"/>
    <w:rsid w:val="00F30B77"/>
    <w:rsid w:val="00F31036"/>
    <w:rsid w:val="00F311E3"/>
    <w:rsid w:val="00F33F9D"/>
    <w:rsid w:val="00F34B11"/>
    <w:rsid w:val="00F35399"/>
    <w:rsid w:val="00F37298"/>
    <w:rsid w:val="00F373EB"/>
    <w:rsid w:val="00F37861"/>
    <w:rsid w:val="00F37BD3"/>
    <w:rsid w:val="00F4040B"/>
    <w:rsid w:val="00F420A1"/>
    <w:rsid w:val="00F4354F"/>
    <w:rsid w:val="00F43732"/>
    <w:rsid w:val="00F4397B"/>
    <w:rsid w:val="00F439B0"/>
    <w:rsid w:val="00F43E2A"/>
    <w:rsid w:val="00F45152"/>
    <w:rsid w:val="00F45668"/>
    <w:rsid w:val="00F45BAE"/>
    <w:rsid w:val="00F460E0"/>
    <w:rsid w:val="00F46E79"/>
    <w:rsid w:val="00F47254"/>
    <w:rsid w:val="00F47378"/>
    <w:rsid w:val="00F47678"/>
    <w:rsid w:val="00F50CDA"/>
    <w:rsid w:val="00F50D4E"/>
    <w:rsid w:val="00F50E87"/>
    <w:rsid w:val="00F52610"/>
    <w:rsid w:val="00F52876"/>
    <w:rsid w:val="00F52B6A"/>
    <w:rsid w:val="00F52CA0"/>
    <w:rsid w:val="00F52FA7"/>
    <w:rsid w:val="00F5316C"/>
    <w:rsid w:val="00F53389"/>
    <w:rsid w:val="00F542C1"/>
    <w:rsid w:val="00F5457A"/>
    <w:rsid w:val="00F547D0"/>
    <w:rsid w:val="00F557D6"/>
    <w:rsid w:val="00F558AF"/>
    <w:rsid w:val="00F558F7"/>
    <w:rsid w:val="00F559D8"/>
    <w:rsid w:val="00F55A60"/>
    <w:rsid w:val="00F56354"/>
    <w:rsid w:val="00F57267"/>
    <w:rsid w:val="00F57E43"/>
    <w:rsid w:val="00F610F8"/>
    <w:rsid w:val="00F61966"/>
    <w:rsid w:val="00F621E0"/>
    <w:rsid w:val="00F623EA"/>
    <w:rsid w:val="00F628A5"/>
    <w:rsid w:val="00F62992"/>
    <w:rsid w:val="00F63194"/>
    <w:rsid w:val="00F636F2"/>
    <w:rsid w:val="00F6382A"/>
    <w:rsid w:val="00F6395E"/>
    <w:rsid w:val="00F640AA"/>
    <w:rsid w:val="00F64BD2"/>
    <w:rsid w:val="00F64DCE"/>
    <w:rsid w:val="00F6516C"/>
    <w:rsid w:val="00F654ED"/>
    <w:rsid w:val="00F65F9E"/>
    <w:rsid w:val="00F6618C"/>
    <w:rsid w:val="00F66653"/>
    <w:rsid w:val="00F6725A"/>
    <w:rsid w:val="00F67A29"/>
    <w:rsid w:val="00F67DA6"/>
    <w:rsid w:val="00F702EB"/>
    <w:rsid w:val="00F70380"/>
    <w:rsid w:val="00F708ED"/>
    <w:rsid w:val="00F710D6"/>
    <w:rsid w:val="00F717E1"/>
    <w:rsid w:val="00F71D7D"/>
    <w:rsid w:val="00F72BDF"/>
    <w:rsid w:val="00F72EB3"/>
    <w:rsid w:val="00F73321"/>
    <w:rsid w:val="00F735A7"/>
    <w:rsid w:val="00F74441"/>
    <w:rsid w:val="00F745D9"/>
    <w:rsid w:val="00F75D17"/>
    <w:rsid w:val="00F76BB3"/>
    <w:rsid w:val="00F76D4E"/>
    <w:rsid w:val="00F772DA"/>
    <w:rsid w:val="00F7781E"/>
    <w:rsid w:val="00F81708"/>
    <w:rsid w:val="00F81F1D"/>
    <w:rsid w:val="00F82D68"/>
    <w:rsid w:val="00F8304F"/>
    <w:rsid w:val="00F847B5"/>
    <w:rsid w:val="00F85DFD"/>
    <w:rsid w:val="00F868BC"/>
    <w:rsid w:val="00F871F5"/>
    <w:rsid w:val="00F875DE"/>
    <w:rsid w:val="00F879B1"/>
    <w:rsid w:val="00F90D95"/>
    <w:rsid w:val="00F90F9D"/>
    <w:rsid w:val="00F91054"/>
    <w:rsid w:val="00F92653"/>
    <w:rsid w:val="00F92C69"/>
    <w:rsid w:val="00F9332E"/>
    <w:rsid w:val="00F94962"/>
    <w:rsid w:val="00F9521E"/>
    <w:rsid w:val="00F95E15"/>
    <w:rsid w:val="00F961DD"/>
    <w:rsid w:val="00F97015"/>
    <w:rsid w:val="00F9746E"/>
    <w:rsid w:val="00F974A9"/>
    <w:rsid w:val="00FA03B6"/>
    <w:rsid w:val="00FA1144"/>
    <w:rsid w:val="00FA1629"/>
    <w:rsid w:val="00FA226B"/>
    <w:rsid w:val="00FA2DC5"/>
    <w:rsid w:val="00FA33D9"/>
    <w:rsid w:val="00FA3486"/>
    <w:rsid w:val="00FA36DB"/>
    <w:rsid w:val="00FA429A"/>
    <w:rsid w:val="00FA4D82"/>
    <w:rsid w:val="00FA528E"/>
    <w:rsid w:val="00FA52E7"/>
    <w:rsid w:val="00FA5DD2"/>
    <w:rsid w:val="00FA63FC"/>
    <w:rsid w:val="00FA70D4"/>
    <w:rsid w:val="00FB092A"/>
    <w:rsid w:val="00FB0BC2"/>
    <w:rsid w:val="00FB2F90"/>
    <w:rsid w:val="00FB308E"/>
    <w:rsid w:val="00FB32D4"/>
    <w:rsid w:val="00FB3461"/>
    <w:rsid w:val="00FB48FD"/>
    <w:rsid w:val="00FB5CA3"/>
    <w:rsid w:val="00FC006A"/>
    <w:rsid w:val="00FC12B5"/>
    <w:rsid w:val="00FC1882"/>
    <w:rsid w:val="00FC1AD6"/>
    <w:rsid w:val="00FC1C2D"/>
    <w:rsid w:val="00FC27E6"/>
    <w:rsid w:val="00FC2803"/>
    <w:rsid w:val="00FC2B2D"/>
    <w:rsid w:val="00FC2CDB"/>
    <w:rsid w:val="00FC3263"/>
    <w:rsid w:val="00FC3633"/>
    <w:rsid w:val="00FC3A48"/>
    <w:rsid w:val="00FC49C1"/>
    <w:rsid w:val="00FC5058"/>
    <w:rsid w:val="00FC54B8"/>
    <w:rsid w:val="00FC735E"/>
    <w:rsid w:val="00FC7F42"/>
    <w:rsid w:val="00FD0883"/>
    <w:rsid w:val="00FD0CEF"/>
    <w:rsid w:val="00FD1263"/>
    <w:rsid w:val="00FD1EA4"/>
    <w:rsid w:val="00FD273B"/>
    <w:rsid w:val="00FD2B18"/>
    <w:rsid w:val="00FD34B2"/>
    <w:rsid w:val="00FD350C"/>
    <w:rsid w:val="00FD4A4B"/>
    <w:rsid w:val="00FD4B1F"/>
    <w:rsid w:val="00FD4ED0"/>
    <w:rsid w:val="00FD5D94"/>
    <w:rsid w:val="00FD65DE"/>
    <w:rsid w:val="00FD6DF2"/>
    <w:rsid w:val="00FE0D70"/>
    <w:rsid w:val="00FE1A06"/>
    <w:rsid w:val="00FE2E8D"/>
    <w:rsid w:val="00FE3738"/>
    <w:rsid w:val="00FE3ACE"/>
    <w:rsid w:val="00FE3DF9"/>
    <w:rsid w:val="00FE4F1F"/>
    <w:rsid w:val="00FE513E"/>
    <w:rsid w:val="00FE531F"/>
    <w:rsid w:val="00FE5F67"/>
    <w:rsid w:val="00FE65F9"/>
    <w:rsid w:val="00FE7764"/>
    <w:rsid w:val="00FF047B"/>
    <w:rsid w:val="00FF0F14"/>
    <w:rsid w:val="00FF177B"/>
    <w:rsid w:val="00FF249C"/>
    <w:rsid w:val="00FF2551"/>
    <w:rsid w:val="00FF2EA1"/>
    <w:rsid w:val="00FF35F6"/>
    <w:rsid w:val="00FF5C39"/>
    <w:rsid w:val="00FF5D67"/>
    <w:rsid w:val="00FF6321"/>
    <w:rsid w:val="00FF7622"/>
    <w:rsid w:val="0118668B"/>
    <w:rsid w:val="0135774A"/>
    <w:rsid w:val="013E2FDB"/>
    <w:rsid w:val="0164104B"/>
    <w:rsid w:val="01E22EEF"/>
    <w:rsid w:val="02094019"/>
    <w:rsid w:val="02180C4F"/>
    <w:rsid w:val="021A12EA"/>
    <w:rsid w:val="024876E8"/>
    <w:rsid w:val="025A3D10"/>
    <w:rsid w:val="02E0504F"/>
    <w:rsid w:val="02E97045"/>
    <w:rsid w:val="02FB6E41"/>
    <w:rsid w:val="032C1F09"/>
    <w:rsid w:val="035A3286"/>
    <w:rsid w:val="03FB06D5"/>
    <w:rsid w:val="047A1299"/>
    <w:rsid w:val="048B07CE"/>
    <w:rsid w:val="04B33CE6"/>
    <w:rsid w:val="04D12E16"/>
    <w:rsid w:val="04F21D18"/>
    <w:rsid w:val="04FD01C0"/>
    <w:rsid w:val="055E0BF4"/>
    <w:rsid w:val="06AB62C8"/>
    <w:rsid w:val="06C73992"/>
    <w:rsid w:val="073A04FC"/>
    <w:rsid w:val="0772543B"/>
    <w:rsid w:val="077305E3"/>
    <w:rsid w:val="079F4F94"/>
    <w:rsid w:val="07C55136"/>
    <w:rsid w:val="07CD0531"/>
    <w:rsid w:val="08D11764"/>
    <w:rsid w:val="08E62510"/>
    <w:rsid w:val="08FA0F77"/>
    <w:rsid w:val="095744B5"/>
    <w:rsid w:val="096E10A3"/>
    <w:rsid w:val="0A2025BA"/>
    <w:rsid w:val="0A530C57"/>
    <w:rsid w:val="0B242CDB"/>
    <w:rsid w:val="0B2D534F"/>
    <w:rsid w:val="0BBF6BB4"/>
    <w:rsid w:val="0BF12592"/>
    <w:rsid w:val="0C345EBE"/>
    <w:rsid w:val="0C556F6C"/>
    <w:rsid w:val="0C7809C1"/>
    <w:rsid w:val="0CA2715E"/>
    <w:rsid w:val="0D654885"/>
    <w:rsid w:val="0D7D2F98"/>
    <w:rsid w:val="0E0B3EC4"/>
    <w:rsid w:val="0E2F5F67"/>
    <w:rsid w:val="0ED111EF"/>
    <w:rsid w:val="0F3321D7"/>
    <w:rsid w:val="0FFF3EA0"/>
    <w:rsid w:val="107F1728"/>
    <w:rsid w:val="10D4508F"/>
    <w:rsid w:val="10DA16C3"/>
    <w:rsid w:val="113A1037"/>
    <w:rsid w:val="11402131"/>
    <w:rsid w:val="11E1356E"/>
    <w:rsid w:val="12144A4C"/>
    <w:rsid w:val="12274323"/>
    <w:rsid w:val="124A00A6"/>
    <w:rsid w:val="12792853"/>
    <w:rsid w:val="128E38FC"/>
    <w:rsid w:val="12977C5B"/>
    <w:rsid w:val="131979D7"/>
    <w:rsid w:val="13753309"/>
    <w:rsid w:val="13C3253D"/>
    <w:rsid w:val="14C77127"/>
    <w:rsid w:val="1517452C"/>
    <w:rsid w:val="153D308F"/>
    <w:rsid w:val="156C4FA6"/>
    <w:rsid w:val="158647F4"/>
    <w:rsid w:val="15D96070"/>
    <w:rsid w:val="15F202E1"/>
    <w:rsid w:val="160216D0"/>
    <w:rsid w:val="163E69B4"/>
    <w:rsid w:val="1641787C"/>
    <w:rsid w:val="1649653A"/>
    <w:rsid w:val="16860739"/>
    <w:rsid w:val="16AB203A"/>
    <w:rsid w:val="1705389A"/>
    <w:rsid w:val="173931F9"/>
    <w:rsid w:val="174940E7"/>
    <w:rsid w:val="17656506"/>
    <w:rsid w:val="178D354C"/>
    <w:rsid w:val="17A66650"/>
    <w:rsid w:val="17EA48C1"/>
    <w:rsid w:val="17FA21C3"/>
    <w:rsid w:val="183E69BC"/>
    <w:rsid w:val="18701E4F"/>
    <w:rsid w:val="1874035B"/>
    <w:rsid w:val="1881346C"/>
    <w:rsid w:val="188F2709"/>
    <w:rsid w:val="18A0023E"/>
    <w:rsid w:val="18A349BF"/>
    <w:rsid w:val="18DE5562"/>
    <w:rsid w:val="19935E0F"/>
    <w:rsid w:val="19D67B1E"/>
    <w:rsid w:val="1AC55489"/>
    <w:rsid w:val="1B016E5B"/>
    <w:rsid w:val="1B5E62E3"/>
    <w:rsid w:val="1B8A18C6"/>
    <w:rsid w:val="1BF143A7"/>
    <w:rsid w:val="1C620459"/>
    <w:rsid w:val="1C7366B7"/>
    <w:rsid w:val="1C9B1BC8"/>
    <w:rsid w:val="1CDB4BD9"/>
    <w:rsid w:val="1D130F0E"/>
    <w:rsid w:val="1D7E4261"/>
    <w:rsid w:val="1DBA42CB"/>
    <w:rsid w:val="1DC00253"/>
    <w:rsid w:val="1E0E780F"/>
    <w:rsid w:val="1E28171A"/>
    <w:rsid w:val="1E4525B2"/>
    <w:rsid w:val="1E8E78CB"/>
    <w:rsid w:val="1E967821"/>
    <w:rsid w:val="1EAD27AA"/>
    <w:rsid w:val="1EF71547"/>
    <w:rsid w:val="1F1C0E6C"/>
    <w:rsid w:val="1F4D283F"/>
    <w:rsid w:val="1F68071B"/>
    <w:rsid w:val="2006394F"/>
    <w:rsid w:val="209E5422"/>
    <w:rsid w:val="217C4363"/>
    <w:rsid w:val="21D05464"/>
    <w:rsid w:val="22385B62"/>
    <w:rsid w:val="232B3A85"/>
    <w:rsid w:val="23BB3852"/>
    <w:rsid w:val="23E62F23"/>
    <w:rsid w:val="23E67023"/>
    <w:rsid w:val="245C6B98"/>
    <w:rsid w:val="24C27484"/>
    <w:rsid w:val="24CB252C"/>
    <w:rsid w:val="250C2861"/>
    <w:rsid w:val="25334A8F"/>
    <w:rsid w:val="25D9208B"/>
    <w:rsid w:val="25F00525"/>
    <w:rsid w:val="260236E8"/>
    <w:rsid w:val="261F0915"/>
    <w:rsid w:val="26D24959"/>
    <w:rsid w:val="27084092"/>
    <w:rsid w:val="2713017F"/>
    <w:rsid w:val="271734C0"/>
    <w:rsid w:val="272B2C33"/>
    <w:rsid w:val="27505101"/>
    <w:rsid w:val="27820BC2"/>
    <w:rsid w:val="278E1A78"/>
    <w:rsid w:val="28B14CF3"/>
    <w:rsid w:val="28CE1560"/>
    <w:rsid w:val="291A6927"/>
    <w:rsid w:val="29AC3D11"/>
    <w:rsid w:val="29BC3A9C"/>
    <w:rsid w:val="2A092AB2"/>
    <w:rsid w:val="2A674247"/>
    <w:rsid w:val="2A68533D"/>
    <w:rsid w:val="2A7E2845"/>
    <w:rsid w:val="2A991300"/>
    <w:rsid w:val="2AE64A3A"/>
    <w:rsid w:val="2B346112"/>
    <w:rsid w:val="2BCD6D60"/>
    <w:rsid w:val="2C1C5785"/>
    <w:rsid w:val="2C37731C"/>
    <w:rsid w:val="2C982A9C"/>
    <w:rsid w:val="2CEC10E5"/>
    <w:rsid w:val="2CF162E8"/>
    <w:rsid w:val="2D87411D"/>
    <w:rsid w:val="2D9D1A03"/>
    <w:rsid w:val="2DF94778"/>
    <w:rsid w:val="2E0B420B"/>
    <w:rsid w:val="2E2547BF"/>
    <w:rsid w:val="2F37683A"/>
    <w:rsid w:val="31EE26C8"/>
    <w:rsid w:val="31FB698F"/>
    <w:rsid w:val="323A3E3E"/>
    <w:rsid w:val="3277227B"/>
    <w:rsid w:val="32C7765E"/>
    <w:rsid w:val="32CA2532"/>
    <w:rsid w:val="32D9029E"/>
    <w:rsid w:val="33EB3CEE"/>
    <w:rsid w:val="33FB7209"/>
    <w:rsid w:val="34910885"/>
    <w:rsid w:val="34AB4DE7"/>
    <w:rsid w:val="34B0337D"/>
    <w:rsid w:val="34C9605D"/>
    <w:rsid w:val="34E76882"/>
    <w:rsid w:val="350F5F0C"/>
    <w:rsid w:val="35FD4B22"/>
    <w:rsid w:val="3607373D"/>
    <w:rsid w:val="3627678C"/>
    <w:rsid w:val="36746E1E"/>
    <w:rsid w:val="36F529A6"/>
    <w:rsid w:val="376161AC"/>
    <w:rsid w:val="37AE2B10"/>
    <w:rsid w:val="37F073E0"/>
    <w:rsid w:val="37F306BD"/>
    <w:rsid w:val="38431C78"/>
    <w:rsid w:val="387E353F"/>
    <w:rsid w:val="39517ED7"/>
    <w:rsid w:val="39534FCF"/>
    <w:rsid w:val="39D76AC2"/>
    <w:rsid w:val="3A4F3527"/>
    <w:rsid w:val="3AB73588"/>
    <w:rsid w:val="3ABF338F"/>
    <w:rsid w:val="3ACD09A4"/>
    <w:rsid w:val="3AE414BC"/>
    <w:rsid w:val="3AF42E20"/>
    <w:rsid w:val="3B11419E"/>
    <w:rsid w:val="3B222B91"/>
    <w:rsid w:val="3BD40429"/>
    <w:rsid w:val="3CDF2357"/>
    <w:rsid w:val="3D5D2570"/>
    <w:rsid w:val="3DD41F4D"/>
    <w:rsid w:val="3EEB31F8"/>
    <w:rsid w:val="3EFC0D98"/>
    <w:rsid w:val="3F004D6D"/>
    <w:rsid w:val="3F644550"/>
    <w:rsid w:val="401B42B1"/>
    <w:rsid w:val="401D42A1"/>
    <w:rsid w:val="403861BE"/>
    <w:rsid w:val="40565757"/>
    <w:rsid w:val="40DD7C7A"/>
    <w:rsid w:val="415621B6"/>
    <w:rsid w:val="41650F9C"/>
    <w:rsid w:val="42004864"/>
    <w:rsid w:val="424A5077"/>
    <w:rsid w:val="426C0506"/>
    <w:rsid w:val="42A40AB6"/>
    <w:rsid w:val="43232629"/>
    <w:rsid w:val="43863141"/>
    <w:rsid w:val="43B73360"/>
    <w:rsid w:val="43D369D4"/>
    <w:rsid w:val="445115D2"/>
    <w:rsid w:val="447173A4"/>
    <w:rsid w:val="44B624A9"/>
    <w:rsid w:val="44FF0C3E"/>
    <w:rsid w:val="45156D9D"/>
    <w:rsid w:val="456E2077"/>
    <w:rsid w:val="45B705F7"/>
    <w:rsid w:val="45D17A1D"/>
    <w:rsid w:val="46064ACA"/>
    <w:rsid w:val="46372397"/>
    <w:rsid w:val="46536F4D"/>
    <w:rsid w:val="46E33281"/>
    <w:rsid w:val="473B0685"/>
    <w:rsid w:val="47411156"/>
    <w:rsid w:val="47733101"/>
    <w:rsid w:val="477D30ED"/>
    <w:rsid w:val="478F1D61"/>
    <w:rsid w:val="47AF75A2"/>
    <w:rsid w:val="47B343B5"/>
    <w:rsid w:val="48073FF4"/>
    <w:rsid w:val="480C5B3E"/>
    <w:rsid w:val="484C656D"/>
    <w:rsid w:val="48775EEE"/>
    <w:rsid w:val="492F1990"/>
    <w:rsid w:val="49376FD1"/>
    <w:rsid w:val="497273C6"/>
    <w:rsid w:val="4A495CD2"/>
    <w:rsid w:val="4A621E0C"/>
    <w:rsid w:val="4AD638D9"/>
    <w:rsid w:val="4B3419C4"/>
    <w:rsid w:val="4BD9518E"/>
    <w:rsid w:val="4C051C9C"/>
    <w:rsid w:val="4C0650FC"/>
    <w:rsid w:val="4C2F48E8"/>
    <w:rsid w:val="4CC233FB"/>
    <w:rsid w:val="4D0B6B9A"/>
    <w:rsid w:val="4D2D47C3"/>
    <w:rsid w:val="4D465B41"/>
    <w:rsid w:val="4DB92B07"/>
    <w:rsid w:val="4DF578C5"/>
    <w:rsid w:val="4E3465C6"/>
    <w:rsid w:val="4EA973E8"/>
    <w:rsid w:val="4EAC070E"/>
    <w:rsid w:val="4EFF0E96"/>
    <w:rsid w:val="4F7E06ED"/>
    <w:rsid w:val="4F837F80"/>
    <w:rsid w:val="4FE56D34"/>
    <w:rsid w:val="50092009"/>
    <w:rsid w:val="501B3F38"/>
    <w:rsid w:val="509C4042"/>
    <w:rsid w:val="50AE5B33"/>
    <w:rsid w:val="50C529B2"/>
    <w:rsid w:val="50F32F97"/>
    <w:rsid w:val="51185ECD"/>
    <w:rsid w:val="511E40BF"/>
    <w:rsid w:val="514D16F8"/>
    <w:rsid w:val="51AE5717"/>
    <w:rsid w:val="51BC2454"/>
    <w:rsid w:val="52124463"/>
    <w:rsid w:val="5224261C"/>
    <w:rsid w:val="52627DAB"/>
    <w:rsid w:val="52F64A93"/>
    <w:rsid w:val="53287732"/>
    <w:rsid w:val="5338000B"/>
    <w:rsid w:val="536F6135"/>
    <w:rsid w:val="537A6DDA"/>
    <w:rsid w:val="540E33C8"/>
    <w:rsid w:val="547406A5"/>
    <w:rsid w:val="54CA0AEC"/>
    <w:rsid w:val="55512FE3"/>
    <w:rsid w:val="55E42975"/>
    <w:rsid w:val="562931DB"/>
    <w:rsid w:val="56B2378D"/>
    <w:rsid w:val="56DE163C"/>
    <w:rsid w:val="570E1B7D"/>
    <w:rsid w:val="57202526"/>
    <w:rsid w:val="573C6112"/>
    <w:rsid w:val="574949AA"/>
    <w:rsid w:val="57F64E99"/>
    <w:rsid w:val="580501AF"/>
    <w:rsid w:val="587D13BE"/>
    <w:rsid w:val="589658F5"/>
    <w:rsid w:val="591612EA"/>
    <w:rsid w:val="594F2A8B"/>
    <w:rsid w:val="59B34E3E"/>
    <w:rsid w:val="59DD2FE2"/>
    <w:rsid w:val="5A0F6842"/>
    <w:rsid w:val="5A7D1893"/>
    <w:rsid w:val="5AD9194A"/>
    <w:rsid w:val="5AF65560"/>
    <w:rsid w:val="5B4E5095"/>
    <w:rsid w:val="5BAE468B"/>
    <w:rsid w:val="5BBB7978"/>
    <w:rsid w:val="5BC273C6"/>
    <w:rsid w:val="5CD478FD"/>
    <w:rsid w:val="5D431218"/>
    <w:rsid w:val="5D4361AE"/>
    <w:rsid w:val="5D45400B"/>
    <w:rsid w:val="5DB8520C"/>
    <w:rsid w:val="5E1D0CD6"/>
    <w:rsid w:val="5E2C5814"/>
    <w:rsid w:val="5E520791"/>
    <w:rsid w:val="5E535EE5"/>
    <w:rsid w:val="5E7B2122"/>
    <w:rsid w:val="5EC6593C"/>
    <w:rsid w:val="5F1B0131"/>
    <w:rsid w:val="5F6829C1"/>
    <w:rsid w:val="5FAA1071"/>
    <w:rsid w:val="5FF655F4"/>
    <w:rsid w:val="603551EA"/>
    <w:rsid w:val="60626EEF"/>
    <w:rsid w:val="6105188D"/>
    <w:rsid w:val="61190549"/>
    <w:rsid w:val="61533A4A"/>
    <w:rsid w:val="619009B0"/>
    <w:rsid w:val="61DF2C4E"/>
    <w:rsid w:val="621F4EBE"/>
    <w:rsid w:val="62251304"/>
    <w:rsid w:val="62D529B7"/>
    <w:rsid w:val="630B67BC"/>
    <w:rsid w:val="632F0B03"/>
    <w:rsid w:val="63767625"/>
    <w:rsid w:val="63D50725"/>
    <w:rsid w:val="63E45C9B"/>
    <w:rsid w:val="63FD5C20"/>
    <w:rsid w:val="64AA535B"/>
    <w:rsid w:val="64BA6126"/>
    <w:rsid w:val="64FD103B"/>
    <w:rsid w:val="652E734E"/>
    <w:rsid w:val="654939E3"/>
    <w:rsid w:val="65632BDF"/>
    <w:rsid w:val="6572002E"/>
    <w:rsid w:val="65840EE5"/>
    <w:rsid w:val="65A82464"/>
    <w:rsid w:val="65CC201A"/>
    <w:rsid w:val="65D01B96"/>
    <w:rsid w:val="66EF02BB"/>
    <w:rsid w:val="670648FC"/>
    <w:rsid w:val="6792042E"/>
    <w:rsid w:val="67EB6046"/>
    <w:rsid w:val="68517122"/>
    <w:rsid w:val="68814B19"/>
    <w:rsid w:val="68A77392"/>
    <w:rsid w:val="68CC52CB"/>
    <w:rsid w:val="68EF4BBD"/>
    <w:rsid w:val="68F54D97"/>
    <w:rsid w:val="69490586"/>
    <w:rsid w:val="6A11171F"/>
    <w:rsid w:val="6A6A6FEF"/>
    <w:rsid w:val="6AAD2347"/>
    <w:rsid w:val="6B5F47B0"/>
    <w:rsid w:val="6BB20337"/>
    <w:rsid w:val="6BF17B96"/>
    <w:rsid w:val="6CF50CA9"/>
    <w:rsid w:val="6D3214C6"/>
    <w:rsid w:val="6D532409"/>
    <w:rsid w:val="6DA06F00"/>
    <w:rsid w:val="6DFC00C1"/>
    <w:rsid w:val="6E2E04FD"/>
    <w:rsid w:val="6E825190"/>
    <w:rsid w:val="6EA02F2B"/>
    <w:rsid w:val="6EB428FB"/>
    <w:rsid w:val="6EFC09F4"/>
    <w:rsid w:val="6F074403"/>
    <w:rsid w:val="6FA678F9"/>
    <w:rsid w:val="6FB4571F"/>
    <w:rsid w:val="6FF758AD"/>
    <w:rsid w:val="70C6135B"/>
    <w:rsid w:val="715F4A78"/>
    <w:rsid w:val="719C1094"/>
    <w:rsid w:val="726815A6"/>
    <w:rsid w:val="72950CCE"/>
    <w:rsid w:val="72B77BD7"/>
    <w:rsid w:val="72BA7EDF"/>
    <w:rsid w:val="72DB02EA"/>
    <w:rsid w:val="72DF0017"/>
    <w:rsid w:val="734C4E5D"/>
    <w:rsid w:val="73E2490F"/>
    <w:rsid w:val="742C2AF8"/>
    <w:rsid w:val="74FE30DA"/>
    <w:rsid w:val="757035C8"/>
    <w:rsid w:val="759620BF"/>
    <w:rsid w:val="759D68D9"/>
    <w:rsid w:val="75AF2D89"/>
    <w:rsid w:val="75CB444F"/>
    <w:rsid w:val="75E67D10"/>
    <w:rsid w:val="76723ADB"/>
    <w:rsid w:val="77863BCF"/>
    <w:rsid w:val="779410CA"/>
    <w:rsid w:val="77A071CF"/>
    <w:rsid w:val="78203122"/>
    <w:rsid w:val="782177E9"/>
    <w:rsid w:val="78D422C7"/>
    <w:rsid w:val="78F33E2C"/>
    <w:rsid w:val="79072C58"/>
    <w:rsid w:val="7A472CF8"/>
    <w:rsid w:val="7A7C159E"/>
    <w:rsid w:val="7A931E03"/>
    <w:rsid w:val="7A9D0F2F"/>
    <w:rsid w:val="7AAF0BB3"/>
    <w:rsid w:val="7AB46E49"/>
    <w:rsid w:val="7AE4454E"/>
    <w:rsid w:val="7B3F716E"/>
    <w:rsid w:val="7C31327C"/>
    <w:rsid w:val="7C5C3B46"/>
    <w:rsid w:val="7D2C717C"/>
    <w:rsid w:val="7D351A13"/>
    <w:rsid w:val="7DED533C"/>
    <w:rsid w:val="7E116F41"/>
    <w:rsid w:val="7E602535"/>
    <w:rsid w:val="7EDB3D59"/>
    <w:rsid w:val="7F01049A"/>
    <w:rsid w:val="7F8C4A9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8"/>
    <w:qFormat/>
    <w:uiPriority w:val="0"/>
    <w:pPr>
      <w:keepNext/>
      <w:keepLines/>
      <w:spacing w:before="260" w:after="260" w:line="416" w:lineRule="auto"/>
      <w:outlineLvl w:val="1"/>
    </w:pPr>
    <w:rPr>
      <w:rFonts w:ascii="Cambria" w:hAnsi="Cambria"/>
      <w:b/>
      <w:bCs/>
      <w:sz w:val="32"/>
      <w:szCs w:val="32"/>
    </w:rPr>
  </w:style>
  <w:style w:type="paragraph" w:styleId="2">
    <w:name w:val="heading 3"/>
    <w:basedOn w:val="1"/>
    <w:next w:val="1"/>
    <w:link w:val="307"/>
    <w:qFormat/>
    <w:uiPriority w:val="0"/>
    <w:pPr>
      <w:keepNext/>
      <w:keepLines/>
      <w:spacing w:before="260" w:after="260" w:line="416" w:lineRule="auto"/>
      <w:outlineLvl w:val="2"/>
    </w:pPr>
    <w:rPr>
      <w:b/>
      <w:bCs/>
      <w:sz w:val="32"/>
      <w:szCs w:val="32"/>
    </w:rPr>
  </w:style>
  <w:style w:type="paragraph" w:styleId="5">
    <w:name w:val="heading 4"/>
    <w:basedOn w:val="1"/>
    <w:next w:val="1"/>
    <w:link w:val="166"/>
    <w:qFormat/>
    <w:uiPriority w:val="0"/>
    <w:pPr>
      <w:widowControl/>
      <w:spacing w:before="100" w:beforeAutospacing="1" w:after="100" w:afterAutospacing="1"/>
      <w:jc w:val="left"/>
      <w:outlineLvl w:val="3"/>
    </w:pPr>
    <w:rPr>
      <w:rFonts w:ascii="宋体" w:hAnsi="宋体" w:cs="宋体"/>
      <w:b/>
      <w:bCs/>
      <w:kern w:val="0"/>
      <w:sz w:val="24"/>
    </w:rPr>
  </w:style>
  <w:style w:type="paragraph" w:styleId="6">
    <w:name w:val="heading 5"/>
    <w:basedOn w:val="1"/>
    <w:next w:val="1"/>
    <w:link w:val="280"/>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7">
    <w:name w:val="heading 6"/>
    <w:basedOn w:val="8"/>
    <w:next w:val="1"/>
    <w:link w:val="236"/>
    <w:qFormat/>
    <w:uiPriority w:val="0"/>
    <w:pPr>
      <w:keepNext/>
      <w:keepLines/>
      <w:ind w:firstLine="200" w:firstLineChars="200"/>
      <w:outlineLvl w:val="5"/>
    </w:pPr>
    <w:rPr>
      <w:rFonts w:hAnsi="Arial"/>
    </w:rPr>
  </w:style>
  <w:style w:type="paragraph" w:styleId="9">
    <w:name w:val="heading 7"/>
    <w:basedOn w:val="1"/>
    <w:next w:val="1"/>
    <w:link w:val="291"/>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0">
    <w:name w:val="heading 8"/>
    <w:basedOn w:val="1"/>
    <w:next w:val="1"/>
    <w:link w:val="250"/>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1">
    <w:name w:val="heading 9"/>
    <w:basedOn w:val="1"/>
    <w:next w:val="1"/>
    <w:link w:val="249"/>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5">
    <w:name w:val="Default Paragraph Font"/>
    <w:unhideWhenUsed/>
    <w:qFormat/>
    <w:uiPriority w:val="1"/>
  </w:style>
  <w:style w:type="table" w:default="1" w:styleId="62">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2">
    <w:name w:val="annotation subject"/>
    <w:basedOn w:val="13"/>
    <w:next w:val="13"/>
    <w:link w:val="288"/>
    <w:qFormat/>
    <w:uiPriority w:val="0"/>
    <w:rPr>
      <w:b/>
      <w:bCs/>
    </w:rPr>
  </w:style>
  <w:style w:type="paragraph" w:styleId="13">
    <w:name w:val="annotation text"/>
    <w:basedOn w:val="1"/>
    <w:link w:val="313"/>
    <w:qFormat/>
    <w:uiPriority w:val="99"/>
    <w:pPr>
      <w:jc w:val="left"/>
    </w:pPr>
  </w:style>
  <w:style w:type="paragraph" w:styleId="14">
    <w:name w:val="toc 7"/>
    <w:basedOn w:val="1"/>
    <w:next w:val="1"/>
    <w:qFormat/>
    <w:uiPriority w:val="39"/>
    <w:pPr>
      <w:ind w:left="1260"/>
      <w:jc w:val="left"/>
    </w:pPr>
    <w:rPr>
      <w:sz w:val="18"/>
      <w:szCs w:val="18"/>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170"/>
    <w:qFormat/>
    <w:uiPriority w:val="0"/>
    <w:pPr>
      <w:shd w:val="clear" w:color="auto" w:fill="000080"/>
    </w:pPr>
  </w:style>
  <w:style w:type="paragraph" w:styleId="17">
    <w:name w:val="Body Text 3"/>
    <w:basedOn w:val="1"/>
    <w:link w:val="265"/>
    <w:qFormat/>
    <w:uiPriority w:val="0"/>
    <w:pPr>
      <w:spacing w:after="120"/>
    </w:pPr>
    <w:rPr>
      <w:sz w:val="16"/>
      <w:szCs w:val="16"/>
    </w:rPr>
  </w:style>
  <w:style w:type="paragraph" w:styleId="18">
    <w:name w:val="Body Text"/>
    <w:basedOn w:val="1"/>
    <w:next w:val="1"/>
    <w:link w:val="233"/>
    <w:qFormat/>
    <w:uiPriority w:val="0"/>
    <w:pPr>
      <w:spacing w:after="120"/>
    </w:pPr>
  </w:style>
  <w:style w:type="paragraph" w:styleId="19">
    <w:name w:val="Body Text Indent"/>
    <w:basedOn w:val="1"/>
    <w:link w:val="248"/>
    <w:qFormat/>
    <w:uiPriority w:val="0"/>
    <w:pPr>
      <w:ind w:firstLine="407" w:firstLineChars="200"/>
    </w:p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qFormat/>
    <w:uiPriority w:val="0"/>
    <w:pPr>
      <w:ind w:left="600" w:leftChars="600"/>
    </w:pPr>
  </w:style>
  <w:style w:type="paragraph" w:styleId="22">
    <w:name w:val="toc 5"/>
    <w:basedOn w:val="1"/>
    <w:next w:val="1"/>
    <w:qFormat/>
    <w:uiPriority w:val="39"/>
    <w:pPr>
      <w:ind w:left="840"/>
      <w:jc w:val="left"/>
    </w:pPr>
    <w:rPr>
      <w:sz w:val="18"/>
      <w:szCs w:val="18"/>
    </w:rPr>
  </w:style>
  <w:style w:type="paragraph" w:styleId="23">
    <w:name w:val="toc 3"/>
    <w:basedOn w:val="2"/>
    <w:next w:val="1"/>
    <w:qFormat/>
    <w:uiPriority w:val="39"/>
    <w:pPr>
      <w:keepNext w:val="0"/>
      <w:keepLines w:val="0"/>
      <w:spacing w:before="0" w:after="0" w:line="240" w:lineRule="auto"/>
      <w:ind w:left="420"/>
      <w:jc w:val="left"/>
      <w:outlineLvl w:val="9"/>
    </w:pPr>
    <w:rPr>
      <w:b w:val="0"/>
      <w:bCs w:val="0"/>
      <w:i/>
      <w:iCs/>
      <w:sz w:val="20"/>
      <w:szCs w:val="20"/>
    </w:rPr>
  </w:style>
  <w:style w:type="paragraph" w:styleId="24">
    <w:name w:val="Plain Text"/>
    <w:basedOn w:val="1"/>
    <w:link w:val="210"/>
    <w:qFormat/>
    <w:uiPriority w:val="0"/>
    <w:rPr>
      <w:rFonts w:ascii="宋体" w:hAnsi="Courier New" w:cs="Courier New"/>
      <w:szCs w:val="21"/>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174"/>
    <w:qFormat/>
    <w:uiPriority w:val="0"/>
    <w:pPr>
      <w:ind w:left="100" w:leftChars="2500"/>
    </w:pPr>
  </w:style>
  <w:style w:type="paragraph" w:styleId="27">
    <w:name w:val="Body Text Indent 2"/>
    <w:basedOn w:val="1"/>
    <w:link w:val="245"/>
    <w:qFormat/>
    <w:uiPriority w:val="0"/>
    <w:pPr>
      <w:widowControl/>
      <w:spacing w:line="480" w:lineRule="auto"/>
      <w:ind w:firstLine="560"/>
      <w:jc w:val="left"/>
    </w:pPr>
    <w:rPr>
      <w:kern w:val="0"/>
      <w:sz w:val="28"/>
    </w:rPr>
  </w:style>
  <w:style w:type="paragraph" w:styleId="28">
    <w:name w:val="endnote text"/>
    <w:basedOn w:val="1"/>
    <w:link w:val="218"/>
    <w:qFormat/>
    <w:uiPriority w:val="0"/>
    <w:pPr>
      <w:widowControl/>
      <w:snapToGrid w:val="0"/>
      <w:jc w:val="left"/>
    </w:pPr>
    <w:rPr>
      <w:rFonts w:ascii="Arial" w:hAnsi="Arial" w:cs="Arial"/>
      <w:kern w:val="0"/>
      <w:sz w:val="20"/>
      <w:lang w:eastAsia="en-US"/>
    </w:rPr>
  </w:style>
  <w:style w:type="paragraph" w:styleId="29">
    <w:name w:val="Balloon Text"/>
    <w:basedOn w:val="1"/>
    <w:link w:val="213"/>
    <w:qFormat/>
    <w:uiPriority w:val="0"/>
    <w:rPr>
      <w:sz w:val="18"/>
      <w:szCs w:val="18"/>
    </w:rPr>
  </w:style>
  <w:style w:type="paragraph" w:styleId="30">
    <w:name w:val="footer"/>
    <w:basedOn w:val="1"/>
    <w:link w:val="205"/>
    <w:qFormat/>
    <w:uiPriority w:val="0"/>
    <w:pPr>
      <w:tabs>
        <w:tab w:val="center" w:pos="4153"/>
        <w:tab w:val="right" w:pos="8306"/>
      </w:tabs>
      <w:snapToGrid w:val="0"/>
      <w:jc w:val="left"/>
    </w:pPr>
    <w:rPr>
      <w:sz w:val="18"/>
      <w:szCs w:val="18"/>
    </w:rPr>
  </w:style>
  <w:style w:type="paragraph" w:styleId="31">
    <w:name w:val="header"/>
    <w:basedOn w:val="1"/>
    <w:link w:val="299"/>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keepNext w:val="0"/>
      <w:keepLines w:val="0"/>
      <w:spacing w:before="120" w:after="120" w:line="240" w:lineRule="auto"/>
      <w:jc w:val="left"/>
      <w:outlineLvl w:val="9"/>
    </w:pPr>
    <w:rPr>
      <w:caps/>
      <w:kern w:val="2"/>
      <w:sz w:val="20"/>
      <w:szCs w:val="20"/>
    </w:rPr>
  </w:style>
  <w:style w:type="paragraph" w:styleId="33">
    <w:name w:val="toc 4"/>
    <w:basedOn w:val="5"/>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4">
    <w:name w:val="Subtitle"/>
    <w:basedOn w:val="1"/>
    <w:link w:val="315"/>
    <w:qFormat/>
    <w:uiPriority w:val="0"/>
    <w:pPr>
      <w:widowControl/>
      <w:jc w:val="center"/>
    </w:pPr>
    <w:rPr>
      <w:kern w:val="0"/>
      <w:sz w:val="20"/>
      <w:u w:val="single"/>
      <w:lang w:eastAsia="en-US"/>
    </w:rPr>
  </w:style>
  <w:style w:type="paragraph" w:styleId="35">
    <w:name w:val="footnote text"/>
    <w:basedOn w:val="1"/>
    <w:link w:val="293"/>
    <w:qFormat/>
    <w:uiPriority w:val="0"/>
    <w:pPr>
      <w:widowControl/>
      <w:snapToGrid w:val="0"/>
      <w:jc w:val="left"/>
    </w:pPr>
    <w:rPr>
      <w:rFonts w:ascii="Arial" w:hAnsi="Arial" w:cs="Arial"/>
      <w:kern w:val="0"/>
      <w:sz w:val="18"/>
      <w:szCs w:val="18"/>
      <w:lang w:eastAsia="en-US"/>
    </w:rPr>
  </w:style>
  <w:style w:type="paragraph" w:styleId="36">
    <w:name w:val="toc 6"/>
    <w:basedOn w:val="1"/>
    <w:next w:val="1"/>
    <w:qFormat/>
    <w:uiPriority w:val="39"/>
    <w:pPr>
      <w:ind w:left="1050"/>
      <w:jc w:val="left"/>
    </w:pPr>
    <w:rPr>
      <w:sz w:val="18"/>
      <w:szCs w:val="18"/>
    </w:rPr>
  </w:style>
  <w:style w:type="paragraph" w:styleId="37">
    <w:name w:val="Body Text Indent 3"/>
    <w:basedOn w:val="1"/>
    <w:link w:val="252"/>
    <w:qFormat/>
    <w:uiPriority w:val="0"/>
    <w:pPr>
      <w:spacing w:line="360" w:lineRule="auto"/>
      <w:ind w:firstLine="280" w:firstLineChars="100"/>
    </w:pPr>
    <w:rPr>
      <w:rFonts w:ascii="宋体" w:hAnsi="宋体"/>
      <w:sz w:val="28"/>
      <w:szCs w:val="28"/>
    </w:rPr>
  </w:style>
  <w:style w:type="paragraph" w:styleId="38">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9">
    <w:name w:val="toc 9"/>
    <w:basedOn w:val="1"/>
    <w:next w:val="1"/>
    <w:qFormat/>
    <w:uiPriority w:val="39"/>
    <w:pPr>
      <w:ind w:left="1680"/>
      <w:jc w:val="left"/>
    </w:pPr>
    <w:rPr>
      <w:sz w:val="18"/>
      <w:szCs w:val="18"/>
    </w:rPr>
  </w:style>
  <w:style w:type="paragraph" w:styleId="40">
    <w:name w:val="Body Text 2"/>
    <w:basedOn w:val="1"/>
    <w:link w:val="239"/>
    <w:qFormat/>
    <w:uiPriority w:val="0"/>
    <w:rPr>
      <w:i/>
      <w:iCs/>
      <w:sz w:val="26"/>
    </w:rPr>
  </w:style>
  <w:style w:type="paragraph" w:styleId="41">
    <w:name w:val="HTML Preformatted"/>
    <w:basedOn w:val="1"/>
    <w:link w:val="169"/>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qFormat/>
    <w:uiPriority w:val="0"/>
    <w:pPr>
      <w:spacing w:line="220" w:lineRule="exact"/>
      <w:jc w:val="center"/>
    </w:pPr>
    <w:rPr>
      <w:rFonts w:ascii="仿宋_GB2312" w:eastAsia="仿宋_GB2312"/>
      <w:szCs w:val="21"/>
    </w:rPr>
  </w:style>
  <w:style w:type="paragraph" w:styleId="44">
    <w:name w:val="Title"/>
    <w:basedOn w:val="1"/>
    <w:link w:val="244"/>
    <w:qFormat/>
    <w:uiPriority w:val="0"/>
    <w:pPr>
      <w:widowControl/>
      <w:jc w:val="center"/>
    </w:pPr>
    <w:rPr>
      <w:kern w:val="0"/>
      <w:sz w:val="20"/>
      <w:u w:val="single"/>
      <w:lang w:eastAsia="en-US"/>
    </w:rPr>
  </w:style>
  <w:style w:type="character" w:styleId="46">
    <w:name w:val="Strong"/>
    <w:qFormat/>
    <w:uiPriority w:val="0"/>
    <w:rPr>
      <w:b/>
      <w:bCs/>
    </w:rPr>
  </w:style>
  <w:style w:type="character" w:styleId="47">
    <w:name w:val="endnote reference"/>
    <w:qFormat/>
    <w:uiPriority w:val="0"/>
    <w:rPr>
      <w:vertAlign w:val="superscript"/>
    </w:rPr>
  </w:style>
  <w:style w:type="character" w:styleId="48">
    <w:name w:val="page number"/>
    <w:basedOn w:val="45"/>
    <w:qFormat/>
    <w:uiPriority w:val="0"/>
  </w:style>
  <w:style w:type="character" w:styleId="49">
    <w:name w:val="FollowedHyperlink"/>
    <w:qFormat/>
    <w:uiPriority w:val="0"/>
    <w:rPr>
      <w:color w:val="800080"/>
      <w:u w:val="single"/>
    </w:rPr>
  </w:style>
  <w:style w:type="character" w:styleId="50">
    <w:name w:val="Emphasis"/>
    <w:qFormat/>
    <w:uiPriority w:val="0"/>
    <w:rPr>
      <w:i/>
      <w:iCs/>
    </w:rPr>
  </w:style>
  <w:style w:type="character" w:styleId="51">
    <w:name w:val="HTML Definition"/>
    <w:basedOn w:val="45"/>
    <w:qFormat/>
    <w:uiPriority w:val="0"/>
  </w:style>
  <w:style w:type="character" w:styleId="52">
    <w:name w:val="HTML Typewriter"/>
    <w:basedOn w:val="45"/>
    <w:qFormat/>
    <w:uiPriority w:val="0"/>
    <w:rPr>
      <w:rFonts w:hint="default" w:ascii="monospace" w:hAnsi="monospace" w:eastAsia="monospace" w:cs="monospace"/>
      <w:sz w:val="20"/>
    </w:rPr>
  </w:style>
  <w:style w:type="character" w:styleId="53">
    <w:name w:val="HTML Acronym"/>
    <w:basedOn w:val="45"/>
    <w:qFormat/>
    <w:uiPriority w:val="0"/>
  </w:style>
  <w:style w:type="character" w:styleId="54">
    <w:name w:val="HTML Variable"/>
    <w:basedOn w:val="45"/>
    <w:qFormat/>
    <w:uiPriority w:val="0"/>
  </w:style>
  <w:style w:type="character" w:styleId="55">
    <w:name w:val="Hyperlink"/>
    <w:qFormat/>
    <w:uiPriority w:val="99"/>
    <w:rPr>
      <w:color w:val="0000FF"/>
      <w:u w:val="single"/>
    </w:rPr>
  </w:style>
  <w:style w:type="character" w:styleId="56">
    <w:name w:val="HTML Code"/>
    <w:basedOn w:val="45"/>
    <w:qFormat/>
    <w:uiPriority w:val="0"/>
    <w:rPr>
      <w:rFonts w:hint="default" w:ascii="monospace" w:hAnsi="monospace" w:eastAsia="monospace" w:cs="monospace"/>
      <w:sz w:val="20"/>
    </w:rPr>
  </w:style>
  <w:style w:type="character" w:styleId="57">
    <w:name w:val="annotation reference"/>
    <w:qFormat/>
    <w:uiPriority w:val="0"/>
    <w:rPr>
      <w:sz w:val="21"/>
      <w:szCs w:val="21"/>
    </w:rPr>
  </w:style>
  <w:style w:type="character" w:styleId="58">
    <w:name w:val="HTML Cite"/>
    <w:basedOn w:val="45"/>
    <w:qFormat/>
    <w:uiPriority w:val="0"/>
  </w:style>
  <w:style w:type="character" w:styleId="59">
    <w:name w:val="footnote reference"/>
    <w:qFormat/>
    <w:uiPriority w:val="0"/>
    <w:rPr>
      <w:vertAlign w:val="superscript"/>
    </w:rPr>
  </w:style>
  <w:style w:type="character" w:styleId="60">
    <w:name w:val="HTML Keyboard"/>
    <w:basedOn w:val="45"/>
    <w:qFormat/>
    <w:uiPriority w:val="0"/>
    <w:rPr>
      <w:rFonts w:hint="default" w:ascii="monospace" w:hAnsi="monospace" w:eastAsia="monospace" w:cs="monospace"/>
      <w:sz w:val="20"/>
    </w:rPr>
  </w:style>
  <w:style w:type="character" w:styleId="61">
    <w:name w:val="HTML Sample"/>
    <w:basedOn w:val="45"/>
    <w:qFormat/>
    <w:uiPriority w:val="0"/>
    <w:rPr>
      <w:rFonts w:ascii="monospace" w:hAnsi="monospace" w:eastAsia="monospace" w:cs="monospace"/>
    </w:rPr>
  </w:style>
  <w:style w:type="table" w:styleId="63">
    <w:name w:val="Table Grid"/>
    <w:basedOn w:val="62"/>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64">
    <w:name w:val="List Paragraph"/>
    <w:basedOn w:val="1"/>
    <w:qFormat/>
    <w:uiPriority w:val="99"/>
    <w:pPr>
      <w:ind w:firstLine="420" w:firstLineChars="200"/>
    </w:pPr>
    <w:rPr>
      <w:sz w:val="28"/>
      <w:szCs w:val="28"/>
    </w:rPr>
  </w:style>
  <w:style w:type="paragraph" w:customStyle="1" w:styleId="65">
    <w:name w:val="_Style 56"/>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6">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67">
    <w:name w:val="Char Char Char Char Char Char Char Char Char Char Char Char Char Char Char Char"/>
    <w:basedOn w:val="16"/>
    <w:qFormat/>
    <w:uiPriority w:val="0"/>
    <w:pPr>
      <w:spacing w:line="360" w:lineRule="auto"/>
      <w:ind w:firstLine="200" w:firstLineChars="200"/>
    </w:pPr>
    <w:rPr>
      <w:rFonts w:ascii="Tahoma" w:hAnsi="Tahoma"/>
      <w:sz w:val="24"/>
    </w:rPr>
  </w:style>
  <w:style w:type="paragraph" w:customStyle="1" w:styleId="68">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69">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70">
    <w:name w:val="1 Char"/>
    <w:basedOn w:val="1"/>
    <w:qFormat/>
    <w:uiPriority w:val="0"/>
    <w:pPr>
      <w:widowControl/>
      <w:spacing w:after="160" w:line="240" w:lineRule="exact"/>
      <w:jc w:val="left"/>
    </w:pPr>
    <w:rPr>
      <w:rFonts w:ascii="Calibri" w:hAnsi="Calibri"/>
      <w:szCs w:val="20"/>
    </w:rPr>
  </w:style>
  <w:style w:type="paragraph" w:customStyle="1" w:styleId="71">
    <w:name w:val="列表段落1"/>
    <w:basedOn w:val="1"/>
    <w:qFormat/>
    <w:uiPriority w:val="34"/>
    <w:pPr>
      <w:ind w:firstLine="420" w:firstLineChars="200"/>
    </w:pPr>
    <w:rPr>
      <w:rFonts w:ascii="Calibri" w:hAnsi="Calibri"/>
    </w:rPr>
  </w:style>
  <w:style w:type="paragraph" w:customStyle="1" w:styleId="72">
    <w:name w:val="Char Char Char Char Char Char Char Char Char Char"/>
    <w:basedOn w:val="16"/>
    <w:qFormat/>
    <w:uiPriority w:val="0"/>
    <w:pPr>
      <w:spacing w:line="360" w:lineRule="auto"/>
      <w:ind w:firstLine="200" w:firstLineChars="200"/>
    </w:pPr>
    <w:rPr>
      <w:rFonts w:ascii="Tahoma" w:hAnsi="Tahoma"/>
      <w:sz w:val="24"/>
    </w:rPr>
  </w:style>
  <w:style w:type="paragraph" w:customStyle="1" w:styleId="73">
    <w:name w:val="样式 标题 3 + (中文) 黑体 小四 非加粗 段前: 7.8 磅 段后: 0 磅 行距: 固定值 20 磅"/>
    <w:basedOn w:val="2"/>
    <w:next w:val="1"/>
    <w:qFormat/>
    <w:uiPriority w:val="0"/>
    <w:pPr>
      <w:spacing w:before="0" w:after="0" w:line="400" w:lineRule="exact"/>
    </w:pPr>
    <w:rPr>
      <w:rFonts w:eastAsia="黑体" w:cs="宋体"/>
      <w:b w:val="0"/>
      <w:bCs w:val="0"/>
      <w:sz w:val="24"/>
      <w:szCs w:val="20"/>
    </w:rPr>
  </w:style>
  <w:style w:type="paragraph" w:customStyle="1" w:styleId="74">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75">
    <w:name w:val="TOC 标题2"/>
    <w:basedOn w:val="3"/>
    <w:next w:val="1"/>
    <w:unhideWhenUsed/>
    <w:qFormat/>
    <w:uiPriority w:val="0"/>
    <w:pPr>
      <w:outlineLvl w:val="9"/>
    </w:pPr>
    <w:rPr>
      <w:rFonts w:ascii="Calibri" w:hAnsi="Calibri"/>
    </w:rPr>
  </w:style>
  <w:style w:type="paragraph" w:customStyle="1" w:styleId="76">
    <w:name w:val="样式1"/>
    <w:basedOn w:val="1"/>
    <w:next w:val="5"/>
    <w:qFormat/>
    <w:uiPriority w:val="0"/>
    <w:pPr>
      <w:spacing w:line="360" w:lineRule="auto"/>
      <w:ind w:firstLine="420" w:firstLineChars="200"/>
    </w:pPr>
    <w:rPr>
      <w:rFonts w:ascii="宋体" w:hAnsi="宋体"/>
      <w:szCs w:val="21"/>
    </w:rPr>
  </w:style>
  <w:style w:type="paragraph" w:customStyle="1" w:styleId="77">
    <w:name w:val="列出段落1"/>
    <w:basedOn w:val="1"/>
    <w:qFormat/>
    <w:uiPriority w:val="0"/>
    <w:pPr>
      <w:ind w:firstLine="420" w:firstLineChars="200"/>
    </w:pPr>
    <w:rPr>
      <w:sz w:val="28"/>
      <w:szCs w:val="28"/>
    </w:rPr>
  </w:style>
  <w:style w:type="paragraph" w:customStyle="1" w:styleId="78">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9">
    <w:name w:val="pa-27"/>
    <w:basedOn w:val="1"/>
    <w:qFormat/>
    <w:uiPriority w:val="0"/>
    <w:pPr>
      <w:widowControl/>
      <w:spacing w:line="360" w:lineRule="atLeast"/>
      <w:ind w:firstLine="420"/>
    </w:pPr>
    <w:rPr>
      <w:rFonts w:ascii="宋体" w:hAnsi="宋体" w:cs="宋体"/>
      <w:kern w:val="0"/>
      <w:sz w:val="24"/>
    </w:rPr>
  </w:style>
  <w:style w:type="paragraph" w:customStyle="1" w:styleId="80">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81">
    <w:name w:val="_Style 72"/>
    <w:qFormat/>
    <w:uiPriority w:val="0"/>
    <w:rPr>
      <w:rFonts w:ascii="Times New Roman" w:hAnsi="Times New Roman" w:eastAsia="宋体" w:cs="Times New Roman"/>
      <w:kern w:val="2"/>
      <w:sz w:val="21"/>
      <w:szCs w:val="24"/>
      <w:lang w:val="en-US" w:eastAsia="zh-CN" w:bidi="ar-SA"/>
    </w:rPr>
  </w:style>
  <w:style w:type="paragraph" w:customStyle="1" w:styleId="82">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83">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84">
    <w:name w:val="Char Char Char Char"/>
    <w:basedOn w:val="16"/>
    <w:qFormat/>
    <w:uiPriority w:val="0"/>
    <w:pPr>
      <w:spacing w:line="360" w:lineRule="auto"/>
      <w:ind w:firstLine="200" w:firstLineChars="200"/>
    </w:pPr>
    <w:rPr>
      <w:rFonts w:ascii="Tahoma" w:hAnsi="Tahoma"/>
      <w:sz w:val="24"/>
    </w:rPr>
  </w:style>
  <w:style w:type="paragraph" w:customStyle="1" w:styleId="85">
    <w:name w:val="表格内容"/>
    <w:basedOn w:val="1"/>
    <w:qFormat/>
    <w:uiPriority w:val="0"/>
    <w:pPr>
      <w:suppressLineNumbers/>
      <w:suppressAutoHyphens/>
    </w:pPr>
  </w:style>
  <w:style w:type="paragraph" w:customStyle="1" w:styleId="86">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87">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88">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9">
    <w:name w:val="Intense Quote"/>
    <w:basedOn w:val="1"/>
    <w:next w:val="1"/>
    <w:link w:val="283"/>
    <w:qFormat/>
    <w:uiPriority w:val="0"/>
    <w:pPr>
      <w:pBdr>
        <w:bottom w:val="single" w:color="4F81BD" w:sz="4" w:space="4"/>
      </w:pBdr>
      <w:spacing w:before="200" w:after="280"/>
      <w:ind w:left="936" w:right="936"/>
    </w:pPr>
    <w:rPr>
      <w:b/>
      <w:bCs/>
      <w:i/>
      <w:iCs/>
      <w:color w:val="4F81BD"/>
      <w:szCs w:val="22"/>
    </w:rPr>
  </w:style>
  <w:style w:type="paragraph" w:customStyle="1" w:styleId="90">
    <w:name w:val="表体"/>
    <w:basedOn w:val="1"/>
    <w:next w:val="1"/>
    <w:qFormat/>
    <w:uiPriority w:val="0"/>
    <w:pPr>
      <w:spacing w:line="0" w:lineRule="atLeast"/>
    </w:pPr>
    <w:rPr>
      <w:rFonts w:ascii="Calibri" w:hAnsi="Calibri"/>
      <w:b/>
      <w:snapToGrid w:val="0"/>
      <w:szCs w:val="20"/>
    </w:rPr>
  </w:style>
  <w:style w:type="paragraph" w:customStyle="1" w:styleId="9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92">
    <w:name w:val="pa-34"/>
    <w:basedOn w:val="1"/>
    <w:qFormat/>
    <w:uiPriority w:val="0"/>
    <w:pPr>
      <w:widowControl/>
      <w:spacing w:line="360" w:lineRule="atLeast"/>
      <w:ind w:firstLine="420"/>
      <w:jc w:val="left"/>
    </w:pPr>
    <w:rPr>
      <w:rFonts w:ascii="宋体" w:hAnsi="宋体" w:cs="宋体"/>
      <w:kern w:val="0"/>
      <w:sz w:val="24"/>
    </w:rPr>
  </w:style>
  <w:style w:type="paragraph" w:customStyle="1" w:styleId="93">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94">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95">
    <w:name w:val="p16"/>
    <w:basedOn w:val="1"/>
    <w:qFormat/>
    <w:uiPriority w:val="0"/>
    <w:pPr>
      <w:widowControl/>
    </w:pPr>
    <w:rPr>
      <w:rFonts w:ascii="Calibri" w:hAnsi="Calibri" w:cs="宋体"/>
      <w:kern w:val="0"/>
      <w:szCs w:val="21"/>
    </w:rPr>
  </w:style>
  <w:style w:type="paragraph" w:customStyle="1" w:styleId="9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97">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9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9">
    <w:name w:val="标题4"/>
    <w:basedOn w:val="4"/>
    <w:next w:val="21"/>
    <w:link w:val="294"/>
    <w:qFormat/>
    <w:uiPriority w:val="0"/>
    <w:pPr>
      <w:spacing w:line="413" w:lineRule="auto"/>
    </w:pPr>
    <w:rPr>
      <w:rFonts w:ascii="Arial" w:hAnsi="Arial"/>
      <w:kern w:val="0"/>
      <w:sz w:val="24"/>
    </w:rPr>
  </w:style>
  <w:style w:type="paragraph" w:customStyle="1" w:styleId="100">
    <w:name w:val="Char Char"/>
    <w:basedOn w:val="1"/>
    <w:qFormat/>
    <w:uiPriority w:val="0"/>
    <w:pPr>
      <w:widowControl/>
      <w:jc w:val="left"/>
    </w:pPr>
    <w:rPr>
      <w:rFonts w:ascii="Verdana" w:hAnsi="Verdana" w:eastAsia="Times New Roman"/>
      <w:kern w:val="0"/>
      <w:sz w:val="16"/>
      <w:szCs w:val="20"/>
      <w:lang w:eastAsia="en-US"/>
    </w:rPr>
  </w:style>
  <w:style w:type="paragraph" w:customStyle="1" w:styleId="101">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2">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3">
    <w:name w:val="WW-表格内容"/>
    <w:basedOn w:val="1"/>
    <w:qFormat/>
    <w:uiPriority w:val="0"/>
    <w:pPr>
      <w:suppressLineNumbers/>
      <w:suppressAutoHyphens/>
    </w:pPr>
  </w:style>
  <w:style w:type="paragraph" w:customStyle="1" w:styleId="104">
    <w:name w:val="Char"/>
    <w:basedOn w:val="1"/>
    <w:qFormat/>
    <w:uiPriority w:val="0"/>
  </w:style>
  <w:style w:type="paragraph" w:customStyle="1" w:styleId="105">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06">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107">
    <w:name w:val="样式15"/>
    <w:basedOn w:val="2"/>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08">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09">
    <w:name w:val="Char9 Char Char Char Char Char Char"/>
    <w:basedOn w:val="16"/>
    <w:qFormat/>
    <w:uiPriority w:val="0"/>
    <w:pPr>
      <w:spacing w:line="360" w:lineRule="auto"/>
      <w:ind w:firstLine="200" w:firstLineChars="200"/>
    </w:pPr>
    <w:rPr>
      <w:rFonts w:ascii="Tahoma" w:hAnsi="Tahoma"/>
      <w:sz w:val="24"/>
    </w:rPr>
  </w:style>
  <w:style w:type="paragraph" w:customStyle="1" w:styleId="110">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11">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12">
    <w:name w:val="p15"/>
    <w:basedOn w:val="1"/>
    <w:qFormat/>
    <w:uiPriority w:val="0"/>
    <w:pPr>
      <w:widowControl/>
      <w:spacing w:after="120"/>
    </w:pPr>
    <w:rPr>
      <w:kern w:val="0"/>
      <w:szCs w:val="21"/>
    </w:rPr>
  </w:style>
  <w:style w:type="paragraph" w:customStyle="1" w:styleId="113">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14">
    <w:name w:val="正  文"/>
    <w:basedOn w:val="1"/>
    <w:qFormat/>
    <w:uiPriority w:val="0"/>
    <w:pPr>
      <w:spacing w:line="360" w:lineRule="auto"/>
      <w:ind w:firstLine="200" w:firstLineChars="200"/>
    </w:pPr>
    <w:rPr>
      <w:rFonts w:ascii="宋体" w:hAnsi="Calibri"/>
      <w:sz w:val="24"/>
    </w:rPr>
  </w:style>
  <w:style w:type="paragraph" w:customStyle="1" w:styleId="115">
    <w:name w:val="列出段落11"/>
    <w:basedOn w:val="1"/>
    <w:qFormat/>
    <w:uiPriority w:val="0"/>
    <w:pPr>
      <w:ind w:firstLine="420" w:firstLineChars="200"/>
    </w:pPr>
    <w:rPr>
      <w:sz w:val="28"/>
      <w:szCs w:val="28"/>
    </w:rPr>
  </w:style>
  <w:style w:type="paragraph" w:customStyle="1" w:styleId="11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17">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18">
    <w:name w:val="_Style 96"/>
    <w:semiHidden/>
    <w:qFormat/>
    <w:uiPriority w:val="99"/>
    <w:rPr>
      <w:rFonts w:ascii="Calibri" w:hAnsi="Calibri" w:eastAsia="宋体" w:cs="Times New Roman"/>
      <w:kern w:val="2"/>
      <w:sz w:val="21"/>
      <w:szCs w:val="24"/>
      <w:lang w:val="en-US" w:eastAsia="zh-CN" w:bidi="ar-SA"/>
    </w:rPr>
  </w:style>
  <w:style w:type="paragraph" w:customStyle="1" w:styleId="119">
    <w:name w:val="表格文字"/>
    <w:basedOn w:val="1"/>
    <w:qFormat/>
    <w:uiPriority w:val="0"/>
    <w:pPr>
      <w:adjustRightInd w:val="0"/>
      <w:spacing w:line="420" w:lineRule="atLeast"/>
      <w:jc w:val="left"/>
      <w:textAlignment w:val="baseline"/>
    </w:pPr>
    <w:rPr>
      <w:kern w:val="0"/>
      <w:szCs w:val="20"/>
    </w:rPr>
  </w:style>
  <w:style w:type="paragraph" w:customStyle="1" w:styleId="120">
    <w:name w:val="表格"/>
    <w:basedOn w:val="1"/>
    <w:qFormat/>
    <w:uiPriority w:val="0"/>
    <w:pPr>
      <w:jc w:val="center"/>
      <w:textAlignment w:val="center"/>
    </w:pPr>
    <w:rPr>
      <w:rFonts w:ascii="华文细黑" w:hAnsi="华文细黑"/>
      <w:kern w:val="0"/>
      <w:szCs w:val="20"/>
    </w:rPr>
  </w:style>
  <w:style w:type="paragraph" w:customStyle="1" w:styleId="121">
    <w:name w:val="Char1"/>
    <w:basedOn w:val="1"/>
    <w:qFormat/>
    <w:uiPriority w:val="0"/>
  </w:style>
  <w:style w:type="paragraph" w:customStyle="1" w:styleId="122">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23">
    <w:name w:val="引用2"/>
    <w:basedOn w:val="1"/>
    <w:next w:val="1"/>
    <w:link w:val="246"/>
    <w:qFormat/>
    <w:uiPriority w:val="0"/>
    <w:rPr>
      <w:i/>
      <w:iCs/>
      <w:color w:val="000000"/>
    </w:rPr>
  </w:style>
  <w:style w:type="paragraph" w:customStyle="1" w:styleId="124">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25">
    <w:name w:val="Quote"/>
    <w:basedOn w:val="1"/>
    <w:next w:val="1"/>
    <w:link w:val="196"/>
    <w:qFormat/>
    <w:uiPriority w:val="0"/>
    <w:rPr>
      <w:i/>
      <w:iCs/>
      <w:color w:val="000000"/>
      <w:szCs w:val="22"/>
    </w:rPr>
  </w:style>
  <w:style w:type="paragraph" w:customStyle="1" w:styleId="126">
    <w:name w:val="修订1"/>
    <w:qFormat/>
    <w:uiPriority w:val="0"/>
    <w:rPr>
      <w:rFonts w:ascii="Times New Roman" w:hAnsi="Times New Roman" w:eastAsia="宋体" w:cs="Times New Roman"/>
      <w:kern w:val="2"/>
      <w:sz w:val="21"/>
      <w:szCs w:val="24"/>
      <w:lang w:val="en-US" w:eastAsia="zh-CN" w:bidi="ar-SA"/>
    </w:rPr>
  </w:style>
  <w:style w:type="paragraph" w:customStyle="1" w:styleId="127">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28">
    <w:name w:val="Char2"/>
    <w:basedOn w:val="1"/>
    <w:qFormat/>
    <w:uiPriority w:val="0"/>
    <w:rPr>
      <w:rFonts w:ascii="Calibri" w:hAnsi="Calibri"/>
    </w:rPr>
  </w:style>
  <w:style w:type="paragraph" w:customStyle="1" w:styleId="129">
    <w:name w:val="标题5"/>
    <w:basedOn w:val="2"/>
    <w:link w:val="292"/>
    <w:qFormat/>
    <w:uiPriority w:val="0"/>
    <w:pPr>
      <w:spacing w:line="413" w:lineRule="auto"/>
    </w:pPr>
    <w:rPr>
      <w:rFonts w:ascii="Arial" w:hAnsi="Arial"/>
      <w:kern w:val="0"/>
      <w:sz w:val="24"/>
    </w:rPr>
  </w:style>
  <w:style w:type="paragraph" w:customStyle="1" w:styleId="13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1">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2">
    <w:name w:val="表格标题"/>
    <w:basedOn w:val="85"/>
    <w:qFormat/>
    <w:uiPriority w:val="0"/>
  </w:style>
  <w:style w:type="paragraph" w:customStyle="1" w:styleId="133">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34">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35">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6">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7">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38">
    <w:name w:val="WW-表格标题"/>
    <w:basedOn w:val="103"/>
    <w:qFormat/>
    <w:uiPriority w:val="0"/>
  </w:style>
  <w:style w:type="paragraph" w:customStyle="1" w:styleId="139">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40">
    <w:name w:val="明显引用1"/>
    <w:basedOn w:val="1"/>
    <w:next w:val="1"/>
    <w:link w:val="256"/>
    <w:qFormat/>
    <w:uiPriority w:val="30"/>
    <w:pPr>
      <w:pBdr>
        <w:bottom w:val="single" w:color="4F81BD" w:sz="4" w:space="4"/>
      </w:pBdr>
      <w:spacing w:before="200" w:after="280"/>
      <w:ind w:left="936" w:right="936"/>
    </w:pPr>
    <w:rPr>
      <w:b/>
      <w:bCs/>
      <w:i/>
      <w:iCs/>
      <w:color w:val="4F81BD"/>
      <w:szCs w:val="20"/>
    </w:rPr>
  </w:style>
  <w:style w:type="paragraph" w:customStyle="1" w:styleId="141">
    <w:name w:val="标准样式1"/>
    <w:basedOn w:val="1"/>
    <w:qFormat/>
    <w:uiPriority w:val="0"/>
    <w:pPr>
      <w:spacing w:line="600" w:lineRule="exact"/>
      <w:ind w:firstLine="567"/>
    </w:pPr>
    <w:rPr>
      <w:rFonts w:ascii="Calibri" w:hAnsi="Calibri"/>
      <w:sz w:val="28"/>
    </w:rPr>
  </w:style>
  <w:style w:type="paragraph" w:customStyle="1" w:styleId="142">
    <w:name w:val="Char3"/>
    <w:basedOn w:val="1"/>
    <w:qFormat/>
    <w:uiPriority w:val="0"/>
  </w:style>
  <w:style w:type="paragraph" w:customStyle="1" w:styleId="143">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44">
    <w:name w:val="Char Char1 Char Char"/>
    <w:basedOn w:val="16"/>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45">
    <w:name w:val="引用1"/>
    <w:basedOn w:val="1"/>
    <w:next w:val="1"/>
    <w:link w:val="270"/>
    <w:qFormat/>
    <w:uiPriority w:val="29"/>
    <w:rPr>
      <w:i/>
      <w:iCs/>
      <w:color w:val="000000"/>
      <w:szCs w:val="20"/>
    </w:rPr>
  </w:style>
  <w:style w:type="paragraph" w:customStyle="1" w:styleId="146">
    <w:name w:val="_Style 87"/>
    <w:basedOn w:val="1"/>
    <w:qFormat/>
    <w:uiPriority w:val="99"/>
    <w:pPr>
      <w:ind w:firstLine="420" w:firstLineChars="200"/>
    </w:pPr>
    <w:rPr>
      <w:rFonts w:ascii="Calibri" w:hAnsi="Calibri"/>
      <w:sz w:val="28"/>
      <w:szCs w:val="28"/>
    </w:rPr>
  </w:style>
  <w:style w:type="paragraph" w:customStyle="1" w:styleId="147">
    <w:name w:val="自定样式1"/>
    <w:basedOn w:val="1"/>
    <w:qFormat/>
    <w:uiPriority w:val="0"/>
    <w:pPr>
      <w:suppressAutoHyphens/>
      <w:jc w:val="center"/>
    </w:pPr>
    <w:rPr>
      <w:rFonts w:ascii="宋体" w:hAnsi="宋体"/>
      <w:color w:val="000000"/>
      <w:sz w:val="18"/>
    </w:rPr>
  </w:style>
  <w:style w:type="paragraph" w:customStyle="1" w:styleId="14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49">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character" w:customStyle="1" w:styleId="150">
    <w:name w:val="未处理的提及1"/>
    <w:unhideWhenUsed/>
    <w:qFormat/>
    <w:uiPriority w:val="99"/>
    <w:rPr>
      <w:color w:val="808080"/>
      <w:shd w:val="clear" w:color="auto" w:fill="E6E6E6"/>
    </w:rPr>
  </w:style>
  <w:style w:type="character" w:customStyle="1" w:styleId="151">
    <w:name w:val="正文文本 3 Char"/>
    <w:qFormat/>
    <w:uiPriority w:val="0"/>
    <w:rPr>
      <w:kern w:val="2"/>
      <w:sz w:val="16"/>
      <w:szCs w:val="16"/>
    </w:rPr>
  </w:style>
  <w:style w:type="character" w:customStyle="1" w:styleId="152">
    <w:name w:val="正文文本缩进 Char2"/>
    <w:semiHidden/>
    <w:qFormat/>
    <w:uiPriority w:val="99"/>
    <w:rPr>
      <w:rFonts w:ascii="Calibri" w:hAnsi="Calibri" w:eastAsia="宋体" w:cs="Times New Roman"/>
      <w:szCs w:val="24"/>
    </w:rPr>
  </w:style>
  <w:style w:type="character" w:customStyle="1" w:styleId="153">
    <w:name w:val="标题 3 Char"/>
    <w:qFormat/>
    <w:uiPriority w:val="0"/>
    <w:rPr>
      <w:rFonts w:ascii="仿宋_GB2312" w:hAnsi="Calibri" w:eastAsia="仿宋_GB2312" w:cs="Times New Roman"/>
      <w:b/>
      <w:kern w:val="0"/>
      <w:sz w:val="24"/>
      <w:szCs w:val="28"/>
    </w:rPr>
  </w:style>
  <w:style w:type="character" w:customStyle="1" w:styleId="154">
    <w:name w:val="批注框文本 Char2"/>
    <w:qFormat/>
    <w:uiPriority w:val="99"/>
    <w:rPr>
      <w:kern w:val="2"/>
      <w:sz w:val="18"/>
      <w:szCs w:val="18"/>
    </w:rPr>
  </w:style>
  <w:style w:type="character" w:customStyle="1" w:styleId="155">
    <w:name w:val="textcontents"/>
    <w:qFormat/>
    <w:uiPriority w:val="0"/>
    <w:rPr>
      <w:rFonts w:cs="Times New Roman"/>
    </w:rPr>
  </w:style>
  <w:style w:type="character" w:customStyle="1" w:styleId="156">
    <w:name w:val="ht1"/>
    <w:qFormat/>
    <w:uiPriority w:val="0"/>
    <w:rPr>
      <w:rFonts w:ascii="黑体" w:eastAsia="黑体"/>
      <w:b/>
      <w:bCs/>
    </w:rPr>
  </w:style>
  <w:style w:type="character" w:customStyle="1" w:styleId="157">
    <w:name w:val="标题 Char"/>
    <w:qFormat/>
    <w:uiPriority w:val="0"/>
    <w:rPr>
      <w:rFonts w:ascii="Cambria" w:hAnsi="Cambria" w:eastAsia="宋体" w:cs="Times New Roman"/>
      <w:b/>
      <w:bCs/>
      <w:kern w:val="2"/>
      <w:sz w:val="32"/>
      <w:szCs w:val="32"/>
    </w:rPr>
  </w:style>
  <w:style w:type="character" w:customStyle="1" w:styleId="158">
    <w:name w:val="14t1"/>
    <w:qFormat/>
    <w:uiPriority w:val="0"/>
    <w:rPr>
      <w:rFonts w:hint="eastAsia" w:ascii="宋体" w:hAnsi="宋体" w:eastAsia="宋体"/>
      <w:sz w:val="11"/>
      <w:szCs w:val="11"/>
    </w:rPr>
  </w:style>
  <w:style w:type="character" w:customStyle="1" w:styleId="159">
    <w:name w:val="Char Char36"/>
    <w:qFormat/>
    <w:uiPriority w:val="0"/>
    <w:rPr>
      <w:rFonts w:ascii="仿宋_GB2312" w:eastAsia="仿宋_GB2312" w:cs="MingLiU"/>
      <w:b/>
      <w:sz w:val="24"/>
      <w:szCs w:val="28"/>
    </w:rPr>
  </w:style>
  <w:style w:type="character" w:customStyle="1" w:styleId="160">
    <w:name w:val="文档结构图 Char"/>
    <w:qFormat/>
    <w:uiPriority w:val="0"/>
    <w:rPr>
      <w:rFonts w:ascii="宋体"/>
      <w:kern w:val="2"/>
      <w:sz w:val="18"/>
      <w:szCs w:val="18"/>
    </w:rPr>
  </w:style>
  <w:style w:type="character" w:customStyle="1" w:styleId="161">
    <w:name w:val="普通文字 Char Char2"/>
    <w:qFormat/>
    <w:uiPriority w:val="0"/>
    <w:rPr>
      <w:rFonts w:ascii="宋体" w:hAnsi="Courier New"/>
      <w:kern w:val="2"/>
      <w:sz w:val="28"/>
      <w:szCs w:val="28"/>
    </w:rPr>
  </w:style>
  <w:style w:type="character" w:customStyle="1" w:styleId="162">
    <w:name w:val="HTML 预设格式 Char"/>
    <w:qFormat/>
    <w:uiPriority w:val="0"/>
    <w:rPr>
      <w:rFonts w:ascii="宋体" w:hAnsi="宋体" w:eastAsia="宋体" w:cs="宋体"/>
      <w:color w:val="000000"/>
      <w:sz w:val="24"/>
      <w:szCs w:val="24"/>
    </w:rPr>
  </w:style>
  <w:style w:type="character" w:customStyle="1" w:styleId="163">
    <w:name w:val="纯文本 Char"/>
    <w:qFormat/>
    <w:uiPriority w:val="0"/>
    <w:rPr>
      <w:rFonts w:ascii="宋体" w:hAnsi="Courier New"/>
      <w:sz w:val="28"/>
      <w:szCs w:val="28"/>
    </w:rPr>
  </w:style>
  <w:style w:type="character" w:customStyle="1" w:styleId="164">
    <w:name w:val="批注框文本 Char"/>
    <w:qFormat/>
    <w:uiPriority w:val="0"/>
    <w:rPr>
      <w:sz w:val="18"/>
      <w:szCs w:val="18"/>
    </w:rPr>
  </w:style>
  <w:style w:type="character" w:customStyle="1" w:styleId="165">
    <w:name w:val="页脚 Char"/>
    <w:qFormat/>
    <w:uiPriority w:val="0"/>
    <w:rPr>
      <w:sz w:val="18"/>
      <w:szCs w:val="18"/>
    </w:rPr>
  </w:style>
  <w:style w:type="character" w:customStyle="1" w:styleId="166">
    <w:name w:val="标题 4 字符"/>
    <w:link w:val="5"/>
    <w:qFormat/>
    <w:uiPriority w:val="0"/>
    <w:rPr>
      <w:rFonts w:ascii="宋体" w:hAnsi="宋体" w:eastAsia="宋体" w:cs="宋体"/>
      <w:b/>
      <w:bCs/>
      <w:sz w:val="24"/>
      <w:szCs w:val="24"/>
      <w:lang w:val="en-US" w:eastAsia="zh-CN" w:bidi="ar-SA"/>
    </w:rPr>
  </w:style>
  <w:style w:type="character" w:customStyle="1" w:styleId="167">
    <w:name w:val="正文文本缩进 3 Char"/>
    <w:qFormat/>
    <w:uiPriority w:val="0"/>
    <w:rPr>
      <w:kern w:val="2"/>
      <w:sz w:val="16"/>
      <w:szCs w:val="16"/>
    </w:rPr>
  </w:style>
  <w:style w:type="character" w:customStyle="1" w:styleId="168">
    <w:name w:val="标题 8 Char"/>
    <w:qFormat/>
    <w:uiPriority w:val="0"/>
    <w:rPr>
      <w:rFonts w:ascii="Arial" w:hAnsi="Arial" w:eastAsia="黑体" w:cs="Times New Roman"/>
      <w:sz w:val="24"/>
      <w:szCs w:val="24"/>
    </w:rPr>
  </w:style>
  <w:style w:type="character" w:customStyle="1" w:styleId="169">
    <w:name w:val="HTML 预设格式 字符"/>
    <w:link w:val="41"/>
    <w:qFormat/>
    <w:uiPriority w:val="0"/>
    <w:rPr>
      <w:rFonts w:ascii="宋体" w:hAnsi="宋体" w:eastAsia="宋体" w:cs="宋体"/>
      <w:color w:val="000000"/>
      <w:sz w:val="24"/>
      <w:szCs w:val="24"/>
      <w:lang w:val="en-US" w:eastAsia="zh-CN" w:bidi="ar-SA"/>
    </w:rPr>
  </w:style>
  <w:style w:type="character" w:customStyle="1" w:styleId="170">
    <w:name w:val="文档结构图 字符"/>
    <w:link w:val="16"/>
    <w:qFormat/>
    <w:uiPriority w:val="0"/>
    <w:rPr>
      <w:rFonts w:eastAsia="宋体"/>
      <w:kern w:val="2"/>
      <w:sz w:val="21"/>
      <w:szCs w:val="24"/>
      <w:lang w:val="en-US" w:eastAsia="zh-CN" w:bidi="ar-SA"/>
    </w:rPr>
  </w:style>
  <w:style w:type="character" w:customStyle="1" w:styleId="171">
    <w:name w:val="正文文本缩进 2 Char1"/>
    <w:qFormat/>
    <w:uiPriority w:val="0"/>
    <w:rPr>
      <w:sz w:val="28"/>
      <w:szCs w:val="24"/>
    </w:rPr>
  </w:style>
  <w:style w:type="character" w:customStyle="1" w:styleId="172">
    <w:name w:val="标题 5 Char1"/>
    <w:qFormat/>
    <w:uiPriority w:val="0"/>
    <w:rPr>
      <w:rFonts w:ascii="宋体" w:hAnsi="宋体" w:eastAsia="宋体" w:cs="宋体"/>
      <w:b/>
      <w:bCs/>
      <w:sz w:val="20"/>
      <w:szCs w:val="20"/>
    </w:rPr>
  </w:style>
  <w:style w:type="character" w:customStyle="1" w:styleId="173">
    <w:name w:val="批注文字 Char"/>
    <w:qFormat/>
    <w:uiPriority w:val="0"/>
    <w:rPr>
      <w:rFonts w:ascii="Times New Roman" w:hAnsi="Times New Roman" w:eastAsia="宋体" w:cs="Times New Roman"/>
      <w:kern w:val="2"/>
      <w:sz w:val="21"/>
      <w:szCs w:val="24"/>
    </w:rPr>
  </w:style>
  <w:style w:type="character" w:customStyle="1" w:styleId="174">
    <w:name w:val="日期 字符"/>
    <w:link w:val="26"/>
    <w:qFormat/>
    <w:uiPriority w:val="0"/>
    <w:rPr>
      <w:rFonts w:eastAsia="宋体"/>
      <w:kern w:val="2"/>
      <w:sz w:val="21"/>
      <w:szCs w:val="24"/>
      <w:lang w:val="en-US" w:eastAsia="zh-CN" w:bidi="ar-SA"/>
    </w:rPr>
  </w:style>
  <w:style w:type="character" w:customStyle="1" w:styleId="175">
    <w:name w:val="style121"/>
    <w:qFormat/>
    <w:uiPriority w:val="0"/>
    <w:rPr>
      <w:rFonts w:hint="eastAsia" w:ascii="宋体" w:hAnsi="宋体" w:eastAsia="宋体"/>
      <w:sz w:val="18"/>
      <w:szCs w:val="18"/>
    </w:rPr>
  </w:style>
  <w:style w:type="character" w:customStyle="1" w:styleId="176">
    <w:name w:val="Section Char"/>
    <w:qFormat/>
    <w:uiPriority w:val="0"/>
    <w:rPr>
      <w:rFonts w:ascii="仿宋_GB2312" w:eastAsia="仿宋_GB2312" w:cs="MingLiU"/>
      <w:b/>
      <w:sz w:val="24"/>
      <w:szCs w:val="28"/>
      <w:lang w:val="en-US" w:eastAsia="zh-CN" w:bidi="ar-SA"/>
    </w:rPr>
  </w:style>
  <w:style w:type="character" w:customStyle="1" w:styleId="177">
    <w:name w:val="正文文本 3 Char1"/>
    <w:qFormat/>
    <w:uiPriority w:val="0"/>
    <w:rPr>
      <w:kern w:val="2"/>
      <w:sz w:val="16"/>
      <w:szCs w:val="16"/>
    </w:rPr>
  </w:style>
  <w:style w:type="character" w:customStyle="1" w:styleId="178">
    <w:name w:val="文档结构图 Char1"/>
    <w:qFormat/>
    <w:uiPriority w:val="0"/>
    <w:rPr>
      <w:rFonts w:ascii="宋体"/>
      <w:kern w:val="2"/>
      <w:sz w:val="18"/>
      <w:szCs w:val="18"/>
    </w:rPr>
  </w:style>
  <w:style w:type="character" w:customStyle="1" w:styleId="179">
    <w:name w:val="_Style 170"/>
    <w:qFormat/>
    <w:uiPriority w:val="0"/>
    <w:rPr>
      <w:i/>
      <w:iCs/>
      <w:color w:val="808080"/>
    </w:rPr>
  </w:style>
  <w:style w:type="character" w:customStyle="1" w:styleId="180">
    <w:name w:val="_Style 171"/>
    <w:qFormat/>
    <w:uiPriority w:val="0"/>
    <w:rPr>
      <w:b/>
      <w:bCs/>
      <w:smallCaps/>
      <w:color w:val="C0504D"/>
      <w:spacing w:val="5"/>
      <w:u w:val="single"/>
    </w:rPr>
  </w:style>
  <w:style w:type="character" w:customStyle="1" w:styleId="181">
    <w:name w:val="标题 9 Char"/>
    <w:qFormat/>
    <w:uiPriority w:val="0"/>
    <w:rPr>
      <w:rFonts w:ascii="Arial" w:hAnsi="Arial" w:eastAsia="黑体" w:cs="Times New Roman"/>
      <w:szCs w:val="21"/>
    </w:rPr>
  </w:style>
  <w:style w:type="character" w:customStyle="1" w:styleId="182">
    <w:name w:val="页眉 Char1"/>
    <w:semiHidden/>
    <w:qFormat/>
    <w:uiPriority w:val="99"/>
    <w:rPr>
      <w:kern w:val="2"/>
      <w:sz w:val="18"/>
      <w:szCs w:val="18"/>
    </w:rPr>
  </w:style>
  <w:style w:type="character" w:customStyle="1" w:styleId="183">
    <w:name w:val="_Style 174"/>
    <w:qFormat/>
    <w:uiPriority w:val="0"/>
    <w:rPr>
      <w:b/>
      <w:bCs/>
      <w:i/>
      <w:iCs/>
      <w:color w:val="4F81BD"/>
    </w:rPr>
  </w:style>
  <w:style w:type="character" w:customStyle="1" w:styleId="184">
    <w:name w:val="Char Char35"/>
    <w:qFormat/>
    <w:uiPriority w:val="0"/>
    <w:rPr>
      <w:rFonts w:ascii="仿宋_GB2312" w:eastAsia="仿宋_GB2312" w:cs="MingLiU"/>
      <w:b/>
      <w:sz w:val="24"/>
      <w:szCs w:val="28"/>
    </w:rPr>
  </w:style>
  <w:style w:type="character" w:customStyle="1" w:styleId="185">
    <w:name w:val="日期 Char2"/>
    <w:qFormat/>
    <w:uiPriority w:val="99"/>
    <w:rPr>
      <w:kern w:val="2"/>
      <w:sz w:val="21"/>
      <w:szCs w:val="24"/>
    </w:rPr>
  </w:style>
  <w:style w:type="character" w:customStyle="1" w:styleId="186">
    <w:name w:val="Char Char22"/>
    <w:qFormat/>
    <w:uiPriority w:val="0"/>
    <w:rPr>
      <w:b/>
      <w:bCs/>
      <w:kern w:val="2"/>
      <w:sz w:val="32"/>
      <w:szCs w:val="32"/>
    </w:rPr>
  </w:style>
  <w:style w:type="character" w:customStyle="1" w:styleId="187">
    <w:name w:val="正文文本缩进 2 Char2"/>
    <w:semiHidden/>
    <w:qFormat/>
    <w:uiPriority w:val="99"/>
    <w:rPr>
      <w:rFonts w:ascii="Calibri" w:hAnsi="Calibri" w:eastAsia="宋体" w:cs="Times New Roman"/>
      <w:szCs w:val="24"/>
    </w:rPr>
  </w:style>
  <w:style w:type="character" w:customStyle="1" w:styleId="188">
    <w:name w:val="明显强调1"/>
    <w:qFormat/>
    <w:uiPriority w:val="0"/>
    <w:rPr>
      <w:b/>
      <w:bCs/>
      <w:i/>
      <w:iCs/>
      <w:color w:val="4F81BD"/>
    </w:rPr>
  </w:style>
  <w:style w:type="character" w:customStyle="1" w:styleId="189">
    <w:name w:val="Char Char14"/>
    <w:qFormat/>
    <w:uiPriority w:val="0"/>
    <w:rPr>
      <w:kern w:val="2"/>
      <w:sz w:val="18"/>
      <w:szCs w:val="18"/>
    </w:rPr>
  </w:style>
  <w:style w:type="character" w:customStyle="1" w:styleId="190">
    <w:name w:val="s3"/>
    <w:qFormat/>
    <w:uiPriority w:val="0"/>
  </w:style>
  <w:style w:type="character" w:customStyle="1" w:styleId="191">
    <w:name w:val="标题 1 Char"/>
    <w:qFormat/>
    <w:uiPriority w:val="0"/>
    <w:rPr>
      <w:rFonts w:ascii="Times New Roman" w:hAnsi="Times New Roman" w:eastAsia="宋体" w:cs="Times New Roman"/>
      <w:b/>
      <w:bCs/>
      <w:kern w:val="44"/>
      <w:sz w:val="44"/>
      <w:szCs w:val="44"/>
    </w:rPr>
  </w:style>
  <w:style w:type="character" w:customStyle="1" w:styleId="192">
    <w:name w:val="日期 Char3"/>
    <w:semiHidden/>
    <w:qFormat/>
    <w:uiPriority w:val="99"/>
    <w:rPr>
      <w:rFonts w:ascii="Calibri" w:hAnsi="Calibri" w:eastAsia="宋体" w:cs="Times New Roman"/>
      <w:szCs w:val="24"/>
    </w:rPr>
  </w:style>
  <w:style w:type="character" w:customStyle="1" w:styleId="193">
    <w:name w:val="标题 1 字符"/>
    <w:link w:val="3"/>
    <w:qFormat/>
    <w:uiPriority w:val="0"/>
    <w:rPr>
      <w:rFonts w:eastAsia="宋体"/>
      <w:b/>
      <w:bCs/>
      <w:kern w:val="44"/>
      <w:sz w:val="44"/>
      <w:szCs w:val="44"/>
      <w:lang w:val="en-US" w:eastAsia="zh-CN" w:bidi="ar-SA"/>
    </w:rPr>
  </w:style>
  <w:style w:type="character" w:customStyle="1" w:styleId="194">
    <w:name w:val="title11"/>
    <w:qFormat/>
    <w:uiPriority w:val="0"/>
    <w:rPr>
      <w:b/>
      <w:bCs/>
      <w:color w:val="FFFFFF"/>
      <w:sz w:val="11"/>
      <w:szCs w:val="11"/>
    </w:rPr>
  </w:style>
  <w:style w:type="character" w:customStyle="1" w:styleId="195">
    <w:name w:val="明显引用 Char2"/>
    <w:qFormat/>
    <w:uiPriority w:val="99"/>
    <w:rPr>
      <w:b/>
      <w:bCs/>
      <w:i/>
      <w:iCs/>
      <w:color w:val="4F81BD"/>
      <w:kern w:val="2"/>
      <w:sz w:val="21"/>
      <w:szCs w:val="24"/>
    </w:rPr>
  </w:style>
  <w:style w:type="character" w:customStyle="1" w:styleId="196">
    <w:name w:val="引用 字符"/>
    <w:link w:val="125"/>
    <w:qFormat/>
    <w:uiPriority w:val="0"/>
    <w:rPr>
      <w:i/>
      <w:iCs/>
      <w:color w:val="000000"/>
      <w:kern w:val="2"/>
      <w:sz w:val="21"/>
      <w:szCs w:val="22"/>
      <w:lang w:bidi="ar-SA"/>
    </w:rPr>
  </w:style>
  <w:style w:type="character" w:customStyle="1" w:styleId="197">
    <w:name w:val="批注框文本 Char3"/>
    <w:semiHidden/>
    <w:qFormat/>
    <w:uiPriority w:val="99"/>
    <w:rPr>
      <w:rFonts w:ascii="Calibri" w:hAnsi="Calibri" w:eastAsia="宋体" w:cs="Times New Roman"/>
      <w:sz w:val="18"/>
      <w:szCs w:val="18"/>
    </w:rPr>
  </w:style>
  <w:style w:type="character" w:customStyle="1" w:styleId="198">
    <w:name w:val="标题 2 字符"/>
    <w:link w:val="4"/>
    <w:qFormat/>
    <w:uiPriority w:val="0"/>
    <w:rPr>
      <w:rFonts w:ascii="Cambria" w:hAnsi="Cambria" w:eastAsia="宋体"/>
      <w:b/>
      <w:bCs/>
      <w:kern w:val="2"/>
      <w:sz w:val="32"/>
      <w:szCs w:val="32"/>
      <w:lang w:val="en-US" w:eastAsia="zh-CN" w:bidi="ar-SA"/>
    </w:rPr>
  </w:style>
  <w:style w:type="character" w:customStyle="1" w:styleId="199">
    <w:name w:val="Char Char33"/>
    <w:qFormat/>
    <w:uiPriority w:val="0"/>
    <w:rPr>
      <w:rFonts w:ascii="仿宋_GB2312" w:eastAsia="仿宋_GB2312" w:cs="MingLiU"/>
      <w:b/>
      <w:sz w:val="24"/>
      <w:szCs w:val="28"/>
    </w:rPr>
  </w:style>
  <w:style w:type="character" w:customStyle="1" w:styleId="200">
    <w:name w:val="标题 2 Char"/>
    <w:qFormat/>
    <w:uiPriority w:val="0"/>
    <w:rPr>
      <w:rFonts w:ascii="仿宋_GB2312" w:hAnsi="Calibri" w:eastAsia="仿宋_GB2312" w:cs="Times New Roman"/>
      <w:b/>
      <w:spacing w:val="1"/>
      <w:w w:val="99"/>
      <w:kern w:val="0"/>
      <w:sz w:val="28"/>
      <w:szCs w:val="32"/>
    </w:rPr>
  </w:style>
  <w:style w:type="character" w:customStyle="1" w:styleId="201">
    <w:name w:val="l1"/>
    <w:basedOn w:val="45"/>
    <w:qFormat/>
    <w:uiPriority w:val="0"/>
  </w:style>
  <w:style w:type="character" w:customStyle="1" w:styleId="202">
    <w:name w:val="手改 Char Char"/>
    <w:qFormat/>
    <w:uiPriority w:val="0"/>
    <w:rPr>
      <w:kern w:val="2"/>
      <w:sz w:val="21"/>
      <w:szCs w:val="24"/>
    </w:rPr>
  </w:style>
  <w:style w:type="character" w:customStyle="1" w:styleId="203">
    <w:name w:val="style21"/>
    <w:qFormat/>
    <w:uiPriority w:val="0"/>
    <w:rPr>
      <w:b/>
      <w:bCs/>
      <w:sz w:val="28"/>
      <w:szCs w:val="28"/>
    </w:rPr>
  </w:style>
  <w:style w:type="character" w:customStyle="1" w:styleId="204">
    <w:name w:val="Char Char24"/>
    <w:qFormat/>
    <w:uiPriority w:val="0"/>
    <w:rPr>
      <w:b/>
      <w:bCs/>
      <w:kern w:val="44"/>
      <w:sz w:val="44"/>
      <w:szCs w:val="44"/>
    </w:rPr>
  </w:style>
  <w:style w:type="character" w:customStyle="1" w:styleId="205">
    <w:name w:val="页脚 字符"/>
    <w:link w:val="30"/>
    <w:qFormat/>
    <w:uiPriority w:val="0"/>
    <w:rPr>
      <w:rFonts w:eastAsia="宋体"/>
      <w:kern w:val="2"/>
      <w:sz w:val="18"/>
      <w:szCs w:val="18"/>
      <w:lang w:val="en-US" w:eastAsia="zh-CN" w:bidi="ar-SA"/>
    </w:rPr>
  </w:style>
  <w:style w:type="character" w:customStyle="1" w:styleId="206">
    <w:name w:val="_Style 197"/>
    <w:qFormat/>
    <w:uiPriority w:val="0"/>
    <w:rPr>
      <w:b/>
      <w:bCs/>
      <w:smallCaps/>
      <w:spacing w:val="5"/>
    </w:rPr>
  </w:style>
  <w:style w:type="character" w:customStyle="1" w:styleId="207">
    <w:name w:val="纯文本 Char1"/>
    <w:qFormat/>
    <w:uiPriority w:val="0"/>
    <w:rPr>
      <w:rFonts w:ascii="宋体" w:hAnsi="Courier New" w:cs="Courier New"/>
      <w:kern w:val="2"/>
      <w:sz w:val="21"/>
      <w:szCs w:val="21"/>
    </w:rPr>
  </w:style>
  <w:style w:type="character" w:customStyle="1" w:styleId="208">
    <w:name w:val="尾注文本 Char"/>
    <w:qFormat/>
    <w:uiPriority w:val="0"/>
    <w:rPr>
      <w:kern w:val="2"/>
      <w:sz w:val="21"/>
      <w:szCs w:val="24"/>
    </w:rPr>
  </w:style>
  <w:style w:type="character" w:customStyle="1" w:styleId="209">
    <w:name w:val="日期 Char1"/>
    <w:qFormat/>
    <w:uiPriority w:val="0"/>
    <w:rPr>
      <w:kern w:val="2"/>
      <w:sz w:val="21"/>
      <w:szCs w:val="22"/>
    </w:rPr>
  </w:style>
  <w:style w:type="character" w:customStyle="1" w:styleId="210">
    <w:name w:val="纯文本 字符"/>
    <w:link w:val="24"/>
    <w:qFormat/>
    <w:uiPriority w:val="0"/>
    <w:rPr>
      <w:rFonts w:ascii="宋体" w:hAnsi="Courier New" w:eastAsia="宋体" w:cs="Courier New"/>
      <w:kern w:val="2"/>
      <w:sz w:val="21"/>
      <w:szCs w:val="21"/>
      <w:lang w:val="en-US" w:eastAsia="zh-CN" w:bidi="ar-SA"/>
    </w:rPr>
  </w:style>
  <w:style w:type="character" w:customStyle="1" w:styleId="211">
    <w:name w:val="正文文本 Char1"/>
    <w:qFormat/>
    <w:uiPriority w:val="0"/>
    <w:rPr>
      <w:kern w:val="2"/>
      <w:sz w:val="21"/>
      <w:szCs w:val="22"/>
    </w:rPr>
  </w:style>
  <w:style w:type="character" w:customStyle="1" w:styleId="212">
    <w:name w:val="标题 9 Char1"/>
    <w:qFormat/>
    <w:uiPriority w:val="0"/>
    <w:rPr>
      <w:rFonts w:ascii="Times New Roman" w:hAnsi="Times New Roman" w:eastAsia="仿宋_GB2312" w:cs="Times New Roman"/>
      <w:sz w:val="30"/>
      <w:szCs w:val="20"/>
    </w:rPr>
  </w:style>
  <w:style w:type="character" w:customStyle="1" w:styleId="213">
    <w:name w:val="批注框文本 字符"/>
    <w:link w:val="29"/>
    <w:qFormat/>
    <w:uiPriority w:val="0"/>
    <w:rPr>
      <w:rFonts w:eastAsia="宋体"/>
      <w:kern w:val="2"/>
      <w:sz w:val="18"/>
      <w:szCs w:val="18"/>
      <w:lang w:val="en-US" w:eastAsia="zh-CN" w:bidi="ar-SA"/>
    </w:rPr>
  </w:style>
  <w:style w:type="character" w:customStyle="1" w:styleId="214">
    <w:name w:val="脚注文本 Char1"/>
    <w:qFormat/>
    <w:uiPriority w:val="0"/>
    <w:rPr>
      <w:rFonts w:ascii="Arial" w:hAnsi="Arial" w:cs="Arial"/>
      <w:sz w:val="18"/>
      <w:szCs w:val="18"/>
      <w:lang w:eastAsia="en-US"/>
    </w:rPr>
  </w:style>
  <w:style w:type="character" w:customStyle="1" w:styleId="215">
    <w:name w:val="正文文本缩进 Char"/>
    <w:qFormat/>
    <w:uiPriority w:val="0"/>
    <w:rPr>
      <w:rFonts w:ascii="黑体" w:hAnsi="宋体" w:eastAsia="黑体"/>
      <w:color w:val="000000"/>
      <w:sz w:val="28"/>
      <w:szCs w:val="32"/>
    </w:rPr>
  </w:style>
  <w:style w:type="character" w:customStyle="1" w:styleId="216">
    <w:name w:val="HTML 预设格式 Char1"/>
    <w:qFormat/>
    <w:uiPriority w:val="0"/>
    <w:rPr>
      <w:rFonts w:ascii="宋体" w:hAnsi="宋体" w:cs="宋体"/>
      <w:color w:val="000000"/>
      <w:sz w:val="24"/>
      <w:szCs w:val="24"/>
    </w:rPr>
  </w:style>
  <w:style w:type="character" w:customStyle="1" w:styleId="217">
    <w:name w:val="引用 Char3"/>
    <w:qFormat/>
    <w:uiPriority w:val="29"/>
    <w:rPr>
      <w:rFonts w:ascii="Calibri" w:hAnsi="Calibri" w:eastAsia="宋体" w:cs="Times New Roman"/>
      <w:i/>
      <w:iCs/>
      <w:color w:val="000000"/>
      <w:szCs w:val="24"/>
    </w:rPr>
  </w:style>
  <w:style w:type="character" w:customStyle="1" w:styleId="218">
    <w:name w:val="尾注文本 字符"/>
    <w:link w:val="28"/>
    <w:qFormat/>
    <w:uiPriority w:val="0"/>
    <w:rPr>
      <w:rFonts w:ascii="Arial" w:hAnsi="Arial" w:eastAsia="宋体" w:cs="Arial"/>
      <w:szCs w:val="24"/>
      <w:lang w:val="en-US" w:eastAsia="en-US" w:bidi="ar-SA"/>
    </w:rPr>
  </w:style>
  <w:style w:type="character" w:customStyle="1" w:styleId="219">
    <w:name w:val="标题 7 Char1"/>
    <w:qFormat/>
    <w:uiPriority w:val="0"/>
    <w:rPr>
      <w:rFonts w:ascii="Times New Roman" w:hAnsi="Times New Roman" w:eastAsia="仿宋_GB2312" w:cs="Times New Roman"/>
      <w:sz w:val="30"/>
      <w:szCs w:val="20"/>
    </w:rPr>
  </w:style>
  <w:style w:type="character" w:customStyle="1" w:styleId="220">
    <w:name w:val="普通文字 Char Char1"/>
    <w:qFormat/>
    <w:uiPriority w:val="0"/>
    <w:rPr>
      <w:rFonts w:ascii="宋体" w:hAnsi="Courier New"/>
      <w:kern w:val="2"/>
      <w:sz w:val="28"/>
      <w:szCs w:val="28"/>
    </w:rPr>
  </w:style>
  <w:style w:type="character" w:customStyle="1" w:styleId="221">
    <w:name w:val="明显参考1"/>
    <w:qFormat/>
    <w:uiPriority w:val="0"/>
    <w:rPr>
      <w:b/>
      <w:bCs/>
      <w:smallCaps/>
      <w:color w:val="C0504D"/>
      <w:spacing w:val="5"/>
      <w:u w:val="single"/>
    </w:rPr>
  </w:style>
  <w:style w:type="character" w:customStyle="1" w:styleId="222">
    <w:name w:val="正文文本缩进 Char1"/>
    <w:qFormat/>
    <w:uiPriority w:val="0"/>
    <w:rPr>
      <w:kern w:val="2"/>
      <w:sz w:val="21"/>
      <w:szCs w:val="24"/>
    </w:rPr>
  </w:style>
  <w:style w:type="character" w:customStyle="1" w:styleId="223">
    <w:name w:val="页眉 Char"/>
    <w:qFormat/>
    <w:uiPriority w:val="0"/>
    <w:rPr>
      <w:sz w:val="18"/>
      <w:szCs w:val="18"/>
    </w:rPr>
  </w:style>
  <w:style w:type="character" w:customStyle="1" w:styleId="224">
    <w:name w:val="style31"/>
    <w:qFormat/>
    <w:uiPriority w:val="0"/>
    <w:rPr>
      <w:sz w:val="10"/>
      <w:szCs w:val="10"/>
    </w:rPr>
  </w:style>
  <w:style w:type="character" w:customStyle="1" w:styleId="225">
    <w:name w:val="日期 Char"/>
    <w:qFormat/>
    <w:uiPriority w:val="0"/>
    <w:rPr>
      <w:rFonts w:eastAsia="宋体"/>
      <w:szCs w:val="24"/>
    </w:rPr>
  </w:style>
  <w:style w:type="character" w:customStyle="1" w:styleId="226">
    <w:name w:val="标题 1 Char1"/>
    <w:qFormat/>
    <w:uiPriority w:val="0"/>
    <w:rPr>
      <w:rFonts w:ascii="Times New Roman" w:hAnsi="Times New Roman" w:eastAsia="宋体" w:cs="Times New Roman"/>
      <w:b/>
      <w:bCs/>
      <w:kern w:val="44"/>
      <w:sz w:val="44"/>
      <w:szCs w:val="44"/>
    </w:rPr>
  </w:style>
  <w:style w:type="character" w:customStyle="1" w:styleId="227">
    <w:name w:val="main_tdbg_7601"/>
    <w:qFormat/>
    <w:uiPriority w:val="0"/>
    <w:rPr>
      <w:sz w:val="14"/>
      <w:szCs w:val="14"/>
    </w:rPr>
  </w:style>
  <w:style w:type="character" w:customStyle="1" w:styleId="228">
    <w:name w:val="尾注文本 Char1"/>
    <w:qFormat/>
    <w:uiPriority w:val="0"/>
    <w:rPr>
      <w:rFonts w:ascii="Arial" w:hAnsi="Arial" w:cs="Arial"/>
      <w:szCs w:val="24"/>
      <w:lang w:eastAsia="en-US"/>
    </w:rPr>
  </w:style>
  <w:style w:type="character" w:customStyle="1" w:styleId="229">
    <w:name w:val="副标题 Char2"/>
    <w:qFormat/>
    <w:uiPriority w:val="11"/>
    <w:rPr>
      <w:rFonts w:ascii="Cambria" w:hAnsi="Cambria" w:eastAsia="宋体" w:cs="Times New Roman"/>
      <w:b/>
      <w:bCs/>
      <w:kern w:val="28"/>
      <w:sz w:val="32"/>
      <w:szCs w:val="32"/>
    </w:rPr>
  </w:style>
  <w:style w:type="character" w:customStyle="1" w:styleId="230">
    <w:name w:val="正文文本缩进 3 Char2"/>
    <w:semiHidden/>
    <w:qFormat/>
    <w:uiPriority w:val="99"/>
    <w:rPr>
      <w:rFonts w:ascii="Calibri" w:hAnsi="Calibri" w:eastAsia="宋体" w:cs="Times New Roman"/>
      <w:sz w:val="16"/>
      <w:szCs w:val="16"/>
    </w:rPr>
  </w:style>
  <w:style w:type="character" w:customStyle="1" w:styleId="231">
    <w:name w:val="Char Char34"/>
    <w:qFormat/>
    <w:uiPriority w:val="0"/>
    <w:rPr>
      <w:rFonts w:ascii="仿宋_GB2312" w:eastAsia="仿宋_GB2312" w:cs="MingLiU"/>
      <w:b/>
      <w:spacing w:val="1"/>
      <w:w w:val="99"/>
      <w:sz w:val="28"/>
      <w:szCs w:val="32"/>
    </w:rPr>
  </w:style>
  <w:style w:type="character" w:customStyle="1" w:styleId="232">
    <w:name w:val="docpro"/>
    <w:basedOn w:val="45"/>
    <w:qFormat/>
    <w:uiPriority w:val="0"/>
  </w:style>
  <w:style w:type="character" w:customStyle="1" w:styleId="233">
    <w:name w:val="正文文本 字符"/>
    <w:link w:val="18"/>
    <w:qFormat/>
    <w:uiPriority w:val="0"/>
    <w:rPr>
      <w:rFonts w:eastAsia="宋体"/>
      <w:kern w:val="2"/>
      <w:sz w:val="21"/>
      <w:szCs w:val="24"/>
      <w:lang w:val="en-US" w:eastAsia="zh-CN" w:bidi="ar-SA"/>
    </w:rPr>
  </w:style>
  <w:style w:type="character" w:customStyle="1" w:styleId="234">
    <w:name w:val="ITTHEADER1 Char"/>
    <w:qFormat/>
    <w:uiPriority w:val="0"/>
    <w:rPr>
      <w:rFonts w:eastAsia="黑体"/>
      <w:kern w:val="2"/>
      <w:sz w:val="44"/>
      <w:szCs w:val="44"/>
      <w:lang w:val="en-US" w:eastAsia="zh-CN" w:bidi="ar-SA"/>
    </w:rPr>
  </w:style>
  <w:style w:type="character" w:customStyle="1" w:styleId="235">
    <w:name w:val="副标题 Char"/>
    <w:qFormat/>
    <w:uiPriority w:val="0"/>
    <w:rPr>
      <w:rFonts w:ascii="Cambria" w:hAnsi="Cambria" w:eastAsia="宋体" w:cs="Times New Roman"/>
      <w:b/>
      <w:bCs/>
      <w:kern w:val="28"/>
      <w:sz w:val="32"/>
      <w:szCs w:val="32"/>
    </w:rPr>
  </w:style>
  <w:style w:type="character" w:customStyle="1" w:styleId="236">
    <w:name w:val="标题 6 字符"/>
    <w:link w:val="7"/>
    <w:qFormat/>
    <w:uiPriority w:val="0"/>
    <w:rPr>
      <w:rFonts w:hAnsi="Arial" w:eastAsia="仿宋_GB2312"/>
      <w:sz w:val="30"/>
      <w:lang w:val="en-US" w:eastAsia="zh-CN" w:bidi="ar-SA"/>
    </w:rPr>
  </w:style>
  <w:style w:type="character" w:customStyle="1" w:styleId="237">
    <w:name w:val="标题 Char2"/>
    <w:qFormat/>
    <w:uiPriority w:val="10"/>
    <w:rPr>
      <w:rFonts w:ascii="Cambria" w:hAnsi="Cambria" w:eastAsia="宋体" w:cs="Times New Roman"/>
      <w:b/>
      <w:bCs/>
      <w:sz w:val="32"/>
      <w:szCs w:val="32"/>
    </w:rPr>
  </w:style>
  <w:style w:type="character" w:customStyle="1" w:styleId="238">
    <w:name w:val="正文文本 Char2"/>
    <w:qFormat/>
    <w:uiPriority w:val="99"/>
    <w:rPr>
      <w:kern w:val="2"/>
      <w:sz w:val="21"/>
      <w:szCs w:val="24"/>
    </w:rPr>
  </w:style>
  <w:style w:type="character" w:customStyle="1" w:styleId="239">
    <w:name w:val="正文文本 2 字符"/>
    <w:link w:val="40"/>
    <w:qFormat/>
    <w:uiPriority w:val="0"/>
    <w:rPr>
      <w:i/>
      <w:iCs/>
      <w:kern w:val="2"/>
      <w:sz w:val="26"/>
      <w:szCs w:val="24"/>
    </w:rPr>
  </w:style>
  <w:style w:type="character" w:customStyle="1" w:styleId="240">
    <w:name w:val="0d1471"/>
    <w:qFormat/>
    <w:uiPriority w:val="0"/>
    <w:rPr>
      <w:color w:val="000000"/>
      <w:sz w:val="11"/>
      <w:szCs w:val="11"/>
      <w:u w:val="none"/>
    </w:rPr>
  </w:style>
  <w:style w:type="character" w:customStyle="1" w:styleId="241">
    <w:name w:val="批注主题 Char"/>
    <w:qFormat/>
    <w:uiPriority w:val="0"/>
    <w:rPr>
      <w:rFonts w:ascii="宋体" w:hAnsi="宋体" w:eastAsia="宋体"/>
      <w:kern w:val="2"/>
      <w:sz w:val="24"/>
      <w:szCs w:val="28"/>
      <w:lang w:val="en-US" w:eastAsia="zh-CN" w:bidi="ar-SA"/>
    </w:rPr>
  </w:style>
  <w:style w:type="character" w:customStyle="1" w:styleId="242">
    <w:name w:val="正文文本 2 Char1"/>
    <w:semiHidden/>
    <w:qFormat/>
    <w:uiPriority w:val="99"/>
    <w:rPr>
      <w:rFonts w:ascii="Calibri" w:hAnsi="Calibri" w:eastAsia="宋体" w:cs="Times New Roman"/>
      <w:szCs w:val="24"/>
    </w:rPr>
  </w:style>
  <w:style w:type="character" w:customStyle="1" w:styleId="243">
    <w:name w:val="批注框文本 Char1"/>
    <w:qFormat/>
    <w:uiPriority w:val="0"/>
    <w:rPr>
      <w:kern w:val="2"/>
      <w:sz w:val="18"/>
      <w:szCs w:val="18"/>
    </w:rPr>
  </w:style>
  <w:style w:type="character" w:customStyle="1" w:styleId="244">
    <w:name w:val="标题 字符"/>
    <w:link w:val="44"/>
    <w:qFormat/>
    <w:uiPriority w:val="0"/>
    <w:rPr>
      <w:rFonts w:eastAsia="宋体"/>
      <w:szCs w:val="24"/>
      <w:u w:val="single"/>
      <w:lang w:val="en-US" w:eastAsia="en-US" w:bidi="ar-SA"/>
    </w:rPr>
  </w:style>
  <w:style w:type="character" w:customStyle="1" w:styleId="245">
    <w:name w:val="正文文本缩进 2 字符"/>
    <w:link w:val="27"/>
    <w:qFormat/>
    <w:uiPriority w:val="0"/>
    <w:rPr>
      <w:rFonts w:eastAsia="宋体"/>
      <w:sz w:val="28"/>
      <w:szCs w:val="24"/>
      <w:lang w:val="en-US" w:eastAsia="zh-CN" w:bidi="ar-SA"/>
    </w:rPr>
  </w:style>
  <w:style w:type="character" w:customStyle="1" w:styleId="246">
    <w:name w:val="引用 Char"/>
    <w:link w:val="123"/>
    <w:qFormat/>
    <w:uiPriority w:val="0"/>
    <w:rPr>
      <w:rFonts w:ascii="Times New Roman" w:hAnsi="Times New Roman" w:eastAsia="宋体" w:cs="Times New Roman"/>
      <w:i/>
      <w:iCs/>
      <w:color w:val="000000"/>
      <w:kern w:val="2"/>
      <w:sz w:val="21"/>
      <w:szCs w:val="24"/>
    </w:rPr>
  </w:style>
  <w:style w:type="character" w:customStyle="1" w:styleId="247">
    <w:name w:val="font161"/>
    <w:qFormat/>
    <w:uiPriority w:val="0"/>
    <w:rPr>
      <w:b/>
      <w:bCs/>
      <w:sz w:val="32"/>
      <w:szCs w:val="32"/>
    </w:rPr>
  </w:style>
  <w:style w:type="character" w:customStyle="1" w:styleId="248">
    <w:name w:val="正文文本缩进 字符"/>
    <w:link w:val="19"/>
    <w:qFormat/>
    <w:uiPriority w:val="0"/>
    <w:rPr>
      <w:rFonts w:eastAsia="宋体"/>
      <w:kern w:val="2"/>
      <w:sz w:val="21"/>
      <w:szCs w:val="24"/>
      <w:lang w:val="en-US" w:eastAsia="zh-CN" w:bidi="ar-SA"/>
    </w:rPr>
  </w:style>
  <w:style w:type="character" w:customStyle="1" w:styleId="249">
    <w:name w:val="标题 9 字符"/>
    <w:link w:val="11"/>
    <w:qFormat/>
    <w:uiPriority w:val="0"/>
    <w:rPr>
      <w:rFonts w:eastAsia="仿宋_GB2312"/>
      <w:sz w:val="30"/>
      <w:lang w:val="en-US" w:eastAsia="zh-CN" w:bidi="ar-SA"/>
    </w:rPr>
  </w:style>
  <w:style w:type="character" w:customStyle="1" w:styleId="250">
    <w:name w:val="标题 8 字符"/>
    <w:link w:val="10"/>
    <w:qFormat/>
    <w:uiPriority w:val="0"/>
    <w:rPr>
      <w:rFonts w:hAnsi="Arial" w:eastAsia="仿宋_GB2312"/>
      <w:sz w:val="30"/>
      <w:lang w:val="en-US" w:eastAsia="zh-CN" w:bidi="ar-SA"/>
    </w:rPr>
  </w:style>
  <w:style w:type="character" w:customStyle="1" w:styleId="251">
    <w:name w:val="Char Char32"/>
    <w:qFormat/>
    <w:uiPriority w:val="0"/>
    <w:rPr>
      <w:rFonts w:ascii="仿宋_GB2312" w:eastAsia="仿宋_GB2312" w:cs="MingLiU"/>
      <w:b/>
      <w:spacing w:val="1"/>
      <w:w w:val="99"/>
      <w:sz w:val="28"/>
      <w:szCs w:val="32"/>
    </w:rPr>
  </w:style>
  <w:style w:type="character" w:customStyle="1" w:styleId="252">
    <w:name w:val="正文文本缩进 3 字符"/>
    <w:link w:val="37"/>
    <w:qFormat/>
    <w:uiPriority w:val="0"/>
    <w:rPr>
      <w:rFonts w:ascii="宋体" w:hAnsi="宋体" w:eastAsia="宋体"/>
      <w:kern w:val="2"/>
      <w:sz w:val="28"/>
      <w:szCs w:val="28"/>
      <w:lang w:val="en-US" w:eastAsia="zh-CN" w:bidi="ar-SA"/>
    </w:rPr>
  </w:style>
  <w:style w:type="character" w:customStyle="1" w:styleId="253">
    <w:name w:val="标题 2 Char1"/>
    <w:qFormat/>
    <w:uiPriority w:val="0"/>
    <w:rPr>
      <w:rFonts w:ascii="Cambria" w:hAnsi="Cambria" w:eastAsia="宋体" w:cs="Times New Roman"/>
      <w:b/>
      <w:bCs/>
      <w:kern w:val="2"/>
      <w:sz w:val="32"/>
      <w:szCs w:val="32"/>
    </w:rPr>
  </w:style>
  <w:style w:type="character" w:customStyle="1" w:styleId="254">
    <w:name w:val="ss16"/>
    <w:qFormat/>
    <w:uiPriority w:val="0"/>
    <w:rPr>
      <w:rFonts w:hint="eastAsia" w:ascii="宋体" w:hAnsi="宋体" w:eastAsia="宋体"/>
      <w:color w:val="000000"/>
      <w:sz w:val="9"/>
      <w:szCs w:val="9"/>
    </w:rPr>
  </w:style>
  <w:style w:type="character" w:customStyle="1" w:styleId="255">
    <w:name w:val="批注主题 Char3"/>
    <w:semiHidden/>
    <w:qFormat/>
    <w:uiPriority w:val="99"/>
    <w:rPr>
      <w:rFonts w:ascii="Calibri" w:hAnsi="Calibri" w:eastAsia="宋体" w:cs="Times New Roman"/>
      <w:b/>
      <w:bCs/>
      <w:szCs w:val="24"/>
    </w:rPr>
  </w:style>
  <w:style w:type="character" w:customStyle="1" w:styleId="256">
    <w:name w:val="明显引用 Char1"/>
    <w:link w:val="140"/>
    <w:qFormat/>
    <w:uiPriority w:val="30"/>
    <w:rPr>
      <w:b/>
      <w:bCs/>
      <w:i/>
      <w:iCs/>
      <w:color w:val="4F81BD"/>
      <w:kern w:val="2"/>
      <w:sz w:val="21"/>
    </w:rPr>
  </w:style>
  <w:style w:type="character" w:customStyle="1" w:styleId="257">
    <w:name w:val="HTML 预设格式 Char2"/>
    <w:semiHidden/>
    <w:qFormat/>
    <w:uiPriority w:val="99"/>
    <w:rPr>
      <w:rFonts w:ascii="Courier New" w:hAnsi="Courier New" w:eastAsia="宋体" w:cs="Courier New"/>
      <w:sz w:val="20"/>
      <w:szCs w:val="20"/>
    </w:rPr>
  </w:style>
  <w:style w:type="character" w:customStyle="1" w:styleId="258">
    <w:name w:val="Char Char17"/>
    <w:qFormat/>
    <w:uiPriority w:val="0"/>
    <w:rPr>
      <w:kern w:val="2"/>
      <w:sz w:val="26"/>
      <w:szCs w:val="24"/>
    </w:rPr>
  </w:style>
  <w:style w:type="character" w:customStyle="1" w:styleId="259">
    <w:name w:val="标题 3 Char1"/>
    <w:qFormat/>
    <w:uiPriority w:val="0"/>
    <w:rPr>
      <w:rFonts w:ascii="Times New Roman" w:hAnsi="Times New Roman" w:eastAsia="宋体" w:cs="Times New Roman"/>
      <w:b/>
      <w:bCs/>
      <w:kern w:val="2"/>
      <w:sz w:val="32"/>
      <w:szCs w:val="32"/>
    </w:rPr>
  </w:style>
  <w:style w:type="character" w:customStyle="1" w:styleId="260">
    <w:name w:val="标题 5 Char"/>
    <w:qFormat/>
    <w:uiPriority w:val="0"/>
    <w:rPr>
      <w:rFonts w:ascii="Calibri" w:hAnsi="Calibri" w:eastAsia="宋体" w:cs="Times New Roman"/>
      <w:b/>
      <w:bCs/>
      <w:sz w:val="28"/>
      <w:szCs w:val="28"/>
    </w:rPr>
  </w:style>
  <w:style w:type="character" w:customStyle="1" w:styleId="261">
    <w:name w:val="页脚 Char1"/>
    <w:semiHidden/>
    <w:qFormat/>
    <w:uiPriority w:val="99"/>
    <w:rPr>
      <w:kern w:val="2"/>
      <w:sz w:val="18"/>
      <w:szCs w:val="18"/>
    </w:rPr>
  </w:style>
  <w:style w:type="character" w:customStyle="1" w:styleId="262">
    <w:name w:val="unnamed1"/>
    <w:basedOn w:val="45"/>
    <w:qFormat/>
    <w:uiPriority w:val="0"/>
  </w:style>
  <w:style w:type="character" w:customStyle="1" w:styleId="263">
    <w:name w:val="Char Char9"/>
    <w:qFormat/>
    <w:locked/>
    <w:uiPriority w:val="0"/>
    <w:rPr>
      <w:rFonts w:ascii="仿宋_GB2312" w:eastAsia="仿宋_GB2312" w:cs="MingLiU"/>
      <w:b/>
      <w:sz w:val="24"/>
      <w:szCs w:val="28"/>
      <w:lang w:val="en-US" w:eastAsia="zh-CN" w:bidi="ar-SA"/>
    </w:rPr>
  </w:style>
  <w:style w:type="character" w:customStyle="1" w:styleId="264">
    <w:name w:val="批注主题 Char1"/>
    <w:qFormat/>
    <w:uiPriority w:val="0"/>
    <w:rPr>
      <w:b/>
      <w:bCs/>
      <w:kern w:val="2"/>
      <w:sz w:val="21"/>
      <w:szCs w:val="22"/>
    </w:rPr>
  </w:style>
  <w:style w:type="character" w:customStyle="1" w:styleId="265">
    <w:name w:val="正文文本 3 字符"/>
    <w:link w:val="17"/>
    <w:qFormat/>
    <w:uiPriority w:val="0"/>
    <w:rPr>
      <w:rFonts w:eastAsia="宋体"/>
      <w:kern w:val="2"/>
      <w:sz w:val="16"/>
      <w:szCs w:val="16"/>
      <w:lang w:val="en-US" w:eastAsia="zh-CN" w:bidi="ar-SA"/>
    </w:rPr>
  </w:style>
  <w:style w:type="character" w:customStyle="1" w:styleId="266">
    <w:name w:val="纯文本 Char2"/>
    <w:semiHidden/>
    <w:qFormat/>
    <w:uiPriority w:val="99"/>
    <w:rPr>
      <w:rFonts w:ascii="宋体" w:hAnsi="Courier New" w:eastAsia="宋体" w:cs="Courier New"/>
      <w:szCs w:val="21"/>
    </w:rPr>
  </w:style>
  <w:style w:type="character" w:customStyle="1" w:styleId="267">
    <w:name w:val="intel3"/>
    <w:basedOn w:val="45"/>
    <w:qFormat/>
    <w:uiPriority w:val="0"/>
  </w:style>
  <w:style w:type="character" w:customStyle="1" w:styleId="268">
    <w:name w:val="subhead1"/>
    <w:qFormat/>
    <w:uiPriority w:val="0"/>
    <w:rPr>
      <w:rFonts w:hint="default" w:ascii="Tahoma" w:hAnsi="Tahoma" w:cs="Tahoma"/>
      <w:color w:val="000000"/>
      <w:sz w:val="18"/>
      <w:szCs w:val="18"/>
      <w:u w:val="none"/>
      <w:shd w:val="clear" w:color="auto" w:fill="FFFFFF"/>
    </w:rPr>
  </w:style>
  <w:style w:type="character" w:customStyle="1" w:styleId="269">
    <w:name w:val="脚注文本 Char"/>
    <w:qFormat/>
    <w:uiPriority w:val="0"/>
    <w:rPr>
      <w:rFonts w:ascii="Arial" w:hAnsi="Arial" w:eastAsia="宋体" w:cs="Arial"/>
      <w:sz w:val="18"/>
      <w:szCs w:val="18"/>
      <w:lang w:eastAsia="en-US"/>
    </w:rPr>
  </w:style>
  <w:style w:type="character" w:customStyle="1" w:styleId="270">
    <w:name w:val="引用 Char1"/>
    <w:link w:val="145"/>
    <w:qFormat/>
    <w:uiPriority w:val="29"/>
    <w:rPr>
      <w:i/>
      <w:iCs/>
      <w:color w:val="000000"/>
      <w:kern w:val="2"/>
      <w:sz w:val="21"/>
    </w:rPr>
  </w:style>
  <w:style w:type="character" w:customStyle="1" w:styleId="271">
    <w:name w:val="正文文本缩进 2 Char"/>
    <w:qFormat/>
    <w:uiPriority w:val="0"/>
    <w:rPr>
      <w:kern w:val="2"/>
      <w:sz w:val="21"/>
      <w:szCs w:val="24"/>
    </w:rPr>
  </w:style>
  <w:style w:type="character" w:customStyle="1" w:styleId="272">
    <w:name w:val="脚注文本 Char2"/>
    <w:semiHidden/>
    <w:qFormat/>
    <w:uiPriority w:val="99"/>
    <w:rPr>
      <w:rFonts w:ascii="Calibri" w:hAnsi="Calibri" w:eastAsia="宋体" w:cs="Times New Roman"/>
      <w:sz w:val="18"/>
      <w:szCs w:val="18"/>
    </w:rPr>
  </w:style>
  <w:style w:type="character" w:customStyle="1" w:styleId="273">
    <w:name w:val="ca-141"/>
    <w:qFormat/>
    <w:uiPriority w:val="0"/>
    <w:rPr>
      <w:rFonts w:hint="eastAsia" w:ascii="仿宋_GB2312" w:eastAsia="仿宋_GB2312"/>
      <w:sz w:val="21"/>
      <w:szCs w:val="21"/>
    </w:rPr>
  </w:style>
  <w:style w:type="character" w:customStyle="1" w:styleId="274">
    <w:name w:val="标题 Char1"/>
    <w:qFormat/>
    <w:uiPriority w:val="10"/>
    <w:rPr>
      <w:szCs w:val="24"/>
      <w:u w:val="single"/>
      <w:lang w:eastAsia="en-US"/>
    </w:rPr>
  </w:style>
  <w:style w:type="character" w:customStyle="1" w:styleId="275">
    <w:name w:val="style161"/>
    <w:qFormat/>
    <w:uiPriority w:val="0"/>
    <w:rPr>
      <w:b/>
      <w:bCs/>
      <w:color w:val="333333"/>
    </w:rPr>
  </w:style>
  <w:style w:type="character" w:customStyle="1" w:styleId="276">
    <w:name w:val="Char Char11"/>
    <w:qFormat/>
    <w:locked/>
    <w:uiPriority w:val="0"/>
    <w:rPr>
      <w:rFonts w:eastAsia="黑体"/>
      <w:kern w:val="2"/>
      <w:sz w:val="44"/>
      <w:szCs w:val="44"/>
      <w:lang w:val="en-US" w:eastAsia="zh-CN" w:bidi="ar-SA"/>
    </w:rPr>
  </w:style>
  <w:style w:type="character" w:customStyle="1" w:styleId="277">
    <w:name w:val="标题 7 Char"/>
    <w:qFormat/>
    <w:uiPriority w:val="0"/>
    <w:rPr>
      <w:rFonts w:ascii="Calibri" w:hAnsi="Calibri" w:eastAsia="宋体" w:cs="Times New Roman"/>
      <w:b/>
      <w:bCs/>
      <w:sz w:val="24"/>
      <w:szCs w:val="24"/>
    </w:rPr>
  </w:style>
  <w:style w:type="character" w:customStyle="1" w:styleId="278">
    <w:name w:val="批注文字 Char1"/>
    <w:qFormat/>
    <w:uiPriority w:val="99"/>
    <w:rPr>
      <w:rFonts w:ascii="Times New Roman" w:hAnsi="Times New Roman" w:eastAsia="宋体" w:cs="Times New Roman"/>
      <w:szCs w:val="24"/>
    </w:rPr>
  </w:style>
  <w:style w:type="character" w:customStyle="1" w:styleId="279">
    <w:name w:val="明显引用 Char"/>
    <w:qFormat/>
    <w:uiPriority w:val="0"/>
    <w:rPr>
      <w:rFonts w:ascii="Times New Roman" w:hAnsi="Times New Roman" w:eastAsia="宋体" w:cs="Times New Roman"/>
      <w:b/>
      <w:bCs/>
      <w:i/>
      <w:iCs/>
      <w:color w:val="4F81BD"/>
      <w:kern w:val="2"/>
      <w:sz w:val="21"/>
      <w:szCs w:val="24"/>
    </w:rPr>
  </w:style>
  <w:style w:type="character" w:customStyle="1" w:styleId="280">
    <w:name w:val="标题 5 字符"/>
    <w:link w:val="6"/>
    <w:qFormat/>
    <w:uiPriority w:val="0"/>
    <w:rPr>
      <w:rFonts w:ascii="宋体" w:hAnsi="宋体" w:eastAsia="宋体" w:cs="宋体"/>
      <w:b/>
      <w:bCs/>
      <w:lang w:val="en-US" w:eastAsia="zh-CN" w:bidi="ar-SA"/>
    </w:rPr>
  </w:style>
  <w:style w:type="character" w:customStyle="1" w:styleId="281">
    <w:name w:val="正文文本缩进 3 Char1"/>
    <w:qFormat/>
    <w:uiPriority w:val="0"/>
    <w:rPr>
      <w:rFonts w:ascii="宋体" w:hAnsi="宋体"/>
      <w:kern w:val="2"/>
      <w:sz w:val="28"/>
      <w:szCs w:val="28"/>
    </w:rPr>
  </w:style>
  <w:style w:type="character" w:customStyle="1" w:styleId="282">
    <w:name w:val="正文文本 Char"/>
    <w:qFormat/>
    <w:uiPriority w:val="0"/>
    <w:rPr>
      <w:sz w:val="26"/>
      <w:szCs w:val="24"/>
    </w:rPr>
  </w:style>
  <w:style w:type="character" w:customStyle="1" w:styleId="283">
    <w:name w:val="明显引用 字符"/>
    <w:link w:val="89"/>
    <w:qFormat/>
    <w:uiPriority w:val="0"/>
    <w:rPr>
      <w:b/>
      <w:bCs/>
      <w:i/>
      <w:iCs/>
      <w:color w:val="4F81BD"/>
      <w:kern w:val="2"/>
      <w:sz w:val="21"/>
      <w:szCs w:val="22"/>
      <w:lang w:bidi="ar-SA"/>
    </w:rPr>
  </w:style>
  <w:style w:type="character" w:customStyle="1" w:styleId="284">
    <w:name w:val="Char Char12"/>
    <w:qFormat/>
    <w:uiPriority w:val="0"/>
    <w:rPr>
      <w:rFonts w:eastAsia="黑体"/>
      <w:kern w:val="2"/>
      <w:sz w:val="44"/>
      <w:szCs w:val="44"/>
      <w:lang w:val="en-US" w:eastAsia="zh-CN" w:bidi="ar-SA"/>
    </w:rPr>
  </w:style>
  <w:style w:type="character" w:customStyle="1" w:styleId="285">
    <w:name w:val="标题 4 Char"/>
    <w:qFormat/>
    <w:uiPriority w:val="0"/>
    <w:rPr>
      <w:rFonts w:ascii="仿宋_GB2312" w:hAnsi="Calibri" w:eastAsia="仿宋_GB2312" w:cs="Times New Roman"/>
      <w:b/>
      <w:kern w:val="0"/>
      <w:sz w:val="24"/>
      <w:szCs w:val="28"/>
    </w:rPr>
  </w:style>
  <w:style w:type="character" w:customStyle="1" w:styleId="286">
    <w:name w:val="明显引用 Char3"/>
    <w:qFormat/>
    <w:uiPriority w:val="30"/>
    <w:rPr>
      <w:rFonts w:ascii="Calibri" w:hAnsi="Calibri" w:eastAsia="宋体" w:cs="Times New Roman"/>
      <w:b/>
      <w:bCs/>
      <w:i/>
      <w:iCs/>
      <w:color w:val="4F81BD"/>
      <w:szCs w:val="24"/>
    </w:rPr>
  </w:style>
  <w:style w:type="character" w:customStyle="1" w:styleId="287">
    <w:name w:val="引用 Char2"/>
    <w:qFormat/>
    <w:uiPriority w:val="99"/>
    <w:rPr>
      <w:i/>
      <w:iCs/>
      <w:color w:val="000000"/>
      <w:kern w:val="2"/>
      <w:sz w:val="21"/>
      <w:szCs w:val="24"/>
    </w:rPr>
  </w:style>
  <w:style w:type="character" w:customStyle="1" w:styleId="288">
    <w:name w:val="批注主题 字符"/>
    <w:link w:val="12"/>
    <w:qFormat/>
    <w:uiPriority w:val="0"/>
    <w:rPr>
      <w:rFonts w:eastAsia="宋体"/>
      <w:b/>
      <w:bCs/>
      <w:kern w:val="2"/>
      <w:sz w:val="21"/>
      <w:szCs w:val="24"/>
      <w:lang w:val="en-US" w:eastAsia="zh-CN" w:bidi="ar-SA"/>
    </w:rPr>
  </w:style>
  <w:style w:type="character" w:customStyle="1" w:styleId="289">
    <w:name w:val="不明显强调1"/>
    <w:qFormat/>
    <w:uiPriority w:val="0"/>
    <w:rPr>
      <w:i/>
      <w:iCs/>
      <w:color w:val="808080"/>
    </w:rPr>
  </w:style>
  <w:style w:type="character" w:customStyle="1" w:styleId="290">
    <w:name w:val="color_red1"/>
    <w:qFormat/>
    <w:uiPriority w:val="0"/>
    <w:rPr>
      <w:color w:val="FA0004"/>
    </w:rPr>
  </w:style>
  <w:style w:type="character" w:customStyle="1" w:styleId="291">
    <w:name w:val="标题 7 字符"/>
    <w:link w:val="9"/>
    <w:qFormat/>
    <w:uiPriority w:val="0"/>
    <w:rPr>
      <w:rFonts w:eastAsia="仿宋_GB2312"/>
      <w:sz w:val="30"/>
      <w:lang w:val="en-US" w:eastAsia="zh-CN" w:bidi="ar-SA"/>
    </w:rPr>
  </w:style>
  <w:style w:type="character" w:customStyle="1" w:styleId="292">
    <w:name w:val="标题5 Char Char"/>
    <w:link w:val="129"/>
    <w:qFormat/>
    <w:uiPriority w:val="0"/>
    <w:rPr>
      <w:rFonts w:ascii="Arial" w:hAnsi="Arial"/>
      <w:b/>
      <w:bCs/>
      <w:sz w:val="24"/>
      <w:szCs w:val="32"/>
      <w:lang w:bidi="ar-SA"/>
    </w:rPr>
  </w:style>
  <w:style w:type="character" w:customStyle="1" w:styleId="293">
    <w:name w:val="脚注文本 字符"/>
    <w:link w:val="35"/>
    <w:qFormat/>
    <w:uiPriority w:val="0"/>
    <w:rPr>
      <w:rFonts w:ascii="Arial" w:hAnsi="Arial" w:eastAsia="宋体" w:cs="Arial"/>
      <w:sz w:val="18"/>
      <w:szCs w:val="18"/>
      <w:lang w:val="en-US" w:eastAsia="en-US" w:bidi="ar-SA"/>
    </w:rPr>
  </w:style>
  <w:style w:type="character" w:customStyle="1" w:styleId="294">
    <w:name w:val="标题4 Char Char"/>
    <w:link w:val="99"/>
    <w:qFormat/>
    <w:uiPriority w:val="0"/>
    <w:rPr>
      <w:rFonts w:ascii="Arial" w:hAnsi="Arial"/>
      <w:b/>
      <w:bCs/>
      <w:sz w:val="24"/>
      <w:szCs w:val="32"/>
      <w:lang w:bidi="ar-SA"/>
    </w:rPr>
  </w:style>
  <w:style w:type="character" w:customStyle="1" w:styleId="295">
    <w:name w:val="Char Char13"/>
    <w:qFormat/>
    <w:uiPriority w:val="0"/>
    <w:rPr>
      <w:kern w:val="2"/>
      <w:sz w:val="18"/>
      <w:szCs w:val="18"/>
    </w:rPr>
  </w:style>
  <w:style w:type="character" w:customStyle="1" w:styleId="296">
    <w:name w:val="文档结构图 Char2"/>
    <w:qFormat/>
    <w:uiPriority w:val="99"/>
    <w:rPr>
      <w:kern w:val="2"/>
      <w:sz w:val="21"/>
      <w:szCs w:val="24"/>
      <w:shd w:val="clear" w:color="auto" w:fill="000080"/>
    </w:rPr>
  </w:style>
  <w:style w:type="character" w:customStyle="1" w:styleId="297">
    <w:name w:val="批注文字 Char2"/>
    <w:qFormat/>
    <w:uiPriority w:val="0"/>
    <w:rPr>
      <w:rFonts w:ascii="Calibri" w:hAnsi="Calibri" w:eastAsia="宋体" w:cs="Times New Roman"/>
      <w:szCs w:val="24"/>
    </w:rPr>
  </w:style>
  <w:style w:type="character" w:customStyle="1" w:styleId="298">
    <w:name w:val="标题 8 Char1"/>
    <w:qFormat/>
    <w:uiPriority w:val="0"/>
    <w:rPr>
      <w:rFonts w:ascii="Times New Roman" w:hAnsi="Arial" w:eastAsia="仿宋_GB2312" w:cs="Times New Roman"/>
      <w:sz w:val="30"/>
      <w:szCs w:val="20"/>
    </w:rPr>
  </w:style>
  <w:style w:type="character" w:customStyle="1" w:styleId="299">
    <w:name w:val="页眉 字符"/>
    <w:link w:val="31"/>
    <w:qFormat/>
    <w:uiPriority w:val="0"/>
    <w:rPr>
      <w:rFonts w:eastAsia="宋体"/>
      <w:kern w:val="2"/>
      <w:sz w:val="18"/>
      <w:szCs w:val="18"/>
      <w:lang w:val="en-US" w:eastAsia="zh-CN" w:bidi="ar-SA"/>
    </w:rPr>
  </w:style>
  <w:style w:type="character" w:customStyle="1" w:styleId="300">
    <w:name w:val="Char Char21"/>
    <w:qFormat/>
    <w:uiPriority w:val="0"/>
    <w:rPr>
      <w:rFonts w:ascii="宋体" w:hAnsi="宋体" w:cs="宋体"/>
      <w:b/>
      <w:bCs/>
      <w:sz w:val="24"/>
      <w:szCs w:val="24"/>
    </w:rPr>
  </w:style>
  <w:style w:type="character" w:customStyle="1" w:styleId="301">
    <w:name w:val="标题 6 Char1"/>
    <w:qFormat/>
    <w:uiPriority w:val="0"/>
    <w:rPr>
      <w:rFonts w:ascii="Times New Roman" w:hAnsi="Arial" w:eastAsia="仿宋_GB2312" w:cs="Times New Roman"/>
      <w:sz w:val="30"/>
      <w:szCs w:val="20"/>
    </w:rPr>
  </w:style>
  <w:style w:type="character" w:customStyle="1" w:styleId="302">
    <w:name w:val="_Style 293"/>
    <w:qFormat/>
    <w:uiPriority w:val="0"/>
    <w:rPr>
      <w:smallCaps/>
      <w:color w:val="C0504D"/>
      <w:u w:val="single"/>
    </w:rPr>
  </w:style>
  <w:style w:type="character" w:customStyle="1" w:styleId="303">
    <w:name w:val="副标题 Char1"/>
    <w:qFormat/>
    <w:uiPriority w:val="0"/>
    <w:rPr>
      <w:szCs w:val="24"/>
      <w:u w:val="single"/>
      <w:lang w:eastAsia="en-US"/>
    </w:rPr>
  </w:style>
  <w:style w:type="character" w:customStyle="1" w:styleId="304">
    <w:name w:val="正文文本 Char3"/>
    <w:semiHidden/>
    <w:qFormat/>
    <w:uiPriority w:val="99"/>
    <w:rPr>
      <w:rFonts w:ascii="Calibri" w:hAnsi="Calibri" w:eastAsia="宋体" w:cs="Times New Roman"/>
      <w:szCs w:val="24"/>
    </w:rPr>
  </w:style>
  <w:style w:type="character" w:customStyle="1" w:styleId="305">
    <w:name w:val="标题 4 Char1"/>
    <w:qFormat/>
    <w:uiPriority w:val="0"/>
    <w:rPr>
      <w:rFonts w:ascii="宋体" w:hAnsi="宋体" w:eastAsia="宋体" w:cs="宋体"/>
      <w:b/>
      <w:bCs/>
      <w:sz w:val="24"/>
      <w:szCs w:val="24"/>
    </w:rPr>
  </w:style>
  <w:style w:type="character" w:customStyle="1" w:styleId="306">
    <w:name w:val="文档结构图 Char3"/>
    <w:semiHidden/>
    <w:qFormat/>
    <w:uiPriority w:val="99"/>
    <w:rPr>
      <w:rFonts w:ascii="宋体" w:hAnsi="Calibri" w:eastAsia="宋体" w:cs="Times New Roman"/>
      <w:sz w:val="18"/>
      <w:szCs w:val="18"/>
    </w:rPr>
  </w:style>
  <w:style w:type="character" w:customStyle="1" w:styleId="307">
    <w:name w:val="标题 3 字符"/>
    <w:link w:val="2"/>
    <w:qFormat/>
    <w:uiPriority w:val="0"/>
    <w:rPr>
      <w:rFonts w:eastAsia="宋体"/>
      <w:b/>
      <w:bCs/>
      <w:kern w:val="2"/>
      <w:sz w:val="32"/>
      <w:szCs w:val="32"/>
      <w:lang w:val="en-US" w:eastAsia="zh-CN" w:bidi="ar-SA"/>
    </w:rPr>
  </w:style>
  <w:style w:type="character" w:customStyle="1" w:styleId="308">
    <w:name w:val="正文文本 3 Char2"/>
    <w:semiHidden/>
    <w:qFormat/>
    <w:uiPriority w:val="99"/>
    <w:rPr>
      <w:rFonts w:ascii="Calibri" w:hAnsi="Calibri" w:eastAsia="宋体" w:cs="Times New Roman"/>
      <w:sz w:val="16"/>
      <w:szCs w:val="16"/>
    </w:rPr>
  </w:style>
  <w:style w:type="character" w:customStyle="1" w:styleId="309">
    <w:name w:val="Char Char23"/>
    <w:qFormat/>
    <w:uiPriority w:val="0"/>
    <w:rPr>
      <w:rFonts w:ascii="Cambria" w:hAnsi="Cambria" w:eastAsia="宋体" w:cs="Times New Roman"/>
      <w:b/>
      <w:bCs/>
      <w:kern w:val="2"/>
      <w:sz w:val="32"/>
      <w:szCs w:val="32"/>
    </w:rPr>
  </w:style>
  <w:style w:type="character" w:customStyle="1" w:styleId="310">
    <w:name w:val="尾注文本 Char2"/>
    <w:semiHidden/>
    <w:qFormat/>
    <w:uiPriority w:val="99"/>
    <w:rPr>
      <w:rFonts w:ascii="Calibri" w:hAnsi="Calibri" w:eastAsia="宋体" w:cs="Times New Roman"/>
      <w:szCs w:val="24"/>
    </w:rPr>
  </w:style>
  <w:style w:type="character" w:customStyle="1" w:styleId="311">
    <w:name w:val="书籍标题1"/>
    <w:qFormat/>
    <w:uiPriority w:val="0"/>
    <w:rPr>
      <w:b/>
      <w:bCs/>
      <w:smallCaps/>
      <w:spacing w:val="5"/>
    </w:rPr>
  </w:style>
  <w:style w:type="character" w:customStyle="1" w:styleId="312">
    <w:name w:val="ITTHEADER2 Char"/>
    <w:qFormat/>
    <w:uiPriority w:val="0"/>
    <w:rPr>
      <w:rFonts w:ascii="仿宋_GB2312" w:eastAsia="仿宋_GB2312" w:cs="MingLiU"/>
      <w:b/>
      <w:spacing w:val="1"/>
      <w:w w:val="99"/>
      <w:sz w:val="28"/>
      <w:szCs w:val="32"/>
      <w:lang w:val="en-US" w:eastAsia="zh-CN" w:bidi="ar-SA"/>
    </w:rPr>
  </w:style>
  <w:style w:type="character" w:customStyle="1" w:styleId="313">
    <w:name w:val="批注文字 字符"/>
    <w:link w:val="13"/>
    <w:qFormat/>
    <w:uiPriority w:val="99"/>
    <w:rPr>
      <w:rFonts w:eastAsia="宋体"/>
      <w:kern w:val="2"/>
      <w:sz w:val="21"/>
      <w:szCs w:val="24"/>
      <w:lang w:val="en-US" w:eastAsia="zh-CN" w:bidi="ar-SA"/>
    </w:rPr>
  </w:style>
  <w:style w:type="character" w:customStyle="1" w:styleId="314">
    <w:name w:val="批注文字 Char Char"/>
    <w:qFormat/>
    <w:uiPriority w:val="0"/>
    <w:rPr>
      <w:rFonts w:ascii="宋体" w:hAnsi="Times New Roman" w:eastAsia="宋体" w:cs="Times New Roman"/>
      <w:sz w:val="28"/>
      <w:szCs w:val="20"/>
    </w:rPr>
  </w:style>
  <w:style w:type="character" w:customStyle="1" w:styleId="315">
    <w:name w:val="副标题 字符"/>
    <w:link w:val="34"/>
    <w:qFormat/>
    <w:uiPriority w:val="0"/>
    <w:rPr>
      <w:rFonts w:eastAsia="宋体"/>
      <w:szCs w:val="24"/>
      <w:u w:val="single"/>
      <w:lang w:val="en-US" w:eastAsia="en-US" w:bidi="ar-SA"/>
    </w:rPr>
  </w:style>
  <w:style w:type="character" w:customStyle="1" w:styleId="316">
    <w:name w:val="批注主题 Char2"/>
    <w:qFormat/>
    <w:uiPriority w:val="99"/>
    <w:rPr>
      <w:b/>
      <w:bCs/>
      <w:kern w:val="2"/>
      <w:sz w:val="21"/>
      <w:szCs w:val="24"/>
    </w:rPr>
  </w:style>
  <w:style w:type="character" w:customStyle="1" w:styleId="317">
    <w:name w:val="normaltext1"/>
    <w:qFormat/>
    <w:uiPriority w:val="0"/>
    <w:rPr>
      <w:rFonts w:hint="default" w:ascii="ˎ̥" w:hAnsi="ˎ̥"/>
      <w:sz w:val="9"/>
      <w:szCs w:val="9"/>
    </w:rPr>
  </w:style>
  <w:style w:type="character" w:customStyle="1" w:styleId="318">
    <w:name w:val="不明显参考1"/>
    <w:qFormat/>
    <w:uiPriority w:val="0"/>
    <w:rPr>
      <w:smallCaps/>
      <w:color w:val="C0504D"/>
      <w:u w:val="single"/>
    </w:rPr>
  </w:style>
  <w:style w:type="character" w:customStyle="1" w:styleId="319">
    <w:name w:val="标题 6 Char"/>
    <w:qFormat/>
    <w:uiPriority w:val="0"/>
    <w:rPr>
      <w:rFonts w:ascii="Arial" w:hAnsi="Arial" w:eastAsia="黑体" w:cs="Times New Roman"/>
      <w:b/>
      <w:bCs/>
      <w:sz w:val="24"/>
      <w:szCs w:val="24"/>
    </w:rPr>
  </w:style>
  <w:style w:type="paragraph" w:customStyle="1" w:styleId="320">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321">
    <w:name w:val="_Style 1"/>
    <w:basedOn w:val="1"/>
    <w:qFormat/>
    <w:uiPriority w:val="34"/>
    <w:pPr>
      <w:ind w:firstLine="420" w:firstLineChars="200"/>
    </w:pPr>
  </w:style>
  <w:style w:type="paragraph" w:customStyle="1" w:styleId="322">
    <w:name w:val="中文正文、"/>
    <w:basedOn w:val="1"/>
    <w:qFormat/>
    <w:uiPriority w:val="99"/>
    <w:pPr>
      <w:widowControl w:val="0"/>
      <w:spacing w:line="360" w:lineRule="auto"/>
      <w:ind w:firstLine="420" w:firstLineChars="200"/>
    </w:pPr>
    <w:rPr>
      <w:rFonts w:ascii="Times New Roman" w:hAnsi="Times New Roman" w:eastAsia="宋体" w:cs="Times New Roman"/>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AB560C-FABF-40CD-A9B2-A6DE14B10C8D}">
  <ds:schemaRefs/>
</ds:datastoreItem>
</file>

<file path=docProps/app.xml><?xml version="1.0" encoding="utf-8"?>
<Properties xmlns="http://schemas.openxmlformats.org/officeDocument/2006/extended-properties" xmlns:vt="http://schemas.openxmlformats.org/officeDocument/2006/docPropsVTypes">
  <Template>Normal</Template>
  <Pages>79</Pages>
  <Words>32907</Words>
  <Characters>35055</Characters>
  <Lines>1372</Lines>
  <Paragraphs>386</Paragraphs>
  <TotalTime>0</TotalTime>
  <ScaleCrop>false</ScaleCrop>
  <LinksUpToDate>false</LinksUpToDate>
  <CharactersWithSpaces>38320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2021-12-17T10:44:00Z</dcterms:created>
  <dc:creator>USER</dc:creator>
  <cp:lastModifiedBy>Administrator</cp:lastModifiedBy>
  <cp:lastPrinted>2019-02-01T08:39:00Z</cp:lastPrinted>
  <dcterms:modified xsi:type="dcterms:W3CDTF">2023-05-22T07:02:44Z</dcterms:modified>
  <dc:title>第一卷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F9C031CB5166428EA56BF098CE367AE8</vt:lpwstr>
  </property>
</Properties>
</file>