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ind w:left="299" w:leftChars="136" w:firstLine="1280" w:firstLineChars="400"/>
        <w:rPr>
          <w:rFonts w:ascii="Times New Roman" w:hAnsi="Times New Roman" w:cs="Times New Roman" w:eastAsiaTheme="minorEastAsia"/>
          <w:sz w:val="32"/>
          <w:szCs w:val="32"/>
          <w:lang w:eastAsia="zh-CN"/>
        </w:rPr>
      </w:pPr>
      <w:r>
        <w:rPr>
          <w:rFonts w:hint="eastAsia" w:ascii="方正小标宋_GBK" w:hAnsi="方正小标宋_GBK" w:eastAsia="方正小标宋_GBK" w:cs="方正小标宋_GBK"/>
          <w:b w:val="0"/>
          <w:bCs w:val="0"/>
          <w:sz w:val="32"/>
          <w:szCs w:val="32"/>
          <w:u w:val="none"/>
          <w:lang w:val="en-US" w:eastAsia="zh-CN"/>
        </w:rPr>
        <w:t xml:space="preserve">涪江干流梯级渠化双江航电枢纽工程                             安全风险分级管控和隐患排查治理双重预防机制咨询服务  </w:t>
      </w:r>
    </w:p>
    <w:p>
      <w:pPr>
        <w:autoSpaceDE w:val="0"/>
        <w:autoSpaceDN w:val="0"/>
        <w:adjustRightInd w:val="0"/>
        <w:spacing w:line="360" w:lineRule="auto"/>
        <w:rPr>
          <w:rFonts w:ascii="Times New Roman" w:hAnsi="Times New Roman" w:cs="Times New Roman" w:eastAsiaTheme="minorEastAsia"/>
          <w:sz w:val="20"/>
          <w:szCs w:val="20"/>
          <w:lang w:eastAsia="zh-CN"/>
        </w:rPr>
      </w:pPr>
    </w:p>
    <w:p>
      <w:pPr>
        <w:pStyle w:val="42"/>
        <w:rPr>
          <w:rFonts w:ascii="Times New Roman" w:hAnsi="Times New Roman" w:cs="Times New Roman" w:eastAsiaTheme="minorEastAsia"/>
          <w:sz w:val="20"/>
          <w:szCs w:val="20"/>
          <w:lang w:eastAsia="zh-CN"/>
        </w:rPr>
      </w:pPr>
    </w:p>
    <w:p>
      <w:pPr>
        <w:pStyle w:val="42"/>
        <w:rPr>
          <w:rFonts w:ascii="Times New Roman" w:hAnsi="Times New Roman" w:cs="Times New Roman" w:eastAsiaTheme="minorEastAsia"/>
          <w:sz w:val="20"/>
          <w:szCs w:val="20"/>
          <w:lang w:eastAsia="zh-CN"/>
        </w:rPr>
      </w:pPr>
    </w:p>
    <w:p>
      <w:pPr>
        <w:pStyle w:val="42"/>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val="zh-CN" w:eastAsia="zh-CN"/>
        </w:rPr>
        <w:t>询价文件</w:t>
      </w: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pStyle w:val="42"/>
        <w:rPr>
          <w:rFonts w:ascii="Times New Roman" w:hAnsi="Times New Roman" w:cs="Times New Roman" w:eastAsiaTheme="minorEastAsia"/>
          <w:sz w:val="32"/>
          <w:szCs w:val="32"/>
          <w:lang w:eastAsia="zh-CN"/>
        </w:rPr>
      </w:pPr>
    </w:p>
    <w:p>
      <w:pPr>
        <w:pStyle w:val="42"/>
        <w:rPr>
          <w:rFonts w:ascii="Times New Roman" w:hAnsi="Times New Roman" w:cs="Times New Roman" w:eastAsiaTheme="minorEastAsia"/>
          <w:sz w:val="32"/>
          <w:szCs w:val="32"/>
          <w:lang w:eastAsia="zh-CN"/>
        </w:rPr>
      </w:pPr>
    </w:p>
    <w:p>
      <w:pPr>
        <w:pStyle w:val="42"/>
        <w:rPr>
          <w:rFonts w:ascii="Times New Roman" w:hAnsi="Times New Roman" w:cs="Times New Roman" w:eastAsiaTheme="minorEastAsia"/>
          <w:sz w:val="32"/>
          <w:szCs w:val="32"/>
          <w:lang w:eastAsia="zh-CN"/>
        </w:rPr>
      </w:pPr>
    </w:p>
    <w:p>
      <w:pPr>
        <w:pStyle w:val="42"/>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0"/>
                <w:szCs w:val="30"/>
                <w:lang w:eastAsia="zh-CN"/>
              </w:rPr>
            </w:pPr>
            <w:r>
              <w:rPr>
                <w:rFonts w:ascii="Times New Roman" w:hAnsi="Times New Roman" w:eastAsia="方正小标宋_GBK" w:cs="Times New Roman"/>
                <w:bCs/>
                <w:sz w:val="30"/>
                <w:szCs w:val="30"/>
                <w:lang w:val="zh-CN" w:eastAsia="zh-CN"/>
              </w:rPr>
              <w:t>询价人：</w:t>
            </w:r>
          </w:p>
        </w:tc>
        <w:tc>
          <w:tcPr>
            <w:tcW w:w="6545" w:type="dxa"/>
            <w:tcBorders>
              <w:tl2br w:val="nil"/>
              <w:tr2bl w:val="nil"/>
            </w:tcBorders>
            <w:vAlign w:val="center"/>
          </w:tcPr>
          <w:p>
            <w:pPr>
              <w:autoSpaceDE w:val="0"/>
              <w:autoSpaceDN w:val="0"/>
              <w:adjustRightInd w:val="0"/>
              <w:spacing w:line="360" w:lineRule="auto"/>
              <w:ind w:firstLine="300" w:firstLineChars="100"/>
              <w:jc w:val="both"/>
              <w:rPr>
                <w:rFonts w:hint="default" w:ascii="Times New Roman" w:hAnsi="Times New Roman" w:eastAsia="方正小标宋_GBK" w:cs="Times New Roman"/>
                <w:bCs/>
                <w:sz w:val="30"/>
                <w:szCs w:val="30"/>
                <w:lang w:val="en-US" w:eastAsia="zh-CN"/>
              </w:rPr>
            </w:pPr>
            <w:r>
              <w:rPr>
                <w:rFonts w:hint="eastAsia" w:ascii="Times New Roman" w:hAnsi="Times New Roman" w:eastAsia="方正小标宋_GBK" w:cs="Times New Roman"/>
                <w:bCs/>
                <w:sz w:val="30"/>
                <w:szCs w:val="30"/>
                <w:lang w:val="en-US" w:eastAsia="zh-CN"/>
              </w:rPr>
              <w:t>重庆双江航运发展有限公司</w:t>
            </w:r>
          </w:p>
        </w:tc>
      </w:tr>
    </w:tbl>
    <w:p>
      <w:pPr>
        <w:autoSpaceDE w:val="0"/>
        <w:autoSpaceDN w:val="0"/>
        <w:adjustRightInd w:val="0"/>
        <w:spacing w:line="360" w:lineRule="auto"/>
        <w:ind w:firstLine="1200" w:firstLineChars="400"/>
        <w:rPr>
          <w:rFonts w:ascii="Times New Roman" w:hAnsi="Times New Roman" w:eastAsia="方正小标宋_GBK" w:cs="Times New Roman"/>
          <w:bCs/>
          <w:sz w:val="30"/>
          <w:szCs w:val="30"/>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0"/>
          <w:szCs w:val="30"/>
          <w:lang w:val="en-US" w:eastAsia="zh-CN"/>
        </w:rPr>
        <w:t>2023</w:t>
      </w:r>
      <w:r>
        <w:rPr>
          <w:rFonts w:ascii="Times New Roman" w:hAnsi="Times New Roman" w:eastAsia="方正小标宋_GBK" w:cs="Times New Roman"/>
          <w:bCs/>
          <w:sz w:val="30"/>
          <w:szCs w:val="30"/>
          <w:lang w:val="zh-CN" w:eastAsia="zh-CN"/>
        </w:rPr>
        <w:t>年</w:t>
      </w:r>
      <w:r>
        <w:rPr>
          <w:rFonts w:hint="eastAsia" w:ascii="Times New Roman" w:hAnsi="Times New Roman" w:eastAsia="方正小标宋_GBK" w:cs="Times New Roman"/>
          <w:bCs/>
          <w:sz w:val="30"/>
          <w:szCs w:val="30"/>
          <w:lang w:val="en-US" w:eastAsia="zh-CN"/>
        </w:rPr>
        <w:t>5</w:t>
      </w:r>
      <w:r>
        <w:rPr>
          <w:rFonts w:ascii="Times New Roman" w:hAnsi="Times New Roman" w:eastAsia="方正小标宋_GBK" w:cs="Times New Roman"/>
          <w:bCs/>
          <w:sz w:val="30"/>
          <w:szCs w:val="30"/>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spacing w:line="510" w:lineRule="exact"/>
        <w:jc w:val="center"/>
        <w:rPr>
          <w:rFonts w:hint="default" w:ascii="方正小标宋_GBK" w:hAnsi="方正小标宋_GBK" w:eastAsia="方正小标宋_GBK" w:cs="方正小标宋_GBK"/>
          <w:b w:val="0"/>
          <w:bCs w:val="0"/>
          <w:sz w:val="30"/>
          <w:szCs w:val="30"/>
          <w:u w:val="none"/>
          <w:lang w:val="en-US" w:eastAsia="zh-CN"/>
        </w:rPr>
      </w:pPr>
      <w:r>
        <w:rPr>
          <w:rFonts w:hint="default" w:ascii="方正小标宋_GBK" w:hAnsi="方正小标宋_GBK" w:eastAsia="方正小标宋_GBK" w:cs="方正小标宋_GBK"/>
          <w:b w:val="0"/>
          <w:bCs w:val="0"/>
          <w:sz w:val="30"/>
          <w:szCs w:val="30"/>
          <w:u w:val="none"/>
          <w:lang w:val="zh-CN" w:eastAsia="zh-CN"/>
        </w:rPr>
        <w:t>第一章 询价公告</w:t>
      </w:r>
    </w:p>
    <w:p>
      <w:pPr>
        <w:spacing w:line="510" w:lineRule="exact"/>
        <w:jc w:val="center"/>
        <w:rPr>
          <w:rFonts w:hint="eastAsia" w:ascii="方正小标宋_GBK" w:hAnsi="方正小标宋_GBK" w:eastAsia="方正小标宋_GBK" w:cs="方正小标宋_GBK"/>
          <w:b w:val="0"/>
          <w:bCs w:val="0"/>
          <w:sz w:val="30"/>
          <w:szCs w:val="30"/>
          <w:u w:val="none"/>
          <w:lang w:val="en-US" w:eastAsia="zh-CN"/>
        </w:rPr>
      </w:pPr>
      <w:r>
        <w:rPr>
          <w:rFonts w:hint="eastAsia" w:ascii="方正小标宋_GBK" w:hAnsi="方正小标宋_GBK" w:eastAsia="方正小标宋_GBK" w:cs="方正小标宋_GBK"/>
          <w:b w:val="0"/>
          <w:bCs w:val="0"/>
          <w:sz w:val="30"/>
          <w:szCs w:val="30"/>
          <w:u w:val="none"/>
          <w:lang w:val="en-US" w:eastAsia="zh-CN"/>
        </w:rPr>
        <w:t xml:space="preserve">涪江干流梯级渠化双江航电枢纽工程                             安全风险分级管控和隐患排查治理双重预防机制咨询服务          </w:t>
      </w:r>
      <w:r>
        <w:rPr>
          <w:rFonts w:hint="default" w:ascii="方正小标宋_GBK" w:hAnsi="方正小标宋_GBK" w:eastAsia="方正小标宋_GBK" w:cs="方正小标宋_GBK"/>
          <w:b w:val="0"/>
          <w:bCs w:val="0"/>
          <w:sz w:val="30"/>
          <w:szCs w:val="30"/>
          <w:u w:val="none"/>
          <w:lang w:val="en-US" w:eastAsia="zh-CN"/>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0" w:name="_Toc29194681"/>
      <w:bookmarkEnd w:id="0"/>
      <w:bookmarkStart w:id="1" w:name="_Toc375641571"/>
      <w:bookmarkEnd w:id="1"/>
      <w:bookmarkStart w:id="2" w:name="_Toc370126361"/>
      <w:bookmarkEnd w:id="2"/>
      <w:bookmarkStart w:id="3" w:name="_Toc52097500"/>
      <w:bookmarkEnd w:id="3"/>
      <w:bookmarkStart w:id="4" w:name="_Toc6230450"/>
      <w:bookmarkEnd w:id="4"/>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涪江干流梯级渠化双江航电枢纽工程安全风险分级管控和隐患排查治理双重预防机制咨询服务项目已具备询价条件，询价人为重庆双江航运发展有限公司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4"/>
        <w:spacing w:line="510" w:lineRule="exact"/>
        <w:rPr>
          <w:rFonts w:ascii="Times New Roman" w:hAnsi="Times New Roman" w:eastAsia="方正仿宋_GBK" w:cs="Times New Roman"/>
          <w:lang w:eastAsia="zh-CN"/>
        </w:rPr>
      </w:pPr>
      <w:bookmarkStart w:id="5" w:name="_Toc29194682"/>
      <w:bookmarkEnd w:id="5"/>
      <w:bookmarkStart w:id="6" w:name="_Toc6230451"/>
      <w:bookmarkEnd w:id="6"/>
      <w:bookmarkStart w:id="7" w:name="_Toc52097501"/>
      <w:bookmarkEnd w:id="7"/>
      <w:bookmarkStart w:id="8" w:name="_Toc21092"/>
      <w:bookmarkStart w:id="9" w:name="_Toc323734100"/>
      <w:bookmarkStart w:id="10" w:name="_Toc324429695"/>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双江航电枢纽工程位于潼南区双江镇原三块石溢流坝下游约500m处，上接四川省遂宁市三星航电枢纽，下连潼南航电枢纽。航道等级为内河IV级，船闸有效尺度150x23x4.2米(长度x宽度x门槛水深)。枢纽建成后可渠化航道约28公里，其中重庆境内15公里，可通行1000吨级船舶，单向年通过能力近期481万吨、远期611万吨。枢纽正常蓄水位249.00m,水库总库容1.61亿m3，日调节库容871万m3。装机总容量4.8万kW,年发电量1.885亿kW .h。工程概算投资为25.84亿元。主要建设内容为枢纽工程、大坝下游航道整治、生产生活区建筑及配套工程。2022年10月开工，2024年4月底首台机组具备发电条件，2024年底2#、3#机组全部发电。</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33.95万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2.3工作范围：</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1、编制技术服务方案。</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2、根据项目实际，收集适用的法律法规和标准规范，为双重预防机制实施指南的编制和风险的辨识提供依据。</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3、通过收集和分析行业典型事故案例，统计事故发生的直接原因和间接原因，企业履职不到位的具体表现，作为风险辨识的输入。</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4、对企业现有关于安全风险管理和隐患排查治理方面的资料进行审查。</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5、制定调研计划并实施，详细了解企业安全风险管理和隐患排查治理方面的流程、职责、内容、结果等信息，调研范围要覆盖建设单位和施工单位。</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6、根据国家关于双重预防机制建设方面的要求，结合调研情况，编制《安全风险分级管控和隐患排查治理双重预防机制建设实施指南》，并提交企业评审、确认。</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7、编制培训课件，对企业相关人员进行双重预防体系建设的培训。</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8、收集建设单位和施工单位的现状信息，包括组织架构、设备清单、安全责任制、安全管理制度、操作规程等。</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9、按照生产区域、施工工序、作业内容、管理活动等方式划分作业活动，建立作业活动清单和作业活动识别一览表。</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10、危险源辨识：针对作业活动，按照人的因素、物的因素、环境因素、管理因素四大要素进行危险源辨识。</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11、选择合适的评价方法，对辨识出的危险源进行评价，确定风险等级。</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12、根据风险评价结果，从工程控制、管理措施、个体防护、应急处置等方面制定管控措施，形成《安全风险分级管控清单》。</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13.风险管控应用：根据风险分级管控清单，编制岗位风险告知卡、风险分级分布图、工程关键节点清单等成果。</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14、制定隐患排查清单：将风险和风险管控措施作为隐患排查对象，分配至公司级、部门级、项目部级、班组（岗位）、专业级等，形成各级、各岗位《事故隐患排查清单》。</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15、修订隐患排查清单：根据企业反馈的问题对隐患排查清单进行修订完善。</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16、根据风险辨识、评估和管控措施策划成果，对企业现有全员安全生产责任制、安全管理制度、应急预案进行梳理和评审，提出修订意见。</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17、将工作成果汇总形成PPT或宣传视频。</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b w:val="0"/>
          <w:bCs w:val="0"/>
          <w:sz w:val="32"/>
          <w:szCs w:val="32"/>
          <w:lang w:val="en-US" w:eastAsia="zh-CN" w:bidi="ar-SA"/>
        </w:rPr>
        <w:t>2.4工期（交货期、服务期）：</w:t>
      </w:r>
      <w:r>
        <w:rPr>
          <w:rFonts w:hint="eastAsia" w:ascii="方正仿宋_GBK" w:hAnsi="方正仿宋_GBK" w:eastAsia="方正仿宋_GBK" w:cs="方正仿宋_GBK"/>
          <w:sz w:val="32"/>
          <w:szCs w:val="32"/>
          <w:lang w:val="en-US" w:eastAsia="zh-CN"/>
        </w:rPr>
        <w:t>从合同签订之日起至项目通过“双重预防机制”考核止。</w:t>
      </w:r>
    </w:p>
    <w:bookmarkEnd w:id="8"/>
    <w:bookmarkEnd w:id="9"/>
    <w:bookmarkEnd w:id="10"/>
    <w:p>
      <w:pPr>
        <w:pStyle w:val="4"/>
        <w:spacing w:line="510" w:lineRule="exact"/>
        <w:rPr>
          <w:rFonts w:ascii="Times New Roman" w:hAnsi="Times New Roman" w:eastAsia="黑体" w:cs="Times New Roman"/>
          <w:b w:val="0"/>
          <w:lang w:eastAsia="zh-CN"/>
        </w:rPr>
      </w:pPr>
      <w:bookmarkStart w:id="11" w:name="_Toc29194683"/>
      <w:bookmarkEnd w:id="11"/>
      <w:bookmarkStart w:id="12" w:name="_Toc6230452"/>
      <w:bookmarkEnd w:id="12"/>
      <w:bookmarkStart w:id="13" w:name="_Toc52097502"/>
      <w:bookmarkEnd w:id="13"/>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1、报价人须具有独立法人资格，持有有效的企业营业执照。</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2、近三年（2020年1月1日起至投标截止之日止）承担过1个安全咨询业绩（以合同签订时间为准）。业绩提供资料：提供合同协议书。</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3、报价人没有被列入重庆高速公路集团有限公司黑名单；</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4、法律、行政法规规定的其他条件。</w:t>
      </w:r>
    </w:p>
    <w:p>
      <w:pPr>
        <w:keepNext w:val="0"/>
        <w:keepLines w:val="0"/>
        <w:pageBreakBefore w:val="0"/>
        <w:widowControl w:val="0"/>
        <w:tabs>
          <w:tab w:val="left" w:pos="3360"/>
        </w:tabs>
        <w:kinsoku/>
        <w:wordWrap/>
        <w:overflowPunct/>
        <w:topLinePunct w:val="0"/>
        <w:bidi w:val="0"/>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5、本次询价项目不接受联合体投标。</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bookmarkStart w:id="35" w:name="_GoBack"/>
      <w:bookmarkEnd w:id="3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lang w:val="en-US" w:eastAsia="zh-CN"/>
        </w:rPr>
        <w:t>重庆市潼南区桂林街道春阳路460号（重庆双江航运发展有限公司）</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val="en-US" w:eastAsia="zh-CN"/>
        </w:rPr>
        <w:t>5</w:t>
      </w:r>
      <w:r>
        <w:rPr>
          <w:rFonts w:hint="eastAsia" w:ascii="Times New Roman" w:hAnsi="Times New Roman" w:eastAsia="方正仿宋_GBK" w:cs="Times New Roman"/>
          <w:bCs/>
          <w:sz w:val="32"/>
          <w:szCs w:val="32"/>
          <w:highlight w:val="none"/>
          <w:lang w:eastAsia="zh-CN"/>
        </w:rPr>
        <w:t>日</w:t>
      </w:r>
      <w:r>
        <w:rPr>
          <w:rFonts w:hint="eastAsia" w:ascii="Times New Roman" w:hAnsi="Times New Roman" w:eastAsia="方正仿宋_GBK" w:cs="Times New Roman"/>
          <w:bCs/>
          <w:sz w:val="32"/>
          <w:szCs w:val="32"/>
          <w:highlight w:val="none"/>
          <w:lang w:val="en-US" w:eastAsia="zh-CN"/>
        </w:rPr>
        <w:t>17</w:t>
      </w:r>
      <w:r>
        <w:rPr>
          <w:rFonts w:ascii="Times New Roman" w:hAnsi="Times New Roman" w:eastAsia="方正仿宋_GBK" w:cs="Times New Roman"/>
          <w:bCs/>
          <w:sz w:val="32"/>
          <w:szCs w:val="32"/>
          <w:lang w:eastAsia="zh-CN"/>
        </w:rPr>
        <w:t xml:space="preserve">时 </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重庆双江航运发展有限公司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重庆市潼南区桂林街道春阳路460号</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单静静</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023-87288000</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val="en-US" w:eastAsia="zh-CN"/>
        </w:rPr>
        <w:t>重庆双江航运发展有限公司纪检</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023-87285692</w:t>
      </w:r>
    </w:p>
    <w:p>
      <w:pPr>
        <w:pStyle w:val="42"/>
        <w:rPr>
          <w:rFonts w:hint="eastAsia" w:ascii="Times New Roman" w:hAnsi="Times New Roman" w:eastAsia="方正仿宋_GBK" w:cs="Times New Roman"/>
          <w:bCs/>
          <w:sz w:val="32"/>
          <w:szCs w:val="32"/>
          <w:lang w:val="en-US" w:eastAsia="zh-CN"/>
        </w:rPr>
      </w:pPr>
    </w:p>
    <w:p>
      <w:pPr>
        <w:pStyle w:val="42"/>
        <w:rPr>
          <w:rFonts w:hint="eastAsia" w:ascii="Times New Roman" w:hAnsi="Times New Roman" w:eastAsia="方正仿宋_GBK" w:cs="Times New Roman"/>
          <w:bCs/>
          <w:sz w:val="32"/>
          <w:szCs w:val="32"/>
          <w:lang w:val="en-US" w:eastAsia="zh-CN"/>
        </w:rPr>
      </w:pP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18</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lang w:val="en-US" w:eastAsia="zh-CN"/>
        </w:rPr>
        <w:t>33.95万元。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涪江干流梯级渠化双江航电枢纽工程                                 安全风险分级管控和隐患排查治理双重预防机制咨询服务</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1.4报价文件的封装</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（1）报价文件提供纸质版正副本各一份。</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（2）报价文件应装订成册，不得采用活页装订。否则，比选人对由于报价文件装订松散而造成的丢失或其他后果不承担任何责任。报价文件应编制目录，并且从目录开始逐页标注连续页码。</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（3）报价文件应密封在一个封套中，未密封的报价文件将不予签收。</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报价文件应使用不褪色的墨水书写或打印，报价文件应按竞争性比选文件的要求签章完善，禁止使用印章或签名章。如果报价文件由授权代理人签署，其代理人的授权书应按竞争性比选文件规定的格式出具，并由授权人和被授权人亲笔签名，禁止使用印章或签名章。</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（5）报价文件的任何一处涂改、行间插字或删除，均应由前款规定的报价文件签署人在修改处签署姓名并加盖报价人单位公章。</w:t>
      </w:r>
    </w:p>
    <w:p>
      <w:pPr>
        <w:ind w:firstLine="508" w:firstLineChars="159"/>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en-US" w:eastAsia="zh-CN" w:bidi="ar-SA"/>
        </w:rPr>
        <w:t>（6）报价人对</w:t>
      </w:r>
      <w:r>
        <w:rPr>
          <w:rFonts w:hint="eastAsia" w:ascii="Times New Roman" w:hAnsi="Times New Roman" w:eastAsia="仿宋_GB2312" w:cs="Times New Roman"/>
          <w:b w:val="0"/>
          <w:bCs w:val="0"/>
          <w:sz w:val="32"/>
          <w:szCs w:val="32"/>
          <w:lang w:val="zh-TW" w:eastAsia="zh-CN" w:bidi="ar-SA"/>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pStyle w:val="2"/>
        <w:rPr>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1.比选方式：采用综合评估法。</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2.评审方法：技术40分，报价60分。</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在满足报价人资格要求的前提下，评标委员会对满足招标文件实质性要求的投标文件，按照评标办法规定的评分标准进行打分，并按得分由高到低顺序推荐中标候选人。报价人评标得分＝综合得分（技术得分+报价得分），综合评分相等时，评标委员会应按照技术得分高的优先次序推荐中标候选人或确定中标人。</w:t>
      </w:r>
    </w:p>
    <w:p>
      <w:pPr>
        <w:jc w:val="right"/>
        <w:rPr>
          <w:rFonts w:ascii="Times New Roman" w:hAnsi="Times New Roman" w:cs="Times New Roman" w:eastAsiaTheme="minorEastAsia"/>
          <w:b/>
          <w:bCs/>
          <w:sz w:val="44"/>
          <w:szCs w:val="44"/>
          <w:lang w:val="zh-CN" w:eastAsia="zh-CN"/>
        </w:rPr>
      </w:pPr>
      <w:r>
        <w:rPr>
          <w:lang w:eastAsia="zh-CN"/>
        </w:rPr>
        <w:br w:type="page"/>
      </w:r>
    </w:p>
    <w:p>
      <w:pPr>
        <w:pStyle w:val="3"/>
        <w:tabs>
          <w:tab w:val="left" w:pos="3360"/>
        </w:tabs>
        <w:spacing w:before="0" w:after="0" w:line="360" w:lineRule="auto"/>
        <w:jc w:val="center"/>
        <w:rPr>
          <w:rFonts w:hint="eastAsia" w:ascii="Times New Roman" w:hAnsi="Times New Roman" w:eastAsia="仿宋_GB2312" w:cs="Times New Roman"/>
          <w:b w:val="0"/>
          <w:bCs w:val="0"/>
          <w:sz w:val="32"/>
          <w:szCs w:val="32"/>
          <w:lang w:val="en-US" w:eastAsia="zh-CN" w:bidi="ar-SA"/>
        </w:rPr>
      </w:pPr>
      <w:bookmarkStart w:id="14" w:name="_Toc52097542"/>
      <w:bookmarkEnd w:id="14"/>
      <w:bookmarkStart w:id="15" w:name="_Toc29194791"/>
      <w:bookmarkEnd w:id="15"/>
      <w:bookmarkStart w:id="16" w:name="_Toc7815"/>
      <w:bookmarkStart w:id="17" w:name="_Toc10646"/>
      <w:r>
        <w:rPr>
          <w:rFonts w:hint="eastAsia" w:ascii="Times New Roman" w:hAnsi="Times New Roman" w:eastAsia="仿宋_GB2312" w:cs="Times New Roman"/>
          <w:b w:val="0"/>
          <w:bCs w:val="0"/>
          <w:sz w:val="32"/>
          <w:szCs w:val="32"/>
          <w:lang w:val="en-US" w:eastAsia="zh-CN" w:bidi="ar-SA"/>
        </w:rPr>
        <w:t>评标办法（综合评估法）</w:t>
      </w:r>
      <w:bookmarkEnd w:id="16"/>
      <w:bookmarkEnd w:id="17"/>
    </w:p>
    <w:tbl>
      <w:tblPr>
        <w:tblStyle w:val="4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28"/>
        <w:gridCol w:w="674"/>
        <w:gridCol w:w="1608"/>
        <w:gridCol w:w="61"/>
        <w:gridCol w:w="66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noWrap w:val="0"/>
            <w:vAlign w:val="center"/>
          </w:tcPr>
          <w:p>
            <w:pPr>
              <w:spacing w:line="400" w:lineRule="exact"/>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条款名称</w:t>
            </w:r>
          </w:p>
        </w:tc>
        <w:tc>
          <w:tcPr>
            <w:tcW w:w="8537" w:type="dxa"/>
            <w:gridSpan w:val="5"/>
            <w:noWrap w:val="0"/>
            <w:vAlign w:val="center"/>
          </w:tcPr>
          <w:p>
            <w:pPr>
              <w:spacing w:line="400" w:lineRule="exact"/>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jc w:val="center"/>
        </w:trPr>
        <w:tc>
          <w:tcPr>
            <w:tcW w:w="1379" w:type="dxa"/>
            <w:gridSpan w:val="2"/>
            <w:noWrap w:val="0"/>
            <w:vAlign w:val="center"/>
          </w:tcPr>
          <w:p>
            <w:pPr>
              <w:spacing w:line="400" w:lineRule="exact"/>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初步评审</w:t>
            </w:r>
          </w:p>
        </w:tc>
        <w:tc>
          <w:tcPr>
            <w:tcW w:w="8537" w:type="dxa"/>
            <w:gridSpan w:val="5"/>
            <w:noWrap w:val="0"/>
            <w:vAlign w:val="center"/>
          </w:tcPr>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 xml:space="preserve">（1）竞争性比选申请文件按照竞争性比选文件规定的格式、内容填写，字迹清晰可辨； </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（2）竞争性比选申请文件上法定代表人或其授权代理人的签字、比选申请人的单位公章齐全，符合竞争性比选文件规定；</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（3）比选申请人按照前述要求提供了法定代表人的授权委托书或法定代表人身份证明；</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（4）比选申请人资格符合竞争性比选文件规定的资格要求；</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（5）比选申请人未提供虚假资料；</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（6）比选人申请文件对竞争性比选文件的实质性要求和条件作出响应；</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（7）在报价书上填写了竞标总价（包括大写金额和小写金额），竞标总价和综合单价不得高于比选人公布的相应最高限价，且报价唯一；</w:t>
            </w:r>
          </w:p>
          <w:p>
            <w:pPr>
              <w:spacing w:line="400" w:lineRule="exact"/>
              <w:jc w:val="left"/>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（8）比选申请人没有围标串标行为。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序号</w:t>
            </w:r>
          </w:p>
        </w:tc>
        <w:tc>
          <w:tcPr>
            <w:tcW w:w="343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评审因素</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951" w:type="dxa"/>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1.1</w:t>
            </w:r>
          </w:p>
        </w:tc>
        <w:tc>
          <w:tcPr>
            <w:tcW w:w="3437" w:type="dxa"/>
            <w:gridSpan w:val="5"/>
            <w:noWrap w:val="0"/>
            <w:vAlign w:val="center"/>
          </w:tcPr>
          <w:p>
            <w:pPr>
              <w:tabs>
                <w:tab w:val="left" w:pos="1875"/>
              </w:tabs>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分值构成</w:t>
            </w:r>
          </w:p>
          <w:p>
            <w:pPr>
              <w:tabs>
                <w:tab w:val="left" w:pos="1875"/>
              </w:tabs>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（总分1OO分）</w:t>
            </w:r>
          </w:p>
        </w:tc>
        <w:tc>
          <w:tcPr>
            <w:tcW w:w="5528" w:type="dxa"/>
            <w:noWrap w:val="0"/>
            <w:vAlign w:val="center"/>
          </w:tcPr>
          <w:p>
            <w:pPr>
              <w:adjustRightInd w:val="0"/>
              <w:snapToGrid w:val="0"/>
              <w:spacing w:line="360" w:lineRule="auto"/>
              <w:ind w:firstLine="800" w:firstLineChars="25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1、投标报价60分；</w:t>
            </w:r>
          </w:p>
          <w:p>
            <w:pPr>
              <w:adjustRightInd w:val="0"/>
              <w:snapToGrid w:val="0"/>
              <w:spacing w:line="360" w:lineRule="auto"/>
              <w:ind w:firstLine="800" w:firstLineChars="25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 xml:space="preserve">2、技术部分40分；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jc w:val="center"/>
        </w:trPr>
        <w:tc>
          <w:tcPr>
            <w:tcW w:w="951" w:type="dxa"/>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1.2</w:t>
            </w:r>
          </w:p>
        </w:tc>
        <w:tc>
          <w:tcPr>
            <w:tcW w:w="2710" w:type="dxa"/>
            <w:gridSpan w:val="3"/>
            <w:noWrap w:val="0"/>
            <w:vAlign w:val="center"/>
          </w:tcPr>
          <w:p>
            <w:pPr>
              <w:ind w:left="113" w:right="113"/>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评标基准价计算方法</w:t>
            </w:r>
          </w:p>
        </w:tc>
        <w:tc>
          <w:tcPr>
            <w:tcW w:w="727" w:type="dxa"/>
            <w:gridSpan w:val="2"/>
            <w:noWrap w:val="0"/>
            <w:vAlign w:val="center"/>
          </w:tcPr>
          <w:p>
            <w:pPr>
              <w:ind w:left="113" w:right="113"/>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投</w:t>
            </w:r>
          </w:p>
          <w:p>
            <w:pPr>
              <w:ind w:left="113" w:right="113"/>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标</w:t>
            </w:r>
          </w:p>
          <w:p>
            <w:pPr>
              <w:ind w:left="113" w:right="113"/>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报</w:t>
            </w:r>
          </w:p>
          <w:p>
            <w:pPr>
              <w:ind w:left="113" w:right="113"/>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价</w:t>
            </w:r>
          </w:p>
        </w:tc>
        <w:tc>
          <w:tcPr>
            <w:tcW w:w="5528" w:type="dxa"/>
            <w:noWrap w:val="0"/>
            <w:vAlign w:val="center"/>
          </w:tcPr>
          <w:p>
            <w:pPr>
              <w:adjustRightInd w:val="0"/>
              <w:snapToGrid w:val="0"/>
              <w:spacing w:line="360" w:lineRule="auto"/>
              <w:ind w:firstLine="480" w:firstLineChars="15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所有通过初步评审合格的比选申请人的投标报价中去掉六分之一（不能整除的按小数点前整数取整，不足六家报价则不去掉）的最低价和相同家数的最高价后的算术平均值，该平均值作为投标报价的评标基准价。</w:t>
            </w:r>
          </w:p>
          <w:p>
            <w:pPr>
              <w:adjustRightInd w:val="0"/>
              <w:snapToGrid w:val="0"/>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951" w:type="dxa"/>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1.3</w:t>
            </w:r>
          </w:p>
        </w:tc>
        <w:tc>
          <w:tcPr>
            <w:tcW w:w="3437" w:type="dxa"/>
            <w:gridSpan w:val="5"/>
            <w:noWrap w:val="0"/>
            <w:vAlign w:val="center"/>
          </w:tcPr>
          <w:p>
            <w:pP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投标报价的偏差率计算公式</w:t>
            </w:r>
          </w:p>
        </w:tc>
        <w:tc>
          <w:tcPr>
            <w:tcW w:w="5528" w:type="dxa"/>
            <w:noWrap w:val="0"/>
            <w:vAlign w:val="center"/>
          </w:tcPr>
          <w:p>
            <w:pPr>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偏差率=1OO％×(比选申请人报价-评标基准价)/评标基准价</w:t>
            </w:r>
          </w:p>
          <w:p>
            <w:pPr>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noWrap w:val="0"/>
            <w:vAlign w:val="center"/>
          </w:tcPr>
          <w:p>
            <w:pPr>
              <w:snapToGrid w:val="0"/>
              <w:ind w:left="105" w:hanging="160" w:hangingChars="5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1.4（1）</w:t>
            </w:r>
          </w:p>
        </w:tc>
        <w:tc>
          <w:tcPr>
            <w:tcW w:w="1102" w:type="dxa"/>
            <w:gridSpan w:val="2"/>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投标报价评分标准</w:t>
            </w:r>
          </w:p>
        </w:tc>
        <w:tc>
          <w:tcPr>
            <w:tcW w:w="2335" w:type="dxa"/>
            <w:gridSpan w:val="3"/>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投标报价</w:t>
            </w:r>
          </w:p>
        </w:tc>
        <w:tc>
          <w:tcPr>
            <w:tcW w:w="5528" w:type="dxa"/>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951" w:type="dxa"/>
            <w:vMerge w:val="restart"/>
            <w:noWrap w:val="0"/>
            <w:vAlign w:val="center"/>
          </w:tcPr>
          <w:p>
            <w:pPr>
              <w:snapToGrid w:val="0"/>
              <w:ind w:left="105" w:hanging="160" w:hangingChars="5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1.4（2）</w:t>
            </w:r>
          </w:p>
        </w:tc>
        <w:tc>
          <w:tcPr>
            <w:tcW w:w="1102" w:type="dxa"/>
            <w:gridSpan w:val="2"/>
            <w:vMerge w:val="restart"/>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技术部分评分标准</w:t>
            </w:r>
          </w:p>
          <w:p>
            <w:pPr>
              <w:adjustRightInd w:val="0"/>
              <w:snapToGrid w:val="0"/>
              <w:spacing w:line="360" w:lineRule="auto"/>
              <w:ind w:left="-55" w:leftChars="-25" w:right="-55" w:rightChars="-25"/>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（40分）</w:t>
            </w:r>
          </w:p>
        </w:tc>
        <w:tc>
          <w:tcPr>
            <w:tcW w:w="1608" w:type="dxa"/>
            <w:noWrap w:val="0"/>
            <w:vAlign w:val="center"/>
          </w:tcPr>
          <w:p>
            <w:pPr>
              <w:pStyle w:val="194"/>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工作背景及意义</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（7分）</w:t>
            </w:r>
          </w:p>
        </w:tc>
        <w:tc>
          <w:tcPr>
            <w:tcW w:w="625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对本招标项目内容的关键点、难点的理解准确全面，工作意义显著。缺项得0分，根据内容质量得4.2-7.0分。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951" w:type="dxa"/>
            <w:vMerge w:val="continue"/>
            <w:noWrap w:val="0"/>
            <w:vAlign w:val="center"/>
          </w:tcPr>
          <w:p>
            <w:pPr>
              <w:snapToGrid w:val="0"/>
              <w:ind w:left="105" w:hanging="160" w:hangingChars="50"/>
              <w:rPr>
                <w:rFonts w:hint="eastAsia" w:ascii="Times New Roman" w:hAnsi="Times New Roman" w:eastAsia="仿宋_GB2312" w:cs="Times New Roman"/>
                <w:b w:val="0"/>
                <w:bCs w:val="0"/>
                <w:sz w:val="32"/>
                <w:szCs w:val="32"/>
                <w:lang w:val="en-US" w:eastAsia="zh-CN" w:bidi="ar-SA"/>
              </w:rPr>
            </w:pPr>
          </w:p>
        </w:tc>
        <w:tc>
          <w:tcPr>
            <w:tcW w:w="1102" w:type="dxa"/>
            <w:gridSpan w:val="2"/>
            <w:vMerge w:val="continue"/>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p>
        </w:tc>
        <w:tc>
          <w:tcPr>
            <w:tcW w:w="1608" w:type="dxa"/>
            <w:noWrap w:val="0"/>
            <w:vAlign w:val="center"/>
          </w:tcPr>
          <w:p>
            <w:pPr>
              <w:pStyle w:val="194"/>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工作内容及控制目标</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（7分）</w:t>
            </w:r>
          </w:p>
        </w:tc>
        <w:tc>
          <w:tcPr>
            <w:tcW w:w="6255" w:type="dxa"/>
            <w:gridSpan w:val="3"/>
            <w:tcBorders>
              <w:top w:val="single" w:color="auto" w:sz="4" w:space="0"/>
              <w:bottom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有明确的控制目标，工作内容系统且能支持目标的实现。缺项得0分，根据内容质量得4.2-7.0分。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1" w:type="dxa"/>
            <w:vMerge w:val="continue"/>
            <w:noWrap w:val="0"/>
            <w:vAlign w:val="center"/>
          </w:tcPr>
          <w:p>
            <w:pPr>
              <w:snapToGrid w:val="0"/>
              <w:ind w:left="105" w:hanging="160" w:hangingChars="50"/>
              <w:rPr>
                <w:rFonts w:hint="eastAsia" w:ascii="Times New Roman" w:hAnsi="Times New Roman" w:eastAsia="仿宋_GB2312" w:cs="Times New Roman"/>
                <w:b w:val="0"/>
                <w:bCs w:val="0"/>
                <w:sz w:val="32"/>
                <w:szCs w:val="32"/>
                <w:lang w:val="en-US" w:eastAsia="zh-CN" w:bidi="ar-SA"/>
              </w:rPr>
            </w:pPr>
          </w:p>
        </w:tc>
        <w:tc>
          <w:tcPr>
            <w:tcW w:w="1102" w:type="dxa"/>
            <w:gridSpan w:val="2"/>
            <w:vMerge w:val="continue"/>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p>
        </w:tc>
        <w:tc>
          <w:tcPr>
            <w:tcW w:w="1608" w:type="dxa"/>
            <w:tcBorders>
              <w:top w:val="single" w:color="auto" w:sz="4" w:space="0"/>
            </w:tcBorders>
            <w:noWrap w:val="0"/>
            <w:vAlign w:val="center"/>
          </w:tcPr>
          <w:p>
            <w:pPr>
              <w:pStyle w:val="194"/>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s="Times New Roman"/>
                <w:b w:val="0"/>
                <w:bCs w:val="0"/>
                <w:sz w:val="32"/>
                <w:szCs w:val="32"/>
                <w:lang w:val="zh-TW" w:eastAsia="zh-TW" w:bidi="ar-SA"/>
              </w:rPr>
            </w:pPr>
            <w:r>
              <w:rPr>
                <w:rFonts w:hint="eastAsia" w:ascii="Times New Roman" w:hAnsi="Times New Roman" w:eastAsia="仿宋_GB2312" w:cs="Times New Roman"/>
                <w:b w:val="0"/>
                <w:bCs w:val="0"/>
                <w:sz w:val="32"/>
                <w:szCs w:val="32"/>
                <w:lang w:val="zh-TW" w:eastAsia="zh-TW" w:bidi="ar-SA"/>
              </w:rPr>
              <w:t>工作方案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TW" w:bidi="ar-SA"/>
              </w:rPr>
              <w:t>（</w:t>
            </w:r>
            <w:r>
              <w:rPr>
                <w:rFonts w:hint="eastAsia" w:ascii="Times New Roman" w:hAnsi="Times New Roman" w:eastAsia="仿宋_GB2312" w:cs="Times New Roman"/>
                <w:b w:val="0"/>
                <w:bCs w:val="0"/>
                <w:sz w:val="32"/>
                <w:szCs w:val="32"/>
                <w:lang w:val="zh-TW" w:eastAsia="zh-CN" w:bidi="ar-SA"/>
              </w:rPr>
              <w:t>10</w:t>
            </w:r>
            <w:r>
              <w:rPr>
                <w:rFonts w:hint="eastAsia" w:ascii="Times New Roman" w:hAnsi="Times New Roman" w:eastAsia="仿宋_GB2312" w:cs="Times New Roman"/>
                <w:b w:val="0"/>
                <w:bCs w:val="0"/>
                <w:sz w:val="32"/>
                <w:szCs w:val="32"/>
                <w:lang w:val="zh-TW" w:eastAsia="zh-TW" w:bidi="ar-SA"/>
              </w:rPr>
              <w:t>分）</w:t>
            </w:r>
          </w:p>
        </w:tc>
        <w:tc>
          <w:tcPr>
            <w:tcW w:w="6255" w:type="dxa"/>
            <w:gridSpan w:val="3"/>
            <w:tcBorders>
              <w:top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对本项目服务工作的思路和程序清晰，各项工作方案可行，能够实现项目目标。缺项得0分，根据内容质量得6.0-10.0分。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951" w:type="dxa"/>
            <w:vMerge w:val="continue"/>
            <w:noWrap w:val="0"/>
            <w:vAlign w:val="center"/>
          </w:tcPr>
          <w:p>
            <w:pPr>
              <w:snapToGrid w:val="0"/>
              <w:ind w:left="105" w:hanging="160" w:hangingChars="50"/>
              <w:rPr>
                <w:rFonts w:hint="eastAsia" w:ascii="Times New Roman" w:hAnsi="Times New Roman" w:eastAsia="仿宋_GB2312" w:cs="Times New Roman"/>
                <w:b w:val="0"/>
                <w:bCs w:val="0"/>
                <w:sz w:val="32"/>
                <w:szCs w:val="32"/>
                <w:lang w:val="en-US" w:eastAsia="zh-CN" w:bidi="ar-SA"/>
              </w:rPr>
            </w:pPr>
          </w:p>
        </w:tc>
        <w:tc>
          <w:tcPr>
            <w:tcW w:w="1102" w:type="dxa"/>
            <w:gridSpan w:val="2"/>
            <w:vMerge w:val="continue"/>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p>
        </w:tc>
        <w:tc>
          <w:tcPr>
            <w:tcW w:w="16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b w:val="0"/>
                <w:bCs w:val="0"/>
                <w:sz w:val="32"/>
                <w:szCs w:val="32"/>
                <w:lang w:val="zh-TW" w:eastAsia="zh-TW" w:bidi="ar-SA"/>
              </w:rPr>
            </w:pPr>
            <w:r>
              <w:rPr>
                <w:rFonts w:hint="eastAsia" w:ascii="Times New Roman" w:hAnsi="Times New Roman" w:eastAsia="仿宋_GB2312" w:cs="Times New Roman"/>
                <w:b w:val="0"/>
                <w:bCs w:val="0"/>
                <w:sz w:val="32"/>
                <w:szCs w:val="32"/>
                <w:lang w:val="zh-TW" w:eastAsia="zh-CN" w:bidi="ar-SA"/>
              </w:rPr>
              <w:t>进度计划及保障措施（10分）</w:t>
            </w:r>
          </w:p>
        </w:tc>
        <w:tc>
          <w:tcPr>
            <w:tcW w:w="6255" w:type="dxa"/>
            <w:gridSpan w:val="3"/>
            <w:tcBorders>
              <w:top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工作进度计划科学合理，保证措施有力，进度控制目标明确、方法和程序合理、调整措施有效，满足项目进度要求。缺项得0分，根据内容质量得6.0-10.0分。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951" w:type="dxa"/>
            <w:vMerge w:val="continue"/>
            <w:noWrap w:val="0"/>
            <w:vAlign w:val="center"/>
          </w:tcPr>
          <w:p>
            <w:pPr>
              <w:snapToGrid w:val="0"/>
              <w:ind w:left="105" w:hanging="160" w:hangingChars="50"/>
              <w:rPr>
                <w:rFonts w:hint="eastAsia" w:ascii="Times New Roman" w:hAnsi="Times New Roman" w:eastAsia="仿宋_GB2312" w:cs="Times New Roman"/>
                <w:b w:val="0"/>
                <w:bCs w:val="0"/>
                <w:sz w:val="32"/>
                <w:szCs w:val="32"/>
                <w:lang w:val="en-US" w:eastAsia="zh-CN" w:bidi="ar-SA"/>
              </w:rPr>
            </w:pPr>
          </w:p>
        </w:tc>
        <w:tc>
          <w:tcPr>
            <w:tcW w:w="1102" w:type="dxa"/>
            <w:gridSpan w:val="2"/>
            <w:vMerge w:val="continue"/>
            <w:noWrap w:val="0"/>
            <w:vAlign w:val="center"/>
          </w:tcPr>
          <w:p>
            <w:pPr>
              <w:snapToGrid w:val="0"/>
              <w:jc w:val="center"/>
              <w:rPr>
                <w:rFonts w:hint="eastAsia" w:ascii="Times New Roman" w:hAnsi="Times New Roman" w:eastAsia="仿宋_GB2312" w:cs="Times New Roman"/>
                <w:b w:val="0"/>
                <w:bCs w:val="0"/>
                <w:sz w:val="32"/>
                <w:szCs w:val="32"/>
                <w:lang w:val="en-US" w:eastAsia="zh-CN" w:bidi="ar-SA"/>
              </w:rPr>
            </w:pPr>
          </w:p>
        </w:tc>
        <w:tc>
          <w:tcPr>
            <w:tcW w:w="1608" w:type="dxa"/>
            <w:tcBorders>
              <w:top w:val="single" w:color="auto" w:sz="4" w:space="0"/>
            </w:tcBorders>
            <w:noWrap w:val="0"/>
            <w:vAlign w:val="center"/>
          </w:tcPr>
          <w:p>
            <w:pPr>
              <w:pStyle w:val="194"/>
              <w:keepNext w:val="0"/>
              <w:keepLines w:val="0"/>
              <w:pageBreakBefore w:val="0"/>
              <w:widowControl w:val="0"/>
              <w:kinsoku/>
              <w:wordWrap/>
              <w:overflowPunct/>
              <w:topLinePunct w:val="0"/>
              <w:bidi w:val="0"/>
              <w:spacing w:line="40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质量管理及保障措施</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w:t>
            </w:r>
            <w:r>
              <w:rPr>
                <w:rFonts w:hint="eastAsia" w:ascii="Times New Roman" w:hAnsi="Times New Roman" w:eastAsia="仿宋_GB2312" w:cs="Times New Roman"/>
                <w:b w:val="0"/>
                <w:bCs w:val="0"/>
                <w:sz w:val="32"/>
                <w:szCs w:val="32"/>
                <w:lang w:val="en-US" w:eastAsia="zh-CN" w:bidi="ar-SA"/>
              </w:rPr>
              <w:t>6</w:t>
            </w:r>
            <w:r>
              <w:rPr>
                <w:rFonts w:hint="eastAsia" w:ascii="Times New Roman" w:hAnsi="Times New Roman" w:eastAsia="仿宋_GB2312" w:cs="Times New Roman"/>
                <w:b w:val="0"/>
                <w:bCs w:val="0"/>
                <w:sz w:val="32"/>
                <w:szCs w:val="32"/>
                <w:lang w:val="zh-TW" w:eastAsia="zh-CN" w:bidi="ar-SA"/>
              </w:rPr>
              <w:t>分）</w:t>
            </w:r>
          </w:p>
        </w:tc>
        <w:tc>
          <w:tcPr>
            <w:tcW w:w="6255" w:type="dxa"/>
            <w:gridSpan w:val="3"/>
            <w:tcBorders>
              <w:top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zh-TW" w:eastAsia="zh-CN" w:bidi="ar-SA"/>
              </w:rPr>
              <w:t>服务工作质量保证体系健全，保障措施得当，质量控制目标明确、方法、要点、程序全面得力，满足工作质量要求。缺项得0分，根据内容质量得3.6-6.0分。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1.5</w:t>
            </w:r>
          </w:p>
        </w:tc>
        <w:tc>
          <w:tcPr>
            <w:tcW w:w="1102" w:type="dxa"/>
            <w:gridSpan w:val="2"/>
            <w:noWrap w:val="0"/>
            <w:textDirection w:val="tbRlV"/>
            <w:vAlign w:val="center"/>
          </w:tcPr>
          <w:p>
            <w:pPr>
              <w:ind w:left="113" w:right="113"/>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评标程序</w:t>
            </w:r>
          </w:p>
        </w:tc>
        <w:tc>
          <w:tcPr>
            <w:tcW w:w="7863" w:type="dxa"/>
            <w:gridSpan w:val="4"/>
            <w:noWrap w:val="0"/>
            <w:vAlign w:val="top"/>
          </w:tcPr>
          <w:p>
            <w:pPr>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 计算方法计算评标基准价，并对投标报价评分。</w:t>
            </w:r>
          </w:p>
          <w:p>
            <w:pPr>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2. 按本章评标办法规定的程序进行评审，并按本评分标准，确定得分最高的前三名比选申请人（按得分高低排序）为中标候选人。</w:t>
            </w:r>
          </w:p>
          <w:p>
            <w:pPr>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3. 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1.6（1）</w:t>
            </w:r>
          </w:p>
        </w:tc>
        <w:tc>
          <w:tcPr>
            <w:tcW w:w="1102" w:type="dxa"/>
            <w:gridSpan w:val="2"/>
            <w:noWrap w:val="0"/>
            <w:vAlign w:val="center"/>
          </w:tcPr>
          <w:p>
            <w:pPr>
              <w:spacing w:line="360" w:lineRule="auto"/>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投标</w:t>
            </w:r>
          </w:p>
          <w:p>
            <w:pPr>
              <w:spacing w:line="360" w:lineRule="auto"/>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报价得分（A）</w:t>
            </w:r>
          </w:p>
        </w:tc>
        <w:tc>
          <w:tcPr>
            <w:tcW w:w="1669" w:type="dxa"/>
            <w:gridSpan w:val="2"/>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投标报价</w:t>
            </w:r>
          </w:p>
        </w:tc>
        <w:tc>
          <w:tcPr>
            <w:tcW w:w="6194" w:type="dxa"/>
            <w:gridSpan w:val="2"/>
            <w:noWrap w:val="0"/>
            <w:vAlign w:val="center"/>
          </w:tcPr>
          <w:p>
            <w:pPr>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以有效投标报价的算术平均值为评标基准价，投标报价正好等于评标基准价的投标报价得满分60分。与评标基准价相比，投标报价每高1%扣0.2分，扣分最多不超过5分；与评标基准价相比，投标报价每低1%扣0.1分，扣分最多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1.6（2）</w:t>
            </w:r>
          </w:p>
        </w:tc>
        <w:tc>
          <w:tcPr>
            <w:tcW w:w="1102" w:type="dxa"/>
            <w:gridSpan w:val="2"/>
            <w:noWrap w:val="0"/>
            <w:vAlign w:val="center"/>
          </w:tcPr>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技术部分得分</w:t>
            </w:r>
          </w:p>
          <w:p>
            <w:pPr>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（B）</w:t>
            </w:r>
          </w:p>
        </w:tc>
        <w:tc>
          <w:tcPr>
            <w:tcW w:w="1669" w:type="dxa"/>
            <w:gridSpan w:val="2"/>
            <w:noWrap w:val="0"/>
            <w:vAlign w:val="center"/>
          </w:tcPr>
          <w:p>
            <w:pPr>
              <w:spacing w:line="360" w:lineRule="auto"/>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技术部分</w:t>
            </w:r>
          </w:p>
        </w:tc>
        <w:tc>
          <w:tcPr>
            <w:tcW w:w="6194" w:type="dxa"/>
            <w:gridSpan w:val="2"/>
            <w:noWrap w:val="0"/>
            <w:vAlign w:val="center"/>
          </w:tcPr>
          <w:p>
            <w:pPr>
              <w:keepLines/>
              <w:topLinePunct/>
              <w:adjustRightInd w:val="0"/>
              <w:snapToGrid w:val="0"/>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按各评审因素设定的分值评分。</w:t>
            </w:r>
          </w:p>
          <w:p>
            <w:pPr>
              <w:keepLines/>
              <w:topLinePunct/>
              <w:adjustRightInd w:val="0"/>
              <w:snapToGrid w:val="0"/>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评标委员会全体成员对技术部分进行评审，评委打分的取算术平均值为该比选申请人技术部分得分。</w:t>
            </w:r>
          </w:p>
          <w:p>
            <w:pPr>
              <w:adjustRightInd w:val="0"/>
              <w:snapToGrid w:val="0"/>
              <w:spacing w:line="360" w:lineRule="auto"/>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51" w:type="dxa"/>
            <w:noWrap w:val="0"/>
            <w:vAlign w:val="center"/>
          </w:tcPr>
          <w:p>
            <w:pPr>
              <w:ind w:firstLine="28" w:firstLineChars="9"/>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1.7</w:t>
            </w:r>
          </w:p>
        </w:tc>
        <w:tc>
          <w:tcPr>
            <w:tcW w:w="2771" w:type="dxa"/>
            <w:gridSpan w:val="4"/>
            <w:noWrap w:val="0"/>
            <w:vAlign w:val="center"/>
          </w:tcPr>
          <w:p>
            <w:pPr>
              <w:ind w:firstLine="28" w:firstLineChars="9"/>
              <w:jc w:val="center"/>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比选申请人得分</w:t>
            </w:r>
          </w:p>
        </w:tc>
        <w:tc>
          <w:tcPr>
            <w:tcW w:w="6194" w:type="dxa"/>
            <w:gridSpan w:val="2"/>
            <w:noWrap w:val="0"/>
            <w:vAlign w:val="center"/>
          </w:tcPr>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比选申请人得分=A+B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916" w:type="dxa"/>
            <w:gridSpan w:val="7"/>
            <w:noWrap w:val="0"/>
            <w:vAlign w:val="center"/>
          </w:tcPr>
          <w:p>
            <w:pPr>
              <w:ind w:firstLine="508" w:firstLineChars="159"/>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补充细化：1.本项目评标采用综合评估法，对通过初步评审、详细评审的比选申请人按照综合得分（报价得分+技术得分）由高到低的先后顺序，推荐3名成交候选人，不足3名则按相应家数推荐成交候选人，（综合评比得分一致的，技术得分高的优先）。</w:t>
            </w:r>
          </w:p>
        </w:tc>
      </w:tr>
    </w:tbl>
    <w:p>
      <w:pPr>
        <w:numPr>
          <w:ilvl w:val="0"/>
          <w:numId w:val="0"/>
        </w:numPr>
        <w:rPr>
          <w:rFonts w:hint="eastAsia"/>
          <w:lang w:val="en-US" w:eastAsia="zh-CN"/>
        </w:rPr>
      </w:pPr>
    </w:p>
    <w:p>
      <w:pPr>
        <w:ind w:firstLine="508" w:firstLineChars="159"/>
        <w:rPr>
          <w:rFonts w:hint="eastAsia" w:ascii="Times New Roman" w:hAnsi="Times New Roman" w:eastAsia="仿宋_GB2312" w:cs="Times New Roman"/>
          <w:b w:val="0"/>
          <w:bCs w:val="0"/>
          <w:sz w:val="32"/>
          <w:szCs w:val="32"/>
          <w:lang w:val="zh-CN" w:eastAsia="zh-CN" w:bidi="ar-SA"/>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rPr>
          <w:rFonts w:ascii="Times New Roman" w:hAnsi="Times New Roman" w:eastAsia="方正小标宋_GBK" w:cs="Times New Roman"/>
          <w:bCs/>
          <w:sz w:val="44"/>
          <w:szCs w:val="44"/>
          <w:lang w:val="zh-CN" w:eastAsia="zh-CN"/>
        </w:rPr>
      </w:pPr>
    </w:p>
    <w:p>
      <w:pPr>
        <w:pStyle w:val="2"/>
        <w:rPr>
          <w:lang w:val="zh-CN" w:eastAsia="zh-CN"/>
        </w:rPr>
      </w:pPr>
    </w:p>
    <w:p>
      <w:pPr>
        <w:rPr>
          <w:lang w:val="zh-CN" w:eastAsia="zh-CN"/>
        </w:rPr>
      </w:pPr>
    </w:p>
    <w:p>
      <w:pPr>
        <w:pStyle w:val="2"/>
        <w:rPr>
          <w:lang w:val="zh-CN" w:eastAsia="zh-CN"/>
        </w:rPr>
      </w:pPr>
    </w:p>
    <w:p>
      <w:pPr>
        <w:rPr>
          <w:lang w:val="zh-CN" w:eastAsia="zh-CN"/>
        </w:rPr>
      </w:pPr>
    </w:p>
    <w:p>
      <w:pPr>
        <w:pStyle w:val="2"/>
        <w:rPr>
          <w:lang w:val="zh-CN" w:eastAsia="zh-CN"/>
        </w:rPr>
      </w:pPr>
    </w:p>
    <w:p>
      <w:pPr>
        <w:rPr>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第三章 合同条款</w:t>
      </w:r>
    </w:p>
    <w:p>
      <w:pPr>
        <w:spacing w:line="510" w:lineRule="exact"/>
        <w:rPr>
          <w:rFonts w:ascii="Times New Roman" w:hAnsi="Times New Roman" w:eastAsia="黑体" w:cs="Times New Roman"/>
          <w:sz w:val="32"/>
          <w:szCs w:val="32"/>
          <w:lang w:eastAsia="zh-CN"/>
        </w:rPr>
      </w:pPr>
    </w:p>
    <w:p>
      <w:pPr>
        <w:spacing w:line="510" w:lineRule="exact"/>
        <w:ind w:left="420" w:firstLine="320" w:firstLineChars="1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1.合同范围</w:t>
      </w:r>
    </w:p>
    <w:p>
      <w:pPr>
        <w:pStyle w:val="195"/>
        <w:spacing w:line="480" w:lineRule="exact"/>
        <w:ind w:firstLine="640"/>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本项目按照《重庆市安全生产委员会办公室关于印发重庆市生产经营单位构建风险分级管控和隐患排查治理双重预防机制指南( 试行)的通知》，在项目施工前编制安全风险与隐患排查治理双重预防机制及安全咨询服务方案实施方案。</w:t>
      </w: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本项目为总价合同。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乙方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所报总价在合同有效期内固定不变，即合同总价不因国家和地方政策调整、物价变动等因数的影响而调整。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1、本项目合同总金额（包干价）为：人民币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万元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完成合同约定所有工作内容后7个工作日内支付后，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一次性支付合同总价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，计人民币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注：支付款项前，乙方应提供相应金额增值税专用发票。</w:t>
      </w:r>
    </w:p>
    <w:p>
      <w:pPr>
        <w:spacing w:line="480" w:lineRule="exact"/>
        <w:ind w:firstLine="640" w:firstLineChars="200"/>
        <w:rPr>
          <w:rFonts w:ascii="方正仿宋_GBK" w:hAnsi="方正仿宋_GBK" w:eastAsia="方正仿宋_GBK" w:cs="方正仿宋_GBK"/>
          <w:b/>
          <w:bCs/>
          <w:sz w:val="24"/>
        </w:rPr>
      </w:pPr>
      <w:r>
        <w:rPr>
          <w:rFonts w:hint="eastAsia"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eastAsia="zh-CN"/>
        </w:rPr>
        <w:t>乙方应按下列要求完成咨询工作</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咨询地点：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重庆市潼南区双江航电枢纽现场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咨询期限：从合同签订之日起至项目通过“双重预防机制”</w:t>
      </w:r>
      <w:r>
        <w:rPr>
          <w:rFonts w:hint="eastAsia" w:ascii="方正仿宋_GBK" w:hAnsi="方正仿宋_GBK" w:eastAsia="方正仿宋_GBK" w:cs="方正仿宋_GBK"/>
          <w:sz w:val="32"/>
          <w:szCs w:val="32"/>
          <w:lang w:val="en-US" w:eastAsia="zh-CN"/>
        </w:rPr>
        <w:t>考核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止。</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咨询进度：合同签订之日起 5个工作日内提交实施方案报告。</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咨询质量要求：按照“两单两卡”、安全生产标准化建设、《生产经营单位主要负责人安全管理职责履职评估规范》以及《重庆市交通局关于防范化解安全生产重大风险的工作意见》等文件制度要求执行。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．提供工作条件</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甲方应协助乙方作好工程建设外部环境的协调工作，为乙方提供安全风险与隐患排查治理双重预防机制及安全咨询实施所需的有关工程建设的相关文件资料；</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对乙方作出的实施方案安排、项目负责人和主要管理人员的权限等内容，及时提出书面意见并反馈乙方；   </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甲方应当维护实施方案编制工作的独立性，不影响乙方工作的正常开展。</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其他：为配合项目安全风险与隐患排查治理双重预防机制及安全咨询实施方案编制工作开展的其他问题，双方协商处理。</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5、双方确定以下列标准和方式对乙方咨询成果进行验收</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5.1乙方提交咨询工作成果的名称、时间、形式、份数：合同签订之日起5个工作日内提交实施方案报告，纸质版肆份，电子版壹份。</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5.2咨询工作成果的验收标准：根据国家及重庆市相关文件执行。</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5.3咨询工作成果的验收方法：顺利通过项目的专家评定工作，并提交安全风险双重预防机制实施方案报告。</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5.4验收的时间和地点：提交最终报告后在重庆市交通局开展专家评定工作。</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5.5乙方提交给甲方的所有咨询工作成果及相关资料，包括为履行咨询所编制的图纸、计划和证明资料等，都属于甲方所有，未经甲方书面同意，乙方不得使用。</w:t>
      </w:r>
    </w:p>
    <w:p>
      <w:pPr>
        <w:spacing w:line="48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6、双方确定按以下约定承担各自的违约责任</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6.1合同生效后，由于甲方原因终止合同，甲方应向乙方支付已完成工作量的相应费用。</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6.2乙方违反本合同导致本合同无法继续履行的，乙方支付咨询费总额 5 %的违约金和赔偿甲方的实际损失。</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6.3、甲方的上级主管部门对本项目要求作相应的变更的或终止的，乙方应无条件进行变更或终止；乙方不得要求甲方承担违约责任、亦不得要求增加本合同的费用，本合同终止的，不得要求甲方支付未支付的费用。</w:t>
      </w:r>
    </w:p>
    <w:p>
      <w:pPr>
        <w:spacing w:line="48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7、双方确定，在本合同有效期内，甲方指定     为甲方项目联系人，乙方指定    为乙方项目联系人。项目联系人承担以下责任：</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7.1沟通项目工作进度、资料收集、勘踏现场等；</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7.2为甲方咨询双重预防机制实施方案相关问题；</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7.3安全风险双重预防机制实施方案资料盖章、报送等 。</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7.4一方变更项目联系人的，应当及时以书面形式通知另一方。未及时通知并影响本合同履行或造成损失的，应承担相应的责任。</w:t>
      </w:r>
    </w:p>
    <w:p>
      <w:pPr>
        <w:spacing w:line="48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8、双方确定，出现下列情形，致使本合同的履行成为不必要或不可能的，可以解除本合同：</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8.1发生不可抗力；</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8.2一方违法违规或严重违约的；</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8.3未能履行本合同事项的义务，且在违约后在双方商定的补救期限内对违约行为仍未能完成补救 。</w:t>
      </w:r>
    </w:p>
    <w:p>
      <w:pPr>
        <w:spacing w:line="510" w:lineRule="exact"/>
        <w:ind w:firstLine="636" w:firstLineChars="199"/>
        <w:rPr>
          <w:rFonts w:hint="eastAsia" w:ascii="Times New Roman" w:hAnsi="Times New Roman" w:eastAsia="黑体" w:cs="Times New Roman"/>
          <w:sz w:val="32"/>
          <w:szCs w:val="32"/>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eastAsia" w:ascii="Times New Roman" w:hAnsi="Times New Roman" w:eastAsia="黑体" w:cs="Times New Roman"/>
          <w:sz w:val="32"/>
          <w:szCs w:val="32"/>
          <w:lang w:val="en-US" w:eastAsia="zh-CN"/>
        </w:rPr>
        <w:t>双方因履行本合同而发生的争议，应协商、调解解决。协商、调解不成的，双方同意按以下第  2  种方式处理：</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9.1. 提交仲裁委员会仲裁；</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9.2. 依法向甲方所在地人民法院起诉。</w:t>
      </w:r>
    </w:p>
    <w:p>
      <w:pPr>
        <w:spacing w:line="510" w:lineRule="exact"/>
        <w:ind w:firstLine="636" w:firstLineChars="19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10、双方约定本合同其他相关事项</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如果发生不可抗力事件，受事件影响的一方应将发生不可抗力事件的情况以传真通知另一方，并在事件发生后十四天内将有权证明的机构出具的证明文件提交另一方证实。一方受该事件影响的合同义务在该不可抗力造成的延误期内应中止履行，履约期限应予延长，延长的期限与该中止时间相等。任何一方不须为此承担责任，但一方迟延履行期间遭受不可抗力的不予免责。受影响的一方应在不可抗力事件消除后尽快以传真通知另一方。</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“不可抗力”指本合同双方无法控制、不能预见、无法避免或克服的、阻止任何一方全部或部分履约的所有事件。该等事件应包括地震、台风、水灾、火灾、战争等。 </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双方可以协商解除本合同。</w:t>
      </w:r>
    </w:p>
    <w:p>
      <w:pPr>
        <w:spacing w:line="510" w:lineRule="exact"/>
        <w:ind w:firstLine="320" w:firstLineChars="1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11.合同的生效</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本合同一式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份，甲方持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份，乙方持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份；自甲、乙双方签字</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加盖公章之日起生效。</w:t>
      </w:r>
    </w:p>
    <w:p>
      <w:pPr>
        <w:pStyle w:val="42"/>
        <w:rPr>
          <w:rFonts w:hint="eastAsia"/>
          <w:lang w:eastAsia="zh-CN"/>
        </w:rPr>
      </w:pPr>
    </w:p>
    <w:p>
      <w:pPr>
        <w:spacing w:line="510" w:lineRule="exact"/>
        <w:ind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12</w:t>
      </w:r>
      <w:r>
        <w:rPr>
          <w:rFonts w:hint="eastAsia" w:ascii="Times New Roman" w:hAnsi="Times New Roman" w:eastAsia="黑体" w:cs="Times New Roman"/>
          <w:sz w:val="32"/>
          <w:szCs w:val="32"/>
          <w:lang w:eastAsia="zh-CN"/>
        </w:rPr>
        <w:t>.附件</w:t>
      </w:r>
    </w:p>
    <w:p>
      <w:pPr>
        <w:spacing w:line="510" w:lineRule="exact"/>
        <w:ind w:firstLine="636" w:firstLineChars="199"/>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附件2.廉政合同</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numPr>
          <w:ilvl w:val="0"/>
          <w:numId w:val="1"/>
        </w:num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法定代表人身份证明或授权委托书</w:t>
      </w:r>
    </w:p>
    <w:p>
      <w:pPr>
        <w:numPr>
          <w:ilvl w:val="0"/>
          <w:numId w:val="1"/>
        </w:numPr>
        <w:tabs>
          <w:tab w:val="left" w:pos="469"/>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10710824"/>
      <w:bookmarkStart w:id="20" w:name="bookmark292"/>
      <w:bookmarkStart w:id="21" w:name="_Toc29194793"/>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10710825"/>
      <w:bookmarkEnd w:id="24"/>
      <w:bookmarkStart w:id="25" w:name="_Toc52097545"/>
      <w:bookmarkEnd w:id="25"/>
      <w:bookmarkStart w:id="26" w:name="_Toc29194794"/>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spacing w:line="520" w:lineRule="exact"/>
        <w:ind w:firstLine="640" w:firstLineChars="200"/>
        <w:rPr>
          <w:rFonts w:ascii="宋体" w:hAnsi="宋体" w:cs="宋体"/>
          <w:sz w:val="24"/>
        </w:rPr>
      </w:pPr>
      <w:r>
        <w:rPr>
          <w:rFonts w:ascii="Times New Roman" w:hAnsi="Times New Roman" w:eastAsia="方正仿宋_GBK" w:cs="Times New Roman"/>
          <w:sz w:val="32"/>
          <w:szCs w:val="32"/>
          <w:lang w:eastAsia="zh-CN"/>
        </w:rPr>
        <w:t>（2）本项目投标报价为总价包干（投标人自行考虑相应风险费用）。</w:t>
      </w:r>
      <w:r>
        <w:rPr>
          <w:rFonts w:hint="eastAsia" w:ascii="Times New Roman" w:hAnsi="Times New Roman" w:eastAsia="方正仿宋_GBK" w:cs="Times New Roman"/>
          <w:sz w:val="32"/>
          <w:szCs w:val="32"/>
          <w:lang w:eastAsia="zh-CN"/>
        </w:rPr>
        <w:t>报价人所报总价包括但不限于为完成本次比选的全部工作内容所需的劳务、差旅费、会务费、专家咨询费、材料、管理、税费、利润等所有费用，以及本《</w:t>
      </w:r>
      <w:r>
        <w:rPr>
          <w:rFonts w:hint="eastAsia" w:ascii="Times New Roman" w:hAnsi="Times New Roman" w:eastAsia="方正仿宋_GBK" w:cs="Times New Roman"/>
          <w:sz w:val="32"/>
          <w:szCs w:val="32"/>
          <w:lang w:val="en-US" w:eastAsia="zh-CN"/>
        </w:rPr>
        <w:t>询价</w:t>
      </w:r>
      <w:r>
        <w:rPr>
          <w:rFonts w:hint="eastAsia" w:ascii="Times New Roman" w:hAnsi="Times New Roman" w:eastAsia="方正仿宋_GBK" w:cs="Times New Roman"/>
          <w:sz w:val="32"/>
          <w:szCs w:val="32"/>
          <w:lang w:eastAsia="zh-CN"/>
        </w:rPr>
        <w:t>比选文件》明示或暗示的所有责任、义务和一般风险。</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pStyle w:val="2"/>
        <w:rPr>
          <w:lang w:eastAsia="zh-CN"/>
        </w:rPr>
      </w:pPr>
    </w:p>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1、报价文件的封装</w:t>
      </w:r>
    </w:p>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（1）报价文件提供纸质版正副本各一份。</w:t>
      </w:r>
    </w:p>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（2）报价文件应装订成册，不得采用活页装订。否则，比选人对由于报价文件装订松散而造成的丢失或其他后果不承担任何责任。报价文件应编制目录，并且从目录开始逐页标注连续页码。</w:t>
      </w:r>
    </w:p>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（3）报价文件应密封在一个封套中，未密封的报价文件将不予签收。</w:t>
      </w:r>
    </w:p>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报价文件应使用不褪色的墨水书写或打印，报价文件应按竞争性比选文件的要求签章完善，禁止使用印章或签名章。如果报价文件由授权代理人签署，其代理人的授权书应按竞争性比选文件规定的格式出具，并由授权人和被授权人亲笔签名，禁止使用印章或签名章。</w:t>
      </w:r>
    </w:p>
    <w:p>
      <w:pPr>
        <w:ind w:firstLine="508" w:firstLineChars="159"/>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（5）报价文件的任何一处涂改、行间插字或删除，均应由前款规定的报价文件签署人在修改处签署姓名并加盖报价人单位公章。</w:t>
      </w:r>
    </w:p>
    <w:p>
      <w:pPr>
        <w:ind w:firstLine="508" w:firstLineChars="159"/>
        <w:rPr>
          <w:rFonts w:hint="eastAsia" w:ascii="Times New Roman" w:hAnsi="Times New Roman" w:eastAsia="仿宋_GB2312" w:cs="Times New Roman"/>
          <w:b w:val="0"/>
          <w:bCs w:val="0"/>
          <w:sz w:val="32"/>
          <w:szCs w:val="32"/>
          <w:lang w:val="zh-TW" w:eastAsia="zh-CN" w:bidi="ar-SA"/>
        </w:rPr>
      </w:pPr>
      <w:r>
        <w:rPr>
          <w:rFonts w:hint="eastAsia" w:ascii="Times New Roman" w:hAnsi="Times New Roman" w:eastAsia="仿宋_GB2312" w:cs="Times New Roman"/>
          <w:b w:val="0"/>
          <w:bCs w:val="0"/>
          <w:sz w:val="32"/>
          <w:szCs w:val="32"/>
          <w:lang w:val="en-US" w:eastAsia="zh-CN" w:bidi="ar-SA"/>
        </w:rPr>
        <w:t>（6）报价人对</w:t>
      </w:r>
      <w:r>
        <w:rPr>
          <w:rFonts w:hint="eastAsia" w:ascii="Times New Roman" w:hAnsi="Times New Roman" w:eastAsia="仿宋_GB2312" w:cs="Times New Roman"/>
          <w:b w:val="0"/>
          <w:bCs w:val="0"/>
          <w:sz w:val="32"/>
          <w:szCs w:val="32"/>
          <w:lang w:val="zh-TW" w:eastAsia="zh-CN" w:bidi="ar-SA"/>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hint="default" w:ascii="Times New Roman" w:hAnsi="Times New Roman" w:cs="Times New Roman"/>
                <w:shd w:val="clear" w:color="auto" w:fill="FFFFFF"/>
                <w:lang w:val="en-US" w:eastAsia="zh-CN"/>
              </w:rPr>
            </w:pPr>
            <w:r>
              <w:rPr>
                <w:rFonts w:hint="eastAsia" w:ascii="Times New Roman" w:hAnsi="Times New Roman" w:cs="Times New Roman"/>
                <w:shd w:val="clear" w:color="auto" w:fill="FFFFFF"/>
                <w:lang w:val="en-US" w:eastAsia="zh-CN"/>
              </w:rPr>
              <w:t>涪江干流梯级渠化双江航电枢纽工程</w:t>
            </w:r>
            <w:r>
              <w:rPr>
                <w:rFonts w:hint="eastAsia" w:ascii="Times New Roman" w:hAnsi="Times New Roman" w:eastAsia="宋体" w:cs="Times New Roman"/>
                <w:shd w:val="clear" w:color="auto" w:fill="FFFFFF"/>
                <w:lang w:val="en-US" w:eastAsia="zh-CN"/>
              </w:rPr>
              <w:t>安全风险分级管控和隐患排查治理双重预防机制咨询服务</w:t>
            </w:r>
          </w:p>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418" w:type="dxa"/>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项</w:t>
            </w: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val="en-US" w:eastAsia="zh-CN"/>
        </w:rPr>
        <w:t>双江航运发展</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pStyle w:val="42"/>
        <w:rPr>
          <w:rFonts w:hint="eastAsia"/>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20995074"/>
      <w:bookmarkStart w:id="30" w:name="_Toc418517429"/>
      <w:bookmarkStart w:id="31" w:name="_Toc416788188"/>
      <w:bookmarkStart w:id="32" w:name="_Toc420995178"/>
      <w:bookmarkStart w:id="33" w:name="_Toc421798219"/>
      <w:bookmarkStart w:id="34" w:name="_Toc24117"/>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ksdb"/>
    <w:panose1 w:val="020F0302020204030204"/>
    <w:charset w:val="00"/>
    <w:family w:val="swiss"/>
    <w:pitch w:val="default"/>
    <w:sig w:usb0="00000000" w:usb1="00000000" w:usb2="00000009" w:usb3="00000000" w:csb0="200001FF" w:csb1="00000000"/>
  </w:font>
  <w:font w:name="ksdb">
    <w:panose1 w:val="02000500000000000000"/>
    <w:charset w:val="00"/>
    <w:family w:val="auto"/>
    <w:pitch w:val="default"/>
    <w:sig w:usb0="00000001" w:usb1="00000000" w:usb2="00000000" w:usb3="00000000" w:csb0="00000001"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B7356"/>
    <w:multiLevelType w:val="singleLevel"/>
    <w:tmpl w:val="C6FB7356"/>
    <w:lvl w:ilvl="0" w:tentative="0">
      <w:start w:val="1"/>
      <w:numFmt w:val="chineseCounting"/>
      <w:suff w:val="nothing"/>
      <w:lvlText w:val="%1、"/>
      <w:lvlJc w:val="left"/>
      <w:rPr>
        <w:rFonts w:hint="eastAsia"/>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74A57"/>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111B48"/>
    <w:rsid w:val="02285819"/>
    <w:rsid w:val="0286090C"/>
    <w:rsid w:val="035546C6"/>
    <w:rsid w:val="04296264"/>
    <w:rsid w:val="046F356C"/>
    <w:rsid w:val="048A3FA3"/>
    <w:rsid w:val="0490423E"/>
    <w:rsid w:val="04BE7047"/>
    <w:rsid w:val="04C75BA9"/>
    <w:rsid w:val="05046843"/>
    <w:rsid w:val="0636605F"/>
    <w:rsid w:val="067A2C61"/>
    <w:rsid w:val="06ED263D"/>
    <w:rsid w:val="07501833"/>
    <w:rsid w:val="07770B2D"/>
    <w:rsid w:val="082C3C8D"/>
    <w:rsid w:val="08651193"/>
    <w:rsid w:val="08A274A7"/>
    <w:rsid w:val="08F935C9"/>
    <w:rsid w:val="08F93D5B"/>
    <w:rsid w:val="097B739A"/>
    <w:rsid w:val="09CD7F8F"/>
    <w:rsid w:val="0A95138C"/>
    <w:rsid w:val="0AA422FB"/>
    <w:rsid w:val="0AD153CD"/>
    <w:rsid w:val="0BB95CD2"/>
    <w:rsid w:val="0BFE4292"/>
    <w:rsid w:val="0C292867"/>
    <w:rsid w:val="0C564D28"/>
    <w:rsid w:val="0CD07E15"/>
    <w:rsid w:val="0CFA4A65"/>
    <w:rsid w:val="0D7C0937"/>
    <w:rsid w:val="0DA770F4"/>
    <w:rsid w:val="0E6357DB"/>
    <w:rsid w:val="0F805784"/>
    <w:rsid w:val="0F9E506F"/>
    <w:rsid w:val="0FB66909"/>
    <w:rsid w:val="0FE24065"/>
    <w:rsid w:val="10261A88"/>
    <w:rsid w:val="10344EEB"/>
    <w:rsid w:val="10A81391"/>
    <w:rsid w:val="117A6EEF"/>
    <w:rsid w:val="11A3317D"/>
    <w:rsid w:val="12B33874"/>
    <w:rsid w:val="139C4AFE"/>
    <w:rsid w:val="13B86C2F"/>
    <w:rsid w:val="14295DAF"/>
    <w:rsid w:val="142A7E51"/>
    <w:rsid w:val="150467C0"/>
    <w:rsid w:val="159E24E8"/>
    <w:rsid w:val="162417DF"/>
    <w:rsid w:val="162F0CF2"/>
    <w:rsid w:val="16A668AC"/>
    <w:rsid w:val="16A76DEE"/>
    <w:rsid w:val="17515952"/>
    <w:rsid w:val="178E1F33"/>
    <w:rsid w:val="17AC5B95"/>
    <w:rsid w:val="188E6525"/>
    <w:rsid w:val="18AB3826"/>
    <w:rsid w:val="192D615C"/>
    <w:rsid w:val="19421CE6"/>
    <w:rsid w:val="194F7996"/>
    <w:rsid w:val="198130EF"/>
    <w:rsid w:val="19AE416C"/>
    <w:rsid w:val="19DD43BA"/>
    <w:rsid w:val="19E25E4D"/>
    <w:rsid w:val="1A4B45F5"/>
    <w:rsid w:val="1AEB3291"/>
    <w:rsid w:val="1B2D33E7"/>
    <w:rsid w:val="1C8F7D9E"/>
    <w:rsid w:val="1CB44424"/>
    <w:rsid w:val="1CEB3111"/>
    <w:rsid w:val="1D1E25DF"/>
    <w:rsid w:val="1D652848"/>
    <w:rsid w:val="1DD736C3"/>
    <w:rsid w:val="1E5C3BAD"/>
    <w:rsid w:val="1F1063FE"/>
    <w:rsid w:val="1F9F6471"/>
    <w:rsid w:val="1FF8009E"/>
    <w:rsid w:val="213C7FDD"/>
    <w:rsid w:val="21670FC9"/>
    <w:rsid w:val="21CC3BA7"/>
    <w:rsid w:val="21E3769E"/>
    <w:rsid w:val="22102401"/>
    <w:rsid w:val="228765EB"/>
    <w:rsid w:val="23344B38"/>
    <w:rsid w:val="241174C5"/>
    <w:rsid w:val="24304B96"/>
    <w:rsid w:val="24430E72"/>
    <w:rsid w:val="24AC1230"/>
    <w:rsid w:val="24B738C2"/>
    <w:rsid w:val="24CA5E5B"/>
    <w:rsid w:val="24F77FEF"/>
    <w:rsid w:val="25357D1C"/>
    <w:rsid w:val="255178E6"/>
    <w:rsid w:val="255E1927"/>
    <w:rsid w:val="25DE362C"/>
    <w:rsid w:val="25F14B98"/>
    <w:rsid w:val="26710645"/>
    <w:rsid w:val="267270A9"/>
    <w:rsid w:val="26A91696"/>
    <w:rsid w:val="27080659"/>
    <w:rsid w:val="272F2851"/>
    <w:rsid w:val="274F3DB2"/>
    <w:rsid w:val="279C6923"/>
    <w:rsid w:val="27BD1AEB"/>
    <w:rsid w:val="27F41FA9"/>
    <w:rsid w:val="28E95BAE"/>
    <w:rsid w:val="28FC289D"/>
    <w:rsid w:val="2914405B"/>
    <w:rsid w:val="29156EF2"/>
    <w:rsid w:val="294F67FB"/>
    <w:rsid w:val="29A462E1"/>
    <w:rsid w:val="29DF4A6F"/>
    <w:rsid w:val="2A21112E"/>
    <w:rsid w:val="2A814869"/>
    <w:rsid w:val="2B004385"/>
    <w:rsid w:val="2B052B73"/>
    <w:rsid w:val="2B6948BD"/>
    <w:rsid w:val="2BF539B5"/>
    <w:rsid w:val="2C144474"/>
    <w:rsid w:val="2C61237F"/>
    <w:rsid w:val="2C7E27DB"/>
    <w:rsid w:val="2D280A7E"/>
    <w:rsid w:val="2DA61CF4"/>
    <w:rsid w:val="2E300C98"/>
    <w:rsid w:val="2E324611"/>
    <w:rsid w:val="2EED2E72"/>
    <w:rsid w:val="2F4D332A"/>
    <w:rsid w:val="31772CB5"/>
    <w:rsid w:val="319A23E2"/>
    <w:rsid w:val="31AE7611"/>
    <w:rsid w:val="325149D0"/>
    <w:rsid w:val="3258548E"/>
    <w:rsid w:val="328937F3"/>
    <w:rsid w:val="32F017EB"/>
    <w:rsid w:val="33A67096"/>
    <w:rsid w:val="33C83BC3"/>
    <w:rsid w:val="34140EA1"/>
    <w:rsid w:val="34382A8F"/>
    <w:rsid w:val="347E742F"/>
    <w:rsid w:val="35153592"/>
    <w:rsid w:val="35276BCD"/>
    <w:rsid w:val="357A3838"/>
    <w:rsid w:val="35915FF2"/>
    <w:rsid w:val="35996867"/>
    <w:rsid w:val="366C6C5A"/>
    <w:rsid w:val="36D6690A"/>
    <w:rsid w:val="36FD4EC4"/>
    <w:rsid w:val="373A2B2A"/>
    <w:rsid w:val="37F5325E"/>
    <w:rsid w:val="387B5356"/>
    <w:rsid w:val="389F0583"/>
    <w:rsid w:val="392513D1"/>
    <w:rsid w:val="394D6F17"/>
    <w:rsid w:val="39CD7260"/>
    <w:rsid w:val="3B3B1938"/>
    <w:rsid w:val="3B536115"/>
    <w:rsid w:val="3B896557"/>
    <w:rsid w:val="3D12686E"/>
    <w:rsid w:val="3D18578A"/>
    <w:rsid w:val="3D267363"/>
    <w:rsid w:val="3DA55E6C"/>
    <w:rsid w:val="3DA7291A"/>
    <w:rsid w:val="3DC654EF"/>
    <w:rsid w:val="3DED132A"/>
    <w:rsid w:val="3E0A4684"/>
    <w:rsid w:val="3E3C050B"/>
    <w:rsid w:val="3E415AC4"/>
    <w:rsid w:val="3E5B6F4A"/>
    <w:rsid w:val="3EC066EC"/>
    <w:rsid w:val="3ED20001"/>
    <w:rsid w:val="3EDB572F"/>
    <w:rsid w:val="3EE322BE"/>
    <w:rsid w:val="3EED6A2E"/>
    <w:rsid w:val="3EF25A32"/>
    <w:rsid w:val="3F794D8F"/>
    <w:rsid w:val="408814E1"/>
    <w:rsid w:val="40E24800"/>
    <w:rsid w:val="413D425E"/>
    <w:rsid w:val="4143359F"/>
    <w:rsid w:val="416C40CA"/>
    <w:rsid w:val="418D49B0"/>
    <w:rsid w:val="41DC2462"/>
    <w:rsid w:val="42615AA3"/>
    <w:rsid w:val="426A5D19"/>
    <w:rsid w:val="42A25018"/>
    <w:rsid w:val="42A713D5"/>
    <w:rsid w:val="42EE0B57"/>
    <w:rsid w:val="42FC2B26"/>
    <w:rsid w:val="43EC7BBD"/>
    <w:rsid w:val="43EF3495"/>
    <w:rsid w:val="440C4C65"/>
    <w:rsid w:val="44B0509C"/>
    <w:rsid w:val="453756CC"/>
    <w:rsid w:val="455255E8"/>
    <w:rsid w:val="458C2FAA"/>
    <w:rsid w:val="461A28EF"/>
    <w:rsid w:val="46E4318C"/>
    <w:rsid w:val="471F4D88"/>
    <w:rsid w:val="4766336A"/>
    <w:rsid w:val="479E3A47"/>
    <w:rsid w:val="47D87266"/>
    <w:rsid w:val="48324764"/>
    <w:rsid w:val="49222A1C"/>
    <w:rsid w:val="49A2577D"/>
    <w:rsid w:val="4A020586"/>
    <w:rsid w:val="4A321E22"/>
    <w:rsid w:val="4A3546F1"/>
    <w:rsid w:val="4AF40C8C"/>
    <w:rsid w:val="4B106456"/>
    <w:rsid w:val="4B26325B"/>
    <w:rsid w:val="4B3A6678"/>
    <w:rsid w:val="4B4475D2"/>
    <w:rsid w:val="4C205671"/>
    <w:rsid w:val="4C6F2EDA"/>
    <w:rsid w:val="4E03626B"/>
    <w:rsid w:val="4E742810"/>
    <w:rsid w:val="4F7B2533"/>
    <w:rsid w:val="506C2B70"/>
    <w:rsid w:val="508711A9"/>
    <w:rsid w:val="510E35CE"/>
    <w:rsid w:val="517B4EC0"/>
    <w:rsid w:val="51B322DA"/>
    <w:rsid w:val="51C21AE4"/>
    <w:rsid w:val="51CC3CA7"/>
    <w:rsid w:val="51F850A8"/>
    <w:rsid w:val="52667ECC"/>
    <w:rsid w:val="526D2EBF"/>
    <w:rsid w:val="52C00A54"/>
    <w:rsid w:val="53366EE7"/>
    <w:rsid w:val="54271112"/>
    <w:rsid w:val="54523A5C"/>
    <w:rsid w:val="54FB4AFB"/>
    <w:rsid w:val="5548335C"/>
    <w:rsid w:val="555C3065"/>
    <w:rsid w:val="55816D64"/>
    <w:rsid w:val="55987088"/>
    <w:rsid w:val="559D4C79"/>
    <w:rsid w:val="56A32E66"/>
    <w:rsid w:val="56B41C60"/>
    <w:rsid w:val="56EF6751"/>
    <w:rsid w:val="577747A6"/>
    <w:rsid w:val="577A27D6"/>
    <w:rsid w:val="59374B66"/>
    <w:rsid w:val="593C56D0"/>
    <w:rsid w:val="593F171A"/>
    <w:rsid w:val="59E454CF"/>
    <w:rsid w:val="59F726F3"/>
    <w:rsid w:val="5A203D5A"/>
    <w:rsid w:val="5A8C449C"/>
    <w:rsid w:val="5AAF3758"/>
    <w:rsid w:val="5ACD5782"/>
    <w:rsid w:val="5B052582"/>
    <w:rsid w:val="5B0A5A8A"/>
    <w:rsid w:val="5B297B8D"/>
    <w:rsid w:val="5B57543C"/>
    <w:rsid w:val="5BE066C1"/>
    <w:rsid w:val="5C1726A7"/>
    <w:rsid w:val="5C1B578B"/>
    <w:rsid w:val="5CA00DF1"/>
    <w:rsid w:val="5CFD0956"/>
    <w:rsid w:val="5D313A8F"/>
    <w:rsid w:val="5D32446E"/>
    <w:rsid w:val="5DA1040B"/>
    <w:rsid w:val="5DA77392"/>
    <w:rsid w:val="5DB16193"/>
    <w:rsid w:val="5DBD4136"/>
    <w:rsid w:val="5DFC02F5"/>
    <w:rsid w:val="5E324AF8"/>
    <w:rsid w:val="5E7D7B12"/>
    <w:rsid w:val="5E96017E"/>
    <w:rsid w:val="5EB934BF"/>
    <w:rsid w:val="5EF2527F"/>
    <w:rsid w:val="5F2D401F"/>
    <w:rsid w:val="5F3C2B98"/>
    <w:rsid w:val="5F4768A1"/>
    <w:rsid w:val="5F7A39FE"/>
    <w:rsid w:val="5F8B1768"/>
    <w:rsid w:val="5FA74DF5"/>
    <w:rsid w:val="60895210"/>
    <w:rsid w:val="608A66C7"/>
    <w:rsid w:val="60C95281"/>
    <w:rsid w:val="60DC0379"/>
    <w:rsid w:val="60EA448B"/>
    <w:rsid w:val="60F91A9B"/>
    <w:rsid w:val="616400DB"/>
    <w:rsid w:val="61681DAA"/>
    <w:rsid w:val="620263DB"/>
    <w:rsid w:val="620C69DC"/>
    <w:rsid w:val="62137647"/>
    <w:rsid w:val="635E4CE4"/>
    <w:rsid w:val="63BA77AE"/>
    <w:rsid w:val="63E57025"/>
    <w:rsid w:val="64761A1E"/>
    <w:rsid w:val="65585085"/>
    <w:rsid w:val="655F0FD4"/>
    <w:rsid w:val="65DB5880"/>
    <w:rsid w:val="67015D83"/>
    <w:rsid w:val="676C3643"/>
    <w:rsid w:val="67B30A70"/>
    <w:rsid w:val="67F778AA"/>
    <w:rsid w:val="683B74A5"/>
    <w:rsid w:val="68466749"/>
    <w:rsid w:val="68562C5D"/>
    <w:rsid w:val="689313CC"/>
    <w:rsid w:val="689A54AC"/>
    <w:rsid w:val="695B31AD"/>
    <w:rsid w:val="69D05529"/>
    <w:rsid w:val="69E81028"/>
    <w:rsid w:val="6A0B751D"/>
    <w:rsid w:val="6A8838EC"/>
    <w:rsid w:val="6AE01E1B"/>
    <w:rsid w:val="6B745BDA"/>
    <w:rsid w:val="6B7A5565"/>
    <w:rsid w:val="6BEC0D1C"/>
    <w:rsid w:val="6C492150"/>
    <w:rsid w:val="6C88401A"/>
    <w:rsid w:val="6CF56FD0"/>
    <w:rsid w:val="6D353DA6"/>
    <w:rsid w:val="6D541C74"/>
    <w:rsid w:val="6DAD722E"/>
    <w:rsid w:val="6DCB15B1"/>
    <w:rsid w:val="6DE06576"/>
    <w:rsid w:val="6DFB21AE"/>
    <w:rsid w:val="6F491A22"/>
    <w:rsid w:val="6F4D4C8B"/>
    <w:rsid w:val="6FC10684"/>
    <w:rsid w:val="6FC32670"/>
    <w:rsid w:val="705E0D4E"/>
    <w:rsid w:val="70656815"/>
    <w:rsid w:val="70833368"/>
    <w:rsid w:val="709655A9"/>
    <w:rsid w:val="70B831E1"/>
    <w:rsid w:val="70D83866"/>
    <w:rsid w:val="710D7515"/>
    <w:rsid w:val="7139605B"/>
    <w:rsid w:val="71B25E42"/>
    <w:rsid w:val="71C01E37"/>
    <w:rsid w:val="71CB1AC1"/>
    <w:rsid w:val="72B14FD5"/>
    <w:rsid w:val="734E5331"/>
    <w:rsid w:val="737F3A69"/>
    <w:rsid w:val="73973553"/>
    <w:rsid w:val="73D05A96"/>
    <w:rsid w:val="74181201"/>
    <w:rsid w:val="743D400A"/>
    <w:rsid w:val="74590E55"/>
    <w:rsid w:val="74850A24"/>
    <w:rsid w:val="74FD4DFC"/>
    <w:rsid w:val="755A6876"/>
    <w:rsid w:val="755F3CFE"/>
    <w:rsid w:val="756555F5"/>
    <w:rsid w:val="75C857C9"/>
    <w:rsid w:val="760D0BC5"/>
    <w:rsid w:val="762D6621"/>
    <w:rsid w:val="76575395"/>
    <w:rsid w:val="769B6E27"/>
    <w:rsid w:val="76B36603"/>
    <w:rsid w:val="776F4652"/>
    <w:rsid w:val="77742C29"/>
    <w:rsid w:val="77A727DC"/>
    <w:rsid w:val="77AD20AE"/>
    <w:rsid w:val="78286988"/>
    <w:rsid w:val="7861167A"/>
    <w:rsid w:val="78E04108"/>
    <w:rsid w:val="796E0C91"/>
    <w:rsid w:val="799F3BBF"/>
    <w:rsid w:val="79BE727D"/>
    <w:rsid w:val="7A3E4002"/>
    <w:rsid w:val="7AAF6562"/>
    <w:rsid w:val="7AB236D8"/>
    <w:rsid w:val="7C320B74"/>
    <w:rsid w:val="7C4D729D"/>
    <w:rsid w:val="7CF410F1"/>
    <w:rsid w:val="7D100213"/>
    <w:rsid w:val="7D734561"/>
    <w:rsid w:val="7DCC7838"/>
    <w:rsid w:val="7EBD184F"/>
    <w:rsid w:val="7EF35CD7"/>
    <w:rsid w:val="7F49148B"/>
    <w:rsid w:val="7F683717"/>
    <w:rsid w:val="7F7108CD"/>
    <w:rsid w:val="7F985AAF"/>
    <w:rsid w:val="7FB57DB2"/>
    <w:rsid w:val="7FCC3712"/>
    <w:rsid w:val="7FD63EF6"/>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2">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next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2"/>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5">
    <w:name w:val="CM7"/>
    <w:basedOn w:val="1"/>
    <w:next w:val="1"/>
    <w:qFormat/>
    <w:uiPriority w:val="99"/>
    <w:pPr>
      <w:autoSpaceDE w:val="0"/>
      <w:autoSpaceDN w:val="0"/>
      <w:adjustRightInd w:val="0"/>
      <w:spacing w:line="408" w:lineRule="atLeast"/>
      <w:jc w:val="left"/>
    </w:pPr>
    <w:rPr>
      <w:rFonts w:ascii="方正小标宋_GBK" w:hAnsi="Calibri" w:eastAsia="方正小标宋_GBK"/>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7380</Words>
  <Characters>7745</Characters>
  <Lines>1</Lines>
  <Paragraphs>1</Paragraphs>
  <TotalTime>0</TotalTime>
  <ScaleCrop>false</ScaleCrop>
  <LinksUpToDate>false</LinksUpToDate>
  <CharactersWithSpaces>8297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Sally</cp:lastModifiedBy>
  <cp:lastPrinted>2023-05-09T13:58:00Z</cp:lastPrinted>
  <dcterms:modified xsi:type="dcterms:W3CDTF">2023-05-18T03:24:18Z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6478F93CDA264699924B75ABB2064FC1</vt:lpwstr>
  </property>
</Properties>
</file>