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cs="Times New Roman" w:eastAsiaTheme="minorEastAsia"/>
          <w:sz w:val="20"/>
          <w:szCs w:val="20"/>
          <w:lang w:eastAsia="zh-CN"/>
        </w:rPr>
      </w:pPr>
      <w:r>
        <w:rPr>
          <w:rFonts w:hint="eastAsia" w:ascii="方正小标宋_GBK" w:hAnsi="方正小标宋_GBK" w:eastAsia="方正小标宋_GBK" w:cs="方正小标宋_GBK"/>
          <w:b w:val="0"/>
          <w:bCs w:val="0"/>
          <w:sz w:val="30"/>
          <w:szCs w:val="30"/>
          <w:u w:val="none"/>
          <w:lang w:val="en-US" w:eastAsia="zh-CN"/>
        </w:rPr>
        <w:t>涪江干流梯级渠化双江航电枢纽工程右岸场地EL274平台</w:t>
      </w:r>
      <w:r>
        <w:rPr>
          <w:rFonts w:hint="eastAsia" w:ascii="方正小标宋_GBK" w:hAnsi="方正小标宋_GBK" w:eastAsia="方正小标宋_GBK" w:cs="方正小标宋_GBK"/>
          <w:b w:val="0"/>
          <w:bCs w:val="0"/>
          <w:sz w:val="30"/>
          <w:szCs w:val="30"/>
          <w:u w:val="none"/>
          <w:lang w:val="en-US" w:eastAsia="zh-Hans"/>
        </w:rPr>
        <w:t>后方</w:t>
      </w:r>
      <w:r>
        <w:rPr>
          <w:rFonts w:hint="eastAsia" w:ascii="方正小标宋_GBK" w:hAnsi="方正小标宋_GBK" w:eastAsia="方正小标宋_GBK" w:cs="方正小标宋_GBK"/>
          <w:b w:val="0"/>
          <w:bCs w:val="0"/>
          <w:sz w:val="30"/>
          <w:szCs w:val="30"/>
          <w:u w:val="none"/>
          <w:lang w:val="en-US" w:eastAsia="zh-CN"/>
        </w:rPr>
        <w:t>边坡</w:t>
      </w:r>
      <w:r>
        <w:rPr>
          <w:rFonts w:hint="eastAsia" w:ascii="方正小标宋_GBK" w:hAnsi="方正小标宋_GBK" w:eastAsia="方正小标宋_GBK" w:cs="方正小标宋_GBK"/>
          <w:b w:val="0"/>
          <w:bCs w:val="0"/>
          <w:sz w:val="30"/>
          <w:szCs w:val="30"/>
          <w:u w:val="none"/>
          <w:lang w:val="en-US" w:eastAsia="zh-Hans"/>
        </w:rPr>
        <w:t>及</w:t>
      </w:r>
      <w:r>
        <w:rPr>
          <w:rFonts w:hint="default" w:ascii="方正小标宋_GBK" w:hAnsi="方正小标宋_GBK" w:eastAsia="方正小标宋_GBK" w:cs="方正小标宋_GBK"/>
          <w:b w:val="0"/>
          <w:bCs w:val="0"/>
          <w:sz w:val="30"/>
          <w:szCs w:val="30"/>
          <w:u w:val="none"/>
          <w:lang w:val="en-US" w:eastAsia="zh-Hans"/>
        </w:rPr>
        <w:t>270、274</w:t>
      </w:r>
      <w:r>
        <w:rPr>
          <w:rFonts w:hint="eastAsia" w:ascii="方正小标宋_GBK" w:hAnsi="方正小标宋_GBK" w:eastAsia="方正小标宋_GBK" w:cs="方正小标宋_GBK"/>
          <w:b w:val="0"/>
          <w:bCs w:val="0"/>
          <w:sz w:val="30"/>
          <w:szCs w:val="30"/>
          <w:u w:val="none"/>
          <w:lang w:val="en-US" w:eastAsia="zh-Hans"/>
        </w:rPr>
        <w:t>平台填方区</w:t>
      </w:r>
      <w:r>
        <w:rPr>
          <w:rFonts w:hint="eastAsia" w:ascii="方正小标宋_GBK" w:hAnsi="方正小标宋_GBK" w:eastAsia="方正小标宋_GBK" w:cs="方正小标宋_GBK"/>
          <w:b w:val="0"/>
          <w:bCs w:val="0"/>
          <w:sz w:val="30"/>
          <w:szCs w:val="30"/>
          <w:u w:val="none"/>
          <w:lang w:val="en-US" w:eastAsia="zh-CN"/>
        </w:rPr>
        <w:t xml:space="preserve">稳定性安全评估报告编制 </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val="zh-CN" w:eastAsia="zh-CN"/>
        </w:rPr>
        <w:t>询价文件</w:t>
      </w: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pStyle w:val="2"/>
        <w:rPr>
          <w:rFonts w:ascii="Times New Roman" w:hAnsi="Times New Roman" w:cs="Times New Roman" w:eastAsiaTheme="minorEastAsia"/>
          <w:sz w:val="32"/>
          <w:szCs w:val="32"/>
          <w:lang w:eastAsia="zh-CN"/>
        </w:rPr>
      </w:pPr>
    </w:p>
    <w:p>
      <w:pPr>
        <w:pStyle w:val="2"/>
        <w:rPr>
          <w:rFonts w:ascii="Times New Roman" w:hAnsi="Times New Roman" w:cs="Times New Roman" w:eastAsiaTheme="minorEastAsia"/>
          <w:sz w:val="32"/>
          <w:szCs w:val="32"/>
          <w:lang w:eastAsia="zh-CN"/>
        </w:rPr>
      </w:pPr>
    </w:p>
    <w:p>
      <w:pPr>
        <w:pStyle w:val="2"/>
        <w:rPr>
          <w:rFonts w:ascii="Times New Roman" w:hAnsi="Times New Roman" w:cs="Times New Roman" w:eastAsiaTheme="minorEastAsia"/>
          <w:sz w:val="32"/>
          <w:szCs w:val="32"/>
          <w:lang w:eastAsia="zh-CN"/>
        </w:rPr>
      </w:pPr>
    </w:p>
    <w:p>
      <w:pPr>
        <w:pStyle w:val="2"/>
        <w:rPr>
          <w:rFonts w:ascii="Times New Roman" w:hAnsi="Times New Roman" w:cs="Times New Roman" w:eastAsiaTheme="minorEastAsia"/>
          <w:sz w:val="32"/>
          <w:szCs w:val="32"/>
          <w:lang w:eastAsia="zh-CN"/>
        </w:rPr>
      </w:pPr>
    </w:p>
    <w:p>
      <w:pPr>
        <w:autoSpaceDE w:val="0"/>
        <w:autoSpaceDN w:val="0"/>
        <w:adjustRightInd w:val="0"/>
        <w:spacing w:line="360" w:lineRule="auto"/>
        <w:rPr>
          <w:rFonts w:ascii="Times New Roman" w:hAnsi="Times New Roman" w:cs="Times New Roman" w:eastAsiaTheme="minorEastAsia"/>
          <w:sz w:val="32"/>
          <w:szCs w:val="32"/>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0"/>
                <w:szCs w:val="30"/>
                <w:lang w:eastAsia="zh-CN"/>
              </w:rPr>
            </w:pPr>
            <w:r>
              <w:rPr>
                <w:rFonts w:ascii="Times New Roman" w:hAnsi="Times New Roman" w:eastAsia="方正小标宋_GBK" w:cs="Times New Roman"/>
                <w:bCs/>
                <w:sz w:val="30"/>
                <w:szCs w:val="30"/>
                <w:lang w:val="zh-CN" w:eastAsia="zh-CN"/>
              </w:rPr>
              <w:t>询价人：</w:t>
            </w:r>
          </w:p>
        </w:tc>
        <w:tc>
          <w:tcPr>
            <w:tcW w:w="6545" w:type="dxa"/>
            <w:tcBorders>
              <w:tl2br w:val="nil"/>
              <w:tr2bl w:val="nil"/>
            </w:tcBorders>
            <w:vAlign w:val="center"/>
          </w:tcPr>
          <w:p>
            <w:pPr>
              <w:autoSpaceDE w:val="0"/>
              <w:autoSpaceDN w:val="0"/>
              <w:adjustRightInd w:val="0"/>
              <w:spacing w:line="360" w:lineRule="auto"/>
              <w:ind w:firstLine="300" w:firstLineChars="100"/>
              <w:jc w:val="both"/>
              <w:rPr>
                <w:rFonts w:hint="default" w:ascii="Times New Roman" w:hAnsi="Times New Roman" w:eastAsia="方正小标宋_GBK" w:cs="Times New Roman"/>
                <w:bCs/>
                <w:sz w:val="30"/>
                <w:szCs w:val="30"/>
                <w:lang w:val="en-US" w:eastAsia="zh-CN"/>
              </w:rPr>
            </w:pPr>
            <w:r>
              <w:rPr>
                <w:rFonts w:hint="eastAsia" w:ascii="Times New Roman" w:hAnsi="Times New Roman" w:eastAsia="方正小标宋_GBK" w:cs="Times New Roman"/>
                <w:bCs/>
                <w:sz w:val="30"/>
                <w:szCs w:val="30"/>
                <w:lang w:val="en-US" w:eastAsia="zh-CN"/>
              </w:rPr>
              <w:t>重庆双江航运发展有限公司</w:t>
            </w:r>
          </w:p>
        </w:tc>
      </w:tr>
    </w:tbl>
    <w:p>
      <w:pPr>
        <w:autoSpaceDE w:val="0"/>
        <w:autoSpaceDN w:val="0"/>
        <w:adjustRightInd w:val="0"/>
        <w:spacing w:line="360" w:lineRule="auto"/>
        <w:ind w:firstLine="1200" w:firstLineChars="400"/>
        <w:rPr>
          <w:rFonts w:ascii="Times New Roman" w:hAnsi="Times New Roman" w:eastAsia="方正小标宋_GBK" w:cs="Times New Roman"/>
          <w:bCs/>
          <w:sz w:val="30"/>
          <w:szCs w:val="30"/>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0"/>
          <w:szCs w:val="30"/>
          <w:lang w:val="en-US" w:eastAsia="zh-CN"/>
        </w:rPr>
        <w:t>2023</w:t>
      </w:r>
      <w:r>
        <w:rPr>
          <w:rFonts w:ascii="Times New Roman" w:hAnsi="Times New Roman" w:eastAsia="方正小标宋_GBK" w:cs="Times New Roman"/>
          <w:bCs/>
          <w:sz w:val="30"/>
          <w:szCs w:val="30"/>
          <w:lang w:val="zh-CN" w:eastAsia="zh-CN"/>
        </w:rPr>
        <w:t>年</w:t>
      </w:r>
      <w:r>
        <w:rPr>
          <w:rFonts w:hint="eastAsia" w:ascii="Times New Roman" w:hAnsi="Times New Roman" w:eastAsia="方正小标宋_GBK" w:cs="Times New Roman"/>
          <w:bCs/>
          <w:sz w:val="30"/>
          <w:szCs w:val="30"/>
          <w:lang w:val="en-US" w:eastAsia="zh-CN"/>
        </w:rPr>
        <w:t>5</w:t>
      </w:r>
      <w:r>
        <w:rPr>
          <w:rFonts w:ascii="Times New Roman" w:hAnsi="Times New Roman" w:eastAsia="方正小标宋_GBK" w:cs="Times New Roman"/>
          <w:bCs/>
          <w:sz w:val="30"/>
          <w:szCs w:val="30"/>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spacing w:line="510" w:lineRule="exact"/>
        <w:jc w:val="center"/>
        <w:rPr>
          <w:rFonts w:hint="default" w:ascii="方正小标宋_GBK" w:hAnsi="方正小标宋_GBK" w:eastAsia="方正小标宋_GBK" w:cs="方正小标宋_GBK"/>
          <w:b w:val="0"/>
          <w:bCs w:val="0"/>
          <w:sz w:val="30"/>
          <w:szCs w:val="30"/>
          <w:u w:val="none"/>
          <w:lang w:val="en-US" w:eastAsia="zh-CN"/>
        </w:rPr>
      </w:pPr>
      <w:r>
        <w:rPr>
          <w:rFonts w:hint="default" w:ascii="方正小标宋_GBK" w:hAnsi="方正小标宋_GBK" w:eastAsia="方正小标宋_GBK" w:cs="方正小标宋_GBK"/>
          <w:b w:val="0"/>
          <w:bCs w:val="0"/>
          <w:sz w:val="30"/>
          <w:szCs w:val="30"/>
          <w:u w:val="none"/>
          <w:lang w:val="zh-CN" w:eastAsia="zh-CN"/>
        </w:rPr>
        <w:t>第一章 询价公告</w:t>
      </w:r>
    </w:p>
    <w:p>
      <w:pPr>
        <w:spacing w:line="510" w:lineRule="exact"/>
        <w:jc w:val="center"/>
        <w:rPr>
          <w:rFonts w:hint="eastAsia" w:ascii="方正小标宋_GBK" w:hAnsi="方正小标宋_GBK" w:eastAsia="方正小标宋_GBK" w:cs="方正小标宋_GBK"/>
          <w:b w:val="0"/>
          <w:bCs w:val="0"/>
          <w:sz w:val="30"/>
          <w:szCs w:val="30"/>
          <w:u w:val="none"/>
          <w:lang w:val="en-US" w:eastAsia="zh-CN"/>
        </w:rPr>
      </w:pPr>
      <w:r>
        <w:rPr>
          <w:rFonts w:hint="eastAsia" w:ascii="方正小标宋_GBK" w:hAnsi="方正小标宋_GBK" w:eastAsia="方正小标宋_GBK" w:cs="方正小标宋_GBK"/>
          <w:b w:val="0"/>
          <w:bCs w:val="0"/>
          <w:sz w:val="30"/>
          <w:szCs w:val="30"/>
          <w:u w:val="none"/>
          <w:lang w:val="en-US" w:eastAsia="zh-CN"/>
        </w:rPr>
        <w:t>涪江干流梯级渠化双江航电枢纽工程右岸场地EL274平台</w:t>
      </w:r>
      <w:r>
        <w:rPr>
          <w:rFonts w:hint="eastAsia" w:ascii="方正小标宋_GBK" w:hAnsi="方正小标宋_GBK" w:eastAsia="方正小标宋_GBK" w:cs="方正小标宋_GBK"/>
          <w:b w:val="0"/>
          <w:bCs w:val="0"/>
          <w:sz w:val="30"/>
          <w:szCs w:val="30"/>
          <w:u w:val="none"/>
          <w:lang w:val="en-US" w:eastAsia="zh-Hans"/>
        </w:rPr>
        <w:t>后方</w:t>
      </w:r>
      <w:r>
        <w:rPr>
          <w:rFonts w:hint="eastAsia" w:ascii="方正小标宋_GBK" w:hAnsi="方正小标宋_GBK" w:eastAsia="方正小标宋_GBK" w:cs="方正小标宋_GBK"/>
          <w:b w:val="0"/>
          <w:bCs w:val="0"/>
          <w:sz w:val="30"/>
          <w:szCs w:val="30"/>
          <w:u w:val="none"/>
          <w:lang w:val="en-US" w:eastAsia="zh-CN"/>
        </w:rPr>
        <w:t>边坡</w:t>
      </w:r>
      <w:r>
        <w:rPr>
          <w:rFonts w:hint="eastAsia" w:ascii="方正小标宋_GBK" w:hAnsi="方正小标宋_GBK" w:eastAsia="方正小标宋_GBK" w:cs="方正小标宋_GBK"/>
          <w:b w:val="0"/>
          <w:bCs w:val="0"/>
          <w:sz w:val="30"/>
          <w:szCs w:val="30"/>
          <w:u w:val="none"/>
          <w:lang w:val="en-US" w:eastAsia="zh-Hans"/>
        </w:rPr>
        <w:t>及</w:t>
      </w:r>
      <w:r>
        <w:rPr>
          <w:rFonts w:hint="default" w:ascii="方正小标宋_GBK" w:hAnsi="方正小标宋_GBK" w:eastAsia="方正小标宋_GBK" w:cs="方正小标宋_GBK"/>
          <w:b w:val="0"/>
          <w:bCs w:val="0"/>
          <w:sz w:val="30"/>
          <w:szCs w:val="30"/>
          <w:u w:val="none"/>
          <w:lang w:val="en-US" w:eastAsia="zh-Hans"/>
        </w:rPr>
        <w:t>270、274</w:t>
      </w:r>
      <w:r>
        <w:rPr>
          <w:rFonts w:hint="eastAsia" w:ascii="方正小标宋_GBK" w:hAnsi="方正小标宋_GBK" w:eastAsia="方正小标宋_GBK" w:cs="方正小标宋_GBK"/>
          <w:b w:val="0"/>
          <w:bCs w:val="0"/>
          <w:sz w:val="30"/>
          <w:szCs w:val="30"/>
          <w:u w:val="none"/>
          <w:lang w:val="en-US" w:eastAsia="zh-Hans"/>
        </w:rPr>
        <w:t>平台填方区</w:t>
      </w:r>
      <w:r>
        <w:rPr>
          <w:rFonts w:hint="eastAsia" w:ascii="方正小标宋_GBK" w:hAnsi="方正小标宋_GBK" w:eastAsia="方正小标宋_GBK" w:cs="方正小标宋_GBK"/>
          <w:b w:val="0"/>
          <w:bCs w:val="0"/>
          <w:sz w:val="30"/>
          <w:szCs w:val="30"/>
          <w:u w:val="none"/>
          <w:lang w:val="en-US" w:eastAsia="zh-CN"/>
        </w:rPr>
        <w:t xml:space="preserve">稳定性安全评估报告编制          </w:t>
      </w:r>
      <w:r>
        <w:rPr>
          <w:rFonts w:hint="default" w:ascii="方正小标宋_GBK" w:hAnsi="方正小标宋_GBK" w:eastAsia="方正小标宋_GBK" w:cs="方正小标宋_GBK"/>
          <w:b w:val="0"/>
          <w:bCs w:val="0"/>
          <w:sz w:val="30"/>
          <w:szCs w:val="30"/>
          <w:u w:val="none"/>
          <w:lang w:val="en-US" w:eastAsia="zh-CN"/>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5"/>
        <w:spacing w:line="510" w:lineRule="exact"/>
        <w:rPr>
          <w:rFonts w:ascii="Times New Roman" w:hAnsi="Times New Roman" w:eastAsia="黑体" w:cs="Times New Roman"/>
          <w:b w:val="0"/>
          <w:lang w:eastAsia="zh-CN"/>
        </w:rPr>
      </w:pPr>
      <w:bookmarkStart w:id="2" w:name="_Toc29194681"/>
      <w:bookmarkEnd w:id="2"/>
      <w:bookmarkStart w:id="3" w:name="_Toc375641571"/>
      <w:bookmarkEnd w:id="3"/>
      <w:bookmarkStart w:id="4" w:name="_Toc52097500"/>
      <w:bookmarkEnd w:id="4"/>
      <w:bookmarkStart w:id="5" w:name="_Toc6230450"/>
      <w:bookmarkEnd w:id="5"/>
      <w:bookmarkStart w:id="6" w:name="_Toc370126361"/>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涪江干流梯级渠化双江航电枢纽工程右岸场地EL274平台</w:t>
      </w:r>
      <w:r>
        <w:rPr>
          <w:rFonts w:hint="eastAsia" w:ascii="Times New Roman" w:hAnsi="Times New Roman" w:eastAsia="方正仿宋_GBK" w:cs="Times New Roman"/>
          <w:bCs/>
          <w:sz w:val="32"/>
          <w:szCs w:val="32"/>
          <w:lang w:val="en-US" w:eastAsia="zh-Hans"/>
        </w:rPr>
        <w:t>后方</w:t>
      </w:r>
      <w:r>
        <w:rPr>
          <w:rFonts w:hint="eastAsia" w:ascii="Times New Roman" w:hAnsi="Times New Roman" w:eastAsia="方正仿宋_GBK" w:cs="Times New Roman"/>
          <w:bCs/>
          <w:sz w:val="32"/>
          <w:szCs w:val="32"/>
          <w:lang w:val="en-US" w:eastAsia="zh-CN"/>
        </w:rPr>
        <w:t>边坡</w:t>
      </w:r>
      <w:r>
        <w:rPr>
          <w:rFonts w:hint="eastAsia" w:ascii="Times New Roman" w:hAnsi="Times New Roman" w:eastAsia="方正仿宋_GBK" w:cs="Times New Roman"/>
          <w:bCs/>
          <w:sz w:val="32"/>
          <w:szCs w:val="32"/>
          <w:lang w:val="en-US" w:eastAsia="zh-Hans"/>
        </w:rPr>
        <w:t>及</w:t>
      </w:r>
      <w:r>
        <w:rPr>
          <w:rFonts w:hint="default" w:ascii="Times New Roman" w:hAnsi="Times New Roman" w:eastAsia="方正仿宋_GBK" w:cs="Times New Roman"/>
          <w:bCs/>
          <w:sz w:val="32"/>
          <w:szCs w:val="32"/>
          <w:lang w:val="en-US" w:eastAsia="zh-Hans"/>
        </w:rPr>
        <w:t>270、274</w:t>
      </w:r>
      <w:r>
        <w:rPr>
          <w:rFonts w:hint="eastAsia" w:ascii="Times New Roman" w:hAnsi="Times New Roman" w:eastAsia="方正仿宋_GBK" w:cs="Times New Roman"/>
          <w:bCs/>
          <w:sz w:val="32"/>
          <w:szCs w:val="32"/>
          <w:lang w:val="en-US" w:eastAsia="zh-Hans"/>
        </w:rPr>
        <w:t>平台填方区</w:t>
      </w:r>
      <w:r>
        <w:rPr>
          <w:rFonts w:hint="eastAsia" w:ascii="Times New Roman" w:hAnsi="Times New Roman" w:eastAsia="方正仿宋_GBK" w:cs="Times New Roman"/>
          <w:bCs/>
          <w:sz w:val="32"/>
          <w:szCs w:val="32"/>
          <w:lang w:val="en-US" w:eastAsia="zh-CN"/>
        </w:rPr>
        <w:t>稳定性安全评估项目已具备询价条件，询价人为重庆双江航运发展有限公司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5"/>
        <w:spacing w:line="510" w:lineRule="exact"/>
        <w:rPr>
          <w:rFonts w:ascii="Times New Roman" w:hAnsi="Times New Roman" w:eastAsia="方正仿宋_GBK" w:cs="Times New Roman"/>
          <w:lang w:eastAsia="zh-CN"/>
        </w:rPr>
      </w:pPr>
      <w:bookmarkStart w:id="7" w:name="_Toc52097501"/>
      <w:bookmarkEnd w:id="7"/>
      <w:bookmarkStart w:id="8" w:name="_Toc6230451"/>
      <w:bookmarkEnd w:id="8"/>
      <w:bookmarkStart w:id="9" w:name="_Toc29194682"/>
      <w:bookmarkEnd w:id="9"/>
      <w:bookmarkStart w:id="10" w:name="_Toc323734100"/>
      <w:bookmarkStart w:id="11" w:name="_Toc324429695"/>
      <w:bookmarkStart w:id="12" w:name="_Toc21092"/>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双江航电枢纽工程位于潼南区双江镇原三块石溢流坝下游约500m处，上接四川省遂宁市三星航电枢纽，下连潼南航电枢纽。航道等级为内河IV级，船闸有效尺度150x23x4.2米(长度x宽度x门槛水深)。枢纽建成后可渠化航道约28公里，其中重庆境内15公里，可通行1000吨级船舶，单向年通过能力近期481万吨、远期611万吨。枢纽正常蓄水位249.00m,水库总库容1.61亿m3，日调节库容871万m3。装机总容量4.8万kW,年发电量1.885亿kW .h。工程概算投资为25.84亿元。主要建设内容为枢纽工程、大坝下游航道整治、生产生活区建筑及配套工程。2022年10月开工，2024年4月底首台机组具备发电条件，2024年底2#、3#机组全部发电。</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15.4万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numPr>
          <w:ilvl w:val="0"/>
          <w:numId w:val="1"/>
        </w:numPr>
        <w:spacing w:line="560" w:lineRule="exact"/>
        <w:ind w:left="-200" w:leftChars="0" w:firstLine="64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收集设计图纸、地质资料及其他与项目相关资料，全面分析项目建设</w:t>
      </w:r>
      <w:r>
        <w:rPr>
          <w:rFonts w:hint="eastAsia" w:ascii="Times New Roman" w:hAnsi="Times New Roman" w:eastAsia="仿宋_GB2312" w:cs="Times New Roman"/>
          <w:sz w:val="32"/>
          <w:szCs w:val="32"/>
          <w:lang w:val="en-US" w:eastAsia="zh-CN"/>
        </w:rPr>
        <w:t>环境</w:t>
      </w:r>
      <w:r>
        <w:rPr>
          <w:rFonts w:hint="eastAsia" w:ascii="Times New Roman" w:hAnsi="Times New Roman" w:eastAsia="仿宋_GB2312" w:cs="Times New Roman"/>
          <w:sz w:val="32"/>
          <w:szCs w:val="32"/>
        </w:rPr>
        <w:t>存在的各种安全风险及其危害程度，有针对性的提出</w:t>
      </w:r>
      <w:r>
        <w:rPr>
          <w:rFonts w:hint="eastAsia" w:ascii="Times New Roman" w:hAnsi="Times New Roman" w:eastAsia="仿宋_GB2312" w:cs="Times New Roman"/>
          <w:sz w:val="32"/>
          <w:szCs w:val="32"/>
          <w:lang w:val="en-US" w:eastAsia="zh-CN"/>
        </w:rPr>
        <w:t>工程</w:t>
      </w:r>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lang w:val="en-US" w:eastAsia="zh-CN"/>
        </w:rPr>
        <w:t>隐患防范对策</w:t>
      </w:r>
      <w:r>
        <w:rPr>
          <w:rFonts w:hint="eastAsia" w:ascii="Times New Roman" w:hAnsi="Times New Roman" w:eastAsia="仿宋_GB2312" w:cs="Times New Roman"/>
          <w:sz w:val="32"/>
          <w:szCs w:val="32"/>
        </w:rPr>
        <w:t>措施</w:t>
      </w:r>
      <w:r>
        <w:rPr>
          <w:rFonts w:ascii="Times New Roman" w:hAnsi="Times New Roman" w:eastAsia="仿宋_GB2312" w:cs="Times New Roman"/>
          <w:sz w:val="32"/>
          <w:szCs w:val="32"/>
        </w:rPr>
        <w:t>。</w:t>
      </w:r>
    </w:p>
    <w:p>
      <w:pPr>
        <w:numPr>
          <w:ilvl w:val="0"/>
          <w:numId w:val="1"/>
        </w:numPr>
        <w:spacing w:line="560" w:lineRule="exact"/>
        <w:ind w:left="-200" w:leftChars="0" w:firstLine="640" w:firstLine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编制涪江干流梯级渠化双江航电枢纽工程右岸EL274平台后方边坡和EL274、EL270两平台高填方区域安全评估报</w:t>
      </w:r>
      <w:r>
        <w:rPr>
          <w:rFonts w:hint="eastAsia" w:ascii="Times New Roman" w:hAnsi="Times New Roman" w:eastAsia="仿宋_GB2312" w:cs="Times New Roman"/>
          <w:sz w:val="32"/>
          <w:szCs w:val="32"/>
          <w:lang w:val="en-US" w:eastAsia="zh-CN"/>
        </w:rPr>
        <w:t>告。</w:t>
      </w:r>
    </w:p>
    <w:p>
      <w:pPr>
        <w:numPr>
          <w:ilvl w:val="0"/>
          <w:numId w:val="1"/>
        </w:numPr>
        <w:spacing w:line="560" w:lineRule="exact"/>
        <w:ind w:left="-200" w:leftChars="0" w:firstLine="64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安全总体风险评估专家评审会</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lang w:val="en-US" w:eastAsia="zh-CN"/>
        </w:rPr>
        <w:t>报告通过</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工作。</w:t>
      </w:r>
    </w:p>
    <w:p>
      <w:pPr>
        <w:numPr>
          <w:ilvl w:val="0"/>
          <w:numId w:val="1"/>
        </w:numPr>
        <w:spacing w:line="560" w:lineRule="exact"/>
        <w:ind w:left="-200" w:leftChars="0" w:firstLine="64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其他为完成</w:t>
      </w:r>
      <w:r>
        <w:rPr>
          <w:rFonts w:hint="eastAsia" w:ascii="Times New Roman" w:hAnsi="Times New Roman" w:eastAsia="仿宋_GB2312" w:cs="Times New Roman"/>
          <w:sz w:val="32"/>
          <w:szCs w:val="32"/>
        </w:rPr>
        <w:t>安全总体风险评估</w:t>
      </w:r>
      <w:r>
        <w:rPr>
          <w:rFonts w:ascii="Times New Roman" w:hAnsi="Times New Roman" w:eastAsia="仿宋_GB2312" w:cs="Times New Roman"/>
          <w:sz w:val="32"/>
          <w:szCs w:val="32"/>
        </w:rPr>
        <w:t>开展的相关服务工作。</w:t>
      </w:r>
    </w:p>
    <w:p>
      <w:pPr>
        <w:pStyle w:val="5"/>
        <w:spacing w:before="312" w:beforeLines="100"/>
        <w:ind w:firstLine="640"/>
        <w:rPr>
          <w:rFonts w:hint="eastAsia" w:ascii="Times New Roman" w:hAnsi="Times New Roman" w:eastAsia="仿宋_GB2312" w:cs="Times New Roman"/>
          <w:b w:val="0"/>
          <w:bCs w:val="0"/>
          <w:sz w:val="32"/>
          <w:szCs w:val="32"/>
          <w:lang w:val="en-US" w:eastAsia="en-US" w:bidi="ar-SA"/>
        </w:rPr>
      </w:pPr>
      <w:r>
        <w:rPr>
          <w:rFonts w:hint="eastAsia" w:ascii="Times New Roman" w:hAnsi="Times New Roman" w:eastAsia="仿宋_GB2312" w:cs="Times New Roman"/>
          <w:b w:val="0"/>
          <w:bCs w:val="0"/>
          <w:sz w:val="32"/>
          <w:szCs w:val="32"/>
          <w:lang w:val="en-US" w:eastAsia="zh-CN" w:bidi="ar-SA"/>
        </w:rPr>
        <w:t>2.4</w:t>
      </w:r>
      <w:r>
        <w:rPr>
          <w:rFonts w:hint="eastAsia" w:ascii="Times New Roman" w:hAnsi="Times New Roman" w:eastAsia="仿宋_GB2312" w:cs="Times New Roman"/>
          <w:b w:val="0"/>
          <w:bCs w:val="0"/>
          <w:sz w:val="32"/>
          <w:szCs w:val="32"/>
          <w:lang w:val="en-US" w:eastAsia="en-US" w:bidi="ar-SA"/>
        </w:rPr>
        <w:t>.服务工作要求</w:t>
      </w:r>
    </w:p>
    <w:p>
      <w:pPr>
        <w:spacing w:line="360" w:lineRule="auto"/>
        <w:ind w:firstLine="800" w:firstLineChars="250"/>
        <w:jc w:val="left"/>
        <w:rPr>
          <w:rFonts w:hint="eastAsia" w:ascii="Times New Roman" w:hAnsi="Times New Roman" w:eastAsia="仿宋_GB2312" w:cs="Times New Roman"/>
          <w:b w:val="0"/>
          <w:bCs w:val="0"/>
          <w:sz w:val="32"/>
          <w:szCs w:val="32"/>
          <w:lang w:val="en-US" w:eastAsia="en-US" w:bidi="ar-SA"/>
        </w:rPr>
      </w:pPr>
      <w:r>
        <w:rPr>
          <w:rFonts w:hint="eastAsia" w:ascii="Times New Roman" w:hAnsi="Times New Roman" w:eastAsia="仿宋_GB2312" w:cs="Times New Roman"/>
          <w:b w:val="0"/>
          <w:bCs w:val="0"/>
          <w:sz w:val="32"/>
          <w:szCs w:val="32"/>
          <w:lang w:val="en-US" w:eastAsia="en-US" w:bidi="ar-SA"/>
        </w:rPr>
        <w:t>1、出具的安全风险评估报告中采用的安全风险评估与安全隐患普查方法和实施方案，报告格式、内容等须符合《交通运输部关于印发&lt;公路水路行业安全生产风险管理暂行办法&gt;&lt;公路水路行业安全生产隐患治理暂行办法&gt;的通知》（交安监发〔2017〕60号）、《公路水运工程施工安全风险评估指南 第1部分：总体要求》（JTT13751-2022）及第6部分、第7部分等国家法规、标准要求。</w:t>
      </w:r>
    </w:p>
    <w:p>
      <w:pPr>
        <w:spacing w:line="360" w:lineRule="auto"/>
        <w:ind w:firstLine="800" w:firstLineChars="250"/>
        <w:jc w:val="left"/>
        <w:rPr>
          <w:rFonts w:hint="eastAsia" w:ascii="Times New Roman" w:hAnsi="Times New Roman" w:eastAsia="仿宋_GB2312" w:cs="Times New Roman"/>
          <w:b w:val="0"/>
          <w:bCs w:val="0"/>
          <w:sz w:val="32"/>
          <w:szCs w:val="32"/>
          <w:lang w:val="en-US" w:eastAsia="en-US" w:bidi="ar-SA"/>
        </w:rPr>
      </w:pPr>
      <w:r>
        <w:rPr>
          <w:rFonts w:hint="eastAsia" w:ascii="Times New Roman" w:hAnsi="Times New Roman" w:eastAsia="仿宋_GB2312" w:cs="Times New Roman"/>
          <w:b w:val="0"/>
          <w:bCs w:val="0"/>
          <w:sz w:val="32"/>
          <w:szCs w:val="32"/>
          <w:lang w:val="en-US" w:eastAsia="en-US" w:bidi="ar-SA"/>
        </w:rPr>
        <w:t>2、报告须经专家评审通过。</w:t>
      </w:r>
    </w:p>
    <w:p>
      <w:pPr>
        <w:spacing w:line="360" w:lineRule="auto"/>
        <w:ind w:firstLine="800" w:firstLineChars="250"/>
        <w:jc w:val="left"/>
        <w:rPr>
          <w:rFonts w:hint="eastAsia" w:ascii="Times New Roman" w:hAnsi="Times New Roman" w:eastAsia="仿宋_GB2312" w:cs="Times New Roman"/>
          <w:b w:val="0"/>
          <w:bCs w:val="0"/>
          <w:sz w:val="32"/>
          <w:szCs w:val="32"/>
          <w:lang w:val="en-US" w:eastAsia="en-US" w:bidi="ar-SA"/>
        </w:rPr>
      </w:pPr>
      <w:r>
        <w:rPr>
          <w:rFonts w:hint="eastAsia" w:ascii="Times New Roman" w:hAnsi="Times New Roman" w:eastAsia="仿宋_GB2312" w:cs="Times New Roman"/>
          <w:b w:val="0"/>
          <w:bCs w:val="0"/>
          <w:sz w:val="32"/>
          <w:szCs w:val="32"/>
          <w:lang w:val="en-US" w:eastAsia="zh-CN" w:bidi="ar-SA"/>
        </w:rPr>
        <w:t>3</w:t>
      </w:r>
      <w:r>
        <w:rPr>
          <w:rFonts w:hint="eastAsia" w:ascii="Times New Roman" w:hAnsi="Times New Roman" w:eastAsia="仿宋_GB2312" w:cs="Times New Roman"/>
          <w:b w:val="0"/>
          <w:bCs w:val="0"/>
          <w:sz w:val="32"/>
          <w:szCs w:val="32"/>
          <w:lang w:val="en-US" w:eastAsia="en-US" w:bidi="ar-SA"/>
        </w:rPr>
        <w:t>、验收提供的所有报告，均需胶装（份数6份），并提供电子文件（光盘刻录，1份）。</w:t>
      </w:r>
    </w:p>
    <w:p>
      <w:pPr>
        <w:spacing w:line="510" w:lineRule="exact"/>
        <w:ind w:firstLine="636" w:firstLineChars="199"/>
        <w:rPr>
          <w:rFonts w:hint="eastAsia" w:ascii="Times New Roman" w:hAnsi="Times New Roman" w:eastAsia="仿宋_GB2312" w:cs="Times New Roman"/>
          <w:b w:val="0"/>
          <w:bCs w:val="0"/>
          <w:sz w:val="32"/>
          <w:szCs w:val="32"/>
          <w:lang w:val="en-US" w:eastAsia="en-US" w:bidi="ar-SA"/>
        </w:rPr>
      </w:pPr>
      <w:r>
        <w:rPr>
          <w:rFonts w:hint="eastAsia" w:ascii="Times New Roman" w:hAnsi="Times New Roman" w:eastAsia="仿宋_GB2312" w:cs="Times New Roman"/>
          <w:b w:val="0"/>
          <w:bCs w:val="0"/>
          <w:sz w:val="32"/>
          <w:szCs w:val="32"/>
          <w:lang w:val="en-US" w:eastAsia="zh-CN" w:bidi="ar-SA"/>
        </w:rPr>
        <w:t>2.5工期（交货期、服务期）：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乙方在签订合同后25日内提交报告送审稿，提交送审稿10日内完成审查工作</w:t>
      </w:r>
      <w:r>
        <w:rPr>
          <w:rFonts w:hint="eastAsia" w:ascii="Times New Roman" w:hAnsi="Times New Roman" w:eastAsia="仿宋_GB2312" w:cs="Times New Roman"/>
          <w:b w:val="0"/>
          <w:bCs w:val="0"/>
          <w:sz w:val="32"/>
          <w:szCs w:val="32"/>
          <w:lang w:val="en-US" w:eastAsia="en-US" w:bidi="ar-SA"/>
        </w:rPr>
        <w:t>。</w:t>
      </w:r>
    </w:p>
    <w:bookmarkEnd w:id="10"/>
    <w:bookmarkEnd w:id="11"/>
    <w:bookmarkEnd w:id="12"/>
    <w:p>
      <w:pPr>
        <w:pStyle w:val="5"/>
        <w:spacing w:line="510" w:lineRule="exact"/>
        <w:rPr>
          <w:rFonts w:ascii="Times New Roman" w:hAnsi="Times New Roman" w:eastAsia="黑体" w:cs="Times New Roman"/>
          <w:b w:val="0"/>
          <w:lang w:eastAsia="zh-CN"/>
        </w:rPr>
      </w:pPr>
      <w:bookmarkStart w:id="13" w:name="_Toc29194683"/>
      <w:bookmarkEnd w:id="13"/>
      <w:bookmarkStart w:id="14" w:name="_Toc52097502"/>
      <w:bookmarkEnd w:id="14"/>
      <w:bookmarkStart w:id="15" w:name="_Toc623045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numPr>
          <w:ilvl w:val="0"/>
          <w:numId w:val="2"/>
        </w:numPr>
        <w:spacing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独立法人资格的企业</w:t>
      </w:r>
      <w:r>
        <w:rPr>
          <w:rFonts w:hint="eastAsia" w:ascii="Times New Roman" w:hAnsi="Times New Roman" w:eastAsia="仿宋_GB2312" w:cs="Times New Roman"/>
          <w:color w:val="auto"/>
          <w:sz w:val="32"/>
          <w:szCs w:val="32"/>
        </w:rPr>
        <w:t>，具备</w:t>
      </w:r>
      <w:r>
        <w:rPr>
          <w:rFonts w:ascii="Times New Roman" w:hAnsi="Times New Roman" w:eastAsia="仿宋_GB2312" w:cs="Times New Roman"/>
          <w:color w:val="auto"/>
          <w:sz w:val="32"/>
          <w:szCs w:val="32"/>
        </w:rPr>
        <w:t>独立承担民事责任能力</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具有工程安全评</w:t>
      </w:r>
      <w:r>
        <w:rPr>
          <w:rFonts w:hint="eastAsia" w:ascii="Times New Roman" w:hAnsi="Times New Roman" w:eastAsia="仿宋_GB2312" w:cs="Times New Roman"/>
          <w:color w:val="auto"/>
          <w:sz w:val="32"/>
          <w:szCs w:val="32"/>
          <w:lang w:val="en-US" w:eastAsia="zh-CN"/>
        </w:rPr>
        <w:t>估或</w:t>
      </w:r>
      <w:r>
        <w:rPr>
          <w:rFonts w:hint="eastAsia" w:ascii="Times New Roman" w:hAnsi="Times New Roman" w:eastAsia="仿宋_GB2312" w:cs="Times New Roman"/>
          <w:color w:val="auto"/>
          <w:sz w:val="32"/>
          <w:szCs w:val="32"/>
          <w:lang w:val="en-US" w:eastAsia="zh-CN"/>
        </w:rPr>
        <w:t>地质灾害危险性评估资质乙级及以上</w:t>
      </w:r>
      <w:r>
        <w:rPr>
          <w:rFonts w:hint="eastAsia" w:ascii="Times New Roman" w:hAnsi="Times New Roman" w:eastAsia="仿宋_GB2312" w:cs="Times New Roman"/>
          <w:color w:val="auto"/>
          <w:sz w:val="32"/>
          <w:szCs w:val="32"/>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2、近</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年内</w:t>
      </w:r>
      <w:r>
        <w:rPr>
          <w:rFonts w:hint="eastAsia" w:ascii="Times New Roman" w:hAnsi="Times New Roman" w:eastAsia="仿宋_GB2312" w:cs="Times New Roman"/>
          <w:color w:val="auto"/>
          <w:sz w:val="32"/>
          <w:szCs w:val="32"/>
          <w:lang w:val="en-US" w:eastAsia="zh-CN"/>
        </w:rPr>
        <w:t>至少1个含边坡安全稳定和建筑基础安全评价的业绩</w:t>
      </w:r>
      <w:r>
        <w:rPr>
          <w:rFonts w:hint="eastAsia" w:ascii="Times New Roman" w:hAnsi="Times New Roman" w:eastAsia="仿宋_GB2312" w:cs="Times New Roman"/>
          <w:color w:val="auto"/>
          <w:sz w:val="32"/>
          <w:szCs w:val="32"/>
          <w:lang w:eastAsia="zh-CN"/>
        </w:rPr>
        <w:t>，</w:t>
      </w:r>
      <w:r>
        <w:rPr>
          <w:rFonts w:ascii="Times New Roman" w:hAnsi="Times New Roman" w:eastAsia="方正仿宋_GBK" w:cs="Times New Roman"/>
          <w:bCs/>
          <w:color w:val="auto"/>
          <w:sz w:val="32"/>
          <w:szCs w:val="32"/>
          <w:lang w:eastAsia="zh-CN"/>
        </w:rPr>
        <w:t>业绩时间以</w:t>
      </w:r>
      <w:r>
        <w:rPr>
          <w:rFonts w:ascii="Times New Roman" w:hAnsi="Times New Roman" w:eastAsia="方正仿宋_GBK" w:cs="Times New Roman"/>
          <w:bCs/>
          <w:color w:val="auto"/>
          <w:sz w:val="32"/>
          <w:szCs w:val="32"/>
          <w:highlight w:val="none"/>
          <w:lang w:eastAsia="zh-CN"/>
        </w:rPr>
        <w:t>合同签订时间</w:t>
      </w:r>
      <w:r>
        <w:rPr>
          <w:rFonts w:ascii="Times New Roman" w:hAnsi="Times New Roman" w:eastAsia="方正仿宋_GBK" w:cs="Times New Roman"/>
          <w:bCs/>
          <w:color w:val="auto"/>
          <w:sz w:val="32"/>
          <w:szCs w:val="32"/>
          <w:lang w:eastAsia="zh-CN"/>
        </w:rPr>
        <w:t>为准</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仿宋_GB2312" w:cs="Times New Roman"/>
          <w:color w:val="auto"/>
          <w:sz w:val="32"/>
          <w:szCs w:val="32"/>
          <w:lang w:val="en-US" w:eastAsia="zh-CN"/>
        </w:rPr>
        <w:t>业绩证明提供签订合同协议书。</w:t>
      </w:r>
    </w:p>
    <w:p>
      <w:pPr>
        <w:spacing w:line="51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w:t>
      </w:r>
      <w:r>
        <w:rPr>
          <w:rFonts w:hint="eastAsia" w:ascii="Times New Roman" w:hAnsi="Times New Roman" w:eastAsia="方正仿宋_GBK" w:cs="Times New Roman"/>
          <w:bCs/>
          <w:color w:val="auto"/>
          <w:sz w:val="32"/>
          <w:szCs w:val="32"/>
          <w:lang w:eastAsia="zh-CN"/>
        </w:rPr>
        <w:t>报价人没有被列入重庆高速公路集团有限公司黑名单</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w:t>
      </w:r>
      <w:r>
        <w:rPr>
          <w:rFonts w:hint="eastAsia" w:ascii="Times New Roman" w:hAnsi="Times New Roman" w:eastAsia="方正仿宋_GBK" w:cs="Times New Roman"/>
          <w:bCs/>
          <w:color w:val="auto"/>
          <w:sz w:val="32"/>
          <w:szCs w:val="32"/>
          <w:lang w:eastAsia="zh-CN"/>
        </w:rPr>
        <w:t>本次</w:t>
      </w:r>
      <w:r>
        <w:rPr>
          <w:rFonts w:hint="eastAsia" w:ascii="Times New Roman" w:hAnsi="Times New Roman" w:eastAsia="方正仿宋_GBK" w:cs="Times New Roman"/>
          <w:bCs/>
          <w:color w:val="auto"/>
          <w:sz w:val="32"/>
          <w:szCs w:val="32"/>
          <w:lang w:val="en-US" w:eastAsia="zh-CN"/>
        </w:rPr>
        <w:t>询价项目</w:t>
      </w:r>
      <w:r>
        <w:rPr>
          <w:rFonts w:hint="eastAsia" w:ascii="Times New Roman" w:hAnsi="Times New Roman" w:eastAsia="方正仿宋_GBK" w:cs="Times New Roman"/>
          <w:bCs/>
          <w:color w:val="auto"/>
          <w:sz w:val="32"/>
          <w:szCs w:val="32"/>
          <w:lang w:eastAsia="zh-CN"/>
        </w:rPr>
        <w:t>接受联合体投标。</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lang w:val="en-US" w:eastAsia="zh-CN"/>
        </w:rPr>
        <w:t>重庆市潼南区桂林街道春阳路460号（重庆双江航运发展有限公司）</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val="en-US" w:eastAsia="zh-CN"/>
        </w:rPr>
        <w:t>5</w:t>
      </w:r>
      <w:r>
        <w:rPr>
          <w:rFonts w:hint="eastAsia" w:ascii="Times New Roman" w:hAnsi="Times New Roman" w:eastAsia="方正仿宋_GBK" w:cs="Times New Roman"/>
          <w:bCs/>
          <w:sz w:val="32"/>
          <w:szCs w:val="32"/>
          <w:highlight w:val="none"/>
          <w:lang w:eastAsia="zh-CN"/>
        </w:rPr>
        <w:t>日</w:t>
      </w:r>
      <w:r>
        <w:rPr>
          <w:rFonts w:hint="eastAsia" w:ascii="Times New Roman" w:hAnsi="Times New Roman" w:eastAsia="方正仿宋_GBK" w:cs="Times New Roman"/>
          <w:bCs/>
          <w:sz w:val="32"/>
          <w:szCs w:val="32"/>
          <w:highlight w:val="none"/>
          <w:lang w:val="en-US" w:eastAsia="zh-CN"/>
        </w:rPr>
        <w:t>17</w:t>
      </w:r>
      <w:r>
        <w:rPr>
          <w:rFonts w:ascii="Times New Roman" w:hAnsi="Times New Roman" w:eastAsia="方正仿宋_GBK" w:cs="Times New Roman"/>
          <w:bCs/>
          <w:sz w:val="32"/>
          <w:szCs w:val="32"/>
          <w:lang w:eastAsia="zh-CN"/>
        </w:rPr>
        <w:t xml:space="preserve">时 </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重庆双江航运发展有限公司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重庆市潼南区桂林街道春阳路460号</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单静静</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023-87288000</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val="en-US" w:eastAsia="zh-CN"/>
        </w:rPr>
        <w:t>重庆双江航运发展有限公司纪检</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023-87285692</w:t>
      </w:r>
    </w:p>
    <w:p>
      <w:pPr>
        <w:pStyle w:val="2"/>
        <w:rPr>
          <w:rFonts w:hint="eastAsia" w:ascii="Times New Roman" w:hAnsi="Times New Roman" w:eastAsia="方正仿宋_GBK" w:cs="Times New Roman"/>
          <w:bCs/>
          <w:sz w:val="32"/>
          <w:szCs w:val="32"/>
          <w:lang w:val="en-US" w:eastAsia="zh-CN"/>
        </w:rPr>
      </w:pPr>
    </w:p>
    <w:p>
      <w:pPr>
        <w:pStyle w:val="2"/>
        <w:rPr>
          <w:rFonts w:hint="eastAsia" w:ascii="Times New Roman" w:hAnsi="Times New Roman" w:eastAsia="方正仿宋_GBK" w:cs="Times New Roman"/>
          <w:bCs/>
          <w:sz w:val="32"/>
          <w:szCs w:val="32"/>
          <w:lang w:val="en-US" w:eastAsia="zh-CN"/>
        </w:rPr>
      </w:pP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18</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lang w:val="en-US" w:eastAsia="zh-CN"/>
        </w:rPr>
        <w:t>15.4万元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EL274平台</w:t>
      </w:r>
      <w:r>
        <w:rPr>
          <w:rFonts w:hint="eastAsia" w:ascii="Times New Roman" w:hAnsi="Times New Roman" w:eastAsia="方正仿宋_GBK" w:cs="Times New Roman"/>
          <w:bCs/>
          <w:color w:val="000000" w:themeColor="text1"/>
          <w:sz w:val="32"/>
          <w:szCs w:val="32"/>
          <w:lang w:val="en-US" w:eastAsia="zh-Hans"/>
          <w14:textFill>
            <w14:solidFill>
              <w14:schemeClr w14:val="tx1"/>
            </w14:solidFill>
          </w14:textFill>
        </w:rPr>
        <w:t>后方</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边坡</w:t>
      </w:r>
      <w:r>
        <w:rPr>
          <w:rFonts w:hint="eastAsia" w:ascii="Times New Roman" w:hAnsi="Times New Roman" w:eastAsia="方正仿宋_GBK" w:cs="Times New Roman"/>
          <w:bCs/>
          <w:color w:val="000000" w:themeColor="text1"/>
          <w:sz w:val="32"/>
          <w:szCs w:val="32"/>
          <w:lang w:val="en-US" w:eastAsia="zh-Hans"/>
          <w14:textFill>
            <w14:solidFill>
              <w14:schemeClr w14:val="tx1"/>
            </w14:solidFill>
          </w14:textFill>
        </w:rPr>
        <w:t>及</w:t>
      </w:r>
      <w:r>
        <w:rPr>
          <w:rFonts w:hint="default" w:ascii="Times New Roman" w:hAnsi="Times New Roman" w:eastAsia="方正仿宋_GBK" w:cs="Times New Roman"/>
          <w:bCs/>
          <w:color w:val="000000" w:themeColor="text1"/>
          <w:sz w:val="32"/>
          <w:szCs w:val="32"/>
          <w:lang w:val="en-US" w:eastAsia="zh-Hans"/>
          <w14:textFill>
            <w14:solidFill>
              <w14:schemeClr w14:val="tx1"/>
            </w14:solidFill>
          </w14:textFill>
        </w:rPr>
        <w:t>270、274</w:t>
      </w:r>
      <w:r>
        <w:rPr>
          <w:rFonts w:hint="eastAsia" w:ascii="Times New Roman" w:hAnsi="Times New Roman" w:eastAsia="方正仿宋_GBK" w:cs="Times New Roman"/>
          <w:bCs/>
          <w:color w:val="000000" w:themeColor="text1"/>
          <w:sz w:val="32"/>
          <w:szCs w:val="32"/>
          <w:lang w:val="en-US" w:eastAsia="zh-Hans"/>
          <w14:textFill>
            <w14:solidFill>
              <w14:schemeClr w14:val="tx1"/>
            </w14:solidFill>
          </w14:textFill>
        </w:rPr>
        <w:t>平台填方区</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稳定性安全评估</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本项目采用经评审的最低价法。</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52097542"/>
      <w:bookmarkEnd w:id="16"/>
      <w:bookmarkStart w:id="17" w:name="_Toc29194791"/>
      <w:bookmarkEnd w:id="17"/>
      <w:r>
        <w:rPr>
          <w:rFonts w:ascii="Times New Roman" w:hAnsi="Times New Roman" w:eastAsia="方正小标宋_GBK" w:cs="Times New Roman"/>
          <w:bCs/>
          <w:sz w:val="44"/>
          <w:szCs w:val="44"/>
          <w:lang w:val="zh-CN" w:eastAsia="zh-CN"/>
        </w:rPr>
        <w:t>第三章 合同条款</w:t>
      </w:r>
    </w:p>
    <w:p>
      <w:pPr>
        <w:spacing w:line="510" w:lineRule="exact"/>
        <w:rPr>
          <w:rFonts w:ascii="Times New Roman" w:hAnsi="Times New Roman" w:eastAsia="黑体" w:cs="Times New Roman"/>
          <w:sz w:val="32"/>
          <w:szCs w:val="32"/>
          <w:lang w:eastAsia="zh-CN"/>
        </w:rPr>
      </w:pPr>
    </w:p>
    <w:p>
      <w:pPr>
        <w:spacing w:line="510" w:lineRule="exact"/>
        <w:ind w:firstLine="636" w:firstLineChars="19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1.合同范围</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涪江干流梯级渠化双江航电枢纽工程右岸</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EL274平台后方边坡和EL274、EL270两平台高填方区域安全评估报告。</w:t>
      </w:r>
    </w:p>
    <w:p>
      <w:pPr>
        <w:spacing w:line="510" w:lineRule="exact"/>
        <w:ind w:firstLine="636" w:firstLineChars="199"/>
        <w:rPr>
          <w:rFonts w:hint="eastAsia" w:ascii="Times New Roman" w:hAnsi="Times New Roman" w:eastAsia="仿宋_GB2312" w:cs="Times New Roman"/>
          <w:b w:val="0"/>
          <w:bCs w:val="0"/>
          <w:sz w:val="32"/>
          <w:szCs w:val="32"/>
          <w:lang w:val="en-US" w:eastAsia="en-US" w:bidi="ar-SA"/>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乙方在签订合同后25日内提交报告送审稿，提交送审稿10日内完成审查工作</w:t>
      </w:r>
      <w:r>
        <w:rPr>
          <w:rFonts w:hint="eastAsia" w:ascii="Times New Roman" w:hAnsi="Times New Roman" w:eastAsia="仿宋_GB2312" w:cs="Times New Roman"/>
          <w:b w:val="0"/>
          <w:bCs w:val="0"/>
          <w:sz w:val="32"/>
          <w:szCs w:val="32"/>
          <w:lang w:val="en-US" w:eastAsia="en-US" w:bidi="ar-SA"/>
        </w:rPr>
        <w:t>。</w:t>
      </w: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本项目为总价合同。卖方所报总价在合同有效期内固定不变，即合同总价不因国家和地方政策调整、物价变动等因数的影响而调整。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1、本项目合同总金额（包干价）为：人民币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万元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2、完成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评估报告、提交正式成果并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通过审查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一次性支付合同总价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，计人民币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注：支付款项前，乙方应提供相应金额增值税专用发票。</w:t>
      </w:r>
    </w:p>
    <w:p>
      <w:pPr>
        <w:spacing w:line="510" w:lineRule="exact"/>
        <w:ind w:left="420" w:firstLine="320" w:firstLineChars="1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eastAsia="zh-CN"/>
        </w:rPr>
        <w:t>双方的权利与义务</w:t>
      </w: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(一)甲方的权利义务</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1.甲方应当真实、详尽和及时地向乙方提供与委托事项有关资料，积极、主动地配合乙方的工作，甲方向乙方提出的要求应当明确、合理；</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2.甲方应当按时、足额向乙方支付咨询费用及相关工作费用；</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3.甲方指定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为乙方的联系人，负责转达甲方的指示和要求，提供文件和资料等工作。甲方若更换联系人、联系地址或联系电话，应当及时书面通知乙方；</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4.若因甲方未如实提供相关的资料，所造成的损失，甲方自行承担。</w:t>
      </w: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(二)乙方的权利义务</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1.乙方应当勤勉、尽责地完成第一条所列服务事项，尽最大努力维护甲方利益；</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2.乙方对其获知的甲方商业机密或者个人隐私负有保密责任，非由法律规定或者甲方同意，不得向任何第三方披露；</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3.乙方对甲方业务应当建档，应当保存完整的工作记录，对涉及材料和财物应当妥善保管。</w:t>
      </w:r>
    </w:p>
    <w:p>
      <w:pPr>
        <w:pStyle w:val="2"/>
        <w:ind w:firstLine="640" w:firstLineChars="20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4、因EL274平台后方边坡在本项目征地红线范围外，乙方需自行承担征地补偿所产生的一切费用。</w:t>
      </w: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1、合同生效后，由于甲方原因终止合同，甲方应向乙方支付已完成工作量的相应费用。</w:t>
      </w:r>
    </w:p>
    <w:p>
      <w:pPr>
        <w:spacing w:line="510" w:lineRule="exact"/>
        <w:ind w:firstLine="636" w:firstLineChars="19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2、由于乙方提交的报告质量不符合要求，乙方应自行采取有效措施弥补过失并承担相应费用，保证报告质量能够达到审查要求。</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1、凡因本合同引起的任何争议和纠纷，双方应友好协商解决，协商未果时由签订地有管辖权的法院进行诉讼。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2、在本合同有效期内，甲方利用乙方提交的技术服务工作成果所完成的新的技术成果，归甲方所有。乙方利用甲方提供的技术资料和工作条件所完成的新的技术成果，归双方所有。</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3、未尽事宜由本合同双方另行协商确定。对本合同的任何补充或修订需经双方以书面形式签署方为有效。书面补充协议构成本合同的组成部分，与本合同具有同等法律效力。</w:t>
      </w:r>
    </w:p>
    <w:p>
      <w:pPr>
        <w:spacing w:line="510" w:lineRule="exact"/>
        <w:ind w:firstLine="320" w:firstLineChars="1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本合同书一式 8 份，甲、乙双方各执  4  份，具有同等法律效力。自甲乙双方经办人签字及公司盖章后生效，至上述甲方的铁路建设项目结束日自动终止。</w:t>
      </w:r>
    </w:p>
    <w:p>
      <w:pPr>
        <w:spacing w:line="51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6.不可抗力</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因自然灾害、政府禁令等不可抗力的原因导致甲、乙双方无法履行本合同，本合同终止，双方互不承担违约责任。</w:t>
      </w:r>
    </w:p>
    <w:p>
      <w:pPr>
        <w:spacing w:line="51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7.合同的生效</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本合同一式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份，甲方持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份，乙方持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份；自甲、乙双方签字</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加盖公章之日起生效。</w:t>
      </w:r>
    </w:p>
    <w:p>
      <w:pPr>
        <w:pStyle w:val="2"/>
        <w:rPr>
          <w:rFonts w:hint="eastAsia"/>
          <w:lang w:eastAsia="zh-CN"/>
        </w:rPr>
      </w:pP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以下无正文。</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spacing w:line="510" w:lineRule="exact"/>
        <w:rPr>
          <w:rFonts w:ascii="Times New Roman" w:hAnsi="Times New Roman" w:eastAsia="黑体" w:cs="Times New Roman"/>
          <w:sz w:val="32"/>
          <w:szCs w:val="32"/>
          <w:lang w:eastAsia="zh-CN"/>
        </w:rPr>
      </w:pPr>
    </w:p>
    <w:p>
      <w:pPr>
        <w:spacing w:line="510" w:lineRule="exact"/>
        <w:ind w:left="66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7</w:t>
      </w:r>
      <w:r>
        <w:rPr>
          <w:rFonts w:hint="eastAsia" w:ascii="Times New Roman" w:hAnsi="Times New Roman" w:eastAsia="黑体" w:cs="Times New Roman"/>
          <w:sz w:val="32"/>
          <w:szCs w:val="32"/>
          <w:lang w:eastAsia="zh-CN"/>
        </w:rPr>
        <w:t>.附件</w:t>
      </w:r>
    </w:p>
    <w:p>
      <w:pPr>
        <w:spacing w:line="510" w:lineRule="exact"/>
        <w:ind w:firstLine="636" w:firstLineChars="199"/>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附件2.廉政合同</w:t>
      </w:r>
    </w:p>
    <w:p>
      <w:pPr>
        <w:pStyle w:val="2"/>
        <w:ind w:firstLine="640" w:firstLineChars="200"/>
        <w:rPr>
          <w:rFonts w:hint="default"/>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附件3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图纸</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numPr>
          <w:ilvl w:val="0"/>
          <w:numId w:val="3"/>
        </w:num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法定代表人身份证明或授权委托书</w:t>
      </w:r>
    </w:p>
    <w:p>
      <w:pPr>
        <w:numPr>
          <w:ilvl w:val="0"/>
          <w:numId w:val="3"/>
        </w:numPr>
        <w:tabs>
          <w:tab w:val="left" w:pos="469"/>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10710824"/>
      <w:bookmarkStart w:id="20" w:name="bookmark292"/>
      <w:bookmarkStart w:id="21" w:name="_Toc29194793"/>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4"/>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52097545"/>
      <w:bookmarkEnd w:id="24"/>
      <w:bookmarkStart w:id="25" w:name="_Toc29194794"/>
      <w:bookmarkEnd w:id="25"/>
      <w:bookmarkStart w:id="26" w:name="_Toc10710825"/>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（2）本项目投标报价为总价包干（投标人自行考虑相应风险费用）。包含但不限于资料收集整理，</w:t>
      </w:r>
      <w:r>
        <w:rPr>
          <w:rFonts w:hint="eastAsia" w:ascii="Times New Roman" w:hAnsi="Times New Roman" w:eastAsia="方正仿宋_GBK" w:cs="Times New Roman"/>
          <w:sz w:val="32"/>
          <w:szCs w:val="32"/>
          <w:lang w:eastAsia="zh-CN"/>
        </w:rPr>
        <w:t>施工安全总体风险评估</w:t>
      </w:r>
      <w:r>
        <w:rPr>
          <w:rFonts w:ascii="Times New Roman" w:hAnsi="Times New Roman" w:eastAsia="方正仿宋_GBK" w:cs="Times New Roman"/>
          <w:sz w:val="32"/>
          <w:szCs w:val="32"/>
          <w:lang w:eastAsia="zh-CN"/>
        </w:rPr>
        <w:t>报告编制，组织</w:t>
      </w:r>
      <w:r>
        <w:rPr>
          <w:rFonts w:hint="eastAsia" w:ascii="Times New Roman" w:hAnsi="Times New Roman" w:eastAsia="方正仿宋_GBK" w:cs="Times New Roman"/>
          <w:sz w:val="32"/>
          <w:szCs w:val="32"/>
          <w:lang w:eastAsia="zh-CN"/>
        </w:rPr>
        <w:t>专家评审会</w:t>
      </w:r>
      <w:r>
        <w:rPr>
          <w:rFonts w:ascii="Times New Roman" w:hAnsi="Times New Roman" w:eastAsia="方正仿宋_GBK" w:cs="Times New Roman"/>
          <w:sz w:val="32"/>
          <w:szCs w:val="32"/>
          <w:lang w:eastAsia="zh-CN"/>
        </w:rPr>
        <w:t>会议（包含资料费，会议交通费，会务费，专家咨询费等）。</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5"/>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autoSpaceDE w:val="0"/>
              <w:autoSpaceDN w:val="0"/>
              <w:adjustRightInd w:val="0"/>
              <w:spacing w:line="360" w:lineRule="auto"/>
              <w:jc w:val="center"/>
              <w:rPr>
                <w:rFonts w:ascii="Times New Roman" w:hAnsi="Times New Roman" w:cs="Times New Roman"/>
                <w:shd w:val="clear" w:color="auto" w:fill="FFFFFF"/>
              </w:rPr>
            </w:pPr>
            <w:r>
              <w:rPr>
                <w:rFonts w:hint="eastAsia" w:ascii="Times New Roman" w:hAnsi="Times New Roman" w:cs="Times New Roman"/>
                <w:shd w:val="clear" w:color="auto" w:fill="FFFFFF"/>
                <w:lang w:val="en-US" w:eastAsia="zh-CN"/>
              </w:rPr>
              <w:t>涪江干流梯级渠化双江航电枢纽工程</w:t>
            </w:r>
            <w:r>
              <w:rPr>
                <w:rFonts w:hint="eastAsia" w:ascii="Times New Roman" w:hAnsi="Times New Roman" w:eastAsia="宋体" w:cs="Times New Roman"/>
                <w:shd w:val="clear" w:color="auto" w:fill="FFFFFF"/>
                <w:lang w:val="en-US" w:eastAsia="zh-CN"/>
              </w:rPr>
              <w:t>右岸场地EL274平台</w:t>
            </w:r>
            <w:r>
              <w:rPr>
                <w:rFonts w:hint="eastAsia" w:ascii="Times New Roman" w:hAnsi="Times New Roman" w:eastAsia="宋体" w:cs="Times New Roman"/>
                <w:shd w:val="clear" w:color="auto" w:fill="FFFFFF"/>
                <w:lang w:val="en-US" w:eastAsia="zh-Hans"/>
              </w:rPr>
              <w:t>后方</w:t>
            </w:r>
            <w:r>
              <w:rPr>
                <w:rFonts w:hint="eastAsia" w:ascii="Times New Roman" w:hAnsi="Times New Roman" w:eastAsia="宋体" w:cs="Times New Roman"/>
                <w:shd w:val="clear" w:color="auto" w:fill="FFFFFF"/>
                <w:lang w:val="en-US" w:eastAsia="zh-CN"/>
              </w:rPr>
              <w:t>边坡</w:t>
            </w:r>
            <w:r>
              <w:rPr>
                <w:rFonts w:hint="eastAsia" w:ascii="Times New Roman" w:hAnsi="Times New Roman" w:eastAsia="宋体" w:cs="Times New Roman"/>
                <w:shd w:val="clear" w:color="auto" w:fill="FFFFFF"/>
                <w:lang w:val="en-US" w:eastAsia="zh-Hans"/>
              </w:rPr>
              <w:t>及</w:t>
            </w:r>
            <w:r>
              <w:rPr>
                <w:rFonts w:hint="default" w:ascii="Times New Roman" w:hAnsi="Times New Roman" w:eastAsia="宋体" w:cs="Times New Roman"/>
                <w:shd w:val="clear" w:color="auto" w:fill="FFFFFF"/>
                <w:lang w:val="en-US" w:eastAsia="zh-Hans"/>
              </w:rPr>
              <w:t>270、274</w:t>
            </w:r>
            <w:r>
              <w:rPr>
                <w:rFonts w:hint="eastAsia" w:ascii="Times New Roman" w:hAnsi="Times New Roman" w:eastAsia="宋体" w:cs="Times New Roman"/>
                <w:shd w:val="clear" w:color="auto" w:fill="FFFFFF"/>
                <w:lang w:val="en-US" w:eastAsia="zh-Hans"/>
              </w:rPr>
              <w:t>平台填方区</w:t>
            </w:r>
            <w:r>
              <w:rPr>
                <w:rFonts w:hint="eastAsia" w:ascii="Times New Roman" w:hAnsi="Times New Roman" w:eastAsia="宋体" w:cs="Times New Roman"/>
                <w:shd w:val="clear" w:color="auto" w:fill="FFFFFF"/>
                <w:lang w:val="en-US" w:eastAsia="zh-CN"/>
              </w:rPr>
              <w:t xml:space="preserve">稳定性安全评估报告编制 </w:t>
            </w:r>
            <w:bookmarkStart w:id="35" w:name="_GoBack"/>
            <w:bookmarkEnd w:id="35"/>
          </w:p>
        </w:tc>
        <w:tc>
          <w:tcPr>
            <w:tcW w:w="1417"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1418" w:type="dxa"/>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项</w:t>
            </w: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val="en-US" w:eastAsia="zh-CN"/>
        </w:rPr>
        <w:t>双江航运发展</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pStyle w:val="2"/>
        <w:rPr>
          <w:rFonts w:hint="eastAsia"/>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20995074"/>
      <w:bookmarkStart w:id="30" w:name="_Toc24117"/>
      <w:bookmarkStart w:id="31" w:name="_Toc416788188"/>
      <w:bookmarkStart w:id="32" w:name="_Toc421798219"/>
      <w:bookmarkStart w:id="33" w:name="_Toc420995178"/>
      <w:bookmarkStart w:id="34" w:name="_Toc418517429"/>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ksdb"/>
    <w:panose1 w:val="020F0302020204030204"/>
    <w:charset w:val="00"/>
    <w:family w:val="swiss"/>
    <w:pitch w:val="default"/>
    <w:sig w:usb0="00000000" w:usb1="00000000" w:usb2="00000009" w:usb3="00000000" w:csb0="200001FF" w:csb1="00000000"/>
  </w:font>
  <w:font w:name="ksdb">
    <w:panose1 w:val="02000500000000000000"/>
    <w:charset w:val="00"/>
    <w:family w:val="auto"/>
    <w:pitch w:val="default"/>
    <w:sig w:usb0="00000001" w:usb1="00000000" w:usb2="00000000" w:usb3="00000000" w:csb0="00000001"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iSu">
    <w:altName w:val="宋体"/>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STXihei">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TZhongsong">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B7356"/>
    <w:multiLevelType w:val="singleLevel"/>
    <w:tmpl w:val="C6FB7356"/>
    <w:lvl w:ilvl="0" w:tentative="0">
      <w:start w:val="1"/>
      <w:numFmt w:val="chineseCounting"/>
      <w:suff w:val="nothing"/>
      <w:lvlText w:val="%1、"/>
      <w:lvlJc w:val="left"/>
      <w:rPr>
        <w:rFonts w:hint="eastAsia"/>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FB16A692"/>
    <w:multiLevelType w:val="singleLevel"/>
    <w:tmpl w:val="FB16A692"/>
    <w:lvl w:ilvl="0" w:tentative="0">
      <w:start w:val="1"/>
      <w:numFmt w:val="decimal"/>
      <w:suff w:val="nothing"/>
      <w:lvlText w:val="%1、"/>
      <w:lvlJc w:val="left"/>
      <w:pPr>
        <w:ind w:left="-200"/>
      </w:pPr>
    </w:lvl>
  </w:abstractNum>
  <w:abstractNum w:abstractNumId="3">
    <w:nsid w:val="5B4C8B07"/>
    <w:multiLevelType w:val="singleLevel"/>
    <w:tmpl w:val="5B4C8B07"/>
    <w:lvl w:ilvl="0" w:tentative="0">
      <w:start w:val="1"/>
      <w:numFmt w:val="decimal"/>
      <w:suff w:val="nothing"/>
      <w:lvlText w:val="%1、"/>
      <w:lvlJc w:val="left"/>
    </w:lvl>
  </w:abstractNum>
  <w:abstractNum w:abstractNumId="4">
    <w:nsid w:val="6141B84E"/>
    <w:multiLevelType w:val="singleLevel"/>
    <w:tmpl w:val="6141B84E"/>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TQ5ZmE5YTlhYjRmMmM4OTMyN2M4ZmFhNDYwY2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285819"/>
    <w:rsid w:val="0286090C"/>
    <w:rsid w:val="035546C6"/>
    <w:rsid w:val="03AA7192"/>
    <w:rsid w:val="04296264"/>
    <w:rsid w:val="046F356C"/>
    <w:rsid w:val="048A3FA3"/>
    <w:rsid w:val="04BA7570"/>
    <w:rsid w:val="04BE7047"/>
    <w:rsid w:val="04C75BA9"/>
    <w:rsid w:val="05046843"/>
    <w:rsid w:val="0636605F"/>
    <w:rsid w:val="067A2C61"/>
    <w:rsid w:val="069F6C6D"/>
    <w:rsid w:val="06ED263D"/>
    <w:rsid w:val="07501833"/>
    <w:rsid w:val="07770B2D"/>
    <w:rsid w:val="082C3C8D"/>
    <w:rsid w:val="08651193"/>
    <w:rsid w:val="08F93D5B"/>
    <w:rsid w:val="096B38AC"/>
    <w:rsid w:val="097B739A"/>
    <w:rsid w:val="09CD7F8F"/>
    <w:rsid w:val="0A95138C"/>
    <w:rsid w:val="0AD153CD"/>
    <w:rsid w:val="0BB95CD2"/>
    <w:rsid w:val="0BFE4292"/>
    <w:rsid w:val="0C292867"/>
    <w:rsid w:val="0CD07E15"/>
    <w:rsid w:val="0CFA4A65"/>
    <w:rsid w:val="0D7C0937"/>
    <w:rsid w:val="0DA770F4"/>
    <w:rsid w:val="0E6357DB"/>
    <w:rsid w:val="0F805784"/>
    <w:rsid w:val="0FB66909"/>
    <w:rsid w:val="0FE24065"/>
    <w:rsid w:val="10261A88"/>
    <w:rsid w:val="10344EEB"/>
    <w:rsid w:val="10A81391"/>
    <w:rsid w:val="117A6EEF"/>
    <w:rsid w:val="12604834"/>
    <w:rsid w:val="12B33874"/>
    <w:rsid w:val="12C93FFA"/>
    <w:rsid w:val="139C4AFE"/>
    <w:rsid w:val="13B86C2F"/>
    <w:rsid w:val="14295DAF"/>
    <w:rsid w:val="142A7E51"/>
    <w:rsid w:val="150467C0"/>
    <w:rsid w:val="159E24E8"/>
    <w:rsid w:val="162417DF"/>
    <w:rsid w:val="16A76DEE"/>
    <w:rsid w:val="16A82F3A"/>
    <w:rsid w:val="17515952"/>
    <w:rsid w:val="178E1F33"/>
    <w:rsid w:val="17AC5B95"/>
    <w:rsid w:val="19421CE6"/>
    <w:rsid w:val="194F7996"/>
    <w:rsid w:val="198130EF"/>
    <w:rsid w:val="19AE416C"/>
    <w:rsid w:val="19DD43BA"/>
    <w:rsid w:val="1A4B45F5"/>
    <w:rsid w:val="1A5F749D"/>
    <w:rsid w:val="1AEB3291"/>
    <w:rsid w:val="1B2D33E7"/>
    <w:rsid w:val="1B690B70"/>
    <w:rsid w:val="1C127CD4"/>
    <w:rsid w:val="1CB44424"/>
    <w:rsid w:val="1CEB3111"/>
    <w:rsid w:val="1D1E25DF"/>
    <w:rsid w:val="1D652848"/>
    <w:rsid w:val="1DD736C3"/>
    <w:rsid w:val="1E032872"/>
    <w:rsid w:val="1E5C3BAD"/>
    <w:rsid w:val="1F1063FE"/>
    <w:rsid w:val="1FF8009E"/>
    <w:rsid w:val="205F522A"/>
    <w:rsid w:val="208A3AF0"/>
    <w:rsid w:val="212307EB"/>
    <w:rsid w:val="21670FC9"/>
    <w:rsid w:val="21CC3BA7"/>
    <w:rsid w:val="21E3769E"/>
    <w:rsid w:val="22102401"/>
    <w:rsid w:val="228765EB"/>
    <w:rsid w:val="23344B38"/>
    <w:rsid w:val="241174C5"/>
    <w:rsid w:val="24304B96"/>
    <w:rsid w:val="24430E72"/>
    <w:rsid w:val="24B506C7"/>
    <w:rsid w:val="24B738C2"/>
    <w:rsid w:val="24CA5E5B"/>
    <w:rsid w:val="25357D1C"/>
    <w:rsid w:val="255178E6"/>
    <w:rsid w:val="255E1927"/>
    <w:rsid w:val="25DE362C"/>
    <w:rsid w:val="25F14B98"/>
    <w:rsid w:val="25F97155"/>
    <w:rsid w:val="26710645"/>
    <w:rsid w:val="26A91696"/>
    <w:rsid w:val="272F2851"/>
    <w:rsid w:val="274F3DB2"/>
    <w:rsid w:val="279C6923"/>
    <w:rsid w:val="27BD1AEB"/>
    <w:rsid w:val="27C72271"/>
    <w:rsid w:val="28E95BAE"/>
    <w:rsid w:val="28FC289D"/>
    <w:rsid w:val="2914405B"/>
    <w:rsid w:val="29156EF2"/>
    <w:rsid w:val="294F67FB"/>
    <w:rsid w:val="29A462E1"/>
    <w:rsid w:val="29DF4A6F"/>
    <w:rsid w:val="2A21112E"/>
    <w:rsid w:val="2A814869"/>
    <w:rsid w:val="2B004385"/>
    <w:rsid w:val="2B052B73"/>
    <w:rsid w:val="2B297614"/>
    <w:rsid w:val="2B6948BD"/>
    <w:rsid w:val="2BF539B5"/>
    <w:rsid w:val="2C61237F"/>
    <w:rsid w:val="2C7E27DB"/>
    <w:rsid w:val="2D280A7E"/>
    <w:rsid w:val="2DA61CF4"/>
    <w:rsid w:val="2E324611"/>
    <w:rsid w:val="2F4D332A"/>
    <w:rsid w:val="2FBD58EB"/>
    <w:rsid w:val="309D0A69"/>
    <w:rsid w:val="31772CB5"/>
    <w:rsid w:val="319A23E2"/>
    <w:rsid w:val="31A00DEF"/>
    <w:rsid w:val="31AE7611"/>
    <w:rsid w:val="325149D0"/>
    <w:rsid w:val="3258548E"/>
    <w:rsid w:val="328937F3"/>
    <w:rsid w:val="32F017EB"/>
    <w:rsid w:val="33A67096"/>
    <w:rsid w:val="33C83BC3"/>
    <w:rsid w:val="34140EA1"/>
    <w:rsid w:val="347E742F"/>
    <w:rsid w:val="35153592"/>
    <w:rsid w:val="35276BCD"/>
    <w:rsid w:val="35915FF2"/>
    <w:rsid w:val="35996867"/>
    <w:rsid w:val="366C6C5A"/>
    <w:rsid w:val="36D6690A"/>
    <w:rsid w:val="36FD4EC4"/>
    <w:rsid w:val="37F5325E"/>
    <w:rsid w:val="387B5356"/>
    <w:rsid w:val="389F0583"/>
    <w:rsid w:val="394D6F17"/>
    <w:rsid w:val="39AD4279"/>
    <w:rsid w:val="3B3B1938"/>
    <w:rsid w:val="3B4C771B"/>
    <w:rsid w:val="3B536115"/>
    <w:rsid w:val="3B6D478E"/>
    <w:rsid w:val="3B896557"/>
    <w:rsid w:val="3BD6093A"/>
    <w:rsid w:val="3D12686E"/>
    <w:rsid w:val="3D18578A"/>
    <w:rsid w:val="3D267363"/>
    <w:rsid w:val="3DA55E6C"/>
    <w:rsid w:val="3DC654EF"/>
    <w:rsid w:val="3DED132A"/>
    <w:rsid w:val="3E0A4684"/>
    <w:rsid w:val="3E3C050B"/>
    <w:rsid w:val="3E415AC4"/>
    <w:rsid w:val="3E5B6F4A"/>
    <w:rsid w:val="3EC066EC"/>
    <w:rsid w:val="3ED20001"/>
    <w:rsid w:val="3EDB572F"/>
    <w:rsid w:val="3EE322BE"/>
    <w:rsid w:val="3EED6A2E"/>
    <w:rsid w:val="3EF25A32"/>
    <w:rsid w:val="3F794D8F"/>
    <w:rsid w:val="408814E1"/>
    <w:rsid w:val="40E24800"/>
    <w:rsid w:val="418D49B0"/>
    <w:rsid w:val="41DC2462"/>
    <w:rsid w:val="42615AA3"/>
    <w:rsid w:val="426A5D19"/>
    <w:rsid w:val="42A25018"/>
    <w:rsid w:val="42A713D5"/>
    <w:rsid w:val="42EE0B57"/>
    <w:rsid w:val="42FC2B26"/>
    <w:rsid w:val="43EF3495"/>
    <w:rsid w:val="440C4C65"/>
    <w:rsid w:val="453756CC"/>
    <w:rsid w:val="455255E8"/>
    <w:rsid w:val="458C2FAA"/>
    <w:rsid w:val="461A28EF"/>
    <w:rsid w:val="46E4318C"/>
    <w:rsid w:val="46EB610B"/>
    <w:rsid w:val="471F4D88"/>
    <w:rsid w:val="4766336A"/>
    <w:rsid w:val="479E3A47"/>
    <w:rsid w:val="47D87266"/>
    <w:rsid w:val="48324764"/>
    <w:rsid w:val="49222A1C"/>
    <w:rsid w:val="49A2577D"/>
    <w:rsid w:val="4A321E22"/>
    <w:rsid w:val="4A3546F1"/>
    <w:rsid w:val="4AF40C8C"/>
    <w:rsid w:val="4B106456"/>
    <w:rsid w:val="4B26325B"/>
    <w:rsid w:val="4B4475D2"/>
    <w:rsid w:val="4BA46B58"/>
    <w:rsid w:val="4C205671"/>
    <w:rsid w:val="4C6F2EDA"/>
    <w:rsid w:val="4E03626B"/>
    <w:rsid w:val="4F7B2533"/>
    <w:rsid w:val="508711A9"/>
    <w:rsid w:val="50D331E9"/>
    <w:rsid w:val="510E35CE"/>
    <w:rsid w:val="517B4EC0"/>
    <w:rsid w:val="51B322DA"/>
    <w:rsid w:val="51CC3CA7"/>
    <w:rsid w:val="51F850A8"/>
    <w:rsid w:val="52301165"/>
    <w:rsid w:val="52667ECC"/>
    <w:rsid w:val="526D2EBF"/>
    <w:rsid w:val="53366EE7"/>
    <w:rsid w:val="54271112"/>
    <w:rsid w:val="54523A5C"/>
    <w:rsid w:val="555C3065"/>
    <w:rsid w:val="55816D64"/>
    <w:rsid w:val="55987088"/>
    <w:rsid w:val="559D4C79"/>
    <w:rsid w:val="56A32E66"/>
    <w:rsid w:val="56EF6751"/>
    <w:rsid w:val="577747A6"/>
    <w:rsid w:val="577A27D6"/>
    <w:rsid w:val="59374B66"/>
    <w:rsid w:val="593C56D0"/>
    <w:rsid w:val="593F171A"/>
    <w:rsid w:val="59E454CF"/>
    <w:rsid w:val="59F726F3"/>
    <w:rsid w:val="5A0B6D6A"/>
    <w:rsid w:val="5A203D5A"/>
    <w:rsid w:val="5A8C449C"/>
    <w:rsid w:val="5AAF3758"/>
    <w:rsid w:val="5B052582"/>
    <w:rsid w:val="5B0A5A8A"/>
    <w:rsid w:val="5B297B8D"/>
    <w:rsid w:val="5B57543C"/>
    <w:rsid w:val="5BE066C1"/>
    <w:rsid w:val="5C1726A7"/>
    <w:rsid w:val="5C1B578B"/>
    <w:rsid w:val="5C5773BA"/>
    <w:rsid w:val="5CA00DF1"/>
    <w:rsid w:val="5CFD0956"/>
    <w:rsid w:val="5D313A8F"/>
    <w:rsid w:val="5D32446E"/>
    <w:rsid w:val="5DA1040B"/>
    <w:rsid w:val="5DA77392"/>
    <w:rsid w:val="5DB16193"/>
    <w:rsid w:val="5DBD4136"/>
    <w:rsid w:val="5DE62F1A"/>
    <w:rsid w:val="5E324AF8"/>
    <w:rsid w:val="5E7D7B12"/>
    <w:rsid w:val="5E96017E"/>
    <w:rsid w:val="5EB934BF"/>
    <w:rsid w:val="5EF2527F"/>
    <w:rsid w:val="5F104C20"/>
    <w:rsid w:val="5F4768A1"/>
    <w:rsid w:val="5F8B1768"/>
    <w:rsid w:val="5FA74DF5"/>
    <w:rsid w:val="5FC03AA5"/>
    <w:rsid w:val="60895210"/>
    <w:rsid w:val="60DC0379"/>
    <w:rsid w:val="60EA448B"/>
    <w:rsid w:val="60F91A9B"/>
    <w:rsid w:val="616400DB"/>
    <w:rsid w:val="61681DAA"/>
    <w:rsid w:val="620C69DC"/>
    <w:rsid w:val="62137647"/>
    <w:rsid w:val="635E4CE4"/>
    <w:rsid w:val="63BA77AE"/>
    <w:rsid w:val="643B2461"/>
    <w:rsid w:val="64761A1E"/>
    <w:rsid w:val="65585085"/>
    <w:rsid w:val="65DB5880"/>
    <w:rsid w:val="65EE45C9"/>
    <w:rsid w:val="66562864"/>
    <w:rsid w:val="67015D83"/>
    <w:rsid w:val="674028F1"/>
    <w:rsid w:val="676C3643"/>
    <w:rsid w:val="67B30A70"/>
    <w:rsid w:val="67F778AA"/>
    <w:rsid w:val="683B74A5"/>
    <w:rsid w:val="68466749"/>
    <w:rsid w:val="68562C5D"/>
    <w:rsid w:val="689313CC"/>
    <w:rsid w:val="689A54AC"/>
    <w:rsid w:val="698663AF"/>
    <w:rsid w:val="69D05529"/>
    <w:rsid w:val="69E81028"/>
    <w:rsid w:val="6A0B751D"/>
    <w:rsid w:val="6A8838EC"/>
    <w:rsid w:val="6B745BDA"/>
    <w:rsid w:val="6BE37E48"/>
    <w:rsid w:val="6C492150"/>
    <w:rsid w:val="6C88401A"/>
    <w:rsid w:val="6D0B205B"/>
    <w:rsid w:val="6D353DA6"/>
    <w:rsid w:val="6D4A44DB"/>
    <w:rsid w:val="6D541C74"/>
    <w:rsid w:val="6D6E6C99"/>
    <w:rsid w:val="6DAD722E"/>
    <w:rsid w:val="6DCB15B1"/>
    <w:rsid w:val="6DE06576"/>
    <w:rsid w:val="6DFB0945"/>
    <w:rsid w:val="6E601AA5"/>
    <w:rsid w:val="6F491A22"/>
    <w:rsid w:val="6F4D4C8B"/>
    <w:rsid w:val="6FC10684"/>
    <w:rsid w:val="6FC32670"/>
    <w:rsid w:val="705E0D4E"/>
    <w:rsid w:val="70656815"/>
    <w:rsid w:val="70833368"/>
    <w:rsid w:val="709655A9"/>
    <w:rsid w:val="70B831E1"/>
    <w:rsid w:val="70D83866"/>
    <w:rsid w:val="710D7515"/>
    <w:rsid w:val="7139605B"/>
    <w:rsid w:val="71B25E42"/>
    <w:rsid w:val="71CB1AC1"/>
    <w:rsid w:val="71E25E63"/>
    <w:rsid w:val="72B14FD5"/>
    <w:rsid w:val="734E5331"/>
    <w:rsid w:val="737F3A69"/>
    <w:rsid w:val="73973553"/>
    <w:rsid w:val="73D05A96"/>
    <w:rsid w:val="7416243F"/>
    <w:rsid w:val="74181201"/>
    <w:rsid w:val="741D578E"/>
    <w:rsid w:val="743D400A"/>
    <w:rsid w:val="74590E55"/>
    <w:rsid w:val="74E6194D"/>
    <w:rsid w:val="75083042"/>
    <w:rsid w:val="755A6876"/>
    <w:rsid w:val="755F3CFE"/>
    <w:rsid w:val="756555F5"/>
    <w:rsid w:val="76097931"/>
    <w:rsid w:val="760D0BC5"/>
    <w:rsid w:val="762D6621"/>
    <w:rsid w:val="76575395"/>
    <w:rsid w:val="769B6E27"/>
    <w:rsid w:val="76B36603"/>
    <w:rsid w:val="776F4652"/>
    <w:rsid w:val="77742C29"/>
    <w:rsid w:val="779C4208"/>
    <w:rsid w:val="77A727DC"/>
    <w:rsid w:val="77AD20AE"/>
    <w:rsid w:val="78202F3D"/>
    <w:rsid w:val="78286988"/>
    <w:rsid w:val="7861167A"/>
    <w:rsid w:val="78E037DD"/>
    <w:rsid w:val="78E04108"/>
    <w:rsid w:val="796E0C91"/>
    <w:rsid w:val="79AD76AE"/>
    <w:rsid w:val="79BE727D"/>
    <w:rsid w:val="7A3E4002"/>
    <w:rsid w:val="7AAF6562"/>
    <w:rsid w:val="7AB236D8"/>
    <w:rsid w:val="7B735D15"/>
    <w:rsid w:val="7C320B74"/>
    <w:rsid w:val="7C4D729D"/>
    <w:rsid w:val="7CF410F1"/>
    <w:rsid w:val="7D100213"/>
    <w:rsid w:val="7D734561"/>
    <w:rsid w:val="7DCC7838"/>
    <w:rsid w:val="7EBD184F"/>
    <w:rsid w:val="7EF35CD7"/>
    <w:rsid w:val="7F49148B"/>
    <w:rsid w:val="7F7108CD"/>
    <w:rsid w:val="7FB57DB2"/>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link w:val="55"/>
    <w:qFormat/>
    <w:uiPriority w:val="0"/>
    <w:rPr>
      <w:sz w:val="21"/>
      <w:szCs w:val="21"/>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3"/>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LiSu" w:eastAsia="LiSu"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STXihei" w:hAnsi="STXihei"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LiSu" w:eastAsia="LiSu"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STZhongsong" w:hAnsi="Times New Roman" w:eastAsia="STZhongsong"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7380</Words>
  <Characters>7745</Characters>
  <Lines>39</Lines>
  <Paragraphs>11</Paragraphs>
  <TotalTime>0</TotalTime>
  <ScaleCrop>false</ScaleCrop>
  <LinksUpToDate>false</LinksUpToDate>
  <CharactersWithSpaces>8297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Sally</cp:lastModifiedBy>
  <cp:lastPrinted>2023-05-09T13:58:00Z</cp:lastPrinted>
  <dcterms:modified xsi:type="dcterms:W3CDTF">2023-05-18T06:14:25Z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3733F03034144DB494E287738985BEA0</vt:lpwstr>
  </property>
</Properties>
</file>