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/>
          <w:sz w:val="36"/>
          <w:szCs w:val="44"/>
        </w:rPr>
        <w:t>城开高速公路A1合同段后续工程招标最高投标限价编制</w:t>
      </w:r>
      <w:r>
        <w:rPr>
          <w:rFonts w:hint="eastAsia"/>
          <w:sz w:val="36"/>
          <w:szCs w:val="44"/>
          <w:lang w:val="en-US" w:eastAsia="zh-CN"/>
        </w:rPr>
        <w:t>竞争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性比选结果</w:t>
      </w: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</w:p>
    <w:tbl>
      <w:tblPr>
        <w:tblStyle w:val="2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40"/>
        <w:gridCol w:w="240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中昕国际项目管理有限公司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383,900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912CB"/>
    <w:rsid w:val="5EBB2DAA"/>
    <w:rsid w:val="621912CB"/>
    <w:rsid w:val="748A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Office_11.8.2.11460_F1E327BC-269C-435d-A152-05C5408002CA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2023-04-17T03:47:00Z</dcterms:created>
  <dc:creator>袁颖</dc:creator>
  <cp:lastModifiedBy>袁颖</cp:lastModifiedBy>
  <dcterms:modified xsi:type="dcterms:W3CDTF">2023-04-18T06:38:54Z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2052-11.8.2.11460</vt:lpwstr>
  </property>
  <property fmtid="{D5CDD505-2E9C-101B-9397-08002B2CF9AE}" pid="3" name="ICV">
    <vt:lpwstr>9331A96B4A8B4DE382494A975885DAE3</vt:lpwstr>
  </property>
</Properties>
</file>