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楷体" w:hAnsi="楷体" w:eastAsia="楷体" w:cs="楷体"/>
          <w:b/>
          <w:bCs/>
          <w:color w:val="000000" w:themeColor="text1"/>
          <w:w w:val="99"/>
          <w:kern w:val="0"/>
          <w:sz w:val="44"/>
          <w:szCs w:val="44"/>
        </w:rPr>
      </w:pPr>
      <w:r>
        <w:rPr>
          <w:rFonts w:hint="eastAsia" w:ascii="楷体" w:hAnsi="楷体" w:eastAsia="楷体" w:cs="楷体"/>
          <w:b/>
          <w:bCs/>
          <w:color w:val="000000" w:themeColor="text1"/>
          <w:w w:val="99"/>
          <w:kern w:val="0"/>
          <w:sz w:val="44"/>
          <w:szCs w:val="44"/>
        </w:rPr>
        <w:t>重庆高速国储能源投资有限公司</w:t>
      </w:r>
    </w:p>
    <w:p>
      <w:pPr>
        <w:spacing w:line="560" w:lineRule="exact"/>
        <w:jc w:val="center"/>
        <w:rPr>
          <w:rFonts w:ascii="楷体" w:hAnsi="楷体" w:eastAsia="楷体" w:cs="楷体"/>
          <w:b/>
          <w:bCs/>
          <w:color w:val="000000" w:themeColor="text1"/>
          <w:w w:val="99"/>
          <w:kern w:val="0"/>
          <w:sz w:val="44"/>
          <w:szCs w:val="44"/>
        </w:rPr>
      </w:pPr>
    </w:p>
    <w:p>
      <w:pPr>
        <w:spacing w:line="560" w:lineRule="exact"/>
        <w:jc w:val="center"/>
        <w:rPr>
          <w:rFonts w:ascii="楷体" w:hAnsi="楷体" w:eastAsia="楷体" w:cs="楷体"/>
          <w:color w:val="000000" w:themeColor="text1"/>
          <w:spacing w:val="60"/>
          <w:sz w:val="44"/>
          <w:szCs w:val="44"/>
        </w:rPr>
      </w:pPr>
      <w:r>
        <w:rPr>
          <w:rFonts w:hint="eastAsia" w:ascii="楷体" w:hAnsi="楷体" w:eastAsia="楷体" w:cs="楷体"/>
          <w:b/>
          <w:bCs/>
          <w:color w:val="000000" w:themeColor="text1"/>
          <w:w w:val="99"/>
          <w:kern w:val="0"/>
          <w:sz w:val="44"/>
          <w:szCs w:val="44"/>
        </w:rPr>
        <w:t>加油站彩钢顶棚进行维护及增加站房爬梯项目</w:t>
      </w:r>
    </w:p>
    <w:p>
      <w:pPr>
        <w:spacing w:line="560" w:lineRule="exact"/>
        <w:rPr>
          <w:rFonts w:ascii="楷体" w:hAnsi="楷体" w:eastAsia="楷体" w:cs="楷体"/>
          <w:color w:val="000000" w:themeColor="text1"/>
          <w:szCs w:val="21"/>
        </w:rPr>
      </w:pPr>
    </w:p>
    <w:p>
      <w:pPr>
        <w:spacing w:line="560" w:lineRule="exact"/>
        <w:rPr>
          <w:rFonts w:ascii="楷体" w:hAnsi="楷体" w:eastAsia="楷体" w:cs="楷体"/>
          <w:color w:val="000000" w:themeColor="text1"/>
          <w:szCs w:val="21"/>
        </w:rPr>
      </w:pPr>
    </w:p>
    <w:p>
      <w:pPr>
        <w:spacing w:line="560" w:lineRule="exact"/>
        <w:rPr>
          <w:rFonts w:ascii="楷体" w:hAnsi="楷体" w:eastAsia="楷体" w:cs="楷体"/>
          <w:color w:val="000000" w:themeColor="text1"/>
          <w:szCs w:val="21"/>
        </w:rPr>
      </w:pPr>
    </w:p>
    <w:p>
      <w:pPr>
        <w:spacing w:line="700" w:lineRule="exact"/>
        <w:rPr>
          <w:rFonts w:ascii="楷体" w:hAnsi="楷体" w:eastAsia="楷体" w:cs="楷体"/>
          <w:color w:val="000000" w:themeColor="text1"/>
          <w:szCs w:val="21"/>
        </w:rPr>
      </w:pPr>
    </w:p>
    <w:p>
      <w:pPr>
        <w:adjustRightInd w:val="0"/>
        <w:spacing w:line="700" w:lineRule="exact"/>
        <w:ind w:firstLine="454"/>
        <w:textAlignment w:val="baseline"/>
        <w:rPr>
          <w:rFonts w:ascii="楷体" w:hAnsi="楷体" w:eastAsia="楷体" w:cs="楷体"/>
          <w:color w:val="000000" w:themeColor="text1"/>
          <w:szCs w:val="21"/>
        </w:rPr>
      </w:pPr>
    </w:p>
    <w:p>
      <w:pPr>
        <w:adjustRightInd w:val="0"/>
        <w:spacing w:line="720" w:lineRule="exact"/>
        <w:ind w:firstLine="454"/>
        <w:jc w:val="center"/>
        <w:textAlignment w:val="baseline"/>
        <w:rPr>
          <w:rFonts w:ascii="楷体" w:hAnsi="楷体" w:eastAsia="楷体" w:cs="楷体"/>
          <w:b/>
          <w:color w:val="000000" w:themeColor="text1"/>
          <w:spacing w:val="20"/>
          <w:sz w:val="72"/>
          <w:szCs w:val="72"/>
        </w:rPr>
      </w:pPr>
      <w:r>
        <w:rPr>
          <w:rFonts w:hint="eastAsia" w:ascii="楷体" w:hAnsi="楷体" w:eastAsia="楷体" w:cs="楷体"/>
          <w:b/>
          <w:color w:val="000000" w:themeColor="text1"/>
          <w:spacing w:val="20"/>
          <w:sz w:val="72"/>
          <w:szCs w:val="72"/>
        </w:rPr>
        <w:t>竞争性比选文件</w:t>
      </w:r>
    </w:p>
    <w:p>
      <w:pPr>
        <w:spacing w:line="700" w:lineRule="exact"/>
        <w:jc w:val="center"/>
        <w:rPr>
          <w:rFonts w:ascii="楷体" w:hAnsi="楷体" w:eastAsia="楷体" w:cs="楷体"/>
          <w:b/>
          <w:color w:val="000000" w:themeColor="text1"/>
          <w:spacing w:val="20"/>
          <w:sz w:val="72"/>
          <w:szCs w:val="72"/>
        </w:rPr>
      </w:pPr>
    </w:p>
    <w:p>
      <w:pPr>
        <w:spacing w:line="560" w:lineRule="exact"/>
        <w:ind w:left="-630" w:right="-613"/>
        <w:jc w:val="center"/>
        <w:rPr>
          <w:rFonts w:ascii="楷体" w:hAnsi="楷体" w:eastAsia="楷体" w:cs="楷体"/>
          <w:bCs/>
          <w:color w:val="000000" w:themeColor="text1"/>
          <w:sz w:val="36"/>
          <w:szCs w:val="36"/>
        </w:rPr>
      </w:pPr>
    </w:p>
    <w:p>
      <w:pPr>
        <w:widowControl/>
        <w:autoSpaceDE w:val="0"/>
        <w:autoSpaceDN w:val="0"/>
        <w:spacing w:line="560" w:lineRule="exact"/>
        <w:jc w:val="center"/>
        <w:textAlignment w:val="bottom"/>
        <w:rPr>
          <w:rFonts w:ascii="楷体" w:hAnsi="楷体" w:eastAsia="楷体" w:cs="楷体"/>
          <w:color w:val="000000" w:themeColor="text1"/>
          <w:spacing w:val="30"/>
          <w:sz w:val="36"/>
          <w:szCs w:val="36"/>
        </w:rPr>
      </w:pPr>
    </w:p>
    <w:p>
      <w:pPr>
        <w:spacing w:line="560" w:lineRule="exact"/>
        <w:rPr>
          <w:rFonts w:ascii="楷体" w:hAnsi="楷体" w:eastAsia="楷体" w:cs="楷体"/>
          <w:color w:val="000000" w:themeColor="text1"/>
          <w:szCs w:val="21"/>
        </w:rPr>
      </w:pPr>
    </w:p>
    <w:p>
      <w:pPr>
        <w:spacing w:line="560" w:lineRule="exact"/>
        <w:rPr>
          <w:rFonts w:ascii="楷体" w:hAnsi="楷体" w:eastAsia="楷体" w:cs="楷体"/>
          <w:color w:val="000000" w:themeColor="text1"/>
          <w:szCs w:val="21"/>
        </w:rPr>
      </w:pPr>
    </w:p>
    <w:p>
      <w:pPr>
        <w:spacing w:line="560" w:lineRule="exact"/>
        <w:rPr>
          <w:rFonts w:ascii="楷体" w:hAnsi="楷体" w:eastAsia="楷体" w:cs="楷体"/>
          <w:color w:val="000000" w:themeColor="text1"/>
          <w:szCs w:val="21"/>
        </w:rPr>
      </w:pPr>
    </w:p>
    <w:p>
      <w:pPr>
        <w:spacing w:line="560" w:lineRule="exact"/>
        <w:rPr>
          <w:rFonts w:ascii="楷体" w:hAnsi="楷体" w:eastAsia="楷体" w:cs="楷体"/>
          <w:color w:val="000000" w:themeColor="text1"/>
          <w:spacing w:val="100"/>
          <w:szCs w:val="21"/>
        </w:rPr>
      </w:pPr>
    </w:p>
    <w:p>
      <w:pPr>
        <w:spacing w:line="560" w:lineRule="exact"/>
        <w:jc w:val="center"/>
        <w:rPr>
          <w:rFonts w:ascii="楷体" w:hAnsi="楷体" w:eastAsia="楷体" w:cs="楷体"/>
          <w:color w:val="000000" w:themeColor="text1"/>
          <w:spacing w:val="100"/>
          <w:szCs w:val="21"/>
        </w:rPr>
      </w:pPr>
    </w:p>
    <w:p>
      <w:pPr>
        <w:widowControl/>
        <w:spacing w:line="560" w:lineRule="exact"/>
        <w:jc w:val="center"/>
        <w:rPr>
          <w:rFonts w:ascii="楷体" w:hAnsi="楷体" w:eastAsia="楷体" w:cs="楷体"/>
          <w:b/>
          <w:bCs/>
          <w:color w:val="000000" w:themeColor="text1"/>
          <w:w w:val="99"/>
          <w:kern w:val="0"/>
          <w:sz w:val="32"/>
          <w:szCs w:val="32"/>
        </w:rPr>
      </w:pPr>
      <w:r>
        <w:rPr>
          <w:rFonts w:hint="eastAsia" w:ascii="楷体" w:hAnsi="楷体" w:eastAsia="楷体" w:cs="楷体"/>
          <w:b/>
          <w:bCs/>
          <w:color w:val="000000" w:themeColor="text1"/>
          <w:w w:val="99"/>
          <w:kern w:val="0"/>
          <w:sz w:val="32"/>
          <w:szCs w:val="32"/>
        </w:rPr>
        <w:t>重庆高速国储能源投资有限公司</w:t>
      </w:r>
    </w:p>
    <w:p>
      <w:pPr>
        <w:pStyle w:val="12"/>
        <w:snapToGrid w:val="0"/>
        <w:spacing w:line="560" w:lineRule="exact"/>
        <w:ind w:firstLine="572" w:firstLineChars="150"/>
        <w:jc w:val="both"/>
        <w:rPr>
          <w:rFonts w:ascii="楷体" w:hAnsi="楷体" w:eastAsia="楷体" w:cs="楷体"/>
          <w:bCs/>
          <w:color w:val="000000" w:themeColor="text1"/>
          <w:sz w:val="21"/>
          <w:szCs w:val="21"/>
        </w:rPr>
      </w:pPr>
      <w:r>
        <w:rPr>
          <w:rFonts w:hint="eastAsia" w:ascii="楷体" w:hAnsi="楷体" w:eastAsia="楷体" w:cs="楷体"/>
          <w:bCs/>
          <w:color w:val="000000" w:themeColor="text1"/>
          <w:sz w:val="32"/>
          <w:szCs w:val="32"/>
        </w:rPr>
        <w:t xml:space="preserve">           二0二三年四月</w:t>
      </w:r>
    </w:p>
    <w:p>
      <w:pPr>
        <w:pStyle w:val="3"/>
        <w:tabs>
          <w:tab w:val="left" w:pos="1319"/>
        </w:tabs>
        <w:spacing w:before="140" w:line="240" w:lineRule="auto"/>
        <w:ind w:right="487"/>
        <w:rPr>
          <w:rFonts w:ascii="楷体" w:hAnsi="楷体" w:eastAsia="楷体" w:cs="楷体"/>
          <w:color w:val="000000" w:themeColor="text1"/>
        </w:rPr>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907" w:gutter="0"/>
          <w:cols w:space="720" w:num="1"/>
          <w:rtlGutter w:val="1"/>
          <w:docGrid w:type="lines" w:linePitch="579" w:charSpace="0"/>
        </w:sectPr>
      </w:pPr>
    </w:p>
    <w:p>
      <w:pPr>
        <w:pStyle w:val="3"/>
        <w:tabs>
          <w:tab w:val="left" w:pos="1319"/>
        </w:tabs>
        <w:spacing w:before="140" w:line="240" w:lineRule="auto"/>
        <w:ind w:right="487"/>
        <w:jc w:val="center"/>
        <w:rPr>
          <w:rFonts w:ascii="楷体" w:hAnsi="楷体" w:eastAsia="楷体" w:cs="楷体"/>
          <w:color w:val="000000" w:themeColor="text1"/>
        </w:rPr>
      </w:pPr>
      <w:r>
        <w:rPr>
          <w:rFonts w:hint="eastAsia" w:ascii="楷体" w:hAnsi="楷体" w:eastAsia="楷体" w:cs="楷体"/>
          <w:color w:val="000000" w:themeColor="text1"/>
        </w:rPr>
        <w:t>目</w:t>
      </w:r>
      <w:r>
        <w:rPr>
          <w:rFonts w:hint="eastAsia" w:ascii="楷体" w:hAnsi="楷体" w:eastAsia="楷体" w:cs="楷体"/>
          <w:color w:val="000000" w:themeColor="text1"/>
        </w:rPr>
        <w:tab/>
      </w:r>
      <w:r>
        <w:rPr>
          <w:rFonts w:hint="eastAsia" w:ascii="楷体" w:hAnsi="楷体" w:eastAsia="楷体" w:cs="楷体"/>
          <w:color w:val="000000" w:themeColor="text1"/>
        </w:rPr>
        <w:t>　录</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一、项目概况</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（一）施工地点</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（二）施工内容及范围</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（三）施工工期</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（四）工程施工材料要求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（五）其他说明</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二、比选申请人资质条件要求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2</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三、报价须知</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3</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四、报价文件递交时间及开标时间</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5</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五、评标办法</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5</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六、报价文件制作要求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8</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（一）资质文件内容要求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8</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（二）商务文件内容要求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8</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（三）技术文件内容要求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8</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（四）报价文件填写要求</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9</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七、报价文件目录</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9</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八、中选公示及中选通知</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9</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kern w:val="2"/>
          <w:sz w:val="32"/>
          <w:szCs w:val="32"/>
        </w:rPr>
        <w:t>九、付款方式</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10</w:t>
      </w:r>
    </w:p>
    <w:p>
      <w:pPr>
        <w:pStyle w:val="8"/>
        <w:tabs>
          <w:tab w:val="left" w:leader="dot" w:pos="8927"/>
        </w:tabs>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kern w:val="2"/>
          <w:sz w:val="32"/>
          <w:szCs w:val="32"/>
        </w:rPr>
        <w:t>十、廉政约定</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10</w:t>
      </w:r>
    </w:p>
    <w:p>
      <w:pPr>
        <w:pStyle w:val="8"/>
        <w:tabs>
          <w:tab w:val="left" w:leader="dot" w:pos="8927"/>
        </w:tabs>
        <w:spacing w:line="560" w:lineRule="exact"/>
        <w:rPr>
          <w:rFonts w:ascii="楷体" w:hAnsi="楷体" w:eastAsia="楷体" w:cs="楷体"/>
          <w:color w:val="000000" w:themeColor="text1"/>
          <w:sz w:val="32"/>
          <w:szCs w:val="32"/>
        </w:rPr>
        <w:sectPr>
          <w:footerReference r:id="rId8" w:type="default"/>
          <w:footerReference r:id="rId9" w:type="even"/>
          <w:pgSz w:w="11906" w:h="16838"/>
          <w:pgMar w:top="2098" w:right="1474" w:bottom="1984" w:left="1587" w:header="851" w:footer="907" w:gutter="0"/>
          <w:cols w:space="720" w:num="1"/>
          <w:rtlGutter w:val="1"/>
          <w:docGrid w:type="lines" w:linePitch="579" w:charSpace="0"/>
        </w:sectPr>
      </w:pPr>
      <w:r>
        <w:rPr>
          <w:rFonts w:hint="eastAsia" w:ascii="楷体" w:hAnsi="楷体" w:eastAsia="楷体" w:cs="楷体"/>
          <w:color w:val="000000" w:themeColor="text1"/>
          <w:sz w:val="32"/>
          <w:szCs w:val="32"/>
        </w:rPr>
        <w:t>十一、联系方式</w:t>
      </w:r>
      <w:r>
        <w:rPr>
          <w:rFonts w:hint="eastAsia" w:ascii="楷体" w:hAnsi="楷体" w:eastAsia="楷体" w:cs="楷体"/>
          <w:color w:val="000000" w:themeColor="text1"/>
          <w:sz w:val="32"/>
          <w:szCs w:val="32"/>
        </w:rPr>
        <w:tab/>
      </w:r>
      <w:r>
        <w:rPr>
          <w:rFonts w:hint="eastAsia" w:ascii="楷体" w:hAnsi="楷体" w:eastAsia="楷体" w:cs="楷体"/>
          <w:color w:val="000000" w:themeColor="text1"/>
          <w:sz w:val="32"/>
          <w:szCs w:val="32"/>
        </w:rPr>
        <w:t>10</w:t>
      </w:r>
    </w:p>
    <w:p>
      <w:pPr>
        <w:spacing w:line="560" w:lineRule="exact"/>
        <w:ind w:firstLine="640" w:firstLineChars="200"/>
        <w:jc w:val="lef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重庆高速国储能源投资有限公司加油站彩钢顶棚进行维护及增加站房爬梯项目（以下称“本项目”）由重庆高速国储能源投资有限公司（以下称“比选人”）负责立项和施工单位的选择，根据《重庆高速公路集团有限公司关于修订重庆高速公路集团有限公司招标投标管理办法的通知》（渝高速发〔2021〕88号）文件精神，现对施工单位进行确定，开展竞争性择优选择询价工作，具体要求如下：</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一、项目概况</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（一）施工地点：万古服务区双侧加油站；开州服务区双侧加油站；双槐服务区双侧加油站；北碚服务区双侧加油站；巴南服务区单侧加油站；青杠服务区单侧加油站。</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（二）施工内容及范围</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包括但不限高速国储各投营加油站彩钢顶棚进行维护及增加站房爬梯。</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（三）施工工期：30天。</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（四）工程施工材料及技术要求</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1、为保证工程质量，比选人要求本工程所使用的材料均应满足国家及行业规范、标准等相关规定，比选申请人应结合自身实际进行报价。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（五）其他说明</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本次项目比选完成后，中标人与比选人签订施工合同，并按照合同约定支付合同价款，履行各方权利义务。</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二、比选响应人资质条件要求</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本次比选响应人须为独立法人资格，并满足以下条件：</w:t>
      </w:r>
    </w:p>
    <w:p>
      <w:pPr>
        <w:spacing w:line="56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1、资质要求：</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根据项目具体情况，资质要求为：</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 xml:space="preserve">（1）具备有效的营业执照； </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（2）具备建设行政主管部门颁发钢结构工程专业承包三级及以上资质及以上资质；</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（3）具备有效的安全生产许可证</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　　2、业绩要求</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在近3年内（以交工或完工时间为准）至少独立完成过高速公路上的类似工程（指合同中含钢结构维护施工）且合同金额不低于40万的业绩（提供中标通知书或施工合同或竣工验收证明文件任一资料）。</w:t>
      </w:r>
      <w:r>
        <w:rPr>
          <w:rFonts w:hint="eastAsia" w:ascii="楷体" w:hAnsi="楷体" w:eastAsia="楷体" w:cs="楷体"/>
          <w:color w:val="000000" w:themeColor="text1"/>
          <w:sz w:val="32"/>
          <w:szCs w:val="32"/>
        </w:rPr>
        <w:cr/>
      </w:r>
      <w:r>
        <w:rPr>
          <w:rFonts w:hint="eastAsia" w:ascii="楷体" w:hAnsi="楷体" w:eastAsia="楷体" w:cs="楷体"/>
          <w:color w:val="000000" w:themeColor="text1"/>
          <w:sz w:val="32"/>
          <w:szCs w:val="32"/>
        </w:rPr>
        <w:t xml:space="preserve">    3、有良好的社会信誉，3年内无违法执业或违法行为，在“信用中国”网站（http://www.creditchina.gov.cn/）中被列入失信被执行人名单（黑名单）的单位，不得参加比选（提供承诺，格式自拟）。</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三、报价须知</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本项目拟根据国家现行法律法规、《重庆市招标投标条例》及高速集团、资产公司相关规定，并结合公司具体情况，本项目拟在高速集团招投标平台公开挂网竞争性比选。高速集团官网（http://www.cegc.com.cn/gw/index）、高速集团招投标平台（</w:t>
      </w:r>
      <w:r>
        <w:fldChar w:fldCharType="begin"/>
      </w:r>
      <w:r>
        <w:instrText xml:space="preserve"> HYPERLINK "http://43.240.249.108:8088" </w:instrText>
      </w:r>
      <w:r>
        <w:fldChar w:fldCharType="separate"/>
      </w:r>
      <w:r>
        <w:rPr>
          <w:rFonts w:hint="eastAsia" w:ascii="楷体" w:hAnsi="楷体" w:eastAsia="楷体" w:cs="楷体"/>
          <w:color w:val="000000" w:themeColor="text1"/>
          <w:sz w:val="32"/>
          <w:szCs w:val="32"/>
        </w:rPr>
        <w:t>http://43.240.249.108:8088</w:t>
      </w:r>
      <w:r>
        <w:rPr>
          <w:rFonts w:hint="eastAsia" w:ascii="楷体" w:hAnsi="楷体" w:eastAsia="楷体" w:cs="楷体"/>
          <w:color w:val="000000" w:themeColor="text1"/>
          <w:sz w:val="32"/>
          <w:szCs w:val="32"/>
        </w:rPr>
        <w:fldChar w:fldCharType="end"/>
      </w:r>
      <w:r>
        <w:rPr>
          <w:rFonts w:hint="eastAsia" w:ascii="楷体" w:hAnsi="楷体" w:eastAsia="楷体" w:cs="楷体"/>
          <w:color w:val="000000" w:themeColor="text1"/>
          <w:sz w:val="32"/>
          <w:szCs w:val="32"/>
        </w:rPr>
        <w:t>）上自行下载竞争性比选文件等全部内容。不管下载与否都视为潜在比选申请人全部知晓有关比选过程和全部内容。</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（一）比选申请人按照比选人给出的施工图进行施工，工艺完全按照施工图及清单的要求进行。比选申请人按比选文件给定的报价清单进行报价，不得改动。</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（二）比选申请人应按照国家及行业相关规定办理项目相关保险，足额缴纳保险费用，费用包含在相关报价中，不再另行报价；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（三）因承包本合同工程需缴纳的一切税费均由比选申请人承担（含税金），在施工过程中所有税费均由比选申请人自行缴纳，费用包含在价格中，不再进行单独报价；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（四）报价</w:t>
      </w:r>
      <w:bookmarkStart w:id="4" w:name="_GoBack"/>
      <w:bookmarkEnd w:id="4"/>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1、工程计价方式：本工程采用工程量清单计价。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2、投标报价范围：各投标人对招标人提供的工程量清单，结合施工图纸进行报价。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3、报价原则：</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报价原则：本招标工程由投标单位以招标文件、合同条件、工程量清单、本次招标范围的施工设计图、现场踏勘情况、国家技术和经济规范及标准、《建设工程工程量清单计价规范》（GB50500-2013）、《房屋建筑与装饰工程工程量计算规范》（GB50854-2013）、《市政工程工程量计算规范》（GB50857-2013）、《通用安装工程工程量计算规范》（GB50856-2013）、《重庆市建设工程工程量清单计价规则》（CQJJGZ-2013）、《重庆市建设工程工程量计算规则》（CQJLGZ－2013）、《重庆市房屋建筑与装饰工程计价定额》（CQJZDE-2018）、《重庆市市政工程计价定额》（CQSZDE-2018）、《重庆市通用安装工程计价定额》（CQAZDE-2018）、《重庆市建设工程费用定额》（CQFYDE-2018）、《重庆市房屋修缮工程计价定额》（CQXSDE-2018）、《重庆市建筑工程混凝土及砂浆配合比表定额》（CQPHBB-2018）、《重庆市建筑工程施工机械台班定额》（CQFYDE-2018）、《重庆市建筑工程施工仪器仪表台班定额》（CQYQYBDE-2018）、《重庆市住房和城乡建设委员会关于适用增值税新税率调整建设工程计价依据的通知》（渝建〔2019〕143号文）和相关配套文件解释为依据，各投标人结合自身实力和市场情况自行报价。</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4、安全文明施工费：</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5.根据《重庆市建设工程费用定额》（CQFYDE-2018）和“渝建发〔2014〕25号，渝建发〔2016〕35号”规定，安全文明施工费由安全施工费、文明施工费、环境保护费及临时设施费四部分组成。</w:t>
      </w:r>
    </w:p>
    <w:p>
      <w:pPr>
        <w:spacing w:line="52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（五）结算原则</w:t>
      </w:r>
    </w:p>
    <w:p>
      <w:pPr>
        <w:spacing w:line="520" w:lineRule="exact"/>
        <w:ind w:firstLine="320" w:firstLineChars="1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报价清单中单价在合同执行过程中保持固定不变（除特别说明项外）。若有数量或新增项的变更，按照：</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一是合同中已有适用于变更工程的价格，按合同已有的价格计算、变更合同价款；</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二是合同中只有类似于变更工程的价格，可以参照此价格确定变更价格，变更合同价款；</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（七）报价清单中各项金额均以人民币（元）结算。</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（八）工程量清单需加盖比选响应单位的公章。</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（九）本项目最高限价为</w:t>
      </w:r>
      <w:r>
        <w:rPr>
          <w:rFonts w:hint="eastAsia" w:ascii="楷体" w:hAnsi="楷体" w:eastAsia="楷体" w:cs="楷体"/>
          <w:color w:val="auto"/>
          <w:sz w:val="32"/>
          <w:szCs w:val="32"/>
          <w:highlight w:val="none"/>
        </w:rPr>
        <w:t>547,033.67</w:t>
      </w:r>
      <w:r>
        <w:rPr>
          <w:rFonts w:hint="eastAsia" w:ascii="楷体" w:hAnsi="楷体" w:eastAsia="楷体" w:cs="楷体"/>
          <w:color w:val="000000" w:themeColor="text1"/>
          <w:sz w:val="32"/>
          <w:szCs w:val="32"/>
        </w:rPr>
        <w:t xml:space="preserve">元（大写：伍拾肆万柒仟零叁拾叁元陆角柒分）。 </w:t>
      </w:r>
    </w:p>
    <w:p>
      <w:pPr>
        <w:spacing w:line="520" w:lineRule="exact"/>
        <w:ind w:firstLine="642"/>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（十）竞争性比选申请人不得修改工程量清单内列明的暂列金、暂定金额。</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四、报价文件递交时间及开标时间</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（一）报价文件递交时间</w:t>
      </w:r>
    </w:p>
    <w:p>
      <w:pPr>
        <w:spacing w:line="52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auto"/>
          <w:sz w:val="32"/>
          <w:szCs w:val="32"/>
        </w:rPr>
        <w:t>2023年4月14日，截止时间为上午10：00(</w:t>
      </w:r>
      <w:r>
        <w:rPr>
          <w:rFonts w:hint="eastAsia" w:ascii="楷体" w:hAnsi="楷体" w:eastAsia="楷体" w:cs="楷体"/>
          <w:color w:val="000000" w:themeColor="text1"/>
          <w:sz w:val="32"/>
          <w:szCs w:val="32"/>
        </w:rPr>
        <w:t>北京时间)</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（二）报价文件递交地点</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重庆高速国储能源投资有限公司大会议室</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（三）报价文件开标时间</w:t>
      </w:r>
    </w:p>
    <w:p>
      <w:pPr>
        <w:spacing w:line="52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2023年4月14日上午10点00分（北京时间）</w:t>
      </w: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（四）报价文件开标地点</w:t>
      </w: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重庆高速国储能源投资有限公司大会议室</w:t>
      </w:r>
    </w:p>
    <w:p>
      <w:pPr>
        <w:spacing w:line="520" w:lineRule="exact"/>
        <w:ind w:firstLine="642"/>
        <w:rPr>
          <w:rFonts w:ascii="方正黑体_GBK" w:eastAsia="方正黑体_GBK" w:cs="方正黑体_GBK"/>
          <w:sz w:val="32"/>
          <w:szCs w:val="32"/>
        </w:rPr>
      </w:pPr>
      <w:r>
        <w:rPr>
          <w:rFonts w:hint="eastAsia" w:ascii="方正黑体_GBK" w:eastAsia="方正黑体_GBK" w:cs="方正黑体_GBK"/>
          <w:sz w:val="32"/>
          <w:szCs w:val="32"/>
        </w:rPr>
        <w:t>五、投标保证金</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（一）投标保证金递交</w:t>
      </w:r>
    </w:p>
    <w:p>
      <w:pPr>
        <w:spacing w:line="520" w:lineRule="exact"/>
        <w:ind w:firstLine="642"/>
        <w:rPr>
          <w:rFonts w:ascii="方正仿宋_GBK" w:eastAsia="方正仿宋_GBK" w:cs="方正仿宋_GBK"/>
          <w:bCs/>
          <w:color w:val="auto"/>
          <w:sz w:val="32"/>
          <w:szCs w:val="32"/>
        </w:rPr>
      </w:pPr>
      <w:r>
        <w:rPr>
          <w:rFonts w:hint="eastAsia" w:ascii="方正仿宋_GBK" w:eastAsia="方正仿宋_GBK" w:cs="方正仿宋_GBK"/>
          <w:bCs/>
          <w:sz w:val="32"/>
          <w:szCs w:val="32"/>
        </w:rPr>
        <w:t>1.投标人应足额交纳投标保证金（保证金金额：3000元），投标保证金的到账截止时间为</w:t>
      </w:r>
      <w:r>
        <w:rPr>
          <w:rFonts w:hint="eastAsia" w:ascii="方正仿宋_GBK" w:eastAsia="方正仿宋_GBK" w:cs="方正仿宋_GBK"/>
          <w:bCs/>
          <w:color w:val="auto"/>
          <w:sz w:val="32"/>
          <w:szCs w:val="32"/>
        </w:rPr>
        <w:t>2023年4月13日</w:t>
      </w:r>
      <w:r>
        <w:rPr>
          <w:rFonts w:hint="eastAsia" w:ascii="楷体" w:hAnsi="楷体" w:eastAsia="楷体" w:cs="楷体"/>
          <w:color w:val="auto"/>
          <w:sz w:val="32"/>
          <w:szCs w:val="32"/>
        </w:rPr>
        <w:t>下午17点00分（北京时间）</w:t>
      </w:r>
      <w:r>
        <w:rPr>
          <w:rFonts w:hint="eastAsia" w:ascii="方正仿宋_GBK" w:eastAsia="方正仿宋_GBK" w:cs="方正仿宋_GBK"/>
          <w:bCs/>
          <w:color w:val="auto"/>
          <w:sz w:val="32"/>
          <w:szCs w:val="32"/>
        </w:rPr>
        <w:t>。</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2.投标人从本单位的基本账户(开户行)，通过转账支票直接划付或以电汇方式直接划付至比选人指定的投标保证金账户，以到账时间为准，否则，投标保证金无效。投标人自行考虑汇入时间风险，如同城汇入、异地汇入、跨行汇入的时间要求（账户名称：重庆高速国储能源投资有限公司；账户号码：3100021519024714746；开户行：工行两路口较场口支行）。</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3、投标人必须将投标保证金划付至指定账户中才有效，投标保证金指定账户由投标人领取竞争性比选文件时一并领取。</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4、投标人必须在付款凭证备注栏中注明是“(项目名称)投标保证金”。(可简写项目名称)</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（二）投标单位缴纳投标保证金后在开标前将付款凭证复印件或扫描件（纸质版）交至高速国储工程管理部办公室。</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（三）下列任何情况发生时，投标保证金将被没收：</w:t>
      </w:r>
    </w:p>
    <w:p>
      <w:pPr>
        <w:spacing w:line="520" w:lineRule="exact"/>
        <w:ind w:firstLine="640" w:firstLineChars="200"/>
        <w:rPr>
          <w:rFonts w:ascii="方正仿宋_GBK" w:eastAsia="方正仿宋_GBK" w:cs="方正仿宋_GBK"/>
          <w:bCs/>
          <w:sz w:val="32"/>
          <w:szCs w:val="32"/>
        </w:rPr>
      </w:pPr>
      <w:r>
        <w:rPr>
          <w:rFonts w:hint="eastAsia" w:ascii="方正仿宋_GBK" w:eastAsia="方正仿宋_GBK" w:cs="方正仿宋_GBK"/>
          <w:bCs/>
          <w:sz w:val="32"/>
          <w:szCs w:val="32"/>
        </w:rPr>
        <w:t xml:space="preserve">1.投标人在招标文件中规定的投标有效期内撤回其投标； </w:t>
      </w:r>
    </w:p>
    <w:p>
      <w:pPr>
        <w:spacing w:line="520" w:lineRule="exact"/>
        <w:ind w:firstLine="640" w:firstLineChars="200"/>
        <w:rPr>
          <w:rFonts w:ascii="方正仿宋_GBK" w:eastAsia="方正仿宋_GBK" w:cs="方正仿宋_GBK"/>
          <w:bCs/>
          <w:sz w:val="32"/>
          <w:szCs w:val="32"/>
        </w:rPr>
      </w:pPr>
      <w:r>
        <w:rPr>
          <w:rFonts w:hint="eastAsia" w:ascii="方正仿宋_GBK" w:eastAsia="方正仿宋_GBK" w:cs="方正仿宋_GBK"/>
          <w:bCs/>
          <w:sz w:val="32"/>
          <w:szCs w:val="32"/>
        </w:rPr>
        <w:t>2.中标人在规定期限内未能根据投标人按规定签订合同或按规定接受对错误的修正。</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（四）保证金退还方式</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1.未中标投标人的保证金，在中标通知书发放后，重庆高速国储能源投资有限公司在五个工作日内按来款渠道无息直接退还。</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2.中标人的投标保证金，在中标人与采购人签订合同后，重庆高速国储能源投资有限公司在五个工作日内按资金来款渠道无息直接退还。</w:t>
      </w:r>
    </w:p>
    <w:p>
      <w:pPr>
        <w:spacing w:line="520" w:lineRule="exact"/>
        <w:ind w:firstLine="642"/>
        <w:rPr>
          <w:rFonts w:ascii="方正黑体_GBK" w:eastAsia="方正黑体_GBK" w:cs="方正黑体_GBK"/>
          <w:sz w:val="32"/>
          <w:szCs w:val="32"/>
        </w:rPr>
      </w:pPr>
      <w:r>
        <w:rPr>
          <w:rFonts w:hint="eastAsia" w:ascii="方正黑体_GBK" w:eastAsia="方正黑体_GBK" w:cs="方正黑体_GBK"/>
          <w:sz w:val="32"/>
          <w:szCs w:val="32"/>
        </w:rPr>
        <w:t>六、低价担保</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采用经评审的最低投标价法的，中标候选人的中标价格低于招标项目最高限价85%的，招标人在发出中标通知书之前，必须要求中标候选人额外提供风险担保（银行转账），担保额度＝(最高投标限价*0.85-投标人中标价)*3。</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领取中标通知书前，中标人应按招标人发出的〔低价风险担保缴款通知书〕要求，采用银行转账方式将低价风险担保金从拟中标单位的基本账户转入至招标人指定的专用账户内。中标人确认后，拟中标单位凭〔低价风险担保缴存确认函〕才能领取中标通知书。</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中标人必须在中标公示结束后10个工作日内缴清低价风险担保（如有），中标人未在招标文件要求的时间内缴纳低价风险担保金的视为自动放弃中标，投标保证金不予退还。</w:t>
      </w:r>
    </w:p>
    <w:p>
      <w:pPr>
        <w:spacing w:line="520" w:lineRule="exact"/>
        <w:ind w:firstLine="642"/>
        <w:rPr>
          <w:rFonts w:ascii="方正仿宋_GBK" w:eastAsia="方正仿宋_GBK" w:cs="方正仿宋_GBK"/>
          <w:bCs/>
          <w:sz w:val="32"/>
          <w:szCs w:val="32"/>
        </w:rPr>
      </w:pPr>
      <w:r>
        <w:rPr>
          <w:rFonts w:hint="eastAsia" w:ascii="方正仿宋_GBK" w:eastAsia="方正仿宋_GBK" w:cs="方正仿宋_GBK"/>
          <w:bCs/>
          <w:sz w:val="32"/>
          <w:szCs w:val="32"/>
        </w:rPr>
        <w:t>风险担保金应在完成合同约定的所有事项，并经甲方组织相关部门现场验收通过后，15个工作日内无息退还。中标人不能按照合同约定的标的、价款、履行期限等主要条款完成工程建设内容的，应当依法承担相应的担保责任。</w:t>
      </w:r>
    </w:p>
    <w:p>
      <w:pPr>
        <w:spacing w:line="520" w:lineRule="exact"/>
        <w:ind w:firstLine="642"/>
      </w:pPr>
      <w:r>
        <w:rPr>
          <w:rFonts w:hint="eastAsia" w:ascii="方正仿宋_GBK" w:eastAsia="方正仿宋_GBK" w:cs="方正仿宋_GBK"/>
          <w:bCs/>
          <w:sz w:val="32"/>
          <w:szCs w:val="32"/>
        </w:rPr>
        <w:t>投标人以低于最高限价85%中标的，签订合同时中标人派驻本项目的负责人必须到招标人处签订合同。</w:t>
      </w:r>
    </w:p>
    <w:p>
      <w:pPr>
        <w:spacing w:line="520" w:lineRule="exact"/>
        <w:ind w:left="640"/>
        <w:rPr>
          <w:rFonts w:ascii="方正黑体_GBK" w:eastAsia="方正黑体_GBK" w:cs="方正黑体_GBK"/>
          <w:sz w:val="32"/>
          <w:szCs w:val="32"/>
        </w:rPr>
      </w:pPr>
      <w:r>
        <w:rPr>
          <w:rFonts w:hint="eastAsia" w:ascii="方正黑体_GBK" w:eastAsia="方正黑体_GBK" w:cs="方正黑体_GBK"/>
          <w:sz w:val="32"/>
          <w:szCs w:val="32"/>
        </w:rPr>
        <w:t>七、评标办法</w:t>
      </w:r>
    </w:p>
    <w:p>
      <w:pPr>
        <w:spacing w:line="400" w:lineRule="exact"/>
        <w:rPr>
          <w:b/>
          <w:szCs w:val="21"/>
        </w:rPr>
      </w:pPr>
      <w:r>
        <w:rPr>
          <w:b/>
          <w:szCs w:val="21"/>
        </w:rPr>
        <w:t>评标办法（本项目采用</w:t>
      </w:r>
      <w:r>
        <w:rPr>
          <w:rFonts w:hint="eastAsia"/>
          <w:b/>
          <w:szCs w:val="21"/>
        </w:rPr>
        <w:t>经评审的最低价法</w:t>
      </w:r>
      <w:r>
        <w:rPr>
          <w:b/>
          <w:szCs w:val="21"/>
        </w:rPr>
        <w:t>）：</w:t>
      </w:r>
    </w:p>
    <w:tbl>
      <w:tblPr>
        <w:tblStyle w:val="17"/>
        <w:tblW w:w="100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47"/>
        <w:gridCol w:w="2240"/>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76" w:type="dxa"/>
            <w:noWrap/>
            <w:vAlign w:val="center"/>
          </w:tcPr>
          <w:p>
            <w:pPr>
              <w:jc w:val="center"/>
              <w:rPr>
                <w:rFonts w:ascii="宋体" w:hAnsi="宋体" w:cs="宋体"/>
                <w:b/>
                <w:kern w:val="0"/>
              </w:rPr>
            </w:pPr>
            <w:r>
              <w:rPr>
                <w:rFonts w:hint="eastAsia" w:ascii="宋体" w:hAnsi="宋体" w:cs="宋体"/>
                <w:b/>
                <w:kern w:val="0"/>
              </w:rPr>
              <w:t>条款号</w:t>
            </w:r>
          </w:p>
        </w:tc>
        <w:tc>
          <w:tcPr>
            <w:tcW w:w="1147" w:type="dxa"/>
            <w:noWrap/>
            <w:vAlign w:val="center"/>
          </w:tcPr>
          <w:p>
            <w:pPr>
              <w:jc w:val="center"/>
              <w:rPr>
                <w:rFonts w:ascii="宋体" w:hAnsi="宋体" w:cs="宋体"/>
                <w:b/>
                <w:kern w:val="0"/>
              </w:rPr>
            </w:pPr>
            <w:r>
              <w:rPr>
                <w:rFonts w:hint="eastAsia" w:ascii="宋体" w:hAnsi="宋体" w:cs="宋体"/>
                <w:b/>
                <w:kern w:val="0"/>
              </w:rPr>
              <w:t>条款名称</w:t>
            </w:r>
          </w:p>
        </w:tc>
        <w:tc>
          <w:tcPr>
            <w:tcW w:w="2240" w:type="dxa"/>
            <w:noWrap/>
            <w:vAlign w:val="center"/>
          </w:tcPr>
          <w:p>
            <w:pPr>
              <w:jc w:val="center"/>
              <w:rPr>
                <w:rFonts w:ascii="宋体" w:hAnsi="宋体" w:cs="宋体"/>
                <w:b/>
                <w:kern w:val="0"/>
              </w:rPr>
            </w:pPr>
            <w:r>
              <w:rPr>
                <w:rFonts w:hint="eastAsia" w:ascii="宋体" w:hAnsi="宋体" w:cs="宋体"/>
                <w:b/>
                <w:kern w:val="0"/>
              </w:rPr>
              <w:t>评审因素</w:t>
            </w:r>
          </w:p>
        </w:tc>
        <w:tc>
          <w:tcPr>
            <w:tcW w:w="5356" w:type="dxa"/>
            <w:noWrap/>
            <w:vAlign w:val="center"/>
          </w:tcPr>
          <w:p>
            <w:pPr>
              <w:jc w:val="center"/>
              <w:rPr>
                <w:rFonts w:ascii="宋体" w:hAnsi="宋体" w:cs="宋体"/>
                <w:b/>
                <w:kern w:val="0"/>
              </w:rPr>
            </w:pPr>
            <w:r>
              <w:rPr>
                <w:rFonts w:hint="eastAsia" w:ascii="宋体" w:hAnsi="宋体" w:cs="宋体"/>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76" w:type="dxa"/>
            <w:vMerge w:val="restart"/>
            <w:noWrap/>
            <w:vAlign w:val="center"/>
          </w:tcPr>
          <w:p>
            <w:pPr>
              <w:rPr>
                <w:rFonts w:ascii="宋体" w:hAnsi="宋体"/>
                <w:kern w:val="0"/>
              </w:rPr>
            </w:pPr>
            <w:r>
              <w:rPr>
                <w:rFonts w:hint="eastAsia" w:ascii="宋体" w:hAnsi="宋体" w:cs="宋体"/>
                <w:kern w:val="0"/>
              </w:rPr>
              <w:t>1.1</w:t>
            </w:r>
          </w:p>
        </w:tc>
        <w:tc>
          <w:tcPr>
            <w:tcW w:w="1147" w:type="dxa"/>
            <w:vMerge w:val="restart"/>
            <w:noWrap/>
            <w:vAlign w:val="center"/>
          </w:tcPr>
          <w:p>
            <w:pPr>
              <w:jc w:val="center"/>
              <w:rPr>
                <w:rFonts w:ascii="宋体" w:hAnsi="宋体"/>
                <w:kern w:val="0"/>
              </w:rPr>
            </w:pPr>
            <w:r>
              <w:rPr>
                <w:rFonts w:hint="eastAsia" w:ascii="宋体" w:hAnsi="宋体" w:cs="宋体"/>
                <w:kern w:val="0"/>
              </w:rPr>
              <w:t>形式评审标准</w:t>
            </w:r>
          </w:p>
        </w:tc>
        <w:tc>
          <w:tcPr>
            <w:tcW w:w="2240" w:type="dxa"/>
            <w:noWrap/>
            <w:vAlign w:val="center"/>
          </w:tcPr>
          <w:p>
            <w:pPr>
              <w:jc w:val="center"/>
              <w:rPr>
                <w:rFonts w:ascii="宋体" w:hAnsi="宋体" w:cs="宋体"/>
                <w:kern w:val="0"/>
              </w:rPr>
            </w:pPr>
            <w:r>
              <w:rPr>
                <w:rFonts w:hint="eastAsia" w:ascii="宋体" w:hAnsi="宋体" w:cs="宋体"/>
                <w:kern w:val="0"/>
              </w:rPr>
              <w:t>比选申请人名称</w:t>
            </w:r>
          </w:p>
        </w:tc>
        <w:tc>
          <w:tcPr>
            <w:tcW w:w="5356" w:type="dxa"/>
            <w:noWrap/>
            <w:vAlign w:val="center"/>
          </w:tcPr>
          <w:p>
            <w:pPr>
              <w:snapToGrid w:val="0"/>
              <w:jc w:val="left"/>
              <w:rPr>
                <w:rFonts w:ascii="宋体" w:hAnsi="宋体" w:cs="宋体"/>
                <w:kern w:val="0"/>
              </w:rPr>
            </w:pPr>
            <w:r>
              <w:rPr>
                <w:rFonts w:hint="eastAsia" w:ascii="宋体" w:hAnsi="宋体" w:cs="宋体"/>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jc w:val="center"/>
              <w:rPr>
                <w:rFonts w:ascii="宋体" w:hAnsi="宋体" w:cs="宋体"/>
                <w:kern w:val="0"/>
              </w:rPr>
            </w:pPr>
            <w:r>
              <w:rPr>
                <w:rFonts w:hint="eastAsia" w:ascii="宋体" w:hAnsi="宋体" w:cs="宋体"/>
                <w:kern w:val="0"/>
              </w:rPr>
              <w:t>报价书签字盖章</w:t>
            </w:r>
          </w:p>
        </w:tc>
        <w:tc>
          <w:tcPr>
            <w:tcW w:w="5356" w:type="dxa"/>
            <w:noWrap/>
            <w:vAlign w:val="center"/>
          </w:tcPr>
          <w:p>
            <w:pPr>
              <w:snapToGrid w:val="0"/>
              <w:jc w:val="left"/>
              <w:rPr>
                <w:rFonts w:ascii="宋体" w:hAnsi="宋体" w:cs="宋体"/>
                <w:kern w:val="0"/>
              </w:rPr>
            </w:pPr>
            <w:r>
              <w:rPr>
                <w:rFonts w:hint="eastAsia" w:ascii="宋体" w:hAnsi="宋体" w:cs="宋体"/>
                <w:kern w:val="0"/>
              </w:rPr>
              <w:t>有法定代表人或其委托代理人签字、加盖单位公章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jc w:val="center"/>
              <w:rPr>
                <w:rFonts w:ascii="宋体" w:hAnsi="宋体" w:cs="宋体"/>
                <w:kern w:val="0"/>
              </w:rPr>
            </w:pPr>
            <w:r>
              <w:rPr>
                <w:rFonts w:hint="eastAsia" w:ascii="宋体" w:hAnsi="宋体" w:cs="宋体"/>
                <w:kern w:val="0"/>
              </w:rPr>
              <w:t>比选申请文件格式</w:t>
            </w:r>
          </w:p>
        </w:tc>
        <w:tc>
          <w:tcPr>
            <w:tcW w:w="5356" w:type="dxa"/>
            <w:noWrap/>
            <w:vAlign w:val="center"/>
          </w:tcPr>
          <w:p>
            <w:pPr>
              <w:snapToGrid w:val="0"/>
              <w:jc w:val="left"/>
              <w:rPr>
                <w:rFonts w:ascii="宋体" w:hAnsi="宋体" w:cs="宋体"/>
                <w:kern w:val="0"/>
              </w:rPr>
            </w:pPr>
            <w:r>
              <w:rPr>
                <w:rFonts w:hint="eastAsia" w:ascii="宋体" w:hAnsi="宋体" w:cs="宋体"/>
                <w:kern w:val="0"/>
              </w:rPr>
              <w:t>符合第九条“报价文件目录”的要求，字迹清晰可辨。</w:t>
            </w:r>
          </w:p>
          <w:p>
            <w:pPr>
              <w:snapToGrid w:val="0"/>
              <w:jc w:val="left"/>
              <w:rPr>
                <w:rFonts w:ascii="宋体" w:hAnsi="宋体" w:cs="宋体"/>
                <w:kern w:val="0"/>
              </w:rPr>
            </w:pPr>
            <w:r>
              <w:rPr>
                <w:rFonts w:hint="eastAsia" w:ascii="宋体" w:hAnsi="宋体" w:cs="宋体"/>
                <w:kern w:val="0"/>
              </w:rPr>
              <w:t>1.报价书附录的所有数据均符合比选文件的规定；</w:t>
            </w:r>
          </w:p>
          <w:p>
            <w:pPr>
              <w:snapToGrid w:val="0"/>
              <w:jc w:val="left"/>
              <w:rPr>
                <w:rFonts w:ascii="宋体" w:hAnsi="宋体" w:cs="宋体"/>
                <w:kern w:val="0"/>
              </w:rPr>
            </w:pPr>
            <w:r>
              <w:rPr>
                <w:rFonts w:hint="eastAsia" w:ascii="宋体" w:hAnsi="宋体" w:cs="宋体"/>
                <w:kern w:val="0"/>
              </w:rPr>
              <w:t>2.比选申请文件附表齐全完整，内容均按规定填写；</w:t>
            </w:r>
          </w:p>
          <w:p>
            <w:pPr>
              <w:snapToGrid w:val="0"/>
              <w:jc w:val="left"/>
              <w:rPr>
                <w:rFonts w:ascii="宋体" w:hAnsi="宋体" w:cs="宋体"/>
                <w:kern w:val="0"/>
              </w:rPr>
            </w:pPr>
            <w:r>
              <w:rPr>
                <w:rFonts w:hint="eastAsia" w:ascii="宋体" w:hAnsi="宋体" w:cs="宋体"/>
                <w:kern w:val="0"/>
              </w:rPr>
              <w:t>3.比选申请文件</w:t>
            </w:r>
            <w:r>
              <w:rPr>
                <w:rFonts w:hint="eastAsia" w:ascii="宋体" w:hAnsi="宋体" w:cs="宋体"/>
              </w:rPr>
              <w:t>正、副本份数符合比选文件第八条“报价文件制作要求”规定</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jc w:val="center"/>
              <w:rPr>
                <w:rFonts w:ascii="宋体" w:hAnsi="宋体" w:cs="宋体"/>
                <w:kern w:val="0"/>
              </w:rPr>
            </w:pPr>
            <w:r>
              <w:rPr>
                <w:rFonts w:hint="eastAsia" w:ascii="宋体" w:hAnsi="宋体" w:cs="宋体"/>
                <w:kern w:val="0"/>
              </w:rPr>
              <w:t>比选申请文件的签署</w:t>
            </w:r>
          </w:p>
        </w:tc>
        <w:tc>
          <w:tcPr>
            <w:tcW w:w="5356" w:type="dxa"/>
            <w:noWrap/>
            <w:vAlign w:val="center"/>
          </w:tcPr>
          <w:p>
            <w:pPr>
              <w:snapToGrid w:val="0"/>
              <w:jc w:val="left"/>
              <w:rPr>
                <w:rFonts w:ascii="宋体" w:hAnsi="宋体" w:cs="宋体"/>
                <w:kern w:val="0"/>
              </w:rPr>
            </w:pPr>
            <w:r>
              <w:rPr>
                <w:rFonts w:hint="eastAsia" w:ascii="宋体" w:hAnsi="宋体" w:cs="宋体"/>
                <w:kern w:val="0"/>
              </w:rPr>
              <w:t>比选申请文件上法定代表人或其授权代理人的签字齐全，符合比选文件规定。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jc w:val="center"/>
              <w:rPr>
                <w:rFonts w:ascii="宋体" w:hAnsi="宋体" w:cs="宋体"/>
                <w:kern w:val="0"/>
              </w:rPr>
            </w:pPr>
            <w:r>
              <w:rPr>
                <w:rFonts w:hint="eastAsia" w:ascii="宋体" w:hAnsi="宋体"/>
                <w:kern w:val="0"/>
              </w:rPr>
              <w:t>委托代理人</w:t>
            </w:r>
          </w:p>
        </w:tc>
        <w:tc>
          <w:tcPr>
            <w:tcW w:w="5356" w:type="dxa"/>
            <w:noWrap/>
            <w:vAlign w:val="center"/>
          </w:tcPr>
          <w:p>
            <w:pPr>
              <w:snapToGrid w:val="0"/>
              <w:jc w:val="left"/>
              <w:rPr>
                <w:rFonts w:ascii="宋体" w:hAnsi="宋体" w:cs="宋体"/>
                <w:kern w:val="0"/>
              </w:rPr>
            </w:pPr>
            <w:r>
              <w:rPr>
                <w:rFonts w:hint="eastAsia" w:ascii="宋体" w:hAnsi="宋体" w:cs="宋体"/>
                <w:kern w:val="0"/>
              </w:rPr>
              <w:t>比选申请人法定代表人的委托代理人有法定代表人签署的授权委托书。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76" w:type="dxa"/>
            <w:vMerge w:val="restart"/>
            <w:noWrap/>
            <w:vAlign w:val="center"/>
          </w:tcPr>
          <w:p>
            <w:pPr>
              <w:jc w:val="center"/>
              <w:rPr>
                <w:rFonts w:ascii="宋体" w:hAnsi="宋体" w:cs="宋体"/>
                <w:kern w:val="0"/>
              </w:rPr>
            </w:pPr>
            <w:r>
              <w:rPr>
                <w:rFonts w:hint="eastAsia" w:ascii="宋体" w:hAnsi="宋体" w:cs="宋体"/>
                <w:kern w:val="0"/>
              </w:rPr>
              <w:t>1.2</w:t>
            </w:r>
          </w:p>
        </w:tc>
        <w:tc>
          <w:tcPr>
            <w:tcW w:w="1147" w:type="dxa"/>
            <w:vMerge w:val="restart"/>
            <w:noWrap/>
            <w:vAlign w:val="center"/>
          </w:tcPr>
          <w:p>
            <w:pPr>
              <w:jc w:val="center"/>
              <w:rPr>
                <w:rFonts w:ascii="宋体" w:hAnsi="宋体"/>
                <w:kern w:val="0"/>
              </w:rPr>
            </w:pPr>
            <w:r>
              <w:rPr>
                <w:rFonts w:hint="eastAsia" w:ascii="宋体" w:hAnsi="宋体" w:cs="宋体"/>
                <w:kern w:val="0"/>
              </w:rPr>
              <w:t>资格评审标准</w:t>
            </w:r>
          </w:p>
        </w:tc>
        <w:tc>
          <w:tcPr>
            <w:tcW w:w="2240" w:type="dxa"/>
            <w:noWrap/>
            <w:vAlign w:val="center"/>
          </w:tcPr>
          <w:p>
            <w:pPr>
              <w:snapToGrid w:val="0"/>
              <w:jc w:val="center"/>
              <w:rPr>
                <w:rFonts w:ascii="宋体" w:hAnsi="宋体" w:cs="宋体"/>
                <w:kern w:val="0"/>
              </w:rPr>
            </w:pPr>
            <w:r>
              <w:rPr>
                <w:rFonts w:hint="eastAsia" w:ascii="宋体" w:hAnsi="宋体" w:cs="宋体"/>
                <w:kern w:val="0"/>
              </w:rPr>
              <w:t>资质要求</w:t>
            </w:r>
          </w:p>
        </w:tc>
        <w:tc>
          <w:tcPr>
            <w:tcW w:w="5356" w:type="dxa"/>
            <w:noWrap/>
            <w:vAlign w:val="center"/>
          </w:tcPr>
          <w:p>
            <w:pPr>
              <w:snapToGrid w:val="0"/>
              <w:jc w:val="left"/>
              <w:rPr>
                <w:rFonts w:ascii="宋体" w:hAnsi="宋体" w:cs="宋体"/>
                <w:kern w:val="0"/>
              </w:rPr>
            </w:pPr>
            <w:r>
              <w:rPr>
                <w:rFonts w:hint="eastAsia" w:ascii="宋体" w:hAnsi="宋体" w:cs="宋体"/>
                <w:kern w:val="0"/>
              </w:rPr>
              <w:t>符合第二条“比选响应人资质条件要求”规定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信誉要求</w:t>
            </w:r>
          </w:p>
        </w:tc>
        <w:tc>
          <w:tcPr>
            <w:tcW w:w="5356" w:type="dxa"/>
            <w:noWrap/>
            <w:vAlign w:val="center"/>
          </w:tcPr>
          <w:p>
            <w:pPr>
              <w:snapToGrid w:val="0"/>
              <w:jc w:val="left"/>
              <w:rPr>
                <w:rFonts w:ascii="宋体" w:hAnsi="宋体" w:cs="宋体"/>
                <w:kern w:val="0"/>
              </w:rPr>
            </w:pPr>
            <w:r>
              <w:rPr>
                <w:rFonts w:hint="eastAsia" w:ascii="宋体" w:hAnsi="宋体" w:cs="宋体"/>
                <w:kern w:val="0"/>
              </w:rPr>
              <w:t>符合第二条“比选响应人资质条件要求”规定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vMerge w:val="continue"/>
            <w:noWrap/>
          </w:tcPr>
          <w:p>
            <w:pPr>
              <w:rPr>
                <w:rFonts w:ascii="宋体" w:hAnsi="宋体"/>
              </w:rPr>
            </w:pPr>
          </w:p>
        </w:tc>
        <w:tc>
          <w:tcPr>
            <w:tcW w:w="1147" w:type="dxa"/>
            <w:vMerge w:val="continue"/>
            <w:noWrap/>
          </w:tcPr>
          <w:p>
            <w:pP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其它要求</w:t>
            </w:r>
          </w:p>
        </w:tc>
        <w:tc>
          <w:tcPr>
            <w:tcW w:w="5356" w:type="dxa"/>
            <w:noWrap/>
            <w:vAlign w:val="center"/>
          </w:tcPr>
          <w:p>
            <w:pPr>
              <w:snapToGrid w:val="0"/>
              <w:jc w:val="left"/>
              <w:rPr>
                <w:rFonts w:ascii="宋体" w:hAnsi="宋体" w:cs="宋体"/>
                <w:kern w:val="0"/>
                <w:u w:val="single"/>
              </w:rPr>
            </w:pPr>
            <w:r>
              <w:rPr>
                <w:rFonts w:hint="eastAsia" w:ascii="宋体" w:hAnsi="宋体" w:cs="宋体"/>
                <w:kern w:val="0"/>
              </w:rPr>
              <w:t>符合第二条“比选响应人资质条件要求”规定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276" w:type="dxa"/>
            <w:vMerge w:val="restart"/>
            <w:noWrap/>
            <w:vAlign w:val="center"/>
          </w:tcPr>
          <w:p>
            <w:pPr>
              <w:jc w:val="center"/>
              <w:rPr>
                <w:rFonts w:ascii="宋体" w:hAnsi="宋体" w:cs="宋体"/>
              </w:rPr>
            </w:pPr>
            <w:r>
              <w:rPr>
                <w:rFonts w:hint="eastAsia" w:ascii="宋体" w:hAnsi="宋体" w:cs="宋体"/>
                <w:kern w:val="0"/>
              </w:rPr>
              <w:t>1.3</w:t>
            </w:r>
          </w:p>
        </w:tc>
        <w:tc>
          <w:tcPr>
            <w:tcW w:w="1147" w:type="dxa"/>
            <w:vMerge w:val="restart"/>
            <w:noWrap/>
            <w:vAlign w:val="center"/>
          </w:tcPr>
          <w:p>
            <w:pPr>
              <w:snapToGrid w:val="0"/>
              <w:jc w:val="center"/>
              <w:rPr>
                <w:rFonts w:ascii="宋体" w:hAnsi="宋体" w:cs="宋体"/>
              </w:rPr>
            </w:pPr>
            <w:r>
              <w:rPr>
                <w:rFonts w:hint="eastAsia" w:ascii="宋体" w:hAnsi="宋体" w:cs="宋体"/>
                <w:kern w:val="0"/>
              </w:rPr>
              <w:t>响应性评审标准</w:t>
            </w:r>
          </w:p>
        </w:tc>
        <w:tc>
          <w:tcPr>
            <w:tcW w:w="2240" w:type="dxa"/>
            <w:noWrap/>
            <w:vAlign w:val="center"/>
          </w:tcPr>
          <w:p>
            <w:pPr>
              <w:snapToGrid w:val="0"/>
              <w:jc w:val="center"/>
              <w:rPr>
                <w:rFonts w:ascii="宋体" w:hAnsi="宋体" w:cs="宋体"/>
                <w:kern w:val="0"/>
              </w:rPr>
            </w:pPr>
            <w:r>
              <w:rPr>
                <w:rFonts w:hint="eastAsia" w:ascii="宋体" w:hAnsi="宋体" w:cs="宋体"/>
                <w:kern w:val="0"/>
              </w:rPr>
              <w:t>对本项目技术难点的理解和认识</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276" w:type="dxa"/>
            <w:vMerge w:val="continue"/>
            <w:noWrap/>
          </w:tcPr>
          <w:p>
            <w:pPr>
              <w:snapToGrid w:val="0"/>
              <w:jc w:val="center"/>
              <w:rPr>
                <w:rFonts w:ascii="宋体" w:hAnsi="宋体"/>
              </w:rPr>
            </w:pPr>
          </w:p>
        </w:tc>
        <w:tc>
          <w:tcPr>
            <w:tcW w:w="1147" w:type="dxa"/>
            <w:vMerge w:val="continue"/>
            <w:noWrap/>
          </w:tcPr>
          <w:p>
            <w:pPr>
              <w:snapToGrid w:val="0"/>
              <w:jc w:val="cente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本项目维修施工的理解及认识</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276" w:type="dxa"/>
            <w:vMerge w:val="continue"/>
            <w:noWrap/>
          </w:tcPr>
          <w:p>
            <w:pPr>
              <w:snapToGrid w:val="0"/>
              <w:jc w:val="center"/>
              <w:rPr>
                <w:rFonts w:ascii="宋体" w:hAnsi="宋体"/>
              </w:rPr>
            </w:pPr>
          </w:p>
        </w:tc>
        <w:tc>
          <w:tcPr>
            <w:tcW w:w="1147" w:type="dxa"/>
            <w:vMerge w:val="continue"/>
            <w:noWrap/>
          </w:tcPr>
          <w:p>
            <w:pPr>
              <w:snapToGrid w:val="0"/>
              <w:jc w:val="cente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本项目安全重大危险源及关键点措施</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276" w:type="dxa"/>
            <w:vMerge w:val="continue"/>
            <w:noWrap/>
          </w:tcPr>
          <w:p>
            <w:pPr>
              <w:snapToGrid w:val="0"/>
              <w:jc w:val="center"/>
              <w:rPr>
                <w:rFonts w:ascii="宋体" w:hAnsi="宋体"/>
              </w:rPr>
            </w:pPr>
          </w:p>
        </w:tc>
        <w:tc>
          <w:tcPr>
            <w:tcW w:w="1147" w:type="dxa"/>
            <w:vMerge w:val="continue"/>
            <w:noWrap/>
          </w:tcPr>
          <w:p>
            <w:pPr>
              <w:snapToGrid w:val="0"/>
              <w:jc w:val="cente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本项目施工过程中成品保护重要节点</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1276" w:type="dxa"/>
            <w:vMerge w:val="continue"/>
            <w:noWrap/>
          </w:tcPr>
          <w:p>
            <w:pPr>
              <w:snapToGrid w:val="0"/>
              <w:jc w:val="center"/>
              <w:rPr>
                <w:rFonts w:ascii="宋体" w:hAnsi="宋体"/>
              </w:rPr>
            </w:pPr>
          </w:p>
        </w:tc>
        <w:tc>
          <w:tcPr>
            <w:tcW w:w="1147" w:type="dxa"/>
            <w:vMerge w:val="continue"/>
            <w:noWrap/>
          </w:tcPr>
          <w:p>
            <w:pPr>
              <w:snapToGrid w:val="0"/>
              <w:jc w:val="center"/>
              <w:rPr>
                <w:rFonts w:ascii="宋体" w:hAnsi="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本项目施工应急管理的理解和认识</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276" w:type="dxa"/>
            <w:vMerge w:val="continue"/>
            <w:noWrap/>
            <w:vAlign w:val="center"/>
          </w:tcPr>
          <w:p>
            <w:pPr>
              <w:snapToGrid w:val="0"/>
              <w:jc w:val="center"/>
              <w:rPr>
                <w:rFonts w:ascii="宋体" w:hAnsi="宋体" w:cs="宋体"/>
              </w:rPr>
            </w:pPr>
          </w:p>
        </w:tc>
        <w:tc>
          <w:tcPr>
            <w:tcW w:w="1147" w:type="dxa"/>
            <w:vMerge w:val="continue"/>
            <w:noWrap/>
            <w:vAlign w:val="center"/>
          </w:tcPr>
          <w:p>
            <w:pPr>
              <w:snapToGrid w:val="0"/>
              <w:jc w:val="center"/>
              <w:rPr>
                <w:rFonts w:ascii="宋体" w:hAnsi="宋体" w:cs="宋体"/>
              </w:rPr>
            </w:pPr>
          </w:p>
        </w:tc>
        <w:tc>
          <w:tcPr>
            <w:tcW w:w="2240" w:type="dxa"/>
            <w:noWrap/>
            <w:vAlign w:val="center"/>
          </w:tcPr>
          <w:p>
            <w:pPr>
              <w:snapToGrid w:val="0"/>
              <w:jc w:val="center"/>
              <w:rPr>
                <w:rFonts w:ascii="宋体" w:hAnsi="宋体" w:cs="宋体"/>
                <w:kern w:val="0"/>
              </w:rPr>
            </w:pPr>
            <w:r>
              <w:rPr>
                <w:rFonts w:hint="eastAsia" w:ascii="宋体" w:hAnsi="宋体" w:cs="宋体"/>
                <w:kern w:val="0"/>
              </w:rPr>
              <w:t>资源配备计划</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276" w:type="dxa"/>
            <w:vMerge w:val="continue"/>
            <w:noWrap/>
          </w:tcPr>
          <w:p>
            <w:pPr>
              <w:snapToGrid w:val="0"/>
              <w:rPr>
                <w:rFonts w:ascii="宋体" w:hAnsi="宋体"/>
              </w:rPr>
            </w:pPr>
          </w:p>
        </w:tc>
        <w:tc>
          <w:tcPr>
            <w:tcW w:w="1147" w:type="dxa"/>
            <w:vMerge w:val="continue"/>
            <w:noWrap/>
          </w:tcPr>
          <w:p>
            <w:pPr>
              <w:snapToGrid w:val="0"/>
              <w:rPr>
                <w:rFonts w:ascii="宋体" w:hAnsi="宋体"/>
              </w:rPr>
            </w:pPr>
          </w:p>
        </w:tc>
        <w:tc>
          <w:tcPr>
            <w:tcW w:w="2240" w:type="dxa"/>
            <w:noWrap/>
            <w:vAlign w:val="center"/>
          </w:tcPr>
          <w:p>
            <w:pPr>
              <w:snapToGrid w:val="0"/>
              <w:jc w:val="center"/>
              <w:rPr>
                <w:rFonts w:ascii="宋体" w:hAnsi="宋体"/>
                <w:kern w:val="0"/>
              </w:rPr>
            </w:pPr>
            <w:r>
              <w:rPr>
                <w:rFonts w:hint="eastAsia" w:ascii="宋体" w:hAnsi="宋体" w:cs="宋体"/>
                <w:kern w:val="0"/>
              </w:rPr>
              <w:t>本项目施工全过程的理解</w:t>
            </w:r>
          </w:p>
        </w:tc>
        <w:tc>
          <w:tcPr>
            <w:tcW w:w="5356" w:type="dxa"/>
            <w:noWrap/>
            <w:vAlign w:val="center"/>
          </w:tcPr>
          <w:p>
            <w:pPr>
              <w:snapToGrid w:val="0"/>
              <w:rPr>
                <w:rFonts w:ascii="宋体" w:hAnsi="宋体" w:cs="宋体"/>
                <w:kern w:val="0"/>
              </w:rPr>
            </w:pPr>
            <w:r>
              <w:rPr>
                <w:rFonts w:hint="eastAsia" w:ascii="宋体" w:hAnsi="宋体" w:cs="宋体"/>
                <w:kern w:val="0"/>
              </w:rPr>
              <w:t>是否满足本工程需求</w:t>
            </w:r>
            <w:r>
              <w:rPr>
                <w:rFonts w:hint="eastAsia" w:ascii="宋体" w:hAnsi="宋体" w:cs="宋体"/>
                <w:kern w:val="0"/>
                <w:u w:val="single"/>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6" w:hRule="atLeast"/>
        </w:trPr>
        <w:tc>
          <w:tcPr>
            <w:tcW w:w="1276" w:type="dxa"/>
            <w:noWrap/>
            <w:vAlign w:val="center"/>
          </w:tcPr>
          <w:p>
            <w:pPr>
              <w:jc w:val="center"/>
              <w:rPr>
                <w:rFonts w:ascii="宋体" w:hAnsi="宋体"/>
              </w:rPr>
            </w:pPr>
            <w:r>
              <w:rPr>
                <w:rFonts w:hint="eastAsia" w:ascii="宋体" w:hAnsi="宋体"/>
              </w:rPr>
              <w:t>2</w:t>
            </w:r>
          </w:p>
        </w:tc>
        <w:tc>
          <w:tcPr>
            <w:tcW w:w="1147" w:type="dxa"/>
            <w:noWrap/>
            <w:vAlign w:val="center"/>
          </w:tcPr>
          <w:p>
            <w:pPr>
              <w:rPr>
                <w:rFonts w:ascii="宋体" w:hAnsi="宋体"/>
              </w:rPr>
            </w:pPr>
            <w:r>
              <w:rPr>
                <w:rFonts w:hint="eastAsia" w:ascii="宋体" w:hAnsi="宋体"/>
              </w:rPr>
              <w:t>评标结果</w:t>
            </w:r>
          </w:p>
        </w:tc>
        <w:tc>
          <w:tcPr>
            <w:tcW w:w="7596" w:type="dxa"/>
            <w:gridSpan w:val="2"/>
            <w:noWrap/>
          </w:tcPr>
          <w:p>
            <w:pPr>
              <w:ind w:firstLine="315" w:firstLineChars="150"/>
              <w:rPr>
                <w:rFonts w:ascii="宋体" w:hAnsi="宋体" w:cs="宋体"/>
                <w:kern w:val="0"/>
                <w:szCs w:val="21"/>
              </w:rPr>
            </w:pPr>
            <w:r>
              <w:rPr>
                <w:rFonts w:hint="eastAsia" w:ascii="宋体" w:hAnsi="宋体" w:cs="宋体"/>
              </w:rPr>
              <w:t>1</w:t>
            </w:r>
            <w:r>
              <w:rPr>
                <w:rFonts w:ascii="宋体" w:hAnsi="宋体" w:cs="宋体"/>
              </w:rPr>
              <w:t>.</w:t>
            </w:r>
            <w:r>
              <w:rPr>
                <w:rFonts w:hint="eastAsia" w:ascii="宋体" w:hAnsi="宋体" w:cs="宋体"/>
                <w:szCs w:val="21"/>
              </w:rPr>
              <w:t xml:space="preserve"> 本项目评标采用经评审的最低投标价法，按照评标办法对通过初步评审的有效竞选总价由低到高的先后排序，</w:t>
            </w:r>
            <w:r>
              <w:rPr>
                <w:rFonts w:hint="eastAsia" w:ascii="宋体" w:hAnsi="宋体"/>
                <w:spacing w:val="4"/>
                <w:kern w:val="0"/>
                <w:szCs w:val="21"/>
              </w:rPr>
              <w:t>若出现比选申请人报价相同的，由评标委员会按照</w:t>
            </w:r>
            <w:r>
              <w:rPr>
                <w:rFonts w:hint="eastAsia" w:ascii="宋体" w:hAnsi="宋体"/>
                <w:szCs w:val="21"/>
              </w:rPr>
              <w:t>按服务方案的优劣顺序排列</w:t>
            </w:r>
            <w:r>
              <w:rPr>
                <w:rFonts w:hint="eastAsia" w:ascii="宋体" w:hAnsi="宋体"/>
                <w:spacing w:val="4"/>
                <w:kern w:val="0"/>
                <w:szCs w:val="21"/>
              </w:rPr>
              <w:t>原则排序。</w:t>
            </w:r>
          </w:p>
          <w:p>
            <w:pPr>
              <w:ind w:firstLine="315" w:firstLineChars="1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如经过对所有比选申请人的比选申请文件进行初步评审，</w:t>
            </w:r>
            <w:r>
              <w:rPr>
                <w:rFonts w:ascii="宋体" w:hAnsi="宋体"/>
              </w:rPr>
              <w:t>导致有效比选申请人不足三个的，评标委员会应当否决所有投标。但是有效比选申请人的经济、</w:t>
            </w:r>
            <w:r>
              <w:rPr>
                <w:rFonts w:hint="eastAsia" w:ascii="宋体" w:hAnsi="宋体"/>
              </w:rPr>
              <w:t>商务</w:t>
            </w:r>
            <w:r>
              <w:rPr>
                <w:rFonts w:ascii="宋体" w:hAnsi="宋体"/>
              </w:rPr>
              <w:t>等指标仍然具有市场竞争力，能够满足</w:t>
            </w:r>
            <w:r>
              <w:rPr>
                <w:rFonts w:hint="eastAsia" w:ascii="宋体" w:hAnsi="宋体"/>
              </w:rPr>
              <w:t>比选</w:t>
            </w:r>
            <w:r>
              <w:rPr>
                <w:rFonts w:ascii="宋体" w:hAnsi="宋体"/>
              </w:rPr>
              <w:t>文件要求的，评标委员会可以继续评标并确定</w:t>
            </w:r>
            <w:r>
              <w:rPr>
                <w:rFonts w:hint="eastAsia" w:ascii="宋体" w:hAnsi="宋体"/>
              </w:rPr>
              <w:t>成交</w:t>
            </w:r>
            <w:r>
              <w:rPr>
                <w:rFonts w:ascii="宋体" w:hAnsi="宋体"/>
              </w:rPr>
              <w:t>候</w:t>
            </w:r>
            <w:r>
              <w:rPr>
                <w:rFonts w:ascii="宋体" w:hAnsi="宋体" w:cs="宋体"/>
              </w:rPr>
              <w:t>选人。</w:t>
            </w:r>
          </w:p>
          <w:p>
            <w:pPr>
              <w:ind w:firstLine="315" w:firstLineChars="150"/>
              <w:rPr>
                <w:rFonts w:ascii="宋体" w:hAnsi="宋体" w:cs="宋体"/>
                <w:kern w:val="0"/>
                <w:szCs w:val="21"/>
              </w:rPr>
            </w:pPr>
            <w:r>
              <w:rPr>
                <w:rFonts w:hint="eastAsia" w:ascii="宋体" w:hAnsi="宋体" w:cs="宋体"/>
              </w:rPr>
              <w:t>3</w:t>
            </w:r>
            <w:r>
              <w:rPr>
                <w:rFonts w:ascii="宋体" w:hAnsi="宋体" w:cs="宋体"/>
              </w:rPr>
              <w:t>.</w:t>
            </w:r>
            <w:r>
              <w:rPr>
                <w:rFonts w:hint="eastAsia" w:ascii="宋体" w:hAnsi="宋体" w:cs="宋体"/>
              </w:rPr>
              <w:t>评</w:t>
            </w:r>
            <w:r>
              <w:rPr>
                <w:rFonts w:hint="eastAsia" w:ascii="宋体" w:hAnsi="宋体" w:cs="MingLiU"/>
                <w:kern w:val="0"/>
                <w:szCs w:val="21"/>
              </w:rPr>
              <w:t>标</w:t>
            </w:r>
            <w:r>
              <w:rPr>
                <w:rFonts w:hint="eastAsia" w:ascii="宋体" w:hAnsi="宋体" w:cs="MingLiU"/>
                <w:spacing w:val="-1"/>
                <w:kern w:val="0"/>
                <w:szCs w:val="21"/>
              </w:rPr>
              <w:t>委</w:t>
            </w:r>
            <w:r>
              <w:rPr>
                <w:rFonts w:hint="eastAsia" w:ascii="宋体" w:hAnsi="宋体" w:cs="MingLiU"/>
                <w:kern w:val="0"/>
                <w:szCs w:val="21"/>
              </w:rPr>
              <w:t>员会完成评标后，应当向比选人提交书面评标报告。</w:t>
            </w:r>
          </w:p>
        </w:tc>
      </w:tr>
    </w:tbl>
    <w:p>
      <w:pPr>
        <w:rPr>
          <w:rFonts w:ascii="方正黑体_GBK" w:eastAsia="方正黑体_GBK" w:cs="方正黑体_GBK"/>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2、有下列情况之一者投标无效：</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A、投标人法定代表人或法人授权代表未按时参加开标会；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B、投标人无法定代表人的授权委托书；</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C、投标人不具备合格供应商资质的；</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D、未按《招标文件》要求提供必要有效证明文件或提供了虚假文件的；</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E、投标人在投标时，出现违规的情况。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3、如有下列情况之一为废标：</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A、唱标报告没有按照要求由投标人加盖公章；</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B、唱标报告没有按照要求由投标法人代表或授权代表签字；</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C、投标文件未按规定格式和要求填写，内容不全或字迹模糊，辨认不清而影响评标定标；</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D、投标文件未按要求装订的；</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E、投标附有招标人不能接受的条件；</w:t>
      </w:r>
    </w:p>
    <w:p>
      <w:pPr>
        <w:ind w:firstLine="640" w:firstLineChars="200"/>
        <w:rPr>
          <w:rFonts w:ascii="方正黑体_GBK" w:eastAsia="方正黑体_GBK" w:cs="方正黑体_GBK"/>
          <w:sz w:val="32"/>
          <w:szCs w:val="32"/>
        </w:rPr>
      </w:pPr>
      <w:r>
        <w:rPr>
          <w:rFonts w:hint="eastAsia" w:ascii="方正仿宋_GBK" w:hAnsi="方正仿宋_GBK" w:eastAsia="方正仿宋_GBK" w:cs="方正仿宋_GBK"/>
          <w:sz w:val="32"/>
          <w:szCs w:val="32"/>
        </w:rPr>
        <w:t>F、投标人报价均超过使用单位预算，采购人不能支付的。</w:t>
      </w:r>
    </w:p>
    <w:p>
      <w:pPr>
        <w:spacing w:line="520" w:lineRule="exact"/>
        <w:rPr>
          <w:rFonts w:ascii="方正黑体_GBK" w:eastAsia="方正黑体_GBK" w:cs="方正黑体_GBK"/>
          <w:sz w:val="32"/>
          <w:szCs w:val="32"/>
        </w:rPr>
      </w:pPr>
      <w:r>
        <w:rPr>
          <w:rFonts w:hint="eastAsia" w:ascii="方正黑体_GBK" w:eastAsia="方正黑体_GBK" w:cs="方正黑体_GBK"/>
          <w:sz w:val="32"/>
          <w:szCs w:val="32"/>
        </w:rPr>
        <w:t xml:space="preserve">   八、报价文件制作要求</w:t>
      </w:r>
    </w:p>
    <w:p>
      <w:pPr>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比选响应人提供的所有资料无论成交与否，均不予退还。本比选文件中要求的所有资料，比选申请人必须提供真实的、准确的，若比选申请人有弄虚作假、欺骗行为，一经查实，由此而产生的经济损失、经济责任和一切后果由比选申请人承担，并按政府采购法的有关规定进行严肃处理。</w:t>
      </w:r>
    </w:p>
    <w:p>
      <w:pPr>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投标文件由资质文件、商务文件、技术文件和报价文件等4部分组成，各类文件按A4纸规格密封合并装订成一本，正副本各一本。信封的封口须加盖比选申请人公章。未按规定密封将导致报价文件被拒绝接收。报价文件制作要求如下：</w:t>
      </w:r>
    </w:p>
    <w:p>
      <w:pPr>
        <w:spacing w:line="520" w:lineRule="exact"/>
        <w:rPr>
          <w:rFonts w:ascii="方正楷体_GBK" w:eastAsia="方正楷体_GBK" w:cs="方正楷体_GBK"/>
          <w:sz w:val="32"/>
          <w:szCs w:val="32"/>
        </w:rPr>
      </w:pPr>
      <w:r>
        <w:rPr>
          <w:rFonts w:hint="eastAsia" w:ascii="方正楷体_GBK" w:eastAsia="方正楷体_GBK" w:cs="方正楷体_GBK"/>
          <w:sz w:val="32"/>
          <w:szCs w:val="32"/>
        </w:rPr>
        <w:t>（一）资质文件内容要求</w:t>
      </w:r>
    </w:p>
    <w:p>
      <w:pPr>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提供资料：比选响应人营业执照复印件、信誉声明；比选响应人法定代表人身份证明和法定代表人授权代表委托书；主要人员资格证书。以上所有证照必须年审合格，且在有效期内，复印件必须清晰可见，且加盖比选申请人单位鲜章，提供原件备查;</w:t>
      </w:r>
    </w:p>
    <w:p>
      <w:pPr>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具有独立承担民事责任的能力，不具有独立法人的分公司、办事处等分支机构不能参加比选。</w:t>
      </w:r>
    </w:p>
    <w:p>
      <w:pPr>
        <w:spacing w:line="520" w:lineRule="exact"/>
        <w:rPr>
          <w:rFonts w:ascii="方正楷体_GBK" w:eastAsia="方正楷体_GBK" w:cs="方正楷体_GBK"/>
          <w:sz w:val="32"/>
          <w:szCs w:val="32"/>
        </w:rPr>
      </w:pPr>
      <w:r>
        <w:rPr>
          <w:rFonts w:hint="eastAsia" w:ascii="方正楷体_GBK" w:eastAsia="方正楷体_GBK" w:cs="方正楷体_GBK"/>
          <w:sz w:val="32"/>
          <w:szCs w:val="32"/>
        </w:rPr>
        <w:t>（二）商务文件内容要求</w:t>
      </w:r>
    </w:p>
    <w:p>
      <w:pPr>
        <w:snapToGrid w:val="0"/>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业绩证明中的每份合同复印件可以不复印完合同的具体内容，但必须有双方单位等主要内容部分，并加盖鲜章。</w:t>
      </w:r>
    </w:p>
    <w:p>
      <w:pPr>
        <w:snapToGrid w:val="0"/>
        <w:spacing w:line="520" w:lineRule="exact"/>
        <w:rPr>
          <w:rFonts w:ascii="方正楷体_GBK" w:eastAsia="方正楷体_GBK" w:cs="方正楷体_GBK"/>
          <w:sz w:val="32"/>
          <w:szCs w:val="32"/>
        </w:rPr>
      </w:pPr>
      <w:r>
        <w:rPr>
          <w:rFonts w:hint="eastAsia" w:ascii="方正楷体_GBK" w:eastAsia="方正楷体_GBK" w:cs="方正楷体_GBK"/>
          <w:sz w:val="32"/>
          <w:szCs w:val="32"/>
        </w:rPr>
        <w:t xml:space="preserve">    （三）技术文件内容要求</w:t>
      </w:r>
    </w:p>
    <w:p>
      <w:pPr>
        <w:snapToGrid w:val="0"/>
        <w:spacing w:line="520" w:lineRule="exact"/>
        <w:ind w:firstLine="640"/>
        <w:rPr>
          <w:rFonts w:ascii="方正仿宋_GBK" w:eastAsia="方正仿宋_GBK" w:cs="方正仿宋_GBK"/>
          <w:sz w:val="32"/>
          <w:szCs w:val="32"/>
        </w:rPr>
      </w:pPr>
      <w:r>
        <w:rPr>
          <w:rFonts w:hint="eastAsia" w:ascii="方正仿宋_GBK" w:eastAsia="方正仿宋_GBK" w:cs="方正仿宋_GBK"/>
          <w:sz w:val="32"/>
          <w:szCs w:val="32"/>
        </w:rPr>
        <w:t>技术文件格式自定，内容包括技术方案、施工组织等。</w:t>
      </w:r>
    </w:p>
    <w:p>
      <w:pPr>
        <w:snapToGrid w:val="0"/>
        <w:spacing w:line="520" w:lineRule="exact"/>
        <w:rPr>
          <w:rFonts w:ascii="方正楷体_GBK" w:eastAsia="方正楷体_GBK" w:cs="方正楷体_GBK"/>
          <w:sz w:val="32"/>
          <w:szCs w:val="32"/>
        </w:rPr>
      </w:pPr>
      <w:r>
        <w:rPr>
          <w:rFonts w:hint="eastAsia" w:ascii="方正楷体_GBK" w:eastAsia="方正楷体_GBK" w:cs="方正楷体_GBK"/>
          <w:sz w:val="32"/>
          <w:szCs w:val="32"/>
        </w:rPr>
        <w:t>（四）报价文件填写要求</w:t>
      </w:r>
    </w:p>
    <w:p>
      <w:pPr>
        <w:tabs>
          <w:tab w:val="left" w:pos="567"/>
        </w:tabs>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 xml:space="preserve">    1．报价表应由法人授权代表人签字并加盖单位公章，未加盖公章的，视为无效。</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 xml:space="preserve">    2．报价文件未密封的、报价文件逾期送达的、报价超过最高限价的，视为无效。</w:t>
      </w:r>
    </w:p>
    <w:p>
      <w:pPr>
        <w:spacing w:line="520" w:lineRule="exact"/>
        <w:rPr>
          <w:rFonts w:ascii="方正仿宋_GBK" w:eastAsia="方正仿宋_GBK" w:cs="方正仿宋_GBK"/>
          <w:sz w:val="32"/>
          <w:szCs w:val="32"/>
        </w:rPr>
      </w:pPr>
      <w:r>
        <w:rPr>
          <w:rFonts w:hint="eastAsia" w:ascii="方正黑体_GBK" w:eastAsia="方正黑体_GBK" w:cs="方正黑体_GBK"/>
          <w:sz w:val="32"/>
          <w:szCs w:val="32"/>
        </w:rPr>
        <w:t xml:space="preserve">    九、报价文件目录</w:t>
      </w:r>
      <w:r>
        <w:rPr>
          <w:rFonts w:hint="eastAsia" w:ascii="方正仿宋_GBK" w:eastAsia="方正仿宋_GBK" w:cs="方正仿宋_GBK"/>
          <w:sz w:val="32"/>
          <w:szCs w:val="32"/>
        </w:rPr>
        <w:t>（文件模板见附件）</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1．比选文件封面</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2．营业执照、资质</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3．比选响应声明书</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4．法人授权委托书及身份证明</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5．报价一览表</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6．报价清单</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7．商务部分</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8．技术部分</w:t>
      </w:r>
    </w:p>
    <w:p>
      <w:pPr>
        <w:spacing w:line="520" w:lineRule="exact"/>
        <w:rPr>
          <w:rFonts w:ascii="方正黑体_GBK" w:eastAsia="方正黑体_GBK" w:cs="方正黑体_GBK"/>
          <w:sz w:val="32"/>
          <w:szCs w:val="32"/>
        </w:rPr>
      </w:pPr>
      <w:r>
        <w:rPr>
          <w:rFonts w:hint="eastAsia" w:ascii="方正黑体_GBK" w:eastAsia="方正黑体_GBK" w:cs="方正黑体_GBK"/>
          <w:sz w:val="32"/>
          <w:szCs w:val="32"/>
        </w:rPr>
        <w:t xml:space="preserve">    十、中选公示及中选通知</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 xml:space="preserve">    （一）比选人在完成评标之日起3日内公示中选候选人，公示期不得少于3日。</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 xml:space="preserve">    （二）中选通知:公示期间无异议或投诉、异议不成立，比选人在公示期结束后5日内按照比选文件规定的定标办法确定中选人。</w:t>
      </w:r>
    </w:p>
    <w:p>
      <w:pPr>
        <w:spacing w:line="520" w:lineRule="exact"/>
        <w:ind w:firstLine="640"/>
        <w:rPr>
          <w:rFonts w:ascii="方正仿宋_GBK" w:eastAsia="方正仿宋_GBK" w:cs="方正仿宋_GBK"/>
          <w:sz w:val="32"/>
          <w:szCs w:val="32"/>
        </w:rPr>
      </w:pPr>
      <w:r>
        <w:rPr>
          <w:rFonts w:hint="eastAsia" w:ascii="方正仿宋_GBK" w:eastAsia="方正仿宋_GBK" w:cs="方正仿宋_GBK"/>
          <w:sz w:val="32"/>
          <w:szCs w:val="32"/>
        </w:rPr>
        <w:t>（三）除不可抗力外，中选人放弃中选资格的，取消其一至二年投标资格。</w:t>
      </w:r>
    </w:p>
    <w:p>
      <w:pPr>
        <w:spacing w:line="520" w:lineRule="exact"/>
        <w:ind w:firstLine="640" w:firstLineChars="200"/>
        <w:rPr>
          <w:rFonts w:ascii="方正仿宋_GBK" w:eastAsia="方正仿宋_GBK" w:cs="方正仿宋_GBK"/>
          <w:sz w:val="32"/>
          <w:szCs w:val="32"/>
        </w:rPr>
      </w:pPr>
      <w:r>
        <w:rPr>
          <w:rFonts w:hint="eastAsia" w:ascii="方正黑体_GBK" w:eastAsia="方正黑体_GBK" w:cs="方正黑体_GBK"/>
          <w:sz w:val="32"/>
          <w:szCs w:val="32"/>
        </w:rPr>
        <w:t>十一、付款方式</w:t>
      </w:r>
    </w:p>
    <w:p>
      <w:pPr>
        <w:spacing w:line="52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本合同签订后，乙方每个季度对当本季度所完成的维修项目进行汇总，编制季度维修清单及季度产值，报甲方审批。待甲方审批通过后进行进度款支付，乙方应提供合法有效等额的增值税专用发票，否则甲方有权暂缓付款，且不承担任何责任。</w:t>
      </w:r>
    </w:p>
    <w:p>
      <w:pPr>
        <w:spacing w:line="520" w:lineRule="exact"/>
        <w:rPr>
          <w:rFonts w:ascii="方正黑体_GBK" w:eastAsia="方正黑体_GBK" w:cs="方正黑体_GBK"/>
          <w:sz w:val="32"/>
          <w:szCs w:val="32"/>
        </w:rPr>
      </w:pPr>
      <w:r>
        <w:rPr>
          <w:rFonts w:hint="eastAsia" w:ascii="方正黑体_GBK" w:eastAsia="方正黑体_GBK" w:cs="方正黑体_GBK"/>
          <w:sz w:val="32"/>
          <w:szCs w:val="32"/>
        </w:rPr>
        <w:t>十二、廉政约定</w:t>
      </w:r>
    </w:p>
    <w:p>
      <w:pPr>
        <w:spacing w:line="520" w:lineRule="exact"/>
        <w:rPr>
          <w:rFonts w:ascii="方正仿宋_GBK" w:eastAsia="方正仿宋_GBK" w:cs="方正仿宋_GBK"/>
          <w:sz w:val="32"/>
          <w:szCs w:val="32"/>
        </w:rPr>
      </w:pPr>
      <w:r>
        <w:rPr>
          <w:rFonts w:hint="eastAsia" w:ascii="方正仿宋_GBK" w:eastAsia="方正仿宋_GBK" w:cs="方正仿宋_GBK"/>
          <w:sz w:val="32"/>
          <w:szCs w:val="32"/>
        </w:rPr>
        <w:t xml:space="preserve">    为杜绝商业贿赂现象，共同营造公平、公正的竞争环境，敬请各竞选人在参与投标报价过程中，将招标（比选）人明示或暗示要求宴请、招待，或索取礼金、礼品、礼券、其他利益，或故意刁难、显失公平现象，向我司纪检监察人员进行举报。具体举报渠道告知如下：</w:t>
      </w:r>
    </w:p>
    <w:p>
      <w:pPr>
        <w:spacing w:line="520" w:lineRule="exact"/>
        <w:ind w:firstLine="64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 xml:space="preserve">举报电话及联系人：高速国储纪律检查室  </w:t>
      </w:r>
    </w:p>
    <w:p>
      <w:pPr>
        <w:spacing w:line="520" w:lineRule="exact"/>
        <w:ind w:firstLine="64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举报传真：86063759</w:t>
      </w:r>
    </w:p>
    <w:p>
      <w:pPr>
        <w:spacing w:line="520" w:lineRule="exact"/>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 xml:space="preserve">    我司承诺：对所有举报信息及时调查处理，对举报来源严格保守秘密，对举报单位因举报所可能遭受的利益损害采取特别措施予以保护。</w:t>
      </w:r>
    </w:p>
    <w:p>
      <w:pPr>
        <w:spacing w:line="520" w:lineRule="exact"/>
        <w:rPr>
          <w:rFonts w:ascii="方正黑体_GBK" w:eastAsia="方正黑体_GBK" w:cs="方正黑体_GBK"/>
          <w:color w:val="000000" w:themeColor="text1"/>
          <w:sz w:val="32"/>
          <w:szCs w:val="32"/>
        </w:rPr>
      </w:pPr>
      <w:r>
        <w:rPr>
          <w:rFonts w:hint="eastAsia" w:ascii="方正黑体_GBK" w:eastAsia="方正黑体_GBK" w:cs="方正黑体_GBK"/>
          <w:color w:val="000000" w:themeColor="text1"/>
          <w:sz w:val="32"/>
          <w:szCs w:val="32"/>
        </w:rPr>
        <w:t>十三、联系方式</w:t>
      </w:r>
    </w:p>
    <w:p>
      <w:pPr>
        <w:pStyle w:val="10"/>
        <w:spacing w:line="560" w:lineRule="exact"/>
        <w:ind w:firstLine="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经办联系人：刘老师        联系电话：18323162995</w:t>
      </w:r>
    </w:p>
    <w:p>
      <w:pPr>
        <w:pStyle w:val="10"/>
        <w:spacing w:line="560" w:lineRule="exact"/>
        <w:ind w:firstLine="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地址：</w:t>
      </w:r>
      <w:r>
        <w:rPr>
          <w:rFonts w:hint="eastAsia" w:ascii="方正仿宋_GBK" w:hAnsi="方正仿宋_GBK" w:eastAsia="方正仿宋_GBK" w:cs="方正仿宋_GBK"/>
          <w:color w:val="000000" w:themeColor="text1"/>
          <w:sz w:val="32"/>
          <w:szCs w:val="32"/>
        </w:rPr>
        <w:t>渝北区龙山街道龙脊路248号附6号3-1</w:t>
      </w:r>
    </w:p>
    <w:p>
      <w:pPr>
        <w:adjustRightInd w:val="0"/>
        <w:snapToGrid w:val="0"/>
        <w:spacing w:line="520" w:lineRule="exact"/>
        <w:ind w:firstLine="640" w:firstLineChars="200"/>
        <w:rPr>
          <w:color w:val="000000" w:themeColor="text1"/>
        </w:rPr>
      </w:pPr>
      <w:r>
        <w:rPr>
          <w:rFonts w:hint="eastAsia" w:ascii="方正仿宋_GBK" w:eastAsia="方正仿宋_GBK" w:cs="方正仿宋_GBK"/>
          <w:color w:val="000000" w:themeColor="text1"/>
          <w:sz w:val="32"/>
          <w:szCs w:val="32"/>
        </w:rPr>
        <w:t>邮编：400000</w:t>
      </w:r>
    </w:p>
    <w:p>
      <w:pPr>
        <w:spacing w:line="520" w:lineRule="exact"/>
        <w:ind w:firstLine="64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附件：1、报价文件目录内容模板；</w:t>
      </w:r>
    </w:p>
    <w:p>
      <w:pPr>
        <w:spacing w:line="520" w:lineRule="exact"/>
        <w:ind w:firstLine="1609" w:firstLineChars="503"/>
        <w:rPr>
          <w:color w:val="000000" w:themeColor="text1"/>
        </w:rPr>
      </w:pPr>
      <w:r>
        <w:rPr>
          <w:rFonts w:hint="eastAsia" w:ascii="方正仿宋_GBK" w:eastAsia="方正仿宋_GBK" w:cs="方正仿宋_GBK"/>
          <w:color w:val="000000" w:themeColor="text1"/>
          <w:sz w:val="32"/>
          <w:szCs w:val="32"/>
        </w:rPr>
        <w:t>2、合同文本</w:t>
      </w:r>
    </w:p>
    <w:p>
      <w:pPr>
        <w:pStyle w:val="2"/>
        <w:spacing w:line="480" w:lineRule="exact"/>
        <w:jc w:val="both"/>
        <w:rPr>
          <w:color w:val="000000" w:themeColor="text1"/>
        </w:rPr>
      </w:pPr>
      <w:r>
        <w:rPr>
          <w:rFonts w:hint="eastAsia" w:ascii="方正仿宋_GBK" w:eastAsia="方正仿宋_GBK" w:cs="方正仿宋_GBK"/>
          <w:color w:val="000000" w:themeColor="text1"/>
          <w:sz w:val="32"/>
          <w:szCs w:val="32"/>
        </w:rPr>
        <w:t xml:space="preserve">                       重庆高速国储能源投资有限公司 </w:t>
      </w:r>
    </w:p>
    <w:p>
      <w:pPr>
        <w:spacing w:line="520" w:lineRule="exact"/>
        <w:ind w:firstLine="640" w:firstLineChars="200"/>
        <w:jc w:val="right"/>
        <w:rPr>
          <w:rFonts w:ascii="楷体" w:hAnsi="楷体" w:eastAsia="楷体" w:cs="楷体"/>
          <w:color w:val="auto"/>
          <w:sz w:val="32"/>
          <w:szCs w:val="32"/>
        </w:rPr>
      </w:pPr>
      <w:r>
        <w:rPr>
          <w:rFonts w:hint="eastAsia" w:ascii="方正仿宋_GBK" w:eastAsia="方正仿宋_GBK" w:cs="方正仿宋_GBK"/>
          <w:color w:val="auto"/>
          <w:sz w:val="32"/>
          <w:szCs w:val="32"/>
        </w:rPr>
        <w:t>2023年4月6日</w:t>
      </w:r>
    </w:p>
    <w:p>
      <w:pPr>
        <w:pStyle w:val="21"/>
        <w:rPr>
          <w:rFonts w:ascii="楷体" w:hAnsi="楷体" w:eastAsia="楷体" w:cs="楷体"/>
          <w:color w:val="FF0000"/>
        </w:rPr>
      </w:pPr>
    </w:p>
    <w:p/>
    <w:p>
      <w:pPr>
        <w:pStyle w:val="2"/>
      </w:pPr>
    </w:p>
    <w:p/>
    <w:p>
      <w:pPr>
        <w:spacing w:line="520" w:lineRule="exact"/>
        <w:rPr>
          <w:rFonts w:ascii="楷体" w:hAnsi="楷体" w:eastAsia="楷体" w:cs="楷体"/>
          <w:color w:val="000000" w:themeColor="text1"/>
          <w:sz w:val="32"/>
          <w:szCs w:val="32"/>
        </w:rPr>
      </w:pPr>
    </w:p>
    <w:p>
      <w:pPr>
        <w:spacing w:line="520" w:lineRule="exact"/>
        <w:rPr>
          <w:rFonts w:ascii="楷体" w:hAnsi="楷体" w:eastAsia="楷体" w:cs="楷体"/>
          <w:color w:val="000000" w:themeColor="text1"/>
          <w:sz w:val="32"/>
          <w:szCs w:val="32"/>
        </w:rPr>
      </w:pPr>
    </w:p>
    <w:p>
      <w:pPr>
        <w:spacing w:line="520" w:lineRule="exact"/>
        <w:rPr>
          <w:rFonts w:ascii="楷体" w:hAnsi="楷体" w:eastAsia="楷体" w:cs="楷体"/>
          <w:color w:val="000000" w:themeColor="text1"/>
          <w:sz w:val="32"/>
          <w:szCs w:val="32"/>
        </w:rPr>
      </w:pPr>
    </w:p>
    <w:p>
      <w:pPr>
        <w:spacing w:line="520" w:lineRule="exact"/>
        <w:rPr>
          <w:rFonts w:ascii="楷体" w:hAnsi="楷体" w:eastAsia="楷体" w:cs="楷体"/>
          <w:color w:val="000000" w:themeColor="text1"/>
          <w:sz w:val="32"/>
          <w:szCs w:val="32"/>
        </w:rPr>
      </w:pPr>
    </w:p>
    <w:p>
      <w:pPr>
        <w:spacing w:line="520" w:lineRule="exact"/>
        <w:rPr>
          <w:rFonts w:ascii="楷体" w:hAnsi="楷体" w:eastAsia="楷体" w:cs="楷体"/>
          <w:color w:val="000000" w:themeColor="text1"/>
          <w:sz w:val="32"/>
          <w:szCs w:val="32"/>
        </w:rPr>
      </w:pPr>
    </w:p>
    <w:p>
      <w:pPr>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附件</w:t>
      </w:r>
    </w:p>
    <w:p>
      <w:pPr>
        <w:spacing w:line="560" w:lineRule="exact"/>
        <w:jc w:val="cente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报价文件内容模板</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１．比选文件封面</w:t>
      </w:r>
    </w:p>
    <w:p>
      <w:pPr>
        <w:spacing w:line="560" w:lineRule="exact"/>
        <w:rPr>
          <w:rFonts w:ascii="楷体" w:hAnsi="楷体" w:eastAsia="楷体" w:cs="楷体"/>
          <w:b/>
          <w:color w:val="000000" w:themeColor="text1"/>
          <w:sz w:val="24"/>
        </w:rPr>
      </w:pPr>
    </w:p>
    <w:p>
      <w:pPr>
        <w:spacing w:line="560" w:lineRule="exact"/>
        <w:jc w:val="center"/>
        <w:rPr>
          <w:rFonts w:ascii="楷体" w:hAnsi="楷体" w:eastAsia="楷体" w:cs="楷体"/>
          <w:b/>
          <w:bCs/>
          <w:color w:val="000000" w:themeColor="text1"/>
          <w:w w:val="99"/>
          <w:kern w:val="0"/>
          <w:sz w:val="44"/>
          <w:szCs w:val="44"/>
        </w:rPr>
      </w:pPr>
      <w:r>
        <w:rPr>
          <w:rFonts w:hint="eastAsia" w:ascii="楷体" w:hAnsi="楷体" w:eastAsia="楷体" w:cs="楷体"/>
          <w:b/>
          <w:bCs/>
          <w:color w:val="000000" w:themeColor="text1"/>
          <w:w w:val="99"/>
          <w:kern w:val="0"/>
          <w:sz w:val="44"/>
          <w:szCs w:val="44"/>
        </w:rPr>
        <w:t>重庆高速国储能源投资有限公司</w:t>
      </w:r>
    </w:p>
    <w:p>
      <w:pPr>
        <w:spacing w:line="560" w:lineRule="exact"/>
        <w:jc w:val="center"/>
        <w:rPr>
          <w:rFonts w:ascii="楷体" w:hAnsi="楷体" w:eastAsia="楷体" w:cs="楷体"/>
          <w:b/>
          <w:bCs/>
          <w:color w:val="000000" w:themeColor="text1"/>
          <w:w w:val="99"/>
          <w:kern w:val="0"/>
          <w:sz w:val="44"/>
          <w:szCs w:val="44"/>
        </w:rPr>
      </w:pPr>
    </w:p>
    <w:p>
      <w:pPr>
        <w:spacing w:line="560" w:lineRule="exact"/>
        <w:jc w:val="center"/>
        <w:rPr>
          <w:rFonts w:ascii="楷体" w:hAnsi="楷体" w:eastAsia="楷体" w:cs="楷体"/>
          <w:b/>
          <w:bCs/>
          <w:color w:val="000000" w:themeColor="text1"/>
          <w:spacing w:val="60"/>
          <w:sz w:val="44"/>
          <w:szCs w:val="44"/>
        </w:rPr>
      </w:pPr>
      <w:r>
        <w:rPr>
          <w:rFonts w:hint="eastAsia" w:ascii="楷体" w:hAnsi="楷体" w:eastAsia="楷体" w:cs="楷体"/>
          <w:b/>
          <w:bCs/>
          <w:color w:val="000000" w:themeColor="text1"/>
          <w:w w:val="99"/>
          <w:kern w:val="0"/>
          <w:sz w:val="44"/>
          <w:szCs w:val="44"/>
        </w:rPr>
        <w:t>加油站彩钢顶棚进行维护及增加站房爬梯项目</w:t>
      </w:r>
      <w:r>
        <w:rPr>
          <w:rFonts w:hint="eastAsia" w:ascii="楷体" w:hAnsi="楷体" w:eastAsia="楷体" w:cs="楷体"/>
          <w:b/>
          <w:bCs/>
          <w:color w:val="000000" w:themeColor="text1"/>
          <w:w w:val="99"/>
          <w:kern w:val="0"/>
          <w:sz w:val="44"/>
          <w:szCs w:val="44"/>
        </w:rPr>
        <w:cr/>
      </w:r>
    </w:p>
    <w:p>
      <w:pPr>
        <w:spacing w:line="560" w:lineRule="exact"/>
        <w:jc w:val="center"/>
        <w:rPr>
          <w:rFonts w:ascii="楷体" w:hAnsi="楷体" w:eastAsia="楷体" w:cs="楷体"/>
          <w:b/>
          <w:color w:val="000000" w:themeColor="text1"/>
          <w:sz w:val="48"/>
          <w:szCs w:val="48"/>
        </w:rPr>
      </w:pPr>
    </w:p>
    <w:p>
      <w:pPr>
        <w:spacing w:line="560" w:lineRule="exact"/>
        <w:jc w:val="center"/>
        <w:rPr>
          <w:rFonts w:ascii="楷体" w:hAnsi="楷体" w:eastAsia="楷体" w:cs="楷体"/>
          <w:b/>
          <w:color w:val="000000" w:themeColor="text1"/>
          <w:sz w:val="48"/>
          <w:szCs w:val="48"/>
        </w:rPr>
      </w:pPr>
      <w:r>
        <w:rPr>
          <w:rFonts w:hint="eastAsia" w:ascii="楷体" w:hAnsi="楷体" w:eastAsia="楷体" w:cs="楷体"/>
          <w:b/>
          <w:color w:val="000000" w:themeColor="text1"/>
          <w:sz w:val="48"/>
          <w:szCs w:val="48"/>
        </w:rPr>
        <w:t>比选响应文件</w:t>
      </w: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spacing w:line="560" w:lineRule="exact"/>
        <w:jc w:val="center"/>
        <w:rPr>
          <w:rFonts w:ascii="楷体" w:hAnsi="楷体" w:eastAsia="楷体" w:cs="楷体"/>
          <w:color w:val="000000" w:themeColor="text1"/>
          <w:sz w:val="32"/>
          <w:szCs w:val="32"/>
        </w:rPr>
      </w:pPr>
    </w:p>
    <w:p>
      <w:pPr>
        <w:pStyle w:val="21"/>
        <w:spacing w:line="560" w:lineRule="exact"/>
        <w:rPr>
          <w:rFonts w:ascii="楷体" w:hAnsi="楷体" w:eastAsia="楷体" w:cs="楷体"/>
          <w:color w:val="000000" w:themeColor="text1"/>
          <w:kern w:val="2"/>
          <w:sz w:val="32"/>
          <w:szCs w:val="32"/>
        </w:rPr>
      </w:pPr>
    </w:p>
    <w:p>
      <w:pPr>
        <w:pStyle w:val="21"/>
        <w:spacing w:line="560" w:lineRule="exact"/>
        <w:rPr>
          <w:rFonts w:ascii="楷体" w:hAnsi="楷体" w:eastAsia="楷体" w:cs="楷体"/>
          <w:color w:val="000000" w:themeColor="text1"/>
          <w:kern w:val="2"/>
          <w:sz w:val="32"/>
          <w:szCs w:val="32"/>
        </w:rPr>
      </w:pPr>
    </w:p>
    <w:p>
      <w:pPr>
        <w:spacing w:line="560" w:lineRule="exact"/>
        <w:jc w:val="center"/>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比选响应单位名称全称：（盖单位公章）</w:t>
      </w:r>
    </w:p>
    <w:p>
      <w:pPr>
        <w:spacing w:line="560" w:lineRule="exact"/>
        <w:jc w:val="center"/>
        <w:rPr>
          <w:rFonts w:ascii="楷体" w:hAnsi="楷体" w:eastAsia="楷体" w:cs="楷体"/>
          <w:b/>
          <w:bCs/>
          <w:color w:val="000000" w:themeColor="text1"/>
          <w:sz w:val="32"/>
          <w:szCs w:val="32"/>
        </w:rPr>
      </w:pPr>
    </w:p>
    <w:p>
      <w:pPr>
        <w:spacing w:line="560" w:lineRule="exact"/>
        <w:jc w:val="center"/>
        <w:rPr>
          <w:rFonts w:ascii="楷体" w:hAnsi="楷体" w:eastAsia="楷体" w:cs="楷体"/>
          <w:color w:val="000000" w:themeColor="text1"/>
          <w:sz w:val="32"/>
          <w:szCs w:val="32"/>
        </w:rPr>
      </w:pPr>
      <w:r>
        <w:rPr>
          <w:rFonts w:hint="eastAsia" w:ascii="楷体" w:hAnsi="楷体" w:eastAsia="楷体" w:cs="楷体"/>
          <w:b/>
          <w:bCs/>
          <w:color w:val="000000" w:themeColor="text1"/>
          <w:sz w:val="32"/>
          <w:szCs w:val="32"/>
        </w:rPr>
        <w:t>二0二三年四月</w:t>
      </w:r>
    </w:p>
    <w:p>
      <w:pPr>
        <w:spacing w:line="560" w:lineRule="exact"/>
        <w:rPr>
          <w:rFonts w:ascii="楷体" w:hAnsi="楷体" w:eastAsia="楷体" w:cs="楷体"/>
          <w:color w:val="000000" w:themeColor="text1"/>
          <w:sz w:val="32"/>
          <w:szCs w:val="32"/>
        </w:rPr>
      </w:pPr>
    </w:p>
    <w:p>
      <w:pPr>
        <w:spacing w:line="520" w:lineRule="exact"/>
        <w:ind w:firstLine="64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2．营业执照、资质等文件</w:t>
      </w:r>
    </w:p>
    <w:p>
      <w:pPr>
        <w:spacing w:line="520" w:lineRule="exact"/>
        <w:ind w:firstLine="640"/>
        <w:jc w:val="center"/>
        <w:rPr>
          <w:rFonts w:ascii="楷体" w:hAnsi="楷体" w:eastAsia="楷体" w:cs="楷体"/>
          <w:color w:val="000000" w:themeColor="text1"/>
          <w:sz w:val="32"/>
          <w:szCs w:val="32"/>
        </w:rPr>
      </w:pPr>
    </w:p>
    <w:p>
      <w:pPr>
        <w:spacing w:line="520" w:lineRule="exact"/>
        <w:ind w:firstLine="640"/>
        <w:jc w:val="lef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（复印件或扫描件盖章）</w:t>
      </w:r>
      <w:r>
        <w:rPr>
          <w:rFonts w:hint="eastAsia" w:ascii="楷体" w:hAnsi="楷体" w:eastAsia="楷体" w:cs="楷体"/>
          <w:color w:val="000000" w:themeColor="text1"/>
          <w:sz w:val="32"/>
          <w:szCs w:val="32"/>
        </w:rPr>
        <w:br w:type="page"/>
      </w:r>
      <w:r>
        <w:rPr>
          <w:rFonts w:hint="eastAsia" w:ascii="楷体" w:hAnsi="楷体" w:eastAsia="楷体" w:cs="楷体"/>
          <w:color w:val="000000" w:themeColor="text1"/>
          <w:sz w:val="32"/>
          <w:szCs w:val="32"/>
        </w:rPr>
        <w:t>3．比选响应声明书</w:t>
      </w:r>
    </w:p>
    <w:p>
      <w:pPr>
        <w:pStyle w:val="2"/>
        <w:rPr>
          <w:rFonts w:ascii="楷体" w:hAnsi="楷体" w:eastAsia="楷体" w:cs="楷体"/>
          <w:color w:val="000000" w:themeColor="text1"/>
        </w:rPr>
      </w:pPr>
    </w:p>
    <w:p>
      <w:pPr>
        <w:tabs>
          <w:tab w:val="left" w:pos="900"/>
        </w:tabs>
        <w:spacing w:line="520" w:lineRule="exact"/>
        <w:rPr>
          <w:rFonts w:ascii="楷体" w:hAnsi="楷体" w:eastAsia="楷体" w:cs="楷体"/>
          <w:bCs/>
          <w:color w:val="000000" w:themeColor="text1"/>
          <w:sz w:val="32"/>
          <w:szCs w:val="32"/>
          <w:u w:val="single"/>
        </w:rPr>
      </w:pPr>
      <w:r>
        <w:rPr>
          <w:rFonts w:hint="eastAsia" w:ascii="楷体" w:hAnsi="楷体" w:eastAsia="楷体" w:cs="楷体"/>
          <w:bCs/>
          <w:color w:val="000000" w:themeColor="text1"/>
          <w:sz w:val="32"/>
          <w:szCs w:val="32"/>
        </w:rPr>
        <w:t>致：</w:t>
      </w:r>
      <w:r>
        <w:rPr>
          <w:rFonts w:hint="eastAsia" w:ascii="楷体" w:hAnsi="楷体" w:eastAsia="楷体" w:cs="楷体"/>
          <w:color w:val="000000" w:themeColor="text1"/>
          <w:sz w:val="32"/>
          <w:szCs w:val="32"/>
          <w:u w:val="single"/>
        </w:rPr>
        <w:t>重庆高速国储能源投资有限公司</w:t>
      </w:r>
    </w:p>
    <w:p>
      <w:pPr>
        <w:spacing w:line="560" w:lineRule="exact"/>
        <w:ind w:firstLine="640" w:firstLineChars="200"/>
        <w:jc w:val="left"/>
        <w:rPr>
          <w:rFonts w:ascii="楷体" w:hAnsi="楷体" w:eastAsia="楷体" w:cs="楷体"/>
          <w:color w:val="000000" w:themeColor="text1"/>
          <w:sz w:val="32"/>
          <w:szCs w:val="32"/>
          <w:u w:val="single"/>
        </w:rPr>
      </w:pPr>
      <w:r>
        <w:rPr>
          <w:rFonts w:hint="eastAsia" w:ascii="楷体" w:hAnsi="楷体" w:eastAsia="楷体" w:cs="楷体"/>
          <w:color w:val="000000" w:themeColor="text1"/>
          <w:sz w:val="32"/>
          <w:szCs w:val="32"/>
        </w:rPr>
        <w:t>根据贵方为的比选邀请，签字代表</w:t>
      </w:r>
      <w:r>
        <w:rPr>
          <w:rFonts w:hint="eastAsia" w:ascii="楷体" w:hAnsi="楷体" w:eastAsia="楷体" w:cs="楷体"/>
          <w:color w:val="000000" w:themeColor="text1"/>
          <w:sz w:val="32"/>
          <w:szCs w:val="32"/>
          <w:u w:val="single"/>
        </w:rPr>
        <w:t>（全名、职务）</w:t>
      </w:r>
      <w:r>
        <w:rPr>
          <w:rFonts w:hint="eastAsia" w:ascii="楷体" w:hAnsi="楷体" w:eastAsia="楷体" w:cs="楷体"/>
          <w:color w:val="000000" w:themeColor="text1"/>
          <w:sz w:val="32"/>
          <w:szCs w:val="32"/>
        </w:rPr>
        <w:t>经正式授权并代表比选响应单位</w:t>
      </w:r>
      <w:r>
        <w:rPr>
          <w:rFonts w:hint="eastAsia" w:ascii="楷体" w:hAnsi="楷体" w:eastAsia="楷体" w:cs="楷体"/>
          <w:color w:val="000000" w:themeColor="text1"/>
          <w:sz w:val="32"/>
          <w:szCs w:val="32"/>
          <w:u w:val="single"/>
        </w:rPr>
        <w:t>（比选响应单位名称）</w:t>
      </w:r>
      <w:r>
        <w:rPr>
          <w:rFonts w:hint="eastAsia" w:ascii="楷体" w:hAnsi="楷体" w:eastAsia="楷体" w:cs="楷体"/>
          <w:color w:val="000000" w:themeColor="text1"/>
          <w:sz w:val="32"/>
          <w:szCs w:val="32"/>
        </w:rPr>
        <w:t>提交以下文件正本一份和副本一份。</w:t>
      </w:r>
    </w:p>
    <w:p>
      <w:pPr>
        <w:spacing w:line="520" w:lineRule="exact"/>
        <w:ind w:firstLine="640" w:firstLineChars="200"/>
        <w:rPr>
          <w:rFonts w:ascii="楷体" w:hAnsi="楷体" w:eastAsia="楷体" w:cs="楷体"/>
          <w:color w:val="000000" w:themeColor="text1"/>
          <w:sz w:val="32"/>
          <w:szCs w:val="32"/>
          <w:u w:val="single"/>
        </w:rPr>
      </w:pPr>
      <w:r>
        <w:rPr>
          <w:rFonts w:hint="eastAsia" w:ascii="楷体" w:hAnsi="楷体" w:eastAsia="楷体" w:cs="楷体"/>
          <w:color w:val="000000" w:themeColor="text1"/>
          <w:sz w:val="32"/>
          <w:szCs w:val="32"/>
          <w:u w:val="single"/>
        </w:rPr>
        <w:t>我方愿以人民币：              元（大写 元）的报价总价，按照比选文件的要求，承担本次比选文件要求的装修改造。</w:t>
      </w:r>
    </w:p>
    <w:p>
      <w:pPr>
        <w:tabs>
          <w:tab w:val="left" w:pos="540"/>
          <w:tab w:val="left" w:pos="900"/>
        </w:tabs>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据此函，签字代表宣布同意如下：</w:t>
      </w:r>
    </w:p>
    <w:p>
      <w:pPr>
        <w:tabs>
          <w:tab w:val="left" w:pos="540"/>
          <w:tab w:val="left" w:pos="900"/>
        </w:tabs>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1．比选响应单位将按比选文件规定履行合同责任和义务。</w:t>
      </w:r>
    </w:p>
    <w:p>
      <w:pPr>
        <w:tabs>
          <w:tab w:val="left" w:pos="900"/>
        </w:tabs>
        <w:spacing w:line="520" w:lineRule="exact"/>
        <w:rPr>
          <w:rFonts w:ascii="楷体" w:hAnsi="楷体" w:eastAsia="楷体" w:cs="楷体"/>
          <w:b/>
          <w:color w:val="000000" w:themeColor="text1"/>
          <w:sz w:val="32"/>
          <w:szCs w:val="32"/>
        </w:rPr>
      </w:pPr>
      <w:r>
        <w:rPr>
          <w:rFonts w:hint="eastAsia" w:ascii="楷体" w:hAnsi="楷体" w:eastAsia="楷体" w:cs="楷体"/>
          <w:color w:val="000000" w:themeColor="text1"/>
          <w:sz w:val="32"/>
          <w:szCs w:val="32"/>
        </w:rPr>
        <w:t>2．比选响应单位已详细审查全部比选文件，包括全部参考资料和相关附件。我们完全理解并同意放弃对这方面有不明及误解的权利。</w:t>
      </w:r>
    </w:p>
    <w:p>
      <w:pPr>
        <w:tabs>
          <w:tab w:val="left" w:pos="900"/>
        </w:tabs>
        <w:spacing w:line="520" w:lineRule="exact"/>
        <w:rPr>
          <w:rFonts w:ascii="楷体" w:hAnsi="楷体" w:eastAsia="楷体" w:cs="楷体"/>
          <w:b/>
          <w:color w:val="000000" w:themeColor="text1"/>
          <w:sz w:val="32"/>
          <w:szCs w:val="32"/>
        </w:rPr>
      </w:pPr>
      <w:r>
        <w:rPr>
          <w:rFonts w:hint="eastAsia" w:ascii="楷体" w:hAnsi="楷体" w:eastAsia="楷体" w:cs="楷体"/>
          <w:color w:val="000000" w:themeColor="text1"/>
          <w:sz w:val="32"/>
          <w:szCs w:val="32"/>
        </w:rPr>
        <w:t>3．比选响应单位同意提供比选人可能要求的与其比选响应文件有关的一切数据或资料，完全理解招标人不一定要接受最低报价的比选响应或收到的任何投标。</w:t>
      </w:r>
    </w:p>
    <w:p>
      <w:pPr>
        <w:tabs>
          <w:tab w:val="left" w:pos="900"/>
        </w:tabs>
        <w:spacing w:line="520" w:lineRule="exact"/>
        <w:rPr>
          <w:rFonts w:ascii="楷体" w:hAnsi="楷体" w:eastAsia="楷体" w:cs="楷体"/>
          <w:b/>
          <w:color w:val="000000" w:themeColor="text1"/>
          <w:sz w:val="32"/>
          <w:szCs w:val="32"/>
        </w:rPr>
      </w:pPr>
      <w:r>
        <w:rPr>
          <w:rFonts w:hint="eastAsia" w:ascii="楷体" w:hAnsi="楷体" w:eastAsia="楷体" w:cs="楷体"/>
          <w:color w:val="000000" w:themeColor="text1"/>
          <w:sz w:val="32"/>
          <w:szCs w:val="32"/>
        </w:rPr>
        <w:t>4．与本比选响应有关的一切正式往来通讯请寄：</w:t>
      </w:r>
    </w:p>
    <w:p>
      <w:pPr>
        <w:tabs>
          <w:tab w:val="left" w:pos="900"/>
        </w:tabs>
        <w:spacing w:line="520" w:lineRule="exact"/>
        <w:rPr>
          <w:rFonts w:ascii="楷体" w:hAnsi="楷体" w:eastAsia="楷体" w:cs="楷体"/>
          <w:b/>
          <w:color w:val="000000" w:themeColor="text1"/>
          <w:sz w:val="32"/>
          <w:szCs w:val="32"/>
        </w:rPr>
      </w:pPr>
      <w:r>
        <w:rPr>
          <w:rFonts w:hint="eastAsia" w:ascii="楷体" w:hAnsi="楷体" w:eastAsia="楷体" w:cs="楷体"/>
          <w:color w:val="000000" w:themeColor="text1"/>
          <w:sz w:val="32"/>
          <w:szCs w:val="32"/>
        </w:rPr>
        <w:t>地址：邮编：</w:t>
      </w:r>
    </w:p>
    <w:p>
      <w:pPr>
        <w:tabs>
          <w:tab w:val="left" w:pos="900"/>
        </w:tabs>
        <w:spacing w:line="520" w:lineRule="exact"/>
        <w:rPr>
          <w:rFonts w:ascii="楷体" w:hAnsi="楷体" w:eastAsia="楷体" w:cs="楷体"/>
          <w:color w:val="000000" w:themeColor="text1"/>
          <w:sz w:val="32"/>
          <w:szCs w:val="32"/>
          <w:u w:val="single"/>
        </w:rPr>
      </w:pPr>
      <w:r>
        <w:rPr>
          <w:rFonts w:hint="eastAsia" w:ascii="楷体" w:hAnsi="楷体" w:eastAsia="楷体" w:cs="楷体"/>
          <w:color w:val="000000" w:themeColor="text1"/>
          <w:sz w:val="32"/>
          <w:szCs w:val="32"/>
        </w:rPr>
        <w:t>电话：传真：</w:t>
      </w:r>
    </w:p>
    <w:p>
      <w:pPr>
        <w:tabs>
          <w:tab w:val="left" w:pos="900"/>
        </w:tabs>
        <w:spacing w:line="52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比选响应单位的姓名、职务：</w:t>
      </w:r>
    </w:p>
    <w:p>
      <w:pPr>
        <w:tabs>
          <w:tab w:val="left" w:pos="900"/>
        </w:tabs>
        <w:spacing w:line="520" w:lineRule="exact"/>
        <w:rPr>
          <w:rFonts w:ascii="楷体" w:hAnsi="楷体" w:eastAsia="楷体" w:cs="楷体"/>
          <w:color w:val="000000" w:themeColor="text1"/>
          <w:sz w:val="32"/>
          <w:szCs w:val="32"/>
        </w:rPr>
      </w:pPr>
    </w:p>
    <w:p>
      <w:pPr>
        <w:tabs>
          <w:tab w:val="left" w:pos="900"/>
        </w:tabs>
        <w:spacing w:line="520" w:lineRule="exact"/>
        <w:jc w:val="righ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比选响应单位（加盖公章）：</w:t>
      </w:r>
    </w:p>
    <w:p>
      <w:pPr>
        <w:tabs>
          <w:tab w:val="left" w:pos="900"/>
        </w:tabs>
        <w:spacing w:line="520" w:lineRule="exact"/>
        <w:jc w:val="cente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日期：     年   月   日</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br w:type="page"/>
      </w:r>
      <w:r>
        <w:rPr>
          <w:rFonts w:hint="eastAsia" w:ascii="楷体" w:hAnsi="楷体" w:eastAsia="楷体" w:cs="楷体"/>
          <w:color w:val="000000" w:themeColor="text1"/>
          <w:sz w:val="32"/>
          <w:szCs w:val="32"/>
        </w:rPr>
        <w:t>4．法人授权委托书及身份证明</w:t>
      </w:r>
    </w:p>
    <w:p>
      <w:pPr>
        <w:spacing w:line="560" w:lineRule="exact"/>
        <w:jc w:val="center"/>
        <w:rPr>
          <w:rFonts w:ascii="楷体" w:hAnsi="楷体" w:eastAsia="楷体" w:cs="楷体"/>
          <w:bCs/>
          <w:color w:val="000000" w:themeColor="text1"/>
          <w:sz w:val="32"/>
          <w:szCs w:val="32"/>
        </w:rPr>
      </w:pPr>
    </w:p>
    <w:p>
      <w:pPr>
        <w:spacing w:line="560" w:lineRule="exact"/>
        <w:jc w:val="center"/>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法定代表人身份证明</w:t>
      </w:r>
    </w:p>
    <w:p>
      <w:pPr>
        <w:spacing w:line="560" w:lineRule="exact"/>
        <w:rPr>
          <w:rFonts w:ascii="楷体" w:hAnsi="楷体" w:eastAsia="楷体" w:cs="楷体"/>
          <w:color w:val="000000" w:themeColor="text1"/>
          <w:sz w:val="24"/>
        </w:rPr>
      </w:pPr>
    </w:p>
    <w:p>
      <w:pPr>
        <w:spacing w:line="560" w:lineRule="exact"/>
        <w:ind w:left="1440" w:hanging="1440" w:hangingChars="450"/>
        <w:jc w:val="left"/>
        <w:rPr>
          <w:rFonts w:ascii="楷体" w:hAnsi="楷体" w:eastAsia="楷体" w:cs="楷体"/>
          <w:color w:val="000000" w:themeColor="text1"/>
          <w:sz w:val="32"/>
          <w:szCs w:val="32"/>
          <w:u w:val="single"/>
        </w:rPr>
      </w:pPr>
      <w:r>
        <w:rPr>
          <w:rFonts w:hint="eastAsia" w:ascii="楷体" w:hAnsi="楷体" w:eastAsia="楷体" w:cs="楷体"/>
          <w:color w:val="000000" w:themeColor="text1"/>
          <w:sz w:val="32"/>
          <w:szCs w:val="32"/>
        </w:rPr>
        <w:t>项目名称：</w:t>
      </w:r>
      <w:r>
        <w:rPr>
          <w:rFonts w:hint="eastAsia" w:ascii="楷体" w:hAnsi="楷体" w:eastAsia="楷体" w:cs="楷体"/>
          <w:color w:val="000000" w:themeColor="text1"/>
          <w:sz w:val="32"/>
          <w:szCs w:val="32"/>
          <w:u w:val="single"/>
        </w:rPr>
        <w:t>重庆高速国储能源投资有限公司加油站彩钢顶棚进行维护及增加站房爬梯项目</w:t>
      </w:r>
    </w:p>
    <w:p>
      <w:pPr>
        <w:spacing w:line="56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致：</w:t>
      </w:r>
      <w:r>
        <w:rPr>
          <w:rFonts w:hint="eastAsia" w:ascii="楷体" w:hAnsi="楷体" w:eastAsia="楷体" w:cs="楷体"/>
          <w:color w:val="000000" w:themeColor="text1"/>
          <w:sz w:val="32"/>
          <w:szCs w:val="32"/>
          <w:u w:val="single"/>
        </w:rPr>
        <w:t>重庆高速国储能源投资有限公司</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u w:val="single"/>
        </w:rPr>
        <w:t xml:space="preserve">      （法定代表人姓名）</w:t>
      </w:r>
      <w:r>
        <w:rPr>
          <w:rFonts w:hint="eastAsia" w:ascii="楷体" w:hAnsi="楷体" w:eastAsia="楷体" w:cs="楷体"/>
          <w:color w:val="000000" w:themeColor="text1"/>
          <w:sz w:val="32"/>
          <w:szCs w:val="32"/>
        </w:rPr>
        <w:t xml:space="preserve">是 </w:t>
      </w:r>
      <w:r>
        <w:rPr>
          <w:rFonts w:hint="eastAsia" w:ascii="楷体" w:hAnsi="楷体" w:eastAsia="楷体" w:cs="楷体"/>
          <w:color w:val="000000" w:themeColor="text1"/>
          <w:sz w:val="32"/>
          <w:szCs w:val="32"/>
          <w:u w:val="single"/>
        </w:rPr>
        <w:t>（比选响应单位名称）</w:t>
      </w:r>
      <w:r>
        <w:rPr>
          <w:rFonts w:hint="eastAsia" w:ascii="楷体" w:hAnsi="楷体" w:eastAsia="楷体" w:cs="楷体"/>
          <w:color w:val="000000" w:themeColor="text1"/>
          <w:sz w:val="32"/>
          <w:szCs w:val="32"/>
        </w:rPr>
        <w:t>的法定代表人。</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特此证明。</w:t>
      </w: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jc w:val="righ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（比选响应单位公章）</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   年   月   日</w:t>
      </w:r>
    </w:p>
    <w:p>
      <w:pPr>
        <w:spacing w:line="560" w:lineRule="exact"/>
        <w:rPr>
          <w:rFonts w:ascii="楷体" w:hAnsi="楷体" w:eastAsia="楷体" w:cs="楷体"/>
          <w:b/>
          <w:color w:val="000000" w:themeColor="text1"/>
          <w:sz w:val="32"/>
          <w:szCs w:val="32"/>
        </w:rPr>
      </w:pPr>
    </w:p>
    <w:p>
      <w:pPr>
        <w:spacing w:line="560" w:lineRule="exact"/>
        <w:rPr>
          <w:rFonts w:ascii="楷体" w:hAnsi="楷体" w:eastAsia="楷体" w:cs="楷体"/>
          <w:b/>
          <w:color w:val="000000" w:themeColor="text1"/>
          <w:sz w:val="24"/>
        </w:rPr>
      </w:pPr>
    </w:p>
    <w:p>
      <w:pPr>
        <w:spacing w:line="560" w:lineRule="exact"/>
        <w:rPr>
          <w:rFonts w:ascii="楷体" w:hAnsi="楷体" w:eastAsia="楷体" w:cs="楷体"/>
          <w:b/>
          <w:color w:val="000000" w:themeColor="text1"/>
          <w:sz w:val="24"/>
        </w:rPr>
      </w:pPr>
    </w:p>
    <w:p>
      <w:pPr>
        <w:spacing w:line="560" w:lineRule="exact"/>
        <w:rPr>
          <w:rFonts w:ascii="楷体" w:hAnsi="楷体" w:eastAsia="楷体" w:cs="楷体"/>
          <w:b/>
          <w:color w:val="000000" w:themeColor="text1"/>
          <w:sz w:val="24"/>
        </w:rPr>
      </w:pPr>
    </w:p>
    <w:p>
      <w:pPr>
        <w:spacing w:line="560" w:lineRule="exact"/>
        <w:rPr>
          <w:rFonts w:ascii="楷体" w:hAnsi="楷体" w:eastAsia="楷体" w:cs="楷体"/>
          <w:b/>
          <w:color w:val="000000" w:themeColor="text1"/>
          <w:sz w:val="24"/>
        </w:rPr>
      </w:pPr>
    </w:p>
    <w:p>
      <w:pPr>
        <w:spacing w:line="560" w:lineRule="exact"/>
        <w:jc w:val="center"/>
        <w:rPr>
          <w:rFonts w:ascii="楷体" w:hAnsi="楷体" w:eastAsia="楷体" w:cs="楷体"/>
          <w:bCs/>
          <w:color w:val="000000" w:themeColor="text1"/>
          <w:sz w:val="32"/>
          <w:szCs w:val="32"/>
        </w:rPr>
      </w:pPr>
    </w:p>
    <w:p>
      <w:pPr>
        <w:spacing w:line="560" w:lineRule="exact"/>
        <w:jc w:val="center"/>
        <w:rPr>
          <w:rFonts w:ascii="楷体" w:hAnsi="楷体" w:eastAsia="楷体" w:cs="楷体"/>
          <w:bCs/>
          <w:color w:val="000000" w:themeColor="text1"/>
          <w:sz w:val="32"/>
          <w:szCs w:val="32"/>
        </w:rPr>
      </w:pPr>
    </w:p>
    <w:p>
      <w:pPr>
        <w:spacing w:line="560" w:lineRule="exact"/>
        <w:jc w:val="center"/>
        <w:rPr>
          <w:rFonts w:ascii="楷体" w:hAnsi="楷体" w:eastAsia="楷体" w:cs="楷体"/>
          <w:bCs/>
          <w:color w:val="000000" w:themeColor="text1"/>
          <w:sz w:val="32"/>
          <w:szCs w:val="32"/>
        </w:rPr>
      </w:pPr>
    </w:p>
    <w:p>
      <w:pPr>
        <w:spacing w:line="560" w:lineRule="exact"/>
        <w:jc w:val="center"/>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法定代表人授权委托书</w:t>
      </w:r>
    </w:p>
    <w:p>
      <w:pPr>
        <w:spacing w:line="560" w:lineRule="exact"/>
        <w:ind w:firstLine="2891" w:firstLineChars="900"/>
        <w:rPr>
          <w:rFonts w:ascii="楷体" w:hAnsi="楷体" w:eastAsia="楷体" w:cs="楷体"/>
          <w:b/>
          <w:color w:val="000000" w:themeColor="text1"/>
          <w:sz w:val="32"/>
          <w:szCs w:val="32"/>
        </w:rPr>
      </w:pPr>
    </w:p>
    <w:p>
      <w:pPr>
        <w:spacing w:line="560" w:lineRule="exact"/>
        <w:rPr>
          <w:rFonts w:ascii="楷体" w:hAnsi="楷体" w:eastAsia="楷体" w:cs="楷体"/>
          <w:b/>
          <w:color w:val="000000" w:themeColor="text1"/>
          <w:sz w:val="32"/>
          <w:szCs w:val="32"/>
        </w:rPr>
      </w:pPr>
      <w:r>
        <w:rPr>
          <w:rFonts w:hint="eastAsia" w:ascii="楷体" w:hAnsi="楷体" w:eastAsia="楷体" w:cs="楷体"/>
          <w:color w:val="000000" w:themeColor="text1"/>
          <w:sz w:val="32"/>
          <w:szCs w:val="32"/>
        </w:rPr>
        <w:t>项目名称：</w:t>
      </w: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w w:val="99"/>
          <w:kern w:val="0"/>
          <w:sz w:val="32"/>
          <w:szCs w:val="32"/>
          <w:u w:val="single"/>
        </w:rPr>
      </w:pPr>
      <w:r>
        <w:rPr>
          <w:rFonts w:hint="eastAsia" w:ascii="楷体" w:hAnsi="楷体" w:eastAsia="楷体" w:cs="楷体"/>
          <w:color w:val="000000" w:themeColor="text1"/>
          <w:sz w:val="32"/>
          <w:szCs w:val="32"/>
        </w:rPr>
        <w:t>致：</w:t>
      </w:r>
      <w:r>
        <w:rPr>
          <w:rFonts w:hint="eastAsia" w:ascii="楷体" w:hAnsi="楷体" w:eastAsia="楷体" w:cs="楷体"/>
          <w:color w:val="000000" w:themeColor="text1"/>
          <w:sz w:val="32"/>
          <w:szCs w:val="32"/>
          <w:u w:val="single"/>
        </w:rPr>
        <w:t>重庆高速国储能源投资有限公司</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u w:val="single"/>
        </w:rPr>
        <w:t>（比选响应单位法定代表人名称）</w:t>
      </w:r>
      <w:r>
        <w:rPr>
          <w:rFonts w:hint="eastAsia" w:ascii="楷体" w:hAnsi="楷体" w:eastAsia="楷体" w:cs="楷体"/>
          <w:color w:val="000000" w:themeColor="text1"/>
          <w:sz w:val="32"/>
          <w:szCs w:val="32"/>
        </w:rPr>
        <w:t>是</w:t>
      </w:r>
      <w:r>
        <w:rPr>
          <w:rFonts w:hint="eastAsia" w:ascii="楷体" w:hAnsi="楷体" w:eastAsia="楷体" w:cs="楷体"/>
          <w:color w:val="000000" w:themeColor="text1"/>
          <w:sz w:val="32"/>
          <w:szCs w:val="32"/>
          <w:u w:val="single"/>
        </w:rPr>
        <w:t>（比选响应单位名称）</w:t>
      </w:r>
      <w:r>
        <w:rPr>
          <w:rFonts w:hint="eastAsia" w:ascii="楷体" w:hAnsi="楷体" w:eastAsia="楷体" w:cs="楷体"/>
          <w:color w:val="000000" w:themeColor="text1"/>
          <w:sz w:val="32"/>
          <w:szCs w:val="32"/>
        </w:rPr>
        <w:t>的法定代表人，特授权（被授权人姓名）代表我单位全权办理上述项目的投标、谈判、签约等具体工作，并签署全部有关文件、协议及合同。我单位对被授权人的签名负全部责任。</w:t>
      </w:r>
    </w:p>
    <w:p>
      <w:pPr>
        <w:spacing w:line="560"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在撤消授权的书面通知以前，本授权书一直有效。被授权人在授权书有效期内签署的所有文件不因授权的撤消而失效。</w:t>
      </w: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比选响应单位法定代表人签字：          被授权人签字：</w:t>
      </w: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jc w:val="righ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（比选响应单位公章）</w:t>
      </w:r>
    </w:p>
    <w:p>
      <w:pPr>
        <w:spacing w:line="560" w:lineRule="exact"/>
        <w:jc w:val="righ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年   月   日</w:t>
      </w:r>
    </w:p>
    <w:p>
      <w:pPr>
        <w:spacing w:line="560" w:lineRule="exact"/>
        <w:rPr>
          <w:rFonts w:ascii="楷体" w:hAnsi="楷体" w:eastAsia="楷体" w:cs="楷体"/>
          <w:b/>
          <w:color w:val="000000" w:themeColor="text1"/>
          <w:sz w:val="32"/>
          <w:szCs w:val="32"/>
        </w:rPr>
      </w:pPr>
    </w:p>
    <w:p>
      <w:pPr>
        <w:spacing w:line="560" w:lineRule="exact"/>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附：法定代表人身份证复印件</w:t>
      </w:r>
    </w:p>
    <w:p>
      <w:pPr>
        <w:spacing w:line="560"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被授权人身份证复印件</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br w:type="page"/>
      </w:r>
      <w:r>
        <w:rPr>
          <w:rFonts w:hint="eastAsia" w:ascii="楷体" w:hAnsi="楷体" w:eastAsia="楷体" w:cs="楷体"/>
          <w:color w:val="000000" w:themeColor="text1"/>
          <w:sz w:val="32"/>
          <w:szCs w:val="32"/>
        </w:rPr>
        <w:t>5．报价一览表</w:t>
      </w:r>
    </w:p>
    <w:p>
      <w:pPr>
        <w:spacing w:line="560" w:lineRule="exact"/>
        <w:outlineLvl w:val="0"/>
        <w:rPr>
          <w:rFonts w:ascii="楷体" w:hAnsi="楷体" w:eastAsia="楷体" w:cs="楷体"/>
          <w:bCs/>
          <w:color w:val="000000" w:themeColor="text1"/>
          <w:sz w:val="32"/>
          <w:szCs w:val="32"/>
        </w:rPr>
      </w:pPr>
    </w:p>
    <w:p>
      <w:pPr>
        <w:spacing w:line="560" w:lineRule="exact"/>
        <w:jc w:val="center"/>
        <w:outlineLvl w:val="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 xml:space="preserve"> 报价一览表</w:t>
      </w:r>
    </w:p>
    <w:p>
      <w:pPr>
        <w:spacing w:line="560" w:lineRule="exact"/>
        <w:jc w:val="center"/>
        <w:outlineLvl w:val="0"/>
        <w:rPr>
          <w:rFonts w:ascii="楷体" w:hAnsi="楷体" w:eastAsia="楷体" w:cs="楷体"/>
          <w:bCs/>
          <w:color w:val="000000" w:themeColor="text1"/>
          <w:sz w:val="32"/>
          <w:szCs w:val="32"/>
        </w:rPr>
      </w:pPr>
    </w:p>
    <w:p>
      <w:pPr>
        <w:spacing w:line="560" w:lineRule="exact"/>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w:t>
      </w:r>
    </w:p>
    <w:p>
      <w:pPr>
        <w:spacing w:line="560" w:lineRule="exact"/>
        <w:ind w:firstLine="640" w:firstLineChars="200"/>
        <w:jc w:val="left"/>
        <w:rPr>
          <w:rFonts w:ascii="楷体" w:hAnsi="楷体" w:eastAsia="楷体" w:cs="楷体"/>
          <w:bCs/>
          <w:color w:val="000000" w:themeColor="text1"/>
          <w:sz w:val="32"/>
          <w:szCs w:val="32"/>
          <w:u w:val="single"/>
        </w:rPr>
      </w:pPr>
      <w:r>
        <w:rPr>
          <w:rFonts w:hint="eastAsia" w:ascii="楷体" w:hAnsi="楷体" w:eastAsia="楷体" w:cs="楷体"/>
          <w:bCs/>
          <w:color w:val="000000" w:themeColor="text1"/>
          <w:sz w:val="32"/>
          <w:szCs w:val="32"/>
        </w:rPr>
        <w:t>在研究了比选公告中所有文件后，我司对</w:t>
      </w:r>
      <w:r>
        <w:rPr>
          <w:rFonts w:hint="eastAsia" w:ascii="楷体" w:hAnsi="楷体" w:eastAsia="楷体" w:cs="楷体"/>
          <w:color w:val="000000" w:themeColor="text1"/>
          <w:sz w:val="32"/>
          <w:szCs w:val="32"/>
          <w:u w:val="single"/>
        </w:rPr>
        <w:t>重庆高速国储能源投资有限公司加油站彩钢顶棚进行维护及增加站房爬梯项目</w:t>
      </w:r>
      <w:r>
        <w:rPr>
          <w:rFonts w:hint="eastAsia" w:ascii="楷体" w:hAnsi="楷体" w:eastAsia="楷体" w:cs="楷体"/>
          <w:bCs/>
          <w:color w:val="000000" w:themeColor="text1"/>
          <w:sz w:val="32"/>
          <w:szCs w:val="32"/>
        </w:rPr>
        <w:t>公开竞争性比选响应报价如下：</w:t>
      </w:r>
    </w:p>
    <w:p>
      <w:pPr>
        <w:spacing w:line="560" w:lineRule="exact"/>
        <w:jc w:val="left"/>
        <w:rPr>
          <w:rFonts w:ascii="楷体" w:hAnsi="楷体" w:eastAsia="楷体" w:cs="楷体"/>
          <w:color w:val="000000" w:themeColor="text1"/>
          <w:sz w:val="32"/>
          <w:szCs w:val="32"/>
          <w:u w:val="single"/>
        </w:rPr>
      </w:pPr>
      <w:r>
        <w:rPr>
          <w:rFonts w:hint="eastAsia" w:ascii="楷体" w:hAnsi="楷体" w:eastAsia="楷体" w:cs="楷体"/>
          <w:bCs/>
          <w:color w:val="000000" w:themeColor="text1"/>
          <w:sz w:val="32"/>
          <w:szCs w:val="32"/>
        </w:rPr>
        <w:t>报价采用表格形式：</w:t>
      </w:r>
      <w:r>
        <w:rPr>
          <w:rFonts w:hint="eastAsia" w:ascii="楷体" w:hAnsi="楷体" w:eastAsia="楷体" w:cs="楷体"/>
          <w:bCs/>
          <w:color w:val="000000" w:themeColor="text1"/>
          <w:sz w:val="32"/>
          <w:szCs w:val="32"/>
          <w:u w:val="single"/>
        </w:rPr>
        <w:t>总价为     元（人民币               ），详见“</w:t>
      </w:r>
      <w:r>
        <w:rPr>
          <w:rFonts w:hint="eastAsia" w:ascii="楷体" w:hAnsi="楷体" w:eastAsia="楷体" w:cs="楷体"/>
          <w:color w:val="000000" w:themeColor="text1"/>
          <w:sz w:val="32"/>
          <w:szCs w:val="32"/>
          <w:u w:val="single"/>
        </w:rPr>
        <w:t>重庆高速国储能源投资有限公司加油站彩钢顶棚进行维护及增加站房爬梯项目”</w:t>
      </w:r>
    </w:p>
    <w:p>
      <w:pPr>
        <w:spacing w:line="560" w:lineRule="exact"/>
        <w:rPr>
          <w:rFonts w:ascii="楷体" w:hAnsi="楷体" w:eastAsia="楷体" w:cs="楷体"/>
          <w:bCs/>
          <w:color w:val="000000" w:themeColor="text1"/>
          <w:sz w:val="32"/>
          <w:szCs w:val="32"/>
          <w:u w:val="single"/>
        </w:rPr>
      </w:pPr>
      <w:r>
        <w:rPr>
          <w:rFonts w:hint="eastAsia" w:ascii="楷体" w:hAnsi="楷体" w:eastAsia="楷体" w:cs="楷体"/>
          <w:bCs/>
          <w:color w:val="000000" w:themeColor="text1"/>
          <w:sz w:val="32"/>
          <w:szCs w:val="32"/>
        </w:rPr>
        <w:t>其他说明：</w:t>
      </w:r>
    </w:p>
    <w:p>
      <w:pPr>
        <w:spacing w:line="560" w:lineRule="exact"/>
        <w:rPr>
          <w:rFonts w:ascii="楷体" w:hAnsi="楷体" w:eastAsia="楷体" w:cs="楷体"/>
          <w:bCs/>
          <w:color w:val="000000" w:themeColor="text1"/>
          <w:sz w:val="32"/>
          <w:szCs w:val="32"/>
          <w:u w:val="single"/>
        </w:rPr>
      </w:pPr>
    </w:p>
    <w:p>
      <w:pPr>
        <w:spacing w:line="560" w:lineRule="exact"/>
        <w:rPr>
          <w:rFonts w:ascii="楷体" w:hAnsi="楷体" w:eastAsia="楷体" w:cs="楷体"/>
          <w:bCs/>
          <w:color w:val="000000" w:themeColor="text1"/>
          <w:sz w:val="32"/>
          <w:szCs w:val="32"/>
          <w:u w:val="single"/>
        </w:rPr>
      </w:pPr>
    </w:p>
    <w:p>
      <w:pPr>
        <w:spacing w:line="560" w:lineRule="exact"/>
        <w:rPr>
          <w:rFonts w:ascii="楷体" w:hAnsi="楷体" w:eastAsia="楷体" w:cs="楷体"/>
          <w:color w:val="000000" w:themeColor="text1"/>
          <w:sz w:val="32"/>
          <w:szCs w:val="32"/>
        </w:rPr>
      </w:pPr>
      <w:r>
        <w:rPr>
          <w:rFonts w:hint="eastAsia" w:ascii="楷体" w:hAnsi="楷体" w:eastAsia="楷体" w:cs="楷体"/>
          <w:bCs/>
          <w:color w:val="000000" w:themeColor="text1"/>
          <w:sz w:val="32"/>
          <w:szCs w:val="32"/>
        </w:rPr>
        <w:t>法人授权代表人签字：</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xml:space="preserve">（比选响应单位公章） </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年   月   日</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br w:type="page"/>
      </w:r>
      <w:r>
        <w:rPr>
          <w:rFonts w:hint="eastAsia" w:ascii="楷体" w:hAnsi="楷体" w:eastAsia="楷体" w:cs="楷体"/>
          <w:color w:val="000000" w:themeColor="text1"/>
          <w:sz w:val="32"/>
          <w:szCs w:val="32"/>
        </w:rPr>
        <w:t>6．</w:t>
      </w:r>
      <w:r>
        <w:rPr>
          <w:rFonts w:hint="eastAsia" w:ascii="楷体" w:hAnsi="楷体" w:eastAsia="楷体" w:cs="楷体"/>
          <w:color w:val="000000" w:themeColor="text1"/>
          <w:sz w:val="32"/>
          <w:szCs w:val="32"/>
          <w:u w:val="single"/>
        </w:rPr>
        <w:t>重庆高速国储能源投资有限公司加油站彩钢顶棚进行维护及增加站房爬梯项目（详限价清单）</w:t>
      </w: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7．商务部分</w:t>
      </w:r>
    </w:p>
    <w:p>
      <w:pPr>
        <w:spacing w:line="560" w:lineRule="exact"/>
        <w:jc w:val="cente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（格式自定）</w:t>
      </w:r>
    </w:p>
    <w:p>
      <w:pPr>
        <w:spacing w:line="560" w:lineRule="exac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br w:type="page"/>
      </w:r>
      <w:r>
        <w:rPr>
          <w:rFonts w:hint="eastAsia" w:ascii="楷体" w:hAnsi="楷体" w:eastAsia="楷体" w:cs="楷体"/>
          <w:color w:val="000000" w:themeColor="text1"/>
          <w:sz w:val="32"/>
          <w:szCs w:val="32"/>
        </w:rPr>
        <w:t>8．技术部分</w:t>
      </w:r>
    </w:p>
    <w:p>
      <w:pPr>
        <w:spacing w:line="560" w:lineRule="exact"/>
        <w:textAlignment w:val="baseline"/>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注：由比选申请人根据竞争性比选文件自行编制，格式自拟。</w:t>
      </w:r>
    </w:p>
    <w:p>
      <w:pPr>
        <w:spacing w:line="560" w:lineRule="exact"/>
        <w:rPr>
          <w:rFonts w:ascii="楷体" w:hAnsi="楷体" w:eastAsia="楷体" w:cs="楷体"/>
          <w:color w:val="000000" w:themeColor="text1"/>
          <w:szCs w:val="21"/>
        </w:rPr>
      </w:pPr>
    </w:p>
    <w:p>
      <w:pPr>
        <w:spacing w:line="560" w:lineRule="exact"/>
        <w:ind w:firstLine="640"/>
        <w:rPr>
          <w:rFonts w:ascii="楷体" w:hAnsi="楷体" w:eastAsia="楷体" w:cs="楷体"/>
          <w:color w:val="000000" w:themeColor="text1"/>
          <w:sz w:val="32"/>
          <w:szCs w:val="32"/>
        </w:rPr>
      </w:pPr>
    </w:p>
    <w:p>
      <w:pPr>
        <w:spacing w:line="560" w:lineRule="exact"/>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rPr>
          <w:rFonts w:ascii="楷体" w:hAnsi="楷体" w:eastAsia="楷体" w:cs="楷体"/>
          <w:color w:val="000000" w:themeColor="text1"/>
        </w:rPr>
      </w:pPr>
    </w:p>
    <w:p>
      <w:pPr>
        <w:pStyle w:val="2"/>
        <w:rPr>
          <w:rFonts w:ascii="楷体" w:hAnsi="楷体" w:eastAsia="楷体" w:cs="楷体"/>
          <w:color w:val="000000" w:themeColor="text1"/>
        </w:rPr>
      </w:pPr>
    </w:p>
    <w:p>
      <w:pPr>
        <w:spacing w:line="900" w:lineRule="exact"/>
        <w:jc w:val="center"/>
        <w:rPr>
          <w:rFonts w:cs="宋体"/>
          <w:b/>
          <w:sz w:val="48"/>
          <w:szCs w:val="48"/>
        </w:rPr>
      </w:pPr>
      <w:r>
        <w:rPr>
          <w:rFonts w:hint="eastAsia" w:cs="宋体"/>
          <w:b/>
          <w:sz w:val="48"/>
          <w:szCs w:val="48"/>
        </w:rPr>
        <w:t>第七章施工合同</w:t>
      </w:r>
    </w:p>
    <w:p>
      <w:pPr>
        <w:pStyle w:val="11"/>
        <w:spacing w:line="240" w:lineRule="atLeast"/>
        <w:rPr>
          <w:rFonts w:ascii="仿宋" w:hAnsi="仿宋" w:eastAsia="仿宋" w:cs="仿宋"/>
          <w:b/>
          <w:sz w:val="44"/>
          <w:szCs w:val="44"/>
        </w:rPr>
      </w:pPr>
    </w:p>
    <w:p>
      <w:pPr>
        <w:pStyle w:val="11"/>
        <w:jc w:val="center"/>
        <w:rPr>
          <w:rFonts w:ascii="仿宋" w:hAnsi="仿宋" w:eastAsia="仿宋" w:cs="仿宋"/>
          <w:b/>
          <w:color w:val="000000"/>
          <w:sz w:val="44"/>
          <w:szCs w:val="44"/>
        </w:rPr>
      </w:pPr>
    </w:p>
    <w:p>
      <w:pPr>
        <w:pStyle w:val="11"/>
        <w:jc w:val="center"/>
        <w:rPr>
          <w:rFonts w:ascii="仿宋" w:hAnsi="仿宋" w:eastAsia="仿宋" w:cs="仿宋"/>
          <w:b/>
          <w:color w:val="000000"/>
          <w:sz w:val="44"/>
          <w:szCs w:val="44"/>
        </w:rPr>
      </w:pPr>
    </w:p>
    <w:p>
      <w:pPr>
        <w:pStyle w:val="11"/>
        <w:jc w:val="center"/>
        <w:rPr>
          <w:rFonts w:ascii="仿宋" w:hAnsi="仿宋" w:eastAsia="仿宋" w:cs="仿宋"/>
          <w:b/>
          <w:color w:val="000000"/>
          <w:sz w:val="44"/>
          <w:szCs w:val="44"/>
        </w:rPr>
      </w:pPr>
    </w:p>
    <w:p>
      <w:pPr>
        <w:pStyle w:val="11"/>
        <w:jc w:val="center"/>
        <w:rPr>
          <w:rFonts w:ascii="仿宋" w:hAnsi="仿宋" w:eastAsia="仿宋" w:cs="仿宋"/>
          <w:b/>
          <w:color w:val="000000"/>
          <w:sz w:val="44"/>
          <w:szCs w:val="44"/>
        </w:rPr>
      </w:pPr>
    </w:p>
    <w:p>
      <w:pPr>
        <w:pStyle w:val="11"/>
        <w:jc w:val="center"/>
        <w:rPr>
          <w:rFonts w:ascii="仿宋" w:hAnsi="仿宋" w:eastAsia="仿宋" w:cs="仿宋"/>
          <w:b/>
          <w:color w:val="000000"/>
          <w:sz w:val="44"/>
          <w:szCs w:val="44"/>
        </w:rPr>
      </w:pPr>
      <w:r>
        <w:rPr>
          <w:rFonts w:hint="eastAsia" w:ascii="仿宋" w:hAnsi="仿宋" w:eastAsia="仿宋" w:cs="仿宋"/>
          <w:b/>
          <w:color w:val="000000"/>
          <w:sz w:val="44"/>
          <w:szCs w:val="44"/>
        </w:rPr>
        <w:t>重庆高速国储能源投资有限公司</w:t>
      </w:r>
    </w:p>
    <w:p>
      <w:pPr>
        <w:pStyle w:val="11"/>
        <w:jc w:val="center"/>
        <w:rPr>
          <w:rFonts w:ascii="仿宋" w:hAnsi="仿宋" w:eastAsia="仿宋" w:cs="仿宋"/>
          <w:b/>
          <w:color w:val="000000"/>
          <w:sz w:val="44"/>
          <w:szCs w:val="44"/>
        </w:rPr>
      </w:pPr>
    </w:p>
    <w:p>
      <w:pPr>
        <w:pStyle w:val="11"/>
        <w:jc w:val="center"/>
        <w:rPr>
          <w:rFonts w:ascii="仿宋" w:hAnsi="仿宋" w:eastAsia="仿宋" w:cs="仿宋"/>
          <w:sz w:val="44"/>
          <w:szCs w:val="44"/>
        </w:rPr>
      </w:pPr>
      <w:r>
        <w:rPr>
          <w:rFonts w:hint="eastAsia" w:ascii="仿宋" w:hAnsi="仿宋" w:eastAsia="仿宋" w:cs="仿宋"/>
          <w:b/>
          <w:color w:val="000000"/>
          <w:sz w:val="44"/>
          <w:szCs w:val="44"/>
        </w:rPr>
        <w:t>加油站彩钢顶棚进行维护及增加站房爬梯</w:t>
      </w:r>
    </w:p>
    <w:p>
      <w:pPr>
        <w:pStyle w:val="11"/>
        <w:rPr>
          <w:rFonts w:ascii="仿宋" w:hAnsi="仿宋" w:eastAsia="仿宋" w:cs="仿宋"/>
          <w:sz w:val="36"/>
        </w:rPr>
      </w:pPr>
    </w:p>
    <w:p>
      <w:pPr>
        <w:pStyle w:val="11"/>
        <w:rPr>
          <w:rFonts w:ascii="仿宋" w:hAnsi="仿宋" w:eastAsia="仿宋" w:cs="仿宋"/>
          <w:sz w:val="36"/>
        </w:rPr>
      </w:pPr>
    </w:p>
    <w:p>
      <w:pPr>
        <w:pStyle w:val="11"/>
        <w:rPr>
          <w:rFonts w:ascii="仿宋" w:hAnsi="仿宋" w:eastAsia="仿宋" w:cs="仿宋"/>
          <w:sz w:val="36"/>
        </w:rPr>
      </w:pPr>
    </w:p>
    <w:p>
      <w:pPr>
        <w:pStyle w:val="11"/>
        <w:rPr>
          <w:rFonts w:ascii="仿宋" w:hAnsi="仿宋" w:eastAsia="仿宋" w:cs="仿宋"/>
          <w:sz w:val="36"/>
        </w:rPr>
      </w:pPr>
    </w:p>
    <w:p>
      <w:pPr>
        <w:pStyle w:val="11"/>
        <w:rPr>
          <w:rFonts w:ascii="仿宋" w:hAnsi="仿宋" w:eastAsia="仿宋" w:cs="仿宋"/>
          <w:sz w:val="36"/>
        </w:rPr>
      </w:pPr>
    </w:p>
    <w:p>
      <w:pPr>
        <w:pStyle w:val="11"/>
        <w:rPr>
          <w:rFonts w:ascii="仿宋" w:hAnsi="仿宋" w:eastAsia="仿宋" w:cs="仿宋"/>
          <w:sz w:val="36"/>
        </w:rPr>
      </w:pPr>
    </w:p>
    <w:p>
      <w:pPr>
        <w:pStyle w:val="11"/>
        <w:rPr>
          <w:rFonts w:ascii="仿宋" w:hAnsi="仿宋" w:eastAsia="仿宋" w:cs="仿宋"/>
          <w:sz w:val="36"/>
        </w:rPr>
      </w:pPr>
    </w:p>
    <w:p>
      <w:pPr>
        <w:widowControl/>
        <w:shd w:val="clear" w:color="auto" w:fill="FFFFFF"/>
        <w:spacing w:beforeLines="67"/>
        <w:jc w:val="center"/>
        <w:outlineLvl w:val="0"/>
        <w:rPr>
          <w:rFonts w:ascii="仿宋" w:hAnsi="仿宋" w:eastAsia="仿宋" w:cs="仿宋"/>
          <w:bCs/>
          <w:color w:val="333333"/>
          <w:kern w:val="36"/>
          <w:sz w:val="28"/>
          <w:szCs w:val="28"/>
        </w:rPr>
      </w:pPr>
      <w:r>
        <w:rPr>
          <w:rFonts w:hint="eastAsia" w:ascii="仿宋" w:hAnsi="仿宋" w:eastAsia="仿宋" w:cs="仿宋"/>
          <w:color w:val="333333"/>
          <w:kern w:val="36"/>
          <w:sz w:val="28"/>
          <w:szCs w:val="28"/>
        </w:rPr>
        <w:t>发包单位（甲方）：</w:t>
      </w:r>
      <w:r>
        <w:rPr>
          <w:rFonts w:hint="eastAsia" w:ascii="仿宋" w:hAnsi="仿宋" w:eastAsia="仿宋" w:cs="仿宋"/>
          <w:color w:val="000000" w:themeColor="text1"/>
          <w:sz w:val="28"/>
          <w:szCs w:val="28"/>
        </w:rPr>
        <w:t>重庆高速国储能源投资有限公司</w:t>
      </w:r>
    </w:p>
    <w:p>
      <w:pPr>
        <w:widowControl/>
        <w:shd w:val="clear" w:color="auto" w:fill="FFFFFF"/>
        <w:spacing w:beforeLines="67"/>
        <w:jc w:val="center"/>
        <w:outlineLvl w:val="0"/>
        <w:rPr>
          <w:rFonts w:ascii="仿宋" w:hAnsi="仿宋" w:eastAsia="仿宋" w:cs="仿宋"/>
          <w:b/>
          <w:bCs/>
          <w:color w:val="333333"/>
          <w:kern w:val="36"/>
          <w:sz w:val="28"/>
          <w:szCs w:val="28"/>
        </w:rPr>
      </w:pPr>
      <w:r>
        <w:rPr>
          <w:rFonts w:hint="eastAsia" w:ascii="仿宋" w:hAnsi="仿宋" w:eastAsia="仿宋" w:cs="仿宋"/>
          <w:color w:val="333333"/>
          <w:kern w:val="36"/>
          <w:sz w:val="28"/>
          <w:szCs w:val="28"/>
        </w:rPr>
        <w:t>承包单位（乙方）：</w:t>
      </w:r>
    </w:p>
    <w:p>
      <w:pPr>
        <w:widowControl/>
        <w:shd w:val="clear" w:color="auto" w:fill="FFFFFF"/>
        <w:spacing w:beforeLines="67"/>
        <w:jc w:val="center"/>
        <w:outlineLvl w:val="0"/>
        <w:rPr>
          <w:rFonts w:ascii="仿宋" w:hAnsi="仿宋" w:eastAsia="仿宋" w:cs="仿宋"/>
          <w:color w:val="333333"/>
          <w:kern w:val="36"/>
          <w:sz w:val="28"/>
          <w:szCs w:val="28"/>
        </w:rPr>
      </w:pPr>
      <w:r>
        <w:rPr>
          <w:rFonts w:hint="eastAsia" w:ascii="仿宋" w:hAnsi="仿宋" w:eastAsia="仿宋" w:cs="仿宋"/>
          <w:color w:val="333333"/>
          <w:kern w:val="36"/>
          <w:sz w:val="28"/>
          <w:szCs w:val="28"/>
        </w:rPr>
        <w:t>年  月日</w:t>
      </w:r>
    </w:p>
    <w:p>
      <w:pPr>
        <w:widowControl/>
        <w:shd w:val="clear" w:color="auto" w:fill="FFFFFF"/>
        <w:spacing w:beforeLines="67"/>
        <w:ind w:firstLine="420"/>
        <w:jc w:val="center"/>
        <w:outlineLvl w:val="0"/>
        <w:rPr>
          <w:rFonts w:ascii="仿宋" w:hAnsi="仿宋" w:eastAsia="仿宋" w:cs="仿宋"/>
          <w:b/>
          <w:bCs/>
          <w:sz w:val="28"/>
          <w:szCs w:val="28"/>
        </w:rPr>
      </w:pPr>
      <w:r>
        <w:rPr>
          <w:rFonts w:hint="eastAsia" w:ascii="仿宋" w:hAnsi="仿宋" w:eastAsia="仿宋" w:cs="仿宋"/>
          <w:b/>
          <w:color w:val="000000"/>
          <w:sz w:val="44"/>
          <w:szCs w:val="44"/>
        </w:rPr>
        <w:t>重庆高速国储能源投资有限公司加油站彩钢顶棚进行维护及增加站房爬梯项目</w:t>
      </w:r>
    </w:p>
    <w:p>
      <w:pPr>
        <w:widowControl/>
        <w:shd w:val="clear" w:color="auto" w:fill="FFFFFF"/>
        <w:spacing w:beforeLines="67"/>
        <w:ind w:firstLine="420"/>
        <w:outlineLvl w:val="0"/>
        <w:rPr>
          <w:rFonts w:ascii="仿宋" w:hAnsi="仿宋" w:eastAsia="仿宋" w:cs="仿宋"/>
          <w:sz w:val="28"/>
          <w:szCs w:val="28"/>
        </w:rPr>
      </w:pPr>
      <w:r>
        <w:rPr>
          <w:rFonts w:hint="eastAsia" w:ascii="仿宋" w:hAnsi="仿宋" w:eastAsia="仿宋" w:cs="仿宋"/>
          <w:sz w:val="28"/>
          <w:szCs w:val="28"/>
        </w:rPr>
        <w:t>发包单位：</w:t>
      </w:r>
      <w:r>
        <w:rPr>
          <w:rFonts w:hint="eastAsia" w:ascii="仿宋" w:hAnsi="仿宋" w:eastAsia="仿宋" w:cs="仿宋"/>
          <w:color w:val="000000" w:themeColor="text1"/>
          <w:sz w:val="28"/>
          <w:szCs w:val="28"/>
          <w:u w:val="single"/>
        </w:rPr>
        <w:t>重庆高速国储能源投资有限公司</w:t>
      </w:r>
      <w:r>
        <w:rPr>
          <w:rFonts w:hint="eastAsia" w:ascii="仿宋" w:hAnsi="仿宋" w:eastAsia="仿宋" w:cs="仿宋"/>
          <w:sz w:val="28"/>
          <w:szCs w:val="28"/>
        </w:rPr>
        <w:t>(以下简称甲方)</w:t>
      </w:r>
    </w:p>
    <w:p>
      <w:pPr>
        <w:pStyle w:val="11"/>
        <w:ind w:firstLine="420"/>
        <w:jc w:val="left"/>
        <w:rPr>
          <w:rFonts w:ascii="仿宋" w:hAnsi="仿宋" w:eastAsia="仿宋" w:cs="仿宋"/>
          <w:sz w:val="28"/>
          <w:szCs w:val="28"/>
        </w:rPr>
      </w:pPr>
      <w:r>
        <w:rPr>
          <w:rFonts w:hint="eastAsia" w:ascii="仿宋" w:hAnsi="仿宋" w:eastAsia="仿宋" w:cs="仿宋"/>
          <w:sz w:val="28"/>
          <w:szCs w:val="28"/>
        </w:rPr>
        <w:t>承包单位：(以下简称乙方)</w:t>
      </w:r>
    </w:p>
    <w:p>
      <w:pPr>
        <w:spacing w:line="360" w:lineRule="auto"/>
        <w:ind w:firstLine="420"/>
        <w:jc w:val="left"/>
        <w:rPr>
          <w:rFonts w:ascii="仿宋" w:hAnsi="仿宋" w:eastAsia="仿宋" w:cs="仿宋"/>
          <w:sz w:val="24"/>
        </w:rPr>
      </w:pPr>
      <w:r>
        <w:rPr>
          <w:rFonts w:hint="eastAsia" w:ascii="仿宋" w:hAnsi="仿宋" w:eastAsia="仿宋" w:cs="仿宋"/>
          <w:sz w:val="24"/>
        </w:rPr>
        <w:t>甲方将</w:t>
      </w:r>
      <w:r>
        <w:rPr>
          <w:rFonts w:hint="eastAsia" w:ascii="仿宋" w:hAnsi="仿宋" w:eastAsia="仿宋" w:cs="仿宋"/>
          <w:sz w:val="24"/>
          <w:u w:val="single"/>
        </w:rPr>
        <w:t>该</w:t>
      </w:r>
      <w:r>
        <w:rPr>
          <w:rFonts w:hint="eastAsia" w:ascii="仿宋" w:hAnsi="仿宋" w:eastAsia="仿宋" w:cs="仿宋"/>
          <w:sz w:val="24"/>
        </w:rPr>
        <w:t>委托乙方，根据《中华人民共和国民法典》和《中华人民共和国建筑法》及当地有关法律法规的相关规定，结合本工程具体情况，为明确双方的权利与义务，达成如下一致协议：</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第一条、工程概况</w:t>
      </w:r>
      <w:r>
        <w:rPr>
          <w:rFonts w:hint="eastAsia" w:ascii="仿宋" w:hAnsi="仿宋" w:eastAsia="仿宋" w:cs="仿宋"/>
          <w:b/>
          <w:sz w:val="28"/>
          <w:szCs w:val="28"/>
        </w:rPr>
        <w:t>事宜</w:t>
      </w:r>
    </w:p>
    <w:p>
      <w:pPr>
        <w:pStyle w:val="11"/>
        <w:autoSpaceDE w:val="0"/>
        <w:autoSpaceDN w:val="0"/>
        <w:adjustRightIn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 1、工程名称：</w:t>
      </w:r>
      <w:r>
        <w:rPr>
          <w:rFonts w:hint="eastAsia" w:ascii="仿宋" w:hAnsi="仿宋" w:eastAsia="仿宋" w:cs="仿宋"/>
          <w:color w:val="000000"/>
          <w:sz w:val="24"/>
          <w:szCs w:val="21"/>
        </w:rPr>
        <w:t>重庆高速国储能源投资有限公司加油站彩钢顶棚进行维护及增加站房爬梯项目</w:t>
      </w:r>
      <w:r>
        <w:rPr>
          <w:rFonts w:hint="eastAsia" w:ascii="仿宋" w:hAnsi="仿宋" w:eastAsia="仿宋" w:cs="仿宋"/>
          <w:sz w:val="24"/>
        </w:rPr>
        <w:t>（以下简称本工程）。</w:t>
      </w:r>
    </w:p>
    <w:p>
      <w:pPr>
        <w:pStyle w:val="8"/>
        <w:tabs>
          <w:tab w:val="left" w:pos="3156"/>
        </w:tabs>
        <w:autoSpaceDE w:val="0"/>
        <w:autoSpaceDN w:val="0"/>
        <w:adjustRightInd w:val="0"/>
        <w:snapToGrid w:val="0"/>
        <w:spacing w:beforeLines="50" w:line="360" w:lineRule="auto"/>
        <w:ind w:firstLine="360" w:firstLineChars="150"/>
        <w:jc w:val="left"/>
        <w:outlineLvl w:val="0"/>
        <w:rPr>
          <w:rFonts w:ascii="仿宋" w:hAnsi="仿宋" w:eastAsia="仿宋" w:cs="仿宋"/>
        </w:rPr>
      </w:pPr>
      <w:r>
        <w:rPr>
          <w:rFonts w:hint="eastAsia" w:ascii="仿宋" w:hAnsi="仿宋" w:eastAsia="仿宋" w:cs="仿宋"/>
        </w:rPr>
        <w:t xml:space="preserve"> 2、施工地点：万古服务区双侧加油站；开州服务区双侧加油站；双槐服务区双侧加油站；北碚服务区双侧加油站；巴南服务区单侧加油站；青杠服务区单侧加油站。</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第二条、工程施工范围及主要工作内容</w:t>
      </w:r>
      <w:r>
        <w:rPr>
          <w:rFonts w:hint="eastAsia" w:ascii="仿宋" w:hAnsi="仿宋" w:eastAsia="仿宋" w:cs="仿宋"/>
          <w:b/>
          <w:sz w:val="28"/>
          <w:szCs w:val="28"/>
        </w:rPr>
        <w:t>事宜</w:t>
      </w:r>
    </w:p>
    <w:p>
      <w:pPr>
        <w:autoSpaceDE w:val="0"/>
        <w:autoSpaceDN w:val="0"/>
        <w:adjustRightInd w:val="0"/>
        <w:spacing w:line="360" w:lineRule="auto"/>
        <w:ind w:firstLine="360" w:firstLineChars="150"/>
        <w:jc w:val="left"/>
        <w:rPr>
          <w:rFonts w:ascii="仿宋" w:hAnsi="仿宋" w:eastAsia="仿宋" w:cs="仿宋"/>
          <w:sz w:val="24"/>
        </w:rPr>
      </w:pPr>
      <w:r>
        <w:rPr>
          <w:rFonts w:hint="eastAsia" w:ascii="仿宋" w:hAnsi="仿宋" w:eastAsia="仿宋" w:cs="仿宋"/>
          <w:sz w:val="24"/>
        </w:rPr>
        <w:t>1、负责加油站彩钢顶棚维护及站房爬梯安装。</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第三条、工期事宜</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1、该工程为</w:t>
      </w:r>
      <w:r>
        <w:rPr>
          <w:rFonts w:hint="eastAsia" w:ascii="仿宋" w:hAnsi="仿宋" w:eastAsia="仿宋" w:cs="仿宋"/>
          <w:sz w:val="24"/>
          <w:u w:val="single"/>
        </w:rPr>
        <w:t xml:space="preserve"> 1 </w:t>
      </w:r>
      <w:r>
        <w:rPr>
          <w:rFonts w:hint="eastAsia" w:ascii="仿宋" w:hAnsi="仿宋" w:eastAsia="仿宋" w:cs="仿宋"/>
          <w:sz w:val="24"/>
        </w:rPr>
        <w:t>次进场，若根据甲方工期调整需要增加进场次数，因此增加的相关费用由甲方承担。</w:t>
      </w:r>
    </w:p>
    <w:p>
      <w:pPr>
        <w:spacing w:line="440" w:lineRule="exact"/>
        <w:rPr>
          <w:rFonts w:ascii="仿宋" w:hAnsi="仿宋" w:eastAsia="仿宋" w:cs="仿宋"/>
          <w:sz w:val="24"/>
        </w:rPr>
      </w:pPr>
      <w:r>
        <w:rPr>
          <w:rFonts w:hint="eastAsia" w:ascii="仿宋" w:hAnsi="仿宋" w:eastAsia="仿宋" w:cs="仿宋"/>
          <w:sz w:val="24"/>
        </w:rPr>
        <w:t xml:space="preserve">    1.1、 进场开工时间：合同签定且具备安装条件起七日内第</w:t>
      </w:r>
      <w:r>
        <w:rPr>
          <w:rFonts w:hint="eastAsia" w:ascii="仿宋" w:hAnsi="仿宋" w:eastAsia="仿宋" w:cs="仿宋"/>
          <w:sz w:val="24"/>
          <w:u w:val="single"/>
        </w:rPr>
        <w:t xml:space="preserve">  一  </w:t>
      </w:r>
      <w:r>
        <w:rPr>
          <w:rFonts w:hint="eastAsia" w:ascii="仿宋" w:hAnsi="仿宋" w:eastAsia="仿宋" w:cs="仿宋"/>
          <w:sz w:val="24"/>
        </w:rPr>
        <w:t>次进场为整个工程安装施工的开工日期（具体开工日期以“进场及场地移交确认书”载明的开工之日为准）。</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2、双方商定施工周期为</w:t>
      </w:r>
      <w:r>
        <w:rPr>
          <w:rFonts w:hint="eastAsia" w:ascii="仿宋" w:hAnsi="仿宋" w:eastAsia="仿宋" w:cs="仿宋"/>
          <w:sz w:val="24"/>
          <w:u w:val="single"/>
        </w:rPr>
        <w:t>五</w:t>
      </w:r>
      <w:r>
        <w:rPr>
          <w:rFonts w:hint="eastAsia" w:ascii="仿宋" w:hAnsi="仿宋" w:eastAsia="仿宋" w:cs="仿宋"/>
          <w:sz w:val="24"/>
        </w:rPr>
        <w:t>天内（在确定本工期前，甲乙双方已充分考虑了当地气候、雨季及冬季施工季节变化、地质条件、交通运输、材料供应、材料涨价、人工工日单价等影响工期的一切不利条件及因素）。若因乙方原因（如设备货人员未到场等）导致的工程延误所造成的损失由乙方承担，若因甲方原因（如配套建设或者相应的施工条件未完成等）导致的工期延迟所造成的相关损失由甲方承担。</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3、如遇下列情况,经甲方代表同意后,工期可以顺延。</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3.1、因遇人力不可抗拒的自然灾害（台风、火灾、地震）等造成的停工。</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3.2、因设计图纸修改，增加了工程量，而受影响时。</w:t>
      </w:r>
      <w:r>
        <w:rPr>
          <w:rFonts w:hint="eastAsia" w:ascii="宋体" w:hAnsi="宋体" w:cs="宋体"/>
          <w:sz w:val="24"/>
        </w:rPr>
        <w:t> </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3.3、因停水、停电等情况达十小时以上时。</w:t>
      </w:r>
      <w:r>
        <w:rPr>
          <w:rFonts w:hint="eastAsia" w:ascii="宋体" w:hAnsi="宋体" w:cs="宋体"/>
          <w:sz w:val="24"/>
        </w:rPr>
        <w:t> </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3.4、甲方因财力不足或不按合同规定预付工程备料款和工程进度款，而受影响时。</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3.5、甲方不能按合同规定在开工前五天，交出施工场地电源时。</w:t>
      </w:r>
    </w:p>
    <w:p>
      <w:pPr>
        <w:spacing w:line="440" w:lineRule="exact"/>
        <w:jc w:val="left"/>
        <w:rPr>
          <w:rFonts w:ascii="仿宋" w:hAnsi="仿宋" w:eastAsia="仿宋" w:cs="仿宋"/>
          <w:b/>
          <w:sz w:val="28"/>
          <w:szCs w:val="28"/>
        </w:rPr>
      </w:pPr>
      <w:r>
        <w:rPr>
          <w:rFonts w:hint="eastAsia" w:ascii="仿宋" w:hAnsi="仿宋" w:eastAsia="仿宋" w:cs="仿宋"/>
          <w:b/>
          <w:bCs/>
          <w:sz w:val="28"/>
          <w:szCs w:val="28"/>
        </w:rPr>
        <w:t>第四条、</w:t>
      </w:r>
      <w:r>
        <w:rPr>
          <w:rFonts w:hint="eastAsia" w:ascii="仿宋" w:hAnsi="仿宋" w:eastAsia="仿宋" w:cs="仿宋"/>
          <w:b/>
          <w:sz w:val="28"/>
          <w:szCs w:val="28"/>
        </w:rPr>
        <w:t>工程量及</w:t>
      </w:r>
      <w:r>
        <w:rPr>
          <w:rFonts w:hint="eastAsia" w:ascii="仿宋" w:hAnsi="仿宋" w:eastAsia="仿宋" w:cs="仿宋"/>
          <w:b/>
          <w:bCs/>
          <w:sz w:val="28"/>
          <w:szCs w:val="28"/>
        </w:rPr>
        <w:t>工程价款</w:t>
      </w:r>
      <w:r>
        <w:rPr>
          <w:rFonts w:hint="eastAsia" w:ascii="仿宋" w:hAnsi="仿宋" w:eastAsia="仿宋" w:cs="仿宋"/>
          <w:b/>
          <w:sz w:val="28"/>
          <w:szCs w:val="28"/>
        </w:rPr>
        <w:t>事宜</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1、工程量（见附件1）</w:t>
      </w:r>
    </w:p>
    <w:p>
      <w:pPr>
        <w:spacing w:line="360" w:lineRule="auto"/>
        <w:jc w:val="left"/>
        <w:rPr>
          <w:rFonts w:ascii="仿宋" w:hAnsi="仿宋" w:eastAsia="仿宋" w:cs="仿宋"/>
          <w:sz w:val="24"/>
        </w:rPr>
      </w:pPr>
      <w:r>
        <w:rPr>
          <w:rFonts w:hint="eastAsia" w:ascii="仿宋" w:hAnsi="仿宋" w:eastAsia="仿宋" w:cs="仿宋"/>
          <w:sz w:val="24"/>
        </w:rPr>
        <w:t xml:space="preserve">    2、本工程总价为人民币_____</w:t>
      </w:r>
      <w:r>
        <w:rPr>
          <w:rFonts w:hint="eastAsia" w:ascii="仿宋" w:hAnsi="仿宋" w:eastAsia="仿宋" w:cs="仿宋"/>
          <w:sz w:val="24"/>
          <w:u w:val="single"/>
        </w:rPr>
        <w:t xml:space="preserve">元 </w:t>
      </w:r>
      <w:r>
        <w:rPr>
          <w:rFonts w:hint="eastAsia" w:ascii="仿宋" w:hAnsi="仿宋" w:eastAsia="仿宋" w:cs="仿宋"/>
          <w:sz w:val="24"/>
        </w:rPr>
        <w:t>（大写：</w:t>
      </w:r>
      <w:r>
        <w:rPr>
          <w:rFonts w:hint="eastAsia" w:ascii="仿宋" w:hAnsi="仿宋" w:eastAsia="仿宋" w:cs="仿宋"/>
          <w:color w:val="auto"/>
          <w:sz w:val="24"/>
          <w:u w:val="single"/>
        </w:rPr>
        <w:t xml:space="preserve">____ </w:t>
      </w:r>
      <w:r>
        <w:rPr>
          <w:rFonts w:hint="eastAsia" w:ascii="仿宋" w:hAnsi="仿宋" w:eastAsia="仿宋" w:cs="仿宋"/>
          <w:color w:val="auto"/>
          <w:sz w:val="24"/>
        </w:rPr>
        <w:t>）。</w:t>
      </w:r>
      <w:r>
        <w:rPr>
          <w:rFonts w:hint="eastAsia" w:ascii="仿宋" w:hAnsi="仿宋" w:eastAsia="仿宋" w:cs="仿宋"/>
          <w:sz w:val="24"/>
        </w:rPr>
        <w:t>若因甲乙双方共同确认因产品规格、型号、设计变更或其它非乙方原因造成的需另行计算计时工的情况，等调整价格有变动的，双方另行协商价格签订补充合同或批价认价。</w:t>
      </w:r>
    </w:p>
    <w:p>
      <w:pPr>
        <w:spacing w:line="360" w:lineRule="auto"/>
        <w:ind w:firstLine="480"/>
        <w:rPr>
          <w:rFonts w:ascii="仿宋" w:hAnsi="仿宋" w:eastAsia="仿宋" w:cs="仿宋"/>
          <w:sz w:val="24"/>
        </w:rPr>
      </w:pPr>
      <w:r>
        <w:rPr>
          <w:rFonts w:hint="eastAsia" w:ascii="仿宋" w:hAnsi="仿宋" w:eastAsia="仿宋" w:cs="仿宋"/>
          <w:sz w:val="24"/>
        </w:rPr>
        <w:t>2.1、本合同总价已包含本合同清单范围内，按国家规定的所有材料费、保险费（如需）、因质量问题引起的维修和更换、人工费、机械费、施工费、调试费、现场的技术指导和培训及相关管理费用、利润等费用。</w:t>
      </w:r>
    </w:p>
    <w:p>
      <w:pPr>
        <w:spacing w:line="360" w:lineRule="auto"/>
        <w:ind w:firstLine="480"/>
        <w:rPr>
          <w:rFonts w:ascii="仿宋" w:hAnsi="仿宋" w:eastAsia="仿宋" w:cs="仿宋"/>
          <w:sz w:val="24"/>
        </w:rPr>
      </w:pPr>
      <w:r>
        <w:rPr>
          <w:rFonts w:hint="eastAsia" w:ascii="仿宋" w:hAnsi="仿宋" w:eastAsia="仿宋" w:cs="仿宋"/>
          <w:sz w:val="24"/>
        </w:rPr>
        <w:t>2.2、根据施工现场实际情况或者根据甲方要求重新调整后的施工方案超出合同范围内部分的相关费用由甲方承担，增加的设备材料单价按本合同《附件1:合同清单》单价执行。</w:t>
      </w:r>
    </w:p>
    <w:p>
      <w:pPr>
        <w:pStyle w:val="8"/>
        <w:spacing w:line="360" w:lineRule="auto"/>
        <w:rPr>
          <w:rFonts w:ascii="仿宋" w:hAnsi="仿宋" w:eastAsia="仿宋" w:cs="仿宋"/>
          <w:b/>
          <w:bCs/>
          <w:sz w:val="28"/>
          <w:szCs w:val="28"/>
        </w:rPr>
      </w:pPr>
      <w:r>
        <w:rPr>
          <w:rFonts w:hint="eastAsia" w:ascii="仿宋" w:hAnsi="仿宋" w:eastAsia="仿宋" w:cs="仿宋"/>
          <w:b/>
          <w:bCs/>
          <w:sz w:val="28"/>
          <w:szCs w:val="28"/>
        </w:rPr>
        <w:t>第五条、设备到场验收及款事宜</w:t>
      </w:r>
    </w:p>
    <w:p>
      <w:pPr>
        <w:pStyle w:val="8"/>
        <w:spacing w:line="360" w:lineRule="auto"/>
        <w:ind w:firstLine="480" w:firstLineChars="200"/>
        <w:rPr>
          <w:rFonts w:ascii="仿宋" w:hAnsi="仿宋" w:eastAsia="仿宋" w:cs="仿宋"/>
        </w:rPr>
      </w:pPr>
      <w:r>
        <w:rPr>
          <w:rFonts w:hint="eastAsia" w:ascii="仿宋" w:hAnsi="仿宋" w:eastAsia="仿宋" w:cs="仿宋"/>
        </w:rPr>
        <w:t>1、甲方应在设备到达施工现场之日当场对设备进行验收，并办理相关验收手续，在确认设备数量没有异议的情况下，甲乙双方在乙方提供的出货单上签字确认。甲方验收货物仅代表对货物的数量和外观无异议，不代表对货物质量的认可。若后续使用过程中发现货物质量问题，甲方仍可向乙方主张赔偿责任。</w:t>
      </w:r>
    </w:p>
    <w:p>
      <w:pPr>
        <w:pStyle w:val="8"/>
        <w:spacing w:line="360" w:lineRule="auto"/>
        <w:ind w:firstLine="480" w:firstLineChars="200"/>
        <w:rPr>
          <w:rFonts w:ascii="仿宋" w:hAnsi="仿宋" w:eastAsia="仿宋" w:cs="仿宋"/>
        </w:rPr>
      </w:pPr>
      <w:r>
        <w:rPr>
          <w:rFonts w:hint="eastAsia" w:ascii="仿宋" w:hAnsi="仿宋" w:eastAsia="仿宋" w:cs="仿宋"/>
        </w:rPr>
        <w:t>2、乙方应在规定期限内交货，除交予设备货物外，应提供说明书、合格证等文件，否则甲方有权拒收，造成甲方工程延误，乙方须承担违约责任。</w:t>
      </w:r>
    </w:p>
    <w:p>
      <w:pPr>
        <w:pStyle w:val="8"/>
        <w:spacing w:line="360" w:lineRule="auto"/>
        <w:ind w:firstLine="480" w:firstLineChars="200"/>
        <w:rPr>
          <w:rFonts w:ascii="仿宋" w:hAnsi="仿宋" w:eastAsia="仿宋" w:cs="仿宋"/>
        </w:rPr>
      </w:pPr>
      <w:r>
        <w:rPr>
          <w:rFonts w:hint="eastAsia" w:ascii="仿宋" w:hAnsi="仿宋" w:eastAsia="仿宋" w:cs="仿宋"/>
        </w:rPr>
        <w:t>3、若在运输过程中造成的设备损坏，甲方有权拒收，乙方应重新更换设备。</w:t>
      </w:r>
    </w:p>
    <w:p>
      <w:pPr>
        <w:spacing w:line="360" w:lineRule="auto"/>
        <w:ind w:firstLine="480" w:firstLineChars="200"/>
        <w:rPr>
          <w:rFonts w:ascii="仿宋" w:hAnsi="仿宋" w:eastAsia="仿宋" w:cs="仿宋"/>
          <w:sz w:val="24"/>
        </w:rPr>
      </w:pPr>
      <w:r>
        <w:rPr>
          <w:rFonts w:hint="eastAsia" w:ascii="仿宋" w:hAnsi="仿宋" w:eastAsia="仿宋" w:cs="仿宋"/>
          <w:sz w:val="24"/>
        </w:rPr>
        <w:t>4、乙方在规定期限内设备到达交付地，在设备正常的情况下甲方无理拒收乙方有权收回设备，造成乙方安装人员及其运输成本的损失，甲方需承担违约责任。</w:t>
      </w:r>
    </w:p>
    <w:p>
      <w:pPr>
        <w:pStyle w:val="8"/>
        <w:spacing w:line="360" w:lineRule="auto"/>
        <w:rPr>
          <w:rFonts w:ascii="仿宋" w:hAnsi="仿宋" w:eastAsia="仿宋" w:cs="仿宋"/>
          <w:b/>
          <w:bCs/>
          <w:sz w:val="28"/>
          <w:szCs w:val="28"/>
        </w:rPr>
      </w:pPr>
      <w:r>
        <w:rPr>
          <w:rFonts w:hint="eastAsia" w:ascii="仿宋" w:hAnsi="仿宋" w:eastAsia="仿宋" w:cs="仿宋"/>
          <w:b/>
          <w:bCs/>
          <w:sz w:val="28"/>
          <w:szCs w:val="28"/>
        </w:rPr>
        <w:t>第六条、工程施工及完工期限事宜</w:t>
      </w:r>
    </w:p>
    <w:p>
      <w:pPr>
        <w:pStyle w:val="8"/>
        <w:spacing w:line="360" w:lineRule="auto"/>
        <w:ind w:firstLine="480" w:firstLineChars="200"/>
        <w:rPr>
          <w:rFonts w:ascii="仿宋" w:hAnsi="仿宋" w:eastAsia="仿宋" w:cs="仿宋"/>
        </w:rPr>
      </w:pPr>
      <w:r>
        <w:rPr>
          <w:rFonts w:hint="eastAsia" w:ascii="仿宋" w:hAnsi="仿宋" w:eastAsia="仿宋" w:cs="仿宋"/>
        </w:rPr>
        <w:t>1、乙方负责所供设备材料的安装以及对原设备线路的整理。</w:t>
      </w:r>
    </w:p>
    <w:p>
      <w:pPr>
        <w:pStyle w:val="8"/>
        <w:spacing w:line="360" w:lineRule="auto"/>
        <w:ind w:firstLine="480" w:firstLineChars="200"/>
        <w:rPr>
          <w:rFonts w:ascii="仿宋" w:hAnsi="仿宋" w:eastAsia="仿宋" w:cs="仿宋"/>
        </w:rPr>
      </w:pPr>
      <w:r>
        <w:rPr>
          <w:rFonts w:hint="eastAsia" w:ascii="仿宋" w:hAnsi="仿宋" w:eastAsia="仿宋" w:cs="仿宋"/>
        </w:rPr>
        <w:t>2、在甲方通知乙方具备安装条件后，乙方须在本合同第三条内容约定的时间范围内之内完成全部安装、调试工作。</w:t>
      </w:r>
    </w:p>
    <w:p>
      <w:pPr>
        <w:pStyle w:val="8"/>
        <w:spacing w:line="360" w:lineRule="auto"/>
        <w:ind w:firstLine="480" w:firstLineChars="200"/>
        <w:rPr>
          <w:rFonts w:ascii="仿宋" w:hAnsi="仿宋" w:eastAsia="仿宋" w:cs="仿宋"/>
        </w:rPr>
      </w:pPr>
      <w:r>
        <w:rPr>
          <w:rFonts w:hint="eastAsia" w:ascii="仿宋" w:hAnsi="仿宋" w:eastAsia="仿宋" w:cs="仿宋"/>
        </w:rPr>
        <w:t>3、乙方应对其工作人员提供安全培训和必要防护措施。如在履行合同过程中，若由乙方操作失误造成乙方施工人员或他人人身损害或财产损失，由乙方承担全部责任，与甲方无关。</w:t>
      </w:r>
    </w:p>
    <w:p>
      <w:p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第七条、工程完工验收以及尾款支付事宜 </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1、乙方在施工完成后应及时书面告知甲方进行验收，验收过程中甲方有权对设备运行情况、施工方式逐一查看，乙方需积极配合甲方。</w:t>
      </w:r>
    </w:p>
    <w:p>
      <w:pPr>
        <w:spacing w:line="360" w:lineRule="auto"/>
        <w:ind w:firstLine="480" w:firstLineChars="200"/>
        <w:rPr>
          <w:rFonts w:ascii="仿宋" w:hAnsi="仿宋" w:eastAsia="仿宋" w:cs="仿宋"/>
          <w:sz w:val="24"/>
        </w:rPr>
      </w:pPr>
      <w:r>
        <w:rPr>
          <w:rFonts w:hint="eastAsia" w:ascii="仿宋" w:hAnsi="仿宋" w:eastAsia="仿宋" w:cs="仿宋"/>
          <w:sz w:val="24"/>
        </w:rPr>
        <w:t>2、若甲方在验收过程中需要另行改变路线或增加设备配件，甲方应另行支付相应的材料费及施工费。</w:t>
      </w:r>
    </w:p>
    <w:p>
      <w:pPr>
        <w:spacing w:line="360" w:lineRule="auto"/>
        <w:ind w:firstLine="480" w:firstLineChars="200"/>
        <w:rPr>
          <w:rFonts w:ascii="仿宋" w:hAnsi="仿宋" w:eastAsia="仿宋" w:cs="仿宋"/>
          <w:sz w:val="24"/>
        </w:rPr>
      </w:pPr>
      <w:r>
        <w:rPr>
          <w:rFonts w:hint="eastAsia" w:ascii="仿宋" w:hAnsi="仿宋" w:eastAsia="仿宋" w:cs="仿宋"/>
          <w:sz w:val="24"/>
        </w:rPr>
        <w:t>3、甲方验收完成后在乙方提供的工程验收单上签字确认。</w:t>
      </w:r>
    </w:p>
    <w:p>
      <w:pPr>
        <w:spacing w:line="360" w:lineRule="auto"/>
        <w:rPr>
          <w:rFonts w:ascii="仿宋" w:hAnsi="仿宋" w:eastAsia="仿宋" w:cs="仿宋"/>
          <w:b/>
          <w:bCs/>
          <w:sz w:val="28"/>
          <w:szCs w:val="28"/>
        </w:rPr>
      </w:pPr>
      <w:r>
        <w:rPr>
          <w:rFonts w:hint="eastAsia" w:ascii="仿宋" w:hAnsi="仿宋" w:eastAsia="仿宋" w:cs="仿宋"/>
          <w:b/>
          <w:bCs/>
          <w:sz w:val="28"/>
          <w:szCs w:val="28"/>
        </w:rPr>
        <w:t>第八条、工程质量标准</w:t>
      </w:r>
    </w:p>
    <w:p>
      <w:pPr>
        <w:spacing w:line="360" w:lineRule="auto"/>
        <w:ind w:firstLine="480" w:firstLineChars="200"/>
        <w:rPr>
          <w:rFonts w:ascii="仿宋" w:hAnsi="仿宋" w:eastAsia="仿宋" w:cs="仿宋"/>
          <w:sz w:val="24"/>
        </w:rPr>
      </w:pPr>
      <w:r>
        <w:rPr>
          <w:rFonts w:hint="eastAsia" w:ascii="仿宋" w:hAnsi="仿宋" w:eastAsia="仿宋" w:cs="仿宋"/>
          <w:sz w:val="24"/>
        </w:rPr>
        <w:t>1、维护完成后达到甲方要求。</w:t>
      </w:r>
    </w:p>
    <w:p>
      <w:pPr>
        <w:spacing w:line="360" w:lineRule="auto"/>
        <w:rPr>
          <w:rFonts w:ascii="仿宋" w:hAnsi="仿宋" w:eastAsia="仿宋" w:cs="仿宋"/>
          <w:b/>
          <w:bCs/>
          <w:sz w:val="28"/>
          <w:szCs w:val="28"/>
        </w:rPr>
      </w:pPr>
      <w:r>
        <w:rPr>
          <w:rFonts w:hint="eastAsia" w:ascii="仿宋" w:hAnsi="仿宋" w:eastAsia="仿宋" w:cs="仿宋"/>
          <w:b/>
          <w:bCs/>
          <w:sz w:val="28"/>
          <w:szCs w:val="28"/>
        </w:rPr>
        <w:t>第九条、质量保证及售后服务事宜</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1、本项目质保期为</w:t>
      </w:r>
      <w:r>
        <w:rPr>
          <w:rFonts w:hint="eastAsia" w:ascii="仿宋" w:hAnsi="仿宋" w:eastAsia="仿宋" w:cs="仿宋"/>
          <w:sz w:val="24"/>
          <w:u w:val="single"/>
        </w:rPr>
        <w:t>3</w:t>
      </w:r>
      <w:r>
        <w:rPr>
          <w:rFonts w:hint="eastAsia" w:ascii="仿宋" w:hAnsi="仿宋" w:eastAsia="仿宋" w:cs="仿宋"/>
          <w:sz w:val="24"/>
        </w:rPr>
        <w:t>年，以签订验收单时间为准。</w:t>
      </w:r>
    </w:p>
    <w:p>
      <w:pPr>
        <w:spacing w:line="360" w:lineRule="auto"/>
        <w:ind w:firstLine="480"/>
        <w:rPr>
          <w:rFonts w:ascii="仿宋" w:hAnsi="仿宋" w:eastAsia="仿宋" w:cs="仿宋"/>
          <w:sz w:val="24"/>
        </w:rPr>
      </w:pPr>
      <w:r>
        <w:rPr>
          <w:rFonts w:hint="eastAsia" w:ascii="仿宋" w:hAnsi="仿宋" w:eastAsia="仿宋" w:cs="仿宋"/>
          <w:sz w:val="24"/>
        </w:rPr>
        <w:t>2、在免费保修期内，非人为损坏均由乙方免费更换、修复；人为故意造成的损坏，由乙方修复，甲方需支付材料成本费；</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第十条、款项支付</w:t>
      </w:r>
      <w:r>
        <w:rPr>
          <w:rFonts w:hint="eastAsia" w:ascii="仿宋" w:hAnsi="仿宋" w:eastAsia="仿宋" w:cs="仿宋"/>
          <w:b/>
          <w:sz w:val="28"/>
          <w:szCs w:val="28"/>
        </w:rPr>
        <w:t>事宜</w:t>
      </w:r>
    </w:p>
    <w:p>
      <w:pPr>
        <w:pStyle w:val="8"/>
        <w:spacing w:line="360" w:lineRule="auto"/>
        <w:ind w:firstLine="480"/>
        <w:rPr>
          <w:rFonts w:ascii="仿宋" w:hAnsi="仿宋" w:eastAsia="仿宋" w:cs="仿宋"/>
        </w:rPr>
      </w:pPr>
      <w:r>
        <w:rPr>
          <w:rFonts w:hint="eastAsia" w:ascii="仿宋" w:hAnsi="仿宋" w:eastAsia="仿宋" w:cs="仿宋"/>
        </w:rPr>
        <w:t>1.本合同总金额为人民币元整（大写</w:t>
      </w:r>
      <w:r>
        <w:rPr>
          <w:rFonts w:hint="eastAsia" w:ascii="仿宋" w:hAnsi="仿宋" w:eastAsia="仿宋" w:cs="仿宋"/>
          <w:u w:val="single"/>
        </w:rPr>
        <w:t>：</w:t>
      </w:r>
      <w:r>
        <w:rPr>
          <w:rFonts w:hint="eastAsia" w:ascii="仿宋" w:hAnsi="仿宋" w:eastAsia="仿宋" w:cs="仿宋"/>
        </w:rPr>
        <w:t>）。</w:t>
      </w:r>
    </w:p>
    <w:p>
      <w:pPr>
        <w:pStyle w:val="8"/>
        <w:spacing w:line="360" w:lineRule="auto"/>
        <w:ind w:firstLine="480"/>
        <w:rPr>
          <w:rFonts w:ascii="仿宋" w:hAnsi="仿宋" w:eastAsia="仿宋" w:cs="仿宋"/>
        </w:rPr>
      </w:pPr>
      <w:r>
        <w:rPr>
          <w:rFonts w:hint="eastAsia" w:ascii="仿宋" w:hAnsi="仿宋" w:eastAsia="仿宋" w:cs="仿宋"/>
        </w:rPr>
        <w:t>2.付款方式为：待乙方完成本合同所有内容后，并经甲方验收合格，且乙方提供合法有效的增值税发票后，甲方一次性支付所有费用，否则甲方有权暂缓付款，且不承担任何责任。</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第十一条、双方责任</w:t>
      </w:r>
      <w:r>
        <w:rPr>
          <w:rFonts w:hint="eastAsia" w:ascii="仿宋" w:hAnsi="仿宋" w:eastAsia="仿宋" w:cs="仿宋"/>
          <w:b/>
          <w:sz w:val="28"/>
          <w:szCs w:val="28"/>
        </w:rPr>
        <w:t>事宜</w:t>
      </w:r>
    </w:p>
    <w:p>
      <w:pPr>
        <w:spacing w:line="440" w:lineRule="exact"/>
        <w:rPr>
          <w:rFonts w:ascii="仿宋" w:hAnsi="仿宋" w:eastAsia="仿宋" w:cs="仿宋"/>
          <w:sz w:val="24"/>
        </w:rPr>
      </w:pPr>
      <w:r>
        <w:rPr>
          <w:rFonts w:hint="eastAsia" w:ascii="仿宋" w:hAnsi="仿宋" w:eastAsia="仿宋" w:cs="仿宋"/>
          <w:sz w:val="24"/>
        </w:rPr>
        <w:t xml:space="preserve">    1、甲方的权利义务：</w:t>
      </w:r>
    </w:p>
    <w:p>
      <w:pPr>
        <w:spacing w:line="440" w:lineRule="exact"/>
        <w:rPr>
          <w:rFonts w:ascii="仿宋" w:hAnsi="仿宋" w:eastAsia="仿宋" w:cs="仿宋"/>
          <w:sz w:val="24"/>
        </w:rPr>
      </w:pPr>
      <w:r>
        <w:rPr>
          <w:rFonts w:hint="eastAsia" w:ascii="仿宋" w:hAnsi="仿宋" w:eastAsia="仿宋" w:cs="仿宋"/>
          <w:sz w:val="24"/>
        </w:rPr>
        <w:t xml:space="preserve">    1.1、甲方施工现场本工程负责人为：电话：；</w:t>
      </w:r>
    </w:p>
    <w:p>
      <w:pPr>
        <w:spacing w:line="440" w:lineRule="exact"/>
        <w:rPr>
          <w:rFonts w:ascii="仿宋" w:hAnsi="仿宋" w:eastAsia="仿宋" w:cs="仿宋"/>
          <w:sz w:val="24"/>
        </w:rPr>
      </w:pPr>
      <w:r>
        <w:rPr>
          <w:rFonts w:hint="eastAsia" w:ascii="仿宋" w:hAnsi="仿宋" w:eastAsia="仿宋" w:cs="仿宋"/>
          <w:sz w:val="24"/>
        </w:rPr>
        <w:t xml:space="preserve">    1.2、负责按合同约定，支付乙方款项；</w:t>
      </w:r>
    </w:p>
    <w:p>
      <w:pPr>
        <w:spacing w:line="440" w:lineRule="exact"/>
        <w:rPr>
          <w:rFonts w:ascii="仿宋" w:hAnsi="仿宋" w:eastAsia="仿宋" w:cs="仿宋"/>
          <w:sz w:val="24"/>
        </w:rPr>
      </w:pPr>
      <w:r>
        <w:rPr>
          <w:rFonts w:hint="eastAsia" w:ascii="仿宋" w:hAnsi="仿宋" w:eastAsia="仿宋" w:cs="仿宋"/>
          <w:sz w:val="24"/>
        </w:rPr>
        <w:t xml:space="preserve">    1.3、负责施工现场的三通一平及其它（不同单位交叉施工事项等）协调工作；</w:t>
      </w:r>
    </w:p>
    <w:p>
      <w:pPr>
        <w:spacing w:line="440" w:lineRule="exact"/>
        <w:rPr>
          <w:rFonts w:ascii="仿宋" w:hAnsi="仿宋" w:eastAsia="仿宋" w:cs="仿宋"/>
          <w:sz w:val="24"/>
        </w:rPr>
      </w:pPr>
      <w:r>
        <w:rPr>
          <w:rFonts w:hint="eastAsia" w:ascii="仿宋" w:hAnsi="仿宋" w:eastAsia="仿宋" w:cs="仿宋"/>
          <w:sz w:val="24"/>
        </w:rPr>
        <w:t xml:space="preserve">    1.4、负责对工程施工质量、进度的监督；</w:t>
      </w:r>
    </w:p>
    <w:p>
      <w:pPr>
        <w:spacing w:line="440" w:lineRule="exact"/>
        <w:rPr>
          <w:rFonts w:ascii="仿宋" w:hAnsi="仿宋" w:eastAsia="仿宋" w:cs="仿宋"/>
          <w:sz w:val="24"/>
        </w:rPr>
      </w:pPr>
      <w:r>
        <w:rPr>
          <w:rFonts w:hint="eastAsia" w:ascii="仿宋" w:hAnsi="仿宋" w:eastAsia="仿宋" w:cs="仿宋"/>
          <w:sz w:val="24"/>
        </w:rPr>
        <w:t xml:space="preserve">    1.5、对未按本合同约定，进入施工现场的设备、材料以及对未按相关规范施工的签证单，有权拒绝签字； </w:t>
      </w:r>
    </w:p>
    <w:p>
      <w:pPr>
        <w:spacing w:line="440" w:lineRule="exact"/>
        <w:rPr>
          <w:rFonts w:ascii="仿宋" w:hAnsi="仿宋" w:eastAsia="仿宋" w:cs="仿宋"/>
          <w:sz w:val="24"/>
        </w:rPr>
      </w:pPr>
      <w:r>
        <w:rPr>
          <w:rFonts w:hint="eastAsia" w:ascii="仿宋" w:hAnsi="仿宋" w:eastAsia="仿宋" w:cs="仿宋"/>
          <w:sz w:val="24"/>
        </w:rPr>
        <w:t xml:space="preserve">    1.6、在乙方违约的情况下，有依据本合同的约定及相关法律的规定行使抗辩并获得赔偿的权利；</w:t>
      </w:r>
    </w:p>
    <w:p>
      <w:pPr>
        <w:spacing w:line="360" w:lineRule="auto"/>
        <w:rPr>
          <w:rFonts w:ascii="仿宋" w:hAnsi="仿宋" w:eastAsia="仿宋" w:cs="仿宋"/>
          <w:sz w:val="24"/>
        </w:rPr>
      </w:pPr>
      <w:r>
        <w:rPr>
          <w:rFonts w:hint="eastAsia" w:ascii="仿宋" w:hAnsi="仿宋" w:eastAsia="仿宋" w:cs="仿宋"/>
          <w:sz w:val="24"/>
        </w:rPr>
        <w:t xml:space="preserve">    2. 乙方责任：</w:t>
      </w:r>
    </w:p>
    <w:p>
      <w:pPr>
        <w:widowControl/>
        <w:spacing w:line="360" w:lineRule="auto"/>
        <w:jc w:val="left"/>
        <w:rPr>
          <w:rFonts w:ascii="仿宋" w:hAnsi="仿宋" w:eastAsia="仿宋" w:cs="仿宋"/>
          <w:sz w:val="24"/>
        </w:rPr>
      </w:pPr>
      <w:r>
        <w:rPr>
          <w:rFonts w:hint="eastAsia" w:ascii="仿宋" w:hAnsi="仿宋" w:eastAsia="仿宋" w:cs="仿宋"/>
          <w:sz w:val="24"/>
        </w:rPr>
        <w:t xml:space="preserve">    2.1、乙方工程负责人为：电话：；</w:t>
      </w:r>
    </w:p>
    <w:p>
      <w:pPr>
        <w:spacing w:line="360" w:lineRule="auto"/>
        <w:rPr>
          <w:rFonts w:ascii="仿宋" w:hAnsi="仿宋" w:eastAsia="仿宋" w:cs="仿宋"/>
          <w:sz w:val="24"/>
        </w:rPr>
      </w:pPr>
      <w:r>
        <w:rPr>
          <w:rFonts w:hint="eastAsia" w:ascii="仿宋" w:hAnsi="仿宋" w:eastAsia="仿宋" w:cs="仿宋"/>
          <w:sz w:val="24"/>
        </w:rPr>
        <w:t xml:space="preserve">    2.2、按合同约定，要求甲方支付工程款；</w:t>
      </w:r>
    </w:p>
    <w:p>
      <w:pPr>
        <w:spacing w:line="360" w:lineRule="auto"/>
        <w:rPr>
          <w:rFonts w:ascii="仿宋" w:hAnsi="仿宋" w:eastAsia="仿宋" w:cs="仿宋"/>
          <w:sz w:val="24"/>
        </w:rPr>
      </w:pPr>
      <w:r>
        <w:rPr>
          <w:rFonts w:hint="eastAsia" w:ascii="仿宋" w:hAnsi="仿宋" w:eastAsia="仿宋" w:cs="仿宋"/>
          <w:sz w:val="24"/>
        </w:rPr>
        <w:t xml:space="preserve">    2.3、按合同约定完成乙方承担的各项义务，负责处理合同约定由乙方处理的相关问题；</w:t>
      </w:r>
    </w:p>
    <w:p>
      <w:pPr>
        <w:spacing w:line="360" w:lineRule="auto"/>
        <w:rPr>
          <w:rFonts w:ascii="仿宋" w:hAnsi="仿宋" w:eastAsia="仿宋" w:cs="仿宋"/>
          <w:sz w:val="24"/>
        </w:rPr>
      </w:pPr>
      <w:r>
        <w:rPr>
          <w:rFonts w:hint="eastAsia" w:ascii="仿宋" w:hAnsi="仿宋" w:eastAsia="仿宋" w:cs="仿宋"/>
          <w:sz w:val="24"/>
        </w:rPr>
        <w:t xml:space="preserve">    2.4、按本合同约定，组织完成本工程；严格按国家相关规范、标准实施；</w:t>
      </w:r>
    </w:p>
    <w:p>
      <w:pPr>
        <w:spacing w:line="360" w:lineRule="auto"/>
        <w:rPr>
          <w:rFonts w:ascii="仿宋" w:hAnsi="仿宋" w:eastAsia="仿宋" w:cs="仿宋"/>
          <w:sz w:val="24"/>
        </w:rPr>
      </w:pPr>
      <w:r>
        <w:rPr>
          <w:rFonts w:hint="eastAsia" w:ascii="仿宋" w:hAnsi="仿宋" w:eastAsia="仿宋" w:cs="仿宋"/>
          <w:sz w:val="24"/>
        </w:rPr>
        <w:t xml:space="preserve">    2.5、按合同约定组织安全文明施工；组织设备、材料、器件的检测、试验、搬运、 安装、调试并组织工程验收；</w:t>
      </w:r>
    </w:p>
    <w:p>
      <w:pPr>
        <w:spacing w:line="360" w:lineRule="auto"/>
        <w:rPr>
          <w:rFonts w:ascii="仿宋" w:hAnsi="仿宋" w:eastAsia="仿宋" w:cs="仿宋"/>
          <w:sz w:val="24"/>
        </w:rPr>
      </w:pPr>
      <w:r>
        <w:rPr>
          <w:rFonts w:hint="eastAsia" w:ascii="仿宋" w:hAnsi="仿宋" w:eastAsia="仿宋" w:cs="仿宋"/>
          <w:sz w:val="24"/>
        </w:rPr>
        <w:t xml:space="preserve">    2.6、组织进场的设备、材料，必须符合本合同约定要求；</w:t>
      </w:r>
    </w:p>
    <w:p>
      <w:pPr>
        <w:spacing w:line="360" w:lineRule="auto"/>
        <w:rPr>
          <w:rFonts w:ascii="仿宋" w:hAnsi="仿宋" w:eastAsia="仿宋" w:cs="仿宋"/>
          <w:sz w:val="24"/>
        </w:rPr>
      </w:pPr>
      <w:r>
        <w:rPr>
          <w:rFonts w:hint="eastAsia" w:ascii="仿宋" w:hAnsi="仿宋" w:eastAsia="仿宋" w:cs="仿宋"/>
          <w:sz w:val="24"/>
        </w:rPr>
        <w:t xml:space="preserve">    2.7、乙方必须作好施工过程中，可能出现的各种问题的应对准备工作，不能因自身原因而寻找其他理由停工；</w:t>
      </w:r>
    </w:p>
    <w:p>
      <w:pPr>
        <w:spacing w:line="360" w:lineRule="auto"/>
        <w:rPr>
          <w:rFonts w:ascii="仿宋" w:hAnsi="仿宋" w:eastAsia="仿宋" w:cs="仿宋"/>
          <w:sz w:val="24"/>
        </w:rPr>
      </w:pPr>
      <w:r>
        <w:rPr>
          <w:rFonts w:hint="eastAsia" w:ascii="仿宋" w:hAnsi="仿宋" w:eastAsia="仿宋" w:cs="仿宋"/>
          <w:sz w:val="24"/>
        </w:rPr>
        <w:t xml:space="preserve">    2.8、在甲方延迟或者拒绝支付相应的施工款项的情况下，乙方有权停工；</w:t>
      </w:r>
    </w:p>
    <w:p>
      <w:pPr>
        <w:spacing w:line="360" w:lineRule="auto"/>
        <w:rPr>
          <w:rFonts w:ascii="仿宋" w:hAnsi="仿宋" w:eastAsia="仿宋" w:cs="仿宋"/>
          <w:sz w:val="24"/>
        </w:rPr>
      </w:pPr>
      <w:r>
        <w:rPr>
          <w:rFonts w:hint="eastAsia" w:ascii="仿宋" w:hAnsi="仿宋" w:eastAsia="仿宋" w:cs="仿宋"/>
          <w:sz w:val="24"/>
        </w:rPr>
        <w:t xml:space="preserve">    2.9、在甲方违约的情况下，有依据本合同的约定及相关法律的规定行使抗辩并获得赔偿的权利。</w:t>
      </w:r>
    </w:p>
    <w:p>
      <w:pPr>
        <w:autoSpaceDE w:val="0"/>
        <w:autoSpaceDN w:val="0"/>
        <w:adjustRightInd w:val="0"/>
        <w:jc w:val="left"/>
        <w:rPr>
          <w:rFonts w:ascii="仿宋" w:hAnsi="仿宋" w:eastAsia="仿宋" w:cs="仿宋"/>
          <w:b/>
          <w:sz w:val="28"/>
          <w:szCs w:val="28"/>
        </w:rPr>
      </w:pPr>
      <w:r>
        <w:rPr>
          <w:rFonts w:hint="eastAsia" w:ascii="仿宋" w:hAnsi="仿宋" w:eastAsia="仿宋" w:cs="仿宋"/>
          <w:b/>
          <w:sz w:val="28"/>
          <w:szCs w:val="28"/>
        </w:rPr>
        <w:t>第十二条、安全措施及责任</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施工期间甲、乙双方应加强现场工作人员的安全教育，做好安全措施，严格按《安全生产工作规定》开展各项工作。如在履行合同过程中，若由乙方操作失误造成乙方施工人员或他人人身损害或财产损失，由乙方承担全部责任，与甲方无关。</w:t>
      </w:r>
    </w:p>
    <w:p>
      <w:pPr>
        <w:autoSpaceDE w:val="0"/>
        <w:autoSpaceDN w:val="0"/>
        <w:adjustRightInd w:val="0"/>
        <w:jc w:val="left"/>
        <w:rPr>
          <w:rFonts w:ascii="仿宋" w:hAnsi="仿宋" w:eastAsia="仿宋" w:cs="仿宋"/>
          <w:b/>
          <w:sz w:val="28"/>
          <w:szCs w:val="28"/>
        </w:rPr>
      </w:pPr>
      <w:r>
        <w:rPr>
          <w:rFonts w:hint="eastAsia" w:ascii="仿宋" w:hAnsi="仿宋" w:eastAsia="仿宋" w:cs="仿宋"/>
          <w:b/>
          <w:sz w:val="28"/>
          <w:szCs w:val="28"/>
        </w:rPr>
        <w:t>第十三条、违约责任事宜</w:t>
      </w:r>
    </w:p>
    <w:p>
      <w:pPr>
        <w:spacing w:line="360" w:lineRule="auto"/>
        <w:ind w:firstLine="480" w:firstLineChars="200"/>
        <w:rPr>
          <w:rFonts w:ascii="仿宋" w:hAnsi="仿宋" w:eastAsia="仿宋" w:cs="仿宋"/>
          <w:sz w:val="24"/>
        </w:rPr>
      </w:pPr>
      <w:r>
        <w:rPr>
          <w:rFonts w:hint="eastAsia" w:ascii="仿宋" w:hAnsi="仿宋" w:eastAsia="仿宋" w:cs="仿宋"/>
          <w:sz w:val="24"/>
        </w:rPr>
        <w:t>1、本合同自签订之日起生效，违反本合同约定,或无故终止合同视为违约,除本合同有约定外，违约方应按民法典有关规定,承担违约责任。</w:t>
      </w:r>
    </w:p>
    <w:p>
      <w:pPr>
        <w:spacing w:line="360" w:lineRule="auto"/>
        <w:ind w:firstLine="480" w:firstLineChars="200"/>
        <w:rPr>
          <w:rFonts w:ascii="仿宋" w:hAnsi="仿宋" w:eastAsia="仿宋" w:cs="仿宋"/>
          <w:sz w:val="24"/>
        </w:rPr>
      </w:pPr>
      <w:r>
        <w:rPr>
          <w:rFonts w:hint="eastAsia" w:ascii="仿宋" w:hAnsi="仿宋" w:eastAsia="仿宋" w:cs="仿宋"/>
          <w:sz w:val="24"/>
        </w:rPr>
        <w:t>2、在合同有效期内,若无不可抗拒因素（不可抗拒因素包括因战争、动乱、罢工、空中飞行物坠落或其他非甲方、乙方责任造成的爆炸、火灾以及地震、台风等自然灾害）发生,除本合同另有约定外，甲乙双方中的任何一方都不得终止合同,终止合同方视为违约。</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应在合同约定的时间内完成工作内容，每延期一天，需向甲方支付合同总金额4%的违约金；若延期超过5天，甲方有权单方解除本合同，乙方需向甲方支付合同总金额20%的违约金，并赔偿给甲方造成的全部损失（包括但不限于诉讼费、鉴定费、保全费、公告费、执行费、律师费等费用）。</w:t>
      </w:r>
    </w:p>
    <w:p>
      <w:pPr>
        <w:spacing w:line="360" w:lineRule="auto"/>
        <w:ind w:firstLine="480" w:firstLineChars="200"/>
        <w:rPr>
          <w:rFonts w:ascii="仿宋" w:hAnsi="仿宋" w:eastAsia="仿宋" w:cs="仿宋"/>
          <w:sz w:val="24"/>
        </w:rPr>
      </w:pPr>
      <w:r>
        <w:rPr>
          <w:rFonts w:hint="eastAsia" w:ascii="仿宋" w:hAnsi="仿宋" w:eastAsia="仿宋" w:cs="仿宋"/>
          <w:sz w:val="24"/>
        </w:rPr>
        <w:t>4、乙方在整理机房线路时，不得损害甲方原有设备，否则造成的损失由乙方进行全部赔偿（包括但不限于诉讼费、鉴定费、保全费、公告费、执行费、律师费等费用）。</w:t>
      </w:r>
    </w:p>
    <w:p>
      <w:pPr>
        <w:spacing w:line="360" w:lineRule="auto"/>
        <w:rPr>
          <w:rFonts w:ascii="仿宋" w:hAnsi="仿宋" w:eastAsia="仿宋" w:cs="仿宋"/>
          <w:b/>
          <w:sz w:val="28"/>
          <w:szCs w:val="28"/>
        </w:rPr>
      </w:pPr>
      <w:r>
        <w:rPr>
          <w:rFonts w:hint="eastAsia" w:ascii="仿宋" w:hAnsi="仿宋" w:eastAsia="仿宋" w:cs="仿宋"/>
          <w:b/>
          <w:sz w:val="28"/>
          <w:szCs w:val="28"/>
        </w:rPr>
        <w:t>第十四条、合同终止及变更事宜</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1、除本合同另有约定外，甲方或乙方如要提前终止本合同,应提前叁天正式书面通知对方,双方应在结清所有费用及承担相应责任后本合同才能终止。</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2、合同终止后,合同双方仍应承担原合同内所规定之双方应履行而尚未执行完毕的义务与责任。</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3、甲乙双方均不得随意变更或解除该合同。本合同中如有未尽事宜须双方共同协商，作出补充协议并加盖甲乙双方公章，补充协议与本合同有同等的法律效力。</w:t>
      </w:r>
    </w:p>
    <w:p>
      <w:pPr>
        <w:autoSpaceDE w:val="0"/>
        <w:autoSpaceDN w:val="0"/>
        <w:adjustRightInd w:val="0"/>
        <w:jc w:val="left"/>
        <w:rPr>
          <w:rFonts w:ascii="仿宋" w:hAnsi="仿宋" w:eastAsia="仿宋" w:cs="仿宋"/>
          <w:b/>
          <w:sz w:val="28"/>
          <w:szCs w:val="28"/>
        </w:rPr>
      </w:pPr>
      <w:r>
        <w:rPr>
          <w:rFonts w:hint="eastAsia" w:ascii="仿宋" w:hAnsi="仿宋" w:eastAsia="仿宋" w:cs="仿宋"/>
          <w:b/>
          <w:sz w:val="28"/>
          <w:szCs w:val="28"/>
        </w:rPr>
        <w:t>第十五条、合同争议解决方式事宜</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color="0D0D0D"/>
        </w:rPr>
        <w:t>本合同如发生纠纷，当事人双方应当及时协商解决，协商不成时，任何一方均可向甲方所在地人民法院起诉。</w:t>
      </w:r>
    </w:p>
    <w:p>
      <w:pPr>
        <w:autoSpaceDE w:val="0"/>
        <w:autoSpaceDN w:val="0"/>
        <w:adjustRightInd w:val="0"/>
        <w:jc w:val="left"/>
        <w:rPr>
          <w:rFonts w:ascii="仿宋" w:hAnsi="仿宋" w:eastAsia="仿宋" w:cs="仿宋"/>
          <w:b/>
          <w:sz w:val="28"/>
          <w:szCs w:val="28"/>
        </w:rPr>
      </w:pPr>
      <w:r>
        <w:rPr>
          <w:rFonts w:hint="eastAsia" w:ascii="仿宋" w:hAnsi="仿宋" w:eastAsia="仿宋" w:cs="仿宋"/>
          <w:b/>
          <w:sz w:val="28"/>
          <w:szCs w:val="28"/>
        </w:rPr>
        <w:t>第十六条、附则事宜</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1、本合同如有未尽事宜，双方可通过协商签订补充协议，补充协议与本合同具有同等效力。</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2、本合同自双方签字盖章之日起生效。</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3、本合同一式</w:t>
      </w:r>
      <w:r>
        <w:rPr>
          <w:rFonts w:hint="eastAsia" w:ascii="仿宋" w:hAnsi="仿宋" w:eastAsia="仿宋" w:cs="仿宋"/>
          <w:sz w:val="24"/>
          <w:u w:val="single"/>
        </w:rPr>
        <w:t xml:space="preserve">  陆  </w:t>
      </w:r>
      <w:r>
        <w:rPr>
          <w:rFonts w:hint="eastAsia" w:ascii="仿宋" w:hAnsi="仿宋" w:eastAsia="仿宋" w:cs="仿宋"/>
          <w:sz w:val="24"/>
        </w:rPr>
        <w:t>份，甲方执</w:t>
      </w:r>
      <w:r>
        <w:rPr>
          <w:rFonts w:hint="eastAsia" w:ascii="仿宋" w:hAnsi="仿宋" w:eastAsia="仿宋" w:cs="仿宋"/>
          <w:sz w:val="24"/>
          <w:u w:val="single"/>
        </w:rPr>
        <w:t xml:space="preserve"> 肆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4、合同附件：合同清单。</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5、乙方应提供合法经营的证照和资质复印件并加盖公章作为本合同的附件2。  </w:t>
      </w:r>
    </w:p>
    <w:p>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6、双方相互发出或者提供的所有通知、文件、资料、法院各类诉讼文书等，均以本合同所列明的地址通过EMS送达后即视为有效送达，双方如有变更，变更方应提前5个工作日书面通知对方。否则，对方按变更前地址送达后即视为有效送达。同时，若对方拒绝接收上述文件的，仍视为已有效送达。                 </w:t>
      </w:r>
    </w:p>
    <w:p>
      <w:pPr>
        <w:autoSpaceDE w:val="0"/>
        <w:autoSpaceDN w:val="0"/>
        <w:adjustRightInd w:val="0"/>
        <w:jc w:val="left"/>
        <w:rPr>
          <w:rFonts w:ascii="仿宋" w:hAnsi="仿宋" w:eastAsia="仿宋" w:cs="仿宋"/>
          <w:sz w:val="24"/>
        </w:rPr>
      </w:pPr>
    </w:p>
    <w:p>
      <w:pPr>
        <w:autoSpaceDE w:val="0"/>
        <w:autoSpaceDN w:val="0"/>
        <w:adjustRightInd w:val="0"/>
        <w:jc w:val="left"/>
        <w:rPr>
          <w:rFonts w:ascii="仿宋" w:hAnsi="仿宋" w:eastAsia="仿宋" w:cs="仿宋"/>
          <w:sz w:val="24"/>
        </w:rPr>
      </w:pPr>
    </w:p>
    <w:p>
      <w:pPr>
        <w:autoSpaceDE w:val="0"/>
        <w:autoSpaceDN w:val="0"/>
        <w:adjustRightInd w:val="0"/>
        <w:jc w:val="left"/>
        <w:rPr>
          <w:rFonts w:ascii="仿宋" w:hAnsi="仿宋" w:eastAsia="仿宋" w:cs="仿宋"/>
          <w:sz w:val="24"/>
        </w:rPr>
      </w:pPr>
    </w:p>
    <w:p>
      <w:pPr>
        <w:autoSpaceDE w:val="0"/>
        <w:autoSpaceDN w:val="0"/>
        <w:adjustRightInd w:val="0"/>
        <w:jc w:val="left"/>
        <w:rPr>
          <w:rFonts w:ascii="仿宋" w:hAnsi="仿宋" w:eastAsia="仿宋" w:cs="仿宋"/>
          <w:kern w:val="0"/>
          <w:sz w:val="28"/>
          <w:szCs w:val="28"/>
        </w:rPr>
      </w:pPr>
      <w:r>
        <w:rPr>
          <w:rFonts w:hint="eastAsia" w:ascii="仿宋" w:hAnsi="仿宋" w:eastAsia="仿宋" w:cs="仿宋"/>
          <w:sz w:val="24"/>
        </w:rPr>
        <w:t xml:space="preserve">                    （以下无正文）</w:t>
      </w:r>
    </w:p>
    <w:p>
      <w:pPr>
        <w:spacing w:line="360" w:lineRule="auto"/>
        <w:rPr>
          <w:rFonts w:ascii="仿宋" w:hAnsi="仿宋" w:eastAsia="仿宋" w:cs="仿宋"/>
          <w:sz w:val="24"/>
        </w:rPr>
      </w:pPr>
      <w:r>
        <w:rPr>
          <w:rFonts w:hint="eastAsia" w:ascii="仿宋" w:hAnsi="仿宋" w:eastAsia="仿宋" w:cs="仿宋"/>
          <w:sz w:val="24"/>
        </w:rPr>
        <w:t>甲                方：</w:t>
      </w:r>
      <w:r>
        <w:rPr>
          <w:rFonts w:hint="eastAsia" w:ascii="仿宋" w:hAnsi="仿宋" w:eastAsia="仿宋" w:cs="仿宋"/>
          <w:color w:val="000000" w:themeColor="text1"/>
          <w:sz w:val="24"/>
          <w:u w:val="single"/>
        </w:rPr>
        <w:t>重庆高速国储能源投资有限公司</w:t>
      </w:r>
      <w:r>
        <w:rPr>
          <w:rFonts w:hint="eastAsia" w:ascii="仿宋" w:hAnsi="仿宋" w:eastAsia="仿宋" w:cs="仿宋"/>
          <w:sz w:val="24"/>
        </w:rPr>
        <w:t>（公司公章签盖处）</w:t>
      </w:r>
    </w:p>
    <w:p>
      <w:pPr>
        <w:spacing w:line="360" w:lineRule="auto"/>
        <w:jc w:val="left"/>
        <w:rPr>
          <w:rFonts w:ascii="仿宋" w:hAnsi="仿宋" w:eastAsia="仿宋" w:cs="仿宋"/>
          <w:sz w:val="24"/>
        </w:rPr>
      </w:pPr>
      <w:r>
        <w:rPr>
          <w:rFonts w:hint="eastAsia" w:ascii="仿宋" w:hAnsi="仿宋" w:eastAsia="仿宋" w:cs="仿宋"/>
          <w:sz w:val="24"/>
        </w:rPr>
        <w:t>法定代表人/委托代理人：</w:t>
      </w:r>
    </w:p>
    <w:p>
      <w:pPr>
        <w:spacing w:line="360" w:lineRule="auto"/>
        <w:jc w:val="left"/>
        <w:rPr>
          <w:rFonts w:ascii="仿宋" w:hAnsi="仿宋" w:eastAsia="仿宋" w:cs="仿宋"/>
          <w:sz w:val="24"/>
        </w:rPr>
      </w:pPr>
      <w:r>
        <w:rPr>
          <w:rFonts w:hint="eastAsia" w:ascii="仿宋" w:hAnsi="仿宋" w:eastAsia="仿宋" w:cs="仿宋"/>
          <w:sz w:val="24"/>
        </w:rPr>
        <w:t xml:space="preserve">（签字）           </w:t>
      </w:r>
    </w:p>
    <w:p>
      <w:pPr>
        <w:spacing w:line="360" w:lineRule="auto"/>
        <w:jc w:val="left"/>
        <w:rPr>
          <w:rFonts w:ascii="仿宋" w:hAnsi="仿宋" w:eastAsia="仿宋" w:cs="仿宋"/>
          <w:sz w:val="24"/>
        </w:rPr>
      </w:pPr>
      <w:r>
        <w:rPr>
          <w:rFonts w:hint="eastAsia" w:ascii="仿宋" w:hAnsi="仿宋" w:eastAsia="仿宋" w:cs="仿宋"/>
          <w:sz w:val="24"/>
        </w:rPr>
        <w:t>经办人：</w:t>
      </w: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地址：重庆市渝北区龙山街道龙脊路248号附6号3-1</w:t>
      </w: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日                期：    年   月    日</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乙                方：（公司公章签盖处）</w:t>
      </w:r>
    </w:p>
    <w:p>
      <w:pPr>
        <w:spacing w:line="360" w:lineRule="auto"/>
        <w:jc w:val="left"/>
        <w:rPr>
          <w:rFonts w:ascii="仿宋" w:hAnsi="仿宋" w:eastAsia="仿宋" w:cs="仿宋"/>
          <w:sz w:val="24"/>
        </w:rPr>
      </w:pPr>
      <w:r>
        <w:rPr>
          <w:rFonts w:hint="eastAsia" w:ascii="仿宋" w:hAnsi="仿宋" w:eastAsia="仿宋" w:cs="仿宋"/>
          <w:sz w:val="24"/>
        </w:rPr>
        <w:t>法定代表人/委托代理人：</w:t>
      </w:r>
    </w:p>
    <w:p>
      <w:pPr>
        <w:spacing w:line="360" w:lineRule="auto"/>
        <w:jc w:val="left"/>
        <w:rPr>
          <w:rFonts w:ascii="仿宋" w:hAnsi="仿宋" w:eastAsia="仿宋" w:cs="仿宋"/>
          <w:sz w:val="24"/>
        </w:rPr>
      </w:pPr>
      <w:r>
        <w:rPr>
          <w:rFonts w:hint="eastAsia" w:ascii="仿宋" w:hAnsi="仿宋" w:eastAsia="仿宋" w:cs="仿宋"/>
          <w:sz w:val="24"/>
        </w:rPr>
        <w:t xml:space="preserve">（签字）    </w:t>
      </w:r>
    </w:p>
    <w:p>
      <w:pPr>
        <w:spacing w:line="360" w:lineRule="auto"/>
        <w:jc w:val="left"/>
        <w:rPr>
          <w:rFonts w:ascii="仿宋" w:hAnsi="仿宋" w:eastAsia="仿宋" w:cs="仿宋"/>
          <w:sz w:val="24"/>
        </w:rPr>
      </w:pPr>
      <w:r>
        <w:rPr>
          <w:rFonts w:hint="eastAsia" w:ascii="仿宋" w:hAnsi="仿宋" w:eastAsia="仿宋" w:cs="仿宋"/>
          <w:sz w:val="24"/>
        </w:rPr>
        <w:t xml:space="preserve">经办人：         </w:t>
      </w:r>
    </w:p>
    <w:p>
      <w:pPr>
        <w:spacing w:line="360" w:lineRule="auto"/>
        <w:jc w:val="left"/>
        <w:rPr>
          <w:rFonts w:ascii="仿宋" w:hAnsi="仿宋" w:eastAsia="仿宋" w:cs="仿宋"/>
          <w:sz w:val="24"/>
        </w:rPr>
      </w:pPr>
      <w:r>
        <w:rPr>
          <w:rFonts w:hint="eastAsia" w:ascii="仿宋" w:hAnsi="仿宋" w:eastAsia="仿宋" w:cs="仿宋"/>
          <w:sz w:val="24"/>
        </w:rPr>
        <w:t>地址</w:t>
      </w:r>
    </w:p>
    <w:p>
      <w:pPr>
        <w:spacing w:line="360" w:lineRule="auto"/>
        <w:jc w:val="left"/>
        <w:rPr>
          <w:rFonts w:ascii="仿宋" w:hAnsi="仿宋" w:eastAsia="仿宋" w:cs="仿宋"/>
          <w:sz w:val="24"/>
        </w:rPr>
      </w:pPr>
      <w:r>
        <w:rPr>
          <w:rFonts w:hint="eastAsia" w:ascii="仿宋" w:hAnsi="仿宋" w:eastAsia="仿宋" w:cs="仿宋"/>
          <w:sz w:val="24"/>
        </w:rPr>
        <w:t>日                期：    年   月    日</w:t>
      </w:r>
    </w:p>
    <w:p>
      <w:pPr>
        <w:rPr>
          <w:rFonts w:ascii="仿宋" w:hAnsi="仿宋" w:eastAsia="仿宋" w:cs="仿宋"/>
          <w:b/>
          <w:sz w:val="20"/>
          <w:szCs w:val="20"/>
        </w:rPr>
      </w:pPr>
    </w:p>
    <w:p>
      <w:pPr>
        <w:pStyle w:val="2"/>
      </w:pPr>
    </w:p>
    <w:p>
      <w:pPr>
        <w:widowControl/>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重庆高速国储能源投资有限公司</w:t>
      </w:r>
    </w:p>
    <w:p>
      <w:pPr>
        <w:widowControl/>
        <w:jc w:val="center"/>
        <w:rPr>
          <w:rFonts w:cs="宋体"/>
          <w:b/>
          <w:kern w:val="0"/>
          <w:sz w:val="32"/>
          <w:szCs w:val="32"/>
        </w:rPr>
      </w:pPr>
      <w:r>
        <w:rPr>
          <w:rFonts w:hint="eastAsia" w:ascii="仿宋" w:hAnsi="仿宋" w:eastAsia="仿宋" w:cs="仿宋"/>
          <w:b/>
          <w:color w:val="000000"/>
          <w:kern w:val="0"/>
          <w:sz w:val="28"/>
          <w:szCs w:val="28"/>
          <w:shd w:val="clear" w:color="auto" w:fill="FFFFFF"/>
        </w:rPr>
        <w:t>工程质量保修书</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发包人（全称）：</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承包人（全称）：</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  发包人和承包人根据《中华人民共和国建筑法》和《建设工程质量管理条例》，经协商一致就（工程全称）签订工程质量保修书。</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一、工程质量保修范围和内容</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承包人在质量保修期内，按照有关法律规定和合同约定，承担工程质量保修责任。</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二、质量保修期</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根据《建设工程质量管理条例》及有关规定，工程的质量保修期如下：</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1、整体工程质保期为壹年。</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质量保修期自工程竣工验收合格之日起计算。</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三、缺陷责任期</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工程缺陷责任期为36个月，缺陷责任期自工程实际竣工之日起计算。单位工程先于全部工程进行验收，单位工程缺陷责任期自单位工程验收合格之日起算。</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缺陷责任期终止后，发包人应退还剩余的质量保证金。</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四、质量保修责任</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1．属于保修范围、内容的项目，承包人应当在接到保修通知之日起7天内派人保修。承包人不在约定期限内派人保修的，发包人可以委托他人修理。</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2．发生紧急事故需抢修的，承包人在接到事故通知后，应当立即到达事故现场抢修。</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4．质量保修完成后，由发包人组织验收。</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五、保修费用</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保修费用由造成质量缺陷的责任方承担。</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六、双方约定的其他工程质量保修事项：。</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工程质量保修书由发包人、承包人在工程竣工验收前共同签署，作为施工合同附件，其有效期限至保修期满。</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甲方：                                                 乙方：</w:t>
      </w:r>
    </w:p>
    <w:p>
      <w:pPr>
        <w:widowControl/>
        <w:shd w:val="clear" w:color="auto" w:fill="FFFFFF"/>
        <w:jc w:val="left"/>
      </w:pPr>
      <w:r>
        <w:rPr>
          <w:rFonts w:hint="eastAsia" w:ascii="仿宋" w:hAnsi="仿宋" w:eastAsia="仿宋" w:cs="仿宋"/>
          <w:color w:val="000000"/>
          <w:kern w:val="0"/>
          <w:szCs w:val="21"/>
          <w:shd w:val="clear" w:color="auto" w:fill="FFFFFF"/>
        </w:rPr>
        <w:t>法定代表人                                            法定代表人</w:t>
      </w:r>
    </w:p>
    <w:p>
      <w:pPr>
        <w:widowControl/>
        <w:shd w:val="clear" w:color="auto" w:fill="FFFFFF"/>
        <w:jc w:val="left"/>
      </w:pPr>
      <w:r>
        <w:rPr>
          <w:rFonts w:hint="eastAsia" w:ascii="仿宋" w:hAnsi="仿宋" w:eastAsia="仿宋" w:cs="仿宋"/>
          <w:color w:val="000000"/>
          <w:kern w:val="0"/>
          <w:szCs w:val="21"/>
          <w:shd w:val="clear" w:color="auto" w:fill="FFFFFF"/>
        </w:rPr>
        <w:t>或授权代理人：                                        或授权代理人：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部门负责人：                                          部门负责人：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经办人：                                              经办人：</w:t>
      </w:r>
    </w:p>
    <w:p>
      <w:pPr>
        <w:pStyle w:val="2"/>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日 期: 年     月    日                           日 期：年     月    日</w:t>
      </w:r>
    </w:p>
    <w:p>
      <w:pPr>
        <w:snapToGrid w:val="0"/>
        <w:jc w:val="center"/>
        <w:rPr>
          <w:rFonts w:cs="宋体"/>
          <w:szCs w:val="21"/>
        </w:rPr>
      </w:pPr>
    </w:p>
    <w:p>
      <w:pPr>
        <w:widowControl/>
        <w:jc w:val="center"/>
        <w:rPr>
          <w:rFonts w:ascii="仿宋" w:hAnsi="仿宋" w:eastAsia="仿宋" w:cs="仿宋"/>
          <w:b/>
          <w:color w:val="000000"/>
          <w:kern w:val="0"/>
          <w:sz w:val="28"/>
          <w:szCs w:val="28"/>
          <w:shd w:val="clear" w:color="auto" w:fill="FFFFFF"/>
        </w:rPr>
      </w:pPr>
    </w:p>
    <w:p>
      <w:pPr>
        <w:widowControl/>
        <w:jc w:val="center"/>
        <w:rPr>
          <w:rFonts w:ascii="仿宋" w:hAnsi="仿宋" w:eastAsia="仿宋" w:cs="仿宋"/>
          <w:b/>
          <w:color w:val="000000"/>
          <w:kern w:val="0"/>
          <w:sz w:val="28"/>
          <w:szCs w:val="28"/>
          <w:shd w:val="clear" w:color="auto" w:fill="FFFFFF"/>
        </w:rPr>
      </w:pPr>
    </w:p>
    <w:p>
      <w:pPr>
        <w:widowControl/>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重庆高速国储能源投资有限公司</w:t>
      </w:r>
    </w:p>
    <w:p>
      <w:pPr>
        <w:widowControl/>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安全生产合同</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为在实施过程中创造安全、高效的施工环境，切实搞好本项目的安全管理工作，本项目发包人重庆高速国储能源投资有限公司（以下简称“甲方”）与承包人（以下简称“乙方”）特此签订安全生产合同：</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一、甲方职责</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严格遵守国家有关安全生产的法律法规，认真执行工程施工合同中的有关安全要求。</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按照“安全第一、预防为主”和坚持“管生产必须管安全”的原则进行安全生产管理，做到生产与安全工作同时计划、布置、检查、总结和评比。</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重要的安全设施必须坚持与主体工程“三同时”的原则，即：同时设计、审批，同时施工，同时验收，投入使用。</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定期召开安全生产调度会，及时传达中央及地方有关安全生产的精神。</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组织对乙方施工现场安全生产检查，监督乙方及时处理发现的各种安全隐患。</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二、乙方职责</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严格遵守国家有关安全生产的法律法规、交通部颁发的《公路工程施工安全技术规程》（JTJ 076—95）和《公路筑养路机械操作规程》有关安全生产的规定，认真执行工程承包合同中的有关安全要求。</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建立健全安全生产责任制。从派往项目实施的项目经理到生产工人（包括临时雇请的民工）的安全生产管理系统必须做到纵向到底，一环不漏；各职能部门、人员的安全生产责任制作到横向到边，人人有责。项目经理是安全生产的第一责任人。现场设置的安全机构，负责所有员工的安全和治安保卫工作及预防事故的发生。安全机构人员有权按有关规定发布指令，并采取保护性措施防止事故发生。</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乙方在任何时候都应采取各种合理的预防措施，防止其员工发生任何违法、违禁、暴力或妨碍治安的行为。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操作人员上岗，必须按规定穿戴防护用品。施工负责人和安全检查员应随时检查劳动防护用品的穿戴情况，不按规定穿戴防护用品的人员不得上岗。</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所有施工机具设备和高空作业的设备均应定期检查，保证其经常处于完好状态；不合格的机具、设备和劳动保护用品严禁使用。</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施工中采用新技术、新工艺、新设备、新材料时，必须制定相应的安全技术措施，施工现场必须具有相关的安全标志牌。</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三、违约责任</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施工期间如由于非甲方原因方造成安全事故、人身伤害事故，由乙方承担全部责任，如果甲方进行了先行赔偿，乙方应对甲方全额赔偿。</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四、合同份数与时效</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1、本合同作为《项目工程施工合同》的附件，与工程施工合同具有同等的法律效力。</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2、本合同一式 捌 份，甲方执肆份，乙方执肆份。由双方法定代表人或其授权的代理人签署与加盖公章后生效，全部工程完工验收后终止。</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甲方：                                                乙方：</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法定代表人                                            法定代表人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或授权代理人：                                        或授权代理人：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部门负责人：                                          部门负责人：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经办人：                                              经办人：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日 期:年     月    日                          日 期：年     月    日</w:t>
      </w:r>
    </w:p>
    <w:p>
      <w:pPr>
        <w:widowControl/>
        <w:jc w:val="center"/>
        <w:rPr>
          <w:rFonts w:ascii="仿宋" w:hAnsi="仿宋" w:eastAsia="仿宋" w:cs="仿宋"/>
          <w:b/>
          <w:color w:val="000000"/>
          <w:kern w:val="0"/>
          <w:sz w:val="28"/>
          <w:szCs w:val="28"/>
          <w:shd w:val="clear" w:color="auto" w:fill="FFFFFF"/>
        </w:rPr>
      </w:pPr>
      <w:r>
        <w:rPr>
          <w:color w:val="000000"/>
          <w:kern w:val="0"/>
          <w:sz w:val="32"/>
          <w:szCs w:val="32"/>
        </w:rPr>
        <w:br w:type="page"/>
      </w:r>
      <w:r>
        <w:rPr>
          <w:rFonts w:hint="eastAsia" w:ascii="仿宋" w:hAnsi="仿宋" w:eastAsia="仿宋" w:cs="仿宋"/>
          <w:b/>
          <w:color w:val="000000"/>
          <w:kern w:val="0"/>
          <w:sz w:val="28"/>
          <w:szCs w:val="28"/>
          <w:shd w:val="clear" w:color="auto" w:fill="FFFFFF"/>
        </w:rPr>
        <w:t>重庆高速国储能源投资有限公司廉政合同</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重庆高速国储能源投资有限公司（以下简称“甲方”）与施工单位（以下简称“乙方”）特订立如下合同。</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甲、乙双方的职责</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（1）严格遵守党的政策规定和国家有关法律法规及交通部的有关规定。严格执行《项目工程施工合同》的相关条款，自觉按合同办事。 </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（2）双方的业务活动坚持公开、公正、诚信、透明的原则（法律认定的商业秘密和合同文件另有规定除外）不得损害国家和集体利益，违反工程建设管理规章制度。</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（3）建立健全廉政制度，开展廉政教育，设立廉政告示牌，公布举报电话，监督并认真查处违法违纪行为。发现对方在业务活动中有违反廉政规定的行为，有及时提醒对方纠正的权利和义务。</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（4）发现对方严重违反本合同义务条款的行为，有向其上级有关部门举报、建议给予处理并要求告知处理结果的权利。</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2、甲方的义务</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（1）甲方及其工作人员不得索要或接受乙方的礼金、有价证券和贵重物品，不得在乙方报销任何应由甲方或甲方工作人员个人支付的费用等。</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（2）甲方工作人员不得参加乙方安排的超标准宴请和娱乐活动；不得接受乙方提供的通讯工具、交通工具和高档办公用品等。</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（3）甲方及其工作人员不得要求或者接受乙方为其住房装修、婚丧嫁娶活动、配偶子女的工作安排以及出国出境、旅游等提供方便等。</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（4）甲方工作人员及其配偶、子女不得从事与甲方工程有关的材料设备供应、工程分包、劳务等经济活动等。</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（5）甲方及其工作人员不得以任何理由向乙方推荐分包单位或推销材料，不得要求乙方购买合同规定外的材料和设备。</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（6）甲方工作人员要秉公办事，不准营私舞弊，不准利用职权从事各种个人有偿中介活动和安排个人施工队伍。</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3、乙方义务</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（1）乙方不得以任何理由向甲方及其工作人员行贿或馈赠礼金、有价证券、贵重礼品。</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（2）乙方不得以任何名义为甲方及其工作人员报销应由甲方单位或个人支付的任何费用。</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（3）乙方不得以任何理由安排甲方工作人员参加超标准宴请及娱乐活动。</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（4）乙方不得为甲方单位和个人购置或提供通讯工具、交通工具和高档办公用品等。</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4、违约责任</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（1）甲方及其工作人员违反本合同第一、二条，按管理权限，依据有关规定给予党纪、政纪或组织处理；涉嫌犯罪的，移交司法机关追究刑事责任；给乙方单位造成经济损失的，应予以赔偿。</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6、本合同作为《项目工程施工合同》的附件，与工程施工合同具有同等的法律效力。</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7、本合同一式 捌 份，甲方执肆份，乙方执肆份。由双方法定代表人或其授权的代理人签署与加盖公章后生效，全部工程竣工验收后终止。</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甲方：                                                乙方:</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法定代表人                                            法定代表人</w:t>
      </w: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或授权代理人：                                        或授权代理人：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部门负责人：                                          部门负责人：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经办人：                                              经办人：</w:t>
      </w:r>
    </w:p>
    <w:p>
      <w:pPr>
        <w:widowControl/>
        <w:shd w:val="clear" w:color="auto" w:fill="FFFFFF"/>
        <w:jc w:val="left"/>
        <w:rPr>
          <w:rFonts w:ascii="仿宋" w:hAnsi="仿宋" w:eastAsia="仿宋" w:cs="仿宋"/>
          <w:color w:val="000000"/>
          <w:kern w:val="0"/>
          <w:szCs w:val="21"/>
          <w:shd w:val="clear" w:color="auto" w:fill="FFFFFF"/>
        </w:rPr>
      </w:pPr>
    </w:p>
    <w:p>
      <w:pPr>
        <w:widowControl/>
        <w:shd w:val="clear" w:color="auto" w:fill="FFFFFF"/>
        <w:jc w:val="left"/>
        <w:rPr>
          <w:rFonts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日 期: 年     月    日                           日 期：年     月    日</w:t>
      </w:r>
    </w:p>
    <w:p>
      <w:pPr>
        <w:widowControl/>
        <w:shd w:val="clear" w:color="auto" w:fill="FFFFFF"/>
        <w:jc w:val="left"/>
        <w:rPr>
          <w:rFonts w:ascii="仿宋" w:hAnsi="仿宋" w:eastAsia="仿宋" w:cs="仿宋"/>
          <w:color w:val="000000"/>
          <w:kern w:val="0"/>
          <w:szCs w:val="21"/>
          <w:shd w:val="clear" w:color="auto" w:fill="FFFFFF"/>
        </w:rPr>
      </w:pPr>
    </w:p>
    <w:p>
      <w:pPr>
        <w:rPr>
          <w:rFonts w:cs="宋体"/>
          <w:sz w:val="32"/>
          <w:szCs w:val="32"/>
        </w:rPr>
      </w:pPr>
    </w:p>
    <w:p>
      <w:pPr>
        <w:rPr>
          <w:rFonts w:cs="宋体"/>
          <w:sz w:val="32"/>
          <w:szCs w:val="32"/>
        </w:rPr>
      </w:pPr>
    </w:p>
    <w:p>
      <w:pPr>
        <w:pStyle w:val="2"/>
        <w:rPr>
          <w:rFonts w:ascii="宋体" w:hAnsi="宋体" w:cs="宋体"/>
          <w:sz w:val="32"/>
          <w:szCs w:val="32"/>
        </w:rPr>
      </w:pPr>
    </w:p>
    <w:p>
      <w:pPr>
        <w:rPr>
          <w:rFonts w:cs="宋体"/>
          <w:sz w:val="32"/>
          <w:szCs w:val="32"/>
        </w:rPr>
      </w:pPr>
    </w:p>
    <w:p>
      <w:pPr>
        <w:pStyle w:val="2"/>
        <w:rPr>
          <w:rFonts w:cs="宋体"/>
          <w:sz w:val="32"/>
          <w:szCs w:val="32"/>
        </w:rPr>
      </w:pPr>
    </w:p>
    <w:p>
      <w:pPr>
        <w:rPr>
          <w:rFonts w:cs="宋体"/>
          <w:sz w:val="32"/>
          <w:szCs w:val="32"/>
        </w:rPr>
      </w:pPr>
    </w:p>
    <w:p>
      <w:pPr>
        <w:pStyle w:val="2"/>
        <w:rPr>
          <w:rFonts w:cs="宋体"/>
          <w:sz w:val="32"/>
          <w:szCs w:val="32"/>
        </w:rPr>
      </w:pPr>
    </w:p>
    <w:p>
      <w:pPr>
        <w:pStyle w:val="2"/>
      </w:pPr>
    </w:p>
    <w:p>
      <w:pPr>
        <w:widowControl/>
        <w:ind w:firstLine="2811" w:firstLineChars="1000"/>
        <w:jc w:val="left"/>
      </w:pPr>
      <w:r>
        <w:rPr>
          <w:rFonts w:ascii="仿宋" w:hAnsi="仿宋" w:eastAsia="仿宋" w:cs="仿宋"/>
          <w:b/>
          <w:color w:val="000000"/>
          <w:kern w:val="0"/>
          <w:sz w:val="28"/>
          <w:szCs w:val="28"/>
          <w:shd w:val="clear" w:color="auto" w:fill="FFFFFF"/>
        </w:rPr>
        <w:t>工 程 环 保 协 议 书</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发包方：重庆高速国储能源投资有限公司 （以下简称甲方）</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 xml:space="preserve">承包方:  （以下简称乙方） </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为全面履行甲乙双方签订的建设工程施工合同内容，进一步明确在施工过程中甲乙双方的环境保护责任，为贯彻“防治污染、保护环境”、“谁污染、谁治理”的环保方针，根据国家建筑行业有关法律法规，明确双方的环保责任、义务，确保施工过程中不出现环境污染问题，双方在签订工程施工合同的同时，签订本协议，经双方签字盖章生效，与土建主体合同具有同等法律效力，双方应认真履行。</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 甲方的权利和环保职责</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1.1 认真贯彻国家及地方环保主管部门颁发的有关环境保护的方针、政策，严格执行有关法规、法令、条例、</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1.2 甲方应并对施工现场进行不定期的环保施工检查指导。</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1.3 在施工前组织</w:t>
      </w:r>
      <w:bookmarkStart w:id="0" w:name="_Hlt175469632"/>
      <w:bookmarkEnd w:id="0"/>
      <w:bookmarkStart w:id="1" w:name="_Hlt175469633"/>
      <w:bookmarkEnd w:id="1"/>
      <w:bookmarkStart w:id="2" w:name="_Hlt175469631"/>
      <w:bookmarkEnd w:id="2"/>
      <w:r>
        <w:rPr>
          <w:rFonts w:hint="eastAsia" w:ascii="仿宋" w:hAnsi="仿宋" w:eastAsia="仿宋" w:cs="仿宋"/>
          <w:color w:val="000000"/>
          <w:kern w:val="0"/>
          <w:szCs w:val="21"/>
          <w:shd w:val="clear" w:color="auto" w:fill="FFFFFF"/>
        </w:rPr>
        <w:t>有关人员对乙方施工人员在进场前进行环境保护教育。</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1.4 当乙方出现严重违章作业、野蛮施工、管理混乱等文明施工严重失控情况 下，甲方有权作出停工整顿、限期整改、直到解除工程合同的决定。责令乙方限期退出。</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1.5 不得要求乙方违反环保规</w:t>
      </w:r>
      <w:bookmarkStart w:id="3" w:name="_Hlt176164906"/>
      <w:bookmarkEnd w:id="3"/>
      <w:r>
        <w:rPr>
          <w:rFonts w:hint="eastAsia" w:ascii="仿宋" w:hAnsi="仿宋" w:eastAsia="仿宋" w:cs="仿宋"/>
          <w:color w:val="000000"/>
          <w:kern w:val="0"/>
          <w:szCs w:val="21"/>
          <w:shd w:val="clear" w:color="auto" w:fill="FFFFFF"/>
        </w:rPr>
        <w:t>定进行施工。</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1.6 施工期间，甲方指派负责联系、检查、督促乙方执行有关环保规定。甲方应经常联系乙方，相互协助检查和处理工程施工中有关的环保工作。</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 乙方的权利和环保职责</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对本单位施工中环保工作负直接责任，具体内容如下：</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 未经甲方允许乙方不得擅自将工程分包给其他施工单位或个人进行施工。</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2.2 遵守国家有关环境保护法律、法规。严格按照国家环境管理体系程序文件执行各项管理。</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2.3 建立以项目经理为首的环境保护管理组织和环境保护保证体系，定期检查环境保护设施，对不符合要的限期整改。</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2.4 公布环境保护方案和负责人名单。</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2.5 每月组织学习环境保护知识、法律法规，开展各种形式环境保护知识宣传，提高全体员工的环境保护素质。</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2.6 各项工程的施工技术方案都必须同时考虑针对性的环境保护技术措施。</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2.7 对于机械设备产生的噪音，应严格遵守《中华人民共和国环境噪音污染防治法》，并依据《工业企业噪音卫生标准》，并且机械设备应及时维修保养设备，改进施工工艺，尽量使其噪音降低到最低水平，减少建设噪音对周围环境的影响。</w:t>
      </w:r>
    </w:p>
    <w:p>
      <w:pPr>
        <w:widowControl/>
        <w:jc w:val="left"/>
      </w:pPr>
      <w:r>
        <w:rPr>
          <w:rFonts w:hint="eastAsia" w:ascii="仿宋" w:hAnsi="仿宋" w:eastAsia="仿宋" w:cs="仿宋"/>
          <w:color w:val="000000"/>
          <w:kern w:val="0"/>
          <w:szCs w:val="21"/>
          <w:shd w:val="clear" w:color="auto" w:fill="FFFFFF"/>
        </w:rPr>
        <w:t>2.8 对于有除尘要求的场所，严格按照规定作业，施工运输便道要经常洒水，防止车辆通过时</w:t>
      </w:r>
      <w:r>
        <w:rPr>
          <w:rFonts w:ascii="仿宋" w:hAnsi="仿宋" w:eastAsia="仿宋" w:cs="仿宋"/>
          <w:color w:val="000000"/>
          <w:kern w:val="0"/>
          <w:szCs w:val="21"/>
          <w:shd w:val="clear" w:color="auto" w:fill="FFFFFF"/>
        </w:rPr>
        <w:t>尘土飞扬；对于无除尘要求的场所，合理安排工作时间，细化施工工艺，降低尘土飞扬。</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2.9 施工及生活办公区的污水应集中收集进沉淀池沉淀后排放。</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2.10 所有设备维修保养时将设备开到固定场所，地上铺上隔离层，并放置回收废油的油桶；更换机油时，将废机油回收，集中处理；做好机械检查维修保养，更换液压垫片，防止油品泄漏。</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2.11 施工现场、修理后的废弃物、包装物应按指定地点堆放，杜绝施工垃圾随处丢弃。</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2.12 办公区、个人生活用品、食物等垃圾集中处理，严禁乱丢乱放。</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2.13 生活区厕所设化粪池，生活污水和化粪池的污水排放到窨井中，防止对周围环境的污染。</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2.14 施工期间，乙方应经常联系甲方，相互协助检查和处理工程施工中有关的环保工作，预防事故发生。</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2.15 乙方必须承担因为乙方的原因造成事故的经济责任和法律责任。</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3 甲方、乙方必须严格执行本协议。</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4 本合同作为重庆高速国储万古服务区两侧加油站工程施工（第二次）施工合同的附件，与工程施工合同具有同等的法律效力，经合同双方签署后即生效。</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发包方（章） 　　　　　　　　 承包方（章）</w:t>
      </w:r>
    </w:p>
    <w:p>
      <w:pPr>
        <w:widowControl/>
        <w:shd w:val="clear" w:color="auto" w:fill="FFFFFF"/>
        <w:jc w:val="left"/>
        <w:rPr>
          <w:rFonts w:ascii="微软雅黑" w:hAnsi="微软雅黑" w:eastAsia="微软雅黑" w:cs="微软雅黑"/>
          <w:color w:val="000000"/>
          <w:sz w:val="27"/>
          <w:szCs w:val="27"/>
        </w:rPr>
      </w:pPr>
      <w:r>
        <w:rPr>
          <w:rFonts w:hint="eastAsia" w:ascii="仿宋" w:hAnsi="仿宋" w:eastAsia="仿宋" w:cs="仿宋"/>
          <w:color w:val="000000"/>
          <w:kern w:val="0"/>
          <w:szCs w:val="21"/>
          <w:shd w:val="clear" w:color="auto" w:fill="FFFFFF"/>
        </w:rPr>
        <w:t>委托代理人：                   委托代理人：</w:t>
      </w:r>
    </w:p>
    <w:p/>
    <w:p>
      <w:pPr>
        <w:pStyle w:val="2"/>
      </w:pPr>
    </w:p>
    <w:p>
      <w:pPr>
        <w:spacing w:line="900" w:lineRule="exact"/>
        <w:jc w:val="center"/>
      </w:pPr>
    </w:p>
    <w:sectPr>
      <w:footerReference r:id="rId12" w:type="first"/>
      <w:footerReference r:id="rId10" w:type="default"/>
      <w:footerReference r:id="rId11" w:type="even"/>
      <w:pgSz w:w="11906" w:h="16838"/>
      <w:pgMar w:top="2098" w:right="1474" w:bottom="1984" w:left="1587" w:header="851" w:footer="907" w:gutter="0"/>
      <w:pgNumType w:start="1"/>
      <w:cols w:space="720" w:num="1"/>
      <w:titlePg/>
      <w:rtlGutter w:val="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ACE2AC6F-808D-4C75-AEFB-E3167D2851EE}"/>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embedRegular r:id="rId2" w:fontKey="{5F4145D2-FF63-41E6-8B27-95A7762C071B}"/>
  </w:font>
  <w:font w:name="方正黑体_GBK">
    <w:panose1 w:val="03000509000000000000"/>
    <w:charset w:val="86"/>
    <w:family w:val="script"/>
    <w:pitch w:val="default"/>
    <w:sig w:usb0="00000001" w:usb1="080E0000" w:usb2="00000000" w:usb3="00000000" w:csb0="00040000" w:csb1="00000000"/>
    <w:embedRegular r:id="rId3" w:fontKey="{AEC4C4CB-4DFD-4157-956E-EEE6DA4559FC}"/>
  </w:font>
  <w:font w:name="方正仿宋_GBK">
    <w:panose1 w:val="03000509000000000000"/>
    <w:charset w:val="86"/>
    <w:family w:val="script"/>
    <w:pitch w:val="default"/>
    <w:sig w:usb0="00000001" w:usb1="080E0000" w:usb2="00000000" w:usb3="00000000" w:csb0="00040000" w:csb1="00000000"/>
    <w:embedRegular r:id="rId4" w:fontKey="{2EFA6263-EEEA-40D1-A526-0DFE033BBDDB}"/>
  </w:font>
  <w:font w:name="MingLiU">
    <w:altName w:val="PMingLiU-ExtB"/>
    <w:panose1 w:val="02010609000101010101"/>
    <w:charset w:val="88"/>
    <w:family w:val="modern"/>
    <w:pitch w:val="default"/>
    <w:sig w:usb0="00000000" w:usb1="00000000" w:usb2="00000010" w:usb3="00000000" w:csb0="00100000" w:csb1="00000000"/>
    <w:embedRegular r:id="rId5" w:fontKey="{B55889A7-A929-4ACB-920A-ECCB8020E240}"/>
  </w:font>
  <w:font w:name="PMingLiU-ExtB">
    <w:panose1 w:val="02020500000000000000"/>
    <w:charset w:val="88"/>
    <w:family w:val="auto"/>
    <w:pitch w:val="default"/>
    <w:sig w:usb0="8000002F" w:usb1="02000008" w:usb2="00000000" w:usb3="00000000" w:csb0="00100001" w:csb1="00000000"/>
  </w:font>
  <w:font w:name="方正楷体_GBK">
    <w:panose1 w:val="03000509000000000000"/>
    <w:charset w:val="86"/>
    <w:family w:val="auto"/>
    <w:pitch w:val="default"/>
    <w:sig w:usb0="00000001" w:usb1="080E0000" w:usb2="00000000" w:usb3="00000000" w:csb0="00040000" w:csb1="00000000"/>
    <w:embedRegular r:id="rId6" w:fontKey="{12635684-053F-4A64-AB72-03D6622AC851}"/>
  </w:font>
  <w:font w:name="微软雅黑">
    <w:panose1 w:val="020B0503020204020204"/>
    <w:charset w:val="86"/>
    <w:family w:val="swiss"/>
    <w:pitch w:val="default"/>
    <w:sig w:usb0="80000287" w:usb1="2ACF3C50" w:usb2="00000016" w:usb3="00000000" w:csb0="0004001F" w:csb1="00000000"/>
    <w:embedRegular r:id="rId7" w:fontKey="{595B3545-5A55-4DBE-864D-B396FAA31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1760"/>
      <w:rPr>
        <w:rFonts w:asci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asci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150" cy="131445"/>
              <wp:effectExtent l="0" t="0" r="0" b="0"/>
              <wp:wrapNone/>
              <wp:docPr id="1" name="文本框 1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15" o:spid="_x0000_s1026" o:spt="1" style="position:absolute;left:0pt;margin-top:0pt;height:10.35pt;width:4.5pt;mso-position-horizontal:outside;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KmL89UAAAACAQAADwAAAAAAAAABACAAAAAiAAAA&#10;ZHJzL2Rvd25yZXYueG1sUEsBAhQAFAAAAAgAh07iQD4XPZUKAgAAAgQAAA4AAAAAAAAAAQAgAAAA&#10;JAEAAGRycy9lMm9Eb2MueG1sUEsFBgAAAAAGAAYAWQEAAKAFAAAAAA==&#10;">
              <v:fill on="f" focussize="0,0"/>
              <v:stroke on="f" weight="0.5pt" joinstyle="round"/>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1760"/>
      <w:rPr>
        <w:rFonts w:asci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ascii="宋体"/>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1760"/>
      <w:rPr>
        <w:rFonts w:ascii="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4795520</wp:posOffset>
              </wp:positionH>
              <wp:positionV relativeFrom="paragraph">
                <wp:posOffset>-299720</wp:posOffset>
              </wp:positionV>
              <wp:extent cx="826770" cy="255905"/>
              <wp:effectExtent l="0" t="0" r="0" b="0"/>
              <wp:wrapNone/>
              <wp:docPr id="4" name="文本框 10"/>
              <wp:cNvGraphicFramePr/>
              <a:graphic xmlns:a="http://schemas.openxmlformats.org/drawingml/2006/main">
                <a:graphicData uri="http://schemas.microsoft.com/office/word/2010/wordprocessingShape">
                  <wps:wsp>
                    <wps:cNvSpPr/>
                    <wps:spPr>
                      <a:xfrm>
                        <a:off x="0" y="0"/>
                        <a:ext cx="826769" cy="255904"/>
                      </a:xfrm>
                      <a:prstGeom prst="rect">
                        <a:avLst/>
                      </a:prstGeom>
                      <a:noFill/>
                      <a:ln w="6350" cap="flat" cmpd="sng">
                        <a:noFill/>
                        <a:prstDash val="solid"/>
                        <a:round/>
                      </a:ln>
                      <a:effectLst/>
                    </wps:spPr>
                    <wps:txbx>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23</w:t>
                          </w:r>
                          <w:r>
                            <w:rPr>
                              <w:rFonts w:hint="eastAsia" w:ascii="宋体" w:cs="宋体"/>
                              <w:sz w:val="28"/>
                              <w:szCs w:val="28"/>
                            </w:rPr>
                            <w:fldChar w:fldCharType="end"/>
                          </w:r>
                          <w:r>
                            <w:rPr>
                              <w:rFonts w:hint="eastAsia" w:ascii="宋体" w:cs="宋体"/>
                              <w:sz w:val="28"/>
                              <w:szCs w:val="28"/>
                            </w:rPr>
                            <w:t xml:space="preserve"> —</w:t>
                          </w:r>
                        </w:p>
                      </w:txbxContent>
                    </wps:txbx>
                    <wps:bodyPr vert="horz" wrap="square" lIns="0" tIns="0" rIns="0" bIns="0" anchor="t" anchorCtr="0" upright="0">
                      <a:noAutofit/>
                    </wps:bodyPr>
                  </wps:wsp>
                </a:graphicData>
              </a:graphic>
            </wp:anchor>
          </w:drawing>
        </mc:Choice>
        <mc:Fallback>
          <w:pict>
            <v:rect id="文本框 10" o:spid="_x0000_s1026" o:spt="1" style="position:absolute;left:0pt;margin-left:377.6pt;margin-top:-23.6pt;height:20.15pt;width:65.1pt;mso-position-horizontal-relative:margin;z-index:251661312;mso-width-relative:page;mso-height-relative:page;" filled="f" stroked="f" coordsize="21600,21600" o:gfxdata="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KTIKtgAAAAKAQAADwAAAAAAAAABACAAAAAi&#10;AAAAZHJzL2Rvd25yZXYueG1sUEsBAhQAFAAAAAgAh07iQNYHwcwKAgAABQQAAA4AAAAAAAAAAQAg&#10;AAAAJwEAAGRycy9lMm9Eb2MueG1sUEsFBgAAAAAGAAYAWQEAAKMFAAAAAA==&#10;">
              <v:fill on="f" focussize="0,0"/>
              <v:stroke on="f" weight="0.5pt" joinstyle="round"/>
              <v:imagedata o:title=""/>
              <o:lock v:ext="edit" aspectratio="f"/>
              <v:textbox inset="0mm,0mm,0mm,0mm">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23</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28575</wp:posOffset>
              </wp:positionH>
              <wp:positionV relativeFrom="paragraph">
                <wp:posOffset>-313690</wp:posOffset>
              </wp:positionV>
              <wp:extent cx="622300" cy="230505"/>
              <wp:effectExtent l="0" t="0" r="0" b="0"/>
              <wp:wrapNone/>
              <wp:docPr id="7" name="文本框 11"/>
              <wp:cNvGraphicFramePr/>
              <a:graphic xmlns:a="http://schemas.openxmlformats.org/drawingml/2006/main">
                <a:graphicData uri="http://schemas.microsoft.com/office/word/2010/wordprocessingShape">
                  <wps:wsp>
                    <wps:cNvSpPr/>
                    <wps:spPr>
                      <a:xfrm>
                        <a:off x="0" y="0"/>
                        <a:ext cx="622300" cy="230251"/>
                      </a:xfrm>
                      <a:prstGeom prst="rect">
                        <a:avLst/>
                      </a:prstGeom>
                      <a:noFill/>
                      <a:ln w="6350" cap="flat" cmpd="sng">
                        <a:noFill/>
                        <a:prstDash val="solid"/>
                        <a:round/>
                      </a:ln>
                      <a:effectLst/>
                    </wps:spPr>
                    <wps:txbx>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24</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left:2.25pt;margin-top:-24.7pt;height:18.15pt;width:49pt;mso-position-horizontal-relative:margin;mso-wrap-style:none;z-index:251662336;mso-width-relative:page;mso-height-relative:page;" filled="f" stroked="f" coordsize="21600,21600" o:gfxdata="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25c63bAAAACQEAAA8AAAAAAAAAAQAgAAAA&#10;IgAAAGRycy9kb3ducmV2LnhtbFBLAQIUABQAAAAIAIdO4kCfU8cDCAIAAAMEAAAOAAAAAAAAAAEA&#10;IAAAACoBAABkcnMvZTJvRG9jLnhtbFBLBQYAAAAABgAGAFkBAACkBQAAAAA=&#10;">
              <v:fill on="f" focussize="0,0"/>
              <v:stroke on="f" weight="0.5pt" joinstyle="round"/>
              <v:imagedata o:title=""/>
              <o:lock v:ext="edit" aspectratio="f"/>
              <v:textbox inset="0mm,0mm,0mm,0mm" style="mso-fit-shape-to-text:t;">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24</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posOffset>4940300</wp:posOffset>
              </wp:positionH>
              <wp:positionV relativeFrom="paragraph">
                <wp:posOffset>-409575</wp:posOffset>
              </wp:positionV>
              <wp:extent cx="622300" cy="230505"/>
              <wp:effectExtent l="0" t="0" r="0" b="0"/>
              <wp:wrapNone/>
              <wp:docPr id="10" name="文本框 12"/>
              <wp:cNvGraphicFramePr/>
              <a:graphic xmlns:a="http://schemas.openxmlformats.org/drawingml/2006/main">
                <a:graphicData uri="http://schemas.microsoft.com/office/word/2010/wordprocessingShape">
                  <wps:wsp>
                    <wps:cNvSpPr/>
                    <wps:spPr>
                      <a:xfrm>
                        <a:off x="0" y="0"/>
                        <a:ext cx="622300" cy="230251"/>
                      </a:xfrm>
                      <a:prstGeom prst="rect">
                        <a:avLst/>
                      </a:prstGeom>
                      <a:noFill/>
                      <a:ln w="6350" cap="flat" cmpd="sng">
                        <a:noFill/>
                        <a:prstDash val="solid"/>
                        <a:round/>
                      </a:ln>
                      <a:effectLst/>
                    </wps:spPr>
                    <wps:txbx>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left:389pt;margin-top:-32.25pt;height:18.15pt;width:49pt;mso-position-horizontal-relative:margin;mso-wrap-style:none;z-index:251660288;mso-width-relative:page;mso-height-relative:page;" filled="f" stroked="f" coordsize="21600,21600" o:gfxdata="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7pgbdAAAACwEAAA8AAAAAAAAAAQAgAAAA&#10;IgAAAGRycy9kb3ducmV2LnhtbFBLAQIUABQAAAAIAIdO4kDM7/M0BgIAAAQEAAAOAAAAAAAAAAEA&#10;IAAAACwBAABkcnMvZTJvRG9jLnhtbFBLBQYAAAAABgAGAFkBAACkBQAAAAA=&#10;">
              <v:fill on="f" focussize="0,0"/>
              <v:stroke on="f" weight="0.5pt" joinstyle="round"/>
              <v:imagedata o:title=""/>
              <o:lock v:ext="edit" aspectratio="f"/>
              <v:textbox inset="0mm,0mm,0mm,0mm" style="mso-fit-shape-to-text:t;">
                <w:txbxContent>
                  <w:p>
                    <w:pPr>
                      <w:snapToGrid w:val="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DF21E"/>
    <w:multiLevelType w:val="multilevel"/>
    <w:tmpl w:val="DAADF21E"/>
    <w:lvl w:ilvl="0" w:tentative="0">
      <w:start w:val="0"/>
      <w:numFmt w:val="none"/>
      <w:lvlText w:val=""/>
      <w:lvlJc w:val="left"/>
      <w:pPr>
        <w:ind w:left="0" w:firstLine="0"/>
      </w:pPr>
    </w:lvl>
    <w:lvl w:ilvl="1" w:tentative="0">
      <w:start w:val="1"/>
      <w:numFmt w:val="decimal"/>
      <w:lvlText w:val=".%2"/>
      <w:legacy w:legacy="1" w:legacySpace="0" w:legacyIndent="576"/>
      <w:lvlJc w:val="left"/>
      <w:pPr>
        <w:ind w:left="578" w:hanging="576"/>
      </w:pPr>
    </w:lvl>
    <w:lvl w:ilvl="2" w:tentative="0">
      <w:start w:val="1"/>
      <w:numFmt w:val="decimal"/>
      <w:lvlText w:val=".%2.%3"/>
      <w:legacy w:legacy="1" w:legacySpace="0" w:legacyIndent="720"/>
      <w:lvlJc w:val="left"/>
      <w:pPr>
        <w:ind w:left="3414" w:hanging="720"/>
      </w:pPr>
    </w:lvl>
    <w:lvl w:ilvl="3" w:tentative="0">
      <w:start w:val="1"/>
      <w:numFmt w:val="decimal"/>
      <w:pStyle w:val="6"/>
      <w:lvlText w:val=".%2.%3.%4"/>
      <w:legacy w:legacy="1" w:legacySpace="0" w:legacyIndent="864"/>
      <w:lvlJc w:val="left"/>
      <w:pPr>
        <w:ind w:left="1284" w:hanging="864"/>
      </w:pPr>
    </w:lvl>
    <w:lvl w:ilvl="4" w:tentative="0">
      <w:start w:val="1"/>
      <w:numFmt w:val="decimal"/>
      <w:lvlText w:val=".%2.%3.%4.%5"/>
      <w:legacy w:legacy="1" w:legacySpace="0" w:legacyIndent="1008"/>
      <w:lvlJc w:val="left"/>
      <w:pPr>
        <w:ind w:left="1008" w:hanging="1008"/>
      </w:pPr>
    </w:lvl>
    <w:lvl w:ilvl="5" w:tentative="0">
      <w:start w:val="1"/>
      <w:numFmt w:val="decimal"/>
      <w:lvlText w:val=".%2.%3.%4.%5.%6"/>
      <w:legacy w:legacy="1" w:legacySpace="0" w:legacyIndent="1152"/>
      <w:lvlJc w:val="left"/>
      <w:pPr>
        <w:ind w:left="1152" w:hanging="1152"/>
      </w:pPr>
    </w:lvl>
    <w:lvl w:ilvl="6" w:tentative="0">
      <w:start w:val="1"/>
      <w:numFmt w:val="decimal"/>
      <w:lvlText w:val=".%2.%3.%4.%5.%6.%7"/>
      <w:legacy w:legacy="1" w:legacySpace="0" w:legacyIndent="1296"/>
      <w:lvlJc w:val="left"/>
      <w:pPr>
        <w:ind w:left="1296" w:hanging="1296"/>
      </w:pPr>
    </w:lvl>
    <w:lvl w:ilvl="7" w:tentative="0">
      <w:start w:val="1"/>
      <w:numFmt w:val="decimal"/>
      <w:lvlText w:val=".%2.%3.%4.%5.%6.%7.%8"/>
      <w:legacy w:legacy="1" w:legacySpace="0" w:legacyIndent="1440"/>
      <w:lvlJc w:val="left"/>
      <w:pPr>
        <w:ind w:left="1440" w:hanging="1440"/>
      </w:pPr>
    </w:lvl>
    <w:lvl w:ilvl="8" w:tentative="0">
      <w:start w:val="1"/>
      <w:numFmt w:val="decimal"/>
      <w:lvlText w:val=".%2.%3.%4.%5.%6.%7.%8.%9"/>
      <w:legacy w:legacy="1" w:legacySpace="0" w:legacyIndent="1584"/>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evenAndOddHeaders w:val="1"/>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NDc3YmRjZDFkYzlkZTA0ZDYyNzFlZTIyODNkNmEifQ=="/>
  </w:docVars>
  <w:rsids>
    <w:rsidRoot w:val="00375D92"/>
    <w:rsid w:val="00375D92"/>
    <w:rsid w:val="0038237A"/>
    <w:rsid w:val="00415CB8"/>
    <w:rsid w:val="0060697B"/>
    <w:rsid w:val="00876BCD"/>
    <w:rsid w:val="009026DB"/>
    <w:rsid w:val="009B64BC"/>
    <w:rsid w:val="00A82A08"/>
    <w:rsid w:val="00A86ED7"/>
    <w:rsid w:val="00AD2AD7"/>
    <w:rsid w:val="00B53ACB"/>
    <w:rsid w:val="00BA082C"/>
    <w:rsid w:val="00D42287"/>
    <w:rsid w:val="00D46DBC"/>
    <w:rsid w:val="00DF1306"/>
    <w:rsid w:val="00ED034E"/>
    <w:rsid w:val="00F60772"/>
    <w:rsid w:val="00FC01B8"/>
    <w:rsid w:val="0120031E"/>
    <w:rsid w:val="014063FE"/>
    <w:rsid w:val="0147778C"/>
    <w:rsid w:val="016F283F"/>
    <w:rsid w:val="018E53BB"/>
    <w:rsid w:val="018F54DD"/>
    <w:rsid w:val="01F80720"/>
    <w:rsid w:val="023B6A38"/>
    <w:rsid w:val="024E06A7"/>
    <w:rsid w:val="02C170CB"/>
    <w:rsid w:val="03667C72"/>
    <w:rsid w:val="04640655"/>
    <w:rsid w:val="047F0FEB"/>
    <w:rsid w:val="057A48D4"/>
    <w:rsid w:val="05DE00F4"/>
    <w:rsid w:val="0642601B"/>
    <w:rsid w:val="067B1C86"/>
    <w:rsid w:val="06824DC3"/>
    <w:rsid w:val="06E7606A"/>
    <w:rsid w:val="073E003F"/>
    <w:rsid w:val="07465DF0"/>
    <w:rsid w:val="07C17B6D"/>
    <w:rsid w:val="085B1D6F"/>
    <w:rsid w:val="087F780C"/>
    <w:rsid w:val="08AC6127"/>
    <w:rsid w:val="08B33959"/>
    <w:rsid w:val="08F71A98"/>
    <w:rsid w:val="090D257D"/>
    <w:rsid w:val="0928446A"/>
    <w:rsid w:val="0AC27E20"/>
    <w:rsid w:val="0B2B670E"/>
    <w:rsid w:val="0B444D3D"/>
    <w:rsid w:val="0B6964D5"/>
    <w:rsid w:val="0B697AD8"/>
    <w:rsid w:val="0B8E5FB8"/>
    <w:rsid w:val="0C9475FE"/>
    <w:rsid w:val="0D1644B7"/>
    <w:rsid w:val="0D3D37F2"/>
    <w:rsid w:val="0DA5046E"/>
    <w:rsid w:val="0E1924B1"/>
    <w:rsid w:val="0E211365"/>
    <w:rsid w:val="0EE04D7C"/>
    <w:rsid w:val="0F2E3D3A"/>
    <w:rsid w:val="0FE32D76"/>
    <w:rsid w:val="100611EC"/>
    <w:rsid w:val="10C92B51"/>
    <w:rsid w:val="11FC011F"/>
    <w:rsid w:val="12DD1CFF"/>
    <w:rsid w:val="145204CA"/>
    <w:rsid w:val="14BD5667"/>
    <w:rsid w:val="15063063"/>
    <w:rsid w:val="154F67B8"/>
    <w:rsid w:val="15884F43"/>
    <w:rsid w:val="159B4E8B"/>
    <w:rsid w:val="15EA654A"/>
    <w:rsid w:val="16B54D41"/>
    <w:rsid w:val="16DE4297"/>
    <w:rsid w:val="171B79DA"/>
    <w:rsid w:val="174340FA"/>
    <w:rsid w:val="179D7CAF"/>
    <w:rsid w:val="17D631C0"/>
    <w:rsid w:val="17F90C5D"/>
    <w:rsid w:val="181B77AA"/>
    <w:rsid w:val="182E6B59"/>
    <w:rsid w:val="18786026"/>
    <w:rsid w:val="187D2E2E"/>
    <w:rsid w:val="18D06777"/>
    <w:rsid w:val="190F4100"/>
    <w:rsid w:val="19362169"/>
    <w:rsid w:val="19631EC1"/>
    <w:rsid w:val="197467ED"/>
    <w:rsid w:val="1A310B82"/>
    <w:rsid w:val="1A404921"/>
    <w:rsid w:val="1B2916B0"/>
    <w:rsid w:val="1C393D1E"/>
    <w:rsid w:val="1E6E4153"/>
    <w:rsid w:val="1E8E354A"/>
    <w:rsid w:val="1EB51D2C"/>
    <w:rsid w:val="1EE91A2B"/>
    <w:rsid w:val="1F105483"/>
    <w:rsid w:val="1F210347"/>
    <w:rsid w:val="1F6F1CA4"/>
    <w:rsid w:val="1FFB7C68"/>
    <w:rsid w:val="2017636D"/>
    <w:rsid w:val="21380A48"/>
    <w:rsid w:val="21837F15"/>
    <w:rsid w:val="21D73DBD"/>
    <w:rsid w:val="224551CB"/>
    <w:rsid w:val="226118D9"/>
    <w:rsid w:val="2342795C"/>
    <w:rsid w:val="23B20777"/>
    <w:rsid w:val="24536E92"/>
    <w:rsid w:val="24BF7B95"/>
    <w:rsid w:val="24C277A7"/>
    <w:rsid w:val="261D1F52"/>
    <w:rsid w:val="26EF7DFB"/>
    <w:rsid w:val="26FA2817"/>
    <w:rsid w:val="273E6EBD"/>
    <w:rsid w:val="276051B6"/>
    <w:rsid w:val="27A72484"/>
    <w:rsid w:val="29820AB2"/>
    <w:rsid w:val="298E56A9"/>
    <w:rsid w:val="29966E26"/>
    <w:rsid w:val="29C42123"/>
    <w:rsid w:val="29DA6B40"/>
    <w:rsid w:val="2A3A4399"/>
    <w:rsid w:val="2B7C02DE"/>
    <w:rsid w:val="2B8F0571"/>
    <w:rsid w:val="2BF22224"/>
    <w:rsid w:val="2C1549A4"/>
    <w:rsid w:val="2C4F4267"/>
    <w:rsid w:val="2C646B95"/>
    <w:rsid w:val="2C7F577D"/>
    <w:rsid w:val="2E1F0FC6"/>
    <w:rsid w:val="2E6479DB"/>
    <w:rsid w:val="2EF064BE"/>
    <w:rsid w:val="2EFC1307"/>
    <w:rsid w:val="2F6D7980"/>
    <w:rsid w:val="2F880DEE"/>
    <w:rsid w:val="30BF6A09"/>
    <w:rsid w:val="311F12DD"/>
    <w:rsid w:val="313A7EC4"/>
    <w:rsid w:val="32886879"/>
    <w:rsid w:val="32D66DC1"/>
    <w:rsid w:val="333A23FE"/>
    <w:rsid w:val="336456CD"/>
    <w:rsid w:val="33A44985"/>
    <w:rsid w:val="33CF7E4B"/>
    <w:rsid w:val="34030A42"/>
    <w:rsid w:val="343A08FD"/>
    <w:rsid w:val="35633E8E"/>
    <w:rsid w:val="357D46A5"/>
    <w:rsid w:val="35AF0E81"/>
    <w:rsid w:val="36C95F72"/>
    <w:rsid w:val="38390ED6"/>
    <w:rsid w:val="388C7DCC"/>
    <w:rsid w:val="39E31C69"/>
    <w:rsid w:val="3ABC194A"/>
    <w:rsid w:val="3ABE1B66"/>
    <w:rsid w:val="3AC70CC4"/>
    <w:rsid w:val="3C245A33"/>
    <w:rsid w:val="3C62376F"/>
    <w:rsid w:val="3C666253"/>
    <w:rsid w:val="3CD72564"/>
    <w:rsid w:val="3D115F7D"/>
    <w:rsid w:val="3D5E7B82"/>
    <w:rsid w:val="3DC254CA"/>
    <w:rsid w:val="3DE34F08"/>
    <w:rsid w:val="3E083824"/>
    <w:rsid w:val="3E2148E6"/>
    <w:rsid w:val="3E734A16"/>
    <w:rsid w:val="3EF67B21"/>
    <w:rsid w:val="3F7F5B5F"/>
    <w:rsid w:val="40052EAB"/>
    <w:rsid w:val="402F5114"/>
    <w:rsid w:val="40972C3D"/>
    <w:rsid w:val="41314E40"/>
    <w:rsid w:val="41524DB6"/>
    <w:rsid w:val="41BE45D0"/>
    <w:rsid w:val="42024A2E"/>
    <w:rsid w:val="42402E61"/>
    <w:rsid w:val="42A653BA"/>
    <w:rsid w:val="43040332"/>
    <w:rsid w:val="430D3C95"/>
    <w:rsid w:val="433E3844"/>
    <w:rsid w:val="435367ED"/>
    <w:rsid w:val="43BB5B81"/>
    <w:rsid w:val="43FB163B"/>
    <w:rsid w:val="440F6F8F"/>
    <w:rsid w:val="4450382F"/>
    <w:rsid w:val="446948F1"/>
    <w:rsid w:val="448C5C3A"/>
    <w:rsid w:val="44DB1051"/>
    <w:rsid w:val="457479F1"/>
    <w:rsid w:val="45C344D5"/>
    <w:rsid w:val="46A40724"/>
    <w:rsid w:val="46AE4D77"/>
    <w:rsid w:val="47CE520A"/>
    <w:rsid w:val="480D7C89"/>
    <w:rsid w:val="48BD31F9"/>
    <w:rsid w:val="49661D82"/>
    <w:rsid w:val="49D2118A"/>
    <w:rsid w:val="4A143551"/>
    <w:rsid w:val="4A5E446E"/>
    <w:rsid w:val="4ADF590D"/>
    <w:rsid w:val="4B1D4687"/>
    <w:rsid w:val="4B6401D6"/>
    <w:rsid w:val="4C547B9F"/>
    <w:rsid w:val="4D3E0F43"/>
    <w:rsid w:val="4D901140"/>
    <w:rsid w:val="4DE17BEE"/>
    <w:rsid w:val="4DE97819"/>
    <w:rsid w:val="4E1835AE"/>
    <w:rsid w:val="4E2E4F8A"/>
    <w:rsid w:val="4E2F2707"/>
    <w:rsid w:val="4F0057C8"/>
    <w:rsid w:val="4F4D6765"/>
    <w:rsid w:val="4F6028CE"/>
    <w:rsid w:val="50216322"/>
    <w:rsid w:val="50B82E88"/>
    <w:rsid w:val="510E0CFA"/>
    <w:rsid w:val="51687066"/>
    <w:rsid w:val="51EB04C8"/>
    <w:rsid w:val="51FA127E"/>
    <w:rsid w:val="520D0FB1"/>
    <w:rsid w:val="525A506E"/>
    <w:rsid w:val="525E4AA9"/>
    <w:rsid w:val="53D57297"/>
    <w:rsid w:val="53EB70D0"/>
    <w:rsid w:val="545958C6"/>
    <w:rsid w:val="545C1D7C"/>
    <w:rsid w:val="54B25CAB"/>
    <w:rsid w:val="54E80B69"/>
    <w:rsid w:val="553700F3"/>
    <w:rsid w:val="55C73B6D"/>
    <w:rsid w:val="57D4431F"/>
    <w:rsid w:val="584E5E80"/>
    <w:rsid w:val="59701E26"/>
    <w:rsid w:val="59A81EDE"/>
    <w:rsid w:val="59D70C4B"/>
    <w:rsid w:val="5AA47FD9"/>
    <w:rsid w:val="5AA75A9A"/>
    <w:rsid w:val="5B1872C6"/>
    <w:rsid w:val="5C6A5252"/>
    <w:rsid w:val="5C81567C"/>
    <w:rsid w:val="5C86208C"/>
    <w:rsid w:val="5CB337F7"/>
    <w:rsid w:val="5CD51205"/>
    <w:rsid w:val="5CDC6150"/>
    <w:rsid w:val="5CE86FD5"/>
    <w:rsid w:val="5D6A375C"/>
    <w:rsid w:val="5D74417A"/>
    <w:rsid w:val="5D746389"/>
    <w:rsid w:val="5DDC3F2E"/>
    <w:rsid w:val="5DF728E2"/>
    <w:rsid w:val="5EE44D43"/>
    <w:rsid w:val="5F2B0030"/>
    <w:rsid w:val="5F337B7D"/>
    <w:rsid w:val="5F3A715E"/>
    <w:rsid w:val="5FA36AB1"/>
    <w:rsid w:val="5FBB460A"/>
    <w:rsid w:val="60082DB8"/>
    <w:rsid w:val="603E4A2C"/>
    <w:rsid w:val="606326E4"/>
    <w:rsid w:val="60786190"/>
    <w:rsid w:val="609F2BCB"/>
    <w:rsid w:val="60C05AB6"/>
    <w:rsid w:val="60EA0710"/>
    <w:rsid w:val="613D1187"/>
    <w:rsid w:val="619864AC"/>
    <w:rsid w:val="61E11B13"/>
    <w:rsid w:val="61EB03DF"/>
    <w:rsid w:val="61EB0BE3"/>
    <w:rsid w:val="624A5F6C"/>
    <w:rsid w:val="64BC50D8"/>
    <w:rsid w:val="65875130"/>
    <w:rsid w:val="65CC5655"/>
    <w:rsid w:val="66067D9A"/>
    <w:rsid w:val="66D93700"/>
    <w:rsid w:val="66F26570"/>
    <w:rsid w:val="670039F0"/>
    <w:rsid w:val="6758155F"/>
    <w:rsid w:val="678E6299"/>
    <w:rsid w:val="67E265E5"/>
    <w:rsid w:val="68AB2E7A"/>
    <w:rsid w:val="68E82D09"/>
    <w:rsid w:val="68ED3493"/>
    <w:rsid w:val="69113B6D"/>
    <w:rsid w:val="69FA218F"/>
    <w:rsid w:val="6A01186F"/>
    <w:rsid w:val="6A1D56B2"/>
    <w:rsid w:val="6A305756"/>
    <w:rsid w:val="6AF64881"/>
    <w:rsid w:val="6B532B05"/>
    <w:rsid w:val="6B672928"/>
    <w:rsid w:val="6B6E13B1"/>
    <w:rsid w:val="6C780F3E"/>
    <w:rsid w:val="6D1C4347"/>
    <w:rsid w:val="6D1F4D23"/>
    <w:rsid w:val="6D266508"/>
    <w:rsid w:val="6D585AED"/>
    <w:rsid w:val="6D7970A3"/>
    <w:rsid w:val="6E445903"/>
    <w:rsid w:val="6E9015C5"/>
    <w:rsid w:val="6EAC58FA"/>
    <w:rsid w:val="6F8123FC"/>
    <w:rsid w:val="6F8A1A3C"/>
    <w:rsid w:val="700B6E39"/>
    <w:rsid w:val="70546EE9"/>
    <w:rsid w:val="706C7393"/>
    <w:rsid w:val="71517D17"/>
    <w:rsid w:val="719435F8"/>
    <w:rsid w:val="71E64B05"/>
    <w:rsid w:val="71FE226D"/>
    <w:rsid w:val="71FE5435"/>
    <w:rsid w:val="72832120"/>
    <w:rsid w:val="7358775B"/>
    <w:rsid w:val="73726A6F"/>
    <w:rsid w:val="739F6C59"/>
    <w:rsid w:val="73C3376E"/>
    <w:rsid w:val="73F32D57"/>
    <w:rsid w:val="742F4960"/>
    <w:rsid w:val="75DE663D"/>
    <w:rsid w:val="75F41353"/>
    <w:rsid w:val="7630676D"/>
    <w:rsid w:val="763B583E"/>
    <w:rsid w:val="76726D86"/>
    <w:rsid w:val="77132317"/>
    <w:rsid w:val="78BD4372"/>
    <w:rsid w:val="78F61EF0"/>
    <w:rsid w:val="798B6F76"/>
    <w:rsid w:val="7A220D76"/>
    <w:rsid w:val="7A396538"/>
    <w:rsid w:val="7A5B64AE"/>
    <w:rsid w:val="7A994D4C"/>
    <w:rsid w:val="7AEA7832"/>
    <w:rsid w:val="7B0F1382"/>
    <w:rsid w:val="7B135E90"/>
    <w:rsid w:val="7B541B85"/>
    <w:rsid w:val="7B5F3D7C"/>
    <w:rsid w:val="7BBA0CC6"/>
    <w:rsid w:val="7BBC11CF"/>
    <w:rsid w:val="7BDD4EFD"/>
    <w:rsid w:val="7CA26617"/>
    <w:rsid w:val="7D0050EB"/>
    <w:rsid w:val="7D0A7D18"/>
    <w:rsid w:val="7D9D0B8C"/>
    <w:rsid w:val="7E1D6336"/>
    <w:rsid w:val="7E442F23"/>
    <w:rsid w:val="7E8835EA"/>
    <w:rsid w:val="7EEC297B"/>
    <w:rsid w:val="7F3B67B1"/>
    <w:rsid w:val="7F6A6E1E"/>
    <w:rsid w:val="7FDD7E6E"/>
    <w:rsid w:val="7FFE0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5">
    <w:name w:val="heading 3"/>
    <w:basedOn w:val="1"/>
    <w:next w:val="1"/>
    <w:qFormat/>
    <w:uiPriority w:val="0"/>
    <w:pPr>
      <w:keepNext/>
      <w:keepLines/>
      <w:spacing w:before="260" w:after="260" w:line="415" w:lineRule="auto"/>
      <w:outlineLvl w:val="2"/>
    </w:pPr>
    <w:rPr>
      <w:rFonts w:eastAsia="仿宋_GB2312"/>
      <w:b/>
      <w:bCs/>
      <w:sz w:val="28"/>
      <w:szCs w:val="32"/>
    </w:rPr>
  </w:style>
  <w:style w:type="paragraph" w:styleId="6">
    <w:name w:val="heading 4"/>
    <w:basedOn w:val="1"/>
    <w:next w:val="1"/>
    <w:qFormat/>
    <w:uiPriority w:val="0"/>
    <w:pPr>
      <w:keepNext/>
      <w:numPr>
        <w:ilvl w:val="3"/>
        <w:numId w:val="1"/>
      </w:numPr>
      <w:tabs>
        <w:tab w:val="left" w:pos="864"/>
      </w:tabs>
      <w:outlineLvl w:val="3"/>
    </w:pPr>
    <w:rPr>
      <w:rFonts w:eastAsia="仿宋_GB2312"/>
      <w:b/>
      <w:kern w:val="0"/>
      <w:sz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440" w:lineRule="exact"/>
      <w:jc w:val="center"/>
    </w:pPr>
    <w:rPr>
      <w:color w:val="000000"/>
      <w:sz w:val="20"/>
      <w:szCs w:val="20"/>
    </w:rPr>
  </w:style>
  <w:style w:type="paragraph" w:styleId="7">
    <w:name w:val="annotation text"/>
    <w:basedOn w:val="1"/>
    <w:qFormat/>
    <w:uiPriority w:val="0"/>
    <w:pPr>
      <w:jc w:val="left"/>
    </w:pPr>
  </w:style>
  <w:style w:type="paragraph" w:styleId="8">
    <w:name w:val="Body Text"/>
    <w:basedOn w:val="1"/>
    <w:next w:val="9"/>
    <w:qFormat/>
    <w:uiPriority w:val="0"/>
    <w:rPr>
      <w:kern w:val="0"/>
      <w:sz w:val="24"/>
    </w:rPr>
  </w:style>
  <w:style w:type="paragraph" w:customStyle="1" w:styleId="9">
    <w:name w:val="引用1"/>
    <w:basedOn w:val="1"/>
    <w:next w:val="1"/>
    <w:qFormat/>
    <w:uiPriority w:val="0"/>
    <w:pPr>
      <w:spacing w:before="200" w:after="160"/>
      <w:ind w:left="864" w:right="864"/>
      <w:jc w:val="center"/>
    </w:pPr>
    <w:rPr>
      <w:i/>
      <w:iCs/>
      <w:color w:val="3F3F3F"/>
    </w:rPr>
  </w:style>
  <w:style w:type="paragraph" w:styleId="10">
    <w:name w:val="Body Text Indent"/>
    <w:basedOn w:val="1"/>
    <w:unhideWhenUsed/>
    <w:qFormat/>
    <w:uiPriority w:val="0"/>
    <w:pPr>
      <w:spacing w:line="360" w:lineRule="auto"/>
      <w:ind w:firstLine="570"/>
    </w:pPr>
    <w:rPr>
      <w:rFonts w:ascii="仿宋_GB2312" w:eastAsia="仿宋_GB2312"/>
      <w:szCs w:val="20"/>
    </w:rPr>
  </w:style>
  <w:style w:type="paragraph" w:styleId="11">
    <w:name w:val="Plain Text"/>
    <w:basedOn w:val="1"/>
    <w:qFormat/>
    <w:uiPriority w:val="0"/>
    <w:rPr>
      <w:rFonts w:hAnsi="Courier New"/>
      <w:szCs w:val="20"/>
    </w:rPr>
  </w:style>
  <w:style w:type="paragraph" w:styleId="12">
    <w:name w:val="Date"/>
    <w:basedOn w:val="1"/>
    <w:next w:val="1"/>
    <w:qFormat/>
    <w:uiPriority w:val="0"/>
    <w:pPr>
      <w:spacing w:line="312" w:lineRule="atLeast"/>
      <w:jc w:val="right"/>
    </w:pPr>
    <w:rPr>
      <w:b/>
      <w:spacing w:val="30"/>
      <w:sz w:val="36"/>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cs="宋体"/>
      <w:color w:val="000000"/>
      <w:kern w:val="0"/>
      <w:sz w:val="24"/>
    </w:rPr>
  </w:style>
  <w:style w:type="paragraph" w:styleId="16">
    <w:name w:val="Body Text First Indent"/>
    <w:basedOn w:val="8"/>
    <w:qFormat/>
    <w:uiPriority w:val="0"/>
    <w:pPr>
      <w:spacing w:after="120"/>
      <w:ind w:firstLine="100" w:firstLineChars="100"/>
    </w:pPr>
    <w:rPr>
      <w:kern w:val="2"/>
      <w:sz w:val="21"/>
    </w:rPr>
  </w:style>
  <w:style w:type="character" w:styleId="19">
    <w:name w:val="Strong"/>
    <w:qFormat/>
    <w:uiPriority w:val="0"/>
    <w:rPr>
      <w:b/>
    </w:rPr>
  </w:style>
  <w:style w:type="character" w:styleId="20">
    <w:name w:val="page number"/>
    <w:basedOn w:val="18"/>
    <w:qFormat/>
    <w:uiPriority w:val="0"/>
  </w:style>
  <w:style w:type="paragraph" w:customStyle="1" w:styleId="21">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列表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QC</Company>
  <Pages>1</Pages>
  <Words>2711</Words>
  <Characters>15456</Characters>
  <Lines>128</Lines>
  <Paragraphs>36</Paragraphs>
  <TotalTime>13</TotalTime>
  <ScaleCrop>false</ScaleCrop>
  <LinksUpToDate>false</LinksUpToDate>
  <CharactersWithSpaces>18131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2023-04-06T01:09:00Z</dcterms:created>
  <dc:creator>秦娟</dc:creator>
  <cp:lastModifiedBy>syhh</cp:lastModifiedBy>
  <cp:lastPrinted>2021-11-12T06:59:00Z</cp:lastPrinted>
  <dcterms:modified xsi:type="dcterms:W3CDTF">2023-04-06T01:56:02Z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838D54E2ECEE4EC580478525E8D6C40A</vt:lpwstr>
  </property>
</Properties>
</file>