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color w:val="auto"/>
          <w:sz w:val="48"/>
          <w:szCs w:val="48"/>
          <w:highlight w:val="none"/>
        </w:rPr>
      </w:pPr>
    </w:p>
    <w:p>
      <w:pPr>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重庆通力高速公路养护工程有限公司</w:t>
      </w:r>
    </w:p>
    <w:p>
      <w:pPr>
        <w:jc w:val="center"/>
        <w:rPr>
          <w:rFonts w:hint="default" w:ascii="宋体" w:hAnsi="宋体" w:cs="宋体"/>
          <w:b/>
          <w:color w:val="auto"/>
          <w:spacing w:val="20"/>
          <w:sz w:val="72"/>
          <w:szCs w:val="72"/>
          <w:highlight w:val="none"/>
          <w:lang w:val="en-US"/>
        </w:rPr>
      </w:pPr>
      <w:r>
        <w:rPr>
          <w:rFonts w:hint="eastAsia" w:ascii="宋体" w:hAnsi="宋体" w:cs="宋体"/>
          <w:b/>
          <w:color w:val="auto"/>
          <w:sz w:val="48"/>
          <w:szCs w:val="48"/>
          <w:highlight w:val="none"/>
          <w:lang w:val="en-US" w:eastAsia="zh-CN"/>
        </w:rPr>
        <w:t>渝邻高速公路K1533+500-K1548+109段路面修复养护工程</w:t>
      </w:r>
      <w:r>
        <w:rPr>
          <w:rFonts w:hint="eastAsia" w:ascii="宋体" w:hAnsi="宋体" w:cs="宋体"/>
          <w:b/>
          <w:color w:val="auto"/>
          <w:sz w:val="48"/>
          <w:szCs w:val="48"/>
          <w:highlight w:val="none"/>
          <w:lang w:val="en-US" w:eastAsia="zh-CN"/>
        </w:rPr>
        <w:t>沥青混合料加工</w:t>
      </w:r>
    </w:p>
    <w:p>
      <w:pPr>
        <w:jc w:val="center"/>
        <w:rPr>
          <w:rFonts w:hint="eastAsia" w:ascii="宋体" w:hAnsi="宋体" w:cs="宋体"/>
          <w:b/>
          <w:color w:val="auto"/>
          <w:spacing w:val="20"/>
          <w:sz w:val="72"/>
          <w:szCs w:val="72"/>
          <w:highlight w:val="none"/>
        </w:rPr>
      </w:pPr>
    </w:p>
    <w:p>
      <w:pPr>
        <w:jc w:val="center"/>
        <w:rPr>
          <w:rFonts w:hint="eastAsia" w:ascii="宋体" w:hAnsi="宋体" w:cs="宋体"/>
          <w:b/>
          <w:color w:val="auto"/>
          <w:spacing w:val="20"/>
          <w:sz w:val="72"/>
          <w:szCs w:val="72"/>
          <w:highlight w:val="none"/>
        </w:rPr>
      </w:pPr>
    </w:p>
    <w:p>
      <w:pPr>
        <w:jc w:val="center"/>
        <w:rPr>
          <w:rFonts w:hint="eastAsia" w:ascii="宋体" w:hAnsi="宋体" w:cs="宋体"/>
          <w:b/>
          <w:color w:val="auto"/>
          <w:spacing w:val="20"/>
          <w:sz w:val="84"/>
          <w:szCs w:val="84"/>
          <w:highlight w:val="none"/>
        </w:rPr>
      </w:pPr>
      <w:r>
        <w:rPr>
          <w:rFonts w:hint="eastAsia" w:ascii="宋体" w:hAnsi="宋体" w:eastAsia="宋体" w:cs="宋体"/>
          <w:b/>
          <w:spacing w:val="20"/>
          <w:sz w:val="84"/>
          <w:szCs w:val="84"/>
          <w:highlight w:val="none"/>
        </w:rPr>
        <w:t>竞争性比选</w:t>
      </w:r>
      <w:r>
        <w:rPr>
          <w:rFonts w:hint="eastAsia" w:ascii="宋体" w:hAnsi="宋体" w:cs="宋体"/>
          <w:b/>
          <w:color w:val="auto"/>
          <w:spacing w:val="20"/>
          <w:sz w:val="84"/>
          <w:szCs w:val="84"/>
          <w:highlight w:val="none"/>
        </w:rPr>
        <w:t>文件</w:t>
      </w: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pacing w:val="100"/>
          <w:szCs w:val="21"/>
          <w:highlight w:val="none"/>
        </w:rPr>
      </w:pPr>
    </w:p>
    <w:p>
      <w:pPr>
        <w:pStyle w:val="12"/>
        <w:spacing w:line="360" w:lineRule="auto"/>
        <w:ind w:left="99" w:leftChars="47"/>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重庆通力高速公路养护工程有限公司</w:t>
      </w:r>
    </w:p>
    <w:p>
      <w:pPr>
        <w:pStyle w:val="12"/>
        <w:spacing w:line="360" w:lineRule="auto"/>
        <w:ind w:left="99" w:leftChars="47"/>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20</w:t>
      </w:r>
      <w:r>
        <w:rPr>
          <w:rFonts w:hint="eastAsia" w:ascii="宋体" w:hAnsi="宋体" w:cs="宋体"/>
          <w:b/>
          <w:color w:val="auto"/>
          <w:sz w:val="32"/>
          <w:szCs w:val="32"/>
          <w:highlight w:val="none"/>
          <w:lang w:val="en-US" w:eastAsia="zh-CN"/>
        </w:rPr>
        <w:t>2</w:t>
      </w:r>
      <w:r>
        <w:rPr>
          <w:rFonts w:hint="eastAsia" w:ascii="宋体" w:hAnsi="宋体" w:cs="宋体"/>
          <w:b/>
          <w:color w:val="auto"/>
          <w:sz w:val="32"/>
          <w:szCs w:val="32"/>
          <w:highlight w:val="none"/>
          <w:lang w:val="en-US" w:eastAsia="zh-CN"/>
        </w:rPr>
        <w:t>3</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4</w:t>
      </w:r>
      <w:r>
        <w:rPr>
          <w:rFonts w:hint="eastAsia" w:ascii="宋体" w:hAnsi="宋体" w:cs="宋体"/>
          <w:b/>
          <w:color w:val="auto"/>
          <w:sz w:val="32"/>
          <w:szCs w:val="32"/>
          <w:highlight w:val="none"/>
        </w:rPr>
        <w:t>月</w:t>
      </w:r>
    </w:p>
    <w:p>
      <w:pPr>
        <w:spacing w:line="400" w:lineRule="exact"/>
        <w:jc w:val="center"/>
        <w:rPr>
          <w:rFonts w:hint="eastAsia" w:ascii="宋体" w:hAnsi="宋体" w:cs="宋体"/>
          <w:b/>
          <w:color w:val="auto"/>
          <w:sz w:val="30"/>
          <w:szCs w:val="30"/>
          <w:highlight w:val="none"/>
        </w:rPr>
      </w:pPr>
    </w:p>
    <w:p>
      <w:pPr>
        <w:spacing w:line="400" w:lineRule="exact"/>
        <w:jc w:val="center"/>
        <w:rPr>
          <w:rFonts w:hint="eastAsia" w:ascii="宋体" w:hAnsi="宋体" w:cs="宋体"/>
          <w:b/>
          <w:color w:val="auto"/>
          <w:sz w:val="30"/>
          <w:szCs w:val="30"/>
          <w:highlight w:val="none"/>
        </w:rPr>
      </w:pPr>
    </w:p>
    <w:p>
      <w:pPr>
        <w:spacing w:line="400" w:lineRule="exact"/>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重庆通力高速公路养护工程有限公司</w:t>
      </w:r>
    </w:p>
    <w:p>
      <w:pPr>
        <w:spacing w:line="400" w:lineRule="exact"/>
        <w:jc w:val="center"/>
        <w:rPr>
          <w:rFonts w:hint="eastAsia" w:ascii="宋体" w:hAnsi="宋体" w:cs="宋体"/>
          <w:b/>
          <w:color w:val="auto"/>
          <w:sz w:val="30"/>
          <w:szCs w:val="30"/>
          <w:highlight w:val="none"/>
          <w:lang w:val="en-US" w:eastAsia="zh-CN"/>
        </w:rPr>
      </w:pPr>
      <w:r>
        <w:rPr>
          <w:rFonts w:hint="eastAsia" w:ascii="宋体" w:hAnsi="宋体" w:cs="宋体"/>
          <w:b/>
          <w:color w:val="auto"/>
          <w:sz w:val="30"/>
          <w:szCs w:val="30"/>
          <w:highlight w:val="none"/>
          <w:lang w:val="en-US" w:eastAsia="zh-CN"/>
        </w:rPr>
        <w:t>渝邻高速公路K1533+500-K1548+109段路面修复养护工程</w:t>
      </w:r>
    </w:p>
    <w:p>
      <w:pPr>
        <w:spacing w:line="400" w:lineRule="exact"/>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lang w:val="en-US" w:eastAsia="zh-CN"/>
        </w:rPr>
        <w:t>沥青混合料加工招标</w:t>
      </w:r>
      <w:r>
        <w:rPr>
          <w:rFonts w:hint="eastAsia" w:ascii="宋体" w:hAnsi="宋体" w:cs="宋体"/>
          <w:b/>
          <w:color w:val="auto"/>
          <w:sz w:val="30"/>
          <w:szCs w:val="30"/>
          <w:highlight w:val="none"/>
        </w:rPr>
        <w:t>公告</w:t>
      </w:r>
    </w:p>
    <w:p>
      <w:pPr>
        <w:spacing w:line="400" w:lineRule="exact"/>
        <w:ind w:firstLine="120" w:firstLineChars="50"/>
        <w:rPr>
          <w:rFonts w:hint="eastAsia" w:ascii="宋体" w:hAnsi="宋体" w:cs="宋体"/>
          <w:color w:val="auto"/>
          <w:sz w:val="24"/>
          <w:szCs w:val="24"/>
          <w:highlight w:val="none"/>
          <w:u w:val="single"/>
        </w:rPr>
      </w:pPr>
      <w:bookmarkStart w:id="0" w:name="_Toc179632536"/>
      <w:bookmarkStart w:id="1" w:name="_Toc296602410"/>
      <w:bookmarkStart w:id="2" w:name="_Toc247085680"/>
      <w:bookmarkStart w:id="3" w:name="_Toc144974487"/>
      <w:bookmarkStart w:id="4" w:name="_Toc246996909"/>
      <w:bookmarkStart w:id="5" w:name="_Toc152045519"/>
      <w:bookmarkStart w:id="6" w:name="_Toc246996166"/>
      <w:bookmarkStart w:id="7" w:name="_Toc152042295"/>
    </w:p>
    <w:bookmarkEnd w:id="0"/>
    <w:bookmarkEnd w:id="1"/>
    <w:bookmarkEnd w:id="2"/>
    <w:bookmarkEnd w:id="3"/>
    <w:bookmarkEnd w:id="4"/>
    <w:bookmarkEnd w:id="5"/>
    <w:bookmarkEnd w:id="6"/>
    <w:bookmarkEnd w:id="7"/>
    <w:p>
      <w:pPr>
        <w:spacing w:line="400" w:lineRule="exact"/>
        <w:jc w:val="left"/>
        <w:rPr>
          <w:color w:val="auto"/>
          <w:szCs w:val="21"/>
          <w:highlight w:val="none"/>
        </w:rPr>
      </w:pPr>
      <w:bookmarkStart w:id="8" w:name="_Toc247085682"/>
      <w:bookmarkStart w:id="9" w:name="_Toc246996911"/>
      <w:bookmarkStart w:id="10" w:name="_Toc144974489"/>
      <w:bookmarkStart w:id="11" w:name="_Toc152042297"/>
      <w:bookmarkStart w:id="12" w:name="_Toc246996168"/>
      <w:bookmarkStart w:id="13" w:name="_Toc179632538"/>
      <w:bookmarkStart w:id="14" w:name="_Toc296602412"/>
      <w:bookmarkStart w:id="15" w:name="_Toc152045521"/>
      <w:r>
        <w:rPr>
          <w:rFonts w:hint="eastAsia"/>
          <w:color w:val="auto"/>
          <w:szCs w:val="21"/>
          <w:highlight w:val="none"/>
          <w:lang w:val="en-US" w:eastAsia="zh-CN"/>
        </w:rPr>
        <w:t xml:space="preserve">    </w:t>
      </w:r>
      <w:r>
        <w:rPr>
          <w:color w:val="auto"/>
          <w:szCs w:val="21"/>
          <w:highlight w:val="none"/>
        </w:rPr>
        <w:t>本项目</w:t>
      </w:r>
      <w:r>
        <w:rPr>
          <w:rFonts w:hint="eastAsia"/>
          <w:b/>
          <w:bCs/>
          <w:color w:val="auto"/>
          <w:szCs w:val="21"/>
          <w:highlight w:val="none"/>
        </w:rPr>
        <w:t>重庆通力高速公路养护工程有限公司</w:t>
      </w:r>
      <w:r>
        <w:rPr>
          <w:rFonts w:hint="eastAsia"/>
          <w:b/>
          <w:bCs/>
          <w:color w:val="auto"/>
          <w:szCs w:val="21"/>
          <w:highlight w:val="none"/>
          <w:lang w:val="en-US" w:eastAsia="zh-CN"/>
        </w:rPr>
        <w:t>渝邻高速公路K1533+500-K1548+109段路面修复养护工程沥青混合料加工</w:t>
      </w:r>
      <w:r>
        <w:rPr>
          <w:color w:val="auto"/>
          <w:szCs w:val="21"/>
          <w:highlight w:val="none"/>
        </w:rPr>
        <w:t>准备组织实施，重庆通力高速公路养护工程有限公司计划以</w:t>
      </w:r>
      <w:r>
        <w:rPr>
          <w:rFonts w:hint="eastAsia"/>
          <w:color w:val="auto"/>
          <w:szCs w:val="21"/>
          <w:highlight w:val="none"/>
          <w:lang w:eastAsia="zh-CN"/>
        </w:rPr>
        <w:t>招标</w:t>
      </w:r>
      <w:r>
        <w:rPr>
          <w:color w:val="auto"/>
          <w:szCs w:val="21"/>
          <w:highlight w:val="none"/>
        </w:rPr>
        <w:t>方式确定成交单位，具体情况如下：</w:t>
      </w:r>
    </w:p>
    <w:p>
      <w:pPr>
        <w:spacing w:line="400" w:lineRule="exact"/>
        <w:rPr>
          <w:b/>
          <w:color w:val="auto"/>
          <w:szCs w:val="21"/>
          <w:highlight w:val="none"/>
        </w:rPr>
      </w:pPr>
      <w:bookmarkStart w:id="16" w:name="_Toc246996910"/>
      <w:bookmarkStart w:id="17" w:name="_Toc144974488"/>
      <w:bookmarkStart w:id="18" w:name="_Toc152045520"/>
      <w:bookmarkStart w:id="19" w:name="_Toc247085681"/>
      <w:bookmarkStart w:id="20" w:name="_Toc179632537"/>
      <w:bookmarkStart w:id="21" w:name="_Toc246996167"/>
      <w:bookmarkStart w:id="22" w:name="_Toc296602411"/>
      <w:bookmarkStart w:id="23" w:name="_Toc152042296"/>
      <w:r>
        <w:rPr>
          <w:b/>
          <w:color w:val="auto"/>
          <w:szCs w:val="21"/>
          <w:highlight w:val="none"/>
        </w:rPr>
        <w:t>一、项目概况与</w:t>
      </w:r>
      <w:r>
        <w:rPr>
          <w:rFonts w:hint="eastAsia"/>
          <w:b/>
          <w:color w:val="auto"/>
          <w:szCs w:val="21"/>
          <w:highlight w:val="none"/>
          <w:lang w:eastAsia="zh-CN"/>
        </w:rPr>
        <w:t>招标</w:t>
      </w:r>
      <w:r>
        <w:rPr>
          <w:b/>
          <w:color w:val="auto"/>
          <w:szCs w:val="21"/>
          <w:highlight w:val="none"/>
        </w:rPr>
        <w:t>范围</w:t>
      </w:r>
      <w:bookmarkEnd w:id="16"/>
      <w:bookmarkEnd w:id="17"/>
      <w:bookmarkEnd w:id="18"/>
      <w:bookmarkEnd w:id="19"/>
      <w:bookmarkEnd w:id="20"/>
      <w:bookmarkEnd w:id="21"/>
      <w:bookmarkEnd w:id="22"/>
      <w:bookmarkEnd w:id="23"/>
    </w:p>
    <w:p>
      <w:pPr>
        <w:spacing w:line="400" w:lineRule="exact"/>
        <w:ind w:firstLine="420" w:firstLineChars="200"/>
        <w:rPr>
          <w:rFonts w:hint="eastAsia"/>
          <w:b/>
          <w:bCs/>
          <w:color w:val="auto"/>
          <w:szCs w:val="21"/>
          <w:highlight w:val="none"/>
        </w:rPr>
      </w:pPr>
      <w:r>
        <w:rPr>
          <w:rFonts w:hint="eastAsia"/>
          <w:color w:val="auto"/>
          <w:szCs w:val="21"/>
          <w:highlight w:val="none"/>
        </w:rPr>
        <w:t>本项目为</w:t>
      </w:r>
      <w:r>
        <w:rPr>
          <w:rFonts w:hint="eastAsia"/>
          <w:b/>
          <w:bCs/>
          <w:color w:val="auto"/>
          <w:szCs w:val="21"/>
          <w:highlight w:val="none"/>
        </w:rPr>
        <w:t>重庆通力高速公路养护工程有限公司</w:t>
      </w:r>
      <w:r>
        <w:rPr>
          <w:rFonts w:hint="eastAsia"/>
          <w:b/>
          <w:bCs/>
          <w:color w:val="auto"/>
          <w:szCs w:val="21"/>
          <w:highlight w:val="none"/>
          <w:lang w:val="en-US" w:eastAsia="zh-CN"/>
        </w:rPr>
        <w:t>渝邻高速公路K1533+500-K1548+109段路面修复养护工程沥青混合料加工</w:t>
      </w:r>
      <w:r>
        <w:rPr>
          <w:rFonts w:hint="eastAsia"/>
          <w:b/>
          <w:bCs/>
          <w:color w:val="auto"/>
          <w:szCs w:val="21"/>
          <w:highlight w:val="none"/>
        </w:rPr>
        <w:t>项目。</w:t>
      </w:r>
      <w:bookmarkStart w:id="27" w:name="_GoBack"/>
      <w:bookmarkEnd w:id="27"/>
    </w:p>
    <w:p>
      <w:pPr>
        <w:widowControl/>
        <w:numPr>
          <w:ilvl w:val="0"/>
          <w:numId w:val="0"/>
        </w:numPr>
        <w:spacing w:line="400" w:lineRule="exact"/>
        <w:ind w:firstLine="420" w:firstLineChars="200"/>
        <w:rPr>
          <w:rFonts w:hint="default"/>
          <w:b/>
          <w:bCs/>
          <w:color w:val="auto"/>
          <w:szCs w:val="21"/>
          <w:highlight w:val="none"/>
          <w:lang w:val="en-US" w:eastAsia="zh-CN"/>
        </w:rPr>
      </w:pPr>
      <w:r>
        <w:rPr>
          <w:rFonts w:hint="eastAsia"/>
          <w:color w:val="auto"/>
          <w:szCs w:val="21"/>
          <w:highlight w:val="none"/>
          <w:lang w:val="en-US" w:eastAsia="zh-CN"/>
        </w:rPr>
        <w:t>1.1 采购情况：</w:t>
      </w:r>
      <w:r>
        <w:rPr>
          <w:rFonts w:hint="eastAsia"/>
          <w:b/>
          <w:bCs/>
          <w:color w:val="auto"/>
          <w:szCs w:val="21"/>
          <w:highlight w:val="none"/>
          <w:lang w:val="en-US" w:eastAsia="zh-CN"/>
        </w:rPr>
        <w:t>沥青混合料加工。</w:t>
      </w:r>
    </w:p>
    <w:p>
      <w:pPr>
        <w:widowControl/>
        <w:numPr>
          <w:ilvl w:val="0"/>
          <w:numId w:val="0"/>
        </w:numPr>
        <w:spacing w:line="400" w:lineRule="exact"/>
        <w:ind w:firstLine="422" w:firstLineChars="200"/>
        <w:rPr>
          <w:rFonts w:hint="eastAsia" w:ascii="方正仿宋_GBK" w:hAnsi="宋体" w:eastAsia="方正仿宋_GBK"/>
          <w:color w:val="auto"/>
          <w:szCs w:val="21"/>
          <w:highlight w:val="none"/>
        </w:rPr>
      </w:pPr>
      <w:r>
        <w:rPr>
          <w:rFonts w:hint="eastAsia"/>
          <w:b/>
          <w:bCs/>
          <w:color w:val="auto"/>
          <w:szCs w:val="21"/>
          <w:highlight w:val="none"/>
          <w:lang w:val="en-US" w:eastAsia="zh-CN"/>
        </w:rPr>
        <w:t xml:space="preserve">1.2 </w:t>
      </w:r>
      <w:r>
        <w:rPr>
          <w:rFonts w:hint="eastAsia"/>
          <w:b w:val="0"/>
          <w:bCs w:val="0"/>
          <w:color w:val="auto"/>
          <w:szCs w:val="21"/>
          <w:highlight w:val="none"/>
          <w:lang w:val="en-US" w:eastAsia="zh-CN"/>
        </w:rPr>
        <w:t>交货地点：</w:t>
      </w:r>
      <w:r>
        <w:rPr>
          <w:rFonts w:hint="eastAsia"/>
          <w:b/>
          <w:bCs/>
          <w:color w:val="auto"/>
          <w:szCs w:val="21"/>
          <w:highlight w:val="none"/>
          <w:lang w:val="en-US" w:eastAsia="zh-CN"/>
        </w:rPr>
        <w:t>投标人拌合站</w:t>
      </w:r>
      <w:r>
        <w:rPr>
          <w:rFonts w:hint="eastAsia" w:ascii="方正仿宋_GBK" w:hAnsi="宋体" w:eastAsia="方正仿宋_GBK"/>
          <w:color w:val="auto"/>
          <w:szCs w:val="21"/>
          <w:highlight w:val="none"/>
        </w:rPr>
        <w:t>。</w:t>
      </w:r>
    </w:p>
    <w:p>
      <w:pPr>
        <w:spacing w:line="400" w:lineRule="exact"/>
        <w:ind w:firstLine="420" w:firstLineChars="200"/>
        <w:rPr>
          <w:rFonts w:hint="eastAsia"/>
          <w:color w:val="auto"/>
          <w:szCs w:val="21"/>
          <w:highlight w:val="none"/>
          <w:lang w:val="en-US" w:eastAsia="zh-CN"/>
        </w:rPr>
      </w:pPr>
      <w:r>
        <w:rPr>
          <w:rFonts w:hint="eastAsia"/>
          <w:color w:val="auto"/>
          <w:szCs w:val="21"/>
          <w:highlight w:val="none"/>
          <w:lang w:val="en-US" w:eastAsia="zh-CN"/>
        </w:rPr>
        <w:t>1</w:t>
      </w:r>
      <w:r>
        <w:rPr>
          <w:rFonts w:hint="eastAsia"/>
          <w:color w:val="auto"/>
          <w:szCs w:val="21"/>
          <w:highlight w:val="none"/>
        </w:rPr>
        <w:t>.3</w:t>
      </w:r>
      <w:r>
        <w:rPr>
          <w:rFonts w:hint="eastAsia"/>
          <w:color w:val="auto"/>
          <w:szCs w:val="21"/>
          <w:highlight w:val="none"/>
          <w:lang w:val="en-US" w:eastAsia="zh-CN"/>
        </w:rPr>
        <w:t xml:space="preserve"> 交货期</w:t>
      </w:r>
      <w:r>
        <w:rPr>
          <w:rFonts w:hint="eastAsia"/>
          <w:color w:val="auto"/>
          <w:szCs w:val="21"/>
          <w:highlight w:val="none"/>
        </w:rPr>
        <w:t>：</w:t>
      </w:r>
      <w:r>
        <w:rPr>
          <w:rFonts w:hint="eastAsia"/>
          <w:color w:val="auto"/>
          <w:szCs w:val="21"/>
          <w:highlight w:val="none"/>
          <w:lang w:val="en-US" w:eastAsia="zh-CN"/>
        </w:rPr>
        <w:t>2023年4月至该项目完工（具体时间以招标人要求为准）。</w:t>
      </w:r>
    </w:p>
    <w:p>
      <w:pPr>
        <w:spacing w:line="400" w:lineRule="exact"/>
        <w:ind w:firstLine="420" w:firstLineChars="200"/>
        <w:rPr>
          <w:rFonts w:hint="default" w:eastAsia="宋体"/>
          <w:color w:val="auto"/>
          <w:szCs w:val="21"/>
          <w:highlight w:val="none"/>
          <w:lang w:val="en-US" w:eastAsia="zh-CN"/>
        </w:rPr>
      </w:pPr>
      <w:r>
        <w:rPr>
          <w:rFonts w:hint="eastAsia"/>
          <w:color w:val="auto"/>
          <w:szCs w:val="21"/>
          <w:highlight w:val="none"/>
          <w:lang w:val="en-US" w:eastAsia="zh-CN"/>
        </w:rPr>
        <w:t>1</w:t>
      </w:r>
      <w:r>
        <w:rPr>
          <w:rFonts w:hint="eastAsia"/>
          <w:color w:val="auto"/>
          <w:szCs w:val="21"/>
          <w:highlight w:val="none"/>
        </w:rPr>
        <w:t>.</w:t>
      </w:r>
      <w:r>
        <w:rPr>
          <w:rFonts w:hint="eastAsia"/>
          <w:color w:val="auto"/>
          <w:szCs w:val="21"/>
          <w:highlight w:val="none"/>
          <w:lang w:val="en-US" w:eastAsia="zh-CN"/>
        </w:rPr>
        <w:t xml:space="preserve">4 </w:t>
      </w:r>
      <w:r>
        <w:rPr>
          <w:rFonts w:hint="eastAsia"/>
          <w:color w:val="auto"/>
          <w:szCs w:val="21"/>
          <w:highlight w:val="none"/>
          <w:lang w:eastAsia="zh-CN"/>
        </w:rPr>
        <w:t>主要工程数量：</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67"/>
        <w:gridCol w:w="2753"/>
        <w:gridCol w:w="1182"/>
        <w:gridCol w:w="1429"/>
        <w:gridCol w:w="2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exact"/>
          <w:jc w:val="center"/>
        </w:trPr>
        <w:tc>
          <w:tcPr>
            <w:tcW w:w="967" w:type="dxa"/>
            <w:tcBorders>
              <w:tl2br w:val="nil"/>
              <w:tr2bl w:val="nil"/>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序号</w:t>
            </w:r>
          </w:p>
        </w:tc>
        <w:tc>
          <w:tcPr>
            <w:tcW w:w="2753" w:type="dxa"/>
            <w:tcBorders>
              <w:tl2br w:val="nil"/>
              <w:tr2bl w:val="nil"/>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产品名称</w:t>
            </w:r>
          </w:p>
        </w:tc>
        <w:tc>
          <w:tcPr>
            <w:tcW w:w="1182" w:type="dxa"/>
            <w:tcBorders>
              <w:tl2br w:val="nil"/>
              <w:tr2bl w:val="nil"/>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单位</w:t>
            </w:r>
          </w:p>
        </w:tc>
        <w:tc>
          <w:tcPr>
            <w:tcW w:w="1429" w:type="dxa"/>
            <w:tcBorders>
              <w:tl2br w:val="nil"/>
              <w:tr2bl w:val="nil"/>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暂定数量</w:t>
            </w:r>
          </w:p>
        </w:tc>
        <w:tc>
          <w:tcPr>
            <w:tcW w:w="2674" w:type="dxa"/>
            <w:tcBorders>
              <w:tl2br w:val="nil"/>
              <w:tr2bl w:val="nil"/>
            </w:tcBorders>
            <w:noWrap w:val="0"/>
            <w:vAlign w:val="center"/>
          </w:tcPr>
          <w:p>
            <w:pPr>
              <w:ind w:left="0" w:leftChars="0" w:firstLine="0" w:firstLineChars="0"/>
              <w:jc w:val="center"/>
              <w:rPr>
                <w:rFonts w:hint="eastAsia" w:ascii="宋体" w:hAnsi="宋体" w:eastAsia="宋体" w:cs="宋体"/>
                <w:i w:val="0"/>
                <w:color w:val="auto"/>
                <w:sz w:val="21"/>
                <w:szCs w:val="21"/>
                <w:highlight w:val="none"/>
                <w:u w:val="none"/>
                <w:lang w:eastAsia="zh-CN"/>
              </w:rPr>
            </w:pPr>
            <w:r>
              <w:rPr>
                <w:rFonts w:hint="eastAsia" w:ascii="宋体" w:hAnsi="宋体" w:eastAsia="宋体" w:cs="宋体"/>
                <w:i w:val="0"/>
                <w:color w:val="auto"/>
                <w:sz w:val="21"/>
                <w:szCs w:val="21"/>
                <w:highlight w:val="none"/>
                <w:u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jc w:val="center"/>
        </w:trPr>
        <w:tc>
          <w:tcPr>
            <w:tcW w:w="967" w:type="dxa"/>
            <w:tcBorders>
              <w:tl2br w:val="nil"/>
              <w:tr2bl w:val="nil"/>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w:t>
            </w:r>
          </w:p>
        </w:tc>
        <w:tc>
          <w:tcPr>
            <w:tcW w:w="275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rPr>
              <w:t>改性</w:t>
            </w:r>
            <w:r>
              <w:rPr>
                <w:rFonts w:hint="eastAsia" w:ascii="宋体" w:hAnsi="宋体" w:eastAsia="宋体" w:cs="宋体"/>
                <w:i w:val="0"/>
                <w:iCs w:val="0"/>
                <w:color w:val="auto"/>
                <w:sz w:val="21"/>
                <w:szCs w:val="21"/>
                <w:highlight w:val="none"/>
                <w:u w:val="none"/>
                <w:lang w:val="en-US" w:eastAsia="zh-CN"/>
              </w:rPr>
              <w:t>SMA-13</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lang w:val="en-US" w:eastAsia="zh-CN"/>
              </w:rPr>
              <w:t>玄武岩</w:t>
            </w:r>
            <w:r>
              <w:rPr>
                <w:rFonts w:hint="eastAsia" w:ascii="宋体" w:hAnsi="宋体" w:eastAsia="宋体" w:cs="宋体"/>
                <w:i w:val="0"/>
                <w:iCs w:val="0"/>
                <w:color w:val="auto"/>
                <w:sz w:val="21"/>
                <w:szCs w:val="21"/>
                <w:highlight w:val="none"/>
                <w:u w:val="none"/>
                <w:lang w:eastAsia="zh-CN"/>
              </w:rPr>
              <w:t>）</w:t>
            </w:r>
          </w:p>
        </w:tc>
        <w:tc>
          <w:tcPr>
            <w:tcW w:w="11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吨</w:t>
            </w:r>
          </w:p>
        </w:tc>
        <w:tc>
          <w:tcPr>
            <w:tcW w:w="1429"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iCs w:val="0"/>
                <w:color w:val="auto"/>
                <w:sz w:val="21"/>
                <w:szCs w:val="21"/>
                <w:highlight w:val="none"/>
                <w:u w:val="none"/>
                <w:lang w:val="en-US" w:eastAsia="zh-CN"/>
              </w:rPr>
              <w:t>10000</w:t>
            </w:r>
          </w:p>
        </w:tc>
        <w:tc>
          <w:tcPr>
            <w:tcW w:w="26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cs="宋体"/>
                <w:b w:val="0"/>
                <w:bCs w:val="0"/>
                <w:i w:val="0"/>
                <w:iCs w:val="0"/>
                <w:color w:val="auto"/>
                <w:sz w:val="21"/>
                <w:szCs w:val="21"/>
                <w:highlight w:val="none"/>
                <w:u w:val="none"/>
                <w:lang w:val="en-US" w:eastAsia="zh-CN"/>
              </w:rPr>
              <w:t>甲供沥青、玄武岩、木质素纤维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jc w:val="center"/>
        </w:trPr>
        <w:tc>
          <w:tcPr>
            <w:tcW w:w="967" w:type="dxa"/>
            <w:tcBorders>
              <w:tl2br w:val="nil"/>
              <w:tr2bl w:val="nil"/>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2</w:t>
            </w:r>
          </w:p>
        </w:tc>
        <w:tc>
          <w:tcPr>
            <w:tcW w:w="2753" w:type="dxa"/>
            <w:tcBorders>
              <w:tl2br w:val="nil"/>
              <w:tr2bl w:val="nil"/>
            </w:tcBorders>
            <w:noWrap w:val="0"/>
            <w:vAlign w:val="center"/>
          </w:tcPr>
          <w:p>
            <w:pPr>
              <w:spacing w:line="360" w:lineRule="auto"/>
              <w:jc w:val="center"/>
              <w:textAlignment w:val="baseline"/>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eastAsia="zh-CN"/>
              </w:rPr>
              <w:t>改性</w:t>
            </w:r>
            <w:r>
              <w:rPr>
                <w:rFonts w:hint="eastAsia" w:ascii="宋体" w:hAnsi="宋体" w:eastAsia="宋体" w:cs="宋体"/>
                <w:i w:val="0"/>
                <w:iCs w:val="0"/>
                <w:color w:val="auto"/>
                <w:sz w:val="21"/>
                <w:szCs w:val="21"/>
                <w:highlight w:val="none"/>
                <w:u w:val="none"/>
              </w:rPr>
              <w:t>SMA-13（含阻燃剂）</w:t>
            </w:r>
          </w:p>
        </w:tc>
        <w:tc>
          <w:tcPr>
            <w:tcW w:w="11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吨</w:t>
            </w:r>
          </w:p>
        </w:tc>
        <w:tc>
          <w:tcPr>
            <w:tcW w:w="1429" w:type="dxa"/>
            <w:tcBorders>
              <w:tl2br w:val="nil"/>
              <w:tr2bl w:val="nil"/>
            </w:tcBorders>
            <w:noWrap w:val="0"/>
            <w:vAlign w:val="center"/>
          </w:tcPr>
          <w:p>
            <w:pPr>
              <w:jc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300</w:t>
            </w:r>
          </w:p>
        </w:tc>
        <w:tc>
          <w:tcPr>
            <w:tcW w:w="2674" w:type="dxa"/>
            <w:tcBorders>
              <w:tl2br w:val="nil"/>
              <w:tr2bl w:val="nil"/>
            </w:tcBorders>
            <w:noWrap w:val="0"/>
            <w:vAlign w:val="center"/>
          </w:tcPr>
          <w:p>
            <w:pPr>
              <w:jc w:val="center"/>
              <w:rPr>
                <w:rFonts w:hint="eastAsia" w:ascii="宋体" w:hAnsi="宋体" w:cs="宋体"/>
                <w:b w:val="0"/>
                <w:bCs w:val="0"/>
                <w:i w:val="0"/>
                <w:iCs w:val="0"/>
                <w:color w:val="auto"/>
                <w:sz w:val="21"/>
                <w:szCs w:val="21"/>
                <w:highlight w:val="none"/>
                <w:u w:val="none"/>
                <w:lang w:val="en-US" w:eastAsia="zh-CN"/>
              </w:rPr>
            </w:pPr>
            <w:r>
              <w:rPr>
                <w:rFonts w:hint="eastAsia" w:ascii="宋体" w:hAnsi="宋体" w:cs="宋体"/>
                <w:b w:val="0"/>
                <w:bCs w:val="0"/>
                <w:i w:val="0"/>
                <w:iCs w:val="0"/>
                <w:color w:val="auto"/>
                <w:sz w:val="21"/>
                <w:szCs w:val="21"/>
                <w:highlight w:val="none"/>
                <w:u w:val="none"/>
                <w:lang w:val="en-US" w:eastAsia="zh-CN"/>
              </w:rPr>
              <w:t>甲供沥青、玄武岩、木质素纤维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3" w:hRule="exact"/>
          <w:jc w:val="center"/>
        </w:trPr>
        <w:tc>
          <w:tcPr>
            <w:tcW w:w="967" w:type="dxa"/>
            <w:tcBorders>
              <w:tl2br w:val="nil"/>
              <w:tr2bl w:val="nil"/>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3</w:t>
            </w:r>
          </w:p>
        </w:tc>
        <w:tc>
          <w:tcPr>
            <w:tcW w:w="2753" w:type="dxa"/>
            <w:tcBorders>
              <w:tl2br w:val="nil"/>
              <w:tr2bl w:val="nil"/>
            </w:tcBorders>
            <w:noWrap w:val="0"/>
            <w:vAlign w:val="center"/>
          </w:tcPr>
          <w:p>
            <w:pPr>
              <w:spacing w:line="360" w:lineRule="auto"/>
              <w:jc w:val="center"/>
              <w:textAlignment w:val="baseline"/>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rPr>
              <w:t>改性AC-</w:t>
            </w:r>
            <w:r>
              <w:rPr>
                <w:rFonts w:hint="eastAsia" w:ascii="宋体" w:hAnsi="宋体" w:eastAsia="宋体" w:cs="宋体"/>
                <w:i w:val="0"/>
                <w:iCs w:val="0"/>
                <w:color w:val="auto"/>
                <w:sz w:val="21"/>
                <w:szCs w:val="21"/>
                <w:highlight w:val="none"/>
                <w:u w:val="none"/>
                <w:lang w:val="en-US" w:eastAsia="zh-CN"/>
              </w:rPr>
              <w:t>20</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lang w:val="en-US" w:eastAsia="zh-CN"/>
              </w:rPr>
              <w:t>石灰岩</w:t>
            </w:r>
            <w:r>
              <w:rPr>
                <w:rFonts w:hint="eastAsia" w:ascii="宋体" w:hAnsi="宋体" w:eastAsia="宋体" w:cs="宋体"/>
                <w:i w:val="0"/>
                <w:iCs w:val="0"/>
                <w:color w:val="auto"/>
                <w:sz w:val="21"/>
                <w:szCs w:val="21"/>
                <w:highlight w:val="none"/>
                <w:u w:val="none"/>
                <w:lang w:eastAsia="zh-CN"/>
              </w:rPr>
              <w:t>）</w:t>
            </w:r>
          </w:p>
        </w:tc>
        <w:tc>
          <w:tcPr>
            <w:tcW w:w="11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吨</w:t>
            </w:r>
          </w:p>
        </w:tc>
        <w:tc>
          <w:tcPr>
            <w:tcW w:w="1429" w:type="dxa"/>
            <w:tcBorders>
              <w:tl2br w:val="nil"/>
              <w:tr2bl w:val="nil"/>
            </w:tcBorders>
            <w:noWrap w:val="0"/>
            <w:vAlign w:val="center"/>
          </w:tcPr>
          <w:p>
            <w:pPr>
              <w:jc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22000</w:t>
            </w:r>
          </w:p>
        </w:tc>
        <w:tc>
          <w:tcPr>
            <w:tcW w:w="2674" w:type="dxa"/>
            <w:tcBorders>
              <w:tl2br w:val="nil"/>
              <w:tr2bl w:val="nil"/>
            </w:tcBorders>
            <w:noWrap w:val="0"/>
            <w:vAlign w:val="center"/>
          </w:tcPr>
          <w:p>
            <w:pPr>
              <w:jc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cs="宋体"/>
                <w:b w:val="0"/>
                <w:bCs w:val="0"/>
                <w:i w:val="0"/>
                <w:iCs w:val="0"/>
                <w:color w:val="auto"/>
                <w:sz w:val="21"/>
                <w:szCs w:val="21"/>
                <w:highlight w:val="none"/>
                <w:u w:val="none"/>
                <w:lang w:val="en-US" w:eastAsia="zh-CN"/>
              </w:rPr>
              <w:t>甲供沥青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1" w:hRule="atLeast"/>
          <w:jc w:val="center"/>
        </w:trPr>
        <w:tc>
          <w:tcPr>
            <w:tcW w:w="967" w:type="dxa"/>
            <w:tcBorders>
              <w:tl2br w:val="nil"/>
              <w:tr2bl w:val="nil"/>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2753" w:type="dxa"/>
            <w:tcBorders>
              <w:tl2br w:val="nil"/>
              <w:tr2bl w:val="nil"/>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rPr>
              <w:t>改性</w:t>
            </w:r>
            <w:r>
              <w:rPr>
                <w:rFonts w:hint="eastAsia" w:ascii="宋体" w:hAnsi="宋体" w:eastAsia="宋体" w:cs="宋体"/>
                <w:b w:val="0"/>
                <w:bCs w:val="0"/>
                <w:i w:val="0"/>
                <w:iCs w:val="0"/>
                <w:color w:val="auto"/>
                <w:sz w:val="21"/>
                <w:szCs w:val="21"/>
                <w:highlight w:val="none"/>
                <w:u w:val="none"/>
              </w:rPr>
              <w:t>AC-</w:t>
            </w:r>
            <w:r>
              <w:rPr>
                <w:rFonts w:hint="eastAsia" w:ascii="宋体" w:hAnsi="宋体" w:cs="宋体"/>
                <w:b w:val="0"/>
                <w:bCs w:val="0"/>
                <w:i w:val="0"/>
                <w:iCs w:val="0"/>
                <w:color w:val="auto"/>
                <w:sz w:val="21"/>
                <w:szCs w:val="21"/>
                <w:highlight w:val="none"/>
                <w:u w:val="none"/>
                <w:lang w:val="en-US" w:eastAsia="zh-CN"/>
              </w:rPr>
              <w:t>20（厂拌热再生）</w:t>
            </w:r>
          </w:p>
        </w:tc>
        <w:tc>
          <w:tcPr>
            <w:tcW w:w="1182" w:type="dxa"/>
            <w:tcBorders>
              <w:tl2br w:val="nil"/>
              <w:tr2bl w:val="nil"/>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吨</w:t>
            </w:r>
          </w:p>
        </w:tc>
        <w:tc>
          <w:tcPr>
            <w:tcW w:w="1429" w:type="dxa"/>
            <w:tcBorders>
              <w:tl2br w:val="nil"/>
              <w:tr2bl w:val="nil"/>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9300</w:t>
            </w:r>
          </w:p>
        </w:tc>
        <w:tc>
          <w:tcPr>
            <w:tcW w:w="26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cs="宋体"/>
                <w:b w:val="0"/>
                <w:bCs w:val="0"/>
                <w:i w:val="0"/>
                <w:iCs w:val="0"/>
                <w:color w:val="auto"/>
                <w:sz w:val="21"/>
                <w:szCs w:val="21"/>
                <w:highlight w:val="none"/>
                <w:u w:val="none"/>
                <w:lang w:val="en-US" w:eastAsia="zh-CN"/>
              </w:rPr>
              <w:t>甲供沥青、铣刨料（添加比例20%~30%）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3" w:hRule="atLeast"/>
          <w:jc w:val="center"/>
        </w:trPr>
        <w:tc>
          <w:tcPr>
            <w:tcW w:w="967" w:type="dxa"/>
            <w:tcBorders>
              <w:tl2br w:val="nil"/>
              <w:tr2bl w:val="nil"/>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合  计</w:t>
            </w:r>
          </w:p>
        </w:tc>
        <w:tc>
          <w:tcPr>
            <w:tcW w:w="2753" w:type="dxa"/>
            <w:tcBorders>
              <w:tl2br w:val="nil"/>
              <w:tr2bl w:val="nil"/>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182" w:type="dxa"/>
            <w:tcBorders>
              <w:tl2br w:val="nil"/>
              <w:tr2bl w:val="nil"/>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429" w:type="dxa"/>
            <w:tcBorders>
              <w:tl2br w:val="nil"/>
              <w:tr2bl w:val="nil"/>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41600</w:t>
            </w:r>
          </w:p>
        </w:tc>
        <w:tc>
          <w:tcPr>
            <w:tcW w:w="2674" w:type="dxa"/>
            <w:tcBorders>
              <w:tl2br w:val="nil"/>
              <w:tr2bl w:val="nil"/>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34" w:hRule="exact"/>
          <w:jc w:val="center"/>
        </w:trPr>
        <w:tc>
          <w:tcPr>
            <w:tcW w:w="9005"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备注：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Times New Roman" w:hAnsi="Times New Roman" w:eastAsia="宋体" w:cs="Times New Roman"/>
                <w:color w:val="auto"/>
                <w:sz w:val="21"/>
                <w:szCs w:val="21"/>
                <w:highlight w:val="none"/>
                <w:lang w:val="en-US" w:eastAsia="zh-CN"/>
              </w:rPr>
            </w:pPr>
            <w:r>
              <w:rPr>
                <w:rFonts w:hint="eastAsia"/>
                <w:color w:val="auto"/>
                <w:sz w:val="21"/>
                <w:szCs w:val="21"/>
                <w:highlight w:val="none"/>
                <w:lang w:val="en-US" w:eastAsia="zh-CN"/>
              </w:rPr>
              <w:t>1、本项目沥青混合料出场单价为综合含税单价，工程量清单中的单价已包含为完成约定工作内容所需的一切费用：包括乙方拌和站生产沥青混合料所需的原材料费、人工费、机械使用费、燃料、临时水电费用、临时生活设施费、节假日加班费、安全措施费、保险费、升温费、税金、管理费、利润等相关费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2、招标人提供沥青材料、玄武岩、木质纤维素、铣刨料，其余所有粗、细集料、填料等材料及燃料、机械设备、人工等均由投标人提供。</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3、工程量清单中所列工程数量为暂定数量，不能作为最终结算与支付的依据，最终数量以招标人代表确认的实际生产的合格数量为准。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eastAsia="宋体"/>
                <w:color w:val="auto"/>
                <w:sz w:val="21"/>
                <w:szCs w:val="21"/>
                <w:highlight w:val="none"/>
                <w:lang w:eastAsia="zh-CN"/>
              </w:rPr>
            </w:pPr>
            <w:r>
              <w:rPr>
                <w:rFonts w:hint="eastAsia"/>
                <w:color w:val="auto"/>
                <w:sz w:val="21"/>
                <w:szCs w:val="21"/>
                <w:highlight w:val="none"/>
                <w:lang w:val="en-US" w:eastAsia="zh-CN"/>
              </w:rPr>
              <w:t>4、招标人组织沥青混合料运输。</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eastAsia="宋体"/>
                <w:color w:val="auto"/>
                <w:sz w:val="21"/>
                <w:szCs w:val="21"/>
                <w:highlight w:val="none"/>
                <w:lang w:val="en-US" w:eastAsia="zh-CN"/>
              </w:rPr>
            </w:pPr>
            <w:r>
              <w:rPr>
                <w:rFonts w:hint="eastAsia"/>
                <w:color w:val="auto"/>
                <w:sz w:val="21"/>
                <w:szCs w:val="21"/>
                <w:highlight w:val="none"/>
                <w:lang w:val="en-US" w:eastAsia="zh-CN"/>
              </w:rPr>
              <w:t>5、</w:t>
            </w:r>
            <w:r>
              <w:rPr>
                <w:rFonts w:hint="eastAsia"/>
                <w:color w:val="auto"/>
                <w:sz w:val="21"/>
                <w:szCs w:val="21"/>
                <w:highlight w:val="none"/>
              </w:rPr>
              <w:t>增值税</w:t>
            </w:r>
            <w:r>
              <w:rPr>
                <w:rFonts w:hint="eastAsia"/>
                <w:color w:val="auto"/>
                <w:sz w:val="21"/>
                <w:szCs w:val="21"/>
                <w:highlight w:val="none"/>
                <w:lang w:val="en-US" w:eastAsia="zh-CN"/>
              </w:rPr>
              <w:t xml:space="preserve">税率为13 </w:t>
            </w:r>
            <w:r>
              <w:rPr>
                <w:rFonts w:hint="eastAsia"/>
                <w:color w:val="auto"/>
                <w:sz w:val="21"/>
                <w:szCs w:val="21"/>
                <w:highlight w:val="none"/>
              </w:rPr>
              <w:t>%</w:t>
            </w:r>
            <w:r>
              <w:rPr>
                <w:rFonts w:hint="eastAsia"/>
                <w:color w:val="auto"/>
                <w:sz w:val="21"/>
                <w:szCs w:val="21"/>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outlineLvl w:val="9"/>
              <w:rPr>
                <w:rFonts w:hint="eastAsia"/>
                <w:color w:val="auto"/>
                <w:sz w:val="21"/>
                <w:szCs w:val="21"/>
                <w:highlight w:val="none"/>
                <w:lang w:eastAsia="zh-CN"/>
              </w:rPr>
            </w:pPr>
          </w:p>
          <w:p>
            <w:pPr>
              <w:pStyle w:val="5"/>
              <w:rPr>
                <w:rFonts w:hint="eastAsia"/>
                <w:color w:val="auto"/>
                <w:sz w:val="21"/>
                <w:szCs w:val="21"/>
                <w:highlight w:val="none"/>
                <w:lang w:val="en-US" w:eastAsia="zh-CN"/>
              </w:rPr>
            </w:pPr>
          </w:p>
          <w:p>
            <w:pPr>
              <w:jc w:val="center"/>
              <w:rPr>
                <w:rFonts w:hint="eastAsia" w:ascii="宋体" w:hAnsi="宋体" w:eastAsia="宋体" w:cs="宋体"/>
                <w:i w:val="0"/>
                <w:color w:val="auto"/>
                <w:sz w:val="21"/>
                <w:szCs w:val="21"/>
                <w:highlight w:val="none"/>
                <w:u w:val="none"/>
              </w:rPr>
            </w:pPr>
          </w:p>
        </w:tc>
      </w:tr>
    </w:tbl>
    <w:p>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2"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1.5 材料要求</w:t>
      </w:r>
    </w:p>
    <w:p>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0" w:firstLineChars="200"/>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（1）投标人提供的粗、细集料、填料等原材料须满足JTG F40—2004《公路沥青路面施工技术规范》及本项目设计文件对原材料的相关要求，其中粗细集料及矿粉的质量技术指标如下：</w:t>
      </w:r>
    </w:p>
    <w:p>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2" w:firstLineChars="200"/>
        <w:jc w:val="center"/>
        <w:textAlignment w:val="auto"/>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沥青混合料用粗集料质量技术要求</w:t>
      </w:r>
    </w:p>
    <w:tbl>
      <w:tblPr>
        <w:tblStyle w:val="20"/>
        <w:tblpPr w:leftFromText="180" w:rightFromText="180" w:vertAnchor="text" w:horzAnchor="page" w:tblpX="1122" w:tblpY="299"/>
        <w:tblOverlap w:val="never"/>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333"/>
        <w:gridCol w:w="1424"/>
        <w:gridCol w:w="1514"/>
        <w:gridCol w:w="31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blHeader/>
        </w:trPr>
        <w:tc>
          <w:tcPr>
            <w:tcW w:w="3333"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指标</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单位</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技术要求</w:t>
            </w:r>
          </w:p>
        </w:tc>
        <w:tc>
          <w:tcPr>
            <w:tcW w:w="312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试验方法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3"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石料</w:t>
            </w:r>
            <w:r>
              <w:rPr>
                <w:rFonts w:hint="default" w:ascii="Times New Roman" w:hAnsi="Times New Roman" w:eastAsia="宋体" w:cs="Times New Roman"/>
                <w:color w:val="auto"/>
                <w:sz w:val="21"/>
                <w:szCs w:val="21"/>
                <w:highlight w:val="none"/>
                <w:vertAlign w:val="baseline"/>
                <w:lang w:val="en-US" w:eastAsia="zh-CN"/>
              </w:rPr>
              <w:t>压碎值</w:t>
            </w:r>
            <w:r>
              <w:rPr>
                <w:rFonts w:hint="eastAsia" w:ascii="Times New Roman" w:hAnsi="Times New Roman" w:eastAsia="宋体" w:cs="Times New Roman"/>
                <w:color w:val="auto"/>
                <w:sz w:val="21"/>
                <w:szCs w:val="21"/>
                <w:highlight w:val="none"/>
                <w:vertAlign w:val="baseline"/>
                <w:lang w:val="en-US" w:eastAsia="zh-CN"/>
              </w:rPr>
              <w:t>，</w:t>
            </w:r>
            <w:r>
              <w:rPr>
                <w:rFonts w:hint="default" w:ascii="Times New Roman" w:hAnsi="Times New Roman" w:eastAsia="宋体" w:cs="Times New Roman"/>
                <w:color w:val="auto"/>
                <w:sz w:val="21"/>
                <w:szCs w:val="21"/>
                <w:highlight w:val="none"/>
                <w:vertAlign w:val="baseline"/>
                <w:lang w:val="en-US" w:eastAsia="zh-CN"/>
              </w:rPr>
              <w:t xml:space="preserve">不大于 </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30</w:t>
            </w:r>
          </w:p>
        </w:tc>
        <w:tc>
          <w:tcPr>
            <w:tcW w:w="312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3"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洛杉矶磨耗损失</w:t>
            </w:r>
            <w:r>
              <w:rPr>
                <w:rFonts w:hint="eastAsia" w:ascii="Times New Roman" w:hAnsi="Times New Roman" w:eastAsia="宋体" w:cs="Times New Roman"/>
                <w:color w:val="auto"/>
                <w:sz w:val="21"/>
                <w:szCs w:val="21"/>
                <w:highlight w:val="none"/>
                <w:vertAlign w:val="baseline"/>
                <w:lang w:val="en-US" w:eastAsia="zh-CN"/>
              </w:rPr>
              <w:t>，</w:t>
            </w:r>
            <w:r>
              <w:rPr>
                <w:rFonts w:hint="default" w:ascii="Times New Roman" w:hAnsi="Times New Roman" w:eastAsia="宋体" w:cs="Times New Roman"/>
                <w:color w:val="auto"/>
                <w:sz w:val="21"/>
                <w:szCs w:val="21"/>
                <w:highlight w:val="none"/>
                <w:vertAlign w:val="baseline"/>
                <w:lang w:val="en-US" w:eastAsia="zh-CN"/>
              </w:rPr>
              <w:t xml:space="preserve">不大于 </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35</w:t>
            </w:r>
          </w:p>
        </w:tc>
        <w:tc>
          <w:tcPr>
            <w:tcW w:w="312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0317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3"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表观相对密度</w:t>
            </w:r>
            <w:r>
              <w:rPr>
                <w:rFonts w:hint="eastAsia" w:ascii="Times New Roman" w:hAnsi="Times New Roman" w:eastAsia="宋体" w:cs="Times New Roman"/>
                <w:color w:val="auto"/>
                <w:sz w:val="21"/>
                <w:szCs w:val="21"/>
                <w:highlight w:val="none"/>
                <w:vertAlign w:val="baseline"/>
                <w:lang w:val="en-US" w:eastAsia="zh-CN"/>
              </w:rPr>
              <w:t>，</w:t>
            </w:r>
            <w:r>
              <w:rPr>
                <w:rFonts w:hint="default" w:ascii="Times New Roman" w:hAnsi="Times New Roman" w:eastAsia="宋体" w:cs="Times New Roman"/>
                <w:color w:val="auto"/>
                <w:sz w:val="21"/>
                <w:szCs w:val="21"/>
                <w:highlight w:val="none"/>
                <w:vertAlign w:val="baseline"/>
                <w:lang w:val="en-US" w:eastAsia="zh-CN"/>
              </w:rPr>
              <w:t xml:space="preserve">不小于  </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2.45</w:t>
            </w:r>
          </w:p>
        </w:tc>
        <w:tc>
          <w:tcPr>
            <w:tcW w:w="312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3"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吸水率，不大于</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3.0</w:t>
            </w:r>
          </w:p>
        </w:tc>
        <w:tc>
          <w:tcPr>
            <w:tcW w:w="312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3"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坚固性</w:t>
            </w:r>
            <w:r>
              <w:rPr>
                <w:rFonts w:hint="eastAsia" w:ascii="Times New Roman" w:hAnsi="Times New Roman" w:eastAsia="宋体" w:cs="Times New Roman"/>
                <w:color w:val="auto"/>
                <w:sz w:val="21"/>
                <w:szCs w:val="21"/>
                <w:highlight w:val="none"/>
                <w:vertAlign w:val="baseline"/>
                <w:lang w:val="en-US" w:eastAsia="zh-CN"/>
              </w:rPr>
              <w:t>，</w:t>
            </w:r>
            <w:r>
              <w:rPr>
                <w:rFonts w:hint="default" w:ascii="Times New Roman" w:hAnsi="Times New Roman" w:eastAsia="宋体" w:cs="Times New Roman"/>
                <w:color w:val="auto"/>
                <w:sz w:val="21"/>
                <w:szCs w:val="21"/>
                <w:highlight w:val="none"/>
                <w:vertAlign w:val="baseline"/>
                <w:lang w:val="en-US" w:eastAsia="zh-CN"/>
              </w:rPr>
              <w:t xml:space="preserve">不大于 </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w:t>
            </w:r>
          </w:p>
        </w:tc>
        <w:tc>
          <w:tcPr>
            <w:tcW w:w="312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3"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针片状颗粒含量</w:t>
            </w:r>
            <w:r>
              <w:rPr>
                <w:rFonts w:hint="eastAsia" w:ascii="Times New Roman" w:hAnsi="Times New Roman" w:eastAsia="宋体" w:cs="Times New Roman"/>
                <w:color w:val="auto"/>
                <w:sz w:val="21"/>
                <w:szCs w:val="21"/>
                <w:highlight w:val="none"/>
                <w:vertAlign w:val="baseline"/>
                <w:lang w:val="en-US" w:eastAsia="zh-CN"/>
              </w:rPr>
              <w:t>（混合料），</w:t>
            </w:r>
            <w:r>
              <w:rPr>
                <w:rFonts w:hint="default" w:ascii="Times New Roman" w:hAnsi="Times New Roman" w:eastAsia="宋体" w:cs="Times New Roman"/>
                <w:color w:val="auto"/>
                <w:sz w:val="21"/>
                <w:szCs w:val="21"/>
                <w:highlight w:val="none"/>
                <w:vertAlign w:val="baseline"/>
                <w:lang w:val="en-US" w:eastAsia="zh-CN"/>
              </w:rPr>
              <w:t>不大</w:t>
            </w:r>
            <w:r>
              <w:rPr>
                <w:rFonts w:hint="eastAsia" w:ascii="Times New Roman" w:hAnsi="Times New Roman" w:eastAsia="宋体" w:cs="Times New Roman"/>
                <w:color w:val="auto"/>
                <w:sz w:val="21"/>
                <w:szCs w:val="21"/>
                <w:highlight w:val="none"/>
                <w:vertAlign w:val="baseline"/>
                <w:lang w:val="en-US" w:eastAsia="zh-CN"/>
              </w:rPr>
              <w:t>于</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20</w:t>
            </w:r>
          </w:p>
        </w:tc>
        <w:tc>
          <w:tcPr>
            <w:tcW w:w="312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3"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水洗法&lt;0.075mm 颗粒含量</w:t>
            </w:r>
            <w:r>
              <w:rPr>
                <w:rFonts w:hint="eastAsia" w:ascii="Times New Roman" w:hAnsi="Times New Roman" w:eastAsia="宋体" w:cs="Times New Roman"/>
                <w:color w:val="auto"/>
                <w:sz w:val="21"/>
                <w:szCs w:val="21"/>
                <w:highlight w:val="none"/>
                <w:vertAlign w:val="baseline"/>
                <w:lang w:val="en-US" w:eastAsia="zh-CN"/>
              </w:rPr>
              <w:t>，</w:t>
            </w:r>
            <w:r>
              <w:rPr>
                <w:rFonts w:hint="default" w:ascii="Times New Roman" w:hAnsi="Times New Roman" w:eastAsia="宋体" w:cs="Times New Roman"/>
                <w:color w:val="auto"/>
                <w:sz w:val="21"/>
                <w:szCs w:val="21"/>
                <w:highlight w:val="none"/>
                <w:vertAlign w:val="baseline"/>
                <w:lang w:val="en-US" w:eastAsia="zh-CN"/>
              </w:rPr>
              <w:t>不大于</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312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3"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软石含量</w:t>
            </w:r>
            <w:r>
              <w:rPr>
                <w:rFonts w:hint="eastAsia" w:ascii="Times New Roman" w:hAnsi="Times New Roman" w:eastAsia="宋体" w:cs="Times New Roman"/>
                <w:color w:val="auto"/>
                <w:sz w:val="21"/>
                <w:szCs w:val="21"/>
                <w:highlight w:val="none"/>
                <w:vertAlign w:val="baseline"/>
                <w:lang w:val="en-US" w:eastAsia="zh-CN"/>
              </w:rPr>
              <w:t>，</w:t>
            </w:r>
            <w:r>
              <w:rPr>
                <w:rFonts w:hint="default" w:ascii="Times New Roman" w:hAnsi="Times New Roman" w:eastAsia="宋体" w:cs="Times New Roman"/>
                <w:color w:val="auto"/>
                <w:sz w:val="21"/>
                <w:szCs w:val="21"/>
                <w:highlight w:val="none"/>
                <w:vertAlign w:val="baseline"/>
                <w:lang w:val="en-US" w:eastAsia="zh-CN"/>
              </w:rPr>
              <w:t xml:space="preserve">不大于 </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c>
          <w:tcPr>
            <w:tcW w:w="312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0320</w:t>
            </w:r>
          </w:p>
        </w:tc>
      </w:tr>
    </w:tbl>
    <w:p>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2" w:firstLineChars="200"/>
        <w:jc w:val="center"/>
        <w:textAlignment w:val="auto"/>
        <w:rPr>
          <w:rFonts w:hint="eastAsia" w:ascii="宋体" w:hAnsi="宋体" w:eastAsia="宋体" w:cs="宋体"/>
          <w:b/>
          <w:bCs/>
          <w:color w:val="auto"/>
          <w:kern w:val="2"/>
          <w:sz w:val="21"/>
          <w:szCs w:val="21"/>
          <w:highlight w:val="none"/>
          <w:lang w:val="en-US" w:eastAsia="zh-CN" w:bidi="ar-SA"/>
        </w:rPr>
      </w:pPr>
    </w:p>
    <w:p>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2" w:firstLineChars="200"/>
        <w:jc w:val="center"/>
        <w:textAlignment w:val="auto"/>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沥青混合料用细集料质量技术要求</w:t>
      </w:r>
    </w:p>
    <w:tbl>
      <w:tblPr>
        <w:tblStyle w:val="20"/>
        <w:tblpPr w:leftFromText="180" w:rightFromText="180" w:vertAnchor="text" w:horzAnchor="page" w:tblpX="1122" w:tblpY="299"/>
        <w:tblOverlap w:val="never"/>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331"/>
        <w:gridCol w:w="1423"/>
        <w:gridCol w:w="1514"/>
        <w:gridCol w:w="31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blHeader/>
        </w:trPr>
        <w:tc>
          <w:tcPr>
            <w:tcW w:w="3331"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指标</w:t>
            </w:r>
          </w:p>
        </w:tc>
        <w:tc>
          <w:tcPr>
            <w:tcW w:w="1423"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单位</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技术要求</w:t>
            </w:r>
          </w:p>
        </w:tc>
        <w:tc>
          <w:tcPr>
            <w:tcW w:w="311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试验方法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1"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表观相对密度</w:t>
            </w:r>
            <w:r>
              <w:rPr>
                <w:rFonts w:hint="eastAsia" w:ascii="Times New Roman" w:hAnsi="Times New Roman" w:eastAsia="宋体" w:cs="Times New Roman"/>
                <w:color w:val="auto"/>
                <w:sz w:val="21"/>
                <w:szCs w:val="21"/>
                <w:highlight w:val="none"/>
                <w:vertAlign w:val="baseline"/>
                <w:lang w:val="en-US" w:eastAsia="zh-CN"/>
              </w:rPr>
              <w:t>，</w:t>
            </w:r>
            <w:r>
              <w:rPr>
                <w:rFonts w:hint="default" w:ascii="Times New Roman" w:hAnsi="Times New Roman" w:eastAsia="宋体" w:cs="Times New Roman"/>
                <w:color w:val="auto"/>
                <w:sz w:val="21"/>
                <w:szCs w:val="21"/>
                <w:highlight w:val="none"/>
                <w:vertAlign w:val="baseline"/>
                <w:lang w:val="en-US" w:eastAsia="zh-CN"/>
              </w:rPr>
              <w:t xml:space="preserve">不小于  </w:t>
            </w:r>
          </w:p>
        </w:tc>
        <w:tc>
          <w:tcPr>
            <w:tcW w:w="1423"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2.45</w:t>
            </w:r>
          </w:p>
        </w:tc>
        <w:tc>
          <w:tcPr>
            <w:tcW w:w="311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1" w:type="dxa"/>
            <w:tcBorders>
              <w:tl2br w:val="nil"/>
              <w:tr2bl w:val="nil"/>
            </w:tcBorders>
            <w:noWrap w:val="0"/>
            <w:vAlign w:val="top"/>
          </w:tcPr>
          <w:p>
            <w:pPr>
              <w:pStyle w:val="27"/>
              <w:jc w:val="both"/>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含泥量（小于 0.075mm 颗粒含量）</w:t>
            </w:r>
            <w:r>
              <w:rPr>
                <w:rFonts w:hint="eastAsia" w:ascii="Times New Roman" w:hAnsi="Times New Roman" w:eastAsia="宋体" w:cs="Times New Roman"/>
                <w:color w:val="auto"/>
                <w:sz w:val="21"/>
                <w:szCs w:val="21"/>
                <w:highlight w:val="none"/>
                <w:vertAlign w:val="baseline"/>
                <w:lang w:val="en-US" w:eastAsia="zh-CN"/>
              </w:rPr>
              <w:t>，不大于</w:t>
            </w:r>
            <w:r>
              <w:rPr>
                <w:rFonts w:hint="default" w:ascii="Times New Roman" w:hAnsi="Times New Roman" w:eastAsia="宋体" w:cs="Times New Roman"/>
                <w:color w:val="auto"/>
                <w:sz w:val="21"/>
                <w:szCs w:val="21"/>
                <w:highlight w:val="none"/>
                <w:vertAlign w:val="baseline"/>
                <w:lang w:val="en-US" w:eastAsia="zh-CN"/>
              </w:rPr>
              <w:t xml:space="preserve"> </w:t>
            </w:r>
          </w:p>
        </w:tc>
        <w:tc>
          <w:tcPr>
            <w:tcW w:w="1423"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c>
          <w:tcPr>
            <w:tcW w:w="311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1" w:type="dxa"/>
            <w:tcBorders>
              <w:tl2br w:val="nil"/>
              <w:tr2bl w:val="nil"/>
            </w:tcBorders>
            <w:noWrap w:val="0"/>
            <w:vAlign w:val="top"/>
          </w:tcPr>
          <w:p>
            <w:pPr>
              <w:pStyle w:val="27"/>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砂当量（%）</w:t>
            </w:r>
            <w:r>
              <w:rPr>
                <w:rFonts w:hint="eastAsia" w:ascii="Times New Roman" w:hAnsi="Times New Roman" w:eastAsia="宋体" w:cs="Times New Roman"/>
                <w:color w:val="auto"/>
                <w:sz w:val="21"/>
                <w:szCs w:val="21"/>
                <w:highlight w:val="none"/>
                <w:vertAlign w:val="baseline"/>
                <w:lang w:val="en-US" w:eastAsia="zh-CN"/>
              </w:rPr>
              <w:t>，不小于</w:t>
            </w:r>
          </w:p>
        </w:tc>
        <w:tc>
          <w:tcPr>
            <w:tcW w:w="1423"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50</w:t>
            </w:r>
          </w:p>
        </w:tc>
        <w:tc>
          <w:tcPr>
            <w:tcW w:w="311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0310</w:t>
            </w:r>
          </w:p>
        </w:tc>
      </w:tr>
    </w:tbl>
    <w:p>
      <w:pPr>
        <w:pStyle w:val="27"/>
        <w:keepNext w:val="0"/>
        <w:keepLines w:val="0"/>
        <w:pageBreakBefore w:val="0"/>
        <w:widowControl w:val="0"/>
        <w:numPr>
          <w:ilvl w:val="0"/>
          <w:numId w:val="0"/>
        </w:numPr>
        <w:kinsoku/>
        <w:wordWrap/>
        <w:overflowPunct/>
        <w:topLinePunct w:val="0"/>
        <w:bidi w:val="0"/>
        <w:snapToGrid/>
        <w:spacing w:line="240" w:lineRule="atLeas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p>
    <w:p>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2" w:firstLineChars="200"/>
        <w:jc w:val="center"/>
        <w:textAlignment w:val="auto"/>
        <w:rPr>
          <w:rFonts w:hint="eastAsia" w:ascii="宋体" w:hAnsi="宋体" w:eastAsia="宋体" w:cs="宋体"/>
          <w:b/>
          <w:bCs/>
          <w:color w:val="auto"/>
          <w:kern w:val="2"/>
          <w:sz w:val="21"/>
          <w:szCs w:val="21"/>
          <w:highlight w:val="none"/>
          <w:lang w:val="en-US" w:eastAsia="zh-CN" w:bidi="ar-SA"/>
        </w:rPr>
      </w:pPr>
    </w:p>
    <w:p>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2" w:firstLineChars="200"/>
        <w:jc w:val="center"/>
        <w:textAlignment w:val="auto"/>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沥青混合料用矿粉质量技术要求</w:t>
      </w:r>
    </w:p>
    <w:tbl>
      <w:tblPr>
        <w:tblStyle w:val="20"/>
        <w:tblpPr w:leftFromText="180" w:rightFromText="180" w:vertAnchor="text" w:horzAnchor="page" w:tblpX="1122" w:tblpY="299"/>
        <w:tblOverlap w:val="never"/>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331"/>
        <w:gridCol w:w="1424"/>
        <w:gridCol w:w="1514"/>
        <w:gridCol w:w="31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blHeader/>
        </w:trPr>
        <w:tc>
          <w:tcPr>
            <w:tcW w:w="3331"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指标</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单位</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技术要求</w:t>
            </w:r>
          </w:p>
        </w:tc>
        <w:tc>
          <w:tcPr>
            <w:tcW w:w="3118"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试验方法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1"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表观相对密度</w:t>
            </w:r>
            <w:r>
              <w:rPr>
                <w:rFonts w:hint="eastAsia" w:ascii="Times New Roman" w:hAnsi="Times New Roman" w:eastAsia="宋体" w:cs="Times New Roman"/>
                <w:color w:val="auto"/>
                <w:sz w:val="21"/>
                <w:szCs w:val="21"/>
                <w:highlight w:val="none"/>
                <w:vertAlign w:val="baseline"/>
                <w:lang w:val="en-US" w:eastAsia="zh-CN"/>
              </w:rPr>
              <w:t>，</w:t>
            </w:r>
            <w:r>
              <w:rPr>
                <w:rFonts w:hint="default" w:ascii="Times New Roman" w:hAnsi="Times New Roman" w:eastAsia="宋体" w:cs="Times New Roman"/>
                <w:color w:val="auto"/>
                <w:sz w:val="21"/>
                <w:szCs w:val="21"/>
                <w:highlight w:val="none"/>
                <w:vertAlign w:val="baseline"/>
                <w:lang w:val="en-US" w:eastAsia="zh-CN"/>
              </w:rPr>
              <w:t xml:space="preserve">不小于  </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t/m³</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2.45</w:t>
            </w:r>
          </w:p>
        </w:tc>
        <w:tc>
          <w:tcPr>
            <w:tcW w:w="3118"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w:t>
            </w:r>
            <w:r>
              <w:rPr>
                <w:rFonts w:hint="eastAsia" w:ascii="Times New Roman" w:hAnsi="Times New Roman" w:eastAsia="宋体" w:cs="Times New Roman"/>
                <w:color w:val="auto"/>
                <w:sz w:val="21"/>
                <w:szCs w:val="21"/>
                <w:highlight w:val="none"/>
                <w:vertAlign w:val="baseline"/>
                <w:lang w:val="en-US" w:eastAsia="zh-CN"/>
              </w:rPr>
              <w:t>52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1"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含水量，不大于</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3118"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w:t>
            </w:r>
            <w:r>
              <w:rPr>
                <w:rFonts w:hint="eastAsia" w:ascii="Times New Roman" w:hAnsi="Times New Roman" w:eastAsia="宋体" w:cs="Times New Roman"/>
                <w:color w:val="auto"/>
                <w:sz w:val="21"/>
                <w:szCs w:val="21"/>
                <w:highlight w:val="none"/>
                <w:vertAlign w:val="baseline"/>
                <w:lang w:val="en-US" w:eastAsia="zh-CN"/>
              </w:rPr>
              <w:t>103 烘干法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1"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粒度范围＜0.6mm</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100</w:t>
            </w:r>
          </w:p>
        </w:tc>
        <w:tc>
          <w:tcPr>
            <w:tcW w:w="3118"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w:t>
            </w:r>
            <w:r>
              <w:rPr>
                <w:rFonts w:hint="eastAsia" w:ascii="Times New Roman" w:hAnsi="Times New Roman" w:eastAsia="宋体" w:cs="Times New Roman"/>
                <w:color w:val="auto"/>
                <w:sz w:val="21"/>
                <w:szCs w:val="21"/>
                <w:highlight w:val="none"/>
                <w:vertAlign w:val="baseline"/>
                <w:lang w:val="en-US" w:eastAsia="zh-CN"/>
              </w:rPr>
              <w:t>51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1"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粒度范围＜0.15mm</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90</w:t>
            </w:r>
            <w:r>
              <w:rPr>
                <w:rFonts w:hint="default" w:ascii="Times New Roman" w:hAnsi="Times New Roman" w:eastAsia="宋体" w:cs="Times New Roman"/>
                <w:color w:val="auto"/>
                <w:sz w:val="21"/>
                <w:szCs w:val="21"/>
                <w:highlight w:val="none"/>
                <w:vertAlign w:val="baseline"/>
                <w:lang w:val="en-US" w:eastAsia="zh-CN"/>
              </w:rPr>
              <w:t>~</w:t>
            </w:r>
            <w:r>
              <w:rPr>
                <w:rFonts w:hint="eastAsia" w:ascii="Times New Roman" w:hAnsi="Times New Roman" w:eastAsia="宋体" w:cs="Times New Roman"/>
                <w:color w:val="auto"/>
                <w:sz w:val="21"/>
                <w:szCs w:val="21"/>
                <w:highlight w:val="none"/>
                <w:vertAlign w:val="baseline"/>
                <w:lang w:val="en-US" w:eastAsia="zh-CN"/>
              </w:rPr>
              <w:t>100</w:t>
            </w:r>
          </w:p>
        </w:tc>
        <w:tc>
          <w:tcPr>
            <w:tcW w:w="3118"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w:t>
            </w:r>
            <w:r>
              <w:rPr>
                <w:rFonts w:hint="eastAsia" w:ascii="Times New Roman" w:hAnsi="Times New Roman" w:eastAsia="宋体" w:cs="Times New Roman"/>
                <w:color w:val="auto"/>
                <w:sz w:val="21"/>
                <w:szCs w:val="21"/>
                <w:highlight w:val="none"/>
                <w:vertAlign w:val="baseline"/>
                <w:lang w:val="en-US" w:eastAsia="zh-CN"/>
              </w:rPr>
              <w:t>51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1"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粒度范围＜0.075mm</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70</w:t>
            </w:r>
            <w:r>
              <w:rPr>
                <w:rFonts w:hint="default" w:ascii="Times New Roman" w:hAnsi="Times New Roman" w:eastAsia="宋体" w:cs="Times New Roman"/>
                <w:color w:val="auto"/>
                <w:sz w:val="21"/>
                <w:szCs w:val="21"/>
                <w:highlight w:val="none"/>
                <w:vertAlign w:val="baseline"/>
                <w:lang w:val="en-US" w:eastAsia="zh-CN"/>
              </w:rPr>
              <w:t>~</w:t>
            </w:r>
            <w:r>
              <w:rPr>
                <w:rFonts w:hint="eastAsia" w:ascii="Times New Roman" w:hAnsi="Times New Roman" w:eastAsia="宋体" w:cs="Times New Roman"/>
                <w:color w:val="auto"/>
                <w:sz w:val="21"/>
                <w:szCs w:val="21"/>
                <w:highlight w:val="none"/>
                <w:vertAlign w:val="baseline"/>
                <w:lang w:val="en-US" w:eastAsia="zh-CN"/>
              </w:rPr>
              <w:t>100</w:t>
            </w:r>
          </w:p>
        </w:tc>
        <w:tc>
          <w:tcPr>
            <w:tcW w:w="3118"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w:t>
            </w:r>
            <w:r>
              <w:rPr>
                <w:rFonts w:hint="eastAsia" w:ascii="Times New Roman" w:hAnsi="Times New Roman" w:eastAsia="宋体" w:cs="Times New Roman"/>
                <w:color w:val="auto"/>
                <w:sz w:val="21"/>
                <w:szCs w:val="21"/>
                <w:highlight w:val="none"/>
                <w:vertAlign w:val="baseline"/>
                <w:lang w:val="en-US" w:eastAsia="zh-CN"/>
              </w:rPr>
              <w:t>51</w:t>
            </w:r>
          </w:p>
        </w:tc>
      </w:tr>
    </w:tbl>
    <w:p>
      <w:pPr>
        <w:pStyle w:val="27"/>
        <w:keepNext w:val="0"/>
        <w:keepLines w:val="0"/>
        <w:pageBreakBefore w:val="0"/>
        <w:widowControl w:val="0"/>
        <w:numPr>
          <w:ilvl w:val="0"/>
          <w:numId w:val="0"/>
        </w:numPr>
        <w:kinsoku/>
        <w:wordWrap/>
        <w:overflowPunct/>
        <w:topLinePunct w:val="0"/>
        <w:bidi w:val="0"/>
        <w:snapToGrid/>
        <w:spacing w:line="24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p>
    <w:p>
      <w:pPr>
        <w:pStyle w:val="27"/>
        <w:keepNext w:val="0"/>
        <w:keepLines w:val="0"/>
        <w:pageBreakBefore w:val="0"/>
        <w:widowControl w:val="0"/>
        <w:numPr>
          <w:ilvl w:val="0"/>
          <w:numId w:val="0"/>
        </w:numPr>
        <w:kinsoku/>
        <w:wordWrap/>
        <w:overflowPunct/>
        <w:topLinePunct w:val="0"/>
        <w:bidi w:val="0"/>
        <w:snapToGrid/>
        <w:spacing w:line="360" w:lineRule="auto"/>
        <w:ind w:firstLine="420" w:firstLineChars="200"/>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（2）投标人提供的进场原材料须经招标人质检并认可的厂家提供，原则上生产期间不得更换原材料供应商；如确因客观原因投标人需中途更换原材料供应商，须经招标人质检认可后方可更换。</w:t>
      </w:r>
    </w:p>
    <w:p>
      <w:pPr>
        <w:pStyle w:val="27"/>
        <w:keepNext w:val="0"/>
        <w:keepLines w:val="0"/>
        <w:pageBreakBefore w:val="0"/>
        <w:widowControl w:val="0"/>
        <w:numPr>
          <w:ilvl w:val="0"/>
          <w:numId w:val="0"/>
        </w:numPr>
        <w:kinsoku/>
        <w:wordWrap/>
        <w:overflowPunct/>
        <w:topLinePunct w:val="0"/>
        <w:bidi w:val="0"/>
        <w:snapToGrid/>
        <w:spacing w:line="360" w:lineRule="auto"/>
        <w:ind w:leftChars="0" w:firstLine="422"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1.6 加工质量要求</w:t>
      </w:r>
    </w:p>
    <w:p>
      <w:pPr>
        <w:pStyle w:val="27"/>
        <w:keepNext w:val="0"/>
        <w:keepLines w:val="0"/>
        <w:pageBreakBefore w:val="0"/>
        <w:widowControl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（1）投标人对整个沥青混合料的生产质量负责，成品质量检验不低于（JTG F40-2004）公路沥青路面施工技术规范》、JTG E20-2011）《公路工程沥青及沥青混合料试验规程》要求。</w:t>
      </w:r>
    </w:p>
    <w:p>
      <w:pPr>
        <w:pStyle w:val="27"/>
        <w:keepNext w:val="0"/>
        <w:keepLines w:val="0"/>
        <w:pageBreakBefore w:val="0"/>
        <w:widowControl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（2）投标人加工生产的沥青混合料严禁使用回收矿粉，否则视为不合格材料。</w:t>
      </w:r>
    </w:p>
    <w:p>
      <w:pPr>
        <w:pStyle w:val="27"/>
        <w:keepNext w:val="0"/>
        <w:keepLines w:val="0"/>
        <w:pageBreakBefore w:val="0"/>
        <w:widowControl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（3）投标人加工生产的沥青混合料出厂温度必须经甲方现场代表签字认可，否则视为不合格材料。</w:t>
      </w:r>
    </w:p>
    <w:p>
      <w:pPr>
        <w:pStyle w:val="27"/>
        <w:keepNext w:val="0"/>
        <w:keepLines w:val="0"/>
        <w:pageBreakBefore w:val="0"/>
        <w:widowControl w:val="0"/>
        <w:numPr>
          <w:ilvl w:val="0"/>
          <w:numId w:val="0"/>
        </w:numPr>
        <w:kinsoku/>
        <w:wordWrap/>
        <w:overflowPunct/>
        <w:topLinePunct w:val="0"/>
        <w:bidi w:val="0"/>
        <w:snapToGrid/>
        <w:spacing w:line="360" w:lineRule="auto"/>
        <w:ind w:leftChars="0" w:firstLine="422"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1.7 加工进度要求</w:t>
      </w:r>
    </w:p>
    <w:p>
      <w:pPr>
        <w:pStyle w:val="27"/>
        <w:keepNext w:val="0"/>
        <w:keepLines w:val="0"/>
        <w:pageBreakBefore w:val="0"/>
        <w:widowControl w:val="0"/>
        <w:numPr>
          <w:ilvl w:val="0"/>
          <w:numId w:val="0"/>
        </w:numPr>
        <w:kinsoku/>
        <w:wordWrap/>
        <w:overflowPunct/>
        <w:topLinePunct w:val="0"/>
        <w:bidi w:val="0"/>
        <w:snapToGrid/>
        <w:spacing w:line="360" w:lineRule="auto"/>
        <w:ind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投标人应按招标人沥青混合料生产进度要求按时完成生产任务。如确因其他工程项目施工需要，投标人应于实施前一个月与招标人协商，协调生产作业时间，并优先保障招标人所需的沥青混合料生产。</w:t>
      </w:r>
    </w:p>
    <w:p>
      <w:pPr>
        <w:pStyle w:val="27"/>
        <w:keepNext w:val="0"/>
        <w:keepLines w:val="0"/>
        <w:pageBreakBefore w:val="0"/>
        <w:widowControl w:val="0"/>
        <w:numPr>
          <w:ilvl w:val="0"/>
          <w:numId w:val="0"/>
        </w:numPr>
        <w:kinsoku/>
        <w:wordWrap/>
        <w:overflowPunct/>
        <w:topLinePunct w:val="0"/>
        <w:bidi w:val="0"/>
        <w:snapToGrid/>
        <w:spacing w:line="360" w:lineRule="auto"/>
        <w:ind w:firstLine="422" w:firstLineChars="200"/>
        <w:textAlignment w:val="auto"/>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1.8 场地要求及设备要求</w:t>
      </w:r>
    </w:p>
    <w:p>
      <w:pPr>
        <w:pStyle w:val="27"/>
        <w:keepNext w:val="0"/>
        <w:keepLines w:val="0"/>
        <w:pageBreakBefore w:val="0"/>
        <w:widowControl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（1）投标人拌和</w:t>
      </w:r>
      <w:r>
        <w:rPr>
          <w:rFonts w:hint="default" w:ascii="宋体" w:hAnsi="宋体" w:eastAsia="宋体" w:cs="宋体"/>
          <w:b w:val="0"/>
          <w:bCs w:val="0"/>
          <w:color w:val="auto"/>
          <w:kern w:val="2"/>
          <w:sz w:val="21"/>
          <w:szCs w:val="21"/>
          <w:highlight w:val="none"/>
          <w:lang w:val="en-US" w:eastAsia="zh-CN" w:bidi="ar-SA"/>
        </w:rPr>
        <w:t>站场地应满足重庆市标准化施工作业要求，如不满足</w:t>
      </w:r>
      <w:r>
        <w:rPr>
          <w:rFonts w:hint="eastAsia" w:ascii="宋体" w:hAnsi="宋体" w:eastAsia="宋体" w:cs="宋体"/>
          <w:b w:val="0"/>
          <w:bCs w:val="0"/>
          <w:color w:val="auto"/>
          <w:kern w:val="2"/>
          <w:sz w:val="21"/>
          <w:szCs w:val="21"/>
          <w:highlight w:val="none"/>
          <w:lang w:val="en-US" w:eastAsia="zh-CN" w:bidi="ar-SA"/>
        </w:rPr>
        <w:t>投标人</w:t>
      </w:r>
      <w:r>
        <w:rPr>
          <w:rFonts w:hint="default" w:ascii="宋体" w:hAnsi="宋体" w:eastAsia="宋体" w:cs="宋体"/>
          <w:b w:val="0"/>
          <w:bCs w:val="0"/>
          <w:color w:val="auto"/>
          <w:kern w:val="2"/>
          <w:sz w:val="21"/>
          <w:szCs w:val="21"/>
          <w:highlight w:val="none"/>
          <w:lang w:val="en-US" w:eastAsia="zh-CN" w:bidi="ar-SA"/>
        </w:rPr>
        <w:t>须无条件按</w:t>
      </w:r>
      <w:r>
        <w:rPr>
          <w:rFonts w:hint="eastAsia" w:ascii="宋体" w:hAnsi="宋体" w:eastAsia="宋体" w:cs="宋体"/>
          <w:b w:val="0"/>
          <w:bCs w:val="0"/>
          <w:color w:val="auto"/>
          <w:kern w:val="2"/>
          <w:sz w:val="21"/>
          <w:szCs w:val="21"/>
          <w:highlight w:val="none"/>
          <w:lang w:val="en-US" w:eastAsia="zh-CN" w:bidi="ar-SA"/>
        </w:rPr>
        <w:t>招标人</w:t>
      </w:r>
      <w:r>
        <w:rPr>
          <w:rFonts w:hint="default" w:ascii="宋体" w:hAnsi="宋体" w:eastAsia="宋体" w:cs="宋体"/>
          <w:b w:val="0"/>
          <w:bCs w:val="0"/>
          <w:color w:val="auto"/>
          <w:kern w:val="2"/>
          <w:sz w:val="21"/>
          <w:szCs w:val="21"/>
          <w:highlight w:val="none"/>
          <w:lang w:val="en-US" w:eastAsia="zh-CN" w:bidi="ar-SA"/>
        </w:rPr>
        <w:t>要求及时进行整改（如：场地必须硬化处理、原材料堆料仓应有不低于1.5米的隔离设施、细集料应有彩钢雨棚等防雨设施等）</w:t>
      </w:r>
      <w:r>
        <w:rPr>
          <w:rFonts w:hint="eastAsia" w:ascii="宋体" w:hAnsi="宋体" w:eastAsia="宋体" w:cs="宋体"/>
          <w:b w:val="0"/>
          <w:bCs w:val="0"/>
          <w:color w:val="auto"/>
          <w:kern w:val="2"/>
          <w:sz w:val="21"/>
          <w:szCs w:val="21"/>
          <w:highlight w:val="none"/>
          <w:lang w:val="en-US" w:eastAsia="zh-CN" w:bidi="ar-SA"/>
        </w:rPr>
        <w:t>。</w:t>
      </w:r>
    </w:p>
    <w:p>
      <w:pPr>
        <w:pStyle w:val="27"/>
        <w:keepNext w:val="0"/>
        <w:keepLines w:val="0"/>
        <w:pageBreakBefore w:val="0"/>
        <w:widowControl w:val="0"/>
        <w:numPr>
          <w:ilvl w:val="0"/>
          <w:numId w:val="0"/>
        </w:numPr>
        <w:kinsoku/>
        <w:wordWrap/>
        <w:overflowPunct/>
        <w:topLinePunct w:val="0"/>
        <w:bidi w:val="0"/>
        <w:snapToGrid/>
        <w:spacing w:line="360" w:lineRule="auto"/>
        <w:ind w:firstLine="420" w:firstLineChars="200"/>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（2）冷料仓的数量满足配合比需要，且不少于5个。</w:t>
      </w:r>
    </w:p>
    <w:p>
      <w:pPr>
        <w:pStyle w:val="27"/>
        <w:keepNext w:val="0"/>
        <w:keepLines w:val="0"/>
        <w:pageBreakBefore w:val="0"/>
        <w:widowControl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（3）投标人需在拌和站内为招标人提供2间实验室用房。</w:t>
      </w:r>
    </w:p>
    <w:p>
      <w:pPr>
        <w:pStyle w:val="27"/>
        <w:keepNext w:val="0"/>
        <w:keepLines w:val="0"/>
        <w:pageBreakBefore w:val="0"/>
        <w:widowControl w:val="0"/>
        <w:numPr>
          <w:ilvl w:val="0"/>
          <w:numId w:val="0"/>
        </w:numPr>
        <w:kinsoku/>
        <w:wordWrap/>
        <w:overflowPunct/>
        <w:topLinePunct w:val="0"/>
        <w:bidi w:val="0"/>
        <w:snapToGrid/>
        <w:spacing w:line="360" w:lineRule="auto"/>
        <w:ind w:firstLine="420" w:firstLineChars="200"/>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（4）为保证施工进度，投标人拌和站每小时产量应＞200吨。</w:t>
      </w:r>
    </w:p>
    <w:p>
      <w:pPr>
        <w:pStyle w:val="27"/>
        <w:keepNext w:val="0"/>
        <w:keepLines w:val="0"/>
        <w:pageBreakBefore w:val="0"/>
        <w:widowControl w:val="0"/>
        <w:numPr>
          <w:ilvl w:val="0"/>
          <w:numId w:val="0"/>
        </w:numPr>
        <w:kinsoku/>
        <w:wordWrap/>
        <w:overflowPunct/>
        <w:topLinePunct w:val="0"/>
        <w:bidi w:val="0"/>
        <w:snapToGrid/>
        <w:spacing w:line="360" w:lineRule="auto"/>
        <w:ind w:firstLine="422"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1.9 人员要求</w:t>
      </w:r>
    </w:p>
    <w:p>
      <w:pPr>
        <w:pStyle w:val="27"/>
        <w:keepNext w:val="0"/>
        <w:keepLines w:val="0"/>
        <w:pageBreakBefore w:val="0"/>
        <w:widowControl w:val="0"/>
        <w:numPr>
          <w:ilvl w:val="0"/>
          <w:numId w:val="0"/>
        </w:numPr>
        <w:kinsoku/>
        <w:wordWrap/>
        <w:overflowPunct/>
        <w:topLinePunct w:val="0"/>
        <w:bidi w:val="0"/>
        <w:snapToGrid/>
        <w:spacing w:line="360" w:lineRule="auto"/>
        <w:ind w:firstLine="420" w:firstLineChars="200"/>
        <w:textAlignment w:val="auto"/>
        <w:rPr>
          <w:rFonts w:hint="default" w:ascii="宋体" w:hAnsi="宋体" w:eastAsia="宋体" w:cs="宋体"/>
          <w:b w:val="0"/>
          <w:bCs w:val="0"/>
          <w:color w:val="auto"/>
          <w:kern w:val="2"/>
          <w:sz w:val="21"/>
          <w:szCs w:val="21"/>
          <w:highlight w:val="none"/>
          <w:lang w:val="en-US" w:eastAsia="zh-CN" w:bidi="ar-SA"/>
        </w:rPr>
      </w:pPr>
      <w:r>
        <w:rPr>
          <w:rFonts w:hint="default" w:ascii="宋体" w:hAnsi="宋体" w:eastAsia="宋体" w:cs="宋体"/>
          <w:b w:val="0"/>
          <w:bCs w:val="0"/>
          <w:color w:val="auto"/>
          <w:kern w:val="2"/>
          <w:sz w:val="21"/>
          <w:szCs w:val="21"/>
          <w:highlight w:val="none"/>
          <w:lang w:val="en-US" w:eastAsia="zh-CN" w:bidi="ar-SA"/>
        </w:rPr>
        <w:t>生产期间，</w:t>
      </w:r>
      <w:r>
        <w:rPr>
          <w:rFonts w:hint="eastAsia" w:ascii="宋体" w:hAnsi="宋体" w:eastAsia="宋体" w:cs="宋体"/>
          <w:b w:val="0"/>
          <w:bCs w:val="0"/>
          <w:color w:val="auto"/>
          <w:kern w:val="2"/>
          <w:sz w:val="21"/>
          <w:szCs w:val="21"/>
          <w:highlight w:val="none"/>
          <w:lang w:val="en-US" w:eastAsia="zh-CN" w:bidi="ar-SA"/>
        </w:rPr>
        <w:t>投标人需</w:t>
      </w:r>
      <w:r>
        <w:rPr>
          <w:rFonts w:hint="default" w:ascii="宋体" w:hAnsi="宋体" w:eastAsia="宋体" w:cs="宋体"/>
          <w:b w:val="0"/>
          <w:bCs w:val="0"/>
          <w:color w:val="auto"/>
          <w:kern w:val="2"/>
          <w:sz w:val="21"/>
          <w:szCs w:val="21"/>
          <w:highlight w:val="none"/>
          <w:lang w:val="en-US" w:eastAsia="zh-CN" w:bidi="ar-SA"/>
        </w:rPr>
        <w:t>配备</w:t>
      </w:r>
      <w:r>
        <w:rPr>
          <w:rFonts w:hint="eastAsia" w:ascii="宋体" w:hAnsi="宋体" w:eastAsia="宋体" w:cs="宋体"/>
          <w:b w:val="0"/>
          <w:bCs w:val="0"/>
          <w:color w:val="auto"/>
          <w:kern w:val="2"/>
          <w:sz w:val="21"/>
          <w:szCs w:val="21"/>
          <w:highlight w:val="none"/>
          <w:lang w:val="en-US" w:eastAsia="zh-CN" w:bidi="ar-SA"/>
        </w:rPr>
        <w:t>满足生产所需的</w:t>
      </w:r>
      <w:r>
        <w:rPr>
          <w:rFonts w:hint="default" w:ascii="宋体" w:hAnsi="宋体" w:eastAsia="宋体" w:cs="宋体"/>
          <w:b w:val="0"/>
          <w:bCs w:val="0"/>
          <w:color w:val="auto"/>
          <w:kern w:val="2"/>
          <w:sz w:val="21"/>
          <w:szCs w:val="21"/>
          <w:highlight w:val="none"/>
          <w:lang w:val="en-US" w:eastAsia="zh-CN" w:bidi="ar-SA"/>
        </w:rPr>
        <w:t>拌合设备操作人</w:t>
      </w:r>
      <w:r>
        <w:rPr>
          <w:rFonts w:hint="eastAsia" w:ascii="宋体" w:hAnsi="宋体" w:eastAsia="宋体" w:cs="宋体"/>
          <w:b w:val="0"/>
          <w:bCs w:val="0"/>
          <w:color w:val="auto"/>
          <w:kern w:val="2"/>
          <w:sz w:val="21"/>
          <w:szCs w:val="21"/>
          <w:highlight w:val="none"/>
          <w:lang w:val="en-US" w:eastAsia="zh-CN" w:bidi="ar-SA"/>
        </w:rPr>
        <w:t>员</w:t>
      </w:r>
      <w:r>
        <w:rPr>
          <w:rFonts w:hint="default" w:ascii="宋体" w:hAnsi="宋体" w:eastAsia="宋体" w:cs="宋体"/>
          <w:b w:val="0"/>
          <w:bCs w:val="0"/>
          <w:color w:val="auto"/>
          <w:kern w:val="2"/>
          <w:sz w:val="21"/>
          <w:szCs w:val="21"/>
          <w:highlight w:val="none"/>
          <w:lang w:val="en-US" w:eastAsia="zh-CN" w:bidi="ar-SA"/>
        </w:rPr>
        <w:t>、设备维修人员及生产辅助人员，并确保设备维修保养及时，中途发生故障，确保在24小时内修复</w:t>
      </w:r>
      <w:r>
        <w:rPr>
          <w:rFonts w:hint="eastAsia" w:ascii="宋体" w:hAnsi="宋体" w:eastAsia="宋体" w:cs="宋体"/>
          <w:b w:val="0"/>
          <w:bCs w:val="0"/>
          <w:color w:val="auto"/>
          <w:kern w:val="2"/>
          <w:sz w:val="21"/>
          <w:szCs w:val="21"/>
          <w:highlight w:val="none"/>
          <w:lang w:val="en-US" w:eastAsia="zh-CN" w:bidi="ar-SA"/>
        </w:rPr>
        <w:t>。</w:t>
      </w:r>
    </w:p>
    <w:p>
      <w:pPr>
        <w:pStyle w:val="27"/>
        <w:keepNext w:val="0"/>
        <w:keepLines w:val="0"/>
        <w:pageBreakBefore w:val="0"/>
        <w:widowControl w:val="0"/>
        <w:numPr>
          <w:ilvl w:val="0"/>
          <w:numId w:val="0"/>
        </w:numPr>
        <w:kinsoku/>
        <w:wordWrap/>
        <w:overflowPunct/>
        <w:topLinePunct w:val="0"/>
        <w:bidi w:val="0"/>
        <w:snapToGrid/>
        <w:spacing w:line="360" w:lineRule="auto"/>
        <w:ind w:firstLine="422"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2.0 环保、消防、安全要求</w:t>
      </w:r>
    </w:p>
    <w:p>
      <w:pPr>
        <w:pStyle w:val="27"/>
        <w:keepNext w:val="0"/>
        <w:keepLines w:val="0"/>
        <w:pageBreakBefore w:val="0"/>
        <w:widowControl w:val="0"/>
        <w:numPr>
          <w:ilvl w:val="0"/>
          <w:numId w:val="0"/>
        </w:numPr>
        <w:kinsoku/>
        <w:wordWrap/>
        <w:overflowPunct/>
        <w:topLinePunct w:val="0"/>
        <w:bidi w:val="0"/>
        <w:snapToGrid/>
        <w:spacing w:line="360" w:lineRule="auto"/>
        <w:ind w:firstLine="420" w:firstLineChars="200"/>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投标人拌和站的设置必须符合国家有关环境保护、消防、安全等相关规定，不得因环保、消防、安全等问题影响招标人沥青混合料的生产加工，如因环保、消防及安全问题影响招标人沥青混合料正常生产，按违约处理。</w:t>
      </w:r>
    </w:p>
    <w:p>
      <w:pPr>
        <w:spacing w:line="360" w:lineRule="exact"/>
        <w:rPr>
          <w:b/>
          <w:color w:val="auto"/>
          <w:szCs w:val="21"/>
          <w:highlight w:val="none"/>
        </w:rPr>
      </w:pPr>
      <w:r>
        <w:rPr>
          <w:b/>
          <w:color w:val="auto"/>
          <w:szCs w:val="21"/>
          <w:highlight w:val="none"/>
        </w:rPr>
        <w:t>二、</w:t>
      </w:r>
      <w:r>
        <w:rPr>
          <w:rFonts w:hint="eastAsia"/>
          <w:b/>
          <w:color w:val="auto"/>
          <w:szCs w:val="21"/>
          <w:highlight w:val="none"/>
          <w:lang w:eastAsia="zh-CN"/>
        </w:rPr>
        <w:t>投标人</w:t>
      </w:r>
      <w:r>
        <w:rPr>
          <w:b/>
          <w:color w:val="auto"/>
          <w:szCs w:val="21"/>
          <w:highlight w:val="none"/>
        </w:rPr>
        <w:t>资</w:t>
      </w:r>
      <w:r>
        <w:rPr>
          <w:rFonts w:hint="eastAsia"/>
          <w:b/>
          <w:color w:val="auto"/>
          <w:szCs w:val="21"/>
          <w:highlight w:val="none"/>
        </w:rPr>
        <w:t>格</w:t>
      </w:r>
      <w:r>
        <w:rPr>
          <w:b/>
          <w:color w:val="auto"/>
          <w:szCs w:val="21"/>
          <w:highlight w:val="none"/>
        </w:rPr>
        <w:t>要求</w:t>
      </w:r>
      <w:r>
        <w:rPr>
          <w:rFonts w:hint="eastAsia"/>
          <w:b/>
          <w:color w:val="auto"/>
          <w:szCs w:val="21"/>
          <w:highlight w:val="none"/>
        </w:rPr>
        <w:t>：</w:t>
      </w:r>
    </w:p>
    <w:p>
      <w:pPr>
        <w:adjustRightInd w:val="0"/>
        <w:snapToGrid w:val="0"/>
        <w:spacing w:line="460" w:lineRule="exact"/>
        <w:ind w:firstLine="315" w:firstLineChars="150"/>
        <w:rPr>
          <w:rFonts w:hint="eastAsia" w:ascii="Times New Roman" w:hAnsi="Times New Roman" w:eastAsia="宋体" w:cs="Times New Roman"/>
          <w:color w:val="auto"/>
          <w:szCs w:val="21"/>
          <w:highlight w:val="none"/>
          <w:lang w:val="en-US" w:eastAsia="zh-CN"/>
        </w:rPr>
      </w:pPr>
      <w:r>
        <w:rPr>
          <w:rFonts w:hint="eastAsia"/>
          <w:color w:val="auto"/>
          <w:szCs w:val="21"/>
          <w:highlight w:val="none"/>
        </w:rPr>
        <w:t>（1）</w:t>
      </w:r>
      <w:r>
        <w:rPr>
          <w:rFonts w:hint="eastAsia"/>
          <w:color w:val="auto"/>
          <w:szCs w:val="21"/>
          <w:highlight w:val="none"/>
          <w:lang w:eastAsia="zh-CN"/>
        </w:rPr>
        <w:t>资质要求：</w:t>
      </w:r>
      <w:r>
        <w:rPr>
          <w:rFonts w:hint="eastAsia"/>
          <w:color w:val="auto"/>
          <w:szCs w:val="21"/>
          <w:highlight w:val="none"/>
          <w:lang w:val="en-US" w:eastAsia="zh-CN"/>
        </w:rPr>
        <w:t>须具备独立法人资格、具备有效的营业执照、拌和站型号及产量证明文件(拌和站铭牌照片或采购设备合同或采购拌和站发票),</w:t>
      </w:r>
      <w:r>
        <w:rPr>
          <w:rFonts w:hint="eastAsia" w:ascii="Times New Roman" w:hAnsi="Times New Roman" w:eastAsia="宋体" w:cs="Times New Roman"/>
          <w:color w:val="auto"/>
          <w:szCs w:val="21"/>
          <w:highlight w:val="none"/>
          <w:lang w:val="en-US" w:eastAsia="zh-CN"/>
        </w:rPr>
        <w:t>以上材料均只需提供复印件或扫描件即可。</w:t>
      </w:r>
    </w:p>
    <w:p>
      <w:pPr>
        <w:spacing w:line="360" w:lineRule="exact"/>
        <w:rPr>
          <w:b/>
          <w:color w:val="auto"/>
          <w:szCs w:val="21"/>
          <w:highlight w:val="none"/>
        </w:rPr>
      </w:pPr>
      <w:r>
        <w:rPr>
          <w:b/>
          <w:color w:val="auto"/>
          <w:szCs w:val="21"/>
          <w:highlight w:val="none"/>
        </w:rPr>
        <w:t>三、</w:t>
      </w:r>
      <w:r>
        <w:rPr>
          <w:rFonts w:hint="eastAsia"/>
          <w:b/>
          <w:color w:val="auto"/>
          <w:szCs w:val="21"/>
          <w:highlight w:val="none"/>
          <w:lang w:eastAsia="zh-CN"/>
        </w:rPr>
        <w:t>投标</w:t>
      </w:r>
      <w:r>
        <w:rPr>
          <w:b/>
          <w:color w:val="auto"/>
          <w:szCs w:val="21"/>
          <w:highlight w:val="none"/>
        </w:rPr>
        <w:t>文件的相关要求：</w:t>
      </w:r>
    </w:p>
    <w:p>
      <w:pPr>
        <w:spacing w:line="360" w:lineRule="exact"/>
        <w:ind w:firstLine="420" w:firstLineChars="200"/>
        <w:outlineLvl w:val="0"/>
        <w:rPr>
          <w:color w:val="auto"/>
          <w:szCs w:val="21"/>
          <w:highlight w:val="none"/>
        </w:rPr>
      </w:pPr>
      <w:r>
        <w:rPr>
          <w:rFonts w:hint="eastAsia"/>
          <w:color w:val="auto"/>
          <w:szCs w:val="21"/>
          <w:highlight w:val="none"/>
        </w:rPr>
        <w:t>1、竞标报价</w:t>
      </w:r>
      <w:r>
        <w:rPr>
          <w:color w:val="auto"/>
          <w:szCs w:val="21"/>
          <w:highlight w:val="none"/>
        </w:rPr>
        <w:t>说明</w:t>
      </w:r>
      <w:r>
        <w:rPr>
          <w:rFonts w:hint="eastAsia"/>
          <w:color w:val="auto"/>
          <w:szCs w:val="21"/>
          <w:highlight w:val="none"/>
        </w:rPr>
        <w:t>：</w:t>
      </w:r>
    </w:p>
    <w:p>
      <w:pPr>
        <w:spacing w:line="360" w:lineRule="exact"/>
        <w:ind w:firstLine="420" w:firstLineChars="200"/>
        <w:outlineLvl w:val="0"/>
        <w:rPr>
          <w:rFonts w:hint="eastAsia"/>
          <w:color w:val="auto"/>
          <w:szCs w:val="21"/>
          <w:highlight w:val="none"/>
        </w:rPr>
      </w:pPr>
      <w:r>
        <w:rPr>
          <w:rFonts w:hint="eastAsia"/>
          <w:color w:val="auto"/>
          <w:szCs w:val="21"/>
          <w:highlight w:val="none"/>
        </w:rPr>
        <w:t>（1）竞标报价为全费用综合单价。</w:t>
      </w:r>
      <w:r>
        <w:rPr>
          <w:rFonts w:hint="eastAsia"/>
          <w:color w:val="auto"/>
          <w:szCs w:val="21"/>
          <w:highlight w:val="none"/>
          <w:lang w:eastAsia="zh-CN"/>
        </w:rPr>
        <w:t>投标人</w:t>
      </w:r>
      <w:r>
        <w:rPr>
          <w:rFonts w:hint="eastAsia"/>
          <w:color w:val="auto"/>
          <w:szCs w:val="21"/>
          <w:highlight w:val="none"/>
        </w:rPr>
        <w:t>应提供合法有效且符合</w:t>
      </w:r>
      <w:r>
        <w:rPr>
          <w:rFonts w:hint="eastAsia"/>
          <w:color w:val="auto"/>
          <w:szCs w:val="21"/>
          <w:highlight w:val="none"/>
          <w:lang w:eastAsia="zh-CN"/>
        </w:rPr>
        <w:t>招标人</w:t>
      </w:r>
      <w:r>
        <w:rPr>
          <w:rFonts w:hint="eastAsia"/>
          <w:color w:val="auto"/>
          <w:szCs w:val="21"/>
          <w:highlight w:val="none"/>
        </w:rPr>
        <w:t>要求的增值税专用发票。因</w:t>
      </w:r>
      <w:r>
        <w:rPr>
          <w:rFonts w:hint="eastAsia"/>
          <w:color w:val="auto"/>
          <w:szCs w:val="21"/>
          <w:highlight w:val="none"/>
          <w:lang w:eastAsia="zh-CN"/>
        </w:rPr>
        <w:t>投标人</w:t>
      </w:r>
      <w:r>
        <w:rPr>
          <w:rFonts w:hint="eastAsia"/>
          <w:color w:val="auto"/>
          <w:szCs w:val="21"/>
          <w:highlight w:val="none"/>
        </w:rPr>
        <w:t>开具的发票不规范、不合法或涉嫌虚开发票引起税务问题的，</w:t>
      </w:r>
      <w:r>
        <w:rPr>
          <w:rFonts w:hint="eastAsia"/>
          <w:color w:val="auto"/>
          <w:szCs w:val="21"/>
          <w:highlight w:val="none"/>
          <w:lang w:eastAsia="zh-CN"/>
        </w:rPr>
        <w:t>投标人</w:t>
      </w:r>
      <w:r>
        <w:rPr>
          <w:rFonts w:hint="eastAsia"/>
          <w:color w:val="auto"/>
          <w:szCs w:val="21"/>
          <w:highlight w:val="none"/>
        </w:rPr>
        <w:t>需依法向</w:t>
      </w:r>
      <w:r>
        <w:rPr>
          <w:rFonts w:hint="eastAsia"/>
          <w:color w:val="auto"/>
          <w:szCs w:val="21"/>
          <w:highlight w:val="none"/>
          <w:lang w:eastAsia="zh-CN"/>
        </w:rPr>
        <w:t>招标人</w:t>
      </w:r>
      <w:r>
        <w:rPr>
          <w:rFonts w:hint="eastAsia"/>
          <w:color w:val="auto"/>
          <w:szCs w:val="21"/>
          <w:highlight w:val="none"/>
        </w:rPr>
        <w:t>重新开具发票，并向</w:t>
      </w:r>
      <w:r>
        <w:rPr>
          <w:rFonts w:hint="eastAsia"/>
          <w:color w:val="auto"/>
          <w:szCs w:val="21"/>
          <w:highlight w:val="none"/>
          <w:lang w:eastAsia="zh-CN"/>
        </w:rPr>
        <w:t>招标人</w:t>
      </w:r>
      <w:r>
        <w:rPr>
          <w:rFonts w:hint="eastAsia"/>
          <w:color w:val="auto"/>
          <w:szCs w:val="21"/>
          <w:highlight w:val="none"/>
        </w:rPr>
        <w:t>承担赔偿责任，包括但不限于税款、滞纳金、罚款及相关损失等。</w:t>
      </w:r>
    </w:p>
    <w:p>
      <w:pPr>
        <w:spacing w:line="360" w:lineRule="exact"/>
        <w:ind w:firstLine="420" w:firstLineChars="200"/>
        <w:outlineLvl w:val="0"/>
        <w:rPr>
          <w:rFonts w:hint="eastAsia"/>
          <w:color w:val="auto"/>
          <w:szCs w:val="21"/>
          <w:highlight w:val="none"/>
        </w:rPr>
      </w:pPr>
      <w:r>
        <w:rPr>
          <w:rFonts w:hint="eastAsia"/>
          <w:color w:val="auto"/>
          <w:szCs w:val="21"/>
          <w:highlight w:val="none"/>
          <w:lang w:eastAsia="zh-CN"/>
        </w:rPr>
        <w:t>投标人</w:t>
      </w:r>
      <w:r>
        <w:rPr>
          <w:rFonts w:hint="eastAsia"/>
          <w:color w:val="auto"/>
          <w:szCs w:val="21"/>
          <w:highlight w:val="none"/>
        </w:rPr>
        <w:t>应按照</w:t>
      </w:r>
      <w:r>
        <w:rPr>
          <w:rFonts w:hint="eastAsia"/>
          <w:color w:val="auto"/>
          <w:szCs w:val="21"/>
          <w:highlight w:val="none"/>
          <w:lang w:eastAsia="zh-CN"/>
        </w:rPr>
        <w:t>招标人</w:t>
      </w:r>
      <w:r>
        <w:rPr>
          <w:rFonts w:hint="eastAsia"/>
          <w:color w:val="auto"/>
          <w:szCs w:val="21"/>
          <w:highlight w:val="none"/>
        </w:rPr>
        <w:t>要求，及时向</w:t>
      </w:r>
      <w:r>
        <w:rPr>
          <w:rFonts w:hint="eastAsia"/>
          <w:color w:val="auto"/>
          <w:szCs w:val="21"/>
          <w:highlight w:val="none"/>
          <w:lang w:eastAsia="zh-CN"/>
        </w:rPr>
        <w:t>招标人</w:t>
      </w:r>
      <w:r>
        <w:rPr>
          <w:rFonts w:hint="eastAsia"/>
          <w:color w:val="auto"/>
          <w:szCs w:val="21"/>
          <w:highlight w:val="none"/>
        </w:rPr>
        <w:t>开具可以抵扣税款的增值税专用发票。因</w:t>
      </w:r>
      <w:r>
        <w:rPr>
          <w:rFonts w:hint="eastAsia"/>
          <w:color w:val="auto"/>
          <w:szCs w:val="21"/>
          <w:highlight w:val="none"/>
          <w:lang w:eastAsia="zh-CN"/>
        </w:rPr>
        <w:t>投标人</w:t>
      </w:r>
      <w:r>
        <w:rPr>
          <w:rFonts w:hint="eastAsia"/>
          <w:color w:val="auto"/>
          <w:szCs w:val="21"/>
          <w:highlight w:val="none"/>
        </w:rPr>
        <w:t>开具发票不及时给</w:t>
      </w:r>
      <w:r>
        <w:rPr>
          <w:rFonts w:hint="eastAsia"/>
          <w:color w:val="auto"/>
          <w:szCs w:val="21"/>
          <w:highlight w:val="none"/>
          <w:lang w:eastAsia="zh-CN"/>
        </w:rPr>
        <w:t>招标人</w:t>
      </w:r>
      <w:r>
        <w:rPr>
          <w:rFonts w:hint="eastAsia"/>
          <w:color w:val="auto"/>
          <w:szCs w:val="21"/>
          <w:highlight w:val="none"/>
        </w:rPr>
        <w:t>造成无法及时认证、抵扣发票等情形的，</w:t>
      </w:r>
      <w:r>
        <w:rPr>
          <w:rFonts w:hint="eastAsia"/>
          <w:color w:val="auto"/>
          <w:szCs w:val="21"/>
          <w:highlight w:val="none"/>
          <w:lang w:eastAsia="zh-CN"/>
        </w:rPr>
        <w:t>投标人</w:t>
      </w:r>
      <w:r>
        <w:rPr>
          <w:rFonts w:hint="eastAsia"/>
          <w:color w:val="auto"/>
          <w:szCs w:val="21"/>
          <w:highlight w:val="none"/>
        </w:rPr>
        <w:t>需向</w:t>
      </w:r>
      <w:r>
        <w:rPr>
          <w:rFonts w:hint="eastAsia"/>
          <w:color w:val="auto"/>
          <w:szCs w:val="21"/>
          <w:highlight w:val="none"/>
          <w:lang w:eastAsia="zh-CN"/>
        </w:rPr>
        <w:t>招标人</w:t>
      </w:r>
      <w:r>
        <w:rPr>
          <w:rFonts w:hint="eastAsia"/>
          <w:color w:val="auto"/>
          <w:szCs w:val="21"/>
          <w:highlight w:val="none"/>
        </w:rPr>
        <w:t>承担赔偿责任，包括但不限于税款、滞纳金、罚款及相关损失等。</w:t>
      </w:r>
    </w:p>
    <w:p>
      <w:pPr>
        <w:numPr>
          <w:ilvl w:val="0"/>
          <w:numId w:val="2"/>
        </w:numPr>
        <w:spacing w:line="360" w:lineRule="exact"/>
        <w:ind w:firstLine="420" w:firstLineChars="200"/>
        <w:outlineLvl w:val="0"/>
        <w:rPr>
          <w:rFonts w:hint="eastAsia"/>
          <w:color w:val="auto"/>
          <w:highlight w:val="none"/>
        </w:rPr>
      </w:pPr>
      <w:r>
        <w:rPr>
          <w:rFonts w:hint="eastAsia"/>
          <w:color w:val="auto"/>
          <w:szCs w:val="21"/>
          <w:highlight w:val="none"/>
        </w:rPr>
        <w:t>报价表中的工程量为</w:t>
      </w:r>
      <w:r>
        <w:rPr>
          <w:rFonts w:hint="eastAsia"/>
          <w:color w:val="auto"/>
          <w:szCs w:val="21"/>
          <w:highlight w:val="none"/>
          <w:lang w:eastAsia="zh-CN"/>
        </w:rPr>
        <w:t>招标人</w:t>
      </w:r>
      <w:r>
        <w:rPr>
          <w:rFonts w:hint="eastAsia"/>
          <w:color w:val="auto"/>
          <w:szCs w:val="21"/>
          <w:highlight w:val="none"/>
        </w:rPr>
        <w:t>暂估量，如实际工程量与暂估量有出入，则该出入部分工程量单价按签约合同单价计量。</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kern w:val="2"/>
          <w:sz w:val="21"/>
          <w:szCs w:val="21"/>
          <w:highlight w:val="none"/>
          <w:lang w:val="en-US" w:eastAsia="zh-CN" w:bidi="ar-SA"/>
        </w:rPr>
        <w:t>（3）</w:t>
      </w:r>
      <w:r>
        <w:rPr>
          <w:rFonts w:hint="eastAsia" w:ascii="Times New Roman" w:hAnsi="Times New Roman" w:eastAsia="宋体" w:cs="Times New Roman"/>
          <w:color w:val="auto"/>
          <w:szCs w:val="21"/>
          <w:highlight w:val="none"/>
        </w:rPr>
        <w:t>履约担保的形式：由成交候选人自主选择银行保函或者现金支付形式。</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0"/>
        <w:rPr>
          <w:rFonts w:hint="eastAsia" w:ascii="Times New Roman" w:hAnsi="Times New Roman" w:eastAsia="宋体" w:cs="Times New Roman"/>
          <w:color w:val="auto"/>
          <w:szCs w:val="21"/>
          <w:highlight w:val="yellow"/>
        </w:rPr>
      </w:pPr>
      <w:r>
        <w:rPr>
          <w:rFonts w:hint="eastAsia" w:ascii="Times New Roman" w:hAnsi="Times New Roman" w:eastAsia="宋体" w:cs="Times New Roman"/>
          <w:color w:val="auto"/>
          <w:szCs w:val="21"/>
          <w:highlight w:val="none"/>
        </w:rPr>
        <w:t xml:space="preserve">         履约保证金金额：</w:t>
      </w:r>
      <w:r>
        <w:rPr>
          <w:rFonts w:hint="eastAsia" w:ascii="Times New Roman" w:hAnsi="Times New Roman" w:eastAsia="宋体" w:cs="Times New Roman"/>
          <w:color w:val="auto"/>
          <w:szCs w:val="21"/>
          <w:highlight w:val="none"/>
          <w:lang w:val="en-US" w:eastAsia="zh-CN"/>
        </w:rPr>
        <w:t>30</w:t>
      </w:r>
      <w:r>
        <w:rPr>
          <w:rFonts w:hint="eastAsia" w:ascii="Times New Roman" w:hAnsi="Times New Roman" w:eastAsia="宋体" w:cs="Times New Roman"/>
          <w:color w:val="auto"/>
          <w:szCs w:val="21"/>
          <w:highlight w:val="none"/>
        </w:rPr>
        <w:t>万元</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0"/>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rPr>
        <w:t>若为保函，出具保函的银行应为国有商业银行或股份制商业银行支行或分行，成交候选人应保证其履约担保在合同工期内一直有效。</w:t>
      </w:r>
    </w:p>
    <w:p>
      <w:pPr>
        <w:spacing w:line="360" w:lineRule="exact"/>
        <w:ind w:firstLine="420" w:firstLineChars="200"/>
        <w:outlineLvl w:val="0"/>
        <w:rPr>
          <w:rFonts w:hint="eastAsia"/>
          <w:color w:val="auto"/>
          <w:szCs w:val="21"/>
          <w:highlight w:val="none"/>
        </w:rPr>
      </w:pPr>
      <w:r>
        <w:rPr>
          <w:rFonts w:hint="eastAsia"/>
          <w:color w:val="auto"/>
          <w:szCs w:val="21"/>
          <w:highlight w:val="none"/>
        </w:rPr>
        <w:t>（</w:t>
      </w:r>
      <w:r>
        <w:rPr>
          <w:rFonts w:hint="eastAsia"/>
          <w:color w:val="auto"/>
          <w:szCs w:val="21"/>
          <w:highlight w:val="none"/>
          <w:lang w:val="en-US" w:eastAsia="zh-CN"/>
        </w:rPr>
        <w:t>4</w:t>
      </w:r>
      <w:r>
        <w:rPr>
          <w:rFonts w:hint="eastAsia"/>
          <w:color w:val="auto"/>
          <w:szCs w:val="21"/>
          <w:highlight w:val="none"/>
        </w:rPr>
        <w:t>）本项目最高总限价为：</w:t>
      </w:r>
      <w:r>
        <w:rPr>
          <w:rFonts w:hint="eastAsia"/>
          <w:color w:val="auto"/>
          <w:szCs w:val="21"/>
          <w:highlight w:val="none"/>
          <w:lang w:val="en-US" w:eastAsia="zh-CN"/>
        </w:rPr>
        <w:t>5890000</w:t>
      </w:r>
      <w:r>
        <w:rPr>
          <w:rFonts w:hint="eastAsia"/>
          <w:color w:val="auto"/>
          <w:szCs w:val="21"/>
          <w:highlight w:val="none"/>
        </w:rPr>
        <w:t>元</w:t>
      </w:r>
      <w:r>
        <w:rPr>
          <w:rFonts w:hint="eastAsia"/>
          <w:color w:val="auto"/>
          <w:szCs w:val="21"/>
          <w:highlight w:val="none"/>
          <w:lang w:val="en-US" w:eastAsia="zh-CN"/>
        </w:rPr>
        <w:t xml:space="preserve"> </w:t>
      </w:r>
      <w:r>
        <w:rPr>
          <w:rFonts w:hint="eastAsia"/>
          <w:color w:val="auto"/>
          <w:szCs w:val="21"/>
          <w:highlight w:val="none"/>
        </w:rPr>
        <w:t>（大写：</w:t>
      </w:r>
      <w:r>
        <w:rPr>
          <w:rFonts w:hint="eastAsia"/>
          <w:color w:val="auto"/>
          <w:szCs w:val="21"/>
          <w:highlight w:val="none"/>
          <w:lang w:val="en-US" w:eastAsia="zh-CN"/>
        </w:rPr>
        <w:t>伍佰捌拾玖万元整</w:t>
      </w:r>
      <w:r>
        <w:rPr>
          <w:rFonts w:hint="eastAsia"/>
          <w:color w:val="auto"/>
          <w:szCs w:val="21"/>
          <w:highlight w:val="none"/>
        </w:rPr>
        <w:t>）</w:t>
      </w:r>
      <w:r>
        <w:rPr>
          <w:rFonts w:hint="eastAsia"/>
          <w:color w:val="auto"/>
          <w:szCs w:val="21"/>
          <w:highlight w:val="none"/>
          <w:lang w:eastAsia="zh-CN"/>
        </w:rPr>
        <w:t>，具体详见格式“五、</w:t>
      </w:r>
      <w:r>
        <w:rPr>
          <w:rFonts w:hint="eastAsia"/>
          <w:color w:val="auto"/>
          <w:szCs w:val="21"/>
          <w:highlight w:val="none"/>
        </w:rPr>
        <w:t>已标价报价清单</w:t>
      </w:r>
      <w:r>
        <w:rPr>
          <w:rFonts w:hint="eastAsia"/>
          <w:color w:val="auto"/>
          <w:szCs w:val="21"/>
          <w:highlight w:val="none"/>
          <w:lang w:eastAsia="zh-CN"/>
        </w:rPr>
        <w:t>”</w:t>
      </w:r>
      <w:r>
        <w:rPr>
          <w:rFonts w:hint="eastAsia"/>
          <w:color w:val="auto"/>
          <w:szCs w:val="21"/>
          <w:highlight w:val="none"/>
        </w:rPr>
        <w:t>。</w:t>
      </w:r>
    </w:p>
    <w:p>
      <w:pPr>
        <w:spacing w:line="360" w:lineRule="exact"/>
        <w:ind w:firstLine="420" w:firstLineChars="200"/>
        <w:outlineLvl w:val="0"/>
        <w:rPr>
          <w:rFonts w:hint="eastAsia"/>
          <w:color w:val="auto"/>
          <w:szCs w:val="21"/>
          <w:highlight w:val="none"/>
        </w:rPr>
      </w:pPr>
      <w:r>
        <w:rPr>
          <w:rFonts w:hint="eastAsia"/>
          <w:color w:val="auto"/>
          <w:szCs w:val="21"/>
          <w:highlight w:val="none"/>
        </w:rPr>
        <w:t>注：</w:t>
      </w:r>
      <w:r>
        <w:rPr>
          <w:rFonts w:hint="eastAsia"/>
          <w:color w:val="auto"/>
          <w:szCs w:val="21"/>
          <w:highlight w:val="none"/>
          <w:lang w:eastAsia="zh-CN"/>
        </w:rPr>
        <w:t>投标人</w:t>
      </w:r>
      <w:r>
        <w:rPr>
          <w:rFonts w:hint="eastAsia"/>
          <w:color w:val="auto"/>
          <w:szCs w:val="21"/>
          <w:highlight w:val="none"/>
        </w:rPr>
        <w:t>的竞标报价均不得超过</w:t>
      </w:r>
      <w:r>
        <w:rPr>
          <w:rFonts w:hint="eastAsia"/>
          <w:color w:val="auto"/>
          <w:szCs w:val="21"/>
          <w:highlight w:val="none"/>
          <w:lang w:eastAsia="zh-CN"/>
        </w:rPr>
        <w:t>招标人</w:t>
      </w:r>
      <w:r>
        <w:rPr>
          <w:rFonts w:hint="eastAsia"/>
          <w:color w:val="auto"/>
          <w:szCs w:val="21"/>
          <w:highlight w:val="none"/>
        </w:rPr>
        <w:t>公布的</w:t>
      </w:r>
      <w:r>
        <w:rPr>
          <w:rFonts w:hint="eastAsia"/>
          <w:color w:val="auto"/>
          <w:szCs w:val="21"/>
          <w:highlight w:val="none"/>
          <w:lang w:eastAsia="zh-CN"/>
        </w:rPr>
        <w:t>相应</w:t>
      </w:r>
      <w:r>
        <w:rPr>
          <w:rFonts w:hint="eastAsia"/>
          <w:color w:val="auto"/>
          <w:szCs w:val="21"/>
          <w:highlight w:val="none"/>
        </w:rPr>
        <w:t>最高限价否则均为无效竞标</w:t>
      </w:r>
      <w:r>
        <w:rPr>
          <w:rFonts w:hint="eastAsia"/>
          <w:color w:val="auto"/>
          <w:szCs w:val="21"/>
          <w:highlight w:val="none"/>
          <w:lang w:eastAsia="zh-CN"/>
        </w:rPr>
        <w:t>（</w:t>
      </w:r>
      <w:r>
        <w:rPr>
          <w:rFonts w:hint="eastAsia"/>
          <w:color w:val="auto"/>
          <w:szCs w:val="21"/>
          <w:highlight w:val="none"/>
          <w:lang w:val="en-US" w:eastAsia="zh-CN"/>
        </w:rPr>
        <w:t>如有单价限价，投标人所报的单价不能超过单价限价</w:t>
      </w:r>
      <w:r>
        <w:rPr>
          <w:rFonts w:hint="eastAsia"/>
          <w:color w:val="auto"/>
          <w:szCs w:val="21"/>
          <w:highlight w:val="none"/>
          <w:lang w:eastAsia="zh-CN"/>
        </w:rPr>
        <w:t>）</w:t>
      </w:r>
      <w:r>
        <w:rPr>
          <w:rFonts w:hint="eastAsia"/>
          <w:color w:val="auto"/>
          <w:szCs w:val="21"/>
          <w:highlight w:val="none"/>
        </w:rPr>
        <w:t>。</w:t>
      </w:r>
    </w:p>
    <w:p>
      <w:pPr>
        <w:spacing w:line="360" w:lineRule="exact"/>
        <w:ind w:firstLine="420" w:firstLineChars="200"/>
        <w:rPr>
          <w:rFonts w:hint="default"/>
          <w:color w:val="auto"/>
          <w:szCs w:val="21"/>
          <w:highlight w:val="none"/>
          <w:lang w:val="en-US"/>
        </w:rPr>
      </w:pPr>
      <w:r>
        <w:rPr>
          <w:rFonts w:hint="eastAsia"/>
          <w:color w:val="auto"/>
          <w:szCs w:val="21"/>
          <w:highlight w:val="none"/>
        </w:rPr>
        <w:t>2、</w:t>
      </w:r>
      <w:r>
        <w:rPr>
          <w:rFonts w:hint="eastAsia"/>
          <w:color w:val="auto"/>
          <w:szCs w:val="21"/>
          <w:highlight w:val="none"/>
          <w:lang w:val="en-US" w:eastAsia="zh-CN"/>
        </w:rPr>
        <w:t>货物或服务的</w:t>
      </w:r>
      <w:r>
        <w:rPr>
          <w:rFonts w:hint="eastAsia"/>
          <w:color w:val="auto"/>
          <w:szCs w:val="21"/>
          <w:highlight w:val="none"/>
        </w:rPr>
        <w:t>要求：</w:t>
      </w:r>
      <w:r>
        <w:rPr>
          <w:rFonts w:hint="eastAsia"/>
          <w:color w:val="auto"/>
          <w:szCs w:val="21"/>
          <w:highlight w:val="none"/>
          <w:lang w:val="en-US" w:eastAsia="zh-CN"/>
        </w:rPr>
        <w:t>投标人所供沥青混合料必须达到或高于招标人技术指标要求，且每次实际生产加工数量及时间按照招标人通知为准。</w:t>
      </w:r>
    </w:p>
    <w:p>
      <w:pPr>
        <w:spacing w:line="360" w:lineRule="exact"/>
        <w:ind w:firstLine="420" w:firstLineChars="200"/>
        <w:rPr>
          <w:color w:val="auto"/>
          <w:szCs w:val="21"/>
          <w:highlight w:val="none"/>
        </w:rPr>
      </w:pPr>
      <w:r>
        <w:rPr>
          <w:rFonts w:hint="eastAsia"/>
          <w:color w:val="auto"/>
          <w:szCs w:val="21"/>
          <w:highlight w:val="none"/>
          <w:lang w:val="en-US" w:eastAsia="zh-CN"/>
        </w:rPr>
        <w:t>3、</w:t>
      </w:r>
      <w:r>
        <w:rPr>
          <w:color w:val="auto"/>
          <w:szCs w:val="21"/>
          <w:highlight w:val="none"/>
        </w:rPr>
        <w:t>本次</w:t>
      </w:r>
      <w:r>
        <w:rPr>
          <w:rFonts w:hint="eastAsia"/>
          <w:color w:val="auto"/>
          <w:szCs w:val="21"/>
          <w:highlight w:val="none"/>
          <w:lang w:eastAsia="zh-CN"/>
        </w:rPr>
        <w:t>投标</w:t>
      </w:r>
      <w:r>
        <w:rPr>
          <w:color w:val="auto"/>
          <w:szCs w:val="21"/>
          <w:highlight w:val="none"/>
        </w:rPr>
        <w:t>文件的组成：</w:t>
      </w:r>
    </w:p>
    <w:p>
      <w:pPr>
        <w:spacing w:line="360" w:lineRule="exact"/>
        <w:ind w:firstLine="422" w:firstLineChars="200"/>
        <w:rPr>
          <w:rFonts w:hint="default" w:eastAsia="宋体"/>
          <w:b/>
          <w:bCs/>
          <w:color w:val="auto"/>
          <w:szCs w:val="21"/>
          <w:highlight w:val="none"/>
          <w:lang w:val="en-US" w:eastAsia="zh-CN"/>
        </w:rPr>
      </w:pPr>
      <w:r>
        <w:rPr>
          <w:rFonts w:hint="eastAsia"/>
          <w:b/>
          <w:bCs/>
          <w:color w:val="auto"/>
          <w:szCs w:val="21"/>
          <w:highlight w:val="none"/>
          <w:lang w:val="en-US" w:eastAsia="zh-CN"/>
        </w:rPr>
        <w:t>按招标文件格式编制。</w:t>
      </w:r>
    </w:p>
    <w:p>
      <w:pPr>
        <w:spacing w:line="360" w:lineRule="exact"/>
        <w:ind w:firstLine="422" w:firstLineChars="200"/>
        <w:rPr>
          <w:rFonts w:hint="eastAsia"/>
          <w:b/>
          <w:bCs/>
          <w:color w:val="auto"/>
          <w:szCs w:val="21"/>
          <w:highlight w:val="none"/>
        </w:rPr>
      </w:pPr>
      <w:r>
        <w:rPr>
          <w:rFonts w:hint="eastAsia"/>
          <w:b/>
          <w:bCs/>
          <w:color w:val="auto"/>
          <w:szCs w:val="21"/>
          <w:highlight w:val="none"/>
        </w:rPr>
        <w:t>（注：以上所有文件须加盖单位公章）</w:t>
      </w:r>
    </w:p>
    <w:p>
      <w:pPr>
        <w:spacing w:line="360" w:lineRule="exact"/>
        <w:ind w:firstLine="420" w:firstLineChars="200"/>
        <w:rPr>
          <w:rFonts w:hint="eastAsia" w:eastAsia="宋体"/>
          <w:color w:val="auto"/>
          <w:szCs w:val="21"/>
          <w:highlight w:val="none"/>
          <w:lang w:eastAsia="zh-CN"/>
        </w:rPr>
      </w:pPr>
      <w:r>
        <w:rPr>
          <w:rFonts w:hint="eastAsia"/>
          <w:color w:val="auto"/>
          <w:szCs w:val="21"/>
          <w:highlight w:val="none"/>
          <w:lang w:val="en-US" w:eastAsia="zh-CN"/>
        </w:rPr>
        <w:t>5、</w:t>
      </w:r>
      <w:r>
        <w:rPr>
          <w:rFonts w:hint="eastAsia"/>
          <w:color w:val="auto"/>
          <w:szCs w:val="21"/>
          <w:highlight w:val="none"/>
          <w:lang w:eastAsia="zh-CN"/>
        </w:rPr>
        <w:t>投标</w:t>
      </w:r>
      <w:r>
        <w:rPr>
          <w:color w:val="auto"/>
          <w:szCs w:val="21"/>
          <w:highlight w:val="none"/>
        </w:rPr>
        <w:t>文件的份数及编制要求</w:t>
      </w:r>
      <w:r>
        <w:rPr>
          <w:rFonts w:hint="eastAsia"/>
          <w:color w:val="auto"/>
          <w:szCs w:val="21"/>
          <w:highlight w:val="none"/>
          <w:lang w:eastAsia="zh-CN"/>
        </w:rPr>
        <w:t>：</w:t>
      </w:r>
    </w:p>
    <w:p>
      <w:pPr>
        <w:spacing w:line="360" w:lineRule="exact"/>
        <w:ind w:firstLine="420" w:firstLineChars="200"/>
        <w:rPr>
          <w:rFonts w:hint="eastAsia"/>
          <w:color w:val="auto"/>
          <w:szCs w:val="21"/>
          <w:highlight w:val="none"/>
        </w:rPr>
      </w:pPr>
      <w:r>
        <w:rPr>
          <w:rFonts w:hint="eastAsia"/>
          <w:color w:val="auto"/>
          <w:szCs w:val="21"/>
          <w:highlight w:val="none"/>
          <w:lang w:eastAsia="zh-CN"/>
        </w:rPr>
        <w:t>投标</w:t>
      </w:r>
      <w:r>
        <w:rPr>
          <w:rFonts w:hint="eastAsia"/>
          <w:color w:val="auto"/>
          <w:szCs w:val="21"/>
          <w:highlight w:val="none"/>
        </w:rPr>
        <w:t>文件</w:t>
      </w:r>
      <w:r>
        <w:rPr>
          <w:rFonts w:hint="eastAsia"/>
          <w:b/>
          <w:bCs/>
          <w:color w:val="auto"/>
          <w:szCs w:val="21"/>
          <w:highlight w:val="none"/>
          <w:lang w:val="en-US" w:eastAsia="zh-CN"/>
        </w:rPr>
        <w:t>1</w:t>
      </w:r>
      <w:r>
        <w:rPr>
          <w:rFonts w:hint="eastAsia"/>
          <w:b/>
          <w:bCs/>
          <w:color w:val="auto"/>
          <w:szCs w:val="21"/>
          <w:highlight w:val="none"/>
        </w:rPr>
        <w:t>份</w:t>
      </w:r>
      <w:r>
        <w:rPr>
          <w:rFonts w:hint="eastAsia"/>
          <w:color w:val="auto"/>
          <w:szCs w:val="21"/>
          <w:highlight w:val="none"/>
        </w:rPr>
        <w:t>，</w:t>
      </w:r>
      <w:r>
        <w:rPr>
          <w:rFonts w:hint="eastAsia"/>
          <w:color w:val="auto"/>
          <w:szCs w:val="21"/>
          <w:highlight w:val="none"/>
          <w:lang w:eastAsia="zh-CN"/>
        </w:rPr>
        <w:t>投标</w:t>
      </w:r>
      <w:r>
        <w:rPr>
          <w:rFonts w:hint="eastAsia"/>
          <w:color w:val="auto"/>
          <w:szCs w:val="21"/>
          <w:highlight w:val="none"/>
        </w:rPr>
        <w:t>文件按</w:t>
      </w:r>
      <w:r>
        <w:rPr>
          <w:rFonts w:hint="eastAsia"/>
          <w:color w:val="auto"/>
          <w:szCs w:val="21"/>
          <w:highlight w:val="none"/>
          <w:lang w:eastAsia="zh-CN"/>
        </w:rPr>
        <w:t>招标</w:t>
      </w:r>
      <w:r>
        <w:rPr>
          <w:rFonts w:hint="eastAsia"/>
          <w:color w:val="auto"/>
          <w:szCs w:val="21"/>
          <w:highlight w:val="none"/>
        </w:rPr>
        <w:t>文件中规定格式排版。</w:t>
      </w:r>
    </w:p>
    <w:p>
      <w:pPr>
        <w:spacing w:line="360" w:lineRule="auto"/>
        <w:rPr>
          <w:rFonts w:hint="eastAsia" w:ascii="宋体" w:hAnsi="宋体" w:eastAsia="宋体" w:cs="宋体"/>
          <w:b/>
          <w:color w:val="auto"/>
          <w:sz w:val="21"/>
          <w:szCs w:val="21"/>
          <w:highlight w:val="none"/>
          <w:lang w:eastAsia="zh-CN"/>
        </w:rPr>
      </w:pPr>
      <w:r>
        <w:rPr>
          <w:rFonts w:hint="eastAsia" w:ascii="宋体" w:hAnsi="宋体" w:cs="宋体"/>
          <w:b/>
          <w:color w:val="auto"/>
          <w:szCs w:val="21"/>
          <w:highlight w:val="none"/>
          <w:lang w:val="en-US" w:eastAsia="zh-CN"/>
        </w:rPr>
        <w:t>四、</w:t>
      </w:r>
      <w:r>
        <w:rPr>
          <w:rFonts w:hint="eastAsia" w:ascii="宋体" w:hAnsi="宋体" w:cs="宋体"/>
          <w:b/>
          <w:color w:val="auto"/>
          <w:sz w:val="21"/>
          <w:szCs w:val="21"/>
          <w:highlight w:val="none"/>
        </w:rPr>
        <w:t>评标办法</w:t>
      </w:r>
      <w:r>
        <w:rPr>
          <w:rFonts w:hint="eastAsia" w:ascii="宋体" w:hAnsi="宋体" w:cs="宋体"/>
          <w:bCs/>
          <w:color w:val="auto"/>
          <w:sz w:val="21"/>
          <w:szCs w:val="21"/>
          <w:highlight w:val="none"/>
        </w:rPr>
        <w:t>（</w:t>
      </w:r>
      <w:r>
        <w:rPr>
          <w:rFonts w:hint="eastAsia" w:ascii="宋体" w:hAnsi="宋体"/>
          <w:bCs/>
          <w:color w:val="auto"/>
          <w:sz w:val="21"/>
          <w:szCs w:val="21"/>
          <w:highlight w:val="none"/>
        </w:rPr>
        <w:t>本项目</w:t>
      </w:r>
      <w:r>
        <w:rPr>
          <w:rFonts w:hint="eastAsia" w:ascii="宋体" w:hAnsi="宋体"/>
          <w:bCs/>
          <w:color w:val="auto"/>
          <w:sz w:val="21"/>
          <w:szCs w:val="21"/>
          <w:highlight w:val="none"/>
          <w:lang w:eastAsia="zh-CN"/>
        </w:rPr>
        <w:t>采用</w:t>
      </w:r>
      <w:r>
        <w:rPr>
          <w:rFonts w:hint="eastAsia" w:ascii="宋体" w:hAnsi="宋体"/>
          <w:bCs/>
          <w:color w:val="auto"/>
          <w:sz w:val="21"/>
          <w:szCs w:val="21"/>
          <w:highlight w:val="none"/>
          <w:lang w:val="en-US" w:eastAsia="zh-CN"/>
        </w:rPr>
        <w:t>经评审的最低价法</w:t>
      </w:r>
      <w:r>
        <w:rPr>
          <w:rFonts w:hint="eastAsia" w:ascii="宋体" w:hAnsi="宋体" w:cs="宋体"/>
          <w:bCs/>
          <w:color w:val="auto"/>
          <w:sz w:val="21"/>
          <w:szCs w:val="21"/>
          <w:highlight w:val="none"/>
        </w:rPr>
        <w:t>）：</w:t>
      </w:r>
      <w:r>
        <w:rPr>
          <w:rFonts w:hint="eastAsia" w:ascii="宋体" w:hAnsi="宋体"/>
          <w:bCs/>
          <w:color w:val="auto"/>
          <w:sz w:val="21"/>
          <w:szCs w:val="21"/>
          <w:highlight w:val="none"/>
        </w:rPr>
        <w:t>本项目采用经评审的最低</w:t>
      </w:r>
      <w:r>
        <w:rPr>
          <w:rFonts w:hint="eastAsia"/>
          <w:color w:val="auto"/>
          <w:sz w:val="21"/>
          <w:szCs w:val="21"/>
          <w:highlight w:val="none"/>
        </w:rPr>
        <w:t>价法，</w:t>
      </w:r>
      <w:r>
        <w:rPr>
          <w:rFonts w:hint="eastAsia"/>
          <w:b/>
          <w:bCs/>
          <w:color w:val="auto"/>
          <w:sz w:val="21"/>
          <w:szCs w:val="21"/>
          <w:highlight w:val="none"/>
        </w:rPr>
        <w:t>评标标准按（</w:t>
      </w:r>
      <w:r>
        <w:rPr>
          <w:rFonts w:hint="eastAsia"/>
          <w:b/>
          <w:bCs/>
          <w:color w:val="auto"/>
          <w:sz w:val="21"/>
          <w:szCs w:val="21"/>
          <w:highlight w:val="none"/>
          <w:lang w:eastAsia="zh-CN"/>
        </w:rPr>
        <w:t>投标人</w:t>
      </w:r>
      <w:r>
        <w:rPr>
          <w:rFonts w:hint="eastAsia"/>
          <w:b/>
          <w:bCs/>
          <w:color w:val="auto"/>
          <w:sz w:val="21"/>
          <w:szCs w:val="21"/>
          <w:highlight w:val="none"/>
        </w:rPr>
        <w:t>拌合站沥青混合料出厂单价+</w:t>
      </w:r>
      <w:r>
        <w:rPr>
          <w:rFonts w:hint="eastAsia"/>
          <w:b/>
          <w:bCs/>
          <w:color w:val="auto"/>
          <w:sz w:val="21"/>
          <w:szCs w:val="21"/>
          <w:highlight w:val="none"/>
          <w:lang w:eastAsia="zh-CN"/>
        </w:rPr>
        <w:t>招标人</w:t>
      </w:r>
      <w:r>
        <w:rPr>
          <w:rFonts w:hint="eastAsia"/>
          <w:b/>
          <w:bCs/>
          <w:color w:val="auto"/>
          <w:sz w:val="21"/>
          <w:szCs w:val="21"/>
          <w:highlight w:val="none"/>
        </w:rPr>
        <w:t>运输单价（详见</w:t>
      </w:r>
      <w:r>
        <w:rPr>
          <w:rFonts w:hint="eastAsia"/>
          <w:b/>
          <w:bCs/>
          <w:color w:val="auto"/>
          <w:sz w:val="21"/>
          <w:szCs w:val="21"/>
          <w:highlight w:val="none"/>
          <w:lang w:eastAsia="zh-CN"/>
        </w:rPr>
        <w:t>评标</w:t>
      </w:r>
      <w:r>
        <w:rPr>
          <w:rFonts w:hint="eastAsia"/>
          <w:b/>
          <w:bCs/>
          <w:color w:val="auto"/>
          <w:sz w:val="21"/>
          <w:szCs w:val="21"/>
          <w:highlight w:val="none"/>
        </w:rPr>
        <w:t>附件）*拌合站距指定地点（</w:t>
      </w:r>
      <w:r>
        <w:rPr>
          <w:rFonts w:hint="eastAsia"/>
          <w:b/>
          <w:bCs/>
          <w:color w:val="auto"/>
          <w:sz w:val="21"/>
          <w:szCs w:val="21"/>
          <w:highlight w:val="none"/>
          <w:lang w:eastAsia="zh-CN"/>
        </w:rPr>
        <w:t>新龙湾立交</w:t>
      </w:r>
      <w:r>
        <w:rPr>
          <w:rFonts w:hint="eastAsia"/>
          <w:b/>
          <w:bCs/>
          <w:color w:val="auto"/>
          <w:sz w:val="21"/>
          <w:szCs w:val="21"/>
          <w:highlight w:val="none"/>
        </w:rPr>
        <w:t>）重载运距公里数）*沥青混合料预计生产量吨位进行评标</w:t>
      </w:r>
      <w:r>
        <w:rPr>
          <w:rFonts w:hint="eastAsia"/>
          <w:color w:val="auto"/>
          <w:sz w:val="21"/>
          <w:szCs w:val="21"/>
          <w:highlight w:val="none"/>
        </w:rPr>
        <w:t>。在满足</w:t>
      </w:r>
      <w:r>
        <w:rPr>
          <w:rFonts w:hint="eastAsia"/>
          <w:color w:val="auto"/>
          <w:sz w:val="21"/>
          <w:szCs w:val="21"/>
          <w:highlight w:val="none"/>
          <w:lang w:eastAsia="zh-CN"/>
        </w:rPr>
        <w:t>招标</w:t>
      </w:r>
      <w:r>
        <w:rPr>
          <w:rFonts w:hint="eastAsia"/>
          <w:color w:val="auto"/>
          <w:sz w:val="21"/>
          <w:szCs w:val="21"/>
          <w:highlight w:val="none"/>
        </w:rPr>
        <w:t>文件要求的前提下，评标委员会</w:t>
      </w:r>
      <w:r>
        <w:rPr>
          <w:rFonts w:hint="eastAsia"/>
          <w:color w:val="auto"/>
          <w:sz w:val="21"/>
          <w:szCs w:val="21"/>
          <w:highlight w:val="none"/>
          <w:lang w:val="en-US" w:eastAsia="zh-CN"/>
        </w:rPr>
        <w:t>报价</w:t>
      </w:r>
      <w:r>
        <w:rPr>
          <w:color w:val="auto"/>
          <w:sz w:val="21"/>
          <w:szCs w:val="21"/>
          <w:highlight w:val="none"/>
        </w:rPr>
        <w:t>从</w:t>
      </w:r>
      <w:r>
        <w:rPr>
          <w:rFonts w:hint="eastAsia"/>
          <w:color w:val="auto"/>
          <w:sz w:val="21"/>
          <w:szCs w:val="21"/>
          <w:highlight w:val="none"/>
        </w:rPr>
        <w:t>低</w:t>
      </w:r>
      <w:r>
        <w:rPr>
          <w:color w:val="auto"/>
          <w:sz w:val="21"/>
          <w:szCs w:val="21"/>
          <w:highlight w:val="none"/>
        </w:rPr>
        <w:t>到</w:t>
      </w:r>
      <w:r>
        <w:rPr>
          <w:rFonts w:hint="eastAsia"/>
          <w:color w:val="auto"/>
          <w:sz w:val="21"/>
          <w:szCs w:val="21"/>
          <w:highlight w:val="none"/>
        </w:rPr>
        <w:t>高</w:t>
      </w:r>
      <w:r>
        <w:rPr>
          <w:color w:val="auto"/>
          <w:sz w:val="21"/>
          <w:szCs w:val="21"/>
          <w:highlight w:val="none"/>
        </w:rPr>
        <w:t>的先后顺序</w:t>
      </w:r>
      <w:r>
        <w:rPr>
          <w:rFonts w:hint="eastAsia"/>
          <w:color w:val="auto"/>
          <w:sz w:val="21"/>
          <w:szCs w:val="21"/>
          <w:highlight w:val="none"/>
        </w:rPr>
        <w:t>推荐中标候选人。若在满足</w:t>
      </w:r>
      <w:r>
        <w:rPr>
          <w:rFonts w:hint="eastAsia"/>
          <w:color w:val="auto"/>
          <w:sz w:val="21"/>
          <w:szCs w:val="21"/>
          <w:highlight w:val="none"/>
          <w:lang w:eastAsia="zh-CN"/>
        </w:rPr>
        <w:t>招标</w:t>
      </w:r>
      <w:r>
        <w:rPr>
          <w:rFonts w:hint="eastAsia"/>
          <w:color w:val="auto"/>
          <w:sz w:val="21"/>
          <w:szCs w:val="21"/>
          <w:highlight w:val="none"/>
        </w:rPr>
        <w:t>文件所有要求前提下，</w:t>
      </w:r>
      <w:r>
        <w:rPr>
          <w:rFonts w:hint="eastAsia"/>
          <w:color w:val="auto"/>
          <w:sz w:val="21"/>
          <w:szCs w:val="21"/>
          <w:highlight w:val="none"/>
          <w:lang w:val="en-US" w:eastAsia="zh-CN"/>
        </w:rPr>
        <w:t>最低报价</w:t>
      </w:r>
      <w:r>
        <w:rPr>
          <w:rFonts w:hint="eastAsia"/>
          <w:color w:val="auto"/>
          <w:sz w:val="21"/>
          <w:szCs w:val="21"/>
          <w:highlight w:val="none"/>
        </w:rPr>
        <w:t>相同时，</w:t>
      </w:r>
      <w:r>
        <w:rPr>
          <w:rFonts w:hint="eastAsia" w:ascii="宋体" w:hAnsi="宋体" w:cs="宋体"/>
          <w:b/>
          <w:bCs/>
          <w:snapToGrid w:val="0"/>
          <w:color w:val="auto"/>
          <w:kern w:val="0"/>
          <w:sz w:val="21"/>
          <w:szCs w:val="21"/>
          <w:highlight w:val="none"/>
        </w:rPr>
        <w:t>进行第二轮报价</w:t>
      </w:r>
      <w:r>
        <w:rPr>
          <w:color w:val="auto"/>
          <w:sz w:val="21"/>
          <w:szCs w:val="21"/>
          <w:highlight w:val="none"/>
        </w:rPr>
        <w:t>。</w:t>
      </w:r>
      <w:r>
        <w:rPr>
          <w:rFonts w:hint="eastAsia"/>
          <w:color w:val="auto"/>
          <w:sz w:val="21"/>
          <w:szCs w:val="21"/>
          <w:highlight w:val="none"/>
        </w:rPr>
        <w:t>请各报价单位结合自身情况及市场行情进行报价。</w:t>
      </w:r>
      <w:r>
        <w:rPr>
          <w:rFonts w:hint="eastAsia"/>
          <w:b/>
          <w:bCs/>
          <w:color w:val="auto"/>
          <w:sz w:val="21"/>
          <w:szCs w:val="21"/>
          <w:highlight w:val="none"/>
        </w:rPr>
        <w:t>具体评审标准详见下表</w:t>
      </w:r>
      <w:r>
        <w:rPr>
          <w:rFonts w:hint="eastAsia"/>
          <w:b/>
          <w:bCs/>
          <w:color w:val="auto"/>
          <w:sz w:val="21"/>
          <w:szCs w:val="21"/>
          <w:highlight w:val="none"/>
          <w:lang w:eastAsia="zh-CN"/>
        </w:rPr>
        <w:t>：</w:t>
      </w:r>
    </w:p>
    <w:tbl>
      <w:tblPr>
        <w:tblStyle w:val="19"/>
        <w:tblW w:w="9427"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2"/>
        <w:gridCol w:w="1464"/>
        <w:gridCol w:w="1364"/>
        <w:gridCol w:w="58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 w:hRule="atLeast"/>
        </w:trPr>
        <w:tc>
          <w:tcPr>
            <w:tcW w:w="2256" w:type="dxa"/>
            <w:gridSpan w:val="2"/>
            <w:tcBorders>
              <w:top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条款号</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评审因素</w:t>
            </w:r>
          </w:p>
        </w:tc>
        <w:tc>
          <w:tcPr>
            <w:tcW w:w="580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5" w:hRule="atLeast"/>
        </w:trPr>
        <w:tc>
          <w:tcPr>
            <w:tcW w:w="792" w:type="dxa"/>
            <w:tcBorders>
              <w:top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1.1.1</w:t>
            </w:r>
          </w:p>
        </w:tc>
        <w:tc>
          <w:tcPr>
            <w:tcW w:w="1464" w:type="dxa"/>
            <w:tcBorders>
              <w:top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形式评审标准</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rPr>
              <w:t>签字盖章</w:t>
            </w:r>
          </w:p>
        </w:tc>
        <w:tc>
          <w:tcPr>
            <w:tcW w:w="580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投标文件要求投标人</w:t>
            </w:r>
            <w:r>
              <w:rPr>
                <w:rFonts w:hint="eastAsia" w:ascii="宋体" w:hAnsi="宋体" w:cs="宋体"/>
                <w:color w:val="auto"/>
                <w:szCs w:val="21"/>
                <w:highlight w:val="none"/>
                <w:shd w:val="clear" w:color="auto" w:fill="FFFFFF"/>
              </w:rPr>
              <w:t>盖章和</w:t>
            </w:r>
            <w:r>
              <w:rPr>
                <w:rFonts w:hint="eastAsia" w:ascii="宋体" w:hAnsi="宋体" w:cs="宋体"/>
                <w:color w:val="auto"/>
                <w:szCs w:val="21"/>
                <w:highlight w:val="none"/>
                <w:shd w:val="clear" w:color="auto" w:fill="FFFFFF"/>
                <w:lang w:val="en-US" w:eastAsia="zh-CN"/>
              </w:rPr>
              <w:t>投标</w:t>
            </w:r>
            <w:r>
              <w:rPr>
                <w:rFonts w:hint="eastAsia" w:ascii="宋体" w:hAnsi="宋体" w:cs="宋体"/>
                <w:color w:val="auto"/>
                <w:szCs w:val="21"/>
                <w:highlight w:val="none"/>
                <w:shd w:val="clear" w:color="auto" w:fill="FFFFFF"/>
              </w:rPr>
              <w:t>单位法定代表人签字</w:t>
            </w:r>
            <w:r>
              <w:rPr>
                <w:rFonts w:hint="eastAsia" w:ascii="宋体" w:hAnsi="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rPr>
              <w:t>或盖章</w:t>
            </w:r>
            <w:r>
              <w:rPr>
                <w:rFonts w:hint="eastAsia" w:ascii="宋体" w:hAnsi="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lang w:val="en-US" w:eastAsia="zh-CN"/>
              </w:rPr>
              <w:t>的地方须齐全。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792" w:type="dxa"/>
            <w:vMerge w:val="restart"/>
            <w:tcBorders>
              <w:top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1.1.2</w:t>
            </w:r>
          </w:p>
        </w:tc>
        <w:tc>
          <w:tcPr>
            <w:tcW w:w="1464" w:type="dxa"/>
            <w:vMerge w:val="restart"/>
            <w:tcBorders>
              <w:top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资格评审标准</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营业执照</w:t>
            </w:r>
          </w:p>
        </w:tc>
        <w:tc>
          <w:tcPr>
            <w:tcW w:w="580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符合招标文件规定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792"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464" w:type="dxa"/>
            <w:vMerge w:val="continue"/>
            <w:tcBorders>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拌和站相关资料</w:t>
            </w:r>
          </w:p>
        </w:tc>
        <w:tc>
          <w:tcPr>
            <w:tcW w:w="580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符合招标文件规定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792"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464"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宋体" w:hAnsi="宋体" w:cs="宋体"/>
                <w:color w:val="auto"/>
                <w:szCs w:val="21"/>
                <w:highlight w:val="none"/>
                <w:shd w:val="clear" w:color="auto" w:fill="FFFFFF"/>
                <w:lang w:val="en-US"/>
              </w:rPr>
            </w:pPr>
            <w:r>
              <w:rPr>
                <w:rFonts w:hint="eastAsia" w:ascii="宋体" w:hAnsi="宋体" w:cs="宋体"/>
                <w:color w:val="auto"/>
                <w:szCs w:val="21"/>
                <w:highlight w:val="none"/>
                <w:shd w:val="clear" w:color="auto" w:fill="FFFFFF"/>
                <w:lang w:val="en-US" w:eastAsia="zh-CN"/>
              </w:rPr>
              <w:t>竞标报价</w:t>
            </w:r>
          </w:p>
        </w:tc>
        <w:tc>
          <w:tcPr>
            <w:tcW w:w="580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符合</w:t>
            </w:r>
            <w:r>
              <w:rPr>
                <w:rFonts w:hint="eastAsia" w:ascii="宋体" w:hAnsi="宋体" w:cs="宋体"/>
                <w:color w:val="auto"/>
                <w:szCs w:val="21"/>
                <w:highlight w:val="none"/>
                <w:shd w:val="clear" w:color="auto" w:fill="FFFFFF"/>
                <w:lang w:eastAsia="zh-CN"/>
              </w:rPr>
              <w:t>招标</w:t>
            </w:r>
            <w:r>
              <w:rPr>
                <w:rFonts w:hint="eastAsia" w:ascii="宋体" w:hAnsi="宋体" w:cs="宋体"/>
                <w:color w:val="auto"/>
                <w:szCs w:val="21"/>
                <w:highlight w:val="none"/>
                <w:shd w:val="clear" w:color="auto" w:fill="FFFFFF"/>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792" w:type="dxa"/>
            <w:tcBorders>
              <w:top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1.1.3</w:t>
            </w:r>
          </w:p>
        </w:tc>
        <w:tc>
          <w:tcPr>
            <w:tcW w:w="1464" w:type="dxa"/>
            <w:tcBorders>
              <w:top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响应性评审标准</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报价要求</w:t>
            </w:r>
          </w:p>
        </w:tc>
        <w:tc>
          <w:tcPr>
            <w:tcW w:w="5807"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line="340" w:lineRule="exact"/>
              <w:rPr>
                <w:rFonts w:hint="eastAsia" w:ascii="宋体" w:hAnsi="宋体"/>
                <w:color w:val="auto"/>
                <w:szCs w:val="21"/>
                <w:highlight w:val="none"/>
                <w:lang w:val="en-US" w:eastAsia="zh-CN"/>
              </w:rPr>
            </w:pPr>
            <w:r>
              <w:rPr>
                <w:rFonts w:hint="eastAsia" w:ascii="宋体" w:hAnsi="宋体" w:cs="宋体"/>
                <w:color w:val="auto"/>
                <w:szCs w:val="21"/>
                <w:highlight w:val="none"/>
                <w:shd w:val="clear" w:color="auto" w:fill="FFFFFF"/>
                <w:lang w:val="en-US" w:eastAsia="zh-CN"/>
              </w:rPr>
              <w:t>投标人</w:t>
            </w:r>
            <w:r>
              <w:rPr>
                <w:rFonts w:hint="eastAsia" w:ascii="宋体" w:hAnsi="宋体"/>
                <w:color w:val="auto"/>
                <w:szCs w:val="21"/>
                <w:highlight w:val="none"/>
              </w:rPr>
              <w:t>总报价及综合单价报价不得超过</w:t>
            </w:r>
            <w:r>
              <w:rPr>
                <w:rFonts w:hint="eastAsia" w:ascii="宋体" w:hAnsi="宋体"/>
                <w:color w:val="auto"/>
                <w:szCs w:val="21"/>
                <w:highlight w:val="none"/>
                <w:lang w:val="en-US" w:eastAsia="zh-CN"/>
              </w:rPr>
              <w:t>招标人</w:t>
            </w:r>
            <w:r>
              <w:rPr>
                <w:rFonts w:hint="eastAsia" w:ascii="宋体" w:hAnsi="宋体"/>
                <w:color w:val="auto"/>
                <w:szCs w:val="21"/>
                <w:highlight w:val="none"/>
              </w:rPr>
              <w:t>公布的相应最高限价</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 xml:space="preserve">若报价为下浮比例方式，则应满足招标文件要求。 </w:t>
            </w:r>
          </w:p>
          <w:p>
            <w:pPr>
              <w:numPr>
                <w:ilvl w:val="0"/>
                <w:numId w:val="0"/>
              </w:numPr>
              <w:spacing w:line="340" w:lineRule="exact"/>
              <w:rPr>
                <w:rFonts w:hint="default" w:ascii="宋体" w:hAnsi="宋体" w:eastAsia="宋体" w:cs="宋体"/>
                <w:color w:val="auto"/>
                <w:szCs w:val="21"/>
                <w:highlight w:val="none"/>
                <w:shd w:val="clear" w:color="auto" w:fill="FFFFFF"/>
                <w:lang w:val="en-US" w:eastAsia="zh-CN"/>
              </w:rPr>
            </w:pPr>
            <w:r>
              <w:rPr>
                <w:rFonts w:hint="eastAsia" w:ascii="宋体" w:hAnsi="宋体"/>
                <w:color w:val="auto"/>
                <w:szCs w:val="21"/>
                <w:highlight w:val="none"/>
                <w:lang w:val="en-US" w:eastAsia="zh-CN"/>
              </w:rPr>
              <w:t>2、</w:t>
            </w:r>
            <w:r>
              <w:rPr>
                <w:rFonts w:hint="eastAsia" w:ascii="宋体" w:hAnsi="宋体" w:cs="宋体"/>
                <w:color w:val="auto"/>
                <w:szCs w:val="21"/>
                <w:highlight w:val="none"/>
                <w:shd w:val="clear" w:color="auto" w:fill="FFFFFF"/>
                <w:lang w:eastAsia="zh-CN"/>
              </w:rPr>
              <w:t>同一</w:t>
            </w:r>
            <w:r>
              <w:rPr>
                <w:rFonts w:hint="eastAsia" w:ascii="宋体" w:hAnsi="宋体" w:cs="宋体"/>
                <w:color w:val="auto"/>
                <w:szCs w:val="21"/>
                <w:highlight w:val="none"/>
                <w:shd w:val="clear" w:color="auto" w:fill="FFFFFF"/>
                <w:lang w:val="en-US" w:eastAsia="zh-CN"/>
              </w:rPr>
              <w:t>投标人</w:t>
            </w:r>
            <w:r>
              <w:rPr>
                <w:rFonts w:hint="eastAsia" w:ascii="宋体" w:hAnsi="宋体" w:cs="宋体"/>
                <w:color w:val="auto"/>
                <w:szCs w:val="21"/>
                <w:highlight w:val="none"/>
                <w:shd w:val="clear" w:color="auto" w:fill="FFFFFF"/>
                <w:lang w:eastAsia="zh-CN"/>
              </w:rPr>
              <w:t>提交两个以上不同的</w:t>
            </w:r>
            <w:r>
              <w:rPr>
                <w:rFonts w:hint="eastAsia" w:ascii="宋体" w:hAnsi="宋体" w:cs="宋体"/>
                <w:color w:val="auto"/>
                <w:szCs w:val="21"/>
                <w:highlight w:val="none"/>
                <w:shd w:val="clear" w:color="auto" w:fill="FFFFFF"/>
                <w:lang w:val="en-US" w:eastAsia="zh-CN"/>
              </w:rPr>
              <w:t>投标</w:t>
            </w:r>
            <w:r>
              <w:rPr>
                <w:rFonts w:hint="eastAsia" w:ascii="宋体" w:hAnsi="宋体" w:cs="宋体"/>
                <w:color w:val="auto"/>
                <w:szCs w:val="21"/>
                <w:highlight w:val="none"/>
                <w:shd w:val="clear" w:color="auto" w:fill="FFFFFF"/>
                <w:lang w:eastAsia="zh-CN"/>
              </w:rPr>
              <w:t>文件或者</w:t>
            </w:r>
            <w:r>
              <w:rPr>
                <w:rFonts w:hint="eastAsia" w:ascii="宋体" w:hAnsi="宋体" w:cs="宋体"/>
                <w:color w:val="auto"/>
                <w:szCs w:val="21"/>
                <w:highlight w:val="none"/>
                <w:shd w:val="clear" w:color="auto" w:fill="FFFFFF"/>
                <w:lang w:val="en-US" w:eastAsia="zh-CN"/>
              </w:rPr>
              <w:t>投标</w:t>
            </w:r>
            <w:r>
              <w:rPr>
                <w:rFonts w:hint="eastAsia" w:ascii="宋体" w:hAnsi="宋体" w:cs="宋体"/>
                <w:color w:val="auto"/>
                <w:szCs w:val="21"/>
                <w:highlight w:val="none"/>
                <w:shd w:val="clear" w:color="auto" w:fill="FFFFFF"/>
                <w:lang w:eastAsia="zh-CN"/>
              </w:rPr>
              <w:t>报价，但</w:t>
            </w:r>
            <w:r>
              <w:rPr>
                <w:rFonts w:hint="eastAsia" w:ascii="宋体" w:hAnsi="宋体" w:cs="宋体"/>
                <w:color w:val="auto"/>
                <w:szCs w:val="21"/>
                <w:highlight w:val="none"/>
                <w:shd w:val="clear" w:color="auto" w:fill="FFFFFF"/>
                <w:lang w:val="en-US" w:eastAsia="zh-CN"/>
              </w:rPr>
              <w:t>招标</w:t>
            </w:r>
            <w:r>
              <w:rPr>
                <w:rFonts w:hint="eastAsia" w:ascii="宋体" w:hAnsi="宋体" w:cs="宋体"/>
                <w:color w:val="auto"/>
                <w:szCs w:val="21"/>
                <w:highlight w:val="none"/>
                <w:shd w:val="clear" w:color="auto" w:fill="FFFFFF"/>
                <w:lang w:eastAsia="zh-CN"/>
              </w:rPr>
              <w:t>文件要求提交备选的除外。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9427" w:type="dxa"/>
            <w:gridSpan w:val="4"/>
            <w:tcBorders>
              <w:top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注：条款1.1.1、1.1.2、1.1.3均为强制性要求，</w:t>
            </w:r>
            <w:r>
              <w:rPr>
                <w:rFonts w:hint="eastAsia" w:ascii="宋体" w:hAnsi="宋体" w:cs="宋体"/>
                <w:color w:val="auto"/>
                <w:szCs w:val="21"/>
                <w:highlight w:val="none"/>
                <w:shd w:val="clear" w:color="auto" w:fill="FFFFFF"/>
                <w:lang w:val="en-US" w:eastAsia="zh-CN"/>
              </w:rPr>
              <w:t>投标人</w:t>
            </w:r>
            <w:r>
              <w:rPr>
                <w:rFonts w:hint="eastAsia" w:ascii="宋体" w:hAnsi="宋体" w:cs="宋体"/>
                <w:color w:val="auto"/>
                <w:szCs w:val="21"/>
                <w:highlight w:val="none"/>
                <w:shd w:val="clear" w:color="auto" w:fill="FFFFFF"/>
              </w:rPr>
              <w:t>如不满足，按否决</w:t>
            </w:r>
            <w:r>
              <w:rPr>
                <w:rFonts w:hint="eastAsia"/>
                <w:b/>
                <w:color w:val="auto"/>
                <w:szCs w:val="21"/>
                <w:highlight w:val="none"/>
              </w:rPr>
              <w:t>竞标</w:t>
            </w:r>
            <w:r>
              <w:rPr>
                <w:rFonts w:hint="eastAsia" w:ascii="宋体" w:hAnsi="宋体" w:cs="宋体"/>
                <w:color w:val="auto"/>
                <w:szCs w:val="21"/>
                <w:highlight w:val="none"/>
                <w:shd w:val="clear" w:color="auto" w:fill="FFFFFF"/>
              </w:rPr>
              <w:t>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9427" w:type="dxa"/>
            <w:gridSpan w:val="4"/>
            <w:tcBorders>
              <w:top w:val="single" w:color="auto" w:sz="4" w:space="0"/>
              <w:bottom w:val="single" w:color="auto" w:sz="4" w:space="0"/>
              <w:right w:val="single" w:color="auto" w:sz="4" w:space="0"/>
            </w:tcBorders>
            <w:noWrap w:val="0"/>
            <w:vAlign w:val="center"/>
          </w:tcPr>
          <w:p>
            <w:pPr>
              <w:spacing w:line="400" w:lineRule="exact"/>
              <w:rPr>
                <w:color w:val="auto"/>
                <w:highlight w:val="none"/>
              </w:rPr>
            </w:pPr>
            <w:r>
              <w:rPr>
                <w:color w:val="auto"/>
                <w:highlight w:val="none"/>
              </w:rPr>
              <w:t>有下列情况之一的，</w:t>
            </w:r>
            <w:r>
              <w:rPr>
                <w:rFonts w:hint="eastAsia"/>
                <w:color w:val="auto"/>
                <w:highlight w:val="none"/>
                <w:lang w:val="en-US" w:eastAsia="zh-CN"/>
              </w:rPr>
              <w:t>直接按</w:t>
            </w:r>
            <w:r>
              <w:rPr>
                <w:color w:val="auto"/>
                <w:highlight w:val="none"/>
              </w:rPr>
              <w:t>否决</w:t>
            </w:r>
            <w:r>
              <w:rPr>
                <w:rFonts w:hint="eastAsia"/>
                <w:color w:val="auto"/>
                <w:highlight w:val="none"/>
                <w:lang w:eastAsia="zh-CN"/>
              </w:rPr>
              <w:t>投</w:t>
            </w:r>
            <w:r>
              <w:rPr>
                <w:rFonts w:hint="eastAsia"/>
                <w:color w:val="auto"/>
                <w:highlight w:val="none"/>
              </w:rPr>
              <w:t>标</w:t>
            </w:r>
            <w:r>
              <w:rPr>
                <w:color w:val="auto"/>
                <w:highlight w:val="none"/>
              </w:rPr>
              <w:t>处理。</w:t>
            </w:r>
          </w:p>
          <w:p>
            <w:pPr>
              <w:numPr>
                <w:ilvl w:val="0"/>
                <w:numId w:val="4"/>
              </w:numPr>
              <w:spacing w:line="400" w:lineRule="exact"/>
              <w:ind w:left="0"/>
              <w:rPr>
                <w:color w:val="auto"/>
                <w:highlight w:val="none"/>
              </w:rPr>
            </w:pPr>
            <w:r>
              <w:rPr>
                <w:color w:val="auto"/>
                <w:highlight w:val="none"/>
              </w:rPr>
              <w:t>不同</w:t>
            </w:r>
            <w:r>
              <w:rPr>
                <w:rFonts w:hint="eastAsia" w:ascii="宋体" w:hAnsi="宋体" w:cs="宋体"/>
                <w:color w:val="auto"/>
                <w:szCs w:val="21"/>
                <w:highlight w:val="none"/>
                <w:shd w:val="clear" w:color="auto" w:fill="FFFFFF"/>
                <w:lang w:val="en-US" w:eastAsia="zh-CN"/>
              </w:rPr>
              <w:t>投标人</w:t>
            </w:r>
            <w:r>
              <w:rPr>
                <w:color w:val="auto"/>
                <w:highlight w:val="none"/>
              </w:rPr>
              <w:t>的</w:t>
            </w:r>
            <w:r>
              <w:rPr>
                <w:rFonts w:hint="eastAsia"/>
                <w:color w:val="auto"/>
                <w:highlight w:val="none"/>
                <w:lang w:val="en-US" w:eastAsia="zh-CN"/>
              </w:rPr>
              <w:t>投标</w:t>
            </w:r>
            <w:r>
              <w:rPr>
                <w:rFonts w:hint="eastAsia"/>
                <w:color w:val="auto"/>
                <w:highlight w:val="none"/>
              </w:rPr>
              <w:t>文件</w:t>
            </w:r>
            <w:r>
              <w:rPr>
                <w:color w:val="auto"/>
                <w:highlight w:val="none"/>
              </w:rPr>
              <w:t>由同一单位或者个人编制；</w:t>
            </w:r>
          </w:p>
          <w:p>
            <w:pPr>
              <w:numPr>
                <w:ilvl w:val="0"/>
                <w:numId w:val="4"/>
              </w:numPr>
              <w:spacing w:line="400" w:lineRule="exact"/>
              <w:ind w:left="0"/>
              <w:rPr>
                <w:color w:val="auto"/>
                <w:highlight w:val="none"/>
              </w:rPr>
            </w:pPr>
            <w:r>
              <w:rPr>
                <w:color w:val="auto"/>
                <w:highlight w:val="none"/>
              </w:rPr>
              <w:t>不同</w:t>
            </w:r>
            <w:r>
              <w:rPr>
                <w:rFonts w:hint="eastAsia" w:ascii="宋体" w:hAnsi="宋体" w:cs="宋体"/>
                <w:color w:val="auto"/>
                <w:szCs w:val="21"/>
                <w:highlight w:val="none"/>
                <w:shd w:val="clear" w:color="auto" w:fill="FFFFFF"/>
                <w:lang w:val="en-US" w:eastAsia="zh-CN"/>
              </w:rPr>
              <w:t>投标人</w:t>
            </w:r>
            <w:r>
              <w:rPr>
                <w:color w:val="auto"/>
                <w:highlight w:val="none"/>
              </w:rPr>
              <w:t>委托同一单位或者个人办理</w:t>
            </w:r>
            <w:r>
              <w:rPr>
                <w:rFonts w:hint="eastAsia"/>
                <w:color w:val="auto"/>
                <w:highlight w:val="none"/>
                <w:lang w:eastAsia="zh-CN"/>
              </w:rPr>
              <w:t>投</w:t>
            </w:r>
            <w:r>
              <w:rPr>
                <w:rFonts w:hint="eastAsia"/>
                <w:color w:val="auto"/>
                <w:highlight w:val="none"/>
              </w:rPr>
              <w:t>标</w:t>
            </w:r>
            <w:r>
              <w:rPr>
                <w:color w:val="auto"/>
                <w:highlight w:val="none"/>
              </w:rPr>
              <w:t>事宜；</w:t>
            </w:r>
          </w:p>
          <w:p>
            <w:pPr>
              <w:numPr>
                <w:ilvl w:val="0"/>
                <w:numId w:val="4"/>
              </w:numPr>
              <w:spacing w:line="400" w:lineRule="exact"/>
              <w:ind w:left="0"/>
              <w:rPr>
                <w:color w:val="auto"/>
                <w:highlight w:val="none"/>
              </w:rPr>
            </w:pPr>
            <w:r>
              <w:rPr>
                <w:color w:val="auto"/>
                <w:highlight w:val="none"/>
              </w:rPr>
              <w:t>不同</w:t>
            </w:r>
            <w:r>
              <w:rPr>
                <w:rFonts w:hint="eastAsia" w:ascii="宋体" w:hAnsi="宋体" w:cs="宋体"/>
                <w:color w:val="auto"/>
                <w:szCs w:val="21"/>
                <w:highlight w:val="none"/>
                <w:shd w:val="clear" w:color="auto" w:fill="FFFFFF"/>
                <w:lang w:val="en-US" w:eastAsia="zh-CN"/>
              </w:rPr>
              <w:t>投标人</w:t>
            </w:r>
            <w:r>
              <w:rPr>
                <w:color w:val="auto"/>
                <w:highlight w:val="none"/>
              </w:rPr>
              <w:t>的</w:t>
            </w:r>
            <w:r>
              <w:rPr>
                <w:rFonts w:hint="eastAsia"/>
                <w:color w:val="auto"/>
                <w:highlight w:val="none"/>
                <w:lang w:val="en-US" w:eastAsia="zh-CN"/>
              </w:rPr>
              <w:t>投标</w:t>
            </w:r>
            <w:r>
              <w:rPr>
                <w:rFonts w:hint="eastAsia"/>
                <w:color w:val="auto"/>
                <w:highlight w:val="none"/>
              </w:rPr>
              <w:t>文件</w:t>
            </w:r>
            <w:r>
              <w:rPr>
                <w:color w:val="auto"/>
                <w:highlight w:val="none"/>
              </w:rPr>
              <w:t>载明的项目管理成员为同一人；</w:t>
            </w:r>
          </w:p>
          <w:p>
            <w:pPr>
              <w:numPr>
                <w:ilvl w:val="0"/>
                <w:numId w:val="4"/>
              </w:numPr>
              <w:spacing w:line="400" w:lineRule="exact"/>
              <w:ind w:left="0"/>
              <w:rPr>
                <w:color w:val="auto"/>
                <w:highlight w:val="none"/>
              </w:rPr>
            </w:pPr>
            <w:r>
              <w:rPr>
                <w:color w:val="auto"/>
                <w:highlight w:val="none"/>
              </w:rPr>
              <w:t>不同</w:t>
            </w:r>
            <w:r>
              <w:rPr>
                <w:rFonts w:hint="eastAsia" w:ascii="宋体" w:hAnsi="宋体" w:cs="宋体"/>
                <w:color w:val="auto"/>
                <w:szCs w:val="21"/>
                <w:highlight w:val="none"/>
                <w:shd w:val="clear" w:color="auto" w:fill="FFFFFF"/>
                <w:lang w:val="en-US" w:eastAsia="zh-CN"/>
              </w:rPr>
              <w:t>投标人</w:t>
            </w:r>
            <w:r>
              <w:rPr>
                <w:color w:val="auto"/>
                <w:highlight w:val="none"/>
              </w:rPr>
              <w:t>的</w:t>
            </w:r>
            <w:r>
              <w:rPr>
                <w:rFonts w:hint="eastAsia"/>
                <w:color w:val="auto"/>
                <w:highlight w:val="none"/>
                <w:lang w:val="en-US" w:eastAsia="zh-CN"/>
              </w:rPr>
              <w:t>投标</w:t>
            </w:r>
            <w:r>
              <w:rPr>
                <w:rFonts w:hint="eastAsia"/>
                <w:color w:val="auto"/>
                <w:highlight w:val="none"/>
              </w:rPr>
              <w:t>文件</w:t>
            </w:r>
            <w:r>
              <w:rPr>
                <w:color w:val="auto"/>
                <w:highlight w:val="none"/>
              </w:rPr>
              <w:t>异常一致或者</w:t>
            </w:r>
            <w:r>
              <w:rPr>
                <w:rFonts w:hint="eastAsia"/>
                <w:color w:val="auto"/>
                <w:highlight w:val="none"/>
                <w:lang w:eastAsia="zh-CN"/>
              </w:rPr>
              <w:t>投</w:t>
            </w:r>
            <w:r>
              <w:rPr>
                <w:rFonts w:hint="eastAsia"/>
                <w:color w:val="auto"/>
                <w:highlight w:val="none"/>
              </w:rPr>
              <w:t>标报价</w:t>
            </w:r>
            <w:r>
              <w:rPr>
                <w:color w:val="auto"/>
                <w:highlight w:val="none"/>
              </w:rPr>
              <w:t>呈规律性差异</w:t>
            </w:r>
            <w:r>
              <w:rPr>
                <w:rFonts w:hint="eastAsia"/>
                <w:color w:val="auto"/>
                <w:highlight w:val="none"/>
                <w:lang w:val="en-US" w:eastAsia="zh-CN"/>
              </w:rPr>
              <w:t>或报价低于成本不具备竞争性</w:t>
            </w:r>
            <w:r>
              <w:rPr>
                <w:color w:val="auto"/>
                <w:highlight w:val="none"/>
              </w:rPr>
              <w:t>；</w:t>
            </w:r>
          </w:p>
          <w:p>
            <w:pPr>
              <w:numPr>
                <w:ilvl w:val="0"/>
                <w:numId w:val="4"/>
              </w:numPr>
              <w:spacing w:line="400" w:lineRule="exact"/>
              <w:ind w:left="0"/>
              <w:rPr>
                <w:color w:val="auto"/>
                <w:highlight w:val="none"/>
              </w:rPr>
            </w:pPr>
            <w:r>
              <w:rPr>
                <w:color w:val="auto"/>
                <w:highlight w:val="none"/>
              </w:rPr>
              <w:t>不同</w:t>
            </w:r>
            <w:r>
              <w:rPr>
                <w:rFonts w:hint="eastAsia" w:ascii="宋体" w:hAnsi="宋体" w:cs="宋体"/>
                <w:color w:val="auto"/>
                <w:szCs w:val="21"/>
                <w:highlight w:val="none"/>
                <w:shd w:val="clear" w:color="auto" w:fill="FFFFFF"/>
                <w:lang w:val="en-US" w:eastAsia="zh-CN"/>
              </w:rPr>
              <w:t>投标人</w:t>
            </w:r>
            <w:r>
              <w:rPr>
                <w:color w:val="auto"/>
                <w:highlight w:val="none"/>
              </w:rPr>
              <w:t>的</w:t>
            </w:r>
            <w:r>
              <w:rPr>
                <w:rFonts w:hint="eastAsia"/>
                <w:color w:val="auto"/>
                <w:highlight w:val="none"/>
                <w:lang w:val="en-US" w:eastAsia="zh-CN"/>
              </w:rPr>
              <w:t>投标</w:t>
            </w:r>
            <w:r>
              <w:rPr>
                <w:rFonts w:hint="eastAsia"/>
                <w:color w:val="auto"/>
                <w:highlight w:val="none"/>
              </w:rPr>
              <w:t>文件</w:t>
            </w:r>
            <w:r>
              <w:rPr>
                <w:color w:val="auto"/>
                <w:highlight w:val="none"/>
              </w:rPr>
              <w:t>相互混装；</w:t>
            </w:r>
          </w:p>
          <w:p>
            <w:pPr>
              <w:numPr>
                <w:ilvl w:val="0"/>
                <w:numId w:val="4"/>
              </w:numPr>
              <w:spacing w:line="400" w:lineRule="exact"/>
              <w:ind w:left="0"/>
              <w:rPr>
                <w:rFonts w:hint="eastAsia" w:eastAsia="黑体"/>
                <w:color w:val="auto"/>
                <w:highlight w:val="none"/>
                <w:lang w:val="en-US" w:eastAsia="zh-CN"/>
              </w:rPr>
            </w:pPr>
            <w:r>
              <w:rPr>
                <w:rFonts w:hint="eastAsia" w:ascii="宋体" w:hAnsi="宋体" w:cs="宋体"/>
                <w:color w:val="auto"/>
                <w:szCs w:val="21"/>
                <w:highlight w:val="none"/>
                <w:shd w:val="clear" w:color="auto" w:fill="FFFFFF"/>
                <w:lang w:val="en-US" w:eastAsia="zh-CN"/>
              </w:rPr>
              <w:t>投标人</w:t>
            </w:r>
            <w:r>
              <w:rPr>
                <w:rFonts w:hint="eastAsia"/>
                <w:color w:val="auto"/>
                <w:highlight w:val="none"/>
                <w:lang w:val="en-US" w:eastAsia="zh-CN"/>
              </w:rPr>
              <w:t>必须保证投标文件的真实性，一经发现提供的文件虚假不真实，直接按否决处理。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56" w:type="dxa"/>
            <w:gridSpan w:val="2"/>
            <w:noWrap w:val="0"/>
            <w:vAlign w:val="center"/>
          </w:tcPr>
          <w:p>
            <w:pPr>
              <w:spacing w:line="400" w:lineRule="exact"/>
              <w:jc w:val="center"/>
              <w:rPr>
                <w:rFonts w:hint="eastAsia" w:eastAsia="宋体"/>
                <w:color w:val="auto"/>
                <w:kern w:val="0"/>
                <w:szCs w:val="21"/>
                <w:highlight w:val="none"/>
                <w:lang w:val="en-US" w:eastAsia="zh-CN"/>
              </w:rPr>
            </w:pPr>
            <w:r>
              <w:rPr>
                <w:rFonts w:hint="eastAsia"/>
                <w:color w:val="auto"/>
                <w:szCs w:val="21"/>
                <w:highlight w:val="none"/>
              </w:rPr>
              <w:t>候</w:t>
            </w:r>
            <w:r>
              <w:rPr>
                <w:color w:val="auto"/>
                <w:szCs w:val="21"/>
                <w:highlight w:val="none"/>
              </w:rPr>
              <w:t>选人</w:t>
            </w:r>
            <w:r>
              <w:rPr>
                <w:rFonts w:hint="eastAsia"/>
                <w:color w:val="auto"/>
                <w:szCs w:val="21"/>
                <w:highlight w:val="none"/>
                <w:lang w:val="en-US" w:eastAsia="zh-CN"/>
              </w:rPr>
              <w:t>推荐</w:t>
            </w:r>
          </w:p>
        </w:tc>
        <w:tc>
          <w:tcPr>
            <w:tcW w:w="7171" w:type="dxa"/>
            <w:gridSpan w:val="2"/>
            <w:noWrap w:val="0"/>
            <w:vAlign w:val="center"/>
          </w:tcPr>
          <w:p>
            <w:pPr>
              <w:spacing w:line="400" w:lineRule="exact"/>
              <w:rPr>
                <w:rFonts w:hint="eastAsia"/>
                <w:color w:val="auto"/>
                <w:szCs w:val="21"/>
                <w:highlight w:val="none"/>
              </w:rPr>
            </w:pPr>
            <w:r>
              <w:rPr>
                <w:rFonts w:hint="eastAsia"/>
                <w:color w:val="auto"/>
                <w:highlight w:val="none"/>
                <w:lang w:val="en-US" w:eastAsia="zh-CN"/>
              </w:rPr>
              <w:t xml:space="preserve">    若各标段报名家数大于等于三家，则</w:t>
            </w:r>
            <w:r>
              <w:rPr>
                <w:rFonts w:hint="eastAsia"/>
                <w:color w:val="auto"/>
                <w:szCs w:val="21"/>
                <w:highlight w:val="none"/>
              </w:rPr>
              <w:t>经评审合格的候选人按价格由低到高的先后顺序推荐3名中标候选人</w:t>
            </w:r>
            <w:r>
              <w:rPr>
                <w:rFonts w:hint="eastAsia"/>
                <w:color w:val="auto"/>
                <w:szCs w:val="21"/>
                <w:highlight w:val="none"/>
                <w:lang w:eastAsia="zh-CN"/>
              </w:rPr>
              <w:t>；</w:t>
            </w:r>
            <w:r>
              <w:rPr>
                <w:rFonts w:hint="eastAsia"/>
                <w:color w:val="auto"/>
                <w:szCs w:val="21"/>
                <w:highlight w:val="none"/>
              </w:rPr>
              <w:t>若评审合格的候选人不足3名（</w:t>
            </w:r>
            <w:r>
              <w:rPr>
                <w:color w:val="auto"/>
                <w:highlight w:val="none"/>
              </w:rPr>
              <w:t>有效</w:t>
            </w:r>
            <w:r>
              <w:rPr>
                <w:rFonts w:hint="eastAsia"/>
                <w:color w:val="auto"/>
                <w:szCs w:val="21"/>
                <w:highlight w:val="none"/>
              </w:rPr>
              <w:t>候选人</w:t>
            </w:r>
            <w:r>
              <w:rPr>
                <w:color w:val="auto"/>
                <w:highlight w:val="none"/>
              </w:rPr>
              <w:t>的经济、技术等指标仍然具有市场竞争力，能够满足</w:t>
            </w:r>
            <w:r>
              <w:rPr>
                <w:rFonts w:hint="eastAsia"/>
                <w:color w:val="auto"/>
                <w:highlight w:val="none"/>
                <w:lang w:eastAsia="zh-CN"/>
              </w:rPr>
              <w:t>招标</w:t>
            </w:r>
            <w:r>
              <w:rPr>
                <w:color w:val="auto"/>
                <w:highlight w:val="none"/>
              </w:rPr>
              <w:t>文件要求的</w:t>
            </w:r>
            <w:r>
              <w:rPr>
                <w:rFonts w:hint="eastAsia"/>
                <w:color w:val="auto"/>
                <w:szCs w:val="21"/>
                <w:highlight w:val="none"/>
              </w:rPr>
              <w:t>），则只选取相应的数量。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56" w:type="dxa"/>
            <w:gridSpan w:val="2"/>
            <w:noWrap w:val="0"/>
            <w:vAlign w:val="center"/>
          </w:tcPr>
          <w:p>
            <w:pPr>
              <w:spacing w:line="400" w:lineRule="exact"/>
              <w:jc w:val="center"/>
              <w:rPr>
                <w:rFonts w:hint="eastAsia"/>
                <w:color w:val="auto"/>
                <w:szCs w:val="21"/>
                <w:highlight w:val="none"/>
                <w:lang w:eastAsia="zh-CN"/>
              </w:rPr>
            </w:pPr>
            <w:r>
              <w:rPr>
                <w:rFonts w:hint="eastAsia" w:ascii="宋体" w:hAnsi="宋体"/>
                <w:color w:val="auto"/>
                <w:szCs w:val="21"/>
                <w:highlight w:val="none"/>
              </w:rPr>
              <w:t>报价算术错误修正</w:t>
            </w:r>
          </w:p>
        </w:tc>
        <w:tc>
          <w:tcPr>
            <w:tcW w:w="7171" w:type="dxa"/>
            <w:gridSpan w:val="2"/>
            <w:noWrap w:val="0"/>
            <w:vAlign w:val="center"/>
          </w:tcPr>
          <w:p>
            <w:pPr>
              <w:spacing w:line="400" w:lineRule="exact"/>
              <w:rPr>
                <w:rFonts w:hint="eastAsia"/>
                <w:color w:val="auto"/>
                <w:highlight w:val="none"/>
                <w:lang w:val="en-US" w:eastAsia="zh-CN"/>
              </w:rPr>
            </w:pPr>
            <w:r>
              <w:rPr>
                <w:rFonts w:hint="eastAsia"/>
                <w:color w:val="auto"/>
                <w:highlight w:val="none"/>
                <w:lang w:val="en-US" w:eastAsia="zh-CN"/>
              </w:rPr>
              <w:t xml:space="preserve">    </w:t>
            </w:r>
            <w:r>
              <w:rPr>
                <w:rFonts w:hint="eastAsia"/>
                <w:color w:val="auto"/>
                <w:highlight w:val="none"/>
              </w:rPr>
              <w:t>若在评标过程中发现报价存在计算错误，则按</w:t>
            </w:r>
            <w:r>
              <w:rPr>
                <w:rFonts w:hint="eastAsia"/>
                <w:color w:val="auto"/>
                <w:highlight w:val="none"/>
                <w:lang w:val="en-US" w:eastAsia="zh-CN"/>
              </w:rPr>
              <w:t>以下规则</w:t>
            </w:r>
            <w:r>
              <w:rPr>
                <w:rFonts w:hint="eastAsia"/>
                <w:color w:val="auto"/>
                <w:highlight w:val="none"/>
              </w:rPr>
              <w:t>进行算术修正</w:t>
            </w:r>
            <w:r>
              <w:rPr>
                <w:rFonts w:hint="eastAsia"/>
                <w:color w:val="auto"/>
                <w:highlight w:val="none"/>
                <w:lang w:eastAsia="zh-CN"/>
              </w:rPr>
              <w:t>：投标报价为各分项报价金额之和，投标报价与分项报价的合价不一致的，应以各分项合价累计数为准，修正投标报价；如分项报价中存在缺漏项，则视为缺漏项价格已包含在其他分项报价之中。</w:t>
            </w:r>
            <w:r>
              <w:rPr>
                <w:rFonts w:hint="eastAsia"/>
                <w:color w:val="auto"/>
                <w:highlight w:val="none"/>
                <w:lang w:val="en-US" w:eastAsia="zh-CN"/>
              </w:rPr>
              <w:t>投标大小写金额不一致的，以大写金额为准进行修正。总价金额和单价金额不一致的，以单价金额为准，但是单价金额有明显小数点错误的除外。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56" w:type="dxa"/>
            <w:gridSpan w:val="2"/>
            <w:noWrap w:val="0"/>
            <w:vAlign w:val="center"/>
          </w:tcPr>
          <w:p>
            <w:pPr>
              <w:spacing w:line="40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澄清</w:t>
            </w:r>
          </w:p>
        </w:tc>
        <w:tc>
          <w:tcPr>
            <w:tcW w:w="7171" w:type="dxa"/>
            <w:gridSpan w:val="2"/>
            <w:noWrap w:val="0"/>
            <w:vAlign w:val="center"/>
          </w:tcPr>
          <w:p>
            <w:pPr>
              <w:spacing w:line="400" w:lineRule="exact"/>
              <w:rPr>
                <w:rFonts w:hint="eastAsia"/>
                <w:color w:val="auto"/>
                <w:highlight w:val="none"/>
                <w:lang w:val="en-US" w:eastAsia="zh-CN"/>
              </w:rPr>
            </w:pPr>
            <w:r>
              <w:rPr>
                <w:rFonts w:hint="eastAsia"/>
                <w:color w:val="auto"/>
                <w:highlight w:val="none"/>
                <w:lang w:val="en-US" w:eastAsia="zh-CN"/>
              </w:rPr>
              <w:t xml:space="preserve">    </w:t>
            </w:r>
            <w:r>
              <w:rPr>
                <w:rFonts w:hint="eastAsia"/>
                <w:color w:val="auto"/>
                <w:highlight w:val="none"/>
                <w:lang w:eastAsia="zh-CN"/>
              </w:rPr>
              <w:t>在评标过程中，</w:t>
            </w:r>
            <w:r>
              <w:rPr>
                <w:rFonts w:hint="eastAsia"/>
                <w:color w:val="auto"/>
                <w:highlight w:val="none"/>
                <w:lang w:val="en-US" w:eastAsia="zh-CN"/>
              </w:rPr>
              <w:t>评审小组</w:t>
            </w:r>
            <w:r>
              <w:rPr>
                <w:rFonts w:hint="eastAsia"/>
                <w:color w:val="auto"/>
                <w:highlight w:val="none"/>
                <w:lang w:eastAsia="zh-CN"/>
              </w:rPr>
              <w:t>可以要求</w:t>
            </w:r>
            <w:r>
              <w:rPr>
                <w:rFonts w:hint="eastAsia"/>
                <w:color w:val="auto"/>
                <w:highlight w:val="none"/>
                <w:lang w:val="en-US" w:eastAsia="zh-CN"/>
              </w:rPr>
              <w:t>投标人</w:t>
            </w:r>
            <w:r>
              <w:rPr>
                <w:rFonts w:hint="eastAsia"/>
                <w:color w:val="auto"/>
                <w:highlight w:val="none"/>
                <w:lang w:eastAsia="zh-CN"/>
              </w:rPr>
              <w:t>对所提交投标文件中不明确的内容进行书面澄清或说明，或者对细微偏差进行补正。评标</w:t>
            </w:r>
            <w:r>
              <w:rPr>
                <w:rFonts w:hint="eastAsia"/>
                <w:color w:val="auto"/>
                <w:highlight w:val="none"/>
                <w:lang w:val="en-US" w:eastAsia="zh-CN"/>
              </w:rPr>
              <w:t>小组</w:t>
            </w:r>
            <w:r>
              <w:rPr>
                <w:rFonts w:hint="eastAsia"/>
                <w:color w:val="auto"/>
                <w:highlight w:val="none"/>
                <w:lang w:eastAsia="zh-CN"/>
              </w:rPr>
              <w:t>不接受</w:t>
            </w:r>
            <w:r>
              <w:rPr>
                <w:rFonts w:hint="eastAsia"/>
                <w:color w:val="auto"/>
                <w:highlight w:val="none"/>
                <w:lang w:val="en-US" w:eastAsia="zh-CN"/>
              </w:rPr>
              <w:t>投标人</w:t>
            </w:r>
            <w:r>
              <w:rPr>
                <w:rFonts w:hint="eastAsia"/>
                <w:color w:val="auto"/>
                <w:highlight w:val="none"/>
                <w:lang w:eastAsia="zh-CN"/>
              </w:rPr>
              <w:t>主动提出的澄清、说明或补正。</w:t>
            </w:r>
          </w:p>
        </w:tc>
      </w:tr>
    </w:tbl>
    <w:p>
      <w:pPr>
        <w:spacing w:line="360" w:lineRule="auto"/>
        <w:outlineLvl w:val="0"/>
        <w:rPr>
          <w:b/>
          <w:color w:val="auto"/>
          <w:szCs w:val="21"/>
          <w:highlight w:val="none"/>
        </w:rPr>
      </w:pPr>
      <w:r>
        <w:rPr>
          <w:rFonts w:hint="eastAsia"/>
          <w:b/>
          <w:bCs/>
          <w:color w:val="auto"/>
          <w:szCs w:val="21"/>
          <w:highlight w:val="none"/>
          <w:lang w:val="en-US" w:eastAsia="zh-CN"/>
        </w:rPr>
        <w:t>五</w:t>
      </w:r>
      <w:r>
        <w:rPr>
          <w:rFonts w:hint="eastAsia"/>
          <w:b/>
          <w:bCs/>
          <w:color w:val="auto"/>
          <w:szCs w:val="21"/>
          <w:highlight w:val="none"/>
        </w:rPr>
        <w:t>、</w:t>
      </w:r>
      <w:r>
        <w:rPr>
          <w:rFonts w:hint="eastAsia"/>
          <w:b/>
          <w:color w:val="auto"/>
          <w:szCs w:val="21"/>
          <w:highlight w:val="none"/>
          <w:lang w:eastAsia="zh-CN"/>
        </w:rPr>
        <w:t>招标</w:t>
      </w:r>
      <w:r>
        <w:rPr>
          <w:b/>
          <w:color w:val="auto"/>
          <w:szCs w:val="21"/>
          <w:highlight w:val="none"/>
        </w:rPr>
        <w:t>须知</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w:t>
      </w:r>
      <w:r>
        <w:rPr>
          <w:rFonts w:hint="eastAsia" w:ascii="宋体" w:hAnsi="宋体" w:cs="宋体"/>
          <w:color w:val="auto"/>
          <w:szCs w:val="21"/>
          <w:highlight w:val="none"/>
          <w:lang w:eastAsia="zh-CN"/>
        </w:rPr>
        <w:t>招标</w:t>
      </w:r>
      <w:r>
        <w:rPr>
          <w:rFonts w:hint="eastAsia" w:ascii="宋体" w:hAnsi="宋体" w:cs="宋体"/>
          <w:color w:val="auto"/>
          <w:szCs w:val="21"/>
          <w:highlight w:val="none"/>
        </w:rPr>
        <w:t>文件获取方式：凡愿意参加的潜在</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，从挂网日起至</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文件递交截止时间前，在重庆高速集团官网（</w:t>
      </w:r>
      <w:r>
        <w:rPr>
          <w:rFonts w:hint="eastAsia" w:ascii="宋体" w:hAnsi="宋体" w:cs="宋体"/>
          <w:color w:val="auto"/>
          <w:szCs w:val="21"/>
          <w:highlight w:val="none"/>
        </w:rPr>
        <w:drawing>
          <wp:inline distT="0" distB="0" distL="114300" distR="114300">
            <wp:extent cx="189865" cy="142240"/>
            <wp:effectExtent l="0" t="0" r="635" b="10160"/>
            <wp:docPr id="1" name="图片 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IMG_257"/>
                    <pic:cNvPicPr>
                      <a:picLocks noChangeAspect="1"/>
                    </pic:cNvPicPr>
                  </pic:nvPicPr>
                  <pic:blipFill>
                    <a:blip r:embed="rId7"/>
                    <a:stretch>
                      <a:fillRect/>
                    </a:stretch>
                  </pic:blipFill>
                  <pic:spPr>
                    <a:xfrm>
                      <a:off x="0" y="0"/>
                      <a:ext cx="189865" cy="142240"/>
                    </a:xfrm>
                    <a:prstGeom prst="rect">
                      <a:avLst/>
                    </a:prstGeom>
                    <a:noFill/>
                    <a:ln>
                      <a:noFill/>
                    </a:ln>
                  </pic:spPr>
                </pic:pic>
              </a:graphicData>
            </a:graphic>
          </wp:inline>
        </w:drawing>
      </w:r>
      <w:r>
        <w:rPr>
          <w:rFonts w:hint="eastAsia" w:ascii="宋体" w:hAnsi="宋体" w:cs="宋体"/>
          <w:color w:val="auto"/>
          <w:szCs w:val="21"/>
          <w:highlight w:val="none"/>
        </w:rPr>
        <w:t>http://www.cegc.com.cn/gw/newsInfoMenu.html?id=42&amp;key=2）、重庆高速公路集团有限公司招投标管理平台（</w:t>
      </w:r>
      <w:r>
        <w:rPr>
          <w:rFonts w:hint="eastAsia" w:ascii="宋体" w:hAnsi="宋体" w:cs="宋体"/>
          <w:color w:val="auto"/>
          <w:szCs w:val="21"/>
          <w:highlight w:val="none"/>
        </w:rPr>
        <w:drawing>
          <wp:inline distT="0" distB="0" distL="114300" distR="114300">
            <wp:extent cx="189865" cy="142240"/>
            <wp:effectExtent l="0" t="0" r="635" b="10160"/>
            <wp:docPr id="2" name="图片 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IMG_257"/>
                    <pic:cNvPicPr>
                      <a:picLocks noChangeAspect="1"/>
                    </pic:cNvPicPr>
                  </pic:nvPicPr>
                  <pic:blipFill>
                    <a:blip r:embed="rId7"/>
                    <a:stretch>
                      <a:fillRect/>
                    </a:stretch>
                  </pic:blipFill>
                  <pic:spPr>
                    <a:xfrm>
                      <a:off x="0" y="0"/>
                      <a:ext cx="189865" cy="142240"/>
                    </a:xfrm>
                    <a:prstGeom prst="rect">
                      <a:avLst/>
                    </a:prstGeom>
                    <a:noFill/>
                    <a:ln>
                      <a:noFill/>
                    </a:ln>
                  </pic:spPr>
                </pic:pic>
              </a:graphicData>
            </a:graphic>
          </wp:inline>
        </w:drawing>
      </w:r>
      <w:r>
        <w:rPr>
          <w:rFonts w:hint="eastAsia" w:ascii="宋体" w:hAnsi="宋体" w:cs="宋体"/>
          <w:color w:val="auto"/>
          <w:szCs w:val="21"/>
          <w:highlight w:val="none"/>
        </w:rPr>
        <w:t>http://43.240.249.108:8088/PMS/）上发布的本项目</w:t>
      </w:r>
      <w:r>
        <w:rPr>
          <w:rFonts w:hint="eastAsia" w:ascii="宋体" w:hAnsi="宋体" w:cs="宋体"/>
          <w:color w:val="auto"/>
          <w:szCs w:val="21"/>
          <w:highlight w:val="none"/>
          <w:lang w:eastAsia="zh-CN"/>
        </w:rPr>
        <w:t>招标</w:t>
      </w:r>
      <w:r>
        <w:rPr>
          <w:rFonts w:hint="eastAsia" w:ascii="宋体" w:hAnsi="宋体" w:cs="宋体"/>
          <w:color w:val="auto"/>
          <w:szCs w:val="21"/>
          <w:highlight w:val="none"/>
        </w:rPr>
        <w:t>公告中的获取方式自行下载。不管</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是否下载，均视为已知晓</w:t>
      </w:r>
      <w:r>
        <w:rPr>
          <w:rFonts w:hint="eastAsia" w:ascii="宋体" w:hAnsi="宋体" w:cs="宋体"/>
          <w:color w:val="auto"/>
          <w:szCs w:val="21"/>
          <w:highlight w:val="none"/>
          <w:lang w:eastAsia="zh-CN"/>
        </w:rPr>
        <w:t>招标</w:t>
      </w:r>
      <w:r>
        <w:rPr>
          <w:rFonts w:hint="eastAsia" w:ascii="宋体" w:hAnsi="宋体" w:cs="宋体"/>
          <w:color w:val="auto"/>
          <w:szCs w:val="21"/>
          <w:highlight w:val="none"/>
        </w:rPr>
        <w:t>文件的全部内容和有关事宜。本项目不需要报名，直接投标 。</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w:t>
      </w:r>
      <w:r>
        <w:rPr>
          <w:rFonts w:hint="eastAsia" w:ascii="宋体" w:hAnsi="宋体" w:cs="宋体"/>
          <w:color w:val="auto"/>
          <w:szCs w:val="21"/>
          <w:highlight w:val="none"/>
          <w:lang w:eastAsia="zh-CN"/>
        </w:rPr>
        <w:t>招标</w:t>
      </w:r>
      <w:r>
        <w:rPr>
          <w:rFonts w:hint="eastAsia" w:ascii="宋体" w:hAnsi="宋体" w:cs="宋体"/>
          <w:color w:val="auto"/>
          <w:szCs w:val="21"/>
          <w:highlight w:val="none"/>
        </w:rPr>
        <w:t>公告及结果公示将在重庆高速集团官网（</w:t>
      </w:r>
      <w:r>
        <w:rPr>
          <w:rFonts w:hint="eastAsia" w:ascii="宋体" w:hAnsi="宋体" w:cs="宋体"/>
          <w:color w:val="auto"/>
          <w:szCs w:val="21"/>
          <w:highlight w:val="none"/>
        </w:rPr>
        <w:drawing>
          <wp:inline distT="0" distB="0" distL="114300" distR="114300">
            <wp:extent cx="189865" cy="142240"/>
            <wp:effectExtent l="0" t="0" r="635" b="10160"/>
            <wp:docPr id="3" name="图片 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descr="IMG_257"/>
                    <pic:cNvPicPr>
                      <a:picLocks noChangeAspect="1"/>
                    </pic:cNvPicPr>
                  </pic:nvPicPr>
                  <pic:blipFill>
                    <a:blip r:embed="rId7"/>
                    <a:stretch>
                      <a:fillRect/>
                    </a:stretch>
                  </pic:blipFill>
                  <pic:spPr>
                    <a:xfrm>
                      <a:off x="0" y="0"/>
                      <a:ext cx="189865" cy="142240"/>
                    </a:xfrm>
                    <a:prstGeom prst="rect">
                      <a:avLst/>
                    </a:prstGeom>
                    <a:noFill/>
                    <a:ln>
                      <a:noFill/>
                    </a:ln>
                  </pic:spPr>
                </pic:pic>
              </a:graphicData>
            </a:graphic>
          </wp:inline>
        </w:drawing>
      </w:r>
      <w:r>
        <w:rPr>
          <w:rFonts w:hint="eastAsia" w:ascii="宋体" w:hAnsi="宋体" w:cs="宋体"/>
          <w:color w:val="auto"/>
          <w:szCs w:val="21"/>
          <w:highlight w:val="none"/>
        </w:rPr>
        <w:t>http://www.cegc.com.cn/gw/newsInfoMenu.html?id=42&amp;key=2）、重庆高速公路集团有限公司招投标管理平台（</w:t>
      </w:r>
      <w:r>
        <w:rPr>
          <w:rFonts w:hint="eastAsia" w:ascii="宋体" w:hAnsi="宋体" w:cs="宋体"/>
          <w:color w:val="auto"/>
          <w:szCs w:val="21"/>
          <w:highlight w:val="none"/>
        </w:rPr>
        <w:drawing>
          <wp:inline distT="0" distB="0" distL="114300" distR="114300">
            <wp:extent cx="189865" cy="142240"/>
            <wp:effectExtent l="0" t="0" r="635" b="10160"/>
            <wp:docPr id="4" name="图片 1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descr="IMG_257"/>
                    <pic:cNvPicPr>
                      <a:picLocks noChangeAspect="1"/>
                    </pic:cNvPicPr>
                  </pic:nvPicPr>
                  <pic:blipFill>
                    <a:blip r:embed="rId7"/>
                    <a:stretch>
                      <a:fillRect/>
                    </a:stretch>
                  </pic:blipFill>
                  <pic:spPr>
                    <a:xfrm>
                      <a:off x="0" y="0"/>
                      <a:ext cx="189865" cy="142240"/>
                    </a:xfrm>
                    <a:prstGeom prst="rect">
                      <a:avLst/>
                    </a:prstGeom>
                    <a:noFill/>
                    <a:ln>
                      <a:noFill/>
                    </a:ln>
                  </pic:spPr>
                </pic:pic>
              </a:graphicData>
            </a:graphic>
          </wp:inline>
        </w:drawing>
      </w:r>
      <w:r>
        <w:rPr>
          <w:rFonts w:hint="eastAsia" w:ascii="宋体" w:hAnsi="宋体" w:cs="宋体"/>
          <w:color w:val="auto"/>
          <w:szCs w:val="21"/>
          <w:highlight w:val="none"/>
        </w:rPr>
        <w:t>http://43.240.249.108:8088/PMS/）上发布。</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w:t>
      </w:r>
      <w:r>
        <w:rPr>
          <w:rFonts w:hint="eastAsia" w:ascii="宋体" w:hAnsi="宋体" w:cs="宋体"/>
          <w:color w:val="auto"/>
          <w:szCs w:val="21"/>
          <w:highlight w:val="none"/>
          <w:lang w:eastAsia="zh-CN"/>
        </w:rPr>
        <w:t>招标</w:t>
      </w:r>
      <w:r>
        <w:rPr>
          <w:rFonts w:hint="eastAsia" w:ascii="宋体" w:hAnsi="宋体" w:cs="宋体"/>
          <w:color w:val="auto"/>
          <w:szCs w:val="21"/>
          <w:highlight w:val="none"/>
        </w:rPr>
        <w:t>文件递交截止地点：</w:t>
      </w:r>
      <w:r>
        <w:rPr>
          <w:rFonts w:hint="eastAsia" w:ascii="宋体" w:hAnsi="宋体" w:cs="宋体"/>
          <w:b/>
          <w:bCs/>
          <w:color w:val="auto"/>
          <w:szCs w:val="21"/>
          <w:highlight w:val="none"/>
        </w:rPr>
        <w:t>重庆通力高速公路养护工程有限公司</w:t>
      </w:r>
      <w:r>
        <w:rPr>
          <w:rFonts w:hint="eastAsia" w:ascii="宋体" w:hAnsi="宋体" w:cs="宋体"/>
          <w:b/>
          <w:bCs/>
          <w:color w:val="auto"/>
          <w:szCs w:val="21"/>
          <w:highlight w:val="none"/>
          <w:lang w:val="en-US" w:eastAsia="zh-CN"/>
        </w:rPr>
        <w:t xml:space="preserve"> </w:t>
      </w:r>
      <w:r>
        <w:rPr>
          <w:rFonts w:hint="eastAsia" w:ascii="宋体" w:hAnsi="宋体" w:cs="宋体"/>
          <w:color w:val="auto"/>
          <w:szCs w:val="21"/>
          <w:highlight w:val="none"/>
        </w:rPr>
        <w:t>（</w:t>
      </w:r>
      <w:r>
        <w:rPr>
          <w:rFonts w:hint="eastAsia"/>
          <w:color w:val="auto"/>
          <w:sz w:val="21"/>
          <w:szCs w:val="21"/>
          <w:highlight w:val="none"/>
        </w:rPr>
        <w:t>重庆市沙坪坝区梨高路4号</w:t>
      </w:r>
      <w:r>
        <w:rPr>
          <w:rFonts w:hint="eastAsia" w:ascii="宋体" w:hAnsi="宋体" w:cs="宋体"/>
          <w:color w:val="auto"/>
          <w:szCs w:val="21"/>
          <w:highlight w:val="none"/>
        </w:rPr>
        <w:t>）。</w:t>
      </w:r>
    </w:p>
    <w:p>
      <w:pPr>
        <w:spacing w:line="360" w:lineRule="exact"/>
        <w:ind w:firstLine="420" w:firstLineChars="200"/>
        <w:rPr>
          <w:rFonts w:hint="eastAsia" w:ascii="宋体" w:hAnsi="宋体" w:cs="宋体"/>
          <w:color w:val="FF0000"/>
          <w:szCs w:val="21"/>
          <w:highlight w:val="none"/>
        </w:rPr>
      </w:pPr>
      <w:r>
        <w:rPr>
          <w:rFonts w:hint="eastAsia" w:ascii="宋体" w:hAnsi="宋体" w:cs="宋体"/>
          <w:color w:val="FF0000"/>
          <w:szCs w:val="21"/>
          <w:highlight w:val="none"/>
        </w:rPr>
        <w:t>（四）</w:t>
      </w:r>
      <w:r>
        <w:rPr>
          <w:rFonts w:hint="eastAsia" w:ascii="宋体" w:hAnsi="宋体" w:cs="宋体"/>
          <w:color w:val="FF0000"/>
          <w:szCs w:val="21"/>
          <w:highlight w:val="none"/>
          <w:lang w:eastAsia="zh-CN"/>
        </w:rPr>
        <w:t>招标</w:t>
      </w:r>
      <w:r>
        <w:rPr>
          <w:rFonts w:hint="eastAsia" w:ascii="宋体" w:hAnsi="宋体" w:cs="宋体"/>
          <w:color w:val="FF0000"/>
          <w:szCs w:val="21"/>
          <w:highlight w:val="none"/>
        </w:rPr>
        <w:t>文件递交截止时间：</w:t>
      </w:r>
      <w:r>
        <w:rPr>
          <w:rFonts w:hint="eastAsia" w:ascii="宋体" w:hAnsi="宋体" w:cs="宋体"/>
          <w:color w:val="FF0000"/>
          <w:szCs w:val="21"/>
          <w:highlight w:val="none"/>
          <w:lang w:val="en-US" w:eastAsia="zh-CN"/>
        </w:rPr>
        <w:t>2023</w:t>
      </w:r>
      <w:r>
        <w:rPr>
          <w:rFonts w:hint="eastAsia" w:ascii="宋体" w:hAnsi="宋体" w:cs="宋体"/>
          <w:color w:val="FF0000"/>
          <w:szCs w:val="21"/>
          <w:highlight w:val="none"/>
        </w:rPr>
        <w:t>年</w:t>
      </w:r>
      <w:r>
        <w:rPr>
          <w:rFonts w:hint="eastAsia" w:ascii="宋体" w:hAnsi="宋体" w:cs="宋体"/>
          <w:color w:val="FF0000"/>
          <w:szCs w:val="21"/>
          <w:highlight w:val="none"/>
          <w:u w:val="single"/>
          <w:lang w:val="en-US" w:eastAsia="zh-CN"/>
        </w:rPr>
        <w:t>4</w:t>
      </w:r>
      <w:r>
        <w:rPr>
          <w:rFonts w:hint="eastAsia" w:ascii="宋体" w:hAnsi="宋体" w:cs="宋体"/>
          <w:color w:val="FF0000"/>
          <w:szCs w:val="21"/>
          <w:highlight w:val="none"/>
        </w:rPr>
        <w:t>月</w:t>
      </w:r>
      <w:r>
        <w:rPr>
          <w:rFonts w:hint="eastAsia" w:ascii="宋体" w:hAnsi="宋体" w:cs="宋体"/>
          <w:color w:val="FF0000"/>
          <w:szCs w:val="21"/>
          <w:highlight w:val="none"/>
          <w:u w:val="single"/>
        </w:rPr>
        <w:t xml:space="preserve"> </w:t>
      </w:r>
      <w:r>
        <w:rPr>
          <w:rFonts w:hint="eastAsia" w:ascii="宋体" w:hAnsi="宋体" w:cs="宋体"/>
          <w:color w:val="FF0000"/>
          <w:szCs w:val="21"/>
          <w:highlight w:val="none"/>
          <w:u w:val="single"/>
          <w:lang w:val="en-US" w:eastAsia="zh-CN"/>
        </w:rPr>
        <w:t xml:space="preserve">24 </w:t>
      </w:r>
      <w:r>
        <w:rPr>
          <w:rFonts w:hint="eastAsia" w:ascii="宋体" w:hAnsi="宋体" w:cs="宋体"/>
          <w:color w:val="FF0000"/>
          <w:szCs w:val="21"/>
          <w:highlight w:val="none"/>
        </w:rPr>
        <w:t>日</w:t>
      </w:r>
      <w:r>
        <w:rPr>
          <w:rFonts w:hint="eastAsia" w:ascii="宋体" w:hAnsi="宋体" w:cs="宋体"/>
          <w:color w:val="FF0000"/>
          <w:szCs w:val="21"/>
          <w:highlight w:val="none"/>
          <w:u w:val="single"/>
          <w:lang w:val="en-US" w:eastAsia="zh-CN"/>
        </w:rPr>
        <w:t xml:space="preserve"> 10  </w:t>
      </w:r>
      <w:r>
        <w:rPr>
          <w:rFonts w:hint="eastAsia" w:ascii="宋体" w:hAnsi="宋体" w:cs="宋体"/>
          <w:color w:val="FF0000"/>
          <w:szCs w:val="21"/>
          <w:highlight w:val="none"/>
        </w:rPr>
        <w:t>时</w:t>
      </w:r>
      <w:r>
        <w:rPr>
          <w:rFonts w:hint="eastAsia" w:ascii="宋体" w:hAnsi="宋体" w:cs="宋体"/>
          <w:color w:val="FF0000"/>
          <w:szCs w:val="21"/>
          <w:highlight w:val="none"/>
          <w:u w:val="single"/>
          <w:lang w:val="en-US" w:eastAsia="zh-CN"/>
        </w:rPr>
        <w:t xml:space="preserve"> 00  </w:t>
      </w:r>
      <w:r>
        <w:rPr>
          <w:rFonts w:hint="eastAsia" w:ascii="宋体" w:hAnsi="宋体" w:cs="宋体"/>
          <w:color w:val="FF0000"/>
          <w:szCs w:val="21"/>
          <w:highlight w:val="none"/>
        </w:rPr>
        <w:t>分。</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应根据本次</w:t>
      </w:r>
      <w:r>
        <w:rPr>
          <w:rFonts w:hint="eastAsia" w:ascii="宋体" w:hAnsi="宋体" w:cs="宋体"/>
          <w:color w:val="auto"/>
          <w:szCs w:val="21"/>
          <w:highlight w:val="none"/>
          <w:lang w:eastAsia="zh-CN"/>
        </w:rPr>
        <w:t>招标</w:t>
      </w:r>
      <w:r>
        <w:rPr>
          <w:rFonts w:hint="eastAsia" w:ascii="宋体" w:hAnsi="宋体" w:cs="宋体"/>
          <w:color w:val="auto"/>
          <w:szCs w:val="21"/>
          <w:highlight w:val="none"/>
        </w:rPr>
        <w:t>的具体要求，编制规范的</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文件（</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文件，要求填写规范，密封完好并在封口处加盖公章，所有</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文件均只能作一次性提交，提交后不得更改）。</w:t>
      </w:r>
      <w:r>
        <w:rPr>
          <w:rFonts w:hint="eastAsia" w:ascii="宋体" w:hAnsi="宋体" w:cs="宋体"/>
          <w:color w:val="auto"/>
          <w:szCs w:val="21"/>
          <w:highlight w:val="none"/>
          <w:lang w:val="en-US" w:eastAsia="zh-CN"/>
        </w:rPr>
        <w:t>当第一次</w:t>
      </w:r>
      <w:r>
        <w:rPr>
          <w:rFonts w:hint="eastAsia" w:ascii="宋体" w:hAnsi="宋体" w:cs="宋体"/>
          <w:color w:val="auto"/>
          <w:szCs w:val="21"/>
          <w:highlight w:val="none"/>
        </w:rPr>
        <w:t>不足三家报名时，不予开标，标书当场退回</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第二次不足三家报名时，可按招标文件要求进行开标</w:t>
      </w:r>
      <w:r>
        <w:rPr>
          <w:rFonts w:hint="eastAsia" w:ascii="宋体" w:hAnsi="宋体" w:cs="宋体"/>
          <w:color w:val="auto"/>
          <w:szCs w:val="21"/>
          <w:highlight w:val="none"/>
        </w:rPr>
        <w:t>。</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（六）密封要求：</w:t>
      </w:r>
    </w:p>
    <w:p>
      <w:pPr>
        <w:spacing w:line="360" w:lineRule="exact"/>
        <w:ind w:firstLine="422" w:firstLineChars="200"/>
        <w:rPr>
          <w:rFonts w:hint="eastAsia" w:ascii="宋体" w:hAnsi="宋体" w:cs="宋体"/>
          <w:b/>
          <w:bCs/>
          <w:color w:val="FF0000"/>
          <w:szCs w:val="21"/>
          <w:highlight w:val="none"/>
        </w:rPr>
      </w:pPr>
      <w:r>
        <w:rPr>
          <w:rFonts w:hint="eastAsia" w:ascii="宋体" w:hAnsi="宋体" w:cs="宋体"/>
          <w:b/>
          <w:bCs/>
          <w:color w:val="FF0000"/>
          <w:szCs w:val="21"/>
          <w:highlight w:val="none"/>
        </w:rPr>
        <w:t>按第</w:t>
      </w:r>
      <w:r>
        <w:rPr>
          <w:rFonts w:hint="eastAsia" w:ascii="宋体" w:hAnsi="宋体" w:cs="宋体"/>
          <w:b/>
          <w:bCs/>
          <w:color w:val="FF0000"/>
          <w:szCs w:val="21"/>
          <w:highlight w:val="none"/>
          <w:lang w:eastAsia="zh-CN"/>
        </w:rPr>
        <w:t>三</w:t>
      </w:r>
      <w:r>
        <w:rPr>
          <w:rFonts w:hint="eastAsia" w:ascii="宋体" w:hAnsi="宋体" w:cs="宋体"/>
          <w:b/>
          <w:bCs/>
          <w:color w:val="FF0000"/>
          <w:szCs w:val="21"/>
          <w:highlight w:val="none"/>
        </w:rPr>
        <w:t>条要求制作的</w:t>
      </w:r>
      <w:r>
        <w:rPr>
          <w:rFonts w:hint="eastAsia" w:ascii="宋体" w:hAnsi="宋体" w:cs="宋体"/>
          <w:b/>
          <w:bCs/>
          <w:color w:val="FF0000"/>
          <w:szCs w:val="21"/>
          <w:highlight w:val="none"/>
          <w:lang w:eastAsia="zh-CN"/>
        </w:rPr>
        <w:t>投标</w:t>
      </w:r>
      <w:r>
        <w:rPr>
          <w:rFonts w:hint="eastAsia" w:ascii="宋体" w:hAnsi="宋体" w:cs="宋体"/>
          <w:b/>
          <w:bCs/>
          <w:color w:val="FF0000"/>
          <w:szCs w:val="21"/>
          <w:highlight w:val="none"/>
        </w:rPr>
        <w:t>文件，将</w:t>
      </w:r>
      <w:r>
        <w:rPr>
          <w:rFonts w:hint="eastAsia" w:ascii="宋体" w:hAnsi="宋体" w:cs="宋体"/>
          <w:b/>
          <w:bCs/>
          <w:color w:val="FF0000"/>
          <w:szCs w:val="21"/>
          <w:highlight w:val="none"/>
          <w:lang w:eastAsia="zh-CN"/>
        </w:rPr>
        <w:t>投标</w:t>
      </w:r>
      <w:r>
        <w:rPr>
          <w:rFonts w:hint="eastAsia" w:ascii="宋体" w:hAnsi="宋体" w:cs="宋体"/>
          <w:b/>
          <w:bCs/>
          <w:color w:val="FF0000"/>
          <w:szCs w:val="21"/>
          <w:highlight w:val="none"/>
        </w:rPr>
        <w:t>文件密封到一个封套中，再在封套上写明：</w:t>
      </w:r>
    </w:p>
    <w:p>
      <w:pPr>
        <w:spacing w:line="360" w:lineRule="exact"/>
        <w:ind w:firstLine="420" w:firstLineChars="200"/>
        <w:jc w:val="center"/>
        <w:rPr>
          <w:rFonts w:hint="eastAsia" w:ascii="宋体" w:hAnsi="宋体" w:cs="宋体"/>
          <w:color w:val="FF0000"/>
          <w:szCs w:val="21"/>
          <w:highlight w:val="none"/>
          <w:u w:val="single"/>
        </w:rPr>
      </w:pPr>
      <w:r>
        <w:rPr>
          <w:rFonts w:hint="eastAsia" w:ascii="宋体" w:hAnsi="宋体" w:cs="宋体"/>
          <w:color w:val="FF0000"/>
          <w:szCs w:val="21"/>
          <w:highlight w:val="none"/>
          <w:u w:val="single"/>
          <w:lang w:val="en-US" w:eastAsia="zh-CN"/>
        </w:rPr>
        <w:t>渝邻高速公路K1533+500-K1548+109段路面修复养护工程沥青混合料加工</w:t>
      </w:r>
      <w:r>
        <w:rPr>
          <w:rFonts w:hint="eastAsia" w:ascii="宋体" w:hAnsi="宋体" w:cs="宋体"/>
          <w:color w:val="FF0000"/>
          <w:szCs w:val="21"/>
          <w:highlight w:val="none"/>
          <w:u w:val="single"/>
          <w:lang w:eastAsia="zh-CN"/>
        </w:rPr>
        <w:t>投标</w:t>
      </w:r>
      <w:r>
        <w:rPr>
          <w:rFonts w:hint="eastAsia" w:ascii="宋体" w:hAnsi="宋体" w:cs="宋体"/>
          <w:color w:val="FF0000"/>
          <w:szCs w:val="21"/>
          <w:highlight w:val="none"/>
          <w:u w:val="single"/>
        </w:rPr>
        <w:t>文件</w:t>
      </w:r>
    </w:p>
    <w:p>
      <w:pPr>
        <w:spacing w:line="360" w:lineRule="exact"/>
        <w:ind w:firstLine="420" w:firstLineChars="200"/>
        <w:jc w:val="center"/>
        <w:rPr>
          <w:rFonts w:hint="eastAsia" w:ascii="宋体" w:hAnsi="宋体" w:cs="宋体"/>
          <w:color w:val="FF0000"/>
          <w:szCs w:val="21"/>
          <w:highlight w:val="none"/>
          <w:u w:val="single"/>
        </w:rPr>
      </w:pPr>
      <w:r>
        <w:rPr>
          <w:rFonts w:hint="eastAsia" w:ascii="宋体" w:hAnsi="宋体" w:cs="宋体"/>
          <w:color w:val="FF0000"/>
          <w:szCs w:val="21"/>
          <w:highlight w:val="none"/>
          <w:lang w:val="en-US" w:eastAsia="zh-CN"/>
        </w:rPr>
        <w:t>2023年</w:t>
      </w:r>
      <w:r>
        <w:rPr>
          <w:rFonts w:hint="eastAsia" w:ascii="宋体" w:hAnsi="宋体" w:cs="宋体"/>
          <w:color w:val="FF0000"/>
          <w:szCs w:val="21"/>
          <w:highlight w:val="none"/>
          <w:u w:val="single"/>
          <w:lang w:val="en-US" w:eastAsia="zh-CN"/>
        </w:rPr>
        <w:t>4</w:t>
      </w:r>
      <w:r>
        <w:rPr>
          <w:rFonts w:hint="eastAsia" w:ascii="宋体" w:hAnsi="宋体" w:cs="宋体"/>
          <w:color w:val="FF0000"/>
          <w:szCs w:val="21"/>
          <w:highlight w:val="none"/>
          <w:lang w:val="en-US" w:eastAsia="zh-CN"/>
        </w:rPr>
        <w:t>月</w:t>
      </w:r>
      <w:r>
        <w:rPr>
          <w:rFonts w:hint="eastAsia" w:ascii="宋体" w:hAnsi="宋体" w:cs="宋体"/>
          <w:color w:val="FF0000"/>
          <w:szCs w:val="21"/>
          <w:highlight w:val="none"/>
          <w:u w:val="single"/>
          <w:lang w:val="en-US" w:eastAsia="zh-CN"/>
        </w:rPr>
        <w:t xml:space="preserve"> 24 </w:t>
      </w:r>
      <w:r>
        <w:rPr>
          <w:rFonts w:hint="eastAsia" w:ascii="宋体" w:hAnsi="宋体" w:cs="宋体"/>
          <w:color w:val="FF0000"/>
          <w:szCs w:val="21"/>
          <w:highlight w:val="none"/>
          <w:lang w:val="en-US" w:eastAsia="zh-CN"/>
        </w:rPr>
        <w:t>日</w:t>
      </w:r>
      <w:r>
        <w:rPr>
          <w:rFonts w:hint="eastAsia" w:ascii="宋体" w:hAnsi="宋体" w:cs="宋体"/>
          <w:color w:val="FF0000"/>
          <w:szCs w:val="21"/>
          <w:highlight w:val="none"/>
          <w:u w:val="single"/>
          <w:lang w:val="en-US" w:eastAsia="zh-CN"/>
        </w:rPr>
        <w:t xml:space="preserve"> 10 </w:t>
      </w:r>
      <w:r>
        <w:rPr>
          <w:rFonts w:hint="eastAsia" w:ascii="宋体" w:hAnsi="宋体" w:cs="宋体"/>
          <w:color w:val="FF0000"/>
          <w:szCs w:val="21"/>
          <w:highlight w:val="none"/>
          <w:lang w:val="en-US" w:eastAsia="zh-CN"/>
        </w:rPr>
        <w:t>时</w:t>
      </w:r>
      <w:r>
        <w:rPr>
          <w:rFonts w:hint="eastAsia" w:ascii="宋体" w:hAnsi="宋体" w:cs="宋体"/>
          <w:color w:val="FF0000"/>
          <w:szCs w:val="21"/>
          <w:highlight w:val="none"/>
          <w:u w:val="single"/>
          <w:lang w:val="en-US" w:eastAsia="zh-CN"/>
        </w:rPr>
        <w:t xml:space="preserve"> 00 </w:t>
      </w:r>
      <w:r>
        <w:rPr>
          <w:rFonts w:hint="eastAsia" w:ascii="宋体" w:hAnsi="宋体" w:cs="宋体"/>
          <w:color w:val="FF0000"/>
          <w:szCs w:val="21"/>
          <w:highlight w:val="none"/>
          <w:lang w:val="en-US" w:eastAsia="zh-CN"/>
        </w:rPr>
        <w:t>分</w:t>
      </w:r>
      <w:r>
        <w:rPr>
          <w:rFonts w:hint="eastAsia" w:ascii="宋体" w:hAnsi="宋体" w:cs="宋体"/>
          <w:color w:val="FF0000"/>
          <w:szCs w:val="21"/>
          <w:highlight w:val="none"/>
          <w:u w:val="single"/>
        </w:rPr>
        <w:t>前不得开启</w:t>
      </w:r>
    </w:p>
    <w:p>
      <w:pPr>
        <w:spacing w:line="360" w:lineRule="exact"/>
        <w:ind w:firstLine="422" w:firstLineChars="200"/>
        <w:rPr>
          <w:rFonts w:hint="eastAsia" w:ascii="宋体" w:hAnsi="宋体" w:cs="宋体"/>
          <w:color w:val="auto"/>
          <w:szCs w:val="21"/>
          <w:highlight w:val="none"/>
        </w:rPr>
      </w:pPr>
      <w:r>
        <w:rPr>
          <w:rFonts w:hint="eastAsia" w:ascii="Times New Roman" w:hAnsi="Times New Roman" w:eastAsia="宋体" w:cs="Times New Roman"/>
          <w:b/>
          <w:bCs/>
          <w:color w:val="auto"/>
          <w:kern w:val="2"/>
          <w:sz w:val="21"/>
          <w:szCs w:val="21"/>
          <w:highlight w:val="none"/>
          <w:lang w:val="en-US" w:eastAsia="zh-CN"/>
        </w:rPr>
        <w:t>（七）特别提醒</w:t>
      </w:r>
      <w:r>
        <w:rPr>
          <w:rFonts w:hint="eastAsia" w:ascii="Times New Roman" w:hAnsi="Times New Roman" w:eastAsia="宋体" w:cs="Times New Roman"/>
          <w:b/>
          <w:bCs/>
          <w:color w:val="auto"/>
          <w:kern w:val="2"/>
          <w:sz w:val="21"/>
          <w:szCs w:val="21"/>
          <w:highlight w:val="none"/>
        </w:rPr>
        <w:t>：若</w:t>
      </w:r>
      <w:r>
        <w:rPr>
          <w:rFonts w:hint="eastAsia" w:ascii="Times New Roman" w:hAnsi="Times New Roman" w:eastAsia="宋体" w:cs="Times New Roman"/>
          <w:b/>
          <w:bCs/>
          <w:color w:val="auto"/>
          <w:kern w:val="2"/>
          <w:sz w:val="21"/>
          <w:szCs w:val="21"/>
          <w:highlight w:val="none"/>
          <w:lang w:eastAsia="zh-CN"/>
        </w:rPr>
        <w:t>投标人</w:t>
      </w:r>
      <w:r>
        <w:rPr>
          <w:rFonts w:hint="eastAsia" w:ascii="Times New Roman" w:hAnsi="Times New Roman" w:eastAsia="宋体" w:cs="Times New Roman"/>
          <w:b/>
          <w:bCs/>
          <w:color w:val="auto"/>
          <w:kern w:val="2"/>
          <w:sz w:val="21"/>
          <w:szCs w:val="21"/>
          <w:highlight w:val="none"/>
        </w:rPr>
        <w:t>恶</w:t>
      </w:r>
      <w:r>
        <w:rPr>
          <w:rFonts w:hint="eastAsia"/>
          <w:b/>
          <w:bCs/>
          <w:color w:val="auto"/>
          <w:kern w:val="2"/>
          <w:sz w:val="21"/>
          <w:szCs w:val="21"/>
          <w:highlight w:val="none"/>
        </w:rPr>
        <w:t>意竞标后不按</w:t>
      </w:r>
      <w:r>
        <w:rPr>
          <w:rFonts w:hint="eastAsia"/>
          <w:b/>
          <w:bCs/>
          <w:color w:val="auto"/>
          <w:kern w:val="2"/>
          <w:sz w:val="21"/>
          <w:szCs w:val="21"/>
          <w:highlight w:val="none"/>
          <w:lang w:eastAsia="zh-CN"/>
        </w:rPr>
        <w:t>招标</w:t>
      </w:r>
      <w:r>
        <w:rPr>
          <w:rFonts w:hint="eastAsia"/>
          <w:b/>
          <w:bCs/>
          <w:color w:val="auto"/>
          <w:kern w:val="2"/>
          <w:sz w:val="21"/>
          <w:szCs w:val="21"/>
          <w:highlight w:val="none"/>
        </w:rPr>
        <w:t>要求与</w:t>
      </w:r>
      <w:r>
        <w:rPr>
          <w:rFonts w:hint="eastAsia"/>
          <w:b/>
          <w:bCs/>
          <w:color w:val="auto"/>
          <w:kern w:val="2"/>
          <w:sz w:val="21"/>
          <w:szCs w:val="21"/>
          <w:highlight w:val="none"/>
          <w:lang w:eastAsia="zh-CN"/>
        </w:rPr>
        <w:t>招标人</w:t>
      </w:r>
      <w:r>
        <w:rPr>
          <w:rFonts w:hint="eastAsia"/>
          <w:b/>
          <w:bCs/>
          <w:color w:val="auto"/>
          <w:kern w:val="2"/>
          <w:sz w:val="21"/>
          <w:szCs w:val="21"/>
          <w:highlight w:val="none"/>
        </w:rPr>
        <w:t>签订合同</w:t>
      </w:r>
      <w:r>
        <w:rPr>
          <w:rFonts w:hint="eastAsia"/>
          <w:b/>
          <w:bCs/>
          <w:color w:val="auto"/>
          <w:kern w:val="2"/>
          <w:sz w:val="21"/>
          <w:szCs w:val="21"/>
          <w:highlight w:val="none"/>
          <w:lang w:val="en-US" w:eastAsia="zh-CN"/>
        </w:rPr>
        <w:t>或履约</w:t>
      </w:r>
      <w:r>
        <w:rPr>
          <w:rFonts w:hint="eastAsia"/>
          <w:b/>
          <w:bCs/>
          <w:color w:val="auto"/>
          <w:kern w:val="2"/>
          <w:sz w:val="21"/>
          <w:szCs w:val="21"/>
          <w:highlight w:val="none"/>
        </w:rPr>
        <w:t>，</w:t>
      </w:r>
      <w:r>
        <w:rPr>
          <w:rFonts w:hint="eastAsia"/>
          <w:b/>
          <w:bCs/>
          <w:color w:val="auto"/>
          <w:kern w:val="2"/>
          <w:sz w:val="21"/>
          <w:szCs w:val="21"/>
          <w:highlight w:val="none"/>
          <w:lang w:eastAsia="zh-CN"/>
        </w:rPr>
        <w:t>招标人</w:t>
      </w:r>
      <w:r>
        <w:rPr>
          <w:rFonts w:hint="eastAsia"/>
          <w:b/>
          <w:bCs/>
          <w:color w:val="auto"/>
          <w:kern w:val="2"/>
          <w:sz w:val="21"/>
          <w:szCs w:val="21"/>
          <w:highlight w:val="none"/>
        </w:rPr>
        <w:t>将直接将</w:t>
      </w:r>
      <w:r>
        <w:rPr>
          <w:rFonts w:hint="eastAsia" w:ascii="Times New Roman" w:hAnsi="Times New Roman" w:eastAsia="宋体" w:cs="Times New Roman"/>
          <w:b/>
          <w:bCs/>
          <w:color w:val="auto"/>
          <w:kern w:val="2"/>
          <w:sz w:val="21"/>
          <w:szCs w:val="21"/>
          <w:highlight w:val="none"/>
          <w:lang w:eastAsia="zh-CN"/>
        </w:rPr>
        <w:t>投标人</w:t>
      </w:r>
      <w:r>
        <w:rPr>
          <w:rFonts w:hint="eastAsia"/>
          <w:b/>
          <w:bCs/>
          <w:color w:val="auto"/>
          <w:kern w:val="2"/>
          <w:sz w:val="21"/>
          <w:szCs w:val="21"/>
          <w:highlight w:val="none"/>
        </w:rPr>
        <w:t>及其关联单位（含法人代表与委托代理人）一并拉入黑名单，不得参与通力公司所有</w:t>
      </w:r>
      <w:r>
        <w:rPr>
          <w:rFonts w:hint="eastAsia"/>
          <w:b/>
          <w:bCs/>
          <w:color w:val="auto"/>
          <w:kern w:val="2"/>
          <w:sz w:val="21"/>
          <w:szCs w:val="21"/>
          <w:highlight w:val="none"/>
          <w:lang w:eastAsia="zh-CN"/>
        </w:rPr>
        <w:t>招标</w:t>
      </w:r>
      <w:r>
        <w:rPr>
          <w:rFonts w:hint="eastAsia"/>
          <w:b/>
          <w:bCs/>
          <w:color w:val="auto"/>
          <w:kern w:val="2"/>
          <w:sz w:val="21"/>
          <w:szCs w:val="21"/>
          <w:highlight w:val="none"/>
        </w:rPr>
        <w:t>项目报价。</w:t>
      </w:r>
    </w:p>
    <w:p>
      <w:pPr>
        <w:spacing w:line="360" w:lineRule="exact"/>
        <w:ind w:firstLine="420" w:firstLineChars="200"/>
        <w:rPr>
          <w:rFonts w:hint="eastAsia"/>
          <w:color w:val="auto"/>
          <w:szCs w:val="21"/>
          <w:highlight w:val="none"/>
        </w:rPr>
      </w:pPr>
      <w:r>
        <w:rPr>
          <w:rFonts w:hint="eastAsia"/>
          <w:color w:val="auto"/>
          <w:szCs w:val="21"/>
          <w:highlight w:val="none"/>
        </w:rPr>
        <w:t>（八）廉政约定：</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为杜绝商业贿赂现象，共同营造公平、公正的竞争环境，敬请各</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在参与竞标报价过程中，将</w:t>
      </w:r>
      <w:r>
        <w:rPr>
          <w:rFonts w:hint="eastAsia" w:ascii="宋体" w:hAnsi="宋体" w:eastAsia="宋体" w:cs="宋体"/>
          <w:color w:val="auto"/>
          <w:szCs w:val="21"/>
          <w:highlight w:val="none"/>
          <w:lang w:eastAsia="zh-CN"/>
        </w:rPr>
        <w:t>招标</w:t>
      </w:r>
      <w:r>
        <w:rPr>
          <w:rFonts w:hint="eastAsia" w:ascii="宋体" w:hAnsi="宋体" w:eastAsia="宋体" w:cs="宋体"/>
          <w:color w:val="auto"/>
          <w:szCs w:val="21"/>
          <w:highlight w:val="none"/>
        </w:rPr>
        <w:t>人明示或暗示要求宴请、招待，或索取礼金、礼品、礼券、其他利益，或故意刁难、显失公平现象，向我司纪检监察人员进行举报（须提供有效线索和相关证据、证明材料）。具体举报渠道告知如下：</w:t>
      </w:r>
    </w:p>
    <w:p>
      <w:pPr>
        <w:spacing w:line="360" w:lineRule="exact"/>
        <w:ind w:firstLine="420" w:firstLineChars="200"/>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rPr>
        <w:t>举报联系人：</w:t>
      </w:r>
      <w:r>
        <w:rPr>
          <w:rFonts w:hint="eastAsia" w:ascii="宋体" w:hAnsi="宋体" w:eastAsia="宋体" w:cs="宋体"/>
          <w:color w:val="auto"/>
          <w:szCs w:val="21"/>
          <w:highlight w:val="none"/>
          <w:lang w:val="en-US" w:eastAsia="zh-CN"/>
        </w:rPr>
        <w:t>崔老师</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举报电话</w:t>
      </w:r>
      <w:r>
        <w:rPr>
          <w:rFonts w:hint="eastAsia" w:ascii="宋体" w:hAnsi="宋体" w:eastAsia="宋体" w:cs="宋体"/>
          <w:color w:val="auto"/>
          <w:szCs w:val="21"/>
          <w:highlight w:val="none"/>
          <w:lang w:eastAsia="zh-CN"/>
        </w:rPr>
        <w:t>：</w:t>
      </w:r>
      <w:r>
        <w:rPr>
          <w:rFonts w:hint="default" w:ascii="宋体" w:hAnsi="宋体" w:eastAsia="宋体" w:cs="宋体"/>
          <w:color w:val="auto"/>
          <w:szCs w:val="21"/>
          <w:highlight w:val="none"/>
          <w:lang w:val="en-US" w:eastAsia="zh-CN"/>
        </w:rPr>
        <w:t>023-89187977</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我司承诺：对所有举报信息及时调查处理，对举报来源严格保守秘密，对举报单位因举报所可能遭受的利益损害采取特别措施予以保护。</w:t>
      </w:r>
    </w:p>
    <w:p>
      <w:pPr>
        <w:spacing w:line="360" w:lineRule="exact"/>
        <w:ind w:firstLine="420" w:firstLineChars="200"/>
        <w:rPr>
          <w:rFonts w:hint="eastAsia"/>
          <w:color w:val="auto"/>
          <w:szCs w:val="21"/>
          <w:highlight w:val="none"/>
        </w:rPr>
      </w:pPr>
      <w:r>
        <w:rPr>
          <w:rFonts w:hint="eastAsia"/>
          <w:color w:val="auto"/>
          <w:szCs w:val="21"/>
          <w:highlight w:val="none"/>
        </w:rPr>
        <w:t>（九）合同（附后）。</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（十）</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联系方式</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：重庆通力高速公路养护工程有限公司</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b/>
          <w:bCs/>
          <w:color w:val="auto"/>
          <w:szCs w:val="21"/>
          <w:highlight w:val="none"/>
        </w:rPr>
        <w:t>重庆通力高速公路养护工程有限公司</w:t>
      </w:r>
      <w:r>
        <w:rPr>
          <w:rFonts w:hint="eastAsia" w:ascii="宋体" w:hAnsi="宋体" w:cs="宋体"/>
          <w:b/>
          <w:bCs/>
          <w:color w:val="auto"/>
          <w:szCs w:val="21"/>
          <w:highlight w:val="none"/>
          <w:lang w:val="en-US" w:eastAsia="zh-CN"/>
        </w:rPr>
        <w:t xml:space="preserve"> </w:t>
      </w:r>
      <w:r>
        <w:rPr>
          <w:rFonts w:hint="eastAsia" w:ascii="宋体" w:hAnsi="宋体" w:cs="宋体"/>
          <w:color w:val="auto"/>
          <w:szCs w:val="21"/>
          <w:highlight w:val="none"/>
        </w:rPr>
        <w:t>（</w:t>
      </w:r>
      <w:r>
        <w:rPr>
          <w:rFonts w:hint="eastAsia"/>
          <w:color w:val="auto"/>
          <w:sz w:val="21"/>
          <w:szCs w:val="21"/>
          <w:highlight w:val="none"/>
        </w:rPr>
        <w:t>重庆市沙坪坝区梨高路4号</w:t>
      </w:r>
      <w:r>
        <w:rPr>
          <w:rFonts w:hint="eastAsia" w:ascii="宋体" w:hAnsi="宋体" w:cs="宋体"/>
          <w:color w:val="auto"/>
          <w:szCs w:val="21"/>
          <w:highlight w:val="none"/>
        </w:rPr>
        <w:t>）。</w:t>
      </w:r>
    </w:p>
    <w:p>
      <w:pPr>
        <w:spacing w:line="360" w:lineRule="exact"/>
        <w:ind w:firstLine="420" w:firstLineChars="200"/>
        <w:jc w:val="left"/>
        <w:rPr>
          <w:rFonts w:hint="default" w:ascii="宋体" w:hAnsi="宋体" w:cs="宋体"/>
          <w:color w:val="auto"/>
          <w:szCs w:val="21"/>
          <w:highlight w:val="none"/>
          <w:lang w:val="en-US"/>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刘</w:t>
      </w:r>
      <w:r>
        <w:rPr>
          <w:rFonts w:hint="eastAsia" w:ascii="宋体" w:hAnsi="宋体" w:cs="宋体"/>
          <w:color w:val="auto"/>
          <w:szCs w:val="21"/>
          <w:highlight w:val="none"/>
        </w:rPr>
        <w:t>老师      电话：023-88563373</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曾老师  电话：13657660517</w:t>
      </w:r>
    </w:p>
    <w:bookmarkEnd w:id="8"/>
    <w:bookmarkEnd w:id="9"/>
    <w:bookmarkEnd w:id="10"/>
    <w:bookmarkEnd w:id="11"/>
    <w:bookmarkEnd w:id="12"/>
    <w:bookmarkEnd w:id="13"/>
    <w:bookmarkEnd w:id="14"/>
    <w:bookmarkEnd w:id="15"/>
    <w:p>
      <w:pPr>
        <w:spacing w:line="360" w:lineRule="exact"/>
        <w:rPr>
          <w:rFonts w:hint="eastAsia"/>
          <w:b/>
          <w:color w:val="auto"/>
          <w:sz w:val="24"/>
          <w:szCs w:val="21"/>
          <w:highlight w:val="none"/>
        </w:rPr>
      </w:pPr>
    </w:p>
    <w:p>
      <w:pPr>
        <w:spacing w:line="360" w:lineRule="auto"/>
        <w:jc w:val="both"/>
        <w:rPr>
          <w:rFonts w:hint="eastAsia"/>
          <w:b/>
          <w:color w:val="auto"/>
          <w:sz w:val="36"/>
          <w:highlight w:val="none"/>
          <w:lang w:val="en-US" w:eastAsia="zh-CN"/>
        </w:rPr>
      </w:pPr>
      <w:r>
        <w:rPr>
          <w:rFonts w:hint="eastAsia"/>
          <w:b/>
          <w:color w:val="auto"/>
          <w:sz w:val="24"/>
          <w:szCs w:val="21"/>
          <w:highlight w:val="none"/>
        </w:rPr>
        <w:br w:type="page"/>
      </w:r>
      <w:r>
        <w:rPr>
          <w:rFonts w:hint="eastAsia"/>
          <w:b/>
          <w:color w:val="auto"/>
          <w:sz w:val="24"/>
          <w:szCs w:val="21"/>
          <w:highlight w:val="none"/>
        </w:rPr>
        <w:t>合同</w:t>
      </w:r>
      <w:r>
        <w:rPr>
          <w:rFonts w:hint="eastAsia"/>
          <w:b/>
          <w:color w:val="auto"/>
          <w:sz w:val="24"/>
          <w:szCs w:val="21"/>
          <w:highlight w:val="none"/>
          <w:lang w:val="en-US" w:eastAsia="zh-CN"/>
        </w:rPr>
        <w:t>格式</w:t>
      </w:r>
      <w:r>
        <w:rPr>
          <w:rFonts w:hint="eastAsia"/>
          <w:b/>
          <w:color w:val="auto"/>
          <w:sz w:val="24"/>
          <w:szCs w:val="21"/>
          <w:highlight w:val="none"/>
        </w:rPr>
        <w:t>：</w:t>
      </w:r>
    </w:p>
    <w:p>
      <w:pPr>
        <w:spacing w:line="360" w:lineRule="auto"/>
        <w:jc w:val="center"/>
        <w:rPr>
          <w:rFonts w:hint="eastAsia"/>
          <w:b/>
          <w:color w:val="auto"/>
          <w:sz w:val="36"/>
          <w:highlight w:val="none"/>
          <w:lang w:val="en-US" w:eastAsia="zh-CN"/>
        </w:rPr>
      </w:pPr>
      <w:r>
        <w:rPr>
          <w:rFonts w:hint="eastAsia"/>
          <w:b/>
          <w:color w:val="auto"/>
          <w:sz w:val="36"/>
          <w:highlight w:val="none"/>
          <w:lang w:val="en-US" w:eastAsia="zh-CN"/>
        </w:rPr>
        <w:t>渝邻高速公路K1533+500-K1548+109段路面修复养护工程</w:t>
      </w:r>
    </w:p>
    <w:p>
      <w:pPr>
        <w:spacing w:line="360" w:lineRule="auto"/>
        <w:jc w:val="center"/>
        <w:rPr>
          <w:color w:val="auto"/>
          <w:highlight w:val="none"/>
        </w:rPr>
      </w:pPr>
      <w:r>
        <w:rPr>
          <w:rFonts w:hint="eastAsia"/>
          <w:b/>
          <w:color w:val="auto"/>
          <w:sz w:val="36"/>
          <w:highlight w:val="none"/>
          <w:lang w:val="en-US" w:eastAsia="zh-CN"/>
        </w:rPr>
        <w:t>沥青混合料加工</w:t>
      </w:r>
      <w:r>
        <w:rPr>
          <w:rFonts w:hint="eastAsia"/>
          <w:b/>
          <w:color w:val="auto"/>
          <w:sz w:val="36"/>
          <w:highlight w:val="none"/>
        </w:rPr>
        <w:t>合同</w:t>
      </w:r>
    </w:p>
    <w:p>
      <w:pPr>
        <w:keepNext w:val="0"/>
        <w:keepLines w:val="0"/>
        <w:pageBreakBefore w:val="0"/>
        <w:widowControl w:val="0"/>
        <w:kinsoku/>
        <w:wordWrap/>
        <w:overflowPunct/>
        <w:topLinePunct w:val="0"/>
        <w:bidi w:val="0"/>
        <w:snapToGrid/>
        <w:spacing w:line="360" w:lineRule="auto"/>
        <w:textAlignment w:val="baseline"/>
        <w:outlineLvl w:val="9"/>
        <w:rPr>
          <w:rFonts w:hint="eastAsia"/>
          <w:color w:val="auto"/>
          <w:sz w:val="24"/>
          <w:szCs w:val="24"/>
          <w:highlight w:val="none"/>
          <w:u w:val="single"/>
        </w:rPr>
      </w:pPr>
      <w:r>
        <w:rPr>
          <w:rFonts w:hint="eastAsia"/>
          <w:color w:val="auto"/>
          <w:sz w:val="24"/>
          <w:szCs w:val="24"/>
          <w:highlight w:val="none"/>
        </w:rPr>
        <w:t>甲方：</w:t>
      </w:r>
      <w:r>
        <w:rPr>
          <w:rFonts w:hint="eastAsia"/>
          <w:color w:val="auto"/>
          <w:sz w:val="24"/>
          <w:szCs w:val="24"/>
          <w:highlight w:val="none"/>
          <w:u w:val="single"/>
        </w:rPr>
        <w:t>重庆通力高速公路养护工程有限公司</w:t>
      </w:r>
    </w:p>
    <w:p>
      <w:pPr>
        <w:pStyle w:val="9"/>
        <w:rPr>
          <w:rFonts w:hint="default" w:eastAsia="宋体"/>
          <w:color w:val="auto"/>
          <w:highlight w:val="none"/>
          <w:u w:val="single"/>
          <w:lang w:val="en-US" w:eastAsia="zh-CN"/>
        </w:rPr>
      </w:pPr>
      <w:r>
        <w:rPr>
          <w:rFonts w:hint="eastAsia"/>
          <w:color w:val="auto"/>
          <w:sz w:val="24"/>
          <w:szCs w:val="24"/>
          <w:highlight w:val="none"/>
          <w:u w:val="none"/>
          <w:lang w:val="en-US" w:eastAsia="zh-CN"/>
        </w:rPr>
        <w:t>联系地址：</w:t>
      </w:r>
      <w:r>
        <w:rPr>
          <w:rFonts w:hint="eastAsia"/>
          <w:color w:val="auto"/>
          <w:sz w:val="24"/>
          <w:szCs w:val="24"/>
          <w:highlight w:val="none"/>
          <w:u w:val="single"/>
          <w:lang w:val="en-US" w:eastAsia="zh-CN"/>
        </w:rPr>
        <w:t>重庆市沙坪坝区梨高路4号</w:t>
      </w:r>
    </w:p>
    <w:p>
      <w:pPr>
        <w:pStyle w:val="9"/>
        <w:rPr>
          <w:rFonts w:hint="default" w:eastAsia="宋体"/>
          <w:color w:val="auto"/>
          <w:sz w:val="24"/>
          <w:szCs w:val="24"/>
          <w:highlight w:val="none"/>
          <w:u w:val="single"/>
          <w:lang w:val="en-US" w:eastAsia="zh-CN"/>
        </w:rPr>
      </w:pPr>
      <w:r>
        <w:rPr>
          <w:rFonts w:hint="eastAsia"/>
          <w:color w:val="auto"/>
          <w:sz w:val="24"/>
          <w:szCs w:val="24"/>
          <w:highlight w:val="none"/>
        </w:rPr>
        <w:t>乙方：</w:t>
      </w:r>
      <w:r>
        <w:rPr>
          <w:rFonts w:hint="eastAsia"/>
          <w:b w:val="0"/>
          <w:bCs w:val="0"/>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pPr>
        <w:spacing w:line="360" w:lineRule="exact"/>
        <w:textAlignment w:val="baseline"/>
        <w:rPr>
          <w:color w:val="auto"/>
          <w:szCs w:val="21"/>
          <w:highlight w:val="none"/>
        </w:rPr>
      </w:pPr>
      <w:r>
        <w:rPr>
          <w:rFonts w:hint="eastAsia"/>
          <w:color w:val="auto"/>
          <w:sz w:val="24"/>
          <w:szCs w:val="24"/>
          <w:highlight w:val="none"/>
          <w:u w:val="none"/>
          <w:lang w:val="en-US" w:eastAsia="zh-CN"/>
        </w:rPr>
        <w:t xml:space="preserve">联系地址：         </w:t>
      </w:r>
    </w:p>
    <w:p>
      <w:pPr>
        <w:spacing w:line="360" w:lineRule="exact"/>
        <w:ind w:firstLine="420" w:firstLineChars="200"/>
        <w:textAlignment w:val="baseline"/>
        <w:rPr>
          <w:color w:val="auto"/>
          <w:szCs w:val="21"/>
          <w:highlight w:val="none"/>
        </w:rPr>
      </w:pPr>
      <w:r>
        <w:rPr>
          <w:rFonts w:hint="eastAsia"/>
          <w:color w:val="auto"/>
          <w:szCs w:val="21"/>
          <w:highlight w:val="none"/>
        </w:rPr>
        <w:t>甲方因</w:t>
      </w:r>
      <w:r>
        <w:rPr>
          <w:rFonts w:hint="eastAsia"/>
          <w:color w:val="auto"/>
          <w:szCs w:val="21"/>
          <w:highlight w:val="none"/>
          <w:lang w:val="en-US" w:eastAsia="zh-CN"/>
        </w:rPr>
        <w:t>各项沥青路面维修工程施工</w:t>
      </w:r>
      <w:r>
        <w:rPr>
          <w:rFonts w:hint="eastAsia"/>
          <w:color w:val="auto"/>
          <w:szCs w:val="21"/>
          <w:highlight w:val="none"/>
        </w:rPr>
        <w:t>需要，</w:t>
      </w:r>
      <w:r>
        <w:rPr>
          <w:rFonts w:hint="eastAsia" w:ascii="宋体" w:hAnsi="宋体"/>
          <w:color w:val="auto"/>
          <w:szCs w:val="21"/>
          <w:highlight w:val="none"/>
        </w:rPr>
        <w:t>协议向乙方</w:t>
      </w:r>
      <w:r>
        <w:rPr>
          <w:rFonts w:hint="eastAsia" w:ascii="宋体" w:hAnsi="宋体"/>
          <w:color w:val="auto"/>
          <w:szCs w:val="21"/>
          <w:highlight w:val="none"/>
          <w:lang w:val="en-US" w:eastAsia="zh-CN"/>
        </w:rPr>
        <w:t>加工沥青混合料材料</w:t>
      </w:r>
      <w:r>
        <w:rPr>
          <w:rFonts w:hint="eastAsia" w:ascii="宋体" w:hAnsi="宋体"/>
          <w:color w:val="auto"/>
          <w:szCs w:val="21"/>
          <w:highlight w:val="none"/>
        </w:rPr>
        <w:t>；依照《中华人民共和国合同法》及其他有关法律、行政法规，</w:t>
      </w:r>
      <w:r>
        <w:rPr>
          <w:rFonts w:hint="eastAsia"/>
          <w:color w:val="auto"/>
          <w:szCs w:val="21"/>
          <w:highlight w:val="none"/>
        </w:rPr>
        <w:t>双方在</w:t>
      </w:r>
      <w:r>
        <w:rPr>
          <w:rFonts w:hint="eastAsia" w:ascii="宋体" w:hAnsi="宋体"/>
          <w:color w:val="auto"/>
          <w:szCs w:val="21"/>
          <w:highlight w:val="none"/>
        </w:rPr>
        <w:t>遵循平等、自愿、公平和诚实守信原则的基础上，</w:t>
      </w:r>
      <w:r>
        <w:rPr>
          <w:rFonts w:hint="eastAsia"/>
          <w:color w:val="auto"/>
          <w:szCs w:val="21"/>
          <w:highlight w:val="none"/>
        </w:rPr>
        <w:t>经共同协商，达成一致意见，特签订本合同：</w:t>
      </w:r>
    </w:p>
    <w:tbl>
      <w:tblPr>
        <w:tblStyle w:val="19"/>
        <w:tblpPr w:leftFromText="180" w:rightFromText="180" w:vertAnchor="text" w:horzAnchor="page" w:tblpX="1046" w:tblpY="455"/>
        <w:tblOverlap w:val="never"/>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99"/>
        <w:gridCol w:w="1280"/>
        <w:gridCol w:w="1982"/>
        <w:gridCol w:w="1433"/>
        <w:gridCol w:w="697"/>
        <w:gridCol w:w="1272"/>
        <w:gridCol w:w="1379"/>
        <w:gridCol w:w="12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0" w:hRule="atLeast"/>
        </w:trPr>
        <w:tc>
          <w:tcPr>
            <w:tcW w:w="10109" w:type="dxa"/>
            <w:gridSpan w:val="8"/>
            <w:tcBorders>
              <w:tl2br w:val="nil"/>
              <w:tr2bl w:val="nil"/>
            </w:tcBorders>
            <w:noWrap w:val="0"/>
            <w:vAlign w:val="center"/>
          </w:tcPr>
          <w:p>
            <w:pPr>
              <w:pStyle w:val="27"/>
              <w:keepNext w:val="0"/>
              <w:keepLines w:val="0"/>
              <w:pageBreakBefore w:val="0"/>
              <w:widowControl w:val="0"/>
              <w:kinsoku/>
              <w:wordWrap/>
              <w:overflowPunct/>
              <w:topLinePunct w:val="0"/>
              <w:autoSpaceDE w:val="0"/>
              <w:autoSpaceDN w:val="0"/>
              <w:bidi w:val="0"/>
              <w:adjustRightInd w:val="0"/>
              <w:snapToGrid/>
              <w:spacing w:line="360" w:lineRule="auto"/>
              <w:jc w:val="right"/>
              <w:textAlignment w:val="auto"/>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货币单位: 人民币 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40" w:hRule="atLeast"/>
        </w:trPr>
        <w:tc>
          <w:tcPr>
            <w:tcW w:w="799"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28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工程位置</w:t>
            </w:r>
          </w:p>
        </w:tc>
        <w:tc>
          <w:tcPr>
            <w:tcW w:w="198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产品规格型号</w:t>
            </w:r>
          </w:p>
        </w:tc>
        <w:tc>
          <w:tcPr>
            <w:tcW w:w="1433" w:type="dxa"/>
            <w:tcBorders>
              <w:tl2br w:val="nil"/>
              <w:tr2bl w:val="nil"/>
            </w:tcBorders>
            <w:noWrap w:val="0"/>
            <w:vAlign w:val="center"/>
          </w:tcPr>
          <w:p>
            <w:pPr>
              <w:keepNext w:val="0"/>
              <w:keepLines w:val="0"/>
              <w:widowControl/>
              <w:suppressLineNumbers w:val="0"/>
              <w:ind w:firstLine="240" w:firstLineChars="10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石材要求</w:t>
            </w:r>
          </w:p>
        </w:tc>
        <w:tc>
          <w:tcPr>
            <w:tcW w:w="69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127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暂定数量</w:t>
            </w:r>
          </w:p>
        </w:tc>
        <w:tc>
          <w:tcPr>
            <w:tcW w:w="1379"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出场单价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（元/吨）</w:t>
            </w:r>
          </w:p>
        </w:tc>
        <w:tc>
          <w:tcPr>
            <w:tcW w:w="126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金额</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3" w:hRule="atLeast"/>
        </w:trPr>
        <w:tc>
          <w:tcPr>
            <w:tcW w:w="799"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80"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b w:val="0"/>
                <w:bCs w:val="0"/>
                <w:i w:val="0"/>
                <w:iCs w:val="0"/>
                <w:color w:val="auto"/>
                <w:kern w:val="0"/>
                <w:sz w:val="21"/>
                <w:szCs w:val="21"/>
                <w:highlight w:val="none"/>
                <w:u w:val="none"/>
                <w:lang w:val="en-US" w:eastAsia="zh-CN" w:bidi="ar"/>
              </w:rPr>
              <w:t>重庆渝邻高速公路沿线</w:t>
            </w:r>
          </w:p>
        </w:tc>
        <w:tc>
          <w:tcPr>
            <w:tcW w:w="198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b w:val="0"/>
                <w:bCs w:val="0"/>
                <w:i w:val="0"/>
                <w:iCs w:val="0"/>
                <w:color w:val="auto"/>
                <w:sz w:val="21"/>
                <w:szCs w:val="21"/>
                <w:highlight w:val="none"/>
                <w:u w:val="none"/>
                <w:lang w:val="en-US" w:eastAsia="zh-CN"/>
              </w:rPr>
              <w:t>SMA-13</w:t>
            </w:r>
          </w:p>
        </w:tc>
        <w:tc>
          <w:tcPr>
            <w:tcW w:w="143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b w:val="0"/>
                <w:bCs w:val="0"/>
                <w:i w:val="0"/>
                <w:iCs w:val="0"/>
                <w:color w:val="auto"/>
                <w:sz w:val="21"/>
                <w:szCs w:val="21"/>
                <w:highlight w:val="none"/>
                <w:u w:val="none"/>
                <w:lang w:val="en-US" w:eastAsia="zh-CN"/>
              </w:rPr>
              <w:t>玄武岩</w:t>
            </w:r>
          </w:p>
        </w:tc>
        <w:tc>
          <w:tcPr>
            <w:tcW w:w="69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吨</w:t>
            </w:r>
          </w:p>
        </w:tc>
        <w:tc>
          <w:tcPr>
            <w:tcW w:w="1272"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cs="宋体"/>
                <w:b w:val="0"/>
                <w:bCs w:val="0"/>
                <w:i w:val="0"/>
                <w:iCs w:val="0"/>
                <w:color w:val="auto"/>
                <w:sz w:val="21"/>
                <w:szCs w:val="21"/>
                <w:highlight w:val="none"/>
                <w:u w:val="none"/>
                <w:lang w:val="en-US" w:eastAsia="zh-CN"/>
              </w:rPr>
              <w:t>10000</w:t>
            </w:r>
          </w:p>
        </w:tc>
        <w:tc>
          <w:tcPr>
            <w:tcW w:w="1379" w:type="dxa"/>
            <w:tcBorders>
              <w:tl2br w:val="nil"/>
              <w:tr2bl w:val="nil"/>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267" w:type="dxa"/>
            <w:tcBorders>
              <w:tl2br w:val="nil"/>
              <w:tr2bl w:val="nil"/>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35" w:hRule="atLeast"/>
        </w:trPr>
        <w:tc>
          <w:tcPr>
            <w:tcW w:w="799"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1280" w:type="dxa"/>
            <w:vMerge w:val="continue"/>
            <w:tcBorders>
              <w:tl2br w:val="nil"/>
              <w:tr2bl w:val="nil"/>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98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cs="宋体"/>
                <w:b w:val="0"/>
                <w:bCs w:val="0"/>
                <w:i w:val="0"/>
                <w:iCs w:val="0"/>
                <w:color w:val="auto"/>
                <w:sz w:val="21"/>
                <w:szCs w:val="21"/>
                <w:highlight w:val="none"/>
                <w:u w:val="none"/>
                <w:lang w:val="en-US" w:eastAsia="zh-CN"/>
              </w:rPr>
              <w:t>SMA-13（含阻燃剂）</w:t>
            </w:r>
          </w:p>
        </w:tc>
        <w:tc>
          <w:tcPr>
            <w:tcW w:w="143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b w:val="0"/>
                <w:bCs w:val="0"/>
                <w:i w:val="0"/>
                <w:iCs w:val="0"/>
                <w:color w:val="auto"/>
                <w:sz w:val="21"/>
                <w:szCs w:val="21"/>
                <w:highlight w:val="none"/>
                <w:u w:val="none"/>
                <w:lang w:val="en-US" w:eastAsia="zh-CN"/>
              </w:rPr>
            </w:pPr>
            <w:r>
              <w:rPr>
                <w:rFonts w:hint="eastAsia" w:ascii="宋体" w:hAnsi="宋体" w:cs="宋体"/>
                <w:b w:val="0"/>
                <w:bCs w:val="0"/>
                <w:i w:val="0"/>
                <w:iCs w:val="0"/>
                <w:color w:val="auto"/>
                <w:sz w:val="21"/>
                <w:szCs w:val="21"/>
                <w:highlight w:val="none"/>
                <w:u w:val="none"/>
                <w:lang w:val="en-US" w:eastAsia="zh-CN"/>
              </w:rPr>
              <w:t>玄武岩</w:t>
            </w:r>
          </w:p>
        </w:tc>
        <w:tc>
          <w:tcPr>
            <w:tcW w:w="69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吨</w:t>
            </w:r>
          </w:p>
        </w:tc>
        <w:tc>
          <w:tcPr>
            <w:tcW w:w="1272" w:type="dxa"/>
            <w:tcBorders>
              <w:tl2br w:val="nil"/>
              <w:tr2bl w:val="nil"/>
            </w:tcBorders>
            <w:noWrap w:val="0"/>
            <w:vAlign w:val="center"/>
          </w:tcPr>
          <w:p>
            <w:pPr>
              <w:keepNext w:val="0"/>
              <w:keepLines w:val="0"/>
              <w:widowControl/>
              <w:suppressLineNumbers w:val="0"/>
              <w:jc w:val="center"/>
              <w:textAlignment w:val="center"/>
              <w:rPr>
                <w:rFonts w:hint="default" w:ascii="宋体" w:hAnsi="宋体" w:cs="宋体"/>
                <w:b w:val="0"/>
                <w:bCs w:val="0"/>
                <w:i w:val="0"/>
                <w:iCs w:val="0"/>
                <w:color w:val="auto"/>
                <w:sz w:val="21"/>
                <w:szCs w:val="21"/>
                <w:highlight w:val="none"/>
                <w:u w:val="none"/>
                <w:lang w:val="en-US" w:eastAsia="zh-CN"/>
              </w:rPr>
            </w:pPr>
            <w:r>
              <w:rPr>
                <w:rFonts w:hint="eastAsia" w:ascii="宋体" w:hAnsi="宋体" w:cs="宋体"/>
                <w:b w:val="0"/>
                <w:bCs w:val="0"/>
                <w:i w:val="0"/>
                <w:iCs w:val="0"/>
                <w:color w:val="auto"/>
                <w:sz w:val="21"/>
                <w:szCs w:val="21"/>
                <w:highlight w:val="none"/>
                <w:u w:val="none"/>
                <w:lang w:val="en-US" w:eastAsia="zh-CN"/>
              </w:rPr>
              <w:t>300</w:t>
            </w:r>
          </w:p>
        </w:tc>
        <w:tc>
          <w:tcPr>
            <w:tcW w:w="1379" w:type="dxa"/>
            <w:tcBorders>
              <w:tl2br w:val="nil"/>
              <w:tr2bl w:val="nil"/>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267" w:type="dxa"/>
            <w:tcBorders>
              <w:tl2br w:val="nil"/>
              <w:tr2bl w:val="nil"/>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35" w:hRule="atLeast"/>
        </w:trPr>
        <w:tc>
          <w:tcPr>
            <w:tcW w:w="799"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280" w:type="dxa"/>
            <w:vMerge w:val="continue"/>
            <w:tcBorders>
              <w:tl2br w:val="nil"/>
              <w:tr2bl w:val="nil"/>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98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val="0"/>
                <w:bCs w:val="0"/>
                <w:i w:val="0"/>
                <w:iCs w:val="0"/>
                <w:color w:val="auto"/>
                <w:sz w:val="21"/>
                <w:szCs w:val="21"/>
                <w:highlight w:val="none"/>
                <w:u w:val="none"/>
              </w:rPr>
              <w:t>AC-</w:t>
            </w:r>
            <w:r>
              <w:rPr>
                <w:rFonts w:hint="eastAsia" w:ascii="宋体" w:hAnsi="宋体" w:cs="宋体"/>
                <w:b w:val="0"/>
                <w:bCs w:val="0"/>
                <w:i w:val="0"/>
                <w:iCs w:val="0"/>
                <w:color w:val="auto"/>
                <w:sz w:val="21"/>
                <w:szCs w:val="21"/>
                <w:highlight w:val="none"/>
                <w:u w:val="none"/>
                <w:lang w:val="en-US" w:eastAsia="zh-CN"/>
              </w:rPr>
              <w:t>20</w:t>
            </w:r>
          </w:p>
        </w:tc>
        <w:tc>
          <w:tcPr>
            <w:tcW w:w="143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b w:val="0"/>
                <w:bCs w:val="0"/>
                <w:i w:val="0"/>
                <w:iCs w:val="0"/>
                <w:color w:val="auto"/>
                <w:sz w:val="21"/>
                <w:szCs w:val="21"/>
                <w:highlight w:val="none"/>
                <w:u w:val="none"/>
                <w:lang w:val="en-US" w:eastAsia="zh-CN"/>
              </w:rPr>
              <w:t>石灰岩</w:t>
            </w:r>
          </w:p>
        </w:tc>
        <w:tc>
          <w:tcPr>
            <w:tcW w:w="69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吨</w:t>
            </w:r>
          </w:p>
        </w:tc>
        <w:tc>
          <w:tcPr>
            <w:tcW w:w="1272"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cs="宋体"/>
                <w:b w:val="0"/>
                <w:bCs w:val="0"/>
                <w:i w:val="0"/>
                <w:iCs w:val="0"/>
                <w:color w:val="auto"/>
                <w:sz w:val="21"/>
                <w:szCs w:val="21"/>
                <w:highlight w:val="none"/>
                <w:u w:val="none"/>
                <w:lang w:val="en-US" w:eastAsia="zh-CN"/>
              </w:rPr>
              <w:t>22000</w:t>
            </w:r>
          </w:p>
        </w:tc>
        <w:tc>
          <w:tcPr>
            <w:tcW w:w="1379" w:type="dxa"/>
            <w:tcBorders>
              <w:tl2br w:val="nil"/>
              <w:tr2bl w:val="nil"/>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267" w:type="dxa"/>
            <w:tcBorders>
              <w:tl2br w:val="nil"/>
              <w:tr2bl w:val="nil"/>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7" w:hRule="atLeast"/>
        </w:trPr>
        <w:tc>
          <w:tcPr>
            <w:tcW w:w="799"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280" w:type="dxa"/>
            <w:vMerge w:val="continue"/>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98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val="0"/>
                <w:bCs w:val="0"/>
                <w:i w:val="0"/>
                <w:iCs w:val="0"/>
                <w:color w:val="auto"/>
                <w:sz w:val="21"/>
                <w:szCs w:val="21"/>
                <w:highlight w:val="none"/>
                <w:u w:val="none"/>
              </w:rPr>
              <w:t>AC-</w:t>
            </w:r>
            <w:r>
              <w:rPr>
                <w:rFonts w:hint="eastAsia" w:ascii="宋体" w:hAnsi="宋体" w:cs="宋体"/>
                <w:b w:val="0"/>
                <w:bCs w:val="0"/>
                <w:i w:val="0"/>
                <w:iCs w:val="0"/>
                <w:color w:val="auto"/>
                <w:sz w:val="21"/>
                <w:szCs w:val="21"/>
                <w:highlight w:val="none"/>
                <w:u w:val="none"/>
                <w:lang w:val="en-US" w:eastAsia="zh-CN"/>
              </w:rPr>
              <w:t>20（厂拌热再生）</w:t>
            </w:r>
          </w:p>
        </w:tc>
        <w:tc>
          <w:tcPr>
            <w:tcW w:w="143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b w:val="0"/>
                <w:bCs w:val="0"/>
                <w:i w:val="0"/>
                <w:iCs w:val="0"/>
                <w:color w:val="auto"/>
                <w:sz w:val="21"/>
                <w:szCs w:val="21"/>
                <w:highlight w:val="none"/>
                <w:u w:val="none"/>
                <w:lang w:val="en-US" w:eastAsia="zh-CN"/>
              </w:rPr>
              <w:t>铣刨料/石灰岩</w:t>
            </w:r>
          </w:p>
        </w:tc>
        <w:tc>
          <w:tcPr>
            <w:tcW w:w="69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吨</w:t>
            </w:r>
          </w:p>
        </w:tc>
        <w:tc>
          <w:tcPr>
            <w:tcW w:w="1272"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cs="宋体"/>
                <w:b w:val="0"/>
                <w:bCs w:val="0"/>
                <w:i w:val="0"/>
                <w:iCs w:val="0"/>
                <w:color w:val="auto"/>
                <w:sz w:val="21"/>
                <w:szCs w:val="21"/>
                <w:highlight w:val="none"/>
                <w:u w:val="none"/>
                <w:lang w:val="en-US" w:eastAsia="zh-CN"/>
              </w:rPr>
              <w:t>9300</w:t>
            </w:r>
          </w:p>
        </w:tc>
        <w:tc>
          <w:tcPr>
            <w:tcW w:w="1379" w:type="dxa"/>
            <w:tcBorders>
              <w:tl2br w:val="nil"/>
              <w:tr2bl w:val="nil"/>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267" w:type="dxa"/>
            <w:tcBorders>
              <w:tl2br w:val="nil"/>
              <w:tr2bl w:val="nil"/>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0" w:hRule="atLeast"/>
        </w:trPr>
        <w:tc>
          <w:tcPr>
            <w:tcW w:w="799" w:type="dxa"/>
            <w:tcBorders>
              <w:tl2br w:val="nil"/>
              <w:tr2bl w:val="nil"/>
            </w:tcBorders>
            <w:noWrap w:val="0"/>
            <w:vAlign w:val="center"/>
          </w:tcPr>
          <w:p>
            <w:pPr>
              <w:keepNext w:val="0"/>
              <w:keepLines w:val="0"/>
              <w:widowControl/>
              <w:suppressLineNumbers w:val="0"/>
              <w:jc w:val="center"/>
              <w:textAlignment w:val="center"/>
              <w:rPr>
                <w:rFonts w:hint="eastAsia" w:eastAsia="宋体"/>
                <w:color w:val="auto"/>
                <w:highlight w:val="none"/>
                <w:lang w:val="en-US" w:eastAsia="zh-CN"/>
              </w:rPr>
            </w:pPr>
            <w:r>
              <w:rPr>
                <w:rFonts w:hint="eastAsia"/>
                <w:color w:val="auto"/>
                <w:highlight w:val="none"/>
                <w:lang w:val="en-US" w:eastAsia="zh-CN"/>
              </w:rPr>
              <w:t>4</w:t>
            </w:r>
          </w:p>
        </w:tc>
        <w:tc>
          <w:tcPr>
            <w:tcW w:w="5392" w:type="dxa"/>
            <w:gridSpan w:val="4"/>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合  计</w:t>
            </w:r>
          </w:p>
        </w:tc>
        <w:tc>
          <w:tcPr>
            <w:tcW w:w="1272"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b w:val="0"/>
                <w:bCs w:val="0"/>
                <w:i w:val="0"/>
                <w:iCs w:val="0"/>
                <w:color w:val="auto"/>
                <w:sz w:val="21"/>
                <w:szCs w:val="21"/>
                <w:highlight w:val="none"/>
                <w:u w:val="none"/>
                <w:lang w:val="en-US" w:eastAsia="zh-CN"/>
              </w:rPr>
              <w:t>41600</w:t>
            </w:r>
          </w:p>
        </w:tc>
        <w:tc>
          <w:tcPr>
            <w:tcW w:w="1379"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6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92" w:hRule="atLeast"/>
        </w:trPr>
        <w:tc>
          <w:tcPr>
            <w:tcW w:w="10109" w:type="dxa"/>
            <w:gridSpan w:val="8"/>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备注：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本项目出场单价为综合含税单价，工程量清单中的单价已包含为完成约定工作内容所需的一切费用：包括乙方拌和站生产沥青混合料所需的原材料费、人工费、机械使用费、燃料、临时水电费用、临时生活设施费、节假日加班费、安全措施费、保险费、升温费、税金、管理费、利润等相关费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甲方提供沥青材料，SMA-13（玄武岩）除沥青、玄武岩、木质素纤维材料、铣刨料（添加比例20%~30%）外的所有材料（包括粗细集料、填料等）及燃料、机械设备、人工等均由乙方提供。AC-20（石灰岩）除沥青材料外的所有材料（包括粗细集料、填料等）及燃料、机械设备、人工等均由乙方提供。AC-20（厂拌热再生）除沥青、铣刨料材料外的所有材料（包括粗细集料、填料等）及燃料、机械设备、人工等均由乙方提供。</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3、工程量清单中所列工程数量为暂定数量，不能作为最终结算与支付的依据，最终数量以甲方代表确认的实际生产的合格数量为准。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4、甲方组织沥青混合料运输。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5、增值税税率为13%。</w:t>
            </w:r>
          </w:p>
        </w:tc>
      </w:tr>
    </w:tbl>
    <w:p>
      <w:pPr>
        <w:spacing w:line="360" w:lineRule="exact"/>
        <w:jc w:val="left"/>
        <w:textAlignment w:val="baseline"/>
        <w:rPr>
          <w:rFonts w:hint="eastAsia"/>
          <w:color w:val="auto"/>
          <w:szCs w:val="21"/>
          <w:highlight w:val="none"/>
        </w:rPr>
      </w:pPr>
      <w:r>
        <w:rPr>
          <w:rFonts w:hint="eastAsia"/>
          <w:b/>
          <w:color w:val="auto"/>
          <w:sz w:val="24"/>
          <w:szCs w:val="24"/>
          <w:highlight w:val="none"/>
        </w:rPr>
        <w:t>一、产品名称、型号、数量、金额</w:t>
      </w:r>
      <w:r>
        <w:rPr>
          <w:rFonts w:hint="eastAsia"/>
          <w:color w:val="auto"/>
          <w:szCs w:val="21"/>
          <w:highlight w:val="none"/>
          <w:lang w:val="en-US" w:eastAsia="zh-CN"/>
        </w:rPr>
        <w:t xml:space="preserve">                                 </w:t>
      </w:r>
    </w:p>
    <w:p>
      <w:pPr>
        <w:spacing w:line="400" w:lineRule="atLeast"/>
        <w:jc w:val="left"/>
        <w:textAlignment w:val="baseline"/>
        <w:rPr>
          <w:rFonts w:hint="eastAsia" w:ascii="方正仿宋_GBK" w:hAnsi="宋体" w:eastAsia="方正仿宋_GBK"/>
          <w:color w:val="auto"/>
          <w:szCs w:val="21"/>
          <w:highlight w:val="none"/>
        </w:rPr>
      </w:pPr>
      <w:r>
        <w:rPr>
          <w:rFonts w:hint="eastAsia" w:ascii="方正仿宋_GBK" w:hAnsi="宋体" w:eastAsia="方正仿宋_GBK"/>
          <w:color w:val="auto"/>
          <w:szCs w:val="21"/>
          <w:highlight w:val="none"/>
        </w:rPr>
        <w:t>（本合同为综合单价合同，具体数量以甲方代表确认的实际到货合格数量为准）</w:t>
      </w:r>
    </w:p>
    <w:p>
      <w:pPr>
        <w:spacing w:line="360" w:lineRule="auto"/>
        <w:ind w:firstLine="0" w:firstLineChars="0"/>
        <w:rPr>
          <w:b/>
          <w:color w:val="auto"/>
          <w:sz w:val="24"/>
          <w:szCs w:val="24"/>
          <w:highlight w:val="none"/>
        </w:rPr>
      </w:pPr>
      <w:r>
        <w:rPr>
          <w:rFonts w:hint="eastAsia"/>
          <w:b/>
          <w:color w:val="auto"/>
          <w:sz w:val="24"/>
          <w:szCs w:val="24"/>
          <w:highlight w:val="none"/>
        </w:rPr>
        <w:t>二、质量要求、技术标准</w:t>
      </w:r>
    </w:p>
    <w:p>
      <w:pPr>
        <w:pStyle w:val="27"/>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1、设备要求</w:t>
      </w:r>
    </w:p>
    <w:p>
      <w:pPr>
        <w:pStyle w:val="27"/>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（1）搅拌设备各大系统均应处于完好状态，搅拌设备计量系统及站内其他称重计量系统均应在有效的标定期内。</w:t>
      </w:r>
    </w:p>
    <w:p>
      <w:pPr>
        <w:pStyle w:val="27"/>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（2）拌和设备每小时产量不低于200吨。</w:t>
      </w:r>
    </w:p>
    <w:p>
      <w:pPr>
        <w:pStyle w:val="27"/>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（3）拌和站操作室必须配备逐盘打印机，生产期间必须进行逐盘打印。</w:t>
      </w:r>
    </w:p>
    <w:p>
      <w:pPr>
        <w:pStyle w:val="27"/>
        <w:keepNext w:val="0"/>
        <w:keepLines w:val="0"/>
        <w:pageBreakBefore w:val="0"/>
        <w:widowControl w:val="0"/>
        <w:numPr>
          <w:ilvl w:val="0"/>
          <w:numId w:val="0"/>
        </w:numPr>
        <w:kinsoku/>
        <w:wordWrap/>
        <w:overflowPunct/>
        <w:topLinePunct w:val="0"/>
        <w:bidi w:val="0"/>
        <w:snapToGrid/>
        <w:spacing w:line="360" w:lineRule="auto"/>
        <w:ind w:left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（4）过磅设备的称重系统、自动打印系统完好，磅单为四联单。</w:t>
      </w:r>
    </w:p>
    <w:p>
      <w:pPr>
        <w:pStyle w:val="27"/>
        <w:keepNext w:val="0"/>
        <w:keepLines w:val="0"/>
        <w:pageBreakBefore w:val="0"/>
        <w:widowControl w:val="0"/>
        <w:numPr>
          <w:ilvl w:val="0"/>
          <w:numId w:val="0"/>
        </w:numPr>
        <w:kinsoku/>
        <w:wordWrap/>
        <w:overflowPunct/>
        <w:topLinePunct w:val="0"/>
        <w:bidi w:val="0"/>
        <w:snapToGrid/>
        <w:spacing w:line="360" w:lineRule="auto"/>
        <w:ind w:leftChars="200"/>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（5）乙方提供3个标配沥青罐（每个沥青罐容量≥50吨）供甲方使用。</w:t>
      </w:r>
    </w:p>
    <w:p>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2、材料要求</w:t>
      </w:r>
    </w:p>
    <w:p>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（1）乙方提供的粗、细集料、填料等原材料须满足JTG F40—2004《公路沥青路面施工技术规范》及本项目设计文件对原材料的相关要求，其中粗细集料及矿粉的质量技术指标如下：</w:t>
      </w:r>
    </w:p>
    <w:p>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2" w:firstLineChars="200"/>
        <w:jc w:val="center"/>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沥青混合料用粗集料质量技术要求</w:t>
      </w:r>
    </w:p>
    <w:tbl>
      <w:tblPr>
        <w:tblStyle w:val="20"/>
        <w:tblpPr w:leftFromText="180" w:rightFromText="180" w:vertAnchor="text" w:horzAnchor="page" w:tblpX="1122" w:tblpY="299"/>
        <w:tblOverlap w:val="never"/>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333"/>
        <w:gridCol w:w="1424"/>
        <w:gridCol w:w="1514"/>
        <w:gridCol w:w="31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blHeader/>
        </w:trPr>
        <w:tc>
          <w:tcPr>
            <w:tcW w:w="3333"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指标</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单位</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技术要求</w:t>
            </w:r>
          </w:p>
        </w:tc>
        <w:tc>
          <w:tcPr>
            <w:tcW w:w="312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试验方法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3"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石料</w:t>
            </w:r>
            <w:r>
              <w:rPr>
                <w:rFonts w:hint="default" w:ascii="Times New Roman" w:hAnsi="Times New Roman" w:eastAsia="宋体" w:cs="Times New Roman"/>
                <w:color w:val="auto"/>
                <w:sz w:val="21"/>
                <w:szCs w:val="21"/>
                <w:highlight w:val="none"/>
                <w:vertAlign w:val="baseline"/>
                <w:lang w:val="en-US" w:eastAsia="zh-CN"/>
              </w:rPr>
              <w:t>压碎值</w:t>
            </w:r>
            <w:r>
              <w:rPr>
                <w:rFonts w:hint="eastAsia" w:ascii="Times New Roman" w:hAnsi="Times New Roman" w:eastAsia="宋体" w:cs="Times New Roman"/>
                <w:color w:val="auto"/>
                <w:sz w:val="21"/>
                <w:szCs w:val="21"/>
                <w:highlight w:val="none"/>
                <w:vertAlign w:val="baseline"/>
                <w:lang w:val="en-US" w:eastAsia="zh-CN"/>
              </w:rPr>
              <w:t>，</w:t>
            </w:r>
            <w:r>
              <w:rPr>
                <w:rFonts w:hint="default" w:ascii="Times New Roman" w:hAnsi="Times New Roman" w:eastAsia="宋体" w:cs="Times New Roman"/>
                <w:color w:val="auto"/>
                <w:sz w:val="21"/>
                <w:szCs w:val="21"/>
                <w:highlight w:val="none"/>
                <w:vertAlign w:val="baseline"/>
                <w:lang w:val="en-US" w:eastAsia="zh-CN"/>
              </w:rPr>
              <w:t xml:space="preserve">不大于 </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30</w:t>
            </w:r>
          </w:p>
        </w:tc>
        <w:tc>
          <w:tcPr>
            <w:tcW w:w="312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3"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洛杉矶磨耗损失</w:t>
            </w:r>
            <w:r>
              <w:rPr>
                <w:rFonts w:hint="eastAsia" w:ascii="Times New Roman" w:hAnsi="Times New Roman" w:eastAsia="宋体" w:cs="Times New Roman"/>
                <w:color w:val="auto"/>
                <w:sz w:val="21"/>
                <w:szCs w:val="21"/>
                <w:highlight w:val="none"/>
                <w:vertAlign w:val="baseline"/>
                <w:lang w:val="en-US" w:eastAsia="zh-CN"/>
              </w:rPr>
              <w:t>，</w:t>
            </w:r>
            <w:r>
              <w:rPr>
                <w:rFonts w:hint="default" w:ascii="Times New Roman" w:hAnsi="Times New Roman" w:eastAsia="宋体" w:cs="Times New Roman"/>
                <w:color w:val="auto"/>
                <w:sz w:val="21"/>
                <w:szCs w:val="21"/>
                <w:highlight w:val="none"/>
                <w:vertAlign w:val="baseline"/>
                <w:lang w:val="en-US" w:eastAsia="zh-CN"/>
              </w:rPr>
              <w:t xml:space="preserve">不大于 </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35</w:t>
            </w:r>
          </w:p>
        </w:tc>
        <w:tc>
          <w:tcPr>
            <w:tcW w:w="312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0317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3"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表观相对密度</w:t>
            </w:r>
            <w:r>
              <w:rPr>
                <w:rFonts w:hint="eastAsia" w:ascii="Times New Roman" w:hAnsi="Times New Roman" w:eastAsia="宋体" w:cs="Times New Roman"/>
                <w:color w:val="auto"/>
                <w:sz w:val="21"/>
                <w:szCs w:val="21"/>
                <w:highlight w:val="none"/>
                <w:vertAlign w:val="baseline"/>
                <w:lang w:val="en-US" w:eastAsia="zh-CN"/>
              </w:rPr>
              <w:t>，</w:t>
            </w:r>
            <w:r>
              <w:rPr>
                <w:rFonts w:hint="default" w:ascii="Times New Roman" w:hAnsi="Times New Roman" w:eastAsia="宋体" w:cs="Times New Roman"/>
                <w:color w:val="auto"/>
                <w:sz w:val="21"/>
                <w:szCs w:val="21"/>
                <w:highlight w:val="none"/>
                <w:vertAlign w:val="baseline"/>
                <w:lang w:val="en-US" w:eastAsia="zh-CN"/>
              </w:rPr>
              <w:t xml:space="preserve">不小于  </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2.45</w:t>
            </w:r>
          </w:p>
        </w:tc>
        <w:tc>
          <w:tcPr>
            <w:tcW w:w="312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3"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吸水率，不大于</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3.0</w:t>
            </w:r>
          </w:p>
        </w:tc>
        <w:tc>
          <w:tcPr>
            <w:tcW w:w="312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3"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坚固性</w:t>
            </w:r>
            <w:r>
              <w:rPr>
                <w:rFonts w:hint="eastAsia" w:ascii="Times New Roman" w:hAnsi="Times New Roman" w:eastAsia="宋体" w:cs="Times New Roman"/>
                <w:color w:val="auto"/>
                <w:sz w:val="21"/>
                <w:szCs w:val="21"/>
                <w:highlight w:val="none"/>
                <w:vertAlign w:val="baseline"/>
                <w:lang w:val="en-US" w:eastAsia="zh-CN"/>
              </w:rPr>
              <w:t>，</w:t>
            </w:r>
            <w:r>
              <w:rPr>
                <w:rFonts w:hint="default" w:ascii="Times New Roman" w:hAnsi="Times New Roman" w:eastAsia="宋体" w:cs="Times New Roman"/>
                <w:color w:val="auto"/>
                <w:sz w:val="21"/>
                <w:szCs w:val="21"/>
                <w:highlight w:val="none"/>
                <w:vertAlign w:val="baseline"/>
                <w:lang w:val="en-US" w:eastAsia="zh-CN"/>
              </w:rPr>
              <w:t xml:space="preserve">不大于 </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w:t>
            </w:r>
          </w:p>
        </w:tc>
        <w:tc>
          <w:tcPr>
            <w:tcW w:w="312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3"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针片状颗粒含量</w:t>
            </w:r>
            <w:r>
              <w:rPr>
                <w:rFonts w:hint="eastAsia" w:ascii="Times New Roman" w:hAnsi="Times New Roman" w:eastAsia="宋体" w:cs="Times New Roman"/>
                <w:color w:val="auto"/>
                <w:sz w:val="21"/>
                <w:szCs w:val="21"/>
                <w:highlight w:val="none"/>
                <w:vertAlign w:val="baseline"/>
                <w:lang w:val="en-US" w:eastAsia="zh-CN"/>
              </w:rPr>
              <w:t>（混合料），</w:t>
            </w:r>
            <w:r>
              <w:rPr>
                <w:rFonts w:hint="default" w:ascii="Times New Roman" w:hAnsi="Times New Roman" w:eastAsia="宋体" w:cs="Times New Roman"/>
                <w:color w:val="auto"/>
                <w:sz w:val="21"/>
                <w:szCs w:val="21"/>
                <w:highlight w:val="none"/>
                <w:vertAlign w:val="baseline"/>
                <w:lang w:val="en-US" w:eastAsia="zh-CN"/>
              </w:rPr>
              <w:t>不大</w:t>
            </w:r>
            <w:r>
              <w:rPr>
                <w:rFonts w:hint="eastAsia" w:ascii="Times New Roman" w:hAnsi="Times New Roman" w:eastAsia="宋体" w:cs="Times New Roman"/>
                <w:color w:val="auto"/>
                <w:sz w:val="21"/>
                <w:szCs w:val="21"/>
                <w:highlight w:val="none"/>
                <w:vertAlign w:val="baseline"/>
                <w:lang w:val="en-US" w:eastAsia="zh-CN"/>
              </w:rPr>
              <w:t>于</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20</w:t>
            </w:r>
          </w:p>
        </w:tc>
        <w:tc>
          <w:tcPr>
            <w:tcW w:w="312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3"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水洗法&lt;0.075mm 颗粒含量</w:t>
            </w:r>
            <w:r>
              <w:rPr>
                <w:rFonts w:hint="eastAsia" w:ascii="Times New Roman" w:hAnsi="Times New Roman" w:eastAsia="宋体" w:cs="Times New Roman"/>
                <w:color w:val="auto"/>
                <w:sz w:val="21"/>
                <w:szCs w:val="21"/>
                <w:highlight w:val="none"/>
                <w:vertAlign w:val="baseline"/>
                <w:lang w:val="en-US" w:eastAsia="zh-CN"/>
              </w:rPr>
              <w:t>，</w:t>
            </w:r>
            <w:r>
              <w:rPr>
                <w:rFonts w:hint="default" w:ascii="Times New Roman" w:hAnsi="Times New Roman" w:eastAsia="宋体" w:cs="Times New Roman"/>
                <w:color w:val="auto"/>
                <w:sz w:val="21"/>
                <w:szCs w:val="21"/>
                <w:highlight w:val="none"/>
                <w:vertAlign w:val="baseline"/>
                <w:lang w:val="en-US" w:eastAsia="zh-CN"/>
              </w:rPr>
              <w:t>不大于</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312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3"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软石含量</w:t>
            </w:r>
            <w:r>
              <w:rPr>
                <w:rFonts w:hint="eastAsia" w:ascii="Times New Roman" w:hAnsi="Times New Roman" w:eastAsia="宋体" w:cs="Times New Roman"/>
                <w:color w:val="auto"/>
                <w:sz w:val="21"/>
                <w:szCs w:val="21"/>
                <w:highlight w:val="none"/>
                <w:vertAlign w:val="baseline"/>
                <w:lang w:val="en-US" w:eastAsia="zh-CN"/>
              </w:rPr>
              <w:t>，</w:t>
            </w:r>
            <w:r>
              <w:rPr>
                <w:rFonts w:hint="default" w:ascii="Times New Roman" w:hAnsi="Times New Roman" w:eastAsia="宋体" w:cs="Times New Roman"/>
                <w:color w:val="auto"/>
                <w:sz w:val="21"/>
                <w:szCs w:val="21"/>
                <w:highlight w:val="none"/>
                <w:vertAlign w:val="baseline"/>
                <w:lang w:val="en-US" w:eastAsia="zh-CN"/>
              </w:rPr>
              <w:t xml:space="preserve">不大于 </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c>
          <w:tcPr>
            <w:tcW w:w="312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0320</w:t>
            </w:r>
          </w:p>
        </w:tc>
      </w:tr>
    </w:tbl>
    <w:p>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2" w:firstLineChars="200"/>
        <w:jc w:val="center"/>
        <w:textAlignment w:val="auto"/>
        <w:rPr>
          <w:rFonts w:hint="eastAsia" w:ascii="宋体" w:hAnsi="宋体" w:eastAsia="宋体" w:cs="宋体"/>
          <w:b/>
          <w:bCs/>
          <w:color w:val="auto"/>
          <w:kern w:val="2"/>
          <w:sz w:val="24"/>
          <w:szCs w:val="24"/>
          <w:highlight w:val="none"/>
          <w:lang w:val="en-US" w:eastAsia="zh-CN" w:bidi="ar-SA"/>
        </w:rPr>
      </w:pPr>
    </w:p>
    <w:p>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2" w:firstLineChars="200"/>
        <w:jc w:val="center"/>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沥青混合料用细集料质量技术要求</w:t>
      </w:r>
    </w:p>
    <w:tbl>
      <w:tblPr>
        <w:tblStyle w:val="20"/>
        <w:tblpPr w:leftFromText="180" w:rightFromText="180" w:vertAnchor="text" w:horzAnchor="page" w:tblpX="1122" w:tblpY="299"/>
        <w:tblOverlap w:val="never"/>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331"/>
        <w:gridCol w:w="1423"/>
        <w:gridCol w:w="1514"/>
        <w:gridCol w:w="31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blHeader/>
        </w:trPr>
        <w:tc>
          <w:tcPr>
            <w:tcW w:w="3331"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指标</w:t>
            </w:r>
          </w:p>
        </w:tc>
        <w:tc>
          <w:tcPr>
            <w:tcW w:w="1423"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单位</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技术要求</w:t>
            </w:r>
          </w:p>
        </w:tc>
        <w:tc>
          <w:tcPr>
            <w:tcW w:w="311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试验方法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1"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表观相对密度</w:t>
            </w:r>
            <w:r>
              <w:rPr>
                <w:rFonts w:hint="eastAsia" w:ascii="Times New Roman" w:hAnsi="Times New Roman" w:eastAsia="宋体" w:cs="Times New Roman"/>
                <w:color w:val="auto"/>
                <w:sz w:val="21"/>
                <w:szCs w:val="21"/>
                <w:highlight w:val="none"/>
                <w:vertAlign w:val="baseline"/>
                <w:lang w:val="en-US" w:eastAsia="zh-CN"/>
              </w:rPr>
              <w:t>，</w:t>
            </w:r>
            <w:r>
              <w:rPr>
                <w:rFonts w:hint="default" w:ascii="Times New Roman" w:hAnsi="Times New Roman" w:eastAsia="宋体" w:cs="Times New Roman"/>
                <w:color w:val="auto"/>
                <w:sz w:val="21"/>
                <w:szCs w:val="21"/>
                <w:highlight w:val="none"/>
                <w:vertAlign w:val="baseline"/>
                <w:lang w:val="en-US" w:eastAsia="zh-CN"/>
              </w:rPr>
              <w:t xml:space="preserve">不小于  </w:t>
            </w:r>
          </w:p>
        </w:tc>
        <w:tc>
          <w:tcPr>
            <w:tcW w:w="1423"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2.45</w:t>
            </w:r>
          </w:p>
        </w:tc>
        <w:tc>
          <w:tcPr>
            <w:tcW w:w="311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1" w:type="dxa"/>
            <w:tcBorders>
              <w:tl2br w:val="nil"/>
              <w:tr2bl w:val="nil"/>
            </w:tcBorders>
            <w:noWrap w:val="0"/>
            <w:vAlign w:val="top"/>
          </w:tcPr>
          <w:p>
            <w:pPr>
              <w:pStyle w:val="27"/>
              <w:jc w:val="both"/>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含泥量（小于 0.075mm 颗粒含量）</w:t>
            </w:r>
            <w:r>
              <w:rPr>
                <w:rFonts w:hint="eastAsia" w:ascii="Times New Roman" w:hAnsi="Times New Roman" w:eastAsia="宋体" w:cs="Times New Roman"/>
                <w:color w:val="auto"/>
                <w:sz w:val="21"/>
                <w:szCs w:val="21"/>
                <w:highlight w:val="none"/>
                <w:vertAlign w:val="baseline"/>
                <w:lang w:val="en-US" w:eastAsia="zh-CN"/>
              </w:rPr>
              <w:t>，不大于</w:t>
            </w:r>
            <w:r>
              <w:rPr>
                <w:rFonts w:hint="default" w:ascii="Times New Roman" w:hAnsi="Times New Roman" w:eastAsia="宋体" w:cs="Times New Roman"/>
                <w:color w:val="auto"/>
                <w:sz w:val="21"/>
                <w:szCs w:val="21"/>
                <w:highlight w:val="none"/>
                <w:vertAlign w:val="baseline"/>
                <w:lang w:val="en-US" w:eastAsia="zh-CN"/>
              </w:rPr>
              <w:t xml:space="preserve"> </w:t>
            </w:r>
          </w:p>
        </w:tc>
        <w:tc>
          <w:tcPr>
            <w:tcW w:w="1423"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c>
          <w:tcPr>
            <w:tcW w:w="311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1" w:type="dxa"/>
            <w:tcBorders>
              <w:tl2br w:val="nil"/>
              <w:tr2bl w:val="nil"/>
            </w:tcBorders>
            <w:noWrap w:val="0"/>
            <w:vAlign w:val="top"/>
          </w:tcPr>
          <w:p>
            <w:pPr>
              <w:pStyle w:val="27"/>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砂当量（%）</w:t>
            </w:r>
            <w:r>
              <w:rPr>
                <w:rFonts w:hint="eastAsia" w:ascii="Times New Roman" w:hAnsi="Times New Roman" w:eastAsia="宋体" w:cs="Times New Roman"/>
                <w:color w:val="auto"/>
                <w:sz w:val="21"/>
                <w:szCs w:val="21"/>
                <w:highlight w:val="none"/>
                <w:vertAlign w:val="baseline"/>
                <w:lang w:val="en-US" w:eastAsia="zh-CN"/>
              </w:rPr>
              <w:t>，不小于</w:t>
            </w:r>
          </w:p>
        </w:tc>
        <w:tc>
          <w:tcPr>
            <w:tcW w:w="1423"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50</w:t>
            </w:r>
          </w:p>
        </w:tc>
        <w:tc>
          <w:tcPr>
            <w:tcW w:w="311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0310</w:t>
            </w:r>
          </w:p>
        </w:tc>
      </w:tr>
    </w:tbl>
    <w:p>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kern w:val="2"/>
          <w:sz w:val="24"/>
          <w:szCs w:val="24"/>
          <w:highlight w:val="none"/>
          <w:lang w:val="en-US" w:eastAsia="zh-CN" w:bidi="ar-SA"/>
        </w:rPr>
      </w:pPr>
    </w:p>
    <w:p>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2" w:firstLineChars="200"/>
        <w:jc w:val="center"/>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沥青混合料用矿粉质量技术要求</w:t>
      </w:r>
    </w:p>
    <w:tbl>
      <w:tblPr>
        <w:tblStyle w:val="20"/>
        <w:tblpPr w:leftFromText="180" w:rightFromText="180" w:vertAnchor="text" w:horzAnchor="page" w:tblpX="1122" w:tblpY="299"/>
        <w:tblOverlap w:val="never"/>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331"/>
        <w:gridCol w:w="1424"/>
        <w:gridCol w:w="1514"/>
        <w:gridCol w:w="31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blHeader/>
        </w:trPr>
        <w:tc>
          <w:tcPr>
            <w:tcW w:w="3331"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指标</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单位</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技术要求</w:t>
            </w:r>
          </w:p>
        </w:tc>
        <w:tc>
          <w:tcPr>
            <w:tcW w:w="3118"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试验方法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1"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表观相对密度</w:t>
            </w:r>
            <w:r>
              <w:rPr>
                <w:rFonts w:hint="eastAsia" w:ascii="Times New Roman" w:hAnsi="Times New Roman" w:eastAsia="宋体" w:cs="Times New Roman"/>
                <w:color w:val="auto"/>
                <w:sz w:val="21"/>
                <w:szCs w:val="21"/>
                <w:highlight w:val="none"/>
                <w:vertAlign w:val="baseline"/>
                <w:lang w:val="en-US" w:eastAsia="zh-CN"/>
              </w:rPr>
              <w:t>，</w:t>
            </w:r>
            <w:r>
              <w:rPr>
                <w:rFonts w:hint="default" w:ascii="Times New Roman" w:hAnsi="Times New Roman" w:eastAsia="宋体" w:cs="Times New Roman"/>
                <w:color w:val="auto"/>
                <w:sz w:val="21"/>
                <w:szCs w:val="21"/>
                <w:highlight w:val="none"/>
                <w:vertAlign w:val="baseline"/>
                <w:lang w:val="en-US" w:eastAsia="zh-CN"/>
              </w:rPr>
              <w:t xml:space="preserve">不小于  </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t/m³</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2.45</w:t>
            </w:r>
          </w:p>
        </w:tc>
        <w:tc>
          <w:tcPr>
            <w:tcW w:w="3118"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w:t>
            </w:r>
            <w:r>
              <w:rPr>
                <w:rFonts w:hint="eastAsia" w:ascii="Times New Roman" w:hAnsi="Times New Roman" w:eastAsia="宋体" w:cs="Times New Roman"/>
                <w:color w:val="auto"/>
                <w:sz w:val="21"/>
                <w:szCs w:val="21"/>
                <w:highlight w:val="none"/>
                <w:vertAlign w:val="baseline"/>
                <w:lang w:val="en-US" w:eastAsia="zh-CN"/>
              </w:rPr>
              <w:t>52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1"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含水量，不大于</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3118"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w:t>
            </w:r>
            <w:r>
              <w:rPr>
                <w:rFonts w:hint="eastAsia" w:ascii="Times New Roman" w:hAnsi="Times New Roman" w:eastAsia="宋体" w:cs="Times New Roman"/>
                <w:color w:val="auto"/>
                <w:sz w:val="21"/>
                <w:szCs w:val="21"/>
                <w:highlight w:val="none"/>
                <w:vertAlign w:val="baseline"/>
                <w:lang w:val="en-US" w:eastAsia="zh-CN"/>
              </w:rPr>
              <w:t>103 烘干法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1"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粒度范围＜0.6mm</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100</w:t>
            </w:r>
          </w:p>
        </w:tc>
        <w:tc>
          <w:tcPr>
            <w:tcW w:w="3118"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w:t>
            </w:r>
            <w:r>
              <w:rPr>
                <w:rFonts w:hint="eastAsia" w:ascii="Times New Roman" w:hAnsi="Times New Roman" w:eastAsia="宋体" w:cs="Times New Roman"/>
                <w:color w:val="auto"/>
                <w:sz w:val="21"/>
                <w:szCs w:val="21"/>
                <w:highlight w:val="none"/>
                <w:vertAlign w:val="baseline"/>
                <w:lang w:val="en-US" w:eastAsia="zh-CN"/>
              </w:rPr>
              <w:t>51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1"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粒度范围＜0.15mm</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90</w:t>
            </w:r>
            <w:r>
              <w:rPr>
                <w:rFonts w:hint="default" w:ascii="Times New Roman" w:hAnsi="Times New Roman" w:eastAsia="宋体" w:cs="Times New Roman"/>
                <w:color w:val="auto"/>
                <w:sz w:val="21"/>
                <w:szCs w:val="21"/>
                <w:highlight w:val="none"/>
                <w:vertAlign w:val="baseline"/>
                <w:lang w:val="en-US" w:eastAsia="zh-CN"/>
              </w:rPr>
              <w:t>~</w:t>
            </w:r>
            <w:r>
              <w:rPr>
                <w:rFonts w:hint="eastAsia" w:ascii="Times New Roman" w:hAnsi="Times New Roman" w:eastAsia="宋体" w:cs="Times New Roman"/>
                <w:color w:val="auto"/>
                <w:sz w:val="21"/>
                <w:szCs w:val="21"/>
                <w:highlight w:val="none"/>
                <w:vertAlign w:val="baseline"/>
                <w:lang w:val="en-US" w:eastAsia="zh-CN"/>
              </w:rPr>
              <w:t>100</w:t>
            </w:r>
          </w:p>
        </w:tc>
        <w:tc>
          <w:tcPr>
            <w:tcW w:w="3118"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w:t>
            </w:r>
            <w:r>
              <w:rPr>
                <w:rFonts w:hint="eastAsia" w:ascii="Times New Roman" w:hAnsi="Times New Roman" w:eastAsia="宋体" w:cs="Times New Roman"/>
                <w:color w:val="auto"/>
                <w:sz w:val="21"/>
                <w:szCs w:val="21"/>
                <w:highlight w:val="none"/>
                <w:vertAlign w:val="baseline"/>
                <w:lang w:val="en-US" w:eastAsia="zh-CN"/>
              </w:rPr>
              <w:t>51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1"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粒度范围＜0.075mm</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70</w:t>
            </w:r>
            <w:r>
              <w:rPr>
                <w:rFonts w:hint="default" w:ascii="Times New Roman" w:hAnsi="Times New Roman" w:eastAsia="宋体" w:cs="Times New Roman"/>
                <w:color w:val="auto"/>
                <w:sz w:val="21"/>
                <w:szCs w:val="21"/>
                <w:highlight w:val="none"/>
                <w:vertAlign w:val="baseline"/>
                <w:lang w:val="en-US" w:eastAsia="zh-CN"/>
              </w:rPr>
              <w:t>~</w:t>
            </w:r>
            <w:r>
              <w:rPr>
                <w:rFonts w:hint="eastAsia" w:ascii="Times New Roman" w:hAnsi="Times New Roman" w:eastAsia="宋体" w:cs="Times New Roman"/>
                <w:color w:val="auto"/>
                <w:sz w:val="21"/>
                <w:szCs w:val="21"/>
                <w:highlight w:val="none"/>
                <w:vertAlign w:val="baseline"/>
                <w:lang w:val="en-US" w:eastAsia="zh-CN"/>
              </w:rPr>
              <w:t>100</w:t>
            </w:r>
          </w:p>
        </w:tc>
        <w:tc>
          <w:tcPr>
            <w:tcW w:w="3118"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w:t>
            </w:r>
            <w:r>
              <w:rPr>
                <w:rFonts w:hint="eastAsia" w:ascii="Times New Roman" w:hAnsi="Times New Roman" w:eastAsia="宋体" w:cs="Times New Roman"/>
                <w:color w:val="auto"/>
                <w:sz w:val="21"/>
                <w:szCs w:val="21"/>
                <w:highlight w:val="none"/>
                <w:vertAlign w:val="baseline"/>
                <w:lang w:val="en-US" w:eastAsia="zh-CN"/>
              </w:rPr>
              <w:t>51</w:t>
            </w:r>
          </w:p>
        </w:tc>
      </w:tr>
    </w:tbl>
    <w:p>
      <w:pPr>
        <w:pStyle w:val="27"/>
        <w:keepNext w:val="0"/>
        <w:keepLines w:val="0"/>
        <w:pageBreakBefore w:val="0"/>
        <w:widowControl w:val="0"/>
        <w:numPr>
          <w:ilvl w:val="0"/>
          <w:numId w:val="0"/>
        </w:numPr>
        <w:kinsoku/>
        <w:wordWrap/>
        <w:overflowPunct/>
        <w:topLinePunct w:val="0"/>
        <w:bidi w:val="0"/>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p>
    <w:p>
      <w:pPr>
        <w:pStyle w:val="27"/>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（2）乙方提供的进场原材料须经甲方质检并认可的厂家提供，原则上生产期间不得更换原材料供应商；如确因客观原因乙方需中途更换原材料供应商，须经甲方质检认可后方可更换。</w:t>
      </w:r>
    </w:p>
    <w:p>
      <w:pPr>
        <w:pStyle w:val="27"/>
        <w:keepNext w:val="0"/>
        <w:keepLines w:val="0"/>
        <w:pageBreakBefore w:val="0"/>
        <w:widowControl w:val="0"/>
        <w:numPr>
          <w:ilvl w:val="0"/>
          <w:numId w:val="0"/>
        </w:numPr>
        <w:kinsoku/>
        <w:wordWrap/>
        <w:overflowPunct/>
        <w:topLinePunct w:val="0"/>
        <w:bidi w:val="0"/>
        <w:snapToGrid/>
        <w:spacing w:line="360" w:lineRule="auto"/>
        <w:ind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3、加工质量要求</w:t>
      </w:r>
    </w:p>
    <w:p>
      <w:pPr>
        <w:pStyle w:val="27"/>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（1）乙方对整个沥青混合料的生产质量负责，成品质量检验不低于（JTG F40-2004）公路沥青路面施工技术规范》、JTG E20-2011）《公路工程沥青及沥青混合料试验规程》要求。</w:t>
      </w:r>
    </w:p>
    <w:p>
      <w:pPr>
        <w:pStyle w:val="27"/>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（2）乙方加工生产的沥青混合料严禁使用回收矿粉，否则视为不合格材料。</w:t>
      </w:r>
    </w:p>
    <w:p>
      <w:pPr>
        <w:pStyle w:val="27"/>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（3）乙方加工生产的沥青混合料出厂温度必须经甲方现场代表签字认可，否则视为不合格材料。</w:t>
      </w:r>
    </w:p>
    <w:p>
      <w:pPr>
        <w:pStyle w:val="27"/>
        <w:keepNext w:val="0"/>
        <w:keepLines w:val="0"/>
        <w:pageBreakBefore w:val="0"/>
        <w:widowControl w:val="0"/>
        <w:numPr>
          <w:ilvl w:val="0"/>
          <w:numId w:val="0"/>
        </w:numPr>
        <w:kinsoku/>
        <w:wordWrap/>
        <w:overflowPunct/>
        <w:topLinePunct w:val="0"/>
        <w:bidi w:val="0"/>
        <w:snapToGrid/>
        <w:spacing w:line="360" w:lineRule="auto"/>
        <w:ind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4、加工进度要求</w:t>
      </w:r>
    </w:p>
    <w:p>
      <w:pPr>
        <w:pStyle w:val="27"/>
        <w:keepNext w:val="0"/>
        <w:keepLines w:val="0"/>
        <w:pageBreakBefore w:val="0"/>
        <w:widowControl w:val="0"/>
        <w:numPr>
          <w:ilvl w:val="0"/>
          <w:numId w:val="0"/>
        </w:numPr>
        <w:kinsoku/>
        <w:wordWrap/>
        <w:overflowPunct/>
        <w:topLinePunct w:val="0"/>
        <w:bidi w:val="0"/>
        <w:snapToGrid/>
        <w:spacing w:line="360" w:lineRule="auto"/>
        <w:ind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乙方应按甲方沥青混合料生产进度要求按时完成生产任务。如确因其他工程项目施工需要，乙方应于实施前一个月与甲方协商，协调生产作业时间，并优先保障甲方所需的沥青混合料生产。</w:t>
      </w:r>
    </w:p>
    <w:p>
      <w:pPr>
        <w:pStyle w:val="27"/>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5、场地要求</w:t>
      </w:r>
    </w:p>
    <w:p>
      <w:pPr>
        <w:pStyle w:val="27"/>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（1）乙方拌和</w:t>
      </w:r>
      <w:r>
        <w:rPr>
          <w:rFonts w:hint="default" w:ascii="宋体" w:hAnsi="宋体" w:eastAsia="宋体" w:cs="宋体"/>
          <w:b w:val="0"/>
          <w:bCs w:val="0"/>
          <w:color w:val="auto"/>
          <w:kern w:val="2"/>
          <w:sz w:val="24"/>
          <w:szCs w:val="24"/>
          <w:highlight w:val="none"/>
          <w:lang w:val="en-US" w:eastAsia="zh-CN" w:bidi="ar-SA"/>
        </w:rPr>
        <w:t>站场地应满足重庆市标准化施工作业要求，如不满足</w:t>
      </w:r>
      <w:r>
        <w:rPr>
          <w:rFonts w:hint="eastAsia" w:ascii="宋体" w:hAnsi="宋体" w:eastAsia="宋体" w:cs="宋体"/>
          <w:b w:val="0"/>
          <w:bCs w:val="0"/>
          <w:color w:val="auto"/>
          <w:kern w:val="2"/>
          <w:sz w:val="24"/>
          <w:szCs w:val="24"/>
          <w:highlight w:val="none"/>
          <w:lang w:val="en-US" w:eastAsia="zh-CN" w:bidi="ar-SA"/>
        </w:rPr>
        <w:t>乙方</w:t>
      </w:r>
      <w:r>
        <w:rPr>
          <w:rFonts w:hint="default" w:ascii="宋体" w:hAnsi="宋体" w:eastAsia="宋体" w:cs="宋体"/>
          <w:b w:val="0"/>
          <w:bCs w:val="0"/>
          <w:color w:val="auto"/>
          <w:kern w:val="2"/>
          <w:sz w:val="24"/>
          <w:szCs w:val="24"/>
          <w:highlight w:val="none"/>
          <w:lang w:val="en-US" w:eastAsia="zh-CN" w:bidi="ar-SA"/>
        </w:rPr>
        <w:t>须无条件按</w:t>
      </w:r>
      <w:r>
        <w:rPr>
          <w:rFonts w:hint="eastAsia" w:ascii="宋体" w:hAnsi="宋体" w:eastAsia="宋体" w:cs="宋体"/>
          <w:b w:val="0"/>
          <w:bCs w:val="0"/>
          <w:color w:val="auto"/>
          <w:kern w:val="2"/>
          <w:sz w:val="24"/>
          <w:szCs w:val="24"/>
          <w:highlight w:val="none"/>
          <w:lang w:val="en-US" w:eastAsia="zh-CN" w:bidi="ar-SA"/>
        </w:rPr>
        <w:t>甲方</w:t>
      </w:r>
      <w:r>
        <w:rPr>
          <w:rFonts w:hint="default" w:ascii="宋体" w:hAnsi="宋体" w:eastAsia="宋体" w:cs="宋体"/>
          <w:b w:val="0"/>
          <w:bCs w:val="0"/>
          <w:color w:val="auto"/>
          <w:kern w:val="2"/>
          <w:sz w:val="24"/>
          <w:szCs w:val="24"/>
          <w:highlight w:val="none"/>
          <w:lang w:val="en-US" w:eastAsia="zh-CN" w:bidi="ar-SA"/>
        </w:rPr>
        <w:t>要求及时进行整改（如：场地必须硬化处理、原材料堆料仓应有不低于1.5米的隔离设施、细集料应有彩钢雨棚等防雨设施等）</w:t>
      </w:r>
      <w:r>
        <w:rPr>
          <w:rFonts w:hint="eastAsia" w:ascii="宋体" w:hAnsi="宋体" w:eastAsia="宋体" w:cs="宋体"/>
          <w:b w:val="0"/>
          <w:bCs w:val="0"/>
          <w:color w:val="auto"/>
          <w:kern w:val="2"/>
          <w:sz w:val="24"/>
          <w:szCs w:val="24"/>
          <w:highlight w:val="none"/>
          <w:lang w:val="en-US" w:eastAsia="zh-CN" w:bidi="ar-SA"/>
        </w:rPr>
        <w:t>。乙方应配合甲方根据质监部门、建设单位、监理单位的相关指令完善整改拌合站的场地、设施等。</w:t>
      </w:r>
    </w:p>
    <w:p>
      <w:pPr>
        <w:pStyle w:val="27"/>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（2）冷料仓的数量满足配合比需要，且不少于5个。</w:t>
      </w:r>
    </w:p>
    <w:p>
      <w:pPr>
        <w:pStyle w:val="27"/>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（3）乙方需在拌和站内为甲方提供2间实验室用房。</w:t>
      </w:r>
    </w:p>
    <w:p>
      <w:pPr>
        <w:pStyle w:val="27"/>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6、人员要求</w:t>
      </w:r>
    </w:p>
    <w:p>
      <w:pPr>
        <w:pStyle w:val="27"/>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default" w:ascii="宋体" w:hAnsi="宋体" w:eastAsia="宋体" w:cs="宋体"/>
          <w:b w:val="0"/>
          <w:bCs w:val="0"/>
          <w:color w:val="auto"/>
          <w:kern w:val="2"/>
          <w:sz w:val="24"/>
          <w:szCs w:val="24"/>
          <w:highlight w:val="none"/>
          <w:lang w:val="en-US" w:eastAsia="zh-CN" w:bidi="ar-SA"/>
        </w:rPr>
      </w:pPr>
      <w:r>
        <w:rPr>
          <w:rFonts w:hint="default" w:ascii="宋体" w:hAnsi="宋体" w:eastAsia="宋体" w:cs="宋体"/>
          <w:b w:val="0"/>
          <w:bCs w:val="0"/>
          <w:color w:val="auto"/>
          <w:kern w:val="2"/>
          <w:sz w:val="24"/>
          <w:szCs w:val="24"/>
          <w:highlight w:val="none"/>
          <w:lang w:val="en-US" w:eastAsia="zh-CN" w:bidi="ar-SA"/>
        </w:rPr>
        <w:t>生产期间，</w:t>
      </w:r>
      <w:r>
        <w:rPr>
          <w:rFonts w:hint="eastAsia" w:ascii="宋体" w:hAnsi="宋体" w:eastAsia="宋体" w:cs="宋体"/>
          <w:b w:val="0"/>
          <w:bCs w:val="0"/>
          <w:color w:val="auto"/>
          <w:kern w:val="2"/>
          <w:sz w:val="24"/>
          <w:szCs w:val="24"/>
          <w:highlight w:val="none"/>
          <w:lang w:val="en-US" w:eastAsia="zh-CN" w:bidi="ar-SA"/>
        </w:rPr>
        <w:t>乙方需</w:t>
      </w:r>
      <w:r>
        <w:rPr>
          <w:rFonts w:hint="default" w:ascii="宋体" w:hAnsi="宋体" w:eastAsia="宋体" w:cs="宋体"/>
          <w:b w:val="0"/>
          <w:bCs w:val="0"/>
          <w:color w:val="auto"/>
          <w:kern w:val="2"/>
          <w:sz w:val="24"/>
          <w:szCs w:val="24"/>
          <w:highlight w:val="none"/>
          <w:lang w:val="en-US" w:eastAsia="zh-CN" w:bidi="ar-SA"/>
        </w:rPr>
        <w:t>配备</w:t>
      </w:r>
      <w:r>
        <w:rPr>
          <w:rFonts w:hint="eastAsia" w:ascii="宋体" w:hAnsi="宋体" w:eastAsia="宋体" w:cs="宋体"/>
          <w:b w:val="0"/>
          <w:bCs w:val="0"/>
          <w:color w:val="auto"/>
          <w:kern w:val="2"/>
          <w:sz w:val="24"/>
          <w:szCs w:val="24"/>
          <w:highlight w:val="none"/>
          <w:lang w:val="en-US" w:eastAsia="zh-CN" w:bidi="ar-SA"/>
        </w:rPr>
        <w:t>满足生产所需的</w:t>
      </w:r>
      <w:r>
        <w:rPr>
          <w:rFonts w:hint="default" w:ascii="宋体" w:hAnsi="宋体" w:eastAsia="宋体" w:cs="宋体"/>
          <w:b w:val="0"/>
          <w:bCs w:val="0"/>
          <w:color w:val="auto"/>
          <w:kern w:val="2"/>
          <w:sz w:val="24"/>
          <w:szCs w:val="24"/>
          <w:highlight w:val="none"/>
          <w:lang w:val="en-US" w:eastAsia="zh-CN" w:bidi="ar-SA"/>
        </w:rPr>
        <w:t>拌合设备操作人</w:t>
      </w:r>
      <w:r>
        <w:rPr>
          <w:rFonts w:hint="eastAsia" w:ascii="宋体" w:hAnsi="宋体" w:eastAsia="宋体" w:cs="宋体"/>
          <w:b w:val="0"/>
          <w:bCs w:val="0"/>
          <w:color w:val="auto"/>
          <w:kern w:val="2"/>
          <w:sz w:val="24"/>
          <w:szCs w:val="24"/>
          <w:highlight w:val="none"/>
          <w:lang w:val="en-US" w:eastAsia="zh-CN" w:bidi="ar-SA"/>
        </w:rPr>
        <w:t>员</w:t>
      </w:r>
      <w:r>
        <w:rPr>
          <w:rFonts w:hint="default" w:ascii="宋体" w:hAnsi="宋体" w:eastAsia="宋体" w:cs="宋体"/>
          <w:b w:val="0"/>
          <w:bCs w:val="0"/>
          <w:color w:val="auto"/>
          <w:kern w:val="2"/>
          <w:sz w:val="24"/>
          <w:szCs w:val="24"/>
          <w:highlight w:val="none"/>
          <w:lang w:val="en-US" w:eastAsia="zh-CN" w:bidi="ar-SA"/>
        </w:rPr>
        <w:t>、设备维修人员及生产辅助人员，并确保设备维修保养及时，中途发生故障，确保在24小时内修复</w:t>
      </w:r>
      <w:r>
        <w:rPr>
          <w:rFonts w:hint="eastAsia" w:ascii="宋体" w:hAnsi="宋体" w:eastAsia="宋体" w:cs="宋体"/>
          <w:b w:val="0"/>
          <w:bCs w:val="0"/>
          <w:color w:val="auto"/>
          <w:kern w:val="2"/>
          <w:sz w:val="24"/>
          <w:szCs w:val="24"/>
          <w:highlight w:val="none"/>
          <w:lang w:val="en-US" w:eastAsia="zh-CN" w:bidi="ar-SA"/>
        </w:rPr>
        <w:t>。</w:t>
      </w:r>
    </w:p>
    <w:p>
      <w:pPr>
        <w:pStyle w:val="27"/>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7、环保、消防、安全要求</w:t>
      </w:r>
    </w:p>
    <w:p>
      <w:pPr>
        <w:pStyle w:val="27"/>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乙方拌和站的设置必须符合国家有关环境保护、消防、安全等相关规定，不得因环保、消防、安全等问题影响甲方沥青混合料的生产加工，如因环保、消防及安全问题影响甲方沥青混合料正常生产，按违约处理。</w:t>
      </w:r>
    </w:p>
    <w:p>
      <w:pPr>
        <w:spacing w:line="360" w:lineRule="auto"/>
        <w:rPr>
          <w:b/>
          <w:color w:val="auto"/>
          <w:sz w:val="24"/>
          <w:szCs w:val="24"/>
          <w:highlight w:val="none"/>
        </w:rPr>
      </w:pPr>
      <w:r>
        <w:rPr>
          <w:rFonts w:hint="eastAsia"/>
          <w:b/>
          <w:color w:val="auto"/>
          <w:sz w:val="24"/>
          <w:szCs w:val="24"/>
          <w:highlight w:val="none"/>
        </w:rPr>
        <w:t>三、交（提）货地点、方式</w:t>
      </w:r>
    </w:p>
    <w:p>
      <w:pPr>
        <w:spacing w:line="480" w:lineRule="exact"/>
        <w:ind w:firstLine="480" w:firstLineChars="200"/>
        <w:textAlignment w:val="baseline"/>
        <w:rPr>
          <w:rFonts w:hint="eastAsia" w:eastAsia="宋体"/>
          <w:color w:val="auto"/>
          <w:sz w:val="24"/>
          <w:szCs w:val="24"/>
          <w:highlight w:val="none"/>
          <w:lang w:val="en-US" w:eastAsia="zh-CN"/>
        </w:rPr>
      </w:pPr>
      <w:r>
        <w:rPr>
          <w:rFonts w:hint="eastAsia"/>
          <w:color w:val="auto"/>
          <w:sz w:val="24"/>
          <w:szCs w:val="24"/>
          <w:highlight w:val="none"/>
        </w:rPr>
        <w:t>1、材料由</w:t>
      </w:r>
      <w:r>
        <w:rPr>
          <w:rFonts w:hint="eastAsia"/>
          <w:color w:val="auto"/>
          <w:sz w:val="24"/>
          <w:szCs w:val="24"/>
          <w:highlight w:val="none"/>
          <w:lang w:val="en-US" w:eastAsia="zh-CN"/>
        </w:rPr>
        <w:t>甲方</w:t>
      </w:r>
      <w:r>
        <w:rPr>
          <w:rFonts w:hint="eastAsia"/>
          <w:color w:val="auto"/>
          <w:sz w:val="24"/>
          <w:szCs w:val="24"/>
          <w:highlight w:val="none"/>
        </w:rPr>
        <w:t>以汽车</w:t>
      </w:r>
      <w:r>
        <w:rPr>
          <w:rFonts w:hint="eastAsia"/>
          <w:color w:val="auto"/>
          <w:sz w:val="24"/>
          <w:szCs w:val="24"/>
          <w:highlight w:val="none"/>
          <w:lang w:val="en-US" w:eastAsia="zh-CN"/>
        </w:rPr>
        <w:t>运输。</w:t>
      </w:r>
    </w:p>
    <w:p>
      <w:pPr>
        <w:spacing w:line="480" w:lineRule="exact"/>
        <w:textAlignment w:val="baseline"/>
        <w:rPr>
          <w:rFonts w:hint="eastAsia"/>
          <w:color w:val="auto"/>
          <w:sz w:val="24"/>
          <w:szCs w:val="24"/>
          <w:highlight w:val="none"/>
        </w:rPr>
      </w:pPr>
      <w:r>
        <w:rPr>
          <w:rFonts w:hint="eastAsia"/>
          <w:color w:val="auto"/>
          <w:sz w:val="24"/>
          <w:szCs w:val="24"/>
          <w:highlight w:val="none"/>
          <w:lang w:val="en-US" w:eastAsia="zh-CN"/>
        </w:rPr>
        <w:t xml:space="preserve">    2、</w:t>
      </w:r>
      <w:r>
        <w:rPr>
          <w:rFonts w:hint="eastAsia"/>
          <w:color w:val="auto"/>
          <w:sz w:val="24"/>
          <w:szCs w:val="24"/>
          <w:highlight w:val="none"/>
        </w:rPr>
        <w:t>甲方根据需求，以短信通知、书面通知的方式通知乙方</w:t>
      </w:r>
      <w:r>
        <w:rPr>
          <w:rFonts w:hint="eastAsia"/>
          <w:color w:val="auto"/>
          <w:sz w:val="24"/>
          <w:szCs w:val="24"/>
          <w:highlight w:val="none"/>
          <w:lang w:val="en-US" w:eastAsia="zh-CN"/>
        </w:rPr>
        <w:t>加工</w:t>
      </w:r>
      <w:r>
        <w:rPr>
          <w:rFonts w:hint="eastAsia"/>
          <w:color w:val="auto"/>
          <w:sz w:val="24"/>
          <w:szCs w:val="24"/>
          <w:highlight w:val="none"/>
        </w:rPr>
        <w:t>，乙方在接到甲方通知之日起 1 日内完成备货及</w:t>
      </w:r>
      <w:r>
        <w:rPr>
          <w:rFonts w:hint="eastAsia"/>
          <w:color w:val="auto"/>
          <w:sz w:val="24"/>
          <w:szCs w:val="24"/>
          <w:highlight w:val="none"/>
          <w:lang w:val="en-US" w:eastAsia="zh-CN"/>
        </w:rPr>
        <w:t>设备整备</w:t>
      </w:r>
      <w:r>
        <w:rPr>
          <w:rFonts w:hint="eastAsia"/>
          <w:color w:val="auto"/>
          <w:sz w:val="24"/>
          <w:szCs w:val="24"/>
          <w:highlight w:val="none"/>
        </w:rPr>
        <w:t>工作，保证按时</w:t>
      </w:r>
      <w:r>
        <w:rPr>
          <w:rFonts w:hint="eastAsia"/>
          <w:color w:val="auto"/>
          <w:sz w:val="24"/>
          <w:szCs w:val="24"/>
          <w:highlight w:val="none"/>
          <w:lang w:val="en-US" w:eastAsia="zh-CN"/>
        </w:rPr>
        <w:t>加工</w:t>
      </w:r>
      <w:r>
        <w:rPr>
          <w:rFonts w:hint="eastAsia"/>
          <w:color w:val="auto"/>
          <w:sz w:val="24"/>
          <w:szCs w:val="24"/>
          <w:highlight w:val="none"/>
        </w:rPr>
        <w:t>。乙方</w:t>
      </w:r>
      <w:r>
        <w:rPr>
          <w:rFonts w:hint="eastAsia"/>
          <w:color w:val="auto"/>
          <w:sz w:val="24"/>
          <w:szCs w:val="24"/>
          <w:highlight w:val="none"/>
          <w:lang w:val="en-US" w:eastAsia="zh-CN"/>
        </w:rPr>
        <w:t>加工</w:t>
      </w:r>
      <w:r>
        <w:rPr>
          <w:rFonts w:hint="eastAsia"/>
          <w:color w:val="auto"/>
          <w:sz w:val="24"/>
          <w:szCs w:val="24"/>
          <w:highlight w:val="none"/>
        </w:rPr>
        <w:t>，应提供</w:t>
      </w:r>
      <w:r>
        <w:rPr>
          <w:rFonts w:hint="eastAsia"/>
          <w:color w:val="auto"/>
          <w:sz w:val="24"/>
          <w:szCs w:val="24"/>
          <w:highlight w:val="none"/>
          <w:lang w:val="en-US" w:eastAsia="zh-CN"/>
        </w:rPr>
        <w:t>加工</w:t>
      </w:r>
      <w:r>
        <w:rPr>
          <w:rFonts w:hint="eastAsia"/>
          <w:color w:val="auto"/>
          <w:sz w:val="24"/>
          <w:szCs w:val="24"/>
          <w:highlight w:val="none"/>
        </w:rPr>
        <w:t>单据</w:t>
      </w:r>
      <w:r>
        <w:rPr>
          <w:rFonts w:hint="eastAsia"/>
          <w:color w:val="auto"/>
          <w:sz w:val="24"/>
          <w:szCs w:val="24"/>
          <w:highlight w:val="none"/>
          <w:lang w:eastAsia="zh-CN"/>
        </w:rPr>
        <w:t>（</w:t>
      </w:r>
      <w:r>
        <w:rPr>
          <w:rFonts w:hint="eastAsia"/>
          <w:color w:val="auto"/>
          <w:sz w:val="24"/>
          <w:szCs w:val="24"/>
          <w:highlight w:val="none"/>
          <w:lang w:val="en-US" w:eastAsia="zh-CN"/>
        </w:rPr>
        <w:t>机打磅单</w:t>
      </w:r>
      <w:r>
        <w:rPr>
          <w:rFonts w:hint="eastAsia"/>
          <w:color w:val="auto"/>
          <w:sz w:val="24"/>
          <w:szCs w:val="24"/>
          <w:highlight w:val="none"/>
          <w:lang w:eastAsia="zh-CN"/>
        </w:rPr>
        <w:t>）</w:t>
      </w:r>
      <w:r>
        <w:rPr>
          <w:rFonts w:hint="eastAsia"/>
          <w:color w:val="auto"/>
          <w:sz w:val="24"/>
          <w:szCs w:val="24"/>
          <w:highlight w:val="none"/>
        </w:rPr>
        <w:t>，每批次产品</w:t>
      </w:r>
      <w:r>
        <w:rPr>
          <w:rFonts w:hint="eastAsia"/>
          <w:color w:val="auto"/>
          <w:sz w:val="24"/>
          <w:szCs w:val="24"/>
          <w:highlight w:val="none"/>
          <w:lang w:val="en-US" w:eastAsia="zh-CN"/>
        </w:rPr>
        <w:t>加工</w:t>
      </w:r>
      <w:r>
        <w:rPr>
          <w:rFonts w:hint="eastAsia"/>
          <w:color w:val="auto"/>
          <w:sz w:val="24"/>
          <w:szCs w:val="24"/>
          <w:highlight w:val="none"/>
        </w:rPr>
        <w:t>后，甲方组织相关人员进行现场初步验收，材料初步验收合格后甲方确认收货；</w:t>
      </w:r>
      <w:r>
        <w:rPr>
          <w:rFonts w:hint="eastAsia"/>
          <w:color w:val="auto"/>
          <w:sz w:val="24"/>
          <w:szCs w:val="24"/>
          <w:highlight w:val="none"/>
          <w:lang w:val="en-US" w:eastAsia="zh-CN"/>
        </w:rPr>
        <w:t>生产期间，双方共同随机取样封存样品，施工过程检验、</w:t>
      </w:r>
      <w:r>
        <w:rPr>
          <w:rFonts w:hint="eastAsia"/>
          <w:color w:val="auto"/>
          <w:sz w:val="24"/>
          <w:szCs w:val="24"/>
          <w:highlight w:val="none"/>
        </w:rPr>
        <w:t>交工验收</w:t>
      </w:r>
      <w:r>
        <w:rPr>
          <w:rFonts w:hint="eastAsia"/>
          <w:color w:val="auto"/>
          <w:sz w:val="24"/>
          <w:szCs w:val="24"/>
          <w:highlight w:val="none"/>
          <w:lang w:val="en-US" w:eastAsia="zh-CN"/>
        </w:rPr>
        <w:t>等环节</w:t>
      </w:r>
      <w:r>
        <w:rPr>
          <w:rFonts w:hint="eastAsia"/>
          <w:color w:val="auto"/>
          <w:sz w:val="24"/>
          <w:szCs w:val="24"/>
          <w:highlight w:val="none"/>
        </w:rPr>
        <w:t>，若材料验收不合格，双方</w:t>
      </w:r>
      <w:r>
        <w:rPr>
          <w:rFonts w:hint="eastAsia"/>
          <w:color w:val="auto"/>
          <w:sz w:val="24"/>
          <w:szCs w:val="24"/>
          <w:highlight w:val="none"/>
          <w:lang w:val="en-US" w:eastAsia="zh-CN"/>
        </w:rPr>
        <w:t>将</w:t>
      </w:r>
      <w:r>
        <w:rPr>
          <w:rFonts w:hint="eastAsia"/>
          <w:color w:val="auto"/>
          <w:sz w:val="24"/>
          <w:szCs w:val="24"/>
          <w:highlight w:val="none"/>
        </w:rPr>
        <w:t>随机取样样品送双方认可的有资质的质检单位检测；若检测合格，检测费由甲方支付；检测不合格，则一切费用及损失由乙方承担。</w:t>
      </w:r>
    </w:p>
    <w:p>
      <w:pPr>
        <w:spacing w:line="480" w:lineRule="exact"/>
        <w:ind w:firstLine="0" w:firstLineChars="0"/>
        <w:textAlignment w:val="baseline"/>
        <w:rPr>
          <w:rFonts w:hint="eastAsia"/>
          <w:color w:val="auto"/>
          <w:sz w:val="24"/>
          <w:szCs w:val="24"/>
          <w:highlight w:val="none"/>
          <w:u w:val="none"/>
          <w:lang w:val="en-US" w:eastAsia="zh-CN"/>
        </w:rPr>
      </w:pPr>
      <w:r>
        <w:rPr>
          <w:rFonts w:hint="eastAsia"/>
          <w:color w:val="auto"/>
          <w:sz w:val="24"/>
          <w:szCs w:val="24"/>
          <w:highlight w:val="none"/>
        </w:rPr>
        <w:t>甲方项目负责人</w:t>
      </w:r>
      <w:r>
        <w:rPr>
          <w:rFonts w:hint="eastAsia"/>
          <w:color w:val="auto"/>
          <w:sz w:val="24"/>
          <w:szCs w:val="24"/>
          <w:highlight w:val="none"/>
          <w:u w:val="single"/>
        </w:rPr>
        <w:t>：</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color w:val="auto"/>
          <w:sz w:val="24"/>
          <w:szCs w:val="24"/>
          <w:highlight w:val="none"/>
        </w:rPr>
        <w:t>联系电话</w:t>
      </w:r>
      <w:r>
        <w:rPr>
          <w:rFonts w:hint="eastAsia"/>
          <w:color w:val="auto"/>
          <w:sz w:val="24"/>
          <w:szCs w:val="24"/>
          <w:highlight w:val="none"/>
          <w:u w:val="single"/>
        </w:rPr>
        <w:t>：</w:t>
      </w:r>
      <w:r>
        <w:rPr>
          <w:rFonts w:hint="eastAsia"/>
          <w:color w:val="auto"/>
          <w:sz w:val="24"/>
          <w:szCs w:val="24"/>
          <w:highlight w:val="none"/>
          <w:u w:val="single"/>
          <w:lang w:val="en-US" w:eastAsia="zh-CN"/>
        </w:rPr>
        <w:t xml:space="preserve">          </w:t>
      </w:r>
      <w:r>
        <w:rPr>
          <w:rFonts w:hint="eastAsia"/>
          <w:color w:val="auto"/>
          <w:sz w:val="24"/>
          <w:szCs w:val="24"/>
          <w:highlight w:val="none"/>
          <w:u w:val="none"/>
          <w:lang w:val="en-US" w:eastAsia="zh-CN"/>
        </w:rPr>
        <w:t xml:space="preserve">       </w:t>
      </w:r>
    </w:p>
    <w:p>
      <w:pPr>
        <w:spacing w:line="480" w:lineRule="exact"/>
        <w:ind w:firstLine="0" w:firstLineChars="0"/>
        <w:textAlignment w:val="baseline"/>
        <w:rPr>
          <w:color w:val="auto"/>
          <w:sz w:val="24"/>
          <w:szCs w:val="24"/>
          <w:highlight w:val="none"/>
        </w:rPr>
      </w:pPr>
      <w:r>
        <w:rPr>
          <w:rFonts w:hint="eastAsia"/>
          <w:color w:val="auto"/>
          <w:sz w:val="24"/>
          <w:szCs w:val="24"/>
          <w:highlight w:val="none"/>
        </w:rPr>
        <w:t>乙方项目负责人</w:t>
      </w:r>
      <w:r>
        <w:rPr>
          <w:rFonts w:hint="eastAsia"/>
          <w:color w:val="auto"/>
          <w:sz w:val="24"/>
          <w:szCs w:val="24"/>
          <w:highlight w:val="none"/>
          <w:u w:val="single"/>
        </w:rPr>
        <w:t>：</w:t>
      </w:r>
      <w:r>
        <w:rPr>
          <w:rFonts w:hint="eastAsia"/>
          <w:color w:val="auto"/>
          <w:sz w:val="24"/>
          <w:szCs w:val="24"/>
          <w:highlight w:val="none"/>
          <w:u w:val="single"/>
          <w:lang w:val="en-US" w:eastAsia="zh-CN"/>
        </w:rPr>
        <w:t xml:space="preserve">             </w:t>
      </w:r>
      <w:r>
        <w:rPr>
          <w:rFonts w:hint="eastAsia"/>
          <w:color w:val="auto"/>
          <w:sz w:val="24"/>
          <w:szCs w:val="24"/>
          <w:highlight w:val="none"/>
          <w:u w:val="none"/>
          <w:lang w:val="en-US" w:eastAsia="zh-CN"/>
        </w:rPr>
        <w:t xml:space="preserve"> </w:t>
      </w:r>
      <w:r>
        <w:rPr>
          <w:rFonts w:hint="eastAsia"/>
          <w:color w:val="auto"/>
          <w:sz w:val="24"/>
          <w:szCs w:val="24"/>
          <w:highlight w:val="none"/>
        </w:rPr>
        <w:t>联系电话</w:t>
      </w:r>
      <w:r>
        <w:rPr>
          <w:rFonts w:hint="eastAsia"/>
          <w:color w:val="auto"/>
          <w:sz w:val="24"/>
          <w:szCs w:val="24"/>
          <w:highlight w:val="none"/>
          <w:u w:val="single"/>
        </w:rPr>
        <w:t>：</w:t>
      </w:r>
      <w:r>
        <w:rPr>
          <w:rFonts w:hint="eastAsia"/>
          <w:color w:val="auto"/>
          <w:sz w:val="24"/>
          <w:szCs w:val="24"/>
          <w:highlight w:val="none"/>
          <w:u w:val="single"/>
          <w:lang w:val="en-US" w:eastAsia="zh-CN"/>
        </w:rPr>
        <w:t xml:space="preserve">                               </w:t>
      </w:r>
    </w:p>
    <w:p>
      <w:pPr>
        <w:spacing w:line="360" w:lineRule="auto"/>
        <w:ind w:firstLine="0" w:firstLineChars="0"/>
        <w:rPr>
          <w:rFonts w:ascii="宋体" w:hAnsi="宋体"/>
          <w:b/>
          <w:color w:val="auto"/>
          <w:sz w:val="24"/>
          <w:highlight w:val="none"/>
        </w:rPr>
      </w:pPr>
      <w:r>
        <w:rPr>
          <w:rFonts w:hint="eastAsia" w:ascii="宋体" w:hAnsi="宋体"/>
          <w:b/>
          <w:color w:val="auto"/>
          <w:sz w:val="24"/>
          <w:highlight w:val="none"/>
          <w:lang w:val="en-US" w:eastAsia="zh-CN"/>
        </w:rPr>
        <w:t xml:space="preserve">    </w:t>
      </w:r>
      <w:r>
        <w:rPr>
          <w:rFonts w:hint="eastAsia" w:ascii="宋体" w:hAnsi="宋体"/>
          <w:b/>
          <w:color w:val="auto"/>
          <w:sz w:val="24"/>
          <w:highlight w:val="none"/>
          <w:lang w:eastAsia="zh-CN"/>
        </w:rPr>
        <w:t>四</w:t>
      </w:r>
      <w:r>
        <w:rPr>
          <w:rFonts w:hint="eastAsia" w:ascii="宋体" w:hAnsi="宋体"/>
          <w:b/>
          <w:color w:val="auto"/>
          <w:sz w:val="24"/>
          <w:highlight w:val="none"/>
        </w:rPr>
        <w:t>、货物所有权</w:t>
      </w:r>
    </w:p>
    <w:p>
      <w:pPr>
        <w:spacing w:line="360" w:lineRule="auto"/>
        <w:ind w:firstLine="470" w:firstLineChars="196"/>
        <w:rPr>
          <w:rFonts w:hint="eastAsia"/>
          <w:color w:val="auto"/>
          <w:sz w:val="24"/>
          <w:szCs w:val="24"/>
          <w:highlight w:val="none"/>
        </w:rPr>
      </w:pPr>
      <w:r>
        <w:rPr>
          <w:rFonts w:hint="eastAsia" w:ascii="宋体" w:hAnsi="宋体"/>
          <w:color w:val="auto"/>
          <w:sz w:val="24"/>
          <w:highlight w:val="none"/>
        </w:rPr>
        <w:t>本合同项下货物的风险转移以所有权转移的时间为准，即货物交付验收前所有权归</w:t>
      </w:r>
      <w:r>
        <w:rPr>
          <w:rFonts w:hint="eastAsia"/>
          <w:color w:val="auto"/>
          <w:sz w:val="24"/>
          <w:szCs w:val="24"/>
          <w:highlight w:val="none"/>
        </w:rPr>
        <w:t>属于乙方，货物风险、保管费用等均由乙方承担；货物交付验收后所有权转移为甲方所有；货物风险自货物交付验收后由甲方承担（货物由乙方保管的除外）。</w:t>
      </w:r>
    </w:p>
    <w:p>
      <w:pPr>
        <w:spacing w:line="360" w:lineRule="auto"/>
        <w:ind w:firstLine="482" w:firstLineChars="200"/>
        <w:rPr>
          <w:rFonts w:hint="eastAsia" w:ascii="宋体" w:hAnsi="宋体"/>
          <w:b/>
          <w:color w:val="auto"/>
          <w:sz w:val="24"/>
          <w:szCs w:val="22"/>
          <w:highlight w:val="none"/>
          <w:lang w:eastAsia="zh-CN"/>
        </w:rPr>
      </w:pPr>
      <w:r>
        <w:rPr>
          <w:rFonts w:hint="eastAsia" w:ascii="宋体" w:hAnsi="宋体"/>
          <w:b/>
          <w:color w:val="auto"/>
          <w:sz w:val="24"/>
          <w:szCs w:val="22"/>
          <w:highlight w:val="none"/>
          <w:lang w:val="en-US" w:eastAsia="zh-CN"/>
        </w:rPr>
        <w:t>五</w:t>
      </w:r>
      <w:r>
        <w:rPr>
          <w:rFonts w:hint="eastAsia" w:ascii="宋体" w:hAnsi="宋体"/>
          <w:b/>
          <w:color w:val="auto"/>
          <w:sz w:val="24"/>
          <w:szCs w:val="22"/>
          <w:highlight w:val="none"/>
          <w:lang w:eastAsia="zh-CN"/>
        </w:rPr>
        <w:t>、计量方法</w:t>
      </w:r>
    </w:p>
    <w:p>
      <w:pPr>
        <w:spacing w:line="360" w:lineRule="auto"/>
        <w:ind w:firstLine="470" w:firstLineChars="196"/>
        <w:rPr>
          <w:rFonts w:hint="eastAsia"/>
          <w:color w:val="auto"/>
          <w:sz w:val="24"/>
          <w:szCs w:val="24"/>
          <w:highlight w:val="none"/>
        </w:rPr>
      </w:pPr>
      <w:r>
        <w:rPr>
          <w:rFonts w:hint="eastAsia"/>
          <w:color w:val="auto"/>
          <w:sz w:val="24"/>
          <w:szCs w:val="24"/>
          <w:highlight w:val="none"/>
        </w:rPr>
        <w:t>1、计量：沥青混合料以乙方拌和站过磅（甲方监督）计量，双方签字为准，完工后按双方签字确认的磅单进行结算。</w:t>
      </w:r>
    </w:p>
    <w:p>
      <w:pPr>
        <w:spacing w:line="360" w:lineRule="auto"/>
        <w:ind w:firstLine="470" w:firstLineChars="196"/>
        <w:rPr>
          <w:rFonts w:hint="eastAsia"/>
          <w:color w:val="auto"/>
          <w:sz w:val="24"/>
          <w:szCs w:val="24"/>
          <w:highlight w:val="none"/>
        </w:rPr>
      </w:pPr>
      <w:r>
        <w:rPr>
          <w:rFonts w:hint="eastAsia"/>
          <w:color w:val="auto"/>
          <w:sz w:val="24"/>
          <w:szCs w:val="24"/>
          <w:highlight w:val="none"/>
          <w:lang w:val="en-US" w:eastAsia="zh-CN"/>
        </w:rPr>
        <w:t xml:space="preserve">2、 </w:t>
      </w:r>
      <w:r>
        <w:rPr>
          <w:rFonts w:hint="eastAsia"/>
          <w:color w:val="auto"/>
          <w:sz w:val="24"/>
          <w:szCs w:val="24"/>
          <w:highlight w:val="none"/>
        </w:rPr>
        <w:t>剩余材料处理</w:t>
      </w:r>
      <w:r>
        <w:rPr>
          <w:rFonts w:hint="eastAsia"/>
          <w:color w:val="auto"/>
          <w:sz w:val="24"/>
          <w:szCs w:val="24"/>
          <w:highlight w:val="none"/>
          <w:lang w:eastAsia="zh-CN"/>
        </w:rPr>
        <w:t>：</w:t>
      </w:r>
      <w:r>
        <w:rPr>
          <w:rFonts w:hint="eastAsia"/>
          <w:color w:val="auto"/>
          <w:sz w:val="24"/>
          <w:szCs w:val="24"/>
          <w:highlight w:val="none"/>
        </w:rPr>
        <w:t>工程完工后，乙方自购的剩余原材料不予以计量，乙方不得以任何理由要求甲方给予相关补偿，乙方可自行处理，甲方不承担任何费用。</w:t>
      </w:r>
    </w:p>
    <w:p>
      <w:pPr>
        <w:spacing w:line="360" w:lineRule="auto"/>
        <w:ind w:firstLine="470" w:firstLineChars="196"/>
        <w:rPr>
          <w:rFonts w:hint="eastAsia"/>
          <w:color w:val="auto"/>
          <w:sz w:val="24"/>
          <w:szCs w:val="24"/>
          <w:highlight w:val="none"/>
          <w:lang w:val="en-US" w:eastAsia="zh-CN"/>
        </w:rPr>
      </w:pPr>
      <w:r>
        <w:rPr>
          <w:rFonts w:hint="eastAsia"/>
          <w:color w:val="auto"/>
          <w:sz w:val="24"/>
          <w:szCs w:val="24"/>
          <w:highlight w:val="none"/>
          <w:lang w:val="en-US" w:eastAsia="zh-CN"/>
        </w:rPr>
        <w:t>3、 材料损耗：乙方加工的沥青混合料中由甲方提供的各类石材（各档玄武岩碎石），以甲方提供的生产配合比为依据进行计算并视不高于3%的损耗为正常损耗，由乙方负责承担超出3%损耗的各类石材（各档玄武岩碎石）的相关材料费（以甲方运到乙方场地的实际合同单价*超出部分数量），超出的相关材料费用由甲方在结算金额中直接扣回。</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乙方加工的沥青混合料中由甲方提供的沥青</w:t>
      </w:r>
      <w:r>
        <w:rPr>
          <w:rFonts w:hint="eastAsia"/>
          <w:color w:val="auto"/>
          <w:sz w:val="24"/>
          <w:szCs w:val="24"/>
          <w:highlight w:val="none"/>
          <w:lang w:eastAsia="zh-CN"/>
        </w:rPr>
        <w:t>、木质素纤维</w:t>
      </w:r>
      <w:r>
        <w:rPr>
          <w:rFonts w:hint="eastAsia"/>
          <w:color w:val="auto"/>
          <w:sz w:val="24"/>
          <w:szCs w:val="24"/>
          <w:highlight w:val="none"/>
        </w:rPr>
        <w:t>按甲方提供的生产配合比为依据进行计算，由乙方负责承担超出部分的相关沥青费用（以甲方运到乙方场地的实际合同单价*超出部分数量），超出部分的沥青费用由甲方在结算金额中直接扣回，剩余沥青</w:t>
      </w:r>
      <w:r>
        <w:rPr>
          <w:rFonts w:hint="eastAsia"/>
          <w:color w:val="auto"/>
          <w:sz w:val="24"/>
          <w:szCs w:val="24"/>
          <w:highlight w:val="none"/>
          <w:lang w:eastAsia="zh-CN"/>
        </w:rPr>
        <w:t>、玄武岩、木质素纤维</w:t>
      </w:r>
      <w:r>
        <w:rPr>
          <w:rFonts w:hint="eastAsia"/>
          <w:color w:val="auto"/>
          <w:sz w:val="24"/>
          <w:szCs w:val="24"/>
          <w:highlight w:val="none"/>
        </w:rPr>
        <w:t>由甲方自行运回。</w:t>
      </w:r>
    </w:p>
    <w:p>
      <w:pPr>
        <w:spacing w:line="360" w:lineRule="auto"/>
        <w:ind w:firstLine="482" w:firstLineChars="200"/>
        <w:rPr>
          <w:rFonts w:hint="eastAsia"/>
          <w:b/>
          <w:color w:val="auto"/>
          <w:sz w:val="24"/>
          <w:szCs w:val="24"/>
          <w:highlight w:val="none"/>
        </w:rPr>
      </w:pPr>
      <w:r>
        <w:rPr>
          <w:rFonts w:hint="eastAsia"/>
          <w:b/>
          <w:bCs/>
          <w:color w:val="auto"/>
          <w:sz w:val="24"/>
          <w:szCs w:val="24"/>
          <w:highlight w:val="none"/>
          <w:lang w:val="en-US" w:eastAsia="zh-CN"/>
        </w:rPr>
        <w:t>六</w:t>
      </w:r>
      <w:r>
        <w:rPr>
          <w:rFonts w:hint="eastAsia"/>
          <w:b/>
          <w:bCs/>
          <w:color w:val="auto"/>
          <w:sz w:val="24"/>
          <w:szCs w:val="24"/>
          <w:highlight w:val="none"/>
        </w:rPr>
        <w:t>、</w:t>
      </w:r>
      <w:r>
        <w:rPr>
          <w:rFonts w:hint="eastAsia"/>
          <w:b/>
          <w:color w:val="auto"/>
          <w:sz w:val="24"/>
          <w:szCs w:val="24"/>
          <w:highlight w:val="none"/>
        </w:rPr>
        <w:t>履约保证金</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中标候选人是否提供履约担保：</w:t>
      </w:r>
      <w:r>
        <w:rPr>
          <w:rFonts w:hint="eastAsia" w:ascii="Times New Roman" w:hAnsi="Times New Roman" w:eastAsia="宋体" w:cs="Times New Roman"/>
          <w:b/>
          <w:bCs/>
          <w:color w:val="auto"/>
          <w:sz w:val="24"/>
          <w:szCs w:val="24"/>
          <w:highlight w:val="none"/>
          <w:u w:val="single"/>
          <w:lang w:val="en-US" w:eastAsia="zh-CN"/>
        </w:rPr>
        <w:t xml:space="preserve"> 提供 </w:t>
      </w:r>
      <w:r>
        <w:rPr>
          <w:rFonts w:hint="eastAsia" w:ascii="Times New Roman" w:hAnsi="Times New Roman" w:eastAsia="宋体" w:cs="Times New Roman"/>
          <w:color w:val="auto"/>
          <w:sz w:val="24"/>
          <w:szCs w:val="24"/>
          <w:highlight w:val="none"/>
          <w:lang w:val="en-US" w:eastAsia="zh-CN"/>
        </w:rPr>
        <w:t>。</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6.1中标候选人提供履约担保的形式、金额及期限：</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金额：</w:t>
      </w:r>
      <w:r>
        <w:rPr>
          <w:rFonts w:hint="eastAsia" w:ascii="Times New Roman" w:hAnsi="Times New Roman" w:eastAsia="宋体" w:cs="Times New Roman"/>
          <w:b/>
          <w:bCs/>
          <w:color w:val="auto"/>
          <w:sz w:val="24"/>
          <w:szCs w:val="24"/>
          <w:highlight w:val="none"/>
          <w:u w:val="single"/>
          <w:lang w:val="en-US" w:eastAsia="zh-CN"/>
        </w:rPr>
        <w:t xml:space="preserve">   300000（叁拾万元整）  </w:t>
      </w:r>
      <w:r>
        <w:rPr>
          <w:rFonts w:hint="eastAsia" w:ascii="Times New Roman" w:hAnsi="Times New Roman" w:eastAsia="宋体" w:cs="Times New Roman"/>
          <w:color w:val="auto"/>
          <w:sz w:val="24"/>
          <w:szCs w:val="24"/>
          <w:highlight w:val="none"/>
          <w:lang w:val="en-US" w:eastAsia="zh-CN"/>
        </w:rPr>
        <w:t>；</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担保形式：现金、支票、银行转账或银行保函任选其一；</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提交时间：签订合同之前提交。</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6.2 履约保证金的退还方式：履约保证金在工程交工验收合格后在乙方无任何违约或赔偿的情况下退还，不计利息。</w:t>
      </w:r>
    </w:p>
    <w:p>
      <w:pPr>
        <w:spacing w:line="360" w:lineRule="auto"/>
        <w:ind w:firstLine="482" w:firstLineChars="200"/>
        <w:rPr>
          <w:rFonts w:hint="eastAsia"/>
          <w:b/>
          <w:bCs/>
          <w:color w:val="auto"/>
          <w:sz w:val="24"/>
          <w:szCs w:val="24"/>
          <w:highlight w:val="none"/>
        </w:rPr>
      </w:pPr>
      <w:r>
        <w:rPr>
          <w:rFonts w:hint="eastAsia"/>
          <w:b/>
          <w:bCs/>
          <w:color w:val="auto"/>
          <w:sz w:val="24"/>
          <w:szCs w:val="24"/>
          <w:highlight w:val="none"/>
          <w:lang w:val="en-US" w:eastAsia="zh-CN"/>
        </w:rPr>
        <w:t>七</w:t>
      </w:r>
      <w:r>
        <w:rPr>
          <w:rFonts w:hint="eastAsia"/>
          <w:b/>
          <w:bCs/>
          <w:color w:val="auto"/>
          <w:sz w:val="24"/>
          <w:szCs w:val="24"/>
          <w:highlight w:val="none"/>
        </w:rPr>
        <w:t>、双方的权利和义务</w:t>
      </w:r>
    </w:p>
    <w:p>
      <w:pPr>
        <w:spacing w:line="360" w:lineRule="auto"/>
        <w:ind w:firstLine="470" w:firstLineChars="196"/>
        <w:rPr>
          <w:rFonts w:hint="eastAsia"/>
          <w:color w:val="auto"/>
          <w:sz w:val="24"/>
          <w:szCs w:val="24"/>
          <w:highlight w:val="none"/>
        </w:rPr>
      </w:pPr>
      <w:r>
        <w:rPr>
          <w:rFonts w:hint="eastAsia"/>
          <w:color w:val="auto"/>
          <w:sz w:val="24"/>
          <w:szCs w:val="24"/>
          <w:highlight w:val="none"/>
          <w:lang w:val="en-US" w:eastAsia="zh-CN"/>
        </w:rPr>
        <w:t>1、</w:t>
      </w:r>
      <w:r>
        <w:rPr>
          <w:rFonts w:hint="eastAsia"/>
          <w:color w:val="auto"/>
          <w:sz w:val="24"/>
          <w:szCs w:val="24"/>
          <w:highlight w:val="none"/>
        </w:rPr>
        <w:t>甲方权利和义务：</w:t>
      </w:r>
    </w:p>
    <w:p>
      <w:pPr>
        <w:spacing w:line="360" w:lineRule="auto"/>
        <w:ind w:firstLine="470" w:firstLineChars="196"/>
        <w:rPr>
          <w:rFonts w:hint="eastAsia"/>
          <w:color w:val="auto"/>
          <w:sz w:val="24"/>
          <w:szCs w:val="24"/>
          <w:highlight w:val="none"/>
        </w:rPr>
      </w:pPr>
      <w:r>
        <w:rPr>
          <w:rFonts w:hint="eastAsia"/>
          <w:color w:val="auto"/>
          <w:sz w:val="24"/>
          <w:szCs w:val="24"/>
          <w:highlight w:val="none"/>
          <w:lang w:val="en-US" w:eastAsia="zh-CN"/>
        </w:rPr>
        <w:t>1.1</w:t>
      </w:r>
      <w:r>
        <w:rPr>
          <w:rFonts w:hint="eastAsia"/>
          <w:color w:val="auto"/>
          <w:sz w:val="24"/>
          <w:szCs w:val="24"/>
          <w:highlight w:val="none"/>
        </w:rPr>
        <w:t>在沥青混合料生产前组织应由甲方提供的沥青进场，提交地点为乙方沥青砼拌和站</w:t>
      </w:r>
      <w:r>
        <w:rPr>
          <w:rFonts w:hint="eastAsia"/>
          <w:color w:val="auto"/>
          <w:sz w:val="24"/>
          <w:szCs w:val="24"/>
          <w:highlight w:val="none"/>
          <w:lang w:eastAsia="zh-CN"/>
        </w:rPr>
        <w:t>，</w:t>
      </w:r>
      <w:r>
        <w:rPr>
          <w:rFonts w:hint="eastAsia"/>
          <w:color w:val="auto"/>
          <w:sz w:val="24"/>
          <w:szCs w:val="24"/>
          <w:highlight w:val="none"/>
        </w:rPr>
        <w:t xml:space="preserve">确保运输到场的沥青合格。 </w:t>
      </w:r>
    </w:p>
    <w:p>
      <w:pPr>
        <w:spacing w:line="360" w:lineRule="auto"/>
        <w:ind w:firstLine="470" w:firstLineChars="196"/>
        <w:rPr>
          <w:rFonts w:hint="eastAsia"/>
          <w:color w:val="auto"/>
          <w:sz w:val="24"/>
          <w:szCs w:val="24"/>
          <w:highlight w:val="none"/>
        </w:rPr>
      </w:pPr>
      <w:r>
        <w:rPr>
          <w:rFonts w:hint="eastAsia"/>
          <w:color w:val="auto"/>
          <w:sz w:val="24"/>
          <w:szCs w:val="24"/>
          <w:highlight w:val="none"/>
          <w:lang w:val="en-US" w:eastAsia="zh-CN"/>
        </w:rPr>
        <w:t>1.2</w:t>
      </w:r>
      <w:r>
        <w:rPr>
          <w:rFonts w:hint="eastAsia"/>
          <w:color w:val="auto"/>
          <w:sz w:val="24"/>
          <w:szCs w:val="24"/>
          <w:highlight w:val="none"/>
        </w:rPr>
        <w:t>、提前1个工作日以短信通知形式向乙方提供生产计划，以便乙方按产量组织生产，并保证生产的连续性；生产当日的需求由甲方现场确定是否开机生产。</w:t>
      </w:r>
    </w:p>
    <w:p>
      <w:pPr>
        <w:spacing w:line="360" w:lineRule="auto"/>
        <w:ind w:firstLine="470" w:firstLineChars="196"/>
        <w:rPr>
          <w:rFonts w:hint="eastAsia"/>
          <w:color w:val="auto"/>
          <w:sz w:val="24"/>
          <w:szCs w:val="24"/>
          <w:highlight w:val="none"/>
        </w:rPr>
      </w:pPr>
      <w:r>
        <w:rPr>
          <w:rFonts w:hint="eastAsia"/>
          <w:color w:val="auto"/>
          <w:sz w:val="24"/>
          <w:szCs w:val="24"/>
          <w:highlight w:val="none"/>
          <w:lang w:val="en-US" w:eastAsia="zh-CN"/>
        </w:rPr>
        <w:t>1.3</w:t>
      </w:r>
      <w:r>
        <w:rPr>
          <w:rFonts w:hint="eastAsia"/>
          <w:color w:val="auto"/>
          <w:sz w:val="24"/>
          <w:szCs w:val="24"/>
          <w:highlight w:val="none"/>
        </w:rPr>
        <w:t xml:space="preserve">在乙方生产沥青混合料期间，派现场管理、技术及实验人员进驻现场，负责与乙方拌和站、实验室的协调、对所有原材料进行过磅计量、试验检测以及以上各档沥青混合料的配合比调整等相关事宜。甲方派驻人员必须严格遵守乙方拌和站安全生产操作规范及有关规章制度。  </w:t>
      </w:r>
    </w:p>
    <w:p>
      <w:pPr>
        <w:spacing w:line="360" w:lineRule="auto"/>
        <w:ind w:firstLine="470" w:firstLineChars="196"/>
        <w:rPr>
          <w:rFonts w:hint="eastAsia"/>
          <w:color w:val="auto"/>
          <w:sz w:val="24"/>
          <w:szCs w:val="24"/>
          <w:highlight w:val="none"/>
        </w:rPr>
      </w:pPr>
      <w:r>
        <w:rPr>
          <w:rFonts w:hint="eastAsia"/>
          <w:color w:val="auto"/>
          <w:sz w:val="24"/>
          <w:szCs w:val="24"/>
          <w:highlight w:val="none"/>
          <w:lang w:val="en-US" w:eastAsia="zh-CN"/>
        </w:rPr>
        <w:t>1.4</w:t>
      </w:r>
      <w:r>
        <w:rPr>
          <w:rFonts w:hint="eastAsia"/>
          <w:color w:val="auto"/>
          <w:sz w:val="24"/>
          <w:szCs w:val="24"/>
          <w:highlight w:val="none"/>
        </w:rPr>
        <w:t>在合同执行期间，若因甲方通知不及时造成生产的沥青混合料不能及时运出而产生废弃等责任由甲方承担。</w:t>
      </w:r>
    </w:p>
    <w:p>
      <w:pPr>
        <w:spacing w:line="360" w:lineRule="auto"/>
        <w:rPr>
          <w:rFonts w:hint="eastAsia"/>
          <w:color w:val="auto"/>
          <w:sz w:val="24"/>
          <w:szCs w:val="24"/>
          <w:highlight w:val="none"/>
        </w:rPr>
      </w:pPr>
      <w:r>
        <w:rPr>
          <w:rFonts w:hint="eastAsia"/>
          <w:color w:val="auto"/>
          <w:sz w:val="24"/>
          <w:szCs w:val="24"/>
          <w:highlight w:val="none"/>
        </w:rPr>
        <w:t xml:space="preserve"> </w:t>
      </w:r>
      <w:r>
        <w:rPr>
          <w:rFonts w:hint="eastAsia"/>
          <w:color w:val="auto"/>
          <w:sz w:val="24"/>
          <w:szCs w:val="24"/>
          <w:highlight w:val="none"/>
          <w:lang w:val="en-US" w:eastAsia="zh-CN"/>
        </w:rPr>
        <w:t xml:space="preserve">   1.5</w:t>
      </w:r>
      <w:r>
        <w:rPr>
          <w:rFonts w:hint="eastAsia"/>
          <w:color w:val="auto"/>
          <w:sz w:val="24"/>
          <w:szCs w:val="24"/>
          <w:highlight w:val="none"/>
        </w:rPr>
        <w:t>甲方有义务对乙方出具的结算资料（加盖乙方公章）进行确认,甲方收到结算资料15个工作日内未提出异议的,视为认可该结算资料的数量和金额有效。</w:t>
      </w:r>
    </w:p>
    <w:p>
      <w:pPr>
        <w:spacing w:line="360" w:lineRule="auto"/>
        <w:ind w:firstLine="470" w:firstLineChars="196"/>
        <w:rPr>
          <w:rFonts w:hint="eastAsia"/>
          <w:color w:val="auto"/>
          <w:sz w:val="24"/>
          <w:szCs w:val="24"/>
          <w:highlight w:val="none"/>
        </w:rPr>
      </w:pPr>
      <w:r>
        <w:rPr>
          <w:rFonts w:hint="eastAsia"/>
          <w:color w:val="auto"/>
          <w:sz w:val="24"/>
          <w:szCs w:val="24"/>
          <w:highlight w:val="none"/>
          <w:lang w:val="en-US" w:eastAsia="zh-CN"/>
        </w:rPr>
        <w:t>1.6</w:t>
      </w:r>
      <w:r>
        <w:rPr>
          <w:rFonts w:hint="eastAsia"/>
          <w:color w:val="auto"/>
          <w:sz w:val="24"/>
          <w:szCs w:val="24"/>
          <w:highlight w:val="none"/>
        </w:rPr>
        <w:t>按合同约定时间及数额支付沥青混合料生产费用。</w:t>
      </w:r>
    </w:p>
    <w:p>
      <w:pPr>
        <w:spacing w:line="360" w:lineRule="auto"/>
        <w:ind w:firstLine="470" w:firstLineChars="196"/>
        <w:rPr>
          <w:rFonts w:hint="eastAsia"/>
          <w:color w:val="auto"/>
          <w:sz w:val="24"/>
          <w:szCs w:val="24"/>
          <w:highlight w:val="none"/>
        </w:rPr>
      </w:pPr>
      <w:r>
        <w:rPr>
          <w:rFonts w:hint="eastAsia"/>
          <w:color w:val="auto"/>
          <w:sz w:val="24"/>
          <w:szCs w:val="24"/>
          <w:highlight w:val="none"/>
          <w:lang w:val="en-US" w:eastAsia="zh-CN"/>
        </w:rPr>
        <w:t>1.7</w:t>
      </w:r>
      <w:r>
        <w:rPr>
          <w:rFonts w:hint="eastAsia"/>
          <w:color w:val="auto"/>
          <w:sz w:val="24"/>
          <w:szCs w:val="24"/>
          <w:highlight w:val="none"/>
        </w:rPr>
        <w:t>甲方支付方式按银行转账</w:t>
      </w:r>
      <w:r>
        <w:rPr>
          <w:rFonts w:hint="eastAsia"/>
          <w:color w:val="auto"/>
          <w:sz w:val="24"/>
          <w:szCs w:val="24"/>
          <w:highlight w:val="none"/>
          <w:lang w:eastAsia="zh-CN"/>
        </w:rPr>
        <w:t>支付</w:t>
      </w:r>
      <w:r>
        <w:rPr>
          <w:rFonts w:hint="eastAsia"/>
          <w:color w:val="auto"/>
          <w:sz w:val="24"/>
          <w:szCs w:val="24"/>
          <w:highlight w:val="none"/>
        </w:rPr>
        <w:t>。</w:t>
      </w:r>
    </w:p>
    <w:p>
      <w:pPr>
        <w:spacing w:line="360" w:lineRule="auto"/>
        <w:ind w:firstLine="470" w:firstLineChars="196"/>
        <w:rPr>
          <w:rFonts w:hint="eastAsia"/>
          <w:color w:val="auto"/>
          <w:sz w:val="24"/>
          <w:szCs w:val="24"/>
          <w:highlight w:val="none"/>
        </w:rPr>
      </w:pPr>
      <w:r>
        <w:rPr>
          <w:rFonts w:hint="eastAsia"/>
          <w:color w:val="auto"/>
          <w:sz w:val="24"/>
          <w:szCs w:val="24"/>
          <w:highlight w:val="none"/>
          <w:lang w:val="en-US" w:eastAsia="zh-CN"/>
        </w:rPr>
        <w:t>2、</w:t>
      </w:r>
      <w:r>
        <w:rPr>
          <w:rFonts w:hint="eastAsia"/>
          <w:color w:val="auto"/>
          <w:sz w:val="24"/>
          <w:szCs w:val="24"/>
          <w:highlight w:val="none"/>
        </w:rPr>
        <w:t>乙方权利和义务：</w:t>
      </w:r>
    </w:p>
    <w:p>
      <w:pPr>
        <w:spacing w:line="360" w:lineRule="auto"/>
        <w:ind w:firstLine="470" w:firstLineChars="196"/>
        <w:rPr>
          <w:rFonts w:hint="eastAsia"/>
          <w:color w:val="auto"/>
          <w:sz w:val="24"/>
          <w:szCs w:val="24"/>
          <w:highlight w:val="none"/>
        </w:rPr>
      </w:pPr>
      <w:r>
        <w:rPr>
          <w:rFonts w:hint="eastAsia"/>
          <w:color w:val="auto"/>
          <w:sz w:val="24"/>
          <w:szCs w:val="24"/>
          <w:highlight w:val="none"/>
          <w:lang w:val="en-US" w:eastAsia="zh-CN"/>
        </w:rPr>
        <w:t>2.1</w:t>
      </w:r>
      <w:r>
        <w:rPr>
          <w:rFonts w:hint="eastAsia"/>
          <w:color w:val="auto"/>
          <w:sz w:val="24"/>
          <w:szCs w:val="24"/>
          <w:highlight w:val="none"/>
        </w:rPr>
        <w:t>乙方确保其站内各称重计量系统（含搅拌设备计量系统）在有效的标定期内均处于完好状态，并向甲方提供检测报告原件及复印件，如因乙方设备因素导致沥青混合料质量出现问题，造成的一切损失由乙方承担，并且甲方有权从支付乙方加工费中直接扣回。</w:t>
      </w:r>
    </w:p>
    <w:p>
      <w:pPr>
        <w:spacing w:line="360" w:lineRule="auto"/>
        <w:ind w:firstLine="470" w:firstLineChars="196"/>
        <w:rPr>
          <w:rFonts w:hint="eastAsia"/>
          <w:color w:val="auto"/>
          <w:sz w:val="24"/>
          <w:szCs w:val="24"/>
          <w:highlight w:val="none"/>
        </w:rPr>
      </w:pPr>
      <w:r>
        <w:rPr>
          <w:rFonts w:hint="eastAsia"/>
          <w:color w:val="auto"/>
          <w:sz w:val="24"/>
          <w:szCs w:val="24"/>
          <w:highlight w:val="none"/>
          <w:lang w:val="en-US" w:eastAsia="zh-CN"/>
        </w:rPr>
        <w:t>2.2</w:t>
      </w:r>
      <w:r>
        <w:rPr>
          <w:rFonts w:hint="eastAsia"/>
          <w:color w:val="auto"/>
          <w:sz w:val="24"/>
          <w:szCs w:val="24"/>
          <w:highlight w:val="none"/>
        </w:rPr>
        <w:t>乙方应对整个沥青混合料的生产质量负责(包括沥青混合料出料温度、油石比及计量等应满足《公路沥青路面施工技术规范》（JTGF40-2004）要求及甲方生产级配要求)，确保沥青混合料生产质量合格。若沥青混合料双方现场抽检不合格，经双方共同认定如为乙方责任，则乙方应承担由</w:t>
      </w:r>
      <w:r>
        <w:rPr>
          <w:rFonts w:hint="eastAsia"/>
          <w:color w:val="auto"/>
          <w:sz w:val="24"/>
          <w:szCs w:val="24"/>
          <w:highlight w:val="none"/>
          <w:lang w:eastAsia="zh-CN"/>
        </w:rPr>
        <w:t>自身原因</w:t>
      </w:r>
      <w:r>
        <w:rPr>
          <w:rFonts w:hint="eastAsia"/>
          <w:color w:val="auto"/>
          <w:sz w:val="24"/>
          <w:szCs w:val="24"/>
          <w:highlight w:val="none"/>
        </w:rPr>
        <w:t>给甲方造成的一切损失。</w:t>
      </w:r>
    </w:p>
    <w:p>
      <w:pPr>
        <w:spacing w:line="360" w:lineRule="auto"/>
        <w:ind w:firstLine="470" w:firstLineChars="196"/>
        <w:rPr>
          <w:rFonts w:hint="eastAsia"/>
          <w:color w:val="auto"/>
          <w:sz w:val="24"/>
          <w:szCs w:val="24"/>
          <w:highlight w:val="none"/>
        </w:rPr>
      </w:pPr>
      <w:r>
        <w:rPr>
          <w:rFonts w:hint="eastAsia"/>
          <w:color w:val="auto"/>
          <w:sz w:val="24"/>
          <w:szCs w:val="24"/>
          <w:highlight w:val="none"/>
          <w:lang w:val="en-US" w:eastAsia="zh-CN"/>
        </w:rPr>
        <w:t>2.3</w:t>
      </w:r>
      <w:r>
        <w:rPr>
          <w:rFonts w:hint="eastAsia"/>
          <w:color w:val="auto"/>
          <w:sz w:val="24"/>
          <w:szCs w:val="24"/>
          <w:highlight w:val="none"/>
        </w:rPr>
        <w:t>生产期间，配备拌和设备操作人员2人、装载机操作人员</w:t>
      </w:r>
      <w:r>
        <w:rPr>
          <w:rFonts w:hint="eastAsia"/>
          <w:color w:val="auto"/>
          <w:sz w:val="24"/>
          <w:szCs w:val="24"/>
          <w:highlight w:val="none"/>
          <w:lang w:val="en-US" w:eastAsia="zh-CN"/>
        </w:rPr>
        <w:t>2</w:t>
      </w:r>
      <w:r>
        <w:rPr>
          <w:rFonts w:hint="eastAsia"/>
          <w:color w:val="auto"/>
          <w:sz w:val="24"/>
          <w:szCs w:val="24"/>
          <w:highlight w:val="none"/>
        </w:rPr>
        <w:t>人、设备维修人员2人及生产辅助人员3人以上，并确保设备维修保养及时，中途发生故障，务必确保在24小时内修复，且按甲方要求的时间及沥青混合料级配组织生产。</w:t>
      </w:r>
    </w:p>
    <w:p>
      <w:pPr>
        <w:spacing w:line="360" w:lineRule="auto"/>
        <w:ind w:firstLine="470" w:firstLineChars="196"/>
        <w:rPr>
          <w:rFonts w:hint="eastAsia"/>
          <w:color w:val="auto"/>
          <w:sz w:val="24"/>
          <w:szCs w:val="24"/>
          <w:highlight w:val="none"/>
        </w:rPr>
      </w:pPr>
      <w:r>
        <w:rPr>
          <w:rFonts w:hint="eastAsia"/>
          <w:color w:val="auto"/>
          <w:sz w:val="24"/>
          <w:szCs w:val="24"/>
          <w:highlight w:val="none"/>
          <w:lang w:val="en-US" w:eastAsia="zh-CN"/>
        </w:rPr>
        <w:t>2.4</w:t>
      </w:r>
      <w:r>
        <w:rPr>
          <w:rFonts w:hint="eastAsia"/>
          <w:color w:val="auto"/>
          <w:sz w:val="24"/>
          <w:szCs w:val="24"/>
          <w:highlight w:val="none"/>
        </w:rPr>
        <w:t>保证按照甲方职责的第2条要求及时进行生产；若因其他原因，不能满足甲方需求，应提前告知甲方并协调解决。</w:t>
      </w:r>
    </w:p>
    <w:p>
      <w:pPr>
        <w:spacing w:line="360" w:lineRule="auto"/>
        <w:ind w:firstLine="470" w:firstLineChars="196"/>
        <w:rPr>
          <w:rFonts w:hint="eastAsia"/>
          <w:color w:val="auto"/>
          <w:sz w:val="24"/>
          <w:szCs w:val="24"/>
          <w:highlight w:val="none"/>
        </w:rPr>
      </w:pPr>
      <w:r>
        <w:rPr>
          <w:rFonts w:hint="eastAsia"/>
          <w:color w:val="auto"/>
          <w:sz w:val="24"/>
          <w:szCs w:val="24"/>
          <w:highlight w:val="none"/>
          <w:lang w:val="en-US" w:eastAsia="zh-CN"/>
        </w:rPr>
        <w:t>2.5</w:t>
      </w:r>
      <w:r>
        <w:rPr>
          <w:rFonts w:hint="eastAsia"/>
          <w:color w:val="auto"/>
          <w:sz w:val="24"/>
          <w:szCs w:val="24"/>
          <w:highlight w:val="none"/>
        </w:rPr>
        <w:t>加强生产期间的安全教育和采取相应的安全措施，并自行承担生产、运输期间因拌和站或运输车辆引发的相应安全责任事故（如导热油锅炉、管道、供电线路、车辆等引发的安全责任事故）。</w:t>
      </w:r>
    </w:p>
    <w:p>
      <w:pPr>
        <w:spacing w:line="360" w:lineRule="auto"/>
        <w:ind w:firstLine="470" w:firstLineChars="196"/>
        <w:rPr>
          <w:rFonts w:hint="eastAsia"/>
          <w:color w:val="auto"/>
          <w:sz w:val="24"/>
          <w:szCs w:val="24"/>
          <w:highlight w:val="none"/>
        </w:rPr>
      </w:pPr>
      <w:r>
        <w:rPr>
          <w:rFonts w:hint="eastAsia"/>
          <w:color w:val="auto"/>
          <w:sz w:val="24"/>
          <w:szCs w:val="24"/>
          <w:highlight w:val="none"/>
          <w:lang w:val="en-US" w:eastAsia="zh-CN"/>
        </w:rPr>
        <w:t>2.6</w:t>
      </w:r>
      <w:r>
        <w:rPr>
          <w:rFonts w:hint="eastAsia"/>
          <w:color w:val="auto"/>
          <w:sz w:val="24"/>
          <w:szCs w:val="24"/>
          <w:highlight w:val="none"/>
        </w:rPr>
        <w:t>拌和楼出现故障、停电等原因致使不能按甲方要求供料，乙方应及时告知甲方，并确保在24小时内修复（特殊故障、供电部门停电、自然灾害等不可抗力因素等除外），否则承担由此造成的一切责任。</w:t>
      </w:r>
    </w:p>
    <w:p>
      <w:pPr>
        <w:spacing w:line="360" w:lineRule="auto"/>
        <w:ind w:firstLine="470" w:firstLineChars="196"/>
        <w:rPr>
          <w:rFonts w:hint="eastAsia"/>
          <w:color w:val="auto"/>
          <w:sz w:val="24"/>
          <w:szCs w:val="24"/>
          <w:highlight w:val="none"/>
          <w:lang w:val="en-US" w:eastAsia="zh-CN"/>
        </w:rPr>
      </w:pPr>
      <w:r>
        <w:rPr>
          <w:rFonts w:hint="eastAsia"/>
          <w:color w:val="auto"/>
          <w:sz w:val="24"/>
          <w:szCs w:val="24"/>
          <w:highlight w:val="none"/>
          <w:lang w:val="en-US" w:eastAsia="zh-CN"/>
        </w:rPr>
        <w:t>2.7生产期间，乙方若因环保方面问题造成停工整顿无法正常生产时，乙方应承担对甲方造成的人员误工、设备停滞等每天2万元的相应赔偿，且停产时间超过三天，甲方有权中止此合同。</w:t>
      </w:r>
    </w:p>
    <w:p>
      <w:pPr>
        <w:spacing w:line="360" w:lineRule="auto"/>
        <w:ind w:firstLine="470" w:firstLineChars="196"/>
        <w:rPr>
          <w:rFonts w:hint="eastAsia"/>
          <w:color w:val="auto"/>
          <w:sz w:val="24"/>
          <w:szCs w:val="24"/>
          <w:highlight w:val="none"/>
        </w:rPr>
      </w:pPr>
      <w:r>
        <w:rPr>
          <w:rFonts w:hint="eastAsia"/>
          <w:color w:val="auto"/>
          <w:sz w:val="24"/>
          <w:szCs w:val="24"/>
          <w:highlight w:val="none"/>
          <w:lang w:val="en-US" w:eastAsia="zh-CN"/>
        </w:rPr>
        <w:t>2.8</w:t>
      </w:r>
      <w:r>
        <w:rPr>
          <w:rFonts w:hint="eastAsia"/>
          <w:color w:val="auto"/>
          <w:sz w:val="24"/>
          <w:szCs w:val="24"/>
          <w:highlight w:val="none"/>
        </w:rPr>
        <w:t>生产期间，免费提供甲方管理人员、实验检测人员及其他相关人员住宿及伙食。</w:t>
      </w:r>
    </w:p>
    <w:p>
      <w:pPr>
        <w:spacing w:line="360" w:lineRule="auto"/>
        <w:ind w:firstLine="470" w:firstLineChars="196"/>
        <w:rPr>
          <w:rFonts w:hint="eastAsia"/>
          <w:color w:val="auto"/>
          <w:sz w:val="24"/>
          <w:szCs w:val="24"/>
          <w:highlight w:val="none"/>
        </w:rPr>
      </w:pPr>
      <w:r>
        <w:rPr>
          <w:rFonts w:hint="eastAsia"/>
          <w:color w:val="auto"/>
          <w:sz w:val="24"/>
          <w:szCs w:val="24"/>
          <w:highlight w:val="none"/>
          <w:lang w:val="en-US" w:eastAsia="zh-CN"/>
        </w:rPr>
        <w:t>2.9</w:t>
      </w:r>
      <w:r>
        <w:rPr>
          <w:rFonts w:hint="eastAsia"/>
          <w:color w:val="auto"/>
          <w:sz w:val="24"/>
          <w:szCs w:val="24"/>
          <w:highlight w:val="none"/>
        </w:rPr>
        <w:t>按双方约定时间及生产数量，开据有效的发票。</w:t>
      </w:r>
    </w:p>
    <w:p>
      <w:pPr>
        <w:spacing w:line="360" w:lineRule="auto"/>
        <w:ind w:firstLine="472" w:firstLineChars="196"/>
        <w:textAlignment w:val="baseline"/>
        <w:rPr>
          <w:b/>
          <w:color w:val="auto"/>
          <w:sz w:val="24"/>
          <w:szCs w:val="24"/>
          <w:highlight w:val="none"/>
        </w:rPr>
      </w:pPr>
      <w:r>
        <w:rPr>
          <w:rFonts w:hint="eastAsia"/>
          <w:b/>
          <w:color w:val="auto"/>
          <w:sz w:val="24"/>
          <w:szCs w:val="24"/>
          <w:highlight w:val="none"/>
          <w:lang w:eastAsia="zh-CN"/>
        </w:rPr>
        <w:t>八</w:t>
      </w:r>
      <w:r>
        <w:rPr>
          <w:rFonts w:hint="eastAsia"/>
          <w:b/>
          <w:color w:val="auto"/>
          <w:sz w:val="24"/>
          <w:szCs w:val="24"/>
          <w:highlight w:val="none"/>
        </w:rPr>
        <w:t>、验收标准、方法</w:t>
      </w:r>
    </w:p>
    <w:p>
      <w:pPr>
        <w:spacing w:line="360" w:lineRule="auto"/>
        <w:ind w:firstLine="470" w:firstLineChars="196"/>
        <w:rPr>
          <w:color w:val="auto"/>
          <w:sz w:val="24"/>
          <w:szCs w:val="24"/>
          <w:highlight w:val="none"/>
        </w:rPr>
      </w:pPr>
      <w:r>
        <w:rPr>
          <w:rFonts w:hint="eastAsia"/>
          <w:color w:val="auto"/>
          <w:sz w:val="24"/>
          <w:szCs w:val="24"/>
          <w:highlight w:val="none"/>
        </w:rPr>
        <w:t>1、到场材料由甲方负责初检（初检指标包括：外观颜色、外观洁净程度等），并根据甲方自检频率对材料各项技术标准进行严格检测，不合格材料则无条件退货，若</w:t>
      </w:r>
      <w:r>
        <w:rPr>
          <w:rFonts w:hint="eastAsia"/>
          <w:color w:val="auto"/>
          <w:sz w:val="24"/>
          <w:szCs w:val="24"/>
          <w:highlight w:val="none"/>
          <w:lang w:eastAsia="zh-CN"/>
        </w:rPr>
        <w:t>因</w:t>
      </w:r>
      <w:r>
        <w:rPr>
          <w:rFonts w:hint="eastAsia"/>
          <w:color w:val="auto"/>
          <w:sz w:val="24"/>
          <w:szCs w:val="24"/>
          <w:highlight w:val="none"/>
        </w:rPr>
        <w:t>退货导致甲方无法生产而影响项目</w:t>
      </w:r>
      <w:r>
        <w:rPr>
          <w:rFonts w:hint="eastAsia"/>
          <w:color w:val="auto"/>
          <w:sz w:val="24"/>
          <w:szCs w:val="24"/>
          <w:highlight w:val="none"/>
          <w:lang w:eastAsia="zh-CN"/>
        </w:rPr>
        <w:t>供货期</w:t>
      </w:r>
      <w:r>
        <w:rPr>
          <w:rFonts w:hint="eastAsia"/>
          <w:color w:val="auto"/>
          <w:sz w:val="24"/>
          <w:szCs w:val="24"/>
          <w:highlight w:val="none"/>
        </w:rPr>
        <w:t>，由此造成的损失由乙方承担。</w:t>
      </w:r>
    </w:p>
    <w:p>
      <w:pPr>
        <w:spacing w:line="360" w:lineRule="auto"/>
        <w:ind w:firstLine="470" w:firstLineChars="196"/>
        <w:rPr>
          <w:color w:val="auto"/>
          <w:sz w:val="24"/>
          <w:szCs w:val="24"/>
          <w:highlight w:val="none"/>
        </w:rPr>
      </w:pPr>
      <w:r>
        <w:rPr>
          <w:rFonts w:hint="eastAsia"/>
          <w:color w:val="auto"/>
          <w:sz w:val="24"/>
          <w:szCs w:val="24"/>
          <w:highlight w:val="none"/>
        </w:rPr>
        <w:t>2、</w:t>
      </w:r>
      <w:r>
        <w:rPr>
          <w:rFonts w:hint="eastAsia" w:ascii="宋体" w:hAnsi="宋体" w:cs="宋体"/>
          <w:color w:val="auto"/>
          <w:kern w:val="0"/>
          <w:sz w:val="24"/>
          <w:szCs w:val="24"/>
          <w:highlight w:val="none"/>
        </w:rPr>
        <w:t>如在检测中发现有不合格、不满足技术要求的，乙方有争议的，</w:t>
      </w:r>
      <w:r>
        <w:rPr>
          <w:rFonts w:hint="eastAsia"/>
          <w:color w:val="auto"/>
          <w:sz w:val="24"/>
          <w:szCs w:val="24"/>
          <w:highlight w:val="none"/>
        </w:rPr>
        <w:t>可委托经甲乙双方认可的第三方检测机构进行检测，</w:t>
      </w:r>
      <w:r>
        <w:rPr>
          <w:rFonts w:hint="eastAsia" w:ascii="宋体" w:hAnsi="宋体" w:cs="宋体"/>
          <w:color w:val="auto"/>
          <w:kern w:val="0"/>
          <w:sz w:val="24"/>
          <w:szCs w:val="24"/>
          <w:highlight w:val="none"/>
        </w:rPr>
        <w:t>费用先由乙方垫付，最终由相应责任方承担（如合格费用由甲方支付，如不合格费用由乙方支付）。</w:t>
      </w:r>
      <w:r>
        <w:rPr>
          <w:rFonts w:hint="eastAsia"/>
          <w:color w:val="auto"/>
          <w:sz w:val="24"/>
          <w:szCs w:val="24"/>
          <w:highlight w:val="none"/>
        </w:rPr>
        <w:t>发生产品质量责任问题，乙方须承担由此造成的一切损失及费用。</w:t>
      </w:r>
    </w:p>
    <w:p>
      <w:pPr>
        <w:spacing w:line="360" w:lineRule="auto"/>
        <w:ind w:firstLine="472" w:firstLineChars="196"/>
        <w:rPr>
          <w:b/>
          <w:color w:val="auto"/>
          <w:sz w:val="24"/>
          <w:szCs w:val="24"/>
          <w:highlight w:val="none"/>
        </w:rPr>
      </w:pPr>
      <w:r>
        <w:rPr>
          <w:rFonts w:hint="eastAsia"/>
          <w:b/>
          <w:color w:val="auto"/>
          <w:sz w:val="24"/>
          <w:szCs w:val="24"/>
          <w:highlight w:val="none"/>
          <w:lang w:eastAsia="zh-CN"/>
        </w:rPr>
        <w:t>九</w:t>
      </w:r>
      <w:r>
        <w:rPr>
          <w:rFonts w:hint="eastAsia"/>
          <w:b/>
          <w:color w:val="auto"/>
          <w:sz w:val="24"/>
          <w:szCs w:val="24"/>
          <w:highlight w:val="none"/>
        </w:rPr>
        <w:t>、发票的开具</w:t>
      </w:r>
    </w:p>
    <w:p>
      <w:pPr>
        <w:adjustRightInd w:val="0"/>
        <w:snapToGrid w:val="0"/>
        <w:spacing w:line="520" w:lineRule="exact"/>
        <w:ind w:firstLine="405" w:firstLineChars="169"/>
        <w:textAlignment w:val="baseline"/>
        <w:rPr>
          <w:rFonts w:hint="eastAsia" w:ascii="Times New Roman" w:hAnsi="Times New Roman"/>
          <w:color w:val="auto"/>
          <w:sz w:val="24"/>
          <w:szCs w:val="24"/>
          <w:highlight w:val="none"/>
        </w:rPr>
      </w:pPr>
      <w:r>
        <w:rPr>
          <w:rFonts w:hint="eastAsia"/>
          <w:color w:val="auto"/>
          <w:sz w:val="24"/>
          <w:szCs w:val="24"/>
          <w:highlight w:val="none"/>
          <w:lang w:val="en-US" w:eastAsia="zh-CN"/>
        </w:rPr>
        <w:t xml:space="preserve"> </w:t>
      </w:r>
      <w:r>
        <w:rPr>
          <w:rFonts w:hint="eastAsia"/>
          <w:color w:val="auto"/>
          <w:sz w:val="24"/>
          <w:szCs w:val="24"/>
          <w:highlight w:val="none"/>
        </w:rPr>
        <w:t>1、发票由乙方开具</w:t>
      </w:r>
      <w:r>
        <w:rPr>
          <w:rFonts w:hint="eastAsia"/>
          <w:b/>
          <w:color w:val="auto"/>
          <w:sz w:val="24"/>
          <w:szCs w:val="24"/>
          <w:highlight w:val="none"/>
        </w:rPr>
        <w:t>增值税专用发票</w:t>
      </w:r>
      <w:r>
        <w:rPr>
          <w:rFonts w:hint="eastAsia"/>
          <w:b/>
          <w:color w:val="auto"/>
          <w:sz w:val="24"/>
          <w:szCs w:val="24"/>
          <w:highlight w:val="none"/>
          <w:lang w:eastAsia="zh-CN"/>
        </w:rPr>
        <w:t>（抵扣税率</w:t>
      </w:r>
      <w:r>
        <w:rPr>
          <w:rFonts w:hint="eastAsia"/>
          <w:b/>
          <w:color w:val="auto"/>
          <w:sz w:val="24"/>
          <w:szCs w:val="24"/>
          <w:highlight w:val="none"/>
          <w:lang w:val="en-US" w:eastAsia="zh-CN"/>
        </w:rPr>
        <w:t>13%</w:t>
      </w:r>
      <w:r>
        <w:rPr>
          <w:rFonts w:hint="eastAsia"/>
          <w:b/>
          <w:color w:val="auto"/>
          <w:sz w:val="24"/>
          <w:szCs w:val="24"/>
          <w:highlight w:val="none"/>
          <w:lang w:eastAsia="zh-CN"/>
        </w:rPr>
        <w:t>）</w:t>
      </w:r>
      <w:r>
        <w:rPr>
          <w:rFonts w:hint="eastAsia"/>
          <w:color w:val="auto"/>
          <w:sz w:val="24"/>
          <w:szCs w:val="24"/>
          <w:highlight w:val="none"/>
        </w:rPr>
        <w:t>给甲方</w:t>
      </w:r>
      <w:r>
        <w:rPr>
          <w:rFonts w:hint="eastAsia"/>
          <w:color w:val="auto"/>
          <w:sz w:val="24"/>
          <w:szCs w:val="24"/>
          <w:highlight w:val="none"/>
          <w:lang w:eastAsia="zh-CN"/>
        </w:rPr>
        <w:t>，</w:t>
      </w:r>
      <w:r>
        <w:rPr>
          <w:rFonts w:hint="eastAsia"/>
          <w:color w:val="auto"/>
          <w:sz w:val="24"/>
          <w:szCs w:val="24"/>
          <w:highlight w:val="none"/>
        </w:rPr>
        <w:t>发票单位名称为本合同甲乙双方全称（</w:t>
      </w:r>
      <w:r>
        <w:rPr>
          <w:rFonts w:hint="eastAsia"/>
          <w:b/>
          <w:bCs/>
          <w:color w:val="auto"/>
          <w:sz w:val="24"/>
          <w:szCs w:val="24"/>
          <w:highlight w:val="none"/>
        </w:rPr>
        <w:t>销售发票中已包含运输费，运输费不再单独开具发票，该发票必须足额合法有效且符合甲方的要求</w:t>
      </w:r>
      <w:r>
        <w:rPr>
          <w:rFonts w:hint="eastAsia"/>
          <w:color w:val="auto"/>
          <w:sz w:val="24"/>
          <w:szCs w:val="24"/>
          <w:highlight w:val="none"/>
        </w:rPr>
        <w:t>）</w:t>
      </w:r>
      <w:r>
        <w:rPr>
          <w:rFonts w:hint="eastAsia"/>
          <w:color w:val="auto"/>
          <w:sz w:val="24"/>
          <w:szCs w:val="24"/>
          <w:highlight w:val="none"/>
          <w:lang w:val="en-US" w:eastAsia="zh-CN"/>
        </w:rPr>
        <w:t>，</w:t>
      </w:r>
      <w:r>
        <w:rPr>
          <w:rFonts w:hint="eastAsia" w:ascii="Times New Roman" w:hAnsi="Times New Roman"/>
          <w:color w:val="auto"/>
          <w:sz w:val="24"/>
          <w:szCs w:val="24"/>
          <w:highlight w:val="none"/>
        </w:rPr>
        <w:t>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520" w:lineRule="exact"/>
        <w:ind w:firstLine="405" w:firstLineChars="169"/>
        <w:textAlignment w:val="baseline"/>
        <w:rPr>
          <w:rFonts w:hint="eastAsia" w:ascii="Times New Roman" w:hAnsi="Times New Roman"/>
          <w:color w:val="auto"/>
          <w:sz w:val="24"/>
          <w:szCs w:val="24"/>
          <w:highlight w:val="none"/>
        </w:rPr>
      </w:pPr>
      <w:r>
        <w:rPr>
          <w:rFonts w:hint="eastAsia" w:ascii="Times New Roman" w:hAnsi="Times New Roman"/>
          <w:color w:val="auto"/>
          <w:sz w:val="24"/>
          <w:szCs w:val="24"/>
          <w:highlight w:val="none"/>
          <w:lang w:val="en-US" w:eastAsia="zh-CN"/>
        </w:rPr>
        <w:t xml:space="preserve"> </w:t>
      </w:r>
      <w:r>
        <w:rPr>
          <w:rFonts w:hint="eastAsia" w:ascii="Times New Roman" w:hAnsi="Times New Roman"/>
          <w:color w:val="auto"/>
          <w:sz w:val="24"/>
          <w:szCs w:val="24"/>
          <w:highlight w:val="none"/>
        </w:rPr>
        <w:t>2、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pPr>
        <w:adjustRightInd w:val="0"/>
        <w:snapToGrid w:val="0"/>
        <w:spacing w:line="520" w:lineRule="exact"/>
        <w:ind w:firstLine="405" w:firstLineChars="169"/>
        <w:textAlignment w:val="baseline"/>
        <w:rPr>
          <w:color w:val="auto"/>
          <w:sz w:val="24"/>
          <w:szCs w:val="24"/>
          <w:highlight w:val="none"/>
        </w:rPr>
      </w:pPr>
      <w:r>
        <w:rPr>
          <w:rFonts w:hint="eastAsia" w:ascii="Times New Roman" w:hAnsi="Times New Roman"/>
          <w:color w:val="auto"/>
          <w:sz w:val="24"/>
          <w:szCs w:val="24"/>
          <w:highlight w:val="none"/>
          <w:lang w:val="en-US" w:eastAsia="zh-CN"/>
        </w:rPr>
        <w:t xml:space="preserve"> </w:t>
      </w:r>
      <w:r>
        <w:rPr>
          <w:rFonts w:hint="eastAsia" w:ascii="Times New Roman" w:hAnsi="Times New Roman"/>
          <w:color w:val="auto"/>
          <w:sz w:val="24"/>
          <w:szCs w:val="24"/>
          <w:highlight w:val="none"/>
        </w:rPr>
        <w:t>3、本合同内容经双方同意变更的，如果涉及到合同价款等增值税专用发票记载项目发生变化的，需要作废、重开、补开、红字开具增值税专用发票的，甲乙双方需履行各自的协助义务。</w:t>
      </w:r>
    </w:p>
    <w:p>
      <w:pPr>
        <w:adjustRightInd/>
        <w:snapToGrid/>
        <w:spacing w:line="400" w:lineRule="atLeast"/>
        <w:textAlignment w:val="auto"/>
        <w:rPr>
          <w:rFonts w:hint="eastAsia" w:eastAsia="宋体"/>
          <w:color w:val="auto"/>
          <w:sz w:val="24"/>
          <w:szCs w:val="24"/>
          <w:highlight w:val="none"/>
          <w:lang w:val="en-US" w:eastAsia="zh-CN"/>
        </w:rPr>
      </w:pPr>
      <w:r>
        <w:rPr>
          <w:rFonts w:hint="eastAsia"/>
          <w:color w:val="auto"/>
          <w:sz w:val="24"/>
          <w:szCs w:val="24"/>
          <w:highlight w:val="none"/>
          <w:lang w:val="en-US" w:eastAsia="zh-CN"/>
        </w:rPr>
        <w:t xml:space="preserve">    4、</w:t>
      </w:r>
      <w:r>
        <w:rPr>
          <w:rFonts w:hint="eastAsia"/>
          <w:color w:val="auto"/>
          <w:sz w:val="24"/>
          <w:highlight w:val="none"/>
        </w:rPr>
        <w:t>合同生效后，因合同双方纳税人身份、纳税方式或因相关法律法规变动导致的增值税税率的变化，应遵循相关税收政策的要求，对合同价格及增值税税额进行调整。</w:t>
      </w:r>
    </w:p>
    <w:p>
      <w:pPr>
        <w:spacing w:line="360" w:lineRule="auto"/>
        <w:ind w:firstLine="472" w:firstLineChars="196"/>
        <w:textAlignment w:val="baseline"/>
        <w:rPr>
          <w:b/>
          <w:color w:val="auto"/>
          <w:sz w:val="24"/>
          <w:szCs w:val="24"/>
          <w:highlight w:val="none"/>
        </w:rPr>
      </w:pPr>
      <w:r>
        <w:rPr>
          <w:rFonts w:hint="eastAsia"/>
          <w:b/>
          <w:color w:val="auto"/>
          <w:sz w:val="24"/>
          <w:szCs w:val="24"/>
          <w:highlight w:val="none"/>
          <w:lang w:eastAsia="zh-CN"/>
        </w:rPr>
        <w:t>十</w:t>
      </w:r>
      <w:r>
        <w:rPr>
          <w:rFonts w:hint="eastAsia"/>
          <w:b/>
          <w:color w:val="auto"/>
          <w:sz w:val="24"/>
          <w:szCs w:val="24"/>
          <w:highlight w:val="none"/>
        </w:rPr>
        <w:t>、结算方式及期限</w:t>
      </w:r>
    </w:p>
    <w:p>
      <w:pPr>
        <w:spacing w:line="360" w:lineRule="auto"/>
        <w:ind w:firstLine="470" w:firstLineChars="196"/>
        <w:textAlignment w:val="baseline"/>
        <w:rPr>
          <w:color w:val="auto"/>
          <w:sz w:val="24"/>
          <w:szCs w:val="24"/>
          <w:highlight w:val="none"/>
        </w:rPr>
      </w:pPr>
      <w:r>
        <w:rPr>
          <w:rFonts w:hint="eastAsia"/>
          <w:color w:val="auto"/>
          <w:sz w:val="24"/>
          <w:szCs w:val="24"/>
          <w:highlight w:val="none"/>
        </w:rPr>
        <w:t>按</w:t>
      </w:r>
      <w:r>
        <w:rPr>
          <w:rFonts w:hint="eastAsia"/>
          <w:color w:val="auto"/>
          <w:sz w:val="24"/>
          <w:szCs w:val="24"/>
          <w:highlight w:val="none"/>
          <w:u w:val="single"/>
        </w:rPr>
        <w:t>月</w:t>
      </w:r>
      <w:r>
        <w:rPr>
          <w:rFonts w:hint="eastAsia"/>
          <w:color w:val="auto"/>
          <w:sz w:val="24"/>
          <w:szCs w:val="24"/>
          <w:highlight w:val="none"/>
          <w:u w:val="none"/>
          <w:lang w:val="en-US" w:eastAsia="zh-CN"/>
        </w:rPr>
        <w:t>进行</w:t>
      </w:r>
      <w:r>
        <w:rPr>
          <w:rFonts w:hint="eastAsia"/>
          <w:color w:val="auto"/>
          <w:sz w:val="24"/>
          <w:szCs w:val="24"/>
          <w:highlight w:val="none"/>
        </w:rPr>
        <w:t>结算；结算金额=</w:t>
      </w:r>
      <w:r>
        <w:rPr>
          <w:rFonts w:hint="eastAsia"/>
          <w:color w:val="auto"/>
          <w:sz w:val="24"/>
          <w:szCs w:val="24"/>
          <w:highlight w:val="none"/>
          <w:u w:val="single"/>
        </w:rPr>
        <w:t>当月</w:t>
      </w:r>
      <w:r>
        <w:rPr>
          <w:rFonts w:hint="eastAsia" w:ascii="宋体" w:hAnsi="宋体" w:cs="宋体"/>
          <w:color w:val="auto"/>
          <w:kern w:val="0"/>
          <w:sz w:val="24"/>
          <w:szCs w:val="24"/>
          <w:highlight w:val="none"/>
        </w:rPr>
        <w:t>已对账的实际收货数量×合同单价</w:t>
      </w:r>
      <w:r>
        <w:rPr>
          <w:rFonts w:hint="eastAsia"/>
          <w:color w:val="auto"/>
          <w:sz w:val="24"/>
          <w:szCs w:val="24"/>
          <w:highlight w:val="none"/>
          <w:lang w:eastAsia="zh-CN"/>
        </w:rPr>
        <w:t>。</w:t>
      </w:r>
      <w:r>
        <w:rPr>
          <w:rFonts w:hint="eastAsia"/>
          <w:color w:val="auto"/>
          <w:sz w:val="24"/>
          <w:szCs w:val="24"/>
          <w:highlight w:val="none"/>
        </w:rPr>
        <w:t>乙方向甲方提供有效发票及供货凭证，甲方自费用清单（</w:t>
      </w:r>
      <w:r>
        <w:rPr>
          <w:rFonts w:hint="eastAsia" w:ascii="宋体" w:hAnsi="宋体"/>
          <w:color w:val="auto"/>
          <w:sz w:val="24"/>
          <w:szCs w:val="24"/>
          <w:highlight w:val="none"/>
        </w:rPr>
        <w:t>按</w:t>
      </w:r>
      <w:r>
        <w:rPr>
          <w:rFonts w:hint="eastAsia" w:ascii="宋体" w:hAnsi="宋体"/>
          <w:color w:val="auto"/>
          <w:sz w:val="24"/>
          <w:szCs w:val="24"/>
          <w:highlight w:val="none"/>
          <w:lang w:eastAsia="zh-CN"/>
        </w:rPr>
        <w:t>甲方代表</w:t>
      </w:r>
      <w:r>
        <w:rPr>
          <w:rFonts w:hint="eastAsia" w:ascii="宋体" w:hAnsi="宋体"/>
          <w:color w:val="auto"/>
          <w:sz w:val="24"/>
          <w:szCs w:val="24"/>
          <w:highlight w:val="none"/>
        </w:rPr>
        <w:t>实际验收的合格数量和材料合同单价计算）</w:t>
      </w:r>
      <w:r>
        <w:rPr>
          <w:rFonts w:hint="eastAsia"/>
          <w:color w:val="auto"/>
          <w:sz w:val="24"/>
          <w:szCs w:val="24"/>
          <w:highlight w:val="none"/>
        </w:rPr>
        <w:t>及发票送达之日起</w:t>
      </w:r>
      <w:r>
        <w:rPr>
          <w:rFonts w:hint="eastAsia"/>
          <w:color w:val="auto"/>
          <w:sz w:val="24"/>
          <w:szCs w:val="24"/>
          <w:highlight w:val="none"/>
          <w:u w:val="single"/>
          <w:lang w:eastAsia="zh-CN"/>
        </w:rPr>
        <w:t>二十</w:t>
      </w:r>
      <w:r>
        <w:rPr>
          <w:rFonts w:hint="eastAsia"/>
          <w:color w:val="auto"/>
          <w:sz w:val="24"/>
          <w:szCs w:val="24"/>
          <w:highlight w:val="none"/>
        </w:rPr>
        <w:t>个工作日内</w:t>
      </w:r>
      <w:r>
        <w:rPr>
          <w:rFonts w:hint="eastAsia" w:ascii="宋体" w:hAnsi="宋体"/>
          <w:color w:val="auto"/>
          <w:sz w:val="24"/>
          <w:szCs w:val="24"/>
          <w:highlight w:val="none"/>
        </w:rPr>
        <w:t>（每月25日至次月5日不办理支付，时间相应顺延）以</w:t>
      </w:r>
      <w:r>
        <w:rPr>
          <w:rFonts w:hint="eastAsia" w:ascii="宋体" w:hAnsi="宋体"/>
          <w:b/>
          <w:bCs/>
          <w:color w:val="auto"/>
          <w:sz w:val="24"/>
          <w:szCs w:val="24"/>
          <w:highlight w:val="none"/>
        </w:rPr>
        <w:t>银行转账</w:t>
      </w:r>
      <w:r>
        <w:rPr>
          <w:rFonts w:hint="eastAsia" w:ascii="宋体" w:hAnsi="宋体"/>
          <w:color w:val="auto"/>
          <w:sz w:val="24"/>
          <w:szCs w:val="24"/>
          <w:highlight w:val="none"/>
        </w:rPr>
        <w:t>方式</w:t>
      </w:r>
      <w:r>
        <w:rPr>
          <w:rFonts w:hint="eastAsia"/>
          <w:color w:val="auto"/>
          <w:sz w:val="24"/>
          <w:szCs w:val="24"/>
          <w:highlight w:val="none"/>
        </w:rPr>
        <w:t>支付给乙方。乙方迟延提供发票和相关结算资料的，甲方的付款期限相应顺延。</w:t>
      </w:r>
    </w:p>
    <w:p>
      <w:pPr>
        <w:spacing w:line="360" w:lineRule="auto"/>
        <w:ind w:firstLine="472" w:firstLineChars="196"/>
        <w:rPr>
          <w:b/>
          <w:color w:val="auto"/>
          <w:sz w:val="24"/>
          <w:szCs w:val="24"/>
          <w:highlight w:val="none"/>
        </w:rPr>
      </w:pPr>
      <w:r>
        <w:rPr>
          <w:rFonts w:hint="eastAsia"/>
          <w:b/>
          <w:color w:val="auto"/>
          <w:sz w:val="24"/>
          <w:szCs w:val="24"/>
          <w:highlight w:val="none"/>
        </w:rPr>
        <w:t>十</w:t>
      </w:r>
      <w:r>
        <w:rPr>
          <w:rFonts w:hint="eastAsia"/>
          <w:b/>
          <w:color w:val="auto"/>
          <w:sz w:val="24"/>
          <w:szCs w:val="24"/>
          <w:highlight w:val="none"/>
          <w:lang w:eastAsia="zh-CN"/>
        </w:rPr>
        <w:t>一</w:t>
      </w:r>
      <w:r>
        <w:rPr>
          <w:rFonts w:hint="eastAsia"/>
          <w:b/>
          <w:color w:val="auto"/>
          <w:sz w:val="24"/>
          <w:szCs w:val="24"/>
          <w:highlight w:val="none"/>
        </w:rPr>
        <w:t>、违约责任</w:t>
      </w:r>
    </w:p>
    <w:p>
      <w:pPr>
        <w:spacing w:line="360" w:lineRule="auto"/>
        <w:ind w:firstLine="470" w:firstLineChars="196"/>
        <w:rPr>
          <w:rFonts w:ascii="宋体"/>
          <w:color w:val="auto"/>
          <w:sz w:val="24"/>
          <w:szCs w:val="24"/>
          <w:highlight w:val="none"/>
        </w:rPr>
      </w:pPr>
      <w:r>
        <w:rPr>
          <w:rFonts w:hint="eastAsia" w:ascii="宋体" w:hAnsi="宋体"/>
          <w:color w:val="auto"/>
          <w:sz w:val="24"/>
          <w:szCs w:val="24"/>
          <w:highlight w:val="none"/>
        </w:rPr>
        <w:t>1、乙方必须保证供货质量，若因材料质量原因导致的一切损失皆由乙方负责。若出现材料质量事故的，按</w:t>
      </w:r>
      <w:r>
        <w:rPr>
          <w:rFonts w:hint="eastAsia" w:ascii="宋体" w:hAnsi="宋体"/>
          <w:b/>
          <w:color w:val="auto"/>
          <w:sz w:val="24"/>
          <w:szCs w:val="24"/>
          <w:highlight w:val="none"/>
          <w:u w:val="single"/>
        </w:rPr>
        <w:t>贰万元/次</w:t>
      </w:r>
      <w:r>
        <w:rPr>
          <w:rFonts w:hint="eastAsia" w:ascii="宋体" w:hAnsi="宋体"/>
          <w:color w:val="auto"/>
          <w:sz w:val="24"/>
          <w:szCs w:val="24"/>
          <w:highlight w:val="none"/>
        </w:rPr>
        <w:t>的标准向甲方支付违约金，出现二次及以上事故的，</w:t>
      </w:r>
      <w:r>
        <w:rPr>
          <w:rFonts w:hint="eastAsia" w:ascii="宋体"/>
          <w:color w:val="auto"/>
          <w:sz w:val="24"/>
          <w:szCs w:val="24"/>
          <w:highlight w:val="none"/>
        </w:rPr>
        <w:t>甲方可随时终止或解除本合同（因乙方到场材料</w:t>
      </w:r>
      <w:r>
        <w:rPr>
          <w:rFonts w:hint="eastAsia" w:ascii="宋体"/>
          <w:color w:val="auto"/>
          <w:sz w:val="24"/>
          <w:szCs w:val="24"/>
          <w:highlight w:val="none"/>
          <w:lang w:eastAsia="zh-CN"/>
        </w:rPr>
        <w:t>验收</w:t>
      </w:r>
      <w:r>
        <w:rPr>
          <w:rFonts w:hint="eastAsia" w:ascii="宋体"/>
          <w:color w:val="auto"/>
          <w:sz w:val="24"/>
          <w:szCs w:val="24"/>
          <w:highlight w:val="none"/>
        </w:rPr>
        <w:t>未通过，初次拒收，二次终止合同）</w:t>
      </w:r>
      <w:r>
        <w:rPr>
          <w:rFonts w:hint="eastAsia" w:ascii="宋体"/>
          <w:color w:val="auto"/>
          <w:sz w:val="24"/>
          <w:highlight w:val="none"/>
        </w:rPr>
        <w:t>，要求乙方赔偿甲方全部损失</w:t>
      </w:r>
      <w:r>
        <w:rPr>
          <w:rFonts w:hint="eastAsia" w:ascii="宋体"/>
          <w:color w:val="auto"/>
          <w:sz w:val="24"/>
          <w:szCs w:val="24"/>
          <w:highlight w:val="none"/>
        </w:rPr>
        <w:t>。</w:t>
      </w:r>
    </w:p>
    <w:p>
      <w:pPr>
        <w:spacing w:line="360" w:lineRule="auto"/>
        <w:ind w:firstLine="480" w:firstLineChars="200"/>
        <w:rPr>
          <w:rFonts w:ascii="宋体"/>
          <w:color w:val="auto"/>
          <w:sz w:val="24"/>
          <w:szCs w:val="24"/>
          <w:highlight w:val="none"/>
        </w:rPr>
      </w:pPr>
      <w:r>
        <w:rPr>
          <w:rFonts w:hint="eastAsia" w:ascii="宋体"/>
          <w:color w:val="auto"/>
          <w:sz w:val="24"/>
          <w:szCs w:val="24"/>
          <w:highlight w:val="none"/>
        </w:rPr>
        <w:t>2、</w:t>
      </w:r>
      <w:r>
        <w:rPr>
          <w:rFonts w:hint="eastAsia" w:ascii="宋体" w:hAnsi="宋体"/>
          <w:color w:val="auto"/>
          <w:sz w:val="24"/>
          <w:szCs w:val="24"/>
          <w:highlight w:val="none"/>
        </w:rPr>
        <w:t>乙方保证收到甲方短信或通知后</w:t>
      </w:r>
      <w:r>
        <w:rPr>
          <w:rFonts w:hint="eastAsia" w:ascii="宋体" w:hAnsi="宋体"/>
          <w:b/>
          <w:color w:val="auto"/>
          <w:sz w:val="24"/>
          <w:szCs w:val="24"/>
          <w:highlight w:val="none"/>
          <w:u w:val="single"/>
          <w:lang w:val="en-US" w:eastAsia="zh-CN"/>
        </w:rPr>
        <w:t>一日</w:t>
      </w:r>
      <w:r>
        <w:rPr>
          <w:rFonts w:hint="eastAsia" w:ascii="宋体" w:hAnsi="宋体"/>
          <w:color w:val="auto"/>
          <w:sz w:val="24"/>
          <w:szCs w:val="24"/>
          <w:highlight w:val="none"/>
        </w:rPr>
        <w:t>内将甲方所需合同材料送达到指定地点。乙方材料的供应量、送货时间必须满足甲方通知要求和甲方施工进度要求，否则，按</w:t>
      </w:r>
      <w:r>
        <w:rPr>
          <w:rFonts w:hint="eastAsia" w:ascii="宋体" w:hAnsi="宋体"/>
          <w:b/>
          <w:color w:val="auto"/>
          <w:sz w:val="24"/>
          <w:szCs w:val="24"/>
          <w:highlight w:val="none"/>
          <w:u w:val="single"/>
        </w:rPr>
        <w:t>壹万元/天</w:t>
      </w:r>
      <w:r>
        <w:rPr>
          <w:rFonts w:hint="eastAsia" w:ascii="宋体" w:hAnsi="宋体"/>
          <w:color w:val="auto"/>
          <w:sz w:val="24"/>
          <w:szCs w:val="24"/>
          <w:highlight w:val="none"/>
        </w:rPr>
        <w:t>的标准向甲方支付违约金；同时</w:t>
      </w:r>
      <w:r>
        <w:rPr>
          <w:rFonts w:hint="eastAsia" w:ascii="宋体"/>
          <w:color w:val="auto"/>
          <w:sz w:val="24"/>
          <w:szCs w:val="24"/>
          <w:highlight w:val="none"/>
        </w:rPr>
        <w:t>，甲方有权终止或解除合同，并赔偿甲方全部损失。</w:t>
      </w:r>
    </w:p>
    <w:p>
      <w:pPr>
        <w:spacing w:line="360" w:lineRule="auto"/>
        <w:ind w:firstLine="480" w:firstLineChars="200"/>
        <w:rPr>
          <w:rFonts w:ascii="宋体" w:hAnsi="宋体"/>
          <w:color w:val="auto"/>
          <w:sz w:val="24"/>
          <w:szCs w:val="24"/>
          <w:highlight w:val="none"/>
        </w:rPr>
      </w:pPr>
      <w:r>
        <w:rPr>
          <w:rFonts w:hint="eastAsia" w:ascii="宋体"/>
          <w:color w:val="auto"/>
          <w:sz w:val="24"/>
          <w:szCs w:val="24"/>
          <w:highlight w:val="none"/>
          <w:lang w:val="en-US" w:eastAsia="zh-CN"/>
        </w:rPr>
        <w:t>3</w:t>
      </w:r>
      <w:r>
        <w:rPr>
          <w:rFonts w:hint="eastAsia" w:ascii="宋体"/>
          <w:color w:val="auto"/>
          <w:sz w:val="24"/>
          <w:szCs w:val="24"/>
          <w:highlight w:val="none"/>
        </w:rPr>
        <w:t>、乙方应保证供应货物不得存在任何权利瑕疵或侵犯任何第三人合法权益，否则，甲方有权终止或解除合同，要求乙方赔偿甲方全部损失。</w:t>
      </w:r>
    </w:p>
    <w:p>
      <w:pPr>
        <w:spacing w:line="360" w:lineRule="auto"/>
        <w:ind w:firstLine="480" w:firstLineChars="200"/>
        <w:textAlignment w:val="baseline"/>
        <w:rPr>
          <w:rFonts w:hint="eastAsia"/>
          <w:color w:val="auto"/>
          <w:sz w:val="24"/>
          <w:szCs w:val="24"/>
          <w:highlight w:val="none"/>
        </w:rPr>
      </w:pPr>
      <w:r>
        <w:rPr>
          <w:rFonts w:hint="eastAsia" w:ascii="宋体"/>
          <w:color w:val="auto"/>
          <w:sz w:val="24"/>
          <w:szCs w:val="24"/>
          <w:highlight w:val="none"/>
          <w:lang w:val="en-US" w:eastAsia="zh-CN"/>
        </w:rPr>
        <w:t>4</w:t>
      </w:r>
      <w:r>
        <w:rPr>
          <w:rFonts w:hint="eastAsia"/>
          <w:color w:val="auto"/>
          <w:sz w:val="24"/>
          <w:szCs w:val="24"/>
          <w:highlight w:val="none"/>
        </w:rPr>
        <w:t>、</w:t>
      </w:r>
      <w:r>
        <w:rPr>
          <w:rFonts w:hint="eastAsia"/>
          <w:color w:val="auto"/>
          <w:sz w:val="24"/>
          <w:szCs w:val="24"/>
          <w:highlight w:val="none"/>
          <w:lang w:eastAsia="zh-CN"/>
        </w:rPr>
        <w:t>双方</w:t>
      </w:r>
      <w:r>
        <w:rPr>
          <w:rFonts w:hint="eastAsia" w:ascii="宋体" w:hAnsi="宋体"/>
          <w:color w:val="auto"/>
          <w:sz w:val="24"/>
          <w:szCs w:val="24"/>
          <w:highlight w:val="none"/>
        </w:rPr>
        <w:t>其余违约</w:t>
      </w:r>
      <w:r>
        <w:rPr>
          <w:rFonts w:hint="eastAsia"/>
          <w:color w:val="auto"/>
          <w:sz w:val="24"/>
          <w:szCs w:val="24"/>
          <w:highlight w:val="none"/>
        </w:rPr>
        <w:t>按《中华人民共和国</w:t>
      </w:r>
      <w:r>
        <w:rPr>
          <w:rFonts w:hint="eastAsia"/>
          <w:color w:val="auto"/>
          <w:sz w:val="24"/>
          <w:szCs w:val="24"/>
          <w:highlight w:val="none"/>
          <w:lang w:val="en-US" w:eastAsia="zh-CN"/>
        </w:rPr>
        <w:t>民法典</w:t>
      </w:r>
      <w:r>
        <w:rPr>
          <w:rFonts w:hint="eastAsia"/>
          <w:color w:val="auto"/>
          <w:sz w:val="24"/>
          <w:szCs w:val="24"/>
          <w:highlight w:val="none"/>
        </w:rPr>
        <w:t>》执行。</w:t>
      </w:r>
    </w:p>
    <w:p>
      <w:pPr>
        <w:spacing w:line="360" w:lineRule="auto"/>
        <w:ind w:firstLine="480" w:firstLineChars="200"/>
        <w:textAlignment w:val="baseline"/>
        <w:rPr>
          <w:color w:val="auto"/>
          <w:sz w:val="24"/>
          <w:szCs w:val="24"/>
          <w:highlight w:val="none"/>
        </w:rPr>
      </w:pPr>
      <w:r>
        <w:rPr>
          <w:rFonts w:hint="eastAsia"/>
          <w:color w:val="auto"/>
          <w:sz w:val="24"/>
          <w:szCs w:val="24"/>
          <w:highlight w:val="none"/>
          <w:lang w:val="en-US" w:eastAsia="zh-CN"/>
        </w:rPr>
        <w:t>5</w:t>
      </w:r>
      <w:r>
        <w:rPr>
          <w:rFonts w:hint="eastAsia"/>
          <w:color w:val="auto"/>
          <w:sz w:val="24"/>
          <w:szCs w:val="24"/>
          <w:highlight w:val="none"/>
        </w:rPr>
        <w:t>、本合同约定的甲方损失</w:t>
      </w:r>
      <w:r>
        <w:rPr>
          <w:rFonts w:hint="eastAsia" w:ascii="宋体" w:hAnsi="宋体"/>
          <w:color w:val="auto"/>
          <w:sz w:val="24"/>
          <w:highlight w:val="none"/>
        </w:rPr>
        <w:t>包括</w:t>
      </w:r>
      <w:r>
        <w:rPr>
          <w:rFonts w:hint="eastAsia" w:ascii="宋体" w:hAnsi="宋体"/>
          <w:color w:val="auto"/>
          <w:sz w:val="24"/>
          <w:highlight w:val="none"/>
          <w:lang w:eastAsia="zh-CN"/>
        </w:rPr>
        <w:t>供货期</w:t>
      </w:r>
      <w:r>
        <w:rPr>
          <w:rFonts w:hint="eastAsia" w:ascii="宋体" w:hAnsi="宋体"/>
          <w:color w:val="auto"/>
          <w:sz w:val="24"/>
          <w:highlight w:val="none"/>
        </w:rPr>
        <w:t>延误损失、甲方向第三人承担的违约金、赔偿金、甲方预期利润等全部直接和间接损失。</w:t>
      </w:r>
    </w:p>
    <w:p>
      <w:pPr>
        <w:spacing w:line="360" w:lineRule="auto"/>
        <w:ind w:firstLine="472" w:firstLineChars="196"/>
        <w:textAlignment w:val="baseline"/>
        <w:rPr>
          <w:b/>
          <w:color w:val="auto"/>
          <w:sz w:val="24"/>
          <w:szCs w:val="24"/>
          <w:highlight w:val="none"/>
        </w:rPr>
      </w:pPr>
      <w:r>
        <w:rPr>
          <w:rFonts w:hint="eastAsia"/>
          <w:b/>
          <w:color w:val="auto"/>
          <w:sz w:val="24"/>
          <w:szCs w:val="24"/>
          <w:highlight w:val="none"/>
        </w:rPr>
        <w:t>十</w:t>
      </w:r>
      <w:r>
        <w:rPr>
          <w:rFonts w:hint="eastAsia"/>
          <w:b/>
          <w:color w:val="auto"/>
          <w:sz w:val="24"/>
          <w:szCs w:val="24"/>
          <w:highlight w:val="none"/>
          <w:lang w:eastAsia="zh-CN"/>
        </w:rPr>
        <w:t>二</w:t>
      </w:r>
      <w:r>
        <w:rPr>
          <w:rFonts w:hint="eastAsia"/>
          <w:b/>
          <w:color w:val="auto"/>
          <w:sz w:val="24"/>
          <w:szCs w:val="24"/>
          <w:highlight w:val="none"/>
        </w:rPr>
        <w:t>、其它约定事项</w:t>
      </w:r>
    </w:p>
    <w:p>
      <w:pPr>
        <w:spacing w:line="360" w:lineRule="auto"/>
        <w:ind w:firstLine="472" w:firstLineChars="197"/>
        <w:textAlignment w:val="baseline"/>
        <w:rPr>
          <w:rFonts w:ascii="宋体" w:hAnsi="宋体"/>
          <w:color w:val="auto"/>
          <w:sz w:val="24"/>
          <w:szCs w:val="24"/>
          <w:highlight w:val="none"/>
        </w:rPr>
      </w:pPr>
      <w:r>
        <w:rPr>
          <w:rFonts w:hint="eastAsia"/>
          <w:color w:val="auto"/>
          <w:sz w:val="24"/>
          <w:szCs w:val="24"/>
          <w:highlight w:val="none"/>
        </w:rPr>
        <w:t>1、</w:t>
      </w:r>
      <w:r>
        <w:rPr>
          <w:rFonts w:hint="eastAsia" w:ascii="宋体" w:hAnsi="宋体"/>
          <w:color w:val="auto"/>
          <w:sz w:val="24"/>
          <w:szCs w:val="24"/>
          <w:highlight w:val="none"/>
        </w:rPr>
        <w:t>本合同</w:t>
      </w:r>
      <w:r>
        <w:rPr>
          <w:rFonts w:hint="eastAsia"/>
          <w:color w:val="auto"/>
          <w:sz w:val="24"/>
          <w:szCs w:val="24"/>
          <w:highlight w:val="none"/>
        </w:rPr>
        <w:t>为</w:t>
      </w:r>
      <w:r>
        <w:rPr>
          <w:rFonts w:hint="eastAsia"/>
          <w:b/>
          <w:color w:val="auto"/>
          <w:sz w:val="24"/>
          <w:szCs w:val="24"/>
          <w:highlight w:val="none"/>
          <w:u w:val="single"/>
        </w:rPr>
        <w:t>综合单价</w:t>
      </w:r>
      <w:r>
        <w:rPr>
          <w:rFonts w:hint="eastAsia"/>
          <w:color w:val="auto"/>
          <w:sz w:val="24"/>
          <w:szCs w:val="24"/>
          <w:highlight w:val="none"/>
        </w:rPr>
        <w:t>合同。</w:t>
      </w:r>
      <w:r>
        <w:rPr>
          <w:rFonts w:hint="eastAsia" w:ascii="宋体" w:hAnsi="宋体"/>
          <w:color w:val="auto"/>
          <w:sz w:val="24"/>
          <w:szCs w:val="24"/>
          <w:highlight w:val="none"/>
        </w:rPr>
        <w:t>应是乙方将材料</w:t>
      </w:r>
      <w:r>
        <w:rPr>
          <w:rFonts w:hint="eastAsia" w:ascii="宋体" w:hAnsi="宋体"/>
          <w:color w:val="auto"/>
          <w:sz w:val="24"/>
          <w:szCs w:val="24"/>
          <w:highlight w:val="none"/>
          <w:lang w:val="en-US" w:eastAsia="zh-CN"/>
        </w:rPr>
        <w:t>完成加工</w:t>
      </w:r>
      <w:r>
        <w:rPr>
          <w:rFonts w:hint="eastAsia" w:ascii="宋体" w:hAnsi="宋体"/>
          <w:color w:val="auto"/>
          <w:sz w:val="24"/>
          <w:szCs w:val="24"/>
          <w:highlight w:val="none"/>
        </w:rPr>
        <w:t>的全部工作的综合单价。</w:t>
      </w:r>
    </w:p>
    <w:p>
      <w:pPr>
        <w:spacing w:line="360" w:lineRule="auto"/>
        <w:ind w:firstLine="460" w:firstLineChars="192"/>
        <w:rPr>
          <w:rFonts w:ascii="宋体" w:hAnsi="宋体"/>
          <w:color w:val="auto"/>
          <w:sz w:val="24"/>
          <w:szCs w:val="24"/>
          <w:highlight w:val="none"/>
        </w:rPr>
      </w:pPr>
      <w:r>
        <w:rPr>
          <w:rFonts w:hint="eastAsia" w:ascii="宋体" w:hAnsi="宋体"/>
          <w:color w:val="auto"/>
          <w:sz w:val="24"/>
          <w:szCs w:val="24"/>
          <w:highlight w:val="none"/>
        </w:rPr>
        <w:t>2、在实际供货中，可能会因施工调整、质量等原因对</w:t>
      </w:r>
      <w:r>
        <w:rPr>
          <w:rFonts w:hint="eastAsia" w:ascii="宋体" w:hAnsi="宋体"/>
          <w:color w:val="auto"/>
          <w:sz w:val="24"/>
          <w:szCs w:val="24"/>
          <w:highlight w:val="none"/>
          <w:lang w:val="en-US" w:eastAsia="zh-CN"/>
        </w:rPr>
        <w:t>加工</w:t>
      </w:r>
      <w:r>
        <w:rPr>
          <w:rFonts w:hint="eastAsia" w:ascii="宋体" w:hAnsi="宋体"/>
          <w:color w:val="auto"/>
          <w:sz w:val="24"/>
          <w:szCs w:val="24"/>
          <w:highlight w:val="none"/>
        </w:rPr>
        <w:t>数量和时间进行调整，会导致乙方在实际</w:t>
      </w:r>
      <w:r>
        <w:rPr>
          <w:rFonts w:hint="eastAsia" w:ascii="宋体" w:hAnsi="宋体"/>
          <w:color w:val="auto"/>
          <w:sz w:val="24"/>
          <w:szCs w:val="24"/>
          <w:highlight w:val="none"/>
          <w:lang w:val="en-US" w:eastAsia="zh-CN"/>
        </w:rPr>
        <w:t>加工</w:t>
      </w:r>
      <w:r>
        <w:rPr>
          <w:rFonts w:hint="eastAsia" w:ascii="宋体" w:hAnsi="宋体"/>
          <w:color w:val="auto"/>
          <w:sz w:val="24"/>
          <w:szCs w:val="24"/>
          <w:highlight w:val="none"/>
        </w:rPr>
        <w:t>中数量发生变化，最终</w:t>
      </w:r>
      <w:r>
        <w:rPr>
          <w:rFonts w:hint="eastAsia"/>
          <w:color w:val="auto"/>
          <w:sz w:val="24"/>
          <w:szCs w:val="24"/>
          <w:highlight w:val="none"/>
        </w:rPr>
        <w:t>数量以</w:t>
      </w:r>
      <w:r>
        <w:rPr>
          <w:rFonts w:hint="eastAsia"/>
          <w:color w:val="auto"/>
          <w:sz w:val="24"/>
          <w:szCs w:val="24"/>
          <w:highlight w:val="none"/>
          <w:lang w:eastAsia="zh-CN"/>
        </w:rPr>
        <w:t>甲</w:t>
      </w:r>
      <w:r>
        <w:rPr>
          <w:rFonts w:hint="eastAsia"/>
          <w:color w:val="auto"/>
          <w:sz w:val="24"/>
          <w:szCs w:val="24"/>
          <w:highlight w:val="none"/>
        </w:rPr>
        <w:t>方代表确认的实际</w:t>
      </w:r>
      <w:r>
        <w:rPr>
          <w:rFonts w:hint="eastAsia"/>
          <w:color w:val="auto"/>
          <w:sz w:val="24"/>
          <w:szCs w:val="24"/>
          <w:highlight w:val="none"/>
          <w:lang w:val="en-US" w:eastAsia="zh-CN"/>
        </w:rPr>
        <w:t>加工</w:t>
      </w:r>
      <w:r>
        <w:rPr>
          <w:rFonts w:hint="eastAsia"/>
          <w:color w:val="auto"/>
          <w:sz w:val="24"/>
          <w:szCs w:val="24"/>
          <w:highlight w:val="none"/>
        </w:rPr>
        <w:t>合格数量为准</w:t>
      </w:r>
      <w:r>
        <w:rPr>
          <w:rFonts w:hint="eastAsia" w:ascii="宋体" w:hAnsi="宋体"/>
          <w:color w:val="auto"/>
          <w:sz w:val="24"/>
          <w:szCs w:val="24"/>
          <w:highlight w:val="none"/>
        </w:rPr>
        <w:t>。期间乙方不得以</w:t>
      </w:r>
      <w:r>
        <w:rPr>
          <w:rFonts w:hint="eastAsia" w:ascii="宋体" w:hAnsi="宋体"/>
          <w:color w:val="auto"/>
          <w:sz w:val="24"/>
          <w:szCs w:val="24"/>
          <w:highlight w:val="none"/>
          <w:lang w:val="en-US" w:eastAsia="zh-CN"/>
        </w:rPr>
        <w:t>加工</w:t>
      </w:r>
      <w:r>
        <w:rPr>
          <w:rFonts w:hint="eastAsia" w:ascii="宋体" w:hAnsi="宋体"/>
          <w:color w:val="auto"/>
          <w:sz w:val="24"/>
          <w:szCs w:val="24"/>
          <w:highlight w:val="none"/>
        </w:rPr>
        <w:t>数量和时间有变化要求进行单价变更。</w:t>
      </w:r>
    </w:p>
    <w:p>
      <w:pPr>
        <w:spacing w:line="360" w:lineRule="auto"/>
        <w:ind w:firstLine="472" w:firstLineChars="197"/>
        <w:textAlignment w:val="baseline"/>
        <w:rPr>
          <w:color w:val="auto"/>
          <w:sz w:val="24"/>
          <w:szCs w:val="24"/>
          <w:highlight w:val="none"/>
        </w:rPr>
      </w:pPr>
      <w:r>
        <w:rPr>
          <w:rFonts w:hint="eastAsia"/>
          <w:color w:val="auto"/>
          <w:sz w:val="24"/>
          <w:szCs w:val="24"/>
          <w:highlight w:val="none"/>
        </w:rPr>
        <w:t>3、如乙方产品因质量原因未通过质检（含颜色），乙方必须接受无条件退货，并由乙方承担由此造成的一切损失，甲方有权立即解除或终止合同。</w:t>
      </w:r>
    </w:p>
    <w:p>
      <w:pPr>
        <w:spacing w:line="360" w:lineRule="auto"/>
        <w:ind w:firstLine="460" w:firstLineChars="192"/>
        <w:rPr>
          <w:rFonts w:hint="eastAsia" w:ascii="宋体" w:hAnsi="宋体"/>
          <w:color w:val="auto"/>
          <w:sz w:val="24"/>
          <w:highlight w:val="none"/>
        </w:rPr>
      </w:pPr>
      <w:r>
        <w:rPr>
          <w:rFonts w:hint="eastAsia" w:ascii="宋体" w:hAnsi="宋体"/>
          <w:color w:val="auto"/>
          <w:sz w:val="24"/>
          <w:szCs w:val="24"/>
          <w:highlight w:val="none"/>
        </w:rPr>
        <w:t>4、</w:t>
      </w:r>
      <w:r>
        <w:rPr>
          <w:rFonts w:hint="eastAsia"/>
          <w:color w:val="auto"/>
          <w:sz w:val="24"/>
          <w:szCs w:val="24"/>
          <w:highlight w:val="none"/>
        </w:rPr>
        <w:t>甲方的</w:t>
      </w:r>
      <w:r>
        <w:rPr>
          <w:rFonts w:hint="eastAsia"/>
          <w:color w:val="auto"/>
          <w:sz w:val="24"/>
          <w:szCs w:val="24"/>
          <w:highlight w:val="none"/>
          <w:u w:val="single"/>
          <w:lang w:eastAsia="zh-CN"/>
        </w:rPr>
        <w:t>招标</w:t>
      </w:r>
      <w:r>
        <w:rPr>
          <w:rFonts w:hint="eastAsia"/>
          <w:color w:val="auto"/>
          <w:sz w:val="24"/>
          <w:szCs w:val="24"/>
          <w:highlight w:val="none"/>
          <w:u w:val="single"/>
          <w:lang w:val="en-US" w:eastAsia="zh-CN"/>
        </w:rPr>
        <w:t>文件</w:t>
      </w:r>
      <w:r>
        <w:rPr>
          <w:rFonts w:hint="eastAsia"/>
          <w:color w:val="auto"/>
          <w:sz w:val="24"/>
          <w:szCs w:val="24"/>
          <w:highlight w:val="none"/>
        </w:rPr>
        <w:t>及乙方的</w:t>
      </w:r>
      <w:r>
        <w:rPr>
          <w:rFonts w:hint="eastAsia"/>
          <w:color w:val="auto"/>
          <w:sz w:val="24"/>
          <w:szCs w:val="24"/>
          <w:highlight w:val="none"/>
          <w:u w:val="single"/>
          <w:lang w:val="en-US" w:eastAsia="zh-CN"/>
        </w:rPr>
        <w:t>报价</w:t>
      </w:r>
      <w:r>
        <w:rPr>
          <w:rFonts w:hint="eastAsia"/>
          <w:color w:val="auto"/>
          <w:sz w:val="24"/>
          <w:szCs w:val="24"/>
          <w:highlight w:val="none"/>
          <w:u w:val="single"/>
          <w:lang w:eastAsia="zh-CN"/>
        </w:rPr>
        <w:t>文件</w:t>
      </w:r>
      <w:r>
        <w:rPr>
          <w:rFonts w:hint="eastAsia"/>
          <w:color w:val="auto"/>
          <w:sz w:val="24"/>
          <w:szCs w:val="24"/>
          <w:highlight w:val="none"/>
        </w:rPr>
        <w:t>作为本合同的附件，具有同等法律效力，</w:t>
      </w:r>
      <w:r>
        <w:rPr>
          <w:rFonts w:hint="eastAsia" w:ascii="宋体" w:hAnsi="宋体"/>
          <w:color w:val="auto"/>
          <w:sz w:val="24"/>
          <w:highlight w:val="none"/>
        </w:rPr>
        <w:t>若有不一致或矛盾之处，以本合同条款为准。</w:t>
      </w:r>
    </w:p>
    <w:p>
      <w:pPr>
        <w:spacing w:line="360" w:lineRule="auto"/>
        <w:ind w:firstLine="472" w:firstLineChars="196"/>
        <w:textAlignment w:val="baseline"/>
        <w:rPr>
          <w:rFonts w:hint="eastAsia" w:ascii="宋体" w:hAnsi="宋体"/>
          <w:b/>
          <w:color w:val="auto"/>
          <w:sz w:val="24"/>
          <w:szCs w:val="24"/>
          <w:highlight w:val="none"/>
          <w:u w:val="none"/>
          <w:lang w:val="en-US" w:eastAsia="zh-CN"/>
        </w:rPr>
      </w:pPr>
      <w:r>
        <w:rPr>
          <w:rFonts w:hint="eastAsia"/>
          <w:b/>
          <w:color w:val="auto"/>
          <w:sz w:val="24"/>
          <w:szCs w:val="24"/>
          <w:highlight w:val="none"/>
        </w:rPr>
        <w:t>十</w:t>
      </w:r>
      <w:r>
        <w:rPr>
          <w:rFonts w:hint="eastAsia"/>
          <w:b/>
          <w:color w:val="auto"/>
          <w:sz w:val="24"/>
          <w:szCs w:val="24"/>
          <w:highlight w:val="none"/>
          <w:lang w:eastAsia="zh-CN"/>
        </w:rPr>
        <w:t>三</w:t>
      </w:r>
      <w:r>
        <w:rPr>
          <w:rFonts w:hint="eastAsia"/>
          <w:b/>
          <w:color w:val="auto"/>
          <w:sz w:val="24"/>
          <w:szCs w:val="24"/>
          <w:highlight w:val="none"/>
        </w:rPr>
        <w:t>、本合同有效期</w:t>
      </w:r>
      <w:r>
        <w:rPr>
          <w:rFonts w:hint="eastAsia" w:ascii="宋体" w:hAnsi="宋体"/>
          <w:color w:val="auto"/>
          <w:sz w:val="24"/>
          <w:szCs w:val="24"/>
          <w:highlight w:val="none"/>
        </w:rPr>
        <w:t>：</w:t>
      </w:r>
      <w:r>
        <w:rPr>
          <w:rFonts w:hint="eastAsia" w:ascii="宋体" w:hAnsi="宋体"/>
          <w:color w:val="auto"/>
          <w:sz w:val="24"/>
          <w:szCs w:val="24"/>
          <w:highlight w:val="none"/>
          <w:lang w:eastAsia="zh-CN"/>
        </w:rPr>
        <w:t>壹年，</w:t>
      </w:r>
      <w:r>
        <w:rPr>
          <w:rFonts w:hint="eastAsia" w:ascii="宋体" w:hAnsi="宋体"/>
          <w:b/>
          <w:color w:val="auto"/>
          <w:sz w:val="24"/>
          <w:szCs w:val="24"/>
          <w:highlight w:val="none"/>
          <w:u w:val="none"/>
          <w:lang w:val="en-US" w:eastAsia="zh-CN"/>
        </w:rPr>
        <w:t>2023</w:t>
      </w:r>
      <w:r>
        <w:rPr>
          <w:rFonts w:hint="eastAsia" w:ascii="宋体" w:hAnsi="宋体"/>
          <w:b/>
          <w:color w:val="auto"/>
          <w:sz w:val="24"/>
          <w:szCs w:val="24"/>
          <w:highlight w:val="none"/>
          <w:u w:val="none"/>
        </w:rPr>
        <w:t>年</w:t>
      </w:r>
      <w:r>
        <w:rPr>
          <w:rFonts w:hint="eastAsia" w:ascii="宋体" w:hAnsi="宋体"/>
          <w:b/>
          <w:color w:val="auto"/>
          <w:sz w:val="24"/>
          <w:szCs w:val="24"/>
          <w:highlight w:val="none"/>
          <w:u w:val="none"/>
          <w:lang w:val="en-US" w:eastAsia="zh-CN"/>
        </w:rPr>
        <w:t>04</w:t>
      </w:r>
      <w:r>
        <w:rPr>
          <w:rFonts w:hint="eastAsia" w:ascii="宋体" w:hAnsi="宋体"/>
          <w:b/>
          <w:color w:val="auto"/>
          <w:sz w:val="24"/>
          <w:szCs w:val="24"/>
          <w:highlight w:val="none"/>
          <w:u w:val="none"/>
        </w:rPr>
        <w:t>月至</w:t>
      </w:r>
      <w:r>
        <w:rPr>
          <w:rFonts w:hint="eastAsia" w:ascii="宋体" w:hAnsi="宋体"/>
          <w:b/>
          <w:color w:val="auto"/>
          <w:sz w:val="24"/>
          <w:szCs w:val="24"/>
          <w:highlight w:val="none"/>
          <w:u w:val="none"/>
          <w:lang w:val="en-US" w:eastAsia="zh-CN"/>
        </w:rPr>
        <w:t>该项目完工</w:t>
      </w:r>
    </w:p>
    <w:p>
      <w:pPr>
        <w:spacing w:line="360" w:lineRule="auto"/>
        <w:ind w:firstLine="472" w:firstLineChars="196"/>
        <w:textAlignment w:val="baseline"/>
        <w:rPr>
          <w:color w:val="auto"/>
          <w:sz w:val="24"/>
          <w:szCs w:val="24"/>
          <w:highlight w:val="none"/>
        </w:rPr>
      </w:pPr>
      <w:r>
        <w:rPr>
          <w:rFonts w:hint="eastAsia"/>
          <w:b/>
          <w:color w:val="auto"/>
          <w:sz w:val="24"/>
          <w:szCs w:val="24"/>
          <w:highlight w:val="none"/>
        </w:rPr>
        <w:t>十</w:t>
      </w:r>
      <w:r>
        <w:rPr>
          <w:rFonts w:hint="eastAsia"/>
          <w:b/>
          <w:color w:val="auto"/>
          <w:sz w:val="24"/>
          <w:szCs w:val="24"/>
          <w:highlight w:val="none"/>
          <w:lang w:eastAsia="zh-CN"/>
        </w:rPr>
        <w:t>四</w:t>
      </w:r>
      <w:r>
        <w:rPr>
          <w:rFonts w:hint="eastAsia"/>
          <w:b/>
          <w:color w:val="auto"/>
          <w:sz w:val="24"/>
          <w:szCs w:val="24"/>
          <w:highlight w:val="none"/>
        </w:rPr>
        <w:t>、争议及解决方式：</w:t>
      </w:r>
      <w:r>
        <w:rPr>
          <w:rFonts w:hint="eastAsia"/>
          <w:color w:val="auto"/>
          <w:sz w:val="24"/>
          <w:szCs w:val="24"/>
          <w:highlight w:val="none"/>
        </w:rPr>
        <w:t>本合同在执行过程中若发生争议，双方协商解决，协商不成，可向</w:t>
      </w:r>
      <w:r>
        <w:rPr>
          <w:rFonts w:hint="eastAsia"/>
          <w:b/>
          <w:color w:val="auto"/>
          <w:sz w:val="24"/>
          <w:szCs w:val="24"/>
          <w:highlight w:val="none"/>
          <w:u w:val="single"/>
        </w:rPr>
        <w:t>重庆</w:t>
      </w:r>
      <w:r>
        <w:rPr>
          <w:rFonts w:hint="eastAsia"/>
          <w:color w:val="auto"/>
          <w:sz w:val="24"/>
          <w:szCs w:val="24"/>
          <w:highlight w:val="none"/>
        </w:rPr>
        <w:t>仲裁委员会申请仲裁。</w:t>
      </w:r>
    </w:p>
    <w:p>
      <w:pPr>
        <w:spacing w:line="360" w:lineRule="auto"/>
        <w:ind w:firstLine="472" w:firstLineChars="196"/>
        <w:textAlignment w:val="baseline"/>
        <w:rPr>
          <w:color w:val="auto"/>
          <w:sz w:val="24"/>
          <w:szCs w:val="24"/>
          <w:highlight w:val="none"/>
        </w:rPr>
      </w:pPr>
      <w:r>
        <w:rPr>
          <w:rFonts w:hint="eastAsia"/>
          <w:b/>
          <w:color w:val="auto"/>
          <w:sz w:val="24"/>
          <w:szCs w:val="24"/>
          <w:highlight w:val="none"/>
        </w:rPr>
        <w:t>十</w:t>
      </w:r>
      <w:r>
        <w:rPr>
          <w:rFonts w:hint="eastAsia"/>
          <w:b/>
          <w:color w:val="auto"/>
          <w:sz w:val="24"/>
          <w:szCs w:val="24"/>
          <w:highlight w:val="none"/>
          <w:lang w:eastAsia="zh-CN"/>
        </w:rPr>
        <w:t>五</w:t>
      </w:r>
      <w:r>
        <w:rPr>
          <w:rFonts w:hint="eastAsia"/>
          <w:b/>
          <w:color w:val="auto"/>
          <w:sz w:val="24"/>
          <w:szCs w:val="24"/>
          <w:highlight w:val="none"/>
        </w:rPr>
        <w:t>、合同签订点</w:t>
      </w:r>
      <w:r>
        <w:rPr>
          <w:rFonts w:hint="eastAsia"/>
          <w:color w:val="auto"/>
          <w:sz w:val="24"/>
          <w:szCs w:val="24"/>
          <w:highlight w:val="none"/>
        </w:rPr>
        <w:t>：重庆市沙坪坝区梨高路4号</w:t>
      </w:r>
    </w:p>
    <w:p>
      <w:pPr>
        <w:spacing w:line="360" w:lineRule="auto"/>
        <w:ind w:firstLine="472" w:firstLineChars="196"/>
        <w:textAlignment w:val="baseline"/>
        <w:rPr>
          <w:rFonts w:hint="eastAsia"/>
          <w:color w:val="auto"/>
          <w:sz w:val="24"/>
          <w:szCs w:val="24"/>
          <w:highlight w:val="none"/>
        </w:rPr>
      </w:pPr>
      <w:r>
        <w:rPr>
          <w:rFonts w:hint="eastAsia"/>
          <w:b/>
          <w:color w:val="auto"/>
          <w:sz w:val="24"/>
          <w:szCs w:val="24"/>
          <w:highlight w:val="none"/>
        </w:rPr>
        <w:t>十</w:t>
      </w:r>
      <w:r>
        <w:rPr>
          <w:rFonts w:hint="eastAsia"/>
          <w:b/>
          <w:color w:val="auto"/>
          <w:sz w:val="24"/>
          <w:szCs w:val="24"/>
          <w:highlight w:val="none"/>
          <w:lang w:eastAsia="zh-CN"/>
        </w:rPr>
        <w:t>六</w:t>
      </w:r>
      <w:r>
        <w:rPr>
          <w:rFonts w:hint="eastAsia"/>
          <w:b/>
          <w:color w:val="auto"/>
          <w:sz w:val="24"/>
          <w:szCs w:val="24"/>
          <w:highlight w:val="none"/>
        </w:rPr>
        <w:t>、</w:t>
      </w:r>
      <w:r>
        <w:rPr>
          <w:rFonts w:hint="eastAsia"/>
          <w:color w:val="auto"/>
          <w:sz w:val="24"/>
          <w:szCs w:val="24"/>
          <w:highlight w:val="none"/>
        </w:rPr>
        <w:t>本合同一式</w:t>
      </w:r>
      <w:r>
        <w:rPr>
          <w:rFonts w:hint="eastAsia"/>
          <w:b/>
          <w:color w:val="auto"/>
          <w:sz w:val="24"/>
          <w:szCs w:val="24"/>
          <w:highlight w:val="none"/>
          <w:u w:val="single"/>
          <w:lang w:eastAsia="zh-CN"/>
        </w:rPr>
        <w:t>陆</w:t>
      </w:r>
      <w:r>
        <w:rPr>
          <w:rFonts w:hint="eastAsia"/>
          <w:color w:val="auto"/>
          <w:sz w:val="24"/>
          <w:szCs w:val="24"/>
          <w:highlight w:val="none"/>
        </w:rPr>
        <w:t>份，甲方执</w:t>
      </w:r>
      <w:r>
        <w:rPr>
          <w:rFonts w:hint="eastAsia"/>
          <w:b/>
          <w:color w:val="auto"/>
          <w:sz w:val="24"/>
          <w:szCs w:val="24"/>
          <w:highlight w:val="none"/>
          <w:u w:val="single"/>
          <w:lang w:eastAsia="zh-CN"/>
        </w:rPr>
        <w:t>肆</w:t>
      </w:r>
      <w:r>
        <w:rPr>
          <w:rFonts w:hint="eastAsia"/>
          <w:color w:val="auto"/>
          <w:sz w:val="24"/>
          <w:szCs w:val="24"/>
          <w:highlight w:val="none"/>
        </w:rPr>
        <w:t>份，乙方执</w:t>
      </w:r>
      <w:r>
        <w:rPr>
          <w:rFonts w:hint="eastAsia"/>
          <w:b/>
          <w:color w:val="auto"/>
          <w:sz w:val="24"/>
          <w:szCs w:val="24"/>
          <w:highlight w:val="none"/>
          <w:u w:val="single"/>
          <w:lang w:eastAsia="zh-CN"/>
        </w:rPr>
        <w:t>贰</w:t>
      </w:r>
      <w:r>
        <w:rPr>
          <w:rFonts w:hint="eastAsia"/>
          <w:color w:val="auto"/>
          <w:sz w:val="24"/>
          <w:szCs w:val="24"/>
          <w:highlight w:val="none"/>
        </w:rPr>
        <w:t>份，具有同等法律效力；自双方签字并盖章后生效，完成财务结算支付后自动失效。</w:t>
      </w:r>
    </w:p>
    <w:p>
      <w:pPr>
        <w:spacing w:line="360" w:lineRule="auto"/>
        <w:rPr>
          <w:rFonts w:hint="eastAsia" w:eastAsia="宋体"/>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此页无正文</w:t>
      </w:r>
      <w:r>
        <w:rPr>
          <w:rFonts w:hint="eastAsia"/>
          <w:color w:val="auto"/>
          <w:sz w:val="24"/>
          <w:szCs w:val="24"/>
          <w:highlight w:val="none"/>
          <w:lang w:eastAsia="zh-CN"/>
        </w:rPr>
        <w:t>）</w:t>
      </w:r>
    </w:p>
    <w:p>
      <w:pPr>
        <w:spacing w:line="360" w:lineRule="auto"/>
        <w:rPr>
          <w:color w:val="auto"/>
          <w:sz w:val="24"/>
          <w:szCs w:val="24"/>
          <w:highlight w:val="none"/>
        </w:rPr>
      </w:pPr>
      <w:r>
        <w:rPr>
          <w:rFonts w:hint="eastAsia"/>
          <w:color w:val="auto"/>
          <w:sz w:val="24"/>
          <w:szCs w:val="24"/>
          <w:highlight w:val="none"/>
        </w:rPr>
        <w:t>甲方（盖章）：                           乙方（盖章）：</w:t>
      </w:r>
    </w:p>
    <w:p>
      <w:pPr>
        <w:spacing w:line="360" w:lineRule="exact"/>
        <w:rPr>
          <w:rFonts w:hint="eastAsia"/>
          <w:color w:val="auto"/>
          <w:sz w:val="24"/>
          <w:szCs w:val="24"/>
          <w:highlight w:val="none"/>
        </w:rPr>
      </w:pPr>
      <w:r>
        <w:rPr>
          <w:rFonts w:hint="eastAsia"/>
          <w:color w:val="auto"/>
          <w:sz w:val="24"/>
          <w:szCs w:val="24"/>
          <w:highlight w:val="none"/>
        </w:rPr>
        <w:t xml:space="preserve">重庆通力高速公路养护工程有限公司         </w:t>
      </w:r>
      <w:r>
        <w:rPr>
          <w:rFonts w:hint="eastAsia"/>
          <w:b w:val="0"/>
          <w:bCs w:val="0"/>
          <w:color w:val="auto"/>
          <w:sz w:val="24"/>
          <w:szCs w:val="24"/>
          <w:highlight w:val="none"/>
          <w:lang w:eastAsia="zh-CN"/>
        </w:rPr>
        <w:t xml:space="preserve"> </w:t>
      </w:r>
    </w:p>
    <w:p>
      <w:pPr>
        <w:spacing w:line="360" w:lineRule="auto"/>
        <w:rPr>
          <w:color w:val="auto"/>
          <w:sz w:val="24"/>
          <w:szCs w:val="24"/>
          <w:highlight w:val="none"/>
        </w:rPr>
      </w:pPr>
      <w:r>
        <w:rPr>
          <w:rFonts w:hint="eastAsia"/>
          <w:color w:val="auto"/>
          <w:sz w:val="24"/>
          <w:szCs w:val="24"/>
          <w:highlight w:val="none"/>
        </w:rPr>
        <w:t>法定代表人                               法定代表人</w:t>
      </w:r>
    </w:p>
    <w:p>
      <w:pPr>
        <w:spacing w:line="360" w:lineRule="auto"/>
        <w:rPr>
          <w:color w:val="auto"/>
          <w:sz w:val="24"/>
          <w:szCs w:val="24"/>
          <w:highlight w:val="none"/>
        </w:rPr>
      </w:pPr>
      <w:r>
        <w:rPr>
          <w:rFonts w:hint="eastAsia"/>
          <w:color w:val="auto"/>
          <w:sz w:val="24"/>
          <w:szCs w:val="24"/>
          <w:highlight w:val="none"/>
        </w:rPr>
        <w:t>或授权代表：                             或授权代表：</w:t>
      </w:r>
    </w:p>
    <w:p>
      <w:pPr>
        <w:spacing w:line="360" w:lineRule="auto"/>
        <w:rPr>
          <w:color w:val="auto"/>
          <w:sz w:val="24"/>
          <w:szCs w:val="24"/>
          <w:highlight w:val="none"/>
        </w:rPr>
      </w:pPr>
      <w:r>
        <w:rPr>
          <w:rFonts w:hint="eastAsia"/>
          <w:color w:val="auto"/>
          <w:sz w:val="24"/>
          <w:szCs w:val="24"/>
          <w:highlight w:val="none"/>
        </w:rPr>
        <w:t>部门负责人：                             经办人：</w:t>
      </w:r>
    </w:p>
    <w:p>
      <w:pPr>
        <w:spacing w:line="360" w:lineRule="auto"/>
        <w:rPr>
          <w:color w:val="auto"/>
          <w:sz w:val="24"/>
          <w:szCs w:val="24"/>
          <w:highlight w:val="none"/>
        </w:rPr>
      </w:pPr>
      <w:r>
        <w:rPr>
          <w:rFonts w:hint="eastAsia"/>
          <w:color w:val="auto"/>
          <w:sz w:val="24"/>
          <w:szCs w:val="24"/>
          <w:highlight w:val="none"/>
        </w:rPr>
        <w:t>经办人：                                 开户银行：</w:t>
      </w:r>
      <w:r>
        <w:rPr>
          <w:rFonts w:hint="eastAsia"/>
          <w:color w:val="auto"/>
          <w:sz w:val="24"/>
          <w:szCs w:val="24"/>
          <w:highlight w:val="none"/>
          <w:lang w:val="en-US" w:eastAsia="zh-CN"/>
        </w:rPr>
        <w:t xml:space="preserve">         </w:t>
      </w:r>
    </w:p>
    <w:p>
      <w:pPr>
        <w:spacing w:line="360" w:lineRule="auto"/>
        <w:rPr>
          <w:color w:val="auto"/>
          <w:sz w:val="24"/>
          <w:szCs w:val="24"/>
          <w:highlight w:val="none"/>
        </w:rPr>
      </w:pPr>
      <w:r>
        <w:rPr>
          <w:rFonts w:hint="eastAsia"/>
          <w:color w:val="auto"/>
          <w:sz w:val="24"/>
          <w:szCs w:val="24"/>
          <w:highlight w:val="none"/>
        </w:rPr>
        <w:t xml:space="preserve">                                         账号：</w:t>
      </w:r>
      <w:r>
        <w:rPr>
          <w:rFonts w:hint="eastAsia"/>
          <w:color w:val="auto"/>
          <w:sz w:val="24"/>
          <w:szCs w:val="24"/>
          <w:highlight w:val="none"/>
          <w:lang w:eastAsia="zh-CN"/>
        </w:rPr>
        <w:t xml:space="preserve"> </w:t>
      </w:r>
      <w:r>
        <w:rPr>
          <w:rFonts w:hint="eastAsia"/>
          <w:color w:val="auto"/>
          <w:sz w:val="24"/>
          <w:szCs w:val="24"/>
          <w:highlight w:val="none"/>
          <w:lang w:val="en-US" w:eastAsia="zh-CN"/>
        </w:rPr>
        <w:t xml:space="preserve">            </w:t>
      </w:r>
    </w:p>
    <w:p>
      <w:pPr>
        <w:spacing w:line="360" w:lineRule="auto"/>
        <w:textAlignment w:val="auto"/>
        <w:rPr>
          <w:color w:val="auto"/>
          <w:highlight w:val="none"/>
        </w:rPr>
      </w:pPr>
    </w:p>
    <w:p>
      <w:pPr>
        <w:spacing w:line="360" w:lineRule="exact"/>
        <w:rPr>
          <w:rFonts w:hint="eastAsia"/>
          <w:color w:val="auto"/>
          <w:sz w:val="24"/>
          <w:highlight w:val="none"/>
        </w:rPr>
      </w:pPr>
      <w:r>
        <w:rPr>
          <w:rFonts w:hint="eastAsia"/>
          <w:color w:val="auto"/>
          <w:sz w:val="24"/>
          <w:highlight w:val="none"/>
        </w:rPr>
        <w:t xml:space="preserve">日期：    年   月    日 　　           </w:t>
      </w:r>
      <w:r>
        <w:rPr>
          <w:rFonts w:hint="eastAsia"/>
          <w:color w:val="auto"/>
          <w:sz w:val="24"/>
          <w:highlight w:val="none"/>
          <w:lang w:val="en-US" w:eastAsia="zh-CN"/>
        </w:rPr>
        <w:t xml:space="preserve">  </w:t>
      </w:r>
      <w:r>
        <w:rPr>
          <w:rFonts w:hint="eastAsia"/>
          <w:color w:val="auto"/>
          <w:sz w:val="24"/>
          <w:highlight w:val="none"/>
        </w:rPr>
        <w:t xml:space="preserve">日期：    年   月    </w:t>
      </w:r>
    </w:p>
    <w:p>
      <w:pPr>
        <w:spacing w:line="360" w:lineRule="exact"/>
        <w:rPr>
          <w:rFonts w:hint="eastAsia"/>
          <w:b/>
          <w:color w:val="auto"/>
          <w:sz w:val="36"/>
          <w:highlight w:val="none"/>
          <w:lang w:val="en-US" w:eastAsia="zh-CN"/>
        </w:rPr>
      </w:pPr>
      <w:r>
        <w:rPr>
          <w:rFonts w:hint="eastAsia"/>
          <w:b/>
          <w:color w:val="auto"/>
          <w:sz w:val="36"/>
          <w:highlight w:val="none"/>
          <w:lang w:val="en-US" w:eastAsia="zh-CN"/>
        </w:rPr>
        <w:br w:type="page"/>
      </w:r>
      <w:r>
        <w:rPr>
          <w:rFonts w:hint="eastAsia"/>
          <w:b/>
          <w:color w:val="auto"/>
          <w:sz w:val="36"/>
          <w:highlight w:val="none"/>
          <w:lang w:val="en-US" w:eastAsia="zh-CN"/>
        </w:rPr>
        <w:t>渝邻高速公路K1533+500-K1548+109段路面修复养护工程</w:t>
      </w:r>
    </w:p>
    <w:p>
      <w:pPr>
        <w:spacing w:line="360" w:lineRule="exact"/>
        <w:jc w:val="center"/>
        <w:rPr>
          <w:b/>
          <w:color w:val="auto"/>
          <w:szCs w:val="21"/>
          <w:highlight w:val="none"/>
        </w:rPr>
      </w:pPr>
      <w:r>
        <w:rPr>
          <w:rFonts w:hint="eastAsia"/>
          <w:b/>
          <w:color w:val="auto"/>
          <w:sz w:val="36"/>
          <w:highlight w:val="none"/>
          <w:lang w:val="en-US" w:eastAsia="zh-CN"/>
        </w:rPr>
        <w:t>沥青混合料加工</w:t>
      </w:r>
      <w:r>
        <w:rPr>
          <w:rFonts w:hint="eastAsia"/>
          <w:b/>
          <w:color w:val="auto"/>
          <w:sz w:val="36"/>
          <w:highlight w:val="none"/>
        </w:rPr>
        <w:t>合同</w:t>
      </w:r>
      <w:r>
        <w:rPr>
          <w:rFonts w:hint="eastAsia"/>
          <w:b/>
          <w:color w:val="auto"/>
          <w:sz w:val="36"/>
          <w:szCs w:val="20"/>
          <w:highlight w:val="none"/>
          <w:u w:val="none"/>
          <w:lang w:val="en-US" w:eastAsia="zh-CN"/>
        </w:rPr>
        <w:t>之</w:t>
      </w:r>
      <w:r>
        <w:rPr>
          <w:rFonts w:hint="eastAsia"/>
          <w:b/>
          <w:color w:val="auto"/>
          <w:sz w:val="36"/>
          <w:szCs w:val="20"/>
          <w:highlight w:val="none"/>
        </w:rPr>
        <w:t>廉政合同</w:t>
      </w:r>
    </w:p>
    <w:p>
      <w:pPr>
        <w:spacing w:line="360" w:lineRule="exact"/>
        <w:textAlignment w:val="baseline"/>
        <w:rPr>
          <w:color w:val="auto"/>
          <w:szCs w:val="21"/>
          <w:highlight w:val="none"/>
        </w:rPr>
      </w:pPr>
      <w:r>
        <w:rPr>
          <w:rFonts w:hint="eastAsia"/>
          <w:color w:val="auto"/>
          <w:szCs w:val="21"/>
          <w:highlight w:val="none"/>
          <w:lang w:val="en-US" w:eastAsia="zh-CN"/>
        </w:rPr>
        <w:t xml:space="preserve">   </w:t>
      </w:r>
      <w:r>
        <w:rPr>
          <w:rFonts w:hint="eastAsia"/>
          <w:color w:val="auto"/>
          <w:szCs w:val="21"/>
          <w:highlight w:val="none"/>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资金的安全和有效使用及投资效益，</w:t>
      </w:r>
      <w:r>
        <w:rPr>
          <w:rFonts w:hint="eastAsia"/>
          <w:b/>
          <w:color w:val="auto"/>
          <w:szCs w:val="21"/>
          <w:highlight w:val="none"/>
          <w:u w:val="single"/>
        </w:rPr>
        <w:t>重庆通力高速公路养护工程有限公司</w:t>
      </w:r>
      <w:r>
        <w:rPr>
          <w:rFonts w:hint="eastAsia"/>
          <w:color w:val="auto"/>
          <w:szCs w:val="21"/>
          <w:highlight w:val="none"/>
        </w:rPr>
        <w:t>（以下称甲方）与</w:t>
      </w:r>
      <w:r>
        <w:rPr>
          <w:rFonts w:hint="eastAsia"/>
          <w:color w:val="auto"/>
          <w:szCs w:val="21"/>
          <w:highlight w:val="none"/>
          <w:u w:val="single"/>
        </w:rPr>
        <w:t xml:space="preserve"> </w:t>
      </w:r>
      <w:r>
        <w:rPr>
          <w:rFonts w:hint="eastAsia"/>
          <w:b/>
          <w:bCs/>
          <w:color w:val="auto"/>
          <w:szCs w:val="21"/>
          <w:highlight w:val="none"/>
          <w:u w:val="single"/>
          <w:lang w:eastAsia="zh-CN"/>
        </w:rPr>
        <w:t xml:space="preserve"> </w:t>
      </w:r>
      <w:r>
        <w:rPr>
          <w:rFonts w:hint="eastAsia"/>
          <w:b/>
          <w:bCs/>
          <w:color w:val="auto"/>
          <w:szCs w:val="21"/>
          <w:highlight w:val="none"/>
          <w:u w:val="single"/>
          <w:lang w:val="en-US" w:eastAsia="zh-CN"/>
        </w:rPr>
        <w:t xml:space="preserve">                   </w:t>
      </w:r>
      <w:r>
        <w:rPr>
          <w:rFonts w:hint="eastAsia"/>
          <w:color w:val="auto"/>
          <w:szCs w:val="21"/>
          <w:highlight w:val="none"/>
        </w:rPr>
        <w:t xml:space="preserve">（以下称乙方），特订立如下合同。   </w:t>
      </w:r>
    </w:p>
    <w:p>
      <w:pPr>
        <w:spacing w:line="360" w:lineRule="exact"/>
        <w:ind w:firstLine="422" w:firstLineChars="200"/>
        <w:textAlignment w:val="baseline"/>
        <w:rPr>
          <w:color w:val="auto"/>
          <w:szCs w:val="21"/>
          <w:highlight w:val="none"/>
        </w:rPr>
      </w:pPr>
      <w:r>
        <w:rPr>
          <w:rFonts w:hint="eastAsia"/>
          <w:b/>
          <w:color w:val="auto"/>
          <w:szCs w:val="21"/>
          <w:highlight w:val="none"/>
        </w:rPr>
        <w:t>一、甲乙双方的权利和义务</w:t>
      </w:r>
    </w:p>
    <w:p>
      <w:pPr>
        <w:spacing w:line="360" w:lineRule="exact"/>
        <w:ind w:firstLine="420" w:firstLineChars="200"/>
        <w:rPr>
          <w:color w:val="auto"/>
          <w:szCs w:val="21"/>
          <w:highlight w:val="none"/>
        </w:rPr>
      </w:pPr>
      <w:r>
        <w:rPr>
          <w:rFonts w:hint="eastAsia"/>
          <w:color w:val="auto"/>
          <w:szCs w:val="21"/>
          <w:highlight w:val="none"/>
        </w:rPr>
        <w:t>1、严格遵守党和国家有关法律法规及交通部的有关规定。</w:t>
      </w:r>
    </w:p>
    <w:p>
      <w:pPr>
        <w:spacing w:line="360" w:lineRule="exact"/>
        <w:ind w:firstLine="420" w:firstLineChars="200"/>
        <w:rPr>
          <w:color w:val="auto"/>
          <w:szCs w:val="21"/>
          <w:highlight w:val="none"/>
        </w:rPr>
      </w:pPr>
      <w:r>
        <w:rPr>
          <w:rFonts w:hint="eastAsia"/>
          <w:color w:val="auto"/>
          <w:szCs w:val="21"/>
          <w:highlight w:val="none"/>
        </w:rPr>
        <w:t>2、严格执</w:t>
      </w:r>
      <w:r>
        <w:rPr>
          <w:rFonts w:hint="eastAsia"/>
          <w:b/>
          <w:color w:val="auto"/>
          <w:szCs w:val="21"/>
          <w:highlight w:val="none"/>
        </w:rPr>
        <w:t>行《</w:t>
      </w:r>
      <w:r>
        <w:rPr>
          <w:rFonts w:hint="eastAsia"/>
          <w:b/>
          <w:color w:val="auto"/>
          <w:sz w:val="21"/>
          <w:szCs w:val="21"/>
          <w:highlight w:val="none"/>
          <w:lang w:val="en-US" w:eastAsia="zh-CN"/>
        </w:rPr>
        <w:t>渝邻高速公路K1533+500-K1548+109段路面修复养护工程沥青混合料加工</w:t>
      </w:r>
      <w:r>
        <w:rPr>
          <w:rFonts w:hint="eastAsia"/>
          <w:b/>
          <w:color w:val="auto"/>
          <w:sz w:val="21"/>
          <w:szCs w:val="21"/>
          <w:highlight w:val="none"/>
        </w:rPr>
        <w:t>合同</w:t>
      </w:r>
      <w:r>
        <w:rPr>
          <w:rFonts w:hint="eastAsia"/>
          <w:b/>
          <w:color w:val="auto"/>
          <w:szCs w:val="21"/>
          <w:highlight w:val="none"/>
        </w:rPr>
        <w:t>》</w:t>
      </w:r>
      <w:r>
        <w:rPr>
          <w:rFonts w:hint="eastAsia"/>
          <w:color w:val="auto"/>
          <w:szCs w:val="21"/>
          <w:highlight w:val="none"/>
        </w:rPr>
        <w:t>的相关条款，自觉按合同办事。</w:t>
      </w:r>
    </w:p>
    <w:p>
      <w:pPr>
        <w:pStyle w:val="10"/>
        <w:spacing w:line="360" w:lineRule="exact"/>
        <w:ind w:left="0" w:firstLine="420" w:firstLineChars="200"/>
        <w:rPr>
          <w:rFonts w:ascii="宋体"/>
          <w:color w:val="auto"/>
          <w:sz w:val="21"/>
          <w:szCs w:val="21"/>
          <w:highlight w:val="none"/>
        </w:rPr>
      </w:pPr>
      <w:r>
        <w:rPr>
          <w:rFonts w:hint="eastAsia" w:ascii="宋体"/>
          <w:color w:val="auto"/>
          <w:sz w:val="21"/>
          <w:szCs w:val="21"/>
          <w:highlight w:val="none"/>
        </w:rPr>
        <w:t>3</w:t>
      </w:r>
      <w:r>
        <w:rPr>
          <w:rFonts w:hint="eastAsia"/>
          <w:color w:val="auto"/>
          <w:sz w:val="21"/>
          <w:szCs w:val="21"/>
          <w:highlight w:val="none"/>
        </w:rPr>
        <w:t>、</w:t>
      </w:r>
      <w:r>
        <w:rPr>
          <w:color w:val="auto"/>
          <w:sz w:val="21"/>
          <w:szCs w:val="21"/>
          <w:highlight w:val="none"/>
        </w:rPr>
        <w:t>双方的业务活动坚持公开、公正、诚信、透明的原则（除法律认定的商业秘密和合同文件另有规定之外），不得损害国家和集体利益，违反工程建设管理规章制度。</w:t>
      </w:r>
    </w:p>
    <w:p>
      <w:pPr>
        <w:spacing w:line="360" w:lineRule="exact"/>
        <w:ind w:firstLine="420" w:firstLineChars="200"/>
        <w:rPr>
          <w:color w:val="auto"/>
          <w:szCs w:val="21"/>
          <w:highlight w:val="none"/>
        </w:rPr>
      </w:pPr>
      <w:r>
        <w:rPr>
          <w:rFonts w:hint="eastAsia"/>
          <w:color w:val="auto"/>
          <w:szCs w:val="21"/>
          <w:highlight w:val="none"/>
        </w:rPr>
        <w:t>4、建立健全廉政制度，开展廉政教育，设立廉政告示牌，公布举报电话，监督并认真查处违法违纪行为。</w:t>
      </w:r>
    </w:p>
    <w:p>
      <w:pPr>
        <w:spacing w:line="360" w:lineRule="exact"/>
        <w:ind w:firstLine="420" w:firstLineChars="200"/>
        <w:rPr>
          <w:color w:val="auto"/>
          <w:szCs w:val="21"/>
          <w:highlight w:val="none"/>
        </w:rPr>
      </w:pPr>
      <w:r>
        <w:rPr>
          <w:rFonts w:hint="eastAsia"/>
          <w:color w:val="auto"/>
          <w:szCs w:val="21"/>
          <w:highlight w:val="none"/>
        </w:rPr>
        <w:t>5、发现对方在业务活动中有违反廉政规定的行为，有及时提醒对方纠正的权利和义务。</w:t>
      </w:r>
    </w:p>
    <w:p>
      <w:pPr>
        <w:spacing w:line="360" w:lineRule="exact"/>
        <w:ind w:firstLine="420" w:firstLineChars="200"/>
        <w:rPr>
          <w:color w:val="auto"/>
          <w:szCs w:val="21"/>
          <w:highlight w:val="none"/>
        </w:rPr>
      </w:pPr>
      <w:r>
        <w:rPr>
          <w:rFonts w:hint="eastAsia"/>
          <w:color w:val="auto"/>
          <w:szCs w:val="21"/>
          <w:highlight w:val="none"/>
        </w:rPr>
        <w:t>6、发现对方严重违反本合同义务条款的行为，有向其上级有关部门举报、建议给予处理并要求告知处理结果的权利。</w:t>
      </w:r>
    </w:p>
    <w:p>
      <w:pPr>
        <w:spacing w:line="360" w:lineRule="exact"/>
        <w:ind w:firstLine="413" w:firstLineChars="196"/>
        <w:rPr>
          <w:b/>
          <w:color w:val="auto"/>
          <w:szCs w:val="21"/>
          <w:highlight w:val="none"/>
        </w:rPr>
      </w:pPr>
      <w:r>
        <w:rPr>
          <w:rFonts w:hint="eastAsia"/>
          <w:b/>
          <w:color w:val="auto"/>
          <w:szCs w:val="21"/>
          <w:highlight w:val="none"/>
        </w:rPr>
        <w:t>二、甲方义务</w:t>
      </w:r>
    </w:p>
    <w:p>
      <w:pPr>
        <w:spacing w:line="360" w:lineRule="exact"/>
        <w:ind w:firstLine="420" w:firstLineChars="200"/>
        <w:rPr>
          <w:color w:val="auto"/>
          <w:szCs w:val="21"/>
          <w:highlight w:val="none"/>
        </w:rPr>
      </w:pPr>
      <w:r>
        <w:rPr>
          <w:rFonts w:hint="eastAsia"/>
          <w:color w:val="auto"/>
          <w:szCs w:val="21"/>
          <w:highlight w:val="none"/>
        </w:rPr>
        <w:t>1、甲方及其工作人员不得索要或接受乙方的礼金、有价证券和贵重要物品，不得在乙方报销任何应由甲方或个人支付的费用等。</w:t>
      </w:r>
    </w:p>
    <w:p>
      <w:pPr>
        <w:spacing w:line="360" w:lineRule="exact"/>
        <w:ind w:firstLine="420" w:firstLineChars="200"/>
        <w:rPr>
          <w:color w:val="auto"/>
          <w:szCs w:val="21"/>
          <w:highlight w:val="none"/>
        </w:rPr>
      </w:pPr>
      <w:r>
        <w:rPr>
          <w:rFonts w:hint="eastAsia"/>
          <w:color w:val="auto"/>
          <w:szCs w:val="21"/>
          <w:highlight w:val="none"/>
        </w:rPr>
        <w:t>2、甲方工作人员不得参加乙方安排的宴请或可能影响公正的其他宴请和娱乐活动。不得接受乙方提供的通讯工具、交通工具和高档办公用品等。</w:t>
      </w:r>
    </w:p>
    <w:p>
      <w:pPr>
        <w:spacing w:line="360" w:lineRule="exact"/>
        <w:ind w:firstLine="420" w:firstLineChars="200"/>
        <w:rPr>
          <w:color w:val="auto"/>
          <w:szCs w:val="21"/>
          <w:highlight w:val="none"/>
        </w:rPr>
      </w:pPr>
      <w:r>
        <w:rPr>
          <w:rFonts w:hint="eastAsia"/>
          <w:color w:val="auto"/>
          <w:szCs w:val="21"/>
          <w:highlight w:val="none"/>
        </w:rPr>
        <w:t>3、甲方及其工作人员不得要求或者接受乙方为其住房装修、婚丧嫁娶活动、配偶子女的工作安排以及出国出境、旅游等提供方便等。</w:t>
      </w:r>
    </w:p>
    <w:p>
      <w:pPr>
        <w:spacing w:line="360" w:lineRule="exact"/>
        <w:ind w:firstLine="420" w:firstLineChars="200"/>
        <w:rPr>
          <w:color w:val="auto"/>
          <w:szCs w:val="21"/>
          <w:highlight w:val="none"/>
        </w:rPr>
      </w:pPr>
      <w:r>
        <w:rPr>
          <w:rFonts w:hint="eastAsia"/>
          <w:color w:val="auto"/>
          <w:szCs w:val="21"/>
          <w:highlight w:val="none"/>
        </w:rPr>
        <w:t>4、甲方工作人员的配偶、子女不得从事与甲方工程有关的材料设备供应、工程分包、劳务等经济活动等。</w:t>
      </w:r>
    </w:p>
    <w:p>
      <w:pPr>
        <w:spacing w:line="360" w:lineRule="exact"/>
        <w:ind w:firstLine="420" w:firstLineChars="200"/>
        <w:rPr>
          <w:color w:val="auto"/>
          <w:szCs w:val="21"/>
          <w:highlight w:val="none"/>
        </w:rPr>
      </w:pPr>
      <w:r>
        <w:rPr>
          <w:rFonts w:hint="eastAsia"/>
          <w:color w:val="auto"/>
          <w:szCs w:val="21"/>
          <w:highlight w:val="none"/>
        </w:rPr>
        <w:t>5、甲方及其工作人员不得以任何理由向乙方推荐分包单位，不得要求乙方购买合同规定外的材料和设备。</w:t>
      </w:r>
    </w:p>
    <w:p>
      <w:pPr>
        <w:spacing w:line="360" w:lineRule="exact"/>
        <w:ind w:firstLine="413" w:firstLineChars="196"/>
        <w:rPr>
          <w:b/>
          <w:color w:val="auto"/>
          <w:szCs w:val="21"/>
          <w:highlight w:val="none"/>
        </w:rPr>
      </w:pPr>
      <w:r>
        <w:rPr>
          <w:rFonts w:hint="eastAsia"/>
          <w:b/>
          <w:color w:val="auto"/>
          <w:szCs w:val="21"/>
          <w:highlight w:val="none"/>
        </w:rPr>
        <w:t>三、乙方义务</w:t>
      </w:r>
    </w:p>
    <w:p>
      <w:pPr>
        <w:spacing w:line="360" w:lineRule="exact"/>
        <w:ind w:firstLine="420" w:firstLineChars="200"/>
        <w:rPr>
          <w:color w:val="auto"/>
          <w:szCs w:val="21"/>
          <w:highlight w:val="none"/>
        </w:rPr>
      </w:pPr>
      <w:r>
        <w:rPr>
          <w:rFonts w:hint="eastAsia"/>
          <w:color w:val="auto"/>
          <w:szCs w:val="21"/>
          <w:highlight w:val="none"/>
        </w:rPr>
        <w:t>1、乙方不得以任何理由向甲方及其工作人员行贿或馈赠礼金、有价证券、贵重礼品。</w:t>
      </w:r>
    </w:p>
    <w:p>
      <w:pPr>
        <w:spacing w:line="360" w:lineRule="exact"/>
        <w:ind w:firstLine="420" w:firstLineChars="200"/>
        <w:rPr>
          <w:color w:val="auto"/>
          <w:szCs w:val="21"/>
          <w:highlight w:val="none"/>
        </w:rPr>
      </w:pPr>
      <w:r>
        <w:rPr>
          <w:rFonts w:hint="eastAsia"/>
          <w:color w:val="auto"/>
          <w:szCs w:val="21"/>
          <w:highlight w:val="none"/>
        </w:rPr>
        <w:t>2、乙方不得以任何名义为甲方及其工作人员报销应由甲方单位或个人支付的任何费用。</w:t>
      </w:r>
    </w:p>
    <w:p>
      <w:pPr>
        <w:spacing w:line="360" w:lineRule="exact"/>
        <w:ind w:firstLine="420" w:firstLineChars="200"/>
        <w:rPr>
          <w:color w:val="auto"/>
          <w:szCs w:val="21"/>
          <w:highlight w:val="none"/>
        </w:rPr>
      </w:pPr>
      <w:r>
        <w:rPr>
          <w:rFonts w:hint="eastAsia"/>
          <w:color w:val="auto"/>
          <w:szCs w:val="21"/>
          <w:highlight w:val="none"/>
        </w:rPr>
        <w:t>3、乙方不得以任何理由邀请甲方工作人员外出旅游或安排甲方工作人员参加宴请及娱乐活动。</w:t>
      </w:r>
    </w:p>
    <w:p>
      <w:pPr>
        <w:spacing w:line="360" w:lineRule="exact"/>
        <w:ind w:firstLine="420" w:firstLineChars="200"/>
        <w:rPr>
          <w:color w:val="auto"/>
          <w:szCs w:val="21"/>
          <w:highlight w:val="none"/>
        </w:rPr>
      </w:pPr>
      <w:r>
        <w:rPr>
          <w:rFonts w:hint="eastAsia"/>
          <w:color w:val="auto"/>
          <w:szCs w:val="21"/>
          <w:highlight w:val="none"/>
        </w:rPr>
        <w:t>4、乙方不得为甲方单位和个人购置或提供通讯工具、交通工具和高档办公用品等。</w:t>
      </w:r>
    </w:p>
    <w:p>
      <w:pPr>
        <w:spacing w:line="360" w:lineRule="exact"/>
        <w:ind w:firstLine="420" w:firstLineChars="200"/>
        <w:rPr>
          <w:color w:val="auto"/>
          <w:szCs w:val="21"/>
          <w:highlight w:val="none"/>
        </w:rPr>
      </w:pPr>
      <w:r>
        <w:rPr>
          <w:rFonts w:hint="eastAsia"/>
          <w:color w:val="auto"/>
          <w:szCs w:val="21"/>
          <w:highlight w:val="none"/>
        </w:rPr>
        <w:t>5、乙方及其工作人员应严格按规程办事，不得为谋取私利向工作人员非法行贿，私下串通，损害甲方利益。同时依法履行向甲方承诺的上述其他廉政义务。</w:t>
      </w:r>
    </w:p>
    <w:p>
      <w:pPr>
        <w:spacing w:line="360" w:lineRule="exact"/>
        <w:ind w:firstLine="420" w:firstLineChars="200"/>
        <w:rPr>
          <w:color w:val="auto"/>
          <w:szCs w:val="21"/>
          <w:highlight w:val="none"/>
        </w:rPr>
      </w:pPr>
      <w:r>
        <w:rPr>
          <w:rFonts w:hint="eastAsia"/>
          <w:color w:val="auto"/>
          <w:szCs w:val="21"/>
          <w:highlight w:val="none"/>
        </w:rPr>
        <w:t>6、乙方如果发现甲方工作人员有违反廉政规定的行为，应向甲方组织或上级单位举报。甲方均不得找任何借口对乙方进行报复。甲方对举报属实或严格遵守廉政合同的乙方，在同等条件下给予承接后续工程的优先邀请投标权。</w:t>
      </w:r>
    </w:p>
    <w:p>
      <w:pPr>
        <w:spacing w:line="360" w:lineRule="exact"/>
        <w:ind w:firstLine="413" w:firstLineChars="196"/>
        <w:rPr>
          <w:b/>
          <w:color w:val="auto"/>
          <w:szCs w:val="21"/>
          <w:highlight w:val="none"/>
        </w:rPr>
      </w:pPr>
      <w:r>
        <w:rPr>
          <w:rFonts w:hint="eastAsia"/>
          <w:b/>
          <w:color w:val="auto"/>
          <w:szCs w:val="21"/>
          <w:highlight w:val="none"/>
        </w:rPr>
        <w:t>四、违约责任</w:t>
      </w:r>
    </w:p>
    <w:p>
      <w:pPr>
        <w:spacing w:line="360" w:lineRule="exact"/>
        <w:ind w:firstLine="420" w:firstLineChars="200"/>
        <w:rPr>
          <w:color w:val="auto"/>
          <w:szCs w:val="21"/>
          <w:highlight w:val="none"/>
        </w:rPr>
      </w:pPr>
      <w:r>
        <w:rPr>
          <w:rFonts w:hint="eastAsia"/>
          <w:color w:val="auto"/>
          <w:szCs w:val="21"/>
          <w:highlight w:val="none"/>
        </w:rPr>
        <w:t>1、甲方及其工作人员违反本合同第一、二条，按管理权限，依据有关规定给予党纪、政纪或组织处理；涉嫌犯罪的，移交司法机关追究刑事责任；给乙方单位造成经济损失的，应予以赔偿。</w:t>
      </w:r>
    </w:p>
    <w:p>
      <w:pPr>
        <w:spacing w:line="360" w:lineRule="exact"/>
        <w:ind w:firstLine="420" w:firstLineChars="200"/>
        <w:rPr>
          <w:color w:val="auto"/>
          <w:szCs w:val="21"/>
          <w:highlight w:val="none"/>
        </w:rPr>
      </w:pPr>
      <w:r>
        <w:rPr>
          <w:rFonts w:hint="eastAsia"/>
          <w:color w:val="auto"/>
          <w:szCs w:val="21"/>
          <w:highlight w:val="none"/>
        </w:rPr>
        <w:t>2、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360" w:lineRule="exact"/>
        <w:ind w:firstLine="413" w:firstLineChars="196"/>
        <w:rPr>
          <w:rFonts w:hint="eastAsia"/>
          <w:b w:val="0"/>
          <w:bCs/>
          <w:color w:val="auto"/>
          <w:szCs w:val="21"/>
          <w:highlight w:val="none"/>
        </w:rPr>
      </w:pPr>
      <w:r>
        <w:rPr>
          <w:rFonts w:hint="eastAsia"/>
          <w:b/>
          <w:color w:val="auto"/>
          <w:szCs w:val="21"/>
          <w:highlight w:val="none"/>
        </w:rPr>
        <w:t>五　</w:t>
      </w:r>
      <w:r>
        <w:rPr>
          <w:rFonts w:hint="eastAsia"/>
          <w:b w:val="0"/>
          <w:bCs/>
          <w:color w:val="auto"/>
          <w:szCs w:val="21"/>
          <w:highlight w:val="none"/>
        </w:rPr>
        <w:t>双方约定本协议由双方或双方上级单位的纪检监察部门负责监督执行。</w:t>
      </w:r>
    </w:p>
    <w:p>
      <w:pPr>
        <w:spacing w:line="360" w:lineRule="exact"/>
        <w:ind w:firstLine="413" w:firstLineChars="196"/>
        <w:rPr>
          <w:color w:val="auto"/>
          <w:szCs w:val="21"/>
          <w:highlight w:val="none"/>
        </w:rPr>
      </w:pPr>
      <w:r>
        <w:rPr>
          <w:rFonts w:hint="eastAsia"/>
          <w:b/>
          <w:color w:val="auto"/>
          <w:szCs w:val="21"/>
          <w:highlight w:val="none"/>
        </w:rPr>
        <w:t>六、</w:t>
      </w:r>
      <w:r>
        <w:rPr>
          <w:rFonts w:hint="eastAsia"/>
          <w:color w:val="auto"/>
          <w:szCs w:val="21"/>
          <w:highlight w:val="none"/>
        </w:rPr>
        <w:t>本合同有效期为甲乙双方签署之日起至该合同到期后止。</w:t>
      </w:r>
    </w:p>
    <w:p>
      <w:pPr>
        <w:spacing w:line="360" w:lineRule="exact"/>
        <w:ind w:firstLine="413" w:firstLineChars="196"/>
        <w:rPr>
          <w:color w:val="auto"/>
          <w:szCs w:val="21"/>
          <w:highlight w:val="none"/>
        </w:rPr>
      </w:pPr>
      <w:r>
        <w:rPr>
          <w:rFonts w:hint="eastAsia"/>
          <w:b/>
          <w:color w:val="auto"/>
          <w:szCs w:val="21"/>
          <w:highlight w:val="none"/>
        </w:rPr>
        <w:t>七、</w:t>
      </w:r>
      <w:r>
        <w:rPr>
          <w:rFonts w:hint="eastAsia"/>
          <w:color w:val="auto"/>
          <w:szCs w:val="21"/>
          <w:highlight w:val="none"/>
        </w:rPr>
        <w:t>本合同作为</w:t>
      </w:r>
      <w:r>
        <w:rPr>
          <w:rFonts w:hint="eastAsia"/>
          <w:b/>
          <w:color w:val="auto"/>
          <w:szCs w:val="21"/>
          <w:highlight w:val="none"/>
        </w:rPr>
        <w:t>《</w:t>
      </w:r>
      <w:r>
        <w:rPr>
          <w:rFonts w:hint="eastAsia"/>
          <w:b/>
          <w:color w:val="auto"/>
          <w:sz w:val="21"/>
          <w:szCs w:val="21"/>
          <w:highlight w:val="none"/>
          <w:lang w:val="en-US" w:eastAsia="zh-CN"/>
        </w:rPr>
        <w:t>渝邻高速公路K1533+500-K1548+109段路面修复养护工程沥青混合料加工</w:t>
      </w:r>
      <w:r>
        <w:rPr>
          <w:rFonts w:hint="eastAsia"/>
          <w:b/>
          <w:color w:val="auto"/>
          <w:sz w:val="21"/>
          <w:szCs w:val="21"/>
          <w:highlight w:val="none"/>
        </w:rPr>
        <w:t>合同</w:t>
      </w:r>
      <w:r>
        <w:rPr>
          <w:rFonts w:hint="eastAsia"/>
          <w:b/>
          <w:color w:val="auto"/>
          <w:szCs w:val="21"/>
          <w:highlight w:val="none"/>
        </w:rPr>
        <w:t>》</w:t>
      </w:r>
      <w:r>
        <w:rPr>
          <w:rFonts w:hint="eastAsia"/>
          <w:color w:val="auto"/>
          <w:szCs w:val="21"/>
          <w:highlight w:val="none"/>
        </w:rPr>
        <w:t>的附件，具有同等的法律效力，经合同双方签署立即生效。</w:t>
      </w:r>
    </w:p>
    <w:p>
      <w:pPr>
        <w:spacing w:line="360" w:lineRule="exact"/>
        <w:ind w:firstLine="413" w:firstLineChars="196"/>
        <w:textAlignment w:val="baseline"/>
        <w:rPr>
          <w:rFonts w:hint="eastAsia" w:ascii="宋体" w:hAnsi="宋体"/>
          <w:color w:val="auto"/>
          <w:szCs w:val="21"/>
          <w:highlight w:val="none"/>
        </w:rPr>
      </w:pPr>
      <w:r>
        <w:rPr>
          <w:rFonts w:hint="eastAsia"/>
          <w:b/>
          <w:color w:val="auto"/>
          <w:szCs w:val="21"/>
          <w:highlight w:val="none"/>
        </w:rPr>
        <w:t>八、</w:t>
      </w:r>
      <w:r>
        <w:rPr>
          <w:rFonts w:hint="eastAsia" w:ascii="宋体"/>
          <w:color w:val="auto"/>
          <w:szCs w:val="21"/>
          <w:highlight w:val="none"/>
        </w:rPr>
        <w:t>本合同一式</w:t>
      </w:r>
      <w:r>
        <w:rPr>
          <w:rFonts w:hint="eastAsia" w:ascii="宋体"/>
          <w:b/>
          <w:color w:val="auto"/>
          <w:szCs w:val="21"/>
          <w:highlight w:val="none"/>
          <w:u w:val="single"/>
        </w:rPr>
        <w:t>陆</w:t>
      </w:r>
      <w:r>
        <w:rPr>
          <w:rFonts w:hint="eastAsia" w:ascii="宋体"/>
          <w:color w:val="auto"/>
          <w:szCs w:val="21"/>
          <w:highlight w:val="none"/>
        </w:rPr>
        <w:t>份，甲方执</w:t>
      </w:r>
      <w:r>
        <w:rPr>
          <w:rFonts w:hint="eastAsia" w:ascii="宋体"/>
          <w:b/>
          <w:color w:val="auto"/>
          <w:szCs w:val="21"/>
          <w:highlight w:val="none"/>
          <w:u w:val="single"/>
        </w:rPr>
        <w:t>肆</w:t>
      </w:r>
      <w:r>
        <w:rPr>
          <w:rFonts w:hint="eastAsia" w:ascii="宋体"/>
          <w:color w:val="auto"/>
          <w:szCs w:val="21"/>
          <w:highlight w:val="none"/>
        </w:rPr>
        <w:t>份，乙方执</w:t>
      </w:r>
      <w:r>
        <w:rPr>
          <w:rFonts w:hint="eastAsia" w:ascii="宋体"/>
          <w:b/>
          <w:color w:val="auto"/>
          <w:szCs w:val="21"/>
          <w:highlight w:val="none"/>
          <w:u w:val="single"/>
        </w:rPr>
        <w:t>贰</w:t>
      </w:r>
      <w:r>
        <w:rPr>
          <w:rFonts w:hint="eastAsia" w:ascii="宋体"/>
          <w:color w:val="auto"/>
          <w:szCs w:val="21"/>
          <w:highlight w:val="none"/>
        </w:rPr>
        <w:t>份；具有同等法律效力；自双方签字并盖章后生效，甲乙双方</w:t>
      </w:r>
      <w:r>
        <w:rPr>
          <w:rFonts w:hint="eastAsia" w:ascii="宋体" w:hAnsi="宋体"/>
          <w:color w:val="auto"/>
          <w:szCs w:val="21"/>
          <w:highlight w:val="none"/>
        </w:rPr>
        <w:t>履行合同全部义务、结算价款支付完毕后，本合同即告终止。</w:t>
      </w:r>
    </w:p>
    <w:p>
      <w:pPr>
        <w:spacing w:line="360" w:lineRule="exact"/>
        <w:textAlignment w:val="baseline"/>
        <w:rPr>
          <w:rFonts w:hint="eastAsia" w:ascii="宋体" w:hAnsi="宋体"/>
          <w:color w:val="auto"/>
          <w:szCs w:val="21"/>
          <w:highlight w:val="none"/>
        </w:rPr>
      </w:pPr>
    </w:p>
    <w:p>
      <w:pPr>
        <w:spacing w:line="360" w:lineRule="exact"/>
        <w:textAlignment w:val="baseline"/>
        <w:rPr>
          <w:rFonts w:ascii="宋体" w:hAnsi="宋体"/>
          <w:color w:val="auto"/>
          <w:szCs w:val="21"/>
          <w:highlight w:val="none"/>
        </w:rPr>
      </w:pPr>
      <w:r>
        <w:rPr>
          <w:rFonts w:hint="eastAsia" w:ascii="宋体" w:hAnsi="宋体"/>
          <w:color w:val="auto"/>
          <w:szCs w:val="21"/>
          <w:highlight w:val="none"/>
        </w:rPr>
        <w:t xml:space="preserve">甲方：（盖章）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乙方：（盖章）</w:t>
      </w:r>
    </w:p>
    <w:p>
      <w:pPr>
        <w:spacing w:line="360" w:lineRule="exact"/>
        <w:rPr>
          <w:rFonts w:hint="eastAsia"/>
          <w:b w:val="0"/>
          <w:bCs w:val="0"/>
          <w:color w:val="auto"/>
          <w:szCs w:val="21"/>
          <w:highlight w:val="none"/>
          <w:u w:val="none"/>
          <w:lang w:eastAsia="zh-CN"/>
        </w:rPr>
      </w:pPr>
      <w:r>
        <w:rPr>
          <w:rFonts w:hint="eastAsia"/>
          <w:color w:val="auto"/>
          <w:szCs w:val="21"/>
          <w:highlight w:val="none"/>
        </w:rPr>
        <w:t xml:space="preserve">重庆通力高速公路养护工程有限公司      </w:t>
      </w:r>
      <w:r>
        <w:rPr>
          <w:rFonts w:hint="eastAsia"/>
          <w:color w:val="auto"/>
          <w:szCs w:val="21"/>
          <w:highlight w:val="none"/>
          <w:lang w:val="en-US" w:eastAsia="zh-CN"/>
        </w:rPr>
        <w:t xml:space="preserve">             </w:t>
      </w:r>
      <w:r>
        <w:rPr>
          <w:rFonts w:hint="eastAsia"/>
          <w:b w:val="0"/>
          <w:bCs w:val="0"/>
          <w:color w:val="auto"/>
          <w:szCs w:val="21"/>
          <w:highlight w:val="none"/>
          <w:u w:val="none"/>
          <w:lang w:eastAsia="zh-CN"/>
        </w:rPr>
        <w:t xml:space="preserve"> </w:t>
      </w:r>
    </w:p>
    <w:p>
      <w:pPr>
        <w:spacing w:line="360" w:lineRule="exact"/>
        <w:rPr>
          <w:rFonts w:ascii="宋体" w:hAnsi="宋体"/>
          <w:color w:val="auto"/>
          <w:szCs w:val="21"/>
          <w:highlight w:val="none"/>
        </w:rPr>
      </w:pPr>
      <w:r>
        <w:rPr>
          <w:rFonts w:hint="eastAsia" w:ascii="宋体" w:hAnsi="宋体"/>
          <w:color w:val="auto"/>
          <w:szCs w:val="21"/>
          <w:highlight w:val="none"/>
        </w:rPr>
        <w:t xml:space="preserve">法定代表人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法定代表人</w:t>
      </w:r>
    </w:p>
    <w:p>
      <w:pPr>
        <w:spacing w:line="360" w:lineRule="exact"/>
        <w:textAlignment w:val="baseline"/>
        <w:rPr>
          <w:color w:val="auto"/>
          <w:szCs w:val="21"/>
          <w:highlight w:val="none"/>
        </w:rPr>
      </w:pPr>
      <w:r>
        <w:rPr>
          <w:rFonts w:hint="eastAsia" w:ascii="宋体" w:hAnsi="宋体"/>
          <w:color w:val="auto"/>
          <w:szCs w:val="21"/>
          <w:highlight w:val="none"/>
        </w:rPr>
        <w:t xml:space="preserve">或授权代表：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或授权代表：</w:t>
      </w:r>
    </w:p>
    <w:p>
      <w:pPr>
        <w:spacing w:line="360" w:lineRule="exact"/>
        <w:rPr>
          <w:color w:val="auto"/>
          <w:szCs w:val="21"/>
          <w:highlight w:val="none"/>
        </w:rPr>
      </w:pPr>
      <w:r>
        <w:rPr>
          <w:rFonts w:hint="eastAsia"/>
          <w:color w:val="auto"/>
          <w:szCs w:val="21"/>
          <w:highlight w:val="none"/>
        </w:rPr>
        <w:t>部门负责人：</w:t>
      </w:r>
    </w:p>
    <w:p>
      <w:pPr>
        <w:widowControl w:val="0"/>
        <w:spacing w:line="360" w:lineRule="exact"/>
        <w:ind w:left="0" w:leftChars="0" w:firstLine="0" w:firstLineChars="0"/>
        <w:jc w:val="both"/>
        <w:textAlignment w:val="baseline"/>
        <w:rPr>
          <w:rFonts w:hint="eastAsia" w:ascii="宋体" w:hAnsi="宋体"/>
          <w:color w:val="auto"/>
          <w:szCs w:val="21"/>
          <w:highlight w:val="none"/>
        </w:rPr>
      </w:pPr>
      <w:r>
        <w:rPr>
          <w:rFonts w:hint="eastAsia" w:ascii="宋体" w:hAnsi="宋体"/>
          <w:color w:val="auto"/>
          <w:szCs w:val="21"/>
          <w:highlight w:val="none"/>
        </w:rPr>
        <w:t xml:space="preserve">经办人：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经办人：</w:t>
      </w:r>
    </w:p>
    <w:p>
      <w:pPr>
        <w:tabs>
          <w:tab w:val="left" w:pos="2780"/>
        </w:tabs>
        <w:jc w:val="left"/>
        <w:rPr>
          <w:rFonts w:hint="eastAsia" w:cs="Times New Roman"/>
          <w:color w:val="auto"/>
          <w:kern w:val="2"/>
          <w:sz w:val="21"/>
          <w:highlight w:val="none"/>
          <w:lang w:val="en-US" w:eastAsia="zh-CN" w:bidi="ar-SA"/>
        </w:rPr>
      </w:pPr>
      <w:r>
        <w:rPr>
          <w:rFonts w:hint="eastAsia" w:ascii="宋体" w:hAnsi="宋体"/>
          <w:color w:val="auto"/>
          <w:szCs w:val="21"/>
          <w:highlight w:val="none"/>
        </w:rPr>
        <w:t xml:space="preserve">签约时间：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年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月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日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签约时间：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年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月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日</w:t>
      </w: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pStyle w:val="5"/>
        <w:rPr>
          <w:rFonts w:hint="eastAsia"/>
          <w:color w:val="auto"/>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rPr>
      </w:pPr>
      <w:r>
        <w:rPr>
          <w:rFonts w:hint="eastAsia" w:ascii="宋体" w:hAnsi="宋体" w:cs="宋体"/>
          <w:b/>
          <w:color w:val="auto"/>
          <w:sz w:val="36"/>
          <w:highlight w:val="none"/>
          <w:lang w:eastAsia="zh-CN"/>
        </w:rPr>
        <w:t>投标</w:t>
      </w:r>
      <w:r>
        <w:rPr>
          <w:rFonts w:hint="eastAsia" w:ascii="宋体" w:hAnsi="宋体" w:cs="宋体"/>
          <w:b/>
          <w:color w:val="auto"/>
          <w:sz w:val="36"/>
          <w:highlight w:val="none"/>
        </w:rPr>
        <w:t>文件格式</w:t>
      </w:r>
    </w:p>
    <w:p>
      <w:pPr>
        <w:jc w:val="center"/>
        <w:rPr>
          <w:rFonts w:hint="eastAsia" w:ascii="宋体" w:hAnsi="宋体" w:cs="宋体"/>
          <w:b/>
          <w:color w:val="auto"/>
          <w:sz w:val="24"/>
          <w:highlight w:val="none"/>
        </w:rPr>
      </w:pPr>
    </w:p>
    <w:p>
      <w:pPr>
        <w:jc w:val="center"/>
        <w:rPr>
          <w:rFonts w:hint="eastAsia" w:ascii="宋体" w:hAnsi="宋体" w:cs="宋体"/>
          <w:b/>
          <w:color w:val="auto"/>
          <w:sz w:val="24"/>
          <w:highlight w:val="none"/>
        </w:rPr>
      </w:pPr>
      <w:r>
        <w:rPr>
          <w:rFonts w:hint="eastAsia" w:ascii="宋体" w:hAnsi="宋体" w:cs="宋体"/>
          <w:b/>
          <w:color w:val="auto"/>
          <w:sz w:val="24"/>
          <w:highlight w:val="none"/>
        </w:rPr>
        <w:t>（以下内容为示例）</w:t>
      </w:r>
    </w:p>
    <w:p>
      <w:pPr>
        <w:jc w:val="center"/>
        <w:rPr>
          <w:rFonts w:hint="eastAsia" w:ascii="宋体" w:hAnsi="宋体" w:cs="宋体"/>
          <w:b/>
          <w:color w:val="auto"/>
          <w:sz w:val="24"/>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sectPr>
          <w:headerReference r:id="rId3" w:type="default"/>
          <w:pgSz w:w="11906" w:h="16838"/>
          <w:pgMar w:top="1418" w:right="1361" w:bottom="1418" w:left="1361"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rFonts w:hint="eastAsia" w:ascii="宋体" w:hAnsi="宋体" w:cs="宋体"/>
          <w:b/>
          <w:color w:val="auto"/>
          <w:sz w:val="40"/>
          <w:szCs w:val="44"/>
          <w:highlight w:val="none"/>
          <w:u w:val="single"/>
        </w:rPr>
      </w:pPr>
    </w:p>
    <w:p>
      <w:pPr>
        <w:jc w:val="center"/>
        <w:rPr>
          <w:rFonts w:hint="eastAsia" w:ascii="宋体" w:hAnsi="宋体" w:cs="宋体"/>
          <w:b/>
          <w:color w:val="auto"/>
          <w:sz w:val="40"/>
          <w:szCs w:val="44"/>
          <w:highlight w:val="none"/>
        </w:rPr>
      </w:pPr>
      <w:r>
        <w:rPr>
          <w:rFonts w:hint="eastAsia" w:ascii="宋体" w:hAnsi="宋体" w:cs="宋体"/>
          <w:b/>
          <w:color w:val="auto"/>
          <w:sz w:val="40"/>
          <w:szCs w:val="44"/>
          <w:highlight w:val="none"/>
          <w:u w:val="single"/>
          <w:lang w:val="en-US" w:eastAsia="zh-CN"/>
        </w:rPr>
        <w:t>渝邻高速公路K1533+500-K1548+109段路面修复养护工程沥青混合料加工</w:t>
      </w:r>
      <w:r>
        <w:rPr>
          <w:rFonts w:hint="eastAsia" w:ascii="宋体" w:hAnsi="宋体" w:cs="宋体"/>
          <w:b/>
          <w:color w:val="auto"/>
          <w:sz w:val="40"/>
          <w:szCs w:val="44"/>
          <w:highlight w:val="none"/>
          <w:u w:val="single"/>
          <w:lang w:eastAsia="zh-CN"/>
        </w:rPr>
        <w:t>投标</w:t>
      </w:r>
      <w:r>
        <w:rPr>
          <w:rFonts w:hint="eastAsia" w:ascii="宋体" w:hAnsi="宋体" w:cs="宋体"/>
          <w:b/>
          <w:color w:val="auto"/>
          <w:sz w:val="40"/>
          <w:szCs w:val="44"/>
          <w:highlight w:val="none"/>
          <w:u w:val="single"/>
        </w:rPr>
        <w:t>文件</w:t>
      </w: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u w:val="single"/>
        </w:rPr>
      </w:pPr>
      <w:r>
        <w:rPr>
          <w:rFonts w:hint="eastAsia" w:ascii="宋体" w:hAnsi="宋体" w:cs="宋体"/>
          <w:color w:val="auto"/>
          <w:sz w:val="32"/>
          <w:szCs w:val="32"/>
          <w:highlight w:val="none"/>
          <w:u w:val="single"/>
          <w:lang w:eastAsia="zh-CN"/>
        </w:rPr>
        <w:t>投标</w:t>
      </w:r>
      <w:r>
        <w:rPr>
          <w:rFonts w:hint="eastAsia" w:ascii="宋体" w:hAnsi="宋体" w:cs="宋体"/>
          <w:color w:val="auto"/>
          <w:sz w:val="32"/>
          <w:szCs w:val="32"/>
          <w:highlight w:val="none"/>
          <w:u w:val="single"/>
        </w:rPr>
        <w:t>单位名称全称（盖单位公章）</w:t>
      </w:r>
    </w:p>
    <w:p>
      <w:pPr>
        <w:jc w:val="center"/>
        <w:rPr>
          <w:rFonts w:hint="eastAsia" w:ascii="宋体" w:hAnsi="宋体" w:cs="宋体"/>
          <w:color w:val="auto"/>
          <w:sz w:val="32"/>
          <w:szCs w:val="32"/>
          <w:highlight w:val="none"/>
          <w:u w:val="single"/>
        </w:rPr>
      </w:pPr>
    </w:p>
    <w:p>
      <w:pPr>
        <w:pStyle w:val="27"/>
        <w:rPr>
          <w:rFonts w:hint="eastAsia"/>
          <w:color w:val="auto"/>
          <w:highlight w:val="none"/>
        </w:rPr>
      </w:pPr>
    </w:p>
    <w:p>
      <w:pPr>
        <w:pStyle w:val="27"/>
        <w:rPr>
          <w:rFonts w:hint="eastAsia"/>
          <w:color w:val="auto"/>
          <w:highlight w:val="none"/>
        </w:rPr>
      </w:pPr>
    </w:p>
    <w:p>
      <w:pPr>
        <w:pStyle w:val="27"/>
        <w:rPr>
          <w:rFonts w:hint="eastAsia"/>
          <w:color w:val="auto"/>
          <w:highlight w:val="none"/>
        </w:rPr>
      </w:pPr>
    </w:p>
    <w:p>
      <w:pPr>
        <w:pStyle w:val="27"/>
        <w:rPr>
          <w:rFonts w:hint="eastAsia"/>
          <w:color w:val="auto"/>
          <w:highlight w:val="none"/>
        </w:rPr>
      </w:pPr>
    </w:p>
    <w:p>
      <w:pPr>
        <w:pStyle w:val="27"/>
        <w:rPr>
          <w:rFonts w:hint="eastAsia"/>
          <w:color w:val="auto"/>
          <w:highlight w:val="none"/>
        </w:rPr>
      </w:pPr>
    </w:p>
    <w:p>
      <w:pPr>
        <w:pStyle w:val="27"/>
        <w:rPr>
          <w:rFonts w:hint="eastAsia"/>
          <w:color w:val="auto"/>
          <w:highlight w:val="none"/>
        </w:rPr>
      </w:pPr>
    </w:p>
    <w:p>
      <w:pPr>
        <w:pStyle w:val="27"/>
        <w:rPr>
          <w:rFonts w:hint="eastAsia"/>
          <w:color w:val="auto"/>
          <w:highlight w:val="none"/>
        </w:rPr>
      </w:pPr>
    </w:p>
    <w:p>
      <w:pPr>
        <w:spacing w:line="440" w:lineRule="exact"/>
        <w:outlineLvl w:val="1"/>
        <w:rPr>
          <w:rFonts w:hint="eastAsia" w:ascii="宋体" w:hAnsi="宋体" w:cs="宋体"/>
          <w:b/>
          <w:color w:val="auto"/>
          <w:highlight w:val="none"/>
        </w:rPr>
      </w:pPr>
    </w:p>
    <w:p>
      <w:pPr>
        <w:jc w:val="center"/>
        <w:outlineLvl w:val="2"/>
        <w:rPr>
          <w:rFonts w:hint="eastAsia" w:ascii="宋体" w:hAnsi="宋体" w:cs="宋体"/>
          <w:b/>
          <w:color w:val="auto"/>
          <w:sz w:val="28"/>
          <w:szCs w:val="28"/>
          <w:highlight w:val="none"/>
        </w:rPr>
      </w:pPr>
      <w:bookmarkStart w:id="24" w:name="_Toc265510122"/>
      <w:r>
        <w:rPr>
          <w:rFonts w:hint="eastAsia" w:ascii="宋体" w:hAnsi="宋体" w:cs="宋体"/>
          <w:b/>
          <w:color w:val="auto"/>
          <w:sz w:val="28"/>
          <w:szCs w:val="28"/>
          <w:highlight w:val="none"/>
        </w:rPr>
        <w:t>一、报价书</w:t>
      </w:r>
      <w:bookmarkEnd w:id="24"/>
    </w:p>
    <w:p>
      <w:pPr>
        <w:spacing w:line="440" w:lineRule="exact"/>
        <w:rPr>
          <w:rFonts w:hint="eastAsia"/>
          <w:color w:val="auto"/>
          <w:szCs w:val="21"/>
          <w:highlight w:val="none"/>
        </w:rPr>
      </w:pPr>
      <w:r>
        <w:rPr>
          <w:rFonts w:hint="eastAsia" w:ascii="宋体" w:hAnsi="宋体"/>
          <w:b/>
          <w:color w:val="auto"/>
          <w:highlight w:val="none"/>
          <w:u w:val="single"/>
        </w:rPr>
        <w:t>致：重庆通力高速公路养护工程有限公司</w:t>
      </w:r>
    </w:p>
    <w:p>
      <w:pPr>
        <w:spacing w:line="440" w:lineRule="exact"/>
        <w:ind w:firstLine="420" w:firstLineChars="200"/>
        <w:rPr>
          <w:color w:val="auto"/>
          <w:szCs w:val="21"/>
          <w:highlight w:val="none"/>
        </w:rPr>
      </w:pPr>
      <w:r>
        <w:rPr>
          <w:color w:val="auto"/>
          <w:szCs w:val="21"/>
          <w:highlight w:val="none"/>
        </w:rPr>
        <w:t>1．我方已仔细研究了</w:t>
      </w:r>
      <w:r>
        <w:rPr>
          <w:rFonts w:hint="eastAsia" w:ascii="宋体" w:hAnsi="宋体"/>
          <w:b/>
          <w:bCs/>
          <w:color w:val="auto"/>
          <w:szCs w:val="21"/>
          <w:highlight w:val="none"/>
          <w:u w:val="single"/>
          <w:lang w:val="en-US" w:eastAsia="zh-CN"/>
        </w:rPr>
        <w:t>渝邻高速公路K1533+500-K1548+109段路面修复养护工程沥青混合料加工</w:t>
      </w:r>
      <w:r>
        <w:rPr>
          <w:rFonts w:hint="eastAsia"/>
          <w:color w:val="auto"/>
          <w:szCs w:val="21"/>
          <w:highlight w:val="none"/>
          <w:lang w:eastAsia="zh-CN"/>
        </w:rPr>
        <w:t>招标</w:t>
      </w:r>
      <w:r>
        <w:rPr>
          <w:color w:val="auto"/>
          <w:szCs w:val="21"/>
          <w:highlight w:val="none"/>
        </w:rPr>
        <w:t>文件的全部内容</w:t>
      </w:r>
      <w:r>
        <w:rPr>
          <w:rFonts w:hint="eastAsia"/>
          <w:color w:val="auto"/>
          <w:szCs w:val="21"/>
          <w:highlight w:val="none"/>
        </w:rPr>
        <w:t>，愿意以总报价</w:t>
      </w:r>
      <w:r>
        <w:rPr>
          <w:rFonts w:hint="eastAsia"/>
          <w:color w:val="auto"/>
          <w:szCs w:val="21"/>
          <w:highlight w:val="none"/>
          <w:u w:val="single"/>
          <w:lang w:val="en-US" w:eastAsia="zh-CN"/>
        </w:rPr>
        <w:t xml:space="preserve">     </w:t>
      </w:r>
      <w:r>
        <w:rPr>
          <w:rFonts w:hint="eastAsia"/>
          <w:color w:val="auto"/>
          <w:szCs w:val="21"/>
          <w:highlight w:val="none"/>
        </w:rPr>
        <w:t>（大写）</w:t>
      </w:r>
      <w:r>
        <w:rPr>
          <w:rFonts w:hint="eastAsia"/>
          <w:color w:val="auto"/>
          <w:szCs w:val="21"/>
          <w:highlight w:val="none"/>
          <w:u w:val="single"/>
        </w:rPr>
        <w:t xml:space="preserve">     </w:t>
      </w:r>
      <w:r>
        <w:rPr>
          <w:rFonts w:hint="eastAsia"/>
          <w:color w:val="auto"/>
          <w:szCs w:val="21"/>
          <w:highlight w:val="none"/>
        </w:rPr>
        <w:t>（¥</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rFonts w:hint="eastAsia"/>
          <w:color w:val="auto"/>
          <w:szCs w:val="21"/>
          <w:highlight w:val="none"/>
        </w:rPr>
        <w:t>），</w:t>
      </w:r>
      <w:r>
        <w:rPr>
          <w:rFonts w:hint="eastAsia"/>
          <w:color w:val="auto"/>
          <w:szCs w:val="21"/>
          <w:highlight w:val="none"/>
          <w:lang w:val="en-US" w:eastAsia="zh-CN"/>
        </w:rPr>
        <w:t>供货期</w:t>
      </w:r>
      <w:r>
        <w:rPr>
          <w:rFonts w:hint="eastAsia"/>
          <w:color w:val="auto"/>
          <w:szCs w:val="21"/>
          <w:highlight w:val="none"/>
        </w:rPr>
        <w:t>：</w:t>
      </w:r>
      <w:r>
        <w:rPr>
          <w:rFonts w:hint="eastAsia"/>
          <w:color w:val="auto"/>
          <w:szCs w:val="21"/>
          <w:highlight w:val="none"/>
          <w:u w:val="single"/>
          <w:lang w:val="en-US" w:eastAsia="zh-CN"/>
        </w:rPr>
        <w:t xml:space="preserve">至该项目完工 </w:t>
      </w:r>
      <w:r>
        <w:rPr>
          <w:rFonts w:hint="eastAsia"/>
          <w:color w:val="auto"/>
          <w:szCs w:val="21"/>
          <w:highlight w:val="none"/>
          <w:u w:val="none"/>
          <w:lang w:val="en-US" w:eastAsia="zh-CN"/>
        </w:rPr>
        <w:t>，</w:t>
      </w:r>
      <w:r>
        <w:rPr>
          <w:rFonts w:hint="eastAsia"/>
          <w:color w:val="auto"/>
          <w:szCs w:val="21"/>
          <w:highlight w:val="none"/>
        </w:rPr>
        <w:t>并按</w:t>
      </w:r>
      <w:r>
        <w:rPr>
          <w:color w:val="auto"/>
          <w:szCs w:val="21"/>
          <w:highlight w:val="none"/>
        </w:rPr>
        <w:t>约定实施。</w:t>
      </w:r>
    </w:p>
    <w:p>
      <w:pPr>
        <w:spacing w:line="440" w:lineRule="exact"/>
        <w:ind w:firstLine="420" w:firstLineChars="200"/>
        <w:rPr>
          <w:color w:val="auto"/>
          <w:szCs w:val="21"/>
          <w:highlight w:val="none"/>
        </w:rPr>
      </w:pPr>
      <w:r>
        <w:rPr>
          <w:color w:val="auto"/>
          <w:szCs w:val="21"/>
          <w:highlight w:val="none"/>
        </w:rPr>
        <w:t>2．我方承诺在投标有效期内不修改、撤销</w:t>
      </w:r>
      <w:r>
        <w:rPr>
          <w:rFonts w:hint="eastAsia"/>
          <w:color w:val="auto"/>
          <w:szCs w:val="21"/>
          <w:highlight w:val="none"/>
          <w:lang w:eastAsia="zh-CN"/>
        </w:rPr>
        <w:t>投标</w:t>
      </w:r>
      <w:r>
        <w:rPr>
          <w:rFonts w:hint="eastAsia"/>
          <w:color w:val="auto"/>
          <w:szCs w:val="21"/>
          <w:highlight w:val="none"/>
        </w:rPr>
        <w:t>文件</w:t>
      </w:r>
      <w:r>
        <w:rPr>
          <w:color w:val="auto"/>
          <w:szCs w:val="21"/>
          <w:highlight w:val="none"/>
        </w:rPr>
        <w:t>。</w:t>
      </w:r>
    </w:p>
    <w:p>
      <w:pPr>
        <w:spacing w:line="440" w:lineRule="exact"/>
        <w:ind w:firstLine="420" w:firstLineChars="200"/>
        <w:rPr>
          <w:rFonts w:hint="eastAsia"/>
          <w:color w:val="auto"/>
          <w:szCs w:val="21"/>
          <w:highlight w:val="none"/>
        </w:rPr>
      </w:pPr>
      <w:r>
        <w:rPr>
          <w:color w:val="auto"/>
          <w:szCs w:val="21"/>
          <w:highlight w:val="none"/>
        </w:rPr>
        <w:t>3．</w:t>
      </w:r>
      <w:r>
        <w:rPr>
          <w:rFonts w:hint="eastAsia"/>
          <w:color w:val="auto"/>
          <w:highlight w:val="none"/>
        </w:rPr>
        <w:t>我方在此声明，所递交的</w:t>
      </w:r>
      <w:r>
        <w:rPr>
          <w:rFonts w:hint="eastAsia"/>
          <w:color w:val="auto"/>
          <w:highlight w:val="none"/>
          <w:lang w:eastAsia="zh-CN"/>
        </w:rPr>
        <w:t>投标</w:t>
      </w:r>
      <w:r>
        <w:rPr>
          <w:rFonts w:hint="eastAsia"/>
          <w:color w:val="auto"/>
          <w:highlight w:val="none"/>
        </w:rPr>
        <w:t>文件及有关资料内容完整、真实和准确。</w:t>
      </w:r>
    </w:p>
    <w:p>
      <w:pPr>
        <w:spacing w:line="440" w:lineRule="exact"/>
        <w:ind w:firstLine="420" w:firstLineChars="200"/>
        <w:rPr>
          <w:color w:val="auto"/>
          <w:szCs w:val="21"/>
          <w:highlight w:val="none"/>
        </w:rPr>
      </w:pPr>
      <w:r>
        <w:rPr>
          <w:color w:val="auto"/>
          <w:szCs w:val="21"/>
          <w:highlight w:val="none"/>
        </w:rPr>
        <w:t>4</w:t>
      </w:r>
      <w:r>
        <w:rPr>
          <w:rFonts w:hint="eastAsia"/>
          <w:color w:val="auto"/>
          <w:szCs w:val="21"/>
          <w:highlight w:val="none"/>
        </w:rPr>
        <w:t>．在合同协议书正式签署生效之前，本报价书连同你方的成交通知书将构成我们双方之间共同遵守的文件，对双方具有约束力。</w:t>
      </w: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rFonts w:hint="eastAsia"/>
          <w:color w:val="auto"/>
          <w:szCs w:val="21"/>
          <w:highlight w:val="none"/>
        </w:rPr>
      </w:pPr>
    </w:p>
    <w:p>
      <w:pPr>
        <w:spacing w:line="440" w:lineRule="exact"/>
        <w:ind w:firstLine="3675" w:firstLineChars="1750"/>
        <w:rPr>
          <w:color w:val="auto"/>
          <w:szCs w:val="21"/>
          <w:highlight w:val="none"/>
        </w:rPr>
      </w:pPr>
      <w:r>
        <w:rPr>
          <w:rFonts w:hint="eastAsia"/>
          <w:color w:val="auto"/>
          <w:szCs w:val="21"/>
          <w:highlight w:val="none"/>
          <w:lang w:eastAsia="zh-CN"/>
        </w:rPr>
        <w:t>投标人</w:t>
      </w:r>
      <w:r>
        <w:rPr>
          <w:color w:val="auto"/>
          <w:szCs w:val="21"/>
          <w:highlight w:val="none"/>
        </w:rPr>
        <w:t>：</w:t>
      </w:r>
      <w:r>
        <w:rPr>
          <w:color w:val="auto"/>
          <w:szCs w:val="21"/>
          <w:highlight w:val="none"/>
          <w:u w:val="single"/>
        </w:rPr>
        <w:t xml:space="preserve">                      </w:t>
      </w:r>
      <w:r>
        <w:rPr>
          <w:color w:val="auto"/>
          <w:szCs w:val="21"/>
          <w:highlight w:val="none"/>
        </w:rPr>
        <w:t>（盖单位章）</w:t>
      </w:r>
    </w:p>
    <w:p>
      <w:pPr>
        <w:spacing w:line="440" w:lineRule="exact"/>
        <w:ind w:firstLine="3675" w:firstLineChars="1750"/>
        <w:rPr>
          <w:color w:val="auto"/>
          <w:szCs w:val="21"/>
          <w:highlight w:val="none"/>
        </w:rPr>
      </w:pPr>
      <w:r>
        <w:rPr>
          <w:color w:val="auto"/>
          <w:szCs w:val="21"/>
          <w:highlight w:val="none"/>
        </w:rPr>
        <w:t>法定代表人或其委托代理人：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（签字）</w:t>
      </w:r>
    </w:p>
    <w:p>
      <w:pPr>
        <w:spacing w:line="440" w:lineRule="exact"/>
        <w:ind w:firstLine="3675" w:firstLineChars="1750"/>
        <w:rPr>
          <w:rFonts w:hint="eastAsia"/>
          <w:color w:val="auto"/>
          <w:szCs w:val="21"/>
          <w:highlight w:val="none"/>
        </w:rPr>
      </w:pPr>
      <w:r>
        <w:rPr>
          <w:color w:val="auto"/>
          <w:szCs w:val="21"/>
          <w:highlight w:val="none"/>
        </w:rPr>
        <w:t>地址：</w:t>
      </w:r>
      <w:r>
        <w:rPr>
          <w:color w:val="auto"/>
          <w:szCs w:val="21"/>
          <w:highlight w:val="none"/>
          <w:u w:val="single"/>
        </w:rPr>
        <w:t xml:space="preserve">                                     </w:t>
      </w:r>
    </w:p>
    <w:p>
      <w:pPr>
        <w:spacing w:line="440" w:lineRule="exact"/>
        <w:ind w:firstLine="3675" w:firstLineChars="1750"/>
        <w:rPr>
          <w:color w:val="auto"/>
          <w:szCs w:val="21"/>
          <w:highlight w:val="none"/>
        </w:rPr>
      </w:pPr>
      <w:r>
        <w:rPr>
          <w:color w:val="auto"/>
          <w:szCs w:val="21"/>
          <w:highlight w:val="none"/>
        </w:rPr>
        <w:t>网址：</w:t>
      </w:r>
      <w:r>
        <w:rPr>
          <w:color w:val="auto"/>
          <w:szCs w:val="21"/>
          <w:highlight w:val="none"/>
          <w:u w:val="single"/>
        </w:rPr>
        <w:t xml:space="preserve">                                     </w:t>
      </w:r>
    </w:p>
    <w:p>
      <w:pPr>
        <w:spacing w:line="440" w:lineRule="exact"/>
        <w:ind w:firstLine="3675" w:firstLineChars="1750"/>
        <w:rPr>
          <w:rFonts w:hint="eastAsia"/>
          <w:color w:val="auto"/>
          <w:szCs w:val="21"/>
          <w:highlight w:val="none"/>
        </w:rPr>
      </w:pPr>
      <w:r>
        <w:rPr>
          <w:color w:val="auto"/>
          <w:szCs w:val="21"/>
          <w:highlight w:val="none"/>
        </w:rPr>
        <w:t>电话：</w:t>
      </w:r>
      <w:r>
        <w:rPr>
          <w:color w:val="auto"/>
          <w:szCs w:val="21"/>
          <w:highlight w:val="none"/>
          <w:u w:val="single"/>
        </w:rPr>
        <w:t xml:space="preserve">                                     </w:t>
      </w:r>
    </w:p>
    <w:p>
      <w:pPr>
        <w:spacing w:line="440" w:lineRule="exact"/>
        <w:ind w:firstLine="3675" w:firstLineChars="1750"/>
        <w:rPr>
          <w:rFonts w:hint="eastAsia"/>
          <w:color w:val="auto"/>
          <w:szCs w:val="21"/>
          <w:highlight w:val="none"/>
        </w:rPr>
      </w:pPr>
      <w:r>
        <w:rPr>
          <w:color w:val="auto"/>
          <w:szCs w:val="21"/>
          <w:highlight w:val="none"/>
        </w:rPr>
        <w:t>传真：</w:t>
      </w:r>
      <w:r>
        <w:rPr>
          <w:color w:val="auto"/>
          <w:szCs w:val="21"/>
          <w:highlight w:val="none"/>
          <w:u w:val="single"/>
        </w:rPr>
        <w:t xml:space="preserve">                                     </w:t>
      </w:r>
    </w:p>
    <w:p>
      <w:pPr>
        <w:spacing w:line="440" w:lineRule="exact"/>
        <w:ind w:firstLine="3675" w:firstLineChars="1750"/>
        <w:rPr>
          <w:rFonts w:hint="eastAsia"/>
          <w:color w:val="auto"/>
          <w:szCs w:val="21"/>
          <w:highlight w:val="none"/>
        </w:rPr>
      </w:pPr>
      <w:r>
        <w:rPr>
          <w:color w:val="auto"/>
          <w:szCs w:val="21"/>
          <w:highlight w:val="none"/>
        </w:rPr>
        <w:t>邮政编码：</w:t>
      </w:r>
      <w:r>
        <w:rPr>
          <w:color w:val="auto"/>
          <w:szCs w:val="21"/>
          <w:highlight w:val="none"/>
          <w:u w:val="single"/>
        </w:rPr>
        <w:t xml:space="preserve">                                 </w:t>
      </w:r>
    </w:p>
    <w:p>
      <w:pPr>
        <w:spacing w:line="440" w:lineRule="exact"/>
        <w:ind w:firstLine="3675" w:firstLineChars="1750"/>
        <w:rPr>
          <w:color w:val="auto"/>
          <w:szCs w:val="21"/>
          <w:highlight w:val="none"/>
        </w:rPr>
      </w:pPr>
    </w:p>
    <w:p>
      <w:pPr>
        <w:spacing w:line="400" w:lineRule="atLeast"/>
        <w:jc w:val="right"/>
        <w:rPr>
          <w:color w:val="auto"/>
          <w:szCs w:val="21"/>
          <w:highlight w:val="none"/>
        </w:rPr>
      </w:pPr>
      <w:r>
        <w:rPr>
          <w:rFonts w:hint="eastAsia"/>
          <w:color w:val="auto"/>
          <w:szCs w:val="21"/>
          <w:highlight w:val="none"/>
          <w:u w:val="single"/>
        </w:rPr>
        <w:t xml:space="preserve">        </w:t>
      </w:r>
      <w:r>
        <w:rPr>
          <w:color w:val="auto"/>
          <w:szCs w:val="21"/>
          <w:highlight w:val="none"/>
        </w:rPr>
        <w:t>年</w:t>
      </w:r>
      <w:r>
        <w:rPr>
          <w:rFonts w:hint="eastAsia"/>
          <w:color w:val="auto"/>
          <w:szCs w:val="21"/>
          <w:highlight w:val="none"/>
          <w:u w:val="single"/>
        </w:rPr>
        <w:t xml:space="preserve">        </w:t>
      </w:r>
      <w:r>
        <w:rPr>
          <w:color w:val="auto"/>
          <w:szCs w:val="21"/>
          <w:highlight w:val="none"/>
        </w:rPr>
        <w:t>月</w:t>
      </w:r>
      <w:r>
        <w:rPr>
          <w:rFonts w:hint="eastAsia"/>
          <w:color w:val="auto"/>
          <w:szCs w:val="21"/>
          <w:highlight w:val="none"/>
          <w:u w:val="single"/>
        </w:rPr>
        <w:t xml:space="preserve">        </w:t>
      </w:r>
      <w:r>
        <w:rPr>
          <w:color w:val="auto"/>
          <w:szCs w:val="21"/>
          <w:highlight w:val="none"/>
        </w:rPr>
        <w:t>日</w:t>
      </w:r>
    </w:p>
    <w:p>
      <w:pPr>
        <w:spacing w:line="440" w:lineRule="exact"/>
        <w:ind w:firstLine="2003" w:firstLineChars="950"/>
        <w:outlineLvl w:val="1"/>
        <w:rPr>
          <w:rFonts w:hint="eastAsia" w:ascii="宋体" w:hAnsi="宋体" w:cs="宋体"/>
          <w:b/>
          <w:color w:val="auto"/>
          <w:highlight w:val="none"/>
        </w:rPr>
      </w:pPr>
    </w:p>
    <w:p>
      <w:pPr>
        <w:spacing w:line="440" w:lineRule="exact"/>
        <w:ind w:firstLine="2003" w:firstLineChars="950"/>
        <w:outlineLvl w:val="1"/>
        <w:rPr>
          <w:rFonts w:hint="eastAsia" w:ascii="宋体" w:hAnsi="宋体" w:cs="宋体"/>
          <w:b/>
          <w:color w:val="auto"/>
          <w:highlight w:val="none"/>
        </w:rPr>
      </w:pPr>
    </w:p>
    <w:p>
      <w:pPr>
        <w:spacing w:line="440" w:lineRule="exact"/>
        <w:ind w:firstLine="2003" w:firstLineChars="950"/>
        <w:outlineLvl w:val="1"/>
        <w:rPr>
          <w:rFonts w:hint="eastAsia" w:ascii="宋体" w:hAnsi="宋体" w:cs="宋体"/>
          <w:b/>
          <w:color w:val="auto"/>
          <w:highlight w:val="none"/>
        </w:rPr>
      </w:pPr>
    </w:p>
    <w:p>
      <w:pPr>
        <w:pStyle w:val="27"/>
        <w:rPr>
          <w:rFonts w:hint="eastAsia"/>
          <w:color w:val="auto"/>
          <w:highlight w:val="none"/>
        </w:rPr>
      </w:pPr>
    </w:p>
    <w:p>
      <w:pPr>
        <w:pStyle w:val="27"/>
        <w:rPr>
          <w:rFonts w:hint="eastAsia" w:ascii="宋体" w:hAnsi="宋体" w:cs="宋体"/>
          <w:b/>
          <w:color w:val="auto"/>
          <w:highlight w:val="none"/>
        </w:rPr>
      </w:pPr>
    </w:p>
    <w:p>
      <w:pPr>
        <w:pStyle w:val="27"/>
        <w:rPr>
          <w:rFonts w:hint="eastAsia" w:ascii="宋体" w:hAnsi="宋体" w:cs="宋体"/>
          <w:b/>
          <w:color w:val="auto"/>
          <w:highlight w:val="none"/>
        </w:rPr>
      </w:pPr>
    </w:p>
    <w:p>
      <w:pPr>
        <w:pStyle w:val="27"/>
        <w:rPr>
          <w:rFonts w:hint="eastAsia" w:ascii="宋体" w:hAnsi="宋体" w:cs="宋体"/>
          <w:b/>
          <w:color w:val="auto"/>
          <w:highlight w:val="none"/>
        </w:rPr>
      </w:pPr>
    </w:p>
    <w:p>
      <w:pPr>
        <w:pStyle w:val="27"/>
        <w:rPr>
          <w:rFonts w:hint="eastAsia" w:ascii="宋体" w:hAnsi="宋体" w:cs="宋体"/>
          <w:b/>
          <w:color w:val="auto"/>
          <w:highlight w:val="none"/>
        </w:rPr>
      </w:pPr>
    </w:p>
    <w:p>
      <w:pPr>
        <w:pStyle w:val="27"/>
        <w:rPr>
          <w:rFonts w:hint="eastAsia" w:ascii="宋体" w:hAnsi="宋体" w:cs="宋体"/>
          <w:b/>
          <w:color w:val="auto"/>
          <w:highlight w:val="none"/>
        </w:rPr>
      </w:pPr>
    </w:p>
    <w:p>
      <w:pPr>
        <w:pStyle w:val="27"/>
        <w:rPr>
          <w:rFonts w:hint="eastAsia" w:ascii="宋体" w:hAnsi="宋体" w:cs="宋体"/>
          <w:b/>
          <w:color w:val="auto"/>
          <w:highlight w:val="none"/>
        </w:rPr>
      </w:pPr>
    </w:p>
    <w:p>
      <w:pPr>
        <w:spacing w:line="440" w:lineRule="exact"/>
        <w:ind w:firstLine="2670" w:firstLineChars="950"/>
        <w:outlineLvl w:val="1"/>
        <w:rPr>
          <w:rFonts w:hint="eastAsia" w:ascii="宋体" w:hAnsi="宋体" w:cs="宋体"/>
          <w:b/>
          <w:color w:val="auto"/>
          <w:sz w:val="28"/>
          <w:szCs w:val="28"/>
          <w:highlight w:val="none"/>
        </w:rPr>
      </w:pPr>
      <w:r>
        <w:rPr>
          <w:rFonts w:hint="eastAsia" w:ascii="宋体" w:hAnsi="宋体" w:cs="宋体"/>
          <w:b/>
          <w:color w:val="auto"/>
          <w:sz w:val="28"/>
          <w:szCs w:val="28"/>
          <w:highlight w:val="none"/>
        </w:rPr>
        <w:t>二、法定代表人身份证明及授权委托书</w:t>
      </w:r>
    </w:p>
    <w:p>
      <w:pPr>
        <w:spacing w:line="440" w:lineRule="exact"/>
        <w:rPr>
          <w:rFonts w:hint="eastAsia" w:ascii="宋体" w:hAnsi="宋体" w:cs="宋体"/>
          <w:color w:val="auto"/>
          <w:sz w:val="20"/>
          <w:highlight w:val="none"/>
        </w:rPr>
      </w:pPr>
    </w:p>
    <w:p>
      <w:pPr>
        <w:topLinePunct/>
        <w:spacing w:line="440" w:lineRule="exact"/>
        <w:ind w:firstLine="422" w:firstLineChars="200"/>
        <w:jc w:val="center"/>
        <w:outlineLvl w:val="2"/>
        <w:rPr>
          <w:b/>
          <w:color w:val="auto"/>
          <w:szCs w:val="21"/>
          <w:highlight w:val="none"/>
        </w:rPr>
      </w:pPr>
      <w:bookmarkStart w:id="25" w:name="_Toc262547328"/>
      <w:r>
        <w:rPr>
          <w:rFonts w:hint="eastAsia"/>
          <w:b/>
          <w:color w:val="auto"/>
          <w:szCs w:val="21"/>
          <w:highlight w:val="none"/>
        </w:rPr>
        <w:t>（一）法定代表人身份证明</w:t>
      </w:r>
      <w:bookmarkEnd w:id="25"/>
    </w:p>
    <w:p>
      <w:pPr>
        <w:spacing w:line="440" w:lineRule="exact"/>
        <w:rPr>
          <w:color w:val="auto"/>
          <w:szCs w:val="21"/>
          <w:highlight w:val="none"/>
        </w:rPr>
      </w:pPr>
      <w:r>
        <w:rPr>
          <w:rFonts w:hint="eastAsia"/>
          <w:color w:val="auto"/>
          <w:szCs w:val="21"/>
          <w:highlight w:val="none"/>
          <w:lang w:eastAsia="zh-CN"/>
        </w:rPr>
        <w:t>投标人</w:t>
      </w:r>
      <w:r>
        <w:rPr>
          <w:rFonts w:hint="eastAsia"/>
          <w:color w:val="auto"/>
          <w:szCs w:val="21"/>
          <w:highlight w:val="none"/>
        </w:rPr>
        <w:t>名称：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pPr>
        <w:spacing w:line="440" w:lineRule="exact"/>
        <w:rPr>
          <w:color w:val="auto"/>
          <w:szCs w:val="21"/>
          <w:highlight w:val="none"/>
        </w:rPr>
      </w:pPr>
      <w:r>
        <w:rPr>
          <w:rFonts w:hint="eastAsia"/>
          <w:color w:val="auto"/>
          <w:szCs w:val="21"/>
          <w:highlight w:val="none"/>
        </w:rPr>
        <w:t>单位性质：</w:t>
      </w:r>
      <w:r>
        <w:rPr>
          <w:color w:val="auto"/>
          <w:szCs w:val="21"/>
          <w:highlight w:val="none"/>
          <w:u w:val="single"/>
        </w:rPr>
        <w:t xml:space="preserve">                               </w:t>
      </w:r>
      <w:r>
        <w:rPr>
          <w:color w:val="auto"/>
          <w:szCs w:val="21"/>
          <w:highlight w:val="none"/>
        </w:rPr>
        <w:t xml:space="preserve"> </w:t>
      </w:r>
    </w:p>
    <w:p>
      <w:pPr>
        <w:spacing w:line="440" w:lineRule="exact"/>
        <w:rPr>
          <w:color w:val="auto"/>
          <w:szCs w:val="21"/>
          <w:highlight w:val="none"/>
        </w:rPr>
      </w:pPr>
      <w:r>
        <w:rPr>
          <w:rFonts w:hint="eastAsia"/>
          <w:color w:val="auto"/>
          <w:szCs w:val="21"/>
          <w:highlight w:val="none"/>
        </w:rPr>
        <w:t>地址：</w:t>
      </w:r>
      <w:r>
        <w:rPr>
          <w:color w:val="auto"/>
          <w:szCs w:val="21"/>
          <w:highlight w:val="none"/>
          <w:u w:val="single"/>
        </w:rPr>
        <w:t xml:space="preserve">                                   </w:t>
      </w:r>
    </w:p>
    <w:p>
      <w:pPr>
        <w:spacing w:line="440" w:lineRule="exact"/>
        <w:rPr>
          <w:color w:val="auto"/>
          <w:szCs w:val="21"/>
          <w:highlight w:val="none"/>
        </w:rPr>
      </w:pPr>
      <w:r>
        <w:rPr>
          <w:rFonts w:hint="eastAsia"/>
          <w:color w:val="auto"/>
          <w:szCs w:val="21"/>
          <w:highlight w:val="none"/>
        </w:rPr>
        <w:t>成立时间：</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年</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月</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日</w:t>
      </w:r>
    </w:p>
    <w:p>
      <w:pPr>
        <w:spacing w:line="440" w:lineRule="exact"/>
        <w:rPr>
          <w:color w:val="auto"/>
          <w:szCs w:val="21"/>
          <w:highlight w:val="none"/>
        </w:rPr>
      </w:pPr>
      <w:r>
        <w:rPr>
          <w:rFonts w:hint="eastAsia"/>
          <w:color w:val="auto"/>
          <w:szCs w:val="21"/>
          <w:highlight w:val="none"/>
        </w:rPr>
        <w:t>经营期限：</w:t>
      </w:r>
      <w:r>
        <w:rPr>
          <w:color w:val="auto"/>
          <w:szCs w:val="21"/>
          <w:highlight w:val="none"/>
          <w:u w:val="single"/>
        </w:rPr>
        <w:t xml:space="preserve">                               </w:t>
      </w:r>
    </w:p>
    <w:p>
      <w:pPr>
        <w:spacing w:line="440" w:lineRule="exact"/>
        <w:rPr>
          <w:color w:val="auto"/>
          <w:szCs w:val="21"/>
          <w:highlight w:val="none"/>
        </w:rPr>
      </w:pPr>
      <w:r>
        <w:rPr>
          <w:rFonts w:hint="eastAsia"/>
          <w:color w:val="auto"/>
          <w:szCs w:val="21"/>
          <w:highlight w:val="none"/>
        </w:rPr>
        <w:t>姓名：</w:t>
      </w:r>
      <w:r>
        <w:rPr>
          <w:color w:val="auto"/>
          <w:szCs w:val="21"/>
          <w:highlight w:val="none"/>
        </w:rPr>
        <w:t xml:space="preserve"> </w:t>
      </w:r>
      <w:r>
        <w:rPr>
          <w:color w:val="auto"/>
          <w:szCs w:val="21"/>
          <w:highlight w:val="none"/>
          <w:u w:val="single"/>
        </w:rPr>
        <w:t xml:space="preserve">        </w:t>
      </w:r>
      <w:r>
        <w:rPr>
          <w:rFonts w:hint="eastAsia"/>
          <w:color w:val="auto"/>
          <w:szCs w:val="21"/>
          <w:highlight w:val="none"/>
          <w:u w:val="single"/>
        </w:rPr>
        <w:t xml:space="preserve">   （法人手签）</w:t>
      </w:r>
      <w:r>
        <w:rPr>
          <w:color w:val="auto"/>
          <w:szCs w:val="21"/>
          <w:highlight w:val="none"/>
        </w:rPr>
        <w:t xml:space="preserve"> </w:t>
      </w:r>
      <w:r>
        <w:rPr>
          <w:rFonts w:hint="eastAsia"/>
          <w:color w:val="auto"/>
          <w:szCs w:val="21"/>
          <w:highlight w:val="none"/>
        </w:rPr>
        <w:t>性别：</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年龄：</w:t>
      </w:r>
      <w:r>
        <w:rPr>
          <w:color w:val="auto"/>
          <w:szCs w:val="21"/>
          <w:highlight w:val="none"/>
          <w:u w:val="single"/>
        </w:rPr>
        <w:t xml:space="preserve">        </w:t>
      </w:r>
      <w:r>
        <w:rPr>
          <w:rFonts w:hint="eastAsia"/>
          <w:color w:val="auto"/>
          <w:szCs w:val="21"/>
          <w:highlight w:val="none"/>
        </w:rPr>
        <w:t>职务：</w:t>
      </w:r>
      <w:r>
        <w:rPr>
          <w:color w:val="auto"/>
          <w:szCs w:val="21"/>
          <w:highlight w:val="none"/>
          <w:u w:val="single"/>
        </w:rPr>
        <w:t xml:space="preserve">        </w:t>
      </w:r>
    </w:p>
    <w:p>
      <w:pPr>
        <w:spacing w:line="440" w:lineRule="exact"/>
        <w:rPr>
          <w:color w:val="auto"/>
          <w:szCs w:val="21"/>
          <w:highlight w:val="none"/>
        </w:rPr>
      </w:pPr>
      <w:r>
        <w:rPr>
          <w:rFonts w:hint="eastAsia"/>
          <w:color w:val="auto"/>
          <w:szCs w:val="21"/>
          <w:highlight w:val="none"/>
        </w:rPr>
        <w:t>系</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rFonts w:hint="eastAsia"/>
          <w:color w:val="auto"/>
          <w:szCs w:val="21"/>
          <w:highlight w:val="none"/>
          <w:lang w:eastAsia="zh-CN"/>
        </w:rPr>
        <w:t>投标人</w:t>
      </w:r>
      <w:r>
        <w:rPr>
          <w:rFonts w:hint="eastAsia"/>
          <w:color w:val="auto"/>
          <w:szCs w:val="21"/>
          <w:highlight w:val="none"/>
        </w:rPr>
        <w:t>名称）的法定代表人。</w:t>
      </w:r>
    </w:p>
    <w:p>
      <w:pPr>
        <w:spacing w:line="440" w:lineRule="exact"/>
        <w:ind w:firstLine="420" w:firstLineChars="200"/>
        <w:rPr>
          <w:color w:val="auto"/>
          <w:szCs w:val="21"/>
          <w:highlight w:val="none"/>
        </w:rPr>
      </w:pPr>
      <w:r>
        <w:rPr>
          <w:rFonts w:hint="eastAsia"/>
          <w:color w:val="auto"/>
          <w:szCs w:val="21"/>
          <w:highlight w:val="none"/>
        </w:rPr>
        <w:t>特此证明。</w:t>
      </w: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r>
        <w:rPr>
          <w:color w:val="auto"/>
          <w:szCs w:val="21"/>
          <w:highlight w:val="none"/>
        </w:rPr>
        <w:t xml:space="preserve">                          </w:t>
      </w:r>
      <w:r>
        <w:rPr>
          <w:rFonts w:hint="eastAsia"/>
          <w:color w:val="auto"/>
          <w:szCs w:val="21"/>
          <w:highlight w:val="none"/>
          <w:lang w:eastAsia="zh-CN"/>
        </w:rPr>
        <w:t>投标人</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（盖单位章）</w:t>
      </w:r>
    </w:p>
    <w:p>
      <w:pPr>
        <w:spacing w:line="440" w:lineRule="exact"/>
        <w:rPr>
          <w:color w:val="auto"/>
          <w:szCs w:val="21"/>
          <w:highlight w:val="none"/>
        </w:rPr>
      </w:pPr>
      <w:r>
        <w:rPr>
          <w:color w:val="auto"/>
          <w:szCs w:val="21"/>
          <w:highlight w:val="none"/>
        </w:rPr>
        <w:t xml:space="preserve">                                   </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r>
        <w:rPr>
          <w:color w:val="auto"/>
          <w:szCs w:val="21"/>
          <w:highlight w:val="none"/>
        </w:rPr>
        <w:t xml:space="preserve">           </w:t>
      </w: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r>
        <w:rPr>
          <w:rFonts w:hint="eastAsia" w:ascii="宋体" w:hAnsi="宋体"/>
          <w:color w:val="auto"/>
          <w:szCs w:val="21"/>
          <w:highlight w:val="none"/>
        </w:rPr>
        <w:t>注：法定代表人的签字必须是亲笔签名，不得用印章、签名章或其他电子制版签名。</w:t>
      </w:r>
    </w:p>
    <w:p>
      <w:pPr>
        <w:topLinePunct/>
        <w:spacing w:line="440" w:lineRule="exact"/>
        <w:ind w:firstLine="400" w:firstLineChars="200"/>
        <w:jc w:val="center"/>
        <w:outlineLvl w:val="2"/>
        <w:rPr>
          <w:rFonts w:hint="eastAsia" w:ascii="宋体" w:hAnsi="宋体" w:cs="宋体"/>
          <w:b/>
          <w:color w:val="auto"/>
          <w:szCs w:val="21"/>
          <w:highlight w:val="none"/>
        </w:rPr>
      </w:pPr>
      <w:r>
        <w:rPr>
          <w:rFonts w:hint="eastAsia" w:ascii="宋体" w:hAnsi="宋体" w:cs="宋体"/>
          <w:color w:val="auto"/>
          <w:sz w:val="20"/>
          <w:highlight w:val="none"/>
        </w:rPr>
        <w:br w:type="page"/>
      </w:r>
      <w:bookmarkStart w:id="26" w:name="_Toc262547329"/>
      <w:r>
        <w:rPr>
          <w:rFonts w:hint="eastAsia" w:ascii="宋体" w:hAnsi="宋体" w:cs="宋体"/>
          <w:b/>
          <w:color w:val="auto"/>
          <w:szCs w:val="21"/>
          <w:highlight w:val="none"/>
        </w:rPr>
        <w:t>（二）授权委托书</w:t>
      </w:r>
      <w:bookmarkEnd w:id="26"/>
      <w:r>
        <w:rPr>
          <w:rFonts w:hint="eastAsia" w:ascii="宋体" w:hAnsi="宋体" w:cs="宋体"/>
          <w:b/>
          <w:color w:val="auto"/>
          <w:szCs w:val="21"/>
          <w:highlight w:val="none"/>
        </w:rPr>
        <w:t xml:space="preserve"> </w:t>
      </w:r>
    </w:p>
    <w:p>
      <w:pPr>
        <w:autoSpaceDE w:val="0"/>
        <w:autoSpaceDN w:val="0"/>
        <w:adjustRightInd w:val="0"/>
        <w:snapToGrid w:val="0"/>
        <w:spacing w:line="360" w:lineRule="auto"/>
        <w:jc w:val="left"/>
        <w:rPr>
          <w:rFonts w:hint="eastAsia" w:ascii="宋体" w:hAnsi="宋体" w:cs="宋体"/>
          <w:color w:val="auto"/>
          <w:kern w:val="0"/>
          <w:sz w:val="12"/>
          <w:szCs w:val="12"/>
          <w:highlight w:val="none"/>
        </w:rPr>
      </w:pPr>
    </w:p>
    <w:p>
      <w:pPr>
        <w:autoSpaceDE w:val="0"/>
        <w:autoSpaceDN w:val="0"/>
        <w:adjustRightInd w:val="0"/>
        <w:snapToGrid w:val="0"/>
        <w:spacing w:line="360" w:lineRule="auto"/>
        <w:jc w:val="left"/>
        <w:rPr>
          <w:rFonts w:hint="eastAsia" w:ascii="宋体" w:hAnsi="宋体" w:cs="宋体"/>
          <w:color w:val="auto"/>
          <w:kern w:val="0"/>
          <w:sz w:val="20"/>
          <w:highlight w:val="none"/>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（姓名）系</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名称</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的法定代</w:t>
      </w:r>
      <w:r>
        <w:rPr>
          <w:rFonts w:hint="eastAsia" w:ascii="宋体" w:hAnsi="宋体" w:cs="宋体"/>
          <w:color w:val="auto"/>
          <w:spacing w:val="1"/>
          <w:kern w:val="0"/>
          <w:szCs w:val="21"/>
          <w:highlight w:val="none"/>
        </w:rPr>
        <w:t>表</w:t>
      </w:r>
      <w:r>
        <w:rPr>
          <w:rFonts w:hint="eastAsia" w:ascii="宋体" w:hAnsi="宋体" w:cs="宋体"/>
          <w:color w:val="auto"/>
          <w:kern w:val="0"/>
          <w:szCs w:val="21"/>
          <w:highlight w:val="none"/>
        </w:rPr>
        <w:t>人，现委托</w:t>
      </w:r>
      <w:r>
        <w:rPr>
          <w:rFonts w:hint="eastAsia" w:ascii="宋体" w:hAnsi="宋体" w:cs="宋体"/>
          <w:color w:val="auto"/>
          <w:kern w:val="0"/>
          <w:szCs w:val="21"/>
          <w:highlight w:val="none"/>
          <w:u w:val="single"/>
        </w:rPr>
        <w:t xml:space="preserve">    </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（姓名）为我方代理人。代理人根据授权，以我方名义签署、澄清、说明、补正、递交、撤回、修改</w:t>
      </w:r>
      <w:r>
        <w:rPr>
          <w:rFonts w:hint="eastAsia" w:ascii="宋体" w:hAnsi="宋体"/>
          <w:b/>
          <w:bCs/>
          <w:color w:val="auto"/>
          <w:szCs w:val="21"/>
          <w:highlight w:val="none"/>
          <w:u w:val="single"/>
          <w:lang w:val="en-US" w:eastAsia="zh-CN"/>
        </w:rPr>
        <w:t xml:space="preserve">项目名称          </w:t>
      </w:r>
      <w:r>
        <w:rPr>
          <w:rFonts w:hint="eastAsia" w:ascii="宋体" w:hAnsi="宋体" w:cs="宋体"/>
          <w:color w:val="auto"/>
          <w:kern w:val="0"/>
          <w:szCs w:val="21"/>
          <w:highlight w:val="none"/>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委托</w:t>
      </w:r>
      <w:r>
        <w:rPr>
          <w:rFonts w:hint="eastAsia" w:ascii="宋体" w:hAnsi="宋体" w:cs="宋体"/>
          <w:color w:val="auto"/>
          <w:spacing w:val="-1"/>
          <w:kern w:val="0"/>
          <w:szCs w:val="21"/>
          <w:highlight w:val="none"/>
        </w:rPr>
        <w:t>期</w:t>
      </w:r>
      <w:r>
        <w:rPr>
          <w:rFonts w:hint="eastAsia" w:ascii="宋体" w:hAnsi="宋体" w:cs="宋体"/>
          <w:color w:val="auto"/>
          <w:kern w:val="0"/>
          <w:szCs w:val="21"/>
          <w:highlight w:val="none"/>
        </w:rPr>
        <w:t>限：</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rPr>
      </w:pPr>
      <w:r>
        <w:rPr>
          <w:rFonts w:hint="eastAsia" w:ascii="宋体" w:hAnsi="宋体" w:cs="宋体"/>
          <w:b/>
          <w:bCs/>
          <w:color w:val="auto"/>
          <w:kern w:val="0"/>
          <w:szCs w:val="21"/>
          <w:highlight w:val="none"/>
        </w:rPr>
        <w:t>附：法定代表人身份证</w:t>
      </w:r>
      <w:r>
        <w:rPr>
          <w:rFonts w:hint="eastAsia" w:ascii="宋体" w:hAnsi="宋体" w:cs="宋体"/>
          <w:b/>
          <w:bCs/>
          <w:color w:val="auto"/>
          <w:kern w:val="0"/>
          <w:szCs w:val="21"/>
          <w:highlight w:val="none"/>
          <w:lang w:val="en-US" w:eastAsia="zh-CN"/>
        </w:rPr>
        <w:t>复印件、代理人身份复印件</w:t>
      </w:r>
      <w:r>
        <w:rPr>
          <w:rFonts w:hint="eastAsia" w:ascii="宋体" w:hAnsi="宋体" w:cs="宋体"/>
          <w:color w:val="auto"/>
          <w:kern w:val="0"/>
          <w:szCs w:val="21"/>
          <w:highlight w:val="none"/>
        </w:rPr>
        <w:t>。</w:t>
      </w:r>
    </w:p>
    <w:p>
      <w:pPr>
        <w:autoSpaceDE w:val="0"/>
        <w:autoSpaceDN w:val="0"/>
        <w:adjustRightInd w:val="0"/>
        <w:snapToGrid w:val="0"/>
        <w:spacing w:line="360" w:lineRule="auto"/>
        <w:jc w:val="left"/>
        <w:rPr>
          <w:rFonts w:hint="eastAsia" w:ascii="宋体" w:hAnsi="宋体" w:cs="宋体"/>
          <w:color w:val="auto"/>
          <w:kern w:val="0"/>
          <w:sz w:val="12"/>
          <w:szCs w:val="12"/>
          <w:highlight w:val="none"/>
        </w:rPr>
      </w:pPr>
    </w:p>
    <w:tbl>
      <w:tblPr>
        <w:tblStyle w:val="19"/>
        <w:tblpPr w:leftFromText="180" w:rightFromText="180" w:vertAnchor="text" w:horzAnchor="page" w:tblpX="1365" w:tblpY="340"/>
        <w:tblOverlap w:val="never"/>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90"/>
        <w:gridCol w:w="467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783" w:hRule="atLeast"/>
        </w:trPr>
        <w:tc>
          <w:tcPr>
            <w:tcW w:w="4990" w:type="dxa"/>
            <w:noWrap w:val="0"/>
            <w:vAlign w:val="center"/>
          </w:tcPr>
          <w:p>
            <w:pPr>
              <w:spacing w:line="500" w:lineRule="exact"/>
              <w:jc w:val="center"/>
              <w:rPr>
                <w:rFonts w:hint="eastAsia"/>
                <w:color w:val="auto"/>
                <w:sz w:val="28"/>
                <w:highlight w:val="none"/>
              </w:rPr>
            </w:pPr>
            <w:r>
              <w:rPr>
                <w:rFonts w:hint="eastAsia" w:ascii="宋体" w:hAnsi="宋体" w:cs="宋体"/>
                <w:color w:val="auto"/>
                <w:sz w:val="24"/>
                <w:szCs w:val="24"/>
                <w:highlight w:val="none"/>
              </w:rPr>
              <w:t>法定代表人身份证正面</w:t>
            </w:r>
          </w:p>
        </w:tc>
        <w:tc>
          <w:tcPr>
            <w:tcW w:w="4670" w:type="dxa"/>
            <w:noWrap w:val="0"/>
            <w:vAlign w:val="center"/>
          </w:tcPr>
          <w:p>
            <w:pPr>
              <w:spacing w:line="500" w:lineRule="exact"/>
              <w:jc w:val="center"/>
              <w:rPr>
                <w:rFonts w:hint="eastAsia"/>
                <w:color w:val="auto"/>
                <w:sz w:val="28"/>
                <w:highlight w:val="none"/>
              </w:rPr>
            </w:pPr>
            <w:r>
              <w:rPr>
                <w:rFonts w:hint="eastAsia" w:ascii="宋体" w:hAnsi="宋体" w:cs="宋体"/>
                <w:color w:val="auto"/>
                <w:sz w:val="24"/>
                <w:szCs w:val="24"/>
                <w:highlight w:val="none"/>
              </w:rPr>
              <w:t>法定代表人身份证反面</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808" w:hRule="atLeast"/>
        </w:trPr>
        <w:tc>
          <w:tcPr>
            <w:tcW w:w="4990" w:type="dxa"/>
            <w:noWrap w:val="0"/>
            <w:vAlign w:val="center"/>
          </w:tcPr>
          <w:p>
            <w:pPr>
              <w:spacing w:line="500" w:lineRule="exact"/>
              <w:jc w:val="center"/>
              <w:rPr>
                <w:rFonts w:hint="eastAsia"/>
                <w:color w:val="auto"/>
                <w:sz w:val="28"/>
                <w:highlight w:val="none"/>
              </w:rPr>
            </w:pPr>
            <w:r>
              <w:rPr>
                <w:rFonts w:hint="eastAsia" w:ascii="宋体" w:hAnsi="宋体" w:cs="宋体"/>
                <w:color w:val="auto"/>
                <w:sz w:val="24"/>
                <w:szCs w:val="24"/>
                <w:highlight w:val="none"/>
                <w:lang w:val="en-US" w:eastAsia="zh-CN"/>
              </w:rPr>
              <w:t>代理</w:t>
            </w:r>
            <w:r>
              <w:rPr>
                <w:rFonts w:hint="eastAsia" w:ascii="宋体" w:hAnsi="宋体" w:cs="宋体"/>
                <w:color w:val="auto"/>
                <w:sz w:val="24"/>
                <w:szCs w:val="24"/>
                <w:highlight w:val="none"/>
              </w:rPr>
              <w:t>人身份证正面</w:t>
            </w:r>
          </w:p>
        </w:tc>
        <w:tc>
          <w:tcPr>
            <w:tcW w:w="4670" w:type="dxa"/>
            <w:noWrap w:val="0"/>
            <w:vAlign w:val="center"/>
          </w:tcPr>
          <w:p>
            <w:pPr>
              <w:spacing w:line="500" w:lineRule="exact"/>
              <w:jc w:val="center"/>
              <w:rPr>
                <w:rFonts w:hint="eastAsia"/>
                <w:color w:val="auto"/>
                <w:sz w:val="28"/>
                <w:highlight w:val="none"/>
              </w:rPr>
            </w:pPr>
            <w:r>
              <w:rPr>
                <w:rFonts w:hint="eastAsia" w:ascii="宋体" w:hAnsi="宋体" w:cs="宋体"/>
                <w:color w:val="auto"/>
                <w:sz w:val="24"/>
                <w:szCs w:val="24"/>
                <w:highlight w:val="none"/>
                <w:lang w:val="en-US" w:eastAsia="zh-CN"/>
              </w:rPr>
              <w:t>代理</w:t>
            </w:r>
            <w:r>
              <w:rPr>
                <w:rFonts w:hint="eastAsia" w:ascii="宋体" w:hAnsi="宋体" w:cs="宋体"/>
                <w:color w:val="auto"/>
                <w:sz w:val="24"/>
                <w:szCs w:val="24"/>
                <w:highlight w:val="none"/>
              </w:rPr>
              <w:t>人身份证反面</w:t>
            </w:r>
          </w:p>
        </w:tc>
      </w:tr>
    </w:tbl>
    <w:p>
      <w:pPr>
        <w:autoSpaceDE w:val="0"/>
        <w:autoSpaceDN w:val="0"/>
        <w:adjustRightInd w:val="0"/>
        <w:snapToGrid w:val="0"/>
        <w:spacing w:line="360" w:lineRule="auto"/>
        <w:jc w:val="left"/>
        <w:rPr>
          <w:rFonts w:hint="eastAsia" w:ascii="宋体" w:hAnsi="宋体" w:cs="宋体"/>
          <w:color w:val="auto"/>
          <w:kern w:val="0"/>
          <w:sz w:val="20"/>
          <w:highlight w:val="none"/>
        </w:rPr>
      </w:pPr>
    </w:p>
    <w:p>
      <w:pPr>
        <w:pStyle w:val="27"/>
        <w:rPr>
          <w:rFonts w:hint="eastAsia"/>
          <w:color w:val="auto"/>
          <w:highlight w:val="none"/>
        </w:rPr>
      </w:pPr>
    </w:p>
    <w:p>
      <w:pPr>
        <w:tabs>
          <w:tab w:val="left" w:pos="4200"/>
          <w:tab w:val="left" w:pos="4620"/>
        </w:tabs>
        <w:autoSpaceDE w:val="0"/>
        <w:autoSpaceDN w:val="0"/>
        <w:adjustRightInd w:val="0"/>
        <w:snapToGrid w:val="0"/>
        <w:spacing w:line="360" w:lineRule="auto"/>
        <w:ind w:firstLine="1694"/>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w:t>
      </w:r>
      <w:r>
        <w:rPr>
          <w:rFonts w:hint="eastAsia" w:ascii="宋体" w:hAnsi="宋体" w:cs="宋体"/>
          <w:color w:val="auto"/>
          <w:kern w:val="0"/>
          <w:szCs w:val="21"/>
          <w:highlight w:val="none"/>
        </w:rPr>
        <w:t xml:space="preserve">单位公章） </w:t>
      </w:r>
    </w:p>
    <w:p>
      <w:pPr>
        <w:tabs>
          <w:tab w:val="left" w:pos="630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（签字）</w:t>
      </w:r>
    </w:p>
    <w:p>
      <w:pPr>
        <w:tabs>
          <w:tab w:val="left" w:pos="526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tabs>
          <w:tab w:val="left" w:pos="672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委托代理人：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w:t>
      </w:r>
      <w:r>
        <w:rPr>
          <w:rFonts w:hint="eastAsia" w:ascii="宋体" w:hAnsi="宋体" w:cs="宋体"/>
          <w:color w:val="auto"/>
          <w:spacing w:val="-1"/>
          <w:kern w:val="0"/>
          <w:szCs w:val="21"/>
          <w:highlight w:val="none"/>
        </w:rPr>
        <w:t>字</w:t>
      </w:r>
      <w:r>
        <w:rPr>
          <w:rFonts w:hint="eastAsia" w:ascii="宋体" w:hAnsi="宋体" w:cs="宋体"/>
          <w:color w:val="auto"/>
          <w:kern w:val="0"/>
          <w:szCs w:val="21"/>
          <w:highlight w:val="none"/>
        </w:rPr>
        <w:t>）</w:t>
      </w:r>
    </w:p>
    <w:p>
      <w:pPr>
        <w:tabs>
          <w:tab w:val="left" w:pos="6825"/>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autoSpaceDE w:val="0"/>
        <w:autoSpaceDN w:val="0"/>
        <w:adjustRightInd w:val="0"/>
        <w:snapToGrid w:val="0"/>
        <w:spacing w:line="360" w:lineRule="auto"/>
        <w:jc w:val="left"/>
        <w:rPr>
          <w:rFonts w:hint="eastAsia" w:ascii="宋体" w:hAnsi="宋体" w:cs="宋体"/>
          <w:color w:val="auto"/>
          <w:kern w:val="0"/>
          <w:sz w:val="20"/>
          <w:highlight w:val="none"/>
        </w:rPr>
      </w:pPr>
    </w:p>
    <w:p>
      <w:pPr>
        <w:autoSpaceDE w:val="0"/>
        <w:autoSpaceDN w:val="0"/>
        <w:adjustRightInd w:val="0"/>
        <w:snapToGrid w:val="0"/>
        <w:spacing w:line="360" w:lineRule="auto"/>
        <w:jc w:val="left"/>
        <w:rPr>
          <w:rFonts w:hint="eastAsia" w:ascii="宋体" w:hAnsi="宋体" w:cs="宋体"/>
          <w:color w:val="auto"/>
          <w:kern w:val="0"/>
          <w:sz w:val="28"/>
          <w:szCs w:val="28"/>
          <w:highlight w:val="none"/>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color w:val="auto"/>
          <w:kern w:val="0"/>
          <w:szCs w:val="21"/>
          <w:highlight w:val="none"/>
        </w:rPr>
      </w:pP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月</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日</w:t>
      </w:r>
    </w:p>
    <w:p>
      <w:pPr>
        <w:tabs>
          <w:tab w:val="left" w:pos="900"/>
          <w:tab w:val="left" w:pos="1080"/>
        </w:tabs>
        <w:spacing w:line="300" w:lineRule="auto"/>
        <w:jc w:val="center"/>
        <w:outlineLvl w:val="0"/>
        <w:rPr>
          <w:rFonts w:hint="default" w:ascii="宋体" w:hAnsi="宋体" w:cs="宋体"/>
          <w:b/>
          <w:color w:val="auto"/>
          <w:sz w:val="28"/>
          <w:szCs w:val="28"/>
          <w:highlight w:val="none"/>
          <w:lang w:val="en-US" w:eastAsia="zh-CN"/>
        </w:rPr>
      </w:pPr>
      <w:r>
        <w:rPr>
          <w:rFonts w:hint="eastAsia" w:ascii="宋体" w:hAnsi="宋体" w:cs="宋体"/>
          <w:b/>
          <w:color w:val="auto"/>
          <w:sz w:val="28"/>
          <w:szCs w:val="28"/>
          <w:highlight w:val="none"/>
        </w:rPr>
        <w:t>三、</w:t>
      </w:r>
      <w:r>
        <w:rPr>
          <w:rFonts w:hint="eastAsia" w:ascii="宋体" w:hAnsi="宋体" w:cs="宋体"/>
          <w:b/>
          <w:color w:val="auto"/>
          <w:sz w:val="28"/>
          <w:szCs w:val="28"/>
          <w:highlight w:val="none"/>
          <w:lang w:eastAsia="zh-CN"/>
        </w:rPr>
        <w:t>投标</w:t>
      </w:r>
      <w:r>
        <w:rPr>
          <w:rFonts w:hint="eastAsia" w:ascii="宋体" w:hAnsi="宋体" w:cs="宋体"/>
          <w:b/>
          <w:color w:val="auto"/>
          <w:sz w:val="28"/>
          <w:szCs w:val="28"/>
          <w:highlight w:val="none"/>
        </w:rPr>
        <w:t>单位有效的营业执照</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代理品牌授权资料</w:t>
      </w:r>
    </w:p>
    <w:p>
      <w:pPr>
        <w:tabs>
          <w:tab w:val="left" w:pos="900"/>
          <w:tab w:val="left" w:pos="1080"/>
        </w:tabs>
        <w:spacing w:line="300" w:lineRule="auto"/>
        <w:jc w:val="both"/>
        <w:outlineLvl w:val="0"/>
        <w:rPr>
          <w:rFonts w:hint="eastAsia" w:ascii="宋体" w:hAnsi="宋体" w:cs="宋体"/>
          <w:b/>
          <w:color w:val="auto"/>
          <w:sz w:val="28"/>
          <w:szCs w:val="28"/>
          <w:highlight w:val="none"/>
          <w:lang w:val="en-US" w:eastAsia="zh-CN"/>
        </w:rPr>
      </w:pPr>
    </w:p>
    <w:p>
      <w:pPr>
        <w:rPr>
          <w:rFonts w:hint="default"/>
          <w:color w:val="auto"/>
          <w:highlight w:val="none"/>
          <w:lang w:val="en-US" w:eastAsia="zh-CN"/>
        </w:rPr>
        <w:sectPr>
          <w:pgSz w:w="11906" w:h="16838"/>
          <w:pgMar w:top="1418" w:right="991" w:bottom="1418" w:left="1361" w:header="851" w:footer="992" w:gutter="0"/>
          <w:pgBorders>
            <w:top w:val="none" w:sz="0" w:space="0"/>
            <w:left w:val="none" w:sz="0" w:space="0"/>
            <w:bottom w:val="none" w:sz="0" w:space="0"/>
            <w:right w:val="none" w:sz="0" w:space="0"/>
          </w:pgBorders>
          <w:cols w:space="720" w:num="1"/>
          <w:docGrid w:type="lines" w:linePitch="312" w:charSpace="0"/>
        </w:sectPr>
      </w:pPr>
    </w:p>
    <w:p>
      <w:pPr>
        <w:tabs>
          <w:tab w:val="left" w:pos="900"/>
          <w:tab w:val="left" w:pos="1080"/>
        </w:tabs>
        <w:spacing w:line="300" w:lineRule="auto"/>
        <w:jc w:val="center"/>
        <w:outlineLvl w:val="0"/>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四</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eastAsia="zh-CN"/>
        </w:rPr>
        <w:t>投标</w:t>
      </w:r>
      <w:r>
        <w:rPr>
          <w:rFonts w:hint="eastAsia" w:ascii="宋体" w:hAnsi="宋体" w:cs="宋体"/>
          <w:b/>
          <w:color w:val="auto"/>
          <w:sz w:val="28"/>
          <w:szCs w:val="28"/>
          <w:highlight w:val="none"/>
        </w:rPr>
        <w:t>单位自行承诺部分</w:t>
      </w:r>
    </w:p>
    <w:p>
      <w:pPr>
        <w:spacing w:line="440" w:lineRule="exact"/>
        <w:rPr>
          <w:rFonts w:hint="eastAsia"/>
          <w:color w:val="auto"/>
          <w:szCs w:val="21"/>
          <w:highlight w:val="none"/>
          <w:lang w:eastAsia="zh-CN"/>
        </w:rPr>
      </w:pPr>
      <w:r>
        <w:rPr>
          <w:rFonts w:hint="eastAsia"/>
          <w:color w:val="auto"/>
          <w:szCs w:val="21"/>
          <w:highlight w:val="none"/>
          <w:lang w:eastAsia="zh-CN"/>
        </w:rPr>
        <w:t>重庆通力高速公路养护工程有限公司：</w:t>
      </w:r>
    </w:p>
    <w:p>
      <w:pPr>
        <w:spacing w:line="440" w:lineRule="exact"/>
        <w:ind w:firstLine="420" w:firstLineChars="200"/>
        <w:rPr>
          <w:rFonts w:hint="eastAsia"/>
          <w:color w:val="auto"/>
          <w:szCs w:val="21"/>
          <w:highlight w:val="none"/>
          <w:lang w:eastAsia="zh-CN"/>
        </w:rPr>
      </w:pPr>
      <w:r>
        <w:rPr>
          <w:rFonts w:hint="eastAsia"/>
          <w:color w:val="auto"/>
          <w:szCs w:val="21"/>
          <w:highlight w:val="none"/>
          <w:lang w:eastAsia="zh-CN"/>
        </w:rPr>
        <w:t>我司承诺本次投标文件的所有资料、业绩均为真实材料。我司将按照要求提供</w:t>
      </w:r>
      <w:r>
        <w:rPr>
          <w:rFonts w:hint="eastAsia"/>
          <w:color w:val="auto"/>
          <w:szCs w:val="21"/>
          <w:highlight w:val="none"/>
          <w:lang w:val="en-US" w:eastAsia="zh-CN"/>
        </w:rPr>
        <w:t>货物或服务</w:t>
      </w:r>
      <w:r>
        <w:rPr>
          <w:rFonts w:hint="eastAsia"/>
          <w:color w:val="auto"/>
          <w:szCs w:val="21"/>
          <w:highlight w:val="none"/>
          <w:lang w:eastAsia="zh-CN"/>
        </w:rPr>
        <w:t>。若违背招标文件及合同要求，我司将按照约定接受处罚。</w:t>
      </w:r>
    </w:p>
    <w:p>
      <w:pPr>
        <w:spacing w:line="440" w:lineRule="exact"/>
        <w:rPr>
          <w:rFonts w:hint="eastAsia"/>
          <w:color w:val="auto"/>
          <w:szCs w:val="21"/>
          <w:highlight w:val="none"/>
        </w:rPr>
      </w:pPr>
      <w:r>
        <w:rPr>
          <w:rFonts w:hint="eastAsia" w:ascii="宋体" w:hAnsi="宋体" w:cs="宋体"/>
          <w:b/>
          <w:color w:val="auto"/>
          <w:sz w:val="28"/>
          <w:szCs w:val="28"/>
          <w:highlight w:val="none"/>
          <w:lang w:val="en-US" w:eastAsia="zh-CN"/>
        </w:rPr>
        <w:t xml:space="preserve">   </w:t>
      </w:r>
      <w:r>
        <w:rPr>
          <w:rFonts w:hint="eastAsia"/>
          <w:color w:val="auto"/>
          <w:szCs w:val="21"/>
          <w:highlight w:val="none"/>
        </w:rPr>
        <w:t>我司承诺在最近三年没有出现违法违规或失信行为；没有无故弃标的不良记录；未处于被责令停业，歇业，投标资格被取消，财产被接管、被采取强制措施、破产状态，并将按照</w:t>
      </w:r>
      <w:r>
        <w:rPr>
          <w:rFonts w:hint="eastAsia"/>
          <w:color w:val="auto"/>
          <w:szCs w:val="21"/>
          <w:highlight w:val="none"/>
          <w:lang w:eastAsia="zh-CN"/>
        </w:rPr>
        <w:t>招标</w:t>
      </w:r>
      <w:r>
        <w:rPr>
          <w:rFonts w:hint="eastAsia"/>
          <w:color w:val="auto"/>
          <w:szCs w:val="21"/>
          <w:highlight w:val="none"/>
        </w:rPr>
        <w:t>文件要求</w:t>
      </w:r>
      <w:r>
        <w:rPr>
          <w:rFonts w:hint="eastAsia"/>
          <w:color w:val="auto"/>
          <w:szCs w:val="21"/>
          <w:highlight w:val="none"/>
          <w:lang w:val="en-US" w:eastAsia="zh-CN"/>
        </w:rPr>
        <w:t>提供货物或服务</w:t>
      </w:r>
      <w:r>
        <w:rPr>
          <w:rFonts w:hint="eastAsia"/>
          <w:color w:val="auto"/>
          <w:szCs w:val="21"/>
          <w:highlight w:val="none"/>
        </w:rPr>
        <w:t>。</w:t>
      </w:r>
    </w:p>
    <w:p>
      <w:pPr>
        <w:pStyle w:val="27"/>
        <w:rPr>
          <w:rFonts w:hint="eastAsia" w:ascii="宋体" w:hAnsi="宋体" w:eastAsia="黑体" w:cs="宋体"/>
          <w:b/>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3990" w:firstLineChars="1900"/>
        <w:jc w:val="right"/>
        <w:textAlignment w:val="auto"/>
        <w:rPr>
          <w:color w:val="auto"/>
          <w:szCs w:val="21"/>
          <w:highlight w:val="none"/>
        </w:rPr>
      </w:pPr>
      <w:r>
        <w:rPr>
          <w:color w:val="auto"/>
          <w:szCs w:val="21"/>
          <w:highlight w:val="none"/>
        </w:rPr>
        <w:t xml:space="preserve"> </w:t>
      </w:r>
      <w:r>
        <w:rPr>
          <w:rFonts w:hint="eastAsia"/>
          <w:color w:val="auto"/>
          <w:szCs w:val="21"/>
          <w:highlight w:val="none"/>
          <w:lang w:eastAsia="zh-CN"/>
        </w:rPr>
        <w:t>投标人</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（盖单位章）</w:t>
      </w:r>
    </w:p>
    <w:p>
      <w:pPr>
        <w:pStyle w:val="27"/>
        <w:rPr>
          <w:color w:val="auto"/>
          <w:szCs w:val="21"/>
          <w:highlight w:val="none"/>
        </w:rPr>
      </w:pPr>
      <w:r>
        <w:rPr>
          <w:color w:val="auto"/>
          <w:szCs w:val="21"/>
          <w:highlight w:val="none"/>
        </w:rPr>
        <w:t xml:space="preserve">                                 </w:t>
      </w:r>
      <w:r>
        <w:rPr>
          <w:rFonts w:hint="eastAsia"/>
          <w:color w:val="auto"/>
          <w:szCs w:val="21"/>
          <w:highlight w:val="none"/>
          <w:lang w:val="en-US" w:eastAsia="zh-CN"/>
        </w:rPr>
        <w:t xml:space="preserve">   </w:t>
      </w:r>
      <w:r>
        <w:rPr>
          <w:color w:val="auto"/>
          <w:szCs w:val="21"/>
          <w:highlight w:val="none"/>
        </w:rPr>
        <w:t xml:space="preserve"> </w:t>
      </w:r>
    </w:p>
    <w:p>
      <w:pPr>
        <w:pStyle w:val="27"/>
        <w:jc w:val="right"/>
        <w:rPr>
          <w:rFonts w:hint="eastAsia" w:ascii="宋体" w:hAnsi="宋体" w:cs="宋体"/>
          <w:b/>
          <w:color w:val="auto"/>
          <w:sz w:val="28"/>
          <w:szCs w:val="28"/>
          <w:highlight w:val="none"/>
        </w:rPr>
        <w:sectPr>
          <w:pgSz w:w="11906" w:h="16838"/>
          <w:pgMar w:top="1418" w:right="1361" w:bottom="1418" w:left="1361" w:header="851" w:footer="992" w:gutter="0"/>
          <w:pgBorders>
            <w:top w:val="none" w:sz="0" w:space="0"/>
            <w:left w:val="none" w:sz="0" w:space="0"/>
            <w:bottom w:val="none" w:sz="0" w:space="0"/>
            <w:right w:val="none" w:sz="0" w:space="0"/>
          </w:pgBorders>
          <w:cols w:space="720" w:num="1"/>
          <w:docGrid w:type="lines" w:linePitch="312" w:charSpace="0"/>
        </w:sectPr>
      </w:pPr>
      <w:r>
        <w:rPr>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pPr>
        <w:tabs>
          <w:tab w:val="left" w:pos="900"/>
          <w:tab w:val="left" w:pos="1080"/>
        </w:tabs>
        <w:spacing w:line="300" w:lineRule="auto"/>
        <w:jc w:val="center"/>
        <w:outlineLvl w:val="0"/>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五</w:t>
      </w:r>
      <w:r>
        <w:rPr>
          <w:rFonts w:hint="eastAsia" w:ascii="宋体" w:hAnsi="宋体" w:cs="宋体"/>
          <w:b/>
          <w:color w:val="auto"/>
          <w:sz w:val="28"/>
          <w:szCs w:val="28"/>
          <w:highlight w:val="none"/>
        </w:rPr>
        <w:t>、已标价报价清单</w:t>
      </w:r>
    </w:p>
    <w:tbl>
      <w:tblPr>
        <w:tblStyle w:val="19"/>
        <w:tblW w:w="14622" w:type="dxa"/>
        <w:tblInd w:w="96" w:type="dxa"/>
        <w:tblLayout w:type="fixed"/>
        <w:tblCellMar>
          <w:top w:w="0" w:type="dxa"/>
          <w:left w:w="108" w:type="dxa"/>
          <w:bottom w:w="0" w:type="dxa"/>
          <w:right w:w="108" w:type="dxa"/>
        </w:tblCellMar>
      </w:tblPr>
      <w:tblGrid>
        <w:gridCol w:w="813"/>
        <w:gridCol w:w="1611"/>
        <w:gridCol w:w="1635"/>
        <w:gridCol w:w="1210"/>
        <w:gridCol w:w="720"/>
        <w:gridCol w:w="1313"/>
        <w:gridCol w:w="1343"/>
        <w:gridCol w:w="1641"/>
        <w:gridCol w:w="1322"/>
        <w:gridCol w:w="1330"/>
        <w:gridCol w:w="1684"/>
      </w:tblGrid>
      <w:tr>
        <w:tblPrEx>
          <w:tblCellMar>
            <w:top w:w="0" w:type="dxa"/>
            <w:left w:w="108" w:type="dxa"/>
            <w:bottom w:w="0" w:type="dxa"/>
            <w:right w:w="108" w:type="dxa"/>
          </w:tblCellMar>
        </w:tblPrEx>
        <w:trPr>
          <w:trHeight w:val="310" w:hRule="atLeast"/>
        </w:trPr>
        <w:tc>
          <w:tcPr>
            <w:tcW w:w="14622" w:type="dxa"/>
            <w:gridSpan w:val="11"/>
            <w:tcBorders>
              <w:top w:val="nil"/>
              <w:left w:val="nil"/>
              <w:bottom w:val="single" w:color="auto"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货币单位: 人民币 元</w:t>
            </w:r>
          </w:p>
        </w:tc>
      </w:tr>
      <w:tr>
        <w:tblPrEx>
          <w:tblCellMar>
            <w:top w:w="0" w:type="dxa"/>
            <w:left w:w="108" w:type="dxa"/>
            <w:bottom w:w="0" w:type="dxa"/>
            <w:right w:w="108" w:type="dxa"/>
          </w:tblCellMar>
        </w:tblPrEx>
        <w:trPr>
          <w:trHeight w:val="783"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工程位置</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产品规格</w:t>
            </w:r>
          </w:p>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型号</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石材要求</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暂定数量</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出场单价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上限价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（元/吨）</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金额</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（元）</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出场单价</w:t>
            </w:r>
          </w:p>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报价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（元/吨）</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金额</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（元）</w:t>
            </w:r>
          </w:p>
        </w:tc>
        <w:tc>
          <w:tcPr>
            <w:tcW w:w="1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w:t>
            </w:r>
          </w:p>
        </w:tc>
      </w:tr>
      <w:tr>
        <w:tblPrEx>
          <w:tblCellMar>
            <w:top w:w="0" w:type="dxa"/>
            <w:left w:w="108" w:type="dxa"/>
            <w:bottom w:w="0" w:type="dxa"/>
            <w:right w:w="108" w:type="dxa"/>
          </w:tblCellMar>
        </w:tblPrEx>
        <w:trPr>
          <w:trHeight w:val="666" w:hRule="exact"/>
        </w:trPr>
        <w:tc>
          <w:tcPr>
            <w:tcW w:w="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61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b w:val="0"/>
                <w:bCs w:val="0"/>
                <w:color w:val="auto"/>
                <w:sz w:val="21"/>
                <w:szCs w:val="21"/>
                <w:highlight w:val="none"/>
              </w:rPr>
              <w:t>渝邻高速公路K1533+500-K1548+109段（黑石子互通至渝北收费站）</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b w:val="0"/>
                <w:bCs w:val="0"/>
                <w:i w:val="0"/>
                <w:iCs w:val="0"/>
                <w:color w:val="auto"/>
                <w:sz w:val="21"/>
                <w:szCs w:val="21"/>
                <w:highlight w:val="none"/>
                <w:u w:val="none"/>
                <w:lang w:val="en-US" w:eastAsia="zh-CN"/>
              </w:rPr>
              <w:t>SMA-13</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b w:val="0"/>
                <w:bCs w:val="0"/>
                <w:i w:val="0"/>
                <w:iCs w:val="0"/>
                <w:color w:val="auto"/>
                <w:sz w:val="21"/>
                <w:szCs w:val="21"/>
                <w:highlight w:val="none"/>
                <w:u w:val="none"/>
                <w:lang w:val="en-US" w:eastAsia="zh-CN"/>
              </w:rPr>
              <w:t>玄武岩</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吨</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b w:val="0"/>
                <w:bCs w:val="0"/>
                <w:i w:val="0"/>
                <w:iCs w:val="0"/>
                <w:color w:val="auto"/>
                <w:sz w:val="21"/>
                <w:szCs w:val="21"/>
                <w:highlight w:val="none"/>
                <w:u w:val="none"/>
                <w:lang w:val="en-US" w:eastAsia="zh-CN"/>
              </w:rPr>
              <w:t>10000</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117</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1170000</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i w:val="0"/>
                <w:iCs w:val="0"/>
                <w:color w:val="auto"/>
                <w:sz w:val="21"/>
                <w:szCs w:val="21"/>
                <w:highlight w:val="none"/>
                <w:u w:val="none"/>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cs="宋体"/>
                <w:b w:val="0"/>
                <w:bCs w:val="0"/>
                <w:i w:val="0"/>
                <w:iCs w:val="0"/>
                <w:color w:val="auto"/>
                <w:sz w:val="21"/>
                <w:szCs w:val="21"/>
                <w:highlight w:val="none"/>
                <w:u w:val="none"/>
                <w:lang w:val="en-US" w:eastAsia="zh-CN"/>
              </w:rPr>
              <w:t>甲供沥青、玄武岩、木质素纤维</w:t>
            </w:r>
          </w:p>
        </w:tc>
      </w:tr>
      <w:tr>
        <w:tblPrEx>
          <w:tblCellMar>
            <w:top w:w="0" w:type="dxa"/>
            <w:left w:w="108" w:type="dxa"/>
            <w:bottom w:w="0" w:type="dxa"/>
            <w:right w:w="108" w:type="dxa"/>
          </w:tblCellMar>
        </w:tblPrEx>
        <w:trPr>
          <w:trHeight w:val="146"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61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sz w:val="21"/>
                <w:szCs w:val="21"/>
                <w:highlight w:val="none"/>
                <w:u w:val="none"/>
              </w:rPr>
              <w:t xml:space="preserve"> SMA-13（含阻燃剂）</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b w:val="0"/>
                <w:bCs w:val="0"/>
                <w:i w:val="0"/>
                <w:iCs w:val="0"/>
                <w:color w:val="auto"/>
                <w:sz w:val="21"/>
                <w:szCs w:val="21"/>
                <w:highlight w:val="none"/>
                <w:u w:val="none"/>
                <w:lang w:val="en-US" w:eastAsia="zh-CN"/>
              </w:rPr>
              <w:t>玄武岩</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吨</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b w:val="0"/>
                <w:bCs w:val="0"/>
                <w:i w:val="0"/>
                <w:iCs w:val="0"/>
                <w:color w:val="auto"/>
                <w:sz w:val="21"/>
                <w:szCs w:val="21"/>
                <w:highlight w:val="none"/>
                <w:u w:val="none"/>
                <w:lang w:val="en-US" w:eastAsia="zh-CN"/>
              </w:rPr>
            </w:pPr>
            <w:r>
              <w:rPr>
                <w:rFonts w:hint="eastAsia" w:ascii="宋体" w:hAnsi="宋体" w:cs="宋体"/>
                <w:b w:val="0"/>
                <w:bCs w:val="0"/>
                <w:i w:val="0"/>
                <w:iCs w:val="0"/>
                <w:color w:val="auto"/>
                <w:sz w:val="21"/>
                <w:szCs w:val="21"/>
                <w:highlight w:val="none"/>
                <w:u w:val="none"/>
                <w:lang w:val="en-US" w:eastAsia="zh-CN"/>
              </w:rPr>
              <w:t>300</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125</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37500</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i w:val="0"/>
                <w:iCs w:val="0"/>
                <w:color w:val="auto"/>
                <w:sz w:val="21"/>
                <w:szCs w:val="21"/>
                <w:highlight w:val="none"/>
                <w:u w:val="none"/>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val="0"/>
                <w:bCs w:val="0"/>
                <w:i w:val="0"/>
                <w:iCs w:val="0"/>
                <w:color w:val="auto"/>
                <w:sz w:val="21"/>
                <w:szCs w:val="21"/>
                <w:highlight w:val="none"/>
                <w:u w:val="none"/>
                <w:lang w:val="en-US" w:eastAsia="zh-CN"/>
              </w:rPr>
            </w:pPr>
            <w:r>
              <w:rPr>
                <w:rFonts w:hint="eastAsia" w:ascii="宋体" w:hAnsi="宋体" w:cs="宋体"/>
                <w:b w:val="0"/>
                <w:bCs w:val="0"/>
                <w:i w:val="0"/>
                <w:iCs w:val="0"/>
                <w:color w:val="auto"/>
                <w:sz w:val="21"/>
                <w:szCs w:val="21"/>
                <w:highlight w:val="none"/>
                <w:u w:val="none"/>
                <w:lang w:val="en-US" w:eastAsia="zh-CN"/>
              </w:rPr>
              <w:t>甲供沥青、玄武岩、木质素纤维</w:t>
            </w:r>
          </w:p>
        </w:tc>
      </w:tr>
      <w:tr>
        <w:tblPrEx>
          <w:tblCellMar>
            <w:top w:w="0" w:type="dxa"/>
            <w:left w:w="108" w:type="dxa"/>
            <w:bottom w:w="0" w:type="dxa"/>
            <w:right w:w="108" w:type="dxa"/>
          </w:tblCellMar>
        </w:tblPrEx>
        <w:trPr>
          <w:trHeight w:val="146"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61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i w:val="0"/>
                <w:iCs w:val="0"/>
                <w:color w:val="auto"/>
                <w:sz w:val="21"/>
                <w:szCs w:val="21"/>
                <w:highlight w:val="none"/>
                <w:u w:val="none"/>
              </w:rPr>
              <w:t>AC-</w:t>
            </w:r>
            <w:r>
              <w:rPr>
                <w:rFonts w:hint="eastAsia" w:ascii="宋体" w:hAnsi="宋体" w:cs="宋体"/>
                <w:b w:val="0"/>
                <w:bCs w:val="0"/>
                <w:i w:val="0"/>
                <w:iCs w:val="0"/>
                <w:color w:val="auto"/>
                <w:sz w:val="21"/>
                <w:szCs w:val="21"/>
                <w:highlight w:val="none"/>
                <w:u w:val="none"/>
                <w:lang w:val="en-US" w:eastAsia="zh-CN"/>
              </w:rPr>
              <w:t>20</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b w:val="0"/>
                <w:bCs w:val="0"/>
                <w:i w:val="0"/>
                <w:iCs w:val="0"/>
                <w:color w:val="auto"/>
                <w:sz w:val="21"/>
                <w:szCs w:val="21"/>
                <w:highlight w:val="none"/>
                <w:u w:val="none"/>
                <w:lang w:val="en-US" w:eastAsia="zh-CN"/>
              </w:rPr>
              <w:t>石灰岩</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吨</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b w:val="0"/>
                <w:bCs w:val="0"/>
                <w:i w:val="0"/>
                <w:iCs w:val="0"/>
                <w:color w:val="auto"/>
                <w:sz w:val="21"/>
                <w:szCs w:val="21"/>
                <w:highlight w:val="none"/>
                <w:u w:val="none"/>
                <w:lang w:val="en-US" w:eastAsia="zh-CN"/>
              </w:rPr>
              <w:t>22000</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160</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3520000</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i w:val="0"/>
                <w:iCs w:val="0"/>
                <w:color w:val="auto"/>
                <w:sz w:val="21"/>
                <w:szCs w:val="21"/>
                <w:highlight w:val="none"/>
                <w:u w:val="none"/>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cs="宋体"/>
                <w:b w:val="0"/>
                <w:bCs w:val="0"/>
                <w:i w:val="0"/>
                <w:iCs w:val="0"/>
                <w:color w:val="auto"/>
                <w:sz w:val="21"/>
                <w:szCs w:val="21"/>
                <w:highlight w:val="none"/>
                <w:u w:val="none"/>
                <w:lang w:val="en-US" w:eastAsia="zh-CN"/>
              </w:rPr>
              <w:t>甲供沥青</w:t>
            </w:r>
          </w:p>
        </w:tc>
      </w:tr>
      <w:tr>
        <w:tblPrEx>
          <w:tblCellMar>
            <w:top w:w="0" w:type="dxa"/>
            <w:left w:w="108" w:type="dxa"/>
            <w:bottom w:w="0" w:type="dxa"/>
            <w:right w:w="108" w:type="dxa"/>
          </w:tblCellMar>
        </w:tblPrEx>
        <w:trPr>
          <w:trHeight w:val="526"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宋体"/>
                <w:color w:val="auto"/>
                <w:highlight w:val="none"/>
                <w:lang w:val="en-US" w:eastAsia="zh-CN"/>
              </w:rPr>
            </w:pPr>
            <w:r>
              <w:rPr>
                <w:rFonts w:hint="eastAsia"/>
                <w:color w:val="auto"/>
                <w:highlight w:val="none"/>
                <w:lang w:val="en-US" w:eastAsia="zh-CN"/>
              </w:rPr>
              <w:t>4</w:t>
            </w:r>
          </w:p>
        </w:tc>
        <w:tc>
          <w:tcPr>
            <w:tcW w:w="161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color w:val="auto"/>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i w:val="0"/>
                <w:iCs w:val="0"/>
                <w:color w:val="auto"/>
                <w:sz w:val="21"/>
                <w:szCs w:val="21"/>
                <w:highlight w:val="none"/>
                <w:u w:val="none"/>
              </w:rPr>
              <w:t>AC-</w:t>
            </w:r>
            <w:r>
              <w:rPr>
                <w:rFonts w:hint="eastAsia" w:ascii="宋体" w:hAnsi="宋体" w:cs="宋体"/>
                <w:b w:val="0"/>
                <w:bCs w:val="0"/>
                <w:i w:val="0"/>
                <w:iCs w:val="0"/>
                <w:color w:val="auto"/>
                <w:sz w:val="21"/>
                <w:szCs w:val="21"/>
                <w:highlight w:val="none"/>
                <w:u w:val="none"/>
                <w:lang w:val="en-US" w:eastAsia="zh-CN"/>
              </w:rPr>
              <w:t>20（厂拌热再生）</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b w:val="0"/>
                <w:bCs w:val="0"/>
                <w:i w:val="0"/>
                <w:iCs w:val="0"/>
                <w:color w:val="auto"/>
                <w:sz w:val="21"/>
                <w:szCs w:val="21"/>
                <w:highlight w:val="none"/>
                <w:u w:val="none"/>
                <w:lang w:val="en-US" w:eastAsia="zh-CN"/>
              </w:rPr>
              <w:t>铣刨料/石灰岩</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b w:val="0"/>
                <w:bCs w:val="0"/>
                <w:i w:val="0"/>
                <w:iCs w:val="0"/>
                <w:color w:val="auto"/>
                <w:sz w:val="21"/>
                <w:szCs w:val="21"/>
                <w:highlight w:val="none"/>
                <w:u w:val="none"/>
                <w:lang w:val="en-US" w:eastAsia="zh-CN"/>
              </w:rPr>
              <w:t>吨</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b w:val="0"/>
                <w:bCs w:val="0"/>
                <w:i w:val="0"/>
                <w:iCs w:val="0"/>
                <w:color w:val="auto"/>
                <w:sz w:val="21"/>
                <w:szCs w:val="21"/>
                <w:highlight w:val="none"/>
                <w:u w:val="none"/>
                <w:lang w:val="en-US" w:eastAsia="zh-CN"/>
              </w:rPr>
              <w:t>9300</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125</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1162500</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cs="宋体"/>
                <w:b w:val="0"/>
                <w:bCs w:val="0"/>
                <w:i w:val="0"/>
                <w:iCs w:val="0"/>
                <w:color w:val="auto"/>
                <w:sz w:val="21"/>
                <w:szCs w:val="21"/>
                <w:highlight w:val="none"/>
                <w:u w:val="none"/>
                <w:lang w:val="en-US" w:eastAsia="zh-CN"/>
              </w:rPr>
              <w:t>甲供沥青、铣刨料（添加比例20~30%）</w:t>
            </w:r>
          </w:p>
        </w:tc>
      </w:tr>
      <w:tr>
        <w:tblPrEx>
          <w:tblCellMar>
            <w:top w:w="0" w:type="dxa"/>
            <w:left w:w="108" w:type="dxa"/>
            <w:bottom w:w="0" w:type="dxa"/>
            <w:right w:w="108" w:type="dxa"/>
          </w:tblCellMar>
        </w:tblPrEx>
        <w:trPr>
          <w:trHeight w:val="499" w:hRule="exact"/>
        </w:trPr>
        <w:tc>
          <w:tcPr>
            <w:tcW w:w="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517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  计</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b w:val="0"/>
                <w:bCs w:val="0"/>
                <w:i w:val="0"/>
                <w:iCs w:val="0"/>
                <w:color w:val="auto"/>
                <w:sz w:val="21"/>
                <w:szCs w:val="21"/>
                <w:highlight w:val="none"/>
                <w:u w:val="none"/>
                <w:lang w:val="en-US" w:eastAsia="zh-CN"/>
              </w:rPr>
              <w:t>41600</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5890000</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330" w:type="dxa"/>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税率13%</w:t>
            </w:r>
          </w:p>
        </w:tc>
      </w:tr>
      <w:tr>
        <w:tblPrEx>
          <w:tblCellMar>
            <w:top w:w="0" w:type="dxa"/>
            <w:left w:w="108" w:type="dxa"/>
            <w:bottom w:w="0" w:type="dxa"/>
            <w:right w:w="108" w:type="dxa"/>
          </w:tblCellMar>
        </w:tblPrEx>
        <w:trPr>
          <w:trHeight w:val="499" w:hRule="exact"/>
        </w:trPr>
        <w:tc>
          <w:tcPr>
            <w:tcW w:w="598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Times New Roman" w:hAnsi="Times New Roman" w:cs="Times New Roman"/>
                <w:b/>
                <w:bCs/>
                <w:color w:val="auto"/>
                <w:sz w:val="21"/>
                <w:szCs w:val="21"/>
                <w:highlight w:val="none"/>
                <w:vertAlign w:val="baseline"/>
                <w:lang w:val="en-US" w:eastAsia="zh-CN"/>
              </w:rPr>
              <w:t>限价合计金额</w:t>
            </w:r>
          </w:p>
        </w:tc>
        <w:tc>
          <w:tcPr>
            <w:tcW w:w="6949" w:type="dxa"/>
            <w:gridSpan w:val="5"/>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i w:val="0"/>
                <w:iCs w:val="0"/>
                <w:color w:val="auto"/>
                <w:sz w:val="21"/>
                <w:szCs w:val="21"/>
                <w:highlight w:val="none"/>
                <w:u w:val="none"/>
              </w:rPr>
            </w:pPr>
            <w:r>
              <w:rPr>
                <w:rFonts w:hint="default" w:ascii="Times New Roman" w:hAnsi="Times New Roman" w:eastAsia="宋体" w:cs="Times New Roman"/>
                <w:b/>
                <w:bCs/>
                <w:color w:val="auto"/>
                <w:sz w:val="21"/>
                <w:szCs w:val="21"/>
                <w:highlight w:val="none"/>
                <w:vertAlign w:val="baseline"/>
                <w:lang w:val="en-US" w:eastAsia="zh-CN"/>
              </w:rPr>
              <w:t>￥</w:t>
            </w:r>
            <w:r>
              <w:rPr>
                <w:rFonts w:hint="default" w:ascii="Times New Roman" w:hAnsi="Times New Roman" w:eastAsia="宋体" w:cs="Times New Roman"/>
                <w:color w:val="auto"/>
                <w:sz w:val="21"/>
                <w:szCs w:val="21"/>
                <w:highlight w:val="none"/>
                <w:vertAlign w:val="baseline"/>
                <w:lang w:val="en-US" w:eastAsia="zh-CN"/>
              </w:rPr>
              <w:t>：</w:t>
            </w:r>
            <w:r>
              <w:rPr>
                <w:rFonts w:hint="default" w:ascii="Times New Roman" w:hAnsi="Times New Roman" w:eastAsia="宋体" w:cs="Times New Roman"/>
                <w:color w:val="auto"/>
                <w:sz w:val="21"/>
                <w:szCs w:val="21"/>
                <w:highlight w:val="none"/>
                <w:u w:val="single"/>
                <w:vertAlign w:val="baseline"/>
                <w:lang w:val="en-US" w:eastAsia="zh-CN"/>
              </w:rPr>
              <w:t xml:space="preserve">  </w:t>
            </w:r>
            <w:r>
              <w:rPr>
                <w:rFonts w:hint="eastAsia" w:ascii="Times New Roman" w:hAnsi="Times New Roman" w:eastAsia="宋体" w:cs="Times New Roman"/>
                <w:color w:val="auto"/>
                <w:sz w:val="21"/>
                <w:szCs w:val="21"/>
                <w:highlight w:val="none"/>
                <w:u w:val="single"/>
                <w:vertAlign w:val="baseline"/>
                <w:lang w:val="en-US" w:eastAsia="zh-CN"/>
              </w:rPr>
              <w:t xml:space="preserve">  5890000 </w:t>
            </w:r>
            <w:r>
              <w:rPr>
                <w:rFonts w:hint="default" w:ascii="Times New Roman" w:hAnsi="Times New Roman" w:eastAsia="宋体" w:cs="Times New Roman"/>
                <w:color w:val="auto"/>
                <w:sz w:val="21"/>
                <w:szCs w:val="21"/>
                <w:highlight w:val="none"/>
                <w:u w:val="single"/>
                <w:vertAlign w:val="baseline"/>
                <w:lang w:val="en-US" w:eastAsia="zh-CN"/>
              </w:rPr>
              <w:t xml:space="preserve"> </w:t>
            </w:r>
            <w:r>
              <w:rPr>
                <w:rFonts w:hint="eastAsia" w:ascii="Times New Roman" w:hAnsi="Times New Roman" w:eastAsia="宋体" w:cs="Times New Roman"/>
                <w:b/>
                <w:bCs/>
                <w:color w:val="auto"/>
                <w:sz w:val="21"/>
                <w:szCs w:val="21"/>
                <w:highlight w:val="none"/>
                <w:u w:val="single"/>
                <w:vertAlign w:val="baseline"/>
                <w:lang w:val="en-US" w:eastAsia="zh-CN"/>
              </w:rPr>
              <w:t xml:space="preserve"> </w:t>
            </w:r>
            <w:r>
              <w:rPr>
                <w:rFonts w:hint="default" w:ascii="Times New Roman" w:hAnsi="Times New Roman" w:eastAsia="宋体" w:cs="Times New Roman"/>
                <w:b/>
                <w:bCs/>
                <w:color w:val="auto"/>
                <w:sz w:val="21"/>
                <w:szCs w:val="21"/>
                <w:highlight w:val="none"/>
                <w:vertAlign w:val="baseline"/>
                <w:lang w:val="en-US" w:eastAsia="zh-CN"/>
              </w:rPr>
              <w:t>元</w:t>
            </w:r>
            <w:r>
              <w:rPr>
                <w:rFonts w:hint="default"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b/>
                <w:bCs/>
                <w:color w:val="auto"/>
                <w:sz w:val="21"/>
                <w:szCs w:val="21"/>
                <w:highlight w:val="none"/>
                <w:vertAlign w:val="baseline"/>
                <w:lang w:val="en-US" w:eastAsia="zh-CN"/>
              </w:rPr>
              <w:t>大写</w:t>
            </w:r>
            <w:r>
              <w:rPr>
                <w:rFonts w:hint="default" w:ascii="Times New Roman" w:hAnsi="Times New Roman" w:eastAsia="宋体" w:cs="Times New Roman"/>
                <w:color w:val="auto"/>
                <w:sz w:val="21"/>
                <w:szCs w:val="21"/>
                <w:highlight w:val="none"/>
                <w:vertAlign w:val="baseline"/>
                <w:lang w:val="en-US" w:eastAsia="zh-CN"/>
              </w:rPr>
              <w:t>：</w:t>
            </w:r>
            <w:r>
              <w:rPr>
                <w:rFonts w:hint="eastAsia" w:ascii="Times New Roman" w:hAnsi="Times New Roman" w:eastAsia="宋体" w:cs="Times New Roman"/>
                <w:color w:val="auto"/>
                <w:sz w:val="21"/>
                <w:szCs w:val="21"/>
                <w:highlight w:val="none"/>
                <w:u w:val="single"/>
                <w:vertAlign w:val="baseline"/>
                <w:lang w:val="en-US" w:eastAsia="zh-CN"/>
              </w:rPr>
              <w:t>伍佰捌拾玖万</w:t>
            </w:r>
            <w:r>
              <w:rPr>
                <w:rFonts w:hint="default" w:ascii="Times New Roman" w:hAnsi="Times New Roman" w:eastAsia="宋体" w:cs="Times New Roman"/>
                <w:b/>
                <w:bCs/>
                <w:color w:val="auto"/>
                <w:sz w:val="21"/>
                <w:szCs w:val="21"/>
                <w:highlight w:val="none"/>
                <w:u w:val="single"/>
                <w:vertAlign w:val="baseline"/>
                <w:lang w:val="en-US" w:eastAsia="zh-CN"/>
              </w:rPr>
              <w:t xml:space="preserve"> </w:t>
            </w:r>
            <w:r>
              <w:rPr>
                <w:rFonts w:hint="default" w:ascii="Times New Roman" w:hAnsi="Times New Roman" w:eastAsia="宋体" w:cs="Times New Roman"/>
                <w:b/>
                <w:bCs/>
                <w:color w:val="auto"/>
                <w:sz w:val="21"/>
                <w:szCs w:val="21"/>
                <w:highlight w:val="none"/>
                <w:vertAlign w:val="baseline"/>
                <w:lang w:val="en-US" w:eastAsia="zh-CN"/>
              </w:rPr>
              <w:t>元整</w:t>
            </w:r>
          </w:p>
        </w:tc>
        <w:tc>
          <w:tcPr>
            <w:tcW w:w="1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CellMar>
            <w:top w:w="0" w:type="dxa"/>
            <w:left w:w="108" w:type="dxa"/>
            <w:bottom w:w="0" w:type="dxa"/>
            <w:right w:w="108" w:type="dxa"/>
          </w:tblCellMar>
        </w:tblPrEx>
        <w:trPr>
          <w:trHeight w:val="499" w:hRule="exact"/>
        </w:trPr>
        <w:tc>
          <w:tcPr>
            <w:tcW w:w="598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Times New Roman" w:hAnsi="Times New Roman" w:cs="Times New Roman"/>
                <w:b/>
                <w:bCs/>
                <w:color w:val="auto"/>
                <w:sz w:val="21"/>
                <w:szCs w:val="21"/>
                <w:highlight w:val="none"/>
                <w:vertAlign w:val="baseline"/>
                <w:lang w:val="en-US" w:eastAsia="zh-CN"/>
              </w:rPr>
              <w:t>报价合计金额</w:t>
            </w:r>
          </w:p>
        </w:tc>
        <w:tc>
          <w:tcPr>
            <w:tcW w:w="6949" w:type="dxa"/>
            <w:gridSpan w:val="5"/>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i w:val="0"/>
                <w:iCs w:val="0"/>
                <w:color w:val="auto"/>
                <w:sz w:val="21"/>
                <w:szCs w:val="21"/>
                <w:highlight w:val="none"/>
                <w:u w:val="none"/>
              </w:rPr>
            </w:pPr>
            <w:r>
              <w:rPr>
                <w:rFonts w:hint="default" w:ascii="Times New Roman" w:hAnsi="Times New Roman" w:eastAsia="宋体" w:cs="Times New Roman"/>
                <w:b/>
                <w:bCs/>
                <w:color w:val="auto"/>
                <w:sz w:val="21"/>
                <w:szCs w:val="21"/>
                <w:highlight w:val="none"/>
                <w:vertAlign w:val="baseline"/>
                <w:lang w:val="en-US" w:eastAsia="zh-CN"/>
              </w:rPr>
              <w:t>￥：</w:t>
            </w:r>
            <w:r>
              <w:rPr>
                <w:rFonts w:hint="default" w:ascii="Times New Roman" w:hAnsi="Times New Roman" w:eastAsia="宋体" w:cs="Times New Roman"/>
                <w:b/>
                <w:bCs/>
                <w:color w:val="auto"/>
                <w:sz w:val="21"/>
                <w:szCs w:val="21"/>
                <w:highlight w:val="none"/>
                <w:u w:val="single"/>
                <w:vertAlign w:val="baseline"/>
                <w:lang w:val="en-US" w:eastAsia="zh-CN"/>
              </w:rPr>
              <w:t xml:space="preserve">              </w:t>
            </w:r>
            <w:r>
              <w:rPr>
                <w:rFonts w:hint="default" w:ascii="Times New Roman" w:hAnsi="Times New Roman" w:eastAsia="宋体" w:cs="Times New Roman"/>
                <w:b/>
                <w:bCs/>
                <w:color w:val="auto"/>
                <w:sz w:val="21"/>
                <w:szCs w:val="21"/>
                <w:highlight w:val="none"/>
                <w:vertAlign w:val="baseline"/>
                <w:lang w:val="en-US" w:eastAsia="zh-CN"/>
              </w:rPr>
              <w:t>元    大写：</w:t>
            </w:r>
            <w:r>
              <w:rPr>
                <w:rFonts w:hint="default" w:ascii="Times New Roman" w:hAnsi="Times New Roman" w:eastAsia="宋体" w:cs="Times New Roman"/>
                <w:b/>
                <w:bCs/>
                <w:color w:val="auto"/>
                <w:sz w:val="21"/>
                <w:szCs w:val="21"/>
                <w:highlight w:val="none"/>
                <w:u w:val="single"/>
                <w:vertAlign w:val="baseline"/>
                <w:lang w:val="en-US" w:eastAsia="zh-CN"/>
              </w:rPr>
              <w:t xml:space="preserve">        </w:t>
            </w:r>
            <w:r>
              <w:rPr>
                <w:rFonts w:hint="eastAsia" w:ascii="Times New Roman" w:hAnsi="Times New Roman" w:eastAsia="宋体" w:cs="Times New Roman"/>
                <w:b/>
                <w:bCs/>
                <w:color w:val="auto"/>
                <w:sz w:val="21"/>
                <w:szCs w:val="21"/>
                <w:highlight w:val="none"/>
                <w:u w:val="single"/>
                <w:vertAlign w:val="baseline"/>
                <w:lang w:val="en-US" w:eastAsia="zh-CN"/>
              </w:rPr>
              <w:t xml:space="preserve"> </w:t>
            </w:r>
            <w:r>
              <w:rPr>
                <w:rFonts w:hint="default" w:ascii="Times New Roman" w:hAnsi="Times New Roman" w:eastAsia="宋体" w:cs="Times New Roman"/>
                <w:b/>
                <w:bCs/>
                <w:color w:val="auto"/>
                <w:sz w:val="21"/>
                <w:szCs w:val="21"/>
                <w:highlight w:val="none"/>
                <w:u w:val="single"/>
                <w:vertAlign w:val="baseline"/>
                <w:lang w:val="en-US" w:eastAsia="zh-CN"/>
              </w:rPr>
              <w:t xml:space="preserve">    </w:t>
            </w:r>
            <w:r>
              <w:rPr>
                <w:rFonts w:hint="eastAsia" w:ascii="Times New Roman" w:hAnsi="Times New Roman" w:eastAsia="宋体" w:cs="Times New Roman"/>
                <w:b/>
                <w:bCs/>
                <w:color w:val="auto"/>
                <w:sz w:val="21"/>
                <w:szCs w:val="21"/>
                <w:highlight w:val="none"/>
                <w:u w:val="single"/>
                <w:vertAlign w:val="baseline"/>
                <w:lang w:val="en-US" w:eastAsia="zh-CN"/>
              </w:rPr>
              <w:t xml:space="preserve">   </w:t>
            </w:r>
            <w:r>
              <w:rPr>
                <w:rFonts w:hint="default" w:ascii="Times New Roman" w:hAnsi="Times New Roman" w:eastAsia="宋体" w:cs="Times New Roman"/>
                <w:b/>
                <w:bCs/>
                <w:color w:val="auto"/>
                <w:sz w:val="21"/>
                <w:szCs w:val="21"/>
                <w:highlight w:val="none"/>
                <w:u w:val="single"/>
                <w:vertAlign w:val="baseline"/>
                <w:lang w:val="en-US" w:eastAsia="zh-CN"/>
              </w:rPr>
              <w:t xml:space="preserve">  </w:t>
            </w:r>
            <w:r>
              <w:rPr>
                <w:rFonts w:hint="default" w:ascii="Times New Roman" w:hAnsi="Times New Roman" w:eastAsia="宋体" w:cs="Times New Roman"/>
                <w:b/>
                <w:bCs/>
                <w:color w:val="auto"/>
                <w:sz w:val="21"/>
                <w:szCs w:val="21"/>
                <w:highlight w:val="none"/>
                <w:vertAlign w:val="baseline"/>
                <w:lang w:val="en-US" w:eastAsia="zh-CN"/>
              </w:rPr>
              <w:t>元整</w:t>
            </w:r>
          </w:p>
        </w:tc>
        <w:tc>
          <w:tcPr>
            <w:tcW w:w="1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CellMar>
            <w:top w:w="0" w:type="dxa"/>
            <w:left w:w="108" w:type="dxa"/>
            <w:bottom w:w="0" w:type="dxa"/>
            <w:right w:w="108" w:type="dxa"/>
          </w:tblCellMar>
        </w:tblPrEx>
        <w:trPr>
          <w:trHeight w:val="750" w:hRule="atLeast"/>
        </w:trPr>
        <w:tc>
          <w:tcPr>
            <w:tcW w:w="14622"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以下信息由投标人如实填报，作为评标使用：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1、投标人拌和站地址：</w:t>
            </w:r>
            <w:r>
              <w:rPr>
                <w:rFonts w:hint="eastAsia" w:ascii="宋体" w:hAnsi="宋体" w:eastAsia="宋体" w:cs="宋体"/>
                <w:b/>
                <w:bCs/>
                <w:i w:val="0"/>
                <w:iCs w:val="0"/>
                <w:color w:val="auto"/>
                <w:kern w:val="0"/>
                <w:sz w:val="21"/>
                <w:szCs w:val="21"/>
                <w:highlight w:val="none"/>
                <w:u w:val="singl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2、拌和站距离新龙湾立交行驶里程：</w:t>
            </w:r>
            <w:r>
              <w:rPr>
                <w:rFonts w:hint="eastAsia" w:ascii="宋体" w:hAnsi="宋体" w:eastAsia="宋体" w:cs="宋体"/>
                <w:i w:val="0"/>
                <w:iCs w:val="0"/>
                <w:color w:val="auto"/>
                <w:kern w:val="0"/>
                <w:sz w:val="21"/>
                <w:szCs w:val="21"/>
                <w:highlight w:val="none"/>
                <w:u w:val="singl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 xml:space="preserve">公里（投标人提供导航截图，最终以招标人复核里程为准）。                                                 </w:t>
            </w:r>
          </w:p>
        </w:tc>
      </w:tr>
    </w:tbl>
    <w:p>
      <w:pPr>
        <w:spacing w:line="360" w:lineRule="auto"/>
        <w:ind w:firstLine="10500" w:firstLineChars="5000"/>
        <w:jc w:val="both"/>
        <w:rPr>
          <w:rFonts w:hint="eastAsia" w:ascii="宋体" w:hAns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（全称）（盖单位鲜公章）</w:t>
      </w:r>
      <w:r>
        <w:rPr>
          <w:rFonts w:hint="eastAsia" w:ascii="宋体" w:hAnsi="宋体" w:cs="宋体"/>
          <w:color w:val="auto"/>
          <w:szCs w:val="21"/>
          <w:highlight w:val="none"/>
        </w:rPr>
        <w:t xml:space="preserve"> </w:t>
      </w:r>
    </w:p>
    <w:p>
      <w:pPr>
        <w:spacing w:line="360" w:lineRule="auto"/>
        <w:ind w:firstLine="420"/>
        <w:jc w:val="right"/>
        <w:rPr>
          <w:rFonts w:hint="eastAsia" w:ascii="宋体" w:hAnsi="宋体" w:cs="宋体"/>
          <w:color w:val="auto"/>
          <w:szCs w:val="21"/>
          <w:highlight w:val="none"/>
          <w:u w:val="single"/>
        </w:rPr>
      </w:pPr>
      <w:r>
        <w:rPr>
          <w:rFonts w:hint="eastAsia" w:ascii="宋体" w:hAnsi="宋体" w:cs="宋体"/>
          <w:color w:val="auto"/>
          <w:szCs w:val="21"/>
          <w:highlight w:val="none"/>
        </w:rPr>
        <w:t>法定代表人或其授权的代理人:</w:t>
      </w:r>
      <w:r>
        <w:rPr>
          <w:rFonts w:hint="eastAsia" w:ascii="宋体" w:hAnsi="宋体" w:cs="宋体"/>
          <w:color w:val="auto"/>
          <w:szCs w:val="21"/>
          <w:highlight w:val="none"/>
          <w:u w:val="single"/>
        </w:rPr>
        <w:t xml:space="preserve">       （签字）</w:t>
      </w:r>
    </w:p>
    <w:p>
      <w:pPr>
        <w:spacing w:line="360" w:lineRule="auto"/>
        <w:ind w:firstLine="420"/>
        <w:jc w:val="right"/>
        <w:rPr>
          <w:rFonts w:hint="eastAsia" w:ascii="宋体" w:hAnsi="宋体" w:cs="宋体"/>
          <w:b/>
          <w:bCs w:val="0"/>
          <w:color w:val="auto"/>
          <w:sz w:val="24"/>
          <w:szCs w:val="20"/>
          <w:highlight w:val="none"/>
          <w:lang w:val="en-US" w:eastAsia="zh-CN"/>
        </w:rPr>
      </w:pPr>
      <w:r>
        <w:rPr>
          <w:rFonts w:hint="eastAsia" w:ascii="宋体" w:hAnsi="宋体" w:cs="宋体"/>
          <w:color w:val="auto"/>
          <w:szCs w:val="21"/>
          <w:highlight w:val="none"/>
        </w:rPr>
        <w:t>日期:     年   月   日</w:t>
      </w: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center"/>
        <w:textAlignment w:val="auto"/>
        <w:outlineLvl w:val="0"/>
        <w:rPr>
          <w:rFonts w:hint="eastAsia"/>
          <w:color w:val="auto"/>
          <w:highlight w:val="none"/>
        </w:rPr>
      </w:pPr>
      <w:r>
        <w:rPr>
          <w:rFonts w:hint="eastAsia" w:ascii="宋体" w:hAnsi="宋体" w:cs="宋体"/>
          <w:b/>
          <w:bCs w:val="0"/>
          <w:color w:val="auto"/>
          <w:sz w:val="24"/>
          <w:szCs w:val="20"/>
          <w:highlight w:val="none"/>
          <w:lang w:val="en-US" w:eastAsia="zh-CN"/>
        </w:rPr>
        <w:br w:type="page"/>
      </w:r>
      <w:r>
        <w:rPr>
          <w:rFonts w:hint="eastAsia" w:ascii="宋体" w:hAnsi="宋体" w:cs="宋体"/>
          <w:b/>
          <w:bCs w:val="0"/>
          <w:color w:val="auto"/>
          <w:sz w:val="24"/>
          <w:szCs w:val="20"/>
          <w:highlight w:val="none"/>
          <w:lang w:val="en-US" w:eastAsia="zh-CN"/>
        </w:rPr>
        <w:t>六、拌和站型号及产量证明文件</w:t>
      </w:r>
    </w:p>
    <w:p>
      <w:pPr>
        <w:rPr>
          <w:rFonts w:hint="eastAsia"/>
          <w:color w:val="auto"/>
          <w:highlight w:val="none"/>
        </w:rPr>
      </w:pPr>
    </w:p>
    <w:p>
      <w:pPr>
        <w:pStyle w:val="5"/>
        <w:rPr>
          <w:rFonts w:hint="eastAsia"/>
          <w:color w:val="auto"/>
          <w:highlight w:val="none"/>
        </w:rPr>
      </w:pPr>
    </w:p>
    <w:p>
      <w:pPr>
        <w:rPr>
          <w:rFonts w:hint="eastAsia"/>
          <w:color w:val="auto"/>
          <w:highlight w:val="none"/>
        </w:rPr>
      </w:pPr>
    </w:p>
    <w:p>
      <w:pPr>
        <w:pStyle w:val="5"/>
        <w:rPr>
          <w:rFonts w:hint="eastAsia"/>
          <w:color w:val="auto"/>
          <w:highlight w:val="none"/>
        </w:rPr>
      </w:pPr>
    </w:p>
    <w:p>
      <w:pPr>
        <w:rPr>
          <w:rFonts w:hint="eastAsia"/>
          <w:color w:val="auto"/>
          <w:highlight w:val="none"/>
        </w:rPr>
      </w:pPr>
    </w:p>
    <w:p>
      <w:pPr>
        <w:rPr>
          <w:rFonts w:hint="default"/>
          <w:b/>
          <w:bCs/>
          <w:color w:val="auto"/>
          <w:sz w:val="24"/>
          <w:szCs w:val="22"/>
          <w:highlight w:val="none"/>
          <w:lang w:val="en-US" w:eastAsia="zh-CN"/>
        </w:rPr>
      </w:pPr>
      <w:r>
        <w:rPr>
          <w:rFonts w:hint="eastAsia"/>
          <w:b/>
          <w:bCs/>
          <w:color w:val="auto"/>
          <w:sz w:val="24"/>
          <w:szCs w:val="22"/>
          <w:highlight w:val="none"/>
          <w:lang w:val="en-US" w:eastAsia="zh-CN"/>
        </w:rPr>
        <w:br w:type="page"/>
      </w:r>
      <w:r>
        <w:rPr>
          <w:rFonts w:hint="eastAsia"/>
          <w:b/>
          <w:bCs/>
          <w:color w:val="auto"/>
          <w:sz w:val="24"/>
          <w:szCs w:val="22"/>
          <w:highlight w:val="none"/>
          <w:lang w:val="en-US" w:eastAsia="zh-CN"/>
        </w:rPr>
        <w:t>评标附件：</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color w:val="auto"/>
          <w:sz w:val="24"/>
          <w:szCs w:val="24"/>
          <w:highlight w:val="none"/>
        </w:rPr>
      </w:pPr>
      <w:r>
        <w:rPr>
          <w:rFonts w:hint="eastAsia"/>
          <w:color w:val="auto"/>
          <w:sz w:val="24"/>
          <w:szCs w:val="24"/>
          <w:highlight w:val="none"/>
          <w:lang w:val="en-US" w:eastAsia="zh-CN"/>
        </w:rPr>
        <w:t>招标人2023</w:t>
      </w:r>
      <w:r>
        <w:rPr>
          <w:rFonts w:hint="eastAsia"/>
          <w:color w:val="auto"/>
          <w:sz w:val="24"/>
          <w:szCs w:val="24"/>
          <w:highlight w:val="none"/>
        </w:rPr>
        <w:t>年运输单价表</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color w:val="auto"/>
          <w:sz w:val="24"/>
          <w:szCs w:val="24"/>
          <w:highlight w:val="none"/>
        </w:rPr>
      </w:pPr>
      <w:r>
        <w:rPr>
          <w:rFonts w:hint="eastAsia"/>
          <w:color w:val="auto"/>
          <w:sz w:val="24"/>
          <w:szCs w:val="24"/>
          <w:highlight w:val="none"/>
        </w:rPr>
        <w:t>(此单价</w:t>
      </w:r>
      <w:r>
        <w:rPr>
          <w:rFonts w:hint="eastAsia"/>
          <w:color w:val="auto"/>
          <w:sz w:val="24"/>
          <w:szCs w:val="24"/>
          <w:highlight w:val="none"/>
          <w:lang w:val="en-US" w:eastAsia="zh-CN"/>
        </w:rPr>
        <w:t>表用于招标人计算投标人</w:t>
      </w:r>
      <w:r>
        <w:rPr>
          <w:rFonts w:hint="eastAsia"/>
          <w:color w:val="auto"/>
          <w:sz w:val="24"/>
          <w:szCs w:val="24"/>
          <w:highlight w:val="none"/>
          <w:lang w:eastAsia="zh-CN"/>
        </w:rPr>
        <w:t>拌和站</w:t>
      </w:r>
      <w:r>
        <w:rPr>
          <w:rFonts w:hint="eastAsia"/>
          <w:color w:val="auto"/>
          <w:sz w:val="24"/>
          <w:szCs w:val="24"/>
          <w:highlight w:val="none"/>
        </w:rPr>
        <w:t>至</w:t>
      </w:r>
      <w:r>
        <w:rPr>
          <w:rFonts w:hint="eastAsia"/>
          <w:color w:val="auto"/>
          <w:sz w:val="24"/>
          <w:szCs w:val="24"/>
          <w:highlight w:val="none"/>
          <w:lang w:val="en-US" w:eastAsia="zh-CN"/>
        </w:rPr>
        <w:t>渝邻高速公路新龙湾立交的</w:t>
      </w:r>
      <w:r>
        <w:rPr>
          <w:rFonts w:hint="eastAsia"/>
          <w:color w:val="auto"/>
          <w:sz w:val="24"/>
          <w:szCs w:val="24"/>
          <w:highlight w:val="none"/>
        </w:rPr>
        <w:t>运距费用）</w:t>
      </w:r>
    </w:p>
    <w:p>
      <w:pPr>
        <w:rPr>
          <w:rFonts w:hint="eastAsia"/>
          <w:color w:val="auto"/>
          <w:highlight w:val="none"/>
          <w:lang w:val="en-US" w:eastAsia="zh-CN"/>
        </w:rPr>
      </w:pPr>
    </w:p>
    <w:p>
      <w:pPr>
        <w:pStyle w:val="27"/>
        <w:rPr>
          <w:rFonts w:hint="eastAsia"/>
          <w:color w:val="auto"/>
          <w:highlight w:val="none"/>
        </w:rPr>
      </w:pPr>
    </w:p>
    <w:tbl>
      <w:tblPr>
        <w:tblStyle w:val="19"/>
        <w:tblpPr w:leftFromText="180" w:rightFromText="180" w:vertAnchor="text" w:horzAnchor="page" w:tblpX="3980" w:tblpY="6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550"/>
        <w:gridCol w:w="1847"/>
        <w:gridCol w:w="1533"/>
        <w:gridCol w:w="170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911" w:type="dxa"/>
            <w:noWrap w:val="0"/>
            <w:vAlign w:val="center"/>
          </w:tcPr>
          <w:p>
            <w:pPr>
              <w:spacing w:line="320" w:lineRule="exact"/>
              <w:jc w:val="center"/>
              <w:rPr>
                <w:rFonts w:ascii="宋体"/>
                <w:color w:val="auto"/>
                <w:sz w:val="24"/>
                <w:highlight w:val="none"/>
              </w:rPr>
            </w:pPr>
            <w:r>
              <w:rPr>
                <w:rFonts w:hint="eastAsia" w:ascii="宋体"/>
                <w:color w:val="auto"/>
                <w:sz w:val="24"/>
                <w:highlight w:val="none"/>
              </w:rPr>
              <w:t>序号</w:t>
            </w:r>
          </w:p>
        </w:tc>
        <w:tc>
          <w:tcPr>
            <w:tcW w:w="1550" w:type="dxa"/>
            <w:noWrap w:val="0"/>
            <w:vAlign w:val="center"/>
          </w:tcPr>
          <w:p>
            <w:pPr>
              <w:spacing w:line="320" w:lineRule="exact"/>
              <w:jc w:val="center"/>
              <w:rPr>
                <w:rFonts w:ascii="宋体"/>
                <w:color w:val="auto"/>
                <w:sz w:val="24"/>
                <w:highlight w:val="none"/>
              </w:rPr>
            </w:pPr>
            <w:r>
              <w:rPr>
                <w:rFonts w:hint="eastAsia" w:ascii="宋体"/>
                <w:color w:val="auto"/>
                <w:sz w:val="24"/>
                <w:highlight w:val="none"/>
              </w:rPr>
              <w:t>类别</w:t>
            </w:r>
          </w:p>
        </w:tc>
        <w:tc>
          <w:tcPr>
            <w:tcW w:w="1847" w:type="dxa"/>
            <w:noWrap w:val="0"/>
            <w:vAlign w:val="center"/>
          </w:tcPr>
          <w:p>
            <w:pPr>
              <w:spacing w:line="320" w:lineRule="exact"/>
              <w:ind w:firstLine="0" w:firstLineChars="0"/>
              <w:jc w:val="center"/>
              <w:rPr>
                <w:rFonts w:ascii="宋体"/>
                <w:color w:val="auto"/>
                <w:sz w:val="24"/>
                <w:highlight w:val="none"/>
              </w:rPr>
            </w:pPr>
            <w:r>
              <w:rPr>
                <w:rFonts w:hint="eastAsia" w:ascii="宋体"/>
                <w:color w:val="auto"/>
                <w:sz w:val="24"/>
                <w:highlight w:val="none"/>
              </w:rPr>
              <w:t>运距</w:t>
            </w:r>
          </w:p>
        </w:tc>
        <w:tc>
          <w:tcPr>
            <w:tcW w:w="1533" w:type="dxa"/>
            <w:noWrap w:val="0"/>
            <w:vAlign w:val="center"/>
          </w:tcPr>
          <w:p>
            <w:pPr>
              <w:spacing w:line="320" w:lineRule="exact"/>
              <w:jc w:val="center"/>
              <w:rPr>
                <w:rFonts w:ascii="宋体"/>
                <w:color w:val="auto"/>
                <w:sz w:val="24"/>
                <w:highlight w:val="none"/>
              </w:rPr>
            </w:pPr>
            <w:r>
              <w:rPr>
                <w:rFonts w:hint="eastAsia" w:ascii="宋体"/>
                <w:color w:val="auto"/>
                <w:sz w:val="24"/>
                <w:highlight w:val="none"/>
              </w:rPr>
              <w:t>单位</w:t>
            </w:r>
          </w:p>
        </w:tc>
        <w:tc>
          <w:tcPr>
            <w:tcW w:w="1700" w:type="dxa"/>
            <w:noWrap w:val="0"/>
            <w:vAlign w:val="center"/>
          </w:tcPr>
          <w:p>
            <w:pPr>
              <w:spacing w:line="320" w:lineRule="exact"/>
              <w:jc w:val="center"/>
              <w:rPr>
                <w:rFonts w:hint="eastAsia" w:ascii="宋体"/>
                <w:color w:val="auto"/>
                <w:sz w:val="24"/>
                <w:highlight w:val="none"/>
              </w:rPr>
            </w:pPr>
            <w:r>
              <w:rPr>
                <w:rFonts w:hint="eastAsia" w:ascii="宋体"/>
                <w:color w:val="auto"/>
                <w:sz w:val="24"/>
                <w:highlight w:val="none"/>
              </w:rPr>
              <w:t>运输单价</w:t>
            </w:r>
          </w:p>
          <w:p>
            <w:pPr>
              <w:spacing w:line="320" w:lineRule="exact"/>
              <w:jc w:val="center"/>
              <w:rPr>
                <w:rFonts w:hint="default" w:ascii="宋体" w:eastAsia="宋体"/>
                <w:color w:val="auto"/>
                <w:sz w:val="24"/>
                <w:highlight w:val="none"/>
                <w:lang w:val="en-US" w:eastAsia="zh-CN"/>
              </w:rPr>
            </w:pPr>
            <w:r>
              <w:rPr>
                <w:rFonts w:hint="eastAsia" w:ascii="宋体"/>
                <w:color w:val="auto"/>
                <w:sz w:val="24"/>
                <w:highlight w:val="none"/>
                <w:lang w:eastAsia="zh-CN"/>
              </w:rPr>
              <w:t>（</w:t>
            </w:r>
            <w:r>
              <w:rPr>
                <w:rFonts w:hint="eastAsia" w:ascii="宋体"/>
                <w:color w:val="auto"/>
                <w:sz w:val="24"/>
                <w:highlight w:val="none"/>
                <w:lang w:val="en-US" w:eastAsia="zh-CN"/>
              </w:rPr>
              <w:t>高速公路）</w:t>
            </w:r>
          </w:p>
        </w:tc>
        <w:tc>
          <w:tcPr>
            <w:tcW w:w="1440" w:type="dxa"/>
            <w:noWrap w:val="0"/>
            <w:vAlign w:val="center"/>
          </w:tcPr>
          <w:p>
            <w:pPr>
              <w:spacing w:line="320" w:lineRule="exact"/>
              <w:jc w:val="center"/>
              <w:rPr>
                <w:rFonts w:ascii="宋体"/>
                <w:color w:val="auto"/>
                <w:sz w:val="24"/>
                <w:highlight w:val="none"/>
              </w:rPr>
            </w:pPr>
            <w:r>
              <w:rPr>
                <w:rFonts w:hint="eastAsia" w:asci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1" w:type="dxa"/>
            <w:noWrap w:val="0"/>
            <w:vAlign w:val="center"/>
          </w:tcPr>
          <w:p>
            <w:pPr>
              <w:spacing w:line="320" w:lineRule="exact"/>
              <w:jc w:val="center"/>
              <w:rPr>
                <w:rFonts w:ascii="宋体"/>
                <w:color w:val="auto"/>
                <w:sz w:val="24"/>
                <w:highlight w:val="none"/>
              </w:rPr>
            </w:pPr>
            <w:r>
              <w:rPr>
                <w:rFonts w:ascii="宋体"/>
                <w:color w:val="auto"/>
                <w:sz w:val="24"/>
                <w:highlight w:val="none"/>
              </w:rPr>
              <w:t>1</w:t>
            </w:r>
          </w:p>
        </w:tc>
        <w:tc>
          <w:tcPr>
            <w:tcW w:w="1550" w:type="dxa"/>
            <w:vMerge w:val="restart"/>
            <w:noWrap w:val="0"/>
            <w:vAlign w:val="center"/>
          </w:tcPr>
          <w:p>
            <w:pPr>
              <w:spacing w:line="320" w:lineRule="exact"/>
              <w:jc w:val="center"/>
              <w:rPr>
                <w:rFonts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沥青混合料运输</w:t>
            </w:r>
          </w:p>
        </w:tc>
        <w:tc>
          <w:tcPr>
            <w:tcW w:w="1847" w:type="dxa"/>
            <w:noWrap w:val="0"/>
            <w:vAlign w:val="center"/>
          </w:tcPr>
          <w:p>
            <w:pPr>
              <w:spacing w:line="320" w:lineRule="exact"/>
              <w:jc w:val="center"/>
              <w:rPr>
                <w:rFonts w:ascii="宋体" w:hAnsi="Times New Roman" w:eastAsia="宋体" w:cs="Times New Roman"/>
                <w:color w:val="auto"/>
                <w:sz w:val="24"/>
                <w:highlight w:val="none"/>
              </w:rPr>
            </w:pPr>
            <w:r>
              <w:rPr>
                <w:rFonts w:ascii="宋体" w:hAnsi="Times New Roman" w:eastAsia="宋体" w:cs="Times New Roman"/>
                <w:color w:val="auto"/>
                <w:sz w:val="24"/>
                <w:highlight w:val="none"/>
              </w:rPr>
              <w:t>1-10</w:t>
            </w:r>
            <w:r>
              <w:rPr>
                <w:rFonts w:hint="eastAsia" w:ascii="宋体" w:hAnsi="Times New Roman" w:eastAsia="宋体" w:cs="Times New Roman"/>
                <w:color w:val="auto"/>
                <w:sz w:val="24"/>
                <w:highlight w:val="none"/>
              </w:rPr>
              <w:t>公里</w:t>
            </w:r>
          </w:p>
        </w:tc>
        <w:tc>
          <w:tcPr>
            <w:tcW w:w="1533" w:type="dxa"/>
            <w:noWrap w:val="0"/>
            <w:vAlign w:val="center"/>
          </w:tcPr>
          <w:p>
            <w:pPr>
              <w:spacing w:line="320" w:lineRule="exact"/>
              <w:jc w:val="center"/>
              <w:rPr>
                <w:rFonts w:ascii="宋体"/>
                <w:color w:val="auto"/>
                <w:sz w:val="24"/>
                <w:highlight w:val="none"/>
              </w:rPr>
            </w:pPr>
            <w:r>
              <w:rPr>
                <w:rFonts w:hint="eastAsia" w:ascii="宋体"/>
                <w:color w:val="auto"/>
                <w:sz w:val="24"/>
                <w:highlight w:val="none"/>
              </w:rPr>
              <w:t>每吨运价</w:t>
            </w:r>
          </w:p>
        </w:tc>
        <w:tc>
          <w:tcPr>
            <w:tcW w:w="1700" w:type="dxa"/>
            <w:noWrap w:val="0"/>
            <w:vAlign w:val="center"/>
          </w:tcPr>
          <w:p>
            <w:pPr>
              <w:widowControl/>
              <w:jc w:val="center"/>
              <w:textAlignment w:val="center"/>
              <w:rPr>
                <w:rFonts w:hint="default" w:ascii="宋体" w:eastAsia="宋体"/>
                <w:color w:val="auto"/>
                <w:sz w:val="24"/>
                <w:highlight w:val="none"/>
                <w:lang w:val="en-US" w:eastAsia="zh-CN"/>
              </w:rPr>
            </w:pPr>
            <w:r>
              <w:rPr>
                <w:rFonts w:hint="eastAsia" w:ascii="宋体" w:eastAsia="宋体"/>
                <w:color w:val="auto"/>
                <w:sz w:val="24"/>
                <w:highlight w:val="none"/>
                <w:lang w:val="en-US" w:eastAsia="zh-CN"/>
              </w:rPr>
              <w:t>13.09</w:t>
            </w:r>
          </w:p>
        </w:tc>
        <w:tc>
          <w:tcPr>
            <w:tcW w:w="1440" w:type="dxa"/>
            <w:vMerge w:val="restart"/>
            <w:noWrap w:val="0"/>
            <w:vAlign w:val="top"/>
          </w:tcPr>
          <w:p>
            <w:pPr>
              <w:spacing w:line="320" w:lineRule="exact"/>
              <w:jc w:val="center"/>
              <w:rPr>
                <w:rFonts w:ascii="宋体"/>
                <w:color w:val="auto"/>
                <w:sz w:val="24"/>
                <w:highlight w:val="none"/>
              </w:rPr>
            </w:pPr>
          </w:p>
          <w:p>
            <w:pPr>
              <w:spacing w:line="320" w:lineRule="exact"/>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1" w:type="dxa"/>
            <w:noWrap w:val="0"/>
            <w:vAlign w:val="center"/>
          </w:tcPr>
          <w:p>
            <w:pPr>
              <w:spacing w:line="320" w:lineRule="exact"/>
              <w:jc w:val="center"/>
              <w:rPr>
                <w:rFonts w:ascii="宋体"/>
                <w:color w:val="auto"/>
                <w:sz w:val="24"/>
                <w:highlight w:val="none"/>
              </w:rPr>
            </w:pPr>
            <w:r>
              <w:rPr>
                <w:rFonts w:ascii="宋体"/>
                <w:color w:val="auto"/>
                <w:sz w:val="24"/>
                <w:highlight w:val="none"/>
              </w:rPr>
              <w:t>2</w:t>
            </w:r>
          </w:p>
        </w:tc>
        <w:tc>
          <w:tcPr>
            <w:tcW w:w="1550" w:type="dxa"/>
            <w:vMerge w:val="continue"/>
            <w:noWrap w:val="0"/>
            <w:vAlign w:val="center"/>
          </w:tcPr>
          <w:p>
            <w:pPr>
              <w:spacing w:line="320" w:lineRule="exact"/>
              <w:jc w:val="center"/>
              <w:rPr>
                <w:rFonts w:ascii="宋体" w:hAnsi="Times New Roman" w:eastAsia="宋体" w:cs="Times New Roman"/>
                <w:color w:val="auto"/>
                <w:sz w:val="24"/>
                <w:highlight w:val="none"/>
              </w:rPr>
            </w:pPr>
          </w:p>
        </w:tc>
        <w:tc>
          <w:tcPr>
            <w:tcW w:w="1847" w:type="dxa"/>
            <w:noWrap w:val="0"/>
            <w:vAlign w:val="center"/>
          </w:tcPr>
          <w:p>
            <w:pPr>
              <w:spacing w:line="320" w:lineRule="exact"/>
              <w:jc w:val="center"/>
              <w:rPr>
                <w:rFonts w:ascii="宋体" w:hAnsi="Times New Roman" w:eastAsia="宋体" w:cs="Times New Roman"/>
                <w:color w:val="auto"/>
                <w:sz w:val="24"/>
                <w:highlight w:val="none"/>
              </w:rPr>
            </w:pPr>
            <w:r>
              <w:rPr>
                <w:rFonts w:ascii="宋体" w:hAnsi="Times New Roman" w:eastAsia="宋体" w:cs="Times New Roman"/>
                <w:color w:val="auto"/>
                <w:sz w:val="24"/>
                <w:highlight w:val="none"/>
              </w:rPr>
              <w:t>11-20</w:t>
            </w:r>
            <w:r>
              <w:rPr>
                <w:rFonts w:hint="eastAsia" w:ascii="宋体" w:hAnsi="Times New Roman" w:eastAsia="宋体" w:cs="Times New Roman"/>
                <w:color w:val="auto"/>
                <w:sz w:val="24"/>
                <w:highlight w:val="none"/>
              </w:rPr>
              <w:t>公里</w:t>
            </w:r>
          </w:p>
        </w:tc>
        <w:tc>
          <w:tcPr>
            <w:tcW w:w="1533" w:type="dxa"/>
            <w:vMerge w:val="restart"/>
            <w:noWrap w:val="0"/>
            <w:vAlign w:val="center"/>
          </w:tcPr>
          <w:p>
            <w:pPr>
              <w:spacing w:line="320" w:lineRule="exact"/>
              <w:jc w:val="center"/>
              <w:rPr>
                <w:rFonts w:ascii="宋体"/>
                <w:color w:val="auto"/>
                <w:sz w:val="24"/>
                <w:highlight w:val="none"/>
              </w:rPr>
            </w:pPr>
            <w:r>
              <w:rPr>
                <w:rFonts w:hint="eastAsia" w:ascii="宋体"/>
                <w:color w:val="auto"/>
                <w:sz w:val="24"/>
                <w:highlight w:val="none"/>
              </w:rPr>
              <w:t>每吨</w:t>
            </w:r>
            <w:r>
              <w:rPr>
                <w:rFonts w:hint="eastAsia" w:ascii="宋体" w:hAnsi="宋体"/>
                <w:color w:val="auto"/>
                <w:sz w:val="24"/>
                <w:highlight w:val="none"/>
              </w:rPr>
              <w:t>·</w:t>
            </w:r>
            <w:r>
              <w:rPr>
                <w:rFonts w:hint="eastAsia" w:ascii="宋体"/>
                <w:color w:val="auto"/>
                <w:sz w:val="24"/>
                <w:highlight w:val="none"/>
              </w:rPr>
              <w:t>每公里运价</w:t>
            </w:r>
          </w:p>
        </w:tc>
        <w:tc>
          <w:tcPr>
            <w:tcW w:w="1700" w:type="dxa"/>
            <w:noWrap w:val="0"/>
            <w:vAlign w:val="center"/>
          </w:tcPr>
          <w:p>
            <w:pPr>
              <w:widowControl/>
              <w:jc w:val="center"/>
              <w:textAlignment w:val="center"/>
              <w:rPr>
                <w:rFonts w:hint="default" w:ascii="宋体" w:eastAsia="宋体"/>
                <w:color w:val="auto"/>
                <w:sz w:val="24"/>
                <w:highlight w:val="none"/>
                <w:lang w:val="en-US" w:eastAsia="zh-CN"/>
              </w:rPr>
            </w:pPr>
            <w:r>
              <w:rPr>
                <w:rFonts w:hint="eastAsia" w:ascii="宋体" w:eastAsia="宋体"/>
                <w:color w:val="auto"/>
                <w:sz w:val="24"/>
                <w:highlight w:val="none"/>
                <w:lang w:val="en-US" w:eastAsia="zh-CN"/>
              </w:rPr>
              <w:t>1.18</w:t>
            </w:r>
          </w:p>
        </w:tc>
        <w:tc>
          <w:tcPr>
            <w:tcW w:w="1440" w:type="dxa"/>
            <w:vMerge w:val="continue"/>
            <w:noWrap w:val="0"/>
            <w:vAlign w:val="top"/>
          </w:tcPr>
          <w:p>
            <w:pPr>
              <w:spacing w:line="320" w:lineRule="exact"/>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1" w:type="dxa"/>
            <w:noWrap w:val="0"/>
            <w:vAlign w:val="center"/>
          </w:tcPr>
          <w:p>
            <w:pPr>
              <w:spacing w:line="320" w:lineRule="exact"/>
              <w:jc w:val="center"/>
              <w:rPr>
                <w:rFonts w:ascii="宋体"/>
                <w:color w:val="auto"/>
                <w:sz w:val="24"/>
                <w:highlight w:val="none"/>
              </w:rPr>
            </w:pPr>
            <w:r>
              <w:rPr>
                <w:rFonts w:ascii="宋体"/>
                <w:color w:val="auto"/>
                <w:sz w:val="24"/>
                <w:highlight w:val="none"/>
              </w:rPr>
              <w:t>3</w:t>
            </w:r>
          </w:p>
        </w:tc>
        <w:tc>
          <w:tcPr>
            <w:tcW w:w="1550" w:type="dxa"/>
            <w:vMerge w:val="continue"/>
            <w:noWrap w:val="0"/>
            <w:vAlign w:val="center"/>
          </w:tcPr>
          <w:p>
            <w:pPr>
              <w:spacing w:line="320" w:lineRule="exact"/>
              <w:jc w:val="center"/>
              <w:rPr>
                <w:rFonts w:ascii="宋体" w:hAnsi="Times New Roman" w:eastAsia="宋体" w:cs="Times New Roman"/>
                <w:color w:val="auto"/>
                <w:sz w:val="24"/>
                <w:highlight w:val="none"/>
              </w:rPr>
            </w:pPr>
          </w:p>
        </w:tc>
        <w:tc>
          <w:tcPr>
            <w:tcW w:w="1847" w:type="dxa"/>
            <w:noWrap w:val="0"/>
            <w:vAlign w:val="center"/>
          </w:tcPr>
          <w:p>
            <w:pPr>
              <w:spacing w:line="320" w:lineRule="exact"/>
              <w:jc w:val="center"/>
              <w:rPr>
                <w:rFonts w:ascii="宋体" w:hAnsi="Times New Roman" w:eastAsia="宋体" w:cs="Times New Roman"/>
                <w:color w:val="auto"/>
                <w:sz w:val="24"/>
                <w:highlight w:val="none"/>
              </w:rPr>
            </w:pPr>
            <w:r>
              <w:rPr>
                <w:rFonts w:ascii="宋体" w:hAnsi="Times New Roman" w:eastAsia="宋体" w:cs="Times New Roman"/>
                <w:color w:val="auto"/>
                <w:sz w:val="24"/>
                <w:highlight w:val="none"/>
              </w:rPr>
              <w:t>21-30</w:t>
            </w:r>
            <w:r>
              <w:rPr>
                <w:rFonts w:hint="eastAsia" w:ascii="宋体" w:hAnsi="Times New Roman" w:eastAsia="宋体" w:cs="Times New Roman"/>
                <w:color w:val="auto"/>
                <w:sz w:val="24"/>
                <w:highlight w:val="none"/>
              </w:rPr>
              <w:t>公里</w:t>
            </w:r>
          </w:p>
        </w:tc>
        <w:tc>
          <w:tcPr>
            <w:tcW w:w="1533" w:type="dxa"/>
            <w:vMerge w:val="continue"/>
            <w:noWrap w:val="0"/>
            <w:vAlign w:val="center"/>
          </w:tcPr>
          <w:p>
            <w:pPr>
              <w:spacing w:line="320" w:lineRule="exact"/>
              <w:jc w:val="center"/>
              <w:rPr>
                <w:rFonts w:ascii="宋体"/>
                <w:color w:val="auto"/>
                <w:sz w:val="24"/>
                <w:highlight w:val="none"/>
              </w:rPr>
            </w:pPr>
          </w:p>
        </w:tc>
        <w:tc>
          <w:tcPr>
            <w:tcW w:w="1700" w:type="dxa"/>
            <w:noWrap w:val="0"/>
            <w:vAlign w:val="center"/>
          </w:tcPr>
          <w:p>
            <w:pPr>
              <w:widowControl/>
              <w:jc w:val="center"/>
              <w:textAlignment w:val="center"/>
              <w:rPr>
                <w:rFonts w:hint="default" w:ascii="宋体" w:eastAsia="宋体"/>
                <w:color w:val="auto"/>
                <w:sz w:val="24"/>
                <w:highlight w:val="none"/>
                <w:lang w:val="en-US" w:eastAsia="zh-CN"/>
              </w:rPr>
            </w:pPr>
            <w:r>
              <w:rPr>
                <w:rFonts w:hint="eastAsia" w:ascii="宋体" w:eastAsia="宋体"/>
                <w:color w:val="auto"/>
                <w:sz w:val="24"/>
                <w:highlight w:val="none"/>
                <w:lang w:val="en-US" w:eastAsia="zh-CN"/>
              </w:rPr>
              <w:t>1.13</w:t>
            </w:r>
          </w:p>
        </w:tc>
        <w:tc>
          <w:tcPr>
            <w:tcW w:w="1440" w:type="dxa"/>
            <w:vMerge w:val="continue"/>
            <w:noWrap w:val="0"/>
            <w:vAlign w:val="top"/>
          </w:tcPr>
          <w:p>
            <w:pPr>
              <w:spacing w:line="320" w:lineRule="exact"/>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1" w:type="dxa"/>
            <w:noWrap w:val="0"/>
            <w:vAlign w:val="center"/>
          </w:tcPr>
          <w:p>
            <w:pPr>
              <w:spacing w:line="320" w:lineRule="exact"/>
              <w:jc w:val="center"/>
              <w:rPr>
                <w:rFonts w:ascii="宋体"/>
                <w:color w:val="auto"/>
                <w:sz w:val="24"/>
                <w:highlight w:val="none"/>
              </w:rPr>
            </w:pPr>
            <w:r>
              <w:rPr>
                <w:rFonts w:ascii="宋体"/>
                <w:color w:val="auto"/>
                <w:sz w:val="24"/>
                <w:highlight w:val="none"/>
              </w:rPr>
              <w:t>4</w:t>
            </w:r>
          </w:p>
        </w:tc>
        <w:tc>
          <w:tcPr>
            <w:tcW w:w="1550" w:type="dxa"/>
            <w:vMerge w:val="continue"/>
            <w:noWrap w:val="0"/>
            <w:vAlign w:val="center"/>
          </w:tcPr>
          <w:p>
            <w:pPr>
              <w:spacing w:line="320" w:lineRule="exact"/>
              <w:jc w:val="center"/>
              <w:rPr>
                <w:rFonts w:ascii="宋体" w:hAnsi="Times New Roman" w:eastAsia="宋体" w:cs="Times New Roman"/>
                <w:color w:val="auto"/>
                <w:sz w:val="24"/>
                <w:highlight w:val="none"/>
              </w:rPr>
            </w:pPr>
          </w:p>
        </w:tc>
        <w:tc>
          <w:tcPr>
            <w:tcW w:w="1847" w:type="dxa"/>
            <w:noWrap w:val="0"/>
            <w:vAlign w:val="center"/>
          </w:tcPr>
          <w:p>
            <w:pPr>
              <w:spacing w:line="320" w:lineRule="exact"/>
              <w:jc w:val="center"/>
              <w:rPr>
                <w:rFonts w:ascii="宋体" w:hAnsi="Times New Roman" w:eastAsia="宋体" w:cs="Times New Roman"/>
                <w:color w:val="auto"/>
                <w:sz w:val="24"/>
                <w:highlight w:val="none"/>
              </w:rPr>
            </w:pPr>
            <w:r>
              <w:rPr>
                <w:rFonts w:ascii="宋体" w:hAnsi="Times New Roman" w:eastAsia="宋体" w:cs="Times New Roman"/>
                <w:color w:val="auto"/>
                <w:sz w:val="24"/>
                <w:highlight w:val="none"/>
              </w:rPr>
              <w:t>31-50</w:t>
            </w:r>
            <w:r>
              <w:rPr>
                <w:rFonts w:hint="eastAsia" w:ascii="宋体" w:hAnsi="Times New Roman" w:eastAsia="宋体" w:cs="Times New Roman"/>
                <w:color w:val="auto"/>
                <w:sz w:val="24"/>
                <w:highlight w:val="none"/>
              </w:rPr>
              <w:t>公里</w:t>
            </w:r>
          </w:p>
        </w:tc>
        <w:tc>
          <w:tcPr>
            <w:tcW w:w="1533" w:type="dxa"/>
            <w:vMerge w:val="continue"/>
            <w:noWrap w:val="0"/>
            <w:vAlign w:val="center"/>
          </w:tcPr>
          <w:p>
            <w:pPr>
              <w:spacing w:line="320" w:lineRule="exact"/>
              <w:jc w:val="center"/>
              <w:rPr>
                <w:rFonts w:ascii="宋体"/>
                <w:color w:val="auto"/>
                <w:sz w:val="24"/>
                <w:highlight w:val="none"/>
              </w:rPr>
            </w:pPr>
          </w:p>
        </w:tc>
        <w:tc>
          <w:tcPr>
            <w:tcW w:w="1700" w:type="dxa"/>
            <w:noWrap w:val="0"/>
            <w:vAlign w:val="center"/>
          </w:tcPr>
          <w:p>
            <w:pPr>
              <w:widowControl/>
              <w:jc w:val="center"/>
              <w:textAlignment w:val="center"/>
              <w:rPr>
                <w:rFonts w:hint="default" w:ascii="宋体" w:eastAsia="宋体"/>
                <w:color w:val="auto"/>
                <w:sz w:val="24"/>
                <w:highlight w:val="none"/>
                <w:lang w:val="en-US" w:eastAsia="zh-CN"/>
              </w:rPr>
            </w:pPr>
            <w:r>
              <w:rPr>
                <w:rFonts w:hint="eastAsia" w:ascii="宋体" w:eastAsia="宋体"/>
                <w:color w:val="auto"/>
                <w:sz w:val="24"/>
                <w:highlight w:val="none"/>
                <w:lang w:val="en-US" w:eastAsia="zh-CN"/>
              </w:rPr>
              <w:t>1.07</w:t>
            </w:r>
          </w:p>
        </w:tc>
        <w:tc>
          <w:tcPr>
            <w:tcW w:w="1440" w:type="dxa"/>
            <w:vMerge w:val="continue"/>
            <w:noWrap w:val="0"/>
            <w:vAlign w:val="top"/>
          </w:tcPr>
          <w:p>
            <w:pPr>
              <w:spacing w:line="320" w:lineRule="exact"/>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1" w:type="dxa"/>
            <w:noWrap w:val="0"/>
            <w:vAlign w:val="center"/>
          </w:tcPr>
          <w:p>
            <w:pPr>
              <w:spacing w:line="320" w:lineRule="exact"/>
              <w:jc w:val="center"/>
              <w:rPr>
                <w:rFonts w:ascii="宋体"/>
                <w:color w:val="auto"/>
                <w:sz w:val="24"/>
                <w:highlight w:val="none"/>
              </w:rPr>
            </w:pPr>
            <w:r>
              <w:rPr>
                <w:rFonts w:ascii="宋体"/>
                <w:color w:val="auto"/>
                <w:sz w:val="24"/>
                <w:highlight w:val="none"/>
              </w:rPr>
              <w:t>5</w:t>
            </w:r>
          </w:p>
        </w:tc>
        <w:tc>
          <w:tcPr>
            <w:tcW w:w="1550" w:type="dxa"/>
            <w:vMerge w:val="continue"/>
            <w:noWrap w:val="0"/>
            <w:vAlign w:val="center"/>
          </w:tcPr>
          <w:p>
            <w:pPr>
              <w:spacing w:line="320" w:lineRule="exact"/>
              <w:jc w:val="center"/>
              <w:rPr>
                <w:rFonts w:ascii="宋体"/>
                <w:color w:val="auto"/>
                <w:sz w:val="24"/>
                <w:highlight w:val="none"/>
              </w:rPr>
            </w:pPr>
          </w:p>
        </w:tc>
        <w:tc>
          <w:tcPr>
            <w:tcW w:w="1847" w:type="dxa"/>
            <w:noWrap w:val="0"/>
            <w:vAlign w:val="center"/>
          </w:tcPr>
          <w:p>
            <w:pPr>
              <w:spacing w:line="320" w:lineRule="exact"/>
              <w:jc w:val="center"/>
              <w:rPr>
                <w:rFonts w:ascii="宋体" w:hAnsi="Times New Roman" w:eastAsia="宋体" w:cs="Times New Roman"/>
                <w:color w:val="auto"/>
                <w:sz w:val="24"/>
                <w:highlight w:val="none"/>
              </w:rPr>
            </w:pPr>
            <w:r>
              <w:rPr>
                <w:rFonts w:ascii="宋体" w:hAnsi="Times New Roman" w:eastAsia="宋体" w:cs="Times New Roman"/>
                <w:color w:val="auto"/>
                <w:sz w:val="24"/>
                <w:highlight w:val="none"/>
              </w:rPr>
              <w:t>50</w:t>
            </w:r>
            <w:r>
              <w:rPr>
                <w:rFonts w:hint="eastAsia" w:ascii="宋体" w:hAnsi="Times New Roman" w:eastAsia="宋体" w:cs="Times New Roman"/>
                <w:color w:val="auto"/>
                <w:sz w:val="24"/>
                <w:highlight w:val="none"/>
              </w:rPr>
              <w:t>公里以上</w:t>
            </w:r>
          </w:p>
        </w:tc>
        <w:tc>
          <w:tcPr>
            <w:tcW w:w="1533" w:type="dxa"/>
            <w:vMerge w:val="continue"/>
            <w:noWrap w:val="0"/>
            <w:vAlign w:val="center"/>
          </w:tcPr>
          <w:p>
            <w:pPr>
              <w:spacing w:line="320" w:lineRule="exact"/>
              <w:jc w:val="center"/>
              <w:rPr>
                <w:rFonts w:ascii="宋体"/>
                <w:color w:val="auto"/>
                <w:sz w:val="24"/>
                <w:highlight w:val="none"/>
              </w:rPr>
            </w:pPr>
          </w:p>
        </w:tc>
        <w:tc>
          <w:tcPr>
            <w:tcW w:w="1700" w:type="dxa"/>
            <w:noWrap w:val="0"/>
            <w:vAlign w:val="center"/>
          </w:tcPr>
          <w:p>
            <w:pPr>
              <w:widowControl/>
              <w:jc w:val="center"/>
              <w:textAlignment w:val="center"/>
              <w:rPr>
                <w:rFonts w:hint="default" w:ascii="宋体" w:eastAsia="宋体"/>
                <w:color w:val="auto"/>
                <w:sz w:val="24"/>
                <w:highlight w:val="none"/>
                <w:lang w:val="en-US" w:eastAsia="zh-CN"/>
              </w:rPr>
            </w:pPr>
            <w:r>
              <w:rPr>
                <w:rFonts w:hint="eastAsia" w:ascii="宋体" w:eastAsia="宋体"/>
                <w:color w:val="auto"/>
                <w:sz w:val="24"/>
                <w:highlight w:val="none"/>
                <w:lang w:val="en-US" w:eastAsia="zh-CN"/>
              </w:rPr>
              <w:t>0.96</w:t>
            </w:r>
          </w:p>
        </w:tc>
        <w:tc>
          <w:tcPr>
            <w:tcW w:w="1440" w:type="dxa"/>
            <w:vMerge w:val="continue"/>
            <w:noWrap w:val="0"/>
            <w:vAlign w:val="top"/>
          </w:tcPr>
          <w:p>
            <w:pPr>
              <w:spacing w:line="320" w:lineRule="exact"/>
              <w:jc w:val="center"/>
              <w:rPr>
                <w:rFonts w:ascii="宋体"/>
                <w:color w:val="auto"/>
                <w:sz w:val="24"/>
                <w:highlight w:val="none"/>
              </w:rPr>
            </w:pPr>
          </w:p>
        </w:tc>
      </w:tr>
    </w:tbl>
    <w:p>
      <w:pPr>
        <w:tabs>
          <w:tab w:val="left" w:pos="900"/>
          <w:tab w:val="left" w:pos="1080"/>
        </w:tabs>
        <w:spacing w:line="300" w:lineRule="auto"/>
        <w:jc w:val="center"/>
        <w:outlineLvl w:val="0"/>
        <w:rPr>
          <w:rFonts w:hint="eastAsia" w:ascii="宋体" w:hAnsi="宋体" w:cs="宋体"/>
          <w:b/>
          <w:color w:val="auto"/>
          <w:sz w:val="24"/>
          <w:szCs w:val="24"/>
          <w:highlight w:val="none"/>
          <w:lang w:val="en-US" w:eastAsia="zh-CN"/>
        </w:rPr>
      </w:pPr>
    </w:p>
    <w:p>
      <w:pPr>
        <w:tabs>
          <w:tab w:val="left" w:pos="900"/>
          <w:tab w:val="left" w:pos="1080"/>
        </w:tabs>
        <w:spacing w:line="300" w:lineRule="auto"/>
        <w:jc w:val="both"/>
        <w:outlineLvl w:val="0"/>
        <w:rPr>
          <w:rFonts w:hint="eastAsia" w:ascii="宋体" w:hAnsi="宋体" w:cs="宋体"/>
          <w:b/>
          <w:color w:val="auto"/>
          <w:sz w:val="24"/>
          <w:szCs w:val="24"/>
          <w:highlight w:val="none"/>
          <w:lang w:val="en-US" w:eastAsia="zh-CN"/>
        </w:rPr>
      </w:pPr>
    </w:p>
    <w:p>
      <w:pPr>
        <w:tabs>
          <w:tab w:val="left" w:pos="900"/>
          <w:tab w:val="left" w:pos="1080"/>
        </w:tabs>
        <w:spacing w:line="300" w:lineRule="auto"/>
        <w:jc w:val="center"/>
        <w:outlineLvl w:val="0"/>
        <w:rPr>
          <w:rFonts w:hint="eastAsia" w:ascii="宋体" w:hAnsi="宋体" w:cs="宋体"/>
          <w:b/>
          <w:color w:val="auto"/>
          <w:sz w:val="24"/>
          <w:szCs w:val="24"/>
          <w:highlight w:val="none"/>
          <w:lang w:val="en-US" w:eastAsia="zh-CN"/>
        </w:rPr>
      </w:pPr>
    </w:p>
    <w:p>
      <w:pPr>
        <w:tabs>
          <w:tab w:val="left" w:pos="900"/>
          <w:tab w:val="left" w:pos="1080"/>
        </w:tabs>
        <w:spacing w:line="300" w:lineRule="auto"/>
        <w:jc w:val="both"/>
        <w:outlineLvl w:val="0"/>
        <w:rPr>
          <w:rFonts w:hint="eastAsia" w:ascii="宋体" w:hAnsi="宋体" w:cs="宋体"/>
          <w:b/>
          <w:color w:val="auto"/>
          <w:sz w:val="24"/>
          <w:szCs w:val="24"/>
          <w:highlight w:val="none"/>
          <w:lang w:val="en-US" w:eastAsia="zh-CN"/>
        </w:rPr>
      </w:pPr>
    </w:p>
    <w:p>
      <w:pPr>
        <w:pStyle w:val="5"/>
        <w:rPr>
          <w:rFonts w:hint="eastAsia"/>
          <w:color w:val="auto"/>
          <w:highlight w:val="none"/>
        </w:rPr>
      </w:pPr>
    </w:p>
    <w:sectPr>
      <w:headerReference r:id="rId4" w:type="default"/>
      <w:footerReference r:id="rId5" w:type="default"/>
      <w:pgSz w:w="16838" w:h="11906" w:orient="landscape"/>
      <w:pgMar w:top="1440" w:right="1440" w:bottom="1440"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方正仿宋_GBK">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69214B"/>
    <w:multiLevelType w:val="singleLevel"/>
    <w:tmpl w:val="9569214B"/>
    <w:lvl w:ilvl="0" w:tentative="0">
      <w:start w:val="1"/>
      <w:numFmt w:val="decimal"/>
      <w:suff w:val="nothing"/>
      <w:lvlText w:val="%1、"/>
      <w:lvlJc w:val="left"/>
    </w:lvl>
  </w:abstractNum>
  <w:abstractNum w:abstractNumId="1">
    <w:nsid w:val="B568626E"/>
    <w:multiLevelType w:val="singleLevel"/>
    <w:tmpl w:val="B568626E"/>
    <w:lvl w:ilvl="0" w:tentative="0">
      <w:start w:val="2"/>
      <w:numFmt w:val="decimal"/>
      <w:suff w:val="nothing"/>
      <w:lvlText w:val="（%1）"/>
      <w:lvlJc w:val="left"/>
    </w:lvl>
  </w:abstractNum>
  <w:abstractNum w:abstractNumId="2">
    <w:nsid w:val="0000000F"/>
    <w:multiLevelType w:val="multilevel"/>
    <w:tmpl w:val="0000000F"/>
    <w:lvl w:ilvl="0" w:tentative="0">
      <w:start w:val="1"/>
      <w:numFmt w:val="decimal"/>
      <w:pStyle w:val="31"/>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iYmUzODg1ZGZkNDE4MzBlYjcxMzQ0NzlkYmRlNmYifQ=="/>
  </w:docVars>
  <w:rsids>
    <w:rsidRoot w:val="00172A27"/>
    <w:rsid w:val="00157D0F"/>
    <w:rsid w:val="00182EBD"/>
    <w:rsid w:val="001B1460"/>
    <w:rsid w:val="00353B17"/>
    <w:rsid w:val="00903959"/>
    <w:rsid w:val="00B41975"/>
    <w:rsid w:val="00D34824"/>
    <w:rsid w:val="018F2CC3"/>
    <w:rsid w:val="029D2BCB"/>
    <w:rsid w:val="031113A5"/>
    <w:rsid w:val="037E5C84"/>
    <w:rsid w:val="06F02E68"/>
    <w:rsid w:val="0792001A"/>
    <w:rsid w:val="08D40523"/>
    <w:rsid w:val="09B956D7"/>
    <w:rsid w:val="0A354CAE"/>
    <w:rsid w:val="0A97670A"/>
    <w:rsid w:val="10F2300D"/>
    <w:rsid w:val="11AE585A"/>
    <w:rsid w:val="12100FA9"/>
    <w:rsid w:val="12154897"/>
    <w:rsid w:val="12E77112"/>
    <w:rsid w:val="12FE4B50"/>
    <w:rsid w:val="14F97D14"/>
    <w:rsid w:val="159C67B0"/>
    <w:rsid w:val="164E0DE7"/>
    <w:rsid w:val="16A1051C"/>
    <w:rsid w:val="16B86D8E"/>
    <w:rsid w:val="18785E89"/>
    <w:rsid w:val="18A76441"/>
    <w:rsid w:val="197A088C"/>
    <w:rsid w:val="1AD670B3"/>
    <w:rsid w:val="1B9A7B76"/>
    <w:rsid w:val="1CC52964"/>
    <w:rsid w:val="1ECB393C"/>
    <w:rsid w:val="1F87065C"/>
    <w:rsid w:val="205C1B96"/>
    <w:rsid w:val="2511048D"/>
    <w:rsid w:val="27B1365C"/>
    <w:rsid w:val="28C81CBD"/>
    <w:rsid w:val="2C535729"/>
    <w:rsid w:val="2CA321D4"/>
    <w:rsid w:val="2D097126"/>
    <w:rsid w:val="2D3E05DB"/>
    <w:rsid w:val="2DFD259B"/>
    <w:rsid w:val="2FF41413"/>
    <w:rsid w:val="305344C6"/>
    <w:rsid w:val="30945C05"/>
    <w:rsid w:val="30A248B6"/>
    <w:rsid w:val="31280191"/>
    <w:rsid w:val="33922181"/>
    <w:rsid w:val="35F35E6B"/>
    <w:rsid w:val="36261957"/>
    <w:rsid w:val="36A22236"/>
    <w:rsid w:val="36A84D56"/>
    <w:rsid w:val="37B25ADC"/>
    <w:rsid w:val="389712B7"/>
    <w:rsid w:val="3B91044A"/>
    <w:rsid w:val="3CAD2C75"/>
    <w:rsid w:val="3DA45EAD"/>
    <w:rsid w:val="3EB5502E"/>
    <w:rsid w:val="3EDF4F66"/>
    <w:rsid w:val="3F093E0B"/>
    <w:rsid w:val="3F16483E"/>
    <w:rsid w:val="3F1912AC"/>
    <w:rsid w:val="41971164"/>
    <w:rsid w:val="42894A41"/>
    <w:rsid w:val="4419274A"/>
    <w:rsid w:val="45953AE9"/>
    <w:rsid w:val="45F80C31"/>
    <w:rsid w:val="467F6747"/>
    <w:rsid w:val="48825F81"/>
    <w:rsid w:val="48DE7494"/>
    <w:rsid w:val="49B33F56"/>
    <w:rsid w:val="49D63470"/>
    <w:rsid w:val="4A3407C7"/>
    <w:rsid w:val="4BD03736"/>
    <w:rsid w:val="4CB81F75"/>
    <w:rsid w:val="4CCC05ED"/>
    <w:rsid w:val="4DB41036"/>
    <w:rsid w:val="4DD66129"/>
    <w:rsid w:val="4E122A04"/>
    <w:rsid w:val="4E446205"/>
    <w:rsid w:val="50712B6D"/>
    <w:rsid w:val="5088718F"/>
    <w:rsid w:val="51057F34"/>
    <w:rsid w:val="51494EE9"/>
    <w:rsid w:val="52412270"/>
    <w:rsid w:val="55FE7A5D"/>
    <w:rsid w:val="570C1089"/>
    <w:rsid w:val="571E5BA3"/>
    <w:rsid w:val="58B61B08"/>
    <w:rsid w:val="592D0276"/>
    <w:rsid w:val="5B3D2FA3"/>
    <w:rsid w:val="5CEB7D69"/>
    <w:rsid w:val="5F7A41AB"/>
    <w:rsid w:val="618E6761"/>
    <w:rsid w:val="6234451E"/>
    <w:rsid w:val="62E50D1A"/>
    <w:rsid w:val="63013AF2"/>
    <w:rsid w:val="6367091E"/>
    <w:rsid w:val="64490B1D"/>
    <w:rsid w:val="64762C1A"/>
    <w:rsid w:val="64D46C51"/>
    <w:rsid w:val="661358A6"/>
    <w:rsid w:val="672008BF"/>
    <w:rsid w:val="673655A2"/>
    <w:rsid w:val="674838E0"/>
    <w:rsid w:val="689B1360"/>
    <w:rsid w:val="6A2903D4"/>
    <w:rsid w:val="6A367CBB"/>
    <w:rsid w:val="6A452827"/>
    <w:rsid w:val="6A7D5B04"/>
    <w:rsid w:val="6AA21659"/>
    <w:rsid w:val="6C130DD9"/>
    <w:rsid w:val="6C3E104B"/>
    <w:rsid w:val="6E1C43FC"/>
    <w:rsid w:val="6EB415FE"/>
    <w:rsid w:val="6ED375DD"/>
    <w:rsid w:val="7099733B"/>
    <w:rsid w:val="71471CF9"/>
    <w:rsid w:val="71E5236A"/>
    <w:rsid w:val="72293D2C"/>
    <w:rsid w:val="72F478AA"/>
    <w:rsid w:val="72FA73DA"/>
    <w:rsid w:val="73C81356"/>
    <w:rsid w:val="75BC5C9E"/>
    <w:rsid w:val="77311A03"/>
    <w:rsid w:val="78E726EC"/>
    <w:rsid w:val="7A1E1DD1"/>
    <w:rsid w:val="7A307947"/>
    <w:rsid w:val="7B6A3F09"/>
    <w:rsid w:val="7C762007"/>
    <w:rsid w:val="7CF24DE2"/>
    <w:rsid w:val="7DAA3FC0"/>
    <w:rsid w:val="7ECC0346"/>
    <w:rsid w:val="7FA247EF"/>
    <w:rsid w:val="7FF667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3">
    <w:name w:val="heading 1"/>
    <w:basedOn w:val="1"/>
    <w:next w:val="1"/>
    <w:qFormat/>
    <w:uiPriority w:val="0"/>
    <w:pPr>
      <w:keepNext/>
      <w:tabs>
        <w:tab w:val="left" w:pos="3360"/>
      </w:tabs>
      <w:snapToGrid w:val="0"/>
      <w:spacing w:before="312" w:beforeLines="100" w:beforeAutospacing="0" w:after="156" w:afterLines="50" w:afterAutospacing="0" w:line="800" w:lineRule="atLeast"/>
      <w:jc w:val="center"/>
      <w:outlineLvl w:val="0"/>
    </w:pPr>
    <w:rPr>
      <w:rFonts w:eastAsia="黑体"/>
      <w:sz w:val="44"/>
    </w:rPr>
  </w:style>
  <w:style w:type="paragraph" w:styleId="4">
    <w:name w:val="heading 2"/>
    <w:basedOn w:val="1"/>
    <w:next w:val="1"/>
    <w:unhideWhenUsed/>
    <w:qFormat/>
    <w:uiPriority w:val="9"/>
    <w:pPr>
      <w:keepNext/>
      <w:keepLines/>
      <w:spacing w:before="260" w:beforeLines="0" w:after="260" w:afterLines="0" w:line="412" w:lineRule="auto"/>
      <w:outlineLvl w:val="1"/>
    </w:pPr>
    <w:rPr>
      <w:rFonts w:ascii="Cambria" w:hAnsi="Cambria"/>
      <w:b/>
      <w:bCs/>
      <w:kern w:val="0"/>
      <w:sz w:val="32"/>
      <w:szCs w:val="32"/>
    </w:rPr>
  </w:style>
  <w:style w:type="paragraph" w:styleId="5">
    <w:name w:val="heading 3"/>
    <w:basedOn w:val="1"/>
    <w:next w:val="1"/>
    <w:unhideWhenUsed/>
    <w:qFormat/>
    <w:uiPriority w:val="9"/>
    <w:pPr>
      <w:keepNext/>
      <w:keepLines/>
      <w:spacing w:before="260" w:beforeLines="0" w:after="260" w:afterLines="0" w:line="412" w:lineRule="auto"/>
      <w:ind w:firstLine="49" w:firstLineChars="49"/>
      <w:outlineLvl w:val="2"/>
    </w:pPr>
    <w:rPr>
      <w:b/>
      <w:bCs/>
      <w:kern w:val="0"/>
      <w:sz w:val="32"/>
      <w:szCs w:val="32"/>
    </w:rPr>
  </w:style>
  <w:style w:type="character" w:default="1" w:styleId="21">
    <w:name w:val="Default Paragraph Font"/>
    <w:uiPriority w:val="0"/>
  </w:style>
  <w:style w:type="table" w:default="1" w:styleId="19">
    <w:name w:val="Normal Table"/>
    <w:unhideWhenUsed/>
    <w:uiPriority w:val="99"/>
    <w:tblPr>
      <w:tblStyle w:val="19"/>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rPr>
  </w:style>
  <w:style w:type="paragraph" w:styleId="6">
    <w:name w:val="Normal Indent"/>
    <w:basedOn w:val="1"/>
    <w:qFormat/>
    <w:uiPriority w:val="0"/>
    <w:pPr>
      <w:adjustRightInd w:val="0"/>
      <w:snapToGrid w:val="0"/>
      <w:spacing w:line="360" w:lineRule="auto"/>
      <w:ind w:firstLine="420"/>
    </w:pPr>
    <w:rPr>
      <w:sz w:val="24"/>
    </w:rPr>
  </w:style>
  <w:style w:type="paragraph" w:styleId="7">
    <w:name w:val="Document Map"/>
    <w:basedOn w:val="1"/>
    <w:link w:val="23"/>
    <w:uiPriority w:val="0"/>
    <w:rPr>
      <w:rFonts w:ascii="宋体"/>
      <w:sz w:val="18"/>
      <w:szCs w:val="18"/>
    </w:rPr>
  </w:style>
  <w:style w:type="paragraph" w:styleId="8">
    <w:name w:val="annotation text"/>
    <w:basedOn w:val="1"/>
    <w:link w:val="24"/>
    <w:unhideWhenUsed/>
    <w:uiPriority w:val="99"/>
    <w:pPr>
      <w:jc w:val="left"/>
    </w:pPr>
  </w:style>
  <w:style w:type="paragraph" w:styleId="9">
    <w:name w:val="Body Text"/>
    <w:basedOn w:val="1"/>
    <w:uiPriority w:val="0"/>
    <w:pPr>
      <w:spacing w:after="120" w:afterLines="0"/>
    </w:pPr>
  </w:style>
  <w:style w:type="paragraph" w:styleId="10">
    <w:name w:val="Body Text Indent"/>
    <w:basedOn w:val="1"/>
    <w:qFormat/>
    <w:uiPriority w:val="0"/>
    <w:pPr>
      <w:spacing w:line="700" w:lineRule="exact"/>
      <w:ind w:left="960"/>
    </w:pPr>
    <w:rPr>
      <w:sz w:val="44"/>
    </w:rPr>
  </w:style>
  <w:style w:type="paragraph" w:styleId="11">
    <w:name w:val="Plain Text"/>
    <w:basedOn w:val="1"/>
    <w:unhideWhenUsed/>
    <w:uiPriority w:val="99"/>
    <w:rPr>
      <w:rFonts w:ascii="宋体" w:hAnsi="Courier New"/>
      <w:szCs w:val="21"/>
    </w:rPr>
  </w:style>
  <w:style w:type="paragraph" w:styleId="12">
    <w:name w:val="Date"/>
    <w:basedOn w:val="1"/>
    <w:next w:val="1"/>
    <w:uiPriority w:val="0"/>
    <w:pPr>
      <w:ind w:left="100" w:leftChars="2500"/>
    </w:pPr>
  </w:style>
  <w:style w:type="paragraph" w:styleId="13">
    <w:name w:val="Balloon Text"/>
    <w:basedOn w:val="1"/>
    <w:link w:val="25"/>
    <w:unhideWhenUsed/>
    <w:uiPriority w:val="99"/>
    <w:rPr>
      <w:sz w:val="18"/>
      <w:szCs w:val="18"/>
    </w:rPr>
  </w:style>
  <w:style w:type="paragraph" w:styleId="14">
    <w:name w:val="footer"/>
    <w:basedOn w:val="1"/>
    <w:uiPriority w:val="0"/>
    <w:pPr>
      <w:tabs>
        <w:tab w:val="center" w:pos="4153"/>
        <w:tab w:val="right" w:pos="8306"/>
      </w:tabs>
      <w:snapToGrid w:val="0"/>
      <w:jc w:val="left"/>
    </w:pPr>
    <w:rPr>
      <w:sz w:val="18"/>
      <w:szCs w:val="18"/>
    </w:rPr>
  </w:style>
  <w:style w:type="paragraph" w:styleId="1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unhideWhenUsed/>
    <w:qFormat/>
    <w:uiPriority w:val="99"/>
    <w:pPr>
      <w:spacing w:beforeAutospacing="1" w:afterAutospacing="1"/>
      <w:jc w:val="left"/>
    </w:pPr>
    <w:rPr>
      <w:rFonts w:cs="Times New Roman"/>
      <w:kern w:val="0"/>
      <w:sz w:val="24"/>
    </w:rPr>
  </w:style>
  <w:style w:type="paragraph" w:styleId="17">
    <w:name w:val="index 1"/>
    <w:basedOn w:val="1"/>
    <w:next w:val="1"/>
    <w:uiPriority w:val="0"/>
    <w:pPr>
      <w:spacing w:line="360" w:lineRule="auto"/>
      <w:jc w:val="center"/>
    </w:pPr>
    <w:rPr>
      <w:rFonts w:ascii="宋体" w:hAnsi="Arial" w:cs="Arial"/>
      <w:b/>
      <w:color w:val="000000"/>
      <w:sz w:val="24"/>
      <w:szCs w:val="24"/>
    </w:rPr>
  </w:style>
  <w:style w:type="paragraph" w:styleId="18">
    <w:name w:val="annotation subject"/>
    <w:basedOn w:val="8"/>
    <w:next w:val="8"/>
    <w:link w:val="26"/>
    <w:unhideWhenUsed/>
    <w:uiPriority w:val="99"/>
    <w:rPr>
      <w:b/>
      <w:bCs/>
    </w:rPr>
  </w:style>
  <w:style w:type="table" w:styleId="20">
    <w:name w:val="Table Grid"/>
    <w:basedOn w:val="19"/>
    <w:unhideWhenUsed/>
    <w:uiPriority w:val="99"/>
    <w:tblPr>
      <w:tblStyle w:val="1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annotation reference"/>
    <w:unhideWhenUsed/>
    <w:qFormat/>
    <w:uiPriority w:val="99"/>
    <w:rPr>
      <w:sz w:val="21"/>
      <w:szCs w:val="21"/>
    </w:rPr>
  </w:style>
  <w:style w:type="character" w:customStyle="1" w:styleId="23">
    <w:name w:val="文档结构图 Char"/>
    <w:link w:val="7"/>
    <w:uiPriority w:val="0"/>
    <w:rPr>
      <w:rFonts w:ascii="宋体"/>
      <w:kern w:val="2"/>
      <w:sz w:val="18"/>
      <w:szCs w:val="18"/>
    </w:rPr>
  </w:style>
  <w:style w:type="character" w:customStyle="1" w:styleId="24">
    <w:name w:val="批注文字 Char"/>
    <w:link w:val="8"/>
    <w:uiPriority w:val="99"/>
    <w:rPr>
      <w:kern w:val="2"/>
      <w:sz w:val="21"/>
    </w:rPr>
  </w:style>
  <w:style w:type="character" w:customStyle="1" w:styleId="25">
    <w:name w:val="批注框文本 Char"/>
    <w:link w:val="13"/>
    <w:semiHidden/>
    <w:uiPriority w:val="99"/>
    <w:rPr>
      <w:kern w:val="2"/>
      <w:sz w:val="18"/>
      <w:szCs w:val="18"/>
    </w:rPr>
  </w:style>
  <w:style w:type="character" w:customStyle="1" w:styleId="26">
    <w:name w:val="批注主题 Char"/>
    <w:link w:val="18"/>
    <w:semiHidden/>
    <w:uiPriority w:val="99"/>
    <w:rPr>
      <w:b/>
      <w:bCs/>
      <w:kern w:val="2"/>
      <w:sz w:val="21"/>
    </w:rPr>
  </w:style>
  <w:style w:type="paragraph" w:customStyle="1" w:styleId="27">
    <w:name w:val="Default"/>
    <w:uiPriority w:val="0"/>
    <w:pPr>
      <w:widowControl w:val="0"/>
      <w:autoSpaceDE w:val="0"/>
      <w:autoSpaceDN w:val="0"/>
      <w:adjustRightInd w:val="0"/>
    </w:pPr>
    <w:rPr>
      <w:rFonts w:ascii="黑体" w:eastAsia="黑体" w:cs="黑体"/>
      <w:color w:val="000000"/>
      <w:sz w:val="24"/>
      <w:szCs w:val="24"/>
      <w:lang w:val="en-US" w:eastAsia="zh-CN" w:bidi="ar-SA"/>
    </w:rPr>
  </w:style>
  <w:style w:type="character" w:customStyle="1" w:styleId="28">
    <w:name w:val="占位符文本1"/>
    <w:basedOn w:val="21"/>
    <w:semiHidden/>
    <w:uiPriority w:val="99"/>
    <w:rPr>
      <w:color w:val="808080"/>
    </w:rPr>
  </w:style>
  <w:style w:type="character" w:customStyle="1" w:styleId="29">
    <w:name w:val="font01"/>
    <w:uiPriority w:val="0"/>
    <w:rPr>
      <w:rFonts w:hint="eastAsia" w:ascii="宋体" w:hAnsi="宋体" w:eastAsia="宋体" w:cs="宋体"/>
      <w:color w:val="000000"/>
      <w:sz w:val="22"/>
      <w:szCs w:val="22"/>
      <w:u w:val="none"/>
    </w:rPr>
  </w:style>
  <w:style w:type="paragraph" w:customStyle="1" w:styleId="30">
    <w:name w:val="列出段落1"/>
    <w:basedOn w:val="1"/>
    <w:qFormat/>
    <w:uiPriority w:val="99"/>
    <w:pPr>
      <w:ind w:firstLine="420" w:firstLineChars="200"/>
    </w:pPr>
    <w:rPr>
      <w:rFonts w:ascii="Calibri" w:hAnsi="Calibri" w:cs="Calibri"/>
      <w:szCs w:val="21"/>
    </w:rPr>
  </w:style>
  <w:style w:type="paragraph" w:customStyle="1" w:styleId="31">
    <w:name w:val="样式10"/>
    <w:basedOn w:val="1"/>
    <w:uiPriority w:val="0"/>
    <w:pPr>
      <w:numPr>
        <w:ilvl w:val="0"/>
        <w:numId w:val="1"/>
      </w:numPr>
      <w:tabs>
        <w:tab w:val="left" w:pos="737"/>
        <w:tab w:val="clear" w:pos="360"/>
      </w:tabs>
      <w:spacing w:line="360" w:lineRule="auto"/>
    </w:pPr>
    <w:rPr>
      <w:sz w:val="24"/>
      <w:szCs w:val="24"/>
    </w:rPr>
  </w:style>
  <w:style w:type="paragraph" w:customStyle="1" w:styleId="32">
    <w:name w:val="彩色列表 - 强调文字颜色 11"/>
    <w:basedOn w:val="1"/>
    <w:uiPriority w:val="0"/>
    <w:pPr>
      <w:widowControl/>
      <w:ind w:firstLine="420"/>
    </w:pPr>
    <w:rPr>
      <w:rFonts w:ascii="Calibri" w:hAnsi="Calibri" w:cs="Calibri"/>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28</Pages>
  <Words>13311</Words>
  <Characters>14338</Characters>
  <Lines>101</Lines>
  <Paragraphs>28</Paragraphs>
  <TotalTime>40</TotalTime>
  <ScaleCrop>false</ScaleCrop>
  <LinksUpToDate>false</LinksUpToDate>
  <CharactersWithSpaces>16142</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2018-05-08T01:30:00Z</dcterms:created>
  <dc:creator>宋海涛</dc:creator>
  <cp:lastModifiedBy>不足为·配</cp:lastModifiedBy>
  <cp:lastPrinted>2019-12-05T07:13:07Z</cp:lastPrinted>
  <dcterms:modified xsi:type="dcterms:W3CDTF">2023-04-20T08:00:38Z</dcterms:modified>
  <dc:title>重庆高速公路集团有限公司南方营运分公司服务区保安值守服务项目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59B103E937AC49B488A12ED3B3008241</vt:lpwstr>
  </property>
</Properties>
</file>