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2"/>
          <w:szCs w:val="32"/>
          <w:highlight w:val="none"/>
        </w:rPr>
      </w:pPr>
      <w:r>
        <w:rPr>
          <w:rFonts w:hint="eastAsia" w:ascii="方正小标宋_GBK" w:eastAsia="方正小标宋_GBK"/>
          <w:sz w:val="32"/>
          <w:szCs w:val="32"/>
        </w:rPr>
        <w:t>重庆高</w:t>
      </w:r>
      <w:r>
        <w:rPr>
          <w:rFonts w:hint="eastAsia" w:ascii="方正小标宋_GBK" w:eastAsia="方正小标宋_GBK"/>
          <w:sz w:val="32"/>
          <w:szCs w:val="32"/>
          <w:highlight w:val="none"/>
        </w:rPr>
        <w:t>速公路集团有限公司东北营运分公司 2023-2025 年清障</w:t>
      </w:r>
    </w:p>
    <w:p>
      <w:pPr>
        <w:jc w:val="center"/>
        <w:rPr>
          <w:rFonts w:hint="eastAsia" w:ascii="方正小标宋_GBK" w:eastAsia="方正小标宋_GBK"/>
          <w:sz w:val="40"/>
          <w:szCs w:val="40"/>
          <w:highlight w:val="none"/>
          <w:lang w:val="en-US" w:eastAsia="zh-CN"/>
        </w:rPr>
      </w:pPr>
      <w:r>
        <w:rPr>
          <w:rFonts w:hint="eastAsia" w:ascii="方正小标宋_GBK" w:eastAsia="方正小标宋_GBK"/>
          <w:sz w:val="32"/>
          <w:szCs w:val="32"/>
          <w:highlight w:val="none"/>
        </w:rPr>
        <w:t>救援业务外包（第二次）中标候选人公示</w:t>
      </w:r>
      <w:r>
        <w:rPr>
          <w:rFonts w:hint="eastAsia" w:ascii="方正小标宋_GBK" w:eastAsia="方正小标宋_GBK"/>
          <w:sz w:val="32"/>
          <w:szCs w:val="32"/>
          <w:highlight w:val="none"/>
          <w:lang w:val="en-US" w:eastAsia="zh-CN"/>
        </w:rPr>
        <w:t>表</w:t>
      </w:r>
    </w:p>
    <w:p>
      <w:pPr>
        <w:jc w:val="center"/>
        <w:rPr>
          <w:rFonts w:hint="eastAsia" w:ascii="方正小标宋_GBK" w:eastAsia="方正小标宋_GBK"/>
          <w:sz w:val="30"/>
          <w:szCs w:val="30"/>
          <w:highlight w:val="none"/>
          <w:lang w:val="en-US" w:eastAsia="zh-CN"/>
        </w:rPr>
      </w:pPr>
      <w:r>
        <w:rPr>
          <w:rFonts w:hint="eastAsia" w:ascii="方正小标宋_GBK" w:eastAsia="方正小标宋_GBK"/>
          <w:sz w:val="30"/>
          <w:szCs w:val="30"/>
          <w:highlight w:val="none"/>
        </w:rPr>
        <w:t>（公示期：</w:t>
      </w:r>
      <w:r>
        <w:rPr>
          <w:rFonts w:hint="eastAsia" w:ascii="方正小标宋_GBK" w:eastAsia="方正小标宋_GBK"/>
          <w:sz w:val="30"/>
          <w:szCs w:val="30"/>
          <w:highlight w:val="none"/>
          <w:lang w:val="en-US" w:eastAsia="zh-CN"/>
        </w:rPr>
        <w:t>2023</w:t>
      </w:r>
      <w:r>
        <w:rPr>
          <w:rFonts w:hint="eastAsia" w:ascii="方正小标宋_GBK" w:eastAsia="方正小标宋_GBK"/>
          <w:sz w:val="30"/>
          <w:szCs w:val="30"/>
          <w:highlight w:val="none"/>
        </w:rPr>
        <w:t>年</w:t>
      </w:r>
      <w:r>
        <w:rPr>
          <w:rFonts w:hint="eastAsia" w:ascii="方正小标宋_GBK" w:eastAsia="方正小标宋_GBK"/>
          <w:sz w:val="30"/>
          <w:szCs w:val="30"/>
          <w:highlight w:val="none"/>
          <w:lang w:val="en-US" w:eastAsia="zh-CN"/>
        </w:rPr>
        <w:t>4</w:t>
      </w:r>
      <w:r>
        <w:rPr>
          <w:rFonts w:hint="eastAsia" w:ascii="方正小标宋_GBK" w:eastAsia="方正小标宋_GBK"/>
          <w:sz w:val="30"/>
          <w:szCs w:val="30"/>
          <w:highlight w:val="none"/>
        </w:rPr>
        <w:t>月</w:t>
      </w:r>
      <w:r>
        <w:rPr>
          <w:rFonts w:hint="eastAsia" w:ascii="方正小标宋_GBK" w:eastAsia="方正小标宋_GBK"/>
          <w:sz w:val="30"/>
          <w:szCs w:val="30"/>
          <w:highlight w:val="none"/>
          <w:lang w:val="en-US" w:eastAsia="zh-CN"/>
        </w:rPr>
        <w:t>17</w:t>
      </w:r>
      <w:r>
        <w:rPr>
          <w:rFonts w:hint="eastAsia" w:ascii="方正小标宋_GBK" w:eastAsia="方正小标宋_GBK"/>
          <w:sz w:val="30"/>
          <w:szCs w:val="30"/>
          <w:highlight w:val="none"/>
        </w:rPr>
        <w:t>日至</w:t>
      </w:r>
      <w:r>
        <w:rPr>
          <w:rFonts w:hint="eastAsia" w:ascii="方正小标宋_GBK" w:eastAsia="方正小标宋_GBK"/>
          <w:sz w:val="30"/>
          <w:szCs w:val="30"/>
          <w:highlight w:val="none"/>
          <w:lang w:val="en-US" w:eastAsia="zh-CN"/>
        </w:rPr>
        <w:t>2023</w:t>
      </w:r>
      <w:r>
        <w:rPr>
          <w:rFonts w:hint="eastAsia" w:ascii="方正小标宋_GBK" w:eastAsia="方正小标宋_GBK"/>
          <w:sz w:val="30"/>
          <w:szCs w:val="30"/>
          <w:highlight w:val="none"/>
        </w:rPr>
        <w:t>年</w:t>
      </w:r>
      <w:r>
        <w:rPr>
          <w:rFonts w:hint="eastAsia" w:ascii="方正小标宋_GBK" w:eastAsia="方正小标宋_GBK"/>
          <w:sz w:val="30"/>
          <w:szCs w:val="30"/>
          <w:highlight w:val="none"/>
          <w:lang w:val="en-US" w:eastAsia="zh-CN"/>
        </w:rPr>
        <w:t>4</w:t>
      </w:r>
      <w:r>
        <w:rPr>
          <w:rFonts w:hint="eastAsia" w:ascii="方正小标宋_GBK" w:eastAsia="方正小标宋_GBK"/>
          <w:sz w:val="30"/>
          <w:szCs w:val="30"/>
          <w:highlight w:val="none"/>
        </w:rPr>
        <w:t>月</w:t>
      </w:r>
      <w:r>
        <w:rPr>
          <w:rFonts w:hint="eastAsia" w:ascii="方正小标宋_GBK" w:eastAsia="方正小标宋_GBK"/>
          <w:sz w:val="30"/>
          <w:szCs w:val="30"/>
          <w:highlight w:val="none"/>
          <w:lang w:val="en-US" w:eastAsia="zh-CN"/>
        </w:rPr>
        <w:t>20</w:t>
      </w:r>
      <w:r>
        <w:rPr>
          <w:rFonts w:hint="eastAsia" w:ascii="方正小标宋_GBK" w:eastAsia="方正小标宋_GBK"/>
          <w:sz w:val="30"/>
          <w:szCs w:val="30"/>
          <w:highlight w:val="none"/>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13"/>
        <w:gridCol w:w="1438"/>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项目标段名称</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重庆高速公路集团有限公司东北营运分公司 2023-2025 年清障救援业务外包（第二次）</w:t>
            </w:r>
          </w:p>
        </w:tc>
        <w:tc>
          <w:tcPr>
            <w:tcW w:w="1390" w:type="dxa"/>
            <w:gridSpan w:val="2"/>
            <w:vMerge w:val="restart"/>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最高限价</w:t>
            </w:r>
          </w:p>
        </w:tc>
        <w:tc>
          <w:tcPr>
            <w:tcW w:w="2107" w:type="dxa"/>
            <w:gridSpan w:val="2"/>
            <w:vMerge w:val="restart"/>
            <w:shd w:val="clear" w:color="auto" w:fill="auto"/>
            <w:vAlign w:val="center"/>
          </w:tcPr>
          <w:p>
            <w:pPr>
              <w:widowControl/>
              <w:jc w:val="center"/>
              <w:rPr>
                <w:rFonts w:hint="default" w:ascii="宋体" w:hAnsi="宋体" w:eastAsia="宋体" w:cs="宋体"/>
                <w:color w:val="auto"/>
                <w:kern w:val="0"/>
                <w:sz w:val="22"/>
                <w:highlight w:val="none"/>
                <w:lang w:val="en-US"/>
              </w:rPr>
            </w:pPr>
            <w:r>
              <w:rPr>
                <w:rFonts w:hint="eastAsia" w:ascii="宋体" w:hAnsi="宋体" w:eastAsia="宋体" w:cs="宋体"/>
                <w:color w:val="auto"/>
                <w:kern w:val="0"/>
                <w:sz w:val="22"/>
                <w:highlight w:val="none"/>
                <w:lang w:val="en-US" w:eastAsia="zh-CN"/>
              </w:rPr>
              <w:t xml:space="preserve"> 2960000</w:t>
            </w:r>
            <w:r>
              <w:rPr>
                <w:rFonts w:hint="default" w:ascii="宋体" w:hAnsi="宋体" w:eastAsia="宋体" w:cs="宋体"/>
                <w:color w:val="auto"/>
                <w:kern w:val="0"/>
                <w:sz w:val="22"/>
                <w:highlight w:val="none"/>
                <w:lang w:val="en-U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项目编码</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50000120230228025090101 </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招标公告编号</w:t>
            </w:r>
          </w:p>
        </w:tc>
        <w:tc>
          <w:tcPr>
            <w:tcW w:w="5115" w:type="dxa"/>
            <w:gridSpan w:val="5"/>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招标人</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重庆高速公路集团有限公司东北营运分公司</w:t>
            </w:r>
          </w:p>
        </w:tc>
        <w:tc>
          <w:tcPr>
            <w:tcW w:w="1390"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招标人联系电话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 xml:space="preserve"> </w:t>
            </w:r>
            <w:r>
              <w:rPr>
                <w:rFonts w:hint="eastAsia" w:asciiTheme="minorEastAsia" w:hAnsiTheme="minorEastAsia" w:eastAsiaTheme="minorEastAsia"/>
                <w:szCs w:val="21"/>
                <w:highlight w:val="none"/>
              </w:rPr>
              <w:t>023-58338316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8"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w:t>
            </w:r>
          </w:p>
        </w:tc>
        <w:tc>
          <w:tcPr>
            <w:tcW w:w="5115" w:type="dxa"/>
            <w:gridSpan w:val="5"/>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restart"/>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中标候选人排序</w:t>
            </w:r>
          </w:p>
        </w:tc>
        <w:tc>
          <w:tcPr>
            <w:tcW w:w="1513" w:type="dxa"/>
            <w:vMerge w:val="restart"/>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名称</w:t>
            </w:r>
          </w:p>
        </w:tc>
        <w:tc>
          <w:tcPr>
            <w:tcW w:w="1438" w:type="dxa"/>
            <w:vMerge w:val="restart"/>
            <w:shd w:val="clear" w:color="auto" w:fill="auto"/>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投标报价</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元</w:t>
            </w:r>
            <w:r>
              <w:rPr>
                <w:rFonts w:hint="eastAsia" w:ascii="宋体" w:hAnsi="宋体" w:eastAsia="宋体" w:cs="宋体"/>
                <w:color w:val="auto"/>
                <w:kern w:val="0"/>
                <w:sz w:val="22"/>
                <w:highlight w:val="none"/>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kern w:val="0"/>
                <w:szCs w:val="21"/>
                <w:highlight w:val="none"/>
              </w:rPr>
              <w:t>服务期</w:t>
            </w:r>
          </w:p>
        </w:tc>
        <w:tc>
          <w:tcPr>
            <w:tcW w:w="1174" w:type="dxa"/>
            <w:vMerge w:val="restart"/>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kern w:val="0"/>
                <w:szCs w:val="21"/>
                <w:highlight w:val="none"/>
              </w:rPr>
              <w:t>服务</w:t>
            </w:r>
            <w:r>
              <w:rPr>
                <w:rFonts w:hint="eastAsia" w:ascii="宋体" w:hAnsi="宋体" w:eastAsia="宋体" w:cs="宋体"/>
                <w:color w:val="auto"/>
                <w:kern w:val="0"/>
                <w:sz w:val="22"/>
                <w:highlight w:val="none"/>
                <w:lang w:val="en-US" w:eastAsia="zh-CN"/>
              </w:rPr>
              <w:t>质量</w:t>
            </w:r>
          </w:p>
        </w:tc>
        <w:tc>
          <w:tcPr>
            <w:tcW w:w="3497" w:type="dxa"/>
            <w:gridSpan w:val="4"/>
            <w:shd w:val="clear" w:color="auto" w:fill="auto"/>
            <w:vAlign w:val="center"/>
          </w:tcPr>
          <w:p>
            <w:pPr>
              <w:widowControl/>
              <w:jc w:val="center"/>
              <w:rPr>
                <w:rFonts w:hint="eastAsia" w:ascii="Calibri" w:hAnsi="Calibri" w:eastAsia="宋体" w:cs="Calibri"/>
                <w:color w:val="auto"/>
                <w:kern w:val="0"/>
                <w:sz w:val="22"/>
                <w:highlight w:val="none"/>
              </w:rPr>
            </w:pPr>
            <w:r>
              <w:rPr>
                <w:rFonts w:ascii="Calibri" w:hAnsi="Calibri" w:eastAsia="宋体" w:cs="Calibri"/>
                <w:color w:val="auto"/>
                <w:kern w:val="0"/>
                <w:sz w:val="22"/>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continue"/>
            <w:vAlign w:val="center"/>
          </w:tcPr>
          <w:p>
            <w:pPr>
              <w:widowControl/>
              <w:jc w:val="left"/>
              <w:rPr>
                <w:rFonts w:ascii="宋体" w:hAnsi="宋体" w:eastAsia="宋体" w:cs="宋体"/>
                <w:color w:val="auto"/>
                <w:kern w:val="0"/>
                <w:sz w:val="22"/>
                <w:highlight w:val="none"/>
              </w:rPr>
            </w:pPr>
          </w:p>
        </w:tc>
        <w:tc>
          <w:tcPr>
            <w:tcW w:w="1513" w:type="dxa"/>
            <w:vMerge w:val="continue"/>
            <w:vAlign w:val="center"/>
          </w:tcPr>
          <w:p>
            <w:pPr>
              <w:widowControl/>
              <w:jc w:val="left"/>
              <w:rPr>
                <w:rFonts w:ascii="宋体" w:hAnsi="宋体" w:eastAsia="宋体" w:cs="宋体"/>
                <w:color w:val="auto"/>
                <w:kern w:val="0"/>
                <w:sz w:val="22"/>
                <w:highlight w:val="none"/>
              </w:rPr>
            </w:pPr>
          </w:p>
        </w:tc>
        <w:tc>
          <w:tcPr>
            <w:tcW w:w="1438" w:type="dxa"/>
            <w:vMerge w:val="continue"/>
            <w:vAlign w:val="center"/>
          </w:tcPr>
          <w:p>
            <w:pPr>
              <w:widowControl/>
              <w:jc w:val="left"/>
              <w:rPr>
                <w:rFonts w:ascii="宋体" w:hAnsi="宋体" w:eastAsia="宋体" w:cs="宋体"/>
                <w:color w:val="auto"/>
                <w:kern w:val="0"/>
                <w:sz w:val="22"/>
                <w:highlight w:val="none"/>
              </w:rPr>
            </w:pPr>
          </w:p>
        </w:tc>
        <w:tc>
          <w:tcPr>
            <w:tcW w:w="990" w:type="dxa"/>
            <w:gridSpan w:val="2"/>
            <w:vMerge w:val="continue"/>
            <w:vAlign w:val="center"/>
          </w:tcPr>
          <w:p>
            <w:pPr>
              <w:widowControl/>
              <w:jc w:val="left"/>
              <w:rPr>
                <w:rFonts w:ascii="宋体" w:hAnsi="宋体" w:eastAsia="宋体" w:cs="宋体"/>
                <w:color w:val="auto"/>
                <w:kern w:val="0"/>
                <w:sz w:val="22"/>
                <w:highlight w:val="none"/>
              </w:rPr>
            </w:pPr>
          </w:p>
        </w:tc>
        <w:tc>
          <w:tcPr>
            <w:tcW w:w="1174" w:type="dxa"/>
            <w:vMerge w:val="continue"/>
            <w:vAlign w:val="center"/>
          </w:tcPr>
          <w:p>
            <w:pPr>
              <w:widowControl/>
              <w:jc w:val="left"/>
              <w:rPr>
                <w:rFonts w:ascii="宋体" w:hAnsi="宋体" w:eastAsia="宋体" w:cs="宋体"/>
                <w:color w:val="auto"/>
                <w:kern w:val="0"/>
                <w:sz w:val="22"/>
                <w:highlight w:val="none"/>
              </w:rPr>
            </w:pPr>
          </w:p>
        </w:tc>
        <w:tc>
          <w:tcPr>
            <w:tcW w:w="851" w:type="dxa"/>
            <w:shd w:val="clear" w:color="auto" w:fill="auto"/>
            <w:vAlign w:val="center"/>
          </w:tcPr>
          <w:p>
            <w:pPr>
              <w:widowControl/>
              <w:jc w:val="center"/>
              <w:rPr>
                <w:rFonts w:ascii="Calibri" w:hAnsi="Calibri" w:eastAsia="宋体" w:cs="Calibri"/>
                <w:color w:val="auto"/>
                <w:kern w:val="0"/>
                <w:sz w:val="22"/>
                <w:highlight w:val="none"/>
              </w:rPr>
            </w:pPr>
            <w:r>
              <w:rPr>
                <w:rFonts w:ascii="Calibri" w:hAnsi="Calibri" w:eastAsia="宋体" w:cs="Calibri"/>
                <w:color w:val="auto"/>
                <w:kern w:val="0"/>
                <w:sz w:val="22"/>
                <w:highlight w:val="none"/>
              </w:rPr>
              <w:t>姓名</w:t>
            </w:r>
          </w:p>
        </w:tc>
        <w:tc>
          <w:tcPr>
            <w:tcW w:w="1109" w:type="dxa"/>
            <w:gridSpan w:val="2"/>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证书名称</w:t>
            </w:r>
          </w:p>
        </w:tc>
        <w:tc>
          <w:tcPr>
            <w:tcW w:w="1537" w:type="dxa"/>
            <w:shd w:val="clear" w:color="auto" w:fill="auto"/>
            <w:vAlign w:val="center"/>
          </w:tcPr>
          <w:p>
            <w:pPr>
              <w:widowControl/>
              <w:jc w:val="center"/>
              <w:rPr>
                <w:rFonts w:hint="eastAsia" w:ascii="Calibri" w:hAnsi="Calibri" w:eastAsia="宋体" w:cs="Calibri"/>
                <w:color w:val="auto"/>
                <w:kern w:val="0"/>
                <w:sz w:val="22"/>
                <w:highlight w:val="none"/>
              </w:rPr>
            </w:pPr>
            <w:r>
              <w:rPr>
                <w:rFonts w:ascii="Calibri" w:hAnsi="Calibri" w:eastAsia="宋体" w:cs="Calibri"/>
                <w:color w:val="auto"/>
                <w:kern w:val="0"/>
                <w:sz w:val="22"/>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第一名</w:t>
            </w:r>
          </w:p>
        </w:tc>
        <w:tc>
          <w:tcPr>
            <w:tcW w:w="1513"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重庆速安汽车救援服务有限公司 </w:t>
            </w:r>
          </w:p>
        </w:tc>
        <w:tc>
          <w:tcPr>
            <w:tcW w:w="143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2870000 </w:t>
            </w:r>
          </w:p>
        </w:tc>
        <w:tc>
          <w:tcPr>
            <w:tcW w:w="990" w:type="dxa"/>
            <w:gridSpan w:val="2"/>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rPr>
              <w:t>满足招标文件要求</w:t>
            </w:r>
          </w:p>
        </w:tc>
        <w:tc>
          <w:tcPr>
            <w:tcW w:w="1174"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rPr>
              <w:t>满足招标文件要求</w:t>
            </w:r>
          </w:p>
        </w:tc>
        <w:tc>
          <w:tcPr>
            <w:tcW w:w="851"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w:t>
            </w:r>
          </w:p>
        </w:tc>
        <w:tc>
          <w:tcPr>
            <w:tcW w:w="1109" w:type="dxa"/>
            <w:gridSpan w:val="2"/>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w:t>
            </w:r>
          </w:p>
        </w:tc>
        <w:tc>
          <w:tcPr>
            <w:tcW w:w="1537" w:type="dxa"/>
            <w:shd w:val="clear" w:color="auto" w:fill="auto"/>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48"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auto"/>
                <w:kern w:val="0"/>
                <w:sz w:val="22"/>
                <w:highlight w:val="none"/>
                <w:lang w:eastAsia="zh-CN"/>
              </w:rPr>
            </w:pPr>
            <w:r>
              <w:rPr>
                <w:rFonts w:hint="eastAsia" w:ascii="宋体" w:hAnsi="宋体" w:eastAsia="宋体" w:cs="宋体"/>
                <w:b/>
                <w:bCs/>
                <w:color w:val="auto"/>
                <w:kern w:val="0"/>
                <w:sz w:val="22"/>
                <w:highlight w:val="none"/>
                <w:lang w:eastAsia="zh-CN"/>
              </w:rPr>
              <w:t>业绩</w:t>
            </w:r>
            <w:r>
              <w:rPr>
                <w:rFonts w:hint="eastAsia" w:ascii="宋体" w:hAnsi="宋体" w:eastAsia="宋体" w:cs="宋体"/>
                <w:b/>
                <w:bCs/>
                <w:color w:val="auto"/>
                <w:kern w:val="0"/>
                <w:sz w:val="22"/>
                <w:highlight w:val="none"/>
                <w:lang w:val="en-US" w:eastAsia="zh-CN"/>
              </w:rPr>
              <w:t>相关</w:t>
            </w:r>
            <w:r>
              <w:rPr>
                <w:rFonts w:hint="eastAsia" w:ascii="宋体" w:hAnsi="宋体" w:eastAsia="宋体" w:cs="宋体"/>
                <w:b/>
                <w:bCs/>
                <w:color w:val="auto"/>
                <w:kern w:val="0"/>
                <w:sz w:val="22"/>
                <w:highlight w:val="none"/>
                <w:lang w:eastAsia="zh-CN"/>
              </w:rPr>
              <w:t>：</w:t>
            </w:r>
          </w:p>
          <w:p>
            <w:pPr>
              <w:keepNext w:val="0"/>
              <w:keepLines w:val="0"/>
              <w:widowControl/>
              <w:suppressLineNumbers w:val="0"/>
              <w:jc w:val="left"/>
              <w:rPr>
                <w:rFonts w:hint="default"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第一中标候选人：</w:t>
            </w:r>
            <w:r>
              <w:rPr>
                <w:rFonts w:hint="eastAsia" w:ascii="宋体" w:hAnsi="宋体" w:eastAsia="宋体" w:cs="宋体"/>
                <w:color w:val="auto"/>
                <w:kern w:val="0"/>
                <w:sz w:val="22"/>
                <w:highlight w:val="none"/>
              </w:rPr>
              <w:t xml:space="preserve">重庆速安汽车救援服务有限公司 </w:t>
            </w:r>
            <w:r>
              <w:rPr>
                <w:rFonts w:hint="eastAsia" w:ascii="宋体" w:hAnsi="宋体" w:eastAsia="宋体" w:cs="宋体"/>
                <w:color w:val="auto"/>
                <w:kern w:val="0"/>
                <w:sz w:val="22"/>
                <w:highlight w:val="none"/>
                <w:lang w:eastAsia="zh-CN"/>
              </w:rPr>
              <w:t>恩施至广元国家高速公路重庆新田至高峰段清障救援业务外包服务合同</w:t>
            </w:r>
            <w:r>
              <w:rPr>
                <w:rFonts w:hint="eastAsia" w:ascii="宋体" w:hAnsi="宋体" w:eastAsia="宋体" w:cs="宋体"/>
                <w:color w:val="auto"/>
                <w:kern w:val="0"/>
                <w:sz w:val="22"/>
                <w:highlight w:val="none"/>
                <w:lang w:val="en-US" w:eastAsia="zh-CN"/>
              </w:rPr>
              <w:t xml:space="preserve"> ，合同含税金额354000元。</w:t>
            </w:r>
          </w:p>
          <w:p>
            <w:pPr>
              <w:keepNext w:val="0"/>
              <w:keepLines w:val="0"/>
              <w:widowControl/>
              <w:suppressLineNumbers w:val="0"/>
              <w:jc w:val="left"/>
              <w:rPr>
                <w:rFonts w:hint="default" w:ascii="宋体" w:hAnsi="宋体" w:eastAsia="宋体" w:cs="宋体"/>
                <w:color w:val="auto"/>
                <w:kern w:val="0"/>
                <w:sz w:val="22"/>
                <w:highlight w:val="none"/>
                <w:lang w:val="en-US" w:eastAsia="zh-CN"/>
              </w:rPr>
            </w:pPr>
          </w:p>
          <w:p>
            <w:pPr>
              <w:keepNext w:val="0"/>
              <w:keepLines w:val="0"/>
              <w:widowControl/>
              <w:suppressLineNumbers w:val="0"/>
              <w:jc w:val="left"/>
              <w:rPr>
                <w:rFonts w:hint="eastAsia" w:ascii="宋体" w:hAnsi="宋体" w:eastAsia="宋体" w:cs="宋体"/>
                <w:b w:val="0"/>
                <w:bCs w:val="0"/>
                <w:color w:val="auto"/>
                <w:kern w:val="0"/>
                <w:sz w:val="22"/>
                <w:highlight w:val="none"/>
                <w:lang w:eastAsia="zh-CN"/>
              </w:rPr>
            </w:pPr>
            <w:r>
              <w:rPr>
                <w:rFonts w:hint="eastAsia" w:ascii="宋体" w:hAnsi="宋体" w:eastAsia="宋体" w:cs="宋体"/>
                <w:b/>
                <w:bCs/>
                <w:color w:val="auto"/>
                <w:kern w:val="0"/>
                <w:sz w:val="22"/>
                <w:highlight w:val="none"/>
                <w:lang w:eastAsia="zh-CN"/>
              </w:rPr>
              <w:t>否决投标情况：</w:t>
            </w:r>
            <w:r>
              <w:rPr>
                <w:rFonts w:hint="eastAsia" w:ascii="宋体" w:hAnsi="宋体" w:eastAsia="宋体" w:cs="宋体"/>
                <w:b w:val="0"/>
                <w:bCs w:val="0"/>
                <w:color w:val="auto"/>
                <w:kern w:val="0"/>
                <w:sz w:val="22"/>
                <w:highlight w:val="none"/>
                <w:lang w:eastAsia="zh-CN"/>
              </w:rPr>
              <w:t xml:space="preserve">重庆关忆汽车救援服务有限公司，投标人重庆关忆汽车救援服务有限公司投标文件中，因法定代表人身份证明应签名处未签名，不满足招标文件 A-6 第六章投标文件格式要求法定代表人或其委托代理人签名（或盖章）的须齐全，要求签名的，签名采用手写签名或签章或加盖 CA 数字证书均可的要求。根据招标文件《综合评估法否决投标情况一览表》 第三章形式评审 A-6 之要求，其投标文件被否决。 </w:t>
            </w:r>
          </w:p>
          <w:p>
            <w:pPr>
              <w:keepNext w:val="0"/>
              <w:keepLines w:val="0"/>
              <w:widowControl/>
              <w:suppressLineNumbers w:val="0"/>
              <w:jc w:val="left"/>
              <w:rPr>
                <w:rFonts w:hint="eastAsia" w:ascii="宋体" w:hAnsi="宋体" w:eastAsia="宋体" w:cs="宋体"/>
                <w:color w:val="auto"/>
                <w:kern w:val="0"/>
                <w:sz w:val="22"/>
                <w:highlight w:val="none"/>
                <w:lang w:eastAsia="zh-CN"/>
              </w:rPr>
            </w:pPr>
            <w:r>
              <w:rPr>
                <w:rFonts w:hint="eastAsia" w:ascii="宋体" w:hAnsi="宋体" w:eastAsia="宋体" w:cs="宋体"/>
                <w:b w:val="0"/>
                <w:bCs w:val="0"/>
                <w:color w:val="auto"/>
                <w:kern w:val="0"/>
                <w:sz w:val="22"/>
                <w:highlight w:val="none"/>
                <w:lang w:eastAsia="zh-CN"/>
              </w:rPr>
              <w:t xml:space="preserve">重庆护航汽车救援服务有限公司，投标人重庆护航汽车救援服务有限公司投标文件中，因法定代表人身份证明应签名处未签名，不满足招标文件 A-6 第六章投标文件格式要求法定代表人或其委托代理人签名 （或盖章）的须齐全，要求签名的，签名采用手写签名或签章或加盖 CA 数字证书均可的要求。根据招标文件《综合评估法否决投标情况一览表》 第三章形式评审 A-6 之要求，其投标文件被否决。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color w:val="auto"/>
                <w:kern w:val="0"/>
                <w:sz w:val="22"/>
                <w:lang w:eastAsia="zh-CN"/>
              </w:rPr>
              <w:t>提出</w:t>
            </w:r>
            <w:r>
              <w:rPr>
                <w:rFonts w:hint="eastAsia" w:ascii="宋体" w:hAnsi="宋体" w:eastAsia="宋体" w:cs="宋体"/>
                <w:color w:val="auto"/>
                <w:kern w:val="0"/>
                <w:sz w:val="22"/>
              </w:rPr>
              <w:t>：重庆高速公路集团有限公司东北营运分公司</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联系电话：023-58338316</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70"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pStyle w:val="21"/>
              <w:rPr>
                <w:rFonts w:hint="eastAsia" w:ascii="宋体" w:hAnsi="宋体" w:eastAsia="宋体" w:cs="宋体"/>
                <w:color w:val="auto"/>
                <w:kern w:val="0"/>
                <w:sz w:val="22"/>
              </w:rPr>
            </w:pPr>
          </w:p>
          <w:p>
            <w:pPr>
              <w:pStyle w:val="21"/>
              <w:rPr>
                <w:rFonts w:hint="eastAsia" w:ascii="宋体" w:hAnsi="宋体" w:eastAsia="宋体" w:cs="宋体"/>
                <w:color w:val="auto"/>
                <w:kern w:val="0"/>
                <w:sz w:val="22"/>
              </w:rPr>
            </w:pPr>
            <w:r>
              <w:rPr>
                <w:rFonts w:hint="eastAsia" w:ascii="宋体" w:hAnsi="宋体" w:eastAsia="宋体" w:cs="宋体"/>
                <w:color w:val="auto"/>
                <w:kern w:val="0"/>
                <w:sz w:val="22"/>
              </w:rPr>
              <w:t>重庆高速公路集团有限公司东北营运分公司</w:t>
            </w:r>
          </w:p>
          <w:p>
            <w:pPr>
              <w:pStyle w:val="21"/>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年4月17日   </w:t>
            </w:r>
          </w:p>
        </w:tc>
        <w:tc>
          <w:tcPr>
            <w:tcW w:w="5190" w:type="dxa"/>
            <w:gridSpan w:val="6"/>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1"/>
              <w:rPr>
                <w:rFonts w:hint="eastAsia"/>
                <w:color w:val="auto"/>
                <w:lang w:eastAsia="zh-CN"/>
              </w:rPr>
            </w:pPr>
          </w:p>
          <w:p>
            <w:pPr>
              <w:widowControl/>
              <w:jc w:val="center"/>
              <w:rPr>
                <w:rFonts w:hint="eastAsia" w:ascii="宋体" w:hAnsi="宋体" w:eastAsia="宋体" w:cs="宋体"/>
                <w:color w:val="auto"/>
                <w:kern w:val="0"/>
                <w:sz w:val="22"/>
                <w:lang w:eastAsia="zh-CN"/>
              </w:rPr>
            </w:pPr>
          </w:p>
          <w:p>
            <w:pPr>
              <w:pStyle w:val="21"/>
              <w:rPr>
                <w:rFonts w:hint="eastAsia"/>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年 4月17日</w:t>
            </w:r>
            <w:bookmarkStart w:id="0" w:name="_GoBack"/>
            <w:bookmarkEnd w:id="0"/>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2C0122C"/>
    <w:rsid w:val="034D0DC7"/>
    <w:rsid w:val="038076F6"/>
    <w:rsid w:val="0429305B"/>
    <w:rsid w:val="043B3CCE"/>
    <w:rsid w:val="047F1DAB"/>
    <w:rsid w:val="054144F3"/>
    <w:rsid w:val="068B64D2"/>
    <w:rsid w:val="072E314F"/>
    <w:rsid w:val="0733430F"/>
    <w:rsid w:val="084819CC"/>
    <w:rsid w:val="08884840"/>
    <w:rsid w:val="08F21A03"/>
    <w:rsid w:val="09834A1F"/>
    <w:rsid w:val="0A0C3409"/>
    <w:rsid w:val="0AB80DB3"/>
    <w:rsid w:val="0AD80180"/>
    <w:rsid w:val="0AFE4225"/>
    <w:rsid w:val="0B725406"/>
    <w:rsid w:val="0E090577"/>
    <w:rsid w:val="0E95291F"/>
    <w:rsid w:val="0EA53929"/>
    <w:rsid w:val="0F474788"/>
    <w:rsid w:val="0F7110E9"/>
    <w:rsid w:val="10DD697C"/>
    <w:rsid w:val="110B47BE"/>
    <w:rsid w:val="11AC68AA"/>
    <w:rsid w:val="14947D5C"/>
    <w:rsid w:val="15791A87"/>
    <w:rsid w:val="158226E9"/>
    <w:rsid w:val="160805D7"/>
    <w:rsid w:val="16322361"/>
    <w:rsid w:val="16484750"/>
    <w:rsid w:val="166B41F1"/>
    <w:rsid w:val="18C67B43"/>
    <w:rsid w:val="18D272CE"/>
    <w:rsid w:val="198C002F"/>
    <w:rsid w:val="19C14582"/>
    <w:rsid w:val="1A182FA5"/>
    <w:rsid w:val="1E110AAE"/>
    <w:rsid w:val="1E2433C8"/>
    <w:rsid w:val="1EBE0C60"/>
    <w:rsid w:val="21015917"/>
    <w:rsid w:val="21442F49"/>
    <w:rsid w:val="23160915"/>
    <w:rsid w:val="242C0AC7"/>
    <w:rsid w:val="255527BA"/>
    <w:rsid w:val="25E2217A"/>
    <w:rsid w:val="273121C1"/>
    <w:rsid w:val="27762747"/>
    <w:rsid w:val="27BB2E30"/>
    <w:rsid w:val="28461C9C"/>
    <w:rsid w:val="2887022B"/>
    <w:rsid w:val="2A067935"/>
    <w:rsid w:val="2AED63FF"/>
    <w:rsid w:val="2B6851C9"/>
    <w:rsid w:val="2C3F2C8B"/>
    <w:rsid w:val="2CEA4F93"/>
    <w:rsid w:val="2EBD258D"/>
    <w:rsid w:val="2F25085E"/>
    <w:rsid w:val="2F334741"/>
    <w:rsid w:val="3290545A"/>
    <w:rsid w:val="337E22EA"/>
    <w:rsid w:val="339B0D78"/>
    <w:rsid w:val="33C00B55"/>
    <w:rsid w:val="33FE5081"/>
    <w:rsid w:val="34014CC9"/>
    <w:rsid w:val="34310729"/>
    <w:rsid w:val="346B1830"/>
    <w:rsid w:val="34880F47"/>
    <w:rsid w:val="351B09A1"/>
    <w:rsid w:val="381256F7"/>
    <w:rsid w:val="394A036E"/>
    <w:rsid w:val="39D71B1E"/>
    <w:rsid w:val="3A1B6D32"/>
    <w:rsid w:val="3CB1626A"/>
    <w:rsid w:val="3D3B0A08"/>
    <w:rsid w:val="3DF92F26"/>
    <w:rsid w:val="3EF94F1B"/>
    <w:rsid w:val="3FF746D7"/>
    <w:rsid w:val="40471EFB"/>
    <w:rsid w:val="40477F08"/>
    <w:rsid w:val="43767507"/>
    <w:rsid w:val="43DE0C50"/>
    <w:rsid w:val="44F56185"/>
    <w:rsid w:val="456E1846"/>
    <w:rsid w:val="46024FFD"/>
    <w:rsid w:val="466C06C8"/>
    <w:rsid w:val="473016F6"/>
    <w:rsid w:val="47596E9F"/>
    <w:rsid w:val="47BC411F"/>
    <w:rsid w:val="47E524E0"/>
    <w:rsid w:val="47F92D32"/>
    <w:rsid w:val="47FA230E"/>
    <w:rsid w:val="4812474D"/>
    <w:rsid w:val="487B4B3D"/>
    <w:rsid w:val="48B42A45"/>
    <w:rsid w:val="48CC36A0"/>
    <w:rsid w:val="48FC21D7"/>
    <w:rsid w:val="49AD702E"/>
    <w:rsid w:val="4AC9760C"/>
    <w:rsid w:val="4B1D633D"/>
    <w:rsid w:val="4C7B50C0"/>
    <w:rsid w:val="4D300D98"/>
    <w:rsid w:val="4ED32720"/>
    <w:rsid w:val="4EFE2381"/>
    <w:rsid w:val="4FFB3C11"/>
    <w:rsid w:val="50661029"/>
    <w:rsid w:val="509727E6"/>
    <w:rsid w:val="515F3303"/>
    <w:rsid w:val="53956916"/>
    <w:rsid w:val="55794BB0"/>
    <w:rsid w:val="56A22532"/>
    <w:rsid w:val="574B7F6D"/>
    <w:rsid w:val="57530F72"/>
    <w:rsid w:val="59803E57"/>
    <w:rsid w:val="59BE6F2B"/>
    <w:rsid w:val="5BA72C22"/>
    <w:rsid w:val="5CB32EB5"/>
    <w:rsid w:val="5CDD1EBD"/>
    <w:rsid w:val="5CFD0323"/>
    <w:rsid w:val="5D694D67"/>
    <w:rsid w:val="60642993"/>
    <w:rsid w:val="61670F69"/>
    <w:rsid w:val="6223037D"/>
    <w:rsid w:val="63924BE7"/>
    <w:rsid w:val="63F20A4B"/>
    <w:rsid w:val="63F86CD6"/>
    <w:rsid w:val="64B22FF9"/>
    <w:rsid w:val="657C50E7"/>
    <w:rsid w:val="65AF2D06"/>
    <w:rsid w:val="65DC2D1D"/>
    <w:rsid w:val="66707909"/>
    <w:rsid w:val="67147067"/>
    <w:rsid w:val="683706DE"/>
    <w:rsid w:val="69793BB8"/>
    <w:rsid w:val="698E298F"/>
    <w:rsid w:val="6992522B"/>
    <w:rsid w:val="69F34AD9"/>
    <w:rsid w:val="6BD33F99"/>
    <w:rsid w:val="6C6677E4"/>
    <w:rsid w:val="6C922387"/>
    <w:rsid w:val="6CD3474E"/>
    <w:rsid w:val="6D836174"/>
    <w:rsid w:val="6DD644F6"/>
    <w:rsid w:val="6FAA35E5"/>
    <w:rsid w:val="6FC90C65"/>
    <w:rsid w:val="7031057E"/>
    <w:rsid w:val="70E976A8"/>
    <w:rsid w:val="71066FB1"/>
    <w:rsid w:val="719165C1"/>
    <w:rsid w:val="74655CAA"/>
    <w:rsid w:val="76B24303"/>
    <w:rsid w:val="7775502F"/>
    <w:rsid w:val="77C43611"/>
    <w:rsid w:val="78F9553C"/>
    <w:rsid w:val="792C5912"/>
    <w:rsid w:val="79A9134B"/>
    <w:rsid w:val="7AF52483"/>
    <w:rsid w:val="7B792312"/>
    <w:rsid w:val="7BA37EDC"/>
    <w:rsid w:val="7C71760C"/>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1115</Words>
  <Characters>1314</Characters>
  <Lines>5</Lines>
  <Paragraphs>1</Paragraphs>
  <TotalTime>0</TotalTime>
  <ScaleCrop>false</ScaleCrop>
  <LinksUpToDate>false</LinksUpToDate>
  <CharactersWithSpaces>1466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2023-04-14T02:36:22Z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