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 xml:space="preserve"> 重庆高速公路集团有限公司 2023-2025 年养护及机电工程施工</w:t>
      </w:r>
    </w:p>
    <w:p>
      <w:pPr>
        <w:jc w:val="center"/>
        <w:rPr>
          <w:rFonts w:hint="eastAsia" w:ascii="方正小标宋_GBK" w:eastAsia="方正小标宋_GBK"/>
          <w:sz w:val="40"/>
          <w:szCs w:val="40"/>
          <w:highlight w:val="none"/>
          <w:lang w:val="en-US" w:eastAsia="zh-CN"/>
        </w:rPr>
      </w:pPr>
      <w:r>
        <w:rPr>
          <w:rFonts w:hint="eastAsia" w:ascii="方正小标宋_GBK" w:eastAsia="方正小标宋_GBK"/>
          <w:sz w:val="32"/>
          <w:szCs w:val="32"/>
        </w:rPr>
        <w:t>监理服务项目一标段</w:t>
      </w:r>
      <w:r>
        <w:rPr>
          <w:rFonts w:hint="eastAsia" w:ascii="方正小标宋_GBK" w:eastAsia="方正小标宋_GBK"/>
          <w:sz w:val="32"/>
          <w:szCs w:val="32"/>
          <w:highlight w:val="none"/>
        </w:rPr>
        <w:t>中标候选人公示</w:t>
      </w:r>
      <w:r>
        <w:rPr>
          <w:rFonts w:hint="eastAsia" w:ascii="方正小标宋_GBK" w:eastAsia="方正小标宋_GBK"/>
          <w:sz w:val="32"/>
          <w:szCs w:val="32"/>
          <w:highlight w:val="none"/>
          <w:lang w:val="en-US" w:eastAsia="zh-CN"/>
        </w:rPr>
        <w:t>表</w:t>
      </w:r>
    </w:p>
    <w:p>
      <w:pPr>
        <w:jc w:val="center"/>
        <w:rPr>
          <w:rFonts w:hint="eastAsia" w:ascii="方正小标宋_GBK" w:eastAsia="方正小标宋_GBK"/>
          <w:sz w:val="30"/>
          <w:szCs w:val="30"/>
          <w:highlight w:val="none"/>
          <w:lang w:val="en-US" w:eastAsia="zh-CN"/>
        </w:rPr>
      </w:pPr>
      <w:r>
        <w:rPr>
          <w:rFonts w:hint="eastAsia" w:ascii="方正小标宋_GBK" w:eastAsia="方正小标宋_GBK"/>
          <w:sz w:val="30"/>
          <w:szCs w:val="30"/>
          <w:highlight w:val="none"/>
        </w:rPr>
        <w:t>（公示期：</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28</w:t>
      </w:r>
      <w:r>
        <w:rPr>
          <w:rFonts w:hint="eastAsia" w:ascii="方正小标宋_GBK" w:eastAsia="方正小标宋_GBK"/>
          <w:sz w:val="30"/>
          <w:szCs w:val="30"/>
          <w:highlight w:val="none"/>
        </w:rPr>
        <w:t>日至</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5</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929"/>
        <w:gridCol w:w="1022"/>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bookmarkStart w:id="0" w:name="_GoBack"/>
            <w:r>
              <w:rPr>
                <w:rFonts w:hint="eastAsia" w:ascii="宋体" w:hAnsi="宋体" w:eastAsia="宋体" w:cs="宋体"/>
                <w:color w:val="auto"/>
                <w:kern w:val="0"/>
                <w:sz w:val="22"/>
                <w:highlight w:val="none"/>
              </w:rPr>
              <w:t>项目标段名称</w:t>
            </w:r>
          </w:p>
        </w:tc>
        <w:tc>
          <w:tcPr>
            <w:tcW w:w="5115" w:type="dxa"/>
            <w:gridSpan w:val="5"/>
            <w:shd w:val="clear" w:color="auto" w:fill="auto"/>
            <w:vAlign w:val="center"/>
          </w:tcPr>
          <w:p>
            <w:pPr>
              <w:widowControl/>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重庆高速公路集团有限公司 2023-2025 年养护及机电工程施工监理服务项目一标段</w:t>
            </w:r>
          </w:p>
        </w:tc>
        <w:tc>
          <w:tcPr>
            <w:tcW w:w="1390" w:type="dxa"/>
            <w:gridSpan w:val="2"/>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最高限价</w:t>
            </w:r>
          </w:p>
        </w:tc>
        <w:tc>
          <w:tcPr>
            <w:tcW w:w="2107"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val="en-US" w:eastAsia="zh-CN"/>
              </w:rPr>
              <w:t xml:space="preserve"> 7134000</w:t>
            </w:r>
            <w:r>
              <w:rPr>
                <w:rFonts w:hint="default" w:ascii="宋体" w:hAnsi="宋体" w:eastAsia="宋体" w:cs="宋体"/>
                <w:color w:val="auto"/>
                <w:kern w:val="0"/>
                <w:sz w:val="22"/>
                <w:highlight w:val="none"/>
                <w:lang w:val="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项目编码</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50000120230406025080101</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招标公告编号</w:t>
            </w:r>
          </w:p>
        </w:tc>
        <w:tc>
          <w:tcPr>
            <w:tcW w:w="5115" w:type="dxa"/>
            <w:gridSpan w:val="5"/>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招标人</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重庆高速公路集团有限公司东北营运分公司</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招标人联系电话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 xml:space="preserve"> </w:t>
            </w:r>
            <w:r>
              <w:rPr>
                <w:rFonts w:hint="eastAsia" w:asciiTheme="minorEastAsia" w:hAnsiTheme="minorEastAsia" w:eastAsiaTheme="minorEastAsia"/>
                <w:color w:val="auto"/>
                <w:szCs w:val="21"/>
                <w:highlight w:val="none"/>
              </w:rPr>
              <w:t>023-58338305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中标候选人排序</w:t>
            </w:r>
          </w:p>
        </w:tc>
        <w:tc>
          <w:tcPr>
            <w:tcW w:w="1929" w:type="dxa"/>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名称</w:t>
            </w:r>
          </w:p>
        </w:tc>
        <w:tc>
          <w:tcPr>
            <w:tcW w:w="1022" w:type="dxa"/>
            <w:vMerge w:val="restart"/>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投标报价</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监理服务费率</w:t>
            </w:r>
            <w:r>
              <w:rPr>
                <w:rFonts w:hint="eastAsia" w:ascii="宋体" w:hAnsi="宋体" w:eastAsia="宋体" w:cs="宋体"/>
                <w:color w:val="auto"/>
                <w:kern w:val="0"/>
                <w:sz w:val="22"/>
                <w:highlight w:val="none"/>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color w:val="auto"/>
                <w:kern w:val="0"/>
                <w:szCs w:val="21"/>
                <w:highlight w:val="none"/>
              </w:rPr>
              <w:t>服务期</w:t>
            </w:r>
          </w:p>
        </w:tc>
        <w:tc>
          <w:tcPr>
            <w:tcW w:w="1174" w:type="dxa"/>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color w:val="auto"/>
                <w:kern w:val="0"/>
                <w:szCs w:val="21"/>
                <w:highlight w:val="none"/>
              </w:rPr>
              <w:t>服务</w:t>
            </w:r>
            <w:r>
              <w:rPr>
                <w:rFonts w:hint="eastAsia" w:ascii="宋体" w:hAnsi="宋体" w:eastAsia="宋体" w:cs="宋体"/>
                <w:color w:val="auto"/>
                <w:kern w:val="0"/>
                <w:sz w:val="22"/>
                <w:highlight w:val="none"/>
                <w:lang w:val="en-US" w:eastAsia="zh-CN"/>
              </w:rPr>
              <w:t>质量</w:t>
            </w:r>
          </w:p>
        </w:tc>
        <w:tc>
          <w:tcPr>
            <w:tcW w:w="3497" w:type="dxa"/>
            <w:gridSpan w:val="4"/>
            <w:shd w:val="clear" w:color="auto" w:fill="auto"/>
            <w:vAlign w:val="center"/>
          </w:tcPr>
          <w:p>
            <w:pPr>
              <w:widowControl/>
              <w:jc w:val="center"/>
              <w:rPr>
                <w:rFonts w:hint="eastAsia" w:ascii="Calibri" w:hAnsi="Calibri" w:eastAsia="宋体" w:cs="Calibri"/>
                <w:color w:val="auto"/>
                <w:kern w:val="0"/>
                <w:sz w:val="22"/>
                <w:highlight w:val="none"/>
                <w:lang w:eastAsia="zh-CN"/>
              </w:rPr>
            </w:pPr>
            <w:r>
              <w:rPr>
                <w:rFonts w:hint="eastAsia" w:ascii="Calibri" w:hAnsi="Calibri" w:eastAsia="宋体" w:cs="Calibri"/>
                <w:color w:val="auto"/>
                <w:kern w:val="0"/>
                <w:sz w:val="22"/>
                <w:highlight w:val="none"/>
                <w:lang w:eastAsia="zh-CN"/>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auto"/>
                <w:kern w:val="0"/>
                <w:sz w:val="22"/>
                <w:highlight w:val="none"/>
              </w:rPr>
            </w:pPr>
          </w:p>
        </w:tc>
        <w:tc>
          <w:tcPr>
            <w:tcW w:w="1929" w:type="dxa"/>
            <w:vMerge w:val="continue"/>
            <w:vAlign w:val="center"/>
          </w:tcPr>
          <w:p>
            <w:pPr>
              <w:widowControl/>
              <w:jc w:val="left"/>
              <w:rPr>
                <w:rFonts w:ascii="宋体" w:hAnsi="宋体" w:eastAsia="宋体" w:cs="宋体"/>
                <w:color w:val="auto"/>
                <w:kern w:val="0"/>
                <w:sz w:val="22"/>
                <w:highlight w:val="none"/>
              </w:rPr>
            </w:pPr>
          </w:p>
        </w:tc>
        <w:tc>
          <w:tcPr>
            <w:tcW w:w="1022" w:type="dxa"/>
            <w:vMerge w:val="continue"/>
            <w:vAlign w:val="center"/>
          </w:tcPr>
          <w:p>
            <w:pPr>
              <w:widowControl/>
              <w:jc w:val="left"/>
              <w:rPr>
                <w:rFonts w:ascii="宋体" w:hAnsi="宋体" w:eastAsia="宋体" w:cs="宋体"/>
                <w:color w:val="auto"/>
                <w:kern w:val="0"/>
                <w:sz w:val="22"/>
                <w:highlight w:val="none"/>
              </w:rPr>
            </w:pPr>
          </w:p>
        </w:tc>
        <w:tc>
          <w:tcPr>
            <w:tcW w:w="990" w:type="dxa"/>
            <w:gridSpan w:val="2"/>
            <w:vMerge w:val="continue"/>
            <w:vAlign w:val="center"/>
          </w:tcPr>
          <w:p>
            <w:pPr>
              <w:widowControl/>
              <w:jc w:val="left"/>
              <w:rPr>
                <w:rFonts w:ascii="宋体" w:hAnsi="宋体" w:eastAsia="宋体" w:cs="宋体"/>
                <w:color w:val="auto"/>
                <w:kern w:val="0"/>
                <w:sz w:val="22"/>
                <w:highlight w:val="none"/>
              </w:rPr>
            </w:pPr>
          </w:p>
        </w:tc>
        <w:tc>
          <w:tcPr>
            <w:tcW w:w="1174" w:type="dxa"/>
            <w:vMerge w:val="continue"/>
            <w:vAlign w:val="center"/>
          </w:tcPr>
          <w:p>
            <w:pPr>
              <w:widowControl/>
              <w:jc w:val="left"/>
              <w:rPr>
                <w:rFonts w:ascii="宋体" w:hAnsi="宋体" w:eastAsia="宋体" w:cs="宋体"/>
                <w:color w:val="auto"/>
                <w:kern w:val="0"/>
                <w:sz w:val="22"/>
                <w:highlight w:val="none"/>
              </w:rPr>
            </w:pPr>
          </w:p>
        </w:tc>
        <w:tc>
          <w:tcPr>
            <w:tcW w:w="851" w:type="dxa"/>
            <w:shd w:val="clear" w:color="auto" w:fill="auto"/>
            <w:vAlign w:val="center"/>
          </w:tcPr>
          <w:p>
            <w:pPr>
              <w:widowControl/>
              <w:jc w:val="center"/>
              <w:rPr>
                <w:rFonts w:ascii="Calibri" w:hAnsi="Calibri" w:eastAsia="宋体" w:cs="Calibri"/>
                <w:color w:val="auto"/>
                <w:kern w:val="0"/>
                <w:sz w:val="22"/>
                <w:highlight w:val="none"/>
              </w:rPr>
            </w:pPr>
            <w:r>
              <w:rPr>
                <w:rFonts w:ascii="Calibri" w:hAnsi="Calibri" w:eastAsia="宋体" w:cs="Calibri"/>
                <w:color w:val="auto"/>
                <w:kern w:val="0"/>
                <w:sz w:val="22"/>
                <w:highlight w:val="none"/>
              </w:rPr>
              <w:t>姓名</w:t>
            </w:r>
          </w:p>
        </w:tc>
        <w:tc>
          <w:tcPr>
            <w:tcW w:w="1109" w:type="dxa"/>
            <w:gridSpan w:val="2"/>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证书名称</w:t>
            </w:r>
          </w:p>
        </w:tc>
        <w:tc>
          <w:tcPr>
            <w:tcW w:w="1537" w:type="dxa"/>
            <w:shd w:val="clear" w:color="auto" w:fill="auto"/>
            <w:vAlign w:val="center"/>
          </w:tcPr>
          <w:p>
            <w:pPr>
              <w:widowControl/>
              <w:jc w:val="center"/>
              <w:rPr>
                <w:rFonts w:hint="eastAsia" w:ascii="Calibri" w:hAnsi="Calibri" w:eastAsia="宋体" w:cs="Calibri"/>
                <w:color w:val="auto"/>
                <w:kern w:val="0"/>
                <w:sz w:val="22"/>
                <w:highlight w:val="none"/>
              </w:rPr>
            </w:pPr>
            <w:r>
              <w:rPr>
                <w:rFonts w:ascii="Calibri" w:hAnsi="Calibri" w:eastAsia="宋体" w:cs="Calibri"/>
                <w:color w:val="auto"/>
                <w:kern w:val="0"/>
                <w:sz w:val="22"/>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第一名</w:t>
            </w:r>
          </w:p>
        </w:tc>
        <w:tc>
          <w:tcPr>
            <w:tcW w:w="1929"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重庆市交通工程监理咨询有限责任公司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1.21%</w:t>
            </w:r>
          </w:p>
        </w:tc>
        <w:tc>
          <w:tcPr>
            <w:tcW w:w="990"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张庆</w:t>
            </w:r>
          </w:p>
        </w:tc>
        <w:tc>
          <w:tcPr>
            <w:tcW w:w="1109" w:type="dxa"/>
            <w:gridSpan w:val="2"/>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JGJ1030863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第二名</w:t>
            </w:r>
          </w:p>
        </w:tc>
        <w:tc>
          <w:tcPr>
            <w:tcW w:w="1929" w:type="dxa"/>
            <w:shd w:val="clear" w:color="auto" w:fill="auto"/>
            <w:vAlign w:val="center"/>
          </w:tcPr>
          <w:p>
            <w:pPr>
              <w:widowControl/>
              <w:jc w:val="both"/>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中交基础设施养护集团宁夏工程有限公司</w:t>
            </w:r>
            <w:r>
              <w:rPr>
                <w:rFonts w:hint="eastAsia" w:ascii="宋体" w:hAnsi="宋体" w:eastAsia="宋体" w:cs="宋体"/>
                <w:color w:val="auto"/>
                <w:kern w:val="0"/>
                <w:sz w:val="22"/>
                <w:highlight w:val="none"/>
                <w:lang w:eastAsia="zh-CN"/>
              </w:rPr>
              <w:t>、招商中宇工程咨询（重庆</w:t>
            </w:r>
          </w:p>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）有限公司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1.22%</w:t>
            </w:r>
          </w:p>
        </w:tc>
        <w:tc>
          <w:tcPr>
            <w:tcW w:w="9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刘宇</w:t>
            </w:r>
          </w:p>
        </w:tc>
        <w:tc>
          <w:tcPr>
            <w:tcW w:w="1109" w:type="dxa"/>
            <w:gridSpan w:val="2"/>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JGJ0722695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第三名</w:t>
            </w:r>
          </w:p>
        </w:tc>
        <w:tc>
          <w:tcPr>
            <w:tcW w:w="1929" w:type="dxa"/>
            <w:shd w:val="clear" w:color="auto" w:fill="auto"/>
            <w:vAlign w:val="center"/>
          </w:tcPr>
          <w:p>
            <w:pPr>
              <w:widowControl/>
              <w:jc w:val="both"/>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上海公路工程监理有限公司</w:t>
            </w:r>
            <w:r>
              <w:rPr>
                <w:rFonts w:hint="eastAsia" w:ascii="宋体" w:hAnsi="宋体" w:eastAsia="宋体" w:cs="宋体"/>
                <w:color w:val="auto"/>
                <w:kern w:val="0"/>
                <w:sz w:val="22"/>
                <w:highlight w:val="none"/>
                <w:lang w:eastAsia="zh-CN"/>
              </w:rPr>
              <w:t>、北京华通公路桥梁监理咨询有限公司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1.22%</w:t>
            </w:r>
          </w:p>
        </w:tc>
        <w:tc>
          <w:tcPr>
            <w:tcW w:w="990"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孙巍</w:t>
            </w:r>
          </w:p>
        </w:tc>
        <w:tc>
          <w:tcPr>
            <w:tcW w:w="1109"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JGJ0406350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lang w:eastAsia="zh-CN"/>
              </w:rPr>
              <w:t>业绩</w:t>
            </w:r>
            <w:r>
              <w:rPr>
                <w:rFonts w:hint="eastAsia" w:ascii="宋体" w:hAnsi="宋体" w:eastAsia="宋体" w:cs="宋体"/>
                <w:b/>
                <w:bCs/>
                <w:color w:val="auto"/>
                <w:kern w:val="0"/>
                <w:sz w:val="22"/>
                <w:highlight w:val="none"/>
                <w:lang w:val="en-US" w:eastAsia="zh-CN"/>
              </w:rPr>
              <w:t>相关</w:t>
            </w:r>
            <w:r>
              <w:rPr>
                <w:rFonts w:hint="eastAsia" w:ascii="宋体" w:hAnsi="宋体" w:eastAsia="宋体" w:cs="宋体"/>
                <w:b/>
                <w:bCs/>
                <w:color w:val="auto"/>
                <w:kern w:val="0"/>
                <w:sz w:val="22"/>
                <w:highlight w:val="none"/>
                <w:lang w:eastAsia="zh-CN"/>
              </w:rPr>
              <w:t>：</w:t>
            </w:r>
          </w:p>
          <w:p>
            <w:pPr>
              <w:keepNext w:val="0"/>
              <w:keepLines w:val="0"/>
              <w:widowControl/>
              <w:suppressLineNumbers w:val="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第一中标候选人：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重庆高速公路集团有限公司东北营运分公司 2018 年云万段、奉云段、奉巫段及 G6911奉溪高速养护专项工程监理</w:t>
            </w:r>
            <w:r>
              <w:rPr>
                <w:rFonts w:hint="eastAsia" w:ascii="宋体" w:hAnsi="宋体" w:eastAsia="宋体" w:cs="宋体"/>
                <w:b w:val="0"/>
                <w:bCs w:val="0"/>
                <w:color w:val="auto"/>
                <w:kern w:val="0"/>
                <w:sz w:val="22"/>
                <w:highlight w:val="none"/>
                <w:lang w:val="en-US" w:eastAsia="zh-CN"/>
              </w:rPr>
              <w:t>；重庆高速公路集团有限公司东北营运分公司 2019 年云万路、奉云路、奉巫路及奉溪路高速公路养护专项施工监理；都匀至香格里拉高速公路（贵州境）都匀至安顺段 J22 合同段；重庆巴南至綦江高速公路（渝黔扩能） YQJDJL 监理合同段；2019 年重庆渝涪高速公路 G50 江北站至长寿桃花段道路大修工程施工监理</w:t>
            </w:r>
            <w:r>
              <w:rPr>
                <w:rFonts w:hint="eastAsia" w:ascii="宋体" w:hAnsi="宋体" w:eastAsia="宋体" w:cs="宋体"/>
                <w:b w:val="0"/>
                <w:bCs w:val="0"/>
                <w:color w:val="auto"/>
                <w:kern w:val="0"/>
                <w:sz w:val="22"/>
                <w:highlight w:val="none"/>
                <w:lang w:val="en-US" w:eastAsia="zh-CN"/>
              </w:rPr>
              <w:t>；重庆高速公路集团有限公司南方营运分公司 2019 年养护、机电工程施工</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监理项目；平凉至天水高速公路项目平凉段 PTJDJL1 合同段。</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重庆高速公路集团有限公司东北营运分公司 2018 年云万段、奉云段、奉巫段及 G6911 奉溪高速养护专项工程监理；</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p>
          <w:p>
            <w:pPr>
              <w:keepNext w:val="0"/>
              <w:keepLines w:val="0"/>
              <w:widowControl/>
              <w:suppressLineNumbers w:val="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第二中标候选人：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宁夏交投高速公路管理有限公司 2019 年公路养护工程；宁夏交投高速公路管理有限公司2020年公路养护工程（第一批、 二批）；重庆石柱至黔江高速公路SQJDJL标段施工监理；云南省曲靖市麒麟至师宗高速公路建设项目施工监理QSJDJL合同段</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宁夏交投高速公路管理有限公司 2020年公路养护工程（ 第一批、 二批）施工监理</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第三中标候选人：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S19 高速公路大修工程（I 期）；S36 高速公路大修工程（I 期）；恩施至广元国家高速公路重庆新田至高峰段 JDJL 合同段（机电工程）；贵州沿河经印江（木黄）至松桃高速公路总监办</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苏申内港线西段航道整治工程暨吴淞江工程（上海段）西段-G1501高速公路桥大修工程</w:t>
            </w:r>
          </w:p>
          <w:p>
            <w:pPr>
              <w:keepNext w:val="0"/>
              <w:keepLines w:val="0"/>
              <w:widowControl/>
              <w:suppressLineNumbers w:val="0"/>
              <w:jc w:val="left"/>
              <w:rPr>
                <w:rFonts w:hint="eastAsia" w:ascii="宋体" w:hAnsi="宋体" w:eastAsia="宋体" w:cs="宋体"/>
                <w:b/>
                <w:bCs/>
                <w:color w:val="auto"/>
                <w:kern w:val="0"/>
                <w:sz w:val="22"/>
                <w:highlight w:val="none"/>
                <w:lang w:eastAsia="zh-CN"/>
              </w:rPr>
            </w:pPr>
          </w:p>
          <w:p>
            <w:pPr>
              <w:keepNext w:val="0"/>
              <w:keepLines w:val="0"/>
              <w:widowControl/>
              <w:suppressLineNumbers w:val="0"/>
              <w:jc w:val="left"/>
              <w:rPr>
                <w:rFonts w:hint="eastAsia" w:ascii="宋体" w:hAnsi="宋体" w:eastAsia="宋体" w:cs="宋体"/>
                <w:color w:val="auto"/>
                <w:kern w:val="0"/>
                <w:sz w:val="22"/>
                <w:highlight w:val="none"/>
                <w:lang w:val="en-US" w:eastAsia="zh-CN"/>
              </w:rPr>
            </w:pPr>
            <w:r>
              <w:rPr>
                <w:rFonts w:hint="eastAsia" w:ascii="宋体" w:hAnsi="宋体" w:eastAsia="宋体" w:cs="宋体"/>
                <w:b/>
                <w:bCs/>
                <w:color w:val="auto"/>
                <w:kern w:val="0"/>
                <w:sz w:val="22"/>
                <w:highlight w:val="none"/>
                <w:lang w:eastAsia="zh-CN"/>
              </w:rPr>
              <w:t>否决投标情况</w:t>
            </w:r>
            <w:r>
              <w:rPr>
                <w:rFonts w:hint="eastAsia" w:ascii="宋体" w:hAnsi="宋体" w:eastAsia="宋体" w:cs="宋体"/>
                <w:b/>
                <w:bCs/>
                <w:color w:val="auto"/>
                <w:kern w:val="0"/>
                <w:sz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eastAsia="zh-CN"/>
              </w:rPr>
              <w:t>提出</w:t>
            </w:r>
            <w:r>
              <w:rPr>
                <w:rFonts w:hint="eastAsia" w:ascii="宋体" w:hAnsi="宋体" w:eastAsia="宋体" w:cs="宋体"/>
                <w:color w:val="auto"/>
                <w:kern w:val="0"/>
                <w:sz w:val="22"/>
              </w:rPr>
              <w:t>：重庆高速公路集团有限公司东北营运分公司</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联系电话023-58338305</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70"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1"/>
              <w:rPr>
                <w:rFonts w:hint="eastAsia" w:ascii="宋体" w:hAnsi="宋体" w:eastAsia="宋体" w:cs="宋体"/>
                <w:color w:val="auto"/>
                <w:kern w:val="0"/>
                <w:sz w:val="22"/>
              </w:rPr>
            </w:pPr>
          </w:p>
          <w:p>
            <w:pPr>
              <w:pStyle w:val="21"/>
              <w:rPr>
                <w:rFonts w:hint="eastAsia" w:ascii="宋体" w:hAnsi="宋体" w:eastAsia="宋体" w:cs="宋体"/>
                <w:color w:val="auto"/>
                <w:kern w:val="0"/>
                <w:sz w:val="22"/>
              </w:rPr>
            </w:pPr>
            <w:r>
              <w:rPr>
                <w:rFonts w:hint="eastAsia" w:ascii="宋体" w:hAnsi="宋体" w:eastAsia="宋体" w:cs="宋体"/>
                <w:color w:val="auto"/>
                <w:kern w:val="0"/>
                <w:sz w:val="22"/>
              </w:rPr>
              <w:t>重庆高速公路集团有限公司东北营运分公司</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年4月</w:t>
            </w: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1"/>
              <w:rPr>
                <w:rFonts w:hint="eastAsia"/>
                <w:color w:val="auto"/>
                <w:lang w:eastAsia="zh-CN"/>
              </w:rPr>
            </w:pPr>
          </w:p>
          <w:p>
            <w:pPr>
              <w:pStyle w:val="21"/>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 4月</w:t>
            </w: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日</w:t>
            </w:r>
          </w:p>
        </w:tc>
      </w:tr>
      <w:bookmarkEnd w:id="0"/>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4922ACA"/>
    <w:rsid w:val="054144F3"/>
    <w:rsid w:val="068B64D2"/>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7110E9"/>
    <w:rsid w:val="10DD697C"/>
    <w:rsid w:val="110B47BE"/>
    <w:rsid w:val="11AC68AA"/>
    <w:rsid w:val="14947D5C"/>
    <w:rsid w:val="15791A87"/>
    <w:rsid w:val="158226E9"/>
    <w:rsid w:val="160805D7"/>
    <w:rsid w:val="16322361"/>
    <w:rsid w:val="16484750"/>
    <w:rsid w:val="166B41F1"/>
    <w:rsid w:val="18C67B43"/>
    <w:rsid w:val="18D272CE"/>
    <w:rsid w:val="198C002F"/>
    <w:rsid w:val="19C14582"/>
    <w:rsid w:val="1A182FA5"/>
    <w:rsid w:val="1E110AAE"/>
    <w:rsid w:val="1E2433C8"/>
    <w:rsid w:val="1EBE0C60"/>
    <w:rsid w:val="21015917"/>
    <w:rsid w:val="21442F49"/>
    <w:rsid w:val="23160915"/>
    <w:rsid w:val="242C0AC7"/>
    <w:rsid w:val="255527BA"/>
    <w:rsid w:val="25E2217A"/>
    <w:rsid w:val="273121C1"/>
    <w:rsid w:val="27762747"/>
    <w:rsid w:val="27B2076A"/>
    <w:rsid w:val="27BB2E30"/>
    <w:rsid w:val="28461C9C"/>
    <w:rsid w:val="2887022B"/>
    <w:rsid w:val="2A067935"/>
    <w:rsid w:val="2AED63FF"/>
    <w:rsid w:val="2B6851C9"/>
    <w:rsid w:val="2C3F2C8B"/>
    <w:rsid w:val="2CEA4F93"/>
    <w:rsid w:val="2EBD258D"/>
    <w:rsid w:val="2F25085E"/>
    <w:rsid w:val="2F334741"/>
    <w:rsid w:val="3286257A"/>
    <w:rsid w:val="3290545A"/>
    <w:rsid w:val="337E22EA"/>
    <w:rsid w:val="339B0D78"/>
    <w:rsid w:val="33C00B55"/>
    <w:rsid w:val="33FE5081"/>
    <w:rsid w:val="34014CC9"/>
    <w:rsid w:val="34310729"/>
    <w:rsid w:val="346B1830"/>
    <w:rsid w:val="34880F47"/>
    <w:rsid w:val="351B09A1"/>
    <w:rsid w:val="381256F7"/>
    <w:rsid w:val="39204680"/>
    <w:rsid w:val="394A036E"/>
    <w:rsid w:val="39D71B1E"/>
    <w:rsid w:val="3A1B6D32"/>
    <w:rsid w:val="3CB1626A"/>
    <w:rsid w:val="3D3B0A08"/>
    <w:rsid w:val="3DF92F26"/>
    <w:rsid w:val="3EF94F1B"/>
    <w:rsid w:val="3FF746D7"/>
    <w:rsid w:val="40015195"/>
    <w:rsid w:val="40471EFB"/>
    <w:rsid w:val="40477F08"/>
    <w:rsid w:val="43767507"/>
    <w:rsid w:val="43DE0C50"/>
    <w:rsid w:val="44326365"/>
    <w:rsid w:val="44F56185"/>
    <w:rsid w:val="456E1846"/>
    <w:rsid w:val="46024FFD"/>
    <w:rsid w:val="465D5F3B"/>
    <w:rsid w:val="466C06C8"/>
    <w:rsid w:val="473016F6"/>
    <w:rsid w:val="47596E9F"/>
    <w:rsid w:val="47BC411F"/>
    <w:rsid w:val="47E524E0"/>
    <w:rsid w:val="47F92D32"/>
    <w:rsid w:val="47FA230E"/>
    <w:rsid w:val="4812474D"/>
    <w:rsid w:val="487B4B3D"/>
    <w:rsid w:val="48B42A45"/>
    <w:rsid w:val="48CC36A0"/>
    <w:rsid w:val="48FC21D7"/>
    <w:rsid w:val="49AD6ED9"/>
    <w:rsid w:val="49AD702E"/>
    <w:rsid w:val="4AC9760C"/>
    <w:rsid w:val="4B1D633D"/>
    <w:rsid w:val="4C7B50C0"/>
    <w:rsid w:val="4D300D98"/>
    <w:rsid w:val="4ED32720"/>
    <w:rsid w:val="4EFE2381"/>
    <w:rsid w:val="4FFB3C11"/>
    <w:rsid w:val="50661029"/>
    <w:rsid w:val="509727E6"/>
    <w:rsid w:val="515F3303"/>
    <w:rsid w:val="52732D88"/>
    <w:rsid w:val="53956916"/>
    <w:rsid w:val="55794BB0"/>
    <w:rsid w:val="564D10E7"/>
    <w:rsid w:val="56A22532"/>
    <w:rsid w:val="574B7F6D"/>
    <w:rsid w:val="57530F72"/>
    <w:rsid w:val="5918775E"/>
    <w:rsid w:val="59803E57"/>
    <w:rsid w:val="59B21868"/>
    <w:rsid w:val="59BE6F2B"/>
    <w:rsid w:val="5B6179E9"/>
    <w:rsid w:val="5BA72C22"/>
    <w:rsid w:val="5CB32EB5"/>
    <w:rsid w:val="5CDD1EBD"/>
    <w:rsid w:val="5CFD0323"/>
    <w:rsid w:val="5D694D67"/>
    <w:rsid w:val="60642993"/>
    <w:rsid w:val="61670F69"/>
    <w:rsid w:val="6223037D"/>
    <w:rsid w:val="63924BE7"/>
    <w:rsid w:val="63F20A4B"/>
    <w:rsid w:val="63F86CD6"/>
    <w:rsid w:val="64B22FF9"/>
    <w:rsid w:val="657C50E7"/>
    <w:rsid w:val="65AF2D06"/>
    <w:rsid w:val="65DC2D1D"/>
    <w:rsid w:val="66707909"/>
    <w:rsid w:val="67147067"/>
    <w:rsid w:val="683706DE"/>
    <w:rsid w:val="6959328A"/>
    <w:rsid w:val="69793BB8"/>
    <w:rsid w:val="698E298F"/>
    <w:rsid w:val="6992522B"/>
    <w:rsid w:val="69F34AD9"/>
    <w:rsid w:val="6BD33F99"/>
    <w:rsid w:val="6C6677E4"/>
    <w:rsid w:val="6C922387"/>
    <w:rsid w:val="6CD3474E"/>
    <w:rsid w:val="6D836174"/>
    <w:rsid w:val="6DD644F6"/>
    <w:rsid w:val="6FAA35E5"/>
    <w:rsid w:val="6FC90C65"/>
    <w:rsid w:val="7031057E"/>
    <w:rsid w:val="70E976A8"/>
    <w:rsid w:val="71066FB1"/>
    <w:rsid w:val="719165C1"/>
    <w:rsid w:val="74655CAA"/>
    <w:rsid w:val="76B24303"/>
    <w:rsid w:val="7775502F"/>
    <w:rsid w:val="77C43611"/>
    <w:rsid w:val="78F9553C"/>
    <w:rsid w:val="792C5912"/>
    <w:rsid w:val="79A9134B"/>
    <w:rsid w:val="7AF52483"/>
    <w:rsid w:val="7B792312"/>
    <w:rsid w:val="7BA37EDC"/>
    <w:rsid w:val="7C71760C"/>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fontstyle01"/>
    <w:basedOn w:val="8"/>
    <w:uiPriority w:val="0"/>
    <w:rPr>
      <w:rFonts w:ascii="新宋体" w:hAnsi="新宋体" w:eastAsia="新宋体" w:cs="新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33</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2023-04-28T06:41:44Z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