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重庆通力高速公路养护工程有限公司</w:t>
      </w:r>
    </w:p>
    <w:p>
      <w:pPr>
        <w:jc w:val="center"/>
        <w:rPr>
          <w:rFonts w:hint="default" w:ascii="宋体" w:hAnsi="宋体" w:cs="宋体"/>
          <w:b/>
          <w:color w:val="auto"/>
          <w:spacing w:val="20"/>
          <w:sz w:val="72"/>
          <w:szCs w:val="72"/>
          <w:highlight w:val="none"/>
          <w:lang w:val="en-US"/>
        </w:rPr>
      </w:pPr>
      <w:r>
        <w:rPr>
          <w:rFonts w:hint="eastAsia" w:ascii="宋体" w:hAnsi="宋体" w:cs="宋体"/>
          <w:b/>
          <w:color w:val="auto"/>
          <w:sz w:val="48"/>
          <w:szCs w:val="48"/>
          <w:highlight w:val="none"/>
          <w:lang w:val="en-US" w:eastAsia="zh-CN"/>
        </w:rPr>
        <w:t>渝邻高速公路K1533+500-K1548+109段路面修复养护工程沥青混合料加工（第二次）</w:t>
      </w:r>
    </w:p>
    <w:p>
      <w:pPr>
        <w:jc w:val="center"/>
        <w:rPr>
          <w:rFonts w:hint="eastAsia" w:ascii="宋体" w:hAnsi="宋体" w:cs="宋体"/>
          <w:b/>
          <w:color w:val="auto"/>
          <w:spacing w:val="20"/>
          <w:sz w:val="72"/>
          <w:szCs w:val="72"/>
          <w:highlight w:val="none"/>
        </w:rPr>
      </w:pPr>
    </w:p>
    <w:p>
      <w:pPr>
        <w:jc w:val="center"/>
        <w:rPr>
          <w:rFonts w:hint="eastAsia" w:ascii="宋体" w:hAnsi="宋体" w:cs="宋体"/>
          <w:b/>
          <w:color w:val="auto"/>
          <w:spacing w:val="20"/>
          <w:sz w:val="72"/>
          <w:szCs w:val="72"/>
          <w:highlight w:val="none"/>
        </w:rPr>
      </w:pPr>
    </w:p>
    <w:p>
      <w:pPr>
        <w:jc w:val="center"/>
        <w:rPr>
          <w:rFonts w:hint="eastAsia" w:ascii="宋体" w:hAnsi="宋体" w:cs="宋体"/>
          <w:b/>
          <w:color w:val="auto"/>
          <w:spacing w:val="20"/>
          <w:sz w:val="84"/>
          <w:szCs w:val="84"/>
          <w:highlight w:val="none"/>
        </w:rPr>
      </w:pPr>
      <w:r>
        <w:rPr>
          <w:rFonts w:hint="eastAsia" w:ascii="宋体" w:hAnsi="宋体" w:eastAsia="宋体" w:cs="宋体"/>
          <w:b/>
          <w:spacing w:val="20"/>
          <w:sz w:val="84"/>
          <w:szCs w:val="84"/>
          <w:highlight w:val="none"/>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auto"/>
          <w:sz w:val="30"/>
          <w:szCs w:val="30"/>
          <w:highlight w:val="none"/>
        </w:rPr>
      </w:pPr>
    </w:p>
    <w:p>
      <w:pPr>
        <w:spacing w:line="400" w:lineRule="exact"/>
        <w:jc w:val="center"/>
        <w:rPr>
          <w:rFonts w:hint="eastAsia" w:ascii="宋体" w:hAnsi="宋体" w:cs="宋体"/>
          <w:b/>
          <w:color w:val="auto"/>
          <w:sz w:val="30"/>
          <w:szCs w:val="30"/>
          <w:highlight w:val="none"/>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spacing w:line="400" w:lineRule="exact"/>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渝邻高速公路K1533+500-K1548+109段路面修复养护工程</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沥青混合料加工（第二次）招标</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46996166"/>
      <w:bookmarkStart w:id="1" w:name="_Toc179632536"/>
      <w:bookmarkStart w:id="2" w:name="_Toc152045519"/>
      <w:bookmarkStart w:id="3" w:name="_Toc246996909"/>
      <w:bookmarkStart w:id="4" w:name="_Toc144974487"/>
      <w:bookmarkStart w:id="5" w:name="_Toc296602410"/>
      <w:bookmarkStart w:id="6" w:name="_Toc247085680"/>
      <w:bookmarkStart w:id="7" w:name="_Toc152042295"/>
    </w:p>
    <w:bookmarkEnd w:id="0"/>
    <w:bookmarkEnd w:id="1"/>
    <w:bookmarkEnd w:id="2"/>
    <w:bookmarkEnd w:id="3"/>
    <w:bookmarkEnd w:id="4"/>
    <w:bookmarkEnd w:id="5"/>
    <w:bookmarkEnd w:id="6"/>
    <w:bookmarkEnd w:id="7"/>
    <w:p>
      <w:pPr>
        <w:spacing w:line="400" w:lineRule="exact"/>
        <w:jc w:val="left"/>
        <w:rPr>
          <w:color w:val="auto"/>
          <w:szCs w:val="21"/>
          <w:highlight w:val="none"/>
        </w:rPr>
      </w:pPr>
      <w:bookmarkStart w:id="8" w:name="_Toc247085682"/>
      <w:bookmarkStart w:id="9" w:name="_Toc144974489"/>
      <w:bookmarkStart w:id="10" w:name="_Toc152042297"/>
      <w:bookmarkStart w:id="11" w:name="_Toc179632538"/>
      <w:bookmarkStart w:id="12" w:name="_Toc246996168"/>
      <w:bookmarkStart w:id="13" w:name="_Toc246996911"/>
      <w:bookmarkStart w:id="14" w:name="_Toc152045521"/>
      <w:bookmarkStart w:id="15" w:name="_Toc296602412"/>
      <w:r>
        <w:rPr>
          <w:rFonts w:hint="eastAsia"/>
          <w:color w:val="auto"/>
          <w:szCs w:val="21"/>
          <w:highlight w:val="none"/>
          <w:lang w:val="en-US" w:eastAsia="zh-CN"/>
        </w:rPr>
        <w:t xml:space="preserve">    </w:t>
      </w:r>
      <w:r>
        <w:rPr>
          <w:color w:val="auto"/>
          <w:szCs w:val="21"/>
          <w:highlight w:val="none"/>
        </w:rPr>
        <w:t>本项目</w:t>
      </w:r>
      <w:r>
        <w:rPr>
          <w:rFonts w:hint="eastAsia"/>
          <w:b/>
          <w:bCs/>
          <w:color w:val="auto"/>
          <w:szCs w:val="21"/>
          <w:highlight w:val="none"/>
        </w:rPr>
        <w:t>重庆通力高速公路养护工程有限公司</w:t>
      </w:r>
      <w:r>
        <w:rPr>
          <w:rFonts w:hint="eastAsia"/>
          <w:b/>
          <w:bCs/>
          <w:color w:val="auto"/>
          <w:szCs w:val="21"/>
          <w:highlight w:val="none"/>
          <w:lang w:val="en-US" w:eastAsia="zh-CN"/>
        </w:rPr>
        <w:t>渝邻高速公路K1533+500-K1548+109段路面修复养护工程沥青混合料加工</w:t>
      </w:r>
      <w:r>
        <w:rPr>
          <w:color w:val="auto"/>
          <w:szCs w:val="21"/>
          <w:highlight w:val="none"/>
        </w:rPr>
        <w:t>准备组织实施，重庆通力高速公路养护工程有限公司计划以</w:t>
      </w:r>
      <w:r>
        <w:rPr>
          <w:rFonts w:hint="eastAsia"/>
          <w:color w:val="auto"/>
          <w:szCs w:val="21"/>
          <w:highlight w:val="none"/>
          <w:lang w:eastAsia="zh-CN"/>
        </w:rPr>
        <w:t>招标</w:t>
      </w:r>
      <w:r>
        <w:rPr>
          <w:color w:val="auto"/>
          <w:szCs w:val="21"/>
          <w:highlight w:val="none"/>
        </w:rPr>
        <w:t>方式确定成交单位，具体情况如下：</w:t>
      </w:r>
    </w:p>
    <w:p>
      <w:pPr>
        <w:spacing w:line="400" w:lineRule="exact"/>
        <w:rPr>
          <w:b/>
          <w:color w:val="auto"/>
          <w:szCs w:val="21"/>
          <w:highlight w:val="none"/>
        </w:rPr>
      </w:pPr>
      <w:bookmarkStart w:id="16" w:name="_Toc246996910"/>
      <w:bookmarkStart w:id="17" w:name="_Toc246996167"/>
      <w:bookmarkStart w:id="18" w:name="_Toc152045520"/>
      <w:bookmarkStart w:id="19" w:name="_Toc144974488"/>
      <w:bookmarkStart w:id="20" w:name="_Toc152042296"/>
      <w:bookmarkStart w:id="21" w:name="_Toc296602411"/>
      <w:bookmarkStart w:id="22" w:name="_Toc247085681"/>
      <w:bookmarkStart w:id="23" w:name="_Toc179632537"/>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color w:val="auto"/>
          <w:szCs w:val="21"/>
          <w:highlight w:val="none"/>
        </w:rPr>
      </w:pPr>
      <w:r>
        <w:rPr>
          <w:rFonts w:hint="eastAsia"/>
          <w:color w:val="auto"/>
          <w:szCs w:val="21"/>
          <w:highlight w:val="none"/>
        </w:rPr>
        <w:t>本项目为</w:t>
      </w:r>
      <w:r>
        <w:rPr>
          <w:rFonts w:hint="eastAsia"/>
          <w:b/>
          <w:bCs/>
          <w:color w:val="auto"/>
          <w:szCs w:val="21"/>
          <w:highlight w:val="none"/>
        </w:rPr>
        <w:t>重庆通力高速公路养护工程有限公司</w:t>
      </w:r>
      <w:r>
        <w:rPr>
          <w:rFonts w:hint="eastAsia"/>
          <w:b/>
          <w:bCs/>
          <w:color w:val="auto"/>
          <w:szCs w:val="21"/>
          <w:highlight w:val="none"/>
          <w:lang w:val="en-US" w:eastAsia="zh-CN"/>
        </w:rPr>
        <w:t>渝邻高速公路K1533+500-K1548+109段路面修复养护工程沥青混合料加工</w:t>
      </w:r>
      <w:r>
        <w:rPr>
          <w:rFonts w:hint="eastAsia"/>
          <w:b/>
          <w:bCs/>
          <w:color w:val="auto"/>
          <w:szCs w:val="21"/>
          <w:highlight w:val="none"/>
        </w:rPr>
        <w:t>项目。</w:t>
      </w:r>
    </w:p>
    <w:p>
      <w:pPr>
        <w:widowControl/>
        <w:numPr>
          <w:ilvl w:val="0"/>
          <w:numId w:val="0"/>
        </w:numPr>
        <w:spacing w:line="400" w:lineRule="exact"/>
        <w:ind w:firstLine="420" w:firstLineChars="200"/>
        <w:rPr>
          <w:rFonts w:hint="default"/>
          <w:b/>
          <w:bCs/>
          <w:color w:val="auto"/>
          <w:szCs w:val="21"/>
          <w:highlight w:val="none"/>
          <w:lang w:val="en-US" w:eastAsia="zh-CN"/>
        </w:rPr>
      </w:pPr>
      <w:r>
        <w:rPr>
          <w:rFonts w:hint="eastAsia"/>
          <w:color w:val="auto"/>
          <w:szCs w:val="21"/>
          <w:highlight w:val="none"/>
          <w:lang w:val="en-US" w:eastAsia="zh-CN"/>
        </w:rPr>
        <w:t>1.1 采购情况：</w:t>
      </w:r>
      <w:r>
        <w:rPr>
          <w:rFonts w:hint="eastAsia"/>
          <w:b/>
          <w:bCs/>
          <w:color w:val="auto"/>
          <w:szCs w:val="21"/>
          <w:highlight w:val="none"/>
          <w:lang w:val="en-US" w:eastAsia="zh-CN"/>
        </w:rPr>
        <w:t>沥青混合料加工。</w:t>
      </w:r>
    </w:p>
    <w:p>
      <w:pPr>
        <w:widowControl/>
        <w:numPr>
          <w:ilvl w:val="0"/>
          <w:numId w:val="0"/>
        </w:numPr>
        <w:spacing w:line="400" w:lineRule="exact"/>
        <w:ind w:firstLine="422" w:firstLineChars="200"/>
        <w:rPr>
          <w:rFonts w:hint="eastAsia" w:ascii="方正仿宋_GBK" w:hAnsi="宋体" w:eastAsia="方正仿宋_GBK"/>
          <w:color w:val="auto"/>
          <w:szCs w:val="21"/>
          <w:highlight w:val="none"/>
        </w:rPr>
      </w:pPr>
      <w:r>
        <w:rPr>
          <w:rFonts w:hint="eastAsia"/>
          <w:b/>
          <w:bCs/>
          <w:color w:val="auto"/>
          <w:szCs w:val="21"/>
          <w:highlight w:val="none"/>
          <w:lang w:val="en-US" w:eastAsia="zh-CN"/>
        </w:rPr>
        <w:t xml:space="preserve">1.2 </w:t>
      </w:r>
      <w:r>
        <w:rPr>
          <w:rFonts w:hint="eastAsia"/>
          <w:b w:val="0"/>
          <w:bCs w:val="0"/>
          <w:color w:val="auto"/>
          <w:szCs w:val="21"/>
          <w:highlight w:val="none"/>
          <w:lang w:val="en-US" w:eastAsia="zh-CN"/>
        </w:rPr>
        <w:t>交货地点：</w:t>
      </w:r>
      <w:r>
        <w:rPr>
          <w:rFonts w:hint="eastAsia"/>
          <w:b/>
          <w:bCs/>
          <w:color w:val="auto"/>
          <w:szCs w:val="21"/>
          <w:highlight w:val="none"/>
          <w:lang w:val="en-US" w:eastAsia="zh-CN"/>
        </w:rPr>
        <w:t>投标人拌合站</w:t>
      </w:r>
      <w:r>
        <w:rPr>
          <w:rFonts w:hint="eastAsia" w:ascii="方正仿宋_GBK" w:hAnsi="宋体" w:eastAsia="方正仿宋_GBK"/>
          <w:color w:val="auto"/>
          <w:szCs w:val="21"/>
          <w:highlight w:val="none"/>
        </w:rPr>
        <w:t>。</w:t>
      </w:r>
    </w:p>
    <w:p>
      <w:pPr>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.3</w:t>
      </w:r>
      <w:r>
        <w:rPr>
          <w:rFonts w:hint="eastAsia"/>
          <w:color w:val="auto"/>
          <w:szCs w:val="21"/>
          <w:highlight w:val="none"/>
          <w:lang w:val="en-US" w:eastAsia="zh-CN"/>
        </w:rPr>
        <w:t xml:space="preserve"> 交货期</w:t>
      </w:r>
      <w:r>
        <w:rPr>
          <w:rFonts w:hint="eastAsia"/>
          <w:color w:val="auto"/>
          <w:szCs w:val="21"/>
          <w:highlight w:val="none"/>
        </w:rPr>
        <w:t>：</w:t>
      </w:r>
      <w:r>
        <w:rPr>
          <w:rFonts w:hint="eastAsia"/>
          <w:color w:val="auto"/>
          <w:szCs w:val="21"/>
          <w:highlight w:val="none"/>
          <w:lang w:val="en-US" w:eastAsia="zh-CN"/>
        </w:rPr>
        <w:t>2023年5月至该项目完工（具体时间以招标人要求为准）。</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 xml:space="preserve">4 </w:t>
      </w:r>
      <w:r>
        <w:rPr>
          <w:rFonts w:hint="eastAsia"/>
          <w:color w:val="auto"/>
          <w:szCs w:val="21"/>
          <w:highlight w:val="none"/>
          <w:lang w:eastAsia="zh-CN"/>
        </w:rPr>
        <w:t>主要工程数量：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53"/>
        <w:gridCol w:w="1182"/>
        <w:gridCol w:w="1429"/>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序号</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产品名称</w:t>
            </w: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暂定数量</w:t>
            </w:r>
          </w:p>
        </w:tc>
        <w:tc>
          <w:tcPr>
            <w:tcW w:w="2674" w:type="dxa"/>
            <w:tcBorders>
              <w:tl2br w:val="nil"/>
              <w:tr2bl w:val="nil"/>
            </w:tcBorders>
            <w:noWrap w:val="0"/>
            <w:vAlign w:val="center"/>
          </w:tcPr>
          <w:p>
            <w:pPr>
              <w:ind w:left="0" w:leftChars="0" w:firstLine="0" w:firstLineChars="0"/>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p>
        </w:tc>
        <w:tc>
          <w:tcPr>
            <w:tcW w:w="27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w:t>
            </w:r>
            <w:r>
              <w:rPr>
                <w:rFonts w:hint="eastAsia" w:ascii="宋体" w:hAnsi="宋体" w:eastAsia="宋体" w:cs="宋体"/>
                <w:i w:val="0"/>
                <w:iCs w:val="0"/>
                <w:color w:val="auto"/>
                <w:sz w:val="21"/>
                <w:szCs w:val="21"/>
                <w:highlight w:val="none"/>
                <w:u w:val="none"/>
                <w:lang w:val="en-US" w:eastAsia="zh-CN"/>
              </w:rPr>
              <w:t>SMA-13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玄武岩</w:t>
            </w:r>
            <w:r>
              <w:rPr>
                <w:rFonts w:hint="eastAsia" w:ascii="宋体" w:hAnsi="宋体" w:eastAsia="宋体" w:cs="宋体"/>
                <w:i w:val="0"/>
                <w:iCs w:val="0"/>
                <w:color w:val="auto"/>
                <w:sz w:val="21"/>
                <w:szCs w:val="21"/>
                <w:highlight w:val="none"/>
                <w:u w:val="none"/>
                <w:lang w:eastAsia="zh-CN"/>
              </w:rPr>
              <w:t>）</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10000</w:t>
            </w:r>
          </w:p>
        </w:tc>
        <w:tc>
          <w:tcPr>
            <w:tcW w:w="26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p>
        </w:tc>
        <w:tc>
          <w:tcPr>
            <w:tcW w:w="2753" w:type="dxa"/>
            <w:tcBorders>
              <w:tl2br w:val="nil"/>
              <w:tr2bl w:val="nil"/>
            </w:tcBorders>
            <w:noWrap w:val="0"/>
            <w:vAlign w:val="center"/>
          </w:tcPr>
          <w:p>
            <w:pPr>
              <w:spacing w:line="360" w:lineRule="auto"/>
              <w:jc w:val="center"/>
              <w:textAlignment w:val="baseline"/>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改性</w:t>
            </w:r>
            <w:r>
              <w:rPr>
                <w:rFonts w:hint="eastAsia" w:ascii="宋体" w:hAnsi="宋体" w:eastAsia="宋体" w:cs="宋体"/>
                <w:i w:val="0"/>
                <w:iCs w:val="0"/>
                <w:color w:val="auto"/>
                <w:sz w:val="21"/>
                <w:szCs w:val="21"/>
                <w:highlight w:val="none"/>
                <w:u w:val="none"/>
              </w:rPr>
              <w:t>SMA-13（含阻燃剂）</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w:t>
            </w:r>
          </w:p>
        </w:tc>
        <w:tc>
          <w:tcPr>
            <w:tcW w:w="2674" w:type="dxa"/>
            <w:tcBorders>
              <w:tl2br w:val="nil"/>
              <w:tr2bl w:val="nil"/>
            </w:tcBorders>
            <w:noWrap w:val="0"/>
            <w:vAlign w:val="center"/>
          </w:tcPr>
          <w:p>
            <w:pPr>
              <w:jc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exac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p>
        </w:tc>
        <w:tc>
          <w:tcPr>
            <w:tcW w:w="2753" w:type="dxa"/>
            <w:tcBorders>
              <w:tl2br w:val="nil"/>
              <w:tr2bl w:val="nil"/>
            </w:tcBorders>
            <w:noWrap w:val="0"/>
            <w:vAlign w:val="center"/>
          </w:tcPr>
          <w:p>
            <w:pPr>
              <w:spacing w:line="360" w:lineRule="auto"/>
              <w:jc w:val="center"/>
              <w:textAlignment w:val="baseline"/>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改性AC-</w:t>
            </w:r>
            <w:r>
              <w:rPr>
                <w:rFonts w:hint="eastAsia" w:ascii="宋体" w:hAnsi="宋体" w:eastAsia="宋体" w:cs="宋体"/>
                <w:i w:val="0"/>
                <w:iCs w:val="0"/>
                <w:color w:val="auto"/>
                <w:sz w:val="21"/>
                <w:szCs w:val="21"/>
                <w:highlight w:val="none"/>
                <w:u w:val="none"/>
                <w:lang w:val="en-US" w:eastAsia="zh-CN"/>
              </w:rPr>
              <w:t>20</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石灰岩</w:t>
            </w:r>
            <w:r>
              <w:rPr>
                <w:rFonts w:hint="eastAsia" w:ascii="宋体" w:hAnsi="宋体" w:eastAsia="宋体" w:cs="宋体"/>
                <w:i w:val="0"/>
                <w:iCs w:val="0"/>
                <w:color w:val="auto"/>
                <w:sz w:val="21"/>
                <w:szCs w:val="21"/>
                <w:highlight w:val="none"/>
                <w:u w:val="none"/>
                <w:lang w:eastAsia="zh-CN"/>
              </w:rPr>
              <w:t>）</w:t>
            </w: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22000</w:t>
            </w:r>
          </w:p>
        </w:tc>
        <w:tc>
          <w:tcPr>
            <w:tcW w:w="2674" w:type="dxa"/>
            <w:tcBorders>
              <w:tl2br w:val="nil"/>
              <w:tr2bl w:val="nil"/>
            </w:tcBorders>
            <w:noWrap w:val="0"/>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rPr>
              <w:t>改性</w:t>
            </w: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吨</w:t>
            </w: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9300</w:t>
            </w:r>
          </w:p>
        </w:tc>
        <w:tc>
          <w:tcPr>
            <w:tcW w:w="26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甲供沥青、铣刨料（添加比例20%~30%）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jc w:val="center"/>
        </w:trPr>
        <w:tc>
          <w:tcPr>
            <w:tcW w:w="967"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  计</w:t>
            </w:r>
          </w:p>
        </w:tc>
        <w:tc>
          <w:tcPr>
            <w:tcW w:w="2753"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82"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429"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41600</w:t>
            </w:r>
          </w:p>
        </w:tc>
        <w:tc>
          <w:tcPr>
            <w:tcW w:w="2674" w:type="dxa"/>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4" w:hRule="exact"/>
          <w:jc w:val="center"/>
        </w:trPr>
        <w:tc>
          <w:tcPr>
            <w:tcW w:w="900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2、招标人提供沥青材料、玄武岩、木质纤维素、铣刨料，其余所有粗、细集料、填料等材料及燃料、机械设备、人工等均由投标人提供。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3、工程量清单中所列工程数量为暂定数量，不能作为最终结算与支付的依据，最终数量以招标人代表确认的实际生产的合格数量为准。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color w:val="auto"/>
                <w:sz w:val="21"/>
                <w:szCs w:val="21"/>
                <w:highlight w:val="none"/>
                <w:lang w:eastAsia="zh-CN"/>
              </w:rPr>
            </w:pPr>
            <w:r>
              <w:rPr>
                <w:rFonts w:hint="eastAsia"/>
                <w:color w:val="auto"/>
                <w:sz w:val="21"/>
                <w:szCs w:val="21"/>
                <w:highlight w:val="none"/>
                <w:lang w:val="en-US" w:eastAsia="zh-CN"/>
              </w:rPr>
              <w:t>4、招标人组织沥青混合料运输。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rPr>
              <w:t>增值税</w:t>
            </w:r>
            <w:r>
              <w:rPr>
                <w:rFonts w:hint="eastAsia"/>
                <w:color w:val="auto"/>
                <w:sz w:val="21"/>
                <w:szCs w:val="21"/>
                <w:highlight w:val="none"/>
                <w:lang w:val="en-US" w:eastAsia="zh-CN"/>
              </w:rPr>
              <w:t xml:space="preserve">税率为13 </w:t>
            </w:r>
            <w:r>
              <w:rPr>
                <w:rFonts w:hint="eastAsia"/>
                <w:color w:val="auto"/>
                <w:sz w:val="21"/>
                <w:szCs w:val="21"/>
                <w:highlight w:val="none"/>
              </w:rPr>
              <w:t>%</w:t>
            </w:r>
            <w:r>
              <w:rPr>
                <w:rFonts w:hint="eastAsia"/>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color w:val="auto"/>
                <w:sz w:val="21"/>
                <w:szCs w:val="21"/>
                <w:highlight w:val="none"/>
                <w:lang w:eastAsia="zh-CN"/>
              </w:rPr>
            </w:pPr>
          </w:p>
          <w:p>
            <w:pPr>
              <w:pStyle w:val="5"/>
              <w:rPr>
                <w:rFonts w:hint="eastAsia"/>
                <w:color w:val="auto"/>
                <w:sz w:val="21"/>
                <w:szCs w:val="21"/>
                <w:highlight w:val="none"/>
                <w:lang w:val="en-US" w:eastAsia="zh-CN"/>
              </w:rPr>
            </w:pPr>
          </w:p>
          <w:p>
            <w:pPr>
              <w:jc w:val="center"/>
              <w:rPr>
                <w:rFonts w:hint="eastAsia" w:ascii="宋体" w:hAnsi="宋体" w:eastAsia="宋体" w:cs="宋体"/>
                <w:i w:val="0"/>
                <w:color w:val="auto"/>
                <w:sz w:val="21"/>
                <w:szCs w:val="21"/>
                <w:highlight w:val="none"/>
                <w:u w:val="none"/>
              </w:rPr>
            </w:pP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 材料要求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（1）投标人提供的粗、细集料、填料等原材料须满足JTG F40—2004《公路沥青路面施工技术规范》及本项目设计文件对原材料的相关要求，其中粗细集料及矿粉的质量技术指标如下：</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沥青混合料用粗集料质量技术要求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3"/>
        <w:gridCol w:w="1424"/>
        <w:gridCol w:w="1514"/>
        <w:gridCol w:w="3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石料</w:t>
            </w:r>
            <w:r>
              <w:rPr>
                <w:rFonts w:hint="default" w:ascii="Times New Roman" w:hAnsi="Times New Roman" w:eastAsia="宋体" w:cs="Times New Roman"/>
                <w:color w:val="auto"/>
                <w:sz w:val="21"/>
                <w:szCs w:val="21"/>
                <w:highlight w:val="none"/>
                <w:vertAlign w:val="baseline"/>
                <w:lang w:val="en-US" w:eastAsia="zh-CN"/>
              </w:rPr>
              <w:t>压碎值</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洛杉矶磨耗损失</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吸水率，不大于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坚固性</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针片状颗粒含量</w:t>
            </w:r>
            <w:r>
              <w:rPr>
                <w:rFonts w:hint="eastAsia" w:ascii="Times New Roman" w:hAnsi="Times New Roman" w:eastAsia="宋体" w:cs="Times New Roman"/>
                <w:color w:val="auto"/>
                <w:sz w:val="21"/>
                <w:szCs w:val="21"/>
                <w:highlight w:val="none"/>
                <w:vertAlign w:val="baseline"/>
                <w:lang w:val="en-US" w:eastAsia="zh-CN"/>
              </w:rPr>
              <w:t>（混合料），</w:t>
            </w:r>
            <w:r>
              <w:rPr>
                <w:rFonts w:hint="default" w:ascii="Times New Roman" w:hAnsi="Times New Roman" w:eastAsia="宋体" w:cs="Times New Roman"/>
                <w:color w:val="auto"/>
                <w:sz w:val="21"/>
                <w:szCs w:val="21"/>
                <w:highlight w:val="none"/>
                <w:vertAlign w:val="baseline"/>
                <w:lang w:val="en-US" w:eastAsia="zh-CN"/>
              </w:rPr>
              <w:t>不大</w:t>
            </w:r>
            <w:r>
              <w:rPr>
                <w:rFonts w:hint="eastAsia" w:ascii="Times New Roman" w:hAnsi="Times New Roman" w:eastAsia="宋体" w:cs="Times New Roman"/>
                <w:color w:val="auto"/>
                <w:sz w:val="21"/>
                <w:szCs w:val="21"/>
                <w:highlight w:val="none"/>
                <w:vertAlign w:val="baseline"/>
                <w:lang w:val="en-US" w:eastAsia="zh-CN"/>
              </w:rPr>
              <w:t>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水洗法&lt;0.075mm 颗粒含量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软石含量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0320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bCs/>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沥青混合料用细集料质量技术要求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3"/>
        <w:gridCol w:w="1514"/>
        <w:gridCol w:w="3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含泥量（小于 0.075mm 颗粒含量）</w:t>
            </w:r>
            <w:r>
              <w:rPr>
                <w:rFonts w:hint="eastAsia" w:ascii="Times New Roman" w:hAnsi="Times New Roman" w:eastAsia="宋体" w:cs="Times New Roman"/>
                <w:color w:val="auto"/>
                <w:sz w:val="21"/>
                <w:szCs w:val="21"/>
                <w:highlight w:val="none"/>
                <w:vertAlign w:val="baseline"/>
                <w:lang w:val="en-US" w:eastAsia="zh-CN"/>
              </w:rPr>
              <w:t>，不大于</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砂当量（%）</w:t>
            </w:r>
            <w:r>
              <w:rPr>
                <w:rFonts w:hint="eastAsia" w:ascii="Times New Roman" w:hAnsi="Times New Roman" w:eastAsia="宋体" w:cs="Times New Roman"/>
                <w:color w:val="auto"/>
                <w:sz w:val="21"/>
                <w:szCs w:val="21"/>
                <w:highlight w:val="none"/>
                <w:vertAlign w:val="baseline"/>
                <w:lang w:val="en-US" w:eastAsia="zh-CN"/>
              </w:rPr>
              <w:t>，不小于</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bl>
    <w:p>
      <w:pPr>
        <w:pStyle w:val="27"/>
        <w:keepNext w:val="0"/>
        <w:keepLines w:val="0"/>
        <w:pageBreakBefore w:val="0"/>
        <w:widowControl w:val="0"/>
        <w:numPr>
          <w:ilvl w:val="0"/>
          <w:numId w:val="0"/>
        </w:numPr>
        <w:kinsoku/>
        <w:wordWrap/>
        <w:overflowPunct/>
        <w:topLinePunct w:val="0"/>
        <w:bidi w:val="0"/>
        <w:snapToGrid/>
        <w:spacing w:line="240" w:lineRule="atLeas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bCs/>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沥青混合料用矿粉质量技术要求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4"/>
        <w:gridCol w:w="1514"/>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t/m³</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含水量，不大于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w:t>
            </w:r>
            <w:r>
              <w:rPr>
                <w:rFonts w:hint="eastAsia" w:ascii="Times New Roman" w:hAnsi="Times New Roman" w:eastAsia="宋体" w:cs="Times New Roman"/>
                <w:color w:val="auto"/>
                <w:sz w:val="21"/>
                <w:szCs w:val="21"/>
                <w:highlight w:val="none"/>
                <w:vertAlign w:val="baseline"/>
                <w:lang w:val="en-US" w:eastAsia="zh-CN"/>
              </w:rPr>
              <w:t>103 烘干法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粒度范围＜0.6mm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粒度范围＜0.15mm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粒度范围＜0.075mm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bl>
    <w:p>
      <w:pPr>
        <w:pStyle w:val="27"/>
        <w:keepNext w:val="0"/>
        <w:keepLines w:val="0"/>
        <w:pageBreakBefore w:val="0"/>
        <w:widowControl w:val="0"/>
        <w:numPr>
          <w:ilvl w:val="0"/>
          <w:numId w:val="0"/>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（2）投标人提供的进场原材料须经招标人质检并认可的厂家提供，原则上生产期间不得更换原材料供应商；如确因客观原因投标人需中途更换原材料供应商，须经招标人质检认可后方可更换。</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1.6 加工质量要求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（1）投标人对整个沥青混合料的生产质量负责，成品质量检验不低于（JTG F40-2004）公路沥青路面施工技术规范》、JTG E20-2011）《公路工程沥青及沥青混合料试验规程》要求。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（2）投标人加工生产的沥青混合料严禁使用回收矿粉，否则视为不合格材料。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（3）投标人加工生产的沥青混合料出厂温度必须经甲方现场代表签字认可，否则视为不合格材料。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1.7 加工进度要求</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投标人应按招标人沥青混合料生产进度要求按时完成生产任务。如确因其他工程项目施工需要，投标人应于实施前一个月与招标人协商，协调生产作业时间，并优先保障招标人所需的沥青混合料生产。</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1.8 场地要求及设备要求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（1）投标人拌和</w:t>
      </w:r>
      <w:r>
        <w:rPr>
          <w:rFonts w:hint="default" w:ascii="宋体" w:hAnsi="宋体" w:eastAsia="宋体" w:cs="宋体"/>
          <w:b w:val="0"/>
          <w:bCs w:val="0"/>
          <w:color w:val="auto"/>
          <w:kern w:val="2"/>
          <w:sz w:val="21"/>
          <w:szCs w:val="21"/>
          <w:highlight w:val="none"/>
          <w:lang w:val="en-US" w:eastAsia="zh-CN" w:bidi="ar-SA"/>
        </w:rPr>
        <w:t>站场地应满足重庆市标准化施工作业要求，如不满足</w:t>
      </w:r>
      <w:r>
        <w:rPr>
          <w:rFonts w:hint="eastAsia" w:ascii="宋体" w:hAnsi="宋体" w:eastAsia="宋体" w:cs="宋体"/>
          <w:b w:val="0"/>
          <w:bCs w:val="0"/>
          <w:color w:val="auto"/>
          <w:kern w:val="2"/>
          <w:sz w:val="21"/>
          <w:szCs w:val="21"/>
          <w:highlight w:val="none"/>
          <w:lang w:val="en-US" w:eastAsia="zh-CN" w:bidi="ar-SA"/>
        </w:rPr>
        <w:t>投标人</w:t>
      </w:r>
      <w:r>
        <w:rPr>
          <w:rFonts w:hint="default" w:ascii="宋体" w:hAnsi="宋体" w:eastAsia="宋体" w:cs="宋体"/>
          <w:b w:val="0"/>
          <w:bCs w:val="0"/>
          <w:color w:val="auto"/>
          <w:kern w:val="2"/>
          <w:sz w:val="21"/>
          <w:szCs w:val="21"/>
          <w:highlight w:val="none"/>
          <w:lang w:val="en-US" w:eastAsia="zh-CN" w:bidi="ar-SA"/>
        </w:rPr>
        <w:t>须无条件按</w:t>
      </w:r>
      <w:r>
        <w:rPr>
          <w:rFonts w:hint="eastAsia" w:ascii="宋体" w:hAnsi="宋体" w:eastAsia="宋体" w:cs="宋体"/>
          <w:b w:val="0"/>
          <w:bCs w:val="0"/>
          <w:color w:val="auto"/>
          <w:kern w:val="2"/>
          <w:sz w:val="21"/>
          <w:szCs w:val="21"/>
          <w:highlight w:val="none"/>
          <w:lang w:val="en-US" w:eastAsia="zh-CN" w:bidi="ar-SA"/>
        </w:rPr>
        <w:t>招标人</w:t>
      </w:r>
      <w:r>
        <w:rPr>
          <w:rFonts w:hint="default" w:ascii="宋体" w:hAnsi="宋体" w:eastAsia="宋体" w:cs="宋体"/>
          <w:b w:val="0"/>
          <w:bCs w:val="0"/>
          <w:color w:val="auto"/>
          <w:kern w:val="2"/>
          <w:sz w:val="21"/>
          <w:szCs w:val="21"/>
          <w:highlight w:val="none"/>
          <w:lang w:val="en-US" w:eastAsia="zh-CN" w:bidi="ar-SA"/>
        </w:rPr>
        <w:t>要求及时进行整改（如：场地必须硬化处理、原材料堆料仓应有不低于1.5米的隔离设施、细集料应有彩钢雨棚等防雨设施等）</w:t>
      </w:r>
      <w:r>
        <w:rPr>
          <w:rFonts w:hint="eastAsia" w:ascii="宋体" w:hAnsi="宋体" w:eastAsia="宋体" w:cs="宋体"/>
          <w:b w:val="0"/>
          <w:bCs w:val="0"/>
          <w:color w:val="auto"/>
          <w:kern w:val="2"/>
          <w:sz w:val="21"/>
          <w:szCs w:val="21"/>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（2）冷料仓的数量满足配合比需要，且不少于5个。</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（3）投标人需在拌和站内为招标人</w:t>
      </w:r>
      <w:r>
        <w:rPr>
          <w:rFonts w:hint="eastAsia" w:ascii="宋体" w:hAnsi="宋体" w:eastAsia="宋体" w:cs="宋体"/>
          <w:b w:val="0"/>
          <w:bCs w:val="0"/>
          <w:color w:val="auto"/>
          <w:kern w:val="2"/>
          <w:sz w:val="21"/>
          <w:szCs w:val="21"/>
          <w:highlight w:val="red"/>
          <w:lang w:val="en-US" w:eastAsia="zh-CN" w:bidi="ar-SA"/>
        </w:rPr>
        <w:t>提供1间实验室用房</w:t>
      </w:r>
      <w:r>
        <w:rPr>
          <w:rFonts w:hint="eastAsia" w:ascii="宋体" w:hAnsi="宋体" w:eastAsia="宋体" w:cs="宋体"/>
          <w:b w:val="0"/>
          <w:bCs w:val="0"/>
          <w:color w:val="auto"/>
          <w:kern w:val="2"/>
          <w:sz w:val="21"/>
          <w:szCs w:val="21"/>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（4）为保证施工进度，投标人拌和站每小时产量应＞200吨。</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1.9 人员要求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生产期间，</w:t>
      </w:r>
      <w:r>
        <w:rPr>
          <w:rFonts w:hint="eastAsia" w:ascii="宋体" w:hAnsi="宋体" w:eastAsia="宋体" w:cs="宋体"/>
          <w:b w:val="0"/>
          <w:bCs w:val="0"/>
          <w:color w:val="auto"/>
          <w:kern w:val="2"/>
          <w:sz w:val="21"/>
          <w:szCs w:val="21"/>
          <w:highlight w:val="none"/>
          <w:lang w:val="en-US" w:eastAsia="zh-CN" w:bidi="ar-SA"/>
        </w:rPr>
        <w:t>投标人需</w:t>
      </w:r>
      <w:r>
        <w:rPr>
          <w:rFonts w:hint="default" w:ascii="宋体" w:hAnsi="宋体" w:eastAsia="宋体" w:cs="宋体"/>
          <w:b w:val="0"/>
          <w:bCs w:val="0"/>
          <w:color w:val="auto"/>
          <w:kern w:val="2"/>
          <w:sz w:val="21"/>
          <w:szCs w:val="21"/>
          <w:highlight w:val="none"/>
          <w:lang w:val="en-US" w:eastAsia="zh-CN" w:bidi="ar-SA"/>
        </w:rPr>
        <w:t>配备</w:t>
      </w:r>
      <w:r>
        <w:rPr>
          <w:rFonts w:hint="eastAsia" w:ascii="宋体" w:hAnsi="宋体" w:eastAsia="宋体" w:cs="宋体"/>
          <w:b w:val="0"/>
          <w:bCs w:val="0"/>
          <w:color w:val="auto"/>
          <w:kern w:val="2"/>
          <w:sz w:val="21"/>
          <w:szCs w:val="21"/>
          <w:highlight w:val="none"/>
          <w:lang w:val="en-US" w:eastAsia="zh-CN" w:bidi="ar-SA"/>
        </w:rPr>
        <w:t>满足生产所需的</w:t>
      </w:r>
      <w:r>
        <w:rPr>
          <w:rFonts w:hint="default" w:ascii="宋体" w:hAnsi="宋体" w:eastAsia="宋体" w:cs="宋体"/>
          <w:b w:val="0"/>
          <w:bCs w:val="0"/>
          <w:color w:val="auto"/>
          <w:kern w:val="2"/>
          <w:sz w:val="21"/>
          <w:szCs w:val="21"/>
          <w:highlight w:val="none"/>
          <w:lang w:val="en-US" w:eastAsia="zh-CN" w:bidi="ar-SA"/>
        </w:rPr>
        <w:t>拌合设备操作人</w:t>
      </w:r>
      <w:r>
        <w:rPr>
          <w:rFonts w:hint="eastAsia" w:ascii="宋体" w:hAnsi="宋体" w:eastAsia="宋体" w:cs="宋体"/>
          <w:b w:val="0"/>
          <w:bCs w:val="0"/>
          <w:color w:val="auto"/>
          <w:kern w:val="2"/>
          <w:sz w:val="21"/>
          <w:szCs w:val="21"/>
          <w:highlight w:val="none"/>
          <w:lang w:val="en-US" w:eastAsia="zh-CN" w:bidi="ar-SA"/>
        </w:rPr>
        <w:t>员</w:t>
      </w:r>
      <w:r>
        <w:rPr>
          <w:rFonts w:hint="default" w:ascii="宋体" w:hAnsi="宋体" w:eastAsia="宋体" w:cs="宋体"/>
          <w:b w:val="0"/>
          <w:bCs w:val="0"/>
          <w:color w:val="auto"/>
          <w:kern w:val="2"/>
          <w:sz w:val="21"/>
          <w:szCs w:val="21"/>
          <w:highlight w:val="none"/>
          <w:lang w:val="en-US" w:eastAsia="zh-CN" w:bidi="ar-SA"/>
        </w:rPr>
        <w:t>、设备维修人员及生产辅助人员，并确保设备维修保养及时，中途发生故障，确保在24小时内修复</w:t>
      </w:r>
      <w:r>
        <w:rPr>
          <w:rFonts w:hint="eastAsia" w:ascii="宋体" w:hAnsi="宋体" w:eastAsia="宋体" w:cs="宋体"/>
          <w:b w:val="0"/>
          <w:bCs w:val="0"/>
          <w:color w:val="auto"/>
          <w:kern w:val="2"/>
          <w:sz w:val="21"/>
          <w:szCs w:val="21"/>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2.0 环保、消防、安全要求</w:t>
      </w:r>
    </w:p>
    <w:p>
      <w:pPr>
        <w:pStyle w:val="27"/>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拌和站的设置必须符合国家有关环境保护、消防、安全等相关规定，不得因环保、消防、安全等问题影响招标人沥青混合料的生产加工，如因环保、消防及安全问题影响招标人沥青混合料正常生产，按违约处理。</w:t>
      </w:r>
    </w:p>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投标人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p>
      <w:pPr>
        <w:adjustRightInd w:val="0"/>
        <w:snapToGrid w:val="0"/>
        <w:spacing w:line="460" w:lineRule="exact"/>
        <w:ind w:firstLine="315" w:firstLineChars="150"/>
        <w:rPr>
          <w:rFonts w:hint="eastAsia" w:ascii="Times New Roman" w:hAnsi="Times New Roman" w:eastAsia="宋体" w:cs="Times New Roman"/>
          <w:color w:val="auto"/>
          <w:szCs w:val="21"/>
          <w:highlight w:val="none"/>
          <w:lang w:val="en-US" w:eastAsia="zh-CN"/>
        </w:rPr>
      </w:pPr>
      <w:r>
        <w:rPr>
          <w:rFonts w:hint="eastAsia"/>
          <w:color w:val="auto"/>
          <w:szCs w:val="21"/>
          <w:highlight w:val="none"/>
        </w:rPr>
        <w:t>（1）</w:t>
      </w:r>
      <w:r>
        <w:rPr>
          <w:rFonts w:hint="eastAsia"/>
          <w:color w:val="auto"/>
          <w:szCs w:val="21"/>
          <w:highlight w:val="none"/>
          <w:lang w:eastAsia="zh-CN"/>
        </w:rPr>
        <w:t>资质要求：</w:t>
      </w:r>
      <w:r>
        <w:rPr>
          <w:rFonts w:hint="eastAsia"/>
          <w:color w:val="auto"/>
          <w:szCs w:val="21"/>
          <w:highlight w:val="none"/>
          <w:lang w:val="en-US" w:eastAsia="zh-CN"/>
        </w:rPr>
        <w:t>须具备独立法人资格、具备有效的营业执照、拌和站型号及产量证明文件(拌和站铭牌照片或采购设备合同或采购拌和站发票),</w:t>
      </w:r>
      <w:r>
        <w:rPr>
          <w:rFonts w:hint="eastAsia" w:ascii="Times New Roman" w:hAnsi="Times New Roman" w:eastAsia="宋体" w:cs="Times New Roman"/>
          <w:color w:val="auto"/>
          <w:szCs w:val="21"/>
          <w:highlight w:val="none"/>
          <w:lang w:val="en-US" w:eastAsia="zh-CN"/>
        </w:rPr>
        <w:t>以上材料均只需提供复印件或扫描件即可。</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投标</w:t>
      </w:r>
      <w:r>
        <w:rPr>
          <w:b/>
          <w:color w:val="auto"/>
          <w:szCs w:val="21"/>
          <w:highlight w:val="none"/>
        </w:rPr>
        <w:t>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投标人</w:t>
      </w:r>
      <w:r>
        <w:rPr>
          <w:rFonts w:hint="eastAsia"/>
          <w:color w:val="auto"/>
          <w:szCs w:val="21"/>
          <w:highlight w:val="none"/>
        </w:rPr>
        <w:t>应提供合法有效且符合</w:t>
      </w:r>
      <w:r>
        <w:rPr>
          <w:rFonts w:hint="eastAsia"/>
          <w:color w:val="auto"/>
          <w:szCs w:val="21"/>
          <w:highlight w:val="none"/>
          <w:lang w:eastAsia="zh-CN"/>
        </w:rPr>
        <w:t>招标人</w:t>
      </w:r>
      <w:r>
        <w:rPr>
          <w:rFonts w:hint="eastAsia"/>
          <w:color w:val="auto"/>
          <w:szCs w:val="21"/>
          <w:highlight w:val="none"/>
        </w:rPr>
        <w:t>要求的增值税专用发票。因</w:t>
      </w:r>
      <w:r>
        <w:rPr>
          <w:rFonts w:hint="eastAsia"/>
          <w:color w:val="auto"/>
          <w:szCs w:val="21"/>
          <w:highlight w:val="none"/>
          <w:lang w:eastAsia="zh-CN"/>
        </w:rPr>
        <w:t>投标人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投标人</w:t>
      </w:r>
      <w:r>
        <w:rPr>
          <w:rFonts w:hint="eastAsia"/>
          <w:color w:val="auto"/>
          <w:szCs w:val="21"/>
          <w:highlight w:val="none"/>
        </w:rPr>
        <w:t>需依法向</w:t>
      </w:r>
      <w:r>
        <w:rPr>
          <w:rFonts w:hint="eastAsia"/>
          <w:color w:val="auto"/>
          <w:szCs w:val="21"/>
          <w:highlight w:val="none"/>
          <w:lang w:eastAsia="zh-CN"/>
        </w:rPr>
        <w:t>招标人</w:t>
      </w:r>
      <w:r>
        <w:rPr>
          <w:rFonts w:hint="eastAsia"/>
          <w:color w:val="auto"/>
          <w:szCs w:val="21"/>
          <w:highlight w:val="none"/>
        </w:rPr>
        <w:t>重新开具发票，并向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投标人</w:t>
      </w:r>
      <w:r>
        <w:rPr>
          <w:rFonts w:hint="eastAsia"/>
          <w:color w:val="auto"/>
          <w:szCs w:val="21"/>
          <w:highlight w:val="none"/>
        </w:rPr>
        <w:t>应按照</w:t>
      </w:r>
      <w:r>
        <w:rPr>
          <w:rFonts w:hint="eastAsia"/>
          <w:color w:val="auto"/>
          <w:szCs w:val="21"/>
          <w:highlight w:val="none"/>
          <w:lang w:eastAsia="zh-CN"/>
        </w:rPr>
        <w:t>招标人</w:t>
      </w:r>
      <w:r>
        <w:rPr>
          <w:rFonts w:hint="eastAsia"/>
          <w:color w:val="auto"/>
          <w:szCs w:val="21"/>
          <w:highlight w:val="none"/>
        </w:rPr>
        <w:t>要求，及时向</w:t>
      </w:r>
      <w:r>
        <w:rPr>
          <w:rFonts w:hint="eastAsia"/>
          <w:color w:val="auto"/>
          <w:szCs w:val="21"/>
          <w:highlight w:val="none"/>
          <w:lang w:eastAsia="zh-CN"/>
        </w:rPr>
        <w:t>招标人</w:t>
      </w:r>
      <w:r>
        <w:rPr>
          <w:rFonts w:hint="eastAsia"/>
          <w:color w:val="auto"/>
          <w:szCs w:val="21"/>
          <w:highlight w:val="none"/>
        </w:rPr>
        <w:t>开具可以抵扣税款的增值税专用发票。因</w:t>
      </w:r>
      <w:r>
        <w:rPr>
          <w:rFonts w:hint="eastAsia"/>
          <w:color w:val="auto"/>
          <w:szCs w:val="21"/>
          <w:highlight w:val="none"/>
          <w:lang w:eastAsia="zh-CN"/>
        </w:rPr>
        <w:t>投标人</w:t>
      </w:r>
      <w:r>
        <w:rPr>
          <w:rFonts w:hint="eastAsia"/>
          <w:color w:val="auto"/>
          <w:szCs w:val="21"/>
          <w:highlight w:val="none"/>
        </w:rPr>
        <w:t>开具发票不及时给</w:t>
      </w:r>
      <w:r>
        <w:rPr>
          <w:rFonts w:hint="eastAsia"/>
          <w:color w:val="auto"/>
          <w:szCs w:val="21"/>
          <w:highlight w:val="none"/>
          <w:lang w:eastAsia="zh-CN"/>
        </w:rPr>
        <w:t>招标人</w:t>
      </w:r>
      <w:r>
        <w:rPr>
          <w:rFonts w:hint="eastAsia"/>
          <w:color w:val="auto"/>
          <w:szCs w:val="21"/>
          <w:highlight w:val="none"/>
        </w:rPr>
        <w:t>造成无法及时认证、抵扣发票等情形的，</w:t>
      </w:r>
      <w:r>
        <w:rPr>
          <w:rFonts w:hint="eastAsia"/>
          <w:color w:val="auto"/>
          <w:szCs w:val="21"/>
          <w:highlight w:val="none"/>
          <w:lang w:eastAsia="zh-CN"/>
        </w:rPr>
        <w:t>投标人</w:t>
      </w:r>
      <w:r>
        <w:rPr>
          <w:rFonts w:hint="eastAsia"/>
          <w:color w:val="auto"/>
          <w:szCs w:val="21"/>
          <w:highlight w:val="none"/>
        </w:rPr>
        <w:t>需向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numPr>
          <w:ilvl w:val="0"/>
          <w:numId w:val="2"/>
        </w:numPr>
        <w:spacing w:line="360" w:lineRule="exact"/>
        <w:ind w:firstLine="420" w:firstLineChars="200"/>
        <w:outlineLvl w:val="0"/>
        <w:rPr>
          <w:rFonts w:hint="eastAsia"/>
          <w:color w:val="auto"/>
          <w:highlight w:val="none"/>
        </w:rPr>
      </w:pPr>
      <w:r>
        <w:rPr>
          <w:rFonts w:hint="eastAsia"/>
          <w:color w:val="auto"/>
          <w:szCs w:val="21"/>
          <w:highlight w:val="none"/>
        </w:rPr>
        <w:t>报价表中的工程量为</w:t>
      </w:r>
      <w:r>
        <w:rPr>
          <w:rFonts w:hint="eastAsia"/>
          <w:color w:val="auto"/>
          <w:szCs w:val="21"/>
          <w:highlight w:val="none"/>
          <w:lang w:eastAsia="zh-CN"/>
        </w:rPr>
        <w:t>招标人</w:t>
      </w:r>
      <w:r>
        <w:rPr>
          <w:rFonts w:hint="eastAsia"/>
          <w:color w:val="auto"/>
          <w:szCs w:val="21"/>
          <w:highlight w:val="none"/>
        </w:rPr>
        <w:t>暂估量，如实际工程量与暂估量有出入，则该出入部分工程量单价按签约合同单价计量。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szCs w:val="21"/>
          <w:highlight w:val="none"/>
        </w:rPr>
        <w:t>履约担保的形式：由成交候选人自主选择银行保函或者现金支付形式。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none"/>
        </w:rPr>
        <w:t xml:space="preserve">     履约保证金金额：</w:t>
      </w:r>
      <w:r>
        <w:rPr>
          <w:rFonts w:hint="eastAsia" w:cs="Times New Roman"/>
          <w:color w:val="auto"/>
          <w:szCs w:val="21"/>
          <w:highlight w:val="red"/>
          <w:lang w:val="en-US" w:eastAsia="zh-CN"/>
        </w:rPr>
        <w:t>2</w:t>
      </w:r>
      <w:r>
        <w:rPr>
          <w:rFonts w:hint="eastAsia" w:ascii="Times New Roman" w:hAnsi="Times New Roman" w:eastAsia="宋体" w:cs="Times New Roman"/>
          <w:color w:val="auto"/>
          <w:szCs w:val="21"/>
          <w:highlight w:val="red"/>
          <w:lang w:val="en-US" w:eastAsia="zh-CN"/>
        </w:rPr>
        <w:t>0</w:t>
      </w:r>
      <w:r>
        <w:rPr>
          <w:rFonts w:hint="eastAsia" w:ascii="Times New Roman" w:hAnsi="Times New Roman" w:eastAsia="宋体" w:cs="Times New Roman"/>
          <w:color w:val="auto"/>
          <w:szCs w:val="21"/>
          <w:highlight w:val="red"/>
        </w:rPr>
        <w:t>万元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若为保函，出具保函的银行应为国有商业银行或股份制商业银行支行或分行，成交候选人应保证其履约担保在合同工期内一直有效。</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）本项目最高总限价为：</w:t>
      </w:r>
      <w:r>
        <w:rPr>
          <w:rFonts w:hint="eastAsia"/>
          <w:color w:val="auto"/>
          <w:szCs w:val="21"/>
          <w:highlight w:val="none"/>
          <w:lang w:val="en-US" w:eastAsia="zh-CN"/>
        </w:rPr>
        <w:t>5890000</w:t>
      </w:r>
      <w:r>
        <w:rPr>
          <w:rFonts w:hint="eastAsia"/>
          <w:color w:val="auto"/>
          <w:szCs w:val="21"/>
          <w:highlight w:val="none"/>
        </w:rPr>
        <w:t>元</w:t>
      </w:r>
      <w:r>
        <w:rPr>
          <w:rFonts w:hint="eastAsia"/>
          <w:color w:val="auto"/>
          <w:szCs w:val="21"/>
          <w:highlight w:val="none"/>
          <w:lang w:val="en-US" w:eastAsia="zh-CN"/>
        </w:rPr>
        <w:t xml:space="preserve"> </w:t>
      </w:r>
      <w:r>
        <w:rPr>
          <w:rFonts w:hint="eastAsia"/>
          <w:color w:val="auto"/>
          <w:szCs w:val="21"/>
          <w:highlight w:val="none"/>
        </w:rPr>
        <w:t>（大写：</w:t>
      </w:r>
      <w:r>
        <w:rPr>
          <w:rFonts w:hint="eastAsia"/>
          <w:color w:val="auto"/>
          <w:szCs w:val="21"/>
          <w:highlight w:val="none"/>
          <w:lang w:val="en-US" w:eastAsia="zh-CN"/>
        </w:rPr>
        <w:t>伍佰捌拾玖万元整</w:t>
      </w:r>
      <w:r>
        <w:rPr>
          <w:rFonts w:hint="eastAsia"/>
          <w:color w:val="auto"/>
          <w:szCs w:val="21"/>
          <w:highlight w:val="none"/>
        </w:rPr>
        <w:t>）</w:t>
      </w:r>
      <w:r>
        <w:rPr>
          <w:rFonts w:hint="eastAsia"/>
          <w:color w:val="auto"/>
          <w:szCs w:val="21"/>
          <w:highlight w:val="none"/>
          <w:lang w:eastAsia="zh-CN"/>
        </w:rPr>
        <w:t>，具体详见格式“五、</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投标人</w:t>
      </w:r>
      <w:r>
        <w:rPr>
          <w:rFonts w:hint="eastAsia"/>
          <w:color w:val="auto"/>
          <w:szCs w:val="21"/>
          <w:highlight w:val="none"/>
        </w:rPr>
        <w:t>的竞标报价均不得超过</w:t>
      </w:r>
      <w:r>
        <w:rPr>
          <w:rFonts w:hint="eastAsia"/>
          <w:color w:val="auto"/>
          <w:szCs w:val="21"/>
          <w:highlight w:val="none"/>
          <w:lang w:eastAsia="zh-CN"/>
        </w:rPr>
        <w:t>招标人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如有单价限价，投标人所报的单价不能超过单价限价</w:t>
      </w:r>
      <w:r>
        <w:rPr>
          <w:rFonts w:hint="eastAsia"/>
          <w:color w:val="auto"/>
          <w:szCs w:val="21"/>
          <w:highlight w:val="none"/>
          <w:lang w:eastAsia="zh-CN"/>
        </w:rPr>
        <w:t>）</w:t>
      </w:r>
      <w:r>
        <w:rPr>
          <w:rFonts w:hint="eastAsia"/>
          <w:color w:val="auto"/>
          <w:szCs w:val="21"/>
          <w:highlight w:val="none"/>
        </w:rPr>
        <w:t>。</w:t>
      </w:r>
    </w:p>
    <w:p>
      <w:pPr>
        <w:spacing w:line="360" w:lineRule="exact"/>
        <w:ind w:firstLine="420" w:firstLineChars="200"/>
        <w:rPr>
          <w:rFonts w:hint="default"/>
          <w:color w:val="auto"/>
          <w:szCs w:val="21"/>
          <w:highlight w:val="none"/>
          <w:lang w:val="en-US"/>
        </w:rPr>
      </w:pPr>
      <w:r>
        <w:rPr>
          <w:rFonts w:hint="eastAsia"/>
          <w:color w:val="auto"/>
          <w:szCs w:val="21"/>
          <w:highlight w:val="none"/>
        </w:rPr>
        <w:t>2、</w:t>
      </w:r>
      <w:r>
        <w:rPr>
          <w:rFonts w:hint="eastAsia"/>
          <w:color w:val="auto"/>
          <w:szCs w:val="21"/>
          <w:highlight w:val="none"/>
          <w:lang w:val="en-US" w:eastAsia="zh-CN"/>
        </w:rPr>
        <w:t>货物或服务的</w:t>
      </w:r>
      <w:r>
        <w:rPr>
          <w:rFonts w:hint="eastAsia"/>
          <w:color w:val="auto"/>
          <w:szCs w:val="21"/>
          <w:highlight w:val="none"/>
        </w:rPr>
        <w:t>要求：</w:t>
      </w:r>
      <w:r>
        <w:rPr>
          <w:rFonts w:hint="eastAsia"/>
          <w:color w:val="auto"/>
          <w:szCs w:val="21"/>
          <w:highlight w:val="none"/>
          <w:lang w:val="en-US" w:eastAsia="zh-CN"/>
        </w:rPr>
        <w:t>投标人所供沥青混合料必须达到或高于招标人技术指标要求，且每次实际生产加工数量及时间按照招标人通知为准。</w:t>
      </w:r>
    </w:p>
    <w:p>
      <w:pPr>
        <w:spacing w:line="36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本次</w:t>
      </w:r>
      <w:r>
        <w:rPr>
          <w:rFonts w:hint="eastAsia"/>
          <w:color w:val="auto"/>
          <w:szCs w:val="21"/>
          <w:highlight w:val="none"/>
          <w:lang w:eastAsia="zh-CN"/>
        </w:rPr>
        <w:t>投标</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按招标文件格式编制。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5、</w:t>
      </w:r>
      <w:r>
        <w:rPr>
          <w:rFonts w:hint="eastAsia"/>
          <w:color w:val="auto"/>
          <w:szCs w:val="21"/>
          <w:highlight w:val="none"/>
          <w:lang w:eastAsia="zh-CN"/>
        </w:rPr>
        <w:t>投标</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投标</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投标</w:t>
      </w:r>
      <w:r>
        <w:rPr>
          <w:rFonts w:hint="eastAsia"/>
          <w:color w:val="auto"/>
          <w:szCs w:val="21"/>
          <w:highlight w:val="none"/>
        </w:rPr>
        <w:t>文件按</w:t>
      </w:r>
      <w:r>
        <w:rPr>
          <w:rFonts w:hint="eastAsia"/>
          <w:color w:val="auto"/>
          <w:szCs w:val="21"/>
          <w:highlight w:val="none"/>
          <w:lang w:eastAsia="zh-CN"/>
        </w:rPr>
        <w:t>招标</w:t>
      </w:r>
      <w:r>
        <w:rPr>
          <w:rFonts w:hint="eastAsia"/>
          <w:color w:val="auto"/>
          <w:szCs w:val="21"/>
          <w:highlight w:val="none"/>
        </w:rPr>
        <w:t>文件中规定格式排版。</w:t>
      </w:r>
    </w:p>
    <w:p>
      <w:pPr>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Cs w:val="21"/>
          <w:highlight w:val="none"/>
          <w:lang w:val="en-US" w:eastAsia="zh-CN"/>
        </w:rPr>
        <w:t>四、</w:t>
      </w:r>
      <w:r>
        <w:rPr>
          <w:rFonts w:hint="eastAsia" w:ascii="宋体" w:hAnsi="宋体" w:cs="宋体"/>
          <w:b/>
          <w:color w:val="auto"/>
          <w:sz w:val="21"/>
          <w:szCs w:val="21"/>
          <w:highlight w:val="none"/>
        </w:rPr>
        <w:t>评标办法</w:t>
      </w:r>
      <w:r>
        <w:rPr>
          <w:rFonts w:hint="eastAsia" w:ascii="宋体" w:hAnsi="宋体" w:cs="宋体"/>
          <w:bCs/>
          <w:color w:val="auto"/>
          <w:sz w:val="21"/>
          <w:szCs w:val="21"/>
          <w:highlight w:val="none"/>
        </w:rPr>
        <w:t>（</w:t>
      </w:r>
      <w:r>
        <w:rPr>
          <w:rFonts w:hint="eastAsia" w:ascii="宋体" w:hAnsi="宋体"/>
          <w:bCs/>
          <w:color w:val="auto"/>
          <w:sz w:val="21"/>
          <w:szCs w:val="21"/>
          <w:highlight w:val="none"/>
        </w:rPr>
        <w:t>本项目</w:t>
      </w:r>
      <w:r>
        <w:rPr>
          <w:rFonts w:hint="eastAsia" w:ascii="宋体" w:hAnsi="宋体"/>
          <w:bCs/>
          <w:color w:val="auto"/>
          <w:sz w:val="21"/>
          <w:szCs w:val="21"/>
          <w:highlight w:val="none"/>
          <w:lang w:eastAsia="zh-CN"/>
        </w:rPr>
        <w:t>采用</w:t>
      </w:r>
      <w:r>
        <w:rPr>
          <w:rFonts w:hint="eastAsia" w:ascii="宋体" w:hAnsi="宋体"/>
          <w:bCs/>
          <w:color w:val="auto"/>
          <w:sz w:val="21"/>
          <w:szCs w:val="21"/>
          <w:highlight w:val="none"/>
          <w:lang w:val="en-US" w:eastAsia="zh-CN"/>
        </w:rPr>
        <w:t>经评审的最低价法</w:t>
      </w:r>
      <w:r>
        <w:rPr>
          <w:rFonts w:hint="eastAsia" w:ascii="宋体" w:hAnsi="宋体" w:cs="宋体"/>
          <w:bCs/>
          <w:color w:val="auto"/>
          <w:sz w:val="21"/>
          <w:szCs w:val="21"/>
          <w:highlight w:val="none"/>
        </w:rPr>
        <w:t>）：</w:t>
      </w:r>
      <w:r>
        <w:rPr>
          <w:rFonts w:hint="eastAsia" w:ascii="宋体" w:hAnsi="宋体"/>
          <w:bCs/>
          <w:color w:val="auto"/>
          <w:sz w:val="21"/>
          <w:szCs w:val="21"/>
          <w:highlight w:val="none"/>
        </w:rPr>
        <w:t>本项目采用经评审的最低</w:t>
      </w:r>
      <w:r>
        <w:rPr>
          <w:rFonts w:hint="eastAsia"/>
          <w:color w:val="auto"/>
          <w:sz w:val="21"/>
          <w:szCs w:val="21"/>
          <w:highlight w:val="none"/>
        </w:rPr>
        <w:t>价法，</w:t>
      </w:r>
      <w:r>
        <w:rPr>
          <w:rFonts w:hint="eastAsia"/>
          <w:b/>
          <w:bCs/>
          <w:color w:val="auto"/>
          <w:sz w:val="21"/>
          <w:szCs w:val="21"/>
          <w:highlight w:val="none"/>
        </w:rPr>
        <w:t>评标标准按（</w:t>
      </w:r>
      <w:r>
        <w:rPr>
          <w:rFonts w:hint="eastAsia"/>
          <w:b/>
          <w:bCs/>
          <w:color w:val="auto"/>
          <w:sz w:val="21"/>
          <w:szCs w:val="21"/>
          <w:highlight w:val="none"/>
          <w:lang w:eastAsia="zh-CN"/>
        </w:rPr>
        <w:t>投标人</w:t>
      </w:r>
      <w:r>
        <w:rPr>
          <w:rFonts w:hint="eastAsia"/>
          <w:b/>
          <w:bCs/>
          <w:color w:val="auto"/>
          <w:sz w:val="21"/>
          <w:szCs w:val="21"/>
          <w:highlight w:val="none"/>
        </w:rPr>
        <w:t>拌合站沥青混合料出厂单价+</w:t>
      </w:r>
      <w:r>
        <w:rPr>
          <w:rFonts w:hint="eastAsia"/>
          <w:b/>
          <w:bCs/>
          <w:color w:val="auto"/>
          <w:sz w:val="21"/>
          <w:szCs w:val="21"/>
          <w:highlight w:val="none"/>
          <w:lang w:eastAsia="zh-CN"/>
        </w:rPr>
        <w:t>招标人</w:t>
      </w:r>
      <w:r>
        <w:rPr>
          <w:rFonts w:hint="eastAsia"/>
          <w:b/>
          <w:bCs/>
          <w:color w:val="auto"/>
          <w:sz w:val="21"/>
          <w:szCs w:val="21"/>
          <w:highlight w:val="none"/>
        </w:rPr>
        <w:t>运输单价（详见</w:t>
      </w:r>
      <w:r>
        <w:rPr>
          <w:rFonts w:hint="eastAsia"/>
          <w:b/>
          <w:bCs/>
          <w:color w:val="auto"/>
          <w:sz w:val="21"/>
          <w:szCs w:val="21"/>
          <w:highlight w:val="none"/>
          <w:lang w:eastAsia="zh-CN"/>
        </w:rPr>
        <w:t>评标</w:t>
      </w:r>
      <w:r>
        <w:rPr>
          <w:rFonts w:hint="eastAsia"/>
          <w:b/>
          <w:bCs/>
          <w:color w:val="auto"/>
          <w:sz w:val="21"/>
          <w:szCs w:val="21"/>
          <w:highlight w:val="none"/>
        </w:rPr>
        <w:t>附件）*拌合站距指定地点（</w:t>
      </w:r>
      <w:r>
        <w:rPr>
          <w:rFonts w:hint="eastAsia"/>
          <w:b/>
          <w:bCs/>
          <w:color w:val="auto"/>
          <w:sz w:val="21"/>
          <w:szCs w:val="21"/>
          <w:highlight w:val="none"/>
          <w:lang w:eastAsia="zh-CN"/>
        </w:rPr>
        <w:t>新龙湾立交</w:t>
      </w:r>
      <w:r>
        <w:rPr>
          <w:rFonts w:hint="eastAsia"/>
          <w:b/>
          <w:bCs/>
          <w:color w:val="auto"/>
          <w:sz w:val="21"/>
          <w:szCs w:val="21"/>
          <w:highlight w:val="none"/>
        </w:rPr>
        <w:t>）重载运距公里数）*沥青混合料预计生产量吨位进行评标</w:t>
      </w:r>
      <w:r>
        <w:rPr>
          <w:rFonts w:hint="eastAsia"/>
          <w:color w:val="auto"/>
          <w:sz w:val="21"/>
          <w:szCs w:val="21"/>
          <w:highlight w:val="none"/>
        </w:rPr>
        <w:t>。在满足</w:t>
      </w:r>
      <w:r>
        <w:rPr>
          <w:rFonts w:hint="eastAsia"/>
          <w:color w:val="auto"/>
          <w:sz w:val="21"/>
          <w:szCs w:val="21"/>
          <w:highlight w:val="none"/>
          <w:lang w:eastAsia="zh-CN"/>
        </w:rPr>
        <w:t>招标</w:t>
      </w:r>
      <w:r>
        <w:rPr>
          <w:rFonts w:hint="eastAsia"/>
          <w:color w:val="auto"/>
          <w:sz w:val="21"/>
          <w:szCs w:val="21"/>
          <w:highlight w:val="none"/>
        </w:rPr>
        <w:t>文件要求的前提下，评标委员会</w:t>
      </w:r>
      <w:r>
        <w:rPr>
          <w:rFonts w:hint="eastAsia"/>
          <w:color w:val="auto"/>
          <w:sz w:val="21"/>
          <w:szCs w:val="21"/>
          <w:highlight w:val="none"/>
          <w:lang w:val="en-US" w:eastAsia="zh-CN"/>
        </w:rPr>
        <w:t>报价</w:t>
      </w:r>
      <w:r>
        <w:rPr>
          <w:color w:val="auto"/>
          <w:sz w:val="21"/>
          <w:szCs w:val="21"/>
          <w:highlight w:val="none"/>
        </w:rPr>
        <w:t>从</w:t>
      </w:r>
      <w:r>
        <w:rPr>
          <w:rFonts w:hint="eastAsia"/>
          <w:color w:val="auto"/>
          <w:sz w:val="21"/>
          <w:szCs w:val="21"/>
          <w:highlight w:val="none"/>
        </w:rPr>
        <w:t>低</w:t>
      </w:r>
      <w:r>
        <w:rPr>
          <w:color w:val="auto"/>
          <w:sz w:val="21"/>
          <w:szCs w:val="21"/>
          <w:highlight w:val="none"/>
        </w:rPr>
        <w:t>到</w:t>
      </w:r>
      <w:r>
        <w:rPr>
          <w:rFonts w:hint="eastAsia"/>
          <w:color w:val="auto"/>
          <w:sz w:val="21"/>
          <w:szCs w:val="21"/>
          <w:highlight w:val="none"/>
        </w:rPr>
        <w:t>高</w:t>
      </w:r>
      <w:r>
        <w:rPr>
          <w:color w:val="auto"/>
          <w:sz w:val="21"/>
          <w:szCs w:val="21"/>
          <w:highlight w:val="none"/>
        </w:rPr>
        <w:t>的先后顺序</w:t>
      </w:r>
      <w:r>
        <w:rPr>
          <w:rFonts w:hint="eastAsia"/>
          <w:color w:val="auto"/>
          <w:sz w:val="21"/>
          <w:szCs w:val="21"/>
          <w:highlight w:val="none"/>
        </w:rPr>
        <w:t>推荐中标候选人。若在满足</w:t>
      </w:r>
      <w:r>
        <w:rPr>
          <w:rFonts w:hint="eastAsia"/>
          <w:color w:val="auto"/>
          <w:sz w:val="21"/>
          <w:szCs w:val="21"/>
          <w:highlight w:val="none"/>
          <w:lang w:eastAsia="zh-CN"/>
        </w:rPr>
        <w:t>招标</w:t>
      </w:r>
      <w:r>
        <w:rPr>
          <w:rFonts w:hint="eastAsia"/>
          <w:color w:val="auto"/>
          <w:sz w:val="21"/>
          <w:szCs w:val="21"/>
          <w:highlight w:val="none"/>
        </w:rPr>
        <w:t>文件所有要求前提下，</w:t>
      </w:r>
      <w:r>
        <w:rPr>
          <w:rFonts w:hint="eastAsia"/>
          <w:color w:val="auto"/>
          <w:sz w:val="21"/>
          <w:szCs w:val="21"/>
          <w:highlight w:val="none"/>
          <w:lang w:val="en-US" w:eastAsia="zh-CN"/>
        </w:rPr>
        <w:t>最低报价</w:t>
      </w:r>
      <w:r>
        <w:rPr>
          <w:rFonts w:hint="eastAsia"/>
          <w:color w:val="auto"/>
          <w:sz w:val="21"/>
          <w:szCs w:val="21"/>
          <w:highlight w:val="none"/>
        </w:rPr>
        <w:t>相同时，</w:t>
      </w:r>
      <w:r>
        <w:rPr>
          <w:rFonts w:hint="eastAsia" w:ascii="宋体" w:hAnsi="宋体" w:cs="宋体"/>
          <w:b/>
          <w:bCs/>
          <w:snapToGrid w:val="0"/>
          <w:color w:val="auto"/>
          <w:kern w:val="0"/>
          <w:sz w:val="21"/>
          <w:szCs w:val="21"/>
          <w:highlight w:val="none"/>
        </w:rPr>
        <w:t>进行第二轮报价</w:t>
      </w:r>
      <w:r>
        <w:rPr>
          <w:color w:val="auto"/>
          <w:sz w:val="21"/>
          <w:szCs w:val="21"/>
          <w:highlight w:val="none"/>
        </w:rPr>
        <w:t>。</w:t>
      </w:r>
      <w:r>
        <w:rPr>
          <w:rFonts w:hint="eastAsia"/>
          <w:color w:val="auto"/>
          <w:sz w:val="21"/>
          <w:szCs w:val="21"/>
          <w:highlight w:val="none"/>
        </w:rPr>
        <w:t>请各报价单位结合自身情况及市场行情进行报价。</w:t>
      </w:r>
      <w:r>
        <w:rPr>
          <w:rFonts w:hint="eastAsia"/>
          <w:b/>
          <w:bCs/>
          <w:color w:val="auto"/>
          <w:sz w:val="21"/>
          <w:szCs w:val="21"/>
          <w:highlight w:val="none"/>
        </w:rPr>
        <w:t>具体评审标准详见下表</w:t>
      </w:r>
      <w:r>
        <w:rPr>
          <w:rFonts w:hint="eastAsia"/>
          <w:b/>
          <w:bCs/>
          <w:color w:val="auto"/>
          <w:sz w:val="21"/>
          <w:szCs w:val="21"/>
          <w:highlight w:val="none"/>
          <w:lang w:eastAsia="zh-CN"/>
        </w:rPr>
        <w:t>：</w:t>
      </w:r>
    </w:p>
    <w:tbl>
      <w:tblPr>
        <w:tblStyle w:val="19"/>
        <w:tblW w:w="9427"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64"/>
        <w:gridCol w:w="1364"/>
        <w:gridCol w:w="5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256"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792"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464" w:type="dxa"/>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投标文件要求投标人</w:t>
            </w:r>
            <w:r>
              <w:rPr>
                <w:rFonts w:hint="eastAsia" w:ascii="宋体" w:hAnsi="宋体" w:cs="宋体"/>
                <w:color w:val="auto"/>
                <w:szCs w:val="21"/>
                <w:highlight w:val="none"/>
                <w:shd w:val="clear" w:color="auto" w:fill="FFFFFF"/>
              </w:rPr>
              <w:t>盖章和</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464"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464"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拌和站相关资料</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464"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cs="宋体"/>
                <w:color w:val="auto"/>
                <w:szCs w:val="21"/>
                <w:highlight w:val="none"/>
                <w:shd w:val="clear" w:color="auto" w:fill="FFFFFF"/>
                <w:lang w:val="en-US"/>
              </w:rPr>
            </w:pPr>
            <w:r>
              <w:rPr>
                <w:rFonts w:hint="eastAsia" w:ascii="宋体" w:hAnsi="宋体" w:cs="宋体"/>
                <w:color w:val="auto"/>
                <w:szCs w:val="21"/>
                <w:highlight w:val="none"/>
                <w:shd w:val="clear" w:color="auto" w:fill="FFFFFF"/>
                <w:lang w:val="en-US" w:eastAsia="zh-CN"/>
              </w:rPr>
              <w:t>竞标报价</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w:t>
            </w:r>
            <w:r>
              <w:rPr>
                <w:rFonts w:hint="eastAsia" w:ascii="宋体" w:hAnsi="宋体" w:cs="宋体"/>
                <w:color w:val="auto"/>
                <w:szCs w:val="21"/>
                <w:highlight w:val="none"/>
                <w:shd w:val="clear" w:color="auto" w:fill="FFFFFF"/>
                <w:lang w:eastAsia="zh-CN"/>
              </w:rPr>
              <w:t>招标</w:t>
            </w:r>
            <w:r>
              <w:rPr>
                <w:rFonts w:hint="eastAsia" w:ascii="宋体" w:hAnsi="宋体" w:cs="宋体"/>
                <w:color w:val="auto"/>
                <w:szCs w:val="21"/>
                <w:highlight w:val="none"/>
                <w:shd w:val="clear" w:color="auto" w:fill="FFFFFF"/>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464" w:type="dxa"/>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报价要求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40" w:lineRule="exact"/>
              <w:rPr>
                <w:rFonts w:hint="eastAsia" w:ascii="宋体" w:hAnsi="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投标人</w:t>
            </w:r>
            <w:r>
              <w:rPr>
                <w:rFonts w:hint="eastAsia" w:ascii="宋体" w:hAnsi="宋体"/>
                <w:color w:val="auto"/>
                <w:szCs w:val="21"/>
                <w:highlight w:val="none"/>
              </w:rPr>
              <w:t>总报价及综合单价报价不得超过</w:t>
            </w:r>
            <w:r>
              <w:rPr>
                <w:rFonts w:hint="eastAsia" w:ascii="宋体" w:hAnsi="宋体"/>
                <w:color w:val="auto"/>
                <w:szCs w:val="21"/>
                <w:highlight w:val="none"/>
                <w:lang w:val="en-US" w:eastAsia="zh-CN"/>
              </w:rPr>
              <w:t>招标人</w:t>
            </w:r>
            <w:r>
              <w:rPr>
                <w:rFonts w:hint="eastAsia" w:ascii="宋体" w:hAnsi="宋体"/>
                <w:color w:val="auto"/>
                <w:szCs w:val="21"/>
                <w:highlight w:val="none"/>
              </w:rPr>
              <w:t>公布的相应最高限价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若报价为下浮比例方式，则应满足招标文件要求。 </w:t>
            </w:r>
          </w:p>
          <w:p>
            <w:pPr>
              <w:numPr>
                <w:ilvl w:val="0"/>
                <w:numId w:val="0"/>
              </w:numPr>
              <w:spacing w:line="340" w:lineRule="exact"/>
              <w:rPr>
                <w:rFonts w:hint="default" w:ascii="宋体" w:hAnsi="宋体" w:eastAsia="宋体" w:cs="宋体"/>
                <w:color w:val="auto"/>
                <w:szCs w:val="21"/>
                <w:highlight w:val="none"/>
                <w:shd w:val="clear" w:color="auto" w:fill="FFFFFF"/>
                <w:lang w:val="en-US" w:eastAsia="zh-CN"/>
              </w:rPr>
            </w:pPr>
            <w:r>
              <w:rPr>
                <w:rFonts w:hint="eastAsia" w:ascii="宋体" w:hAnsi="宋体"/>
                <w:color w:val="auto"/>
                <w:szCs w:val="21"/>
                <w:highlight w:val="none"/>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lang w:eastAsia="zh-CN"/>
              </w:rPr>
              <w:t>提交两个以上不同的</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投标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招标</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rPr>
              <w:t>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400" w:lineRule="exact"/>
              <w:rPr>
                <w:color w:val="auto"/>
                <w:highlight w:val="none"/>
              </w:rPr>
            </w:pPr>
            <w:r>
              <w:rPr>
                <w:color w:val="auto"/>
                <w:highlight w:val="none"/>
              </w:rPr>
              <w:t>有下列情况之一的，</w:t>
            </w:r>
            <w:r>
              <w:rPr>
                <w:rFonts w:hint="eastAsia"/>
                <w:color w:val="auto"/>
                <w:highlight w:val="none"/>
                <w:lang w:val="en-US" w:eastAsia="zh-CN"/>
              </w:rPr>
              <w:t>直接按</w:t>
            </w:r>
            <w:r>
              <w:rPr>
                <w:color w:val="auto"/>
                <w:highlight w:val="none"/>
              </w:rPr>
              <w:t>否决</w:t>
            </w:r>
            <w:r>
              <w:rPr>
                <w:rFonts w:hint="eastAsia"/>
                <w:color w:val="auto"/>
                <w:highlight w:val="none"/>
                <w:lang w:eastAsia="zh-CN"/>
              </w:rPr>
              <w:t>投</w:t>
            </w:r>
            <w:r>
              <w:rPr>
                <w:rFonts w:hint="eastAsia"/>
                <w:color w:val="auto"/>
                <w:highlight w:val="none"/>
              </w:rPr>
              <w:t>标</w:t>
            </w:r>
            <w:r>
              <w:rPr>
                <w:color w:val="auto"/>
                <w:highlight w:val="none"/>
              </w:rPr>
              <w:t>处理。</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由同一单位或者个人编制；</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委托同一单位或者个人办理</w:t>
            </w:r>
            <w:r>
              <w:rPr>
                <w:rFonts w:hint="eastAsia"/>
                <w:color w:val="auto"/>
                <w:highlight w:val="none"/>
                <w:lang w:eastAsia="zh-CN"/>
              </w:rPr>
              <w:t>投</w:t>
            </w:r>
            <w:r>
              <w:rPr>
                <w:rFonts w:hint="eastAsia"/>
                <w:color w:val="auto"/>
                <w:highlight w:val="none"/>
              </w:rPr>
              <w:t>标</w:t>
            </w:r>
            <w:r>
              <w:rPr>
                <w:color w:val="auto"/>
                <w:highlight w:val="none"/>
              </w:rPr>
              <w:t>事宜；</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载明的项目管理成员为同一人；</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异常一致或者</w:t>
            </w:r>
            <w:r>
              <w:rPr>
                <w:rFonts w:hint="eastAsia"/>
                <w:color w:val="auto"/>
                <w:highlight w:val="none"/>
                <w:lang w:eastAsia="zh-CN"/>
              </w:rPr>
              <w:t>投</w:t>
            </w:r>
            <w:r>
              <w:rPr>
                <w:rFonts w:hint="eastAsia"/>
                <w:color w:val="auto"/>
                <w:highlight w:val="none"/>
              </w:rPr>
              <w:t>标报价</w:t>
            </w:r>
            <w:r>
              <w:rPr>
                <w:color w:val="auto"/>
                <w:highlight w:val="none"/>
              </w:rPr>
              <w:t>呈规律性差异</w:t>
            </w:r>
            <w:r>
              <w:rPr>
                <w:rFonts w:hint="eastAsia"/>
                <w:color w:val="auto"/>
                <w:highlight w:val="none"/>
                <w:lang w:val="en-US" w:eastAsia="zh-CN"/>
              </w:rPr>
              <w:t>或报价低于成本不具备竞争性</w:t>
            </w:r>
            <w:r>
              <w:rPr>
                <w:color w:val="auto"/>
                <w:highlight w:val="none"/>
              </w:rPr>
              <w:t>；</w:t>
            </w:r>
          </w:p>
          <w:p>
            <w:pPr>
              <w:numPr>
                <w:ilvl w:val="0"/>
                <w:numId w:val="4"/>
              </w:numPr>
              <w:spacing w:line="400" w:lineRule="exact"/>
              <w:ind w:left="0"/>
              <w:rPr>
                <w:color w:val="auto"/>
                <w:highlight w:val="none"/>
              </w:rPr>
            </w:pPr>
            <w:r>
              <w:rPr>
                <w:color w:val="auto"/>
                <w:highlight w:val="none"/>
              </w:rPr>
              <w:t>不同</w:t>
            </w:r>
            <w:r>
              <w:rPr>
                <w:rFonts w:hint="eastAsia" w:ascii="宋体" w:hAnsi="宋体" w:cs="宋体"/>
                <w:color w:val="auto"/>
                <w:szCs w:val="21"/>
                <w:highlight w:val="none"/>
                <w:shd w:val="clear" w:color="auto" w:fill="FFFFFF"/>
                <w:lang w:val="en-US" w:eastAsia="zh-CN"/>
              </w:rPr>
              <w:t>投标人</w:t>
            </w:r>
            <w:r>
              <w:rPr>
                <w:color w:val="auto"/>
                <w:highlight w:val="none"/>
              </w:rPr>
              <w:t>的</w:t>
            </w:r>
            <w:r>
              <w:rPr>
                <w:rFonts w:hint="eastAsia"/>
                <w:color w:val="auto"/>
                <w:highlight w:val="none"/>
                <w:lang w:val="en-US" w:eastAsia="zh-CN"/>
              </w:rPr>
              <w:t>投标</w:t>
            </w:r>
            <w:r>
              <w:rPr>
                <w:rFonts w:hint="eastAsia"/>
                <w:color w:val="auto"/>
                <w:highlight w:val="none"/>
              </w:rPr>
              <w:t>文件</w:t>
            </w:r>
            <w:r>
              <w:rPr>
                <w:color w:val="auto"/>
                <w:highlight w:val="none"/>
              </w:rPr>
              <w:t>相互混装；</w:t>
            </w:r>
          </w:p>
          <w:p>
            <w:pPr>
              <w:numPr>
                <w:ilvl w:val="0"/>
                <w:numId w:val="4"/>
              </w:numPr>
              <w:spacing w:line="400" w:lineRule="exact"/>
              <w:ind w:left="0"/>
              <w:rPr>
                <w:rFonts w:hint="eastAsia" w:eastAsia="黑体"/>
                <w:color w:val="auto"/>
                <w:highlight w:val="none"/>
                <w:lang w:val="en-US" w:eastAsia="zh-CN"/>
              </w:rPr>
            </w:pPr>
            <w:r>
              <w:rPr>
                <w:rFonts w:hint="eastAsia" w:ascii="宋体" w:hAnsi="宋体" w:cs="宋体"/>
                <w:color w:val="auto"/>
                <w:szCs w:val="21"/>
                <w:highlight w:val="none"/>
                <w:shd w:val="clear" w:color="auto" w:fill="FFFFFF"/>
                <w:lang w:val="en-US" w:eastAsia="zh-CN"/>
              </w:rPr>
              <w:t>投标人</w:t>
            </w:r>
            <w:r>
              <w:rPr>
                <w:rFonts w:hint="eastAsia"/>
                <w:color w:val="auto"/>
                <w:highlight w:val="none"/>
                <w:lang w:val="en-US" w:eastAsia="zh-CN"/>
              </w:rPr>
              <w:t>必须保证投标文件的真实性，一经发现提供的文件虚假不真实，直接按否决处理。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eastAsia="宋体"/>
                <w:color w:val="auto"/>
                <w:kern w:val="0"/>
                <w:szCs w:val="21"/>
                <w:highlight w:val="none"/>
                <w:lang w:val="en-US" w:eastAsia="zh-CN"/>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171" w:type="dxa"/>
            <w:gridSpan w:val="2"/>
            <w:noWrap w:val="0"/>
            <w:vAlign w:val="center"/>
          </w:tcPr>
          <w:p>
            <w:pPr>
              <w:spacing w:line="400" w:lineRule="exact"/>
              <w:rPr>
                <w:rFonts w:hint="eastAsia"/>
                <w:color w:val="auto"/>
                <w:szCs w:val="21"/>
                <w:highlight w:val="none"/>
              </w:rPr>
            </w:pPr>
            <w:r>
              <w:rPr>
                <w:rFonts w:hint="eastAsia"/>
                <w:color w:val="auto"/>
                <w:highlight w:val="none"/>
                <w:lang w:val="en-US" w:eastAsia="zh-CN"/>
              </w:rPr>
              <w:t xml:space="preserve">    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lang w:eastAsia="zh-CN"/>
              </w:rPr>
              <w:t>招标</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color w:val="auto"/>
                <w:szCs w:val="21"/>
                <w:highlight w:val="none"/>
                <w:lang w:eastAsia="zh-CN"/>
              </w:rPr>
            </w:pPr>
            <w:r>
              <w:rPr>
                <w:rFonts w:hint="eastAsia" w:ascii="宋体" w:hAnsi="宋体"/>
                <w:color w:val="auto"/>
                <w:szCs w:val="21"/>
                <w:highlight w:val="none"/>
              </w:rPr>
              <w:t>报价算术错误修正</w:t>
            </w:r>
          </w:p>
        </w:tc>
        <w:tc>
          <w:tcPr>
            <w:tcW w:w="7171" w:type="dxa"/>
            <w:gridSpan w:val="2"/>
            <w:noWrap w:val="0"/>
            <w:vAlign w:val="center"/>
          </w:tcPr>
          <w:p>
            <w:pPr>
              <w:spacing w:line="400" w:lineRule="exact"/>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171" w:type="dxa"/>
            <w:gridSpan w:val="2"/>
            <w:noWrap w:val="0"/>
            <w:vAlign w:val="center"/>
          </w:tcPr>
          <w:p>
            <w:pPr>
              <w:spacing w:line="400" w:lineRule="exact"/>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投标人</w:t>
            </w:r>
            <w:r>
              <w:rPr>
                <w:rFonts w:hint="eastAsia"/>
                <w:color w:val="auto"/>
                <w:highlight w:val="none"/>
                <w:lang w:eastAsia="zh-CN"/>
              </w:rPr>
              <w:t>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投标人</w:t>
            </w:r>
            <w:r>
              <w:rPr>
                <w:rFonts w:hint="eastAsia"/>
                <w:color w:val="auto"/>
                <w:highlight w:val="none"/>
                <w:lang w:eastAsia="zh-CN"/>
              </w:rPr>
              <w:t>主动提出的澄清、说明或补正。</w:t>
            </w:r>
          </w:p>
        </w:tc>
      </w:tr>
    </w:tbl>
    <w:p>
      <w:pPr>
        <w:spacing w:line="360" w:lineRule="auto"/>
        <w:outlineLvl w:val="0"/>
        <w:rPr>
          <w:b/>
          <w:color w:val="auto"/>
          <w:szCs w:val="21"/>
          <w:highlight w:val="none"/>
        </w:rPr>
      </w:pPr>
      <w:r>
        <w:rPr>
          <w:rFonts w:hint="eastAsia"/>
          <w:b/>
          <w:bCs/>
          <w:color w:val="auto"/>
          <w:szCs w:val="21"/>
          <w:highlight w:val="none"/>
          <w:lang w:val="en-US" w:eastAsia="zh-CN"/>
        </w:rPr>
        <w:t>五</w:t>
      </w:r>
      <w:r>
        <w:rPr>
          <w:rFonts w:hint="eastAsia"/>
          <w:b/>
          <w:bCs/>
          <w:color w:val="auto"/>
          <w:szCs w:val="21"/>
          <w:highlight w:val="none"/>
        </w:rPr>
        <w:t>、</w:t>
      </w:r>
      <w:r>
        <w:rPr>
          <w:rFonts w:hint="eastAsia"/>
          <w:b/>
          <w:color w:val="auto"/>
          <w:szCs w:val="21"/>
          <w:highlight w:val="none"/>
          <w:lang w:eastAsia="zh-CN"/>
        </w:rPr>
        <w:t>招标</w:t>
      </w:r>
      <w:r>
        <w:rPr>
          <w:b/>
          <w:color w:val="auto"/>
          <w:szCs w:val="21"/>
          <w:highlight w:val="none"/>
        </w:rPr>
        <w:t>须知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文件获取方式：凡愿意参加的潜在</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，从挂网日起至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文件递交截止时间前，在重庆高速集团官网（</w:t>
      </w:r>
      <w:r>
        <w:rPr>
          <w:rFonts w:hint="eastAsia" w:ascii="宋体" w:hAnsi="宋体" w:cs="宋体"/>
          <w:color w:val="auto"/>
          <w:szCs w:val="21"/>
          <w:highlight w:val="none"/>
        </w:rPr>
        <w:drawing>
          <wp:inline distT="0" distB="0" distL="114300" distR="114300">
            <wp:extent cx="189865" cy="142240"/>
            <wp:effectExtent l="0" t="0" r="635" b="10160"/>
            <wp:docPr id="1"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http://www.cegc.com.cn/gw/newsInfoMenu.html?id=42&amp;key=2）、重庆高速公路集团有限公司招投标管理平台（</w:t>
      </w:r>
      <w:r>
        <w:rPr>
          <w:rFonts w:hint="eastAsia" w:ascii="宋体" w:hAnsi="宋体" w:cs="宋体"/>
          <w:color w:val="auto"/>
          <w:szCs w:val="21"/>
          <w:highlight w:val="none"/>
        </w:rPr>
        <w:drawing>
          <wp:inline distT="0" distB="0" distL="114300" distR="114300">
            <wp:extent cx="189865" cy="142240"/>
            <wp:effectExtent l="0" t="0" r="635" b="10160"/>
            <wp:docPr id="2"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http://43.240.249.108:8088/PMS/）上发布的本项目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公告中的获取方式自行下载。不管</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是否下载，均视为已知晓</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文件的全部内容和有关事宜。本项目不需要报名，直接投标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公告及结果公示将在重庆高速集团官网（</w:t>
      </w:r>
      <w:r>
        <w:rPr>
          <w:rFonts w:hint="eastAsia" w:ascii="宋体" w:hAnsi="宋体" w:cs="宋体"/>
          <w:color w:val="auto"/>
          <w:szCs w:val="21"/>
          <w:highlight w:val="none"/>
        </w:rPr>
        <w:drawing>
          <wp:inline distT="0" distB="0" distL="114300" distR="114300">
            <wp:extent cx="189865" cy="142240"/>
            <wp:effectExtent l="0" t="0" r="635" b="10160"/>
            <wp:docPr id="3"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http://www.cegc.com.cn/gw/newsInfoMenu.html?id=42&amp;key=2）、重庆高速公路集团有限公司招投标管理平台（</w:t>
      </w:r>
      <w:r>
        <w:rPr>
          <w:rFonts w:hint="eastAsia" w:ascii="宋体" w:hAnsi="宋体" w:cs="宋体"/>
          <w:color w:val="auto"/>
          <w:szCs w:val="21"/>
          <w:highlight w:val="none"/>
        </w:rPr>
        <w:drawing>
          <wp:inline distT="0" distB="0" distL="114300" distR="114300">
            <wp:extent cx="189865" cy="142240"/>
            <wp:effectExtent l="0" t="0" r="635" b="10160"/>
            <wp:docPr id="4"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Cs w:val="21"/>
          <w:highlight w:val="none"/>
        </w:rPr>
        <w:t>http://43.240.249.108:8088/PMS/）上发布。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文件递交截止地点：</w:t>
      </w:r>
      <w:r>
        <w:rPr>
          <w:rFonts w:hint="eastAsia" w:ascii="宋体" w:hAnsi="宋体" w:cs="宋体"/>
          <w:b/>
          <w:bCs/>
          <w:color w:val="auto"/>
          <w:szCs w:val="21"/>
          <w:highlight w:val="none"/>
        </w:rPr>
        <w:t>重庆通力高速公路养护工程有限公司</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sz w:val="21"/>
          <w:szCs w:val="21"/>
          <w:highlight w:val="none"/>
        </w:rPr>
        <w:t>重庆市沙坪坝区梨高路4号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（四）</w:t>
      </w:r>
      <w:r>
        <w:rPr>
          <w:rFonts w:hint="eastAsia" w:ascii="宋体" w:hAnsi="宋体" w:cs="宋体"/>
          <w:color w:val="FF0000"/>
          <w:szCs w:val="21"/>
          <w:highlight w:val="none"/>
          <w:lang w:eastAsia="zh-CN"/>
        </w:rPr>
        <w:t>招标</w:t>
      </w:r>
      <w:r>
        <w:rPr>
          <w:rFonts w:hint="eastAsia" w:ascii="宋体" w:hAnsi="宋体" w:cs="宋体"/>
          <w:color w:val="FF0000"/>
          <w:szCs w:val="21"/>
          <w:highlight w:val="none"/>
        </w:rPr>
        <w:t>文件递交截止时间：</w:t>
      </w:r>
      <w:r>
        <w:rPr>
          <w:rFonts w:hint="eastAsia" w:ascii="宋体" w:hAnsi="宋体" w:cs="宋体"/>
          <w:color w:val="FF0000"/>
          <w:szCs w:val="21"/>
          <w:highlight w:val="none"/>
          <w:lang w:val="en-US" w:eastAsia="zh-CN"/>
        </w:rPr>
        <w:t>2023</w:t>
      </w:r>
      <w:r>
        <w:rPr>
          <w:rFonts w:hint="eastAsia" w:ascii="宋体" w:hAnsi="宋体" w:cs="宋体"/>
          <w:color w:val="FF0000"/>
          <w:szCs w:val="21"/>
          <w:highlight w:val="none"/>
        </w:rPr>
        <w:t>年</w:t>
      </w:r>
      <w:r>
        <w:rPr>
          <w:rFonts w:hint="eastAsia" w:ascii="宋体" w:hAnsi="宋体" w:cs="宋体"/>
          <w:color w:val="FF0000"/>
          <w:szCs w:val="21"/>
          <w:highlight w:val="none"/>
          <w:u w:val="single"/>
          <w:lang w:val="en-US" w:eastAsia="zh-CN"/>
        </w:rPr>
        <w:t xml:space="preserve"> 5 </w:t>
      </w:r>
      <w:r>
        <w:rPr>
          <w:rFonts w:hint="eastAsia" w:ascii="宋体" w:hAnsi="宋体" w:cs="宋体"/>
          <w:color w:val="FF0000"/>
          <w:szCs w:val="21"/>
          <w:highlight w:val="none"/>
        </w:rPr>
        <w:t>月</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u w:val="single"/>
          <w:lang w:val="en-US" w:eastAsia="zh-CN"/>
        </w:rPr>
        <w:t xml:space="preserve">9 </w:t>
      </w:r>
      <w:r>
        <w:rPr>
          <w:rFonts w:hint="eastAsia" w:ascii="宋体" w:hAnsi="宋体" w:cs="宋体"/>
          <w:color w:val="FF0000"/>
          <w:szCs w:val="21"/>
          <w:highlight w:val="none"/>
        </w:rPr>
        <w:t>日</w:t>
      </w:r>
      <w:r>
        <w:rPr>
          <w:rFonts w:hint="eastAsia" w:ascii="宋体" w:hAnsi="宋体" w:cs="宋体"/>
          <w:color w:val="FF0000"/>
          <w:szCs w:val="21"/>
          <w:highlight w:val="none"/>
          <w:u w:val="single"/>
          <w:lang w:val="en-US" w:eastAsia="zh-CN"/>
        </w:rPr>
        <w:t xml:space="preserve"> 15 </w:t>
      </w:r>
      <w:r>
        <w:rPr>
          <w:rFonts w:hint="eastAsia" w:ascii="宋体" w:hAnsi="宋体" w:cs="宋体"/>
          <w:color w:val="FF0000"/>
          <w:szCs w:val="21"/>
          <w:highlight w:val="none"/>
        </w:rPr>
        <w:t>时</w:t>
      </w:r>
      <w:r>
        <w:rPr>
          <w:rFonts w:hint="eastAsia" w:ascii="宋体" w:hAnsi="宋体" w:cs="宋体"/>
          <w:color w:val="FF0000"/>
          <w:szCs w:val="21"/>
          <w:highlight w:val="none"/>
          <w:u w:val="single"/>
          <w:lang w:val="en-US" w:eastAsia="zh-CN"/>
        </w:rPr>
        <w:t xml:space="preserve"> 00 </w:t>
      </w:r>
      <w:r>
        <w:rPr>
          <w:rFonts w:hint="eastAsia" w:ascii="宋体" w:hAnsi="宋体" w:cs="宋体"/>
          <w:color w:val="FF0000"/>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highlight w:val="none"/>
        </w:rPr>
        <w:t>不足三家报名时，不予开标，标书当场退回</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第二次不足三家报名时，可按招标文件要求进行开标</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FF0000"/>
          <w:szCs w:val="21"/>
          <w:highlight w:val="none"/>
        </w:rPr>
      </w:pPr>
      <w:r>
        <w:rPr>
          <w:rFonts w:hint="eastAsia" w:ascii="宋体" w:hAnsi="宋体" w:cs="宋体"/>
          <w:b/>
          <w:bCs/>
          <w:color w:val="FF0000"/>
          <w:szCs w:val="21"/>
          <w:highlight w:val="none"/>
        </w:rPr>
        <w:t>按第</w:t>
      </w:r>
      <w:r>
        <w:rPr>
          <w:rFonts w:hint="eastAsia" w:ascii="宋体" w:hAnsi="宋体" w:cs="宋体"/>
          <w:b/>
          <w:bCs/>
          <w:color w:val="FF0000"/>
          <w:szCs w:val="21"/>
          <w:highlight w:val="none"/>
          <w:lang w:eastAsia="zh-CN"/>
        </w:rPr>
        <w:t>三</w:t>
      </w:r>
      <w:r>
        <w:rPr>
          <w:rFonts w:hint="eastAsia" w:ascii="宋体" w:hAnsi="宋体" w:cs="宋体"/>
          <w:b/>
          <w:bCs/>
          <w:color w:val="FF0000"/>
          <w:szCs w:val="21"/>
          <w:highlight w:val="none"/>
        </w:rPr>
        <w:t>条要求制作的</w:t>
      </w:r>
      <w:r>
        <w:rPr>
          <w:rFonts w:hint="eastAsia" w:ascii="宋体" w:hAnsi="宋体" w:cs="宋体"/>
          <w:b/>
          <w:bCs/>
          <w:color w:val="FF0000"/>
          <w:szCs w:val="21"/>
          <w:highlight w:val="none"/>
          <w:lang w:eastAsia="zh-CN"/>
        </w:rPr>
        <w:t>投标</w:t>
      </w:r>
      <w:r>
        <w:rPr>
          <w:rFonts w:hint="eastAsia" w:ascii="宋体" w:hAnsi="宋体" w:cs="宋体"/>
          <w:b/>
          <w:bCs/>
          <w:color w:val="FF0000"/>
          <w:szCs w:val="21"/>
          <w:highlight w:val="none"/>
        </w:rPr>
        <w:t>文件，将</w:t>
      </w:r>
      <w:r>
        <w:rPr>
          <w:rFonts w:hint="eastAsia" w:ascii="宋体" w:hAnsi="宋体" w:cs="宋体"/>
          <w:b/>
          <w:bCs/>
          <w:color w:val="FF0000"/>
          <w:szCs w:val="21"/>
          <w:highlight w:val="none"/>
          <w:lang w:eastAsia="zh-CN"/>
        </w:rPr>
        <w:t>投标</w:t>
      </w:r>
      <w:r>
        <w:rPr>
          <w:rFonts w:hint="eastAsia" w:ascii="宋体" w:hAnsi="宋体" w:cs="宋体"/>
          <w:b/>
          <w:bCs/>
          <w:color w:val="FF0000"/>
          <w:szCs w:val="21"/>
          <w:highlight w:val="none"/>
        </w:rPr>
        <w:t>文件密封到一个封套中，再在封套上写明：</w:t>
      </w:r>
    </w:p>
    <w:p>
      <w:pPr>
        <w:spacing w:line="360" w:lineRule="exact"/>
        <w:ind w:firstLine="420" w:firstLineChars="200"/>
        <w:jc w:val="center"/>
        <w:rPr>
          <w:rFonts w:hint="eastAsia" w:ascii="宋体" w:hAnsi="宋体" w:cs="宋体"/>
          <w:color w:val="FF0000"/>
          <w:szCs w:val="21"/>
          <w:highlight w:val="none"/>
          <w:u w:val="single"/>
        </w:rPr>
      </w:pPr>
      <w:r>
        <w:rPr>
          <w:rFonts w:hint="eastAsia" w:ascii="宋体" w:hAnsi="宋体" w:cs="宋体"/>
          <w:color w:val="FF0000"/>
          <w:szCs w:val="21"/>
          <w:highlight w:val="none"/>
          <w:u w:val="single"/>
          <w:lang w:val="en-US" w:eastAsia="zh-CN"/>
        </w:rPr>
        <w:t>渝邻高速公路K1533+500-K1548+109段路面修复养护工程沥青混合料加工（第二次）</w:t>
      </w:r>
      <w:r>
        <w:rPr>
          <w:rFonts w:hint="eastAsia" w:ascii="宋体" w:hAnsi="宋体" w:cs="宋体"/>
          <w:color w:val="FF0000"/>
          <w:szCs w:val="21"/>
          <w:highlight w:val="none"/>
          <w:u w:val="single"/>
          <w:lang w:eastAsia="zh-CN"/>
        </w:rPr>
        <w:t>投标</w:t>
      </w:r>
      <w:r>
        <w:rPr>
          <w:rFonts w:hint="eastAsia" w:ascii="宋体" w:hAnsi="宋体" w:cs="宋体"/>
          <w:color w:val="FF0000"/>
          <w:szCs w:val="21"/>
          <w:highlight w:val="none"/>
          <w:u w:val="single"/>
        </w:rPr>
        <w:t>文件</w:t>
      </w:r>
    </w:p>
    <w:p>
      <w:pPr>
        <w:spacing w:line="360" w:lineRule="exact"/>
        <w:ind w:firstLine="420" w:firstLineChars="200"/>
        <w:jc w:val="center"/>
        <w:rPr>
          <w:rFonts w:hint="eastAsia" w:ascii="宋体" w:hAnsi="宋体" w:cs="宋体"/>
          <w:color w:val="FF0000"/>
          <w:szCs w:val="21"/>
          <w:highlight w:val="none"/>
          <w:u w:val="single"/>
        </w:rPr>
      </w:pPr>
      <w:r>
        <w:rPr>
          <w:rFonts w:hint="eastAsia" w:ascii="宋体" w:hAnsi="宋体" w:cs="宋体"/>
          <w:color w:val="FF0000"/>
          <w:szCs w:val="21"/>
          <w:highlight w:val="none"/>
          <w:lang w:val="en-US" w:eastAsia="zh-CN"/>
        </w:rPr>
        <w:t>2023年</w:t>
      </w:r>
      <w:r>
        <w:rPr>
          <w:rFonts w:hint="eastAsia" w:ascii="宋体" w:hAnsi="宋体" w:cs="宋体"/>
          <w:color w:val="FF0000"/>
          <w:szCs w:val="21"/>
          <w:highlight w:val="none"/>
          <w:u w:val="single"/>
          <w:lang w:val="en-US" w:eastAsia="zh-CN"/>
        </w:rPr>
        <w:t xml:space="preserve"> 5 </w:t>
      </w:r>
      <w:r>
        <w:rPr>
          <w:rFonts w:hint="eastAsia" w:ascii="宋体" w:hAnsi="宋体" w:cs="宋体"/>
          <w:color w:val="FF0000"/>
          <w:szCs w:val="21"/>
          <w:highlight w:val="none"/>
          <w:lang w:val="en-US" w:eastAsia="zh-CN"/>
        </w:rPr>
        <w:t>月</w:t>
      </w:r>
      <w:r>
        <w:rPr>
          <w:rFonts w:hint="eastAsia" w:ascii="宋体" w:hAnsi="宋体" w:cs="宋体"/>
          <w:color w:val="FF0000"/>
          <w:szCs w:val="21"/>
          <w:highlight w:val="none"/>
          <w:u w:val="single"/>
          <w:lang w:val="en-US" w:eastAsia="zh-CN"/>
        </w:rPr>
        <w:t xml:space="preserve"> 9 </w:t>
      </w:r>
      <w:r>
        <w:rPr>
          <w:rFonts w:hint="eastAsia" w:ascii="宋体" w:hAnsi="宋体" w:cs="宋体"/>
          <w:color w:val="FF0000"/>
          <w:szCs w:val="21"/>
          <w:highlight w:val="none"/>
          <w:lang w:val="en-US" w:eastAsia="zh-CN"/>
        </w:rPr>
        <w:t>日</w:t>
      </w:r>
      <w:r>
        <w:rPr>
          <w:rFonts w:hint="eastAsia" w:ascii="宋体" w:hAnsi="宋体" w:cs="宋体"/>
          <w:color w:val="FF0000"/>
          <w:szCs w:val="21"/>
          <w:highlight w:val="none"/>
          <w:u w:val="single"/>
          <w:lang w:val="en-US" w:eastAsia="zh-CN"/>
        </w:rPr>
        <w:t xml:space="preserve">  15  </w:t>
      </w:r>
      <w:r>
        <w:rPr>
          <w:rFonts w:hint="eastAsia" w:ascii="宋体" w:hAnsi="宋体" w:cs="宋体"/>
          <w:color w:val="FF0000"/>
          <w:szCs w:val="21"/>
          <w:highlight w:val="none"/>
          <w:lang w:val="en-US" w:eastAsia="zh-CN"/>
        </w:rPr>
        <w:t>时</w:t>
      </w:r>
      <w:r>
        <w:rPr>
          <w:rFonts w:hint="eastAsia" w:ascii="宋体" w:hAnsi="宋体" w:cs="宋体"/>
          <w:color w:val="FF0000"/>
          <w:szCs w:val="21"/>
          <w:highlight w:val="none"/>
          <w:u w:val="single"/>
          <w:lang w:val="en-US" w:eastAsia="zh-CN"/>
        </w:rPr>
        <w:t xml:space="preserve">  00  </w:t>
      </w:r>
      <w:r>
        <w:rPr>
          <w:rFonts w:hint="eastAsia" w:ascii="宋体" w:hAnsi="宋体" w:cs="宋体"/>
          <w:color w:val="FF0000"/>
          <w:szCs w:val="21"/>
          <w:highlight w:val="none"/>
          <w:lang w:val="en-US" w:eastAsia="zh-CN"/>
        </w:rPr>
        <w:t>分</w:t>
      </w:r>
      <w:r>
        <w:rPr>
          <w:rFonts w:hint="eastAsia" w:ascii="宋体" w:hAnsi="宋体" w:cs="宋体"/>
          <w:color w:val="FF0000"/>
          <w:szCs w:val="21"/>
          <w:highlight w:val="none"/>
          <w:u w:val="single"/>
        </w:rPr>
        <w:t>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highlight w:val="none"/>
          <w:lang w:val="en-US" w:eastAsia="zh-CN"/>
        </w:rPr>
        <w:t>（七）特别提醒</w:t>
      </w:r>
      <w:r>
        <w:rPr>
          <w:rFonts w:hint="eastAsia" w:ascii="Times New Roman" w:hAnsi="Times New Roman" w:eastAsia="宋体" w:cs="Times New Roman"/>
          <w:b/>
          <w:bCs/>
          <w:color w:val="auto"/>
          <w:kern w:val="2"/>
          <w:sz w:val="21"/>
          <w:szCs w:val="21"/>
          <w:highlight w:val="none"/>
        </w:rPr>
        <w:t>：若</w:t>
      </w:r>
      <w:r>
        <w:rPr>
          <w:rFonts w:hint="eastAsia" w:ascii="Times New Roman" w:hAnsi="Times New Roman" w:eastAsia="宋体" w:cs="Times New Roman"/>
          <w:b/>
          <w:bCs/>
          <w:color w:val="auto"/>
          <w:kern w:val="2"/>
          <w:sz w:val="21"/>
          <w:szCs w:val="21"/>
          <w:highlight w:val="none"/>
          <w:lang w:eastAsia="zh-CN"/>
        </w:rPr>
        <w:t>投标人</w:t>
      </w:r>
      <w:r>
        <w:rPr>
          <w:rFonts w:hint="eastAsia" w:ascii="Times New Roman" w:hAnsi="Times New Roman" w:eastAsia="宋体" w:cs="Times New Roman"/>
          <w:b/>
          <w:bCs/>
          <w:color w:val="auto"/>
          <w:kern w:val="2"/>
          <w:sz w:val="21"/>
          <w:szCs w:val="21"/>
          <w:highlight w:val="none"/>
        </w:rPr>
        <w:t>恶</w:t>
      </w:r>
      <w:r>
        <w:rPr>
          <w:rFonts w:hint="eastAsia"/>
          <w:b/>
          <w:bCs/>
          <w:color w:val="auto"/>
          <w:kern w:val="2"/>
          <w:sz w:val="21"/>
          <w:szCs w:val="21"/>
          <w:highlight w:val="none"/>
        </w:rPr>
        <w:t>意竞标后不按</w:t>
      </w:r>
      <w:r>
        <w:rPr>
          <w:rFonts w:hint="eastAsia"/>
          <w:b/>
          <w:bCs/>
          <w:color w:val="auto"/>
          <w:kern w:val="2"/>
          <w:sz w:val="21"/>
          <w:szCs w:val="21"/>
          <w:highlight w:val="none"/>
          <w:lang w:eastAsia="zh-CN"/>
        </w:rPr>
        <w:t>招标</w:t>
      </w:r>
      <w:r>
        <w:rPr>
          <w:rFonts w:hint="eastAsia"/>
          <w:b/>
          <w:bCs/>
          <w:color w:val="auto"/>
          <w:kern w:val="2"/>
          <w:sz w:val="21"/>
          <w:szCs w:val="21"/>
          <w:highlight w:val="none"/>
        </w:rPr>
        <w:t>要求与</w:t>
      </w:r>
      <w:r>
        <w:rPr>
          <w:rFonts w:hint="eastAsia"/>
          <w:b/>
          <w:bCs/>
          <w:color w:val="auto"/>
          <w:kern w:val="2"/>
          <w:sz w:val="21"/>
          <w:szCs w:val="21"/>
          <w:highlight w:val="none"/>
          <w:lang w:eastAsia="zh-CN"/>
        </w:rPr>
        <w:t>招标人</w:t>
      </w:r>
      <w:r>
        <w:rPr>
          <w:rFonts w:hint="eastAsia"/>
          <w:b/>
          <w:bCs/>
          <w:color w:val="auto"/>
          <w:kern w:val="2"/>
          <w:sz w:val="21"/>
          <w:szCs w:val="21"/>
          <w:highlight w:val="none"/>
        </w:rPr>
        <w:t>签</w:t>
      </w:r>
      <w:bookmarkStart w:id="27" w:name="_GoBack"/>
      <w:bookmarkEnd w:id="27"/>
      <w:r>
        <w:rPr>
          <w:rFonts w:hint="eastAsia"/>
          <w:b/>
          <w:bCs/>
          <w:color w:val="auto"/>
          <w:kern w:val="2"/>
          <w:sz w:val="21"/>
          <w:szCs w:val="21"/>
          <w:highlight w:val="none"/>
        </w:rPr>
        <w:t>订合同</w:t>
      </w:r>
      <w:r>
        <w:rPr>
          <w:rFonts w:hint="eastAsia"/>
          <w:b/>
          <w:bCs/>
          <w:color w:val="auto"/>
          <w:kern w:val="2"/>
          <w:sz w:val="21"/>
          <w:szCs w:val="21"/>
          <w:highlight w:val="none"/>
          <w:lang w:val="en-US" w:eastAsia="zh-CN"/>
        </w:rPr>
        <w:t>或履约</w:t>
      </w:r>
      <w:r>
        <w:rPr>
          <w:rFonts w:hint="eastAsia"/>
          <w:b/>
          <w:bCs/>
          <w:color w:val="auto"/>
          <w:kern w:val="2"/>
          <w:sz w:val="21"/>
          <w:szCs w:val="21"/>
          <w:highlight w:val="none"/>
        </w:rPr>
        <w:t>，</w:t>
      </w:r>
      <w:r>
        <w:rPr>
          <w:rFonts w:hint="eastAsia"/>
          <w:b/>
          <w:bCs/>
          <w:color w:val="auto"/>
          <w:kern w:val="2"/>
          <w:sz w:val="21"/>
          <w:szCs w:val="21"/>
          <w:highlight w:val="none"/>
          <w:lang w:eastAsia="zh-CN"/>
        </w:rPr>
        <w:t>招标人</w:t>
      </w:r>
      <w:r>
        <w:rPr>
          <w:rFonts w:hint="eastAsia"/>
          <w:b/>
          <w:bCs/>
          <w:color w:val="auto"/>
          <w:kern w:val="2"/>
          <w:sz w:val="21"/>
          <w:szCs w:val="21"/>
          <w:highlight w:val="none"/>
        </w:rPr>
        <w:t>将直接将</w:t>
      </w:r>
      <w:r>
        <w:rPr>
          <w:rFonts w:hint="eastAsia" w:ascii="Times New Roman" w:hAnsi="Times New Roman" w:eastAsia="宋体" w:cs="Times New Roman"/>
          <w:b/>
          <w:bCs/>
          <w:color w:val="auto"/>
          <w:kern w:val="2"/>
          <w:sz w:val="21"/>
          <w:szCs w:val="21"/>
          <w:highlight w:val="none"/>
          <w:lang w:eastAsia="zh-CN"/>
        </w:rPr>
        <w:t>投标人</w:t>
      </w:r>
      <w:r>
        <w:rPr>
          <w:rFonts w:hint="eastAsia"/>
          <w:b/>
          <w:bCs/>
          <w:color w:val="auto"/>
          <w:kern w:val="2"/>
          <w:sz w:val="21"/>
          <w:szCs w:val="21"/>
          <w:highlight w:val="none"/>
        </w:rPr>
        <w:t>及其关联单位（含法人代表与委托代理人）一并拉入黑名单，不得参与通力公司所有</w:t>
      </w:r>
      <w:r>
        <w:rPr>
          <w:rFonts w:hint="eastAsia"/>
          <w:b/>
          <w:bCs/>
          <w:color w:val="auto"/>
          <w:kern w:val="2"/>
          <w:sz w:val="21"/>
          <w:szCs w:val="21"/>
          <w:highlight w:val="none"/>
          <w:lang w:eastAsia="zh-CN"/>
        </w:rPr>
        <w:t>招标</w:t>
      </w:r>
      <w:r>
        <w:rPr>
          <w:rFonts w:hint="eastAsia"/>
          <w:b/>
          <w:bCs/>
          <w:color w:val="auto"/>
          <w:kern w:val="2"/>
          <w:sz w:val="21"/>
          <w:szCs w:val="21"/>
          <w:highlight w:val="none"/>
        </w:rPr>
        <w:t>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在参与竞标报价过程中，将</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：重庆通力高速公路养护工程有限公司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b/>
          <w:bCs/>
          <w:color w:val="auto"/>
          <w:szCs w:val="21"/>
          <w:highlight w:val="none"/>
        </w:rPr>
        <w:t>重庆通力高速公路养护工程有限公司</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sz w:val="21"/>
          <w:szCs w:val="21"/>
          <w:highlight w:val="none"/>
        </w:rPr>
        <w:t>重庆市沙坪坝区梨高路4号</w:t>
      </w:r>
      <w:r>
        <w:rPr>
          <w:rFonts w:hint="eastAsia" w:ascii="宋体" w:hAnsi="宋体" w:cs="宋体"/>
          <w:color w:val="auto"/>
          <w:szCs w:val="21"/>
          <w:highlight w:val="none"/>
        </w:rPr>
        <w:t>）。</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曾老师  电话：13657660517</w:t>
      </w:r>
    </w:p>
    <w:bookmarkEnd w:id="8"/>
    <w:bookmarkEnd w:id="9"/>
    <w:bookmarkEnd w:id="10"/>
    <w:bookmarkEnd w:id="11"/>
    <w:bookmarkEnd w:id="12"/>
    <w:bookmarkEnd w:id="13"/>
    <w:bookmarkEnd w:id="14"/>
    <w:bookmarkEnd w:id="15"/>
    <w:p>
      <w:pPr>
        <w:spacing w:line="360" w:lineRule="exact"/>
        <w:rPr>
          <w:rFonts w:hint="eastAsia"/>
          <w:b/>
          <w:color w:val="auto"/>
          <w:sz w:val="24"/>
          <w:szCs w:val="21"/>
          <w:highlight w:val="none"/>
        </w:rPr>
      </w:pPr>
    </w:p>
    <w:p>
      <w:pPr>
        <w:spacing w:line="360" w:lineRule="auto"/>
        <w:jc w:val="both"/>
        <w:rPr>
          <w:rFonts w:hint="eastAsia"/>
          <w:b/>
          <w:color w:val="auto"/>
          <w:sz w:val="36"/>
          <w:highlight w:val="none"/>
          <w:lang w:val="en-US" w:eastAsia="zh-CN"/>
        </w:rPr>
      </w:pPr>
      <w:r>
        <w:rPr>
          <w:rFonts w:hint="eastAsia"/>
          <w:b/>
          <w:color w:val="auto"/>
          <w:sz w:val="24"/>
          <w:szCs w:val="21"/>
          <w:highlight w:val="none"/>
        </w:rPr>
        <w:br w:type="page"/>
      </w:r>
      <w:r>
        <w:rPr>
          <w:rFonts w:hint="eastAsia"/>
          <w:b/>
          <w:color w:val="auto"/>
          <w:sz w:val="24"/>
          <w:szCs w:val="21"/>
          <w:highlight w:val="none"/>
        </w:rPr>
        <w:t>合同</w:t>
      </w:r>
      <w:r>
        <w:rPr>
          <w:rFonts w:hint="eastAsia"/>
          <w:b/>
          <w:color w:val="auto"/>
          <w:sz w:val="24"/>
          <w:szCs w:val="21"/>
          <w:highlight w:val="none"/>
          <w:lang w:val="en-US" w:eastAsia="zh-CN"/>
        </w:rPr>
        <w:t>格式</w:t>
      </w:r>
      <w:r>
        <w:rPr>
          <w:rFonts w:hint="eastAsia"/>
          <w:b/>
          <w:color w:val="auto"/>
          <w:sz w:val="24"/>
          <w:szCs w:val="21"/>
          <w:highlight w:val="none"/>
        </w:rPr>
        <w:t>：</w:t>
      </w:r>
    </w:p>
    <w:p>
      <w:pPr>
        <w:spacing w:line="360" w:lineRule="auto"/>
        <w:jc w:val="center"/>
        <w:rPr>
          <w:rFonts w:hint="eastAsia"/>
          <w:b/>
          <w:color w:val="auto"/>
          <w:sz w:val="36"/>
          <w:highlight w:val="none"/>
          <w:lang w:val="en-US" w:eastAsia="zh-CN"/>
        </w:rPr>
      </w:pPr>
      <w:r>
        <w:rPr>
          <w:rFonts w:hint="eastAsia"/>
          <w:b/>
          <w:color w:val="auto"/>
          <w:sz w:val="36"/>
          <w:highlight w:val="none"/>
          <w:lang w:val="en-US" w:eastAsia="zh-CN"/>
        </w:rPr>
        <w:t>渝邻高速公路K1533+500-K1548+109段路面修复养护工程</w:t>
      </w:r>
    </w:p>
    <w:p>
      <w:pPr>
        <w:spacing w:line="360" w:lineRule="auto"/>
        <w:jc w:val="center"/>
        <w:rPr>
          <w:color w:val="auto"/>
          <w:highlight w:val="none"/>
        </w:rPr>
      </w:pPr>
      <w:r>
        <w:rPr>
          <w:rFonts w:hint="eastAsia"/>
          <w:b/>
          <w:color w:val="auto"/>
          <w:sz w:val="36"/>
          <w:highlight w:val="none"/>
          <w:lang w:val="en-US" w:eastAsia="zh-CN"/>
        </w:rPr>
        <w:t>沥青混合料加工</w:t>
      </w:r>
      <w:r>
        <w:rPr>
          <w:rFonts w:hint="eastAsia"/>
          <w:b/>
          <w:color w:val="auto"/>
          <w:sz w:val="36"/>
          <w:highlight w:val="none"/>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color w:val="auto"/>
          <w:sz w:val="24"/>
          <w:szCs w:val="24"/>
          <w:highlight w:val="none"/>
          <w:u w:val="single"/>
        </w:rPr>
      </w:pPr>
      <w:r>
        <w:rPr>
          <w:rFonts w:hint="eastAsia"/>
          <w:color w:val="auto"/>
          <w:sz w:val="24"/>
          <w:szCs w:val="24"/>
          <w:highlight w:val="none"/>
        </w:rPr>
        <w:t>甲方：</w:t>
      </w:r>
      <w:r>
        <w:rPr>
          <w:rFonts w:hint="eastAsia"/>
          <w:color w:val="auto"/>
          <w:sz w:val="24"/>
          <w:szCs w:val="24"/>
          <w:highlight w:val="none"/>
          <w:u w:val="single"/>
        </w:rPr>
        <w:t>重庆通力高速公路养护工程有限公司</w:t>
      </w:r>
    </w:p>
    <w:p>
      <w:pPr>
        <w:pStyle w:val="9"/>
        <w:rPr>
          <w:rFonts w:hint="default" w:eastAsia="宋体"/>
          <w:color w:val="auto"/>
          <w:highlight w:val="none"/>
          <w:u w:val="single"/>
          <w:lang w:val="en-US" w:eastAsia="zh-CN"/>
        </w:rPr>
      </w:pPr>
      <w:r>
        <w:rPr>
          <w:rFonts w:hint="eastAsia"/>
          <w:color w:val="auto"/>
          <w:sz w:val="24"/>
          <w:szCs w:val="24"/>
          <w:highlight w:val="none"/>
          <w:u w:val="none"/>
          <w:lang w:val="en-US" w:eastAsia="zh-CN"/>
        </w:rPr>
        <w:t>联系地址：</w:t>
      </w:r>
      <w:r>
        <w:rPr>
          <w:rFonts w:hint="eastAsia"/>
          <w:color w:val="auto"/>
          <w:sz w:val="24"/>
          <w:szCs w:val="24"/>
          <w:highlight w:val="none"/>
          <w:u w:val="single"/>
          <w:lang w:val="en-US" w:eastAsia="zh-CN"/>
        </w:rPr>
        <w:t>重庆市沙坪坝区梨高路4号</w:t>
      </w:r>
    </w:p>
    <w:p>
      <w:pPr>
        <w:pStyle w:val="9"/>
        <w:rPr>
          <w:rFonts w:hint="default" w:eastAsia="宋体"/>
          <w:color w:val="auto"/>
          <w:sz w:val="24"/>
          <w:szCs w:val="24"/>
          <w:highlight w:val="none"/>
          <w:u w:val="single"/>
          <w:lang w:val="en-US" w:eastAsia="zh-CN"/>
        </w:rPr>
      </w:pPr>
      <w:r>
        <w:rPr>
          <w:rFonts w:hint="eastAsia"/>
          <w:color w:val="auto"/>
          <w:sz w:val="24"/>
          <w:szCs w:val="24"/>
          <w:highlight w:val="none"/>
        </w:rPr>
        <w:t>乙方：</w:t>
      </w:r>
      <w:r>
        <w:rPr>
          <w:rFonts w:hint="eastAsia"/>
          <w:b w:val="0"/>
          <w:bCs w:val="0"/>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pPr>
        <w:spacing w:line="360" w:lineRule="exact"/>
        <w:textAlignment w:val="baseline"/>
        <w:rPr>
          <w:color w:val="auto"/>
          <w:szCs w:val="21"/>
          <w:highlight w:val="none"/>
        </w:rPr>
      </w:pPr>
      <w:r>
        <w:rPr>
          <w:rFonts w:hint="eastAsia"/>
          <w:color w:val="auto"/>
          <w:sz w:val="24"/>
          <w:szCs w:val="24"/>
          <w:highlight w:val="none"/>
          <w:u w:val="none"/>
          <w:lang w:val="en-US" w:eastAsia="zh-CN"/>
        </w:rPr>
        <w:t xml:space="preserve">联系地址：         </w:t>
      </w:r>
    </w:p>
    <w:p>
      <w:pPr>
        <w:spacing w:line="360" w:lineRule="exact"/>
        <w:ind w:firstLine="420" w:firstLineChars="200"/>
        <w:textAlignment w:val="baseline"/>
        <w:rPr>
          <w:color w:val="auto"/>
          <w:szCs w:val="21"/>
          <w:highlight w:val="none"/>
        </w:rPr>
      </w:pPr>
      <w:r>
        <w:rPr>
          <w:rFonts w:hint="eastAsia"/>
          <w:color w:val="auto"/>
          <w:szCs w:val="21"/>
          <w:highlight w:val="none"/>
        </w:rPr>
        <w:t>甲方因</w:t>
      </w:r>
      <w:r>
        <w:rPr>
          <w:rFonts w:hint="eastAsia"/>
          <w:color w:val="auto"/>
          <w:szCs w:val="21"/>
          <w:highlight w:val="none"/>
          <w:lang w:val="en-US" w:eastAsia="zh-CN"/>
        </w:rPr>
        <w:t>各项沥青路面维修工程施工</w:t>
      </w:r>
      <w:r>
        <w:rPr>
          <w:rFonts w:hint="eastAsia"/>
          <w:color w:val="auto"/>
          <w:szCs w:val="21"/>
          <w:highlight w:val="none"/>
        </w:rPr>
        <w:t>需要，</w:t>
      </w:r>
      <w:r>
        <w:rPr>
          <w:rFonts w:hint="eastAsia" w:ascii="宋体" w:hAnsi="宋体"/>
          <w:color w:val="auto"/>
          <w:szCs w:val="21"/>
          <w:highlight w:val="none"/>
        </w:rPr>
        <w:t>协议向乙方</w:t>
      </w:r>
      <w:r>
        <w:rPr>
          <w:rFonts w:hint="eastAsia" w:ascii="宋体" w:hAnsi="宋体"/>
          <w:color w:val="auto"/>
          <w:szCs w:val="21"/>
          <w:highlight w:val="none"/>
          <w:lang w:val="en-US" w:eastAsia="zh-CN"/>
        </w:rPr>
        <w:t>加工沥青混合料材料</w:t>
      </w:r>
      <w:r>
        <w:rPr>
          <w:rFonts w:hint="eastAsia" w:ascii="宋体" w:hAnsi="宋体"/>
          <w:color w:val="auto"/>
          <w:szCs w:val="21"/>
          <w:highlight w:val="none"/>
        </w:rPr>
        <w:t>；依照《中华人民共和国合同法》及其他有关法律、行政法规，</w:t>
      </w:r>
      <w:r>
        <w:rPr>
          <w:rFonts w:hint="eastAsia"/>
          <w:color w:val="auto"/>
          <w:szCs w:val="21"/>
          <w:highlight w:val="none"/>
        </w:rPr>
        <w:t>双方在</w:t>
      </w:r>
      <w:r>
        <w:rPr>
          <w:rFonts w:hint="eastAsia" w:ascii="宋体" w:hAnsi="宋体"/>
          <w:color w:val="auto"/>
          <w:szCs w:val="21"/>
          <w:highlight w:val="none"/>
        </w:rPr>
        <w:t>遵循平等、自愿、公平和诚实守信原则的基础上，</w:t>
      </w:r>
      <w:r>
        <w:rPr>
          <w:rFonts w:hint="eastAsia"/>
          <w:color w:val="auto"/>
          <w:szCs w:val="21"/>
          <w:highlight w:val="none"/>
        </w:rPr>
        <w:t>经共同协商，达成一致意见，特签订本合同：</w:t>
      </w:r>
    </w:p>
    <w:tbl>
      <w:tblPr>
        <w:tblStyle w:val="19"/>
        <w:tblpPr w:leftFromText="180" w:rightFromText="180" w:vertAnchor="text" w:horzAnchor="page" w:tblpX="1046" w:tblpY="455"/>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9"/>
        <w:gridCol w:w="1280"/>
        <w:gridCol w:w="1982"/>
        <w:gridCol w:w="1433"/>
        <w:gridCol w:w="697"/>
        <w:gridCol w:w="1272"/>
        <w:gridCol w:w="1379"/>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0" w:hRule="atLeast"/>
        </w:trPr>
        <w:tc>
          <w:tcPr>
            <w:tcW w:w="10109" w:type="dxa"/>
            <w:gridSpan w:val="8"/>
            <w:tcBorders>
              <w:tl2br w:val="nil"/>
              <w:tr2bl w:val="nil"/>
            </w:tcBorders>
            <w:noWrap w:val="0"/>
            <w:vAlign w:val="center"/>
          </w:tcPr>
          <w:p>
            <w:pPr>
              <w:pStyle w:val="27"/>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货币单位: 人民币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0"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8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工程位置</w:t>
            </w: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产品规格型号</w:t>
            </w:r>
          </w:p>
        </w:tc>
        <w:tc>
          <w:tcPr>
            <w:tcW w:w="1433" w:type="dxa"/>
            <w:tcBorders>
              <w:tl2br w:val="nil"/>
              <w:tr2bl w:val="nil"/>
            </w:tcBorders>
            <w:noWrap w:val="0"/>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石材要求</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27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暂定数量</w:t>
            </w:r>
          </w:p>
        </w:tc>
        <w:tc>
          <w:tcPr>
            <w:tcW w:w="137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出场单价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（元/吨）</w:t>
            </w:r>
          </w:p>
        </w:tc>
        <w:tc>
          <w:tcPr>
            <w:tcW w:w="12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kern w:val="0"/>
                <w:sz w:val="21"/>
                <w:szCs w:val="21"/>
                <w:highlight w:val="none"/>
                <w:u w:val="none"/>
                <w:lang w:val="en-US" w:eastAsia="zh-CN" w:bidi="ar"/>
              </w:rPr>
              <w:t>重庆渝邻高速公路沿线</w:t>
            </w: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SMA-13</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玄武岩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10000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280" w:type="dxa"/>
            <w:vMerge w:val="continue"/>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SMA-13（含阻燃剂）</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玄武岩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300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80" w:type="dxa"/>
            <w:vMerge w:val="continue"/>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石灰岩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22000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80" w:type="dxa"/>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9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43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sz w:val="21"/>
                <w:szCs w:val="21"/>
                <w:highlight w:val="none"/>
                <w:u w:val="none"/>
                <w:lang w:val="en-US" w:eastAsia="zh-CN"/>
              </w:rPr>
              <w:t>铣刨料/石灰岩</w:t>
            </w:r>
          </w:p>
        </w:tc>
        <w:tc>
          <w:tcPr>
            <w:tcW w:w="69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吨</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9300</w:t>
            </w:r>
          </w:p>
        </w:tc>
        <w:tc>
          <w:tcPr>
            <w:tcW w:w="1379"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67"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0" w:hRule="atLeast"/>
        </w:trPr>
        <w:tc>
          <w:tcPr>
            <w:tcW w:w="799" w:type="dxa"/>
            <w:tcBorders>
              <w:tl2br w:val="nil"/>
              <w:tr2bl w:val="nil"/>
            </w:tcBorders>
            <w:noWrap w:val="0"/>
            <w:vAlign w:val="center"/>
          </w:tcPr>
          <w:p>
            <w:pPr>
              <w:keepNext w:val="0"/>
              <w:keepLines w:val="0"/>
              <w:widowControl/>
              <w:suppressLineNumbers w:val="0"/>
              <w:jc w:val="center"/>
              <w:textAlignment w:val="center"/>
              <w:rPr>
                <w:rFonts w:hint="eastAsia" w:eastAsia="宋体"/>
                <w:color w:val="auto"/>
                <w:highlight w:val="none"/>
                <w:lang w:val="en-US" w:eastAsia="zh-CN"/>
              </w:rPr>
            </w:pPr>
            <w:r>
              <w:rPr>
                <w:rFonts w:hint="eastAsia"/>
                <w:color w:val="auto"/>
                <w:highlight w:val="none"/>
                <w:lang w:val="en-US" w:eastAsia="zh-CN"/>
              </w:rPr>
              <w:t>4</w:t>
            </w:r>
          </w:p>
        </w:tc>
        <w:tc>
          <w:tcPr>
            <w:tcW w:w="5392"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  计</w:t>
            </w:r>
          </w:p>
        </w:tc>
        <w:tc>
          <w:tcPr>
            <w:tcW w:w="1272"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i w:val="0"/>
                <w:iCs w:val="0"/>
                <w:color w:val="auto"/>
                <w:sz w:val="21"/>
                <w:szCs w:val="21"/>
                <w:highlight w:val="none"/>
                <w:u w:val="none"/>
                <w:lang w:val="en-US" w:eastAsia="zh-CN"/>
              </w:rPr>
              <w:t>41600</w:t>
            </w:r>
          </w:p>
        </w:tc>
        <w:tc>
          <w:tcPr>
            <w:tcW w:w="137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2" w:hRule="atLeast"/>
        </w:trPr>
        <w:tc>
          <w:tcPr>
            <w:tcW w:w="10109" w:type="dxa"/>
            <w:gridSpan w:val="8"/>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本项目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甲方提供沥青材料，SMA-13（玄武岩）除沥青、玄武岩、木质素纤维材料、铣刨料（添加比例20%~30%）外的所有材料（包括粗细集料、填料等）及燃料、机械设备、人工等均由乙方提供。AC-20（石灰岩）除沥青材料外的所有材料（包括粗细集料、填料等）及燃料、机械设备、人工等均由乙方提供。AC-20（厂拌热再生）除沥青、铣刨料材料外的所有材料（包括粗细集料、填料等）及燃料、机械设备、人工等均由乙方提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3、工程量清单中所列工程数量为暂定数量，不能作为最终结算与支付的依据，最终数量以甲方代表确认的实际生产的合格数量为准。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4、甲方组织沥青混合料运输。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5、增值税税率为13%。</w:t>
            </w:r>
          </w:p>
        </w:tc>
      </w:tr>
    </w:tbl>
    <w:p>
      <w:pPr>
        <w:spacing w:line="360" w:lineRule="exact"/>
        <w:jc w:val="left"/>
        <w:textAlignment w:val="baseline"/>
        <w:rPr>
          <w:rFonts w:hint="eastAsia"/>
          <w:color w:val="auto"/>
          <w:szCs w:val="21"/>
          <w:highlight w:val="none"/>
        </w:rPr>
      </w:pPr>
      <w:r>
        <w:rPr>
          <w:rFonts w:hint="eastAsia"/>
          <w:b/>
          <w:color w:val="auto"/>
          <w:sz w:val="24"/>
          <w:szCs w:val="24"/>
          <w:highlight w:val="none"/>
        </w:rPr>
        <w:t>一、产品名称、型号、数量、金额</w:t>
      </w:r>
      <w:r>
        <w:rPr>
          <w:rFonts w:hint="eastAsia"/>
          <w:color w:val="auto"/>
          <w:szCs w:val="21"/>
          <w:highlight w:val="none"/>
          <w:lang w:val="en-US" w:eastAsia="zh-CN"/>
        </w:rPr>
        <w:t xml:space="preserve">                                 </w:t>
      </w:r>
    </w:p>
    <w:p>
      <w:pPr>
        <w:spacing w:line="400" w:lineRule="atLeast"/>
        <w:jc w:val="left"/>
        <w:textAlignment w:val="baseline"/>
        <w:rPr>
          <w:rFonts w:hint="eastAsia" w:ascii="方正仿宋_GBK" w:hAnsi="宋体" w:eastAsia="方正仿宋_GBK"/>
          <w:color w:val="auto"/>
          <w:szCs w:val="21"/>
          <w:highlight w:val="none"/>
        </w:rPr>
      </w:pPr>
      <w:r>
        <w:rPr>
          <w:rFonts w:hint="eastAsia" w:ascii="方正仿宋_GBK" w:hAnsi="宋体" w:eastAsia="方正仿宋_GBK"/>
          <w:color w:val="auto"/>
          <w:szCs w:val="21"/>
          <w:highlight w:val="none"/>
        </w:rPr>
        <w:t>（本合同为综合单价合同，具体数量以甲方代表确认的实际到货合格数量为准）</w:t>
      </w:r>
    </w:p>
    <w:p>
      <w:pPr>
        <w:spacing w:line="360" w:lineRule="auto"/>
        <w:ind w:firstLine="0" w:firstLineChars="0"/>
        <w:rPr>
          <w:b/>
          <w:color w:val="auto"/>
          <w:sz w:val="24"/>
          <w:szCs w:val="24"/>
          <w:highlight w:val="none"/>
        </w:rPr>
      </w:pPr>
      <w:r>
        <w:rPr>
          <w:rFonts w:hint="eastAsia"/>
          <w:b/>
          <w:color w:val="auto"/>
          <w:sz w:val="24"/>
          <w:szCs w:val="24"/>
          <w:highlight w:val="none"/>
        </w:rPr>
        <w:t>二、质量要求、技术标准</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1、设备要求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（1）搅拌设备各大系统均应处于完好状态，搅拌设备计量系统及站内其他称重计量系统均应在有效的标定期内。</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（2）拌和设备每小时产量不低于200吨。</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（3）拌和站操作室必须配备逐盘打印机，生产期间必须进行逐盘打印。</w:t>
      </w:r>
    </w:p>
    <w:p>
      <w:pPr>
        <w:pStyle w:val="27"/>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（4）过磅设备的称重系统、自动打印系统完好，磅单为四联单。</w:t>
      </w:r>
    </w:p>
    <w:p>
      <w:pPr>
        <w:pStyle w:val="27"/>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（5）乙方提供3个标配沥青罐（每个沥青罐容量≥50吨）供甲方使用。</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2、材料要求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（1）乙方提供的粗、细集料、填料等原材料须满足JTG F40—2004《公路沥青路面施工技术规范》及本项目设计文件对原材料的相关要求，其中粗细集料及矿粉的质量技术指标如下：</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沥青混合料用粗集料质量技术要求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3"/>
        <w:gridCol w:w="1424"/>
        <w:gridCol w:w="1514"/>
        <w:gridCol w:w="3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石料</w:t>
            </w:r>
            <w:r>
              <w:rPr>
                <w:rFonts w:hint="default" w:ascii="Times New Roman" w:hAnsi="Times New Roman" w:eastAsia="宋体" w:cs="Times New Roman"/>
                <w:color w:val="auto"/>
                <w:sz w:val="21"/>
                <w:szCs w:val="21"/>
                <w:highlight w:val="none"/>
                <w:vertAlign w:val="baseline"/>
                <w:lang w:val="en-US" w:eastAsia="zh-CN"/>
              </w:rPr>
              <w:t>压碎值</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洛杉矶磨耗损失</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吸水率，不大于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坚固性</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针片状颗粒含量</w:t>
            </w:r>
            <w:r>
              <w:rPr>
                <w:rFonts w:hint="eastAsia" w:ascii="Times New Roman" w:hAnsi="Times New Roman" w:eastAsia="宋体" w:cs="Times New Roman"/>
                <w:color w:val="auto"/>
                <w:sz w:val="21"/>
                <w:szCs w:val="21"/>
                <w:highlight w:val="none"/>
                <w:vertAlign w:val="baseline"/>
                <w:lang w:val="en-US" w:eastAsia="zh-CN"/>
              </w:rPr>
              <w:t>（混合料），</w:t>
            </w:r>
            <w:r>
              <w:rPr>
                <w:rFonts w:hint="default" w:ascii="Times New Roman" w:hAnsi="Times New Roman" w:eastAsia="宋体" w:cs="Times New Roman"/>
                <w:color w:val="auto"/>
                <w:sz w:val="21"/>
                <w:szCs w:val="21"/>
                <w:highlight w:val="none"/>
                <w:vertAlign w:val="baseline"/>
                <w:lang w:val="en-US" w:eastAsia="zh-CN"/>
              </w:rPr>
              <w:t>不大</w:t>
            </w:r>
            <w:r>
              <w:rPr>
                <w:rFonts w:hint="eastAsia" w:ascii="Times New Roman" w:hAnsi="Times New Roman" w:eastAsia="宋体" w:cs="Times New Roman"/>
                <w:color w:val="auto"/>
                <w:sz w:val="21"/>
                <w:szCs w:val="21"/>
                <w:highlight w:val="none"/>
                <w:vertAlign w:val="baseline"/>
                <w:lang w:val="en-US" w:eastAsia="zh-CN"/>
              </w:rPr>
              <w:t>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水洗法&lt;0.075mm 颗粒含量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软石含量</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不大于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0320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沥青混合料用细集料质量技术要求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3"/>
        <w:gridCol w:w="1514"/>
        <w:gridCol w:w="3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含泥量（小于 0.075mm 颗粒含量）</w:t>
            </w:r>
            <w:r>
              <w:rPr>
                <w:rFonts w:hint="eastAsia" w:ascii="Times New Roman" w:hAnsi="Times New Roman" w:eastAsia="宋体" w:cs="Times New Roman"/>
                <w:color w:val="auto"/>
                <w:sz w:val="21"/>
                <w:szCs w:val="21"/>
                <w:highlight w:val="none"/>
                <w:vertAlign w:val="baseline"/>
                <w:lang w:val="en-US" w:eastAsia="zh-CN"/>
              </w:rPr>
              <w:t>，不大于</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top"/>
          </w:tcPr>
          <w:p>
            <w:pPr>
              <w:pStyle w:val="27"/>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砂当量（%）</w:t>
            </w:r>
            <w:r>
              <w:rPr>
                <w:rFonts w:hint="eastAsia" w:ascii="Times New Roman" w:hAnsi="Times New Roman" w:eastAsia="宋体" w:cs="Times New Roman"/>
                <w:color w:val="auto"/>
                <w:sz w:val="21"/>
                <w:szCs w:val="21"/>
                <w:highlight w:val="none"/>
                <w:vertAlign w:val="baseline"/>
                <w:lang w:val="en-US" w:eastAsia="zh-CN"/>
              </w:rPr>
              <w:t>，不小于</w:t>
            </w:r>
          </w:p>
        </w:tc>
        <w:tc>
          <w:tcPr>
            <w:tcW w:w="142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31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0310</w:t>
            </w:r>
          </w:p>
        </w:tc>
      </w:tr>
    </w:tbl>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沥青混合料用矿粉质量技术要求</w:t>
      </w:r>
    </w:p>
    <w:tbl>
      <w:tblPr>
        <w:tblStyle w:val="20"/>
        <w:tblpPr w:leftFromText="180" w:rightFromText="180" w:vertAnchor="text" w:horzAnchor="page" w:tblpX="1122" w:tblpY="29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1"/>
        <w:gridCol w:w="1424"/>
        <w:gridCol w:w="1514"/>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指标</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单位</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技术要求</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试验方法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表观相对密度</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 xml:space="preserve">不小于  </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t/m³</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2.45</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含水量，不大于</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w:t>
            </w:r>
            <w:r>
              <w:rPr>
                <w:rFonts w:hint="eastAsia" w:ascii="Times New Roman" w:hAnsi="Times New Roman" w:eastAsia="宋体" w:cs="Times New Roman"/>
                <w:color w:val="auto"/>
                <w:sz w:val="21"/>
                <w:szCs w:val="21"/>
                <w:highlight w:val="none"/>
                <w:vertAlign w:val="baseline"/>
                <w:lang w:val="en-US" w:eastAsia="zh-CN"/>
              </w:rPr>
              <w:t>103 烘干法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粒度范围＜0.6mm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粒度范围＜0.15mm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33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粒度范围＜0.075mm</w:t>
            </w:r>
          </w:p>
        </w:tc>
        <w:tc>
          <w:tcPr>
            <w:tcW w:w="142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514"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100</w:t>
            </w:r>
          </w:p>
        </w:tc>
        <w:tc>
          <w:tcPr>
            <w:tcW w:w="3118"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w:t>
            </w:r>
            <w:r>
              <w:rPr>
                <w:rFonts w:hint="eastAsia"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lang w:val="en-US" w:eastAsia="zh-CN"/>
              </w:rPr>
              <w:t>03</w:t>
            </w:r>
            <w:r>
              <w:rPr>
                <w:rFonts w:hint="eastAsia" w:ascii="Times New Roman" w:hAnsi="Times New Roman" w:eastAsia="宋体" w:cs="Times New Roman"/>
                <w:color w:val="auto"/>
                <w:sz w:val="21"/>
                <w:szCs w:val="21"/>
                <w:highlight w:val="none"/>
                <w:vertAlign w:val="baseline"/>
                <w:lang w:val="en-US" w:eastAsia="zh-CN"/>
              </w:rPr>
              <w:t>51</w:t>
            </w:r>
          </w:p>
        </w:tc>
      </w:tr>
    </w:tbl>
    <w:p>
      <w:pPr>
        <w:pStyle w:val="27"/>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（2）乙方提供的进场原材料须经甲方质检并认可的厂家提供，原则上生产期间不得更换原材料供应商；如确因客观原因乙方需中途更换原材料供应商，须经甲方质检认可后方可更换。</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3、加工质量要求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（1）乙方对整个沥青混合料的生产质量负责，成品质量检验不低于（JTG F40-2004）公路沥青路面施工技术规范》、JTG E20-2011）《公路工程沥青及沥青混合料试验规程》要求。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（2）乙方加工生产的沥青混合料严禁使用回收矿粉，否则视为不合格材料。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（3）乙方加工生产的沥青混合料出厂温度必须经甲方现场代表签字认可，否则视为不合格材料。</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4、加工进度要求</w:t>
      </w:r>
    </w:p>
    <w:p>
      <w:pPr>
        <w:pStyle w:val="27"/>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乙方应按甲方沥青混合料生产进度要求按时完成生产任务。如确因其他工程项目施工需要，乙方应于实施前一个月与甲方协商，协调生产作业时间，并优先保障甲方所需的沥青混合料生产。</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5、场地要求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（1）乙方拌和</w:t>
      </w:r>
      <w:r>
        <w:rPr>
          <w:rFonts w:hint="default" w:ascii="宋体" w:hAnsi="宋体" w:eastAsia="宋体" w:cs="宋体"/>
          <w:b w:val="0"/>
          <w:bCs w:val="0"/>
          <w:color w:val="auto"/>
          <w:kern w:val="2"/>
          <w:sz w:val="24"/>
          <w:szCs w:val="24"/>
          <w:highlight w:val="none"/>
          <w:lang w:val="en-US" w:eastAsia="zh-CN" w:bidi="ar-SA"/>
        </w:rPr>
        <w:t>站场地应满足重庆市标准化施工作业要求，如不满足</w:t>
      </w:r>
      <w:r>
        <w:rPr>
          <w:rFonts w:hint="eastAsia" w:ascii="宋体" w:hAnsi="宋体" w:eastAsia="宋体" w:cs="宋体"/>
          <w:b w:val="0"/>
          <w:bCs w:val="0"/>
          <w:color w:val="auto"/>
          <w:kern w:val="2"/>
          <w:sz w:val="24"/>
          <w:szCs w:val="24"/>
          <w:highlight w:val="none"/>
          <w:lang w:val="en-US" w:eastAsia="zh-CN" w:bidi="ar-SA"/>
        </w:rPr>
        <w:t>乙方</w:t>
      </w:r>
      <w:r>
        <w:rPr>
          <w:rFonts w:hint="default" w:ascii="宋体" w:hAnsi="宋体" w:eastAsia="宋体" w:cs="宋体"/>
          <w:b w:val="0"/>
          <w:bCs w:val="0"/>
          <w:color w:val="auto"/>
          <w:kern w:val="2"/>
          <w:sz w:val="24"/>
          <w:szCs w:val="24"/>
          <w:highlight w:val="none"/>
          <w:lang w:val="en-US" w:eastAsia="zh-CN" w:bidi="ar-SA"/>
        </w:rPr>
        <w:t>须无条件按</w:t>
      </w:r>
      <w:r>
        <w:rPr>
          <w:rFonts w:hint="eastAsia" w:ascii="宋体" w:hAnsi="宋体" w:eastAsia="宋体" w:cs="宋体"/>
          <w:b w:val="0"/>
          <w:bCs w:val="0"/>
          <w:color w:val="auto"/>
          <w:kern w:val="2"/>
          <w:sz w:val="24"/>
          <w:szCs w:val="24"/>
          <w:highlight w:val="none"/>
          <w:lang w:val="en-US" w:eastAsia="zh-CN" w:bidi="ar-SA"/>
        </w:rPr>
        <w:t>甲方</w:t>
      </w:r>
      <w:r>
        <w:rPr>
          <w:rFonts w:hint="default" w:ascii="宋体" w:hAnsi="宋体" w:eastAsia="宋体" w:cs="宋体"/>
          <w:b w:val="0"/>
          <w:bCs w:val="0"/>
          <w:color w:val="auto"/>
          <w:kern w:val="2"/>
          <w:sz w:val="24"/>
          <w:szCs w:val="24"/>
          <w:highlight w:val="none"/>
          <w:lang w:val="en-US" w:eastAsia="zh-CN" w:bidi="ar-SA"/>
        </w:rPr>
        <w:t>要求及时进行整改（如：场地必须硬化处理、原材料堆料仓应有不低于1.5米的隔离设施、细集料应有彩钢雨棚等防雨设施等）</w:t>
      </w:r>
      <w:r>
        <w:rPr>
          <w:rFonts w:hint="eastAsia" w:ascii="宋体" w:hAnsi="宋体" w:eastAsia="宋体" w:cs="宋体"/>
          <w:b w:val="0"/>
          <w:bCs w:val="0"/>
          <w:color w:val="auto"/>
          <w:kern w:val="2"/>
          <w:sz w:val="24"/>
          <w:szCs w:val="24"/>
          <w:highlight w:val="none"/>
          <w:lang w:val="en-US" w:eastAsia="zh-CN" w:bidi="ar-SA"/>
        </w:rPr>
        <w:t>。乙方应配合甲方根据质监部门、建设单位、监理单位的相关指令完善整改拌合站的场地、设施等。</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（2）冷料仓的数量满足配合比需要，且不少于5个。</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（3）乙方需在拌和站内为甲方提供1间实验室用房。</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6、人员要求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生产期间，</w:t>
      </w:r>
      <w:r>
        <w:rPr>
          <w:rFonts w:hint="eastAsia" w:ascii="宋体" w:hAnsi="宋体" w:eastAsia="宋体" w:cs="宋体"/>
          <w:b w:val="0"/>
          <w:bCs w:val="0"/>
          <w:color w:val="auto"/>
          <w:kern w:val="2"/>
          <w:sz w:val="24"/>
          <w:szCs w:val="24"/>
          <w:highlight w:val="none"/>
          <w:lang w:val="en-US" w:eastAsia="zh-CN" w:bidi="ar-SA"/>
        </w:rPr>
        <w:t>乙方需</w:t>
      </w:r>
      <w:r>
        <w:rPr>
          <w:rFonts w:hint="default" w:ascii="宋体" w:hAnsi="宋体" w:eastAsia="宋体" w:cs="宋体"/>
          <w:b w:val="0"/>
          <w:bCs w:val="0"/>
          <w:color w:val="auto"/>
          <w:kern w:val="2"/>
          <w:sz w:val="24"/>
          <w:szCs w:val="24"/>
          <w:highlight w:val="none"/>
          <w:lang w:val="en-US" w:eastAsia="zh-CN" w:bidi="ar-SA"/>
        </w:rPr>
        <w:t>配备</w:t>
      </w:r>
      <w:r>
        <w:rPr>
          <w:rFonts w:hint="eastAsia" w:ascii="宋体" w:hAnsi="宋体" w:eastAsia="宋体" w:cs="宋体"/>
          <w:b w:val="0"/>
          <w:bCs w:val="0"/>
          <w:color w:val="auto"/>
          <w:kern w:val="2"/>
          <w:sz w:val="24"/>
          <w:szCs w:val="24"/>
          <w:highlight w:val="none"/>
          <w:lang w:val="en-US" w:eastAsia="zh-CN" w:bidi="ar-SA"/>
        </w:rPr>
        <w:t>满足生产所需的</w:t>
      </w:r>
      <w:r>
        <w:rPr>
          <w:rFonts w:hint="default" w:ascii="宋体" w:hAnsi="宋体" w:eastAsia="宋体" w:cs="宋体"/>
          <w:b w:val="0"/>
          <w:bCs w:val="0"/>
          <w:color w:val="auto"/>
          <w:kern w:val="2"/>
          <w:sz w:val="24"/>
          <w:szCs w:val="24"/>
          <w:highlight w:val="none"/>
          <w:lang w:val="en-US" w:eastAsia="zh-CN" w:bidi="ar-SA"/>
        </w:rPr>
        <w:t>拌合设备操作人</w:t>
      </w:r>
      <w:r>
        <w:rPr>
          <w:rFonts w:hint="eastAsia" w:ascii="宋体" w:hAnsi="宋体" w:eastAsia="宋体" w:cs="宋体"/>
          <w:b w:val="0"/>
          <w:bCs w:val="0"/>
          <w:color w:val="auto"/>
          <w:kern w:val="2"/>
          <w:sz w:val="24"/>
          <w:szCs w:val="24"/>
          <w:highlight w:val="none"/>
          <w:lang w:val="en-US" w:eastAsia="zh-CN" w:bidi="ar-SA"/>
        </w:rPr>
        <w:t>员</w:t>
      </w:r>
      <w:r>
        <w:rPr>
          <w:rFonts w:hint="default" w:ascii="宋体" w:hAnsi="宋体" w:eastAsia="宋体" w:cs="宋体"/>
          <w:b w:val="0"/>
          <w:bCs w:val="0"/>
          <w:color w:val="auto"/>
          <w:kern w:val="2"/>
          <w:sz w:val="24"/>
          <w:szCs w:val="24"/>
          <w:highlight w:val="none"/>
          <w:lang w:val="en-US" w:eastAsia="zh-CN" w:bidi="ar-SA"/>
        </w:rPr>
        <w:t>、设备维修人员及生产辅助人员，并确保设备维修保养及时，中途发生故障，确保在24小时内修复</w:t>
      </w:r>
      <w:r>
        <w:rPr>
          <w:rFonts w:hint="eastAsia" w:ascii="宋体" w:hAnsi="宋体" w:eastAsia="宋体" w:cs="宋体"/>
          <w:b w:val="0"/>
          <w:bCs w:val="0"/>
          <w:color w:val="auto"/>
          <w:kern w:val="2"/>
          <w:sz w:val="24"/>
          <w:szCs w:val="24"/>
          <w:highlight w:val="none"/>
          <w:lang w:val="en-US" w:eastAsia="zh-CN" w:bidi="ar-SA"/>
        </w:rPr>
        <w:t>。</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7、环保、消防、安全要求</w:t>
      </w:r>
    </w:p>
    <w:p>
      <w:pPr>
        <w:pStyle w:val="27"/>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乙方拌和站的设置必须符合国家有关环境保护、消防、安全等相关规定，不得因环保、消防、安全等问题影响甲方沥青混合料的生产加工，如因环保、消防及安全问题影响甲方沥青混合料正常生产，按违约处理。</w:t>
      </w:r>
    </w:p>
    <w:p>
      <w:pPr>
        <w:spacing w:line="360" w:lineRule="auto"/>
        <w:rPr>
          <w:b/>
          <w:color w:val="auto"/>
          <w:sz w:val="24"/>
          <w:szCs w:val="24"/>
          <w:highlight w:val="none"/>
        </w:rPr>
      </w:pPr>
      <w:r>
        <w:rPr>
          <w:rFonts w:hint="eastAsia"/>
          <w:b/>
          <w:color w:val="auto"/>
          <w:sz w:val="24"/>
          <w:szCs w:val="24"/>
          <w:highlight w:val="none"/>
        </w:rPr>
        <w:t>三、交（提）货地点、方式</w:t>
      </w:r>
    </w:p>
    <w:p>
      <w:pPr>
        <w:spacing w:line="480" w:lineRule="exact"/>
        <w:ind w:firstLine="480" w:firstLineChars="200"/>
        <w:textAlignment w:val="baseline"/>
        <w:rPr>
          <w:rFonts w:hint="eastAsia" w:eastAsia="宋体"/>
          <w:color w:val="auto"/>
          <w:sz w:val="24"/>
          <w:szCs w:val="24"/>
          <w:highlight w:val="none"/>
          <w:lang w:val="en-US" w:eastAsia="zh-CN"/>
        </w:rPr>
      </w:pPr>
      <w:r>
        <w:rPr>
          <w:rFonts w:hint="eastAsia"/>
          <w:color w:val="auto"/>
          <w:sz w:val="24"/>
          <w:szCs w:val="24"/>
          <w:highlight w:val="none"/>
        </w:rPr>
        <w:t>1、材料由</w:t>
      </w:r>
      <w:r>
        <w:rPr>
          <w:rFonts w:hint="eastAsia"/>
          <w:color w:val="auto"/>
          <w:sz w:val="24"/>
          <w:szCs w:val="24"/>
          <w:highlight w:val="none"/>
          <w:lang w:val="en-US" w:eastAsia="zh-CN"/>
        </w:rPr>
        <w:t>甲方</w:t>
      </w:r>
      <w:r>
        <w:rPr>
          <w:rFonts w:hint="eastAsia"/>
          <w:color w:val="auto"/>
          <w:sz w:val="24"/>
          <w:szCs w:val="24"/>
          <w:highlight w:val="none"/>
        </w:rPr>
        <w:t>以汽车</w:t>
      </w:r>
      <w:r>
        <w:rPr>
          <w:rFonts w:hint="eastAsia"/>
          <w:color w:val="auto"/>
          <w:sz w:val="24"/>
          <w:szCs w:val="24"/>
          <w:highlight w:val="none"/>
          <w:lang w:val="en-US" w:eastAsia="zh-CN"/>
        </w:rPr>
        <w:t>运输。</w:t>
      </w:r>
    </w:p>
    <w:p>
      <w:pPr>
        <w:spacing w:line="480" w:lineRule="exact"/>
        <w:textAlignment w:val="baseline"/>
        <w:rPr>
          <w:rFonts w:hint="eastAsia"/>
          <w:color w:val="auto"/>
          <w:sz w:val="24"/>
          <w:szCs w:val="24"/>
          <w:highlight w:val="none"/>
        </w:rPr>
      </w:pPr>
      <w:r>
        <w:rPr>
          <w:rFonts w:hint="eastAsia"/>
          <w:color w:val="auto"/>
          <w:sz w:val="24"/>
          <w:szCs w:val="24"/>
          <w:highlight w:val="none"/>
          <w:lang w:val="en-US" w:eastAsia="zh-CN"/>
        </w:rPr>
        <w:t xml:space="preserve">    2、</w:t>
      </w:r>
      <w:r>
        <w:rPr>
          <w:rFonts w:hint="eastAsia"/>
          <w:color w:val="auto"/>
          <w:sz w:val="24"/>
          <w:szCs w:val="24"/>
          <w:highlight w:val="none"/>
        </w:rPr>
        <w:t>甲方根据需求，以短信通知、书面通知的方式通知乙方</w:t>
      </w:r>
      <w:r>
        <w:rPr>
          <w:rFonts w:hint="eastAsia"/>
          <w:color w:val="auto"/>
          <w:sz w:val="24"/>
          <w:szCs w:val="24"/>
          <w:highlight w:val="none"/>
          <w:lang w:val="en-US" w:eastAsia="zh-CN"/>
        </w:rPr>
        <w:t>加工</w:t>
      </w:r>
      <w:r>
        <w:rPr>
          <w:rFonts w:hint="eastAsia"/>
          <w:color w:val="auto"/>
          <w:sz w:val="24"/>
          <w:szCs w:val="24"/>
          <w:highlight w:val="none"/>
        </w:rPr>
        <w:t>，乙方在接到甲方通知之日起 1 日内完成备货及</w:t>
      </w:r>
      <w:r>
        <w:rPr>
          <w:rFonts w:hint="eastAsia"/>
          <w:color w:val="auto"/>
          <w:sz w:val="24"/>
          <w:szCs w:val="24"/>
          <w:highlight w:val="none"/>
          <w:lang w:val="en-US" w:eastAsia="zh-CN"/>
        </w:rPr>
        <w:t>设备整备</w:t>
      </w:r>
      <w:r>
        <w:rPr>
          <w:rFonts w:hint="eastAsia"/>
          <w:color w:val="auto"/>
          <w:sz w:val="24"/>
          <w:szCs w:val="24"/>
          <w:highlight w:val="none"/>
        </w:rPr>
        <w:t>工作，保证按时</w:t>
      </w:r>
      <w:r>
        <w:rPr>
          <w:rFonts w:hint="eastAsia"/>
          <w:color w:val="auto"/>
          <w:sz w:val="24"/>
          <w:szCs w:val="24"/>
          <w:highlight w:val="none"/>
          <w:lang w:val="en-US" w:eastAsia="zh-CN"/>
        </w:rPr>
        <w:t>加工</w:t>
      </w:r>
      <w:r>
        <w:rPr>
          <w:rFonts w:hint="eastAsia"/>
          <w:color w:val="auto"/>
          <w:sz w:val="24"/>
          <w:szCs w:val="24"/>
          <w:highlight w:val="none"/>
        </w:rPr>
        <w:t>。乙方</w:t>
      </w:r>
      <w:r>
        <w:rPr>
          <w:rFonts w:hint="eastAsia"/>
          <w:color w:val="auto"/>
          <w:sz w:val="24"/>
          <w:szCs w:val="24"/>
          <w:highlight w:val="none"/>
          <w:lang w:val="en-US" w:eastAsia="zh-CN"/>
        </w:rPr>
        <w:t>加工</w:t>
      </w:r>
      <w:r>
        <w:rPr>
          <w:rFonts w:hint="eastAsia"/>
          <w:color w:val="auto"/>
          <w:sz w:val="24"/>
          <w:szCs w:val="24"/>
          <w:highlight w:val="none"/>
        </w:rPr>
        <w:t>，应提供</w:t>
      </w:r>
      <w:r>
        <w:rPr>
          <w:rFonts w:hint="eastAsia"/>
          <w:color w:val="auto"/>
          <w:sz w:val="24"/>
          <w:szCs w:val="24"/>
          <w:highlight w:val="none"/>
          <w:lang w:val="en-US" w:eastAsia="zh-CN"/>
        </w:rPr>
        <w:t>加工</w:t>
      </w:r>
      <w:r>
        <w:rPr>
          <w:rFonts w:hint="eastAsia"/>
          <w:color w:val="auto"/>
          <w:sz w:val="24"/>
          <w:szCs w:val="24"/>
          <w:highlight w:val="none"/>
        </w:rPr>
        <w:t>单据</w:t>
      </w:r>
      <w:r>
        <w:rPr>
          <w:rFonts w:hint="eastAsia"/>
          <w:color w:val="auto"/>
          <w:sz w:val="24"/>
          <w:szCs w:val="24"/>
          <w:highlight w:val="none"/>
          <w:lang w:eastAsia="zh-CN"/>
        </w:rPr>
        <w:t>（</w:t>
      </w:r>
      <w:r>
        <w:rPr>
          <w:rFonts w:hint="eastAsia"/>
          <w:color w:val="auto"/>
          <w:sz w:val="24"/>
          <w:szCs w:val="24"/>
          <w:highlight w:val="none"/>
          <w:lang w:val="en-US" w:eastAsia="zh-CN"/>
        </w:rPr>
        <w:t>机打磅单</w:t>
      </w:r>
      <w:r>
        <w:rPr>
          <w:rFonts w:hint="eastAsia"/>
          <w:color w:val="auto"/>
          <w:sz w:val="24"/>
          <w:szCs w:val="24"/>
          <w:highlight w:val="none"/>
          <w:lang w:eastAsia="zh-CN"/>
        </w:rPr>
        <w:t>）</w:t>
      </w:r>
      <w:r>
        <w:rPr>
          <w:rFonts w:hint="eastAsia"/>
          <w:color w:val="auto"/>
          <w:sz w:val="24"/>
          <w:szCs w:val="24"/>
          <w:highlight w:val="none"/>
        </w:rPr>
        <w:t>，每批次产品</w:t>
      </w:r>
      <w:r>
        <w:rPr>
          <w:rFonts w:hint="eastAsia"/>
          <w:color w:val="auto"/>
          <w:sz w:val="24"/>
          <w:szCs w:val="24"/>
          <w:highlight w:val="none"/>
          <w:lang w:val="en-US" w:eastAsia="zh-CN"/>
        </w:rPr>
        <w:t>加工</w:t>
      </w:r>
      <w:r>
        <w:rPr>
          <w:rFonts w:hint="eastAsia"/>
          <w:color w:val="auto"/>
          <w:sz w:val="24"/>
          <w:szCs w:val="24"/>
          <w:highlight w:val="none"/>
        </w:rPr>
        <w:t>后，甲方组织相关人员进行现场初步验收，材料初步验收合格后甲方确认收货；</w:t>
      </w:r>
      <w:r>
        <w:rPr>
          <w:rFonts w:hint="eastAsia"/>
          <w:color w:val="auto"/>
          <w:sz w:val="24"/>
          <w:szCs w:val="24"/>
          <w:highlight w:val="none"/>
          <w:lang w:val="en-US" w:eastAsia="zh-CN"/>
        </w:rPr>
        <w:t>生产期间，双方共同随机取样封存样品，施工过程检验、</w:t>
      </w:r>
      <w:r>
        <w:rPr>
          <w:rFonts w:hint="eastAsia"/>
          <w:color w:val="auto"/>
          <w:sz w:val="24"/>
          <w:szCs w:val="24"/>
          <w:highlight w:val="none"/>
        </w:rPr>
        <w:t>交工验收</w:t>
      </w:r>
      <w:r>
        <w:rPr>
          <w:rFonts w:hint="eastAsia"/>
          <w:color w:val="auto"/>
          <w:sz w:val="24"/>
          <w:szCs w:val="24"/>
          <w:highlight w:val="none"/>
          <w:lang w:val="en-US" w:eastAsia="zh-CN"/>
        </w:rPr>
        <w:t>等环节</w:t>
      </w:r>
      <w:r>
        <w:rPr>
          <w:rFonts w:hint="eastAsia"/>
          <w:color w:val="auto"/>
          <w:sz w:val="24"/>
          <w:szCs w:val="24"/>
          <w:highlight w:val="none"/>
        </w:rPr>
        <w:t>，若材料验收不合格，双方</w:t>
      </w:r>
      <w:r>
        <w:rPr>
          <w:rFonts w:hint="eastAsia"/>
          <w:color w:val="auto"/>
          <w:sz w:val="24"/>
          <w:szCs w:val="24"/>
          <w:highlight w:val="none"/>
          <w:lang w:val="en-US" w:eastAsia="zh-CN"/>
        </w:rPr>
        <w:t>将</w:t>
      </w:r>
      <w:r>
        <w:rPr>
          <w:rFonts w:hint="eastAsia"/>
          <w:color w:val="auto"/>
          <w:sz w:val="24"/>
          <w:szCs w:val="24"/>
          <w:highlight w:val="none"/>
        </w:rPr>
        <w:t>随机取样样品送双方认可的有资质的质检单位检测；若检测合格，检测费由甲方支付；检测不合格，则一切费用及损失由乙方承担。</w:t>
      </w:r>
    </w:p>
    <w:p>
      <w:pPr>
        <w:spacing w:line="480" w:lineRule="exact"/>
        <w:ind w:firstLine="0" w:firstLineChars="0"/>
        <w:textAlignment w:val="baseline"/>
        <w:rPr>
          <w:rFonts w:hint="eastAsia"/>
          <w:color w:val="auto"/>
          <w:sz w:val="24"/>
          <w:szCs w:val="24"/>
          <w:highlight w:val="none"/>
          <w:u w:val="none"/>
          <w:lang w:val="en-US" w:eastAsia="zh-CN"/>
        </w:rPr>
      </w:pPr>
      <w:r>
        <w:rPr>
          <w:rFonts w:hint="eastAsia"/>
          <w:color w:val="auto"/>
          <w:sz w:val="24"/>
          <w:szCs w:val="24"/>
          <w:highlight w:val="none"/>
        </w:rPr>
        <w:t>甲方项目负责人</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联系电话</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p>
    <w:p>
      <w:pPr>
        <w:spacing w:line="480" w:lineRule="exact"/>
        <w:ind w:firstLine="0" w:firstLineChars="0"/>
        <w:textAlignment w:val="baseline"/>
        <w:rPr>
          <w:color w:val="auto"/>
          <w:sz w:val="24"/>
          <w:szCs w:val="24"/>
          <w:highlight w:val="none"/>
        </w:rPr>
      </w:pPr>
      <w:r>
        <w:rPr>
          <w:rFonts w:hint="eastAsia"/>
          <w:color w:val="auto"/>
          <w:sz w:val="24"/>
          <w:szCs w:val="24"/>
          <w:highlight w:val="none"/>
        </w:rPr>
        <w:t>乙方项目负责人</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r>
        <w:rPr>
          <w:rFonts w:hint="eastAsia"/>
          <w:color w:val="auto"/>
          <w:sz w:val="24"/>
          <w:szCs w:val="24"/>
          <w:highlight w:val="none"/>
        </w:rPr>
        <w:t>联系电话</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p>
    <w:p>
      <w:pPr>
        <w:spacing w:line="360" w:lineRule="auto"/>
        <w:ind w:firstLine="0" w:firstLineChars="0"/>
        <w:rPr>
          <w:rFonts w:ascii="宋体" w:hAnsi="宋体"/>
          <w:b/>
          <w:color w:val="auto"/>
          <w:sz w:val="24"/>
          <w:highlight w:val="none"/>
        </w:rPr>
      </w:pP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四</w:t>
      </w:r>
      <w:r>
        <w:rPr>
          <w:rFonts w:hint="eastAsia" w:ascii="宋体" w:hAnsi="宋体"/>
          <w:b/>
          <w:color w:val="auto"/>
          <w:sz w:val="24"/>
          <w:highlight w:val="none"/>
        </w:rPr>
        <w:t>、货物所有权</w:t>
      </w:r>
    </w:p>
    <w:p>
      <w:pPr>
        <w:spacing w:line="360" w:lineRule="auto"/>
        <w:ind w:firstLine="470" w:firstLineChars="196"/>
        <w:rPr>
          <w:rFonts w:hint="eastAsia"/>
          <w:color w:val="auto"/>
          <w:sz w:val="24"/>
          <w:szCs w:val="24"/>
          <w:highlight w:val="none"/>
        </w:rPr>
      </w:pPr>
      <w:r>
        <w:rPr>
          <w:rFonts w:hint="eastAsia" w:ascii="宋体" w:hAnsi="宋体"/>
          <w:color w:val="auto"/>
          <w:sz w:val="24"/>
          <w:highlight w:val="none"/>
        </w:rPr>
        <w:t>本合同项下货物的风险转移以所有权转移的时间为准，即货物交付验收前所有权归</w:t>
      </w:r>
      <w:r>
        <w:rPr>
          <w:rFonts w:hint="eastAsia"/>
          <w:color w:val="auto"/>
          <w:sz w:val="24"/>
          <w:szCs w:val="24"/>
          <w:highlight w:val="none"/>
        </w:rPr>
        <w:t>属于乙方，货物风险、保管费用等均由乙方承担；货物交付验收后所有权转移为甲方所有；货物风险自货物交付验收后由甲方承担（货物由乙方保管的除外）。</w:t>
      </w:r>
    </w:p>
    <w:p>
      <w:pPr>
        <w:spacing w:line="360" w:lineRule="auto"/>
        <w:ind w:firstLine="482" w:firstLineChars="200"/>
        <w:rPr>
          <w:rFonts w:hint="eastAsia" w:ascii="宋体" w:hAnsi="宋体"/>
          <w:b/>
          <w:color w:val="auto"/>
          <w:sz w:val="24"/>
          <w:szCs w:val="22"/>
          <w:highlight w:val="none"/>
          <w:lang w:eastAsia="zh-CN"/>
        </w:rPr>
      </w:pPr>
      <w:r>
        <w:rPr>
          <w:rFonts w:hint="eastAsia" w:ascii="宋体" w:hAnsi="宋体"/>
          <w:b/>
          <w:color w:val="auto"/>
          <w:sz w:val="24"/>
          <w:szCs w:val="22"/>
          <w:highlight w:val="none"/>
          <w:lang w:val="en-US" w:eastAsia="zh-CN"/>
        </w:rPr>
        <w:t>五</w:t>
      </w:r>
      <w:r>
        <w:rPr>
          <w:rFonts w:hint="eastAsia" w:ascii="宋体" w:hAnsi="宋体"/>
          <w:b/>
          <w:color w:val="auto"/>
          <w:sz w:val="24"/>
          <w:szCs w:val="22"/>
          <w:highlight w:val="none"/>
          <w:lang w:eastAsia="zh-CN"/>
        </w:rPr>
        <w:t>、计量方法</w:t>
      </w:r>
    </w:p>
    <w:p>
      <w:pPr>
        <w:spacing w:line="360" w:lineRule="auto"/>
        <w:ind w:firstLine="470" w:firstLineChars="196"/>
        <w:rPr>
          <w:rFonts w:hint="eastAsia"/>
          <w:color w:val="auto"/>
          <w:sz w:val="24"/>
          <w:szCs w:val="24"/>
          <w:highlight w:val="none"/>
        </w:rPr>
      </w:pPr>
      <w:r>
        <w:rPr>
          <w:rFonts w:hint="eastAsia"/>
          <w:color w:val="auto"/>
          <w:sz w:val="24"/>
          <w:szCs w:val="24"/>
          <w:highlight w:val="none"/>
        </w:rPr>
        <w:t>1、计量：沥青混合料以乙方拌和站过磅（甲方监督）计量，双方签字为准，完工后按双方签字确认的磅单进行结算。</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 xml:space="preserve">2、 </w:t>
      </w:r>
      <w:r>
        <w:rPr>
          <w:rFonts w:hint="eastAsia"/>
          <w:color w:val="auto"/>
          <w:sz w:val="24"/>
          <w:szCs w:val="24"/>
          <w:highlight w:val="none"/>
        </w:rPr>
        <w:t>剩余材料处理</w:t>
      </w:r>
      <w:r>
        <w:rPr>
          <w:rFonts w:hint="eastAsia"/>
          <w:color w:val="auto"/>
          <w:sz w:val="24"/>
          <w:szCs w:val="24"/>
          <w:highlight w:val="none"/>
          <w:lang w:eastAsia="zh-CN"/>
        </w:rPr>
        <w:t>：</w:t>
      </w:r>
      <w:r>
        <w:rPr>
          <w:rFonts w:hint="eastAsia"/>
          <w:color w:val="auto"/>
          <w:sz w:val="24"/>
          <w:szCs w:val="24"/>
          <w:highlight w:val="none"/>
        </w:rPr>
        <w:t>工程完工后，乙方自购的剩余原材料不予以计量，乙方不得以任何理由要求甲方给予相关补偿，乙方可自行处理，甲方不承担任何费用。</w:t>
      </w:r>
    </w:p>
    <w:p>
      <w:pPr>
        <w:spacing w:line="360" w:lineRule="auto"/>
        <w:ind w:firstLine="470" w:firstLineChars="196"/>
        <w:rPr>
          <w:rFonts w:hint="eastAsia"/>
          <w:color w:val="auto"/>
          <w:sz w:val="24"/>
          <w:szCs w:val="24"/>
          <w:highlight w:val="none"/>
          <w:lang w:val="en-US" w:eastAsia="zh-CN"/>
        </w:rPr>
      </w:pPr>
      <w:r>
        <w:rPr>
          <w:rFonts w:hint="eastAsia"/>
          <w:color w:val="auto"/>
          <w:sz w:val="24"/>
          <w:szCs w:val="24"/>
          <w:highlight w:val="none"/>
          <w:lang w:val="en-US" w:eastAsia="zh-CN"/>
        </w:rPr>
        <w:t>3、 材料损耗：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乙方加工的沥青混合料中由甲方提供的沥青</w:t>
      </w:r>
      <w:r>
        <w:rPr>
          <w:rFonts w:hint="eastAsia"/>
          <w:color w:val="auto"/>
          <w:sz w:val="24"/>
          <w:szCs w:val="24"/>
          <w:highlight w:val="none"/>
          <w:lang w:eastAsia="zh-CN"/>
        </w:rPr>
        <w:t>、木质素纤维</w:t>
      </w:r>
      <w:r>
        <w:rPr>
          <w:rFonts w:hint="eastAsia"/>
          <w:color w:val="auto"/>
          <w:sz w:val="24"/>
          <w:szCs w:val="24"/>
          <w:highlight w:val="none"/>
        </w:rPr>
        <w:t>按甲方提供的生产配合比为依据进行计算，由乙方负责承担超出部分的相关沥青费用（以甲方运到乙方场地的实际合同单价*超出部分数量），超出部分的沥青费用由甲方在结算金额中直接扣回，剩余沥青</w:t>
      </w:r>
      <w:r>
        <w:rPr>
          <w:rFonts w:hint="eastAsia"/>
          <w:color w:val="auto"/>
          <w:sz w:val="24"/>
          <w:szCs w:val="24"/>
          <w:highlight w:val="none"/>
          <w:lang w:eastAsia="zh-CN"/>
        </w:rPr>
        <w:t>、玄武岩、木质素纤维</w:t>
      </w:r>
      <w:r>
        <w:rPr>
          <w:rFonts w:hint="eastAsia"/>
          <w:color w:val="auto"/>
          <w:sz w:val="24"/>
          <w:szCs w:val="24"/>
          <w:highlight w:val="none"/>
        </w:rPr>
        <w:t>由甲方自行运回。</w:t>
      </w:r>
    </w:p>
    <w:p>
      <w:pPr>
        <w:spacing w:line="360" w:lineRule="auto"/>
        <w:ind w:firstLine="482" w:firstLineChars="200"/>
        <w:rPr>
          <w:rFonts w:hint="eastAsia"/>
          <w:b/>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w:t>
      </w:r>
      <w:r>
        <w:rPr>
          <w:rFonts w:hint="eastAsia"/>
          <w:b/>
          <w:color w:val="auto"/>
          <w:sz w:val="24"/>
          <w:szCs w:val="24"/>
          <w:highlight w:val="none"/>
        </w:rPr>
        <w:t>履约保证金</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中标候选人是否提供履约担保：</w:t>
      </w:r>
      <w:r>
        <w:rPr>
          <w:rFonts w:hint="eastAsia" w:ascii="Times New Roman" w:hAnsi="Times New Roman" w:eastAsia="宋体" w:cs="Times New Roman"/>
          <w:b/>
          <w:bCs/>
          <w:color w:val="auto"/>
          <w:sz w:val="24"/>
          <w:szCs w:val="24"/>
          <w:highlight w:val="none"/>
          <w:u w:val="single"/>
          <w:lang w:val="en-US" w:eastAsia="zh-CN"/>
        </w:rPr>
        <w:t xml:space="preserve"> 提供 </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6.1中标候选人提供履约担保的形式、金额及期限：</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金额：</w:t>
      </w:r>
      <w:r>
        <w:rPr>
          <w:rFonts w:hint="eastAsia" w:ascii="Times New Roman" w:hAnsi="Times New Roman" w:eastAsia="宋体" w:cs="Times New Roman"/>
          <w:b/>
          <w:bCs/>
          <w:color w:val="auto"/>
          <w:sz w:val="24"/>
          <w:szCs w:val="24"/>
          <w:highlight w:val="none"/>
          <w:u w:val="single"/>
          <w:lang w:val="en-US" w:eastAsia="zh-CN"/>
        </w:rPr>
        <w:t xml:space="preserve">   </w:t>
      </w:r>
      <w:r>
        <w:rPr>
          <w:rFonts w:hint="eastAsia" w:cs="Times New Roman"/>
          <w:b/>
          <w:bCs/>
          <w:color w:val="auto"/>
          <w:sz w:val="24"/>
          <w:szCs w:val="24"/>
          <w:highlight w:val="none"/>
          <w:u w:val="single"/>
          <w:lang w:val="en-US" w:eastAsia="zh-CN"/>
        </w:rPr>
        <w:t>2</w:t>
      </w:r>
      <w:r>
        <w:rPr>
          <w:rFonts w:hint="eastAsia" w:ascii="Times New Roman" w:hAnsi="Times New Roman" w:eastAsia="宋体" w:cs="Times New Roman"/>
          <w:b/>
          <w:bCs/>
          <w:color w:val="auto"/>
          <w:sz w:val="24"/>
          <w:szCs w:val="24"/>
          <w:highlight w:val="none"/>
          <w:u w:val="single"/>
          <w:lang w:val="en-US" w:eastAsia="zh-CN"/>
        </w:rPr>
        <w:t>00000（</w:t>
      </w:r>
      <w:r>
        <w:rPr>
          <w:rFonts w:hint="eastAsia" w:cs="Times New Roman"/>
          <w:b/>
          <w:bCs/>
          <w:color w:val="auto"/>
          <w:sz w:val="24"/>
          <w:szCs w:val="24"/>
          <w:highlight w:val="none"/>
          <w:u w:val="single"/>
          <w:lang w:val="en-US" w:eastAsia="zh-CN"/>
        </w:rPr>
        <w:t>贰</w:t>
      </w:r>
      <w:r>
        <w:rPr>
          <w:rFonts w:hint="eastAsia" w:ascii="Times New Roman" w:hAnsi="Times New Roman" w:eastAsia="宋体" w:cs="Times New Roman"/>
          <w:b/>
          <w:bCs/>
          <w:color w:val="auto"/>
          <w:sz w:val="24"/>
          <w:szCs w:val="24"/>
          <w:highlight w:val="none"/>
          <w:u w:val="single"/>
          <w:lang w:val="en-US" w:eastAsia="zh-CN"/>
        </w:rPr>
        <w:t xml:space="preserve">拾万元整）  </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担保形式：现金、支票、银行转账或银行保函任选其一；</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提交时间：签订合同之前提交。</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6.2 履约保证金的退还方式：履约保证金在工程交工验收合格后在乙方无任何违约或赔偿的情况下退还，不计利息。</w:t>
      </w:r>
    </w:p>
    <w:p>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lang w:val="en-US" w:eastAsia="zh-CN"/>
        </w:rPr>
        <w:t>七</w:t>
      </w:r>
      <w:r>
        <w:rPr>
          <w:rFonts w:hint="eastAsia"/>
          <w:b/>
          <w:bCs/>
          <w:color w:val="auto"/>
          <w:sz w:val="24"/>
          <w:szCs w:val="24"/>
          <w:highlight w:val="none"/>
        </w:rPr>
        <w:t>、双方的权利和义务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甲方权利和义务：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在沥青混合料生产前组织应由甲方提供的沥青进场，提交地点为乙方沥青砼拌和站</w:t>
      </w:r>
      <w:r>
        <w:rPr>
          <w:rFonts w:hint="eastAsia"/>
          <w:color w:val="auto"/>
          <w:sz w:val="24"/>
          <w:szCs w:val="24"/>
          <w:highlight w:val="none"/>
          <w:lang w:eastAsia="zh-CN"/>
        </w:rPr>
        <w:t>，</w:t>
      </w:r>
      <w:r>
        <w:rPr>
          <w:rFonts w:hint="eastAsia"/>
          <w:color w:val="auto"/>
          <w:sz w:val="24"/>
          <w:szCs w:val="24"/>
          <w:highlight w:val="none"/>
        </w:rPr>
        <w:t xml:space="preserve">确保运输到场的沥青合格。 </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1.2</w:t>
      </w:r>
      <w:r>
        <w:rPr>
          <w:rFonts w:hint="eastAsia"/>
          <w:color w:val="auto"/>
          <w:sz w:val="24"/>
          <w:szCs w:val="24"/>
          <w:highlight w:val="none"/>
        </w:rPr>
        <w:t>、提前1个工作日以短信通知形式向乙方提供生产计划，以便乙方按产量组织生产，并保证生产的连续性；生产当日的需求由甲方现场确定是否开机生产。</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1.3</w:t>
      </w:r>
      <w:r>
        <w:rPr>
          <w:rFonts w:hint="eastAsia"/>
          <w:color w:val="auto"/>
          <w:sz w:val="24"/>
          <w:szCs w:val="24"/>
          <w:highlight w:val="none"/>
        </w:rPr>
        <w:t xml:space="preserve">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1.4</w:t>
      </w:r>
      <w:r>
        <w:rPr>
          <w:rFonts w:hint="eastAsia"/>
          <w:color w:val="auto"/>
          <w:sz w:val="24"/>
          <w:szCs w:val="24"/>
          <w:highlight w:val="none"/>
        </w:rPr>
        <w:t>在合同执行期间，若因甲方通知不及时造成生产的沥青混合料不能及时运出而产生废弃等责任由甲方承担。</w:t>
      </w:r>
    </w:p>
    <w:p>
      <w:pPr>
        <w:spacing w:line="360" w:lineRule="auto"/>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 xml:space="preserve">   1.5</w:t>
      </w:r>
      <w:r>
        <w:rPr>
          <w:rFonts w:hint="eastAsia"/>
          <w:color w:val="auto"/>
          <w:sz w:val="24"/>
          <w:szCs w:val="24"/>
          <w:highlight w:val="none"/>
        </w:rPr>
        <w:t>甲方有义务对乙方出具的结算资料（加盖乙方公章）进行确认,甲方收到结算资料15个工作日内未提出异议的,视为认可该结算资料的数量和金额有效。</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按合同约定时间及数额支付沥青混合料生产费用。</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1.7</w:t>
      </w:r>
      <w:r>
        <w:rPr>
          <w:rFonts w:hint="eastAsia"/>
          <w:color w:val="auto"/>
          <w:sz w:val="24"/>
          <w:szCs w:val="24"/>
          <w:highlight w:val="none"/>
        </w:rPr>
        <w:t>甲方支付方式按银行转账</w:t>
      </w:r>
      <w:r>
        <w:rPr>
          <w:rFonts w:hint="eastAsia"/>
          <w:color w:val="auto"/>
          <w:sz w:val="24"/>
          <w:szCs w:val="24"/>
          <w:highlight w:val="none"/>
          <w:lang w:eastAsia="zh-CN"/>
        </w:rPr>
        <w:t>支付</w:t>
      </w:r>
      <w:r>
        <w:rPr>
          <w:rFonts w:hint="eastAsia"/>
          <w:color w:val="auto"/>
          <w:sz w:val="24"/>
          <w:szCs w:val="24"/>
          <w:highlight w:val="none"/>
        </w:rPr>
        <w:t>。</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乙方权利和义务：</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2.1</w:t>
      </w:r>
      <w:r>
        <w:rPr>
          <w:rFonts w:hint="eastAsia"/>
          <w:color w:val="auto"/>
          <w:sz w:val="24"/>
          <w:szCs w:val="24"/>
          <w:highlight w:val="none"/>
        </w:rPr>
        <w:t>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乙方应对整个沥青混合料的生产质量负责(包括沥青混合料出料温度、油石比及计量等应满足《公路沥青路面施工技术规范》（JTGF40-2004）要求及甲方生产级配要求)，确保沥青混合料生产质量合格。若沥青混合料双方现场抽检不合格，经双方共同认定如为乙方责任，则乙方应承担由</w:t>
      </w:r>
      <w:r>
        <w:rPr>
          <w:rFonts w:hint="eastAsia"/>
          <w:color w:val="auto"/>
          <w:sz w:val="24"/>
          <w:szCs w:val="24"/>
          <w:highlight w:val="none"/>
          <w:lang w:eastAsia="zh-CN"/>
        </w:rPr>
        <w:t>自身原因</w:t>
      </w:r>
      <w:r>
        <w:rPr>
          <w:rFonts w:hint="eastAsia"/>
          <w:color w:val="auto"/>
          <w:sz w:val="24"/>
          <w:szCs w:val="24"/>
          <w:highlight w:val="none"/>
        </w:rPr>
        <w:t>给甲方造成的一切损失。</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2.3</w:t>
      </w:r>
      <w:r>
        <w:rPr>
          <w:rFonts w:hint="eastAsia"/>
          <w:color w:val="auto"/>
          <w:sz w:val="24"/>
          <w:szCs w:val="24"/>
          <w:highlight w:val="none"/>
        </w:rPr>
        <w:t>生产期间，配备拌和设备操作人员2人、装载机操作人员</w:t>
      </w:r>
      <w:r>
        <w:rPr>
          <w:rFonts w:hint="eastAsia"/>
          <w:color w:val="auto"/>
          <w:sz w:val="24"/>
          <w:szCs w:val="24"/>
          <w:highlight w:val="none"/>
          <w:lang w:val="en-US" w:eastAsia="zh-CN"/>
        </w:rPr>
        <w:t>2</w:t>
      </w:r>
      <w:r>
        <w:rPr>
          <w:rFonts w:hint="eastAsia"/>
          <w:color w:val="auto"/>
          <w:sz w:val="24"/>
          <w:szCs w:val="24"/>
          <w:highlight w:val="none"/>
        </w:rPr>
        <w:t>人、设备维修人员2人及生产辅助人员3人以上，并确保设备维修保养及时，中途发生故障，务必确保在24小时内修复，且按甲方要求的时间及沥青混合料级配组织生产。</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2.4</w:t>
      </w:r>
      <w:r>
        <w:rPr>
          <w:rFonts w:hint="eastAsia"/>
          <w:color w:val="auto"/>
          <w:sz w:val="24"/>
          <w:szCs w:val="24"/>
          <w:highlight w:val="none"/>
        </w:rPr>
        <w:t>保证按照甲方职责的第2条要求及时进行生产；若因其他原因，不能满足甲方需求，应提前告知甲方并协调解决。</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2.5</w:t>
      </w:r>
      <w:r>
        <w:rPr>
          <w:rFonts w:hint="eastAsia"/>
          <w:color w:val="auto"/>
          <w:sz w:val="24"/>
          <w:szCs w:val="24"/>
          <w:highlight w:val="none"/>
        </w:rPr>
        <w:t>加强生产期间的安全教育和采取相应的安全措施，并自行承担生产、运输期间因拌和站或运输车辆引发的相应安全责任事故（如导热油锅炉、管道、供电线路、车辆等引发的安全责任事故）。</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2.6</w:t>
      </w:r>
      <w:r>
        <w:rPr>
          <w:rFonts w:hint="eastAsia"/>
          <w:color w:val="auto"/>
          <w:sz w:val="24"/>
          <w:szCs w:val="24"/>
          <w:highlight w:val="none"/>
        </w:rPr>
        <w:t>拌和楼出现故障、停电等原因致使不能按甲方要求供料，乙方应及时告知甲方，并确保在24小时内修复（特殊故障、供电部门停电、自然灾害等不可抗力因素等除外），否则承担由此造成的一切责任。</w:t>
      </w:r>
    </w:p>
    <w:p>
      <w:pPr>
        <w:spacing w:line="360" w:lineRule="auto"/>
        <w:ind w:firstLine="470" w:firstLineChars="196"/>
        <w:rPr>
          <w:rFonts w:hint="eastAsia"/>
          <w:color w:val="auto"/>
          <w:sz w:val="24"/>
          <w:szCs w:val="24"/>
          <w:highlight w:val="none"/>
          <w:lang w:val="en-US" w:eastAsia="zh-CN"/>
        </w:rPr>
      </w:pPr>
      <w:r>
        <w:rPr>
          <w:rFonts w:hint="eastAsia"/>
          <w:color w:val="auto"/>
          <w:sz w:val="24"/>
          <w:szCs w:val="24"/>
          <w:highlight w:val="none"/>
          <w:lang w:val="en-US" w:eastAsia="zh-CN"/>
        </w:rPr>
        <w:t>2.7生产期间，乙方若因环保方面问题造成停工整顿无法正常生产时，乙方应承担对甲方造成的人员误工、设备停滞等每天2万元的相应赔偿，且停产时间超过三天，甲方有权中止此合同。</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2.8</w:t>
      </w:r>
      <w:r>
        <w:rPr>
          <w:rFonts w:hint="eastAsia"/>
          <w:color w:val="auto"/>
          <w:sz w:val="24"/>
          <w:szCs w:val="24"/>
          <w:highlight w:val="none"/>
        </w:rPr>
        <w:t>生产期间，免费提供甲方管理人员、实验检测人员及其他相关人员住宿及伙食。</w:t>
      </w:r>
    </w:p>
    <w:p>
      <w:pPr>
        <w:spacing w:line="360" w:lineRule="auto"/>
        <w:ind w:firstLine="470" w:firstLineChars="196"/>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按双方约定时间及生产数量，开据有效的发票。</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lang w:eastAsia="zh-CN"/>
        </w:rPr>
        <w:t>八</w:t>
      </w:r>
      <w:r>
        <w:rPr>
          <w:rFonts w:hint="eastAsia"/>
          <w:b/>
          <w:color w:val="auto"/>
          <w:sz w:val="24"/>
          <w:szCs w:val="24"/>
          <w:highlight w:val="none"/>
        </w:rPr>
        <w:t>、验收标准、方法</w:t>
      </w:r>
    </w:p>
    <w:p>
      <w:pPr>
        <w:spacing w:line="360" w:lineRule="auto"/>
        <w:ind w:firstLine="470" w:firstLineChars="196"/>
        <w:rPr>
          <w:color w:val="auto"/>
          <w:sz w:val="24"/>
          <w:szCs w:val="24"/>
          <w:highlight w:val="none"/>
        </w:rPr>
      </w:pPr>
      <w:r>
        <w:rPr>
          <w:rFonts w:hint="eastAsia"/>
          <w:color w:val="auto"/>
          <w:sz w:val="24"/>
          <w:szCs w:val="24"/>
          <w:highlight w:val="none"/>
        </w:rPr>
        <w:t>1、到场材料由甲方负责初检（初检指标包括：外观颜色、外观洁净程度等），并根据甲方自检频率对材料各项技术标准进行严格检测，不合格材料则无条件退货，若</w:t>
      </w:r>
      <w:r>
        <w:rPr>
          <w:rFonts w:hint="eastAsia"/>
          <w:color w:val="auto"/>
          <w:sz w:val="24"/>
          <w:szCs w:val="24"/>
          <w:highlight w:val="none"/>
          <w:lang w:eastAsia="zh-CN"/>
        </w:rPr>
        <w:t>因</w:t>
      </w:r>
      <w:r>
        <w:rPr>
          <w:rFonts w:hint="eastAsia"/>
          <w:color w:val="auto"/>
          <w:sz w:val="24"/>
          <w:szCs w:val="24"/>
          <w:highlight w:val="none"/>
        </w:rPr>
        <w:t>退货导致甲方无法生产而影响项目</w:t>
      </w:r>
      <w:r>
        <w:rPr>
          <w:rFonts w:hint="eastAsia"/>
          <w:color w:val="auto"/>
          <w:sz w:val="24"/>
          <w:szCs w:val="24"/>
          <w:highlight w:val="none"/>
          <w:lang w:eastAsia="zh-CN"/>
        </w:rPr>
        <w:t>供货期</w:t>
      </w:r>
      <w:r>
        <w:rPr>
          <w:rFonts w:hint="eastAsia"/>
          <w:color w:val="auto"/>
          <w:sz w:val="24"/>
          <w:szCs w:val="24"/>
          <w:highlight w:val="none"/>
        </w:rPr>
        <w:t>，由此造成的损失由乙方承担。</w:t>
      </w:r>
    </w:p>
    <w:p>
      <w:pPr>
        <w:spacing w:line="360" w:lineRule="auto"/>
        <w:ind w:firstLine="470" w:firstLineChars="196"/>
        <w:rPr>
          <w:color w:val="auto"/>
          <w:sz w:val="24"/>
          <w:szCs w:val="24"/>
          <w:highlight w:val="none"/>
        </w:rPr>
      </w:pPr>
      <w:r>
        <w:rPr>
          <w:rFonts w:hint="eastAsia"/>
          <w:color w:val="auto"/>
          <w:sz w:val="24"/>
          <w:szCs w:val="24"/>
          <w:highlight w:val="none"/>
        </w:rPr>
        <w:t>2、</w:t>
      </w:r>
      <w:r>
        <w:rPr>
          <w:rFonts w:hint="eastAsia" w:ascii="宋体" w:hAnsi="宋体" w:cs="宋体"/>
          <w:color w:val="auto"/>
          <w:kern w:val="0"/>
          <w:sz w:val="24"/>
          <w:szCs w:val="24"/>
          <w:highlight w:val="none"/>
        </w:rPr>
        <w:t>如在检测中发现有不合格、不满足技术要求的，乙方有争议的，</w:t>
      </w:r>
      <w:r>
        <w:rPr>
          <w:rFonts w:hint="eastAsia"/>
          <w:color w:val="auto"/>
          <w:sz w:val="24"/>
          <w:szCs w:val="24"/>
          <w:highlight w:val="none"/>
        </w:rPr>
        <w:t>可委托经甲乙双方认可的第三方检测机构进行检测，</w:t>
      </w:r>
      <w:r>
        <w:rPr>
          <w:rFonts w:hint="eastAsia" w:ascii="宋体" w:hAnsi="宋体" w:cs="宋体"/>
          <w:color w:val="auto"/>
          <w:kern w:val="0"/>
          <w:sz w:val="24"/>
          <w:szCs w:val="24"/>
          <w:highlight w:val="none"/>
        </w:rPr>
        <w:t>费用先由乙方垫付，最终由相应责任方承担（如合格费用由甲方支付，如不合格费用由乙方支付）。</w:t>
      </w:r>
      <w:r>
        <w:rPr>
          <w:rFonts w:hint="eastAsia"/>
          <w:color w:val="auto"/>
          <w:sz w:val="24"/>
          <w:szCs w:val="24"/>
          <w:highlight w:val="none"/>
        </w:rPr>
        <w:t>发生产品质量责任问题，乙方须承担由此造成的一切损失及费用。</w:t>
      </w:r>
    </w:p>
    <w:p>
      <w:pPr>
        <w:spacing w:line="360" w:lineRule="auto"/>
        <w:ind w:firstLine="472" w:firstLineChars="196"/>
        <w:rPr>
          <w:b/>
          <w:color w:val="auto"/>
          <w:sz w:val="24"/>
          <w:szCs w:val="24"/>
          <w:highlight w:val="none"/>
        </w:rPr>
      </w:pPr>
      <w:r>
        <w:rPr>
          <w:rFonts w:hint="eastAsia"/>
          <w:b/>
          <w:color w:val="auto"/>
          <w:sz w:val="24"/>
          <w:szCs w:val="24"/>
          <w:highlight w:val="none"/>
          <w:lang w:eastAsia="zh-CN"/>
        </w:rPr>
        <w:t>九</w:t>
      </w:r>
      <w:r>
        <w:rPr>
          <w:rFonts w:hint="eastAsia"/>
          <w:b/>
          <w:color w:val="auto"/>
          <w:sz w:val="24"/>
          <w:szCs w:val="24"/>
          <w:highlight w:val="none"/>
        </w:rPr>
        <w:t>、发票的开具</w:t>
      </w:r>
    </w:p>
    <w:p>
      <w:pPr>
        <w:adjustRightInd w:val="0"/>
        <w:snapToGrid w:val="0"/>
        <w:spacing w:line="520" w:lineRule="exact"/>
        <w:ind w:firstLine="405" w:firstLineChars="169"/>
        <w:textAlignment w:val="baseline"/>
        <w:rPr>
          <w:rFonts w:hint="eastAsia" w:ascii="Times New Roman" w:hAnsi="Times New Roman"/>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1、发票由乙方开具</w:t>
      </w:r>
      <w:r>
        <w:rPr>
          <w:rFonts w:hint="eastAsia"/>
          <w:b/>
          <w:color w:val="auto"/>
          <w:sz w:val="24"/>
          <w:szCs w:val="24"/>
          <w:highlight w:val="none"/>
        </w:rPr>
        <w:t>增值税专用发票</w:t>
      </w:r>
      <w:r>
        <w:rPr>
          <w:rFonts w:hint="eastAsia"/>
          <w:b/>
          <w:color w:val="auto"/>
          <w:sz w:val="24"/>
          <w:szCs w:val="24"/>
          <w:highlight w:val="none"/>
          <w:lang w:eastAsia="zh-CN"/>
        </w:rPr>
        <w:t>（抵扣税率</w:t>
      </w:r>
      <w:r>
        <w:rPr>
          <w:rFonts w:hint="eastAsia"/>
          <w:b/>
          <w:color w:val="auto"/>
          <w:sz w:val="24"/>
          <w:szCs w:val="24"/>
          <w:highlight w:val="none"/>
          <w:lang w:val="en-US" w:eastAsia="zh-CN"/>
        </w:rPr>
        <w:t>13%</w:t>
      </w:r>
      <w:r>
        <w:rPr>
          <w:rFonts w:hint="eastAsia"/>
          <w:b/>
          <w:color w:val="auto"/>
          <w:sz w:val="24"/>
          <w:szCs w:val="24"/>
          <w:highlight w:val="none"/>
          <w:lang w:eastAsia="zh-CN"/>
        </w:rPr>
        <w:t>）</w:t>
      </w:r>
      <w:r>
        <w:rPr>
          <w:rFonts w:hint="eastAsia"/>
          <w:color w:val="auto"/>
          <w:sz w:val="24"/>
          <w:szCs w:val="24"/>
          <w:highlight w:val="none"/>
        </w:rPr>
        <w:t>给甲方</w:t>
      </w:r>
      <w:r>
        <w:rPr>
          <w:rFonts w:hint="eastAsia"/>
          <w:color w:val="auto"/>
          <w:sz w:val="24"/>
          <w:szCs w:val="24"/>
          <w:highlight w:val="none"/>
          <w:lang w:eastAsia="zh-CN"/>
        </w:rPr>
        <w:t>，</w:t>
      </w:r>
      <w:r>
        <w:rPr>
          <w:rFonts w:hint="eastAsia"/>
          <w:color w:val="auto"/>
          <w:sz w:val="24"/>
          <w:szCs w:val="24"/>
          <w:highlight w:val="none"/>
        </w:rPr>
        <w:t>发票单位名称为本合同甲乙双方全称（</w:t>
      </w:r>
      <w:r>
        <w:rPr>
          <w:rFonts w:hint="eastAsia"/>
          <w:b/>
          <w:bCs/>
          <w:color w:val="auto"/>
          <w:sz w:val="24"/>
          <w:szCs w:val="24"/>
          <w:highlight w:val="none"/>
        </w:rPr>
        <w:t>销售发票中已包含运输费，运输费不再单独开具发票，该发票必须足额合法有效且符合甲方的要求</w:t>
      </w:r>
      <w:r>
        <w:rPr>
          <w:rFonts w:hint="eastAsia"/>
          <w:color w:val="auto"/>
          <w:sz w:val="24"/>
          <w:szCs w:val="24"/>
          <w:highlight w:val="none"/>
        </w:rPr>
        <w:t>）</w:t>
      </w:r>
      <w:r>
        <w:rPr>
          <w:rFonts w:hint="eastAsia"/>
          <w:color w:val="auto"/>
          <w:sz w:val="24"/>
          <w:szCs w:val="24"/>
          <w:highlight w:val="none"/>
          <w:lang w:val="en-US" w:eastAsia="zh-CN"/>
        </w:rPr>
        <w:t>，</w:t>
      </w:r>
      <w:r>
        <w:rPr>
          <w:rFonts w:hint="eastAsia" w:ascii="Times New Roman" w:hAnsi="Times New Roman"/>
          <w:color w:val="auto"/>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color w:val="auto"/>
          <w:sz w:val="24"/>
          <w:szCs w:val="24"/>
          <w:highlight w:val="none"/>
        </w:rPr>
      </w:pP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3、本合同内容经双方同意变更的，如果涉及到合同价款等增值税专用发票记载项目发生变化的，需要作废、重开、补开、红字开具增值税专用发票的，甲乙双方需履行各自的协助义务。</w:t>
      </w:r>
    </w:p>
    <w:p>
      <w:pPr>
        <w:adjustRightInd/>
        <w:snapToGrid/>
        <w:spacing w:line="400" w:lineRule="atLeas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4、</w:t>
      </w:r>
      <w:r>
        <w:rPr>
          <w:rFonts w:hint="eastAsia"/>
          <w:color w:val="auto"/>
          <w:sz w:val="24"/>
          <w:highlight w:val="none"/>
        </w:rPr>
        <w:t>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lang w:eastAsia="zh-CN"/>
        </w:rPr>
        <w:t>十</w:t>
      </w:r>
      <w:r>
        <w:rPr>
          <w:rFonts w:hint="eastAsia"/>
          <w:b/>
          <w:color w:val="auto"/>
          <w:sz w:val="24"/>
          <w:szCs w:val="24"/>
          <w:highlight w:val="none"/>
        </w:rPr>
        <w:t>、结算方式及期限</w:t>
      </w:r>
    </w:p>
    <w:p>
      <w:pPr>
        <w:spacing w:line="360" w:lineRule="auto"/>
        <w:ind w:firstLine="470" w:firstLineChars="196"/>
        <w:textAlignment w:val="baseline"/>
        <w:rPr>
          <w:color w:val="auto"/>
          <w:sz w:val="24"/>
          <w:szCs w:val="24"/>
          <w:highlight w:val="none"/>
        </w:rPr>
      </w:pPr>
      <w:r>
        <w:rPr>
          <w:rFonts w:hint="eastAsia"/>
          <w:color w:val="auto"/>
          <w:sz w:val="24"/>
          <w:szCs w:val="24"/>
          <w:highlight w:val="none"/>
        </w:rPr>
        <w:t>按</w:t>
      </w:r>
      <w:r>
        <w:rPr>
          <w:rFonts w:hint="eastAsia"/>
          <w:color w:val="auto"/>
          <w:sz w:val="24"/>
          <w:szCs w:val="24"/>
          <w:highlight w:val="none"/>
          <w:u w:val="single"/>
        </w:rPr>
        <w:t>月</w:t>
      </w:r>
      <w:r>
        <w:rPr>
          <w:rFonts w:hint="eastAsia"/>
          <w:color w:val="auto"/>
          <w:sz w:val="24"/>
          <w:szCs w:val="24"/>
          <w:highlight w:val="none"/>
          <w:u w:val="none"/>
          <w:lang w:val="en-US" w:eastAsia="zh-CN"/>
        </w:rPr>
        <w:t>进行</w:t>
      </w:r>
      <w:r>
        <w:rPr>
          <w:rFonts w:hint="eastAsia"/>
          <w:color w:val="auto"/>
          <w:sz w:val="24"/>
          <w:szCs w:val="24"/>
          <w:highlight w:val="none"/>
        </w:rPr>
        <w:t>结算；结算金额=</w:t>
      </w:r>
      <w:r>
        <w:rPr>
          <w:rFonts w:hint="eastAsia"/>
          <w:color w:val="auto"/>
          <w:sz w:val="24"/>
          <w:szCs w:val="24"/>
          <w:highlight w:val="none"/>
          <w:u w:val="single"/>
        </w:rPr>
        <w:t>当月</w:t>
      </w:r>
      <w:r>
        <w:rPr>
          <w:rFonts w:hint="eastAsia" w:ascii="宋体" w:hAnsi="宋体" w:cs="宋体"/>
          <w:color w:val="auto"/>
          <w:kern w:val="0"/>
          <w:sz w:val="24"/>
          <w:szCs w:val="24"/>
          <w:highlight w:val="none"/>
        </w:rPr>
        <w:t>已对账的实际收货数量×合同单价</w:t>
      </w:r>
      <w:r>
        <w:rPr>
          <w:rFonts w:hint="eastAsia"/>
          <w:color w:val="auto"/>
          <w:sz w:val="24"/>
          <w:szCs w:val="24"/>
          <w:highlight w:val="none"/>
          <w:lang w:eastAsia="zh-CN"/>
        </w:rPr>
        <w:t>。</w:t>
      </w:r>
      <w:r>
        <w:rPr>
          <w:rFonts w:hint="eastAsia"/>
          <w:color w:val="auto"/>
          <w:sz w:val="24"/>
          <w:szCs w:val="24"/>
          <w:highlight w:val="none"/>
        </w:rPr>
        <w:t>乙方向甲方提供有效发票及供货凭证，甲方自费用清单（</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甲方代表</w:t>
      </w:r>
      <w:r>
        <w:rPr>
          <w:rFonts w:hint="eastAsia" w:ascii="宋体" w:hAnsi="宋体"/>
          <w:color w:val="auto"/>
          <w:sz w:val="24"/>
          <w:szCs w:val="24"/>
          <w:highlight w:val="none"/>
        </w:rPr>
        <w:t>实际验收的合格数量和材料合同单价计算）</w:t>
      </w:r>
      <w:r>
        <w:rPr>
          <w:rFonts w:hint="eastAsia"/>
          <w:color w:val="auto"/>
          <w:sz w:val="24"/>
          <w:szCs w:val="24"/>
          <w:highlight w:val="none"/>
        </w:rPr>
        <w:t>及发票送达之日起</w:t>
      </w:r>
      <w:r>
        <w:rPr>
          <w:rFonts w:hint="eastAsia"/>
          <w:color w:val="auto"/>
          <w:sz w:val="24"/>
          <w:szCs w:val="24"/>
          <w:highlight w:val="none"/>
          <w:u w:val="single"/>
          <w:lang w:eastAsia="zh-CN"/>
        </w:rPr>
        <w:t>二十</w:t>
      </w:r>
      <w:r>
        <w:rPr>
          <w:rFonts w:hint="eastAsia"/>
          <w:color w:val="auto"/>
          <w:sz w:val="24"/>
          <w:szCs w:val="24"/>
          <w:highlight w:val="none"/>
        </w:rPr>
        <w:t>个工作日内</w:t>
      </w:r>
      <w:r>
        <w:rPr>
          <w:rFonts w:hint="eastAsia" w:ascii="宋体" w:hAnsi="宋体"/>
          <w:color w:val="auto"/>
          <w:sz w:val="24"/>
          <w:szCs w:val="24"/>
          <w:highlight w:val="none"/>
        </w:rPr>
        <w:t>（每月25日至次月5日不办理支付，时间相应顺延）以</w:t>
      </w:r>
      <w:r>
        <w:rPr>
          <w:rFonts w:hint="eastAsia" w:ascii="宋体" w:hAnsi="宋体"/>
          <w:b/>
          <w:bCs/>
          <w:color w:val="auto"/>
          <w:sz w:val="24"/>
          <w:szCs w:val="24"/>
          <w:highlight w:val="none"/>
        </w:rPr>
        <w:t>银行转账</w:t>
      </w:r>
      <w:r>
        <w:rPr>
          <w:rFonts w:hint="eastAsia" w:ascii="宋体" w:hAnsi="宋体"/>
          <w:color w:val="auto"/>
          <w:sz w:val="24"/>
          <w:szCs w:val="24"/>
          <w:highlight w:val="none"/>
        </w:rPr>
        <w:t>方式</w:t>
      </w:r>
      <w:r>
        <w:rPr>
          <w:rFonts w:hint="eastAsia"/>
          <w:color w:val="auto"/>
          <w:sz w:val="24"/>
          <w:szCs w:val="24"/>
          <w:highlight w:val="none"/>
        </w:rPr>
        <w:t>支付给乙方。乙方迟延提供发票和相关结算资料的，甲方的付款期限相应顺延。</w:t>
      </w:r>
    </w:p>
    <w:p>
      <w:pPr>
        <w:spacing w:line="360" w:lineRule="auto"/>
        <w:ind w:firstLine="472" w:firstLineChars="196"/>
        <w:rPr>
          <w:b/>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一</w:t>
      </w:r>
      <w:r>
        <w:rPr>
          <w:rFonts w:hint="eastAsia"/>
          <w:b/>
          <w:color w:val="auto"/>
          <w:sz w:val="24"/>
          <w:szCs w:val="24"/>
          <w:highlight w:val="none"/>
        </w:rPr>
        <w:t>、违约责任</w:t>
      </w:r>
    </w:p>
    <w:p>
      <w:pPr>
        <w:spacing w:line="360" w:lineRule="auto"/>
        <w:ind w:firstLine="470" w:firstLineChars="196"/>
        <w:rPr>
          <w:rFonts w:ascii="宋体"/>
          <w:color w:val="auto"/>
          <w:sz w:val="24"/>
          <w:szCs w:val="24"/>
          <w:highlight w:val="none"/>
        </w:rPr>
      </w:pPr>
      <w:r>
        <w:rPr>
          <w:rFonts w:hint="eastAsia" w:ascii="宋体" w:hAnsi="宋体"/>
          <w:color w:val="auto"/>
          <w:sz w:val="24"/>
          <w:szCs w:val="24"/>
          <w:highlight w:val="none"/>
        </w:rPr>
        <w:t>1、乙方必须保证供货质量，若因材料质量原因导致的一切损失皆由乙方负责。若出现材料质量事故的，按</w:t>
      </w:r>
      <w:r>
        <w:rPr>
          <w:rFonts w:hint="eastAsia" w:ascii="宋体" w:hAnsi="宋体"/>
          <w:b/>
          <w:color w:val="auto"/>
          <w:sz w:val="24"/>
          <w:szCs w:val="24"/>
          <w:highlight w:val="none"/>
          <w:u w:val="single"/>
        </w:rPr>
        <w:t>贰万元/次</w:t>
      </w:r>
      <w:r>
        <w:rPr>
          <w:rFonts w:hint="eastAsia" w:ascii="宋体" w:hAnsi="宋体"/>
          <w:color w:val="auto"/>
          <w:sz w:val="24"/>
          <w:szCs w:val="24"/>
          <w:highlight w:val="none"/>
        </w:rPr>
        <w:t>的标准向甲方支付违约金，出现二次及以上事故的，</w:t>
      </w:r>
      <w:r>
        <w:rPr>
          <w:rFonts w:hint="eastAsia" w:ascii="宋体"/>
          <w:color w:val="auto"/>
          <w:sz w:val="24"/>
          <w:szCs w:val="24"/>
          <w:highlight w:val="none"/>
        </w:rPr>
        <w:t>甲方可随时终止或解除本合同（因乙方到场材料</w:t>
      </w:r>
      <w:r>
        <w:rPr>
          <w:rFonts w:hint="eastAsia" w:ascii="宋体"/>
          <w:color w:val="auto"/>
          <w:sz w:val="24"/>
          <w:szCs w:val="24"/>
          <w:highlight w:val="none"/>
          <w:lang w:eastAsia="zh-CN"/>
        </w:rPr>
        <w:t>验收</w:t>
      </w:r>
      <w:r>
        <w:rPr>
          <w:rFonts w:hint="eastAsia" w:ascii="宋体"/>
          <w:color w:val="auto"/>
          <w:sz w:val="24"/>
          <w:szCs w:val="24"/>
          <w:highlight w:val="none"/>
        </w:rPr>
        <w:t>未通过，初次拒收，二次终止合同）</w:t>
      </w:r>
      <w:r>
        <w:rPr>
          <w:rFonts w:hint="eastAsia" w:ascii="宋体"/>
          <w:color w:val="auto"/>
          <w:sz w:val="24"/>
          <w:highlight w:val="none"/>
        </w:rPr>
        <w:t>，要求乙方赔偿甲方全部损失</w:t>
      </w:r>
      <w:r>
        <w:rPr>
          <w:rFonts w:hint="eastAsia" w:asci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hAnsi="宋体"/>
          <w:color w:val="auto"/>
          <w:sz w:val="24"/>
          <w:szCs w:val="24"/>
          <w:highlight w:val="none"/>
        </w:rPr>
        <w:t>乙方保证收到甲方短信或通知后</w:t>
      </w:r>
      <w:r>
        <w:rPr>
          <w:rFonts w:hint="eastAsia" w:ascii="宋体" w:hAnsi="宋体"/>
          <w:b/>
          <w:color w:val="auto"/>
          <w:sz w:val="24"/>
          <w:szCs w:val="24"/>
          <w:highlight w:val="none"/>
          <w:u w:val="single"/>
          <w:lang w:val="en-US" w:eastAsia="zh-CN"/>
        </w:rPr>
        <w:t>一日</w:t>
      </w:r>
      <w:r>
        <w:rPr>
          <w:rFonts w:hint="eastAsia" w:ascii="宋体" w:hAnsi="宋体"/>
          <w:color w:val="auto"/>
          <w:sz w:val="24"/>
          <w:szCs w:val="24"/>
          <w:highlight w:val="none"/>
        </w:rPr>
        <w:t>内将甲方所需合同材料送达到指定地点。乙方材料的供应量、送货时间必须满足甲方通知要求和甲方施工进度要求，否则，按</w:t>
      </w:r>
      <w:r>
        <w:rPr>
          <w:rFonts w:hint="eastAsia" w:ascii="宋体" w:hAnsi="宋体"/>
          <w:b/>
          <w:color w:val="auto"/>
          <w:sz w:val="24"/>
          <w:szCs w:val="24"/>
          <w:highlight w:val="none"/>
          <w:u w:val="single"/>
        </w:rPr>
        <w:t>壹万元/天</w:t>
      </w:r>
      <w:r>
        <w:rPr>
          <w:rFonts w:hint="eastAsia" w:ascii="宋体" w:hAnsi="宋体"/>
          <w:color w:val="auto"/>
          <w:sz w:val="24"/>
          <w:szCs w:val="24"/>
          <w:highlight w:val="none"/>
        </w:rPr>
        <w:t>的标准向甲方支付违约金；同时</w:t>
      </w:r>
      <w:r>
        <w:rPr>
          <w:rFonts w:hint="eastAsia" w:ascii="宋体"/>
          <w:color w:val="auto"/>
          <w:sz w:val="24"/>
          <w:szCs w:val="24"/>
          <w:highlight w:val="none"/>
        </w:rPr>
        <w:t>，甲方有权终止或解除合同，并赔偿甲方全部损失。</w:t>
      </w:r>
    </w:p>
    <w:p>
      <w:pPr>
        <w:spacing w:line="360" w:lineRule="auto"/>
        <w:ind w:firstLine="480" w:firstLineChars="200"/>
        <w:rPr>
          <w:rFonts w:ascii="宋体" w:hAns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color w:val="auto"/>
          <w:sz w:val="24"/>
          <w:szCs w:val="24"/>
          <w:highlight w:val="none"/>
        </w:rPr>
      </w:pPr>
      <w:r>
        <w:rPr>
          <w:rFonts w:hint="eastAsia" w:ascii="宋体"/>
          <w:color w:val="auto"/>
          <w:sz w:val="24"/>
          <w:szCs w:val="24"/>
          <w:highlight w:val="none"/>
          <w:lang w:val="en-US" w:eastAsia="zh-CN"/>
        </w:rPr>
        <w:t>4</w:t>
      </w:r>
      <w:r>
        <w:rPr>
          <w:rFonts w:hint="eastAsia"/>
          <w:color w:val="auto"/>
          <w:sz w:val="24"/>
          <w:szCs w:val="24"/>
          <w:highlight w:val="none"/>
        </w:rPr>
        <w:t>、</w:t>
      </w:r>
      <w:r>
        <w:rPr>
          <w:rFonts w:hint="eastAsia"/>
          <w:color w:val="auto"/>
          <w:sz w:val="24"/>
          <w:szCs w:val="24"/>
          <w:highlight w:val="none"/>
          <w:lang w:eastAsia="zh-CN"/>
        </w:rPr>
        <w:t>双方</w:t>
      </w:r>
      <w:r>
        <w:rPr>
          <w:rFonts w:hint="eastAsia" w:ascii="宋体" w:hAnsi="宋体"/>
          <w:color w:val="auto"/>
          <w:sz w:val="24"/>
          <w:szCs w:val="24"/>
          <w:highlight w:val="none"/>
        </w:rPr>
        <w:t>其余违约</w:t>
      </w:r>
      <w:r>
        <w:rPr>
          <w:rFonts w:hint="eastAsia"/>
          <w:color w:val="auto"/>
          <w:sz w:val="24"/>
          <w:szCs w:val="24"/>
          <w:highlight w:val="none"/>
        </w:rPr>
        <w:t>按《中华人民共和国</w:t>
      </w:r>
      <w:r>
        <w:rPr>
          <w:rFonts w:hint="eastAsia"/>
          <w:color w:val="auto"/>
          <w:sz w:val="24"/>
          <w:szCs w:val="24"/>
          <w:highlight w:val="none"/>
          <w:lang w:val="en-US" w:eastAsia="zh-CN"/>
        </w:rPr>
        <w:t>民法典</w:t>
      </w:r>
      <w:r>
        <w:rPr>
          <w:rFonts w:hint="eastAsia"/>
          <w:color w:val="auto"/>
          <w:sz w:val="24"/>
          <w:szCs w:val="24"/>
          <w:highlight w:val="none"/>
        </w:rPr>
        <w:t>》执行。</w:t>
      </w:r>
    </w:p>
    <w:p>
      <w:pPr>
        <w:spacing w:line="360" w:lineRule="auto"/>
        <w:ind w:firstLine="480" w:firstLineChars="200"/>
        <w:textAlignment w:val="baseline"/>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、本合同约定的甲方损失</w:t>
      </w:r>
      <w:r>
        <w:rPr>
          <w:rFonts w:hint="eastAsia" w:ascii="宋体" w:hAnsi="宋体"/>
          <w:color w:val="auto"/>
          <w:sz w:val="24"/>
          <w:highlight w:val="none"/>
        </w:rPr>
        <w:t>包括</w:t>
      </w:r>
      <w:r>
        <w:rPr>
          <w:rFonts w:hint="eastAsia" w:ascii="宋体" w:hAnsi="宋体"/>
          <w:color w:val="auto"/>
          <w:sz w:val="24"/>
          <w:highlight w:val="none"/>
          <w:lang w:eastAsia="zh-CN"/>
        </w:rPr>
        <w:t>供货期</w:t>
      </w:r>
      <w:r>
        <w:rPr>
          <w:rFonts w:hint="eastAsia" w:ascii="宋体" w:hAnsi="宋体"/>
          <w:color w:val="auto"/>
          <w:sz w:val="24"/>
          <w:highlight w:val="none"/>
        </w:rPr>
        <w:t>延误损失、甲方向第三人承担的违约金、赔偿金、甲方预期利润等全部直接和间接损失。</w:t>
      </w:r>
    </w:p>
    <w:p>
      <w:pPr>
        <w:spacing w:line="360" w:lineRule="auto"/>
        <w:ind w:firstLine="472" w:firstLineChars="196"/>
        <w:textAlignment w:val="baseline"/>
        <w:rPr>
          <w:b/>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二</w:t>
      </w:r>
      <w:r>
        <w:rPr>
          <w:rFonts w:hint="eastAsia"/>
          <w:b/>
          <w:color w:val="auto"/>
          <w:sz w:val="24"/>
          <w:szCs w:val="24"/>
          <w:highlight w:val="none"/>
        </w:rPr>
        <w:t>、其它约定事项</w:t>
      </w:r>
    </w:p>
    <w:p>
      <w:pPr>
        <w:spacing w:line="360" w:lineRule="auto"/>
        <w:ind w:firstLine="472" w:firstLineChars="197"/>
        <w:textAlignment w:val="baseline"/>
        <w:rPr>
          <w:rFonts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本合同</w:t>
      </w:r>
      <w:r>
        <w:rPr>
          <w:rFonts w:hint="eastAsia"/>
          <w:color w:val="auto"/>
          <w:sz w:val="24"/>
          <w:szCs w:val="24"/>
          <w:highlight w:val="none"/>
        </w:rPr>
        <w:t>为</w:t>
      </w:r>
      <w:r>
        <w:rPr>
          <w:rFonts w:hint="eastAsia"/>
          <w:b/>
          <w:color w:val="auto"/>
          <w:sz w:val="24"/>
          <w:szCs w:val="24"/>
          <w:highlight w:val="none"/>
          <w:u w:val="single"/>
        </w:rPr>
        <w:t>综合单价</w:t>
      </w:r>
      <w:r>
        <w:rPr>
          <w:rFonts w:hint="eastAsia"/>
          <w:color w:val="auto"/>
          <w:sz w:val="24"/>
          <w:szCs w:val="24"/>
          <w:highlight w:val="none"/>
        </w:rPr>
        <w:t>合同。</w:t>
      </w:r>
      <w:r>
        <w:rPr>
          <w:rFonts w:hint="eastAsia" w:ascii="宋体" w:hAnsi="宋体"/>
          <w:color w:val="auto"/>
          <w:sz w:val="24"/>
          <w:szCs w:val="24"/>
          <w:highlight w:val="none"/>
        </w:rPr>
        <w:t>应是乙方将材料</w:t>
      </w:r>
      <w:r>
        <w:rPr>
          <w:rFonts w:hint="eastAsia" w:ascii="宋体" w:hAnsi="宋体"/>
          <w:color w:val="auto"/>
          <w:sz w:val="24"/>
          <w:szCs w:val="24"/>
          <w:highlight w:val="none"/>
          <w:lang w:val="en-US" w:eastAsia="zh-CN"/>
        </w:rPr>
        <w:t>完成加工</w:t>
      </w:r>
      <w:r>
        <w:rPr>
          <w:rFonts w:hint="eastAsia" w:ascii="宋体" w:hAnsi="宋体"/>
          <w:color w:val="auto"/>
          <w:sz w:val="24"/>
          <w:szCs w:val="24"/>
          <w:highlight w:val="none"/>
        </w:rPr>
        <w:t>的全部工作的综合单价。</w:t>
      </w:r>
    </w:p>
    <w:p>
      <w:pPr>
        <w:spacing w:line="360" w:lineRule="auto"/>
        <w:ind w:firstLine="460" w:firstLineChars="192"/>
        <w:rPr>
          <w:rFonts w:ascii="宋体" w:hAnsi="宋体"/>
          <w:color w:val="auto"/>
          <w:sz w:val="24"/>
          <w:szCs w:val="24"/>
          <w:highlight w:val="none"/>
        </w:rPr>
      </w:pPr>
      <w:r>
        <w:rPr>
          <w:rFonts w:hint="eastAsia" w:ascii="宋体" w:hAnsi="宋体"/>
          <w:color w:val="auto"/>
          <w:sz w:val="24"/>
          <w:szCs w:val="24"/>
          <w:highlight w:val="none"/>
        </w:rPr>
        <w:t>2、在实际供货中，可能会因施工调整、质量等原因对</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数量和时间进行调整，会导致乙方在实际</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中数量发生变化，最终</w:t>
      </w:r>
      <w:r>
        <w:rPr>
          <w:rFonts w:hint="eastAsia"/>
          <w:color w:val="auto"/>
          <w:sz w:val="24"/>
          <w:szCs w:val="24"/>
          <w:highlight w:val="none"/>
        </w:rPr>
        <w:t>数量以</w:t>
      </w:r>
      <w:r>
        <w:rPr>
          <w:rFonts w:hint="eastAsia"/>
          <w:color w:val="auto"/>
          <w:sz w:val="24"/>
          <w:szCs w:val="24"/>
          <w:highlight w:val="none"/>
          <w:lang w:eastAsia="zh-CN"/>
        </w:rPr>
        <w:t>甲</w:t>
      </w:r>
      <w:r>
        <w:rPr>
          <w:rFonts w:hint="eastAsia"/>
          <w:color w:val="auto"/>
          <w:sz w:val="24"/>
          <w:szCs w:val="24"/>
          <w:highlight w:val="none"/>
        </w:rPr>
        <w:t>方代表确认的实际</w:t>
      </w:r>
      <w:r>
        <w:rPr>
          <w:rFonts w:hint="eastAsia"/>
          <w:color w:val="auto"/>
          <w:sz w:val="24"/>
          <w:szCs w:val="24"/>
          <w:highlight w:val="none"/>
          <w:lang w:val="en-US" w:eastAsia="zh-CN"/>
        </w:rPr>
        <w:t>加工</w:t>
      </w:r>
      <w:r>
        <w:rPr>
          <w:rFonts w:hint="eastAsia"/>
          <w:color w:val="auto"/>
          <w:sz w:val="24"/>
          <w:szCs w:val="24"/>
          <w:highlight w:val="none"/>
        </w:rPr>
        <w:t>合格数量为准</w:t>
      </w:r>
      <w:r>
        <w:rPr>
          <w:rFonts w:hint="eastAsia" w:ascii="宋体" w:hAnsi="宋体"/>
          <w:color w:val="auto"/>
          <w:sz w:val="24"/>
          <w:szCs w:val="24"/>
          <w:highlight w:val="none"/>
        </w:rPr>
        <w:t>。期间乙方不得以</w:t>
      </w:r>
      <w:r>
        <w:rPr>
          <w:rFonts w:hint="eastAsia" w:ascii="宋体" w:hAnsi="宋体"/>
          <w:color w:val="auto"/>
          <w:sz w:val="24"/>
          <w:szCs w:val="24"/>
          <w:highlight w:val="none"/>
          <w:lang w:val="en-US" w:eastAsia="zh-CN"/>
        </w:rPr>
        <w:t>加工</w:t>
      </w:r>
      <w:r>
        <w:rPr>
          <w:rFonts w:hint="eastAsia" w:ascii="宋体" w:hAnsi="宋体"/>
          <w:color w:val="auto"/>
          <w:sz w:val="24"/>
          <w:szCs w:val="24"/>
          <w:highlight w:val="none"/>
        </w:rPr>
        <w:t>数量和时间有变化要求进行单价变更。</w:t>
      </w:r>
    </w:p>
    <w:p>
      <w:pPr>
        <w:spacing w:line="360" w:lineRule="auto"/>
        <w:ind w:firstLine="472" w:firstLineChars="197"/>
        <w:textAlignment w:val="baseline"/>
        <w:rPr>
          <w:color w:val="auto"/>
          <w:sz w:val="24"/>
          <w:szCs w:val="24"/>
          <w:highlight w:val="none"/>
        </w:rPr>
      </w:pPr>
      <w:r>
        <w:rPr>
          <w:rFonts w:hint="eastAsia"/>
          <w:color w:val="auto"/>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hint="eastAsia" w:ascii="宋体" w:hAnsi="宋体"/>
          <w:color w:val="auto"/>
          <w:sz w:val="24"/>
          <w:highlight w:val="none"/>
        </w:rPr>
      </w:pPr>
      <w:r>
        <w:rPr>
          <w:rFonts w:hint="eastAsia" w:ascii="宋体" w:hAnsi="宋体"/>
          <w:color w:val="auto"/>
          <w:sz w:val="24"/>
          <w:szCs w:val="24"/>
          <w:highlight w:val="none"/>
        </w:rPr>
        <w:t>4、</w:t>
      </w:r>
      <w:r>
        <w:rPr>
          <w:rFonts w:hint="eastAsia"/>
          <w:color w:val="auto"/>
          <w:sz w:val="24"/>
          <w:szCs w:val="24"/>
          <w:highlight w:val="none"/>
        </w:rPr>
        <w:t>甲方的</w:t>
      </w:r>
      <w:r>
        <w:rPr>
          <w:rFonts w:hint="eastAsia"/>
          <w:color w:val="auto"/>
          <w:sz w:val="24"/>
          <w:szCs w:val="24"/>
          <w:highlight w:val="none"/>
          <w:u w:val="single"/>
          <w:lang w:eastAsia="zh-CN"/>
        </w:rPr>
        <w:t>招标</w:t>
      </w:r>
      <w:r>
        <w:rPr>
          <w:rFonts w:hint="eastAsia"/>
          <w:color w:val="auto"/>
          <w:sz w:val="24"/>
          <w:szCs w:val="24"/>
          <w:highlight w:val="none"/>
          <w:u w:val="single"/>
          <w:lang w:val="en-US" w:eastAsia="zh-CN"/>
        </w:rPr>
        <w:t>文件</w:t>
      </w:r>
      <w:r>
        <w:rPr>
          <w:rFonts w:hint="eastAsia"/>
          <w:color w:val="auto"/>
          <w:sz w:val="24"/>
          <w:szCs w:val="24"/>
          <w:highlight w:val="none"/>
        </w:rPr>
        <w:t>及乙方的</w:t>
      </w:r>
      <w:r>
        <w:rPr>
          <w:rFonts w:hint="eastAsia"/>
          <w:color w:val="auto"/>
          <w:sz w:val="24"/>
          <w:szCs w:val="24"/>
          <w:highlight w:val="none"/>
          <w:u w:val="single"/>
          <w:lang w:val="en-US" w:eastAsia="zh-CN"/>
        </w:rPr>
        <w:t>报价</w:t>
      </w:r>
      <w:r>
        <w:rPr>
          <w:rFonts w:hint="eastAsia"/>
          <w:color w:val="auto"/>
          <w:sz w:val="24"/>
          <w:szCs w:val="24"/>
          <w:highlight w:val="none"/>
          <w:u w:val="single"/>
          <w:lang w:eastAsia="zh-CN"/>
        </w:rPr>
        <w:t>文件</w:t>
      </w:r>
      <w:r>
        <w:rPr>
          <w:rFonts w:hint="eastAsia"/>
          <w:color w:val="auto"/>
          <w:sz w:val="24"/>
          <w:szCs w:val="24"/>
          <w:highlight w:val="none"/>
        </w:rPr>
        <w:t>作为本合同的附件，具有同等法律效力，</w:t>
      </w:r>
      <w:r>
        <w:rPr>
          <w:rFonts w:hint="eastAsia" w:ascii="宋体" w:hAnsi="宋体"/>
          <w:color w:val="auto"/>
          <w:sz w:val="24"/>
          <w:highlight w:val="none"/>
        </w:rPr>
        <w:t>若有不一致或矛盾之处，以本合同条款为准。</w:t>
      </w:r>
    </w:p>
    <w:p>
      <w:pPr>
        <w:spacing w:line="360" w:lineRule="auto"/>
        <w:ind w:firstLine="472" w:firstLineChars="196"/>
        <w:textAlignment w:val="baseline"/>
        <w:rPr>
          <w:rFonts w:hint="eastAsia" w:ascii="宋体" w:hAnsi="宋体"/>
          <w:b/>
          <w:color w:val="auto"/>
          <w:sz w:val="24"/>
          <w:szCs w:val="24"/>
          <w:highlight w:val="none"/>
          <w:u w:val="none"/>
          <w:lang w:val="en-US" w:eastAsia="zh-CN"/>
        </w:rPr>
      </w:pPr>
      <w:r>
        <w:rPr>
          <w:rFonts w:hint="eastAsia"/>
          <w:b/>
          <w:color w:val="auto"/>
          <w:sz w:val="24"/>
          <w:szCs w:val="24"/>
          <w:highlight w:val="none"/>
        </w:rPr>
        <w:t>十</w:t>
      </w:r>
      <w:r>
        <w:rPr>
          <w:rFonts w:hint="eastAsia"/>
          <w:b/>
          <w:color w:val="auto"/>
          <w:sz w:val="24"/>
          <w:szCs w:val="24"/>
          <w:highlight w:val="none"/>
          <w:lang w:eastAsia="zh-CN"/>
        </w:rPr>
        <w:t>三</w:t>
      </w:r>
      <w:r>
        <w:rPr>
          <w:rFonts w:hint="eastAsia"/>
          <w:b/>
          <w:color w:val="auto"/>
          <w:sz w:val="24"/>
          <w:szCs w:val="24"/>
          <w:highlight w:val="none"/>
        </w:rPr>
        <w:t>、本合同有效期</w:t>
      </w:r>
      <w:r>
        <w:rPr>
          <w:rFonts w:hint="eastAsia" w:ascii="宋体" w:hAnsi="宋体"/>
          <w:color w:val="auto"/>
          <w:sz w:val="24"/>
          <w:szCs w:val="24"/>
          <w:highlight w:val="none"/>
        </w:rPr>
        <w:t>：</w:t>
      </w:r>
      <w:r>
        <w:rPr>
          <w:rFonts w:hint="eastAsia" w:ascii="宋体" w:hAnsi="宋体"/>
          <w:color w:val="auto"/>
          <w:sz w:val="24"/>
          <w:szCs w:val="24"/>
          <w:highlight w:val="none"/>
          <w:lang w:eastAsia="zh-CN"/>
        </w:rPr>
        <w:t>壹年，</w:t>
      </w:r>
      <w:r>
        <w:rPr>
          <w:rFonts w:hint="eastAsia" w:ascii="宋体" w:hAnsi="宋体"/>
          <w:b/>
          <w:color w:val="auto"/>
          <w:sz w:val="24"/>
          <w:szCs w:val="24"/>
          <w:highlight w:val="none"/>
          <w:u w:val="none"/>
          <w:lang w:val="en-US" w:eastAsia="zh-CN"/>
        </w:rPr>
        <w:t>2023</w:t>
      </w:r>
      <w:r>
        <w:rPr>
          <w:rFonts w:hint="eastAsia" w:ascii="宋体" w:hAnsi="宋体"/>
          <w:b/>
          <w:color w:val="auto"/>
          <w:sz w:val="24"/>
          <w:szCs w:val="24"/>
          <w:highlight w:val="none"/>
          <w:u w:val="none"/>
        </w:rPr>
        <w:t>年</w:t>
      </w:r>
      <w:r>
        <w:rPr>
          <w:rFonts w:hint="eastAsia" w:ascii="宋体" w:hAnsi="宋体"/>
          <w:b/>
          <w:color w:val="auto"/>
          <w:sz w:val="24"/>
          <w:szCs w:val="24"/>
          <w:highlight w:val="none"/>
          <w:u w:val="none"/>
          <w:lang w:val="en-US" w:eastAsia="zh-CN"/>
        </w:rPr>
        <w:t>04</w:t>
      </w:r>
      <w:r>
        <w:rPr>
          <w:rFonts w:hint="eastAsia" w:ascii="宋体" w:hAnsi="宋体"/>
          <w:b/>
          <w:color w:val="auto"/>
          <w:sz w:val="24"/>
          <w:szCs w:val="24"/>
          <w:highlight w:val="none"/>
          <w:u w:val="none"/>
        </w:rPr>
        <w:t>月至</w:t>
      </w:r>
      <w:r>
        <w:rPr>
          <w:rFonts w:hint="eastAsia" w:ascii="宋体" w:hAnsi="宋体"/>
          <w:b/>
          <w:color w:val="auto"/>
          <w:sz w:val="24"/>
          <w:szCs w:val="24"/>
          <w:highlight w:val="none"/>
          <w:u w:val="none"/>
          <w:lang w:val="en-US" w:eastAsia="zh-CN"/>
        </w:rPr>
        <w:t>该项目完工</w:t>
      </w:r>
    </w:p>
    <w:p>
      <w:pPr>
        <w:spacing w:line="360" w:lineRule="auto"/>
        <w:ind w:firstLine="472" w:firstLineChars="196"/>
        <w:textAlignment w:val="baseline"/>
        <w:rPr>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四</w:t>
      </w:r>
      <w:r>
        <w:rPr>
          <w:rFonts w:hint="eastAsia"/>
          <w:b/>
          <w:color w:val="auto"/>
          <w:sz w:val="24"/>
          <w:szCs w:val="24"/>
          <w:highlight w:val="none"/>
        </w:rPr>
        <w:t>、争议及解决方式：</w:t>
      </w:r>
      <w:r>
        <w:rPr>
          <w:rFonts w:hint="eastAsia"/>
          <w:color w:val="auto"/>
          <w:sz w:val="24"/>
          <w:szCs w:val="24"/>
          <w:highlight w:val="none"/>
        </w:rPr>
        <w:t>本合同在执行过程中若发生争议，双方协商解决，协商不成，可向</w:t>
      </w:r>
      <w:r>
        <w:rPr>
          <w:rFonts w:hint="eastAsia"/>
          <w:b/>
          <w:color w:val="auto"/>
          <w:sz w:val="24"/>
          <w:szCs w:val="24"/>
          <w:highlight w:val="none"/>
          <w:u w:val="single"/>
        </w:rPr>
        <w:t>重庆</w:t>
      </w:r>
      <w:r>
        <w:rPr>
          <w:rFonts w:hint="eastAsia"/>
          <w:color w:val="auto"/>
          <w:sz w:val="24"/>
          <w:szCs w:val="24"/>
          <w:highlight w:val="none"/>
        </w:rPr>
        <w:t>仲裁委员会申请仲裁。</w:t>
      </w:r>
    </w:p>
    <w:p>
      <w:pPr>
        <w:spacing w:line="360" w:lineRule="auto"/>
        <w:ind w:firstLine="472" w:firstLineChars="196"/>
        <w:textAlignment w:val="baseline"/>
        <w:rPr>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五</w:t>
      </w:r>
      <w:r>
        <w:rPr>
          <w:rFonts w:hint="eastAsia"/>
          <w:b/>
          <w:color w:val="auto"/>
          <w:sz w:val="24"/>
          <w:szCs w:val="24"/>
          <w:highlight w:val="none"/>
        </w:rPr>
        <w:t>、合同签订点</w:t>
      </w:r>
      <w:r>
        <w:rPr>
          <w:rFonts w:hint="eastAsia"/>
          <w:color w:val="auto"/>
          <w:sz w:val="24"/>
          <w:szCs w:val="24"/>
          <w:highlight w:val="none"/>
        </w:rPr>
        <w:t>：重庆市沙坪坝区梨高路4号</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eastAsia="zh-CN"/>
        </w:rPr>
        <w:t>六</w:t>
      </w:r>
      <w:r>
        <w:rPr>
          <w:rFonts w:hint="eastAsia"/>
          <w:b/>
          <w:color w:val="auto"/>
          <w:sz w:val="24"/>
          <w:szCs w:val="24"/>
          <w:highlight w:val="none"/>
        </w:rPr>
        <w:t>、</w:t>
      </w:r>
      <w:r>
        <w:rPr>
          <w:rFonts w:hint="eastAsia"/>
          <w:color w:val="auto"/>
          <w:sz w:val="24"/>
          <w:szCs w:val="24"/>
          <w:highlight w:val="none"/>
        </w:rPr>
        <w:t>本合同一式</w:t>
      </w:r>
      <w:r>
        <w:rPr>
          <w:rFonts w:hint="eastAsia"/>
          <w:b/>
          <w:color w:val="auto"/>
          <w:sz w:val="24"/>
          <w:szCs w:val="24"/>
          <w:highlight w:val="none"/>
          <w:u w:val="single"/>
          <w:lang w:eastAsia="zh-CN"/>
        </w:rPr>
        <w:t>陆</w:t>
      </w:r>
      <w:r>
        <w:rPr>
          <w:rFonts w:hint="eastAsia"/>
          <w:color w:val="auto"/>
          <w:sz w:val="24"/>
          <w:szCs w:val="24"/>
          <w:highlight w:val="none"/>
        </w:rPr>
        <w:t>份，甲方执</w:t>
      </w:r>
      <w:r>
        <w:rPr>
          <w:rFonts w:hint="eastAsia"/>
          <w:b/>
          <w:color w:val="auto"/>
          <w:sz w:val="24"/>
          <w:szCs w:val="24"/>
          <w:highlight w:val="none"/>
          <w:u w:val="single"/>
          <w:lang w:eastAsia="zh-CN"/>
        </w:rPr>
        <w:t>肆</w:t>
      </w:r>
      <w:r>
        <w:rPr>
          <w:rFonts w:hint="eastAsia"/>
          <w:color w:val="auto"/>
          <w:sz w:val="24"/>
          <w:szCs w:val="24"/>
          <w:highlight w:val="none"/>
        </w:rPr>
        <w:t>份，乙方执</w:t>
      </w:r>
      <w:r>
        <w:rPr>
          <w:rFonts w:hint="eastAsia"/>
          <w:b/>
          <w:color w:val="auto"/>
          <w:sz w:val="24"/>
          <w:szCs w:val="24"/>
          <w:highlight w:val="none"/>
          <w:u w:val="single"/>
          <w:lang w:eastAsia="zh-CN"/>
        </w:rPr>
        <w:t>贰</w:t>
      </w:r>
      <w:r>
        <w:rPr>
          <w:rFonts w:hint="eastAsia"/>
          <w:color w:val="auto"/>
          <w:sz w:val="24"/>
          <w:szCs w:val="24"/>
          <w:highlight w:val="none"/>
        </w:rPr>
        <w:t>份，具有同等法律效力；自双方签字并盖章后生效，完成财务结算支付后自动失效。</w:t>
      </w:r>
    </w:p>
    <w:p>
      <w:pPr>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此页无正文</w:t>
      </w:r>
      <w:r>
        <w:rPr>
          <w:rFonts w:hint="eastAsia"/>
          <w:color w:val="auto"/>
          <w:sz w:val="24"/>
          <w:szCs w:val="24"/>
          <w:highlight w:val="none"/>
          <w:lang w:eastAsia="zh-CN"/>
        </w:rPr>
        <w:t>）</w:t>
      </w:r>
    </w:p>
    <w:p>
      <w:pPr>
        <w:spacing w:line="360" w:lineRule="auto"/>
        <w:rPr>
          <w:color w:val="auto"/>
          <w:sz w:val="24"/>
          <w:szCs w:val="24"/>
          <w:highlight w:val="none"/>
        </w:rPr>
      </w:pPr>
      <w:r>
        <w:rPr>
          <w:rFonts w:hint="eastAsia"/>
          <w:color w:val="auto"/>
          <w:sz w:val="24"/>
          <w:szCs w:val="24"/>
          <w:highlight w:val="none"/>
        </w:rPr>
        <w:t>甲方（盖章）：                           乙方（盖章）：</w:t>
      </w:r>
    </w:p>
    <w:p>
      <w:pPr>
        <w:spacing w:line="360" w:lineRule="exact"/>
        <w:rPr>
          <w:rFonts w:hint="eastAsia"/>
          <w:color w:val="auto"/>
          <w:sz w:val="24"/>
          <w:szCs w:val="24"/>
          <w:highlight w:val="none"/>
        </w:rPr>
      </w:pPr>
      <w:r>
        <w:rPr>
          <w:rFonts w:hint="eastAsia"/>
          <w:color w:val="auto"/>
          <w:sz w:val="24"/>
          <w:szCs w:val="24"/>
          <w:highlight w:val="none"/>
        </w:rPr>
        <w:t xml:space="preserve">重庆通力高速公路养护工程有限公司         </w:t>
      </w:r>
      <w:r>
        <w:rPr>
          <w:rFonts w:hint="eastAsia"/>
          <w:b w:val="0"/>
          <w:bCs w:val="0"/>
          <w:color w:val="auto"/>
          <w:sz w:val="24"/>
          <w:szCs w:val="24"/>
          <w:highlight w:val="none"/>
          <w:lang w:eastAsia="zh-CN"/>
        </w:rPr>
        <w:t xml:space="preserve"> </w:t>
      </w:r>
    </w:p>
    <w:p>
      <w:pPr>
        <w:spacing w:line="360" w:lineRule="auto"/>
        <w:rPr>
          <w:color w:val="auto"/>
          <w:sz w:val="24"/>
          <w:szCs w:val="24"/>
          <w:highlight w:val="none"/>
        </w:rPr>
      </w:pPr>
      <w:r>
        <w:rPr>
          <w:rFonts w:hint="eastAsia"/>
          <w:color w:val="auto"/>
          <w:sz w:val="24"/>
          <w:szCs w:val="24"/>
          <w:highlight w:val="none"/>
        </w:rPr>
        <w:t>法定代表人                               法定代表人</w:t>
      </w:r>
    </w:p>
    <w:p>
      <w:pPr>
        <w:spacing w:line="360" w:lineRule="auto"/>
        <w:rPr>
          <w:color w:val="auto"/>
          <w:sz w:val="24"/>
          <w:szCs w:val="24"/>
          <w:highlight w:val="none"/>
        </w:rPr>
      </w:pPr>
      <w:r>
        <w:rPr>
          <w:rFonts w:hint="eastAsia"/>
          <w:color w:val="auto"/>
          <w:sz w:val="24"/>
          <w:szCs w:val="24"/>
          <w:highlight w:val="none"/>
        </w:rPr>
        <w:t>或授权代表：                             或授权代表：</w:t>
      </w:r>
    </w:p>
    <w:p>
      <w:pPr>
        <w:spacing w:line="360" w:lineRule="auto"/>
        <w:rPr>
          <w:color w:val="auto"/>
          <w:sz w:val="24"/>
          <w:szCs w:val="24"/>
          <w:highlight w:val="none"/>
        </w:rPr>
      </w:pPr>
      <w:r>
        <w:rPr>
          <w:rFonts w:hint="eastAsia"/>
          <w:color w:val="auto"/>
          <w:sz w:val="24"/>
          <w:szCs w:val="24"/>
          <w:highlight w:val="none"/>
        </w:rPr>
        <w:t>部门负责人：                             经办人：</w:t>
      </w:r>
    </w:p>
    <w:p>
      <w:pPr>
        <w:spacing w:line="360" w:lineRule="auto"/>
        <w:rPr>
          <w:color w:val="auto"/>
          <w:sz w:val="24"/>
          <w:szCs w:val="24"/>
          <w:highlight w:val="none"/>
        </w:rPr>
      </w:pPr>
      <w:r>
        <w:rPr>
          <w:rFonts w:hint="eastAsia"/>
          <w:color w:val="auto"/>
          <w:sz w:val="24"/>
          <w:szCs w:val="24"/>
          <w:highlight w:val="none"/>
        </w:rPr>
        <w:t>经办人：                                 开户银行：</w:t>
      </w:r>
      <w:r>
        <w:rPr>
          <w:rFonts w:hint="eastAsia"/>
          <w:color w:val="auto"/>
          <w:sz w:val="24"/>
          <w:szCs w:val="24"/>
          <w:highlight w:val="none"/>
          <w:lang w:val="en-US" w:eastAsia="zh-CN"/>
        </w:rPr>
        <w:t xml:space="preserve">         </w:t>
      </w:r>
    </w:p>
    <w:p>
      <w:pPr>
        <w:spacing w:line="360" w:lineRule="auto"/>
        <w:rPr>
          <w:color w:val="auto"/>
          <w:sz w:val="24"/>
          <w:szCs w:val="24"/>
          <w:highlight w:val="none"/>
        </w:rPr>
      </w:pPr>
      <w:r>
        <w:rPr>
          <w:rFonts w:hint="eastAsia"/>
          <w:color w:val="auto"/>
          <w:sz w:val="24"/>
          <w:szCs w:val="24"/>
          <w:highlight w:val="none"/>
        </w:rPr>
        <w:t xml:space="preserve">                                         账号：</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p>
    <w:p>
      <w:pPr>
        <w:spacing w:line="360" w:lineRule="auto"/>
        <w:textAlignment w:val="auto"/>
        <w:rPr>
          <w:color w:val="auto"/>
          <w:highlight w:val="none"/>
        </w:rPr>
      </w:pPr>
    </w:p>
    <w:p>
      <w:pPr>
        <w:spacing w:line="360" w:lineRule="exact"/>
        <w:rPr>
          <w:rFonts w:hint="eastAsia"/>
          <w:color w:val="auto"/>
          <w:sz w:val="24"/>
          <w:highlight w:val="none"/>
        </w:rPr>
      </w:pPr>
      <w:r>
        <w:rPr>
          <w:rFonts w:hint="eastAsia"/>
          <w:color w:val="auto"/>
          <w:sz w:val="24"/>
          <w:highlight w:val="none"/>
        </w:rPr>
        <w:t xml:space="preserve">日期：    年   月    日 　　           </w:t>
      </w:r>
      <w:r>
        <w:rPr>
          <w:rFonts w:hint="eastAsia"/>
          <w:color w:val="auto"/>
          <w:sz w:val="24"/>
          <w:highlight w:val="none"/>
          <w:lang w:val="en-US" w:eastAsia="zh-CN"/>
        </w:rPr>
        <w:t xml:space="preserve">  </w:t>
      </w:r>
      <w:r>
        <w:rPr>
          <w:rFonts w:hint="eastAsia"/>
          <w:color w:val="auto"/>
          <w:sz w:val="24"/>
          <w:highlight w:val="none"/>
        </w:rPr>
        <w:t xml:space="preserve">日期：    年   月    </w:t>
      </w:r>
    </w:p>
    <w:p>
      <w:pPr>
        <w:spacing w:line="360" w:lineRule="exact"/>
        <w:rPr>
          <w:rFonts w:hint="eastAsia"/>
          <w:b/>
          <w:color w:val="auto"/>
          <w:sz w:val="36"/>
          <w:highlight w:val="none"/>
          <w:lang w:val="en-US" w:eastAsia="zh-CN"/>
        </w:rPr>
      </w:pPr>
      <w:r>
        <w:rPr>
          <w:rFonts w:hint="eastAsia"/>
          <w:b/>
          <w:color w:val="auto"/>
          <w:sz w:val="36"/>
          <w:highlight w:val="none"/>
          <w:lang w:val="en-US" w:eastAsia="zh-CN"/>
        </w:rPr>
        <w:br w:type="page"/>
      </w:r>
      <w:r>
        <w:rPr>
          <w:rFonts w:hint="eastAsia"/>
          <w:b/>
          <w:color w:val="auto"/>
          <w:sz w:val="36"/>
          <w:highlight w:val="none"/>
          <w:lang w:val="en-US" w:eastAsia="zh-CN"/>
        </w:rPr>
        <w:t>渝邻高速公路K1533+500-K1548+109段路面修复养护工程</w:t>
      </w:r>
    </w:p>
    <w:p>
      <w:pPr>
        <w:spacing w:line="360" w:lineRule="exact"/>
        <w:jc w:val="center"/>
        <w:rPr>
          <w:b/>
          <w:color w:val="auto"/>
          <w:szCs w:val="21"/>
          <w:highlight w:val="none"/>
        </w:rPr>
      </w:pPr>
      <w:r>
        <w:rPr>
          <w:rFonts w:hint="eastAsia"/>
          <w:b/>
          <w:color w:val="auto"/>
          <w:sz w:val="36"/>
          <w:highlight w:val="none"/>
          <w:lang w:val="en-US" w:eastAsia="zh-CN"/>
        </w:rPr>
        <w:t>沥青混合料加工</w:t>
      </w:r>
      <w:r>
        <w:rPr>
          <w:rFonts w:hint="eastAsia"/>
          <w:b/>
          <w:color w:val="auto"/>
          <w:sz w:val="36"/>
          <w:highlight w:val="none"/>
        </w:rPr>
        <w:t>合同</w:t>
      </w:r>
      <w:r>
        <w:rPr>
          <w:rFonts w:hint="eastAsia"/>
          <w:b/>
          <w:color w:val="auto"/>
          <w:sz w:val="36"/>
          <w:szCs w:val="20"/>
          <w:highlight w:val="none"/>
          <w:u w:val="none"/>
          <w:lang w:val="en-US" w:eastAsia="zh-CN"/>
        </w:rPr>
        <w:t>之</w:t>
      </w:r>
      <w:r>
        <w:rPr>
          <w:rFonts w:hint="eastAsia"/>
          <w:b/>
          <w:color w:val="auto"/>
          <w:sz w:val="36"/>
          <w:szCs w:val="20"/>
          <w:highlight w:val="none"/>
        </w:rPr>
        <w:t>廉政合同</w:t>
      </w:r>
    </w:p>
    <w:p>
      <w:pPr>
        <w:spacing w:line="360" w:lineRule="exact"/>
        <w:textAlignment w:val="baseline"/>
        <w:rPr>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color w:val="auto"/>
          <w:szCs w:val="21"/>
          <w:highlight w:val="none"/>
          <w:u w:val="single"/>
        </w:rPr>
        <w:t>重庆通力高速公路养护工程有限公司</w:t>
      </w:r>
      <w:r>
        <w:rPr>
          <w:rFonts w:hint="eastAsia"/>
          <w:color w:val="auto"/>
          <w:szCs w:val="21"/>
          <w:highlight w:val="none"/>
        </w:rPr>
        <w:t>（以下称甲方）与</w:t>
      </w:r>
      <w:r>
        <w:rPr>
          <w:rFonts w:hint="eastAsia"/>
          <w:color w:val="auto"/>
          <w:szCs w:val="21"/>
          <w:highlight w:val="none"/>
          <w:u w:val="single"/>
        </w:rPr>
        <w:t xml:space="preserve"> </w:t>
      </w:r>
      <w:r>
        <w:rPr>
          <w:rFonts w:hint="eastAsia"/>
          <w:b/>
          <w:bCs/>
          <w:color w:val="auto"/>
          <w:szCs w:val="21"/>
          <w:highlight w:val="none"/>
          <w:u w:val="single"/>
          <w:lang w:eastAsia="zh-CN"/>
        </w:rPr>
        <w:t xml:space="preserve"> </w:t>
      </w:r>
      <w:r>
        <w:rPr>
          <w:rFonts w:hint="eastAsia"/>
          <w:b/>
          <w:bCs/>
          <w:color w:val="auto"/>
          <w:szCs w:val="21"/>
          <w:highlight w:val="none"/>
          <w:u w:val="single"/>
          <w:lang w:val="en-US" w:eastAsia="zh-CN"/>
        </w:rPr>
        <w:t xml:space="preserve">                   </w:t>
      </w:r>
      <w:r>
        <w:rPr>
          <w:rFonts w:hint="eastAsia"/>
          <w:color w:val="auto"/>
          <w:szCs w:val="21"/>
          <w:highlight w:val="none"/>
        </w:rPr>
        <w:t xml:space="preserve">（以下称乙方），特订立如下合同。   </w:t>
      </w:r>
    </w:p>
    <w:p>
      <w:pPr>
        <w:spacing w:line="360" w:lineRule="exact"/>
        <w:ind w:firstLine="422" w:firstLineChars="200"/>
        <w:textAlignment w:val="baseline"/>
        <w:rPr>
          <w:color w:val="auto"/>
          <w:szCs w:val="21"/>
          <w:highlight w:val="none"/>
        </w:rPr>
      </w:pPr>
      <w:r>
        <w:rPr>
          <w:rFonts w:hint="eastAsia"/>
          <w:b/>
          <w:color w:val="auto"/>
          <w:szCs w:val="21"/>
          <w:highlight w:val="none"/>
        </w:rPr>
        <w:t>一、甲乙双方的权利和义务</w:t>
      </w:r>
    </w:p>
    <w:p>
      <w:pPr>
        <w:spacing w:line="360" w:lineRule="exact"/>
        <w:ind w:firstLine="420" w:firstLineChars="200"/>
        <w:rPr>
          <w:color w:val="auto"/>
          <w:szCs w:val="21"/>
          <w:highlight w:val="none"/>
        </w:rPr>
      </w:pPr>
      <w:r>
        <w:rPr>
          <w:rFonts w:hint="eastAsia"/>
          <w:color w:val="auto"/>
          <w:szCs w:val="21"/>
          <w:highlight w:val="none"/>
        </w:rPr>
        <w:t>1、严格遵守党和国家有关法律法规及交通部的有关规定。</w:t>
      </w:r>
    </w:p>
    <w:p>
      <w:pPr>
        <w:spacing w:line="360" w:lineRule="exact"/>
        <w:ind w:firstLine="420" w:firstLineChars="200"/>
        <w:rPr>
          <w:color w:val="auto"/>
          <w:szCs w:val="21"/>
          <w:highlight w:val="none"/>
        </w:rPr>
      </w:pPr>
      <w:r>
        <w:rPr>
          <w:rFonts w:hint="eastAsia"/>
          <w:color w:val="auto"/>
          <w:szCs w:val="21"/>
          <w:highlight w:val="none"/>
        </w:rPr>
        <w:t>2、严格执</w:t>
      </w:r>
      <w:r>
        <w:rPr>
          <w:rFonts w:hint="eastAsia"/>
          <w:b/>
          <w:color w:val="auto"/>
          <w:szCs w:val="21"/>
          <w:highlight w:val="none"/>
        </w:rPr>
        <w:t>行《</w:t>
      </w:r>
      <w:r>
        <w:rPr>
          <w:rFonts w:hint="eastAsia"/>
          <w:b/>
          <w:color w:val="auto"/>
          <w:sz w:val="21"/>
          <w:szCs w:val="21"/>
          <w:highlight w:val="none"/>
          <w:lang w:val="en-US" w:eastAsia="zh-CN"/>
        </w:rPr>
        <w:t>渝邻高速公路K1533+500-K1548+109段路面修复养护工程沥青混合料加工</w:t>
      </w:r>
      <w:r>
        <w:rPr>
          <w:rFonts w:hint="eastAsia"/>
          <w:b/>
          <w:color w:val="auto"/>
          <w:sz w:val="21"/>
          <w:szCs w:val="21"/>
          <w:highlight w:val="none"/>
        </w:rPr>
        <w:t>合同</w:t>
      </w:r>
      <w:r>
        <w:rPr>
          <w:rFonts w:hint="eastAsia"/>
          <w:b/>
          <w:color w:val="auto"/>
          <w:szCs w:val="21"/>
          <w:highlight w:val="none"/>
        </w:rPr>
        <w:t>》</w:t>
      </w:r>
      <w:r>
        <w:rPr>
          <w:rFonts w:hint="eastAsia"/>
          <w:color w:val="auto"/>
          <w:szCs w:val="21"/>
          <w:highlight w:val="none"/>
        </w:rPr>
        <w:t>的相关条款，自觉按合同办事。</w:t>
      </w:r>
    </w:p>
    <w:p>
      <w:pPr>
        <w:pStyle w:val="10"/>
        <w:spacing w:line="360" w:lineRule="exact"/>
        <w:ind w:left="0" w:firstLine="420" w:firstLineChars="200"/>
        <w:rPr>
          <w:rFonts w:ascii="宋体"/>
          <w:color w:val="auto"/>
          <w:sz w:val="21"/>
          <w:szCs w:val="21"/>
          <w:highlight w:val="none"/>
        </w:rPr>
      </w:pPr>
      <w:r>
        <w:rPr>
          <w:rFonts w:hint="eastAsia" w:ascii="宋体"/>
          <w:color w:val="auto"/>
          <w:sz w:val="21"/>
          <w:szCs w:val="21"/>
          <w:highlight w:val="none"/>
        </w:rPr>
        <w:t>3</w:t>
      </w:r>
      <w:r>
        <w:rPr>
          <w:rFonts w:hint="eastAsia"/>
          <w:color w:val="auto"/>
          <w:sz w:val="21"/>
          <w:szCs w:val="21"/>
          <w:highlight w:val="none"/>
        </w:rPr>
        <w:t>、</w:t>
      </w:r>
      <w:r>
        <w:rPr>
          <w:color w:val="auto"/>
          <w:sz w:val="21"/>
          <w:szCs w:val="21"/>
          <w:highlight w:val="none"/>
        </w:rPr>
        <w:t>双方的业务活动坚持公开、公正、诚信、透明的原则（除法律认定的商业秘密和合同文件另有规定之外），不得损害国家和集体利益，违反工程建设管理规章制度。</w:t>
      </w:r>
    </w:p>
    <w:p>
      <w:pPr>
        <w:spacing w:line="360" w:lineRule="exact"/>
        <w:ind w:firstLine="420" w:firstLineChars="200"/>
        <w:rPr>
          <w:color w:val="auto"/>
          <w:szCs w:val="21"/>
          <w:highlight w:val="none"/>
        </w:rPr>
      </w:pPr>
      <w:r>
        <w:rPr>
          <w:rFonts w:hint="eastAsia"/>
          <w:color w:val="auto"/>
          <w:szCs w:val="21"/>
          <w:highlight w:val="none"/>
        </w:rPr>
        <w:t>4、建立健全廉政制度，开展廉政教育，设立廉政告示牌，公布举报电话，监督并认真查处违法违纪行为。</w:t>
      </w:r>
    </w:p>
    <w:p>
      <w:pPr>
        <w:spacing w:line="360" w:lineRule="exact"/>
        <w:ind w:firstLine="420" w:firstLineChars="200"/>
        <w:rPr>
          <w:color w:val="auto"/>
          <w:szCs w:val="21"/>
          <w:highlight w:val="none"/>
        </w:rPr>
      </w:pPr>
      <w:r>
        <w:rPr>
          <w:rFonts w:hint="eastAsia"/>
          <w:color w:val="auto"/>
          <w:szCs w:val="21"/>
          <w:highlight w:val="none"/>
        </w:rPr>
        <w:t>5、发现对方在业务活动中有违反廉政规定的行为，有及时提醒对方纠正的权利和义务。</w:t>
      </w:r>
    </w:p>
    <w:p>
      <w:pPr>
        <w:spacing w:line="360" w:lineRule="exact"/>
        <w:ind w:firstLine="420" w:firstLineChars="2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pPr>
        <w:spacing w:line="360" w:lineRule="exact"/>
        <w:ind w:firstLine="413" w:firstLineChars="196"/>
        <w:rPr>
          <w:b/>
          <w:color w:val="auto"/>
          <w:szCs w:val="21"/>
          <w:highlight w:val="none"/>
        </w:rPr>
      </w:pPr>
      <w:r>
        <w:rPr>
          <w:rFonts w:hint="eastAsia"/>
          <w:b/>
          <w:color w:val="auto"/>
          <w:szCs w:val="21"/>
          <w:highlight w:val="none"/>
        </w:rPr>
        <w:t>二、甲方义务</w:t>
      </w:r>
    </w:p>
    <w:p>
      <w:pPr>
        <w:spacing w:line="360" w:lineRule="exact"/>
        <w:ind w:firstLine="420" w:firstLineChars="200"/>
        <w:rPr>
          <w:color w:val="auto"/>
          <w:szCs w:val="21"/>
          <w:highlight w:val="none"/>
        </w:rPr>
      </w:pPr>
      <w:r>
        <w:rPr>
          <w:rFonts w:hint="eastAsia"/>
          <w:color w:val="auto"/>
          <w:szCs w:val="21"/>
          <w:highlight w:val="none"/>
        </w:rPr>
        <w:t>1、甲方及其工作人员不得索要或接受乙方的礼金、有价证券和贵重要物品，不得在乙方报销任何应由甲方或个人支付的费用等。</w:t>
      </w:r>
    </w:p>
    <w:p>
      <w:pPr>
        <w:spacing w:line="360" w:lineRule="exact"/>
        <w:ind w:firstLine="420" w:firstLineChars="200"/>
        <w:rPr>
          <w:color w:val="auto"/>
          <w:szCs w:val="21"/>
          <w:highlight w:val="none"/>
        </w:rPr>
      </w:pPr>
      <w:r>
        <w:rPr>
          <w:rFonts w:hint="eastAsia"/>
          <w:color w:val="auto"/>
          <w:szCs w:val="21"/>
          <w:highlight w:val="none"/>
        </w:rPr>
        <w:t>2、甲方工作人员不得参加乙方安排的宴请或可能影响公正的其他宴请和娱乐活动。不得接受乙方提供的通讯工具、交通工具和高档办公用品等。</w:t>
      </w:r>
    </w:p>
    <w:p>
      <w:pPr>
        <w:spacing w:line="360" w:lineRule="exact"/>
        <w:ind w:firstLine="420" w:firstLineChars="200"/>
        <w:rPr>
          <w:color w:val="auto"/>
          <w:szCs w:val="21"/>
          <w:highlight w:val="none"/>
        </w:rPr>
      </w:pPr>
      <w:r>
        <w:rPr>
          <w:rFonts w:hint="eastAsia"/>
          <w:color w:val="auto"/>
          <w:szCs w:val="21"/>
          <w:highlight w:val="none"/>
        </w:rPr>
        <w:t>3、甲方及其工作人员不得要求或者接受乙方为其住房装修、婚丧嫁娶活动、配偶子女的工作安排以及出国出境、旅游等提供方便等。</w:t>
      </w:r>
    </w:p>
    <w:p>
      <w:pPr>
        <w:spacing w:line="360" w:lineRule="exact"/>
        <w:ind w:firstLine="420" w:firstLineChars="200"/>
        <w:rPr>
          <w:color w:val="auto"/>
          <w:szCs w:val="21"/>
          <w:highlight w:val="none"/>
        </w:rPr>
      </w:pPr>
      <w:r>
        <w:rPr>
          <w:rFonts w:hint="eastAsia"/>
          <w:color w:val="auto"/>
          <w:szCs w:val="21"/>
          <w:highlight w:val="none"/>
        </w:rPr>
        <w:t>4、甲方工作人员的配偶、子女不得从事与甲方工程有关的材料设备供应、工程分包、劳务等经济活动等。</w:t>
      </w:r>
    </w:p>
    <w:p>
      <w:pPr>
        <w:spacing w:line="360" w:lineRule="exact"/>
        <w:ind w:firstLine="420" w:firstLineChars="200"/>
        <w:rPr>
          <w:color w:val="auto"/>
          <w:szCs w:val="21"/>
          <w:highlight w:val="none"/>
        </w:rPr>
      </w:pPr>
      <w:r>
        <w:rPr>
          <w:rFonts w:hint="eastAsia"/>
          <w:color w:val="auto"/>
          <w:szCs w:val="21"/>
          <w:highlight w:val="none"/>
        </w:rPr>
        <w:t>5、甲方及其工作人员不得以任何理由向乙方推荐分包单位，不得要求乙方购买合同规定外的材料和设备。</w:t>
      </w:r>
    </w:p>
    <w:p>
      <w:pPr>
        <w:spacing w:line="360" w:lineRule="exact"/>
        <w:ind w:firstLine="413" w:firstLineChars="196"/>
        <w:rPr>
          <w:b/>
          <w:color w:val="auto"/>
          <w:szCs w:val="21"/>
          <w:highlight w:val="none"/>
        </w:rPr>
      </w:pPr>
      <w:r>
        <w:rPr>
          <w:rFonts w:hint="eastAsia"/>
          <w:b/>
          <w:color w:val="auto"/>
          <w:szCs w:val="21"/>
          <w:highlight w:val="none"/>
        </w:rPr>
        <w:t>三、乙方义务</w:t>
      </w:r>
    </w:p>
    <w:p>
      <w:pPr>
        <w:spacing w:line="360" w:lineRule="exact"/>
        <w:ind w:firstLine="420" w:firstLineChars="200"/>
        <w:rPr>
          <w:color w:val="auto"/>
          <w:szCs w:val="21"/>
          <w:highlight w:val="none"/>
        </w:rPr>
      </w:pPr>
      <w:r>
        <w:rPr>
          <w:rFonts w:hint="eastAsia"/>
          <w:color w:val="auto"/>
          <w:szCs w:val="21"/>
          <w:highlight w:val="none"/>
        </w:rPr>
        <w:t>1、乙方不得以任何理由向甲方及其工作人员行贿或馈赠礼金、有价证券、贵重礼品。</w:t>
      </w:r>
    </w:p>
    <w:p>
      <w:pPr>
        <w:spacing w:line="360" w:lineRule="exact"/>
        <w:ind w:firstLine="420" w:firstLineChars="200"/>
        <w:rPr>
          <w:color w:val="auto"/>
          <w:szCs w:val="21"/>
          <w:highlight w:val="none"/>
        </w:rPr>
      </w:pPr>
      <w:r>
        <w:rPr>
          <w:rFonts w:hint="eastAsia"/>
          <w:color w:val="auto"/>
          <w:szCs w:val="21"/>
          <w:highlight w:val="none"/>
        </w:rPr>
        <w:t>2、乙方不得以任何名义为甲方及其工作人员报销应由甲方单位或个人支付的任何费用。</w:t>
      </w:r>
    </w:p>
    <w:p>
      <w:pPr>
        <w:spacing w:line="360" w:lineRule="exact"/>
        <w:ind w:firstLine="420" w:firstLineChars="200"/>
        <w:rPr>
          <w:color w:val="auto"/>
          <w:szCs w:val="21"/>
          <w:highlight w:val="none"/>
        </w:rPr>
      </w:pPr>
      <w:r>
        <w:rPr>
          <w:rFonts w:hint="eastAsia"/>
          <w:color w:val="auto"/>
          <w:szCs w:val="21"/>
          <w:highlight w:val="none"/>
        </w:rPr>
        <w:t>3、乙方不得以任何理由邀请甲方工作人员外出旅游或安排甲方工作人员参加宴请及娱乐活动。</w:t>
      </w:r>
    </w:p>
    <w:p>
      <w:pPr>
        <w:spacing w:line="360" w:lineRule="exact"/>
        <w:ind w:firstLine="420" w:firstLineChars="200"/>
        <w:rPr>
          <w:color w:val="auto"/>
          <w:szCs w:val="21"/>
          <w:highlight w:val="none"/>
        </w:rPr>
      </w:pPr>
      <w:r>
        <w:rPr>
          <w:rFonts w:hint="eastAsia"/>
          <w:color w:val="auto"/>
          <w:szCs w:val="21"/>
          <w:highlight w:val="none"/>
        </w:rPr>
        <w:t>4、乙方不得为甲方单位和个人购置或提供通讯工具、交通工具和高档办公用品等。</w:t>
      </w:r>
    </w:p>
    <w:p>
      <w:pPr>
        <w:spacing w:line="360" w:lineRule="exact"/>
        <w:ind w:firstLine="420" w:firstLineChars="200"/>
        <w:rPr>
          <w:color w:val="auto"/>
          <w:szCs w:val="21"/>
          <w:highlight w:val="none"/>
        </w:rPr>
      </w:pPr>
      <w:r>
        <w:rPr>
          <w:rFonts w:hint="eastAsia"/>
          <w:color w:val="auto"/>
          <w:szCs w:val="21"/>
          <w:highlight w:val="none"/>
        </w:rPr>
        <w:t>5、乙方及其工作人员应严格按规程办事，不得为谋取私利向工作人员非法行贿，私下串通，损害甲方利益。同时依法履行向甲方承诺的上述其他廉政义务。</w:t>
      </w:r>
    </w:p>
    <w:p>
      <w:pPr>
        <w:spacing w:line="360" w:lineRule="exact"/>
        <w:ind w:firstLine="420" w:firstLineChars="200"/>
        <w:rPr>
          <w:color w:val="auto"/>
          <w:szCs w:val="21"/>
          <w:highlight w:val="none"/>
        </w:rPr>
      </w:pPr>
      <w:r>
        <w:rPr>
          <w:rFonts w:hint="eastAsia"/>
          <w:color w:val="auto"/>
          <w:szCs w:val="21"/>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exact"/>
        <w:ind w:firstLine="413" w:firstLineChars="196"/>
        <w:rPr>
          <w:b/>
          <w:color w:val="auto"/>
          <w:szCs w:val="21"/>
          <w:highlight w:val="none"/>
        </w:rPr>
      </w:pPr>
      <w:r>
        <w:rPr>
          <w:rFonts w:hint="eastAsia"/>
          <w:b/>
          <w:color w:val="auto"/>
          <w:szCs w:val="21"/>
          <w:highlight w:val="none"/>
        </w:rPr>
        <w:t>四、违约责任</w:t>
      </w:r>
    </w:p>
    <w:p>
      <w:pPr>
        <w:spacing w:line="360" w:lineRule="exact"/>
        <w:ind w:firstLine="420" w:firstLineChars="200"/>
        <w:rPr>
          <w:color w:val="auto"/>
          <w:szCs w:val="21"/>
          <w:highlight w:val="none"/>
        </w:rPr>
      </w:pPr>
      <w:r>
        <w:rPr>
          <w:rFonts w:hint="eastAsia"/>
          <w:color w:val="auto"/>
          <w:szCs w:val="21"/>
          <w:highlight w:val="none"/>
        </w:rPr>
        <w:t>1、甲方及其工作人员违反本合同第一、二条，按管理权限，依据有关规定给予党纪、政纪或组织处理；涉嫌犯罪的，移交司法机关追究刑事责任；给乙方单位造成经济损失的，应予以赔偿。</w:t>
      </w:r>
    </w:p>
    <w:p>
      <w:pPr>
        <w:spacing w:line="360" w:lineRule="exact"/>
        <w:ind w:firstLine="420" w:firstLineChars="200"/>
        <w:rPr>
          <w:color w:val="auto"/>
          <w:szCs w:val="21"/>
          <w:highlight w:val="none"/>
        </w:rPr>
      </w:pPr>
      <w:r>
        <w:rPr>
          <w:rFonts w:hint="eastAsia"/>
          <w:color w:val="auto"/>
          <w:szCs w:val="21"/>
          <w:highlight w:val="none"/>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exact"/>
        <w:ind w:firstLine="413" w:firstLineChars="196"/>
        <w:rPr>
          <w:rFonts w:hint="eastAsia"/>
          <w:b w:val="0"/>
          <w:bCs/>
          <w:color w:val="auto"/>
          <w:szCs w:val="21"/>
          <w:highlight w:val="none"/>
        </w:rPr>
      </w:pPr>
      <w:r>
        <w:rPr>
          <w:rFonts w:hint="eastAsia"/>
          <w:b/>
          <w:color w:val="auto"/>
          <w:szCs w:val="21"/>
          <w:highlight w:val="none"/>
        </w:rPr>
        <w:t>五　</w:t>
      </w:r>
      <w:r>
        <w:rPr>
          <w:rFonts w:hint="eastAsia"/>
          <w:b w:val="0"/>
          <w:bCs/>
          <w:color w:val="auto"/>
          <w:szCs w:val="21"/>
          <w:highlight w:val="none"/>
        </w:rPr>
        <w:t>双方约定本协议由双方或双方上级单位的纪检监察部门负责监督执行。</w:t>
      </w:r>
    </w:p>
    <w:p>
      <w:pPr>
        <w:spacing w:line="360" w:lineRule="exact"/>
        <w:ind w:firstLine="413" w:firstLineChars="196"/>
        <w:rPr>
          <w:color w:val="auto"/>
          <w:szCs w:val="21"/>
          <w:highlight w:val="none"/>
        </w:rPr>
      </w:pPr>
      <w:r>
        <w:rPr>
          <w:rFonts w:hint="eastAsia"/>
          <w:b/>
          <w:color w:val="auto"/>
          <w:szCs w:val="21"/>
          <w:highlight w:val="none"/>
        </w:rPr>
        <w:t>六、</w:t>
      </w:r>
      <w:r>
        <w:rPr>
          <w:rFonts w:hint="eastAsia"/>
          <w:color w:val="auto"/>
          <w:szCs w:val="21"/>
          <w:highlight w:val="none"/>
        </w:rPr>
        <w:t>本合同有效期为甲乙双方签署之日起至该合同到期后止。</w:t>
      </w:r>
    </w:p>
    <w:p>
      <w:pPr>
        <w:spacing w:line="360" w:lineRule="exact"/>
        <w:ind w:firstLine="413" w:firstLineChars="196"/>
        <w:rPr>
          <w:color w:val="auto"/>
          <w:szCs w:val="21"/>
          <w:highlight w:val="none"/>
        </w:rPr>
      </w:pPr>
      <w:r>
        <w:rPr>
          <w:rFonts w:hint="eastAsia"/>
          <w:b/>
          <w:color w:val="auto"/>
          <w:szCs w:val="21"/>
          <w:highlight w:val="none"/>
        </w:rPr>
        <w:t>七、</w:t>
      </w:r>
      <w:r>
        <w:rPr>
          <w:rFonts w:hint="eastAsia"/>
          <w:color w:val="auto"/>
          <w:szCs w:val="21"/>
          <w:highlight w:val="none"/>
        </w:rPr>
        <w:t>本合同作为</w:t>
      </w:r>
      <w:r>
        <w:rPr>
          <w:rFonts w:hint="eastAsia"/>
          <w:b/>
          <w:color w:val="auto"/>
          <w:szCs w:val="21"/>
          <w:highlight w:val="none"/>
        </w:rPr>
        <w:t>《</w:t>
      </w:r>
      <w:r>
        <w:rPr>
          <w:rFonts w:hint="eastAsia"/>
          <w:b/>
          <w:color w:val="auto"/>
          <w:sz w:val="21"/>
          <w:szCs w:val="21"/>
          <w:highlight w:val="none"/>
          <w:lang w:val="en-US" w:eastAsia="zh-CN"/>
        </w:rPr>
        <w:t>渝邻高速公路K1533+500-K1548+109段路面修复养护工程沥青混合料加工</w:t>
      </w:r>
      <w:r>
        <w:rPr>
          <w:rFonts w:hint="eastAsia"/>
          <w:b/>
          <w:color w:val="auto"/>
          <w:sz w:val="21"/>
          <w:szCs w:val="21"/>
          <w:highlight w:val="none"/>
        </w:rPr>
        <w:t>合同</w:t>
      </w:r>
      <w:r>
        <w:rPr>
          <w:rFonts w:hint="eastAsia"/>
          <w:b/>
          <w:color w:val="auto"/>
          <w:szCs w:val="21"/>
          <w:highlight w:val="none"/>
        </w:rPr>
        <w:t>》</w:t>
      </w:r>
      <w:r>
        <w:rPr>
          <w:rFonts w:hint="eastAsia"/>
          <w:color w:val="auto"/>
          <w:szCs w:val="21"/>
          <w:highlight w:val="none"/>
        </w:rPr>
        <w:t>的附件，具有同等的法律效力，经合同双方签署立即生效。</w:t>
      </w:r>
    </w:p>
    <w:p>
      <w:pPr>
        <w:spacing w:line="360" w:lineRule="exact"/>
        <w:ind w:firstLine="413" w:firstLineChars="196"/>
        <w:textAlignment w:val="baseline"/>
        <w:rPr>
          <w:rFonts w:hint="eastAsia" w:ascii="宋体" w:hAnsi="宋体"/>
          <w:color w:val="auto"/>
          <w:szCs w:val="21"/>
          <w:highlight w:val="none"/>
        </w:rPr>
      </w:pPr>
      <w:r>
        <w:rPr>
          <w:rFonts w:hint="eastAsia"/>
          <w:b/>
          <w:color w:val="auto"/>
          <w:szCs w:val="21"/>
          <w:highlight w:val="none"/>
        </w:rPr>
        <w:t>八、</w:t>
      </w:r>
      <w:r>
        <w:rPr>
          <w:rFonts w:hint="eastAsia" w:ascii="宋体"/>
          <w:color w:val="auto"/>
          <w:szCs w:val="21"/>
          <w:highlight w:val="none"/>
        </w:rPr>
        <w:t>本合同一式</w:t>
      </w:r>
      <w:r>
        <w:rPr>
          <w:rFonts w:hint="eastAsia" w:ascii="宋体"/>
          <w:b/>
          <w:color w:val="auto"/>
          <w:szCs w:val="21"/>
          <w:highlight w:val="none"/>
          <w:u w:val="single"/>
        </w:rPr>
        <w:t>陆</w:t>
      </w:r>
      <w:r>
        <w:rPr>
          <w:rFonts w:hint="eastAsia" w:ascii="宋体"/>
          <w:color w:val="auto"/>
          <w:szCs w:val="21"/>
          <w:highlight w:val="none"/>
        </w:rPr>
        <w:t>份，甲方执</w:t>
      </w:r>
      <w:r>
        <w:rPr>
          <w:rFonts w:hint="eastAsia" w:ascii="宋体"/>
          <w:b/>
          <w:color w:val="auto"/>
          <w:szCs w:val="21"/>
          <w:highlight w:val="none"/>
          <w:u w:val="single"/>
        </w:rPr>
        <w:t>肆</w:t>
      </w:r>
      <w:r>
        <w:rPr>
          <w:rFonts w:hint="eastAsia" w:ascii="宋体"/>
          <w:color w:val="auto"/>
          <w:szCs w:val="21"/>
          <w:highlight w:val="none"/>
        </w:rPr>
        <w:t>份，乙方执</w:t>
      </w:r>
      <w:r>
        <w:rPr>
          <w:rFonts w:hint="eastAsia" w:ascii="宋体"/>
          <w:b/>
          <w:color w:val="auto"/>
          <w:szCs w:val="21"/>
          <w:highlight w:val="none"/>
          <w:u w:val="single"/>
        </w:rPr>
        <w:t>贰</w:t>
      </w:r>
      <w:r>
        <w:rPr>
          <w:rFonts w:hint="eastAsia" w:ascii="宋体"/>
          <w:color w:val="auto"/>
          <w:szCs w:val="21"/>
          <w:highlight w:val="none"/>
        </w:rPr>
        <w:t>份；具有同等法律效力；自双方签字并盖章后生效，甲乙双方</w:t>
      </w:r>
      <w:r>
        <w:rPr>
          <w:rFonts w:hint="eastAsia" w:ascii="宋体" w:hAnsi="宋体"/>
          <w:color w:val="auto"/>
          <w:szCs w:val="21"/>
          <w:highlight w:val="none"/>
        </w:rPr>
        <w:t>履行合同全部义务、结算价款支付完毕后，本合同即告终止。</w:t>
      </w:r>
    </w:p>
    <w:p>
      <w:pPr>
        <w:spacing w:line="360" w:lineRule="exact"/>
        <w:textAlignment w:val="baseline"/>
        <w:rPr>
          <w:rFonts w:hint="eastAsia" w:ascii="宋体" w:hAnsi="宋体"/>
          <w:color w:val="auto"/>
          <w:szCs w:val="21"/>
          <w:highlight w:val="none"/>
        </w:rPr>
      </w:pPr>
    </w:p>
    <w:p>
      <w:pPr>
        <w:spacing w:line="360" w:lineRule="exact"/>
        <w:textAlignment w:val="baseline"/>
        <w:rPr>
          <w:rFonts w:ascii="宋体" w:hAnsi="宋体"/>
          <w:color w:val="auto"/>
          <w:szCs w:val="21"/>
          <w:highlight w:val="none"/>
        </w:rPr>
      </w:pPr>
      <w:r>
        <w:rPr>
          <w:rFonts w:hint="eastAsia" w:ascii="宋体" w:hAnsi="宋体"/>
          <w:color w:val="auto"/>
          <w:szCs w:val="21"/>
          <w:highlight w:val="none"/>
        </w:rPr>
        <w:t xml:space="preserve">甲方：（盖章）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乙方：（盖章）</w:t>
      </w:r>
    </w:p>
    <w:p>
      <w:pPr>
        <w:spacing w:line="360" w:lineRule="exact"/>
        <w:rPr>
          <w:rFonts w:hint="eastAsia"/>
          <w:b w:val="0"/>
          <w:bCs w:val="0"/>
          <w:color w:val="auto"/>
          <w:szCs w:val="21"/>
          <w:highlight w:val="none"/>
          <w:u w:val="none"/>
          <w:lang w:eastAsia="zh-CN"/>
        </w:rPr>
      </w:pPr>
      <w:r>
        <w:rPr>
          <w:rFonts w:hint="eastAsia"/>
          <w:color w:val="auto"/>
          <w:szCs w:val="21"/>
          <w:highlight w:val="none"/>
        </w:rPr>
        <w:t xml:space="preserve">重庆通力高速公路养护工程有限公司      </w:t>
      </w:r>
      <w:r>
        <w:rPr>
          <w:rFonts w:hint="eastAsia"/>
          <w:color w:val="auto"/>
          <w:szCs w:val="21"/>
          <w:highlight w:val="none"/>
          <w:lang w:val="en-US" w:eastAsia="zh-CN"/>
        </w:rPr>
        <w:t xml:space="preserve">             </w:t>
      </w:r>
      <w:r>
        <w:rPr>
          <w:rFonts w:hint="eastAsia"/>
          <w:b w:val="0"/>
          <w:bCs w:val="0"/>
          <w:color w:val="auto"/>
          <w:szCs w:val="21"/>
          <w:highlight w:val="none"/>
          <w:u w:val="none"/>
          <w:lang w:eastAsia="zh-CN"/>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p>
    <w:p>
      <w:pPr>
        <w:spacing w:line="360" w:lineRule="exact"/>
        <w:textAlignment w:val="baseline"/>
        <w:rPr>
          <w:color w:val="auto"/>
          <w:szCs w:val="21"/>
          <w:highlight w:val="none"/>
        </w:rPr>
      </w:pPr>
      <w:r>
        <w:rPr>
          <w:rFonts w:hint="eastAsia" w:ascii="宋体" w:hAnsi="宋体"/>
          <w:color w:val="auto"/>
          <w:szCs w:val="21"/>
          <w:highlight w:val="none"/>
        </w:rPr>
        <w:t xml:space="preserve">或授权代表：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或授权代表：</w:t>
      </w:r>
    </w:p>
    <w:p>
      <w:pPr>
        <w:spacing w:line="360" w:lineRule="exact"/>
        <w:rPr>
          <w:color w:val="auto"/>
          <w:szCs w:val="21"/>
          <w:highlight w:val="none"/>
        </w:rPr>
      </w:pPr>
      <w:r>
        <w:rPr>
          <w:rFonts w:hint="eastAsia"/>
          <w:color w:val="auto"/>
          <w:szCs w:val="21"/>
          <w:highlight w:val="none"/>
        </w:rPr>
        <w:t>部门负责人：</w:t>
      </w:r>
    </w:p>
    <w:p>
      <w:pPr>
        <w:widowControl w:val="0"/>
        <w:spacing w:line="360" w:lineRule="exact"/>
        <w:ind w:left="0" w:leftChars="0" w:firstLine="0" w:firstLineChars="0"/>
        <w:jc w:val="both"/>
        <w:textAlignment w:val="baseline"/>
        <w:rPr>
          <w:rFonts w:hint="eastAsia" w:ascii="宋体" w:hAnsi="宋体"/>
          <w:color w:val="auto"/>
          <w:szCs w:val="21"/>
          <w:highlight w:val="none"/>
        </w:rPr>
      </w:pPr>
      <w:r>
        <w:rPr>
          <w:rFonts w:hint="eastAsia" w:ascii="宋体" w:hAnsi="宋体"/>
          <w:color w:val="auto"/>
          <w:szCs w:val="21"/>
          <w:highlight w:val="none"/>
        </w:rPr>
        <w:t xml:space="preserve">经办人：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经办人：</w:t>
      </w:r>
    </w:p>
    <w:p>
      <w:pPr>
        <w:tabs>
          <w:tab w:val="left" w:pos="2780"/>
        </w:tabs>
        <w:jc w:val="left"/>
        <w:rPr>
          <w:rFonts w:hint="eastAsia" w:cs="Times New Roman"/>
          <w:color w:val="auto"/>
          <w:kern w:val="2"/>
          <w:sz w:val="21"/>
          <w:highlight w:val="none"/>
          <w:lang w:val="en-US" w:eastAsia="zh-CN" w:bidi="ar-SA"/>
        </w:rPr>
      </w:pPr>
      <w:r>
        <w:rPr>
          <w:rFonts w:hint="eastAsia" w:ascii="宋体" w:hAnsi="宋体"/>
          <w:color w:val="auto"/>
          <w:szCs w:val="21"/>
          <w:highlight w:val="none"/>
        </w:rPr>
        <w:t xml:space="preserve">签约时间：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签约时间：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pStyle w:val="5"/>
        <w:rPr>
          <w:rFonts w:hint="eastAsia"/>
          <w:color w:val="auto"/>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3"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val="en-US" w:eastAsia="zh-CN"/>
        </w:rPr>
        <w:t>渝邻高速公路K1533+500-K1548+109段路面修复养护工程沥青混合料加工（第二次）</w:t>
      </w:r>
      <w:r>
        <w:rPr>
          <w:rFonts w:hint="eastAsia" w:ascii="宋体" w:hAnsi="宋体" w:cs="宋体"/>
          <w:b/>
          <w:color w:val="auto"/>
          <w:sz w:val="40"/>
          <w:szCs w:val="44"/>
          <w:highlight w:val="none"/>
          <w:u w:val="single"/>
          <w:lang w:eastAsia="zh-CN"/>
        </w:rPr>
        <w:t>投标</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投标</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24" w:name="_Toc265510122"/>
      <w:r>
        <w:rPr>
          <w:rFonts w:hint="eastAsia" w:ascii="宋体" w:hAnsi="宋体" w:cs="宋体"/>
          <w:b/>
          <w:color w:val="auto"/>
          <w:sz w:val="28"/>
          <w:szCs w:val="28"/>
          <w:highlight w:val="none"/>
        </w:rPr>
        <w:t>一、报价书</w:t>
      </w:r>
      <w:bookmarkEnd w:id="24"/>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渝邻高速公路K1533+500-K1548+109段路面修复养护工程沥青混合料加工</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lang w:val="en-US" w:eastAsia="zh-CN"/>
        </w:rPr>
        <w:t>供货期</w:t>
      </w:r>
      <w:r>
        <w:rPr>
          <w:rFonts w:hint="eastAsia"/>
          <w:color w:val="auto"/>
          <w:szCs w:val="21"/>
          <w:highlight w:val="none"/>
        </w:rPr>
        <w:t>：</w:t>
      </w:r>
      <w:r>
        <w:rPr>
          <w:rFonts w:hint="eastAsia"/>
          <w:color w:val="auto"/>
          <w:szCs w:val="21"/>
          <w:highlight w:val="none"/>
          <w:u w:val="single"/>
          <w:lang w:val="en-US" w:eastAsia="zh-CN"/>
        </w:rPr>
        <w:t xml:space="preserve">至该项目完工 </w:t>
      </w:r>
      <w:r>
        <w:rPr>
          <w:rFonts w:hint="eastAsia"/>
          <w:color w:val="auto"/>
          <w:szCs w:val="21"/>
          <w:highlight w:val="none"/>
          <w:u w:val="none"/>
          <w:lang w:val="en-US"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投标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投标人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27"/>
        <w:rPr>
          <w:rFonts w:hint="eastAsia"/>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pStyle w:val="27"/>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25" w:name="_Toc262547328"/>
      <w:r>
        <w:rPr>
          <w:rFonts w:hint="eastAsia"/>
          <w:b/>
          <w:color w:val="auto"/>
          <w:szCs w:val="21"/>
          <w:highlight w:val="none"/>
        </w:rPr>
        <w:t>（一）法定代表人身份证明</w:t>
      </w:r>
      <w:bookmarkEnd w:id="25"/>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26" w:name="_Toc262547329"/>
      <w:r>
        <w:rPr>
          <w:rFonts w:hint="eastAsia" w:ascii="宋体" w:hAnsi="宋体" w:cs="宋体"/>
          <w:b/>
          <w:color w:val="auto"/>
          <w:szCs w:val="21"/>
          <w:highlight w:val="none"/>
        </w:rPr>
        <w:t>（二）授权委托书</w:t>
      </w:r>
      <w:bookmarkEnd w:id="26"/>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19"/>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rPr>
              <w:t>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7"/>
        <w:rPr>
          <w:rFonts w:hint="eastAsia"/>
          <w:color w:val="auto"/>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投标</w:t>
      </w:r>
      <w:r>
        <w:rPr>
          <w:rFonts w:hint="eastAsia" w:ascii="宋体" w:hAnsi="宋体" w:cs="宋体"/>
          <w:b/>
          <w:color w:val="auto"/>
          <w:sz w:val="28"/>
          <w:szCs w:val="28"/>
          <w:highlight w:val="none"/>
        </w:rPr>
        <w:t>单位有效的营业执照</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授权资料</w:t>
      </w:r>
    </w:p>
    <w:p>
      <w:pPr>
        <w:tabs>
          <w:tab w:val="left" w:pos="900"/>
          <w:tab w:val="left" w:pos="1080"/>
        </w:tabs>
        <w:spacing w:line="300" w:lineRule="auto"/>
        <w:jc w:val="both"/>
        <w:outlineLvl w:val="0"/>
        <w:rPr>
          <w:rFonts w:hint="eastAsia" w:ascii="宋体" w:hAnsi="宋体" w:cs="宋体"/>
          <w:b/>
          <w:color w:val="auto"/>
          <w:sz w:val="28"/>
          <w:szCs w:val="28"/>
          <w:highlight w:val="none"/>
          <w:lang w:val="en-US" w:eastAsia="zh-CN"/>
        </w:rPr>
      </w:pPr>
    </w:p>
    <w:p>
      <w:pPr>
        <w:rPr>
          <w:rFonts w:hint="default"/>
          <w:color w:val="auto"/>
          <w:highlight w:val="none"/>
          <w:lang w:val="en-US" w:eastAsia="zh-CN"/>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投标</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我司承诺本次投标文件的所有资料、业绩均为真实材料。我司将按照要求提供</w:t>
      </w:r>
      <w:r>
        <w:rPr>
          <w:rFonts w:hint="eastAsia"/>
          <w:color w:val="auto"/>
          <w:szCs w:val="21"/>
          <w:highlight w:val="none"/>
          <w:lang w:val="en-US" w:eastAsia="zh-CN"/>
        </w:rPr>
        <w:t>货物或服务</w:t>
      </w:r>
      <w:r>
        <w:rPr>
          <w:rFonts w:hint="eastAsia"/>
          <w:color w:val="auto"/>
          <w:szCs w:val="21"/>
          <w:highlight w:val="none"/>
          <w:lang w:eastAsia="zh-CN"/>
        </w:rPr>
        <w:t>。若违背招标文件及合同要求，我司将按照约定接受处罚。</w:t>
      </w:r>
    </w:p>
    <w:p>
      <w:pPr>
        <w:spacing w:line="440" w:lineRule="exact"/>
        <w:rPr>
          <w:rFonts w:hint="eastAsia"/>
          <w:color w:val="auto"/>
          <w:szCs w:val="21"/>
          <w:highlight w:val="none"/>
        </w:rPr>
      </w:pPr>
      <w:r>
        <w:rPr>
          <w:rFonts w:hint="eastAsia" w:ascii="宋体" w:hAnsi="宋体" w:cs="宋体"/>
          <w:b/>
          <w:color w:val="auto"/>
          <w:sz w:val="28"/>
          <w:szCs w:val="28"/>
          <w:highlight w:val="none"/>
          <w:lang w:val="en-US" w:eastAsia="zh-CN"/>
        </w:rPr>
        <w:t xml:space="preserve">   </w:t>
      </w:r>
      <w:r>
        <w:rPr>
          <w:rFonts w:hint="eastAsia"/>
          <w:color w:val="auto"/>
          <w:szCs w:val="21"/>
          <w:highlight w:val="none"/>
        </w:rPr>
        <w:t>我司承诺在最近三年没有出现违法违规或失信行为；没有无故弃标的不良记录；未处于被责令停业，歇业，投标资格被取消，财产被接管、被采取强制措施、破产状态，并将按照</w:t>
      </w:r>
      <w:r>
        <w:rPr>
          <w:rFonts w:hint="eastAsia"/>
          <w:color w:val="auto"/>
          <w:szCs w:val="21"/>
          <w:highlight w:val="none"/>
          <w:lang w:eastAsia="zh-CN"/>
        </w:rPr>
        <w:t>招标</w:t>
      </w:r>
      <w:r>
        <w:rPr>
          <w:rFonts w:hint="eastAsia"/>
          <w:color w:val="auto"/>
          <w:szCs w:val="21"/>
          <w:highlight w:val="none"/>
        </w:rPr>
        <w:t>文件要求</w:t>
      </w:r>
      <w:r>
        <w:rPr>
          <w:rFonts w:hint="eastAsia"/>
          <w:color w:val="auto"/>
          <w:szCs w:val="21"/>
          <w:highlight w:val="none"/>
          <w:lang w:val="en-US" w:eastAsia="zh-CN"/>
        </w:rPr>
        <w:t>提供货物或服务</w:t>
      </w:r>
      <w:r>
        <w:rPr>
          <w:rFonts w:hint="eastAsia"/>
          <w:color w:val="auto"/>
          <w:szCs w:val="21"/>
          <w:highlight w:val="none"/>
        </w:rPr>
        <w:t>。</w:t>
      </w:r>
    </w:p>
    <w:p>
      <w:pPr>
        <w:pStyle w:val="27"/>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27"/>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27"/>
        <w:jc w:val="right"/>
        <w:rPr>
          <w:rFonts w:hint="eastAsia" w:ascii="宋体" w:hAnsi="宋体" w:cs="宋体"/>
          <w:b/>
          <w:color w:val="auto"/>
          <w:sz w:val="28"/>
          <w:szCs w:val="28"/>
          <w:highlight w:val="none"/>
        </w:rPr>
        <w:sectPr>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tbl>
      <w:tblPr>
        <w:tblStyle w:val="19"/>
        <w:tblW w:w="14622" w:type="dxa"/>
        <w:tblInd w:w="96" w:type="dxa"/>
        <w:tblLayout w:type="fixed"/>
        <w:tblCellMar>
          <w:top w:w="0" w:type="dxa"/>
          <w:left w:w="108" w:type="dxa"/>
          <w:bottom w:w="0" w:type="dxa"/>
          <w:right w:w="108" w:type="dxa"/>
        </w:tblCellMar>
      </w:tblPr>
      <w:tblGrid>
        <w:gridCol w:w="813"/>
        <w:gridCol w:w="1611"/>
        <w:gridCol w:w="1635"/>
        <w:gridCol w:w="1210"/>
        <w:gridCol w:w="720"/>
        <w:gridCol w:w="1313"/>
        <w:gridCol w:w="1343"/>
        <w:gridCol w:w="1641"/>
        <w:gridCol w:w="1322"/>
        <w:gridCol w:w="1330"/>
        <w:gridCol w:w="1684"/>
      </w:tblGrid>
      <w:tr>
        <w:tblPrEx>
          <w:tblCellMar>
            <w:top w:w="0" w:type="dxa"/>
            <w:left w:w="108" w:type="dxa"/>
            <w:bottom w:w="0" w:type="dxa"/>
            <w:right w:w="108" w:type="dxa"/>
          </w:tblCellMar>
        </w:tblPrEx>
        <w:trPr>
          <w:trHeight w:val="310" w:hRule="atLeast"/>
        </w:trPr>
        <w:tc>
          <w:tcPr>
            <w:tcW w:w="14622" w:type="dxa"/>
            <w:gridSpan w:val="11"/>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货币单位: 人民币 元</w:t>
            </w:r>
          </w:p>
        </w:tc>
      </w:tr>
      <w:tr>
        <w:tblPrEx>
          <w:tblCellMar>
            <w:top w:w="0" w:type="dxa"/>
            <w:left w:w="108" w:type="dxa"/>
            <w:bottom w:w="0" w:type="dxa"/>
            <w:right w:w="108" w:type="dxa"/>
          </w:tblCellMar>
        </w:tblPrEx>
        <w:trPr>
          <w:trHeight w:val="783"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工程位置</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石材要求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出场单价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上限价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（元/吨）</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（元/吨）</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666" w:hRule="exac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b w:val="0"/>
                <w:bCs w:val="0"/>
                <w:color w:val="auto"/>
                <w:sz w:val="21"/>
                <w:szCs w:val="21"/>
                <w:highlight w:val="none"/>
              </w:rPr>
              <w:t>渝邻高速公路K1533+500-K1548+109段（黑石子互通至渝北收费站）</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SMA-13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玄武岩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10000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117</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1170000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CellMar>
            <w:top w:w="0" w:type="dxa"/>
            <w:left w:w="108" w:type="dxa"/>
            <w:bottom w:w="0" w:type="dxa"/>
            <w:right w:w="108" w:type="dxa"/>
          </w:tblCellMar>
        </w:tblPrEx>
        <w:trPr>
          <w:trHeight w:val="14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 xml:space="preserve"> SMA-13（含阻燃剂）</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玄武岩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300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37500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甲供沥青、玄武岩、木质素纤维</w:t>
            </w:r>
          </w:p>
        </w:tc>
      </w:tr>
      <w:tr>
        <w:tblPrEx>
          <w:tblCellMar>
            <w:top w:w="0" w:type="dxa"/>
            <w:left w:w="108" w:type="dxa"/>
            <w:bottom w:w="0" w:type="dxa"/>
            <w:right w:w="108" w:type="dxa"/>
          </w:tblCellMar>
        </w:tblPrEx>
        <w:trPr>
          <w:trHeight w:val="14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石灰岩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22000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160</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3520000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w:t>
            </w:r>
          </w:p>
        </w:tc>
      </w:tr>
      <w:tr>
        <w:tblPrEx>
          <w:tblCellMar>
            <w:top w:w="0" w:type="dxa"/>
            <w:left w:w="108" w:type="dxa"/>
            <w:bottom w:w="0" w:type="dxa"/>
            <w:right w:w="108" w:type="dxa"/>
          </w:tblCellMar>
        </w:tblPrEx>
        <w:trPr>
          <w:trHeight w:val="526"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olor w:val="auto"/>
                <w:highlight w:val="none"/>
                <w:lang w:val="en-US" w:eastAsia="zh-CN"/>
              </w:rPr>
            </w:pPr>
            <w:r>
              <w:rPr>
                <w:rFonts w:hint="eastAsia"/>
                <w:color w:val="auto"/>
                <w:highlight w:val="none"/>
                <w:lang w:val="en-US" w:eastAsia="zh-CN"/>
              </w:rPr>
              <w:t>4</w:t>
            </w: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AC-</w:t>
            </w:r>
            <w:r>
              <w:rPr>
                <w:rFonts w:hint="eastAsia" w:ascii="宋体" w:hAnsi="宋体" w:cs="宋体"/>
                <w:b w:val="0"/>
                <w:bCs w:val="0"/>
                <w:i w:val="0"/>
                <w:iCs w:val="0"/>
                <w:color w:val="auto"/>
                <w:sz w:val="21"/>
                <w:szCs w:val="21"/>
                <w:highlight w:val="none"/>
                <w:u w:val="none"/>
                <w:lang w:val="en-US" w:eastAsia="zh-CN"/>
              </w:rPr>
              <w:t>20（厂拌热再生）</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铣刨料/石灰岩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9300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1162500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甲供沥青、铣刨料（添加比例20~30%）</w:t>
            </w:r>
          </w:p>
        </w:tc>
      </w:tr>
      <w:tr>
        <w:tblPrEx>
          <w:tblCellMar>
            <w:top w:w="0" w:type="dxa"/>
            <w:left w:w="108" w:type="dxa"/>
            <w:bottom w:w="0" w:type="dxa"/>
            <w:right w:w="108" w:type="dxa"/>
          </w:tblCellMar>
        </w:tblPrEx>
        <w:trPr>
          <w:trHeight w:val="499" w:hRule="exac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  计</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b w:val="0"/>
                <w:bCs w:val="0"/>
                <w:i w:val="0"/>
                <w:iCs w:val="0"/>
                <w:color w:val="auto"/>
                <w:sz w:val="21"/>
                <w:szCs w:val="21"/>
                <w:highlight w:val="none"/>
                <w:u w:val="none"/>
                <w:lang w:val="en-US" w:eastAsia="zh-CN"/>
              </w:rPr>
              <w:t>41600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5890000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税率13%</w:t>
            </w:r>
          </w:p>
        </w:tc>
      </w:tr>
      <w:tr>
        <w:tblPrEx>
          <w:tblCellMar>
            <w:top w:w="0" w:type="dxa"/>
            <w:left w:w="108" w:type="dxa"/>
            <w:bottom w:w="0" w:type="dxa"/>
            <w:right w:w="108" w:type="dxa"/>
          </w:tblCellMar>
        </w:tblPrEx>
        <w:trPr>
          <w:trHeight w:val="499" w:hRule="exact"/>
        </w:trPr>
        <w:tc>
          <w:tcPr>
            <w:tcW w:w="59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bCs/>
                <w:color w:val="auto"/>
                <w:sz w:val="21"/>
                <w:szCs w:val="21"/>
                <w:highlight w:val="none"/>
                <w:vertAlign w:val="baseline"/>
                <w:lang w:val="en-US" w:eastAsia="zh-CN"/>
              </w:rPr>
              <w:t>限价合计金额</w:t>
            </w:r>
          </w:p>
        </w:tc>
        <w:tc>
          <w:tcPr>
            <w:tcW w:w="6949"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u w:val="single"/>
                <w:vertAlign w:val="baseline"/>
                <w:lang w:val="en-US" w:eastAsia="zh-CN"/>
              </w:rPr>
              <w:t xml:space="preserve">  </w:t>
            </w:r>
            <w:r>
              <w:rPr>
                <w:rFonts w:hint="eastAsia" w:ascii="Times New Roman" w:hAnsi="Times New Roman" w:eastAsia="宋体" w:cs="Times New Roman"/>
                <w:color w:val="auto"/>
                <w:sz w:val="21"/>
                <w:szCs w:val="21"/>
                <w:highlight w:val="none"/>
                <w:u w:val="single"/>
                <w:vertAlign w:val="baseline"/>
                <w:lang w:val="en-US" w:eastAsia="zh-CN"/>
              </w:rPr>
              <w:t xml:space="preserve">  5890000 </w:t>
            </w:r>
            <w:r>
              <w:rPr>
                <w:rFonts w:hint="default" w:ascii="Times New Roman" w:hAnsi="Times New Roman" w:eastAsia="宋体" w:cs="Times New Roman"/>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w:t>
            </w:r>
            <w:r>
              <w:rPr>
                <w:rFonts w:hint="default" w:ascii="Times New Roman" w:hAnsi="Times New Roman" w:eastAsia="宋体" w:cs="Times New Roman"/>
                <w:color w:val="auto"/>
                <w:sz w:val="21"/>
                <w:szCs w:val="21"/>
                <w:highlight w:val="non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大写</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u w:val="single"/>
                <w:vertAlign w:val="baseline"/>
                <w:lang w:val="en-US" w:eastAsia="zh-CN"/>
              </w:rPr>
              <w:t>伍佰捌拾玖万</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元整</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bCs/>
                <w:color w:val="auto"/>
                <w:sz w:val="21"/>
                <w:szCs w:val="21"/>
                <w:highlight w:val="none"/>
                <w:vertAlign w:val="baseline"/>
                <w:lang w:val="en-US" w:eastAsia="zh-CN"/>
              </w:rPr>
              <w:t>报价合计金额</w:t>
            </w:r>
          </w:p>
        </w:tc>
        <w:tc>
          <w:tcPr>
            <w:tcW w:w="6949"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    大写：</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eastAsia"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u w:val="single"/>
                <w:vertAlign w:val="baseline"/>
                <w:lang w:val="en-US" w:eastAsia="zh-CN"/>
              </w:rPr>
              <w:t xml:space="preserve">  </w:t>
            </w:r>
            <w:r>
              <w:rPr>
                <w:rFonts w:hint="default" w:ascii="Times New Roman" w:hAnsi="Times New Roman" w:eastAsia="宋体" w:cs="Times New Roman"/>
                <w:b/>
                <w:bCs/>
                <w:color w:val="auto"/>
                <w:sz w:val="21"/>
                <w:szCs w:val="21"/>
                <w:highlight w:val="none"/>
                <w:vertAlign w:val="baseline"/>
                <w:lang w:val="en-US" w:eastAsia="zh-CN"/>
              </w:rPr>
              <w:t>元整</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750" w:hRule="atLeast"/>
        </w:trPr>
        <w:tc>
          <w:tcPr>
            <w:tcW w:w="1462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以下信息由投标人如实填报，作为评标使用：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1、投标人拌和站地址：</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2、拌和站距离新龙湾立交行驶里程：</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公里（投标人提供导航截图，最终以招标人复核里程为准）。                                                 </w:t>
            </w:r>
          </w:p>
        </w:tc>
      </w:tr>
    </w:tbl>
    <w:p>
      <w:pPr>
        <w:spacing w:line="360" w:lineRule="auto"/>
        <w:ind w:firstLine="10500" w:firstLineChars="50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（签字）</w:t>
      </w:r>
    </w:p>
    <w:p>
      <w:pPr>
        <w:spacing w:line="360" w:lineRule="auto"/>
        <w:ind w:firstLine="420"/>
        <w:jc w:val="right"/>
        <w:rPr>
          <w:rFonts w:hint="eastAsia" w:ascii="宋体" w:hAnsi="宋体" w:cs="宋体"/>
          <w:b/>
          <w:bCs w:val="0"/>
          <w:color w:val="auto"/>
          <w:sz w:val="24"/>
          <w:szCs w:val="20"/>
          <w:highlight w:val="none"/>
          <w:lang w:val="en-US" w:eastAsia="zh-CN"/>
        </w:rPr>
      </w:pPr>
      <w:r>
        <w:rPr>
          <w:rFonts w:hint="eastAsia" w:ascii="宋体" w:hAnsi="宋体" w:cs="宋体"/>
          <w:color w:val="auto"/>
          <w:szCs w:val="21"/>
          <w:highlight w:val="none"/>
        </w:rPr>
        <w:t>日期:     年   月   日</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eastAsia"/>
          <w:color w:val="auto"/>
          <w:highlight w:val="none"/>
        </w:rPr>
      </w:pPr>
      <w:r>
        <w:rPr>
          <w:rFonts w:hint="eastAsia" w:ascii="宋体" w:hAnsi="宋体" w:cs="宋体"/>
          <w:b/>
          <w:bCs w:val="0"/>
          <w:color w:val="auto"/>
          <w:sz w:val="24"/>
          <w:szCs w:val="20"/>
          <w:highlight w:val="none"/>
          <w:lang w:val="en-US" w:eastAsia="zh-CN"/>
        </w:rPr>
        <w:br w:type="page"/>
      </w:r>
      <w:r>
        <w:rPr>
          <w:rFonts w:hint="eastAsia" w:ascii="宋体" w:hAnsi="宋体" w:cs="宋体"/>
          <w:b/>
          <w:bCs w:val="0"/>
          <w:color w:val="auto"/>
          <w:sz w:val="24"/>
          <w:szCs w:val="20"/>
          <w:highlight w:val="none"/>
          <w:lang w:val="en-US" w:eastAsia="zh-CN"/>
        </w:rPr>
        <w:t>六、拌和站型号及产量证明文件</w:t>
      </w: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rPr>
          <w:rFonts w:hint="default"/>
          <w:b/>
          <w:bCs/>
          <w:color w:val="auto"/>
          <w:sz w:val="24"/>
          <w:szCs w:val="22"/>
          <w:highlight w:val="none"/>
          <w:lang w:val="en-US" w:eastAsia="zh-CN"/>
        </w:rPr>
      </w:pPr>
      <w:r>
        <w:rPr>
          <w:rFonts w:hint="eastAsia"/>
          <w:b/>
          <w:bCs/>
          <w:color w:val="auto"/>
          <w:sz w:val="24"/>
          <w:szCs w:val="22"/>
          <w:highlight w:val="none"/>
          <w:lang w:val="en-US" w:eastAsia="zh-CN"/>
        </w:rPr>
        <w:br w:type="page"/>
      </w:r>
      <w:r>
        <w:rPr>
          <w:rFonts w:hint="eastAsia"/>
          <w:b/>
          <w:bCs/>
          <w:color w:val="auto"/>
          <w:sz w:val="24"/>
          <w:szCs w:val="22"/>
          <w:highlight w:val="none"/>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sz w:val="24"/>
          <w:szCs w:val="24"/>
          <w:highlight w:val="none"/>
        </w:rPr>
      </w:pPr>
      <w:r>
        <w:rPr>
          <w:rFonts w:hint="eastAsia"/>
          <w:color w:val="auto"/>
          <w:sz w:val="24"/>
          <w:szCs w:val="24"/>
          <w:highlight w:val="none"/>
          <w:lang w:val="en-US" w:eastAsia="zh-CN"/>
        </w:rPr>
        <w:t>招标人2023</w:t>
      </w:r>
      <w:r>
        <w:rPr>
          <w:rFonts w:hint="eastAsia"/>
          <w:color w:val="auto"/>
          <w:sz w:val="24"/>
          <w:szCs w:val="24"/>
          <w:highlight w:val="none"/>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sz w:val="24"/>
          <w:szCs w:val="24"/>
          <w:highlight w:val="none"/>
        </w:rPr>
      </w:pPr>
      <w:r>
        <w:rPr>
          <w:rFonts w:hint="eastAsia"/>
          <w:color w:val="auto"/>
          <w:sz w:val="24"/>
          <w:szCs w:val="24"/>
          <w:highlight w:val="none"/>
        </w:rPr>
        <w:t>(此单价</w:t>
      </w:r>
      <w:r>
        <w:rPr>
          <w:rFonts w:hint="eastAsia"/>
          <w:color w:val="auto"/>
          <w:sz w:val="24"/>
          <w:szCs w:val="24"/>
          <w:highlight w:val="none"/>
          <w:lang w:val="en-US" w:eastAsia="zh-CN"/>
        </w:rPr>
        <w:t>表用于招标人计算投标人</w:t>
      </w:r>
      <w:r>
        <w:rPr>
          <w:rFonts w:hint="eastAsia"/>
          <w:color w:val="auto"/>
          <w:sz w:val="24"/>
          <w:szCs w:val="24"/>
          <w:highlight w:val="none"/>
          <w:lang w:eastAsia="zh-CN"/>
        </w:rPr>
        <w:t>拌和站</w:t>
      </w:r>
      <w:r>
        <w:rPr>
          <w:rFonts w:hint="eastAsia"/>
          <w:color w:val="auto"/>
          <w:sz w:val="24"/>
          <w:szCs w:val="24"/>
          <w:highlight w:val="none"/>
        </w:rPr>
        <w:t>至</w:t>
      </w:r>
      <w:r>
        <w:rPr>
          <w:rFonts w:hint="eastAsia"/>
          <w:color w:val="auto"/>
          <w:sz w:val="24"/>
          <w:szCs w:val="24"/>
          <w:highlight w:val="none"/>
          <w:lang w:val="en-US" w:eastAsia="zh-CN"/>
        </w:rPr>
        <w:t>渝邻高速公路新龙湾立交的</w:t>
      </w:r>
      <w:r>
        <w:rPr>
          <w:rFonts w:hint="eastAsia"/>
          <w:color w:val="auto"/>
          <w:sz w:val="24"/>
          <w:szCs w:val="24"/>
          <w:highlight w:val="none"/>
        </w:rPr>
        <w:t>运距费用）</w:t>
      </w:r>
    </w:p>
    <w:p>
      <w:pPr>
        <w:rPr>
          <w:rFonts w:hint="eastAsia"/>
          <w:color w:val="auto"/>
          <w:highlight w:val="none"/>
          <w:lang w:val="en-US" w:eastAsia="zh-CN"/>
        </w:rPr>
      </w:pPr>
    </w:p>
    <w:p>
      <w:pPr>
        <w:pStyle w:val="27"/>
        <w:rPr>
          <w:rFonts w:hint="eastAsia"/>
          <w:color w:val="auto"/>
          <w:highlight w:val="none"/>
        </w:rPr>
      </w:pPr>
    </w:p>
    <w:tbl>
      <w:tblPr>
        <w:tblStyle w:val="19"/>
        <w:tblpPr w:leftFromText="180" w:rightFromText="180" w:vertAnchor="text" w:horzAnchor="page" w:tblpX="3980" w:tblpY="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序号</w:t>
            </w:r>
          </w:p>
        </w:tc>
        <w:tc>
          <w:tcPr>
            <w:tcW w:w="1550"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类别</w:t>
            </w:r>
          </w:p>
        </w:tc>
        <w:tc>
          <w:tcPr>
            <w:tcW w:w="1847" w:type="dxa"/>
            <w:noWrap w:val="0"/>
            <w:vAlign w:val="center"/>
          </w:tcPr>
          <w:p>
            <w:pPr>
              <w:spacing w:line="320" w:lineRule="exact"/>
              <w:ind w:firstLine="0" w:firstLineChars="0"/>
              <w:jc w:val="center"/>
              <w:rPr>
                <w:rFonts w:ascii="宋体"/>
                <w:color w:val="auto"/>
                <w:sz w:val="24"/>
                <w:highlight w:val="none"/>
              </w:rPr>
            </w:pPr>
            <w:r>
              <w:rPr>
                <w:rFonts w:hint="eastAsia" w:ascii="宋体"/>
                <w:color w:val="auto"/>
                <w:sz w:val="24"/>
                <w:highlight w:val="none"/>
              </w:rPr>
              <w:t>运距</w:t>
            </w:r>
          </w:p>
        </w:tc>
        <w:tc>
          <w:tcPr>
            <w:tcW w:w="1533"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单位</w:t>
            </w:r>
          </w:p>
        </w:tc>
        <w:tc>
          <w:tcPr>
            <w:tcW w:w="1700" w:type="dxa"/>
            <w:noWrap w:val="0"/>
            <w:vAlign w:val="center"/>
          </w:tcPr>
          <w:p>
            <w:pPr>
              <w:spacing w:line="320" w:lineRule="exact"/>
              <w:jc w:val="center"/>
              <w:rPr>
                <w:rFonts w:hint="eastAsia" w:ascii="宋体"/>
                <w:color w:val="auto"/>
                <w:sz w:val="24"/>
                <w:highlight w:val="none"/>
              </w:rPr>
            </w:pPr>
            <w:r>
              <w:rPr>
                <w:rFonts w:hint="eastAsia" w:ascii="宋体"/>
                <w:color w:val="auto"/>
                <w:sz w:val="24"/>
                <w:highlight w:val="none"/>
              </w:rPr>
              <w:t>运输单价</w:t>
            </w:r>
          </w:p>
          <w:p>
            <w:pPr>
              <w:spacing w:line="320" w:lineRule="exact"/>
              <w:jc w:val="center"/>
              <w:rPr>
                <w:rFonts w:hint="default" w:ascii="宋体" w:eastAsia="宋体"/>
                <w:color w:val="auto"/>
                <w:sz w:val="24"/>
                <w:highlight w:val="none"/>
                <w:lang w:val="en-US" w:eastAsia="zh-CN"/>
              </w:rPr>
            </w:pPr>
            <w:r>
              <w:rPr>
                <w:rFonts w:hint="eastAsia" w:ascii="宋体"/>
                <w:color w:val="auto"/>
                <w:sz w:val="24"/>
                <w:highlight w:val="none"/>
                <w:lang w:eastAsia="zh-CN"/>
              </w:rPr>
              <w:t>（</w:t>
            </w:r>
            <w:r>
              <w:rPr>
                <w:rFonts w:hint="eastAsia" w:ascii="宋体"/>
                <w:color w:val="auto"/>
                <w:sz w:val="24"/>
                <w:highlight w:val="none"/>
                <w:lang w:val="en-US" w:eastAsia="zh-CN"/>
              </w:rPr>
              <w:t>高速公路）</w:t>
            </w:r>
          </w:p>
        </w:tc>
        <w:tc>
          <w:tcPr>
            <w:tcW w:w="1440"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1</w:t>
            </w:r>
          </w:p>
        </w:tc>
        <w:tc>
          <w:tcPr>
            <w:tcW w:w="1550" w:type="dxa"/>
            <w:vMerge w:val="restart"/>
            <w:noWrap w:val="0"/>
            <w:vAlign w:val="center"/>
          </w:tcPr>
          <w:p>
            <w:pPr>
              <w:spacing w:line="320" w:lineRule="exact"/>
              <w:jc w:val="center"/>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沥青混合料运输</w:t>
            </w: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1-10</w:t>
            </w:r>
            <w:r>
              <w:rPr>
                <w:rFonts w:hint="eastAsia" w:ascii="宋体" w:hAnsi="Times New Roman" w:eastAsia="宋体" w:cs="Times New Roman"/>
                <w:color w:val="auto"/>
                <w:sz w:val="24"/>
                <w:highlight w:val="none"/>
              </w:rPr>
              <w:t>公里</w:t>
            </w:r>
          </w:p>
        </w:tc>
        <w:tc>
          <w:tcPr>
            <w:tcW w:w="1533" w:type="dxa"/>
            <w:noWrap w:val="0"/>
            <w:vAlign w:val="center"/>
          </w:tcPr>
          <w:p>
            <w:pPr>
              <w:spacing w:line="320" w:lineRule="exact"/>
              <w:jc w:val="center"/>
              <w:rPr>
                <w:rFonts w:ascii="宋体"/>
                <w:color w:val="auto"/>
                <w:sz w:val="24"/>
                <w:highlight w:val="none"/>
              </w:rPr>
            </w:pPr>
            <w:r>
              <w:rPr>
                <w:rFonts w:hint="eastAsia" w:ascii="宋体"/>
                <w:color w:val="auto"/>
                <w:sz w:val="24"/>
                <w:highlight w:val="none"/>
              </w:rPr>
              <w:t>每吨运价</w:t>
            </w: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13.09</w:t>
            </w:r>
          </w:p>
        </w:tc>
        <w:tc>
          <w:tcPr>
            <w:tcW w:w="1440" w:type="dxa"/>
            <w:vMerge w:val="restart"/>
            <w:noWrap w:val="0"/>
            <w:vAlign w:val="top"/>
          </w:tcPr>
          <w:p>
            <w:pPr>
              <w:spacing w:line="320" w:lineRule="exact"/>
              <w:jc w:val="center"/>
              <w:rPr>
                <w:rFonts w:ascii="宋体"/>
                <w:color w:val="auto"/>
                <w:sz w:val="24"/>
                <w:highlight w:val="none"/>
              </w:rPr>
            </w:pPr>
          </w:p>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2</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11-20</w:t>
            </w:r>
            <w:r>
              <w:rPr>
                <w:rFonts w:hint="eastAsia" w:ascii="宋体" w:hAnsi="Times New Roman" w:eastAsia="宋体" w:cs="Times New Roman"/>
                <w:color w:val="auto"/>
                <w:sz w:val="24"/>
                <w:highlight w:val="none"/>
              </w:rPr>
              <w:t>公里</w:t>
            </w:r>
          </w:p>
        </w:tc>
        <w:tc>
          <w:tcPr>
            <w:tcW w:w="1533" w:type="dxa"/>
            <w:vMerge w:val="restart"/>
            <w:noWrap w:val="0"/>
            <w:vAlign w:val="center"/>
          </w:tcPr>
          <w:p>
            <w:pPr>
              <w:spacing w:line="320" w:lineRule="exact"/>
              <w:jc w:val="center"/>
              <w:rPr>
                <w:rFonts w:ascii="宋体"/>
                <w:color w:val="auto"/>
                <w:sz w:val="24"/>
                <w:highlight w:val="none"/>
              </w:rPr>
            </w:pPr>
            <w:r>
              <w:rPr>
                <w:rFonts w:hint="eastAsia" w:ascii="宋体"/>
                <w:color w:val="auto"/>
                <w:sz w:val="24"/>
                <w:highlight w:val="none"/>
              </w:rPr>
              <w:t>每吨</w:t>
            </w:r>
            <w:r>
              <w:rPr>
                <w:rFonts w:hint="eastAsia" w:ascii="宋体" w:hAnsi="宋体"/>
                <w:color w:val="auto"/>
                <w:sz w:val="24"/>
                <w:highlight w:val="none"/>
              </w:rPr>
              <w:t>·</w:t>
            </w:r>
            <w:r>
              <w:rPr>
                <w:rFonts w:hint="eastAsia" w:ascii="宋体"/>
                <w:color w:val="auto"/>
                <w:sz w:val="24"/>
                <w:highlight w:val="none"/>
              </w:rPr>
              <w:t>每公里运价</w:t>
            </w: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1.18</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3</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21-30</w:t>
            </w:r>
            <w:r>
              <w:rPr>
                <w:rFonts w:hint="eastAsia" w:ascii="宋体" w:hAnsi="Times New Roman" w:eastAsia="宋体" w:cs="Times New Roman"/>
                <w:color w:val="auto"/>
                <w:sz w:val="24"/>
                <w:highlight w:val="none"/>
              </w:rPr>
              <w:t>公里</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1.13</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4</w:t>
            </w:r>
          </w:p>
        </w:tc>
        <w:tc>
          <w:tcPr>
            <w:tcW w:w="1550" w:type="dxa"/>
            <w:vMerge w:val="continue"/>
            <w:noWrap w:val="0"/>
            <w:vAlign w:val="center"/>
          </w:tcPr>
          <w:p>
            <w:pPr>
              <w:spacing w:line="320" w:lineRule="exact"/>
              <w:jc w:val="center"/>
              <w:rPr>
                <w:rFonts w:ascii="宋体" w:hAnsi="Times New Roman" w:eastAsia="宋体" w:cs="Times New Roman"/>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31-50</w:t>
            </w:r>
            <w:r>
              <w:rPr>
                <w:rFonts w:hint="eastAsia" w:ascii="宋体" w:hAnsi="Times New Roman" w:eastAsia="宋体" w:cs="Times New Roman"/>
                <w:color w:val="auto"/>
                <w:sz w:val="24"/>
                <w:highlight w:val="none"/>
              </w:rPr>
              <w:t>公里</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1.07</w:t>
            </w:r>
          </w:p>
        </w:tc>
        <w:tc>
          <w:tcPr>
            <w:tcW w:w="1440" w:type="dxa"/>
            <w:vMerge w:val="continue"/>
            <w:noWrap w:val="0"/>
            <w:vAlign w:val="top"/>
          </w:tcPr>
          <w:p>
            <w:pPr>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color w:val="auto"/>
                <w:sz w:val="24"/>
                <w:highlight w:val="none"/>
              </w:rPr>
            </w:pPr>
            <w:r>
              <w:rPr>
                <w:rFonts w:ascii="宋体"/>
                <w:color w:val="auto"/>
                <w:sz w:val="24"/>
                <w:highlight w:val="none"/>
              </w:rPr>
              <w:t>5</w:t>
            </w:r>
          </w:p>
        </w:tc>
        <w:tc>
          <w:tcPr>
            <w:tcW w:w="1550" w:type="dxa"/>
            <w:vMerge w:val="continue"/>
            <w:noWrap w:val="0"/>
            <w:vAlign w:val="center"/>
          </w:tcPr>
          <w:p>
            <w:pPr>
              <w:spacing w:line="320" w:lineRule="exact"/>
              <w:jc w:val="center"/>
              <w:rPr>
                <w:rFonts w:ascii="宋体"/>
                <w:color w:val="auto"/>
                <w:sz w:val="24"/>
                <w:highlight w:val="none"/>
              </w:rPr>
            </w:pPr>
          </w:p>
        </w:tc>
        <w:tc>
          <w:tcPr>
            <w:tcW w:w="1847" w:type="dxa"/>
            <w:noWrap w:val="0"/>
            <w:vAlign w:val="center"/>
          </w:tcPr>
          <w:p>
            <w:pPr>
              <w:spacing w:line="320" w:lineRule="exact"/>
              <w:jc w:val="center"/>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50</w:t>
            </w:r>
            <w:r>
              <w:rPr>
                <w:rFonts w:hint="eastAsia" w:ascii="宋体" w:hAnsi="Times New Roman" w:eastAsia="宋体" w:cs="Times New Roman"/>
                <w:color w:val="auto"/>
                <w:sz w:val="24"/>
                <w:highlight w:val="none"/>
              </w:rPr>
              <w:t>公里以上</w:t>
            </w:r>
          </w:p>
        </w:tc>
        <w:tc>
          <w:tcPr>
            <w:tcW w:w="1533" w:type="dxa"/>
            <w:vMerge w:val="continue"/>
            <w:noWrap w:val="0"/>
            <w:vAlign w:val="center"/>
          </w:tcPr>
          <w:p>
            <w:pPr>
              <w:spacing w:line="320" w:lineRule="exact"/>
              <w:jc w:val="center"/>
              <w:rPr>
                <w:rFonts w:ascii="宋体"/>
                <w:color w:val="auto"/>
                <w:sz w:val="24"/>
                <w:highlight w:val="none"/>
              </w:rPr>
            </w:pPr>
          </w:p>
        </w:tc>
        <w:tc>
          <w:tcPr>
            <w:tcW w:w="1700" w:type="dxa"/>
            <w:noWrap w:val="0"/>
            <w:vAlign w:val="center"/>
          </w:tcPr>
          <w:p>
            <w:pPr>
              <w:widowControl/>
              <w:jc w:val="center"/>
              <w:textAlignment w:val="center"/>
              <w:rPr>
                <w:rFonts w:hint="default" w:ascii="宋体" w:eastAsia="宋体"/>
                <w:color w:val="auto"/>
                <w:sz w:val="24"/>
                <w:highlight w:val="none"/>
                <w:lang w:val="en-US" w:eastAsia="zh-CN"/>
              </w:rPr>
            </w:pPr>
            <w:r>
              <w:rPr>
                <w:rFonts w:hint="eastAsia" w:ascii="宋体" w:eastAsia="宋体"/>
                <w:color w:val="auto"/>
                <w:sz w:val="24"/>
                <w:highlight w:val="none"/>
                <w:lang w:val="en-US" w:eastAsia="zh-CN"/>
              </w:rPr>
              <w:t>0.96</w:t>
            </w:r>
          </w:p>
        </w:tc>
        <w:tc>
          <w:tcPr>
            <w:tcW w:w="1440" w:type="dxa"/>
            <w:vMerge w:val="continue"/>
            <w:noWrap w:val="0"/>
            <w:vAlign w:val="top"/>
          </w:tcPr>
          <w:p>
            <w:pPr>
              <w:spacing w:line="320" w:lineRule="exact"/>
              <w:jc w:val="center"/>
              <w:rPr>
                <w:rFonts w:ascii="宋体"/>
                <w:color w:val="auto"/>
                <w:sz w:val="24"/>
                <w:highlight w:val="none"/>
              </w:rPr>
            </w:pPr>
          </w:p>
        </w:tc>
      </w:tr>
    </w:tbl>
    <w:p>
      <w:pPr>
        <w:tabs>
          <w:tab w:val="left" w:pos="900"/>
          <w:tab w:val="left" w:pos="1080"/>
        </w:tabs>
        <w:spacing w:line="300" w:lineRule="auto"/>
        <w:jc w:val="center"/>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both"/>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4"/>
          <w:szCs w:val="24"/>
          <w:highlight w:val="none"/>
          <w:lang w:val="en-US" w:eastAsia="zh-CN"/>
        </w:rPr>
      </w:pPr>
    </w:p>
    <w:p>
      <w:pPr>
        <w:tabs>
          <w:tab w:val="left" w:pos="900"/>
          <w:tab w:val="left" w:pos="1080"/>
        </w:tabs>
        <w:spacing w:line="300" w:lineRule="auto"/>
        <w:jc w:val="both"/>
        <w:outlineLvl w:val="0"/>
        <w:rPr>
          <w:rFonts w:hint="eastAsia" w:ascii="宋体" w:hAnsi="宋体" w:cs="宋体"/>
          <w:b/>
          <w:color w:val="auto"/>
          <w:sz w:val="24"/>
          <w:szCs w:val="24"/>
          <w:highlight w:val="none"/>
          <w:lang w:val="en-US" w:eastAsia="zh-CN"/>
        </w:rPr>
      </w:pPr>
    </w:p>
    <w:p>
      <w:pPr>
        <w:pStyle w:val="5"/>
        <w:rPr>
          <w:rFonts w:hint="eastAsia"/>
          <w:color w:val="auto"/>
          <w:highlight w:val="none"/>
        </w:rPr>
      </w:pPr>
    </w:p>
    <w:sectPr>
      <w:headerReference r:id="rId4" w:type="default"/>
      <w:footerReference r:id="rId5" w:type="default"/>
      <w:pgSz w:w="16838" w:h="11906" w:orient="landscape"/>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B568626E"/>
    <w:multiLevelType w:val="singleLevel"/>
    <w:tmpl w:val="B568626E"/>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pStyle w:val="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mUzODg1ZGZkNDE4MzBlYjcxMzQ0NzlkYmRlNmYifQ=="/>
  </w:docVars>
  <w:rsids>
    <w:rsidRoot w:val="00172A27"/>
    <w:rsid w:val="00157D0F"/>
    <w:rsid w:val="00182EBD"/>
    <w:rsid w:val="001B1460"/>
    <w:rsid w:val="00353B17"/>
    <w:rsid w:val="00903959"/>
    <w:rsid w:val="00B41975"/>
    <w:rsid w:val="00D34824"/>
    <w:rsid w:val="018F2CC3"/>
    <w:rsid w:val="029D2BCB"/>
    <w:rsid w:val="031113A5"/>
    <w:rsid w:val="037E5C84"/>
    <w:rsid w:val="06F02E68"/>
    <w:rsid w:val="0792001A"/>
    <w:rsid w:val="08D40523"/>
    <w:rsid w:val="09B956D7"/>
    <w:rsid w:val="0A354CAE"/>
    <w:rsid w:val="0A97670A"/>
    <w:rsid w:val="10F2300D"/>
    <w:rsid w:val="11AE585A"/>
    <w:rsid w:val="12100FA9"/>
    <w:rsid w:val="12154897"/>
    <w:rsid w:val="12E77112"/>
    <w:rsid w:val="12FE4B50"/>
    <w:rsid w:val="135E06C6"/>
    <w:rsid w:val="14F97D14"/>
    <w:rsid w:val="159C67B0"/>
    <w:rsid w:val="164E0DE7"/>
    <w:rsid w:val="16A1051C"/>
    <w:rsid w:val="16B86D8E"/>
    <w:rsid w:val="18785E89"/>
    <w:rsid w:val="18A76441"/>
    <w:rsid w:val="197A088C"/>
    <w:rsid w:val="1AD670B3"/>
    <w:rsid w:val="1B9A7B76"/>
    <w:rsid w:val="1CC52964"/>
    <w:rsid w:val="1ECB393C"/>
    <w:rsid w:val="1F87065C"/>
    <w:rsid w:val="205C1B96"/>
    <w:rsid w:val="235E2A84"/>
    <w:rsid w:val="2511048D"/>
    <w:rsid w:val="27B1365C"/>
    <w:rsid w:val="28C81CBD"/>
    <w:rsid w:val="2C535729"/>
    <w:rsid w:val="2CA321D4"/>
    <w:rsid w:val="2D097126"/>
    <w:rsid w:val="2D3E05DB"/>
    <w:rsid w:val="2DFD259B"/>
    <w:rsid w:val="2FF41413"/>
    <w:rsid w:val="305344C6"/>
    <w:rsid w:val="30945C05"/>
    <w:rsid w:val="30A248B6"/>
    <w:rsid w:val="31280191"/>
    <w:rsid w:val="33922181"/>
    <w:rsid w:val="35F35E6B"/>
    <w:rsid w:val="36261957"/>
    <w:rsid w:val="36A22236"/>
    <w:rsid w:val="36A84D56"/>
    <w:rsid w:val="37B25ADC"/>
    <w:rsid w:val="389712B7"/>
    <w:rsid w:val="3B91044A"/>
    <w:rsid w:val="3CAD2C75"/>
    <w:rsid w:val="3DA45EAD"/>
    <w:rsid w:val="3EB5502E"/>
    <w:rsid w:val="3EDF4F66"/>
    <w:rsid w:val="3F093E0B"/>
    <w:rsid w:val="3F16483E"/>
    <w:rsid w:val="3F1912AC"/>
    <w:rsid w:val="41971164"/>
    <w:rsid w:val="42894A41"/>
    <w:rsid w:val="4419274A"/>
    <w:rsid w:val="45953AE9"/>
    <w:rsid w:val="45F33216"/>
    <w:rsid w:val="45F80C31"/>
    <w:rsid w:val="467F6747"/>
    <w:rsid w:val="48825F81"/>
    <w:rsid w:val="48DE7494"/>
    <w:rsid w:val="49B33F56"/>
    <w:rsid w:val="49D63470"/>
    <w:rsid w:val="4A3407C7"/>
    <w:rsid w:val="4BD03736"/>
    <w:rsid w:val="4CB81F75"/>
    <w:rsid w:val="4CCC05ED"/>
    <w:rsid w:val="4DB41036"/>
    <w:rsid w:val="4DD66129"/>
    <w:rsid w:val="4E122A04"/>
    <w:rsid w:val="4E446205"/>
    <w:rsid w:val="50712B6D"/>
    <w:rsid w:val="5088718F"/>
    <w:rsid w:val="51057F34"/>
    <w:rsid w:val="51494EE9"/>
    <w:rsid w:val="52412270"/>
    <w:rsid w:val="55FE7A5D"/>
    <w:rsid w:val="570C1089"/>
    <w:rsid w:val="571E5BA3"/>
    <w:rsid w:val="58B61B08"/>
    <w:rsid w:val="592D0276"/>
    <w:rsid w:val="5B3D2FA3"/>
    <w:rsid w:val="5CEB7D69"/>
    <w:rsid w:val="5F7A41AB"/>
    <w:rsid w:val="618E6761"/>
    <w:rsid w:val="6234451E"/>
    <w:rsid w:val="62E50D1A"/>
    <w:rsid w:val="63013AF2"/>
    <w:rsid w:val="6367091E"/>
    <w:rsid w:val="64490B1D"/>
    <w:rsid w:val="64762C1A"/>
    <w:rsid w:val="64D46C51"/>
    <w:rsid w:val="661358A6"/>
    <w:rsid w:val="672008BF"/>
    <w:rsid w:val="673655A2"/>
    <w:rsid w:val="674838E0"/>
    <w:rsid w:val="689B1360"/>
    <w:rsid w:val="6A2903D4"/>
    <w:rsid w:val="6A367CBB"/>
    <w:rsid w:val="6A452827"/>
    <w:rsid w:val="6A7D5B04"/>
    <w:rsid w:val="6AA21659"/>
    <w:rsid w:val="6B40478F"/>
    <w:rsid w:val="6C130DD9"/>
    <w:rsid w:val="6C3E104B"/>
    <w:rsid w:val="6E1C43FC"/>
    <w:rsid w:val="6EB415FE"/>
    <w:rsid w:val="6ED375DD"/>
    <w:rsid w:val="7099733B"/>
    <w:rsid w:val="71471CF9"/>
    <w:rsid w:val="71E5236A"/>
    <w:rsid w:val="72293D2C"/>
    <w:rsid w:val="72F478AA"/>
    <w:rsid w:val="72FA73DA"/>
    <w:rsid w:val="73C81356"/>
    <w:rsid w:val="75BC5C9E"/>
    <w:rsid w:val="77311A03"/>
    <w:rsid w:val="78E726EC"/>
    <w:rsid w:val="7A1E1DD1"/>
    <w:rsid w:val="7A307947"/>
    <w:rsid w:val="7B6A3F09"/>
    <w:rsid w:val="7C762007"/>
    <w:rsid w:val="7CF24DE2"/>
    <w:rsid w:val="7DAA3FC0"/>
    <w:rsid w:val="7ECC0346"/>
    <w:rsid w:val="7FA247EF"/>
    <w:rsid w:val="7FF667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9"/>
    <w:pPr>
      <w:keepNext/>
      <w:keepLines/>
      <w:spacing w:before="260" w:beforeLines="0" w:after="260" w:afterLines="0" w:line="412" w:lineRule="auto"/>
      <w:outlineLvl w:val="1"/>
    </w:pPr>
    <w:rPr>
      <w:rFonts w:ascii="Cambria" w:hAnsi="Cambria"/>
      <w:b/>
      <w:bCs/>
      <w:kern w:val="0"/>
      <w:sz w:val="32"/>
      <w:szCs w:val="32"/>
    </w:rPr>
  </w:style>
  <w:style w:type="paragraph" w:styleId="5">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21">
    <w:name w:val="Default Paragraph Fon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23"/>
    <w:qFormat/>
    <w:uiPriority w:val="0"/>
    <w:rPr>
      <w:rFonts w:ascii="宋体"/>
      <w:sz w:val="18"/>
      <w:szCs w:val="18"/>
    </w:rPr>
  </w:style>
  <w:style w:type="paragraph" w:styleId="8">
    <w:name w:val="annotation text"/>
    <w:basedOn w:val="1"/>
    <w:link w:val="24"/>
    <w:unhideWhenUsed/>
    <w:qFormat/>
    <w:uiPriority w:val="99"/>
    <w:pPr>
      <w:jc w:val="left"/>
    </w:pPr>
  </w:style>
  <w:style w:type="paragraph" w:styleId="9">
    <w:name w:val="Body Text"/>
    <w:basedOn w:val="1"/>
    <w:qFormat/>
    <w:uiPriority w:val="0"/>
    <w:pPr>
      <w:spacing w:after="120" w:afterLines="0"/>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25"/>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index 1"/>
    <w:basedOn w:val="1"/>
    <w:next w:val="1"/>
    <w:qFormat/>
    <w:uiPriority w:val="0"/>
    <w:pPr>
      <w:spacing w:line="360" w:lineRule="auto"/>
      <w:jc w:val="center"/>
    </w:pPr>
    <w:rPr>
      <w:rFonts w:ascii="宋体" w:hAnsi="Arial" w:cs="Arial"/>
      <w:b/>
      <w:color w:val="000000"/>
      <w:sz w:val="24"/>
      <w:szCs w:val="24"/>
    </w:rPr>
  </w:style>
  <w:style w:type="paragraph" w:styleId="18">
    <w:name w:val="annotation subject"/>
    <w:basedOn w:val="8"/>
    <w:next w:val="8"/>
    <w:link w:val="26"/>
    <w:unhideWhenUsed/>
    <w:qFormat/>
    <w:uiPriority w:val="99"/>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unhideWhenUsed/>
    <w:qFormat/>
    <w:uiPriority w:val="99"/>
    <w:rPr>
      <w:sz w:val="21"/>
      <w:szCs w:val="21"/>
    </w:rPr>
  </w:style>
  <w:style w:type="character" w:customStyle="1" w:styleId="23">
    <w:name w:val="文档结构图 Char"/>
    <w:link w:val="7"/>
    <w:qFormat/>
    <w:uiPriority w:val="0"/>
    <w:rPr>
      <w:rFonts w:ascii="宋体"/>
      <w:kern w:val="2"/>
      <w:sz w:val="18"/>
      <w:szCs w:val="18"/>
    </w:rPr>
  </w:style>
  <w:style w:type="character" w:customStyle="1" w:styleId="24">
    <w:name w:val="批注文字 Char"/>
    <w:link w:val="8"/>
    <w:qFormat/>
    <w:uiPriority w:val="99"/>
    <w:rPr>
      <w:kern w:val="2"/>
      <w:sz w:val="21"/>
    </w:rPr>
  </w:style>
  <w:style w:type="character" w:customStyle="1" w:styleId="25">
    <w:name w:val="批注框文本 Char"/>
    <w:link w:val="13"/>
    <w:semiHidden/>
    <w:qFormat/>
    <w:uiPriority w:val="99"/>
    <w:rPr>
      <w:kern w:val="2"/>
      <w:sz w:val="18"/>
      <w:szCs w:val="18"/>
    </w:rPr>
  </w:style>
  <w:style w:type="character" w:customStyle="1" w:styleId="26">
    <w:name w:val="批注主题 Char"/>
    <w:link w:val="18"/>
    <w:semiHidden/>
    <w:qFormat/>
    <w:uiPriority w:val="99"/>
    <w:rPr>
      <w:b/>
      <w:bCs/>
      <w:kern w:val="2"/>
      <w:sz w:val="21"/>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占位符文本1"/>
    <w:basedOn w:val="21"/>
    <w:semiHidden/>
    <w:qFormat/>
    <w:uiPriority w:val="99"/>
    <w:rPr>
      <w:color w:val="808080"/>
    </w:rPr>
  </w:style>
  <w:style w:type="character" w:customStyle="1" w:styleId="29">
    <w:name w:val="font01"/>
    <w:qFormat/>
    <w:uiPriority w:val="0"/>
    <w:rPr>
      <w:rFonts w:hint="eastAsia" w:ascii="宋体" w:hAnsi="宋体" w:eastAsia="宋体" w:cs="宋体"/>
      <w:color w:val="000000"/>
      <w:sz w:val="22"/>
      <w:szCs w:val="22"/>
      <w:u w:val="none"/>
    </w:rPr>
  </w:style>
  <w:style w:type="paragraph" w:customStyle="1" w:styleId="30">
    <w:name w:val="列出段落1"/>
    <w:basedOn w:val="1"/>
    <w:qFormat/>
    <w:uiPriority w:val="99"/>
    <w:pPr>
      <w:ind w:firstLine="420" w:firstLineChars="200"/>
    </w:pPr>
    <w:rPr>
      <w:rFonts w:ascii="Calibri" w:hAnsi="Calibri" w:cs="Calibri"/>
      <w:szCs w:val="21"/>
    </w:rPr>
  </w:style>
  <w:style w:type="paragraph" w:customStyle="1" w:styleId="31">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2">
    <w:name w:val="彩色列表 - 强调文字颜色 11"/>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28</Pages>
  <Words>13311</Words>
  <Characters>14338</Characters>
  <Lines>101</Lines>
  <Paragraphs>28</Paragraphs>
  <TotalTime>3</TotalTime>
  <ScaleCrop>false</ScaleCrop>
  <LinksUpToDate>false</LinksUpToDate>
  <CharactersWithSpaces>16142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222333</dc:creator>
  <cp:lastModifiedBy>不足为·配</cp:lastModifiedBy>
  <cp:lastPrinted>2019-12-05T07:13:00Z</cp:lastPrinted>
  <dcterms:modified xsi:type="dcterms:W3CDTF">2023-05-04T09:12:30Z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59B103E937AC49B488A12ED3B3008241</vt:lpwstr>
  </property>
</Properties>
</file>