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jc w:val="center"/>
        <w:rPr>
          <w:rFonts w:hint="eastAsia" w:ascii="宋体" w:hAnsi="宋体" w:eastAsia="宋体" w:cs="宋体"/>
          <w:b/>
          <w:sz w:val="32"/>
          <w:szCs w:val="32"/>
          <w:lang w:val="en-US" w:eastAsia="zh-CN"/>
        </w:rPr>
      </w:pPr>
      <w:r>
        <w:rPr>
          <w:rFonts w:hint="eastAsia" w:ascii="宋体" w:hAnsi="宋体" w:cs="宋体"/>
          <w:b/>
          <w:sz w:val="32"/>
          <w:szCs w:val="32"/>
        </w:rPr>
        <w:t>项目名称：</w:t>
      </w:r>
      <w:r>
        <w:rPr>
          <w:rFonts w:hint="eastAsia" w:ascii="宋体" w:hAnsi="宋体" w:cs="宋体"/>
          <w:b/>
          <w:sz w:val="32"/>
          <w:szCs w:val="32"/>
          <w:lang w:val="en-US" w:eastAsia="zh-CN"/>
        </w:rPr>
        <w:t>国资监管平台决策管理子系统采购项目</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w:t>
      </w:r>
      <w:r>
        <w:rPr>
          <w:rFonts w:hint="eastAsia" w:ascii="宋体" w:hAnsi="宋体" w:cs="宋体"/>
          <w:b/>
          <w:sz w:val="28"/>
          <w:szCs w:val="28"/>
          <w:u w:val="single"/>
          <w:lang w:val="en-US" w:eastAsia="zh-CN"/>
        </w:rPr>
        <w:t>3</w:t>
      </w:r>
      <w:r>
        <w:rPr>
          <w:rFonts w:hint="eastAsia" w:ascii="宋体" w:hAnsi="宋体" w:cs="宋体"/>
          <w:b/>
          <w:sz w:val="28"/>
          <w:szCs w:val="28"/>
        </w:rPr>
        <w:t>年</w:t>
      </w:r>
      <w:r>
        <w:rPr>
          <w:rFonts w:hint="eastAsia" w:ascii="宋体" w:hAnsi="宋体" w:cs="宋体"/>
          <w:b/>
          <w:sz w:val="28"/>
          <w:szCs w:val="28"/>
          <w:u w:val="single"/>
          <w:lang w:val="en-US" w:eastAsia="zh-CN"/>
        </w:rPr>
        <w:t>4</w:t>
      </w:r>
      <w:r>
        <w:rPr>
          <w:rFonts w:hint="eastAsia" w:ascii="宋体" w:hAnsi="宋体" w:cs="宋体"/>
          <w:b/>
          <w:sz w:val="28"/>
          <w:szCs w:val="28"/>
        </w:rPr>
        <w:t>月</w:t>
      </w:r>
    </w:p>
    <w:p>
      <w:pPr>
        <w:pStyle w:val="28"/>
        <w:jc w:val="center"/>
        <w:rPr>
          <w:rFonts w:ascii="宋体" w:hAnsi="宋体" w:cs="宋体"/>
          <w:szCs w:val="21"/>
        </w:rPr>
      </w:pPr>
      <w:r>
        <w:br w:type="page"/>
      </w:r>
      <w:bookmarkStart w:id="0" w:name="_Toc296602400"/>
      <w:bookmarkStart w:id="1" w:name="_Toc246996898"/>
      <w:bookmarkStart w:id="2" w:name="_Toc507428442"/>
      <w:bookmarkStart w:id="3" w:name="_Toc507319889"/>
      <w:bookmarkStart w:id="4" w:name="_Toc247085669"/>
      <w:r>
        <w:rPr>
          <w:rFonts w:hint="eastAsia" w:ascii="宋体" w:hAnsi="宋体" w:cs="宋体"/>
          <w:b w:val="0"/>
          <w:sz w:val="32"/>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fldChar w:fldCharType="begin"/>
      </w:r>
      <w:r>
        <w:instrText xml:space="preserve"> HYPERLINK \l "_Toc10533" </w:instrText>
      </w:r>
      <w:r>
        <w:fldChar w:fldCharType="separate"/>
      </w:r>
      <w:r>
        <w:rPr>
          <w:rFonts w:hint="eastAsia" w:ascii="宋体" w:hAnsi="宋体" w:cs="宋体"/>
        </w:rPr>
        <w:t>第一章 比选公告</w:t>
      </w:r>
      <w:r>
        <w:tab/>
      </w:r>
      <w:r>
        <w:fldChar w:fldCharType="begin"/>
      </w:r>
      <w:r>
        <w:instrText xml:space="preserve"> PAGEREF _Toc10533 </w:instrText>
      </w:r>
      <w:r>
        <w:fldChar w:fldCharType="separate"/>
      </w:r>
      <w:r>
        <w:t>1</w:t>
      </w:r>
      <w:r>
        <w:fldChar w:fldCharType="end"/>
      </w:r>
      <w:r>
        <w:fldChar w:fldCharType="end"/>
      </w:r>
    </w:p>
    <w:p>
      <w:pPr>
        <w:pStyle w:val="28"/>
        <w:tabs>
          <w:tab w:val="right" w:leader="dot" w:pos="9638"/>
        </w:tabs>
      </w:pPr>
      <w:r>
        <w:fldChar w:fldCharType="begin"/>
      </w:r>
      <w:r>
        <w:instrText xml:space="preserve"> HYPERLINK \l "_Toc21719" </w:instrText>
      </w:r>
      <w:r>
        <w:fldChar w:fldCharType="separate"/>
      </w:r>
      <w:r>
        <w:rPr>
          <w:rFonts w:hint="eastAsia" w:ascii="宋体" w:hAnsi="宋体" w:cs="宋体"/>
        </w:rPr>
        <w:t>第二章 报价人须知</w:t>
      </w:r>
      <w:r>
        <w:tab/>
      </w:r>
      <w:r>
        <w:fldChar w:fldCharType="begin"/>
      </w:r>
      <w:r>
        <w:instrText xml:space="preserve"> PAGEREF _Toc21719 </w:instrText>
      </w:r>
      <w:r>
        <w:fldChar w:fldCharType="separate"/>
      </w:r>
      <w:r>
        <w:t>3</w:t>
      </w:r>
      <w:r>
        <w:fldChar w:fldCharType="end"/>
      </w:r>
      <w:r>
        <w:fldChar w:fldCharType="end"/>
      </w:r>
    </w:p>
    <w:p>
      <w:pPr>
        <w:pStyle w:val="28"/>
        <w:tabs>
          <w:tab w:val="right" w:leader="dot" w:pos="9638"/>
        </w:tabs>
      </w:pPr>
      <w:r>
        <w:fldChar w:fldCharType="begin"/>
      </w:r>
      <w:r>
        <w:instrText xml:space="preserve"> HYPERLINK \l "_Toc7682" </w:instrText>
      </w:r>
      <w:r>
        <w:fldChar w:fldCharType="separate"/>
      </w:r>
      <w:r>
        <w:rPr>
          <w:rFonts w:hint="eastAsia" w:ascii="宋体" w:hAnsi="宋体" w:cs="宋体"/>
        </w:rPr>
        <w:t>第三章 评标办法（综合评估法）</w:t>
      </w:r>
      <w:r>
        <w:tab/>
      </w:r>
      <w:r>
        <w:fldChar w:fldCharType="begin"/>
      </w:r>
      <w:r>
        <w:instrText xml:space="preserve"> PAGEREF _Toc7682 </w:instrText>
      </w:r>
      <w:r>
        <w:fldChar w:fldCharType="separate"/>
      </w:r>
      <w:r>
        <w:t>8</w:t>
      </w:r>
      <w:r>
        <w:fldChar w:fldCharType="end"/>
      </w:r>
      <w:r>
        <w:fldChar w:fldCharType="end"/>
      </w:r>
    </w:p>
    <w:p>
      <w:pPr>
        <w:pStyle w:val="28"/>
        <w:tabs>
          <w:tab w:val="right" w:leader="dot" w:pos="9638"/>
        </w:tabs>
      </w:pPr>
      <w:r>
        <w:fldChar w:fldCharType="begin"/>
      </w:r>
      <w:r>
        <w:instrText xml:space="preserve"> HYPERLINK \l "_Toc13787" </w:instrText>
      </w:r>
      <w:r>
        <w:fldChar w:fldCharType="separate"/>
      </w:r>
      <w:r>
        <w:rPr>
          <w:rFonts w:hint="eastAsia"/>
        </w:rPr>
        <w:t>第四章 报价说明</w:t>
      </w:r>
      <w:r>
        <w:tab/>
      </w:r>
      <w:r>
        <w:fldChar w:fldCharType="begin"/>
      </w:r>
      <w:r>
        <w:instrText xml:space="preserve"> PAGEREF _Toc13787 </w:instrText>
      </w:r>
      <w:r>
        <w:fldChar w:fldCharType="separate"/>
      </w:r>
      <w:r>
        <w:t>10</w:t>
      </w:r>
      <w:r>
        <w:fldChar w:fldCharType="end"/>
      </w:r>
      <w:r>
        <w:fldChar w:fldCharType="end"/>
      </w:r>
    </w:p>
    <w:p>
      <w:pPr>
        <w:pStyle w:val="28"/>
        <w:tabs>
          <w:tab w:val="right" w:leader="dot" w:pos="9638"/>
        </w:tabs>
      </w:pPr>
      <w:r>
        <w:fldChar w:fldCharType="begin"/>
      </w:r>
      <w:r>
        <w:instrText xml:space="preserve"> HYPERLINK \l "_Toc24503" </w:instrText>
      </w:r>
      <w:r>
        <w:fldChar w:fldCharType="separate"/>
      </w:r>
      <w:r>
        <w:rPr>
          <w:rFonts w:hint="eastAsia" w:ascii="宋体" w:hAnsi="宋体" w:cs="宋体"/>
        </w:rPr>
        <w:t>第五章  工程量清单及计量规则</w:t>
      </w:r>
      <w:r>
        <w:tab/>
      </w:r>
      <w:r>
        <w:fldChar w:fldCharType="begin"/>
      </w:r>
      <w:r>
        <w:instrText xml:space="preserve"> PAGEREF _Toc24503 </w:instrText>
      </w:r>
      <w:r>
        <w:fldChar w:fldCharType="separate"/>
      </w:r>
      <w:r>
        <w:t>12</w:t>
      </w:r>
      <w:r>
        <w:fldChar w:fldCharType="end"/>
      </w:r>
      <w:r>
        <w:fldChar w:fldCharType="end"/>
      </w:r>
    </w:p>
    <w:p>
      <w:pPr>
        <w:pStyle w:val="28"/>
        <w:tabs>
          <w:tab w:val="right" w:leader="dot" w:pos="9638"/>
        </w:tabs>
      </w:pPr>
      <w:r>
        <w:fldChar w:fldCharType="begin"/>
      </w:r>
      <w:r>
        <w:instrText xml:space="preserve"> HYPERLINK \l "_Toc12440" </w:instrText>
      </w:r>
      <w:r>
        <w:fldChar w:fldCharType="separate"/>
      </w:r>
      <w:r>
        <w:rPr>
          <w:rFonts w:hint="eastAsia" w:ascii="宋体" w:hAnsi="宋体" w:cs="宋体"/>
        </w:rPr>
        <w:t>第六章  图  纸</w:t>
      </w:r>
      <w:r>
        <w:tab/>
      </w:r>
      <w:r>
        <w:fldChar w:fldCharType="begin"/>
      </w:r>
      <w:r>
        <w:instrText xml:space="preserve"> PAGEREF _Toc12440 </w:instrText>
      </w:r>
      <w:r>
        <w:fldChar w:fldCharType="separate"/>
      </w:r>
      <w:r>
        <w:t>13</w:t>
      </w:r>
      <w:r>
        <w:fldChar w:fldCharType="end"/>
      </w:r>
      <w:r>
        <w:fldChar w:fldCharType="end"/>
      </w:r>
    </w:p>
    <w:p>
      <w:pPr>
        <w:pStyle w:val="28"/>
        <w:tabs>
          <w:tab w:val="right" w:leader="dot" w:pos="9638"/>
        </w:tabs>
      </w:pPr>
      <w:r>
        <w:fldChar w:fldCharType="begin"/>
      </w:r>
      <w:r>
        <w:instrText xml:space="preserve"> HYPERLINK \l "_Toc10887" </w:instrText>
      </w:r>
      <w:r>
        <w:fldChar w:fldCharType="separate"/>
      </w:r>
      <w:r>
        <w:rPr>
          <w:rFonts w:hint="eastAsia" w:ascii="宋体" w:hAnsi="宋体" w:cs="宋体"/>
        </w:rPr>
        <w:t>第七章  技术标准和工作要求</w:t>
      </w:r>
      <w:r>
        <w:tab/>
      </w:r>
      <w:r>
        <w:fldChar w:fldCharType="begin"/>
      </w:r>
      <w:r>
        <w:instrText xml:space="preserve"> PAGEREF _Toc10887 </w:instrText>
      </w:r>
      <w:r>
        <w:fldChar w:fldCharType="separate"/>
      </w:r>
      <w:r>
        <w:t>14</w:t>
      </w:r>
      <w:r>
        <w:fldChar w:fldCharType="end"/>
      </w:r>
      <w:r>
        <w:fldChar w:fldCharType="end"/>
      </w:r>
    </w:p>
    <w:p>
      <w:pPr>
        <w:pStyle w:val="28"/>
        <w:tabs>
          <w:tab w:val="right" w:leader="dot" w:pos="9638"/>
        </w:tabs>
        <w:rPr>
          <w:rFonts w:ascii="宋体" w:hAnsi="宋体" w:cs="宋体"/>
        </w:rPr>
      </w:pPr>
      <w:r>
        <w:fldChar w:fldCharType="begin"/>
      </w:r>
      <w:r>
        <w:instrText xml:space="preserve"> HYPERLINK \l "_Toc24853" </w:instrText>
      </w:r>
      <w:r>
        <w:fldChar w:fldCharType="separate"/>
      </w:r>
      <w:r>
        <w:rPr>
          <w:rFonts w:hint="eastAsia" w:ascii="宋体" w:hAnsi="宋体" w:cs="宋体"/>
        </w:rPr>
        <w:t>第九章  竞争性比选响应文件格式</w:t>
      </w:r>
      <w:r>
        <w:tab/>
      </w:r>
      <w:r>
        <w:fldChar w:fldCharType="begin"/>
      </w:r>
      <w:r>
        <w:instrText xml:space="preserve"> PAGEREF _Toc24853 </w:instrText>
      </w:r>
      <w:r>
        <w:fldChar w:fldCharType="separate"/>
      </w:r>
      <w:r>
        <w:t>15</w:t>
      </w:r>
      <w:r>
        <w:fldChar w:fldCharType="end"/>
      </w:r>
      <w:r>
        <w:fldChar w:fldCharType="end"/>
      </w:r>
    </w:p>
    <w:p/>
    <w:p>
      <w:pPr>
        <w:pStyle w:val="34"/>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spacing w:before="0" w:after="0" w:line="360" w:lineRule="auto"/>
        <w:jc w:val="center"/>
        <w:rPr>
          <w:rFonts w:ascii="宋体" w:hAnsi="宋体" w:cs="宋体"/>
        </w:rPr>
      </w:pPr>
      <w:bookmarkStart w:id="5" w:name="_Toc152045511"/>
      <w:bookmarkStart w:id="6" w:name="_Toc144974479"/>
      <w:bookmarkStart w:id="7" w:name="_Toc246996157"/>
      <w:bookmarkStart w:id="8" w:name="_Toc247096243"/>
      <w:bookmarkStart w:id="9" w:name="_Toc2000404"/>
      <w:bookmarkStart w:id="10" w:name="_Toc507319890"/>
      <w:bookmarkStart w:id="11" w:name="_Toc247085671"/>
      <w:bookmarkStart w:id="12" w:name="_Toc179632527"/>
      <w:bookmarkStart w:id="13" w:name="_Toc152042287"/>
      <w:bookmarkStart w:id="14" w:name="_Toc246996900"/>
      <w:bookmarkStart w:id="15" w:name="_Toc10533"/>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2"/>
      <w:bookmarkStart w:id="17" w:name="OLE_LINK3"/>
    </w:p>
    <w:p>
      <w:pPr>
        <w:pStyle w:val="4"/>
        <w:spacing w:before="0" w:after="0" w:line="360" w:lineRule="auto"/>
        <w:rPr>
          <w:rFonts w:ascii="宋体" w:hAnsi="宋体" w:eastAsia="宋体" w:cs="宋体"/>
        </w:rPr>
      </w:pPr>
      <w:bookmarkStart w:id="18" w:name="_Toc246996901"/>
      <w:bookmarkStart w:id="19" w:name="_Toc179632528"/>
      <w:bookmarkStart w:id="20" w:name="_Toc152045512"/>
      <w:bookmarkStart w:id="21" w:name="_Toc10076"/>
      <w:bookmarkStart w:id="22" w:name="_Toc6549"/>
      <w:bookmarkStart w:id="23" w:name="_Toc246996158"/>
      <w:bookmarkStart w:id="24" w:name="_Toc24874"/>
      <w:bookmarkStart w:id="25" w:name="_Toc144974480"/>
      <w:bookmarkStart w:id="26" w:name="_Toc247085672"/>
      <w:bookmarkStart w:id="27" w:name="_Toc507319891"/>
      <w:bookmarkStart w:id="28" w:name="_Toc11329213"/>
      <w:bookmarkStart w:id="29" w:name="_Toc152042288"/>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lang w:val="en-US" w:eastAsia="zh-CN"/>
        </w:rPr>
        <w:t>国资监管平台决策管理子系统采购项目</w:t>
      </w:r>
      <w:r>
        <w:rPr>
          <w:rFonts w:hint="eastAsia" w:ascii="宋体" w:hAnsi="宋体" w:cs="宋体"/>
          <w:szCs w:val="21"/>
        </w:rPr>
        <w:t>，采购人为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30" w:name="_Toc152042289"/>
      <w:bookmarkStart w:id="31" w:name="_Toc247085673"/>
      <w:bookmarkStart w:id="32" w:name="_Toc152045513"/>
      <w:bookmarkStart w:id="33" w:name="_Toc246996902"/>
      <w:bookmarkStart w:id="34" w:name="_Toc144974481"/>
      <w:bookmarkStart w:id="35" w:name="_Toc179632529"/>
      <w:bookmarkStart w:id="36" w:name="_Toc11329214"/>
      <w:bookmarkStart w:id="37" w:name="_Toc246996159"/>
      <w:bookmarkStart w:id="38" w:name="_Toc18109"/>
      <w:bookmarkStart w:id="39" w:name="_Toc21343"/>
      <w:bookmarkStart w:id="40" w:name="_Toc10952"/>
      <w:bookmarkStart w:id="41" w:name="_Toc507319892"/>
      <w:r>
        <w:rPr>
          <w:rFonts w:hint="eastAsia" w:ascii="宋体" w:hAnsi="宋体" w:eastAsia="宋体" w:cs="宋体"/>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pStyle w:val="12"/>
        <w:adjustRightInd w:val="0"/>
        <w:spacing w:line="400" w:lineRule="exact"/>
        <w:rPr>
          <w:rFonts w:hint="eastAsia" w:ascii="宋体" w:hAnsi="宋体" w:cs="宋体"/>
          <w:szCs w:val="21"/>
        </w:rPr>
      </w:pPr>
      <w:bookmarkStart w:id="42" w:name="_Toc446247226"/>
      <w:r>
        <w:rPr>
          <w:rFonts w:hint="eastAsia" w:ascii="宋体" w:hAnsi="宋体" w:cs="宋体"/>
          <w:szCs w:val="21"/>
        </w:rPr>
        <w:t>2.1 项目地点：</w:t>
      </w:r>
      <w:bookmarkEnd w:id="42"/>
      <w:r>
        <w:rPr>
          <w:rFonts w:hint="eastAsia" w:ascii="宋体" w:hAnsi="宋体" w:cs="宋体"/>
          <w:szCs w:val="21"/>
          <w:u w:val="single"/>
        </w:rPr>
        <w:t>重庆高速集团有限公司</w:t>
      </w:r>
      <w:r>
        <w:rPr>
          <w:rFonts w:hint="eastAsia" w:ascii="宋体" w:hAnsi="宋体" w:cs="宋体"/>
          <w:szCs w:val="21"/>
        </w:rPr>
        <w:t>。</w:t>
      </w:r>
    </w:p>
    <w:p>
      <w:pPr>
        <w:pStyle w:val="12"/>
        <w:adjustRightInd w:val="0"/>
        <w:spacing w:line="400" w:lineRule="exact"/>
        <w:rPr>
          <w:rFonts w:hint="eastAsia" w:ascii="宋体" w:hAnsi="宋体" w:cs="宋体"/>
          <w:szCs w:val="21"/>
          <w:lang w:val="en-US" w:eastAsia="zh-CN"/>
        </w:rPr>
      </w:pPr>
      <w:r>
        <w:rPr>
          <w:rFonts w:hint="eastAsia" w:ascii="宋体" w:hAnsi="宋体" w:cs="宋体"/>
          <w:szCs w:val="21"/>
          <w:lang w:val="en-US" w:eastAsia="zh-CN"/>
        </w:rPr>
        <w:t>2.2 项目概况：</w:t>
      </w:r>
      <w:r>
        <w:rPr>
          <w:rFonts w:hint="eastAsia" w:ascii="Arial" w:hAnsi="Arial" w:cs="Arial"/>
          <w:color w:val="333333"/>
          <w:szCs w:val="21"/>
          <w:shd w:val="clear" w:color="auto" w:fill="FFFFFF"/>
        </w:rPr>
        <w:t>通过信息化手段，推动集团进一步实现决策事项、治理主体、决策程序的清单化、规范化、标准化，对集团“三重一大”事项决策制度、清单、程序、决策结果等情况进行全过程监督，形成执行“三重一大”制度的硬约束。通过开展决策管理系统建设，提高集团总部运用信息技术实时掌握全局、动态分析、风险管控 的能力，切实加强对所属各级企业“三重一大”决策全过程管控力度，实现监管范围横向到边、纵向到底</w:t>
      </w:r>
      <w:r>
        <w:rPr>
          <w:rFonts w:hint="eastAsia" w:ascii="宋体" w:hAnsi="宋体" w:cs="宋体"/>
          <w:szCs w:val="21"/>
        </w:rPr>
        <w:t>。</w:t>
      </w:r>
    </w:p>
    <w:p>
      <w:pPr>
        <w:pStyle w:val="12"/>
        <w:adjustRightInd w:val="0"/>
        <w:spacing w:line="400" w:lineRule="exact"/>
        <w:rPr>
          <w:rFonts w:ascii="Arial" w:hAnsi="Arial" w:eastAsia="等线" w:cs="Arial"/>
          <w:color w:val="333333"/>
          <w:szCs w:val="21"/>
          <w:shd w:val="clear" w:color="auto" w:fill="FFFFFF"/>
        </w:rPr>
      </w:pPr>
      <w:r>
        <w:rPr>
          <w:rFonts w:hint="eastAsia" w:ascii="宋体" w:hAnsi="宋体" w:cs="宋体"/>
          <w:szCs w:val="21"/>
        </w:rPr>
        <w:t>2.3 比选范围：</w:t>
      </w:r>
      <w:r>
        <w:rPr>
          <w:rFonts w:hint="eastAsia" w:ascii="宋体" w:hAnsi="宋体" w:cs="宋体"/>
        </w:rPr>
        <w:t>本次决策管理系统项目范围为高速集团本部</w:t>
      </w:r>
      <w:r>
        <w:rPr>
          <w:rFonts w:hint="eastAsia" w:ascii="宋体" w:hAnsi="宋体" w:cs="宋体"/>
          <w:lang w:eastAsia="zh-CN"/>
        </w:rPr>
        <w:t>、</w:t>
      </w:r>
      <w:r>
        <w:rPr>
          <w:rFonts w:hint="eastAsia" w:ascii="宋体" w:hAnsi="宋体" w:cs="宋体"/>
        </w:rPr>
        <w:t>首讯公司，不包含下属子公司。比选内容：</w:t>
      </w:r>
      <w:r>
        <w:rPr>
          <w:rFonts w:hint="eastAsia" w:ascii="Arial" w:hAnsi="Arial" w:cs="Arial"/>
          <w:color w:val="333333"/>
          <w:szCs w:val="21"/>
          <w:shd w:val="clear" w:color="auto" w:fill="FFFFFF"/>
        </w:rPr>
        <w:t>按照市国资委《关于印发重庆国资大数据监管服务平台数据采集交换平台、财务监管、决策管理等系统部署建设方案的通知》（渝国资【2</w:t>
      </w:r>
      <w:r>
        <w:rPr>
          <w:rFonts w:ascii="Arial" w:hAnsi="Arial" w:cs="Arial"/>
          <w:color w:val="333333"/>
          <w:szCs w:val="21"/>
          <w:shd w:val="clear" w:color="auto" w:fill="FFFFFF"/>
        </w:rPr>
        <w:t>022</w:t>
      </w:r>
      <w:r>
        <w:rPr>
          <w:rFonts w:hint="eastAsia" w:ascii="Arial" w:hAnsi="Arial" w:cs="Arial"/>
          <w:color w:val="333333"/>
          <w:szCs w:val="21"/>
          <w:shd w:val="clear" w:color="auto" w:fill="FFFFFF"/>
        </w:rPr>
        <w:t>】4</w:t>
      </w:r>
      <w:r>
        <w:rPr>
          <w:rFonts w:ascii="Arial" w:hAnsi="Arial" w:cs="Arial"/>
          <w:color w:val="333333"/>
          <w:szCs w:val="21"/>
          <w:shd w:val="clear" w:color="auto" w:fill="FFFFFF"/>
        </w:rPr>
        <w:t>13</w:t>
      </w:r>
      <w:r>
        <w:rPr>
          <w:rFonts w:hint="eastAsia" w:ascii="Arial" w:hAnsi="Arial" w:cs="Arial"/>
          <w:color w:val="333333"/>
          <w:szCs w:val="21"/>
          <w:shd w:val="clear" w:color="auto" w:fill="FFFFFF"/>
        </w:rPr>
        <w:t>号）文件有关决策管理子系统建设总体要求，开展标准化决策管理系统建设。国资监管平台决策管理子系统开发，</w:t>
      </w:r>
      <w:r>
        <w:rPr>
          <w:rFonts w:ascii="Arial" w:hAnsi="Arial" w:eastAsia="Arial" w:cs="Arial"/>
          <w:color w:val="333333"/>
          <w:szCs w:val="21"/>
          <w:shd w:val="clear" w:color="auto" w:fill="FFFFFF"/>
        </w:rPr>
        <w:t>主要功能包括：</w:t>
      </w:r>
    </w:p>
    <w:p>
      <w:pPr>
        <w:pStyle w:val="12"/>
        <w:adjustRightInd w:val="0"/>
        <w:spacing w:line="400" w:lineRule="exact"/>
        <w:rPr>
          <w:rFonts w:ascii="Arial" w:hAnsi="Arial" w:cs="Arial"/>
          <w:color w:val="333333"/>
          <w:szCs w:val="21"/>
          <w:shd w:val="clear" w:color="auto" w:fill="FFFFFF"/>
        </w:rPr>
      </w:pPr>
      <w:r>
        <w:rPr>
          <w:rFonts w:ascii="Arial" w:hAnsi="Arial" w:cs="Arial"/>
          <w:color w:val="333333"/>
          <w:szCs w:val="21"/>
          <w:shd w:val="clear" w:color="auto" w:fill="FFFFFF"/>
        </w:rPr>
        <w:t xml:space="preserve"> 1. </w:t>
      </w:r>
      <w:r>
        <w:rPr>
          <w:rFonts w:hint="eastAsia" w:ascii="Arial" w:hAnsi="Arial" w:cs="Arial"/>
          <w:color w:val="333333"/>
          <w:szCs w:val="21"/>
          <w:shd w:val="clear" w:color="auto" w:fill="FFFFFF"/>
        </w:rPr>
        <w:t xml:space="preserve">系统应具备议题管理功能。党委会、董事会、总经理办公会议题通过系统在线发起、在线审签，同时对其中的“三重一大”议题进行标识。议题的审议情况、决策情况、决策组织实施情况相关资料及时上传系统，系统可以实时查询议题状态、议题相关资料。 </w:t>
      </w:r>
    </w:p>
    <w:p>
      <w:pPr>
        <w:pStyle w:val="12"/>
        <w:adjustRightInd w:val="0"/>
        <w:spacing w:line="400" w:lineRule="exact"/>
        <w:rPr>
          <w:rFonts w:ascii="Arial" w:hAnsi="Arial" w:cs="Arial"/>
          <w:color w:val="333333"/>
          <w:szCs w:val="21"/>
          <w:shd w:val="clear" w:color="auto" w:fill="FFFFFF"/>
        </w:rPr>
      </w:pPr>
      <w:r>
        <w:rPr>
          <w:rFonts w:ascii="Arial" w:hAnsi="Arial" w:cs="Arial"/>
          <w:color w:val="333333"/>
          <w:szCs w:val="21"/>
          <w:shd w:val="clear" w:color="auto" w:fill="FFFFFF"/>
        </w:rPr>
        <w:t xml:space="preserve">2. </w:t>
      </w:r>
      <w:r>
        <w:rPr>
          <w:rFonts w:hint="eastAsia" w:ascii="Arial" w:hAnsi="Arial" w:cs="Arial"/>
          <w:color w:val="333333"/>
          <w:szCs w:val="21"/>
          <w:shd w:val="clear" w:color="auto" w:fill="FFFFFF"/>
        </w:rPr>
        <w:t xml:space="preserve">系统应具备会议管理功能。党委会、董事会、总经理办公会通过系统在线发起、在线审签，对会议的会前、会中、会后实行全流程管理，及时上传会议召开情况、各议题审议情况、决策组织实施情况等相关资料。 </w:t>
      </w:r>
    </w:p>
    <w:p>
      <w:pPr>
        <w:pStyle w:val="12"/>
        <w:adjustRightInd w:val="0"/>
        <w:spacing w:line="400" w:lineRule="exact"/>
        <w:rPr>
          <w:rFonts w:ascii="Arial" w:hAnsi="Arial" w:cs="Arial"/>
          <w:color w:val="333333"/>
          <w:szCs w:val="21"/>
          <w:shd w:val="clear" w:color="auto" w:fill="FFFFFF"/>
        </w:rPr>
      </w:pPr>
      <w:r>
        <w:rPr>
          <w:rFonts w:ascii="Arial" w:hAnsi="Arial" w:cs="Arial"/>
          <w:color w:val="333333"/>
          <w:szCs w:val="21"/>
          <w:shd w:val="clear" w:color="auto" w:fill="FFFFFF"/>
        </w:rPr>
        <w:t xml:space="preserve">3. </w:t>
      </w:r>
      <w:r>
        <w:rPr>
          <w:rFonts w:hint="eastAsia" w:ascii="Arial" w:hAnsi="Arial" w:cs="Arial"/>
          <w:color w:val="333333"/>
          <w:szCs w:val="21"/>
          <w:shd w:val="clear" w:color="auto" w:fill="FFFFFF"/>
        </w:rPr>
        <w:t xml:space="preserve">系统应具备制度管理功能。系统收录公司章程、议事规则、“三重一大”集体决策制度等内部规章制度，并及时维护更新。 </w:t>
      </w:r>
    </w:p>
    <w:p>
      <w:pPr>
        <w:pStyle w:val="12"/>
        <w:adjustRightInd w:val="0"/>
        <w:spacing w:line="400" w:lineRule="exact"/>
        <w:rPr>
          <w:rFonts w:ascii="Arial" w:hAnsi="Arial" w:cs="Arial"/>
          <w:color w:val="333333"/>
          <w:szCs w:val="21"/>
          <w:shd w:val="clear" w:color="auto" w:fill="FFFFFF"/>
        </w:rPr>
      </w:pPr>
      <w:r>
        <w:rPr>
          <w:rFonts w:ascii="Arial" w:hAnsi="Arial" w:cs="Arial"/>
          <w:color w:val="333333"/>
          <w:szCs w:val="21"/>
          <w:shd w:val="clear" w:color="auto" w:fill="FFFFFF"/>
        </w:rPr>
        <w:t xml:space="preserve">4. </w:t>
      </w:r>
      <w:r>
        <w:rPr>
          <w:rFonts w:hint="eastAsia" w:ascii="Arial" w:hAnsi="Arial" w:cs="Arial"/>
          <w:color w:val="333333"/>
          <w:szCs w:val="21"/>
          <w:shd w:val="clear" w:color="auto" w:fill="FFFFFF"/>
        </w:rPr>
        <w:t xml:space="preserve">系统应具备“三重一大”事项清单管理功能。根据市国资委党委批复的“三重一大”集体决策制度，结合集团其他规章制度，系统录入“三重一大”事项清单，并设定清单内“三重一大”事项的决策顺序。“三重一大”议题必须关联“三重一大”事项清单。 </w:t>
      </w:r>
    </w:p>
    <w:p>
      <w:pPr>
        <w:pStyle w:val="12"/>
        <w:adjustRightInd w:val="0"/>
        <w:spacing w:line="400" w:lineRule="exact"/>
        <w:rPr>
          <w:rFonts w:ascii="Arial" w:hAnsi="Arial" w:cs="Arial"/>
          <w:color w:val="333333"/>
          <w:szCs w:val="21"/>
          <w:shd w:val="clear" w:color="auto" w:fill="FFFFFF"/>
        </w:rPr>
      </w:pPr>
      <w:r>
        <w:rPr>
          <w:rFonts w:ascii="Arial" w:hAnsi="Arial" w:cs="Arial"/>
          <w:color w:val="333333"/>
          <w:szCs w:val="21"/>
          <w:shd w:val="clear" w:color="auto" w:fill="FFFFFF"/>
        </w:rPr>
        <w:t xml:space="preserve">5. </w:t>
      </w:r>
      <w:r>
        <w:rPr>
          <w:rFonts w:hint="eastAsia" w:ascii="Arial" w:hAnsi="Arial" w:cs="Arial"/>
          <w:color w:val="333333"/>
          <w:szCs w:val="21"/>
          <w:shd w:val="clear" w:color="auto" w:fill="FFFFFF"/>
        </w:rPr>
        <w:t xml:space="preserve">系统应具备自动判断和提示预警功能。根据国资监管规定、集团内部规章制度和已设定的“三重一大”事项决策顺序，系统自动判断“三重一大”议题流转过程是否违反规定或者设定的决策顺序，如有违反情况应进行提示或者预警。 </w:t>
      </w:r>
    </w:p>
    <w:p>
      <w:pPr>
        <w:pStyle w:val="12"/>
        <w:adjustRightInd w:val="0"/>
        <w:spacing w:line="400" w:lineRule="exact"/>
        <w:rPr>
          <w:rFonts w:ascii="宋体" w:hAnsi="宋体" w:cs="宋体"/>
          <w:szCs w:val="21"/>
        </w:rPr>
      </w:pPr>
      <w:r>
        <w:rPr>
          <w:rFonts w:ascii="Arial" w:hAnsi="Arial" w:cs="Arial"/>
          <w:color w:val="333333"/>
          <w:szCs w:val="21"/>
          <w:shd w:val="clear" w:color="auto" w:fill="FFFFFF"/>
        </w:rPr>
        <w:t xml:space="preserve">6. </w:t>
      </w:r>
      <w:r>
        <w:rPr>
          <w:rFonts w:hint="eastAsia" w:ascii="Arial" w:hAnsi="Arial" w:cs="Arial"/>
          <w:color w:val="333333"/>
          <w:szCs w:val="21"/>
          <w:shd w:val="clear" w:color="auto" w:fill="FFFFFF"/>
        </w:rPr>
        <w:t>系统应具备与市国资委重庆国资大数据监管服务平台对接的技术基础、数据基础，保证市国资委可以根据监管需要动态提取系统数据，数据实现实时向市国资委交换传输</w:t>
      </w:r>
      <w:r>
        <w:rPr>
          <w:rFonts w:hint="eastAsia" w:ascii="宋体" w:hAnsi="宋体" w:cs="宋体"/>
          <w:szCs w:val="21"/>
        </w:rPr>
        <w:t xml:space="preserve">。 </w:t>
      </w:r>
    </w:p>
    <w:p>
      <w:pPr>
        <w:widowControl/>
        <w:spacing w:line="400" w:lineRule="atLeast"/>
        <w:ind w:firstLine="420"/>
        <w:rPr>
          <w:rFonts w:hint="default" w:ascii="宋体" w:hAnsi="宋体" w:eastAsia="宋体" w:cs="宋体"/>
          <w:b/>
          <w:bCs/>
          <w:lang w:val="en-US" w:eastAsia="zh-CN"/>
        </w:rPr>
      </w:pPr>
      <w:r>
        <w:rPr>
          <w:rFonts w:hint="eastAsia" w:ascii="宋体" w:hAnsi="宋体" w:cs="宋体"/>
        </w:rPr>
        <w:t>2.4 工期要求：</w:t>
      </w:r>
      <w:r>
        <w:rPr>
          <w:rFonts w:hint="eastAsia" w:ascii="宋体" w:hAnsi="宋体" w:cs="宋体"/>
          <w:lang w:val="en-US" w:eastAsia="zh-CN"/>
        </w:rPr>
        <w:t>45个日历</w:t>
      </w:r>
      <w:r>
        <w:rPr>
          <w:rFonts w:hint="eastAsia" w:ascii="宋体" w:hAnsi="宋体" w:cs="宋体"/>
        </w:rPr>
        <w:t>天完成系统开发及调试，并上线试运行；</w:t>
      </w:r>
      <w:r>
        <w:rPr>
          <w:rFonts w:hint="eastAsia" w:ascii="宋体" w:hAnsi="宋体" w:cs="宋体"/>
          <w:color w:val="000000"/>
          <w:kern w:val="0"/>
          <w:szCs w:val="21"/>
          <w:lang w:bidi="ar"/>
        </w:rPr>
        <w:t>开工日期：以甲方实际下达的开工通知为准。</w:t>
      </w:r>
      <w:r>
        <w:rPr>
          <w:rFonts w:hint="eastAsia" w:ascii="宋体" w:hAnsi="宋体" w:cs="宋体"/>
          <w:b/>
          <w:bCs/>
        </w:rPr>
        <w:t xml:space="preserve"> </w:t>
      </w:r>
    </w:p>
    <w:p>
      <w:pPr>
        <w:pStyle w:val="4"/>
        <w:spacing w:before="120" w:after="0" w:line="360" w:lineRule="auto"/>
        <w:rPr>
          <w:rFonts w:ascii="宋体" w:hAnsi="宋体" w:eastAsia="宋体" w:cs="宋体"/>
        </w:rPr>
      </w:pPr>
      <w:bookmarkStart w:id="43" w:name="_Toc7065"/>
      <w:bookmarkStart w:id="44" w:name="_Toc144974482"/>
      <w:bookmarkStart w:id="45" w:name="_Toc30356"/>
      <w:bookmarkStart w:id="46" w:name="_Toc179632530"/>
      <w:bookmarkStart w:id="47" w:name="_Toc246996160"/>
      <w:bookmarkStart w:id="48" w:name="_Toc11329215"/>
      <w:bookmarkStart w:id="49" w:name="_Toc10171"/>
      <w:bookmarkStart w:id="50" w:name="_Toc246996903"/>
      <w:bookmarkStart w:id="51" w:name="_Toc152042290"/>
      <w:bookmarkStart w:id="52" w:name="_Toc152045514"/>
      <w:bookmarkStart w:id="53" w:name="_Toc247085674"/>
      <w:bookmarkStart w:id="54" w:name="_Toc507319893"/>
      <w:r>
        <w:rPr>
          <w:rFonts w:hint="eastAsia" w:ascii="宋体" w:hAnsi="宋体" w:eastAsia="宋体" w:cs="宋体"/>
        </w:rPr>
        <w:t>3. 报价人资格要求</w:t>
      </w:r>
      <w:bookmarkEnd w:id="43"/>
      <w:bookmarkEnd w:id="44"/>
      <w:bookmarkEnd w:id="45"/>
      <w:bookmarkEnd w:id="46"/>
      <w:bookmarkEnd w:id="47"/>
      <w:bookmarkEnd w:id="48"/>
      <w:bookmarkEnd w:id="49"/>
      <w:bookmarkEnd w:id="50"/>
      <w:bookmarkEnd w:id="51"/>
      <w:bookmarkEnd w:id="52"/>
      <w:bookmarkEnd w:id="53"/>
      <w:bookmarkEnd w:id="54"/>
    </w:p>
    <w:p>
      <w:pPr>
        <w:pStyle w:val="12"/>
        <w:adjustRightInd w:val="0"/>
        <w:spacing w:line="400" w:lineRule="exact"/>
        <w:rPr>
          <w:rFonts w:hint="eastAsia" w:ascii="宋体" w:hAnsi="宋体" w:cs="宋体"/>
          <w:lang w:val="en-US" w:eastAsia="zh-CN"/>
        </w:rPr>
      </w:pPr>
      <w:bookmarkStart w:id="55" w:name="_Toc246996904"/>
      <w:bookmarkStart w:id="56" w:name="_Toc144974483"/>
      <w:bookmarkStart w:id="57" w:name="_Toc179632531"/>
      <w:bookmarkStart w:id="58" w:name="_Toc247085675"/>
      <w:bookmarkStart w:id="59" w:name="_Toc152045515"/>
      <w:bookmarkStart w:id="60" w:name="_Toc246996161"/>
      <w:bookmarkStart w:id="61" w:name="_Toc152042291"/>
      <w:r>
        <w:rPr>
          <w:rFonts w:hint="eastAsia" w:ascii="宋体" w:hAnsi="宋体" w:cs="宋体"/>
          <w:lang w:val="en-US" w:eastAsia="zh-CN"/>
        </w:rPr>
        <w:t>3.1 资质要求（以下资质文件若因疫情影响过期无法办理延续手续，需附相关行政部门下发的延期办理文件）：</w:t>
      </w:r>
    </w:p>
    <w:p>
      <w:pPr>
        <w:pStyle w:val="12"/>
        <w:adjustRightInd w:val="0"/>
        <w:spacing w:line="400" w:lineRule="exact"/>
        <w:rPr>
          <w:rFonts w:hint="eastAsia" w:ascii="宋体" w:hAnsi="宋体" w:cs="宋体"/>
          <w:lang w:val="en-US" w:eastAsia="zh-CN"/>
        </w:rPr>
      </w:pPr>
      <w:r>
        <w:rPr>
          <w:rFonts w:hint="eastAsia" w:ascii="宋体" w:hAnsi="宋体" w:cs="宋体"/>
          <w:lang w:val="en-US" w:eastAsia="zh-CN"/>
        </w:rPr>
        <w:t>（1）</w:t>
      </w:r>
      <w:r>
        <w:rPr>
          <w:rFonts w:hint="eastAsia" w:ascii="宋体" w:hAnsi="宋体" w:cs="宋体"/>
          <w:szCs w:val="21"/>
          <w:shd w:val="clear" w:color="auto" w:fill="FFFFFF"/>
        </w:rPr>
        <w:t>具有独立法人资格，具有有效的营业执照（经营范围须包含计算机软件开发或信息技术开发等内容）；</w:t>
      </w:r>
    </w:p>
    <w:p>
      <w:pPr>
        <w:pStyle w:val="12"/>
        <w:adjustRightInd w:val="0"/>
        <w:spacing w:line="400" w:lineRule="exact"/>
        <w:rPr>
          <w:rFonts w:hint="eastAsia" w:ascii="宋体" w:hAnsi="宋体" w:cs="宋体"/>
          <w:lang w:val="en-US" w:eastAsia="zh-CN"/>
        </w:rPr>
      </w:pPr>
      <w:r>
        <w:rPr>
          <w:rFonts w:hint="eastAsia" w:ascii="宋体" w:hAnsi="宋体" w:cs="宋体"/>
          <w:lang w:val="en-US" w:eastAsia="zh-CN"/>
        </w:rPr>
        <w:t>3.2 业绩要求：2020年1月1日至本竞争性比选函发出之日期间至少1个50万元及以上的国有大型企业系统集成或建设研发或应用服务合同（以合同签订时间为准）。</w:t>
      </w:r>
    </w:p>
    <w:p>
      <w:pPr>
        <w:pStyle w:val="12"/>
        <w:adjustRightInd w:val="0"/>
        <w:spacing w:line="400" w:lineRule="exact"/>
        <w:rPr>
          <w:rFonts w:hint="eastAsia" w:ascii="宋体" w:hAnsi="宋体" w:cs="宋体"/>
        </w:rPr>
      </w:pPr>
      <w:r>
        <w:rPr>
          <w:rFonts w:hint="eastAsia" w:ascii="宋体" w:hAnsi="宋体" w:cs="宋体"/>
        </w:rPr>
        <w:t>3.</w:t>
      </w:r>
      <w:r>
        <w:rPr>
          <w:rFonts w:hint="eastAsia" w:ascii="宋体" w:hAnsi="宋体" w:cs="宋体"/>
          <w:lang w:val="en-US" w:eastAsia="zh-CN"/>
        </w:rPr>
        <w:t>3</w:t>
      </w:r>
      <w:r>
        <w:rPr>
          <w:rFonts w:hint="eastAsia" w:ascii="宋体" w:hAnsi="宋体" w:cs="宋体"/>
        </w:rPr>
        <w:t xml:space="preserve"> 信誉要求：在国家企业信用信息公示系统（http://www.gsxt.gov.cn/）中未被列入严重违法失信企业名单（黑名单）信息；在“信用中国”网站（http://www.creditchina.gov.cn/）中未被列入失信惩戒执行人名单。</w:t>
      </w:r>
    </w:p>
    <w:p>
      <w:pPr>
        <w:pStyle w:val="12"/>
        <w:adjustRightInd w:val="0"/>
        <w:spacing w:line="400" w:lineRule="exact"/>
        <w:rPr>
          <w:rFonts w:hint="eastAsia" w:ascii="宋体" w:hAnsi="宋体" w:cs="宋体"/>
        </w:rPr>
      </w:pPr>
      <w:r>
        <w:rPr>
          <w:rFonts w:hint="eastAsia" w:ascii="宋体" w:hAnsi="宋体" w:cs="宋体"/>
        </w:rPr>
        <w:t>3.</w:t>
      </w:r>
      <w:r>
        <w:rPr>
          <w:rFonts w:hint="eastAsia" w:ascii="宋体" w:hAnsi="宋体" w:cs="宋体"/>
          <w:lang w:val="en-US" w:eastAsia="zh-CN"/>
        </w:rPr>
        <w:t>4</w:t>
      </w:r>
      <w:r>
        <w:rPr>
          <w:rFonts w:hint="eastAsia" w:ascii="宋体" w:hAnsi="宋体" w:cs="宋体"/>
        </w:rPr>
        <w:t xml:space="preserve"> 报价人须提供采购人要求的所有资质要求、业绩要求、信誉要求的复印件并加盖单位鲜公章。</w:t>
      </w:r>
    </w:p>
    <w:p>
      <w:pPr>
        <w:pStyle w:val="12"/>
        <w:adjustRightInd w:val="0"/>
        <w:spacing w:line="400" w:lineRule="exact"/>
        <w:rPr>
          <w:rFonts w:hint="eastAsia" w:ascii="宋体" w:hAnsi="宋体" w:cs="宋体"/>
        </w:rPr>
      </w:pPr>
      <w:r>
        <w:rPr>
          <w:rFonts w:hint="eastAsia" w:ascii="宋体" w:hAnsi="宋体" w:cs="宋体"/>
        </w:rPr>
        <w:t>3.</w:t>
      </w:r>
      <w:r>
        <w:rPr>
          <w:rFonts w:hint="eastAsia" w:ascii="宋体" w:hAnsi="宋体" w:cs="宋体"/>
          <w:lang w:val="en-US" w:eastAsia="zh-CN"/>
        </w:rPr>
        <w:t>5</w:t>
      </w:r>
      <w:r>
        <w:rPr>
          <w:rFonts w:hint="eastAsia" w:ascii="宋体" w:hAnsi="宋体" w:cs="宋体"/>
        </w:rPr>
        <w:t xml:space="preserve"> 本次比选不接受联合体报价。</w:t>
      </w:r>
    </w:p>
    <w:p>
      <w:pPr>
        <w:pStyle w:val="12"/>
        <w:adjustRightInd w:val="0"/>
        <w:spacing w:line="400" w:lineRule="exact"/>
        <w:rPr>
          <w:rFonts w:hint="eastAsia" w:ascii="宋体" w:hAnsi="宋体" w:cs="宋体"/>
        </w:rPr>
      </w:pPr>
      <w:r>
        <w:rPr>
          <w:rFonts w:hint="eastAsia" w:ascii="宋体" w:hAnsi="宋体" w:cs="宋体"/>
        </w:rPr>
        <w:t>3.</w:t>
      </w:r>
      <w:r>
        <w:rPr>
          <w:rFonts w:hint="eastAsia" w:ascii="宋体" w:hAnsi="宋体" w:cs="宋体"/>
          <w:lang w:val="en-US" w:eastAsia="zh-CN"/>
        </w:rPr>
        <w:t>6</w:t>
      </w:r>
      <w:r>
        <w:rPr>
          <w:rFonts w:hint="eastAsia" w:ascii="宋体" w:hAnsi="宋体" w:cs="宋体"/>
        </w:rPr>
        <w:t xml:space="preserve"> 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rPr>
      </w:pPr>
      <w:bookmarkStart w:id="62" w:name="_Toc12460"/>
      <w:bookmarkStart w:id="63" w:name="_Toc507319894"/>
      <w:bookmarkStart w:id="64" w:name="_Toc25619"/>
      <w:bookmarkStart w:id="65" w:name="_Toc11329216"/>
      <w:bookmarkStart w:id="66" w:name="_Toc14361"/>
      <w:r>
        <w:rPr>
          <w:rFonts w:hint="eastAsia" w:ascii="宋体" w:hAnsi="宋体" w:eastAsia="宋体" w:cs="宋体"/>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ascii="宋体" w:hAnsi="宋体"/>
          <w:szCs w:val="21"/>
        </w:rPr>
      </w:pPr>
      <w:bookmarkStart w:id="67" w:name="_Toc179632532"/>
      <w:bookmarkStart w:id="68" w:name="_Toc246996162"/>
      <w:bookmarkStart w:id="69" w:name="_Toc507319895"/>
      <w:bookmarkStart w:id="70" w:name="_Toc246996905"/>
      <w:bookmarkStart w:id="71" w:name="_Toc152045516"/>
      <w:bookmarkStart w:id="72" w:name="_Toc11329217"/>
      <w:bookmarkStart w:id="73" w:name="_Toc152042292"/>
      <w:bookmarkStart w:id="74" w:name="_Toc247085676"/>
      <w:bookmarkStart w:id="75" w:name="_Toc144974484"/>
      <w:bookmarkStart w:id="76" w:name="_Toc16686"/>
      <w:bookmarkStart w:id="77" w:name="_Toc9131"/>
      <w:bookmarkStart w:id="78" w:name="_Toc31493"/>
      <w:r>
        <w:rPr>
          <w:rFonts w:ascii="宋体" w:hAnsi="宋体"/>
          <w:szCs w:val="21"/>
        </w:rPr>
        <w:t>凡愿意参加的潜在</w:t>
      </w:r>
      <w:r>
        <w:rPr>
          <w:rFonts w:hint="eastAsia" w:ascii="宋体" w:hAnsi="宋体"/>
          <w:szCs w:val="21"/>
        </w:rPr>
        <w:t>报价</w:t>
      </w:r>
      <w:r>
        <w:rPr>
          <w:rFonts w:ascii="宋体" w:hAnsi="宋体"/>
          <w:szCs w:val="21"/>
        </w:rPr>
        <w:t>人，</w:t>
      </w:r>
      <w:r>
        <w:rPr>
          <w:rFonts w:hint="eastAsia" w:ascii="宋体" w:hAnsi="宋体"/>
          <w:szCs w:val="21"/>
        </w:rPr>
        <w:t>在</w:t>
      </w:r>
      <w:r>
        <w:rPr>
          <w:rFonts w:hint="eastAsia" w:ascii="宋体" w:hAnsi="宋体"/>
          <w:szCs w:val="21"/>
          <w:u w:val="single"/>
        </w:rPr>
        <w:t>202</w:t>
      </w:r>
      <w:r>
        <w:rPr>
          <w:rFonts w:hint="eastAsia" w:ascii="宋体" w:hAnsi="宋体"/>
          <w:szCs w:val="21"/>
          <w:u w:val="single"/>
          <w:lang w:val="en-US" w:eastAsia="zh-CN"/>
        </w:rPr>
        <w:t>3</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17</w:t>
      </w:r>
      <w:r>
        <w:rPr>
          <w:rFonts w:ascii="宋体" w:hAnsi="宋体"/>
          <w:szCs w:val="21"/>
          <w:u w:val="single"/>
        </w:rPr>
        <w:t xml:space="preserve"> </w:t>
      </w:r>
      <w:r>
        <w:rPr>
          <w:rFonts w:hint="eastAsia" w:ascii="宋体" w:hAnsi="宋体"/>
          <w:szCs w:val="21"/>
        </w:rPr>
        <w:t>日</w:t>
      </w:r>
      <w:r>
        <w:rPr>
          <w:rFonts w:hint="eastAsia" w:ascii="宋体" w:hAnsi="宋体"/>
          <w:szCs w:val="21"/>
          <w:lang w:val="en-US" w:eastAsia="zh-CN"/>
        </w:rPr>
        <w:t>上</w:t>
      </w:r>
      <w:r>
        <w:rPr>
          <w:rFonts w:hint="eastAsia" w:ascii="宋体" w:hAnsi="宋体"/>
          <w:szCs w:val="21"/>
        </w:rPr>
        <w:t>午</w:t>
      </w:r>
      <w:r>
        <w:rPr>
          <w:rFonts w:hint="eastAsia" w:ascii="宋体" w:hAnsi="宋体"/>
          <w:szCs w:val="21"/>
          <w:u w:val="single"/>
        </w:rPr>
        <w:t>11:00</w:t>
      </w:r>
      <w:r>
        <w:rPr>
          <w:rFonts w:hint="eastAsia" w:ascii="宋体" w:hAnsi="宋体"/>
          <w:szCs w:val="21"/>
        </w:rPr>
        <w:t>前在重庆高速集团官网平台上获取报价文件，各报价人应随时关注网上发布的竞争性比选文件答疑、补遗、澄清等文件内容，不管报价人是否下载，均视为已知晓竞争性比选文件的全部内容和有关事宜。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r>
        <w:rPr>
          <w:rFonts w:hint="eastAsia" w:ascii="宋体" w:hAnsi="宋体" w:eastAsia="宋体" w:cs="宋体"/>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rPr>
        <w:t>及相关事宜</w:t>
      </w:r>
      <w:bookmarkEnd w:id="76"/>
      <w:bookmarkEnd w:id="77"/>
      <w:bookmarkEnd w:id="78"/>
    </w:p>
    <w:p>
      <w:pPr>
        <w:tabs>
          <w:tab w:val="left" w:pos="360"/>
        </w:tabs>
        <w:spacing w:line="400" w:lineRule="exact"/>
        <w:ind w:firstLine="420" w:firstLineChars="200"/>
        <w:rPr>
          <w:rFonts w:ascii="宋体" w:hAnsi="宋体" w:cs="宋体"/>
          <w:szCs w:val="21"/>
        </w:rPr>
      </w:pPr>
      <w:r>
        <w:rPr>
          <w:rFonts w:hint="eastAsia" w:ascii="宋体" w:hAnsi="宋体" w:cs="宋体"/>
          <w:szCs w:val="21"/>
        </w:rPr>
        <w:t>5.1报价截止时间和开标时间：</w:t>
      </w:r>
      <w:r>
        <w:rPr>
          <w:rFonts w:hint="eastAsia" w:ascii="宋体" w:hAnsi="宋体"/>
          <w:szCs w:val="21"/>
          <w:u w:val="single"/>
        </w:rPr>
        <w:t>202</w:t>
      </w:r>
      <w:r>
        <w:rPr>
          <w:rFonts w:hint="eastAsia" w:ascii="宋体" w:hAnsi="宋体"/>
          <w:szCs w:val="21"/>
          <w:u w:val="single"/>
          <w:lang w:val="en-US" w:eastAsia="zh-CN"/>
        </w:rPr>
        <w:t>3</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17</w:t>
      </w:r>
      <w:r>
        <w:rPr>
          <w:rFonts w:hint="eastAsia" w:ascii="宋体" w:hAnsi="宋体"/>
          <w:szCs w:val="21"/>
          <w:u w:val="single"/>
        </w:rPr>
        <w:t xml:space="preserve"> </w:t>
      </w:r>
      <w:r>
        <w:rPr>
          <w:rFonts w:hint="eastAsia" w:ascii="宋体" w:hAnsi="宋体"/>
          <w:szCs w:val="21"/>
        </w:rPr>
        <w:t>日上午</w:t>
      </w:r>
      <w:r>
        <w:rPr>
          <w:rFonts w:hint="eastAsia" w:ascii="宋体" w:hAnsi="宋体"/>
          <w:szCs w:val="21"/>
          <w:u w:val="single"/>
        </w:rPr>
        <w:t>11</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分（北京时间）。</w:t>
      </w:r>
    </w:p>
    <w:p>
      <w:pPr>
        <w:tabs>
          <w:tab w:val="left" w:pos="360"/>
        </w:tabs>
        <w:spacing w:line="400" w:lineRule="exact"/>
        <w:ind w:firstLine="420" w:firstLineChars="200"/>
        <w:rPr>
          <w:rFonts w:hint="eastAsia" w:ascii="宋体" w:hAnsi="宋体" w:eastAsia="宋体" w:cs="宋体"/>
          <w:color w:val="FF0000"/>
          <w:szCs w:val="21"/>
          <w:highlight w:val="none"/>
          <w:lang w:val="en-US" w:eastAsia="zh-CN"/>
        </w:rPr>
      </w:pPr>
      <w:r>
        <w:rPr>
          <w:rFonts w:hint="eastAsia" w:ascii="宋体" w:hAnsi="宋体" w:cs="宋体"/>
          <w:szCs w:val="21"/>
        </w:rPr>
        <w:t>5.2报价的递交：</w:t>
      </w:r>
      <w:r>
        <w:rPr>
          <w:rFonts w:hint="eastAsia" w:ascii="宋体" w:hAnsi="宋体" w:cs="宋体"/>
          <w:szCs w:val="21"/>
          <w:highlight w:val="none"/>
          <w:lang w:val="en-US" w:eastAsia="zh-CN"/>
        </w:rPr>
        <w:t>报价人将完整的报价资料递交或者邮寄至</w:t>
      </w:r>
      <w:r>
        <w:rPr>
          <w:rFonts w:hint="eastAsia" w:ascii="宋体" w:hAnsi="宋体" w:cs="宋体"/>
          <w:szCs w:val="21"/>
          <w:lang w:val="en-US" w:eastAsia="zh-CN"/>
        </w:rPr>
        <w:t>重庆市渝北区新南路52号东界龙湖一楼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p>
    <w:p>
      <w:pPr>
        <w:tabs>
          <w:tab w:val="left" w:pos="360"/>
        </w:tabs>
        <w:spacing w:line="400" w:lineRule="exact"/>
        <w:ind w:firstLine="420" w:firstLineChars="200"/>
        <w:rPr>
          <w:rFonts w:ascii="宋体" w:hAnsi="宋体" w:cs="宋体"/>
          <w:szCs w:val="21"/>
        </w:rPr>
      </w:pPr>
      <w:r>
        <w:rPr>
          <w:rFonts w:hint="eastAsia" w:ascii="宋体" w:hAnsi="宋体" w:cs="宋体"/>
          <w:szCs w:val="21"/>
          <w:highlight w:val="none"/>
          <w:lang w:val="en-US" w:eastAsia="zh-CN"/>
        </w:rPr>
        <w:t xml:space="preserve"> </w:t>
      </w:r>
      <w:r>
        <w:rPr>
          <w:rFonts w:hint="eastAsia" w:ascii="宋体" w:hAnsi="宋体" w:cs="宋体"/>
          <w:szCs w:val="21"/>
        </w:rPr>
        <w:t>5.</w:t>
      </w:r>
      <w:r>
        <w:rPr>
          <w:rFonts w:hint="eastAsia" w:ascii="宋体" w:hAnsi="宋体" w:cs="宋体"/>
          <w:szCs w:val="21"/>
          <w:lang w:val="en-US" w:eastAsia="zh-CN"/>
        </w:rPr>
        <w:t>4</w:t>
      </w:r>
      <w:r>
        <w:rPr>
          <w:rFonts w:ascii="宋体" w:hAnsi="宋体" w:cs="宋体"/>
          <w:szCs w:val="21"/>
        </w:rPr>
        <w:t>采购人不组织工程现场踏勘，不召开报价预备会。</w:t>
      </w:r>
    </w:p>
    <w:p>
      <w:pPr>
        <w:pStyle w:val="4"/>
        <w:spacing w:before="120" w:after="0" w:line="400" w:lineRule="exact"/>
        <w:rPr>
          <w:rFonts w:ascii="宋体" w:hAnsi="宋体" w:eastAsia="宋体" w:cs="宋体"/>
        </w:rPr>
      </w:pPr>
      <w:bookmarkStart w:id="79" w:name="_Toc18402"/>
      <w:bookmarkStart w:id="80" w:name="_Toc11329219"/>
      <w:bookmarkStart w:id="81" w:name="_Toc179632534"/>
      <w:bookmarkStart w:id="82" w:name="_Toc21615"/>
      <w:bookmarkStart w:id="83" w:name="_Toc246996164"/>
      <w:bookmarkStart w:id="84" w:name="_Toc152042293"/>
      <w:bookmarkStart w:id="85" w:name="_Toc246996907"/>
      <w:bookmarkStart w:id="86" w:name="_Toc507319897"/>
      <w:bookmarkStart w:id="87" w:name="_Toc152045517"/>
      <w:bookmarkStart w:id="88" w:name="_Toc393"/>
      <w:bookmarkStart w:id="89" w:name="_Toc144974485"/>
      <w:bookmarkStart w:id="90" w:name="_Toc247085678"/>
      <w:r>
        <w:rPr>
          <w:rFonts w:hint="eastAsia" w:ascii="宋体" w:hAnsi="宋体" w:eastAsia="宋体" w:cs="宋体"/>
        </w:rPr>
        <w:t>6. 联系方式</w:t>
      </w:r>
      <w:bookmarkEnd w:id="79"/>
      <w:bookmarkEnd w:id="80"/>
      <w:bookmarkEnd w:id="81"/>
      <w:bookmarkEnd w:id="82"/>
      <w:bookmarkEnd w:id="83"/>
      <w:bookmarkEnd w:id="84"/>
      <w:bookmarkEnd w:id="85"/>
      <w:bookmarkEnd w:id="86"/>
      <w:bookmarkEnd w:id="87"/>
      <w:bookmarkEnd w:id="88"/>
      <w:bookmarkEnd w:id="89"/>
      <w:bookmarkEnd w:id="90"/>
    </w:p>
    <w:tbl>
      <w:tblPr>
        <w:tblStyle w:val="43"/>
        <w:tblW w:w="9628" w:type="dxa"/>
        <w:tblInd w:w="0" w:type="dxa"/>
        <w:tblLayout w:type="fixed"/>
        <w:tblCellMar>
          <w:top w:w="0" w:type="dxa"/>
          <w:left w:w="108" w:type="dxa"/>
          <w:bottom w:w="0" w:type="dxa"/>
          <w:right w:w="108" w:type="dxa"/>
        </w:tblCellMar>
      </w:tblPr>
      <w:tblGrid>
        <w:gridCol w:w="9388"/>
        <w:gridCol w:w="240"/>
      </w:tblGrid>
      <w:tr>
        <w:trPr>
          <w:trHeight w:val="470" w:hRule="atLeast"/>
        </w:trPr>
        <w:tc>
          <w:tcPr>
            <w:tcW w:w="9388"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240"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9388" w:type="dxa"/>
            <w:vAlign w:val="center"/>
          </w:tcPr>
          <w:p>
            <w:pPr>
              <w:keepNext w:val="0"/>
              <w:keepLines w:val="0"/>
              <w:widowControl w:val="0"/>
              <w:suppressLineNumbers w:val="0"/>
              <w:topLinePunct/>
              <w:spacing w:before="0" w:beforeAutospacing="0" w:after="0" w:afterAutospacing="0" w:line="400" w:lineRule="exact"/>
              <w:ind w:left="1050" w:leftChars="200" w:right="0" w:hanging="630" w:hangingChars="300"/>
              <w:jc w:val="both"/>
              <w:rPr>
                <w:rFonts w:hint="default" w:ascii="宋体" w:hAnsi="宋体" w:cs="宋体"/>
                <w:szCs w:val="21"/>
                <w:lang w:val="en-US"/>
              </w:rPr>
            </w:pPr>
            <w:r>
              <w:rPr>
                <w:rFonts w:hint="eastAsia" w:ascii="宋体" w:hAnsi="宋体" w:cs="宋体"/>
                <w:szCs w:val="21"/>
              </w:rPr>
              <w:t>地址：</w:t>
            </w:r>
            <w:r>
              <w:rPr>
                <w:rFonts w:hint="eastAsia" w:ascii="宋体" w:hAnsi="宋体" w:cs="宋体"/>
                <w:szCs w:val="21"/>
                <w:lang w:val="en-US" w:eastAsia="zh-CN"/>
              </w:rPr>
              <w:t>重庆市渝北区新南路52号东界龙湖三楼</w:t>
            </w:r>
          </w:p>
        </w:tc>
        <w:tc>
          <w:tcPr>
            <w:tcW w:w="240"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70" w:hRule="atLeast"/>
        </w:trPr>
        <w:tc>
          <w:tcPr>
            <w:tcW w:w="9388" w:type="dxa"/>
            <w:vAlign w:val="center"/>
          </w:tcPr>
          <w:p>
            <w:pPr>
              <w:topLinePunct/>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 xml:space="preserve">技术联系人：廖老师 </w:t>
            </w:r>
            <w:r>
              <w:rPr>
                <w:rFonts w:ascii="宋体" w:hAnsi="宋体" w:cs="宋体"/>
                <w:szCs w:val="21"/>
              </w:rPr>
              <w:t xml:space="preserve"> </w:t>
            </w:r>
            <w:r>
              <w:rPr>
                <w:rFonts w:hint="eastAsia" w:ascii="宋体" w:hAnsi="宋体" w:cs="宋体"/>
                <w:szCs w:val="21"/>
              </w:rPr>
              <w:t>电 话：15223296317</w:t>
            </w:r>
            <w:r>
              <w:rPr>
                <w:rFonts w:hint="eastAsia" w:ascii="宋体" w:hAnsi="宋体" w:cs="宋体"/>
                <w:szCs w:val="21"/>
                <w:lang w:val="en-US" w:eastAsia="zh-CN"/>
              </w:rPr>
              <w:t xml:space="preserve">    </w:t>
            </w:r>
          </w:p>
        </w:tc>
        <w:tc>
          <w:tcPr>
            <w:tcW w:w="240"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05" w:hRule="atLeast"/>
        </w:trPr>
        <w:tc>
          <w:tcPr>
            <w:tcW w:w="9388" w:type="dxa"/>
            <w:vAlign w:val="center"/>
          </w:tcPr>
          <w:p>
            <w:pPr>
              <w:topLinePunct/>
              <w:spacing w:line="420" w:lineRule="exact"/>
              <w:ind w:firstLine="420" w:firstLineChars="200"/>
              <w:rPr>
                <w:rFonts w:hint="default" w:eastAsia="宋体"/>
                <w:lang w:val="en-US" w:eastAsia="zh-CN"/>
              </w:rPr>
            </w:pPr>
            <w:r>
              <w:rPr>
                <w:rFonts w:hint="eastAsia" w:ascii="宋体" w:hAnsi="宋体" w:cs="宋体"/>
                <w:szCs w:val="21"/>
              </w:rPr>
              <w:t>商务联系人：</w:t>
            </w:r>
            <w:r>
              <w:rPr>
                <w:rFonts w:hint="eastAsia" w:ascii="宋体" w:hAnsi="宋体" w:cs="宋体"/>
                <w:szCs w:val="21"/>
                <w:lang w:val="en-US" w:eastAsia="zh-CN"/>
              </w:rPr>
              <w:t>刘</w:t>
            </w:r>
            <w:r>
              <w:rPr>
                <w:rFonts w:hint="eastAsia" w:ascii="宋体" w:hAnsi="宋体" w:cs="宋体"/>
                <w:szCs w:val="21"/>
              </w:rPr>
              <w:t>老师  电 话：</w:t>
            </w:r>
            <w:r>
              <w:rPr>
                <w:rFonts w:hint="eastAsia" w:ascii="宋体" w:hAnsi="宋体" w:cs="宋体"/>
                <w:szCs w:val="21"/>
                <w:lang w:val="en-US" w:eastAsia="zh-CN"/>
              </w:rPr>
              <w:t>18623655450</w:t>
            </w:r>
          </w:p>
        </w:tc>
        <w:tc>
          <w:tcPr>
            <w:tcW w:w="240" w:type="dxa"/>
            <w:vAlign w:val="center"/>
          </w:tcPr>
          <w:p>
            <w:pPr>
              <w:spacing w:line="400" w:lineRule="exact"/>
              <w:ind w:firstLine="420" w:firstLineChars="200"/>
              <w:rPr>
                <w:rFonts w:ascii="宋体" w:hAnsi="宋体" w:cs="宋体"/>
                <w:szCs w:val="21"/>
              </w:rPr>
            </w:pPr>
          </w:p>
        </w:tc>
      </w:tr>
    </w:tbl>
    <w:p/>
    <w:p>
      <w:pPr>
        <w:pStyle w:val="28"/>
      </w:pPr>
    </w:p>
    <w:bookmarkEnd w:id="16"/>
    <w:bookmarkEnd w:id="17"/>
    <w:p>
      <w:pPr>
        <w:pStyle w:val="3"/>
        <w:spacing w:before="0" w:after="0" w:line="360" w:lineRule="auto"/>
        <w:jc w:val="center"/>
        <w:rPr>
          <w:rFonts w:ascii="宋体" w:hAnsi="宋体" w:cs="宋体"/>
        </w:rPr>
      </w:pPr>
      <w:bookmarkStart w:id="91" w:name="_Toc179632544"/>
      <w:bookmarkStart w:id="92" w:name="_Toc246996173"/>
      <w:bookmarkStart w:id="93" w:name="_Toc507319898"/>
      <w:bookmarkStart w:id="94" w:name="_Toc247085687"/>
      <w:bookmarkStart w:id="95" w:name="_Toc246996916"/>
      <w:bookmarkStart w:id="96" w:name="_Toc144974495"/>
      <w:bookmarkStart w:id="97" w:name="_Toc21719"/>
      <w:bookmarkStart w:id="98" w:name="_Toc152042303"/>
      <w:bookmarkStart w:id="99" w:name="_Toc2000405"/>
      <w:bookmarkStart w:id="100" w:name="_Toc152045527"/>
      <w:r>
        <w:rPr>
          <w:rFonts w:hint="eastAsia" w:ascii="宋体" w:hAnsi="宋体" w:cs="宋体"/>
        </w:rPr>
        <w:t>第二章 报价人须知</w:t>
      </w:r>
      <w:bookmarkEnd w:id="91"/>
      <w:bookmarkEnd w:id="92"/>
      <w:bookmarkEnd w:id="93"/>
      <w:bookmarkEnd w:id="94"/>
      <w:bookmarkEnd w:id="95"/>
      <w:bookmarkEnd w:id="96"/>
      <w:bookmarkEnd w:id="97"/>
      <w:bookmarkEnd w:id="98"/>
      <w:bookmarkEnd w:id="99"/>
      <w:bookmarkEnd w:id="100"/>
    </w:p>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1"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采购人</w:t>
            </w:r>
          </w:p>
        </w:tc>
        <w:tc>
          <w:tcPr>
            <w:tcW w:w="7104"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采购人：重庆首讯科技股份有限公司</w:t>
            </w:r>
          </w:p>
          <w:p>
            <w:pPr>
              <w:ind w:left="420"/>
              <w:rPr>
                <w:rFonts w:hint="eastAsia" w:ascii="宋体" w:hAnsi="宋体" w:eastAsia="宋体" w:cs="宋体"/>
                <w:szCs w:val="21"/>
                <w:shd w:val="clear" w:color="auto" w:fill="FFFFFF"/>
                <w:lang w:eastAsia="zh-CN"/>
              </w:rPr>
            </w:pPr>
            <w:r>
              <w:rPr>
                <w:rFonts w:hint="eastAsia" w:ascii="宋体" w:hAnsi="宋体" w:cs="宋体"/>
                <w:szCs w:val="21"/>
                <w:shd w:val="clear" w:color="auto" w:fill="FFFFFF"/>
              </w:rPr>
              <w:t>地  址：</w:t>
            </w:r>
            <w:r>
              <w:rPr>
                <w:rFonts w:hint="eastAsia" w:ascii="宋体" w:hAnsi="宋体" w:cs="宋体"/>
                <w:szCs w:val="21"/>
                <w:lang w:val="en-US" w:eastAsia="zh-CN"/>
              </w:rPr>
              <w:t>重庆市渝北区新南路52号东界龙湖三楼</w:t>
            </w:r>
          </w:p>
          <w:p>
            <w:pPr>
              <w:ind w:left="420"/>
              <w:rPr>
                <w:rFonts w:ascii="宋体" w:hAnsi="宋体" w:cs="宋体"/>
                <w:szCs w:val="21"/>
                <w:shd w:val="clear" w:color="auto" w:fill="FFFFFF"/>
              </w:rPr>
            </w:pPr>
            <w:r>
              <w:rPr>
                <w:rFonts w:hint="eastAsia" w:ascii="宋体" w:hAnsi="宋体" w:cs="宋体"/>
                <w:szCs w:val="21"/>
                <w:shd w:val="clear" w:color="auto" w:fill="FFFFFF"/>
              </w:rPr>
              <w:t>联系人：</w:t>
            </w:r>
            <w:r>
              <w:rPr>
                <w:rFonts w:hint="eastAsia" w:ascii="宋体" w:hAnsi="宋体" w:cs="宋体"/>
                <w:szCs w:val="21"/>
                <w:shd w:val="clear" w:color="auto" w:fill="FFFFFF"/>
                <w:lang w:val="en-US" w:eastAsia="zh-CN"/>
              </w:rPr>
              <w:t>刘</w:t>
            </w:r>
            <w:r>
              <w:rPr>
                <w:rFonts w:hint="eastAsia" w:ascii="宋体" w:hAnsi="宋体" w:cs="宋体"/>
                <w:szCs w:val="21"/>
                <w:shd w:val="clear" w:color="auto" w:fill="FFFFFF"/>
              </w:rPr>
              <w:t>老师</w:t>
            </w:r>
          </w:p>
          <w:p>
            <w:pPr>
              <w:ind w:left="420"/>
              <w:rPr>
                <w:rFonts w:hint="default" w:eastAsia="宋体"/>
                <w:lang w:val="en-US" w:eastAsia="zh-CN"/>
              </w:rPr>
            </w:pPr>
            <w:r>
              <w:rPr>
                <w:rFonts w:hint="eastAsia" w:ascii="宋体" w:hAnsi="宋体" w:cs="宋体"/>
                <w:szCs w:val="21"/>
                <w:shd w:val="clear" w:color="auto" w:fill="FFFFFF"/>
              </w:rPr>
              <w:t>电  话：</w:t>
            </w:r>
            <w:r>
              <w:rPr>
                <w:rFonts w:hint="eastAsia" w:ascii="宋体" w:hAnsi="宋体" w:cs="宋体"/>
                <w:szCs w:val="21"/>
                <w:shd w:val="clear" w:color="auto" w:fill="FFFFFF"/>
                <w:lang w:val="en-US" w:eastAsia="zh-CN"/>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项目名称</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u w:val="single"/>
                <w:lang w:val="en-US" w:eastAsia="zh-CN"/>
              </w:rPr>
              <w:t>国资监管平台决策管理子系统采购项目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达到国家和地方现行有关质量标准和比选文件第七章技术标准和工作要求，并且一次性验收合格，缺陷责任期为</w:t>
            </w:r>
            <w:r>
              <w:rPr>
                <w:rFonts w:hint="eastAsia" w:ascii="宋体" w:hAnsi="宋体" w:cs="宋体"/>
                <w:szCs w:val="21"/>
                <w:lang w:val="en-US" w:eastAsia="zh-CN"/>
              </w:rPr>
              <w:t>36</w:t>
            </w:r>
            <w:r>
              <w:rPr>
                <w:rFonts w:hint="eastAsia" w:ascii="宋体" w:hAnsi="宋体" w:cs="宋体"/>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jc w:val="center"/>
              <w:rPr>
                <w:rFonts w:ascii="宋体" w:hAnsi="宋体" w:cs="宋体"/>
                <w:szCs w:val="21"/>
                <w:shd w:val="clear" w:color="auto" w:fill="FFFFFF"/>
              </w:rPr>
            </w:pPr>
            <w:r>
              <w:rPr>
                <w:rFonts w:hint="eastAsia" w:ascii="宋体" w:hAnsi="宋体" w:cs="宋体"/>
                <w:szCs w:val="21"/>
                <w:shd w:val="clear" w:color="auto" w:fill="FFFFFF"/>
              </w:rPr>
              <w:t>报价人资质条件、能力与信誉</w:t>
            </w:r>
          </w:p>
        </w:tc>
        <w:tc>
          <w:tcPr>
            <w:tcW w:w="7104" w:type="dxa"/>
            <w:vAlign w:val="center"/>
          </w:tcPr>
          <w:p>
            <w:pPr>
              <w:numPr>
                <w:ilvl w:val="0"/>
                <w:numId w:val="2"/>
              </w:numPr>
              <w:spacing w:line="400" w:lineRule="exact"/>
              <w:ind w:firstLine="420" w:firstLineChars="200"/>
            </w:pPr>
            <w:r>
              <w:rPr>
                <w:rFonts w:hint="eastAsia" w:ascii="宋体" w:hAnsi="宋体" w:cs="宋体"/>
                <w:szCs w:val="21"/>
              </w:rPr>
              <w:t>资质条件：见比选公告3.1</w:t>
            </w:r>
          </w:p>
          <w:p>
            <w:pPr>
              <w:spacing w:line="400" w:lineRule="exact"/>
              <w:ind w:firstLine="420" w:firstLineChars="200"/>
            </w:pPr>
            <w:r>
              <w:rPr>
                <w:rFonts w:hint="eastAsia" w:ascii="宋体" w:hAnsi="宋体" w:cs="宋体"/>
                <w:szCs w:val="21"/>
              </w:rPr>
              <w:t>（2）授权要求：见比选公告3.2</w:t>
            </w:r>
          </w:p>
          <w:p>
            <w:pPr>
              <w:spacing w:line="400" w:lineRule="exact"/>
              <w:ind w:firstLine="420" w:firstLineChars="200"/>
              <w:rPr>
                <w:rFonts w:ascii="宋体" w:hAnsi="宋体" w:cs="宋体"/>
                <w:szCs w:val="21"/>
              </w:rPr>
            </w:pPr>
            <w:r>
              <w:rPr>
                <w:rFonts w:hint="eastAsia" w:ascii="宋体" w:hAnsi="宋体" w:cs="宋体"/>
                <w:szCs w:val="21"/>
              </w:rPr>
              <w:t>（3）业绩要求：见比选公告3.3</w:t>
            </w:r>
          </w:p>
          <w:p>
            <w:pPr>
              <w:spacing w:line="400" w:lineRule="exact"/>
              <w:ind w:firstLine="420" w:firstLineChars="200"/>
              <w:rPr>
                <w:rFonts w:ascii="宋体" w:hAnsi="宋体" w:cs="宋体"/>
                <w:szCs w:val="21"/>
              </w:rPr>
            </w:pPr>
            <w:r>
              <w:rPr>
                <w:rFonts w:hint="eastAsia" w:ascii="宋体" w:hAnsi="宋体" w:cs="宋体"/>
                <w:szCs w:val="21"/>
              </w:rPr>
              <w:t>（4）信誉要求：见比选公告3.4</w:t>
            </w:r>
          </w:p>
          <w:p>
            <w:pPr>
              <w:spacing w:line="400" w:lineRule="exact"/>
              <w:ind w:firstLine="420" w:firstLineChars="200"/>
              <w:rPr>
                <w:rFonts w:ascii="宋体" w:hAnsi="宋体" w:cs="宋体"/>
                <w:szCs w:val="21"/>
              </w:rPr>
            </w:pPr>
            <w:r>
              <w:rPr>
                <w:rFonts w:hint="eastAsia" w:ascii="宋体" w:hAnsi="宋体" w:cs="宋体"/>
                <w:szCs w:val="21"/>
              </w:rPr>
              <w:t>（5）项目主要人员要求：见附录1</w:t>
            </w:r>
          </w:p>
          <w:p>
            <w:pPr>
              <w:spacing w:line="400" w:lineRule="exact"/>
              <w:ind w:firstLine="420" w:firstLineChars="200"/>
              <w:rPr>
                <w:rFonts w:ascii="宋体" w:hAnsi="宋体" w:cs="宋体"/>
                <w:szCs w:val="21"/>
              </w:rPr>
            </w:pPr>
            <w:r>
              <w:rPr>
                <w:rFonts w:hint="eastAsia" w:ascii="宋体" w:hAnsi="宋体" w:cs="宋体"/>
                <w:szCs w:val="21"/>
              </w:rPr>
              <w:t>（6）其他要求：见附录2、见附录3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是否接受</w:t>
            </w:r>
          </w:p>
          <w:p>
            <w:pPr>
              <w:ind w:left="420"/>
              <w:rPr>
                <w:rFonts w:ascii="宋体" w:hAnsi="宋体" w:cs="宋体"/>
                <w:szCs w:val="21"/>
                <w:shd w:val="clear" w:color="auto" w:fill="FFFFFF"/>
              </w:rPr>
            </w:pPr>
            <w:r>
              <w:rPr>
                <w:rFonts w:hint="eastAsia" w:ascii="宋体" w:hAnsi="宋体" w:cs="宋体"/>
                <w:szCs w:val="21"/>
                <w:shd w:val="clear" w:color="auto" w:fill="FFFFFF"/>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jc w:val="center"/>
              <w:rPr>
                <w:rFonts w:ascii="宋体" w:hAnsi="宋体" w:cs="宋体"/>
                <w:szCs w:val="21"/>
                <w:shd w:val="clear" w:color="auto" w:fill="FFFFFF"/>
              </w:rPr>
            </w:pPr>
            <w:r>
              <w:rPr>
                <w:rFonts w:hint="eastAsia" w:ascii="宋体" w:hAnsi="宋体" w:cs="宋体"/>
                <w:szCs w:val="21"/>
                <w:shd w:val="clear" w:color="auto" w:fill="FFFFFF"/>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02" w:name="_Hlt227984024"/>
            <w:bookmarkEnd w:id="102"/>
            <w:r>
              <w:rPr>
                <w:rFonts w:hint="eastAsia" w:ascii="宋体" w:hAnsi="宋体" w:cs="宋体"/>
                <w:kern w:val="0"/>
                <w:szCs w:val="21"/>
              </w:rPr>
              <w:t>14</w:t>
            </w:r>
          </w:p>
        </w:tc>
        <w:tc>
          <w:tcPr>
            <w:tcW w:w="2106" w:type="dxa"/>
            <w:vAlign w:val="center"/>
          </w:tcPr>
          <w:p>
            <w:pPr>
              <w:rPr>
                <w:rFonts w:ascii="宋体" w:hAnsi="宋体" w:cs="宋体"/>
                <w:szCs w:val="21"/>
                <w:shd w:val="clear" w:color="auto" w:fill="FFFFFF"/>
              </w:rPr>
            </w:pPr>
            <w:r>
              <w:rPr>
                <w:rFonts w:hint="eastAsia" w:ascii="宋体" w:hAnsi="宋体" w:cs="宋体"/>
                <w:szCs w:val="21"/>
                <w:shd w:val="clear" w:color="auto" w:fill="FFFFFF"/>
              </w:rPr>
              <w:t>构成竞争性比选响应文件的其他材料</w:t>
            </w:r>
          </w:p>
        </w:tc>
        <w:tc>
          <w:tcPr>
            <w:tcW w:w="7104" w:type="dxa"/>
            <w:vAlign w:val="center"/>
          </w:tcPr>
          <w:p>
            <w:pPr>
              <w:pStyle w:val="149"/>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tcBorders>
              <w:bottom w:val="single" w:color="auto" w:sz="4" w:space="0"/>
            </w:tcBorders>
            <w:vAlign w:val="center"/>
          </w:tcPr>
          <w:p>
            <w:pPr>
              <w:jc w:val="center"/>
              <w:rPr>
                <w:rFonts w:ascii="宋体" w:hAnsi="宋体" w:cs="宋体"/>
                <w:szCs w:val="21"/>
                <w:shd w:val="clear" w:color="auto" w:fill="FFFFFF"/>
              </w:rPr>
            </w:pPr>
            <w:r>
              <w:rPr>
                <w:rFonts w:hint="eastAsia" w:ascii="宋体" w:hAnsi="宋体" w:cs="宋体"/>
                <w:szCs w:val="21"/>
                <w:shd w:val="clear" w:color="auto" w:fill="FFFFFF"/>
              </w:rPr>
              <w:t>工程量清单的填写方式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rPr>
              <w:t>报价人按照采购人提供的工程量清单填写工程量清单</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ascii="宋体" w:hAnsi="宋体" w:cs="宋体"/>
                <w:szCs w:val="21"/>
              </w:rPr>
            </w:pPr>
            <w:r>
              <w:rPr>
                <w:rFonts w:hint="eastAsia" w:ascii="宋体" w:hAnsi="宋体" w:cs="宋体"/>
                <w:b/>
                <w:bCs/>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ascii="宋体" w:hAnsi="宋体" w:cs="宋体"/>
                <w:b/>
                <w:bCs/>
                <w:kern w:val="0"/>
                <w:szCs w:val="21"/>
              </w:rPr>
            </w:pPr>
            <w:r>
              <w:rPr>
                <w:rFonts w:hint="eastAsia" w:ascii="宋体" w:hAnsi="宋体"/>
                <w:b/>
                <w:bCs/>
                <w:szCs w:val="21"/>
                <w:lang w:val="en-US" w:eastAsia="zh-CN"/>
              </w:rPr>
              <w:t>国资监管平台决策管理子系统采购项目</w:t>
            </w:r>
            <w:r>
              <w:rPr>
                <w:rFonts w:hint="eastAsia" w:ascii="宋体" w:hAnsi="宋体"/>
                <w:b/>
                <w:bCs/>
                <w:szCs w:val="21"/>
              </w:rPr>
              <w:t>最高限价</w:t>
            </w:r>
            <w:r>
              <w:rPr>
                <w:rFonts w:hint="eastAsia" w:ascii="宋体" w:hAnsi="宋体"/>
                <w:b/>
                <w:bCs/>
                <w:szCs w:val="21"/>
                <w:lang w:val="en-US" w:eastAsia="zh-CN"/>
              </w:rPr>
              <w:t>695920.00</w:t>
            </w:r>
            <w:bookmarkStart w:id="268" w:name="_GoBack"/>
            <w:bookmarkEnd w:id="268"/>
            <w:r>
              <w:rPr>
                <w:rFonts w:hint="eastAsia" w:ascii="宋体" w:hAnsi="宋体"/>
                <w:b/>
                <w:bCs/>
                <w:szCs w:val="21"/>
              </w:rPr>
              <w:t>元。</w:t>
            </w:r>
            <w:r>
              <w:rPr>
                <w:rFonts w:hint="eastAsia" w:ascii="宋体" w:hAnsi="宋体" w:cs="宋体"/>
                <w:b/>
                <w:szCs w:val="21"/>
              </w:rPr>
              <w:t>报价人报价不得高于采购人发布的最高限价，否则其竞争性比选响应文件视为重大偏差，竞争性比选响应文件将按否决报价处理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17</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widowControl/>
              <w:spacing w:line="400" w:lineRule="atLeast"/>
              <w:ind w:firstLine="420" w:firstLineChars="200"/>
              <w:rPr>
                <w:rFonts w:hint="default"/>
                <w:lang w:val="en-US" w:eastAsia="zh-CN"/>
              </w:rPr>
            </w:pPr>
            <w:r>
              <w:rPr>
                <w:rFonts w:hint="default"/>
                <w:lang w:val="en-US" w:eastAsia="zh-CN"/>
              </w:rPr>
              <w:t>1、合同签订后向乙方支付合同总金额的30%，乙方完成平台开发并上线试运行后，支付至合同总金额的60%；</w:t>
            </w:r>
          </w:p>
          <w:p>
            <w:pPr>
              <w:widowControl/>
              <w:spacing w:line="400" w:lineRule="atLeast"/>
              <w:ind w:firstLine="420" w:firstLineChars="200"/>
              <w:rPr>
                <w:rFonts w:hint="default"/>
                <w:lang w:val="en-US" w:eastAsia="zh-CN"/>
              </w:rPr>
            </w:pPr>
            <w:r>
              <w:rPr>
                <w:rFonts w:hint="default"/>
                <w:lang w:val="en-US" w:eastAsia="zh-CN"/>
              </w:rPr>
              <w:t>2、乙方按要求完成本项目所有的服务内容并验收通过后，支付至合同总金额的95%；</w:t>
            </w:r>
          </w:p>
          <w:p>
            <w:pPr>
              <w:widowControl/>
              <w:spacing w:line="400" w:lineRule="atLeast"/>
              <w:ind w:firstLine="420" w:firstLineChars="200"/>
              <w:rPr>
                <w:rFonts w:hint="default"/>
                <w:lang w:val="en-US" w:eastAsia="zh-CN"/>
              </w:rPr>
            </w:pPr>
            <w:r>
              <w:rPr>
                <w:rFonts w:hint="default"/>
                <w:lang w:val="en-US" w:eastAsia="zh-CN"/>
              </w:rPr>
              <w:t>3、缺陷责任期一年（从本项目所有的服务内容并验收通过之日起计算）届满后，甲方向乙方支付合同总金额的5%的质保金。由乙方主动提出书面申请，经甲方业务部门确认后，30个工作日内全额退还（质量保证金不计任何利息），若乙方未提出书面申请，则相应的延迟责任由乙方自行承担；</w:t>
            </w:r>
          </w:p>
          <w:p>
            <w:pPr>
              <w:widowControl/>
              <w:spacing w:line="400" w:lineRule="atLeast"/>
              <w:ind w:firstLine="420" w:firstLineChars="200"/>
              <w:rPr>
                <w:rFonts w:hint="default"/>
                <w:lang w:val="en-US" w:eastAsia="zh-CN"/>
              </w:rPr>
            </w:pPr>
            <w:r>
              <w:rPr>
                <w:rFonts w:hint="default"/>
                <w:lang w:val="en-US" w:eastAsia="zh-CN"/>
              </w:rPr>
              <w:t>4、乙方应于甲方每次付款（预付款除外）前提供等额增值税专用发票给甲方。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18</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szCs w:val="21"/>
              </w:rPr>
              <w:t>乙方违约的处理</w:t>
            </w:r>
          </w:p>
        </w:tc>
        <w:tc>
          <w:tcPr>
            <w:tcW w:w="7104" w:type="dxa"/>
            <w:tcBorders>
              <w:bottom w:val="single" w:color="auto" w:sz="4" w:space="0"/>
            </w:tcBorders>
          </w:tcPr>
          <w:p>
            <w:pPr>
              <w:widowControl/>
              <w:spacing w:line="400" w:lineRule="atLeast"/>
              <w:ind w:firstLine="420"/>
              <w:rPr>
                <w:szCs w:val="21"/>
              </w:rPr>
            </w:pPr>
            <w:r>
              <w:rPr>
                <w:rFonts w:hint="eastAsia" w:ascii="宋体" w:hAnsi="宋体" w:cs="宋体"/>
                <w:color w:val="000000"/>
                <w:kern w:val="0"/>
                <w:szCs w:val="21"/>
                <w:lang w:bidi="ar"/>
              </w:rPr>
              <w:t>1.乙方在本项目工作开展期间，其项目经理、项目安全负责人必须驻施工现场开展工作，其在岗驻场工作时间按计划工期的工作日天数按实计量，若不在岗将处以</w:t>
            </w:r>
            <w:r>
              <w:rPr>
                <w:color w:val="000000"/>
                <w:kern w:val="0"/>
                <w:szCs w:val="21"/>
                <w:lang w:bidi="ar"/>
              </w:rPr>
              <w:t>1</w:t>
            </w:r>
            <w:r>
              <w:rPr>
                <w:rFonts w:hint="eastAsia" w:ascii="宋体" w:hAnsi="宋体" w:cs="宋体"/>
                <w:color w:val="000000"/>
                <w:kern w:val="0"/>
                <w:szCs w:val="21"/>
                <w:lang w:bidi="ar"/>
              </w:rPr>
              <w:t>千元</w:t>
            </w:r>
            <w:r>
              <w:rPr>
                <w:color w:val="000000"/>
                <w:kern w:val="0"/>
                <w:szCs w:val="21"/>
                <w:lang w:bidi="ar"/>
              </w:rPr>
              <w:t>/</w:t>
            </w:r>
            <w:r>
              <w:rPr>
                <w:rFonts w:hint="eastAsia" w:ascii="宋体" w:hAnsi="宋体" w:cs="宋体"/>
                <w:color w:val="000000"/>
                <w:kern w:val="0"/>
                <w:szCs w:val="21"/>
                <w:lang w:bidi="ar"/>
              </w:rPr>
              <w:t>人·天的违约处理。若离开必须书面向业主请假，未经批准擅自离开，按</w:t>
            </w:r>
            <w:r>
              <w:rPr>
                <w:color w:val="000000"/>
                <w:kern w:val="0"/>
                <w:szCs w:val="21"/>
                <w:lang w:bidi="ar"/>
              </w:rPr>
              <w:t>1</w:t>
            </w:r>
            <w:r>
              <w:rPr>
                <w:rFonts w:hint="eastAsia" w:ascii="宋体" w:hAnsi="宋体" w:cs="宋体"/>
                <w:color w:val="000000"/>
                <w:kern w:val="0"/>
                <w:szCs w:val="21"/>
                <w:lang w:bidi="ar"/>
              </w:rPr>
              <w:t>千元</w:t>
            </w:r>
            <w:r>
              <w:rPr>
                <w:color w:val="000000"/>
                <w:kern w:val="0"/>
                <w:szCs w:val="21"/>
                <w:lang w:bidi="ar"/>
              </w:rPr>
              <w:t>/</w:t>
            </w:r>
            <w:r>
              <w:rPr>
                <w:rFonts w:hint="eastAsia" w:ascii="宋体" w:hAnsi="宋体" w:cs="宋体"/>
                <w:color w:val="000000"/>
                <w:kern w:val="0"/>
                <w:szCs w:val="21"/>
                <w:lang w:bidi="ar"/>
              </w:rPr>
              <w:t>人·天处违约处理。</w:t>
            </w:r>
          </w:p>
          <w:p>
            <w:pPr>
              <w:widowControl/>
              <w:spacing w:line="400" w:lineRule="atLeast"/>
              <w:ind w:firstLine="420"/>
              <w:rPr>
                <w:szCs w:val="21"/>
              </w:rPr>
            </w:pPr>
            <w:r>
              <w:rPr>
                <w:rFonts w:hint="eastAsia" w:ascii="宋体" w:hAnsi="宋体" w:cs="宋体"/>
                <w:color w:val="000000"/>
                <w:kern w:val="0"/>
                <w:szCs w:val="21"/>
                <w:lang w:bidi="ar"/>
              </w:rPr>
              <w:t>2.乙方在本项目工作开展期间，更换项目经理，甲方按5万元</w:t>
            </w:r>
            <w:r>
              <w:rPr>
                <w:color w:val="000000"/>
                <w:kern w:val="0"/>
                <w:szCs w:val="21"/>
                <w:lang w:bidi="ar"/>
              </w:rPr>
              <w:t>/</w:t>
            </w:r>
            <w:r>
              <w:rPr>
                <w:rFonts w:hint="eastAsia" w:ascii="宋体" w:hAnsi="宋体" w:cs="宋体"/>
                <w:color w:val="000000"/>
                <w:kern w:val="0"/>
                <w:szCs w:val="21"/>
                <w:lang w:bidi="ar"/>
              </w:rPr>
              <w:t>人进行违约处理；更换安全负责人，甲方按</w:t>
            </w:r>
            <w:r>
              <w:rPr>
                <w:color w:val="000000"/>
                <w:kern w:val="0"/>
                <w:szCs w:val="21"/>
                <w:lang w:bidi="ar"/>
              </w:rPr>
              <w:t>2</w:t>
            </w:r>
            <w:r>
              <w:rPr>
                <w:rFonts w:hint="eastAsia" w:ascii="宋体" w:hAnsi="宋体" w:cs="宋体"/>
                <w:color w:val="000000"/>
                <w:kern w:val="0"/>
                <w:szCs w:val="21"/>
                <w:lang w:bidi="ar"/>
              </w:rPr>
              <w:t>万元</w:t>
            </w:r>
            <w:r>
              <w:rPr>
                <w:color w:val="000000"/>
                <w:kern w:val="0"/>
                <w:szCs w:val="21"/>
                <w:lang w:bidi="ar"/>
              </w:rPr>
              <w:t>/</w:t>
            </w:r>
            <w:r>
              <w:rPr>
                <w:rFonts w:hint="eastAsia" w:ascii="宋体" w:hAnsi="宋体" w:cs="宋体"/>
                <w:color w:val="000000"/>
                <w:kern w:val="0"/>
                <w:szCs w:val="21"/>
                <w:lang w:bidi="ar"/>
              </w:rPr>
              <w:t>人进行违约处理。新更换的人员不低于比选文件人员资质要求。</w:t>
            </w:r>
          </w:p>
          <w:p>
            <w:pPr>
              <w:widowControl/>
              <w:spacing w:line="400" w:lineRule="atLeast"/>
              <w:ind w:firstLine="420"/>
              <w:rPr>
                <w:szCs w:val="21"/>
              </w:rPr>
            </w:pPr>
            <w:r>
              <w:rPr>
                <w:rFonts w:hint="eastAsia" w:ascii="宋体" w:hAnsi="宋体" w:cs="宋体"/>
                <w:color w:val="000000"/>
                <w:kern w:val="0"/>
                <w:szCs w:val="21"/>
                <w:lang w:bidi="ar"/>
              </w:rPr>
              <w:t>3.乙方分包的工程项目，不得再行转包或分包，否则将无条件被认为乙方违约，由此引起的一切责任、事故和损失由乙方负责。此外，乙方还应当向甲方支付1万元违约金，甲方有权终止或解除合同。</w:t>
            </w:r>
          </w:p>
          <w:p>
            <w:pPr>
              <w:widowControl/>
              <w:spacing w:line="400" w:lineRule="atLeast"/>
              <w:ind w:firstLine="420"/>
              <w:rPr>
                <w:szCs w:val="21"/>
              </w:rPr>
            </w:pPr>
            <w:r>
              <w:rPr>
                <w:rFonts w:hint="eastAsia" w:ascii="宋体" w:hAnsi="宋体" w:cs="宋体"/>
                <w:color w:val="000000"/>
                <w:kern w:val="0"/>
                <w:szCs w:val="21"/>
                <w:lang w:bidi="ar"/>
              </w:rPr>
              <w:t>4.在施工过程中由乙方分包的工程项目质量经检验达不到验收规范和评定标准，不能保证工程质量，或因乙方分包的工程项目进度不能满足发包人和甲方制定的进度目标要求，则甲方有权终止合同，由此造成的损失由乙方承担。此外，乙方还应当向甲方支付 1</w:t>
            </w:r>
            <w:r>
              <w:rPr>
                <w:rFonts w:ascii="宋体" w:hAnsi="宋体" w:cs="宋体"/>
                <w:color w:val="000000"/>
                <w:kern w:val="0"/>
                <w:szCs w:val="21"/>
                <w:lang w:bidi="ar"/>
              </w:rPr>
              <w:t xml:space="preserve"> </w:t>
            </w:r>
            <w:r>
              <w:rPr>
                <w:rFonts w:hint="eastAsia" w:ascii="宋体" w:hAnsi="宋体" w:cs="宋体"/>
                <w:color w:val="000000"/>
                <w:kern w:val="0"/>
                <w:szCs w:val="21"/>
                <w:lang w:bidi="ar"/>
              </w:rPr>
              <w:t>万元违约金。</w:t>
            </w:r>
          </w:p>
          <w:p>
            <w:pPr>
              <w:widowControl/>
              <w:spacing w:line="400" w:lineRule="atLeast"/>
              <w:ind w:firstLine="420"/>
              <w:rPr>
                <w:szCs w:val="21"/>
              </w:rPr>
            </w:pPr>
            <w:r>
              <w:rPr>
                <w:rFonts w:hint="eastAsia" w:ascii="宋体" w:hAnsi="宋体" w:cs="宋体"/>
                <w:color w:val="000000"/>
                <w:kern w:val="0"/>
                <w:szCs w:val="21"/>
                <w:lang w:bidi="ar"/>
              </w:rPr>
              <w:t>5.除上一条款外，合同签订后，不经双方协商同意，任何一方不得随意变更或解除。如乙方未经甲方同意，单方解除合同时（如中途未征得甲方同意无故退场），甲方将按照乙方完成工作量的80%进行结算，同时乙方还需支付甲方  </w:t>
            </w:r>
            <w:r>
              <w:rPr>
                <w:color w:val="000000"/>
                <w:kern w:val="0"/>
                <w:szCs w:val="21"/>
                <w:lang w:bidi="ar"/>
              </w:rPr>
              <w:t xml:space="preserve">1 </w:t>
            </w:r>
            <w:r>
              <w:rPr>
                <w:rFonts w:hint="eastAsia" w:ascii="宋体" w:hAnsi="宋体" w:cs="宋体"/>
                <w:color w:val="000000"/>
                <w:kern w:val="0"/>
                <w:szCs w:val="21"/>
                <w:lang w:bidi="ar"/>
              </w:rPr>
              <w:t>万元违约金，并且由乙方赔偿甲方因影响施工计划造成的经济损失；如甲方中途无故解除合同，按乙方完成工作量的</w:t>
            </w:r>
            <w:r>
              <w:rPr>
                <w:color w:val="000000"/>
                <w:kern w:val="0"/>
                <w:szCs w:val="21"/>
                <w:lang w:bidi="ar"/>
              </w:rPr>
              <w:t>100%</w:t>
            </w:r>
            <w:r>
              <w:rPr>
                <w:rFonts w:hint="eastAsia" w:ascii="宋体" w:hAnsi="宋体" w:cs="宋体"/>
                <w:color w:val="000000"/>
                <w:kern w:val="0"/>
                <w:szCs w:val="21"/>
                <w:lang w:bidi="ar"/>
              </w:rPr>
              <w:t>进行结算，应赔偿乙方因此造成的经济损失。</w:t>
            </w:r>
          </w:p>
          <w:p>
            <w:pPr>
              <w:widowControl/>
              <w:spacing w:line="400" w:lineRule="atLeast"/>
              <w:ind w:firstLine="420"/>
              <w:rPr>
                <w:szCs w:val="21"/>
              </w:rPr>
            </w:pPr>
            <w:r>
              <w:rPr>
                <w:rFonts w:hint="eastAsia" w:ascii="宋体" w:hAnsi="宋体" w:cs="宋体"/>
                <w:color w:val="000000"/>
                <w:kern w:val="0"/>
                <w:szCs w:val="21"/>
                <w:lang w:bidi="ar"/>
              </w:rPr>
              <w:t>6.因乙方原因，出现下列情况之一的，甲方有权采取认为合理的一切措施进行处理，由此引起的损失由乙方承担。</w:t>
            </w:r>
          </w:p>
          <w:p>
            <w:pPr>
              <w:widowControl/>
              <w:spacing w:line="400" w:lineRule="atLeast"/>
              <w:ind w:firstLine="420"/>
              <w:rPr>
                <w:szCs w:val="21"/>
              </w:rPr>
            </w:pPr>
            <w:r>
              <w:rPr>
                <w:rFonts w:hint="eastAsia" w:ascii="宋体" w:hAnsi="宋体" w:cs="宋体"/>
                <w:color w:val="000000"/>
                <w:kern w:val="0"/>
                <w:szCs w:val="21"/>
                <w:lang w:bidi="ar"/>
              </w:rPr>
              <w:t>6.1乙方的主要人员、机械设备及流动资金不能按时到位的，严重制约了工程的施工；</w:t>
            </w:r>
          </w:p>
          <w:p>
            <w:pPr>
              <w:widowControl/>
              <w:spacing w:line="400" w:lineRule="atLeast"/>
              <w:ind w:firstLine="420"/>
              <w:rPr>
                <w:szCs w:val="21"/>
              </w:rPr>
            </w:pPr>
            <w:r>
              <w:rPr>
                <w:rFonts w:hint="eastAsia" w:ascii="宋体" w:hAnsi="宋体" w:cs="宋体"/>
                <w:color w:val="000000"/>
                <w:kern w:val="0"/>
                <w:szCs w:val="21"/>
                <w:lang w:bidi="ar"/>
              </w:rPr>
              <w:t>6.2进度滞后该工程总体进度计划的</w:t>
            </w:r>
            <w:r>
              <w:rPr>
                <w:color w:val="000000"/>
                <w:kern w:val="0"/>
                <w:szCs w:val="21"/>
                <w:lang w:bidi="ar"/>
              </w:rPr>
              <w:t>10</w:t>
            </w:r>
            <w:r>
              <w:rPr>
                <w:rFonts w:hint="eastAsia" w:ascii="宋体" w:hAnsi="宋体" w:cs="宋体"/>
                <w:color w:val="000000"/>
                <w:kern w:val="0"/>
                <w:szCs w:val="21"/>
                <w:lang w:bidi="ar"/>
              </w:rPr>
              <w:t>％或落到工程管理曲线下线以下的；</w:t>
            </w:r>
          </w:p>
          <w:p>
            <w:pPr>
              <w:widowControl/>
              <w:spacing w:line="400" w:lineRule="atLeast"/>
              <w:ind w:firstLine="420"/>
              <w:rPr>
                <w:szCs w:val="21"/>
              </w:rPr>
            </w:pPr>
            <w:r>
              <w:rPr>
                <w:rFonts w:hint="eastAsia" w:ascii="宋体" w:hAnsi="宋体" w:cs="宋体"/>
                <w:color w:val="000000"/>
                <w:kern w:val="0"/>
                <w:szCs w:val="21"/>
                <w:lang w:bidi="ar"/>
              </w:rPr>
              <w:t>6.3不按施工技术规范和标准要求施工，造成工程质量低劣的达不到验收标准的；</w:t>
            </w:r>
          </w:p>
          <w:p>
            <w:pPr>
              <w:widowControl/>
              <w:spacing w:line="400" w:lineRule="atLeast"/>
              <w:ind w:firstLine="420"/>
              <w:rPr>
                <w:szCs w:val="21"/>
              </w:rPr>
            </w:pPr>
            <w:r>
              <w:rPr>
                <w:rFonts w:hint="eastAsia" w:ascii="宋体" w:hAnsi="宋体" w:cs="宋体"/>
                <w:color w:val="000000"/>
                <w:kern w:val="0"/>
                <w:szCs w:val="21"/>
                <w:lang w:bidi="ar"/>
              </w:rPr>
              <w:t>6. 4不遵守甲方的管理，不能服从发包人和监理人的指令，造成工程不能管理无法推进。</w:t>
            </w:r>
          </w:p>
          <w:p>
            <w:pPr>
              <w:widowControl/>
              <w:ind w:firstLine="420" w:firstLineChars="200"/>
            </w:pPr>
            <w:r>
              <w:rPr>
                <w:rFonts w:hint="eastAsia" w:ascii="宋体" w:hAnsi="宋体" w:cs="宋体"/>
                <w:color w:val="000000"/>
                <w:kern w:val="0"/>
                <w:szCs w:val="21"/>
                <w:lang w:bidi="ar"/>
              </w:rPr>
              <w:t>7.乙方应按本合同规定的工期及质量要求完成，否则应偿付给甲方</w:t>
            </w:r>
            <w:r>
              <w:rPr>
                <w:color w:val="000000"/>
                <w:kern w:val="0"/>
                <w:szCs w:val="21"/>
                <w:lang w:bidi="ar"/>
              </w:rPr>
              <w:t>10000</w:t>
            </w:r>
            <w:r>
              <w:rPr>
                <w:rFonts w:hint="eastAsia" w:ascii="宋体" w:hAnsi="宋体" w:cs="宋体"/>
                <w:color w:val="000000"/>
                <w:kern w:val="0"/>
                <w:szCs w:val="21"/>
                <w:lang w:bidi="ar"/>
              </w:rPr>
              <w:t>元</w:t>
            </w:r>
            <w:r>
              <w:rPr>
                <w:color w:val="000000"/>
                <w:kern w:val="0"/>
                <w:szCs w:val="21"/>
                <w:lang w:bidi="ar"/>
              </w:rPr>
              <w:t>/</w:t>
            </w:r>
            <w:r>
              <w:rPr>
                <w:rFonts w:hint="eastAsia" w:ascii="宋体" w:hAnsi="宋体" w:cs="宋体"/>
                <w:color w:val="000000"/>
                <w:kern w:val="0"/>
                <w:szCs w:val="21"/>
                <w:lang w:bidi="ar"/>
              </w:rPr>
              <w:t xml:space="preserve">天的逾期违约金，并承担甲方项目部延期完成任务以后后续发生的管理费用，限额为 </w:t>
            </w:r>
            <w:r>
              <w:rPr>
                <w:color w:val="000000"/>
                <w:kern w:val="0"/>
                <w:szCs w:val="21"/>
                <w:lang w:bidi="ar"/>
              </w:rPr>
              <w:t>5</w:t>
            </w:r>
            <w:r>
              <w:rPr>
                <w:rFonts w:hint="eastAsia" w:ascii="宋体" w:hAnsi="宋体" w:cs="宋体"/>
                <w:color w:val="000000"/>
                <w:kern w:val="0"/>
                <w:szCs w:val="21"/>
                <w:lang w:bidi="ar"/>
              </w:rPr>
              <w:t>％本合同的签约合同价。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19</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20</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保证金</w:t>
            </w:r>
          </w:p>
        </w:tc>
        <w:tc>
          <w:tcPr>
            <w:tcW w:w="7104" w:type="dxa"/>
            <w:vAlign w:val="center"/>
          </w:tcPr>
          <w:p>
            <w:pPr>
              <w:widowControl/>
              <w:spacing w:line="400" w:lineRule="atLeast"/>
              <w:ind w:firstLine="420"/>
              <w:rPr>
                <w:rFonts w:hint="eastAsia" w:ascii="宋体" w:hAnsi="宋体" w:cs="宋体"/>
                <w:color w:val="000000"/>
                <w:kern w:val="0"/>
                <w:szCs w:val="21"/>
                <w:lang w:bidi="ar"/>
              </w:rPr>
            </w:pPr>
            <w:r>
              <w:rPr>
                <w:rFonts w:hint="eastAsia" w:ascii="宋体" w:hAnsi="宋体" w:cs="宋体"/>
                <w:color w:val="000000"/>
                <w:kern w:val="0"/>
                <w:szCs w:val="21"/>
                <w:lang w:bidi="ar"/>
              </w:rPr>
              <w:t>一、投标保证金</w:t>
            </w:r>
          </w:p>
          <w:p>
            <w:pPr>
              <w:pStyle w:val="149"/>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1、无。</w:t>
            </w:r>
          </w:p>
          <w:p>
            <w:pPr>
              <w:pStyle w:val="149"/>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w:t>
            </w:r>
            <w:r>
              <w:rPr>
                <w:rFonts w:hint="default" w:hAnsi="宋体"/>
                <w:color w:val="auto"/>
                <w:kern w:val="2"/>
                <w:sz w:val="21"/>
                <w:szCs w:val="21"/>
                <w:highlight w:val="none"/>
                <w:lang w:val="en-US" w:eastAsia="zh-CN"/>
              </w:rPr>
              <w:t>投标保证金退还方式</w:t>
            </w:r>
          </w:p>
          <w:p>
            <w:pPr>
              <w:pStyle w:val="149"/>
              <w:spacing w:line="400" w:lineRule="exact"/>
              <w:ind w:firstLine="420" w:firstLineChars="200"/>
              <w:rPr>
                <w:rFonts w:hint="default" w:hAnsi="宋体"/>
                <w:color w:val="auto"/>
                <w:kern w:val="2"/>
                <w:sz w:val="21"/>
                <w:szCs w:val="21"/>
                <w:highlight w:val="none"/>
                <w:lang w:val="en-US" w:eastAsia="zh-CN"/>
              </w:rPr>
            </w:pPr>
            <w:r>
              <w:rPr>
                <w:rFonts w:hint="default" w:hAnsi="宋体"/>
                <w:color w:val="auto"/>
                <w:kern w:val="2"/>
                <w:sz w:val="21"/>
                <w:szCs w:val="21"/>
                <w:highlight w:val="none"/>
                <w:lang w:val="en-US" w:eastAsia="zh-CN"/>
              </w:rPr>
              <w:t>未</w:t>
            </w:r>
            <w:r>
              <w:rPr>
                <w:rFonts w:hint="eastAsia" w:hAnsi="宋体"/>
                <w:color w:val="auto"/>
                <w:kern w:val="2"/>
                <w:sz w:val="21"/>
                <w:szCs w:val="21"/>
                <w:highlight w:val="none"/>
                <w:lang w:val="en-US" w:eastAsia="zh-CN"/>
              </w:rPr>
              <w:t>中标报价人</w:t>
            </w:r>
            <w:r>
              <w:rPr>
                <w:rFonts w:hint="default" w:hAnsi="宋体"/>
                <w:color w:val="auto"/>
                <w:kern w:val="2"/>
                <w:sz w:val="21"/>
                <w:szCs w:val="21"/>
                <w:highlight w:val="none"/>
                <w:lang w:val="en-US" w:eastAsia="zh-CN"/>
              </w:rPr>
              <w:t>的投标保证金，于该项目结果公示期结束后15个工作日内无息退还至</w:t>
            </w:r>
            <w:r>
              <w:rPr>
                <w:rFonts w:hint="eastAsia" w:hAnsi="宋体"/>
                <w:color w:val="auto"/>
                <w:kern w:val="2"/>
                <w:sz w:val="21"/>
                <w:szCs w:val="21"/>
                <w:highlight w:val="none"/>
                <w:lang w:val="en-US" w:eastAsia="zh-CN"/>
              </w:rPr>
              <w:t>报价人</w:t>
            </w:r>
            <w:r>
              <w:rPr>
                <w:rFonts w:hint="default" w:hAnsi="宋体"/>
                <w:color w:val="auto"/>
                <w:kern w:val="2"/>
                <w:sz w:val="21"/>
                <w:szCs w:val="21"/>
                <w:highlight w:val="none"/>
                <w:lang w:val="en-US" w:eastAsia="zh-CN"/>
              </w:rPr>
              <w:t>基本账户。</w:t>
            </w:r>
          </w:p>
          <w:p>
            <w:pPr>
              <w:pStyle w:val="149"/>
              <w:spacing w:line="400" w:lineRule="exact"/>
              <w:ind w:firstLine="420" w:firstLineChars="200"/>
              <w:rPr>
                <w:rFonts w:hint="default" w:hAnsi="宋体"/>
                <w:color w:val="auto"/>
                <w:kern w:val="2"/>
                <w:sz w:val="21"/>
                <w:szCs w:val="21"/>
                <w:highlight w:val="none"/>
                <w:lang w:val="en-US" w:eastAsia="zh-CN"/>
              </w:rPr>
            </w:pPr>
            <w:r>
              <w:rPr>
                <w:rFonts w:hint="default" w:hAnsi="宋体"/>
                <w:color w:val="auto"/>
                <w:kern w:val="2"/>
                <w:sz w:val="21"/>
                <w:szCs w:val="21"/>
                <w:highlight w:val="none"/>
                <w:lang w:val="en-US" w:eastAsia="zh-CN"/>
              </w:rPr>
              <w:t>中标人的投标保证金，自合同签订后15个工作日内无息退还至中标人基本账户。</w:t>
            </w:r>
          </w:p>
          <w:p>
            <w:pPr>
              <w:widowControl/>
              <w:spacing w:line="400" w:lineRule="atLeast"/>
              <w:ind w:firstLine="420"/>
              <w:rPr>
                <w:rFonts w:hint="eastAsia" w:ascii="宋体" w:hAnsi="宋体" w:cs="宋体"/>
                <w:color w:val="000000"/>
                <w:kern w:val="0"/>
                <w:szCs w:val="21"/>
                <w:lang w:bidi="ar"/>
              </w:rPr>
            </w:pPr>
            <w:r>
              <w:rPr>
                <w:rFonts w:hint="eastAsia" w:ascii="宋体" w:hAnsi="宋体" w:cs="宋体"/>
                <w:color w:val="000000"/>
                <w:kern w:val="0"/>
                <w:szCs w:val="21"/>
                <w:lang w:bidi="ar"/>
              </w:rPr>
              <w:t>二、履约保证金</w:t>
            </w:r>
          </w:p>
          <w:p>
            <w:pPr>
              <w:pStyle w:val="149"/>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履约担保作为本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pPr>
              <w:pStyle w:val="149"/>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2、履约保证金的金额：无。</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3、履约保证金有效期：自双方签订的合同文件生效之日起，至合同约定的工程验收完成止。</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4、履约保证金的提交及退还：无。</w:t>
            </w:r>
          </w:p>
          <w:p>
            <w:pPr>
              <w:widowControl/>
              <w:spacing w:line="400" w:lineRule="atLeast"/>
              <w:ind w:firstLine="420"/>
              <w:rPr>
                <w:rFonts w:hint="eastAsia" w:ascii="宋体" w:hAnsi="宋体" w:cs="宋体"/>
                <w:color w:val="000000"/>
                <w:kern w:val="0"/>
                <w:szCs w:val="21"/>
                <w:lang w:bidi="ar"/>
              </w:rPr>
            </w:pPr>
            <w:r>
              <w:rPr>
                <w:rFonts w:hint="eastAsia" w:ascii="宋体" w:hAnsi="宋体" w:cs="宋体"/>
                <w:color w:val="000000"/>
                <w:kern w:val="0"/>
                <w:szCs w:val="21"/>
                <w:lang w:val="en-US" w:eastAsia="zh-CN" w:bidi="ar"/>
              </w:rPr>
              <w:t>三</w:t>
            </w:r>
            <w:r>
              <w:rPr>
                <w:rFonts w:hint="eastAsia" w:ascii="宋体" w:hAnsi="宋体" w:cs="宋体"/>
                <w:color w:val="000000"/>
                <w:kern w:val="0"/>
                <w:szCs w:val="21"/>
                <w:lang w:bidi="ar"/>
              </w:rPr>
              <w:t>、采购人指定的开户银行及账号如下：</w:t>
            </w:r>
          </w:p>
          <w:p>
            <w:pPr>
              <w:widowControl/>
              <w:spacing w:line="400" w:lineRule="atLeast"/>
              <w:ind w:firstLine="420"/>
              <w:rPr>
                <w:rFonts w:hint="eastAsia" w:ascii="宋体" w:hAnsi="宋体" w:cs="宋体"/>
                <w:color w:val="000000"/>
                <w:kern w:val="0"/>
                <w:szCs w:val="21"/>
                <w:lang w:bidi="ar"/>
              </w:rPr>
            </w:pPr>
            <w:r>
              <w:rPr>
                <w:rFonts w:hint="eastAsia" w:ascii="宋体" w:hAnsi="宋体" w:cs="宋体"/>
                <w:color w:val="000000"/>
                <w:kern w:val="0"/>
                <w:szCs w:val="21"/>
                <w:lang w:bidi="ar"/>
              </w:rPr>
              <w:t>账户名称：重庆首讯科技股份有限公司</w:t>
            </w:r>
          </w:p>
          <w:p>
            <w:pPr>
              <w:widowControl/>
              <w:spacing w:line="400" w:lineRule="atLeast"/>
              <w:ind w:firstLine="420"/>
              <w:rPr>
                <w:rFonts w:hint="eastAsia" w:ascii="宋体" w:hAnsi="宋体" w:cs="宋体"/>
                <w:color w:val="000000"/>
                <w:kern w:val="0"/>
                <w:szCs w:val="21"/>
                <w:lang w:bidi="ar"/>
              </w:rPr>
            </w:pPr>
            <w:r>
              <w:rPr>
                <w:rFonts w:hint="eastAsia" w:ascii="宋体" w:hAnsi="宋体" w:cs="宋体"/>
                <w:color w:val="000000"/>
                <w:kern w:val="0"/>
                <w:szCs w:val="21"/>
                <w:lang w:bidi="ar"/>
              </w:rPr>
              <w:t>开户银行：兴业银行重庆分行营业部</w:t>
            </w:r>
          </w:p>
          <w:p>
            <w:pPr>
              <w:widowControl/>
              <w:spacing w:line="400" w:lineRule="atLeast"/>
              <w:ind w:firstLine="420"/>
              <w:rPr>
                <w:rFonts w:hAnsi="宋体" w:cs="宋体"/>
              </w:rPr>
            </w:pPr>
            <w:r>
              <w:rPr>
                <w:rFonts w:hint="eastAsia" w:ascii="宋体" w:hAnsi="宋体" w:cs="宋体"/>
                <w:color w:val="000000"/>
                <w:kern w:val="0"/>
                <w:szCs w:val="21"/>
                <w:lang w:bidi="ar"/>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21</w:t>
            </w:r>
          </w:p>
        </w:tc>
        <w:tc>
          <w:tcPr>
            <w:tcW w:w="2106" w:type="dxa"/>
            <w:vAlign w:val="center"/>
          </w:tcPr>
          <w:p>
            <w:pPr>
              <w:pStyle w:val="149"/>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w:t>
            </w:r>
            <w:r>
              <w:rPr>
                <w:rFonts w:hint="eastAsia" w:hAnsi="宋体"/>
                <w:color w:val="auto"/>
                <w:kern w:val="2"/>
                <w:sz w:val="21"/>
                <w:szCs w:val="21"/>
                <w:highlight w:val="none"/>
                <w:lang w:val="en-US" w:eastAsia="zh-CN"/>
              </w:rPr>
              <w:t>合规监管</w:t>
            </w:r>
            <w:r>
              <w:rPr>
                <w:rFonts w:hint="eastAsia" w:hAnsi="宋体"/>
                <w:color w:val="auto"/>
                <w:kern w:val="2"/>
                <w:sz w:val="21"/>
                <w:szCs w:val="21"/>
              </w:rPr>
              <w:t>部</w:t>
            </w:r>
          </w:p>
          <w:p>
            <w:pPr>
              <w:pStyle w:val="149"/>
              <w:spacing w:line="400" w:lineRule="exact"/>
              <w:ind w:firstLine="420" w:firstLineChars="200"/>
              <w:rPr>
                <w:rFonts w:hint="default" w:hAnsi="宋体" w:eastAsia="宋体"/>
                <w:color w:val="auto"/>
                <w:kern w:val="2"/>
                <w:sz w:val="21"/>
                <w:szCs w:val="21"/>
                <w:lang w:val="en-US" w:eastAsia="zh-CN"/>
              </w:rPr>
            </w:pPr>
            <w:r>
              <w:rPr>
                <w:rFonts w:hint="eastAsia" w:hAnsi="宋体"/>
                <w:color w:val="auto"/>
                <w:kern w:val="2"/>
                <w:sz w:val="21"/>
                <w:szCs w:val="21"/>
              </w:rPr>
              <w:t>地    址：重庆市</w:t>
            </w:r>
            <w:r>
              <w:rPr>
                <w:rFonts w:hint="eastAsia" w:hAnsi="宋体"/>
                <w:color w:val="auto"/>
                <w:kern w:val="2"/>
                <w:sz w:val="21"/>
                <w:szCs w:val="21"/>
                <w:lang w:val="en-US" w:eastAsia="zh-CN"/>
              </w:rPr>
              <w:t>渝北区新南路52号</w:t>
            </w:r>
          </w:p>
          <w:p>
            <w:pPr>
              <w:pStyle w:val="149"/>
              <w:spacing w:line="400" w:lineRule="exact"/>
              <w:ind w:firstLine="420" w:firstLineChars="200"/>
              <w:rPr>
                <w:rFonts w:hAnsi="宋体"/>
                <w:color w:val="auto"/>
                <w:sz w:val="21"/>
                <w:szCs w:val="21"/>
              </w:rPr>
            </w:pPr>
            <w:r>
              <w:rPr>
                <w:rFonts w:hint="eastAsia" w:hAnsi="宋体"/>
                <w:color w:val="auto"/>
                <w:kern w:val="2"/>
                <w:sz w:val="21"/>
                <w:szCs w:val="21"/>
              </w:rPr>
              <w:t>电    话：</w:t>
            </w:r>
            <w:r>
              <w:rPr>
                <w:rFonts w:hint="eastAsia" w:hAnsi="宋体"/>
                <w:color w:val="auto"/>
                <w:kern w:val="2"/>
                <w:sz w:val="21"/>
                <w:szCs w:val="21"/>
                <w:highlight w:val="none"/>
                <w:lang w:val="en-US" w:eastAsia="zh-CN"/>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default" w:hAnsi="宋体" w:eastAsia="宋体"/>
                <w:color w:val="auto"/>
                <w:sz w:val="21"/>
                <w:szCs w:val="21"/>
                <w:lang w:val="en-US" w:eastAsia="zh-CN"/>
              </w:rPr>
            </w:pPr>
            <w:r>
              <w:rPr>
                <w:rFonts w:hint="eastAsia" w:hAnsi="宋体"/>
                <w:color w:val="auto"/>
                <w:sz w:val="21"/>
                <w:szCs w:val="21"/>
                <w:lang w:val="en-US" w:eastAsia="zh-CN"/>
              </w:rPr>
              <w:t>22</w:t>
            </w:r>
          </w:p>
        </w:tc>
        <w:tc>
          <w:tcPr>
            <w:tcW w:w="2106" w:type="dxa"/>
            <w:vAlign w:val="center"/>
          </w:tcPr>
          <w:p>
            <w:pPr>
              <w:pStyle w:val="149"/>
              <w:spacing w:line="400" w:lineRule="exact"/>
              <w:jc w:val="center"/>
              <w:rPr>
                <w:rFonts w:hint="eastAsia" w:ascii="宋体" w:hAnsi="宋体" w:eastAsia="宋体" w:cs="宋体"/>
                <w:color w:val="auto"/>
                <w:kern w:val="2"/>
                <w:sz w:val="21"/>
                <w:szCs w:val="21"/>
                <w:lang w:val="en-US" w:eastAsia="zh-CN" w:bidi="ar-SA"/>
              </w:rPr>
            </w:pPr>
            <w:r>
              <w:rPr>
                <w:rFonts w:hint="eastAsia" w:hAnsi="宋体"/>
                <w:color w:val="auto"/>
                <w:kern w:val="2"/>
                <w:sz w:val="21"/>
                <w:szCs w:val="21"/>
              </w:rPr>
              <w:t>竞争性比选响应文件的递交</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1.报价截止时间和开标时间：</w:t>
            </w:r>
            <w:r>
              <w:rPr>
                <w:rFonts w:hint="eastAsia" w:hAnsi="宋体"/>
                <w:sz w:val="21"/>
                <w:szCs w:val="18"/>
                <w:u w:val="single"/>
              </w:rPr>
              <w:t>202</w:t>
            </w:r>
            <w:r>
              <w:rPr>
                <w:rFonts w:hint="eastAsia" w:hAnsi="宋体"/>
                <w:sz w:val="21"/>
                <w:szCs w:val="18"/>
                <w:u w:val="single"/>
                <w:lang w:val="en-US" w:eastAsia="zh-CN"/>
              </w:rPr>
              <w:t>3</w:t>
            </w:r>
            <w:r>
              <w:rPr>
                <w:rFonts w:hint="eastAsia" w:hAnsi="宋体"/>
                <w:sz w:val="21"/>
                <w:szCs w:val="18"/>
                <w:u w:val="single"/>
              </w:rPr>
              <w:t xml:space="preserve"> </w:t>
            </w:r>
            <w:r>
              <w:rPr>
                <w:rFonts w:hint="eastAsia" w:hAnsi="宋体"/>
                <w:sz w:val="21"/>
                <w:szCs w:val="18"/>
              </w:rPr>
              <w:t>年</w:t>
            </w:r>
            <w:r>
              <w:rPr>
                <w:rFonts w:hint="eastAsia" w:hAnsi="宋体"/>
                <w:sz w:val="21"/>
                <w:szCs w:val="18"/>
                <w:u w:val="single"/>
              </w:rPr>
              <w:t xml:space="preserve"> </w:t>
            </w:r>
            <w:r>
              <w:rPr>
                <w:rFonts w:hint="eastAsia" w:hAnsi="宋体"/>
                <w:sz w:val="21"/>
                <w:szCs w:val="18"/>
                <w:u w:val="single"/>
                <w:lang w:val="en-US" w:eastAsia="zh-CN"/>
              </w:rPr>
              <w:t>4</w:t>
            </w:r>
            <w:r>
              <w:rPr>
                <w:rFonts w:hint="eastAsia" w:hAnsi="宋体"/>
                <w:sz w:val="21"/>
                <w:szCs w:val="18"/>
                <w:u w:val="single"/>
              </w:rPr>
              <w:t xml:space="preserve"> </w:t>
            </w:r>
            <w:r>
              <w:rPr>
                <w:rFonts w:hint="eastAsia" w:hAnsi="宋体"/>
                <w:sz w:val="21"/>
                <w:szCs w:val="18"/>
              </w:rPr>
              <w:t>月</w:t>
            </w:r>
            <w:r>
              <w:rPr>
                <w:rFonts w:hint="eastAsia" w:hAnsi="宋体"/>
                <w:sz w:val="21"/>
                <w:szCs w:val="18"/>
                <w:u w:val="single"/>
              </w:rPr>
              <w:t xml:space="preserve"> </w:t>
            </w:r>
            <w:r>
              <w:rPr>
                <w:rFonts w:hint="eastAsia" w:hAnsi="宋体"/>
                <w:sz w:val="21"/>
                <w:szCs w:val="18"/>
                <w:u w:val="single"/>
                <w:lang w:val="en-US" w:eastAsia="zh-CN"/>
              </w:rPr>
              <w:t>17</w:t>
            </w:r>
            <w:r>
              <w:rPr>
                <w:rFonts w:hint="eastAsia" w:hAnsi="宋体"/>
                <w:sz w:val="21"/>
                <w:szCs w:val="18"/>
                <w:u w:val="single"/>
              </w:rPr>
              <w:t xml:space="preserve"> </w:t>
            </w:r>
            <w:r>
              <w:rPr>
                <w:rFonts w:hint="eastAsia" w:hAnsi="宋体"/>
                <w:sz w:val="21"/>
                <w:szCs w:val="18"/>
              </w:rPr>
              <w:t>日上</w:t>
            </w:r>
            <w:r>
              <w:rPr>
                <w:rFonts w:hint="eastAsia" w:hAnsi="宋体"/>
                <w:color w:val="auto"/>
                <w:kern w:val="2"/>
                <w:sz w:val="21"/>
                <w:szCs w:val="21"/>
              </w:rPr>
              <w:t>午11时 00分（北京时间）。</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2.报价地点和开标地点：重庆首讯科技股份有限公司（重庆市渝北区新南路52号东界龙湖三楼）。</w:t>
            </w:r>
          </w:p>
          <w:p>
            <w:pPr>
              <w:pStyle w:val="149"/>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hAnsi="宋体"/>
                <w:color w:val="auto"/>
                <w:kern w:val="2"/>
                <w:sz w:val="21"/>
                <w:szCs w:val="21"/>
              </w:rPr>
              <w:t>3.逾期送达，或未送达指定地点，或未密封的竞争性比选响应文件，采购人不予受理。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default" w:hAnsi="宋体" w:eastAsia="宋体"/>
                <w:color w:val="auto"/>
                <w:sz w:val="21"/>
                <w:szCs w:val="21"/>
                <w:lang w:val="en-US" w:eastAsia="zh-CN"/>
              </w:rPr>
            </w:pPr>
            <w:r>
              <w:rPr>
                <w:rFonts w:hint="eastAsia" w:hAnsi="宋体"/>
                <w:color w:val="auto"/>
                <w:sz w:val="21"/>
                <w:szCs w:val="21"/>
                <w:lang w:val="en-US" w:eastAsia="zh-CN"/>
              </w:rPr>
              <w:t>23</w:t>
            </w:r>
          </w:p>
        </w:tc>
        <w:tc>
          <w:tcPr>
            <w:tcW w:w="2106" w:type="dxa"/>
            <w:vAlign w:val="center"/>
          </w:tcPr>
          <w:p>
            <w:pPr>
              <w:pStyle w:val="149"/>
              <w:spacing w:line="400" w:lineRule="exact"/>
              <w:jc w:val="center"/>
              <w:rPr>
                <w:rFonts w:hint="eastAsia" w:hAnsi="宋体"/>
                <w:color w:val="auto"/>
                <w:kern w:val="2"/>
                <w:sz w:val="21"/>
                <w:szCs w:val="21"/>
              </w:rPr>
            </w:pPr>
            <w:r>
              <w:rPr>
                <w:rFonts w:hint="eastAsia" w:hAnsi="宋体"/>
                <w:color w:val="auto"/>
                <w:kern w:val="2"/>
                <w:sz w:val="21"/>
                <w:szCs w:val="21"/>
              </w:rPr>
              <w:t>本次竞争性比选响应文件的组成</w:t>
            </w:r>
          </w:p>
        </w:tc>
        <w:tc>
          <w:tcPr>
            <w:tcW w:w="7104" w:type="dxa"/>
            <w:vAlign w:val="center"/>
          </w:tcPr>
          <w:p>
            <w:pPr>
              <w:pStyle w:val="149"/>
              <w:numPr>
                <w:ilvl w:val="0"/>
                <w:numId w:val="3"/>
              </w:numPr>
              <w:spacing w:line="400" w:lineRule="exact"/>
              <w:ind w:firstLine="422" w:firstLineChars="200"/>
              <w:rPr>
                <w:rFonts w:hAnsi="宋体"/>
                <w:color w:val="auto"/>
                <w:kern w:val="2"/>
                <w:sz w:val="21"/>
                <w:szCs w:val="21"/>
              </w:rPr>
            </w:pPr>
            <w:r>
              <w:rPr>
                <w:rFonts w:hint="eastAsia" w:hAnsi="宋体"/>
                <w:b/>
                <w:bCs/>
                <w:color w:val="000000" w:themeColor="text1"/>
                <w:sz w:val="21"/>
                <w:szCs w:val="21"/>
                <w14:textFill>
                  <w14:solidFill>
                    <w14:schemeClr w14:val="tx1"/>
                  </w14:solidFill>
                </w14:textFill>
              </w:rPr>
              <w:t>竞争性比选文件需逐页加盖报价人的公章</w:t>
            </w:r>
            <w:r>
              <w:rPr>
                <w:rFonts w:hint="eastAsia" w:hAnsi="宋体"/>
                <w:color w:val="000000" w:themeColor="text1"/>
                <w:sz w:val="21"/>
                <w:szCs w:val="21"/>
                <w14:textFill>
                  <w14:solidFill>
                    <w14:schemeClr w14:val="tx1"/>
                  </w14:solidFill>
                </w14:textFill>
              </w:rPr>
              <w:t>，竞争性比选响应文件提交正本1份，副本1份，副本可为正本的复印件，竞争性比选响应文件需装订成册，</w:t>
            </w:r>
            <w:r>
              <w:rPr>
                <w:rFonts w:hint="eastAsia" w:hAnsi="宋体"/>
                <w:color w:val="auto"/>
                <w:kern w:val="2"/>
                <w:sz w:val="21"/>
                <w:szCs w:val="21"/>
              </w:rPr>
              <w:t>封面右上角需标注“正本”、“副本”加以区别，所有报价文件需密封到一个封袋中。</w:t>
            </w:r>
          </w:p>
          <w:p>
            <w:pPr>
              <w:pStyle w:val="149"/>
              <w:numPr>
                <w:ilvl w:val="0"/>
                <w:numId w:val="3"/>
              </w:numPr>
              <w:spacing w:line="400" w:lineRule="exact"/>
              <w:ind w:firstLine="420" w:firstLineChars="200"/>
              <w:rPr>
                <w:rFonts w:hAnsi="宋体"/>
                <w:color w:val="auto"/>
                <w:kern w:val="2"/>
                <w:sz w:val="21"/>
                <w:szCs w:val="21"/>
              </w:rPr>
            </w:pPr>
            <w:r>
              <w:rPr>
                <w:rFonts w:hint="eastAsia" w:hAnsi="宋体"/>
                <w:color w:val="000000" w:themeColor="text1"/>
                <w:sz w:val="21"/>
                <w:szCs w:val="21"/>
                <w14:textFill>
                  <w14:solidFill>
                    <w14:schemeClr w14:val="tx1"/>
                  </w14:solidFill>
                </w14:textFill>
              </w:rPr>
              <w:t>报价人应提供竞争性比选响应文件</w:t>
            </w:r>
            <w:r>
              <w:rPr>
                <w:rFonts w:hint="eastAsia" w:hAnsi="宋体"/>
                <w:b/>
                <w:bCs/>
                <w:color w:val="000000" w:themeColor="text1"/>
                <w:sz w:val="21"/>
                <w:szCs w:val="21"/>
                <w14:textFill>
                  <w14:solidFill>
                    <w14:schemeClr w14:val="tx1"/>
                  </w14:solidFill>
                </w14:textFill>
              </w:rPr>
              <w:t>电子文件1份</w:t>
            </w:r>
            <w:r>
              <w:rPr>
                <w:rFonts w:hint="eastAsia" w:hAnsi="宋体"/>
                <w:color w:val="000000" w:themeColor="text1"/>
                <w:sz w:val="21"/>
                <w:szCs w:val="21"/>
                <w14:textFill>
                  <w14:solidFill>
                    <w14:schemeClr w14:val="tx1"/>
                  </w14:solidFill>
                </w14:textFill>
              </w:rPr>
              <w:t>（U盘1份，电子文件为报价人竞争性比选响应文件加盖公章后的扫描件，要求为PDF格式）。当电子文件与纸质版竞争性比选响应文件不一致时，以纸质版竞争性比选响应文件为准，当正本与副本不一致时，以正本为准</w:t>
            </w:r>
            <w:r>
              <w:rPr>
                <w:rFonts w:hint="eastAsia" w:hAnsi="宋体"/>
                <w:color w:val="000000" w:themeColor="text1"/>
                <w14:textFill>
                  <w14:solidFill>
                    <w14:schemeClr w14:val="tx1"/>
                  </w14:solidFill>
                </w14:textFill>
              </w:rPr>
              <w:t>。</w:t>
            </w:r>
          </w:p>
          <w:p>
            <w:pPr>
              <w:pStyle w:val="149"/>
              <w:spacing w:line="400" w:lineRule="exact"/>
              <w:ind w:firstLine="420" w:firstLineChars="200"/>
              <w:rPr>
                <w:rFonts w:hint="eastAsia" w:hAnsi="宋体"/>
                <w:color w:val="auto"/>
                <w:kern w:val="2"/>
                <w:sz w:val="21"/>
                <w:szCs w:val="21"/>
              </w:rPr>
            </w:pPr>
            <w:r>
              <w:rPr>
                <w:rFonts w:hint="eastAsia" w:hAnsi="宋体"/>
                <w:color w:val="auto"/>
                <w:kern w:val="2"/>
                <w:sz w:val="21"/>
                <w:szCs w:val="21"/>
              </w:rPr>
              <w:t>2.竞争性比选响应声明书、报价函、资格要求材料、报价人认为需要提供的其他相关文件（注：以上所有文件均须逐页加盖报价人的公章）。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default" w:hAnsi="宋体" w:eastAsia="宋体"/>
                <w:color w:val="auto"/>
                <w:sz w:val="21"/>
                <w:szCs w:val="21"/>
                <w:lang w:val="en-US" w:eastAsia="zh-CN"/>
              </w:rPr>
            </w:pPr>
            <w:r>
              <w:rPr>
                <w:rFonts w:hint="eastAsia" w:hAnsi="宋体"/>
                <w:color w:val="auto"/>
                <w:sz w:val="21"/>
                <w:szCs w:val="21"/>
                <w:lang w:val="en-US" w:eastAsia="zh-CN"/>
              </w:rPr>
              <w:t>24</w:t>
            </w:r>
          </w:p>
        </w:tc>
        <w:tc>
          <w:tcPr>
            <w:tcW w:w="2106" w:type="dxa"/>
            <w:vAlign w:val="center"/>
          </w:tcPr>
          <w:p>
            <w:pPr>
              <w:pStyle w:val="149"/>
              <w:spacing w:line="400" w:lineRule="exact"/>
              <w:jc w:val="center"/>
              <w:rPr>
                <w:rFonts w:hint="eastAsia" w:hAnsi="宋体"/>
                <w:color w:val="auto"/>
                <w:kern w:val="2"/>
                <w:sz w:val="21"/>
                <w:szCs w:val="21"/>
              </w:rPr>
            </w:pPr>
            <w:r>
              <w:rPr>
                <w:rFonts w:hint="eastAsia" w:hAnsi="宋体"/>
                <w:color w:val="auto"/>
                <w:kern w:val="2"/>
                <w:sz w:val="21"/>
                <w:szCs w:val="21"/>
              </w:rPr>
              <w:t>密封要求</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竞争性比选响应文件密封到一个封袋中，在封套上写明：</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lang w:val="en-US" w:eastAsia="zh-CN"/>
              </w:rPr>
              <w:t>国资监管平台决策管理子系统采购项目</w:t>
            </w:r>
            <w:r>
              <w:rPr>
                <w:rFonts w:hint="eastAsia" w:hAnsi="宋体"/>
                <w:color w:val="auto"/>
                <w:kern w:val="2"/>
                <w:sz w:val="21"/>
                <w:szCs w:val="21"/>
              </w:rPr>
              <w:t>竞争性比选响应文件</w:t>
            </w:r>
          </w:p>
          <w:p>
            <w:pPr>
              <w:pStyle w:val="149"/>
              <w:spacing w:line="400" w:lineRule="exact"/>
              <w:ind w:firstLine="420" w:firstLineChars="200"/>
              <w:rPr>
                <w:rFonts w:hint="eastAsia" w:hAnsi="宋体"/>
                <w:color w:val="auto"/>
                <w:kern w:val="2"/>
                <w:sz w:val="21"/>
                <w:szCs w:val="21"/>
              </w:rPr>
            </w:pPr>
            <w:r>
              <w:rPr>
                <w:rFonts w:hint="eastAsia" w:hAnsi="宋体"/>
                <w:color w:val="auto"/>
                <w:kern w:val="2"/>
                <w:sz w:val="21"/>
                <w:szCs w:val="21"/>
              </w:rPr>
              <w:t>在</w:t>
            </w:r>
            <w:r>
              <w:rPr>
                <w:rFonts w:hint="eastAsia" w:hAnsi="宋体"/>
                <w:color w:val="auto"/>
                <w:kern w:val="2"/>
                <w:sz w:val="21"/>
                <w:szCs w:val="21"/>
                <w:u w:val="single"/>
              </w:rPr>
              <w:t xml:space="preserve"> </w:t>
            </w:r>
            <w:r>
              <w:rPr>
                <w:rFonts w:hint="eastAsia" w:hAnsi="宋体"/>
                <w:sz w:val="21"/>
                <w:szCs w:val="18"/>
                <w:u w:val="single"/>
              </w:rPr>
              <w:t>202</w:t>
            </w:r>
            <w:r>
              <w:rPr>
                <w:rFonts w:hint="eastAsia" w:hAnsi="宋体"/>
                <w:sz w:val="21"/>
                <w:szCs w:val="18"/>
                <w:u w:val="single"/>
                <w:lang w:val="en-US" w:eastAsia="zh-CN"/>
              </w:rPr>
              <w:t>3</w:t>
            </w:r>
            <w:r>
              <w:rPr>
                <w:rFonts w:hint="eastAsia" w:hAnsi="宋体"/>
                <w:sz w:val="21"/>
                <w:szCs w:val="18"/>
                <w:u w:val="single"/>
              </w:rPr>
              <w:t xml:space="preserve"> </w:t>
            </w:r>
            <w:r>
              <w:rPr>
                <w:rFonts w:hint="eastAsia" w:hAnsi="宋体"/>
                <w:sz w:val="21"/>
                <w:szCs w:val="18"/>
              </w:rPr>
              <w:t>年</w:t>
            </w:r>
            <w:r>
              <w:rPr>
                <w:rFonts w:hint="eastAsia" w:hAnsi="宋体"/>
                <w:sz w:val="21"/>
                <w:szCs w:val="18"/>
                <w:u w:val="single"/>
              </w:rPr>
              <w:t xml:space="preserve"> </w:t>
            </w:r>
            <w:r>
              <w:rPr>
                <w:rFonts w:hint="eastAsia" w:hAnsi="宋体"/>
                <w:sz w:val="21"/>
                <w:szCs w:val="18"/>
                <w:u w:val="single"/>
                <w:lang w:val="en-US" w:eastAsia="zh-CN"/>
              </w:rPr>
              <w:t>4</w:t>
            </w:r>
            <w:r>
              <w:rPr>
                <w:rFonts w:hint="eastAsia" w:hAnsi="宋体"/>
                <w:sz w:val="21"/>
                <w:szCs w:val="18"/>
                <w:u w:val="single"/>
              </w:rPr>
              <w:t xml:space="preserve"> </w:t>
            </w:r>
            <w:r>
              <w:rPr>
                <w:rFonts w:hint="eastAsia" w:hAnsi="宋体"/>
                <w:sz w:val="21"/>
                <w:szCs w:val="18"/>
              </w:rPr>
              <w:t>月</w:t>
            </w:r>
            <w:r>
              <w:rPr>
                <w:rFonts w:hint="eastAsia" w:hAnsi="宋体"/>
                <w:sz w:val="21"/>
                <w:szCs w:val="18"/>
                <w:u w:val="single"/>
              </w:rPr>
              <w:t xml:space="preserve"> </w:t>
            </w:r>
            <w:r>
              <w:rPr>
                <w:rFonts w:hint="eastAsia" w:hAnsi="宋体"/>
                <w:sz w:val="21"/>
                <w:szCs w:val="18"/>
                <w:u w:val="single"/>
                <w:lang w:val="en-US" w:eastAsia="zh-CN"/>
              </w:rPr>
              <w:t>17</w:t>
            </w:r>
            <w:r>
              <w:rPr>
                <w:rFonts w:hAnsi="宋体"/>
                <w:sz w:val="21"/>
                <w:szCs w:val="18"/>
                <w:u w:val="single"/>
              </w:rPr>
              <w:t xml:space="preserve"> </w:t>
            </w:r>
            <w:r>
              <w:rPr>
                <w:rFonts w:hint="eastAsia" w:hAnsi="宋体"/>
                <w:sz w:val="21"/>
                <w:szCs w:val="18"/>
              </w:rPr>
              <w:t>日</w:t>
            </w:r>
            <w:r>
              <w:rPr>
                <w:rFonts w:hint="eastAsia" w:hAnsi="宋体"/>
                <w:color w:val="auto"/>
                <w:kern w:val="2"/>
                <w:sz w:val="21"/>
                <w:szCs w:val="21"/>
              </w:rPr>
              <w:t>上午11：00时前不得开启。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eastAsia" w:hAnsi="宋体" w:eastAsia="宋体"/>
                <w:color w:val="auto"/>
                <w:kern w:val="2"/>
                <w:sz w:val="21"/>
                <w:szCs w:val="21"/>
                <w:lang w:eastAsia="zh-CN"/>
              </w:rPr>
            </w:pPr>
            <w:r>
              <w:rPr>
                <w:rFonts w:hint="eastAsia" w:hAnsi="宋体"/>
                <w:color w:val="auto"/>
                <w:kern w:val="2"/>
                <w:sz w:val="21"/>
                <w:szCs w:val="21"/>
              </w:rPr>
              <w:t>2</w:t>
            </w:r>
            <w:r>
              <w:rPr>
                <w:rFonts w:hint="eastAsia" w:hAnsi="宋体"/>
                <w:color w:val="auto"/>
                <w:kern w:val="2"/>
                <w:sz w:val="21"/>
                <w:szCs w:val="21"/>
                <w:lang w:val="en-US" w:eastAsia="zh-CN"/>
              </w:rPr>
              <w:t>5</w:t>
            </w:r>
          </w:p>
        </w:tc>
        <w:tc>
          <w:tcPr>
            <w:tcW w:w="9210" w:type="dxa"/>
            <w:gridSpan w:val="2"/>
            <w:vAlign w:val="center"/>
          </w:tcPr>
          <w:p>
            <w:pPr>
              <w:pStyle w:val="149"/>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w:t>
            </w:r>
            <w:r>
              <w:rPr>
                <w:rFonts w:hint="eastAsia" w:hAnsi="宋体"/>
                <w:color w:val="auto"/>
                <w:kern w:val="2"/>
                <w:sz w:val="21"/>
                <w:szCs w:val="21"/>
                <w:lang w:val="en-US" w:eastAsia="zh-CN"/>
              </w:rPr>
              <w:t>5</w:t>
            </w:r>
            <w:r>
              <w:rPr>
                <w:rFonts w:hint="eastAsia" w:hAnsi="宋体"/>
                <w:color w:val="auto"/>
                <w:kern w:val="2"/>
                <w:sz w:val="21"/>
                <w:szCs w:val="21"/>
              </w:rPr>
              <w:t>.1</w:t>
            </w:r>
          </w:p>
        </w:tc>
        <w:tc>
          <w:tcPr>
            <w:tcW w:w="9210" w:type="dxa"/>
            <w:gridSpan w:val="2"/>
            <w:vAlign w:val="center"/>
          </w:tcPr>
          <w:p>
            <w:pPr>
              <w:pStyle w:val="149"/>
              <w:spacing w:line="400" w:lineRule="exact"/>
              <w:ind w:firstLine="420" w:firstLineChars="200"/>
              <w:rPr>
                <w:rFonts w:hAnsi="宋体"/>
                <w:b/>
                <w:bCs/>
                <w:szCs w:val="21"/>
              </w:rPr>
            </w:pPr>
            <w:r>
              <w:rPr>
                <w:rFonts w:hint="eastAsia" w:hAnsi="宋体"/>
                <w:sz w:val="21"/>
                <w:szCs w:val="21"/>
              </w:rPr>
              <w:t>截止竞争性比选响应文件递交时间，递交竞争性比选响应文件不足3家的不得开启竞争性比选文件。重新招标后报价人仍少于3个，按法定程序开标和评标，确定中标</w:t>
            </w:r>
            <w:r>
              <w:rPr>
                <w:rFonts w:hAnsi="宋体"/>
                <w:sz w:val="21"/>
                <w:szCs w:val="21"/>
              </w:rPr>
              <w:t>候选</w:t>
            </w:r>
            <w:r>
              <w:rPr>
                <w:rFonts w:hint="eastAsia" w:hAnsi="宋体"/>
                <w:sz w:val="21"/>
                <w:szCs w:val="21"/>
              </w:rPr>
              <w:t>人。</w:t>
            </w:r>
          </w:p>
        </w:tc>
      </w:tr>
      <w:bookmarkEnd w:id="101"/>
    </w:tbl>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bCs w:val="0"/>
          <w:sz w:val="28"/>
          <w:szCs w:val="28"/>
        </w:rPr>
      </w:pPr>
      <w:bookmarkStart w:id="103" w:name="_Toc17532"/>
      <w:bookmarkStart w:id="104" w:name="_Toc11284"/>
      <w:bookmarkStart w:id="105" w:name="_Toc11329222"/>
      <w:bookmarkStart w:id="106" w:name="_Toc30198"/>
      <w:r>
        <w:rPr>
          <w:rFonts w:hint="eastAsia" w:ascii="宋体" w:hAnsi="宋体" w:eastAsia="宋体" w:cs="宋体"/>
          <w:sz w:val="28"/>
          <w:szCs w:val="28"/>
        </w:rPr>
        <w:t xml:space="preserve">附录1  </w:t>
      </w:r>
      <w:bookmarkEnd w:id="103"/>
      <w:bookmarkEnd w:id="104"/>
      <w:bookmarkEnd w:id="105"/>
      <w:bookmarkEnd w:id="106"/>
      <w:bookmarkStart w:id="107" w:name="_Toc11329226"/>
      <w:bookmarkStart w:id="108" w:name="_Toc27096"/>
      <w:bookmarkStart w:id="109" w:name="_Toc12773"/>
      <w:bookmarkStart w:id="110" w:name="_Toc25591"/>
      <w:r>
        <w:rPr>
          <w:rFonts w:hint="eastAsia" w:ascii="宋体" w:hAnsi="宋体" w:eastAsia="宋体" w:cs="宋体"/>
          <w:bCs w:val="0"/>
          <w:sz w:val="28"/>
          <w:szCs w:val="28"/>
        </w:rPr>
        <w:t>资格审查文件（项目主要管理人员最低要求）</w:t>
      </w:r>
      <w:bookmarkEnd w:id="107"/>
      <w:bookmarkEnd w:id="108"/>
      <w:bookmarkEnd w:id="109"/>
      <w:bookmarkEnd w:id="110"/>
    </w:p>
    <w:p>
      <w:pPr>
        <w:spacing w:line="400" w:lineRule="exact"/>
        <w:jc w:val="center"/>
      </w:pPr>
      <w:r>
        <w:rPr>
          <w:rFonts w:hint="eastAsia" w:ascii="宋体" w:hAnsi="宋体" w:cs="宋体"/>
          <w:b/>
          <w:szCs w:val="21"/>
        </w:rPr>
        <w:t>主要管理人员最低要求</w:t>
      </w:r>
    </w:p>
    <w:tbl>
      <w:tblPr>
        <w:tblStyle w:val="43"/>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806"/>
        <w:gridCol w:w="1354"/>
        <w:gridCol w:w="5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bookmarkStart w:id="111" w:name="_Toc387234996"/>
            <w:bookmarkStart w:id="112" w:name="_Toc388534043"/>
            <w:r>
              <w:rPr>
                <w:rFonts w:hint="eastAsia" w:ascii="宋体" w:hAnsi="宋体" w:cs="宋体"/>
                <w:szCs w:val="21"/>
                <w:lang w:bidi="ar"/>
              </w:rPr>
              <w:t>序号</w:t>
            </w:r>
          </w:p>
        </w:tc>
        <w:tc>
          <w:tcPr>
            <w:tcW w:w="1806"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人  员</w:t>
            </w:r>
          </w:p>
        </w:tc>
        <w:tc>
          <w:tcPr>
            <w:tcW w:w="1354"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数量</w:t>
            </w:r>
          </w:p>
        </w:tc>
        <w:tc>
          <w:tcPr>
            <w:tcW w:w="5629"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1</w:t>
            </w:r>
          </w:p>
        </w:tc>
        <w:tc>
          <w:tcPr>
            <w:tcW w:w="1806"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rPr>
              <w:t>项目经理</w:t>
            </w:r>
          </w:p>
        </w:tc>
        <w:tc>
          <w:tcPr>
            <w:tcW w:w="1354"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ascii="宋体" w:hAnsi="宋体" w:cs="宋体"/>
                <w:szCs w:val="21"/>
              </w:rPr>
              <w:t>1</w:t>
            </w:r>
          </w:p>
        </w:tc>
        <w:tc>
          <w:tcPr>
            <w:tcW w:w="5629"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rPr>
              <w:t>具有P</w:t>
            </w:r>
            <w:r>
              <w:rPr>
                <w:rFonts w:ascii="宋体" w:hAnsi="宋体" w:cs="宋体"/>
                <w:szCs w:val="21"/>
              </w:rPr>
              <w:t>MP</w:t>
            </w:r>
            <w:r>
              <w:rPr>
                <w:rFonts w:hint="eastAsia" w:ascii="宋体" w:hAnsi="宋体" w:cs="宋体"/>
                <w:szCs w:val="21"/>
              </w:rPr>
              <w:t>或M</w:t>
            </w:r>
            <w:r>
              <w:rPr>
                <w:rFonts w:ascii="宋体" w:hAnsi="宋体" w:cs="宋体"/>
                <w:szCs w:val="21"/>
              </w:rPr>
              <w:t>CP</w:t>
            </w:r>
            <w:r>
              <w:rPr>
                <w:rFonts w:hint="eastAsia" w:ascii="宋体" w:hAnsi="宋体" w:cs="宋体"/>
                <w:szCs w:val="21"/>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Cs w:val="21"/>
                <w:lang w:val="en-US" w:eastAsia="zh-CN" w:bidi="ar"/>
              </w:rPr>
            </w:pPr>
            <w:r>
              <w:rPr>
                <w:rFonts w:hint="eastAsia" w:ascii="宋体" w:hAnsi="宋体" w:cs="宋体"/>
                <w:szCs w:val="21"/>
                <w:lang w:val="en-US" w:eastAsia="zh-CN" w:bidi="ar"/>
              </w:rPr>
              <w:t>2</w:t>
            </w:r>
          </w:p>
        </w:tc>
        <w:tc>
          <w:tcPr>
            <w:tcW w:w="1806"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default" w:ascii="宋体" w:hAnsi="宋体" w:eastAsia="宋体" w:cs="宋体"/>
                <w:szCs w:val="21"/>
                <w:lang w:val="en-US" w:eastAsia="zh-CN" w:bidi="ar"/>
              </w:rPr>
            </w:pPr>
            <w:r>
              <w:rPr>
                <w:rFonts w:hint="eastAsia" w:ascii="宋体" w:hAnsi="宋体" w:cs="宋体"/>
                <w:szCs w:val="21"/>
              </w:rPr>
              <w:t>项目技术人员</w:t>
            </w:r>
          </w:p>
        </w:tc>
        <w:tc>
          <w:tcPr>
            <w:tcW w:w="1354"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eastAsia" w:ascii="宋体" w:hAnsi="宋体" w:eastAsia="宋体" w:cs="宋体"/>
                <w:szCs w:val="21"/>
                <w:lang w:val="en-US" w:eastAsia="zh-CN" w:bidi="ar"/>
              </w:rPr>
            </w:pPr>
            <w:r>
              <w:rPr>
                <w:rFonts w:hint="eastAsia" w:ascii="宋体" w:hAnsi="宋体" w:cs="宋体"/>
                <w:szCs w:val="21"/>
              </w:rPr>
              <w:t>3</w:t>
            </w:r>
          </w:p>
        </w:tc>
        <w:tc>
          <w:tcPr>
            <w:tcW w:w="5629"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eastAsia" w:ascii="宋体" w:hAnsi="宋体" w:cs="宋体"/>
                <w:szCs w:val="21"/>
              </w:rPr>
            </w:pPr>
            <w:r>
              <w:rPr>
                <w:rFonts w:hint="eastAsia" w:ascii="宋体" w:hAnsi="宋体" w:cs="宋体"/>
                <w:szCs w:val="21"/>
                <w:lang w:val="en-US" w:eastAsia="zh-CN"/>
              </w:rPr>
              <w:t>无</w:t>
            </w:r>
          </w:p>
        </w:tc>
      </w:tr>
    </w:tbl>
    <w:p>
      <w:pPr>
        <w:spacing w:line="400" w:lineRule="exact"/>
        <w:ind w:firstLine="420"/>
        <w:rPr>
          <w:rFonts w:hint="eastAsia" w:ascii="宋体" w:hAnsi="宋体" w:cs="宋体"/>
          <w:szCs w:val="21"/>
          <w:highlight w:val="yellow"/>
          <w:lang w:bidi="ar"/>
        </w:rPr>
      </w:pPr>
      <w:r>
        <w:rPr>
          <w:rFonts w:hint="eastAsia" w:ascii="宋体" w:hAnsi="宋体" w:cs="宋体"/>
          <w:szCs w:val="21"/>
          <w:lang w:val="en-US" w:eastAsia="zh-CN" w:bidi="ar"/>
        </w:rPr>
        <w:t>提</w:t>
      </w:r>
      <w:r>
        <w:rPr>
          <w:rFonts w:hint="eastAsia" w:ascii="宋体" w:hAnsi="宋体" w:cs="宋体"/>
          <w:szCs w:val="21"/>
          <w:lang w:bidi="ar"/>
        </w:rPr>
        <w:t>供项目主要管理人员名单（表格形式），以上人员相关资质证件、身份证复印件及由社保局出具的报价人为以上人员</w:t>
      </w:r>
      <w:r>
        <w:rPr>
          <w:rFonts w:hint="eastAsia" w:ascii="宋体" w:hAnsi="宋体" w:eastAsia="宋体" w:cs="宋体"/>
          <w:b w:val="0"/>
          <w:bCs w:val="0"/>
          <w:caps w:val="0"/>
          <w:kern w:val="2"/>
          <w:sz w:val="21"/>
          <w:szCs w:val="21"/>
          <w:lang w:val="en-US" w:eastAsia="zh-CN" w:bidi="ar"/>
        </w:rPr>
        <w:t>缴纳202</w:t>
      </w:r>
      <w:r>
        <w:rPr>
          <w:rFonts w:hint="eastAsia" w:ascii="宋体" w:hAnsi="宋体" w:cs="宋体"/>
          <w:b w:val="0"/>
          <w:bCs w:val="0"/>
          <w:caps w:val="0"/>
          <w:kern w:val="2"/>
          <w:sz w:val="21"/>
          <w:szCs w:val="21"/>
          <w:lang w:val="en-US" w:eastAsia="zh-CN" w:bidi="ar"/>
        </w:rPr>
        <w:t>2</w:t>
      </w:r>
      <w:r>
        <w:rPr>
          <w:rFonts w:hint="eastAsia" w:ascii="宋体" w:hAnsi="宋体" w:eastAsia="宋体" w:cs="宋体"/>
          <w:b w:val="0"/>
          <w:bCs w:val="0"/>
          <w:caps w:val="0"/>
          <w:kern w:val="2"/>
          <w:sz w:val="21"/>
          <w:szCs w:val="21"/>
          <w:lang w:val="en-US" w:eastAsia="zh-CN" w:bidi="ar"/>
        </w:rPr>
        <w:t>年</w:t>
      </w:r>
      <w:r>
        <w:rPr>
          <w:rFonts w:hint="eastAsia" w:ascii="宋体" w:hAnsi="宋体" w:cs="宋体"/>
          <w:b w:val="0"/>
          <w:bCs w:val="0"/>
          <w:caps w:val="0"/>
          <w:kern w:val="2"/>
          <w:sz w:val="21"/>
          <w:szCs w:val="21"/>
          <w:lang w:val="en-US" w:eastAsia="zh-CN" w:bidi="ar"/>
        </w:rPr>
        <w:t>12</w:t>
      </w:r>
      <w:r>
        <w:rPr>
          <w:rFonts w:hint="eastAsia" w:ascii="宋体" w:hAnsi="宋体" w:eastAsia="宋体" w:cs="宋体"/>
          <w:b w:val="0"/>
          <w:bCs w:val="0"/>
          <w:caps w:val="0"/>
          <w:kern w:val="2"/>
          <w:sz w:val="21"/>
          <w:szCs w:val="21"/>
          <w:lang w:val="en-US" w:eastAsia="zh-CN" w:bidi="ar"/>
        </w:rPr>
        <w:t>月至202</w:t>
      </w:r>
      <w:r>
        <w:rPr>
          <w:rFonts w:hint="eastAsia" w:ascii="宋体" w:hAnsi="宋体" w:cs="宋体"/>
          <w:b w:val="0"/>
          <w:bCs w:val="0"/>
          <w:caps w:val="0"/>
          <w:kern w:val="2"/>
          <w:sz w:val="21"/>
          <w:szCs w:val="21"/>
          <w:lang w:val="en-US" w:eastAsia="zh-CN" w:bidi="ar"/>
        </w:rPr>
        <w:t>3</w:t>
      </w:r>
      <w:r>
        <w:rPr>
          <w:rFonts w:hint="eastAsia" w:ascii="宋体" w:hAnsi="宋体" w:eastAsia="宋体" w:cs="宋体"/>
          <w:b w:val="0"/>
          <w:bCs w:val="0"/>
          <w:caps w:val="0"/>
          <w:kern w:val="2"/>
          <w:sz w:val="21"/>
          <w:szCs w:val="21"/>
          <w:lang w:val="en-US" w:eastAsia="zh-CN" w:bidi="ar"/>
        </w:rPr>
        <w:t>年</w:t>
      </w:r>
      <w:r>
        <w:rPr>
          <w:rFonts w:hint="eastAsia" w:ascii="宋体" w:hAnsi="宋体" w:cs="宋体"/>
          <w:b w:val="0"/>
          <w:bCs w:val="0"/>
          <w:caps w:val="0"/>
          <w:kern w:val="2"/>
          <w:sz w:val="21"/>
          <w:szCs w:val="21"/>
          <w:lang w:val="en-US" w:eastAsia="zh-CN" w:bidi="ar"/>
        </w:rPr>
        <w:t>2</w:t>
      </w:r>
      <w:r>
        <w:rPr>
          <w:rFonts w:hint="eastAsia" w:ascii="宋体" w:hAnsi="宋体" w:eastAsia="宋体" w:cs="宋体"/>
          <w:b w:val="0"/>
          <w:bCs w:val="0"/>
          <w:caps w:val="0"/>
          <w:kern w:val="2"/>
          <w:sz w:val="21"/>
          <w:szCs w:val="21"/>
          <w:lang w:val="en-US" w:eastAsia="zh-CN" w:bidi="ar"/>
        </w:rPr>
        <w:t>月连续社保证明材料复印件（带有社保部门公章或社保部门的有效电子印章），并加盖单位鲜公章。</w:t>
      </w:r>
    </w:p>
    <w:p>
      <w:pPr>
        <w:outlineLvl w:val="1"/>
        <w:rPr>
          <w:rFonts w:ascii="宋体" w:hAnsi="宋体" w:cs="宋体"/>
          <w:b/>
          <w:sz w:val="28"/>
          <w:szCs w:val="28"/>
        </w:rPr>
        <w:sectPr>
          <w:pgSz w:w="11906" w:h="16838"/>
          <w:pgMar w:top="1418" w:right="1134" w:bottom="1418" w:left="1134" w:header="851" w:footer="992" w:gutter="0"/>
          <w:cols w:space="720" w:num="1"/>
          <w:docGrid w:type="lines" w:linePitch="312" w:charSpace="0"/>
        </w:sectPr>
      </w:pPr>
    </w:p>
    <w:p>
      <w:pPr>
        <w:pStyle w:val="4"/>
        <w:jc w:val="center"/>
        <w:rPr>
          <w:rFonts w:ascii="宋体" w:hAnsi="宋体" w:eastAsia="宋体" w:cs="宋体"/>
          <w:bCs w:val="0"/>
          <w:sz w:val="28"/>
          <w:szCs w:val="28"/>
        </w:rPr>
      </w:pPr>
      <w:bookmarkStart w:id="113" w:name="_Toc21487"/>
      <w:bookmarkStart w:id="114" w:name="_Toc8293"/>
      <w:bookmarkStart w:id="115" w:name="_Toc11329227"/>
      <w:bookmarkStart w:id="116" w:name="_Toc27148"/>
      <w:r>
        <w:rPr>
          <w:rFonts w:hint="eastAsia" w:ascii="宋体" w:hAnsi="宋体" w:eastAsia="宋体" w:cs="宋体"/>
          <w:bCs w:val="0"/>
          <w:sz w:val="28"/>
          <w:szCs w:val="28"/>
        </w:rPr>
        <w:t>附录2 资格审查文件（项目其他人员最低要求）</w:t>
      </w:r>
      <w:bookmarkEnd w:id="113"/>
      <w:bookmarkEnd w:id="114"/>
      <w:bookmarkEnd w:id="115"/>
      <w:bookmarkEnd w:id="116"/>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bookmarkStart w:id="117" w:name="_Toc507319900"/>
            <w:bookmarkStart w:id="118" w:name="_Toc413241584"/>
            <w:bookmarkStart w:id="119" w:name="_Toc23696"/>
            <w:r>
              <w:rPr>
                <w:rFonts w:hint="eastAsia" w:ascii="宋体" w:hAnsi="宋体" w:cs="宋体"/>
                <w:szCs w:val="21"/>
              </w:rPr>
              <w:t>项目施工、安装及调试劳务人员最低要求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160" w:type="dxa"/>
          </w:tcPr>
          <w:p>
            <w:pPr>
              <w:ind w:firstLine="420" w:firstLineChars="200"/>
              <w:rPr>
                <w:rFonts w:hint="eastAsia" w:eastAsia="宋体"/>
                <w:lang w:eastAsia="zh-CN"/>
              </w:rPr>
            </w:pPr>
            <w:r>
              <w:rPr>
                <w:rFonts w:hint="eastAsia" w:hAnsi="宋体"/>
                <w:bCs/>
                <w:szCs w:val="21"/>
                <w:highlight w:val="none"/>
                <w:lang w:val="en-US" w:eastAsia="zh-CN"/>
              </w:rPr>
              <w:t>无。</w:t>
            </w:r>
          </w:p>
        </w:tc>
      </w:tr>
    </w:tbl>
    <w:p>
      <w:pPr>
        <w:pStyle w:val="149"/>
        <w:adjustRightInd/>
        <w:spacing w:line="360" w:lineRule="auto"/>
        <w:jc w:val="both"/>
        <w:rPr>
          <w:rFonts w:hAnsi="宋体"/>
          <w:color w:val="FF0000"/>
          <w:sz w:val="21"/>
          <w:szCs w:val="21"/>
        </w:rPr>
      </w:pPr>
      <w:r>
        <w:rPr>
          <w:rFonts w:hint="eastAsia" w:hAnsi="宋体"/>
          <w:color w:val="auto"/>
          <w:sz w:val="21"/>
          <w:szCs w:val="21"/>
        </w:rPr>
        <w:t>注：</w:t>
      </w:r>
      <w:r>
        <w:rPr>
          <w:rFonts w:hint="eastAsia" w:ascii="Times New Roman" w:hAnsi="宋体" w:cs="Times New Roman"/>
          <w:color w:val="auto"/>
          <w:sz w:val="21"/>
          <w:szCs w:val="21"/>
        </w:rPr>
        <w:t>以上人员不得</w:t>
      </w:r>
      <w:r>
        <w:rPr>
          <w:rFonts w:hint="eastAsia" w:hAnsi="宋体" w:cs="Times New Roman"/>
          <w:color w:val="auto"/>
          <w:sz w:val="21"/>
          <w:szCs w:val="21"/>
        </w:rPr>
        <w:t>在其他项目</w:t>
      </w:r>
      <w:r>
        <w:rPr>
          <w:rFonts w:hint="eastAsia" w:ascii="Times New Roman" w:hAnsi="宋体" w:cs="Times New Roman"/>
          <w:color w:val="auto"/>
          <w:sz w:val="21"/>
          <w:szCs w:val="21"/>
        </w:rPr>
        <w:t>重复任职。</w:t>
      </w:r>
      <w:r>
        <w:rPr>
          <w:rFonts w:ascii="Times New Roman" w:hAnsi="宋体" w:cs="Times New Roman"/>
          <w:color w:val="auto"/>
          <w:sz w:val="21"/>
          <w:szCs w:val="21"/>
        </w:rPr>
        <w:t>除特殊说明外，其余</w:t>
      </w:r>
      <w:r>
        <w:rPr>
          <w:rFonts w:hint="eastAsia" w:ascii="Times New Roman" w:hAnsi="宋体" w:cs="Times New Roman"/>
          <w:color w:val="auto"/>
          <w:sz w:val="21"/>
          <w:szCs w:val="21"/>
        </w:rPr>
        <w:t>人员需提供相关资质证件及身份证复印件</w:t>
      </w:r>
      <w:r>
        <w:rPr>
          <w:rFonts w:hint="eastAsia" w:hAnsi="宋体"/>
          <w:color w:val="auto"/>
          <w:sz w:val="21"/>
          <w:szCs w:val="21"/>
        </w:rPr>
        <w:t>，并加盖单位鲜公章。</w:t>
      </w:r>
    </w:p>
    <w:bookmarkEnd w:id="117"/>
    <w:bookmarkEnd w:id="118"/>
    <w:bookmarkEnd w:id="119"/>
    <w:p>
      <w:pPr>
        <w:pStyle w:val="4"/>
        <w:rPr>
          <w:rStyle w:val="77"/>
          <w:rFonts w:ascii="宋体" w:hAnsi="宋体" w:eastAsia="宋体" w:cs="宋体"/>
          <w:b w:val="0"/>
          <w:bCs w:val="0"/>
          <w:sz w:val="28"/>
          <w:szCs w:val="28"/>
        </w:rPr>
      </w:pPr>
    </w:p>
    <w:p>
      <w:pPr>
        <w:pStyle w:val="4"/>
        <w:rPr>
          <w:rFonts w:hAnsi="宋体"/>
          <w:b w:val="0"/>
          <w:sz w:val="28"/>
          <w:szCs w:val="28"/>
        </w:rPr>
      </w:pPr>
      <w:bookmarkStart w:id="120" w:name="_Toc17384"/>
      <w:bookmarkStart w:id="121" w:name="_Toc4169"/>
      <w:bookmarkStart w:id="122" w:name="_Toc6096"/>
      <w:r>
        <w:rPr>
          <w:rFonts w:hint="eastAsia" w:ascii="宋体" w:hAnsi="宋体" w:eastAsia="宋体" w:cs="宋体"/>
          <w:bCs w:val="0"/>
          <w:sz w:val="28"/>
          <w:szCs w:val="28"/>
        </w:rPr>
        <w:t>附录3 资格审查文件（主要机械设备和试验检测设备最低要求）</w:t>
      </w:r>
      <w:bookmarkEnd w:id="120"/>
      <w:bookmarkEnd w:id="121"/>
      <w:bookmarkEnd w:id="122"/>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pPr>
            <w:r>
              <w:rPr>
                <w:rFonts w:hint="eastAsia" w:hAnsi="宋体"/>
                <w:sz w:val="21"/>
                <w:szCs w:val="21"/>
                <w:lang w:val="en-US" w:eastAsia="zh-CN"/>
              </w:rPr>
              <w:t>无。</w:t>
            </w:r>
          </w:p>
        </w:tc>
      </w:tr>
    </w:tbl>
    <w:p>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ascii="宋体" w:hAnsi="宋体" w:cs="宋体"/>
          <w:kern w:val="0"/>
        </w:rPr>
        <w:t>，</w:t>
      </w:r>
      <w:r>
        <w:rPr>
          <w:rFonts w:hint="eastAsia" w:ascii="宋体" w:hAnsi="宋体" w:cs="宋体"/>
          <w:kern w:val="0"/>
          <w:szCs w:val="21"/>
        </w:rPr>
        <w:t>无需提供有关证明资料，并加盖单位鲜公章。</w:t>
      </w:r>
    </w:p>
    <w:p>
      <w:pPr>
        <w:pStyle w:val="149"/>
        <w:adjustRightInd/>
        <w:spacing w:line="400" w:lineRule="exact"/>
        <w:ind w:firstLine="422" w:firstLineChars="200"/>
        <w:jc w:val="both"/>
        <w:rPr>
          <w:rFonts w:hAnsi="宋体"/>
          <w:szCs w:val="21"/>
        </w:rPr>
        <w:sectPr>
          <w:footerReference r:id="rId8" w:type="default"/>
          <w:pgSz w:w="11906" w:h="16838"/>
          <w:pgMar w:top="1440" w:right="1800" w:bottom="1440" w:left="1800" w:header="851" w:footer="992" w:gutter="0"/>
          <w:cols w:space="720" w:num="1"/>
          <w:titlePg/>
          <w:docGrid w:type="lines" w:linePitch="312" w:charSpace="0"/>
        </w:sectPr>
      </w:pPr>
      <w:r>
        <w:rPr>
          <w:rFonts w:hint="eastAsia" w:hAnsi="宋体"/>
          <w:b/>
          <w:bCs/>
          <w:color w:val="auto"/>
          <w:sz w:val="21"/>
          <w:szCs w:val="21"/>
        </w:rPr>
        <w:t>以上（附录1-附录3中的资格审查）的要求均为强制性条件，其中任何一条不满足要求，则按否决报价处理。</w:t>
      </w:r>
      <w:bookmarkEnd w:id="111"/>
      <w:bookmarkEnd w:id="112"/>
    </w:p>
    <w:p>
      <w:pPr>
        <w:spacing w:line="440" w:lineRule="exact"/>
        <w:rPr>
          <w:rFonts w:ascii="宋体" w:hAnsi="宋体" w:cs="宋体"/>
        </w:rPr>
      </w:pPr>
    </w:p>
    <w:p>
      <w:pPr>
        <w:pStyle w:val="3"/>
        <w:numPr>
          <w:ilvl w:val="0"/>
          <w:numId w:val="4"/>
        </w:numPr>
        <w:spacing w:before="0" w:after="0" w:line="360" w:lineRule="auto"/>
        <w:jc w:val="center"/>
      </w:pPr>
      <w:bookmarkStart w:id="123" w:name="_Toc7682"/>
      <w:bookmarkStart w:id="124" w:name="_Toc144974554"/>
      <w:bookmarkStart w:id="125" w:name="_Toc246996230"/>
      <w:bookmarkStart w:id="126" w:name="_Toc152045587"/>
      <w:bookmarkStart w:id="127" w:name="_Toc152042364"/>
      <w:bookmarkStart w:id="128" w:name="_Toc507319957"/>
      <w:bookmarkStart w:id="129" w:name="_Toc2000406"/>
      <w:bookmarkStart w:id="130" w:name="_Toc247085745"/>
      <w:bookmarkStart w:id="131" w:name="_Toc246996973"/>
      <w:bookmarkStart w:id="132" w:name="_Toc179632605"/>
      <w:r>
        <w:rPr>
          <w:rFonts w:hint="eastAsia" w:ascii="宋体" w:hAnsi="宋体" w:cs="宋体"/>
        </w:rPr>
        <w:t>评标办法（综合评估法）</w:t>
      </w:r>
      <w:bookmarkEnd w:id="123"/>
      <w:bookmarkEnd w:id="124"/>
      <w:bookmarkEnd w:id="125"/>
      <w:bookmarkEnd w:id="126"/>
      <w:bookmarkEnd w:id="127"/>
      <w:bookmarkEnd w:id="128"/>
      <w:bookmarkEnd w:id="129"/>
      <w:bookmarkEnd w:id="130"/>
      <w:bookmarkEnd w:id="131"/>
      <w:bookmarkEnd w:id="132"/>
    </w:p>
    <w:p/>
    <w:p>
      <w:pPr>
        <w:rPr>
          <w:b/>
          <w:bCs/>
        </w:rPr>
      </w:pPr>
      <w:r>
        <w:rPr>
          <w:rFonts w:hint="eastAsia"/>
          <w:b/>
          <w:bCs/>
        </w:rPr>
        <w:t>评标办法前附表</w:t>
      </w:r>
    </w:p>
    <w:tbl>
      <w:tblPr>
        <w:tblStyle w:val="43"/>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59"/>
        <w:gridCol w:w="2022"/>
        <w:gridCol w:w="5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c>
          <w:tcPr>
            <w:tcW w:w="1159"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条款名称</w:t>
            </w:r>
          </w:p>
        </w:tc>
        <w:tc>
          <w:tcPr>
            <w:tcW w:w="2022"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评审因素与评审标准</w:t>
            </w:r>
          </w:p>
        </w:tc>
        <w:tc>
          <w:tcPr>
            <w:tcW w:w="592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Cs/>
                <w:kern w:val="0"/>
                <w:szCs w:val="21"/>
              </w:rPr>
              <w:t>1</w:t>
            </w:r>
          </w:p>
        </w:tc>
        <w:tc>
          <w:tcPr>
            <w:tcW w:w="1159" w:type="dxa"/>
            <w:vAlign w:val="center"/>
          </w:tcPr>
          <w:p>
            <w:pPr>
              <w:snapToGrid w:val="0"/>
              <w:spacing w:line="320" w:lineRule="exac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zCs w:val="21"/>
              </w:rPr>
              <w:t>评标办</w:t>
            </w:r>
            <w:r>
              <w:rPr>
                <w:rFonts w:hint="eastAsia" w:asciiTheme="minorEastAsia" w:hAnsiTheme="minorEastAsia" w:eastAsiaTheme="minorEastAsia" w:cstheme="minorEastAsia"/>
                <w:spacing w:val="-1"/>
                <w:szCs w:val="21"/>
              </w:rPr>
              <w:t>法</w:t>
            </w:r>
          </w:p>
        </w:tc>
        <w:tc>
          <w:tcPr>
            <w:tcW w:w="2022" w:type="dxa"/>
            <w:vAlign w:val="center"/>
          </w:tcPr>
          <w:p>
            <w:pPr>
              <w:snapToGrid w:val="0"/>
              <w:spacing w:line="320" w:lineRule="exact"/>
              <w:rPr>
                <w:rFonts w:asciiTheme="minorEastAsia" w:hAnsiTheme="minorEastAsia" w:eastAsiaTheme="minorEastAsia" w:cstheme="minorEastAsia"/>
                <w:b/>
                <w:kern w:val="0"/>
                <w:szCs w:val="21"/>
              </w:rPr>
            </w:pPr>
            <w:r>
              <w:rPr>
                <w:rFonts w:hint="eastAsia" w:ascii="宋体" w:hAnsi="宋体" w:cs="宋体"/>
                <w:szCs w:val="21"/>
              </w:rPr>
              <w:t>中标候选人排序方法</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本次评标采用综合评分法，如出现得分(精确到小数点后两位)相等时，按以下原则确定第一中标候选人：</w:t>
            </w:r>
          </w:p>
          <w:p>
            <w:pPr>
              <w:spacing w:line="400" w:lineRule="exact"/>
              <w:ind w:firstLine="420" w:firstLineChars="200"/>
              <w:rPr>
                <w:rFonts w:ascii="宋体" w:hAnsi="宋体" w:cs="宋体"/>
                <w:szCs w:val="21"/>
              </w:rPr>
            </w:pPr>
            <w:r>
              <w:rPr>
                <w:rFonts w:hint="eastAsia" w:ascii="宋体" w:hAnsi="宋体" w:cs="宋体"/>
                <w:szCs w:val="21"/>
              </w:rPr>
              <w:t>（1）以评标价低的报价人优先；</w:t>
            </w:r>
          </w:p>
          <w:p>
            <w:pPr>
              <w:spacing w:line="400" w:lineRule="exact"/>
              <w:ind w:firstLine="420" w:firstLineChars="200"/>
              <w:rPr>
                <w:rFonts w:ascii="宋体" w:hAnsi="宋体" w:cs="宋体"/>
                <w:szCs w:val="21"/>
              </w:rPr>
            </w:pPr>
            <w:r>
              <w:rPr>
                <w:rFonts w:hint="eastAsia" w:ascii="宋体" w:hAnsi="宋体" w:cs="宋体"/>
                <w:szCs w:val="21"/>
              </w:rPr>
              <w:t>（2）如评标价也相同时，以技术得分较高的报价人优先；</w:t>
            </w:r>
          </w:p>
          <w:p>
            <w:pPr>
              <w:spacing w:line="400" w:lineRule="exact"/>
              <w:ind w:firstLine="420" w:firstLineChars="200"/>
              <w:rPr>
                <w:rFonts w:ascii="宋体" w:hAnsi="宋体" w:cs="宋体"/>
                <w:szCs w:val="21"/>
              </w:rPr>
            </w:pPr>
            <w:r>
              <w:rPr>
                <w:rFonts w:hint="eastAsia" w:ascii="宋体" w:hAnsi="宋体" w:cs="宋体"/>
                <w:szCs w:val="21"/>
              </w:rPr>
              <w:t>（3）如技术得分也相同时，以商务得分高的优先；</w:t>
            </w:r>
          </w:p>
          <w:p>
            <w:pPr>
              <w:spacing w:line="400" w:lineRule="exact"/>
              <w:ind w:firstLine="420" w:firstLineChars="200"/>
              <w:rPr>
                <w:rFonts w:asciiTheme="minorEastAsia" w:hAnsiTheme="minorEastAsia" w:eastAsiaTheme="minorEastAsia" w:cstheme="minorEastAsia"/>
                <w:b/>
                <w:kern w:val="0"/>
                <w:szCs w:val="21"/>
              </w:rPr>
            </w:pPr>
            <w:r>
              <w:rPr>
                <w:rFonts w:hint="eastAsia" w:ascii="宋体" w:hAnsi="宋体" w:cs="宋体"/>
                <w:szCs w:val="21"/>
              </w:rPr>
              <w:t>（4）如商务得分也相同时，由评标委员会投票决定。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条款号</w:t>
            </w:r>
          </w:p>
        </w:tc>
        <w:tc>
          <w:tcPr>
            <w:tcW w:w="1159" w:type="dxa"/>
            <w:vAlign w:val="center"/>
          </w:tcPr>
          <w:p>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评审因素</w:t>
            </w:r>
          </w:p>
        </w:tc>
        <w:tc>
          <w:tcPr>
            <w:tcW w:w="2022" w:type="dxa"/>
            <w:vAlign w:val="center"/>
          </w:tcPr>
          <w:p>
            <w:pPr>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评审标准</w:t>
            </w:r>
          </w:p>
        </w:tc>
        <w:tc>
          <w:tcPr>
            <w:tcW w:w="5928" w:type="dxa"/>
            <w:vAlign w:val="center"/>
          </w:tcPr>
          <w:p>
            <w:pPr>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资格评审标准</w:t>
            </w: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营业执照</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资质要求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业绩要求</w:t>
            </w:r>
          </w:p>
        </w:tc>
        <w:tc>
          <w:tcPr>
            <w:tcW w:w="5928" w:type="dxa"/>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信誉要求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项目主要管理人员最低要求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其他人员最低要求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符合第二章“报价人须知”前附表附录2的规定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主要机械设备和试验检测设备最低要求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符合第二章“报价人须知”前附表附录3的规定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形式评审标准</w:t>
            </w: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报价人名称</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报价函签字盖章</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竞争性比选响应文件格式</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符合第九章“竞争性比选响应文件格式”的要求，字迹清晰可辨。</w:t>
            </w:r>
          </w:p>
          <w:p>
            <w:pPr>
              <w:spacing w:line="400" w:lineRule="exact"/>
              <w:ind w:firstLine="420" w:firstLineChars="200"/>
              <w:rPr>
                <w:rFonts w:ascii="宋体" w:hAnsi="宋体" w:cs="宋体"/>
                <w:szCs w:val="21"/>
              </w:rPr>
            </w:pPr>
            <w:r>
              <w:rPr>
                <w:rFonts w:hint="eastAsia" w:ascii="宋体" w:hAnsi="宋体" w:cs="宋体"/>
                <w:szCs w:val="21"/>
              </w:rPr>
              <w:t>1.竞争性比选响应声明书的所有数据均符合比选文件的规定；</w:t>
            </w:r>
          </w:p>
          <w:p>
            <w:pPr>
              <w:spacing w:line="400" w:lineRule="exact"/>
              <w:ind w:firstLine="420" w:firstLineChars="200"/>
              <w:rPr>
                <w:rFonts w:ascii="宋体" w:hAnsi="宋体" w:cs="宋体"/>
                <w:szCs w:val="21"/>
              </w:rPr>
            </w:pPr>
            <w:r>
              <w:rPr>
                <w:rFonts w:hint="eastAsia" w:ascii="宋体" w:hAnsi="宋体" w:cs="宋体"/>
                <w:szCs w:val="21"/>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已标价工程量清单</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报价其它要求</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竞争性比选响应文件正本中法定代表人或其授权代理人签署</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其它材料</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1159"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响应性评审标准</w:t>
            </w: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投标内容</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符合比选文件给出的范围及数量，且报价不得超过采购人公布的最高限价，但也不得低于报价人的企业成本。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工期</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质量标准</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安全目标</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159" w:type="dxa"/>
            <w:vAlign w:val="center"/>
          </w:tcPr>
          <w:p>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分值构</w:t>
            </w:r>
          </w:p>
          <w:p>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（总分 100 分） </w:t>
            </w:r>
          </w:p>
        </w:tc>
        <w:tc>
          <w:tcPr>
            <w:tcW w:w="7950" w:type="dxa"/>
            <w:gridSpan w:val="2"/>
            <w:vAlign w:val="center"/>
          </w:tcPr>
          <w:p>
            <w:pPr>
              <w:numPr>
                <w:ilvl w:val="0"/>
                <w:numId w:val="0"/>
              </w:num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r>
              <w:rPr>
                <w:rFonts w:hint="eastAsia" w:asciiTheme="minorEastAsia" w:hAnsiTheme="minorEastAsia" w:eastAsiaTheme="minorEastAsia" w:cstheme="minorEastAsia"/>
                <w:szCs w:val="21"/>
                <w:lang w:val="en-US" w:eastAsia="zh-CN"/>
              </w:rPr>
              <w:t>60</w:t>
            </w:r>
            <w:r>
              <w:rPr>
                <w:rFonts w:hint="eastAsia" w:asciiTheme="minorEastAsia" w:hAnsiTheme="minorEastAsia" w:eastAsiaTheme="minorEastAsia" w:cstheme="minorEastAsia"/>
                <w:szCs w:val="21"/>
              </w:rPr>
              <w:t>分；</w:t>
            </w:r>
          </w:p>
          <w:p>
            <w:pPr>
              <w:numPr>
                <w:ilvl w:val="0"/>
                <w:numId w:val="0"/>
              </w:num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分；</w:t>
            </w:r>
          </w:p>
          <w:p>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0分）</w:t>
            </w:r>
          </w:p>
        </w:tc>
        <w:tc>
          <w:tcPr>
            <w:tcW w:w="2022" w:type="dxa"/>
          </w:tcPr>
          <w:p>
            <w:pPr>
              <w:spacing w:line="320" w:lineRule="exact"/>
              <w:jc w:val="center"/>
              <w:rPr>
                <w:rFonts w:hint="eastAsia" w:asciiTheme="minorEastAsia" w:hAnsiTheme="minorEastAsia" w:eastAsiaTheme="minorEastAsia" w:cstheme="minorEastAsia"/>
                <w:szCs w:val="21"/>
              </w:rPr>
            </w:pPr>
          </w:p>
          <w:p>
            <w:pPr>
              <w:spacing w:line="320" w:lineRule="exact"/>
              <w:jc w:val="center"/>
              <w:rPr>
                <w:rFonts w:hint="eastAsia" w:asciiTheme="minorEastAsia" w:hAnsiTheme="minorEastAsia" w:eastAsiaTheme="minorEastAsia" w:cstheme="minorEastAsia"/>
                <w:szCs w:val="21"/>
              </w:rPr>
            </w:pPr>
          </w:p>
          <w:p>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评标基准价计算方法</w:t>
            </w:r>
          </w:p>
        </w:tc>
        <w:tc>
          <w:tcPr>
            <w:tcW w:w="5928" w:type="dxa"/>
          </w:tcPr>
          <w:p>
            <w:pPr>
              <w:spacing w:line="400" w:lineRule="exact"/>
              <w:ind w:firstLine="420" w:firstLineChars="200"/>
              <w:rPr>
                <w:rFonts w:ascii="宋体" w:hAnsi="宋体" w:cs="宋体"/>
                <w:szCs w:val="21"/>
              </w:rPr>
            </w:pPr>
            <w:r>
              <w:rPr>
                <w:rFonts w:hint="eastAsia" w:ascii="宋体" w:hAnsi="宋体" w:cs="宋体"/>
                <w:szCs w:val="21"/>
              </w:rPr>
              <w:t>由评标委员会计算评标基准价：</w:t>
            </w:r>
          </w:p>
          <w:p>
            <w:pPr>
              <w:spacing w:line="400" w:lineRule="exact"/>
              <w:ind w:firstLine="420" w:firstLineChars="200"/>
              <w:rPr>
                <w:rFonts w:ascii="宋体" w:hAnsi="宋体" w:cs="宋体"/>
                <w:szCs w:val="21"/>
              </w:rPr>
            </w:pPr>
            <w:r>
              <w:rPr>
                <w:rFonts w:hint="eastAsia" w:ascii="宋体" w:hAnsi="宋体" w:cs="宋体"/>
                <w:szCs w:val="21"/>
              </w:rPr>
              <w:t>（1）评标价的确定：评标价＝投标函文字报价</w:t>
            </w:r>
          </w:p>
          <w:p>
            <w:pPr>
              <w:spacing w:line="400" w:lineRule="exact"/>
              <w:ind w:firstLine="420" w:firstLineChars="200"/>
              <w:rPr>
                <w:rFonts w:ascii="宋体" w:hAnsi="宋体" w:cs="宋体"/>
                <w:szCs w:val="21"/>
              </w:rPr>
            </w:pPr>
            <w:r>
              <w:rPr>
                <w:rFonts w:hint="eastAsia" w:ascii="宋体" w:hAnsi="宋体" w:cs="宋体"/>
                <w:szCs w:val="21"/>
              </w:rPr>
              <w:t>（2）评标基准价的确定：</w:t>
            </w:r>
          </w:p>
          <w:p>
            <w:pPr>
              <w:spacing w:line="400" w:lineRule="exact"/>
              <w:ind w:firstLine="420" w:firstLineChars="200"/>
              <w:rPr>
                <w:rFonts w:ascii="宋体" w:hAnsi="宋体" w:cs="宋体"/>
                <w:szCs w:val="21"/>
              </w:rPr>
            </w:pPr>
            <w:r>
              <w:rPr>
                <w:rFonts w:hint="eastAsia" w:ascii="宋体" w:hAnsi="宋体" w:cs="宋体"/>
                <w:szCs w:val="21"/>
              </w:rPr>
              <w:t>在通过初步评审后且不高于最高投标限价的投标报价中去掉六分之一（不能整除的按小数前整数取整，不足六家报价则不去掉）的最低价和相同家数的最高价后的算术平均值为评标基准价。</w:t>
            </w:r>
          </w:p>
          <w:p>
            <w:pPr>
              <w:spacing w:line="400" w:lineRule="exact"/>
              <w:ind w:firstLine="420" w:firstLineChars="200"/>
              <w:rPr>
                <w:rFonts w:ascii="宋体" w:hAnsi="宋体" w:cs="宋体"/>
                <w:szCs w:val="21"/>
              </w:rPr>
            </w:pPr>
            <w:r>
              <w:rPr>
                <w:rFonts w:hint="eastAsia" w:ascii="宋体" w:hAnsi="宋体" w:cs="宋体"/>
                <w:szCs w:val="21"/>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tcPr>
          <w:p>
            <w:pPr>
              <w:spacing w:line="320" w:lineRule="exact"/>
              <w:jc w:val="center"/>
              <w:rPr>
                <w:rFonts w:hint="eastAsia" w:asciiTheme="minorEastAsia" w:hAnsiTheme="minorEastAsia" w:eastAsiaTheme="minorEastAsia" w:cstheme="minorEastAsia"/>
                <w:szCs w:val="21"/>
              </w:rPr>
            </w:pPr>
          </w:p>
          <w:p>
            <w:pPr>
              <w:spacing w:line="320" w:lineRule="exact"/>
              <w:jc w:val="center"/>
              <w:rPr>
                <w:rFonts w:hint="eastAsia" w:asciiTheme="minorEastAsia" w:hAnsiTheme="minorEastAsia" w:eastAsiaTheme="minorEastAsia" w:cstheme="minorEastAsia"/>
                <w:szCs w:val="21"/>
              </w:rPr>
            </w:pPr>
          </w:p>
          <w:p>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偏差率计算</w:t>
            </w:r>
          </w:p>
        </w:tc>
        <w:tc>
          <w:tcPr>
            <w:tcW w:w="5928" w:type="dxa"/>
          </w:tcPr>
          <w:p>
            <w:pPr>
              <w:spacing w:line="400" w:lineRule="exact"/>
              <w:ind w:firstLine="420" w:firstLineChars="200"/>
              <w:rPr>
                <w:rFonts w:ascii="宋体" w:hAnsi="宋体" w:cs="宋体"/>
                <w:szCs w:val="21"/>
              </w:rPr>
            </w:pPr>
            <w:r>
              <w:rPr>
                <w:rFonts w:hint="eastAsia" w:ascii="宋体" w:hAnsi="宋体" w:cs="宋体"/>
                <w:szCs w:val="21"/>
              </w:rPr>
              <w:t xml:space="preserve">偏差率计算公式 偏差率=100％×（投标人报价一评标基准价 ）／评标基准价 </w:t>
            </w:r>
          </w:p>
          <w:p>
            <w:pPr>
              <w:spacing w:line="400" w:lineRule="exact"/>
              <w:ind w:firstLine="420" w:firstLineChars="200"/>
              <w:rPr>
                <w:rFonts w:ascii="宋体" w:hAnsi="宋体" w:cs="宋体"/>
                <w:szCs w:val="21"/>
              </w:rPr>
            </w:pPr>
            <w:r>
              <w:rPr>
                <w:rFonts w:hint="eastAsia" w:ascii="宋体" w:hAnsi="宋体" w:cs="宋体"/>
                <w:szCs w:val="21"/>
              </w:rPr>
              <w:t xml:space="preserve">  偏差率计算的最终结果取小数点后两位，小数点后第三位“四舍五入”。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2" w:type="dxa"/>
          </w:tcPr>
          <w:p>
            <w:pPr>
              <w:spacing w:line="320" w:lineRule="exact"/>
              <w:jc w:val="center"/>
              <w:rPr>
                <w:rFonts w:hint="eastAsia" w:asciiTheme="minorEastAsia" w:hAnsiTheme="minorEastAsia" w:eastAsiaTheme="minorEastAsia" w:cstheme="minorEastAsia"/>
                <w:szCs w:val="21"/>
              </w:rPr>
            </w:pPr>
          </w:p>
          <w:p>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p>
        </w:tc>
        <w:tc>
          <w:tcPr>
            <w:tcW w:w="5928" w:type="dxa"/>
          </w:tcPr>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投标总报价</w:t>
            </w:r>
            <w:r>
              <w:rPr>
                <w:rFonts w:hint="eastAsia" w:ascii="宋体" w:hAnsi="宋体" w:cs="宋体"/>
                <w:szCs w:val="21"/>
                <w:lang w:val="en-US" w:eastAsia="zh-CN"/>
              </w:rPr>
              <w:t>60</w:t>
            </w:r>
            <w:r>
              <w:rPr>
                <w:rFonts w:hint="eastAsia" w:ascii="宋体" w:hAnsi="宋体" w:cs="宋体"/>
                <w:szCs w:val="21"/>
              </w:rPr>
              <w:t>分，各有效投标报价分别与评标基准价相比较，等于基准价得</w:t>
            </w:r>
            <w:r>
              <w:rPr>
                <w:rFonts w:hint="eastAsia" w:ascii="宋体" w:hAnsi="宋体" w:cs="宋体"/>
                <w:szCs w:val="21"/>
                <w:lang w:val="en-US" w:eastAsia="zh-CN"/>
              </w:rPr>
              <w:t>60</w:t>
            </w:r>
            <w:r>
              <w:rPr>
                <w:rFonts w:hint="eastAsia" w:ascii="宋体" w:hAnsi="宋体" w:cs="宋体"/>
                <w:szCs w:val="21"/>
              </w:rPr>
              <w:t>分，每增加1%扣0.</w:t>
            </w:r>
            <w:r>
              <w:rPr>
                <w:rFonts w:hint="eastAsia" w:ascii="宋体" w:hAnsi="宋体" w:cs="宋体"/>
                <w:szCs w:val="21"/>
                <w:lang w:val="en-US" w:eastAsia="zh-CN"/>
              </w:rPr>
              <w:t>2</w:t>
            </w:r>
            <w:r>
              <w:rPr>
                <w:rFonts w:hint="eastAsia" w:ascii="宋体" w:hAnsi="宋体" w:cs="宋体"/>
                <w:szCs w:val="21"/>
              </w:rPr>
              <w:t>分；每减少1%扣0.</w:t>
            </w:r>
            <w:r>
              <w:rPr>
                <w:rFonts w:hint="eastAsia" w:ascii="宋体" w:hAnsi="宋体" w:cs="宋体"/>
                <w:szCs w:val="21"/>
                <w:lang w:val="en-US" w:eastAsia="zh-CN"/>
              </w:rPr>
              <w:t>1</w:t>
            </w:r>
            <w:r>
              <w:rPr>
                <w:rFonts w:hint="eastAsia" w:ascii="宋体" w:hAnsi="宋体" w:cs="宋体"/>
                <w:szCs w:val="21"/>
              </w:rPr>
              <w:t>分，扣完为止。</w:t>
            </w:r>
            <w:r>
              <w:rPr>
                <w:rFonts w:hint="eastAsia" w:ascii="宋体" w:hAnsi="宋体" w:cs="宋体"/>
                <w:szCs w:val="21"/>
                <w:lang w:eastAsia="zh-CN"/>
              </w:rPr>
              <w:t>（</w:t>
            </w:r>
            <w:r>
              <w:rPr>
                <w:rFonts w:hint="eastAsia" w:ascii="宋体" w:hAnsi="宋体" w:cs="宋体"/>
                <w:szCs w:val="21"/>
                <w:lang w:val="en-US" w:eastAsia="zh-CN"/>
              </w:rPr>
              <w:t>线性计分</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分）</w:t>
            </w:r>
          </w:p>
        </w:tc>
        <w:tc>
          <w:tcPr>
            <w:tcW w:w="2022" w:type="dxa"/>
            <w:vAlign w:val="center"/>
          </w:tcPr>
          <w:p>
            <w:pPr>
              <w:spacing w:line="320" w:lineRule="exact"/>
              <w:jc w:val="center"/>
              <w:rPr>
                <w:rFonts w:hint="eastAsia" w:asciiTheme="minorEastAsia" w:hAnsiTheme="minorEastAsia" w:eastAsiaTheme="minorEastAsia" w:cstheme="minorEastAsia"/>
                <w:szCs w:val="21"/>
              </w:rPr>
            </w:pPr>
            <w:r>
              <w:rPr>
                <w:rFonts w:hint="eastAsia" w:ascii="宋体" w:hAnsi="宋体" w:cs="宋体"/>
                <w:szCs w:val="21"/>
              </w:rPr>
              <w:t>服务能力（</w:t>
            </w:r>
            <w:r>
              <w:rPr>
                <w:rFonts w:ascii="宋体" w:hAnsi="宋体" w:cs="宋体"/>
                <w:szCs w:val="21"/>
              </w:rPr>
              <w:t>1</w:t>
            </w:r>
            <w:r>
              <w:rPr>
                <w:rFonts w:hint="eastAsia" w:ascii="宋体" w:hAnsi="宋体" w:cs="宋体"/>
                <w:szCs w:val="21"/>
                <w:lang w:val="en-US" w:eastAsia="zh-CN"/>
              </w:rPr>
              <w:t>4</w:t>
            </w:r>
            <w:r>
              <w:rPr>
                <w:rFonts w:hint="eastAsia" w:ascii="宋体" w:hAnsi="宋体" w:cs="宋体"/>
                <w:szCs w:val="21"/>
              </w:rPr>
              <w:t>分）</w:t>
            </w:r>
          </w:p>
        </w:tc>
        <w:tc>
          <w:tcPr>
            <w:tcW w:w="5928" w:type="dxa"/>
            <w:vAlign w:val="center"/>
          </w:tcPr>
          <w:p>
            <w:pPr>
              <w:pStyle w:val="41"/>
              <w:spacing w:line="400" w:lineRule="exact"/>
              <w:ind w:firstLineChars="200"/>
              <w:rPr>
                <w:rFonts w:hAnsi="宋体" w:eastAsia="宋体" w:cs="宋体"/>
                <w:sz w:val="21"/>
                <w:szCs w:val="21"/>
              </w:rPr>
            </w:pPr>
            <w:r>
              <w:rPr>
                <w:rFonts w:hint="eastAsia" w:hAnsi="宋体" w:eastAsia="宋体" w:cs="宋体"/>
                <w:sz w:val="21"/>
                <w:szCs w:val="21"/>
                <w:lang w:val="en-US" w:eastAsia="zh-CN"/>
              </w:rPr>
              <w:t>1</w:t>
            </w:r>
            <w:r>
              <w:rPr>
                <w:rFonts w:hint="eastAsia" w:hAnsi="宋体" w:eastAsia="宋体" w:cs="宋体"/>
                <w:sz w:val="21"/>
                <w:szCs w:val="21"/>
              </w:rPr>
              <w:t>、公司具有数据成熟度能力D</w:t>
            </w:r>
            <w:r>
              <w:rPr>
                <w:rFonts w:hAnsi="宋体" w:eastAsia="宋体" w:cs="宋体"/>
                <w:sz w:val="21"/>
                <w:szCs w:val="21"/>
              </w:rPr>
              <w:t>CMM2</w:t>
            </w:r>
            <w:r>
              <w:rPr>
                <w:rFonts w:hint="eastAsia" w:hAnsi="宋体" w:eastAsia="宋体" w:cs="宋体"/>
                <w:sz w:val="21"/>
                <w:szCs w:val="21"/>
              </w:rPr>
              <w:t>级及以上资质证书证得</w:t>
            </w:r>
            <w:r>
              <w:rPr>
                <w:rFonts w:hint="eastAsia" w:hAnsi="宋体" w:eastAsia="宋体" w:cs="宋体"/>
                <w:sz w:val="21"/>
                <w:szCs w:val="21"/>
                <w:lang w:val="en-US" w:eastAsia="zh-CN"/>
              </w:rPr>
              <w:t>4</w:t>
            </w:r>
            <w:r>
              <w:rPr>
                <w:rFonts w:hint="eastAsia" w:hAnsi="宋体" w:eastAsia="宋体" w:cs="宋体"/>
                <w:sz w:val="21"/>
                <w:szCs w:val="21"/>
              </w:rPr>
              <w:t>分，不满足不得分。</w:t>
            </w:r>
          </w:p>
          <w:p>
            <w:pPr>
              <w:pStyle w:val="41"/>
              <w:spacing w:line="400" w:lineRule="exact"/>
              <w:ind w:firstLineChars="200"/>
              <w:rPr>
                <w:rFonts w:hAnsi="宋体" w:eastAsia="宋体" w:cs="宋体"/>
                <w:sz w:val="21"/>
                <w:szCs w:val="21"/>
              </w:rPr>
            </w:pPr>
            <w:r>
              <w:rPr>
                <w:rFonts w:hint="eastAsia" w:hAnsi="宋体" w:eastAsia="宋体" w:cs="宋体"/>
                <w:sz w:val="21"/>
                <w:szCs w:val="21"/>
                <w:lang w:val="en-US" w:eastAsia="zh-CN"/>
              </w:rPr>
              <w:t>2</w:t>
            </w:r>
            <w:r>
              <w:rPr>
                <w:rFonts w:hint="eastAsia" w:hAnsi="宋体" w:eastAsia="宋体" w:cs="宋体"/>
                <w:sz w:val="21"/>
                <w:szCs w:val="21"/>
              </w:rPr>
              <w:t>、公司每具有下列证书一项得2分，最多得</w:t>
            </w:r>
            <w:r>
              <w:rPr>
                <w:rFonts w:hint="eastAsia" w:hAnsi="宋体" w:eastAsia="宋体" w:cs="宋体"/>
                <w:sz w:val="21"/>
                <w:szCs w:val="21"/>
                <w:lang w:val="en-US" w:eastAsia="zh-CN"/>
              </w:rPr>
              <w:t>10</w:t>
            </w:r>
            <w:r>
              <w:rPr>
                <w:rFonts w:hint="eastAsia" w:hAnsi="宋体" w:eastAsia="宋体" w:cs="宋体"/>
                <w:sz w:val="21"/>
                <w:szCs w:val="21"/>
              </w:rPr>
              <w:t>分。</w:t>
            </w:r>
          </w:p>
          <w:p>
            <w:pPr>
              <w:spacing w:line="400" w:lineRule="exact"/>
              <w:ind w:firstLine="420" w:firstLineChars="200"/>
              <w:rPr>
                <w:rFonts w:ascii="宋体" w:hAnsi="宋体" w:cs="宋体"/>
                <w:szCs w:val="21"/>
              </w:rPr>
            </w:pPr>
            <w:r>
              <w:rPr>
                <w:rFonts w:hint="eastAsia" w:hAnsi="宋体" w:eastAsia="宋体" w:cs="宋体"/>
                <w:sz w:val="21"/>
                <w:szCs w:val="21"/>
              </w:rPr>
              <w:t>ISO质量体系认证证书9</w:t>
            </w:r>
            <w:r>
              <w:rPr>
                <w:rFonts w:hAnsi="宋体" w:eastAsia="宋体" w:cs="宋体"/>
                <w:sz w:val="21"/>
                <w:szCs w:val="21"/>
              </w:rPr>
              <w:t>001</w:t>
            </w:r>
            <w:r>
              <w:rPr>
                <w:rFonts w:hint="eastAsia" w:hAnsi="宋体" w:eastAsia="宋体" w:cs="宋体"/>
                <w:sz w:val="21"/>
                <w:szCs w:val="21"/>
              </w:rPr>
              <w:t>、I</w:t>
            </w:r>
            <w:r>
              <w:rPr>
                <w:rFonts w:hAnsi="宋体" w:eastAsia="宋体" w:cs="宋体"/>
                <w:sz w:val="21"/>
                <w:szCs w:val="21"/>
              </w:rPr>
              <w:t>SO</w:t>
            </w:r>
            <w:r>
              <w:rPr>
                <w:rFonts w:hint="eastAsia" w:hAnsi="宋体" w:eastAsia="宋体" w:cs="宋体"/>
                <w:sz w:val="21"/>
                <w:szCs w:val="21"/>
              </w:rPr>
              <w:t>环境管理体系认证证书1</w:t>
            </w:r>
            <w:r>
              <w:rPr>
                <w:rFonts w:hAnsi="宋体" w:eastAsia="宋体" w:cs="宋体"/>
                <w:sz w:val="21"/>
                <w:szCs w:val="21"/>
              </w:rPr>
              <w:t>4001</w:t>
            </w:r>
            <w:r>
              <w:rPr>
                <w:rFonts w:hint="eastAsia" w:hAnsi="宋体" w:eastAsia="宋体" w:cs="宋体"/>
                <w:sz w:val="21"/>
                <w:szCs w:val="21"/>
              </w:rPr>
              <w:t>、I</w:t>
            </w:r>
            <w:r>
              <w:rPr>
                <w:rFonts w:hAnsi="宋体" w:eastAsia="宋体" w:cs="宋体"/>
                <w:sz w:val="21"/>
                <w:szCs w:val="21"/>
              </w:rPr>
              <w:t>SO</w:t>
            </w:r>
            <w:r>
              <w:rPr>
                <w:rFonts w:hint="eastAsia" w:hAnsi="宋体" w:eastAsia="宋体" w:cs="宋体"/>
                <w:sz w:val="21"/>
                <w:szCs w:val="21"/>
              </w:rPr>
              <w:t>职业健康安全管理体系认证证书4</w:t>
            </w:r>
            <w:r>
              <w:rPr>
                <w:rFonts w:hAnsi="宋体" w:eastAsia="宋体" w:cs="宋体"/>
                <w:sz w:val="21"/>
                <w:szCs w:val="21"/>
              </w:rPr>
              <w:t>5001</w:t>
            </w:r>
            <w:r>
              <w:rPr>
                <w:rFonts w:hint="eastAsia" w:hAnsi="宋体" w:eastAsia="宋体" w:cs="宋体"/>
                <w:sz w:val="21"/>
                <w:szCs w:val="21"/>
              </w:rPr>
              <w:t>、信息系统集成C</w:t>
            </w:r>
            <w:r>
              <w:rPr>
                <w:rFonts w:hAnsi="宋体" w:eastAsia="宋体" w:cs="宋体"/>
                <w:sz w:val="21"/>
                <w:szCs w:val="21"/>
              </w:rPr>
              <w:t>S4</w:t>
            </w:r>
            <w:r>
              <w:rPr>
                <w:rFonts w:hint="eastAsia" w:hAnsi="宋体" w:eastAsia="宋体" w:cs="宋体"/>
                <w:sz w:val="21"/>
                <w:szCs w:val="21"/>
              </w:rPr>
              <w:t>及以上证书、软件能力成熟度模型C</w:t>
            </w:r>
            <w:r>
              <w:rPr>
                <w:rFonts w:hAnsi="宋体" w:eastAsia="宋体" w:cs="宋体"/>
                <w:sz w:val="21"/>
                <w:szCs w:val="21"/>
              </w:rPr>
              <w:t>MMI 4</w:t>
            </w:r>
            <w:r>
              <w:rPr>
                <w:rFonts w:hint="eastAsia" w:hAnsi="宋体" w:eastAsia="宋体" w:cs="宋体"/>
                <w:sz w:val="21"/>
                <w:szCs w:val="21"/>
              </w:rPr>
              <w:t>级及以上或软件过程及能力成熟度评估S</w:t>
            </w:r>
            <w:r>
              <w:rPr>
                <w:rFonts w:hAnsi="宋体" w:eastAsia="宋体" w:cs="宋体"/>
                <w:sz w:val="21"/>
                <w:szCs w:val="21"/>
              </w:rPr>
              <w:t>CPA 4</w:t>
            </w:r>
            <w:r>
              <w:rPr>
                <w:rFonts w:hint="eastAsia" w:hAnsi="宋体" w:eastAsia="宋体" w:cs="宋体"/>
                <w:sz w:val="21"/>
                <w:szCs w:val="21"/>
              </w:rPr>
              <w:t>级及以上证书。（提供证书复印件并加盖单位鲜章）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hint="eastAsia" w:asciiTheme="minorEastAsia" w:hAnsiTheme="minorEastAsia" w:eastAsiaTheme="minorEastAsia" w:cstheme="minorEastAsia"/>
                <w:szCs w:val="21"/>
              </w:rPr>
            </w:pPr>
          </w:p>
        </w:tc>
        <w:tc>
          <w:tcPr>
            <w:tcW w:w="1159" w:type="dxa"/>
            <w:vMerge w:val="continue"/>
            <w:vAlign w:val="center"/>
          </w:tcPr>
          <w:p>
            <w:pPr>
              <w:spacing w:line="320" w:lineRule="exact"/>
              <w:rPr>
                <w:rFonts w:hint="eastAsia" w:asciiTheme="minorEastAsia" w:hAnsiTheme="minorEastAsia" w:eastAsiaTheme="minorEastAsia" w:cstheme="minorEastAsia"/>
                <w:szCs w:val="21"/>
              </w:rPr>
            </w:pPr>
          </w:p>
        </w:tc>
        <w:tc>
          <w:tcPr>
            <w:tcW w:w="2022" w:type="dxa"/>
            <w:vAlign w:val="center"/>
          </w:tcPr>
          <w:p>
            <w:pPr>
              <w:spacing w:line="320" w:lineRule="exact"/>
              <w:jc w:val="center"/>
              <w:rPr>
                <w:rFonts w:hint="eastAsia" w:asciiTheme="minorEastAsia" w:hAnsiTheme="minorEastAsia" w:eastAsiaTheme="minorEastAsia" w:cstheme="minorEastAsia"/>
                <w:szCs w:val="21"/>
              </w:rPr>
            </w:pPr>
            <w:r>
              <w:rPr>
                <w:rFonts w:hint="eastAsia" w:ascii="宋体" w:hAnsi="宋体" w:cs="宋体"/>
                <w:szCs w:val="21"/>
              </w:rPr>
              <w:t>报价人业绩（</w:t>
            </w:r>
            <w:r>
              <w:rPr>
                <w:rFonts w:hint="eastAsia" w:ascii="宋体" w:hAnsi="宋体" w:cs="宋体"/>
                <w:szCs w:val="21"/>
                <w:lang w:val="en-US" w:eastAsia="zh-CN"/>
              </w:rPr>
              <w:t>6</w:t>
            </w:r>
            <w:r>
              <w:rPr>
                <w:rFonts w:hint="eastAsia" w:ascii="宋体" w:hAnsi="宋体" w:cs="宋体"/>
                <w:szCs w:val="21"/>
              </w:rPr>
              <w:t>分）</w:t>
            </w:r>
          </w:p>
        </w:tc>
        <w:tc>
          <w:tcPr>
            <w:tcW w:w="5928" w:type="dxa"/>
            <w:vAlign w:val="center"/>
          </w:tcPr>
          <w:p>
            <w:pPr>
              <w:spacing w:line="400" w:lineRule="exact"/>
              <w:ind w:firstLine="420" w:firstLineChars="200"/>
              <w:rPr>
                <w:rFonts w:hint="eastAsia" w:ascii="宋体" w:hAnsi="宋体" w:cs="宋体"/>
                <w:szCs w:val="21"/>
              </w:rPr>
            </w:pPr>
            <w:r>
              <w:rPr>
                <w:rFonts w:hint="eastAsia" w:hAnsi="宋体" w:eastAsia="宋体" w:cs="宋体"/>
                <w:sz w:val="21"/>
                <w:szCs w:val="21"/>
              </w:rPr>
              <w:t>除满足业绩资格要求外，20</w:t>
            </w:r>
            <w:r>
              <w:rPr>
                <w:rFonts w:hAnsi="宋体" w:eastAsia="宋体" w:cs="宋体"/>
                <w:sz w:val="21"/>
                <w:szCs w:val="21"/>
              </w:rPr>
              <w:t>20</w:t>
            </w:r>
            <w:r>
              <w:rPr>
                <w:rFonts w:hint="eastAsia" w:hAnsi="宋体" w:eastAsia="宋体" w:cs="宋体"/>
                <w:sz w:val="21"/>
                <w:szCs w:val="21"/>
              </w:rPr>
              <w:t>年1月1日至投标截止日每具有1个合同金额大于50万元的国有大型企业监管服务类合同，得</w:t>
            </w:r>
            <w:r>
              <w:rPr>
                <w:rFonts w:hint="eastAsia" w:hAnsi="宋体" w:eastAsia="宋体" w:cs="宋体"/>
                <w:sz w:val="21"/>
                <w:szCs w:val="21"/>
                <w:lang w:val="en-US" w:eastAsia="zh-CN"/>
              </w:rPr>
              <w:t>2</w:t>
            </w:r>
            <w:r>
              <w:rPr>
                <w:rFonts w:hint="eastAsia" w:hAnsi="宋体" w:eastAsia="宋体" w:cs="宋体"/>
                <w:sz w:val="21"/>
                <w:szCs w:val="21"/>
              </w:rPr>
              <w:t>分，</w:t>
            </w:r>
            <w:r>
              <w:rPr>
                <w:rFonts w:hint="eastAsia" w:hAnsi="宋体" w:eastAsia="宋体" w:cs="宋体"/>
                <w:sz w:val="21"/>
                <w:szCs w:val="21"/>
                <w:lang w:val="en-US" w:eastAsia="zh-CN"/>
              </w:rPr>
              <w:t>最多得6</w:t>
            </w:r>
            <w:r>
              <w:rPr>
                <w:rFonts w:hint="eastAsia" w:hAnsi="宋体" w:eastAsia="宋体" w:cs="宋体"/>
                <w:sz w:val="21"/>
                <w:szCs w:val="21"/>
              </w:rPr>
              <w:t>分。</w:t>
            </w:r>
            <w:r>
              <w:rPr>
                <w:rFonts w:hint="eastAsia" w:hAnsi="宋体" w:eastAsia="宋体" w:cs="宋体"/>
                <w:sz w:val="21"/>
                <w:szCs w:val="21"/>
                <w:lang w:eastAsia="zh-CN"/>
              </w:rPr>
              <w:t>（</w:t>
            </w:r>
            <w:r>
              <w:rPr>
                <w:rFonts w:hint="eastAsia" w:ascii="宋体" w:hAnsi="宋体" w:cs="宋体"/>
                <w:szCs w:val="21"/>
              </w:rPr>
              <w:t>注：合同需清晰反映上述业绩要求的主要内容，包括但不限于合同签订时间、合同金额及工作内容</w:t>
            </w:r>
            <w:r>
              <w:rPr>
                <w:rFonts w:hint="eastAsia"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2" w:hRule="atLeas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w:t>
            </w:r>
          </w:p>
        </w:tc>
        <w:tc>
          <w:tcPr>
            <w:tcW w:w="1159"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技术部分（20分）</w:t>
            </w: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宋体" w:hAnsi="宋体" w:cs="宋体"/>
                <w:szCs w:val="21"/>
              </w:rPr>
              <w:t>技术参数（</w:t>
            </w:r>
            <w:r>
              <w:rPr>
                <w:rFonts w:ascii="宋体" w:hAnsi="宋体" w:cs="宋体"/>
                <w:szCs w:val="21"/>
              </w:rPr>
              <w:t>1</w:t>
            </w:r>
            <w:r>
              <w:rPr>
                <w:rFonts w:hint="eastAsia" w:ascii="宋体" w:hAnsi="宋体" w:cs="宋体"/>
                <w:szCs w:val="21"/>
              </w:rPr>
              <w:t>0分）</w:t>
            </w:r>
          </w:p>
        </w:tc>
        <w:tc>
          <w:tcPr>
            <w:tcW w:w="5928" w:type="dxa"/>
            <w:vAlign w:val="center"/>
          </w:tcPr>
          <w:p>
            <w:pPr>
              <w:pStyle w:val="170"/>
              <w:adjustRightInd w:val="0"/>
              <w:snapToGrid w:val="0"/>
              <w:spacing w:before="156" w:line="400" w:lineRule="exact"/>
              <w:jc w:val="left"/>
              <w:rPr>
                <w:rFonts w:ascii="宋体" w:hAnsi="宋体" w:cs="宋体"/>
                <w:kern w:val="0"/>
                <w:sz w:val="21"/>
                <w:szCs w:val="21"/>
                <w:lang w:val="en-US"/>
              </w:rPr>
            </w:pPr>
            <w:r>
              <w:rPr>
                <w:rFonts w:hint="eastAsia" w:ascii="宋体" w:hAnsi="宋体" w:cs="宋体"/>
                <w:kern w:val="0"/>
                <w:sz w:val="21"/>
                <w:szCs w:val="21"/>
              </w:rPr>
              <w:t>按照第六章技术标准和工作要求进行</w:t>
            </w:r>
            <w:r>
              <w:rPr>
                <w:rFonts w:hint="eastAsia" w:ascii="宋体" w:hAnsi="宋体" w:cs="宋体"/>
                <w:kern w:val="0"/>
                <w:sz w:val="21"/>
                <w:szCs w:val="21"/>
                <w:lang w:val="en-US"/>
              </w:rPr>
              <w:t>评审：</w:t>
            </w:r>
          </w:p>
          <w:p>
            <w:pPr>
              <w:pStyle w:val="170"/>
              <w:numPr>
                <w:ilvl w:val="0"/>
                <w:numId w:val="5"/>
              </w:numPr>
              <w:adjustRightInd w:val="0"/>
              <w:snapToGrid w:val="0"/>
              <w:spacing w:before="156" w:line="400" w:lineRule="exact"/>
              <w:jc w:val="left"/>
              <w:rPr>
                <w:rFonts w:ascii="宋体" w:hAnsi="宋体" w:cs="宋体"/>
                <w:kern w:val="0"/>
                <w:sz w:val="21"/>
                <w:szCs w:val="21"/>
              </w:rPr>
            </w:pPr>
            <w:r>
              <w:rPr>
                <w:rFonts w:hint="eastAsia" w:ascii="宋体" w:hAnsi="宋体" w:cs="宋体"/>
                <w:kern w:val="0"/>
                <w:sz w:val="21"/>
                <w:szCs w:val="21"/>
              </w:rPr>
              <w:t>★条款</w:t>
            </w:r>
            <w:r>
              <w:rPr>
                <w:rFonts w:hint="eastAsia" w:ascii="宋体" w:hAnsi="宋体" w:cs="宋体"/>
                <w:kern w:val="0"/>
                <w:sz w:val="21"/>
                <w:szCs w:val="21"/>
                <w:lang w:val="en-US"/>
              </w:rPr>
              <w:t>其中任意</w:t>
            </w:r>
            <w:r>
              <w:rPr>
                <w:rFonts w:hint="eastAsia" w:ascii="宋体" w:hAnsi="宋体" w:cs="宋体"/>
                <w:kern w:val="0"/>
                <w:sz w:val="21"/>
                <w:szCs w:val="21"/>
              </w:rPr>
              <w:t>一条不满足</w:t>
            </w:r>
            <w:r>
              <w:rPr>
                <w:rFonts w:hint="eastAsia" w:ascii="宋体" w:hAnsi="宋体" w:cs="宋体"/>
                <w:kern w:val="0"/>
                <w:sz w:val="21"/>
                <w:szCs w:val="21"/>
                <w:lang w:val="en-US"/>
              </w:rPr>
              <w:t>该项</w:t>
            </w:r>
            <w:r>
              <w:rPr>
                <w:rFonts w:hint="eastAsia" w:ascii="宋体" w:hAnsi="宋体" w:cs="宋体"/>
                <w:kern w:val="0"/>
                <w:sz w:val="21"/>
                <w:szCs w:val="21"/>
              </w:rPr>
              <w:t>得0分；</w:t>
            </w:r>
          </w:p>
          <w:p>
            <w:pPr>
              <w:spacing w:line="400" w:lineRule="exact"/>
              <w:ind w:firstLine="420" w:firstLineChars="200"/>
              <w:rPr>
                <w:rFonts w:ascii="宋体" w:hAnsi="宋体" w:cs="宋体"/>
                <w:szCs w:val="21"/>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2</w:t>
            </w:r>
            <w:r>
              <w:rPr>
                <w:rFonts w:hint="eastAsia" w:ascii="宋体" w:hAnsi="宋体" w:cs="宋体"/>
                <w:kern w:val="0"/>
                <w:sz w:val="21"/>
                <w:szCs w:val="21"/>
                <w:lang w:eastAsia="zh-CN"/>
              </w:rPr>
              <w:t>）</w:t>
            </w:r>
            <w:r>
              <w:rPr>
                <w:rFonts w:hint="eastAsia" w:ascii="宋体" w:hAnsi="宋体" w:cs="宋体"/>
                <w:kern w:val="0"/>
                <w:sz w:val="21"/>
                <w:szCs w:val="21"/>
              </w:rPr>
              <w:t>其他技术条款每一项要求不满足即扣</w:t>
            </w:r>
            <w:r>
              <w:rPr>
                <w:rFonts w:ascii="宋体" w:hAnsi="宋体" w:cs="宋体"/>
                <w:kern w:val="0"/>
                <w:sz w:val="21"/>
                <w:szCs w:val="21"/>
              </w:rPr>
              <w:t>2</w:t>
            </w:r>
            <w:r>
              <w:rPr>
                <w:rFonts w:hint="eastAsia" w:ascii="宋体" w:hAnsi="宋体" w:cs="宋体"/>
                <w:kern w:val="0"/>
                <w:sz w:val="21"/>
                <w:szCs w:val="21"/>
              </w:rPr>
              <w:t>分，技术要求满足度总分</w:t>
            </w:r>
            <w:r>
              <w:rPr>
                <w:rFonts w:ascii="宋体" w:hAnsi="宋体" w:cs="宋体"/>
                <w:kern w:val="0"/>
                <w:sz w:val="21"/>
                <w:szCs w:val="21"/>
                <w:lang w:val="en-US"/>
              </w:rPr>
              <w:t>1</w:t>
            </w:r>
            <w:r>
              <w:rPr>
                <w:rFonts w:hint="eastAsia" w:ascii="宋体" w:hAnsi="宋体" w:cs="宋体"/>
                <w:kern w:val="0"/>
                <w:sz w:val="21"/>
                <w:szCs w:val="21"/>
                <w:lang w:val="en-US"/>
              </w:rPr>
              <w:t>0</w:t>
            </w:r>
            <w:r>
              <w:rPr>
                <w:rFonts w:hint="eastAsia" w:ascii="宋体" w:hAnsi="宋体" w:cs="宋体"/>
                <w:kern w:val="0"/>
                <w:sz w:val="21"/>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9"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2" w:type="dxa"/>
            <w:vAlign w:val="center"/>
          </w:tcPr>
          <w:p>
            <w:pPr>
              <w:spacing w:line="320" w:lineRule="exact"/>
              <w:jc w:val="center"/>
              <w:rPr>
                <w:rFonts w:asciiTheme="minorEastAsia" w:hAnsiTheme="minorEastAsia" w:eastAsiaTheme="minorEastAsia" w:cstheme="minorEastAsia"/>
                <w:szCs w:val="21"/>
              </w:rPr>
            </w:pPr>
            <w:r>
              <w:rPr>
                <w:rFonts w:hint="eastAsia" w:ascii="宋体" w:hAnsi="宋体" w:cs="宋体"/>
                <w:szCs w:val="21"/>
              </w:rPr>
              <w:t>实施方案 （</w:t>
            </w:r>
            <w:r>
              <w:rPr>
                <w:rFonts w:ascii="宋体" w:hAnsi="宋体" w:cs="宋体"/>
                <w:szCs w:val="21"/>
              </w:rPr>
              <w:t>1</w:t>
            </w:r>
            <w:r>
              <w:rPr>
                <w:rFonts w:hint="eastAsia" w:ascii="宋体" w:hAnsi="宋体" w:cs="宋体"/>
                <w:szCs w:val="21"/>
              </w:rPr>
              <w:t>0分）</w:t>
            </w:r>
          </w:p>
        </w:tc>
        <w:tc>
          <w:tcPr>
            <w:tcW w:w="5928" w:type="dxa"/>
            <w:vAlign w:val="center"/>
          </w:tcPr>
          <w:p>
            <w:pPr>
              <w:pStyle w:val="170"/>
              <w:adjustRightInd w:val="0"/>
              <w:snapToGrid w:val="0"/>
              <w:spacing w:before="156" w:line="400" w:lineRule="exact"/>
              <w:jc w:val="left"/>
              <w:rPr>
                <w:rFonts w:ascii="宋体" w:hAnsi="宋体" w:cs="宋体"/>
                <w:kern w:val="0"/>
                <w:sz w:val="21"/>
                <w:szCs w:val="21"/>
              </w:rPr>
            </w:pPr>
            <w:r>
              <w:rPr>
                <w:rFonts w:hint="eastAsia" w:ascii="宋体" w:hAnsi="宋体" w:cs="宋体"/>
                <w:sz w:val="21"/>
                <w:szCs w:val="21"/>
                <w:lang w:val="en-US"/>
              </w:rPr>
              <w:t>根据报价人对本项目建设目标的计划目标、实施路径和措施保障工作的理解程度评分，</w:t>
            </w:r>
            <w:r>
              <w:rPr>
                <w:rFonts w:hint="eastAsia" w:ascii="宋体" w:hAnsi="宋体" w:cs="宋体"/>
                <w:kern w:val="0"/>
                <w:sz w:val="21"/>
                <w:szCs w:val="21"/>
              </w:rPr>
              <w:t>对本项目理解清晰，各项功能描述全面，业务流程明确、可操作性强。</w:t>
            </w:r>
          </w:p>
          <w:p>
            <w:pPr>
              <w:spacing w:before="156" w:line="400" w:lineRule="exact"/>
              <w:ind w:firstLine="480"/>
              <w:jc w:val="left"/>
              <w:rPr>
                <w:rFonts w:ascii="宋体" w:hAnsi="宋体" w:cs="宋体"/>
                <w:kern w:val="0"/>
                <w:szCs w:val="21"/>
              </w:rPr>
            </w:pPr>
            <w:r>
              <w:rPr>
                <w:rFonts w:hint="eastAsia" w:ascii="宋体" w:hAnsi="宋体" w:cs="宋体"/>
                <w:kern w:val="0"/>
                <w:szCs w:val="21"/>
              </w:rPr>
              <w:t>综合比较打分：</w:t>
            </w:r>
          </w:p>
          <w:p>
            <w:pPr>
              <w:numPr>
                <w:ilvl w:val="0"/>
                <w:numId w:val="6"/>
              </w:numPr>
              <w:spacing w:before="156" w:line="400" w:lineRule="exact"/>
              <w:ind w:firstLine="480"/>
              <w:jc w:val="left"/>
              <w:rPr>
                <w:rFonts w:ascii="宋体" w:hAnsi="宋体" w:cs="宋体"/>
                <w:kern w:val="0"/>
                <w:szCs w:val="21"/>
              </w:rPr>
            </w:pPr>
            <w:r>
              <w:rPr>
                <w:rFonts w:hint="eastAsia" w:ascii="宋体" w:hAnsi="宋体" w:cs="宋体"/>
                <w:kern w:val="0"/>
                <w:szCs w:val="21"/>
              </w:rPr>
              <w:t>方案描述清晰、完整，可操作性强得</w:t>
            </w:r>
            <w:r>
              <w:rPr>
                <w:rFonts w:ascii="宋体" w:hAnsi="宋体" w:cs="宋体"/>
                <w:kern w:val="0"/>
                <w:szCs w:val="21"/>
              </w:rPr>
              <w:t>1</w:t>
            </w:r>
            <w:r>
              <w:rPr>
                <w:rFonts w:hint="eastAsia" w:ascii="宋体" w:hAnsi="宋体" w:cs="宋体"/>
                <w:kern w:val="0"/>
                <w:szCs w:val="21"/>
              </w:rPr>
              <w:t>0-</w:t>
            </w:r>
            <w:r>
              <w:rPr>
                <w:rFonts w:ascii="宋体" w:hAnsi="宋体" w:cs="宋体"/>
                <w:kern w:val="0"/>
                <w:szCs w:val="21"/>
              </w:rPr>
              <w:t>8</w:t>
            </w:r>
            <w:r>
              <w:rPr>
                <w:rFonts w:hint="eastAsia" w:ascii="宋体" w:hAnsi="宋体" w:cs="宋体"/>
                <w:kern w:val="0"/>
                <w:szCs w:val="21"/>
              </w:rPr>
              <w:t>分；</w:t>
            </w:r>
          </w:p>
          <w:p>
            <w:pPr>
              <w:numPr>
                <w:ilvl w:val="0"/>
                <w:numId w:val="6"/>
              </w:numPr>
              <w:spacing w:before="156" w:line="400" w:lineRule="exact"/>
              <w:ind w:firstLine="480"/>
              <w:jc w:val="left"/>
            </w:pPr>
            <w:r>
              <w:rPr>
                <w:rFonts w:hint="eastAsia" w:ascii="宋体" w:hAnsi="宋体" w:cs="宋体"/>
                <w:kern w:val="0"/>
                <w:szCs w:val="21"/>
              </w:rPr>
              <w:t>方案描述较清晰、较完整，可操作性较强得</w:t>
            </w: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分；</w:t>
            </w:r>
          </w:p>
          <w:p>
            <w:pPr>
              <w:pStyle w:val="168"/>
              <w:spacing w:before="70" w:line="320" w:lineRule="exact"/>
              <w:ind w:left="119" w:right="83" w:firstLine="420"/>
              <w:rPr>
                <w:rFonts w:ascii="宋体" w:hAnsi="宋体" w:cs="宋体"/>
                <w:szCs w:val="21"/>
              </w:rPr>
            </w:pPr>
            <w:r>
              <w:rPr>
                <w:rFonts w:hint="eastAsia" w:ascii="宋体" w:hAnsi="宋体" w:cs="宋体"/>
                <w:kern w:val="0"/>
                <w:szCs w:val="21"/>
                <w:lang w:eastAsia="zh-CN"/>
              </w:rPr>
              <w:t>（</w:t>
            </w:r>
            <w:r>
              <w:rPr>
                <w:rFonts w:hint="eastAsia" w:ascii="宋体" w:hAnsi="宋体" w:cs="宋体"/>
                <w:kern w:val="0"/>
                <w:szCs w:val="21"/>
                <w:lang w:val="en-US" w:eastAsia="zh-CN"/>
              </w:rPr>
              <w:t>3</w:t>
            </w:r>
            <w:r>
              <w:rPr>
                <w:rFonts w:hint="eastAsia" w:ascii="宋体" w:hAnsi="宋体" w:cs="宋体"/>
                <w:kern w:val="0"/>
                <w:szCs w:val="21"/>
                <w:lang w:eastAsia="zh-CN"/>
              </w:rPr>
              <w:t>）</w:t>
            </w:r>
            <w:r>
              <w:rPr>
                <w:rFonts w:hint="eastAsia" w:ascii="宋体" w:hAnsi="宋体" w:cs="宋体"/>
                <w:kern w:val="0"/>
                <w:szCs w:val="21"/>
              </w:rPr>
              <w:t>方案描述不够清晰，不够完整得</w:t>
            </w: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条款号</w:t>
            </w:r>
          </w:p>
        </w:tc>
        <w:tc>
          <w:tcPr>
            <w:tcW w:w="3181" w:type="dxa"/>
            <w:gridSpan w:val="2"/>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条款名称</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 xml:space="preserve">编列内容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181" w:type="dxa"/>
            <w:gridSpan w:val="2"/>
            <w:vAlign w:val="center"/>
          </w:tcPr>
          <w:p>
            <w:pPr>
              <w:spacing w:line="320" w:lineRule="exact"/>
              <w:jc w:val="center"/>
              <w:rPr>
                <w:rFonts w:asciiTheme="minorEastAsia" w:hAnsiTheme="minorEastAsia" w:eastAsiaTheme="minorEastAsia" w:cstheme="minorEastAsia"/>
                <w:szCs w:val="21"/>
              </w:rPr>
            </w:pPr>
            <w:r>
              <w:rPr>
                <w:rFonts w:hint="eastAsia"/>
                <w:spacing w:val="-5"/>
                <w:kern w:val="0"/>
                <w:sz w:val="20"/>
              </w:rPr>
              <w:t>评标程序</w:t>
            </w:r>
          </w:p>
        </w:tc>
        <w:tc>
          <w:tcPr>
            <w:tcW w:w="5928" w:type="dxa"/>
            <w:vAlign w:val="center"/>
          </w:tcPr>
          <w:p>
            <w:pPr>
              <w:pStyle w:val="168"/>
              <w:spacing w:before="70" w:line="320" w:lineRule="exact"/>
              <w:ind w:left="119" w:right="83" w:firstLine="420"/>
              <w:rPr>
                <w:rFonts w:ascii="宋体" w:hAnsi="宋体" w:cs="宋体"/>
                <w:szCs w:val="21"/>
              </w:rPr>
            </w:pPr>
            <w:r>
              <w:rPr>
                <w:rFonts w:hint="eastAsia" w:ascii="宋体" w:hAnsi="宋体" w:cs="宋体"/>
                <w:szCs w:val="21"/>
              </w:rPr>
              <w:t xml:space="preserve">1.按本章评标办法第2.1款、2.2款及2.3款进行初步评审，未通过初步评审或评标委员会认定为无效的投标文件的不再进行后续评审。 </w:t>
            </w:r>
          </w:p>
          <w:p>
            <w:pPr>
              <w:pStyle w:val="168"/>
              <w:spacing w:before="42" w:line="320" w:lineRule="exact"/>
              <w:ind w:left="119" w:right="72" w:firstLine="420"/>
              <w:rPr>
                <w:rFonts w:ascii="宋体" w:hAnsi="宋体" w:cs="宋体"/>
                <w:szCs w:val="21"/>
              </w:rPr>
            </w:pPr>
            <w:r>
              <w:rPr>
                <w:rFonts w:hint="eastAsia" w:ascii="宋体" w:hAnsi="宋体" w:cs="宋体"/>
                <w:szCs w:val="21"/>
              </w:rPr>
              <w:t>2.按本章评标办法前附表第3.1款的规定进行报价投标报价部分评审；</w:t>
            </w:r>
          </w:p>
          <w:p>
            <w:pPr>
              <w:pStyle w:val="168"/>
              <w:spacing w:before="15" w:line="320" w:lineRule="exact"/>
              <w:ind w:left="119" w:right="72" w:firstLine="420"/>
              <w:rPr>
                <w:rFonts w:ascii="宋体" w:hAnsi="宋体" w:cs="宋体"/>
                <w:szCs w:val="21"/>
              </w:rPr>
            </w:pPr>
            <w:r>
              <w:rPr>
                <w:rFonts w:hint="eastAsia" w:ascii="宋体" w:hAnsi="宋体" w:cs="宋体"/>
                <w:szCs w:val="21"/>
              </w:rPr>
              <w:t>3.按本章评标办法前附表第3.2款的规定进行商务部分的评审；</w:t>
            </w:r>
          </w:p>
          <w:p>
            <w:pPr>
              <w:pStyle w:val="168"/>
              <w:spacing w:before="15" w:line="320" w:lineRule="exact"/>
              <w:ind w:left="119" w:right="72" w:firstLine="420"/>
              <w:rPr>
                <w:rFonts w:ascii="宋体" w:hAnsi="宋体" w:cs="宋体"/>
                <w:szCs w:val="21"/>
              </w:rPr>
            </w:pPr>
            <w:r>
              <w:rPr>
                <w:rFonts w:hint="eastAsia" w:ascii="宋体" w:hAnsi="宋体" w:cs="宋体"/>
                <w:szCs w:val="21"/>
              </w:rPr>
              <w:t>4.按本章评标办法前附表第 3.3款的规定进行技术部分的评审；</w:t>
            </w:r>
          </w:p>
          <w:p>
            <w:pPr>
              <w:pStyle w:val="168"/>
              <w:spacing w:before="42" w:line="320" w:lineRule="exact"/>
              <w:ind w:left="119" w:right="-23" w:firstLine="420"/>
              <w:rPr>
                <w:rFonts w:ascii="宋体" w:hAnsi="宋体" w:cs="宋体"/>
                <w:szCs w:val="21"/>
              </w:rPr>
            </w:pPr>
            <w:r>
              <w:rPr>
                <w:rFonts w:hint="eastAsia" w:ascii="宋体" w:hAnsi="宋体" w:cs="宋体"/>
                <w:szCs w:val="21"/>
              </w:rPr>
              <w:t xml:space="preserve">5.因评标委员会作否决投标处理导致有效投标人不足三个的，评标委员会应当否决所有投标。但是有效投标人的经济、技术等指标仍然具有市场竞争力，能够满足采购文件要求的，评标委员会可以继续评标并确定中标候选人。 </w:t>
            </w:r>
          </w:p>
          <w:p>
            <w:pPr>
              <w:pStyle w:val="168"/>
              <w:spacing w:before="47" w:line="320" w:lineRule="exact"/>
              <w:ind w:left="119" w:firstLine="420"/>
              <w:rPr>
                <w:rFonts w:ascii="宋体" w:hAnsi="宋体" w:cs="宋体"/>
                <w:szCs w:val="21"/>
              </w:rPr>
            </w:pPr>
            <w:r>
              <w:rPr>
                <w:rFonts w:hint="eastAsia" w:ascii="宋体" w:hAnsi="宋体" w:cs="宋体"/>
                <w:szCs w:val="21"/>
              </w:rPr>
              <w:t xml:space="preserve">6.对技术部分、商务部分、投标总报价得分进行汇总，确定得分由高至低前2名投标人为中标候选人。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3181" w:type="dxa"/>
            <w:gridSpan w:val="2"/>
            <w:vAlign w:val="center"/>
          </w:tcPr>
          <w:p>
            <w:pPr>
              <w:spacing w:line="320" w:lineRule="exact"/>
              <w:jc w:val="center"/>
              <w:rPr>
                <w:rFonts w:asciiTheme="minorEastAsia" w:hAnsiTheme="minorEastAsia" w:eastAsiaTheme="minorEastAsia" w:cstheme="minorEastAsia"/>
                <w:szCs w:val="21"/>
              </w:rPr>
            </w:pPr>
            <w:r>
              <w:rPr>
                <w:rFonts w:hint="eastAsia"/>
                <w:spacing w:val="-5"/>
                <w:kern w:val="0"/>
                <w:sz w:val="20"/>
              </w:rPr>
              <w:t>投标人得分</w:t>
            </w:r>
          </w:p>
        </w:tc>
        <w:tc>
          <w:tcPr>
            <w:tcW w:w="5928" w:type="dxa"/>
            <w:vAlign w:val="center"/>
          </w:tcPr>
          <w:p>
            <w:pPr>
              <w:spacing w:line="400" w:lineRule="exact"/>
              <w:ind w:firstLine="420" w:firstLineChars="200"/>
              <w:rPr>
                <w:rFonts w:ascii="宋体" w:hAnsi="宋体" w:cs="宋体"/>
                <w:szCs w:val="21"/>
              </w:rPr>
            </w:pPr>
            <w:r>
              <w:rPr>
                <w:rFonts w:hint="eastAsia" w:ascii="宋体" w:hAnsi="宋体" w:cs="宋体"/>
                <w:szCs w:val="21"/>
              </w:rPr>
              <w:t>投标人得分=投标报价得分+商务部分得分+技术部分得分</w:t>
            </w:r>
          </w:p>
        </w:tc>
      </w:tr>
    </w:tbl>
    <w:p>
      <w:pPr>
        <w:pStyle w:val="9"/>
        <w:spacing w:line="418" w:lineRule="exact"/>
        <w:rPr>
          <w:rFonts w:ascii="宋体" w:hAnsi="宋体" w:eastAsia="宋体" w:cs="宋体"/>
          <w:kern w:val="2"/>
          <w:sz w:val="21"/>
          <w:szCs w:val="21"/>
        </w:rPr>
      </w:pPr>
      <w:r>
        <w:rPr>
          <w:rFonts w:hint="eastAsia" w:ascii="宋体" w:hAnsi="宋体" w:eastAsia="宋体" w:cs="宋体"/>
          <w:kern w:val="2"/>
          <w:sz w:val="21"/>
          <w:szCs w:val="21"/>
        </w:rPr>
        <w:t xml:space="preserve">1. 评标方法 </w:t>
      </w:r>
    </w:p>
    <w:p>
      <w:pPr>
        <w:pStyle w:val="16"/>
        <w:spacing w:before="119" w:line="352" w:lineRule="auto"/>
        <w:ind w:firstLine="420" w:firstLineChars="200"/>
        <w:rPr>
          <w:rFonts w:ascii="宋体" w:hAnsi="宋体" w:cs="宋体"/>
          <w:kern w:val="2"/>
          <w:sz w:val="21"/>
          <w:szCs w:val="21"/>
        </w:rPr>
      </w:pPr>
      <w:r>
        <w:rPr>
          <w:rFonts w:hint="eastAsia" w:ascii="宋体" w:hAnsi="宋体" w:cs="宋体"/>
          <w:kern w:val="2"/>
          <w:sz w:val="21"/>
          <w:szCs w:val="21"/>
        </w:rPr>
        <w:t xml:space="preserve">本次评标采用综合评分法。评标委员会按照本章评标办法前附表规定的评分标准进行打分，按得分由高到 低顺序推荐中标候选人，若出现投标人投标报价相同的，以评标办法前附表约定的原则确定排序。 </w:t>
      </w:r>
    </w:p>
    <w:p>
      <w:pPr>
        <w:pStyle w:val="9"/>
        <w:spacing w:before="56"/>
        <w:rPr>
          <w:rFonts w:ascii="宋体" w:hAnsi="宋体" w:eastAsia="宋体" w:cs="宋体"/>
          <w:kern w:val="2"/>
          <w:sz w:val="21"/>
          <w:szCs w:val="21"/>
        </w:rPr>
      </w:pPr>
      <w:bookmarkStart w:id="133" w:name="2._评审标准"/>
      <w:bookmarkEnd w:id="133"/>
      <w:r>
        <w:rPr>
          <w:rFonts w:hint="eastAsia" w:ascii="宋体" w:hAnsi="宋体" w:eastAsia="宋体" w:cs="宋体"/>
          <w:kern w:val="2"/>
          <w:sz w:val="21"/>
          <w:szCs w:val="21"/>
        </w:rPr>
        <w:t xml:space="preserve">2. 评审标准 </w:t>
      </w:r>
    </w:p>
    <w:p>
      <w:pPr>
        <w:spacing w:before="156"/>
        <w:ind w:left="106"/>
        <w:rPr>
          <w:rFonts w:ascii="宋体" w:hAnsi="宋体" w:cs="宋体"/>
          <w:szCs w:val="21"/>
        </w:rPr>
      </w:pPr>
      <w:bookmarkStart w:id="134" w:name="2.1_初步评审标准"/>
      <w:bookmarkEnd w:id="134"/>
      <w:r>
        <w:rPr>
          <w:rFonts w:hint="eastAsia" w:ascii="宋体" w:hAnsi="宋体" w:cs="宋体"/>
          <w:szCs w:val="21"/>
        </w:rPr>
        <w:t xml:space="preserve">2.1 初步评审标准 </w:t>
      </w:r>
    </w:p>
    <w:p>
      <w:pPr>
        <w:pStyle w:val="16"/>
        <w:spacing w:before="61"/>
        <w:ind w:left="647"/>
        <w:rPr>
          <w:rFonts w:ascii="宋体" w:hAnsi="宋体" w:cs="宋体"/>
          <w:caps/>
          <w:kern w:val="2"/>
          <w:sz w:val="21"/>
          <w:szCs w:val="21"/>
        </w:rPr>
      </w:pPr>
      <w:r>
        <w:rPr>
          <w:rFonts w:hint="eastAsia" w:ascii="宋体" w:hAnsi="宋体" w:cs="宋体"/>
          <w:caps/>
          <w:kern w:val="2"/>
          <w:sz w:val="21"/>
          <w:szCs w:val="21"/>
        </w:rPr>
        <w:t xml:space="preserve">2.1.1 资格评审标准：见评标办法前附表。 </w:t>
      </w:r>
    </w:p>
    <w:p>
      <w:pPr>
        <w:pStyle w:val="16"/>
        <w:spacing w:before="130"/>
        <w:ind w:left="647"/>
        <w:rPr>
          <w:rFonts w:ascii="宋体" w:hAnsi="宋体" w:cs="宋体"/>
          <w:caps/>
          <w:kern w:val="2"/>
          <w:sz w:val="21"/>
          <w:szCs w:val="21"/>
        </w:rPr>
      </w:pPr>
      <w:r>
        <w:rPr>
          <w:rFonts w:hint="eastAsia" w:ascii="宋体" w:hAnsi="宋体" w:cs="宋体"/>
          <w:caps/>
          <w:kern w:val="2"/>
          <w:sz w:val="21"/>
          <w:szCs w:val="21"/>
        </w:rPr>
        <w:t xml:space="preserve">2.1.2 形式评审标准：见评标办法前附表。 </w:t>
      </w:r>
    </w:p>
    <w:p>
      <w:pPr>
        <w:pStyle w:val="16"/>
        <w:spacing w:before="130"/>
        <w:ind w:left="647"/>
        <w:rPr>
          <w:rFonts w:ascii="宋体" w:hAnsi="宋体" w:cs="宋体"/>
          <w:caps/>
          <w:kern w:val="2"/>
          <w:sz w:val="21"/>
          <w:szCs w:val="21"/>
        </w:rPr>
      </w:pPr>
      <w:r>
        <w:rPr>
          <w:rFonts w:hint="eastAsia" w:ascii="宋体" w:hAnsi="宋体" w:cs="宋体"/>
          <w:caps/>
          <w:kern w:val="2"/>
          <w:sz w:val="21"/>
          <w:szCs w:val="21"/>
        </w:rPr>
        <w:t xml:space="preserve">2.1.3 响应性评审标准：见评标办法前附表。 </w:t>
      </w:r>
    </w:p>
    <w:p>
      <w:pPr>
        <w:rPr>
          <w:rFonts w:ascii="宋体" w:hAnsi="宋体" w:cs="宋体"/>
          <w:caps/>
          <w:szCs w:val="21"/>
        </w:rPr>
      </w:pPr>
    </w:p>
    <w:p>
      <w:pPr>
        <w:ind w:left="106"/>
        <w:rPr>
          <w:rFonts w:ascii="宋体" w:hAnsi="宋体" w:cs="宋体"/>
          <w:caps/>
          <w:szCs w:val="21"/>
        </w:rPr>
      </w:pPr>
      <w:bookmarkStart w:id="135" w:name="2.2_分值构成与评分标准"/>
      <w:bookmarkEnd w:id="135"/>
      <w:r>
        <w:rPr>
          <w:rFonts w:hint="eastAsia" w:ascii="宋体" w:hAnsi="宋体" w:cs="宋体"/>
          <w:caps/>
          <w:szCs w:val="21"/>
        </w:rPr>
        <w:t xml:space="preserve">2.2 分值构成与评分标准 </w:t>
      </w:r>
    </w:p>
    <w:p>
      <w:pPr>
        <w:pStyle w:val="16"/>
        <w:spacing w:before="62"/>
        <w:ind w:left="632"/>
        <w:rPr>
          <w:rFonts w:ascii="宋体" w:hAnsi="宋体" w:cs="宋体"/>
          <w:caps/>
          <w:kern w:val="2"/>
          <w:sz w:val="21"/>
          <w:szCs w:val="21"/>
        </w:rPr>
      </w:pPr>
      <w:r>
        <w:rPr>
          <w:rFonts w:hint="eastAsia" w:ascii="宋体" w:hAnsi="宋体" w:cs="宋体"/>
          <w:caps/>
          <w:kern w:val="2"/>
          <w:sz w:val="21"/>
          <w:szCs w:val="21"/>
        </w:rPr>
        <w:t xml:space="preserve">2.2.1 分值构成 </w:t>
      </w:r>
    </w:p>
    <w:p>
      <w:pPr>
        <w:pStyle w:val="16"/>
        <w:spacing w:before="130"/>
        <w:ind w:left="526"/>
        <w:rPr>
          <w:rFonts w:ascii="宋体" w:hAnsi="宋体" w:cs="宋体"/>
          <w:caps/>
          <w:kern w:val="2"/>
          <w:sz w:val="21"/>
          <w:szCs w:val="21"/>
        </w:rPr>
      </w:pPr>
      <w:r>
        <w:rPr>
          <w:rFonts w:hint="eastAsia" w:ascii="宋体" w:hAnsi="宋体" w:cs="宋体"/>
          <w:caps/>
          <w:kern w:val="2"/>
          <w:sz w:val="21"/>
          <w:szCs w:val="21"/>
        </w:rPr>
        <w:t xml:space="preserve">（1）技术部分：见评标办法前附表； </w:t>
      </w:r>
    </w:p>
    <w:p>
      <w:pPr>
        <w:pStyle w:val="16"/>
        <w:spacing w:before="145"/>
        <w:ind w:left="526"/>
        <w:rPr>
          <w:rFonts w:ascii="宋体" w:hAnsi="宋体" w:cs="宋体"/>
          <w:caps/>
          <w:kern w:val="2"/>
          <w:sz w:val="21"/>
          <w:szCs w:val="21"/>
        </w:rPr>
      </w:pPr>
      <w:r>
        <w:rPr>
          <w:rFonts w:hint="eastAsia" w:ascii="宋体" w:hAnsi="宋体" w:cs="宋体"/>
          <w:caps/>
          <w:kern w:val="2"/>
          <w:sz w:val="21"/>
          <w:szCs w:val="21"/>
        </w:rPr>
        <w:t xml:space="preserve">（2）商务部分：见评标办法前附表； </w:t>
      </w:r>
    </w:p>
    <w:p>
      <w:pPr>
        <w:pStyle w:val="16"/>
        <w:spacing w:before="29" w:line="367" w:lineRule="auto"/>
        <w:ind w:firstLine="526"/>
        <w:rPr>
          <w:rFonts w:ascii="宋体" w:hAnsi="宋体" w:cs="宋体"/>
          <w:caps/>
          <w:kern w:val="2"/>
          <w:sz w:val="21"/>
          <w:szCs w:val="21"/>
        </w:rPr>
      </w:pPr>
      <w:r>
        <w:rPr>
          <w:rFonts w:hint="eastAsia" w:ascii="宋体" w:hAnsi="宋体" w:cs="宋体"/>
          <w:caps/>
          <w:kern w:val="2"/>
          <w:sz w:val="21"/>
          <w:szCs w:val="21"/>
        </w:rPr>
        <w:t>（3）投标总报价：见评标办法前附表。</w:t>
      </w:r>
    </w:p>
    <w:p>
      <w:pPr>
        <w:pStyle w:val="16"/>
        <w:spacing w:before="145" w:line="355" w:lineRule="auto"/>
        <w:ind w:left="632" w:right="5004" w:hanging="106"/>
        <w:rPr>
          <w:rFonts w:ascii="宋体" w:hAnsi="宋体" w:cs="宋体"/>
          <w:caps/>
          <w:kern w:val="2"/>
          <w:sz w:val="21"/>
          <w:szCs w:val="21"/>
        </w:rPr>
      </w:pPr>
      <w:r>
        <w:rPr>
          <w:rFonts w:hint="eastAsia" w:ascii="宋体" w:hAnsi="宋体" w:cs="宋体"/>
          <w:caps/>
          <w:kern w:val="2"/>
          <w:sz w:val="21"/>
          <w:szCs w:val="21"/>
        </w:rPr>
        <w:t xml:space="preserve"> 2.2.2 评审标准 </w:t>
      </w:r>
    </w:p>
    <w:p>
      <w:pPr>
        <w:pStyle w:val="16"/>
        <w:spacing w:before="29" w:line="367" w:lineRule="auto"/>
        <w:ind w:firstLine="526"/>
        <w:rPr>
          <w:rFonts w:ascii="宋体" w:hAnsi="宋体" w:cs="宋体"/>
          <w:caps/>
          <w:kern w:val="2"/>
          <w:sz w:val="21"/>
          <w:szCs w:val="21"/>
        </w:rPr>
      </w:pPr>
      <w:r>
        <w:rPr>
          <w:rFonts w:hint="eastAsia" w:ascii="宋体" w:hAnsi="宋体" w:cs="宋体"/>
          <w:caps/>
          <w:kern w:val="2"/>
          <w:sz w:val="21"/>
          <w:szCs w:val="21"/>
        </w:rPr>
        <w:t xml:space="preserve">（1）技术部分评分标准：见评标办法前附表；（对于施工难度大、专业技术复杂的项目，应由招标人会同设计单位提出技术方案方案编写要点，作为评分标准）。 </w:t>
      </w:r>
    </w:p>
    <w:p>
      <w:pPr>
        <w:pStyle w:val="16"/>
        <w:spacing w:before="19"/>
        <w:ind w:left="647"/>
        <w:rPr>
          <w:rFonts w:ascii="宋体" w:hAnsi="宋体" w:cs="宋体"/>
          <w:caps/>
          <w:kern w:val="2"/>
          <w:sz w:val="21"/>
          <w:szCs w:val="21"/>
        </w:rPr>
      </w:pPr>
      <w:r>
        <w:rPr>
          <w:rFonts w:hint="eastAsia" w:ascii="宋体" w:hAnsi="宋体" w:cs="宋体"/>
          <w:caps/>
          <w:kern w:val="2"/>
          <w:sz w:val="21"/>
          <w:szCs w:val="21"/>
        </w:rPr>
        <w:t xml:space="preserve">（2） 商务部分评分标准：见评标办法前附表； </w:t>
      </w:r>
    </w:p>
    <w:p>
      <w:pPr>
        <w:pStyle w:val="16"/>
        <w:spacing w:before="130" w:line="360" w:lineRule="auto"/>
        <w:ind w:left="647" w:right="2891"/>
        <w:rPr>
          <w:rFonts w:ascii="宋体" w:hAnsi="宋体" w:cs="宋体"/>
          <w:caps/>
          <w:kern w:val="2"/>
          <w:sz w:val="21"/>
          <w:szCs w:val="21"/>
        </w:rPr>
      </w:pPr>
      <w:r>
        <w:rPr>
          <w:rFonts w:hint="eastAsia" w:ascii="宋体" w:hAnsi="宋体" w:cs="宋体"/>
          <w:caps/>
          <w:kern w:val="2"/>
          <w:sz w:val="21"/>
          <w:szCs w:val="21"/>
        </w:rPr>
        <w:t xml:space="preserve">（3） 报价评审标准：见评标办法前附表； </w:t>
      </w:r>
    </w:p>
    <w:p>
      <w:pPr>
        <w:pStyle w:val="16"/>
        <w:spacing w:before="119" w:line="352" w:lineRule="auto"/>
        <w:ind w:firstLine="420"/>
        <w:rPr>
          <w:rFonts w:ascii="宋体" w:hAnsi="宋体" w:cs="宋体"/>
          <w:caps/>
          <w:kern w:val="2"/>
          <w:sz w:val="21"/>
          <w:szCs w:val="21"/>
        </w:rPr>
      </w:pPr>
      <w:r>
        <w:rPr>
          <w:rFonts w:hint="eastAsia" w:ascii="宋体" w:hAnsi="宋体" w:cs="宋体"/>
          <w:caps/>
          <w:kern w:val="2"/>
          <w:sz w:val="21"/>
          <w:szCs w:val="21"/>
        </w:rPr>
        <w:t xml:space="preserve">2.2.3 评标基准价计算 评标基准价的计算方法：见评标办法前附表。 </w:t>
      </w:r>
    </w:p>
    <w:p>
      <w:pPr>
        <w:pStyle w:val="16"/>
        <w:spacing w:before="119" w:line="352" w:lineRule="auto"/>
        <w:ind w:firstLine="420"/>
        <w:rPr>
          <w:rFonts w:ascii="宋体" w:hAnsi="宋体" w:cs="宋体"/>
          <w:caps/>
          <w:kern w:val="2"/>
          <w:sz w:val="21"/>
          <w:szCs w:val="21"/>
        </w:rPr>
      </w:pPr>
      <w:r>
        <w:rPr>
          <w:rFonts w:hint="eastAsia" w:ascii="宋体" w:hAnsi="宋体" w:cs="宋体"/>
          <w:caps/>
          <w:kern w:val="2"/>
          <w:sz w:val="21"/>
          <w:szCs w:val="21"/>
        </w:rPr>
        <w:t xml:space="preserve">2.2.4 投标报价的偏差率计算 投标报价的偏差率计算公式：见评标办法前附表。 </w:t>
      </w:r>
    </w:p>
    <w:p>
      <w:pPr>
        <w:pStyle w:val="9"/>
        <w:spacing w:before="54"/>
        <w:rPr>
          <w:rFonts w:ascii="宋体" w:hAnsi="宋体" w:eastAsia="宋体" w:cs="宋体"/>
          <w:caps/>
          <w:kern w:val="2"/>
          <w:sz w:val="21"/>
          <w:szCs w:val="21"/>
        </w:rPr>
      </w:pPr>
      <w:bookmarkStart w:id="136" w:name="3._评标程序"/>
      <w:bookmarkEnd w:id="136"/>
      <w:r>
        <w:rPr>
          <w:rFonts w:hint="eastAsia" w:ascii="宋体" w:hAnsi="宋体" w:eastAsia="宋体" w:cs="宋体"/>
          <w:caps/>
          <w:kern w:val="2"/>
          <w:sz w:val="21"/>
          <w:szCs w:val="21"/>
        </w:rPr>
        <w:t xml:space="preserve">3. 评标程序 </w:t>
      </w:r>
    </w:p>
    <w:p>
      <w:pPr>
        <w:spacing w:before="157"/>
        <w:ind w:left="106"/>
        <w:rPr>
          <w:rFonts w:ascii="宋体" w:hAnsi="宋体" w:cs="宋体"/>
          <w:caps/>
          <w:szCs w:val="21"/>
        </w:rPr>
      </w:pPr>
      <w:bookmarkStart w:id="137" w:name="3.1_初步评审"/>
      <w:bookmarkEnd w:id="137"/>
      <w:r>
        <w:rPr>
          <w:rFonts w:hint="eastAsia" w:ascii="宋体" w:hAnsi="宋体" w:cs="宋体"/>
          <w:caps/>
          <w:szCs w:val="21"/>
        </w:rPr>
        <w:t xml:space="preserve">3.1 初步评审 </w:t>
      </w:r>
    </w:p>
    <w:p>
      <w:pPr>
        <w:pStyle w:val="16"/>
        <w:spacing w:before="61" w:line="355" w:lineRule="auto"/>
        <w:ind w:firstLine="420"/>
        <w:rPr>
          <w:rFonts w:ascii="宋体" w:hAnsi="宋体" w:cs="宋体"/>
          <w:caps/>
          <w:kern w:val="2"/>
          <w:sz w:val="21"/>
          <w:szCs w:val="21"/>
        </w:rPr>
      </w:pPr>
      <w:r>
        <w:rPr>
          <w:rFonts w:hint="eastAsia" w:ascii="宋体" w:hAnsi="宋体" w:cs="宋体"/>
          <w:caps/>
          <w:kern w:val="2"/>
          <w:sz w:val="21"/>
          <w:szCs w:val="21"/>
        </w:rPr>
        <w:t>3.1.1 评标委员会依据本章第2.1款、2.2款及2.3款规定的标准对投标文件进行初步评审。有一项不符合评审标准的，作否决投标处理。</w:t>
      </w:r>
    </w:p>
    <w:p>
      <w:pPr>
        <w:pStyle w:val="16"/>
        <w:spacing w:before="32"/>
        <w:ind w:left="526"/>
        <w:rPr>
          <w:rFonts w:ascii="宋体" w:hAnsi="宋体" w:cs="宋体"/>
          <w:caps/>
          <w:kern w:val="2"/>
          <w:sz w:val="21"/>
          <w:szCs w:val="21"/>
        </w:rPr>
      </w:pPr>
      <w:r>
        <w:rPr>
          <w:rFonts w:hint="eastAsia" w:ascii="宋体" w:hAnsi="宋体" w:cs="宋体"/>
          <w:caps/>
          <w:kern w:val="2"/>
          <w:sz w:val="21"/>
          <w:szCs w:val="21"/>
        </w:rPr>
        <w:t xml:space="preserve">3.1.2 投标人有以下情形之一的，其投标作否决投标处理： </w:t>
      </w:r>
    </w:p>
    <w:p>
      <w:pPr>
        <w:pStyle w:val="16"/>
        <w:spacing w:before="145"/>
        <w:ind w:left="526"/>
        <w:rPr>
          <w:rFonts w:ascii="宋体" w:hAnsi="宋体" w:cs="宋体"/>
          <w:caps/>
          <w:kern w:val="2"/>
          <w:sz w:val="21"/>
          <w:szCs w:val="21"/>
        </w:rPr>
      </w:pPr>
      <w:r>
        <w:rPr>
          <w:rFonts w:hint="eastAsia" w:ascii="宋体" w:hAnsi="宋体" w:cs="宋体"/>
          <w:caps/>
          <w:kern w:val="2"/>
          <w:sz w:val="21"/>
          <w:szCs w:val="21"/>
        </w:rPr>
        <w:t xml:space="preserve">（1）第二章“投标人须知”第1.4.3项规定的任何一种情形的； </w:t>
      </w:r>
    </w:p>
    <w:p>
      <w:pPr>
        <w:pStyle w:val="16"/>
        <w:spacing w:before="130"/>
        <w:ind w:left="526"/>
        <w:rPr>
          <w:rFonts w:ascii="宋体" w:hAnsi="宋体" w:cs="宋体"/>
          <w:caps/>
          <w:kern w:val="2"/>
          <w:sz w:val="21"/>
          <w:szCs w:val="21"/>
        </w:rPr>
      </w:pPr>
      <w:r>
        <w:rPr>
          <w:rFonts w:hint="eastAsia" w:ascii="宋体" w:hAnsi="宋体" w:cs="宋体"/>
          <w:caps/>
          <w:kern w:val="2"/>
          <w:sz w:val="21"/>
          <w:szCs w:val="21"/>
        </w:rPr>
        <w:t xml:space="preserve">（2）本次投标有串通投标、弄虚作假等其他违反招投标相关法律、法规行为的； </w:t>
      </w:r>
    </w:p>
    <w:p>
      <w:pPr>
        <w:pStyle w:val="16"/>
        <w:spacing w:before="130"/>
        <w:ind w:left="526"/>
        <w:rPr>
          <w:rFonts w:ascii="宋体" w:hAnsi="宋体" w:cs="宋体"/>
          <w:caps/>
          <w:kern w:val="2"/>
          <w:sz w:val="21"/>
          <w:szCs w:val="21"/>
        </w:rPr>
      </w:pPr>
      <w:r>
        <w:rPr>
          <w:rFonts w:hint="eastAsia" w:ascii="宋体" w:hAnsi="宋体" w:cs="宋体"/>
          <w:caps/>
          <w:kern w:val="2"/>
          <w:sz w:val="21"/>
          <w:szCs w:val="21"/>
        </w:rPr>
        <w:t xml:space="preserve">（3）拒绝按评标委员会要求澄清、说明或补正的。 </w:t>
      </w:r>
    </w:p>
    <w:p>
      <w:pPr>
        <w:pStyle w:val="16"/>
        <w:spacing w:before="6" w:line="352" w:lineRule="auto"/>
        <w:ind w:firstLine="630" w:firstLineChars="300"/>
        <w:rPr>
          <w:rFonts w:ascii="宋体" w:hAnsi="宋体" w:cs="宋体"/>
          <w:caps/>
          <w:kern w:val="2"/>
          <w:sz w:val="21"/>
          <w:szCs w:val="21"/>
        </w:rPr>
      </w:pPr>
      <w:r>
        <w:rPr>
          <w:rFonts w:hint="eastAsia" w:ascii="宋体" w:hAnsi="宋体" w:cs="宋体"/>
          <w:caps/>
          <w:kern w:val="2"/>
          <w:sz w:val="21"/>
          <w:szCs w:val="21"/>
        </w:rPr>
        <w:t xml:space="preserve">3.1.3 投标报价有算术错误的，评标委员会按以下原则对投标报价进行修正，修正的价格经投标人 书面确认后具有约束力，修正原则如下： </w:t>
      </w:r>
    </w:p>
    <w:p>
      <w:pPr>
        <w:pStyle w:val="16"/>
        <w:spacing w:before="32"/>
        <w:ind w:firstLine="420" w:firstLineChars="200"/>
        <w:rPr>
          <w:rFonts w:ascii="宋体" w:hAnsi="宋体" w:cs="宋体"/>
          <w:caps/>
          <w:kern w:val="2"/>
          <w:sz w:val="21"/>
          <w:szCs w:val="21"/>
        </w:rPr>
      </w:pPr>
      <w:r>
        <w:rPr>
          <w:rFonts w:hint="eastAsia" w:ascii="宋体" w:hAnsi="宋体" w:cs="宋体"/>
          <w:caps/>
          <w:kern w:val="2"/>
          <w:sz w:val="21"/>
          <w:szCs w:val="21"/>
        </w:rPr>
        <w:t xml:space="preserve">（1）投标文件中的大写金额与小写金额不一致的，以大写金额为准； </w:t>
      </w:r>
    </w:p>
    <w:p>
      <w:pPr>
        <w:pStyle w:val="16"/>
        <w:spacing w:before="145"/>
        <w:ind w:firstLine="420"/>
        <w:rPr>
          <w:rFonts w:ascii="宋体" w:hAnsi="宋体" w:cs="宋体"/>
          <w:caps/>
          <w:kern w:val="2"/>
          <w:sz w:val="21"/>
          <w:szCs w:val="21"/>
        </w:rPr>
      </w:pPr>
      <w:r>
        <w:rPr>
          <w:rFonts w:hint="eastAsia" w:ascii="宋体" w:hAnsi="宋体" w:cs="宋体"/>
          <w:caps/>
          <w:kern w:val="2"/>
          <w:sz w:val="21"/>
          <w:szCs w:val="21"/>
        </w:rPr>
        <w:t xml:space="preserve">（2）竞争性比选响应声明书的总报价与已标价工程量清单总报价不一致的，由评标委员会作否决投标处理。 </w:t>
      </w:r>
    </w:p>
    <w:p>
      <w:pPr>
        <w:spacing w:before="169"/>
        <w:ind w:left="106"/>
        <w:rPr>
          <w:rFonts w:ascii="宋体" w:hAnsi="宋体" w:cs="宋体"/>
          <w:caps/>
          <w:szCs w:val="21"/>
        </w:rPr>
      </w:pPr>
      <w:bookmarkStart w:id="138" w:name="3.2_详细评审"/>
      <w:bookmarkEnd w:id="138"/>
      <w:r>
        <w:rPr>
          <w:rFonts w:hint="eastAsia" w:ascii="宋体" w:hAnsi="宋体" w:cs="宋体"/>
          <w:caps/>
          <w:szCs w:val="21"/>
        </w:rPr>
        <w:t xml:space="preserve">3.2 详细评审 </w:t>
      </w:r>
    </w:p>
    <w:p>
      <w:pPr>
        <w:pStyle w:val="16"/>
        <w:spacing w:before="61"/>
        <w:ind w:left="526"/>
        <w:rPr>
          <w:rFonts w:ascii="宋体" w:hAnsi="宋体" w:cs="宋体"/>
          <w:caps/>
          <w:kern w:val="2"/>
          <w:sz w:val="21"/>
          <w:szCs w:val="21"/>
        </w:rPr>
      </w:pPr>
      <w:r>
        <w:rPr>
          <w:rFonts w:hint="eastAsia" w:ascii="宋体" w:hAnsi="宋体" w:cs="宋体"/>
          <w:caps/>
          <w:kern w:val="2"/>
          <w:sz w:val="21"/>
          <w:szCs w:val="21"/>
        </w:rPr>
        <w:t xml:space="preserve">3.2.1 评标委员会按本章第3.1款、3.2款及3.3款规定的量化因素和分值进行打分，并计算出综合评估得分。 </w:t>
      </w:r>
    </w:p>
    <w:p>
      <w:pPr>
        <w:pStyle w:val="16"/>
        <w:spacing w:before="130" w:line="367" w:lineRule="auto"/>
        <w:ind w:firstLine="420"/>
        <w:rPr>
          <w:rFonts w:ascii="宋体" w:hAnsi="宋体" w:cs="宋体"/>
          <w:caps/>
          <w:kern w:val="2"/>
          <w:sz w:val="21"/>
          <w:szCs w:val="21"/>
        </w:rPr>
      </w:pPr>
      <w:r>
        <w:rPr>
          <w:rFonts w:hint="eastAsia" w:ascii="宋体" w:hAnsi="宋体" w:cs="宋体"/>
          <w:caps/>
          <w:kern w:val="2"/>
          <w:sz w:val="21"/>
          <w:szCs w:val="21"/>
        </w:rPr>
        <w:t xml:space="preserve">（1）按本章第3.3目规定的评审因素和分值对技术部分计算出得分A（所有评委打分中去掉一个最高和一个最低分，余下评委打分取算术平均值为该投标人技术部分得分。） </w:t>
      </w:r>
    </w:p>
    <w:p>
      <w:pPr>
        <w:pStyle w:val="16"/>
        <w:spacing w:before="19"/>
        <w:ind w:left="526"/>
        <w:rPr>
          <w:rFonts w:ascii="宋体" w:hAnsi="宋体" w:cs="宋体"/>
          <w:caps/>
          <w:kern w:val="2"/>
          <w:sz w:val="21"/>
          <w:szCs w:val="21"/>
        </w:rPr>
      </w:pPr>
      <w:r>
        <w:rPr>
          <w:rFonts w:hint="eastAsia" w:ascii="宋体" w:hAnsi="宋体" w:cs="宋体"/>
          <w:caps/>
          <w:kern w:val="2"/>
          <w:sz w:val="21"/>
          <w:szCs w:val="21"/>
        </w:rPr>
        <w:t xml:space="preserve">（2）按本章第3.2目规定的评审因素和分值对商务部分计算出得分B。 </w:t>
      </w:r>
    </w:p>
    <w:p>
      <w:pPr>
        <w:pStyle w:val="16"/>
        <w:spacing w:before="130"/>
        <w:ind w:left="526"/>
        <w:rPr>
          <w:rFonts w:ascii="宋体" w:hAnsi="宋体" w:cs="宋体"/>
          <w:caps/>
          <w:kern w:val="2"/>
          <w:sz w:val="21"/>
          <w:szCs w:val="21"/>
        </w:rPr>
      </w:pPr>
      <w:r>
        <w:rPr>
          <w:rFonts w:hint="eastAsia" w:ascii="宋体" w:hAnsi="宋体" w:cs="宋体"/>
          <w:caps/>
          <w:kern w:val="2"/>
          <w:sz w:val="21"/>
          <w:szCs w:val="21"/>
        </w:rPr>
        <w:t xml:space="preserve">（3）按本章第3.1目规定的评审因素和分值对投标总报价计算出得分C。 </w:t>
      </w:r>
    </w:p>
    <w:p>
      <w:pPr>
        <w:pStyle w:val="16"/>
        <w:spacing w:before="130"/>
        <w:ind w:left="526"/>
        <w:rPr>
          <w:rFonts w:ascii="宋体" w:hAnsi="宋体" w:cs="宋体"/>
          <w:caps/>
          <w:kern w:val="2"/>
          <w:sz w:val="21"/>
          <w:szCs w:val="21"/>
        </w:rPr>
      </w:pPr>
      <w:r>
        <w:rPr>
          <w:rFonts w:hint="eastAsia" w:ascii="宋体" w:hAnsi="宋体" w:cs="宋体"/>
          <w:caps/>
          <w:kern w:val="2"/>
          <w:sz w:val="21"/>
          <w:szCs w:val="21"/>
        </w:rPr>
        <w:t xml:space="preserve">3.2.2 各类评分分值的最终计算结果保留小数点后两位，小数点后第三位“四舍五入”。 </w:t>
      </w:r>
    </w:p>
    <w:p>
      <w:pPr>
        <w:pStyle w:val="16"/>
        <w:spacing w:before="130"/>
        <w:ind w:left="526"/>
        <w:rPr>
          <w:rFonts w:ascii="宋体" w:hAnsi="宋体" w:cs="宋体"/>
          <w:caps/>
          <w:kern w:val="2"/>
          <w:sz w:val="21"/>
          <w:szCs w:val="21"/>
        </w:rPr>
      </w:pPr>
      <w:r>
        <w:rPr>
          <w:rFonts w:hint="eastAsia" w:ascii="宋体" w:hAnsi="宋体" w:cs="宋体"/>
          <w:caps/>
          <w:kern w:val="2"/>
          <w:sz w:val="21"/>
          <w:szCs w:val="21"/>
        </w:rPr>
        <w:t xml:space="preserve">3.2.3  投标人得分=A+B+C。 </w:t>
      </w:r>
    </w:p>
    <w:p>
      <w:pPr>
        <w:spacing w:before="1"/>
        <w:rPr>
          <w:rFonts w:ascii="宋体" w:hAnsi="宋体" w:cs="宋体"/>
          <w:caps/>
          <w:szCs w:val="21"/>
        </w:rPr>
      </w:pPr>
    </w:p>
    <w:p>
      <w:pPr>
        <w:ind w:left="106"/>
        <w:rPr>
          <w:rFonts w:ascii="宋体" w:hAnsi="宋体" w:cs="宋体"/>
          <w:caps/>
          <w:szCs w:val="21"/>
        </w:rPr>
      </w:pPr>
      <w:bookmarkStart w:id="139" w:name="3.3_投标文件的澄清和补正"/>
      <w:bookmarkEnd w:id="139"/>
      <w:r>
        <w:rPr>
          <w:rFonts w:hint="eastAsia" w:ascii="宋体" w:hAnsi="宋体" w:cs="宋体"/>
          <w:caps/>
          <w:szCs w:val="21"/>
        </w:rPr>
        <w:t xml:space="preserve">3.3 投标文件的澄清和补正 </w:t>
      </w:r>
    </w:p>
    <w:p>
      <w:pPr>
        <w:pStyle w:val="16"/>
        <w:spacing w:before="61" w:line="355" w:lineRule="auto"/>
        <w:ind w:firstLine="420"/>
        <w:rPr>
          <w:rFonts w:ascii="宋体" w:hAnsi="宋体" w:cs="宋体"/>
          <w:caps/>
          <w:kern w:val="2"/>
          <w:sz w:val="21"/>
          <w:szCs w:val="21"/>
        </w:rPr>
      </w:pPr>
      <w:r>
        <w:rPr>
          <w:rFonts w:hint="eastAsia" w:ascii="宋体" w:hAnsi="宋体" w:cs="宋体"/>
          <w:caps/>
          <w:kern w:val="2"/>
          <w:sz w:val="21"/>
          <w:szCs w:val="21"/>
        </w:rPr>
        <w:t xml:space="preserve">3.3.1 在评标过程中，评标委员会可以书面形式要求投标人对所提交投标文件中不明确的内容进行 书面澄清或说明，或者对细微偏差进行补正。评标委员会不接受投标人主动提出的澄清、说明或补正。 </w:t>
      </w:r>
    </w:p>
    <w:p>
      <w:pPr>
        <w:pStyle w:val="16"/>
        <w:spacing w:before="29" w:line="367" w:lineRule="auto"/>
        <w:ind w:firstLine="420"/>
        <w:rPr>
          <w:rFonts w:ascii="宋体" w:hAnsi="宋体" w:cs="宋体"/>
          <w:caps/>
          <w:kern w:val="2"/>
          <w:sz w:val="21"/>
          <w:szCs w:val="21"/>
        </w:rPr>
      </w:pPr>
      <w:r>
        <w:rPr>
          <w:rFonts w:hint="eastAsia" w:ascii="宋体" w:hAnsi="宋体" w:cs="宋体"/>
          <w:caps/>
          <w:kern w:val="2"/>
          <w:sz w:val="21"/>
          <w:szCs w:val="21"/>
        </w:rPr>
        <w:t xml:space="preserve">3.3.2 澄清、说明和补正不得改变投标文件的实质性内容（算术性错误修正的除外）。投标人的书 面澄清、说明和补正属于投标文件的组成部分。 </w:t>
      </w:r>
    </w:p>
    <w:p>
      <w:pPr>
        <w:pStyle w:val="16"/>
        <w:spacing w:before="19" w:line="355" w:lineRule="auto"/>
        <w:ind w:firstLine="420"/>
        <w:rPr>
          <w:rFonts w:ascii="宋体" w:hAnsi="宋体" w:cs="宋体"/>
          <w:caps/>
          <w:kern w:val="2"/>
          <w:sz w:val="21"/>
          <w:szCs w:val="21"/>
        </w:rPr>
      </w:pPr>
      <w:r>
        <w:rPr>
          <w:rFonts w:hint="eastAsia" w:ascii="宋体" w:hAnsi="宋体" w:cs="宋体"/>
          <w:caps/>
          <w:kern w:val="2"/>
          <w:sz w:val="21"/>
          <w:szCs w:val="21"/>
        </w:rPr>
        <w:t xml:space="preserve">3.3.3 评标委员会对投标人提交的澄清、说明或补正有疑问的，可以要求投标人进一步澄清、说明或补正，直至满足评标委员会的要求。 </w:t>
      </w:r>
    </w:p>
    <w:p>
      <w:pPr>
        <w:spacing w:before="68"/>
        <w:ind w:left="106"/>
        <w:rPr>
          <w:rFonts w:ascii="宋体" w:hAnsi="宋体" w:cs="宋体"/>
          <w:caps/>
          <w:szCs w:val="21"/>
        </w:rPr>
      </w:pPr>
      <w:bookmarkStart w:id="140" w:name="3.4_评标结果"/>
      <w:bookmarkEnd w:id="140"/>
      <w:r>
        <w:rPr>
          <w:rFonts w:hint="eastAsia" w:ascii="宋体" w:hAnsi="宋体" w:cs="宋体"/>
          <w:caps/>
          <w:szCs w:val="21"/>
        </w:rPr>
        <w:t xml:space="preserve">3.4 评标结果 </w:t>
      </w:r>
    </w:p>
    <w:p>
      <w:pPr>
        <w:pStyle w:val="16"/>
        <w:spacing w:before="76" w:line="355" w:lineRule="auto"/>
        <w:ind w:firstLine="420"/>
        <w:rPr>
          <w:rFonts w:hint="eastAsia" w:ascii="宋体" w:hAnsi="宋体" w:cs="宋体"/>
          <w:caps/>
          <w:kern w:val="2"/>
          <w:sz w:val="21"/>
          <w:szCs w:val="21"/>
        </w:rPr>
      </w:pPr>
      <w:r>
        <w:rPr>
          <w:rFonts w:hint="eastAsia" w:ascii="宋体" w:hAnsi="宋体" w:cs="宋体"/>
          <w:caps/>
          <w:kern w:val="2"/>
          <w:sz w:val="21"/>
          <w:szCs w:val="21"/>
        </w:rPr>
        <w:t xml:space="preserve">3.4.1 除第二章“投标人须知”前附表授权直接确定中标人外，评标委员会按照得分由高到低的顺 序推荐中标候选人。 </w:t>
      </w:r>
    </w:p>
    <w:p>
      <w:pPr>
        <w:pStyle w:val="16"/>
        <w:spacing w:before="76" w:line="355" w:lineRule="auto"/>
        <w:ind w:firstLine="420"/>
        <w:jc w:val="center"/>
      </w:pPr>
      <w:r>
        <w:rPr>
          <w:rFonts w:hint="eastAsia" w:ascii="宋体" w:hAnsi="宋体" w:cs="宋体"/>
          <w:b w:val="0"/>
          <w:bCs w:val="0"/>
          <w:sz w:val="21"/>
          <w:szCs w:val="21"/>
        </w:rPr>
        <w:t xml:space="preserve">3.4.2 评标委员会完成评标后，应当向招标人提交书面评标报告。 </w:t>
      </w:r>
      <w:r>
        <w:rPr>
          <w:rFonts w:hint="eastAsia"/>
        </w:rPr>
        <w:br w:type="page"/>
      </w:r>
      <w:bookmarkStart w:id="141" w:name="_Toc13787"/>
      <w:r>
        <w:rPr>
          <w:rStyle w:val="82"/>
          <w:rFonts w:hint="eastAsia"/>
          <w:b/>
          <w:bCs/>
        </w:rPr>
        <w:t>第四章 报价说明</w:t>
      </w:r>
      <w:bookmarkEnd w:id="141"/>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1、工程量清单应与本工程竞争性比选文件、技术标准和要求等文件结合起来查阅与理解。</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综合单价报价。综合单价是指完成工程量清单中一个规定计量单位的分部分项工程量清单费用、措施项目清单费用、其他项目清单费用、规费、税金等完成本项目的一切费用（即本项目除安全生产费以外的人工费、材料设备及采管费和二次转运费、交通组织费、工程照管费、机械使用费、安装和调试费、差旅费、交通费、车辆通行费、车辆台班费、办理施工许可、竣工资料编制、驻地建设、竣工验收、保险、环境保护、文物保护、废弃物转运处理、综合费、防疫费等），以及竞争性比选文件中明示或暗示的的所有责任、义务和一般风险。</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安全生产费”报价人应按照采购人在竞争性比选文件中规定的金额填写，不得调整（安全生产费包含但不限于①.设置、完善、改造和维护安全防护设施设备支出；②.配备、维护、保养应急救援的器材和设备支出和应急演练支出；③.重大危险源和事故隐患评估、监控(包括远程监控)和整改支出；④.安全生产检查、咨询、评价和安全生产标准化支出；⑤.配备和更新现场作业人员安全防护用品支出；⑥.安全生产宣传、教育、培训支出；⑦.安全生产适用的新技术、新标准、新工艺、新装备的推广应用支出；⑧.安全设施及特种设备检测检验支出；⑨.其他与安全生产直接相关的支出）。保险均由报价人承担并支付，不在报价中单列。</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4、采购人供应的材料、设备的金额不进入总报价，其他全部进入总报价。报价人在实施土建工作时，如管沟开挖、设备基础等，应包含定位放样、基础开挖和回填、弃土外运、基础钢筋制作和支模、基础浇筑及附属管道敷设等全部工作内容，电缆应根据要求进行防盗包封，设备及线缆标识按采购人要求制作安装，以上工作内容采购人不再另行计量与支付。</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5、报价人应结合施工现场实际和现在的市场情况、自身技术及管理水平、经营状况、机械设备及制定的施工方案的要求自行报价，该报价不低于报价人完成该项目的成本。</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6、工程量清单中所列工程数量是估算的数量，仅作为报价的共同基础，不能作为最终结算与支付的依据。实际支付应按实际完成的工程量*工程量清单的单价来计算支付金额。</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7、工程量清单中所列工程量的变动，丝毫不会降低或影响合同条款的效力，也不免除报价人按规定的标准进行施工和修复缺陷的责任。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10、不同单项及单位工程中的分部分项工程量清单中相同项目（项目特征及工作内容相同）的应报价统一，如有差异，按最低的一个报价进行结算；材料设备单价处理办法相同。</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11、对作业和材料设备的技术标准和要求及一般说明或规定，未重复写入工程量清单内，在给工程量清单各细目报价前，应参阅并满足设计文件及竞争性比选文件中技术标准和要求的有关部分，如不满足相关技术标准和要求，由此对采购人造成的一切损失由报价人承担。</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14、报价中的单价和合价全部以人民币（元）表示。</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15、对于报价人报价中明显高于市场价的单项报价，采购人有权进行价格审核后调整。调整后应以取得报价人的同意，并确认修正后的最终报价。如果报价人拒绝确认，则其竞争性响应文件将不予评审。</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16、合同为单价合同，合同期间不予调价。</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17、报价人应严格按照工程量清单进行报价，不得随意修改采购人发布的工程量清单数量、公式及相关内容。</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18、报价人提供的材料设备需在报价清单中明确品牌、产品系列及</w:t>
      </w:r>
      <w:r>
        <w:rPr>
          <w:rFonts w:ascii="宋体" w:hAnsi="宋体" w:cs="宋体"/>
          <w:b w:val="0"/>
          <w:bCs w:val="0"/>
          <w:sz w:val="21"/>
          <w:szCs w:val="21"/>
        </w:rPr>
        <w:t>规格</w:t>
      </w:r>
      <w:r>
        <w:rPr>
          <w:rFonts w:hint="eastAsia" w:ascii="宋体" w:hAnsi="宋体" w:cs="宋体"/>
          <w:b w:val="0"/>
          <w:bCs w:val="0"/>
          <w:sz w:val="21"/>
          <w:szCs w:val="21"/>
        </w:rPr>
        <w:t>型号</w:t>
      </w:r>
      <w:r>
        <w:rPr>
          <w:rFonts w:ascii="宋体" w:hAnsi="宋体" w:cs="宋体"/>
          <w:b w:val="0"/>
          <w:bCs w:val="0"/>
          <w:sz w:val="21"/>
          <w:szCs w:val="21"/>
        </w:rPr>
        <w:t>，且所报品牌档次不得低于采购人建议品牌档次（建议品牌详见附件工程量清单表3）</w:t>
      </w:r>
      <w:r>
        <w:rPr>
          <w:rFonts w:hint="eastAsia" w:ascii="宋体" w:hAnsi="宋体" w:cs="宋体"/>
          <w:b w:val="0"/>
          <w:bCs w:val="0"/>
          <w:sz w:val="21"/>
          <w:szCs w:val="21"/>
        </w:rPr>
        <w:t>。</w:t>
      </w:r>
    </w:p>
    <w:p>
      <w:r>
        <w:rPr>
          <w:rFonts w:hint="eastAsia" w:ascii="宋体" w:hAnsi="宋体" w:cs="宋体"/>
          <w:szCs w:val="21"/>
        </w:rPr>
        <w:t xml:space="preserve">   </w:t>
      </w:r>
      <w:r>
        <w:rPr>
          <w:rFonts w:ascii="宋体" w:hAnsi="宋体" w:cs="宋体"/>
          <w:szCs w:val="21"/>
        </w:rPr>
        <w:t>19</w:t>
      </w:r>
      <w:r>
        <w:rPr>
          <w:rFonts w:hint="eastAsia" w:ascii="宋体" w:hAnsi="宋体" w:cs="宋体"/>
          <w:szCs w:val="21"/>
        </w:rPr>
        <w:t>、若报价人未按要求填写工程量清单，将按废标处理。</w:t>
      </w:r>
    </w:p>
    <w:p>
      <w:pPr>
        <w:pStyle w:val="28"/>
        <w:sectPr>
          <w:footerReference r:id="rId9" w:type="default"/>
          <w:pgSz w:w="11906" w:h="16838"/>
          <w:pgMar w:top="1440" w:right="1800" w:bottom="1440" w:left="1800" w:header="851" w:footer="992" w:gutter="0"/>
          <w:cols w:space="720" w:num="1"/>
          <w:titlePg/>
          <w:docGrid w:type="lines" w:linePitch="312" w:charSpace="0"/>
        </w:sectPr>
      </w:pPr>
    </w:p>
    <w:p>
      <w:pPr>
        <w:spacing w:line="400" w:lineRule="exact"/>
        <w:rPr>
          <w:rFonts w:ascii="宋体" w:hAnsi="宋体" w:cs="宋体"/>
          <w:szCs w:val="21"/>
        </w:rPr>
      </w:pPr>
      <w:bookmarkStart w:id="142" w:name="_Toc144974855"/>
      <w:bookmarkStart w:id="143" w:name="_Toc152042575"/>
      <w:bookmarkStart w:id="144" w:name="_Toc246997097"/>
      <w:bookmarkStart w:id="145" w:name="_Toc246996354"/>
      <w:bookmarkStart w:id="146" w:name="_Toc247085872"/>
      <w:bookmarkStart w:id="147" w:name="_Toc152045786"/>
      <w:bookmarkStart w:id="148" w:name="_Toc179632806"/>
    </w:p>
    <w:p>
      <w:pPr>
        <w:pStyle w:val="3"/>
        <w:spacing w:before="0" w:after="0" w:line="360" w:lineRule="auto"/>
        <w:jc w:val="center"/>
        <w:rPr>
          <w:rFonts w:ascii="宋体" w:hAnsi="宋体" w:cs="宋体"/>
        </w:rPr>
      </w:pPr>
      <w:bookmarkStart w:id="149" w:name="_Toc152042554"/>
      <w:bookmarkStart w:id="150" w:name="_Toc246996340"/>
      <w:bookmarkStart w:id="151" w:name="_Toc247085855"/>
      <w:bookmarkStart w:id="152" w:name="_Toc152045772"/>
      <w:bookmarkStart w:id="153" w:name="_Toc246997083"/>
      <w:bookmarkStart w:id="154" w:name="_Toc2000409"/>
      <w:bookmarkStart w:id="155" w:name="_Toc144974834"/>
      <w:bookmarkStart w:id="156" w:name="_Toc24503"/>
      <w:bookmarkStart w:id="157" w:name="_Toc179632789"/>
      <w:bookmarkStart w:id="158" w:name="_Toc514858705"/>
      <w:r>
        <w:rPr>
          <w:rFonts w:hint="eastAsia" w:ascii="宋体" w:hAnsi="宋体" w:cs="宋体"/>
        </w:rPr>
        <w:t>第五章  工程量清单</w:t>
      </w:r>
      <w:bookmarkEnd w:id="149"/>
      <w:bookmarkEnd w:id="150"/>
      <w:bookmarkEnd w:id="151"/>
      <w:bookmarkEnd w:id="152"/>
      <w:bookmarkEnd w:id="153"/>
      <w:bookmarkEnd w:id="154"/>
      <w:bookmarkEnd w:id="155"/>
      <w:bookmarkEnd w:id="156"/>
      <w:bookmarkEnd w:id="157"/>
      <w:bookmarkEnd w:id="158"/>
    </w:p>
    <w:p>
      <w:pPr>
        <w:ind w:firstLine="420"/>
        <w:jc w:val="left"/>
        <w:rPr>
          <w:rFonts w:ascii="宋体" w:hAnsi="宋体" w:cs="宋体"/>
          <w:b/>
        </w:rPr>
      </w:pPr>
      <w:bookmarkStart w:id="159" w:name="_Toc152045782"/>
      <w:bookmarkStart w:id="160" w:name="_Toc246996350"/>
      <w:bookmarkStart w:id="161" w:name="_Toc247096438"/>
      <w:bookmarkStart w:id="162" w:name="_Toc152042571"/>
      <w:bookmarkStart w:id="163" w:name="_Toc179632800"/>
      <w:bookmarkStart w:id="164" w:name="_Toc144974851"/>
      <w:bookmarkStart w:id="165" w:name="_Toc247085866"/>
      <w:bookmarkStart w:id="166" w:name="_Toc246997093"/>
    </w:p>
    <w:tbl>
      <w:tblPr>
        <w:tblStyle w:val="43"/>
        <w:tblpPr w:leftFromText="180" w:rightFromText="180" w:vertAnchor="text" w:horzAnchor="page" w:tblpX="1290" w:tblpY="167"/>
        <w:tblOverlap w:val="never"/>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253"/>
        <w:gridCol w:w="1545"/>
        <w:gridCol w:w="1290"/>
        <w:gridCol w:w="1322"/>
        <w:gridCol w:w="1088"/>
        <w:gridCol w:w="1276"/>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shd w:val="clear" w:color="auto" w:fill="D7D7D7"/>
            <w:noWrap w:val="0"/>
            <w:vAlign w:val="top"/>
          </w:tcPr>
          <w:p>
            <w:pPr>
              <w:spacing w:line="30" w:lineRule="atLeast"/>
              <w:jc w:val="center"/>
              <w:rPr>
                <w:rFonts w:hint="eastAsia" w:ascii="宋体" w:hAnsi="宋体" w:cs="宋体"/>
                <w:b/>
                <w:bCs/>
                <w:sz w:val="24"/>
              </w:rPr>
            </w:pPr>
            <w:r>
              <w:rPr>
                <w:rFonts w:hint="eastAsia" w:ascii="宋体" w:hAnsi="宋体" w:cs="宋体"/>
                <w:b/>
                <w:bCs/>
                <w:sz w:val="24"/>
              </w:rPr>
              <w:t>序号</w:t>
            </w:r>
          </w:p>
        </w:tc>
        <w:tc>
          <w:tcPr>
            <w:tcW w:w="2798" w:type="dxa"/>
            <w:gridSpan w:val="2"/>
            <w:tcBorders>
              <w:top w:val="single" w:color="auto" w:sz="4" w:space="0"/>
              <w:left w:val="single" w:color="auto" w:sz="4" w:space="0"/>
              <w:bottom w:val="single" w:color="auto" w:sz="4" w:space="0"/>
              <w:right w:val="single" w:color="auto" w:sz="4" w:space="0"/>
            </w:tcBorders>
            <w:shd w:val="clear" w:color="auto" w:fill="D7D7D7"/>
            <w:noWrap w:val="0"/>
            <w:vAlign w:val="top"/>
          </w:tcPr>
          <w:p>
            <w:pPr>
              <w:spacing w:line="30" w:lineRule="atLeast"/>
              <w:jc w:val="center"/>
              <w:rPr>
                <w:rFonts w:hint="eastAsia" w:ascii="宋体" w:hAnsi="宋体" w:cs="宋体"/>
                <w:b/>
                <w:bCs/>
                <w:sz w:val="24"/>
              </w:rPr>
            </w:pPr>
            <w:r>
              <w:rPr>
                <w:rFonts w:hint="eastAsia" w:ascii="宋体" w:hAnsi="宋体" w:cs="宋体"/>
                <w:b/>
                <w:bCs/>
                <w:sz w:val="24"/>
              </w:rPr>
              <w:t>类别</w:t>
            </w:r>
          </w:p>
        </w:tc>
        <w:tc>
          <w:tcPr>
            <w:tcW w:w="6359" w:type="dxa"/>
            <w:gridSpan w:val="5"/>
            <w:tcBorders>
              <w:top w:val="single" w:color="auto" w:sz="4" w:space="0"/>
              <w:left w:val="single" w:color="auto" w:sz="4" w:space="0"/>
              <w:bottom w:val="single" w:color="auto" w:sz="4" w:space="0"/>
              <w:right w:val="single" w:color="auto" w:sz="4" w:space="0"/>
            </w:tcBorders>
            <w:shd w:val="clear" w:color="auto" w:fill="D7D7D7"/>
            <w:noWrap w:val="0"/>
            <w:vAlign w:val="top"/>
          </w:tcPr>
          <w:p>
            <w:pPr>
              <w:spacing w:line="30" w:lineRule="atLeast"/>
              <w:jc w:val="center"/>
              <w:rPr>
                <w:rFonts w:hint="eastAsia" w:ascii="宋体" w:hAnsi="宋体" w:cs="宋体"/>
                <w:b/>
                <w:bCs/>
                <w:sz w:val="24"/>
              </w:rPr>
            </w:pPr>
            <w:r>
              <w:rPr>
                <w:rFonts w:hint="eastAsia" w:ascii="宋体" w:hAnsi="宋体" w:cs="宋体"/>
                <w:b/>
                <w:bCs/>
                <w:sz w:val="24"/>
              </w:rPr>
              <w:t xml:space="preserve">报 </w:t>
            </w:r>
            <w:r>
              <w:rPr>
                <w:rFonts w:ascii="宋体" w:hAnsi="宋体" w:cs="宋体"/>
                <w:b/>
                <w:bCs/>
                <w:sz w:val="24"/>
              </w:rPr>
              <w:t xml:space="preserve"> </w:t>
            </w:r>
            <w:r>
              <w:rPr>
                <w:rFonts w:hint="eastAsia" w:ascii="宋体" w:hAnsi="宋体" w:cs="宋体"/>
                <w:b/>
                <w:bCs/>
                <w:sz w:val="24"/>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8" w:type="dxa"/>
            <w:vMerge w:val="restart"/>
            <w:tcBorders>
              <w:left w:val="single" w:color="auto" w:sz="4" w:space="0"/>
              <w:right w:val="single" w:color="auto" w:sz="4" w:space="0"/>
            </w:tcBorders>
            <w:noWrap w:val="0"/>
            <w:vAlign w:val="center"/>
          </w:tcPr>
          <w:p>
            <w:pPr>
              <w:spacing w:line="30" w:lineRule="atLeast"/>
              <w:jc w:val="center"/>
              <w:rPr>
                <w:rFonts w:hint="eastAsia" w:ascii="宋体" w:hAnsi="宋体" w:cs="宋体"/>
                <w:sz w:val="24"/>
              </w:rPr>
            </w:pPr>
            <w:r>
              <w:rPr>
                <w:rFonts w:ascii="宋体" w:hAnsi="宋体" w:cs="宋体"/>
                <w:sz w:val="24"/>
              </w:rPr>
              <w:t>1</w:t>
            </w:r>
          </w:p>
        </w:tc>
        <w:tc>
          <w:tcPr>
            <w:tcW w:w="1253" w:type="dxa"/>
            <w:vMerge w:val="restart"/>
            <w:tcBorders>
              <w:left w:val="single" w:color="auto" w:sz="4" w:space="0"/>
              <w:right w:val="single" w:color="auto" w:sz="4" w:space="0"/>
            </w:tcBorders>
            <w:noWrap w:val="0"/>
            <w:vAlign w:val="center"/>
          </w:tcPr>
          <w:p>
            <w:pPr>
              <w:spacing w:line="30" w:lineRule="atLeast"/>
              <w:jc w:val="center"/>
              <w:rPr>
                <w:rFonts w:hint="eastAsia" w:ascii="宋体" w:hAnsi="宋体" w:cs="宋体"/>
                <w:sz w:val="24"/>
              </w:rPr>
            </w:pPr>
            <w:r>
              <w:rPr>
                <w:rFonts w:hint="eastAsia" w:ascii="宋体" w:hAnsi="宋体" w:cs="宋体"/>
                <w:sz w:val="24"/>
              </w:rPr>
              <w:t>国资监管平台决策管理子系统采购项目</w:t>
            </w:r>
          </w:p>
        </w:tc>
        <w:tc>
          <w:tcPr>
            <w:tcW w:w="1545" w:type="dxa"/>
            <w:tcBorders>
              <w:left w:val="single" w:color="auto" w:sz="4" w:space="0"/>
              <w:right w:val="single" w:color="auto" w:sz="4" w:space="0"/>
            </w:tcBorders>
            <w:noWrap w:val="0"/>
            <w:vAlign w:val="center"/>
          </w:tcPr>
          <w:p>
            <w:pPr>
              <w:spacing w:line="30" w:lineRule="atLeast"/>
              <w:jc w:val="center"/>
              <w:rPr>
                <w:rFonts w:hint="eastAsia" w:ascii="宋体" w:hAnsi="宋体" w:cs="宋体"/>
                <w:sz w:val="24"/>
              </w:rPr>
            </w:pPr>
            <w:r>
              <w:rPr>
                <w:rFonts w:hint="eastAsia" w:ascii="宋体" w:hAnsi="宋体" w:cs="宋体"/>
                <w:sz w:val="24"/>
              </w:rPr>
              <w:t>标的物类别</w:t>
            </w:r>
          </w:p>
        </w:tc>
        <w:tc>
          <w:tcPr>
            <w:tcW w:w="1290" w:type="dxa"/>
            <w:tcBorders>
              <w:left w:val="single" w:color="auto" w:sz="4" w:space="0"/>
              <w:bottom w:val="single" w:color="auto" w:sz="4" w:space="0"/>
              <w:right w:val="single" w:color="auto" w:sz="4" w:space="0"/>
            </w:tcBorders>
            <w:noWrap w:val="0"/>
            <w:vAlign w:val="center"/>
          </w:tcPr>
          <w:p>
            <w:pPr>
              <w:spacing w:line="30" w:lineRule="atLeast"/>
              <w:jc w:val="center"/>
              <w:rPr>
                <w:rFonts w:hint="eastAsia" w:ascii="宋体" w:hAnsi="宋体" w:cs="宋体"/>
                <w:sz w:val="24"/>
              </w:rPr>
            </w:pPr>
            <w:r>
              <w:rPr>
                <w:rFonts w:hint="eastAsia" w:ascii="宋体" w:hAnsi="宋体" w:cs="宋体"/>
                <w:sz w:val="24"/>
              </w:rPr>
              <w:t>计量单位</w:t>
            </w:r>
          </w:p>
        </w:tc>
        <w:tc>
          <w:tcPr>
            <w:tcW w:w="1322" w:type="dxa"/>
            <w:tcBorders>
              <w:top w:val="single" w:color="auto" w:sz="4" w:space="0"/>
              <w:left w:val="single" w:color="auto" w:sz="4" w:space="0"/>
              <w:right w:val="single" w:color="auto" w:sz="4" w:space="0"/>
            </w:tcBorders>
            <w:noWrap w:val="0"/>
            <w:vAlign w:val="center"/>
          </w:tcPr>
          <w:p>
            <w:pPr>
              <w:spacing w:line="30" w:lineRule="atLeast"/>
              <w:jc w:val="center"/>
              <w:rPr>
                <w:rFonts w:hint="eastAsia" w:ascii="宋体" w:hAnsi="宋体" w:cs="宋体"/>
                <w:sz w:val="24"/>
              </w:rPr>
            </w:pPr>
            <w:r>
              <w:rPr>
                <w:rFonts w:hint="eastAsia" w:ascii="宋体" w:hAnsi="宋体" w:cs="宋体"/>
                <w:sz w:val="24"/>
              </w:rPr>
              <w:t>数量</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30" w:lineRule="atLeast"/>
              <w:jc w:val="center"/>
              <w:rPr>
                <w:rFonts w:hint="eastAsia" w:ascii="宋体" w:hAnsi="宋体" w:cs="宋体"/>
                <w:sz w:val="24"/>
              </w:rPr>
            </w:pPr>
            <w:r>
              <w:rPr>
                <w:rFonts w:hint="eastAsia" w:ascii="宋体" w:hAnsi="宋体" w:cs="宋体"/>
                <w:sz w:val="24"/>
              </w:rPr>
              <w:t xml:space="preserve">单价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0" w:lineRule="atLeast"/>
              <w:jc w:val="center"/>
              <w:rPr>
                <w:rFonts w:hint="eastAsia" w:ascii="宋体" w:hAnsi="宋体" w:cs="宋体"/>
                <w:sz w:val="24"/>
              </w:rPr>
            </w:pPr>
            <w:r>
              <w:rPr>
                <w:rFonts w:hint="eastAsia" w:ascii="宋体" w:hAnsi="宋体" w:cs="宋体"/>
                <w:sz w:val="24"/>
              </w:rPr>
              <w:t>总价（元）</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spacing w:line="30" w:lineRule="atLeast"/>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98" w:type="dxa"/>
            <w:vMerge w:val="continue"/>
            <w:tcBorders>
              <w:left w:val="single" w:color="auto" w:sz="4" w:space="0"/>
              <w:right w:val="single" w:color="auto" w:sz="4" w:space="0"/>
            </w:tcBorders>
            <w:noWrap w:val="0"/>
            <w:vAlign w:val="center"/>
          </w:tcPr>
          <w:p>
            <w:pPr>
              <w:widowControl/>
              <w:spacing w:line="30" w:lineRule="atLeast"/>
              <w:jc w:val="center"/>
              <w:rPr>
                <w:rFonts w:hint="eastAsia" w:ascii="宋体" w:hAnsi="宋体" w:cs="宋体"/>
                <w:sz w:val="24"/>
              </w:rPr>
            </w:pPr>
          </w:p>
        </w:tc>
        <w:tc>
          <w:tcPr>
            <w:tcW w:w="1253" w:type="dxa"/>
            <w:vMerge w:val="continue"/>
            <w:tcBorders>
              <w:left w:val="single" w:color="auto" w:sz="4" w:space="0"/>
              <w:right w:val="single" w:color="auto" w:sz="4" w:space="0"/>
            </w:tcBorders>
            <w:noWrap w:val="0"/>
            <w:vAlign w:val="center"/>
          </w:tcPr>
          <w:p>
            <w:pPr>
              <w:widowControl/>
              <w:spacing w:line="30" w:lineRule="atLeast"/>
              <w:jc w:val="left"/>
              <w:rPr>
                <w:rFonts w:hint="eastAsia" w:ascii="宋体" w:hAnsi="宋体" w:cs="宋体"/>
                <w:sz w:val="24"/>
              </w:rPr>
            </w:pPr>
          </w:p>
        </w:tc>
        <w:tc>
          <w:tcPr>
            <w:tcW w:w="1545" w:type="dxa"/>
            <w:tcBorders>
              <w:left w:val="single" w:color="auto" w:sz="4" w:space="0"/>
              <w:right w:val="single" w:color="auto" w:sz="4" w:space="0"/>
            </w:tcBorders>
            <w:noWrap w:val="0"/>
            <w:vAlign w:val="center"/>
          </w:tcPr>
          <w:p>
            <w:pPr>
              <w:widowControl/>
              <w:spacing w:line="30" w:lineRule="atLeast"/>
              <w:jc w:val="left"/>
              <w:rPr>
                <w:rFonts w:hint="eastAsia" w:ascii="宋体" w:hAnsi="宋体" w:cs="宋体"/>
                <w:sz w:val="24"/>
              </w:rPr>
            </w:pPr>
            <w:r>
              <w:rPr>
                <w:rFonts w:hint="eastAsia" w:ascii="宋体" w:hAnsi="宋体" w:cs="宋体"/>
                <w:sz w:val="24"/>
              </w:rPr>
              <w:t>开发服务</w:t>
            </w:r>
          </w:p>
        </w:tc>
        <w:tc>
          <w:tcPr>
            <w:tcW w:w="1290" w:type="dxa"/>
            <w:tcBorders>
              <w:top w:val="single" w:color="auto" w:sz="4" w:space="0"/>
              <w:left w:val="single" w:color="auto" w:sz="4" w:space="0"/>
              <w:right w:val="single" w:color="auto" w:sz="4" w:space="0"/>
            </w:tcBorders>
            <w:noWrap w:val="0"/>
            <w:vAlign w:val="center"/>
          </w:tcPr>
          <w:p>
            <w:pPr>
              <w:spacing w:line="30" w:lineRule="atLeast"/>
              <w:jc w:val="center"/>
              <w:rPr>
                <w:rFonts w:hint="eastAsia" w:ascii="宋体" w:hAnsi="宋体" w:cs="宋体"/>
                <w:sz w:val="24"/>
              </w:rPr>
            </w:pPr>
            <w:r>
              <w:rPr>
                <w:rFonts w:hint="eastAsia" w:ascii="宋体" w:hAnsi="宋体" w:cs="宋体"/>
                <w:sz w:val="24"/>
              </w:rPr>
              <w:t>项</w:t>
            </w:r>
          </w:p>
        </w:tc>
        <w:tc>
          <w:tcPr>
            <w:tcW w:w="1322" w:type="dxa"/>
            <w:tcBorders>
              <w:top w:val="single" w:color="auto" w:sz="4" w:space="0"/>
              <w:left w:val="single" w:color="auto" w:sz="4" w:space="0"/>
              <w:right w:val="single" w:color="auto" w:sz="4" w:space="0"/>
            </w:tcBorders>
            <w:noWrap w:val="0"/>
            <w:vAlign w:val="center"/>
          </w:tcPr>
          <w:p>
            <w:pPr>
              <w:spacing w:line="30" w:lineRule="atLeast"/>
              <w:jc w:val="center"/>
              <w:rPr>
                <w:rFonts w:hint="eastAsia" w:ascii="宋体" w:hAnsi="宋体" w:cs="宋体"/>
                <w:sz w:val="24"/>
              </w:rPr>
            </w:pPr>
            <w:r>
              <w:rPr>
                <w:rFonts w:hint="eastAsia" w:ascii="宋体" w:hAnsi="宋体" w:cs="宋体"/>
                <w:sz w:val="24"/>
              </w:rPr>
              <w:t>1</w:t>
            </w:r>
          </w:p>
        </w:tc>
        <w:tc>
          <w:tcPr>
            <w:tcW w:w="1088" w:type="dxa"/>
            <w:tcBorders>
              <w:top w:val="single" w:color="auto" w:sz="4" w:space="0"/>
              <w:left w:val="single" w:color="auto" w:sz="4" w:space="0"/>
              <w:right w:val="single" w:color="auto" w:sz="4" w:space="0"/>
            </w:tcBorders>
            <w:noWrap w:val="0"/>
            <w:vAlign w:val="center"/>
          </w:tcPr>
          <w:p>
            <w:pPr>
              <w:spacing w:line="30" w:lineRule="atLeast"/>
              <w:jc w:val="center"/>
              <w:rPr>
                <w:rFonts w:hint="eastAsia" w:ascii="宋体" w:hAnsi="宋体" w:cs="宋体"/>
                <w:sz w:val="24"/>
              </w:rPr>
            </w:pPr>
          </w:p>
        </w:tc>
        <w:tc>
          <w:tcPr>
            <w:tcW w:w="1276" w:type="dxa"/>
            <w:tcBorders>
              <w:top w:val="single" w:color="auto" w:sz="4" w:space="0"/>
              <w:left w:val="single" w:color="auto" w:sz="4" w:space="0"/>
              <w:right w:val="single" w:color="auto" w:sz="4" w:space="0"/>
            </w:tcBorders>
            <w:noWrap w:val="0"/>
            <w:vAlign w:val="center"/>
          </w:tcPr>
          <w:p>
            <w:pPr>
              <w:spacing w:line="30" w:lineRule="atLeast"/>
              <w:jc w:val="center"/>
              <w:rPr>
                <w:rFonts w:hint="eastAsia" w:ascii="宋体" w:hAnsi="宋体" w:cs="宋体"/>
                <w:sz w:val="24"/>
              </w:rPr>
            </w:pPr>
            <w:r>
              <w:rPr>
                <w:rFonts w:hint="eastAsia" w:ascii="宋体" w:hAnsi="宋体" w:cs="宋体"/>
                <w:sz w:val="24"/>
              </w:rPr>
              <w:t xml:space="preserve"> </w:t>
            </w:r>
          </w:p>
        </w:tc>
        <w:tc>
          <w:tcPr>
            <w:tcW w:w="1383" w:type="dxa"/>
            <w:tcBorders>
              <w:top w:val="single" w:color="auto" w:sz="4" w:space="0"/>
              <w:left w:val="single" w:color="auto" w:sz="4" w:space="0"/>
              <w:bottom w:val="single" w:color="auto" w:sz="4" w:space="0"/>
              <w:right w:val="single" w:color="auto" w:sz="4" w:space="0"/>
            </w:tcBorders>
            <w:noWrap w:val="0"/>
            <w:vAlign w:val="center"/>
          </w:tcPr>
          <w:p>
            <w:pPr>
              <w:spacing w:line="30" w:lineRule="atLeast"/>
              <w:jc w:val="center"/>
              <w:rPr>
                <w:rFonts w:hint="eastAsia" w:ascii="宋体" w:hAnsi="宋体" w:cs="宋体"/>
                <w:szCs w:val="21"/>
              </w:rPr>
            </w:pPr>
            <w:r>
              <w:rPr>
                <w:rFonts w:hint="eastAsia" w:ascii="宋体" w:hAnsi="宋体" w:cs="宋体"/>
                <w:szCs w:val="21"/>
              </w:rPr>
              <w:t>开发及实施服务对象为高速集团本部、首讯公司，暂不包含下属其余子公司。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98" w:type="dxa"/>
            <w:vMerge w:val="continue"/>
            <w:tcBorders>
              <w:left w:val="single" w:color="auto" w:sz="4" w:space="0"/>
              <w:bottom w:val="single" w:color="auto" w:sz="4" w:space="0"/>
              <w:right w:val="single" w:color="auto" w:sz="4" w:space="0"/>
            </w:tcBorders>
            <w:noWrap w:val="0"/>
            <w:vAlign w:val="center"/>
          </w:tcPr>
          <w:p>
            <w:pPr>
              <w:spacing w:line="30" w:lineRule="atLeast"/>
              <w:jc w:val="center"/>
              <w:rPr>
                <w:rFonts w:hint="eastAsia" w:ascii="宋体" w:hAnsi="宋体" w:cs="宋体"/>
                <w:sz w:val="24"/>
              </w:rPr>
            </w:pPr>
          </w:p>
        </w:tc>
        <w:tc>
          <w:tcPr>
            <w:tcW w:w="2798" w:type="dxa"/>
            <w:gridSpan w:val="2"/>
            <w:tcBorders>
              <w:left w:val="single" w:color="auto" w:sz="4" w:space="0"/>
              <w:bottom w:val="single" w:color="auto" w:sz="4" w:space="0"/>
              <w:right w:val="single" w:color="auto" w:sz="4" w:space="0"/>
            </w:tcBorders>
            <w:noWrap w:val="0"/>
            <w:vAlign w:val="center"/>
          </w:tcPr>
          <w:p>
            <w:pPr>
              <w:spacing w:line="30" w:lineRule="atLeast"/>
              <w:jc w:val="left"/>
              <w:rPr>
                <w:rFonts w:hint="eastAsia" w:ascii="宋体" w:hAnsi="宋体" w:cs="宋体"/>
                <w:sz w:val="24"/>
              </w:rPr>
            </w:pPr>
            <w:r>
              <w:rPr>
                <w:rFonts w:hint="eastAsia" w:ascii="宋体" w:hAnsi="宋体" w:cs="宋体"/>
                <w:sz w:val="24"/>
              </w:rPr>
              <w:t>综合总价：</w:t>
            </w:r>
          </w:p>
        </w:tc>
        <w:tc>
          <w:tcPr>
            <w:tcW w:w="6359" w:type="dxa"/>
            <w:gridSpan w:val="5"/>
            <w:tcBorders>
              <w:left w:val="single" w:color="auto" w:sz="4" w:space="0"/>
              <w:bottom w:val="single" w:color="auto" w:sz="4" w:space="0"/>
              <w:right w:val="single" w:color="auto" w:sz="4" w:space="0"/>
            </w:tcBorders>
            <w:noWrap w:val="0"/>
            <w:vAlign w:val="center"/>
          </w:tcPr>
          <w:p>
            <w:pPr>
              <w:spacing w:line="30" w:lineRule="atLeast"/>
              <w:jc w:val="left"/>
              <w:rPr>
                <w:rFonts w:hint="eastAsia" w:ascii="宋体" w:hAnsi="宋体" w:cs="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元（人民币大写：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698" w:type="dxa"/>
            <w:tcBorders>
              <w:top w:val="single" w:color="auto" w:sz="4" w:space="0"/>
              <w:left w:val="single" w:color="auto" w:sz="4" w:space="0"/>
              <w:bottom w:val="single" w:color="auto" w:sz="4" w:space="0"/>
              <w:right w:val="single" w:color="auto" w:sz="4" w:space="0"/>
            </w:tcBorders>
            <w:noWrap w:val="0"/>
            <w:vAlign w:val="center"/>
          </w:tcPr>
          <w:p>
            <w:pPr>
              <w:spacing w:line="30" w:lineRule="atLeast"/>
              <w:jc w:val="center"/>
              <w:rPr>
                <w:rFonts w:hint="eastAsia" w:ascii="宋体" w:hAnsi="宋体" w:cs="宋体"/>
                <w:sz w:val="24"/>
              </w:rPr>
            </w:pPr>
            <w:r>
              <w:rPr>
                <w:rFonts w:ascii="宋体" w:hAnsi="宋体" w:cs="宋体"/>
                <w:sz w:val="24"/>
              </w:rPr>
              <w:t>2</w:t>
            </w:r>
          </w:p>
        </w:tc>
        <w:tc>
          <w:tcPr>
            <w:tcW w:w="2798" w:type="dxa"/>
            <w:gridSpan w:val="2"/>
            <w:tcBorders>
              <w:top w:val="single" w:color="auto" w:sz="4" w:space="0"/>
              <w:left w:val="single" w:color="auto" w:sz="4" w:space="0"/>
              <w:bottom w:val="single" w:color="auto" w:sz="4" w:space="0"/>
              <w:right w:val="single" w:color="auto" w:sz="4" w:space="0"/>
            </w:tcBorders>
            <w:noWrap w:val="0"/>
            <w:vAlign w:val="center"/>
          </w:tcPr>
          <w:p>
            <w:pPr>
              <w:spacing w:line="30" w:lineRule="atLeast"/>
              <w:jc w:val="left"/>
              <w:rPr>
                <w:rFonts w:hint="eastAsia" w:ascii="宋体" w:hAnsi="宋体" w:cs="宋体"/>
                <w:sz w:val="24"/>
              </w:rPr>
            </w:pPr>
            <w:r>
              <w:rPr>
                <w:rFonts w:hint="eastAsia" w:ascii="宋体" w:hAnsi="宋体" w:cs="宋体"/>
                <w:sz w:val="24"/>
              </w:rPr>
              <w:t>是否完全同意竞选文件中要求的相关条款</w:t>
            </w:r>
          </w:p>
        </w:tc>
        <w:tc>
          <w:tcPr>
            <w:tcW w:w="6359" w:type="dxa"/>
            <w:gridSpan w:val="5"/>
            <w:tcBorders>
              <w:top w:val="single" w:color="auto" w:sz="4" w:space="0"/>
              <w:left w:val="single" w:color="auto" w:sz="4" w:space="0"/>
              <w:bottom w:val="single" w:color="auto" w:sz="4" w:space="0"/>
              <w:right w:val="single" w:color="auto" w:sz="4" w:space="0"/>
            </w:tcBorders>
            <w:noWrap w:val="0"/>
            <w:vAlign w:val="center"/>
          </w:tcPr>
          <w:p>
            <w:pPr>
              <w:spacing w:line="30" w:lineRule="atLeas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98" w:type="dxa"/>
            <w:tcBorders>
              <w:top w:val="single" w:color="auto" w:sz="4" w:space="0"/>
              <w:left w:val="single" w:color="auto" w:sz="4" w:space="0"/>
              <w:bottom w:val="single" w:color="auto" w:sz="4" w:space="0"/>
              <w:right w:val="single" w:color="auto" w:sz="4" w:space="0"/>
            </w:tcBorders>
            <w:noWrap w:val="0"/>
            <w:vAlign w:val="center"/>
          </w:tcPr>
          <w:p>
            <w:pPr>
              <w:spacing w:line="30" w:lineRule="atLeast"/>
              <w:jc w:val="center"/>
              <w:rPr>
                <w:rFonts w:hint="eastAsia" w:ascii="宋体" w:hAnsi="宋体" w:cs="宋体"/>
                <w:sz w:val="24"/>
              </w:rPr>
            </w:pPr>
            <w:r>
              <w:rPr>
                <w:rFonts w:ascii="宋体" w:hAnsi="宋体" w:cs="宋体"/>
                <w:sz w:val="24"/>
              </w:rPr>
              <w:t>3</w:t>
            </w:r>
          </w:p>
        </w:tc>
        <w:tc>
          <w:tcPr>
            <w:tcW w:w="2798" w:type="dxa"/>
            <w:gridSpan w:val="2"/>
            <w:tcBorders>
              <w:top w:val="single" w:color="auto" w:sz="4" w:space="0"/>
              <w:left w:val="single" w:color="auto" w:sz="4" w:space="0"/>
              <w:bottom w:val="single" w:color="auto" w:sz="4" w:space="0"/>
              <w:right w:val="single" w:color="auto" w:sz="4" w:space="0"/>
            </w:tcBorders>
            <w:noWrap w:val="0"/>
            <w:vAlign w:val="center"/>
          </w:tcPr>
          <w:p>
            <w:pPr>
              <w:spacing w:line="30" w:lineRule="atLeast"/>
              <w:ind w:left="480" w:hanging="480" w:hangingChars="200"/>
              <w:jc w:val="left"/>
              <w:rPr>
                <w:rFonts w:hint="eastAsia" w:ascii="宋体" w:hAnsi="宋体" w:cs="宋体"/>
                <w:sz w:val="24"/>
              </w:rPr>
            </w:pPr>
            <w:r>
              <w:rPr>
                <w:rFonts w:hint="eastAsia" w:ascii="宋体" w:hAnsi="宋体" w:cs="宋体"/>
                <w:sz w:val="24"/>
              </w:rPr>
              <w:t>其他相关要求：</w:t>
            </w:r>
          </w:p>
        </w:tc>
        <w:tc>
          <w:tcPr>
            <w:tcW w:w="6359" w:type="dxa"/>
            <w:gridSpan w:val="5"/>
            <w:tcBorders>
              <w:top w:val="single" w:color="auto" w:sz="4" w:space="0"/>
              <w:left w:val="single" w:color="auto" w:sz="4" w:space="0"/>
              <w:bottom w:val="single" w:color="auto" w:sz="4" w:space="0"/>
              <w:right w:val="single" w:color="auto" w:sz="4" w:space="0"/>
            </w:tcBorders>
            <w:noWrap w:val="0"/>
            <w:vAlign w:val="center"/>
          </w:tcPr>
          <w:p>
            <w:pPr>
              <w:spacing w:line="30" w:lineRule="atLeast"/>
              <w:rPr>
                <w:rFonts w:hint="eastAsia" w:ascii="宋体" w:hAnsi="宋体" w:cs="宋体"/>
                <w:sz w:val="24"/>
              </w:rPr>
            </w:pPr>
          </w:p>
        </w:tc>
      </w:tr>
    </w:tbl>
    <w:p>
      <w:pPr>
        <w:jc w:val="center"/>
        <w:rPr>
          <w:rFonts w:ascii="宋体" w:hAnsi="宋体" w:cs="宋体"/>
          <w:b/>
        </w:rPr>
      </w:pPr>
    </w:p>
    <w:p>
      <w:pPr>
        <w:jc w:val="left"/>
        <w:rPr>
          <w:rFonts w:ascii="宋体" w:hAnsi="宋体" w:cs="宋体"/>
          <w:szCs w:val="21"/>
        </w:rPr>
      </w:pPr>
    </w:p>
    <w:p>
      <w:pPr>
        <w:pStyle w:val="28"/>
        <w:spacing w:line="380" w:lineRule="exact"/>
        <w:ind w:firstLine="420" w:firstLineChars="200"/>
        <w:rPr>
          <w:rFonts w:ascii="宋体" w:hAnsi="宋体" w:cs="宋体"/>
          <w:b w:val="0"/>
          <w:bCs w:val="0"/>
          <w:sz w:val="21"/>
          <w:szCs w:val="21"/>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both"/>
        <w:rPr>
          <w:rFonts w:ascii="宋体" w:hAnsi="宋体" w:cs="宋体"/>
          <w:b/>
        </w:rPr>
        <w:sectPr>
          <w:pgSz w:w="11906" w:h="16838"/>
          <w:pgMar w:top="1440" w:right="1800" w:bottom="1440" w:left="1800" w:header="851" w:footer="992" w:gutter="0"/>
          <w:cols w:space="720" w:num="1"/>
          <w:titlePg/>
          <w:docGrid w:type="lines" w:linePitch="312" w:charSpace="0"/>
        </w:sectPr>
      </w:pPr>
    </w:p>
    <w:p>
      <w:pPr>
        <w:rPr>
          <w:rFonts w:ascii="宋体" w:hAnsi="宋体" w:cs="宋体"/>
          <w:b/>
        </w:rPr>
      </w:pPr>
    </w:p>
    <w:p>
      <w:pPr>
        <w:jc w:val="center"/>
        <w:rPr>
          <w:rFonts w:ascii="宋体" w:hAnsi="宋体" w:cs="宋体"/>
          <w:b/>
        </w:rPr>
      </w:pPr>
    </w:p>
    <w:p>
      <w:pPr>
        <w:pStyle w:val="3"/>
        <w:spacing w:before="0" w:after="0" w:line="360" w:lineRule="auto"/>
        <w:jc w:val="center"/>
        <w:rPr>
          <w:rFonts w:ascii="宋体" w:hAnsi="宋体" w:cs="宋体"/>
        </w:rPr>
      </w:pPr>
      <w:bookmarkStart w:id="167" w:name="_Toc514858706"/>
      <w:bookmarkStart w:id="168" w:name="_Toc513633963"/>
      <w:bookmarkStart w:id="169" w:name="_Toc2000410"/>
      <w:bookmarkStart w:id="170" w:name="_Toc12440"/>
      <w:bookmarkStart w:id="171" w:name="_Toc503951042"/>
      <w:bookmarkStart w:id="172" w:name="_Toc447827048"/>
      <w:r>
        <w:rPr>
          <w:rFonts w:hint="eastAsia" w:ascii="宋体" w:hAnsi="宋体" w:cs="宋体"/>
        </w:rPr>
        <w:t>第六章  图  纸</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jc w:val="center"/>
        <w:rPr>
          <w:rFonts w:ascii="宋体" w:hAnsi="宋体" w:cs="宋体"/>
          <w:b/>
        </w:rPr>
      </w:pPr>
      <w:r>
        <w:rPr>
          <w:rFonts w:hint="eastAsia" w:ascii="宋体" w:hAnsi="宋体" w:cs="宋体"/>
          <w:b/>
          <w:kern w:val="0"/>
          <w:sz w:val="24"/>
        </w:rPr>
        <w:t>详见竞争性比选文件附件。</w:t>
      </w:r>
    </w:p>
    <w:p>
      <w:pPr>
        <w:spacing w:line="400" w:lineRule="exact"/>
        <w:rPr>
          <w:rFonts w:ascii="宋体" w:hAnsi="宋体" w:cs="宋体"/>
        </w:rPr>
      </w:pPr>
      <w:r>
        <w:rPr>
          <w:rFonts w:hint="eastAsia" w:ascii="宋体" w:hAnsi="宋体" w:cs="宋体"/>
        </w:rPr>
        <w:br w:type="page"/>
      </w:r>
      <w:bookmarkStart w:id="173" w:name="_Toc152045785"/>
      <w:bookmarkStart w:id="174" w:name="_Toc152042574"/>
      <w:bookmarkStart w:id="175" w:name="_Toc144974854"/>
    </w:p>
    <w:p>
      <w:pPr>
        <w:pStyle w:val="3"/>
        <w:spacing w:before="0" w:after="0" w:line="360" w:lineRule="auto"/>
        <w:jc w:val="center"/>
        <w:rPr>
          <w:rFonts w:ascii="宋体" w:hAnsi="宋体" w:cs="宋体"/>
        </w:rPr>
      </w:pPr>
      <w:bookmarkStart w:id="176" w:name="_Toc246996353"/>
      <w:bookmarkStart w:id="177" w:name="_Toc447827049"/>
      <w:bookmarkStart w:id="178" w:name="_Toc513633964"/>
      <w:bookmarkStart w:id="179" w:name="_Toc2000411"/>
      <w:bookmarkStart w:id="180" w:name="_Toc247085870"/>
      <w:bookmarkStart w:id="181" w:name="_Toc246997096"/>
      <w:bookmarkStart w:id="182" w:name="_Toc179632804"/>
      <w:bookmarkStart w:id="183" w:name="_Toc503951043"/>
      <w:bookmarkStart w:id="184" w:name="_Toc514858707"/>
      <w:bookmarkStart w:id="185" w:name="_Toc10887"/>
      <w:r>
        <w:rPr>
          <w:rFonts w:hint="eastAsia" w:ascii="宋体" w:hAnsi="宋体" w:cs="宋体"/>
        </w:rPr>
        <w:t>第七章  技术标准和工作要求</w:t>
      </w:r>
      <w:bookmarkEnd w:id="173"/>
      <w:bookmarkEnd w:id="174"/>
      <w:bookmarkEnd w:id="175"/>
      <w:bookmarkEnd w:id="176"/>
      <w:bookmarkEnd w:id="177"/>
      <w:bookmarkEnd w:id="178"/>
      <w:bookmarkEnd w:id="179"/>
      <w:bookmarkEnd w:id="180"/>
      <w:bookmarkEnd w:id="181"/>
      <w:bookmarkEnd w:id="182"/>
      <w:bookmarkEnd w:id="183"/>
      <w:bookmarkEnd w:id="184"/>
      <w:bookmarkEnd w:id="185"/>
    </w:p>
    <w:bookmarkEnd w:id="142"/>
    <w:bookmarkEnd w:id="143"/>
    <w:bookmarkEnd w:id="144"/>
    <w:bookmarkEnd w:id="145"/>
    <w:bookmarkEnd w:id="146"/>
    <w:bookmarkEnd w:id="147"/>
    <w:bookmarkEnd w:id="148"/>
    <w:p>
      <w:pPr>
        <w:pStyle w:val="4"/>
        <w:rPr>
          <w:lang w:eastAsia="zh-Hans"/>
        </w:rPr>
      </w:pPr>
      <w:bookmarkStart w:id="186" w:name="_Toc513633965"/>
      <w:bookmarkStart w:id="187" w:name="_Toc246997098"/>
      <w:bookmarkStart w:id="188" w:name="_Toc247085873"/>
      <w:bookmarkStart w:id="189" w:name="_Toc179632807"/>
      <w:bookmarkStart w:id="190" w:name="_Toc152042576"/>
      <w:bookmarkStart w:id="191" w:name="_Toc246996355"/>
      <w:bookmarkStart w:id="192" w:name="_Toc152045787"/>
      <w:bookmarkStart w:id="193" w:name="_Toc144974856"/>
      <w:bookmarkStart w:id="194" w:name="_Toc507320039"/>
      <w:r>
        <w:rPr>
          <w:rFonts w:hint="eastAsia"/>
          <w:lang w:eastAsia="zh-Hans"/>
        </w:rPr>
        <w:t>一、项目概况</w:t>
      </w:r>
    </w:p>
    <w:p>
      <w:pPr>
        <w:pStyle w:val="5"/>
      </w:pPr>
      <w:r>
        <w:rPr>
          <w:rFonts w:hint="eastAsia"/>
        </w:rPr>
        <w:t>1、</w:t>
      </w:r>
      <w:r>
        <w:t>项目背景</w:t>
      </w:r>
    </w:p>
    <w:p>
      <w:pPr>
        <w:spacing w:line="360" w:lineRule="auto"/>
        <w:ind w:firstLine="431"/>
        <w:rPr>
          <w:rFonts w:ascii="宋体" w:hAnsi="宋体" w:cs="宋体"/>
          <w:spacing w:val="6"/>
          <w:szCs w:val="21"/>
          <w:lang w:eastAsia="zh-Hans"/>
        </w:rPr>
      </w:pPr>
      <w:r>
        <w:rPr>
          <w:rFonts w:hint="eastAsia" w:ascii="宋体" w:hAnsi="宋体" w:cs="宋体"/>
          <w:spacing w:val="6"/>
          <w:szCs w:val="21"/>
          <w:lang w:eastAsia="zh-Hans"/>
        </w:rPr>
        <w:t>2</w:t>
      </w:r>
      <w:r>
        <w:rPr>
          <w:rFonts w:ascii="宋体" w:hAnsi="宋体" w:cs="宋体"/>
          <w:spacing w:val="6"/>
          <w:szCs w:val="21"/>
          <w:lang w:eastAsia="zh-Hans"/>
        </w:rPr>
        <w:t>022</w:t>
      </w:r>
      <w:r>
        <w:rPr>
          <w:rFonts w:hint="eastAsia" w:ascii="宋体" w:hAnsi="宋体" w:cs="宋体"/>
          <w:spacing w:val="6"/>
          <w:szCs w:val="21"/>
          <w:lang w:eastAsia="zh-Hans"/>
        </w:rPr>
        <w:t>年1</w:t>
      </w:r>
      <w:r>
        <w:rPr>
          <w:rFonts w:ascii="宋体" w:hAnsi="宋体" w:cs="宋体"/>
          <w:spacing w:val="6"/>
          <w:szCs w:val="21"/>
          <w:lang w:eastAsia="zh-Hans"/>
        </w:rPr>
        <w:t>0</w:t>
      </w:r>
      <w:r>
        <w:rPr>
          <w:rFonts w:hint="eastAsia" w:ascii="宋体" w:hAnsi="宋体" w:cs="宋体"/>
          <w:spacing w:val="6"/>
          <w:szCs w:val="21"/>
          <w:lang w:eastAsia="zh-Hans"/>
        </w:rPr>
        <w:t>月，市国资委下达《关于印发重庆国资大数据监管服务平台数据采集交换平台、财务监管、决策管理等系统部署建设方案的通知》（渝国资〔2022〕413号）文件，要求集团企业严格按照国资改革思路，强化党的领导、完善治理体系、满足集团管控需求和管理需要的一体化平台，同时随着首迅公司管理的规范化和标准化不断深入，管理颗粒度要求更加精细，需要加强公司治理能力提升，提升公司决策管理数字化转型发展。决策管理系统建设主要实现决策事项、治理主体、决策程序的清单化、规范化、标准化，重点对企业“三重一大”事项决策制度、清单、程序、决策结果等情况进行全过程监督，展现决策运行整体情况，重点形成执行“三重一大”和其他决策制度的硬 约束。</w:t>
      </w:r>
    </w:p>
    <w:p>
      <w:pPr>
        <w:spacing w:line="360" w:lineRule="auto"/>
        <w:ind w:firstLine="431"/>
        <w:rPr>
          <w:rFonts w:ascii="宋体" w:hAnsi="宋体" w:cs="宋体"/>
          <w:spacing w:val="6"/>
          <w:szCs w:val="21"/>
          <w:lang w:eastAsia="zh-Hans"/>
        </w:rPr>
      </w:pPr>
      <w:r>
        <w:rPr>
          <w:rFonts w:hint="eastAsia" w:ascii="宋体" w:hAnsi="宋体" w:cs="宋体"/>
          <w:spacing w:val="6"/>
          <w:szCs w:val="21"/>
          <w:lang w:eastAsia="zh-Hans"/>
        </w:rPr>
        <w:t xml:space="preserve">决策管理：以待决策事件为中心，按照一事一议、集体决策 的原则，根据决策事项清单确定事件的决策流程和顺序，以会议为每个决策主体的决策方式，以议题为每个会议的决策形式，以督查督办为事件决策后实施的落地抓手，形成全业务闭环和具体决策事件的全生命周期管理。 </w:t>
      </w:r>
    </w:p>
    <w:p>
      <w:pPr>
        <w:spacing w:line="360" w:lineRule="auto"/>
        <w:ind w:firstLine="431"/>
        <w:rPr>
          <w:rFonts w:hint="eastAsia" w:ascii="宋体" w:hAnsi="宋体" w:cs="宋体"/>
          <w:spacing w:val="6"/>
          <w:szCs w:val="21"/>
          <w:lang w:eastAsia="zh-Hans"/>
        </w:rPr>
      </w:pPr>
      <w:r>
        <w:rPr>
          <w:rFonts w:hint="eastAsia" w:ascii="宋体" w:hAnsi="宋体" w:cs="宋体"/>
          <w:spacing w:val="6"/>
          <w:szCs w:val="21"/>
          <w:lang w:eastAsia="zh-Hans"/>
        </w:rPr>
        <w:t>决策管理范围：决策管理系统建设应以全覆盖为目标，</w:t>
      </w:r>
      <w:r>
        <w:rPr>
          <w:rFonts w:hint="eastAsia" w:ascii="宋体" w:hAnsi="宋体" w:cs="宋体"/>
          <w:spacing w:val="6"/>
          <w:szCs w:val="21"/>
        </w:rPr>
        <w:t>具备</w:t>
      </w:r>
      <w:r>
        <w:rPr>
          <w:rFonts w:hint="eastAsia" w:ascii="宋体" w:hAnsi="宋体" w:cs="宋体"/>
          <w:spacing w:val="6"/>
          <w:szCs w:val="21"/>
          <w:lang w:eastAsia="zh-Hans"/>
        </w:rPr>
        <w:t>实现对集团所属企业全覆盖和决策事项全覆盖</w:t>
      </w:r>
      <w:r>
        <w:rPr>
          <w:rFonts w:hint="eastAsia" w:ascii="宋体" w:hAnsi="宋体" w:cs="宋体"/>
          <w:spacing w:val="6"/>
          <w:szCs w:val="21"/>
        </w:rPr>
        <w:t>的扩展能力</w:t>
      </w:r>
      <w:r>
        <w:rPr>
          <w:rFonts w:hint="eastAsia" w:ascii="宋体" w:hAnsi="宋体" w:cs="宋体"/>
          <w:spacing w:val="6"/>
          <w:szCs w:val="21"/>
          <w:lang w:eastAsia="zh-Hans"/>
        </w:rPr>
        <w:t>。</w:t>
      </w:r>
    </w:p>
    <w:p>
      <w:pPr>
        <w:pStyle w:val="5"/>
        <w:rPr>
          <w:lang w:eastAsia="zh-Hans"/>
        </w:rPr>
      </w:pPr>
      <w:r>
        <w:rPr>
          <w:rFonts w:hint="eastAsia"/>
        </w:rPr>
        <w:t>2、</w:t>
      </w:r>
      <w:r>
        <w:rPr>
          <w:rFonts w:hint="eastAsia"/>
          <w:lang w:eastAsia="zh-Hans"/>
        </w:rPr>
        <w:t>项目建设原则</w:t>
      </w:r>
    </w:p>
    <w:p>
      <w:pPr>
        <w:spacing w:line="360" w:lineRule="auto"/>
        <w:ind w:firstLine="431"/>
        <w:rPr>
          <w:rFonts w:ascii="宋体" w:hAnsi="宋体" w:cs="宋体"/>
          <w:spacing w:val="6"/>
          <w:szCs w:val="21"/>
          <w:lang w:eastAsia="zh-Hans"/>
        </w:rPr>
      </w:pPr>
      <w:r>
        <w:rPr>
          <w:rFonts w:hint="eastAsia" w:ascii="宋体" w:hAnsi="宋体" w:cs="宋体"/>
          <w:spacing w:val="6"/>
          <w:szCs w:val="21"/>
          <w:lang w:eastAsia="zh-Hans"/>
        </w:rPr>
        <w:t>（1）先进性原则</w:t>
      </w:r>
    </w:p>
    <w:p>
      <w:pPr>
        <w:spacing w:line="360" w:lineRule="auto"/>
        <w:ind w:firstLine="431"/>
        <w:rPr>
          <w:rFonts w:ascii="宋体" w:hAnsi="宋体" w:cs="宋体"/>
          <w:spacing w:val="6"/>
          <w:szCs w:val="21"/>
          <w:lang w:eastAsia="zh-Hans"/>
        </w:rPr>
      </w:pPr>
      <w:r>
        <w:rPr>
          <w:rFonts w:hint="eastAsia" w:ascii="宋体" w:hAnsi="宋体" w:cs="宋体"/>
          <w:spacing w:val="6"/>
          <w:szCs w:val="21"/>
          <w:lang w:eastAsia="zh-Hans"/>
        </w:rPr>
        <w:t>采用成熟的面向对象的软件开发技术、模块化的系统集成方案及多种成熟技术，使得整个系统符合未来的技术发展趋势，既量力而行，又适当超前，留有一定的发展余地。</w:t>
      </w:r>
    </w:p>
    <w:p>
      <w:pPr>
        <w:spacing w:line="360" w:lineRule="auto"/>
        <w:ind w:firstLine="431"/>
        <w:rPr>
          <w:rFonts w:ascii="宋体" w:hAnsi="宋体" w:cs="宋体"/>
          <w:spacing w:val="6"/>
          <w:szCs w:val="21"/>
          <w:lang w:eastAsia="zh-Hans"/>
        </w:rPr>
      </w:pPr>
      <w:r>
        <w:rPr>
          <w:rFonts w:hint="eastAsia" w:ascii="宋体" w:hAnsi="宋体" w:cs="宋体"/>
          <w:spacing w:val="6"/>
          <w:szCs w:val="21"/>
          <w:lang w:eastAsia="zh-Hans"/>
        </w:rPr>
        <w:t>（2）安全性原则</w:t>
      </w:r>
    </w:p>
    <w:p>
      <w:pPr>
        <w:spacing w:line="360" w:lineRule="auto"/>
        <w:ind w:firstLine="431"/>
        <w:rPr>
          <w:rFonts w:ascii="宋体" w:hAnsi="宋体" w:cs="宋体"/>
          <w:spacing w:val="6"/>
          <w:szCs w:val="21"/>
          <w:lang w:eastAsia="zh-Hans"/>
        </w:rPr>
      </w:pPr>
      <w:r>
        <w:rPr>
          <w:rFonts w:hint="eastAsia" w:ascii="宋体" w:hAnsi="宋体" w:cs="宋体"/>
          <w:spacing w:val="6"/>
          <w:szCs w:val="21"/>
          <w:lang w:eastAsia="zh-Hans"/>
        </w:rPr>
        <w:t>严格遵守国家信息安全的要求，结合自身的安全体系建设，充分保证系统、网络和数据的安全。</w:t>
      </w:r>
    </w:p>
    <w:p>
      <w:pPr>
        <w:spacing w:line="360" w:lineRule="auto"/>
        <w:ind w:firstLine="431"/>
        <w:rPr>
          <w:rFonts w:ascii="宋体" w:hAnsi="宋体" w:cs="宋体"/>
          <w:spacing w:val="6"/>
          <w:szCs w:val="21"/>
          <w:lang w:eastAsia="zh-Hans"/>
        </w:rPr>
      </w:pPr>
      <w:r>
        <w:rPr>
          <w:rFonts w:hint="eastAsia" w:ascii="宋体" w:hAnsi="宋体" w:cs="宋体"/>
          <w:spacing w:val="6"/>
          <w:szCs w:val="21"/>
          <w:lang w:eastAsia="zh-Hans"/>
        </w:rPr>
        <w:t>（3）标准化原则</w:t>
      </w:r>
    </w:p>
    <w:p>
      <w:pPr>
        <w:spacing w:line="360" w:lineRule="auto"/>
        <w:ind w:firstLine="431"/>
        <w:rPr>
          <w:rFonts w:ascii="宋体" w:hAnsi="宋体" w:cs="宋体"/>
          <w:spacing w:val="6"/>
          <w:szCs w:val="21"/>
          <w:lang w:eastAsia="zh-Hans"/>
        </w:rPr>
      </w:pPr>
      <w:r>
        <w:rPr>
          <w:rFonts w:hint="eastAsia" w:ascii="宋体" w:hAnsi="宋体" w:cs="宋体"/>
          <w:spacing w:val="6"/>
          <w:szCs w:val="21"/>
          <w:lang w:eastAsia="zh-Hans"/>
        </w:rPr>
        <w:t>支持开放的协议使得信息系统具有良好的可接入性、可移植性、可扩充性。产品选型应 该尽量符合通用的开放标准，应该有统一的技术标准。采用面向服务的体系架构使得业务和技术之间实现无障碍沟通。</w:t>
      </w:r>
    </w:p>
    <w:p>
      <w:pPr>
        <w:spacing w:line="360" w:lineRule="auto"/>
        <w:ind w:firstLine="431"/>
        <w:rPr>
          <w:rFonts w:ascii="宋体" w:hAnsi="宋体" w:cs="宋体"/>
          <w:spacing w:val="6"/>
          <w:szCs w:val="21"/>
          <w:lang w:eastAsia="zh-Hans"/>
        </w:rPr>
      </w:pPr>
      <w:r>
        <w:rPr>
          <w:rFonts w:ascii="宋体" w:hAnsi="宋体" w:cs="宋体"/>
          <w:spacing w:val="6"/>
          <w:szCs w:val="21"/>
          <w:lang w:eastAsia="zh-Hans"/>
        </w:rPr>
        <w:t>（</w:t>
      </w:r>
      <w:r>
        <w:rPr>
          <w:rFonts w:hint="eastAsia" w:ascii="宋体" w:hAnsi="宋体" w:cs="宋体"/>
          <w:spacing w:val="6"/>
          <w:szCs w:val="21"/>
          <w:lang w:eastAsia="zh-Hans"/>
        </w:rPr>
        <w:t>4）可扩展原则</w:t>
      </w:r>
    </w:p>
    <w:p>
      <w:pPr>
        <w:spacing w:line="360" w:lineRule="auto"/>
        <w:ind w:firstLine="431"/>
        <w:rPr>
          <w:rFonts w:ascii="宋体" w:hAnsi="宋体" w:cs="宋体"/>
          <w:spacing w:val="6"/>
          <w:szCs w:val="21"/>
          <w:lang w:eastAsia="zh-Hans"/>
        </w:rPr>
      </w:pPr>
      <w:r>
        <w:rPr>
          <w:rFonts w:hint="eastAsia" w:ascii="宋体" w:hAnsi="宋体" w:cs="宋体"/>
          <w:spacing w:val="6"/>
          <w:szCs w:val="21"/>
          <w:lang w:eastAsia="zh-Hans"/>
        </w:rPr>
        <w:t>对信息系统的建设应着眼于发展的眼光，充分考虑到未来业务系统的发展趋势。系统设计要科学、合理，应具有良好的可扩展性。</w:t>
      </w:r>
    </w:p>
    <w:p>
      <w:pPr>
        <w:spacing w:line="360" w:lineRule="auto"/>
        <w:ind w:firstLine="431"/>
        <w:rPr>
          <w:rFonts w:ascii="宋体" w:hAnsi="宋体" w:cs="宋体"/>
          <w:spacing w:val="6"/>
          <w:szCs w:val="21"/>
          <w:lang w:eastAsia="zh-Hans"/>
        </w:rPr>
      </w:pPr>
      <w:r>
        <w:rPr>
          <w:rFonts w:hint="eastAsia" w:ascii="宋体" w:hAnsi="宋体" w:cs="宋体"/>
          <w:spacing w:val="6"/>
          <w:szCs w:val="21"/>
          <w:lang w:eastAsia="zh-Hans"/>
        </w:rPr>
        <w:t>（5）稳定性原则</w:t>
      </w:r>
    </w:p>
    <w:p>
      <w:pPr>
        <w:spacing w:line="360" w:lineRule="auto"/>
        <w:ind w:firstLine="431"/>
        <w:rPr>
          <w:rFonts w:ascii="宋体" w:hAnsi="宋体" w:cs="宋体"/>
          <w:spacing w:val="6"/>
          <w:szCs w:val="21"/>
          <w:lang w:eastAsia="zh-Hans"/>
        </w:rPr>
      </w:pPr>
      <w:r>
        <w:rPr>
          <w:rFonts w:hint="eastAsia" w:ascii="宋体" w:hAnsi="宋体" w:cs="宋体"/>
          <w:spacing w:val="6"/>
          <w:szCs w:val="21"/>
          <w:lang w:eastAsia="zh-Hans"/>
        </w:rPr>
        <w:t>为保障系统最大限度地发挥作用，完成日常的各项功能，系统必须保障功能稳定。采用稳定可靠的成熟技术，保证系统长期稳定安全运行。</w:t>
      </w:r>
    </w:p>
    <w:p>
      <w:pPr>
        <w:spacing w:line="360" w:lineRule="auto"/>
        <w:ind w:firstLine="431"/>
        <w:rPr>
          <w:rFonts w:ascii="宋体" w:hAnsi="宋体" w:cs="宋体"/>
          <w:spacing w:val="6"/>
          <w:szCs w:val="21"/>
          <w:lang w:eastAsia="zh-Hans"/>
        </w:rPr>
      </w:pPr>
      <w:r>
        <w:rPr>
          <w:rFonts w:hint="eastAsia" w:ascii="宋体" w:hAnsi="宋体" w:cs="宋体"/>
          <w:spacing w:val="6"/>
          <w:szCs w:val="21"/>
          <w:lang w:eastAsia="zh-Hans"/>
        </w:rPr>
        <w:t>（6）易用性原则</w:t>
      </w:r>
    </w:p>
    <w:p>
      <w:pPr>
        <w:spacing w:line="360" w:lineRule="auto"/>
        <w:ind w:firstLine="431"/>
        <w:rPr>
          <w:rFonts w:ascii="宋体" w:hAnsi="宋体" w:cs="宋体"/>
          <w:spacing w:val="6"/>
          <w:szCs w:val="21"/>
          <w:lang w:eastAsia="zh-Hans"/>
        </w:rPr>
      </w:pPr>
      <w:r>
        <w:rPr>
          <w:rFonts w:hint="eastAsia" w:ascii="宋体" w:hAnsi="宋体" w:cs="宋体"/>
          <w:spacing w:val="6"/>
          <w:szCs w:val="21"/>
          <w:lang w:eastAsia="zh-Hans"/>
        </w:rPr>
        <w:t>易用性体现在统一美观的界面、温馨的提示和录入的简洁等操作性方面。</w:t>
      </w:r>
    </w:p>
    <w:p>
      <w:pPr>
        <w:pStyle w:val="4"/>
        <w:rPr>
          <w:lang w:eastAsia="zh-Hans"/>
        </w:rPr>
      </w:pPr>
      <w:r>
        <w:rPr>
          <w:rFonts w:hint="eastAsia"/>
          <w:lang w:eastAsia="zh-Hans"/>
        </w:rPr>
        <w:t>二、技术要求</w:t>
      </w:r>
    </w:p>
    <w:p>
      <w:pPr>
        <w:pStyle w:val="5"/>
        <w:rPr>
          <w:rFonts w:hint="eastAsia"/>
          <w:b w:val="0"/>
          <w:bCs w:val="0"/>
        </w:rPr>
      </w:pPr>
      <w:r>
        <w:rPr>
          <w:rFonts w:hint="eastAsia"/>
          <w:b w:val="0"/>
          <w:bCs w:val="0"/>
        </w:rPr>
        <w:t>1、</w:t>
      </w:r>
      <w:r>
        <w:rPr>
          <w:rFonts w:hint="eastAsia"/>
          <w:lang w:eastAsia="zh-Hans"/>
        </w:rPr>
        <w:t>建设要求</w:t>
      </w:r>
    </w:p>
    <w:p>
      <w:pPr>
        <w:spacing w:line="360" w:lineRule="auto"/>
        <w:ind w:firstLine="431"/>
        <w:rPr>
          <w:rFonts w:ascii="宋体" w:hAnsi="宋体" w:cs="宋体"/>
          <w:spacing w:val="16"/>
          <w:szCs w:val="21"/>
        </w:rPr>
      </w:pPr>
      <w:r>
        <w:rPr>
          <w:rFonts w:hint="eastAsia" w:ascii="宋体" w:hAnsi="宋体" w:cs="宋体"/>
          <w:spacing w:val="16"/>
          <w:szCs w:val="21"/>
        </w:rPr>
        <w:t xml:space="preserve">1、决策管理线上化 </w:t>
      </w:r>
    </w:p>
    <w:p>
      <w:pPr>
        <w:spacing w:line="360" w:lineRule="auto"/>
        <w:ind w:firstLine="431"/>
        <w:rPr>
          <w:rFonts w:ascii="宋体" w:hAnsi="宋体" w:cs="宋体"/>
          <w:spacing w:val="6"/>
          <w:szCs w:val="21"/>
          <w:lang w:eastAsia="zh-Hans"/>
        </w:rPr>
      </w:pPr>
      <w:r>
        <w:rPr>
          <w:rFonts w:hint="eastAsia" w:ascii="宋体" w:hAnsi="宋体" w:cs="宋体"/>
          <w:spacing w:val="6"/>
          <w:szCs w:val="21"/>
          <w:lang w:eastAsia="zh-Hans"/>
        </w:rPr>
        <w:t xml:space="preserve">通过改造现有的信息系统或者新建系统的方式，实现决策流程全面线上化。决策管理系统建成后，集团党委会、董事会、总经理办公会的议题及会议（涉密事项除外）均通过系统线上发起、在线审签，议题所有材料及会议资料通过系统在线流转，原则上不再通过纸质审批方式线下流转。 </w:t>
      </w:r>
    </w:p>
    <w:p>
      <w:pPr>
        <w:spacing w:line="360" w:lineRule="auto"/>
        <w:ind w:firstLine="431"/>
        <w:rPr>
          <w:rFonts w:ascii="宋体" w:hAnsi="宋体" w:cs="宋体"/>
          <w:spacing w:val="6"/>
          <w:szCs w:val="21"/>
          <w:lang w:eastAsia="zh-Hans"/>
        </w:rPr>
      </w:pPr>
      <w:r>
        <w:rPr>
          <w:rFonts w:hint="eastAsia" w:ascii="宋体" w:hAnsi="宋体" w:cs="宋体"/>
          <w:spacing w:val="6"/>
          <w:szCs w:val="21"/>
          <w:lang w:eastAsia="zh-Hans"/>
        </w:rPr>
        <w:t xml:space="preserve">2、决策管理规范化 </w:t>
      </w:r>
    </w:p>
    <w:p>
      <w:pPr>
        <w:spacing w:line="360" w:lineRule="auto"/>
        <w:ind w:firstLine="431"/>
        <w:rPr>
          <w:rFonts w:ascii="宋体" w:hAnsi="宋体" w:cs="宋体"/>
          <w:spacing w:val="6"/>
          <w:szCs w:val="21"/>
          <w:lang w:eastAsia="zh-Hans"/>
        </w:rPr>
      </w:pPr>
      <w:r>
        <w:rPr>
          <w:rFonts w:hint="eastAsia" w:ascii="宋体" w:hAnsi="宋体" w:cs="宋体"/>
          <w:spacing w:val="6"/>
          <w:szCs w:val="21"/>
          <w:lang w:eastAsia="zh-Hans"/>
        </w:rPr>
        <w:t>要按照《重庆市国有企业贯彻</w:t>
      </w:r>
      <w:r>
        <w:rPr>
          <w:rFonts w:ascii="宋体" w:hAnsi="宋体" w:cs="宋体"/>
          <w:spacing w:val="6"/>
          <w:szCs w:val="21"/>
          <w:lang w:eastAsia="zh-Hans"/>
        </w:rPr>
        <w:t>&lt;</w:t>
      </w:r>
      <w:r>
        <w:rPr>
          <w:rFonts w:hint="eastAsia" w:ascii="宋体" w:hAnsi="宋体" w:cs="宋体"/>
          <w:spacing w:val="6"/>
          <w:szCs w:val="21"/>
          <w:lang w:eastAsia="zh-Hans"/>
        </w:rPr>
        <w:t>关于中央企业在完善公司治理中加强党的领导的意见</w:t>
      </w:r>
      <w:r>
        <w:rPr>
          <w:rFonts w:ascii="宋体" w:hAnsi="宋体" w:cs="宋体"/>
          <w:spacing w:val="6"/>
          <w:szCs w:val="21"/>
          <w:lang w:eastAsia="zh-Hans"/>
        </w:rPr>
        <w:t>&gt;</w:t>
      </w:r>
      <w:r>
        <w:rPr>
          <w:rFonts w:hint="eastAsia" w:ascii="宋体" w:hAnsi="宋体" w:cs="宋体"/>
          <w:spacing w:val="6"/>
          <w:szCs w:val="21"/>
          <w:lang w:eastAsia="zh-Hans"/>
        </w:rPr>
        <w:t xml:space="preserve">精神重点措施》《关于进一步推进市属国有企业贯彻落实“三重一大”决策制度的实施意见》等国资监管规定，以及公司章程、议事规则、“三重一大”集体决策制度等内部规章制度的规定，严格履行决策程序。应将决策流程管控要求内嵌至系统流程中，通过信息化方式规范决策程序。“三重一大”事项决策会议流程必须遵循以下规定：一是党委直接研究决定的重大事项，由党委会集体讨论决定，需要董事会、经理层等履行法定程序的，依照有关法律法规和规定办理。 二是党委前置研究讨论后由董事会审议的重大经营管理事项，首先由经理层研究拟定建议方案，建议方案应取得总经理同意；其次应召开党委会对建议方案进行集体研究讨论形成意见，重点看“四个是否”（是否符合党的理论和路线方针政策，是否贯彻党中央决策部署和落实国家发展战略，是否有利于促进企业高质量发展、增强企业竞争实力、实现国有资产保值增值，是否有利于维护社会公众利益和职工群众合法权益）；最后提交董事会审议，由董事会作出决定，或者审议通过后按程序报股东会或市国资委决定。三是董事会授权总经理决策的“三重一大”事项，必须以总经理办公会形式决定，党委一般不作前置研究讨论，决策前一般应当听取党委书记、董事长意见。 </w:t>
      </w:r>
    </w:p>
    <w:p>
      <w:pPr>
        <w:spacing w:line="360" w:lineRule="auto"/>
        <w:ind w:firstLine="431"/>
        <w:rPr>
          <w:rFonts w:ascii="宋体" w:hAnsi="宋体" w:cs="宋体"/>
          <w:spacing w:val="16"/>
          <w:szCs w:val="21"/>
        </w:rPr>
      </w:pPr>
      <w:r>
        <w:rPr>
          <w:rFonts w:hint="eastAsia" w:ascii="宋体" w:hAnsi="宋体" w:cs="宋体"/>
          <w:spacing w:val="16"/>
          <w:szCs w:val="21"/>
        </w:rPr>
        <w:t xml:space="preserve">3、系统建设标准化 </w:t>
      </w:r>
    </w:p>
    <w:p>
      <w:pPr>
        <w:spacing w:line="360" w:lineRule="auto"/>
        <w:ind w:firstLine="431"/>
        <w:rPr>
          <w:rFonts w:ascii="宋体" w:hAnsi="宋体" w:cs="宋体"/>
          <w:spacing w:val="16"/>
          <w:szCs w:val="21"/>
        </w:rPr>
      </w:pPr>
      <w:r>
        <w:rPr>
          <w:rFonts w:hint="eastAsia" w:ascii="宋体" w:hAnsi="宋体" w:cs="宋体"/>
          <w:spacing w:val="6"/>
          <w:szCs w:val="21"/>
          <w:lang w:eastAsia="zh-Hans"/>
        </w:rPr>
        <w:t>应按照市国资委决策管理子系统建设总体要求，开展标准化决策管理系统建设。在满足既定标准的基础上，结合自身情况，建设更符合管理实际、信息化程度更高的系统。</w:t>
      </w:r>
      <w:r>
        <w:rPr>
          <w:rFonts w:hint="eastAsia" w:ascii="宋体" w:hAnsi="宋体" w:cs="宋体"/>
          <w:spacing w:val="16"/>
          <w:szCs w:val="21"/>
        </w:rPr>
        <w:t xml:space="preserve">要逐步将决策线上化管理延伸至各级子企业，为下一步全级次监管打好基础。 </w:t>
      </w:r>
    </w:p>
    <w:p>
      <w:pPr>
        <w:pStyle w:val="5"/>
        <w:rPr>
          <w:lang w:eastAsia="zh-Hans"/>
        </w:rPr>
      </w:pPr>
      <w:r>
        <w:rPr>
          <w:rFonts w:hint="eastAsia"/>
        </w:rPr>
        <w:t>2、</w:t>
      </w:r>
      <w:r>
        <w:rPr>
          <w:rFonts w:hint="eastAsia"/>
          <w:lang w:eastAsia="zh-Hans"/>
        </w:rPr>
        <w:t>技术架构</w:t>
      </w:r>
    </w:p>
    <w:p>
      <w:pPr>
        <w:spacing w:before="156" w:beforeLines="50" w:after="156" w:afterLines="50" w:line="360" w:lineRule="auto"/>
        <w:ind w:firstLine="480"/>
        <w:rPr>
          <w:rFonts w:ascii="宋体" w:hAnsi="宋体" w:cs="宋体"/>
          <w:spacing w:val="12"/>
          <w:szCs w:val="21"/>
        </w:rPr>
      </w:pPr>
      <w:r>
        <w:rPr>
          <w:rFonts w:hint="eastAsia" w:ascii="宋体" w:hAnsi="宋体" w:cs="宋体"/>
          <w:szCs w:val="21"/>
        </w:rPr>
        <w:t>综合应用</w:t>
      </w:r>
      <w:r>
        <w:rPr>
          <w:rFonts w:hint="eastAsia" w:ascii="宋体" w:hAnsi="宋体" w:cs="宋体"/>
          <w:szCs w:val="21"/>
          <w:lang w:eastAsia="zh-Hans"/>
        </w:rPr>
        <w:t>大数据、</w:t>
      </w:r>
      <w:r>
        <w:rPr>
          <w:rFonts w:hint="eastAsia" w:ascii="宋体" w:hAnsi="宋体" w:cs="宋体"/>
          <w:szCs w:val="21"/>
        </w:rPr>
        <w:t>云计算、移动互联网等新一代信息化技术，</w:t>
      </w:r>
      <w:r>
        <w:rPr>
          <w:rFonts w:hint="eastAsia" w:ascii="宋体" w:hAnsi="宋体" w:cs="宋体"/>
          <w:spacing w:val="8"/>
          <w:szCs w:val="21"/>
        </w:rPr>
        <w:t xml:space="preserve">系统采用 </w:t>
      </w:r>
      <w:r>
        <w:rPr>
          <w:rFonts w:hint="eastAsia" w:ascii="宋体" w:hAnsi="宋体" w:cs="宋体"/>
          <w:szCs w:val="21"/>
        </w:rPr>
        <w:t>B</w:t>
      </w:r>
      <w:r>
        <w:rPr>
          <w:rFonts w:hint="eastAsia" w:ascii="宋体" w:hAnsi="宋体" w:cs="宋体"/>
          <w:spacing w:val="8"/>
          <w:szCs w:val="21"/>
        </w:rPr>
        <w:t>/</w:t>
      </w:r>
      <w:r>
        <w:rPr>
          <w:rFonts w:hint="eastAsia" w:ascii="宋体" w:hAnsi="宋体" w:cs="宋体"/>
          <w:szCs w:val="21"/>
        </w:rPr>
        <w:t>S</w:t>
      </w:r>
      <w:r>
        <w:rPr>
          <w:rFonts w:hint="eastAsia" w:ascii="宋体" w:hAnsi="宋体" w:cs="宋体"/>
          <w:spacing w:val="8"/>
          <w:szCs w:val="21"/>
        </w:rPr>
        <w:t xml:space="preserve"> 结构，</w:t>
      </w:r>
      <w:r>
        <w:rPr>
          <w:rFonts w:hint="eastAsia" w:ascii="宋体" w:hAnsi="宋体" w:cs="宋体"/>
          <w:spacing w:val="6"/>
          <w:szCs w:val="21"/>
        </w:rPr>
        <w:t xml:space="preserve">采用主流的 </w:t>
      </w:r>
      <w:r>
        <w:rPr>
          <w:rFonts w:hint="eastAsia" w:ascii="宋体" w:hAnsi="宋体" w:cs="宋体"/>
          <w:szCs w:val="21"/>
        </w:rPr>
        <w:t>J</w:t>
      </w:r>
      <w:r>
        <w:rPr>
          <w:rFonts w:hint="eastAsia" w:ascii="宋体" w:hAnsi="宋体" w:cs="宋体"/>
          <w:spacing w:val="6"/>
          <w:szCs w:val="21"/>
        </w:rPr>
        <w:t>2</w:t>
      </w:r>
      <w:r>
        <w:rPr>
          <w:rFonts w:hint="eastAsia" w:ascii="宋体" w:hAnsi="宋体" w:cs="宋体"/>
          <w:szCs w:val="21"/>
        </w:rPr>
        <w:t>EE</w:t>
      </w:r>
      <w:r>
        <w:rPr>
          <w:rFonts w:hint="eastAsia" w:ascii="宋体" w:hAnsi="宋体" w:cs="宋体"/>
          <w:spacing w:val="6"/>
          <w:szCs w:val="21"/>
        </w:rPr>
        <w:t>、</w:t>
      </w:r>
      <w:r>
        <w:rPr>
          <w:rFonts w:hint="eastAsia" w:ascii="宋体" w:hAnsi="宋体" w:cs="宋体"/>
          <w:szCs w:val="21"/>
        </w:rPr>
        <w:t>Java</w:t>
      </w:r>
      <w:r>
        <w:rPr>
          <w:rFonts w:hint="eastAsia" w:ascii="宋体" w:hAnsi="宋体" w:cs="宋体"/>
          <w:spacing w:val="6"/>
          <w:szCs w:val="21"/>
        </w:rPr>
        <w:t xml:space="preserve"> 等平台</w:t>
      </w:r>
      <w:r>
        <w:rPr>
          <w:rFonts w:hint="eastAsia" w:ascii="宋体" w:hAnsi="宋体" w:cs="宋体"/>
          <w:spacing w:val="8"/>
          <w:szCs w:val="21"/>
        </w:rPr>
        <w:t xml:space="preserve">，支持 </w:t>
      </w:r>
      <w:r>
        <w:rPr>
          <w:rFonts w:hint="eastAsia" w:ascii="宋体" w:hAnsi="宋体" w:cs="宋体"/>
          <w:szCs w:val="21"/>
        </w:rPr>
        <w:t>Oracle</w:t>
      </w:r>
      <w:r>
        <w:rPr>
          <w:rFonts w:hint="eastAsia" w:ascii="宋体" w:hAnsi="宋体" w:cs="宋体"/>
          <w:spacing w:val="8"/>
          <w:szCs w:val="21"/>
        </w:rPr>
        <w:t>、</w:t>
      </w:r>
      <w:r>
        <w:rPr>
          <w:rFonts w:hint="eastAsia" w:ascii="宋体" w:hAnsi="宋体" w:cs="宋体"/>
          <w:szCs w:val="21"/>
        </w:rPr>
        <w:t>MySQL</w:t>
      </w:r>
      <w:r>
        <w:rPr>
          <w:rFonts w:hint="eastAsia" w:ascii="宋体" w:hAnsi="宋体" w:cs="宋体"/>
          <w:spacing w:val="8"/>
          <w:szCs w:val="21"/>
        </w:rPr>
        <w:t>、</w:t>
      </w:r>
      <w:r>
        <w:rPr>
          <w:rFonts w:hint="eastAsia" w:ascii="宋体" w:hAnsi="宋体" w:cs="宋体"/>
          <w:szCs w:val="21"/>
        </w:rPr>
        <w:t>SQL</w:t>
      </w:r>
      <w:r>
        <w:rPr>
          <w:rFonts w:hint="eastAsia" w:ascii="宋体" w:hAnsi="宋体" w:cs="宋体"/>
          <w:spacing w:val="8"/>
          <w:szCs w:val="21"/>
        </w:rPr>
        <w:t xml:space="preserve"> </w:t>
      </w:r>
      <w:r>
        <w:rPr>
          <w:rFonts w:hint="eastAsia" w:ascii="宋体" w:hAnsi="宋体" w:cs="宋体"/>
          <w:szCs w:val="21"/>
        </w:rPr>
        <w:t>Server</w:t>
      </w:r>
      <w:r>
        <w:rPr>
          <w:rFonts w:hint="eastAsia" w:ascii="宋体" w:hAnsi="宋体" w:cs="宋体"/>
          <w:spacing w:val="8"/>
          <w:szCs w:val="21"/>
        </w:rPr>
        <w:t xml:space="preserve"> 等</w:t>
      </w:r>
      <w:r>
        <w:rPr>
          <w:rFonts w:hint="eastAsia" w:ascii="宋体" w:hAnsi="宋体" w:cs="宋体"/>
          <w:spacing w:val="8"/>
          <w:szCs w:val="21"/>
          <w:lang w:eastAsia="zh-Hans"/>
        </w:rPr>
        <w:t>主流</w:t>
      </w:r>
      <w:r>
        <w:rPr>
          <w:rFonts w:hint="eastAsia" w:ascii="宋体" w:hAnsi="宋体" w:cs="宋体"/>
          <w:spacing w:val="8"/>
          <w:szCs w:val="21"/>
        </w:rPr>
        <w:t>关系</w:t>
      </w:r>
      <w:r>
        <w:rPr>
          <w:rFonts w:hint="eastAsia" w:ascii="宋体" w:hAnsi="宋体" w:cs="宋体"/>
          <w:spacing w:val="10"/>
          <w:szCs w:val="21"/>
        </w:rPr>
        <w:t xml:space="preserve">型数据库；支持 </w:t>
      </w:r>
      <w:r>
        <w:rPr>
          <w:rFonts w:hint="eastAsia" w:ascii="宋体" w:hAnsi="宋体" w:cs="宋体"/>
          <w:szCs w:val="21"/>
        </w:rPr>
        <w:t>websphere</w:t>
      </w:r>
      <w:r>
        <w:rPr>
          <w:rFonts w:hint="eastAsia" w:ascii="宋体" w:hAnsi="宋体" w:cs="宋体"/>
          <w:spacing w:val="10"/>
          <w:szCs w:val="21"/>
        </w:rPr>
        <w:t>、</w:t>
      </w:r>
      <w:r>
        <w:rPr>
          <w:rFonts w:hint="eastAsia" w:ascii="宋体" w:hAnsi="宋体" w:cs="宋体"/>
          <w:szCs w:val="21"/>
        </w:rPr>
        <w:t>weblogic</w:t>
      </w:r>
      <w:r>
        <w:rPr>
          <w:rFonts w:hint="eastAsia" w:ascii="宋体" w:hAnsi="宋体" w:cs="宋体"/>
          <w:spacing w:val="10"/>
          <w:szCs w:val="21"/>
        </w:rPr>
        <w:t>、</w:t>
      </w:r>
      <w:r>
        <w:rPr>
          <w:rFonts w:hint="eastAsia" w:ascii="宋体" w:hAnsi="宋体" w:cs="宋体"/>
          <w:szCs w:val="21"/>
        </w:rPr>
        <w:t>tongweb</w:t>
      </w:r>
      <w:r>
        <w:rPr>
          <w:rFonts w:hint="eastAsia" w:ascii="宋体" w:hAnsi="宋体" w:cs="宋体"/>
          <w:spacing w:val="10"/>
          <w:szCs w:val="21"/>
        </w:rPr>
        <w:t xml:space="preserve"> 等</w:t>
      </w:r>
      <w:r>
        <w:rPr>
          <w:rFonts w:hint="eastAsia" w:ascii="宋体" w:hAnsi="宋体" w:cs="宋体"/>
          <w:spacing w:val="10"/>
          <w:szCs w:val="21"/>
          <w:lang w:eastAsia="zh-Hans"/>
        </w:rPr>
        <w:t>主流</w:t>
      </w:r>
      <w:r>
        <w:rPr>
          <w:rFonts w:hint="eastAsia" w:ascii="宋体" w:hAnsi="宋体" w:cs="宋体"/>
          <w:spacing w:val="10"/>
          <w:szCs w:val="21"/>
        </w:rPr>
        <w:t>中间件技术；</w:t>
      </w:r>
      <w:r>
        <w:t>支持国产化及信创适配，支持国产化芯片架构（如海光、鲲鹏、飞腾等）、虚拟化软件（如云宏等）、国产化操作系统（如银河、麒麟等）、国产化数据库（如达 梦等）、国产化中间件（如东方通等）</w:t>
      </w:r>
      <w:r>
        <w:rPr>
          <w:rFonts w:hint="eastAsia" w:ascii="宋体" w:hAnsi="宋体" w:cs="宋体"/>
          <w:spacing w:val="10"/>
          <w:szCs w:val="21"/>
        </w:rPr>
        <w:t>；可独立插件化部署</w:t>
      </w:r>
      <w:r>
        <w:rPr>
          <w:rFonts w:hint="eastAsia" w:ascii="宋体" w:hAnsi="宋体" w:cs="宋体"/>
          <w:spacing w:val="9"/>
          <w:szCs w:val="21"/>
        </w:rPr>
        <w:t>，有完整的运行、操作日志记录和审计功能</w:t>
      </w:r>
      <w:r>
        <w:rPr>
          <w:rFonts w:hint="eastAsia" w:ascii="宋体" w:hAnsi="宋体" w:cs="宋体"/>
          <w:spacing w:val="8"/>
          <w:szCs w:val="21"/>
        </w:rPr>
        <w:t>；</w:t>
      </w:r>
      <w:r>
        <w:rPr>
          <w:rFonts w:hint="eastAsia" w:ascii="宋体" w:hAnsi="宋体" w:cs="宋体"/>
          <w:spacing w:val="6"/>
          <w:szCs w:val="21"/>
        </w:rPr>
        <w:t>包含通常企业管理系统所需</w:t>
      </w:r>
      <w:r>
        <w:rPr>
          <w:rFonts w:hint="eastAsia" w:ascii="宋体" w:hAnsi="宋体" w:cs="宋体"/>
          <w:spacing w:val="24"/>
          <w:szCs w:val="21"/>
        </w:rPr>
        <w:t>的</w:t>
      </w:r>
      <w:r>
        <w:rPr>
          <w:rFonts w:hint="eastAsia" w:ascii="宋体" w:hAnsi="宋体" w:cs="宋体"/>
          <w:spacing w:val="24"/>
          <w:szCs w:val="21"/>
          <w:lang w:eastAsia="zh-Hans"/>
        </w:rPr>
        <w:t>规则引擎、</w:t>
      </w:r>
      <w:r>
        <w:rPr>
          <w:rFonts w:hint="eastAsia" w:ascii="宋体" w:hAnsi="宋体" w:cs="宋体"/>
          <w:spacing w:val="18"/>
          <w:szCs w:val="21"/>
        </w:rPr>
        <w:t>流</w:t>
      </w:r>
      <w:r>
        <w:rPr>
          <w:rFonts w:hint="eastAsia" w:ascii="宋体" w:hAnsi="宋体" w:cs="宋体"/>
          <w:spacing w:val="12"/>
          <w:szCs w:val="21"/>
        </w:rPr>
        <w:t>程</w:t>
      </w:r>
      <w:r>
        <w:rPr>
          <w:rFonts w:hint="eastAsia" w:ascii="宋体" w:hAnsi="宋体" w:cs="宋体"/>
          <w:spacing w:val="12"/>
          <w:szCs w:val="21"/>
          <w:lang w:eastAsia="zh-Hans"/>
        </w:rPr>
        <w:t>引擎</w:t>
      </w:r>
      <w:r>
        <w:rPr>
          <w:rFonts w:hint="eastAsia" w:ascii="宋体" w:hAnsi="宋体" w:cs="宋体"/>
          <w:spacing w:val="12"/>
          <w:szCs w:val="21"/>
        </w:rPr>
        <w:t>、权限管理、消息引擎、模板</w:t>
      </w:r>
      <w:r>
        <w:rPr>
          <w:rFonts w:hint="eastAsia" w:ascii="宋体" w:hAnsi="宋体" w:cs="宋体"/>
          <w:spacing w:val="12"/>
          <w:szCs w:val="21"/>
          <w:lang w:eastAsia="zh-Hans"/>
        </w:rPr>
        <w:t>管理</w:t>
      </w:r>
      <w:r>
        <w:rPr>
          <w:rFonts w:hint="eastAsia" w:ascii="宋体" w:hAnsi="宋体" w:cs="宋体"/>
          <w:spacing w:val="12"/>
          <w:szCs w:val="21"/>
        </w:rPr>
        <w:t>等常用框架功能。</w:t>
      </w:r>
    </w:p>
    <w:p>
      <w:pPr>
        <w:pStyle w:val="5"/>
        <w:rPr>
          <w:lang w:eastAsia="zh-Hans"/>
        </w:rPr>
      </w:pPr>
      <w:r>
        <w:rPr>
          <w:rFonts w:hint="eastAsia"/>
        </w:rPr>
        <w:t>3、</w:t>
      </w:r>
      <w:r>
        <w:rPr>
          <w:rFonts w:hint="eastAsia"/>
          <w:lang w:eastAsia="zh-Hans"/>
        </w:rPr>
        <w:t>重点功能要求</w:t>
      </w:r>
    </w:p>
    <w:p>
      <w:pPr>
        <w:pStyle w:val="16"/>
        <w:spacing w:before="156" w:beforeLines="50" w:after="156" w:afterLines="50" w:line="360" w:lineRule="auto"/>
        <w:ind w:firstLine="420"/>
        <w:rPr>
          <w:rFonts w:ascii="宋体" w:hAnsi="宋体" w:cs="宋体"/>
          <w:szCs w:val="21"/>
        </w:rPr>
      </w:pPr>
      <w:r>
        <w:rPr>
          <w:rFonts w:hint="eastAsia" w:ascii="宋体" w:hAnsi="宋体" w:cs="宋体"/>
          <w:sz w:val="21"/>
          <w:szCs w:val="21"/>
        </w:rPr>
        <w:t>★</w:t>
      </w:r>
      <w:r>
        <w:rPr>
          <w:rFonts w:hint="eastAsia" w:ascii="宋体" w:hAnsi="宋体" w:cs="宋体"/>
          <w:b/>
          <w:sz w:val="21"/>
          <w:szCs w:val="21"/>
        </w:rPr>
        <w:t>决策制度管理：</w:t>
      </w:r>
      <w:r>
        <w:rPr>
          <w:rFonts w:hint="eastAsia" w:ascii="宋体" w:hAnsi="宋体" w:cs="宋体"/>
          <w:szCs w:val="21"/>
        </w:rPr>
        <w:t xml:space="preserve">支持对各级企业的决策制度进行管理，包括但不限于公司章程、“三重一大”集体决策制度、党委（党组）会议事规则、股东会议事规则、董事会议事规则、经理层办公会议事规则、授权管理办法等。规范企业的制度制定、系统管理和维护更新。 </w:t>
      </w:r>
    </w:p>
    <w:p>
      <w:pPr>
        <w:pStyle w:val="16"/>
        <w:spacing w:before="156" w:beforeLines="50" w:after="156" w:afterLines="50" w:line="360" w:lineRule="auto"/>
        <w:ind w:firstLine="420"/>
        <w:rPr>
          <w:rFonts w:ascii="宋体" w:hAnsi="宋体" w:cs="宋体"/>
          <w:szCs w:val="21"/>
        </w:rPr>
      </w:pPr>
      <w:r>
        <w:rPr>
          <w:rFonts w:hint="eastAsia" w:ascii="宋体" w:hAnsi="宋体" w:cs="宋体"/>
          <w:sz w:val="21"/>
          <w:szCs w:val="21"/>
        </w:rPr>
        <w:t>★</w:t>
      </w:r>
      <w:r>
        <w:rPr>
          <w:rFonts w:hint="eastAsia" w:ascii="宋体" w:hAnsi="宋体" w:cs="宋体"/>
          <w:b/>
          <w:szCs w:val="21"/>
        </w:rPr>
        <w:t>决策事项清单管理</w:t>
      </w:r>
      <w:r>
        <w:rPr>
          <w:rFonts w:hint="eastAsia" w:ascii="宋体" w:hAnsi="宋体" w:cs="宋体"/>
          <w:b/>
          <w:bCs/>
          <w:szCs w:val="21"/>
        </w:rPr>
        <w:t>：</w:t>
      </w:r>
      <w:r>
        <w:rPr>
          <w:rFonts w:hint="eastAsia" w:ascii="宋体" w:hAnsi="宋体" w:cs="宋体"/>
          <w:szCs w:val="21"/>
        </w:rPr>
        <w:t xml:space="preserve">各级企业根据自身确决策事项分类、明确各类决策事项应履行的决策流程，组织制定本企业全量决策事项清单。同时根据“三重一大”制度要求，在决策事项清单中对 “三重一大”事项进行标示，进一步形成“三重一大”决策事项清单，保证决策民主化、制度化和科学化。支持对各级企业形成的决策事项清单进行管理，实现企业决策事项清单标准化、规范化、版本化管理，保证可对系统中具体决策事件全生命周期管理进行支撑。 </w:t>
      </w:r>
    </w:p>
    <w:p>
      <w:pPr>
        <w:pStyle w:val="16"/>
        <w:spacing w:before="156" w:beforeLines="50" w:after="156" w:afterLines="50" w:line="360" w:lineRule="auto"/>
        <w:ind w:firstLine="420"/>
        <w:rPr>
          <w:rFonts w:ascii="宋体" w:hAnsi="宋体" w:cs="宋体"/>
          <w:szCs w:val="21"/>
        </w:rPr>
      </w:pPr>
      <w:r>
        <w:rPr>
          <w:rFonts w:hint="eastAsia" w:ascii="宋体" w:hAnsi="宋体" w:cs="宋体"/>
          <w:sz w:val="21"/>
          <w:szCs w:val="21"/>
        </w:rPr>
        <w:t>★</w:t>
      </w:r>
      <w:r>
        <w:rPr>
          <w:rFonts w:hint="eastAsia" w:ascii="宋体" w:hAnsi="宋体" w:cs="宋体"/>
          <w:b/>
          <w:szCs w:val="21"/>
        </w:rPr>
        <w:t>议题管理</w:t>
      </w:r>
      <w:r>
        <w:rPr>
          <w:rFonts w:hint="eastAsia" w:ascii="宋体" w:hAnsi="宋体" w:cs="宋体"/>
          <w:szCs w:val="21"/>
        </w:rPr>
        <w:t xml:space="preserve">：支持对各类决策会议的议题进行管理，以具体事件为核心，匹配决策事项清单，形成该事件的决策顺序流程，串联不同会议议题，支持线上实现会议审议前的议题发起、法律审 查、上会审批及会议审议结果的全过程管理，支持在议题发起时，可对“三重一大”议题自动结合决策事项清单进行标示。 </w:t>
      </w:r>
    </w:p>
    <w:p>
      <w:pPr>
        <w:pStyle w:val="16"/>
        <w:spacing w:before="156" w:beforeLines="50" w:after="156" w:afterLines="50" w:line="360" w:lineRule="auto"/>
        <w:ind w:firstLine="420"/>
        <w:rPr>
          <w:rFonts w:ascii="宋体" w:hAnsi="宋体" w:cs="宋体"/>
          <w:szCs w:val="21"/>
        </w:rPr>
      </w:pPr>
      <w:r>
        <w:rPr>
          <w:rFonts w:hint="eastAsia" w:ascii="宋体" w:hAnsi="宋体" w:cs="宋体"/>
          <w:sz w:val="21"/>
          <w:szCs w:val="21"/>
        </w:rPr>
        <w:t>★</w:t>
      </w:r>
      <w:r>
        <w:rPr>
          <w:rFonts w:hint="eastAsia" w:ascii="宋体" w:hAnsi="宋体" w:cs="宋体"/>
          <w:b/>
          <w:szCs w:val="21"/>
        </w:rPr>
        <w:t>会议管理</w:t>
      </w:r>
      <w:r>
        <w:rPr>
          <w:rFonts w:hint="eastAsia" w:ascii="宋体" w:hAnsi="宋体" w:cs="宋体"/>
          <w:b/>
          <w:bCs/>
          <w:szCs w:val="21"/>
        </w:rPr>
        <w:t>：</w:t>
      </w:r>
      <w:r>
        <w:rPr>
          <w:rFonts w:hint="eastAsia" w:ascii="宋体" w:hAnsi="宋体" w:cs="宋体"/>
          <w:szCs w:val="21"/>
        </w:rPr>
        <w:t xml:space="preserve">支持对各类决策会议按照会前、会中、会后不同维度进行管理，会前同议题管理联动，支持会议通知的发起、审批管理；会中对人员参会、发表意见、议题表决等情况进行管理， 支持在线直播、录播能力；会后对会议决议、会议记录、音像资料等进行管理。 </w:t>
      </w:r>
    </w:p>
    <w:p>
      <w:pPr>
        <w:pStyle w:val="16"/>
        <w:spacing w:before="156" w:beforeLines="50" w:after="156" w:afterLines="50" w:line="360" w:lineRule="auto"/>
        <w:ind w:firstLine="420"/>
        <w:rPr>
          <w:rFonts w:ascii="宋体" w:hAnsi="宋体" w:cs="宋体"/>
          <w:szCs w:val="21"/>
        </w:rPr>
      </w:pPr>
      <w:r>
        <w:rPr>
          <w:rFonts w:hint="eastAsia" w:ascii="宋体" w:hAnsi="宋体" w:cs="宋体"/>
          <w:sz w:val="21"/>
          <w:szCs w:val="21"/>
        </w:rPr>
        <w:t>★</w:t>
      </w:r>
      <w:r>
        <w:rPr>
          <w:rFonts w:hint="eastAsia" w:ascii="宋体" w:hAnsi="宋体" w:cs="宋体"/>
          <w:b/>
          <w:szCs w:val="21"/>
        </w:rPr>
        <w:t>组织实施</w:t>
      </w:r>
      <w:r>
        <w:rPr>
          <w:rFonts w:hint="eastAsia" w:ascii="宋体" w:hAnsi="宋体" w:cs="宋体"/>
          <w:b/>
          <w:bCs/>
          <w:szCs w:val="21"/>
        </w:rPr>
        <w:t>：</w:t>
      </w:r>
      <w:r>
        <w:rPr>
          <w:rFonts w:hint="eastAsia" w:ascii="宋体" w:hAnsi="宋体" w:cs="宋体"/>
          <w:szCs w:val="21"/>
        </w:rPr>
        <w:t xml:space="preserve">针对各类会议的决策分工，填报分解任务，实现对时间进度、落实人、落实责任部门、实施状态、实施情况等内容的管理，根据班子成员分工和职责及时报告决策事项的执行情况，并可将不同实施状态的执行情况导出，提供给监督部门接受检查，实现决策事项的执行情况的过程、结果管理。 </w:t>
      </w:r>
    </w:p>
    <w:p>
      <w:pPr>
        <w:pStyle w:val="16"/>
        <w:spacing w:before="156" w:beforeLines="50" w:after="156" w:afterLines="50" w:line="360" w:lineRule="auto"/>
        <w:ind w:firstLine="420"/>
        <w:rPr>
          <w:rFonts w:ascii="宋体" w:hAnsi="宋体" w:cs="宋体"/>
          <w:szCs w:val="21"/>
        </w:rPr>
      </w:pPr>
      <w:r>
        <w:rPr>
          <w:rFonts w:hint="eastAsia" w:ascii="宋体" w:hAnsi="宋体" w:cs="宋体"/>
          <w:sz w:val="21"/>
          <w:szCs w:val="21"/>
        </w:rPr>
        <w:t>★</w:t>
      </w:r>
      <w:r>
        <w:rPr>
          <w:rFonts w:hint="eastAsia" w:ascii="宋体" w:hAnsi="宋体" w:cs="宋体"/>
          <w:b/>
          <w:szCs w:val="21"/>
        </w:rPr>
        <w:t>决策分析</w:t>
      </w:r>
      <w:r>
        <w:rPr>
          <w:rFonts w:hint="eastAsia" w:ascii="宋体" w:hAnsi="宋体" w:cs="宋体"/>
          <w:b/>
          <w:bCs/>
          <w:szCs w:val="21"/>
        </w:rPr>
        <w:t>：</w:t>
      </w:r>
      <w:r>
        <w:rPr>
          <w:rFonts w:hint="eastAsia" w:ascii="宋体" w:hAnsi="宋体" w:cs="宋体"/>
          <w:szCs w:val="21"/>
        </w:rPr>
        <w:t xml:space="preserve">为领导决策提供支持，根据各集团实际需要进行决策视角分析。 </w:t>
      </w:r>
    </w:p>
    <w:p>
      <w:pPr>
        <w:pStyle w:val="16"/>
        <w:spacing w:before="156" w:beforeLines="50" w:after="156" w:afterLines="50" w:line="360" w:lineRule="auto"/>
        <w:ind w:firstLine="420"/>
        <w:rPr>
          <w:rFonts w:ascii="宋体" w:hAnsi="宋体" w:cs="宋体"/>
          <w:szCs w:val="21"/>
        </w:rPr>
      </w:pPr>
      <w:r>
        <w:rPr>
          <w:rFonts w:hint="eastAsia" w:ascii="宋体" w:hAnsi="宋体" w:cs="宋体"/>
          <w:sz w:val="21"/>
          <w:szCs w:val="21"/>
        </w:rPr>
        <w:t>★</w:t>
      </w:r>
      <w:r>
        <w:rPr>
          <w:rFonts w:hint="eastAsia" w:ascii="宋体" w:hAnsi="宋体" w:cs="宋体"/>
          <w:b/>
          <w:szCs w:val="21"/>
        </w:rPr>
        <w:t>查询管理</w:t>
      </w:r>
      <w:r>
        <w:rPr>
          <w:rFonts w:hint="eastAsia" w:ascii="宋体" w:hAnsi="宋体" w:cs="宋体"/>
          <w:b/>
          <w:bCs/>
          <w:szCs w:val="21"/>
        </w:rPr>
        <w:t>：</w:t>
      </w:r>
      <w:r>
        <w:rPr>
          <w:rFonts w:hint="eastAsia" w:ascii="宋体" w:hAnsi="宋体" w:cs="宋体"/>
          <w:szCs w:val="21"/>
        </w:rPr>
        <w:t xml:space="preserve">支持从制度、事项清单、议题、会议各个维度的组合查询。 </w:t>
      </w:r>
    </w:p>
    <w:p>
      <w:pPr>
        <w:pStyle w:val="16"/>
        <w:spacing w:before="156" w:beforeLines="50" w:after="156" w:afterLines="50" w:line="360" w:lineRule="auto"/>
        <w:ind w:firstLine="420"/>
        <w:rPr>
          <w:rFonts w:ascii="宋体" w:hAnsi="宋体" w:cs="宋体"/>
          <w:szCs w:val="21"/>
        </w:rPr>
      </w:pPr>
      <w:r>
        <w:rPr>
          <w:rFonts w:hint="eastAsia" w:ascii="宋体" w:hAnsi="宋体" w:cs="宋体"/>
          <w:szCs w:val="21"/>
        </w:rPr>
        <w:t>风险预警</w:t>
      </w:r>
      <w:r>
        <w:rPr>
          <w:rFonts w:hint="eastAsia" w:ascii="宋体" w:hAnsi="宋体" w:cs="宋体"/>
          <w:b/>
          <w:bCs/>
          <w:szCs w:val="21"/>
        </w:rPr>
        <w:t>：</w:t>
      </w:r>
      <w:r>
        <w:rPr>
          <w:rFonts w:hint="eastAsia" w:ascii="宋体" w:hAnsi="宋体" w:cs="宋体"/>
          <w:szCs w:val="21"/>
        </w:rPr>
        <w:t xml:space="preserve">支持根据系统预设的管理场景，对决策过程设置校验规则，主要包括会议召开异常、党委会未前置、决策顺序异常、议题表决异常、法律审核异常等内容，触发后进行风险预警提示。 </w:t>
      </w:r>
    </w:p>
    <w:p>
      <w:pPr>
        <w:pStyle w:val="16"/>
        <w:spacing w:before="156" w:beforeLines="50" w:after="156" w:afterLines="50" w:line="360" w:lineRule="auto"/>
        <w:ind w:firstLine="420"/>
        <w:rPr>
          <w:rFonts w:ascii="宋体" w:hAnsi="宋体" w:cs="宋体"/>
          <w:b/>
          <w:bCs/>
          <w:sz w:val="21"/>
          <w:szCs w:val="21"/>
          <w:lang w:eastAsia="zh-Hans"/>
        </w:rPr>
      </w:pPr>
      <w:r>
        <w:rPr>
          <w:rFonts w:hint="eastAsia" w:ascii="宋体" w:hAnsi="宋体" w:cs="宋体"/>
          <w:sz w:val="21"/>
          <w:szCs w:val="21"/>
        </w:rPr>
        <w:t>★</w:t>
      </w:r>
      <w:r>
        <w:rPr>
          <w:rFonts w:hint="eastAsia" w:ascii="宋体" w:hAnsi="宋体" w:cs="宋体"/>
          <w:b/>
          <w:bCs/>
          <w:sz w:val="21"/>
          <w:szCs w:val="21"/>
          <w:lang w:eastAsia="zh-Hans"/>
        </w:rPr>
        <w:t>流程引擎</w:t>
      </w:r>
    </w:p>
    <w:p>
      <w:pPr>
        <w:pStyle w:val="16"/>
        <w:spacing w:before="156" w:beforeLines="50" w:after="156" w:afterLines="50" w:line="360" w:lineRule="auto"/>
        <w:ind w:firstLine="420"/>
        <w:rPr>
          <w:rFonts w:ascii="宋体" w:hAnsi="宋体" w:cs="宋体"/>
          <w:sz w:val="21"/>
          <w:szCs w:val="21"/>
          <w:lang w:eastAsia="zh-Hans"/>
        </w:rPr>
      </w:pPr>
      <w:r>
        <w:rPr>
          <w:rFonts w:hint="eastAsia" w:ascii="宋体" w:hAnsi="宋体" w:cs="宋体"/>
          <w:sz w:val="21"/>
          <w:szCs w:val="21"/>
          <w:lang w:eastAsia="zh-Hans"/>
        </w:rPr>
        <w:t>建立一套稳定的流程引擎，能通过该流程引擎达到业务单据在审批过程中的过程管理，包括：表单设计中心、表单数据服务、表单渲染、流程模型中心、流程流转、流程管理后台、露出中心、待办中心等功能。</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通过</w:t>
      </w:r>
      <w:r>
        <w:rPr>
          <w:rFonts w:hint="eastAsia" w:ascii="宋体" w:hAnsi="宋体" w:cs="宋体"/>
          <w:szCs w:val="21"/>
          <w:lang w:eastAsia="zh-Hans"/>
        </w:rPr>
        <w:t>系统</w:t>
      </w:r>
      <w:r>
        <w:rPr>
          <w:rFonts w:hint="eastAsia" w:ascii="宋体" w:hAnsi="宋体" w:cs="宋体"/>
          <w:szCs w:val="21"/>
        </w:rPr>
        <w:t>构建统一的流程审批平台，提供流程标准模板，通过流程的建立和规范、流程数据分析，最终达到优化流程。通过流程优化，减少公司</w:t>
      </w:r>
      <w:r>
        <w:rPr>
          <w:rFonts w:hint="eastAsia" w:ascii="宋体" w:hAnsi="宋体" w:cs="宋体"/>
          <w:szCs w:val="21"/>
          <w:lang w:eastAsia="zh-Hans"/>
        </w:rPr>
        <w:t>工作</w:t>
      </w:r>
      <w:r>
        <w:rPr>
          <w:rFonts w:hint="eastAsia" w:ascii="宋体" w:hAnsi="宋体" w:cs="宋体"/>
          <w:szCs w:val="21"/>
        </w:rPr>
        <w:t>业务中的非增值活动、等待时间、重复和协调的工作量，在解决协同工作和信息共享的同时，实现在线业务流转和管理，真正提高办公效率，挖掘和发挥员工价值；</w:t>
      </w:r>
    </w:p>
    <w:p>
      <w:pPr>
        <w:spacing w:before="156" w:beforeLines="50" w:after="156" w:afterLines="50" w:line="360" w:lineRule="auto"/>
        <w:ind w:firstLine="420" w:firstLineChars="200"/>
        <w:rPr>
          <w:rFonts w:hint="eastAsia" w:ascii="宋体" w:hAnsi="宋体" w:cs="宋体"/>
          <w:szCs w:val="21"/>
        </w:rPr>
      </w:pPr>
      <w:r>
        <w:rPr>
          <w:rFonts w:hint="eastAsia" w:ascii="宋体" w:hAnsi="宋体" w:cs="宋体"/>
          <w:szCs w:val="21"/>
          <w:lang w:eastAsia="zh-Hans"/>
        </w:rPr>
        <w:t>实现面向</w:t>
      </w:r>
      <w:r>
        <w:rPr>
          <w:rFonts w:hint="eastAsia" w:ascii="宋体" w:hAnsi="宋体" w:cs="宋体"/>
          <w:szCs w:val="21"/>
        </w:rPr>
        <w:t>公司</w:t>
      </w:r>
      <w:r>
        <w:rPr>
          <w:rFonts w:hint="eastAsia" w:ascii="宋体" w:hAnsi="宋体" w:cs="宋体"/>
          <w:szCs w:val="21"/>
          <w:lang w:eastAsia="zh-Hans"/>
        </w:rPr>
        <w:t>所有职能部门和各种工作业务规则与过程的电子化描述，管理在协同工作进程中的信息流通与业务活动。方便自定义工作流程，简单易用的可视化流程拖拽移动形式，以智能的方式处理过程，保证工作中的某项任务完成后，实时地把工作传送给处理过程中的下一步，保留工作流转进程中的操作痕迹，实现流程处理完成后的各类统计分析</w:t>
      </w:r>
      <w:r>
        <w:rPr>
          <w:rFonts w:hint="eastAsia" w:ascii="宋体" w:hAnsi="宋体" w:cs="宋体"/>
          <w:szCs w:val="21"/>
        </w:rPr>
        <w:t>。（提供对应系统截图）</w:t>
      </w:r>
    </w:p>
    <w:p>
      <w:pPr>
        <w:spacing w:before="156" w:beforeLines="50" w:after="156" w:afterLines="50" w:line="360" w:lineRule="auto"/>
        <w:ind w:firstLine="420" w:firstLineChars="200"/>
        <w:rPr>
          <w:rFonts w:ascii="宋体" w:hAnsi="宋体" w:cs="宋体"/>
          <w:b/>
          <w:bCs/>
          <w:szCs w:val="21"/>
          <w:lang w:eastAsia="zh-Hans"/>
        </w:rPr>
      </w:pPr>
      <w:r>
        <w:rPr>
          <w:rFonts w:hint="eastAsia" w:ascii="宋体" w:hAnsi="宋体" w:cs="宋体"/>
          <w:szCs w:val="21"/>
        </w:rPr>
        <w:t>★</w:t>
      </w:r>
      <w:r>
        <w:rPr>
          <w:rFonts w:hint="eastAsia" w:ascii="宋体" w:hAnsi="宋体" w:cs="宋体"/>
          <w:b/>
          <w:bCs/>
          <w:szCs w:val="21"/>
          <w:lang w:eastAsia="zh-Hans"/>
        </w:rPr>
        <w:t>单点登录</w:t>
      </w:r>
    </w:p>
    <w:p>
      <w:pPr>
        <w:pStyle w:val="42"/>
        <w:spacing w:before="156" w:beforeLines="50" w:after="156" w:afterLines="50" w:line="360" w:lineRule="auto"/>
        <w:ind w:left="0" w:leftChars="0" w:firstLineChars="200"/>
        <w:rPr>
          <w:rFonts w:ascii="宋体" w:hAnsi="宋体" w:cs="宋体"/>
          <w:sz w:val="21"/>
          <w:szCs w:val="21"/>
        </w:rPr>
      </w:pPr>
      <w:r>
        <w:rPr>
          <w:rFonts w:hint="eastAsia" w:ascii="宋体" w:hAnsi="宋体" w:cs="宋体"/>
          <w:sz w:val="21"/>
          <w:szCs w:val="21"/>
          <w:lang w:eastAsia="zh-Hans"/>
        </w:rPr>
        <w:t>支持账号</w:t>
      </w:r>
      <w:r>
        <w:rPr>
          <w:rFonts w:ascii="宋体" w:hAnsi="宋体" w:cs="宋体"/>
          <w:sz w:val="21"/>
          <w:szCs w:val="21"/>
          <w:lang w:eastAsia="zh-Hans"/>
        </w:rPr>
        <w:t>+</w:t>
      </w:r>
      <w:r>
        <w:rPr>
          <w:rFonts w:hint="eastAsia" w:ascii="宋体" w:hAnsi="宋体" w:cs="宋体"/>
          <w:sz w:val="21"/>
          <w:szCs w:val="21"/>
          <w:lang w:eastAsia="zh-Hans"/>
        </w:rPr>
        <w:t>密码、手机号</w:t>
      </w:r>
      <w:r>
        <w:rPr>
          <w:rFonts w:ascii="宋体" w:hAnsi="宋体" w:cs="宋体"/>
          <w:sz w:val="21"/>
          <w:szCs w:val="21"/>
          <w:lang w:eastAsia="zh-Hans"/>
        </w:rPr>
        <w:t>+</w:t>
      </w:r>
      <w:r>
        <w:rPr>
          <w:rFonts w:hint="eastAsia" w:ascii="宋体" w:hAnsi="宋体" w:cs="宋体"/>
          <w:sz w:val="21"/>
          <w:szCs w:val="21"/>
          <w:lang w:eastAsia="zh-Hans"/>
        </w:rPr>
        <w:t>验证码、二维码扫码、USBKey等多种登录方式。</w:t>
      </w:r>
      <w:r>
        <w:rPr>
          <w:rFonts w:hint="eastAsia" w:ascii="宋体" w:hAnsi="宋体" w:cs="宋体"/>
          <w:sz w:val="21"/>
          <w:szCs w:val="21"/>
        </w:rPr>
        <w:t>系统平台能够提供统一的单点登录，实现其他业务系统的单点登录，所有用户可通过系统登录到其他业务系统，不需要重复输入帐号密码。在某一个系统注销也同时注销其它系统。避免未来建设越来越多的业务系统，导致用户需记忆大量的系统访问地址、帐号密码。（提供对应系统截图）</w:t>
      </w:r>
    </w:p>
    <w:p>
      <w:pPr>
        <w:pStyle w:val="41"/>
        <w:spacing w:before="156" w:beforeLines="50" w:after="156" w:afterLines="50" w:line="360" w:lineRule="auto"/>
        <w:rPr>
          <w:rFonts w:hAnsi="宋体" w:eastAsia="宋体" w:cs="宋体"/>
          <w:b/>
          <w:bCs/>
          <w:kern w:val="2"/>
          <w:sz w:val="21"/>
          <w:szCs w:val="21"/>
          <w:lang w:eastAsia="zh-Hans"/>
        </w:rPr>
      </w:pPr>
      <w:r>
        <w:rPr>
          <w:rFonts w:hint="eastAsia" w:hAnsi="宋体" w:eastAsia="宋体" w:cs="宋体"/>
          <w:b/>
          <w:bCs/>
          <w:kern w:val="2"/>
          <w:sz w:val="21"/>
          <w:szCs w:val="21"/>
          <w:lang w:eastAsia="zh-Hans"/>
        </w:rPr>
        <w:t>数据交互及接口管理</w:t>
      </w:r>
    </w:p>
    <w:p>
      <w:pPr>
        <w:pStyle w:val="16"/>
        <w:spacing w:before="156" w:beforeLines="50" w:after="156" w:afterLines="50" w:line="360" w:lineRule="auto"/>
        <w:ind w:firstLine="420"/>
        <w:rPr>
          <w:rFonts w:ascii="宋体" w:hAnsi="宋体" w:cs="宋体"/>
          <w:szCs w:val="21"/>
        </w:rPr>
      </w:pPr>
      <w:r>
        <w:rPr>
          <w:rFonts w:hint="eastAsia" w:ascii="宋体" w:hAnsi="宋体" w:cs="宋体"/>
          <w:szCs w:val="21"/>
        </w:rPr>
        <w:t>规范接口：统一规范对外接口，能与企业财务、投资、</w:t>
      </w:r>
      <w:r>
        <w:rPr>
          <w:rFonts w:ascii="宋体" w:hAnsi="宋体" w:cs="宋体"/>
          <w:szCs w:val="21"/>
        </w:rPr>
        <w:t>OA</w:t>
      </w:r>
      <w:r>
        <w:rPr>
          <w:rFonts w:hint="eastAsia" w:ascii="宋体" w:hAnsi="宋体" w:cs="宋体"/>
          <w:szCs w:val="21"/>
        </w:rPr>
        <w:t>、人事、业务系统等进行数据共享，实现业务场景联动。（提供对应系统截图）</w:t>
      </w:r>
    </w:p>
    <w:p>
      <w:pPr>
        <w:pStyle w:val="16"/>
        <w:spacing w:before="156" w:beforeLines="50" w:after="156" w:afterLines="50" w:line="360" w:lineRule="auto"/>
        <w:ind w:firstLine="420"/>
        <w:rPr>
          <w:rFonts w:hint="eastAsia" w:ascii="宋体" w:hAnsi="宋体" w:cs="宋体"/>
          <w:sz w:val="21"/>
          <w:szCs w:val="21"/>
        </w:rPr>
      </w:pPr>
      <w:r>
        <w:rPr>
          <w:rFonts w:hint="eastAsia" w:ascii="宋体" w:hAnsi="宋体" w:cs="宋体"/>
          <w:szCs w:val="21"/>
        </w:rPr>
        <w:t>按照市国资委接口规范要求，能够及时上传各项监管指标数据。</w:t>
      </w:r>
    </w:p>
    <w:p>
      <w:pPr>
        <w:pStyle w:val="41"/>
        <w:spacing w:before="156" w:beforeLines="50" w:after="156" w:afterLines="50" w:line="360" w:lineRule="auto"/>
        <w:rPr>
          <w:rFonts w:hAnsi="宋体" w:eastAsia="宋体" w:cs="宋体"/>
          <w:b/>
          <w:bCs/>
          <w:kern w:val="2"/>
          <w:sz w:val="21"/>
          <w:szCs w:val="21"/>
          <w:lang w:eastAsia="zh-Hans"/>
        </w:rPr>
      </w:pPr>
      <w:r>
        <w:rPr>
          <w:rFonts w:hint="eastAsia" w:hAnsi="宋体" w:eastAsia="宋体" w:cs="宋体"/>
          <w:b/>
          <w:bCs/>
          <w:kern w:val="2"/>
          <w:sz w:val="21"/>
          <w:szCs w:val="21"/>
          <w:lang w:eastAsia="zh-Hans"/>
        </w:rPr>
        <w:t>用户中心</w:t>
      </w:r>
    </w:p>
    <w:p>
      <w:pPr>
        <w:pStyle w:val="41"/>
        <w:spacing w:before="156" w:beforeLines="50" w:after="156" w:afterLines="50" w:line="360" w:lineRule="auto"/>
        <w:rPr>
          <w:rFonts w:hAnsi="宋体" w:eastAsia="宋体" w:cs="宋体"/>
          <w:kern w:val="2"/>
          <w:sz w:val="21"/>
          <w:szCs w:val="21"/>
          <w:lang w:eastAsia="zh-Hans"/>
        </w:rPr>
      </w:pPr>
      <w:r>
        <w:rPr>
          <w:rFonts w:hint="eastAsia" w:hAnsi="宋体" w:eastAsia="宋体" w:cs="宋体"/>
          <w:kern w:val="2"/>
          <w:sz w:val="21"/>
          <w:szCs w:val="21"/>
          <w:lang w:eastAsia="zh-Hans"/>
        </w:rPr>
        <w:t>实现对整体平台用户信息、用户权限、用户角色、角色权限管理等功能，并将系统用户与各个业务模块有效的关联。</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统一用户</w:t>
      </w:r>
      <w:r>
        <w:rPr>
          <w:rFonts w:hint="eastAsia" w:ascii="宋体" w:hAnsi="宋体" w:cs="宋体"/>
          <w:szCs w:val="21"/>
          <w:lang w:eastAsia="zh-Hans"/>
        </w:rPr>
        <w:t>中心</w:t>
      </w:r>
      <w:r>
        <w:rPr>
          <w:rFonts w:hint="eastAsia" w:ascii="宋体" w:hAnsi="宋体" w:cs="宋体"/>
          <w:szCs w:val="21"/>
        </w:rPr>
        <w:t>管理作为</w:t>
      </w:r>
      <w:r>
        <w:rPr>
          <w:rFonts w:hint="eastAsia" w:ascii="宋体" w:hAnsi="宋体" w:cs="宋体"/>
          <w:szCs w:val="21"/>
          <w:lang w:eastAsia="zh-Hans"/>
        </w:rPr>
        <w:t>开发平台项目</w:t>
      </w:r>
      <w:r>
        <w:rPr>
          <w:rFonts w:hint="eastAsia" w:ascii="宋体" w:hAnsi="宋体" w:cs="宋体"/>
          <w:szCs w:val="21"/>
        </w:rPr>
        <w:t>建设</w:t>
      </w:r>
      <w:r>
        <w:rPr>
          <w:rFonts w:hint="eastAsia" w:ascii="宋体" w:hAnsi="宋体" w:cs="宋体"/>
          <w:szCs w:val="21"/>
          <w:lang w:eastAsia="zh-Hans"/>
        </w:rPr>
        <w:t>的</w:t>
      </w:r>
      <w:r>
        <w:rPr>
          <w:rFonts w:hint="eastAsia" w:ascii="宋体" w:hAnsi="宋体" w:cs="宋体"/>
          <w:szCs w:val="21"/>
        </w:rPr>
        <w:t>独立部分，实现公司多层次组织架构、全员管理，实现用户真正意义上的身份认证统一管控，从用户与安全管控的角度打通公司所有应用，并成为平台技术支撑服务底座核心组件。功能包括：组织管理、用户管理、身份管理、业务数据权限统一管理、用户行为管理等。</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组织用户管理</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平台具有极高的用户治理能力，覆盖用户全生命周期管理、用户属性自定义、用户电子身份唯一化，同时平台支持用户、组织、角色、岗位等多种用户治理维度，保证用户在组织内部得到全面治理。</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组织管理</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组织的新增、修改、删除、查看等基本操作；支持组织属性自定义，支持多维度组织结构，不同组织机构树上的组织可以有不同的属性，支持一人多岗。</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用户层级管理</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支持按照岗位、角色、职位等多维度用户层级管理，可以对于各用户层级授予不同应用权限、操作权限和数据权限。</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用户账号管理</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账号的新建、修改、删除、解绑、启用、禁用、修改密码等操作，且可以将账号与应用进行关联；支持账号的批量操作。</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组织人员数据同步</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平台的用户、机构、账号等身份数据与各应用系统的数据同步，包括从上游应用系统回数据和从平台往下游应用系统的供应数据，为集中管理用户、机构、权限提供基础。</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用户认证管理</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能够与集团现有系统将集成，或者具备独立的人员认证管理服务，实现对信息资源访问权限的集中控制，能够提供SSO服务。</w:t>
      </w:r>
    </w:p>
    <w:p>
      <w:pPr>
        <w:spacing w:before="156" w:beforeLines="50" w:after="156" w:afterLines="50" w:line="360" w:lineRule="auto"/>
        <w:ind w:firstLine="420" w:firstLineChars="200"/>
        <w:rPr>
          <w:rFonts w:ascii="宋体" w:hAnsi="宋体" w:cs="宋体"/>
          <w:szCs w:val="21"/>
        </w:rPr>
      </w:pPr>
      <w:r>
        <w:rPr>
          <w:rFonts w:hint="eastAsia" w:ascii="宋体" w:hAnsi="宋体" w:cs="宋体"/>
          <w:szCs w:val="21"/>
        </w:rPr>
        <w:t>访问等日志审计</w:t>
      </w:r>
    </w:p>
    <w:p>
      <w:pPr>
        <w:spacing w:before="156" w:beforeLines="50" w:after="156" w:afterLines="50" w:line="360" w:lineRule="auto"/>
        <w:ind w:firstLine="420" w:firstLineChars="200"/>
        <w:rPr>
          <w:rFonts w:ascii="宋体" w:hAnsi="宋体" w:cs="宋体"/>
          <w:szCs w:val="21"/>
          <w:lang w:eastAsia="zh-Hans"/>
        </w:rPr>
      </w:pPr>
      <w:r>
        <w:rPr>
          <w:rFonts w:hint="eastAsia" w:ascii="宋体" w:hAnsi="宋体" w:cs="宋体"/>
          <w:szCs w:val="21"/>
        </w:rPr>
        <w:t>提供认证日志、访问日志、操作日志、同步日志、系统日志记录供查询、跟踪、审计，支持同步日志数据到日志管理平台。系统日志支持调整日志级别方便调试排查问题。</w:t>
      </w:r>
    </w:p>
    <w:p>
      <w:pPr>
        <w:pStyle w:val="16"/>
        <w:spacing w:before="156" w:beforeLines="50" w:after="156" w:afterLines="50" w:line="360" w:lineRule="auto"/>
        <w:ind w:firstLine="420"/>
        <w:rPr>
          <w:rFonts w:ascii="宋体" w:hAnsi="宋体" w:cs="宋体"/>
          <w:b/>
          <w:bCs/>
          <w:sz w:val="21"/>
          <w:szCs w:val="21"/>
          <w:lang w:eastAsia="zh-Hans"/>
        </w:rPr>
      </w:pPr>
      <w:r>
        <w:rPr>
          <w:rFonts w:hint="eastAsia" w:ascii="宋体" w:hAnsi="宋体" w:cs="宋体"/>
          <w:b/>
          <w:bCs/>
          <w:sz w:val="21"/>
          <w:szCs w:val="21"/>
          <w:lang w:eastAsia="zh-Hans"/>
        </w:rPr>
        <w:t>规则引擎</w:t>
      </w:r>
    </w:p>
    <w:p>
      <w:pPr>
        <w:spacing w:before="156" w:beforeLines="50" w:after="156" w:afterLines="50" w:line="360" w:lineRule="auto"/>
        <w:ind w:firstLine="420" w:firstLineChars="200"/>
        <w:rPr>
          <w:rFonts w:hint="eastAsia" w:ascii="宋体" w:hAnsi="宋体" w:cs="宋体"/>
          <w:szCs w:val="21"/>
          <w:lang w:eastAsia="zh-Hans"/>
        </w:rPr>
      </w:pPr>
      <w:r>
        <w:rPr>
          <w:rFonts w:hint="eastAsia" w:ascii="宋体" w:hAnsi="宋体" w:cs="宋体"/>
          <w:szCs w:val="21"/>
          <w:lang w:eastAsia="zh-Hans"/>
        </w:rPr>
        <w:t>系统平台提供业务应用管理功能，根据不同使用部门，定制业务应用，支撑业务工作全面线上化，满足公司业务管理需求，规则引擎为系统管理员或业务使用者，提供了快速构建规则的一体化应用的在线工具。实现业务规则制订、解析、调用、执行规则包的功能，达到在业务变化的情况，能够通过规则引擎简单快速的实现配置规则达到适配业务。同时对规则引擎构建的应用将功能组件、权限控制、流程应用、集成接口进行代码封装可进行应用的打包、应用监控、应用发布。为系统提供业务配置应用，让系统功能的实现可视化、配置化，使应用功能的建设更简单、更便捷。</w:t>
      </w:r>
    </w:p>
    <w:p>
      <w:pPr>
        <w:spacing w:before="156" w:beforeLines="50" w:after="156" w:afterLines="50" w:line="360" w:lineRule="auto"/>
        <w:ind w:firstLine="422" w:firstLineChars="200"/>
        <w:rPr>
          <w:rFonts w:ascii="宋体" w:hAnsi="宋体" w:cs="宋体"/>
          <w:b/>
          <w:bCs/>
          <w:szCs w:val="21"/>
          <w:lang w:eastAsia="zh-Hans"/>
        </w:rPr>
      </w:pPr>
      <w:r>
        <w:rPr>
          <w:rFonts w:hint="eastAsia" w:ascii="宋体" w:hAnsi="宋体" w:cs="宋体"/>
          <w:b/>
          <w:bCs/>
          <w:szCs w:val="21"/>
          <w:lang w:eastAsia="zh-Hans"/>
        </w:rPr>
        <w:t>系统运维</w:t>
      </w:r>
    </w:p>
    <w:p>
      <w:pPr>
        <w:pStyle w:val="42"/>
        <w:spacing w:before="156" w:beforeLines="50" w:after="156" w:afterLines="50" w:line="360" w:lineRule="auto"/>
        <w:ind w:left="0" w:leftChars="0" w:firstLineChars="200"/>
        <w:rPr>
          <w:rFonts w:hint="eastAsia" w:ascii="宋体" w:hAnsi="宋体" w:cs="宋体"/>
          <w:sz w:val="21"/>
          <w:szCs w:val="21"/>
          <w:lang w:eastAsia="zh-Hans"/>
        </w:rPr>
      </w:pPr>
      <w:r>
        <w:rPr>
          <w:rFonts w:hint="eastAsia" w:ascii="宋体" w:hAnsi="宋体" w:cs="宋体"/>
          <w:sz w:val="21"/>
          <w:szCs w:val="21"/>
        </w:rPr>
        <w:t>提供专业的系统运维工具，改变以往传统的问题事后处理的模式，能够实时监控服务器运行状况，并设置预警值，在问题发生前进行预警提醒。例如CPU、内存占用率，实现异常自动提醒。</w:t>
      </w:r>
    </w:p>
    <w:p>
      <w:pPr>
        <w:pStyle w:val="5"/>
        <w:rPr>
          <w:lang w:eastAsia="zh-Hans"/>
        </w:rPr>
      </w:pPr>
      <w:r>
        <w:rPr>
          <w:rFonts w:hint="eastAsia"/>
        </w:rPr>
        <w:t>4、</w:t>
      </w:r>
      <w:r>
        <w:rPr>
          <w:rFonts w:hint="eastAsia"/>
          <w:lang w:eastAsia="zh-Hans"/>
        </w:rPr>
        <w:t>项目性能要求</w:t>
      </w:r>
    </w:p>
    <w:p>
      <w:pPr>
        <w:pStyle w:val="42"/>
        <w:spacing w:before="156" w:beforeLines="50" w:after="156" w:afterLines="50" w:line="360" w:lineRule="auto"/>
        <w:ind w:left="0" w:leftChars="0"/>
        <w:rPr>
          <w:rFonts w:ascii="宋体" w:hAnsi="宋体" w:cs="宋体"/>
          <w:sz w:val="21"/>
          <w:szCs w:val="21"/>
          <w:lang w:eastAsia="zh-Hans"/>
        </w:rPr>
      </w:pPr>
      <w:r>
        <w:rPr>
          <w:rFonts w:ascii="宋体" w:hAnsi="宋体" w:cs="宋体"/>
          <w:sz w:val="21"/>
          <w:szCs w:val="21"/>
          <w:lang w:eastAsia="zh-Hans"/>
        </w:rPr>
        <w:t>4.1</w:t>
      </w:r>
      <w:r>
        <w:rPr>
          <w:rFonts w:hint="eastAsia" w:ascii="宋体" w:hAnsi="宋体" w:cs="宋体"/>
          <w:sz w:val="21"/>
          <w:szCs w:val="21"/>
          <w:lang w:eastAsia="zh-Hans"/>
        </w:rPr>
        <w:t>、系统基础管理</w:t>
      </w:r>
    </w:p>
    <w:p>
      <w:pPr>
        <w:pStyle w:val="42"/>
        <w:spacing w:before="156" w:beforeLines="50" w:after="156" w:afterLines="50" w:line="360" w:lineRule="auto"/>
        <w:ind w:left="0" w:leftChars="0"/>
        <w:rPr>
          <w:rFonts w:ascii="宋体" w:hAnsi="宋体" w:cs="宋体"/>
          <w:sz w:val="21"/>
          <w:szCs w:val="21"/>
          <w:lang w:eastAsia="zh-Hans"/>
        </w:rPr>
      </w:pPr>
      <w:r>
        <w:rPr>
          <w:rFonts w:hint="eastAsia" w:ascii="宋体" w:hAnsi="宋体" w:cs="宋体"/>
          <w:sz w:val="21"/>
          <w:szCs w:val="21"/>
          <w:lang w:eastAsia="zh-Hans"/>
        </w:rPr>
        <w:t>提供面向系统管理员的系统基础管理权限：包括但不限于基础信息管理、组织管理、应用功能和权限管理、功能管理等内容。</w:t>
      </w:r>
    </w:p>
    <w:p>
      <w:pPr>
        <w:pStyle w:val="42"/>
        <w:spacing w:before="156" w:beforeLines="50" w:after="156" w:afterLines="50" w:line="360" w:lineRule="auto"/>
        <w:ind w:left="0" w:leftChars="0"/>
        <w:rPr>
          <w:rFonts w:ascii="宋体" w:hAnsi="宋体" w:cs="宋体"/>
          <w:sz w:val="21"/>
          <w:szCs w:val="21"/>
          <w:lang w:eastAsia="zh-Hans"/>
        </w:rPr>
      </w:pPr>
      <w:r>
        <w:rPr>
          <w:rFonts w:ascii="宋体" w:hAnsi="宋体" w:cs="宋体"/>
          <w:sz w:val="21"/>
          <w:szCs w:val="21"/>
          <w:lang w:eastAsia="zh-Hans"/>
        </w:rPr>
        <w:t>4.2</w:t>
      </w:r>
      <w:r>
        <w:rPr>
          <w:rFonts w:hint="eastAsia" w:ascii="宋体" w:hAnsi="宋体" w:cs="宋体"/>
          <w:sz w:val="21"/>
          <w:szCs w:val="21"/>
          <w:lang w:eastAsia="zh-Hans"/>
        </w:rPr>
        <w:t>、系统部署</w:t>
      </w:r>
    </w:p>
    <w:p>
      <w:pPr>
        <w:pStyle w:val="42"/>
        <w:spacing w:before="156" w:beforeLines="50" w:after="156" w:afterLines="50" w:line="360" w:lineRule="auto"/>
        <w:ind w:left="0" w:leftChars="0"/>
        <w:rPr>
          <w:rFonts w:ascii="宋体" w:hAnsi="宋体" w:cs="宋体"/>
          <w:sz w:val="21"/>
          <w:szCs w:val="21"/>
          <w:lang w:eastAsia="zh-Hans"/>
        </w:rPr>
      </w:pPr>
      <w:r>
        <w:rPr>
          <w:rFonts w:hint="eastAsia" w:ascii="宋体" w:hAnsi="宋体" w:cs="宋体"/>
          <w:sz w:val="21"/>
          <w:szCs w:val="21"/>
          <w:lang w:eastAsia="zh-Hans"/>
        </w:rPr>
        <w:t>本项目安装部署可采用私有化或公有云部署，由招标方提供计算资源、存储资源、操作系统、数据库等基础环境，需中标方完成本项目定制开发功能，并支持与本项目相关系统功能的流畅衔接，并针对本项目提出定制开发软件与操作系统、数据库、应用中间件等系统软件的部署策略和配置方案，组织完成本项目调试部署工作。</w:t>
      </w:r>
    </w:p>
    <w:p>
      <w:pPr>
        <w:pStyle w:val="42"/>
        <w:spacing w:before="156" w:beforeLines="50" w:after="156" w:afterLines="50" w:line="360" w:lineRule="auto"/>
        <w:ind w:left="0" w:leftChars="0"/>
        <w:rPr>
          <w:rFonts w:ascii="宋体" w:hAnsi="宋体" w:cs="宋体"/>
          <w:sz w:val="21"/>
          <w:szCs w:val="21"/>
          <w:lang w:eastAsia="zh-Hans"/>
        </w:rPr>
      </w:pPr>
      <w:r>
        <w:rPr>
          <w:rFonts w:ascii="宋体" w:hAnsi="宋体" w:cs="宋体"/>
          <w:sz w:val="21"/>
          <w:szCs w:val="21"/>
          <w:lang w:eastAsia="zh-Hans"/>
        </w:rPr>
        <w:t>4.3、</w:t>
      </w:r>
      <w:r>
        <w:rPr>
          <w:rFonts w:hint="eastAsia" w:ascii="宋体" w:hAnsi="宋体" w:cs="宋体"/>
          <w:sz w:val="21"/>
          <w:szCs w:val="21"/>
          <w:lang w:eastAsia="zh-Hans"/>
        </w:rPr>
        <w:t>项目保密要求</w:t>
      </w:r>
    </w:p>
    <w:p>
      <w:pPr>
        <w:pStyle w:val="42"/>
        <w:spacing w:before="156" w:beforeLines="50" w:after="156" w:afterLines="50" w:line="360" w:lineRule="auto"/>
        <w:ind w:left="0" w:leftChars="0"/>
        <w:rPr>
          <w:rFonts w:ascii="宋体" w:hAnsi="宋体" w:cs="宋体"/>
          <w:sz w:val="21"/>
          <w:szCs w:val="21"/>
          <w:lang w:eastAsia="zh-Hans"/>
        </w:rPr>
      </w:pPr>
      <w:r>
        <w:rPr>
          <w:rFonts w:hint="eastAsia" w:ascii="宋体" w:hAnsi="宋体" w:cs="宋体"/>
          <w:sz w:val="21"/>
          <w:szCs w:val="21"/>
          <w:lang w:eastAsia="zh-Hans"/>
        </w:rPr>
        <w:t>投标人必须对项目技术文件以及由采购人提供的所有资料和信息予以保密。投标人必须遵守与采购人签订的保密协议，未经采购人书面许可，投标人不得以任何形式向第三方透露本项目的任何内容。</w:t>
      </w:r>
    </w:p>
    <w:p>
      <w:pPr>
        <w:pStyle w:val="42"/>
        <w:spacing w:before="156" w:beforeLines="50" w:after="156" w:afterLines="50" w:line="360" w:lineRule="auto"/>
        <w:ind w:left="0" w:leftChars="0"/>
        <w:rPr>
          <w:rFonts w:ascii="宋体" w:hAnsi="宋体" w:cs="宋体"/>
          <w:sz w:val="21"/>
          <w:szCs w:val="21"/>
          <w:lang w:eastAsia="zh-Hans"/>
        </w:rPr>
      </w:pPr>
      <w:r>
        <w:rPr>
          <w:rFonts w:ascii="宋体" w:hAnsi="宋体" w:cs="宋体"/>
          <w:sz w:val="21"/>
          <w:szCs w:val="21"/>
          <w:lang w:eastAsia="zh-Hans"/>
        </w:rPr>
        <w:t>4.4、</w:t>
      </w:r>
      <w:r>
        <w:rPr>
          <w:rFonts w:hint="eastAsia" w:ascii="宋体" w:hAnsi="宋体" w:cs="宋体"/>
          <w:sz w:val="21"/>
          <w:szCs w:val="21"/>
          <w:lang w:eastAsia="zh-Hans"/>
        </w:rPr>
        <w:t>系统性能需求</w:t>
      </w:r>
    </w:p>
    <w:p>
      <w:pPr>
        <w:pStyle w:val="42"/>
        <w:spacing w:before="156" w:beforeLines="50" w:after="156" w:afterLines="50" w:line="360" w:lineRule="auto"/>
        <w:ind w:leftChars="0" w:firstLine="0"/>
        <w:rPr>
          <w:rFonts w:ascii="宋体" w:hAnsi="宋体" w:cs="宋体"/>
          <w:sz w:val="21"/>
          <w:szCs w:val="21"/>
          <w:lang w:eastAsia="zh-Hans"/>
        </w:rPr>
      </w:pPr>
      <w:r>
        <w:rPr>
          <w:rFonts w:ascii="宋体" w:hAnsi="宋体" w:cs="宋体"/>
          <w:sz w:val="21"/>
          <w:szCs w:val="21"/>
          <w:lang w:eastAsia="zh-Hans"/>
        </w:rPr>
        <w:t>4.4.1</w:t>
      </w:r>
      <w:r>
        <w:rPr>
          <w:rFonts w:hint="eastAsia" w:ascii="宋体" w:hAnsi="宋体" w:cs="宋体"/>
          <w:sz w:val="21"/>
          <w:szCs w:val="21"/>
          <w:lang w:eastAsia="zh-Hans"/>
        </w:rPr>
        <w:t>系统性能总体要求</w:t>
      </w:r>
    </w:p>
    <w:p>
      <w:pPr>
        <w:pStyle w:val="42"/>
        <w:spacing w:before="156" w:beforeLines="50" w:after="156" w:afterLines="50" w:line="360" w:lineRule="auto"/>
        <w:ind w:left="0" w:leftChars="0" w:firstLine="0"/>
        <w:rPr>
          <w:rFonts w:ascii="宋体" w:hAnsi="宋体" w:cs="宋体"/>
          <w:sz w:val="21"/>
          <w:szCs w:val="21"/>
          <w:lang w:eastAsia="zh-Hans"/>
        </w:rPr>
      </w:pPr>
      <w:r>
        <w:rPr>
          <w:rFonts w:hint="eastAsia" w:ascii="宋体" w:hAnsi="宋体" w:cs="宋体"/>
          <w:sz w:val="21"/>
          <w:szCs w:val="21"/>
          <w:lang w:eastAsia="zh-Hans"/>
        </w:rPr>
        <w:t xml:space="preserve">  </w:t>
      </w:r>
      <w:r>
        <w:rPr>
          <w:rFonts w:hint="eastAsia" w:ascii="宋体" w:hAnsi="宋体" w:cs="宋体"/>
          <w:sz w:val="21"/>
          <w:szCs w:val="21"/>
        </w:rPr>
        <w:tab/>
      </w:r>
      <w:r>
        <w:rPr>
          <w:rFonts w:hint="eastAsia" w:ascii="宋体" w:hAnsi="宋体" w:cs="宋体"/>
          <w:sz w:val="21"/>
          <w:szCs w:val="21"/>
          <w:lang w:eastAsia="zh-Hans"/>
        </w:rPr>
        <w:t>可扩充性和可移植性。系统可运行在不同的软硬件平台上，易于以后系统升级和移植；系统开发要遵循主流的标准和协议，便于系统内部各功能模块对接，满足系统扩充性的要求。</w:t>
      </w:r>
    </w:p>
    <w:p>
      <w:pPr>
        <w:pStyle w:val="42"/>
        <w:spacing w:before="156" w:beforeLines="50" w:after="156" w:afterLines="50" w:line="360" w:lineRule="auto"/>
        <w:ind w:left="0" w:leftChars="0" w:firstLine="0"/>
        <w:rPr>
          <w:rFonts w:ascii="宋体" w:hAnsi="宋体" w:cs="宋体"/>
          <w:sz w:val="21"/>
          <w:szCs w:val="21"/>
          <w:lang w:eastAsia="zh-Hans"/>
        </w:rPr>
      </w:pPr>
      <w:r>
        <w:rPr>
          <w:rFonts w:hint="eastAsia" w:ascii="宋体" w:hAnsi="宋体" w:cs="宋体"/>
          <w:sz w:val="21"/>
          <w:szCs w:val="21"/>
          <w:lang w:eastAsia="zh-Hans"/>
        </w:rPr>
        <w:t xml:space="preserve">  </w:t>
      </w:r>
      <w:r>
        <w:rPr>
          <w:rFonts w:hint="eastAsia" w:ascii="宋体" w:hAnsi="宋体" w:cs="宋体"/>
          <w:sz w:val="21"/>
          <w:szCs w:val="21"/>
        </w:rPr>
        <w:tab/>
      </w:r>
      <w:r>
        <w:rPr>
          <w:rFonts w:hint="eastAsia" w:ascii="宋体" w:hAnsi="宋体" w:cs="宋体"/>
          <w:sz w:val="21"/>
          <w:szCs w:val="21"/>
          <w:lang w:eastAsia="zh-Hans"/>
        </w:rPr>
        <w:t>可靠性和安全性。系统应满足向各类用户提供 7×24 小时的不间断服务的要求，其可用性应大于 99.9%；系统还应提供合理有效的数据备份、恢复策略和保护机制，稳定性要求，系统应可以全年稳定连续运行，故障时间不超过千分之一，导致业务连续停止时间不超过 3 小时。一个月内不重启服务器可不间断访问系统，系统的运行效率不会明显降低。</w:t>
      </w:r>
    </w:p>
    <w:p>
      <w:pPr>
        <w:pStyle w:val="42"/>
        <w:spacing w:before="156" w:beforeLines="50" w:after="156" w:afterLines="50" w:line="360" w:lineRule="auto"/>
        <w:ind w:left="0" w:leftChars="0" w:firstLine="0"/>
        <w:rPr>
          <w:rFonts w:ascii="宋体" w:hAnsi="宋体" w:cs="宋体"/>
          <w:sz w:val="21"/>
          <w:szCs w:val="21"/>
          <w:lang w:eastAsia="zh-Hans"/>
        </w:rPr>
      </w:pPr>
      <w:r>
        <w:rPr>
          <w:rFonts w:hint="eastAsia" w:ascii="宋体" w:hAnsi="宋体" w:cs="宋体"/>
          <w:sz w:val="21"/>
          <w:szCs w:val="21"/>
          <w:lang w:eastAsia="zh-Hans"/>
        </w:rPr>
        <w:t xml:space="preserve">  </w:t>
      </w:r>
      <w:r>
        <w:rPr>
          <w:rFonts w:hint="eastAsia" w:ascii="宋体" w:hAnsi="宋体" w:cs="宋体"/>
          <w:sz w:val="21"/>
          <w:szCs w:val="21"/>
        </w:rPr>
        <w:tab/>
      </w:r>
      <w:r>
        <w:rPr>
          <w:rFonts w:hint="eastAsia" w:ascii="宋体" w:hAnsi="宋体" w:cs="宋体"/>
          <w:sz w:val="21"/>
          <w:szCs w:val="21"/>
          <w:lang w:eastAsia="zh-Hans"/>
        </w:rPr>
        <w:t>可追溯性。系统应具备完善的使用授权、监控和日志管理机制，能够对各类访问和操作进行审计。</w:t>
      </w:r>
    </w:p>
    <w:p>
      <w:pPr>
        <w:pStyle w:val="42"/>
        <w:spacing w:before="156" w:beforeLines="50" w:after="156" w:afterLines="50" w:line="360" w:lineRule="auto"/>
        <w:ind w:left="0" w:leftChars="0"/>
        <w:rPr>
          <w:rFonts w:ascii="宋体" w:hAnsi="宋体" w:cs="宋体"/>
          <w:sz w:val="21"/>
          <w:szCs w:val="21"/>
          <w:lang w:eastAsia="zh-Hans"/>
        </w:rPr>
      </w:pPr>
      <w:r>
        <w:rPr>
          <w:rFonts w:ascii="宋体" w:hAnsi="宋体" w:cs="宋体"/>
          <w:sz w:val="21"/>
          <w:szCs w:val="21"/>
          <w:lang w:eastAsia="zh-Hans"/>
        </w:rPr>
        <w:t>4.4.2</w:t>
      </w:r>
      <w:r>
        <w:rPr>
          <w:rFonts w:hint="eastAsia" w:ascii="宋体" w:hAnsi="宋体" w:cs="宋体"/>
          <w:sz w:val="21"/>
          <w:szCs w:val="21"/>
          <w:lang w:eastAsia="zh-Hans"/>
        </w:rPr>
        <w:t>系统性能指标</w:t>
      </w:r>
    </w:p>
    <w:p>
      <w:pPr>
        <w:pStyle w:val="42"/>
        <w:spacing w:before="156" w:beforeLines="50" w:after="156" w:afterLines="50" w:line="360" w:lineRule="auto"/>
        <w:ind w:left="0" w:leftChars="0" w:firstLine="0"/>
        <w:rPr>
          <w:rFonts w:ascii="宋体" w:hAnsi="宋体" w:cs="宋体"/>
          <w:sz w:val="21"/>
          <w:szCs w:val="21"/>
          <w:lang w:eastAsia="zh-Hans"/>
        </w:rPr>
      </w:pPr>
      <w:r>
        <w:rPr>
          <w:rFonts w:hint="eastAsia" w:ascii="宋体" w:hAnsi="宋体" w:cs="宋体"/>
          <w:sz w:val="21"/>
          <w:szCs w:val="21"/>
          <w:lang w:eastAsia="zh-Hans"/>
        </w:rPr>
        <w:t xml:space="preserve">  </w:t>
      </w:r>
      <w:r>
        <w:rPr>
          <w:rFonts w:hint="eastAsia" w:ascii="宋体" w:hAnsi="宋体" w:cs="宋体"/>
          <w:sz w:val="21"/>
          <w:szCs w:val="21"/>
        </w:rPr>
        <w:tab/>
      </w:r>
      <w:r>
        <w:rPr>
          <w:rFonts w:hint="eastAsia" w:ascii="宋体" w:hAnsi="宋体" w:cs="宋体"/>
          <w:sz w:val="21"/>
          <w:szCs w:val="21"/>
          <w:lang w:eastAsia="zh-Hans"/>
        </w:rPr>
        <w:t>系统一般性事务处理响应时间不应超过 2s；</w:t>
      </w:r>
    </w:p>
    <w:p>
      <w:pPr>
        <w:pStyle w:val="42"/>
        <w:spacing w:before="156" w:beforeLines="50" w:after="156" w:afterLines="50" w:line="360" w:lineRule="auto"/>
        <w:ind w:left="0" w:leftChars="0" w:firstLine="0"/>
        <w:rPr>
          <w:rFonts w:ascii="宋体" w:hAnsi="宋体" w:cs="宋体"/>
          <w:sz w:val="21"/>
          <w:szCs w:val="21"/>
          <w:lang w:eastAsia="zh-Hans"/>
        </w:rPr>
      </w:pPr>
      <w:r>
        <w:rPr>
          <w:rFonts w:hint="eastAsia" w:ascii="宋体" w:hAnsi="宋体" w:cs="宋体"/>
          <w:sz w:val="21"/>
          <w:szCs w:val="21"/>
          <w:lang w:eastAsia="zh-Hans"/>
        </w:rPr>
        <w:t xml:space="preserve">  </w:t>
      </w:r>
      <w:r>
        <w:rPr>
          <w:rFonts w:hint="eastAsia" w:ascii="宋体" w:hAnsi="宋体" w:cs="宋体"/>
          <w:sz w:val="21"/>
          <w:szCs w:val="21"/>
        </w:rPr>
        <w:tab/>
      </w:r>
      <w:r>
        <w:rPr>
          <w:rFonts w:hint="eastAsia" w:ascii="宋体" w:hAnsi="宋体" w:cs="宋体"/>
          <w:sz w:val="21"/>
          <w:szCs w:val="21"/>
          <w:lang w:eastAsia="zh-Hans"/>
        </w:rPr>
        <w:t>正常网络环境下，用户查询响应时间不应超过 3s；历史性数据查询、统计性等大数 据量查询响应时间不应超过8s；</w:t>
      </w:r>
    </w:p>
    <w:p>
      <w:pPr>
        <w:pStyle w:val="42"/>
        <w:spacing w:before="156" w:beforeLines="50" w:after="156" w:afterLines="50" w:line="360" w:lineRule="auto"/>
        <w:ind w:left="0" w:leftChars="0" w:firstLine="0"/>
        <w:rPr>
          <w:rFonts w:ascii="宋体" w:hAnsi="宋体" w:cs="宋体"/>
          <w:sz w:val="21"/>
          <w:szCs w:val="21"/>
          <w:lang w:eastAsia="zh-Hans"/>
        </w:rPr>
      </w:pPr>
      <w:r>
        <w:rPr>
          <w:rFonts w:hint="eastAsia" w:ascii="宋体" w:hAnsi="宋体" w:cs="宋体"/>
          <w:sz w:val="21"/>
          <w:szCs w:val="21"/>
          <w:lang w:eastAsia="zh-Hans"/>
        </w:rPr>
        <w:t xml:space="preserve">  </w:t>
      </w:r>
      <w:r>
        <w:rPr>
          <w:rFonts w:hint="eastAsia" w:ascii="宋体" w:hAnsi="宋体" w:cs="宋体"/>
          <w:sz w:val="21"/>
          <w:szCs w:val="21"/>
        </w:rPr>
        <w:tab/>
      </w:r>
      <w:r>
        <w:rPr>
          <w:rFonts w:hint="eastAsia" w:ascii="宋体" w:hAnsi="宋体" w:cs="宋体"/>
          <w:sz w:val="21"/>
          <w:szCs w:val="21"/>
          <w:lang w:eastAsia="zh-Hans"/>
        </w:rPr>
        <w:t>正常运行环境下，统一认证响应时间不应超过 2s；数据接口的本地响应时间不应超过 2s，应用系统的响应时间不应超过 5s；</w:t>
      </w:r>
    </w:p>
    <w:p>
      <w:pPr>
        <w:pStyle w:val="42"/>
        <w:spacing w:before="156" w:beforeLines="50" w:after="156" w:afterLines="50" w:line="360" w:lineRule="auto"/>
        <w:ind w:left="0" w:leftChars="0" w:firstLine="0"/>
        <w:rPr>
          <w:rFonts w:ascii="宋体" w:hAnsi="宋体" w:cs="宋体"/>
          <w:sz w:val="21"/>
          <w:szCs w:val="21"/>
          <w:lang w:eastAsia="zh-Hans"/>
        </w:rPr>
      </w:pPr>
      <w:r>
        <w:rPr>
          <w:rFonts w:hint="eastAsia" w:ascii="宋体" w:hAnsi="宋体" w:cs="宋体"/>
          <w:sz w:val="21"/>
          <w:szCs w:val="21"/>
          <w:lang w:eastAsia="zh-Hans"/>
        </w:rPr>
        <w:t xml:space="preserve">  </w:t>
      </w:r>
      <w:r>
        <w:rPr>
          <w:rFonts w:hint="eastAsia" w:ascii="宋体" w:hAnsi="宋体" w:cs="宋体"/>
          <w:sz w:val="21"/>
          <w:szCs w:val="21"/>
        </w:rPr>
        <w:tab/>
      </w:r>
      <w:r>
        <w:rPr>
          <w:rFonts w:hint="eastAsia" w:ascii="宋体" w:hAnsi="宋体" w:cs="宋体"/>
          <w:sz w:val="21"/>
          <w:szCs w:val="21"/>
          <w:lang w:eastAsia="zh-Hans"/>
        </w:rPr>
        <w:t xml:space="preserve">平台连续稳定运行，整体可访问性不低于 99.9%，出现故障后 2 小时内恢复；至少支持 </w:t>
      </w:r>
      <w:r>
        <w:rPr>
          <w:rFonts w:ascii="宋体" w:hAnsi="宋体" w:cs="宋体"/>
          <w:sz w:val="21"/>
          <w:szCs w:val="21"/>
          <w:lang w:eastAsia="zh-Hans"/>
        </w:rPr>
        <w:t>300</w:t>
      </w:r>
      <w:r>
        <w:rPr>
          <w:rFonts w:hint="eastAsia" w:ascii="宋体" w:hAnsi="宋体" w:cs="宋体"/>
          <w:sz w:val="21"/>
          <w:szCs w:val="21"/>
          <w:lang w:eastAsia="zh-Hans"/>
        </w:rPr>
        <w:t xml:space="preserve"> 用户同时在线访问使用。</w:t>
      </w:r>
    </w:p>
    <w:p>
      <w:pPr>
        <w:spacing w:line="400" w:lineRule="exact"/>
        <w:ind w:firstLine="420" w:firstLineChars="200"/>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
      <w:pPr>
        <w:pStyle w:val="3"/>
        <w:spacing w:before="0" w:after="0" w:line="360" w:lineRule="auto"/>
        <w:jc w:val="center"/>
        <w:rPr>
          <w:rFonts w:ascii="宋体" w:hAnsi="宋体" w:cs="宋体"/>
        </w:rPr>
      </w:pPr>
      <w:bookmarkStart w:id="195" w:name="_Toc514858709"/>
      <w:bookmarkStart w:id="196" w:name="_Toc24853"/>
      <w:bookmarkStart w:id="197" w:name="_Toc2000413"/>
      <w:r>
        <w:rPr>
          <w:rFonts w:hint="eastAsia" w:ascii="宋体" w:hAnsi="宋体" w:cs="宋体"/>
        </w:rPr>
        <w:t>第八章  竞争性比选响应文件格式</w:t>
      </w:r>
      <w:bookmarkEnd w:id="186"/>
      <w:bookmarkEnd w:id="195"/>
      <w:bookmarkEnd w:id="196"/>
      <w:bookmarkEnd w:id="197"/>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198" w:name="_Toc503951046"/>
      <w:bookmarkStart w:id="199" w:name="_Toc503971829"/>
      <w:bookmarkStart w:id="200" w:name="_Toc513633967"/>
      <w:bookmarkStart w:id="201" w:name="_Toc513646738"/>
      <w:bookmarkStart w:id="202" w:name="_Toc514858710"/>
      <w:r>
        <w:rPr>
          <w:rFonts w:hint="eastAsia" w:ascii="宋体" w:hAnsi="宋体" w:cs="宋体"/>
          <w:u w:val="single"/>
        </w:rPr>
        <w:t xml:space="preserve">                           </w:t>
      </w:r>
      <w:r>
        <w:rPr>
          <w:rFonts w:hint="eastAsia" w:ascii="宋体" w:hAnsi="宋体" w:cs="宋体"/>
          <w:sz w:val="52"/>
          <w:szCs w:val="52"/>
          <w:u w:val="single"/>
        </w:rPr>
        <w:t>（项目名称）</w:t>
      </w:r>
      <w:bookmarkEnd w:id="198"/>
      <w:bookmarkEnd w:id="199"/>
      <w:bookmarkEnd w:id="200"/>
      <w:bookmarkEnd w:id="201"/>
      <w:bookmarkEnd w:id="202"/>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8"/>
      </w:pPr>
    </w:p>
    <w:p/>
    <w:p>
      <w:pPr>
        <w:pStyle w:val="28"/>
      </w:pPr>
    </w:p>
    <w:p/>
    <w:p>
      <w:pPr>
        <w:pStyle w:val="28"/>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jc w:val="center"/>
        <w:rPr>
          <w:rFonts w:ascii="宋体" w:hAnsi="宋体" w:eastAsia="宋体" w:cs="宋体"/>
        </w:rPr>
      </w:pPr>
      <w:bookmarkStart w:id="203" w:name="_Toc5459"/>
      <w:bookmarkStart w:id="204" w:name="_Toc28780"/>
      <w:bookmarkStart w:id="205" w:name="_Toc1368"/>
      <w:bookmarkStart w:id="206" w:name="_Toc11329273"/>
      <w:r>
        <w:rPr>
          <w:rFonts w:hint="eastAsia" w:ascii="宋体" w:hAnsi="宋体" w:eastAsia="宋体" w:cs="宋体"/>
        </w:rPr>
        <w:t>目    录</w:t>
      </w:r>
      <w:bookmarkEnd w:id="187"/>
      <w:bookmarkEnd w:id="188"/>
      <w:bookmarkEnd w:id="189"/>
      <w:bookmarkEnd w:id="190"/>
      <w:bookmarkEnd w:id="191"/>
      <w:bookmarkEnd w:id="192"/>
      <w:bookmarkEnd w:id="193"/>
      <w:bookmarkEnd w:id="194"/>
      <w:bookmarkEnd w:id="203"/>
      <w:bookmarkEnd w:id="204"/>
      <w:bookmarkEnd w:id="205"/>
      <w:bookmarkEnd w:id="206"/>
    </w:p>
    <w:p>
      <w:pPr>
        <w:numPr>
          <w:ilvl w:val="0"/>
          <w:numId w:val="7"/>
        </w:numPr>
        <w:spacing w:line="400" w:lineRule="exact"/>
        <w:rPr>
          <w:rFonts w:ascii="宋体" w:hAnsi="宋体" w:cs="宋体"/>
        </w:rPr>
      </w:pPr>
      <w:r>
        <w:rPr>
          <w:rFonts w:hint="eastAsia" w:ascii="宋体" w:hAnsi="宋体" w:cs="宋体"/>
        </w:rPr>
        <w:t>竞争性响应声明书</w:t>
      </w:r>
    </w:p>
    <w:p>
      <w:pPr>
        <w:numPr>
          <w:ilvl w:val="0"/>
          <w:numId w:val="7"/>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四、资格审查资料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报价人须知前附表规定要求的资料</w:t>
      </w:r>
    </w:p>
    <w:p>
      <w:pPr>
        <w:spacing w:line="400" w:lineRule="exact"/>
        <w:rPr>
          <w:rFonts w:ascii="宋体" w:hAnsi="宋体" w:cs="宋体"/>
          <w:szCs w:val="21"/>
        </w:rPr>
      </w:pPr>
      <w:r>
        <w:rPr>
          <w:rFonts w:hint="eastAsia" w:ascii="宋体" w:hAnsi="宋体" w:cs="宋体"/>
          <w:szCs w:val="21"/>
        </w:rPr>
        <w:t>六、报价人基本信息及其他材料</w:t>
      </w:r>
    </w:p>
    <w:p>
      <w:pPr>
        <w:pStyle w:val="28"/>
        <w:rPr>
          <w:rFonts w:ascii="宋体" w:hAnsi="宋体" w:cs="宋体"/>
          <w:b w:val="0"/>
          <w:bCs w:val="0"/>
          <w:caps w:val="0"/>
          <w:sz w:val="21"/>
          <w:szCs w:val="21"/>
        </w:rPr>
      </w:pPr>
      <w:r>
        <w:rPr>
          <w:rFonts w:hint="eastAsia" w:ascii="宋体" w:hAnsi="宋体" w:cs="宋体"/>
          <w:b w:val="0"/>
          <w:bCs w:val="0"/>
          <w:caps w:val="0"/>
          <w:sz w:val="21"/>
          <w:szCs w:val="21"/>
        </w:rPr>
        <w:t>七、现场安全负责人承诺书</w:t>
      </w:r>
    </w:p>
    <w:p>
      <w:pPr>
        <w:spacing w:line="400" w:lineRule="exact"/>
        <w:rPr>
          <w:rFonts w:ascii="宋体" w:hAnsi="宋体" w:cs="宋体"/>
        </w:rPr>
      </w:pPr>
      <w:r>
        <w:rPr>
          <w:rFonts w:hint="eastAsia" w:ascii="宋体" w:hAnsi="宋体" w:cs="宋体"/>
        </w:rPr>
        <w:t xml:space="preserve"> </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spacing w:before="0" w:after="0" w:line="360" w:lineRule="auto"/>
        <w:jc w:val="center"/>
        <w:rPr>
          <w:rFonts w:ascii="宋体" w:hAnsi="宋体" w:eastAsia="宋体" w:cs="宋体"/>
          <w:sz w:val="28"/>
        </w:rPr>
      </w:pPr>
      <w:bookmarkStart w:id="207" w:name="_Toc11329274"/>
      <w:bookmarkStart w:id="208" w:name="_Toc8870"/>
      <w:bookmarkStart w:id="209" w:name="_Toc29547"/>
      <w:bookmarkStart w:id="210" w:name="_Toc15863"/>
      <w:bookmarkStart w:id="211" w:name="_Toc25874"/>
      <w:bookmarkStart w:id="212" w:name="_Toc503951048"/>
      <w:bookmarkStart w:id="213" w:name="_Toc447827053"/>
      <w:bookmarkStart w:id="214" w:name="_Toc513633969"/>
      <w:r>
        <w:rPr>
          <w:rFonts w:hint="eastAsia" w:ascii="宋体" w:hAnsi="宋体" w:eastAsia="宋体" w:cs="宋体"/>
          <w:sz w:val="28"/>
        </w:rPr>
        <w:t>一、</w:t>
      </w:r>
      <w:bookmarkEnd w:id="207"/>
      <w:bookmarkEnd w:id="208"/>
      <w:r>
        <w:rPr>
          <w:rFonts w:hint="eastAsia" w:ascii="宋体" w:hAnsi="宋体" w:eastAsia="宋体" w:cs="宋体"/>
          <w:sz w:val="28"/>
        </w:rPr>
        <w:t>竞争比选响应声明书</w:t>
      </w:r>
      <w:bookmarkEnd w:id="209"/>
      <w:bookmarkEnd w:id="210"/>
      <w:bookmarkEnd w:id="211"/>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sz w:val="24"/>
          <w:u w:val="single"/>
          <w:lang w:val="en-US" w:eastAsia="zh-CN"/>
        </w:rPr>
        <w:t>国资监管平台决策管理子系统采购项目</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我方愿以人民币：              元（大写              元）的报价总价按照竞争比选文件的要求，承担本次竞争比选文件要求的工程。</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outlineLvl w:val="0"/>
        <w:rPr>
          <w:b/>
          <w:sz w:val="24"/>
        </w:rPr>
      </w:pPr>
    </w:p>
    <w:p>
      <w:pPr>
        <w:outlineLvl w:val="0"/>
        <w:rPr>
          <w:b/>
          <w:sz w:val="24"/>
        </w:rPr>
      </w:pPr>
    </w:p>
    <w:p>
      <w:pPr>
        <w:outlineLvl w:val="0"/>
        <w:rPr>
          <w:b/>
          <w:sz w:val="24"/>
        </w:rPr>
      </w:pPr>
    </w:p>
    <w:p>
      <w:pPr>
        <w:pStyle w:val="4"/>
        <w:jc w:val="center"/>
        <w:rPr>
          <w:rFonts w:ascii="宋体" w:hAnsi="宋体" w:eastAsia="宋体" w:cs="宋体"/>
          <w:sz w:val="28"/>
          <w:szCs w:val="28"/>
        </w:rPr>
      </w:pPr>
      <w:bookmarkStart w:id="215" w:name="_Toc27815"/>
      <w:bookmarkStart w:id="216" w:name="_Toc491883232"/>
      <w:r>
        <w:rPr>
          <w:rFonts w:hint="eastAsia" w:ascii="宋体" w:hAnsi="宋体" w:eastAsia="宋体" w:cs="宋体"/>
          <w:sz w:val="28"/>
          <w:szCs w:val="28"/>
        </w:rPr>
        <w:t>二、法定代表人身份证明或法定代表人授权委托书</w:t>
      </w:r>
      <w:bookmarkEnd w:id="215"/>
    </w:p>
    <w:p>
      <w:pPr>
        <w:pStyle w:val="4"/>
        <w:jc w:val="center"/>
        <w:rPr>
          <w:rFonts w:ascii="宋体" w:hAnsi="宋体" w:eastAsia="宋体" w:cs="宋体"/>
          <w:sz w:val="24"/>
          <w:szCs w:val="24"/>
        </w:rPr>
      </w:pPr>
      <w:bookmarkStart w:id="217" w:name="_Toc14141"/>
      <w:r>
        <w:rPr>
          <w:rFonts w:hint="eastAsia" w:ascii="宋体" w:hAnsi="宋体" w:eastAsia="宋体" w:cs="宋体"/>
          <w:sz w:val="24"/>
          <w:szCs w:val="24"/>
        </w:rPr>
        <w:t>（一）法定代表人身份证明</w:t>
      </w:r>
      <w:bookmarkEnd w:id="216"/>
      <w:bookmarkEnd w:id="217"/>
    </w:p>
    <w:p>
      <w:pPr>
        <w:spacing w:line="440" w:lineRule="exact"/>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218" w:name="_Toc27897"/>
      <w:bookmarkStart w:id="219" w:name="_Toc352691662"/>
      <w:bookmarkStart w:id="220" w:name="_Toc369531698"/>
      <w:r>
        <w:rPr>
          <w:rFonts w:ascii="宋体" w:hAnsi="宋体"/>
          <w:u w:val="single"/>
        </w:rPr>
        <w:t xml:space="preserve">        </w:t>
      </w:r>
      <w:r>
        <w:rPr>
          <w:rFonts w:ascii="宋体" w:hAnsi="宋体"/>
        </w:rPr>
        <w:t>年</w:t>
      </w:r>
      <w:bookmarkEnd w:id="218"/>
      <w:bookmarkEnd w:id="219"/>
      <w:bookmarkEnd w:id="220"/>
      <w:r>
        <w:rPr>
          <w:rFonts w:ascii="宋体" w:hAnsi="宋体"/>
        </w:rPr>
        <w:t>龄</w:t>
      </w:r>
      <w:bookmarkStart w:id="221" w:name="_Toc300835211"/>
      <w:bookmarkStart w:id="222" w:name="_Toc384308377"/>
      <w:bookmarkStart w:id="223" w:name="_Toc247527829"/>
      <w:bookmarkStart w:id="224" w:name="_Toc152042578"/>
      <w:bookmarkStart w:id="225" w:name="_Toc247514248"/>
      <w:bookmarkStart w:id="226" w:name="_Toc352691663"/>
      <w:bookmarkStart w:id="227" w:name="_Toc15573"/>
      <w:bookmarkStart w:id="228" w:name="_Toc144974858"/>
      <w:bookmarkStart w:id="229" w:name="_Toc152045789"/>
      <w:bookmarkStart w:id="230" w:name="_Toc361508754"/>
      <w:bookmarkStart w:id="231" w:name="_Toc369531699"/>
      <w:r>
        <w:rPr>
          <w:rFonts w:ascii="宋体" w:hAnsi="宋体"/>
        </w:rPr>
        <w:t>：</w:t>
      </w:r>
      <w:bookmarkEnd w:id="221"/>
      <w:bookmarkEnd w:id="222"/>
      <w:bookmarkEnd w:id="223"/>
      <w:bookmarkEnd w:id="224"/>
      <w:bookmarkEnd w:id="225"/>
      <w:bookmarkEnd w:id="226"/>
      <w:bookmarkEnd w:id="227"/>
      <w:bookmarkEnd w:id="228"/>
      <w:bookmarkEnd w:id="229"/>
      <w:bookmarkEnd w:id="230"/>
      <w:bookmarkEnd w:id="231"/>
      <w:r>
        <w:rPr>
          <w:rFonts w:ascii="宋体" w:hAnsi="宋体"/>
          <w:u w:val="single"/>
        </w:rPr>
        <w:t xml:space="preserve">        </w:t>
      </w:r>
      <w:r>
        <w:rPr>
          <w:rFonts w:ascii="宋体" w:hAnsi="宋体"/>
        </w:rPr>
        <w:t>职务：</w:t>
      </w:r>
      <w:r>
        <w:rPr>
          <w:rFonts w:ascii="宋体" w:hAnsi="宋体"/>
          <w:u w:val="single"/>
        </w:rPr>
        <w:t xml:space="preserve">        </w:t>
      </w:r>
    </w:p>
    <w:p>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40" w:lineRule="exact"/>
        <w:ind w:firstLine="420" w:firstLineChars="200"/>
        <w:rPr>
          <w:rFonts w:ascii="宋体" w:hAnsi="宋体"/>
        </w:rPr>
      </w:pPr>
      <w:r>
        <w:rPr>
          <w:rFonts w:ascii="宋体" w:hAnsi="宋体"/>
        </w:rPr>
        <w:t>特此证明。</w:t>
      </w:r>
    </w:p>
    <w:p>
      <w:pPr>
        <w:spacing w:line="440" w:lineRule="exact"/>
        <w:rPr>
          <w:rFonts w:ascii="宋体" w:hAnsi="宋体"/>
        </w:rPr>
      </w:pPr>
    </w:p>
    <w:p>
      <w:pPr>
        <w:spacing w:line="440" w:lineRule="exact"/>
        <w:rPr>
          <w:rFonts w:ascii="宋体" w:hAnsi="宋体"/>
        </w:rPr>
      </w:pPr>
      <w:r>
        <w:rPr>
          <w:rFonts w:ascii="宋体" w:hAnsi="宋体"/>
        </w:rPr>
        <w:t>附：法定代表人身份证复印件</w:t>
      </w:r>
      <w:r>
        <w:rPr>
          <w:rFonts w:hint="eastAsia" w:ascii="宋体" w:hAnsi="宋体"/>
        </w:rPr>
        <w:t>（正、反面）</w:t>
      </w:r>
      <w:r>
        <w:rPr>
          <w:rFonts w:ascii="宋体" w:hAnsi="宋体"/>
        </w:rPr>
        <w:t>。</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4"/>
        <w:jc w:val="center"/>
        <w:rPr>
          <w:rFonts w:ascii="宋体" w:hAnsi="宋体"/>
          <w:sz w:val="28"/>
          <w:szCs w:val="28"/>
        </w:rPr>
      </w:pPr>
      <w:bookmarkStart w:id="232" w:name="_Toc491883233"/>
      <w:bookmarkStart w:id="233" w:name="_Toc58"/>
      <w:r>
        <w:rPr>
          <w:rFonts w:hint="eastAsia" w:ascii="宋体" w:hAnsi="宋体" w:eastAsia="宋体" w:cs="宋体"/>
          <w:sz w:val="24"/>
          <w:szCs w:val="24"/>
        </w:rPr>
        <w:t>（二）</w:t>
      </w:r>
      <w:bookmarkEnd w:id="232"/>
      <w:r>
        <w:rPr>
          <w:rFonts w:hint="eastAsia" w:ascii="宋体" w:hAnsi="宋体" w:eastAsia="宋体" w:cs="宋体"/>
          <w:sz w:val="24"/>
          <w:szCs w:val="24"/>
        </w:rPr>
        <w:t>法定代表人授权委托书</w:t>
      </w:r>
      <w:bookmarkEnd w:id="233"/>
    </w:p>
    <w:p>
      <w:pPr>
        <w:topLinePunct/>
        <w:spacing w:line="440" w:lineRule="exact"/>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40" w:lineRule="exact"/>
        <w:ind w:firstLine="420" w:firstLineChars="200"/>
        <w:rPr>
          <w:rFonts w:ascii="宋体" w:hAnsi="宋体"/>
        </w:rPr>
      </w:pPr>
      <w:r>
        <w:rPr>
          <w:rFonts w:ascii="宋体" w:hAnsi="宋体"/>
        </w:rPr>
        <w:t>代理人无转委托权。</w:t>
      </w:r>
    </w:p>
    <w:p>
      <w:pPr>
        <w:spacing w:line="440" w:lineRule="exact"/>
        <w:ind w:firstLine="420" w:firstLineChars="200"/>
        <w:rPr>
          <w:rFonts w:ascii="宋体" w:hAnsi="宋体"/>
        </w:rPr>
      </w:pPr>
    </w:p>
    <w:p>
      <w:pPr>
        <w:spacing w:line="440" w:lineRule="exact"/>
        <w:rPr>
          <w:rFonts w:ascii="宋体" w:hAnsi="宋体"/>
        </w:rPr>
      </w:pPr>
      <w:r>
        <w:rPr>
          <w:rFonts w:ascii="宋体" w:hAnsi="宋体"/>
        </w:rPr>
        <w:t>附：法定代表人身份证复印件及委托代理人身份证复印件</w:t>
      </w:r>
      <w:r>
        <w:rPr>
          <w:rFonts w:hint="eastAsia" w:ascii="宋体" w:hAnsi="宋体"/>
        </w:rPr>
        <w:t>（正、反面）</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并由其法定代表人和委托代理人签字。</w:t>
      </w:r>
    </w:p>
    <w:p>
      <w:pPr>
        <w:pStyle w:val="28"/>
        <w:sectPr>
          <w:pgSz w:w="11906" w:h="16838"/>
          <w:pgMar w:top="1440" w:right="1803" w:bottom="1440" w:left="1803" w:header="851" w:footer="992" w:gutter="0"/>
          <w:cols w:space="720" w:num="1"/>
          <w:titlePg/>
          <w:docGrid w:type="lines" w:linePitch="319" w:charSpace="0"/>
        </w:sectPr>
      </w:pPr>
    </w:p>
    <w:p>
      <w:pPr>
        <w:rPr>
          <w:rFonts w:ascii="宋体" w:hAnsi="宋体" w:cs="宋体"/>
          <w:snapToGrid w:val="0"/>
          <w:kern w:val="0"/>
          <w:szCs w:val="21"/>
        </w:rPr>
      </w:pPr>
    </w:p>
    <w:p>
      <w:pPr>
        <w:jc w:val="center"/>
        <w:rPr>
          <w:rFonts w:ascii="宋体" w:hAnsi="宋体" w:cs="宋体"/>
          <w:b/>
        </w:rPr>
      </w:pPr>
      <w:bookmarkStart w:id="234" w:name="_Toc11329275"/>
      <w:r>
        <w:rPr>
          <w:rFonts w:hint="eastAsia" w:ascii="宋体" w:hAnsi="宋体" w:cs="宋体"/>
          <w:b/>
          <w:bCs/>
          <w:kern w:val="0"/>
          <w:sz w:val="28"/>
          <w:szCs w:val="32"/>
        </w:rPr>
        <w:t>三、</w:t>
      </w:r>
      <w:bookmarkEnd w:id="212"/>
      <w:bookmarkEnd w:id="213"/>
      <w:bookmarkEnd w:id="214"/>
      <w:bookmarkEnd w:id="234"/>
      <w:r>
        <w:rPr>
          <w:rFonts w:hint="eastAsia" w:ascii="宋体" w:hAnsi="宋体" w:cs="宋体"/>
          <w:b/>
          <w:bCs/>
          <w:kern w:val="0"/>
          <w:sz w:val="28"/>
          <w:szCs w:val="32"/>
        </w:rPr>
        <w:t>报价一览表</w:t>
      </w:r>
    </w:p>
    <w:p>
      <w:pPr>
        <w:ind w:left="765"/>
        <w:jc w:val="center"/>
        <w:rPr>
          <w:rFonts w:ascii="宋体" w:hAnsi="宋体" w:cs="宋体"/>
          <w:szCs w:val="21"/>
        </w:rPr>
      </w:pPr>
    </w:p>
    <w:p>
      <w:pPr>
        <w:pStyle w:val="38"/>
        <w:jc w:val="both"/>
        <w:rPr>
          <w:rFonts w:hAnsi="宋体"/>
        </w:rPr>
      </w:pPr>
      <w:r>
        <w:rPr>
          <w:rFonts w:hint="eastAsia" w:hAnsi="宋体"/>
        </w:rPr>
        <w:t>重庆首讯科技股份有限公司：</w:t>
      </w:r>
    </w:p>
    <w:p>
      <w:pPr>
        <w:spacing w:line="360" w:lineRule="auto"/>
        <w:ind w:firstLine="480" w:firstLineChars="200"/>
        <w:jc w:val="left"/>
        <w:rPr>
          <w:rFonts w:ascii="宋体" w:hAnsi="宋体"/>
          <w:b/>
          <w:color w:val="000000"/>
          <w:sz w:val="24"/>
        </w:rPr>
      </w:pPr>
      <w:r>
        <w:rPr>
          <w:rFonts w:hint="eastAsia" w:ascii="宋体" w:hAnsi="宋体"/>
          <w:color w:val="000000"/>
          <w:sz w:val="24"/>
        </w:rPr>
        <w:t>在研究了竞争比选文件中所有文件后，我司对</w:t>
      </w:r>
      <w:r>
        <w:rPr>
          <w:rFonts w:hint="eastAsia" w:ascii="宋体" w:hAnsi="宋体"/>
          <w:color w:val="000000"/>
          <w:sz w:val="24"/>
          <w:u w:val="single"/>
          <w:lang w:val="en-US" w:eastAsia="zh-CN"/>
        </w:rPr>
        <w:t>国资监管平台决策管理子系统采购项目</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p>
    <w:tbl>
      <w:tblPr>
        <w:tblStyle w:val="43"/>
        <w:tblpPr w:leftFromText="180" w:rightFromText="180" w:vertAnchor="text" w:horzAnchor="page" w:tblpX="1075" w:tblpY="167"/>
        <w:tblOverlap w:val="never"/>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274"/>
        <w:gridCol w:w="1441"/>
        <w:gridCol w:w="1251"/>
        <w:gridCol w:w="1282"/>
        <w:gridCol w:w="1484"/>
        <w:gridCol w:w="1062"/>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2"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spacing w:line="30" w:lineRule="atLeast"/>
              <w:jc w:val="center"/>
              <w:rPr>
                <w:rFonts w:hint="eastAsia" w:ascii="宋体" w:hAnsi="宋体" w:cs="宋体"/>
                <w:b/>
                <w:bCs/>
                <w:sz w:val="24"/>
              </w:rPr>
            </w:pPr>
            <w:r>
              <w:rPr>
                <w:rFonts w:hint="eastAsia" w:ascii="宋体" w:hAnsi="宋体" w:cs="宋体"/>
                <w:b/>
                <w:bCs/>
                <w:sz w:val="24"/>
              </w:rPr>
              <w:t>序号</w:t>
            </w:r>
          </w:p>
        </w:tc>
        <w:tc>
          <w:tcPr>
            <w:tcW w:w="2715" w:type="dxa"/>
            <w:gridSpan w:val="2"/>
            <w:tcBorders>
              <w:top w:val="single" w:color="auto" w:sz="4" w:space="0"/>
              <w:left w:val="single" w:color="auto" w:sz="4" w:space="0"/>
              <w:bottom w:val="single" w:color="auto" w:sz="4" w:space="0"/>
              <w:right w:val="single" w:color="auto" w:sz="4" w:space="0"/>
            </w:tcBorders>
            <w:shd w:val="clear" w:color="auto" w:fill="D7D7D7"/>
            <w:noWrap w:val="0"/>
            <w:vAlign w:val="center"/>
          </w:tcPr>
          <w:p>
            <w:pPr>
              <w:spacing w:line="30" w:lineRule="atLeast"/>
              <w:jc w:val="center"/>
              <w:rPr>
                <w:rFonts w:hint="eastAsia" w:ascii="宋体" w:hAnsi="宋体" w:cs="宋体"/>
                <w:b/>
                <w:bCs/>
                <w:sz w:val="24"/>
              </w:rPr>
            </w:pPr>
            <w:r>
              <w:rPr>
                <w:rFonts w:hint="eastAsia" w:ascii="宋体" w:hAnsi="宋体" w:cs="宋体"/>
                <w:b/>
                <w:bCs/>
                <w:sz w:val="24"/>
              </w:rPr>
              <w:t>类别</w:t>
            </w:r>
          </w:p>
        </w:tc>
        <w:tc>
          <w:tcPr>
            <w:tcW w:w="6170" w:type="dxa"/>
            <w:gridSpan w:val="5"/>
            <w:tcBorders>
              <w:top w:val="single" w:color="auto" w:sz="4" w:space="0"/>
              <w:left w:val="single" w:color="auto" w:sz="4" w:space="0"/>
              <w:bottom w:val="single" w:color="auto" w:sz="4" w:space="0"/>
              <w:right w:val="single" w:color="auto" w:sz="4" w:space="0"/>
            </w:tcBorders>
            <w:shd w:val="clear" w:color="auto" w:fill="D7D7D7"/>
            <w:noWrap w:val="0"/>
            <w:vAlign w:val="center"/>
          </w:tcPr>
          <w:p>
            <w:pPr>
              <w:spacing w:line="30" w:lineRule="atLeast"/>
              <w:jc w:val="center"/>
              <w:rPr>
                <w:rFonts w:hint="eastAsia" w:ascii="宋体" w:hAnsi="宋体" w:cs="宋体"/>
                <w:b/>
                <w:bCs/>
                <w:sz w:val="24"/>
              </w:rPr>
            </w:pPr>
            <w:r>
              <w:rPr>
                <w:rFonts w:hint="eastAsia" w:ascii="宋体" w:hAnsi="宋体" w:cs="宋体"/>
                <w:b/>
                <w:bCs/>
                <w:sz w:val="24"/>
              </w:rPr>
              <w:t xml:space="preserve">报 </w:t>
            </w:r>
            <w:r>
              <w:rPr>
                <w:rFonts w:ascii="宋体" w:hAnsi="宋体" w:cs="宋体"/>
                <w:b/>
                <w:bCs/>
                <w:sz w:val="24"/>
              </w:rPr>
              <w:t xml:space="preserve"> </w:t>
            </w:r>
            <w:r>
              <w:rPr>
                <w:rFonts w:hint="eastAsia" w:ascii="宋体" w:hAnsi="宋体" w:cs="宋体"/>
                <w:b/>
                <w:bCs/>
                <w:sz w:val="24"/>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892" w:type="dxa"/>
            <w:vMerge w:val="restart"/>
            <w:tcBorders>
              <w:left w:val="single" w:color="auto" w:sz="4" w:space="0"/>
              <w:right w:val="single" w:color="auto" w:sz="4" w:space="0"/>
            </w:tcBorders>
            <w:noWrap w:val="0"/>
            <w:vAlign w:val="center"/>
          </w:tcPr>
          <w:p>
            <w:pPr>
              <w:spacing w:line="30" w:lineRule="atLeast"/>
              <w:jc w:val="center"/>
              <w:rPr>
                <w:rFonts w:hint="eastAsia" w:ascii="宋体" w:hAnsi="宋体" w:cs="宋体"/>
                <w:sz w:val="24"/>
              </w:rPr>
            </w:pPr>
            <w:r>
              <w:rPr>
                <w:rFonts w:ascii="宋体" w:hAnsi="宋体" w:cs="宋体"/>
                <w:sz w:val="24"/>
              </w:rPr>
              <w:t>1</w:t>
            </w:r>
          </w:p>
        </w:tc>
        <w:tc>
          <w:tcPr>
            <w:tcW w:w="1274" w:type="dxa"/>
            <w:vMerge w:val="restart"/>
            <w:tcBorders>
              <w:left w:val="single" w:color="auto" w:sz="4" w:space="0"/>
              <w:right w:val="single" w:color="auto" w:sz="4" w:space="0"/>
            </w:tcBorders>
            <w:noWrap w:val="0"/>
            <w:vAlign w:val="center"/>
          </w:tcPr>
          <w:p>
            <w:pPr>
              <w:spacing w:line="30" w:lineRule="atLeast"/>
              <w:jc w:val="center"/>
              <w:rPr>
                <w:rFonts w:hint="eastAsia" w:ascii="宋体" w:hAnsi="宋体" w:cs="宋体"/>
                <w:sz w:val="24"/>
              </w:rPr>
            </w:pPr>
            <w:r>
              <w:rPr>
                <w:rFonts w:hint="eastAsia" w:ascii="宋体" w:hAnsi="宋体" w:cs="宋体"/>
                <w:sz w:val="24"/>
              </w:rPr>
              <w:t>国资监管平台决策管理子系统采购项目</w:t>
            </w:r>
          </w:p>
        </w:tc>
        <w:tc>
          <w:tcPr>
            <w:tcW w:w="1441" w:type="dxa"/>
            <w:tcBorders>
              <w:left w:val="single" w:color="auto" w:sz="4" w:space="0"/>
              <w:right w:val="single" w:color="auto" w:sz="4" w:space="0"/>
            </w:tcBorders>
            <w:noWrap w:val="0"/>
            <w:vAlign w:val="center"/>
          </w:tcPr>
          <w:p>
            <w:pPr>
              <w:spacing w:line="30" w:lineRule="atLeast"/>
              <w:jc w:val="center"/>
              <w:rPr>
                <w:rFonts w:hint="eastAsia" w:ascii="宋体" w:hAnsi="宋体" w:cs="宋体"/>
                <w:sz w:val="24"/>
              </w:rPr>
            </w:pPr>
            <w:r>
              <w:rPr>
                <w:rFonts w:hint="eastAsia" w:ascii="宋体" w:hAnsi="宋体" w:cs="宋体"/>
                <w:sz w:val="24"/>
              </w:rPr>
              <w:t>标的物类别</w:t>
            </w:r>
          </w:p>
        </w:tc>
        <w:tc>
          <w:tcPr>
            <w:tcW w:w="1251" w:type="dxa"/>
            <w:tcBorders>
              <w:left w:val="single" w:color="auto" w:sz="4" w:space="0"/>
              <w:bottom w:val="single" w:color="auto" w:sz="4" w:space="0"/>
              <w:right w:val="single" w:color="auto" w:sz="4" w:space="0"/>
            </w:tcBorders>
            <w:noWrap w:val="0"/>
            <w:vAlign w:val="center"/>
          </w:tcPr>
          <w:p>
            <w:pPr>
              <w:spacing w:line="30" w:lineRule="atLeast"/>
              <w:jc w:val="center"/>
              <w:rPr>
                <w:rFonts w:hint="eastAsia" w:ascii="宋体" w:hAnsi="宋体" w:cs="宋体"/>
                <w:sz w:val="24"/>
              </w:rPr>
            </w:pPr>
            <w:r>
              <w:rPr>
                <w:rFonts w:hint="eastAsia" w:ascii="宋体" w:hAnsi="宋体" w:cs="宋体"/>
                <w:sz w:val="24"/>
              </w:rPr>
              <w:t>计量单位</w:t>
            </w:r>
          </w:p>
        </w:tc>
        <w:tc>
          <w:tcPr>
            <w:tcW w:w="1282" w:type="dxa"/>
            <w:tcBorders>
              <w:top w:val="single" w:color="auto" w:sz="4" w:space="0"/>
              <w:left w:val="single" w:color="auto" w:sz="4" w:space="0"/>
              <w:right w:val="single" w:color="auto" w:sz="4" w:space="0"/>
            </w:tcBorders>
            <w:noWrap w:val="0"/>
            <w:vAlign w:val="center"/>
          </w:tcPr>
          <w:p>
            <w:pPr>
              <w:spacing w:line="30" w:lineRule="atLeast"/>
              <w:jc w:val="center"/>
              <w:rPr>
                <w:rFonts w:hint="eastAsia" w:ascii="宋体" w:hAnsi="宋体" w:cs="宋体"/>
                <w:sz w:val="24"/>
              </w:rPr>
            </w:pPr>
            <w:r>
              <w:rPr>
                <w:rFonts w:hint="eastAsia" w:ascii="宋体" w:hAnsi="宋体" w:cs="宋体"/>
                <w:sz w:val="24"/>
              </w:rPr>
              <w:t>数量</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spacing w:line="30" w:lineRule="atLeast"/>
              <w:jc w:val="center"/>
              <w:rPr>
                <w:rFonts w:hint="eastAsia" w:ascii="宋体" w:hAnsi="宋体" w:cs="宋体"/>
                <w:sz w:val="24"/>
              </w:rPr>
            </w:pPr>
            <w:r>
              <w:rPr>
                <w:rFonts w:hint="eastAsia" w:ascii="宋体" w:hAnsi="宋体" w:cs="宋体"/>
                <w:sz w:val="24"/>
              </w:rPr>
              <w:t xml:space="preserve">单价 </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30" w:lineRule="atLeast"/>
              <w:jc w:val="center"/>
              <w:rPr>
                <w:rFonts w:hint="eastAsia" w:ascii="宋体" w:hAnsi="宋体" w:cs="宋体"/>
                <w:sz w:val="24"/>
              </w:rPr>
            </w:pPr>
            <w:r>
              <w:rPr>
                <w:rFonts w:hint="eastAsia" w:ascii="宋体" w:hAnsi="宋体" w:cs="宋体"/>
                <w:sz w:val="24"/>
              </w:rPr>
              <w:t>总价（元）</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0" w:lineRule="atLeast"/>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2" w:type="dxa"/>
            <w:vMerge w:val="continue"/>
            <w:tcBorders>
              <w:left w:val="single" w:color="auto" w:sz="4" w:space="0"/>
              <w:right w:val="single" w:color="auto" w:sz="4" w:space="0"/>
            </w:tcBorders>
            <w:noWrap w:val="0"/>
            <w:vAlign w:val="center"/>
          </w:tcPr>
          <w:p>
            <w:pPr>
              <w:widowControl/>
              <w:spacing w:line="30" w:lineRule="atLeast"/>
              <w:jc w:val="center"/>
              <w:rPr>
                <w:rFonts w:hint="eastAsia" w:ascii="宋体" w:hAnsi="宋体" w:cs="宋体"/>
                <w:sz w:val="24"/>
              </w:rPr>
            </w:pPr>
          </w:p>
        </w:tc>
        <w:tc>
          <w:tcPr>
            <w:tcW w:w="1274" w:type="dxa"/>
            <w:vMerge w:val="continue"/>
            <w:tcBorders>
              <w:left w:val="single" w:color="auto" w:sz="4" w:space="0"/>
              <w:right w:val="single" w:color="auto" w:sz="4" w:space="0"/>
            </w:tcBorders>
            <w:noWrap w:val="0"/>
            <w:vAlign w:val="center"/>
          </w:tcPr>
          <w:p>
            <w:pPr>
              <w:widowControl/>
              <w:spacing w:line="30" w:lineRule="atLeast"/>
              <w:jc w:val="left"/>
              <w:rPr>
                <w:rFonts w:hint="eastAsia" w:ascii="宋体" w:hAnsi="宋体" w:cs="宋体"/>
                <w:sz w:val="24"/>
              </w:rPr>
            </w:pPr>
          </w:p>
        </w:tc>
        <w:tc>
          <w:tcPr>
            <w:tcW w:w="1441" w:type="dxa"/>
            <w:tcBorders>
              <w:left w:val="single" w:color="auto" w:sz="4" w:space="0"/>
              <w:right w:val="single" w:color="auto" w:sz="4" w:space="0"/>
            </w:tcBorders>
            <w:noWrap w:val="0"/>
            <w:vAlign w:val="center"/>
          </w:tcPr>
          <w:p>
            <w:pPr>
              <w:widowControl/>
              <w:spacing w:line="30" w:lineRule="atLeast"/>
              <w:jc w:val="left"/>
              <w:rPr>
                <w:rFonts w:hint="eastAsia" w:ascii="宋体" w:hAnsi="宋体" w:cs="宋体"/>
                <w:sz w:val="24"/>
              </w:rPr>
            </w:pPr>
            <w:r>
              <w:rPr>
                <w:rFonts w:hint="eastAsia" w:ascii="宋体" w:hAnsi="宋体" w:cs="宋体"/>
                <w:sz w:val="24"/>
              </w:rPr>
              <w:t>开发服务</w:t>
            </w:r>
          </w:p>
        </w:tc>
        <w:tc>
          <w:tcPr>
            <w:tcW w:w="1251" w:type="dxa"/>
            <w:tcBorders>
              <w:top w:val="single" w:color="auto" w:sz="4" w:space="0"/>
              <w:left w:val="single" w:color="auto" w:sz="4" w:space="0"/>
              <w:right w:val="single" w:color="auto" w:sz="4" w:space="0"/>
            </w:tcBorders>
            <w:noWrap w:val="0"/>
            <w:vAlign w:val="center"/>
          </w:tcPr>
          <w:p>
            <w:pPr>
              <w:spacing w:line="30" w:lineRule="atLeast"/>
              <w:jc w:val="center"/>
              <w:rPr>
                <w:rFonts w:hint="eastAsia" w:ascii="宋体" w:hAnsi="宋体" w:cs="宋体"/>
                <w:sz w:val="24"/>
              </w:rPr>
            </w:pPr>
            <w:r>
              <w:rPr>
                <w:rFonts w:hint="eastAsia" w:ascii="宋体" w:hAnsi="宋体" w:cs="宋体"/>
                <w:sz w:val="24"/>
              </w:rPr>
              <w:t>项</w:t>
            </w:r>
          </w:p>
        </w:tc>
        <w:tc>
          <w:tcPr>
            <w:tcW w:w="1282" w:type="dxa"/>
            <w:tcBorders>
              <w:top w:val="single" w:color="auto" w:sz="4" w:space="0"/>
              <w:left w:val="single" w:color="auto" w:sz="4" w:space="0"/>
              <w:right w:val="single" w:color="auto" w:sz="4" w:space="0"/>
            </w:tcBorders>
            <w:noWrap w:val="0"/>
            <w:vAlign w:val="center"/>
          </w:tcPr>
          <w:p>
            <w:pPr>
              <w:spacing w:line="30" w:lineRule="atLeast"/>
              <w:jc w:val="center"/>
              <w:rPr>
                <w:rFonts w:hint="eastAsia" w:ascii="宋体" w:hAnsi="宋体" w:cs="宋体"/>
                <w:sz w:val="24"/>
              </w:rPr>
            </w:pPr>
            <w:r>
              <w:rPr>
                <w:rFonts w:hint="eastAsia" w:ascii="宋体" w:hAnsi="宋体" w:cs="宋体"/>
                <w:sz w:val="24"/>
              </w:rPr>
              <w:t>1</w:t>
            </w:r>
          </w:p>
        </w:tc>
        <w:tc>
          <w:tcPr>
            <w:tcW w:w="1484" w:type="dxa"/>
            <w:tcBorders>
              <w:top w:val="single" w:color="auto" w:sz="4" w:space="0"/>
              <w:left w:val="single" w:color="auto" w:sz="4" w:space="0"/>
              <w:right w:val="single" w:color="auto" w:sz="4" w:space="0"/>
            </w:tcBorders>
            <w:noWrap w:val="0"/>
            <w:vAlign w:val="center"/>
          </w:tcPr>
          <w:p>
            <w:pPr>
              <w:spacing w:line="30" w:lineRule="atLeast"/>
              <w:jc w:val="center"/>
              <w:rPr>
                <w:rFonts w:hint="eastAsia" w:ascii="宋体" w:hAnsi="宋体" w:cs="宋体"/>
                <w:sz w:val="24"/>
              </w:rPr>
            </w:pPr>
          </w:p>
        </w:tc>
        <w:tc>
          <w:tcPr>
            <w:tcW w:w="1062" w:type="dxa"/>
            <w:tcBorders>
              <w:top w:val="single" w:color="auto" w:sz="4" w:space="0"/>
              <w:left w:val="single" w:color="auto" w:sz="4" w:space="0"/>
              <w:right w:val="single" w:color="auto" w:sz="4" w:space="0"/>
            </w:tcBorders>
            <w:noWrap w:val="0"/>
            <w:vAlign w:val="center"/>
          </w:tcPr>
          <w:p>
            <w:pPr>
              <w:spacing w:line="30" w:lineRule="atLeast"/>
              <w:jc w:val="center"/>
              <w:rPr>
                <w:rFonts w:hint="eastAsia" w:ascii="宋体" w:hAnsi="宋体" w:cs="宋体"/>
                <w:sz w:val="24"/>
              </w:rPr>
            </w:pPr>
            <w:r>
              <w:rPr>
                <w:rFonts w:hint="eastAsia" w:ascii="宋体" w:hAnsi="宋体" w:cs="宋体"/>
                <w:sz w:val="24"/>
              </w:rPr>
              <w:t xml:space="preserve"> </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0" w:lineRule="atLeas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92" w:type="dxa"/>
            <w:vMerge w:val="continue"/>
            <w:tcBorders>
              <w:left w:val="single" w:color="auto" w:sz="4" w:space="0"/>
              <w:bottom w:val="single" w:color="auto" w:sz="4" w:space="0"/>
              <w:right w:val="single" w:color="auto" w:sz="4" w:space="0"/>
            </w:tcBorders>
            <w:noWrap w:val="0"/>
            <w:vAlign w:val="center"/>
          </w:tcPr>
          <w:p>
            <w:pPr>
              <w:spacing w:line="30" w:lineRule="atLeast"/>
              <w:jc w:val="center"/>
              <w:rPr>
                <w:rFonts w:hint="eastAsia" w:ascii="宋体" w:hAnsi="宋体" w:cs="宋体"/>
                <w:sz w:val="24"/>
              </w:rPr>
            </w:pPr>
          </w:p>
        </w:tc>
        <w:tc>
          <w:tcPr>
            <w:tcW w:w="2715" w:type="dxa"/>
            <w:gridSpan w:val="2"/>
            <w:tcBorders>
              <w:left w:val="single" w:color="auto" w:sz="4" w:space="0"/>
              <w:bottom w:val="single" w:color="auto" w:sz="4" w:space="0"/>
              <w:right w:val="single" w:color="auto" w:sz="4" w:space="0"/>
            </w:tcBorders>
            <w:noWrap w:val="0"/>
            <w:vAlign w:val="center"/>
          </w:tcPr>
          <w:p>
            <w:pPr>
              <w:spacing w:line="30" w:lineRule="atLeast"/>
              <w:jc w:val="left"/>
              <w:rPr>
                <w:rFonts w:hint="eastAsia" w:ascii="宋体" w:hAnsi="宋体" w:cs="宋体"/>
                <w:sz w:val="24"/>
              </w:rPr>
            </w:pPr>
            <w:r>
              <w:rPr>
                <w:rFonts w:hint="eastAsia" w:ascii="宋体" w:hAnsi="宋体" w:cs="宋体"/>
                <w:sz w:val="24"/>
              </w:rPr>
              <w:t>综合总价：</w:t>
            </w:r>
          </w:p>
        </w:tc>
        <w:tc>
          <w:tcPr>
            <w:tcW w:w="6170" w:type="dxa"/>
            <w:gridSpan w:val="5"/>
            <w:tcBorders>
              <w:left w:val="single" w:color="auto" w:sz="4" w:space="0"/>
              <w:bottom w:val="single" w:color="auto" w:sz="4" w:space="0"/>
              <w:right w:val="single" w:color="auto" w:sz="4" w:space="0"/>
            </w:tcBorders>
            <w:noWrap w:val="0"/>
            <w:vAlign w:val="center"/>
          </w:tcPr>
          <w:p>
            <w:pPr>
              <w:spacing w:line="30" w:lineRule="atLeast"/>
              <w:jc w:val="left"/>
              <w:rPr>
                <w:rFonts w:hint="eastAsia" w:ascii="宋体" w:hAnsi="宋体" w:cs="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元（人民币大写：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30" w:lineRule="atLeast"/>
              <w:jc w:val="center"/>
              <w:rPr>
                <w:rFonts w:hint="eastAsia" w:ascii="宋体" w:hAnsi="宋体" w:cs="宋体"/>
                <w:sz w:val="24"/>
              </w:rPr>
            </w:pPr>
            <w:r>
              <w:rPr>
                <w:rFonts w:ascii="宋体" w:hAnsi="宋体" w:cs="宋体"/>
                <w:sz w:val="24"/>
              </w:rPr>
              <w:t>2</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spacing w:line="30" w:lineRule="atLeast"/>
              <w:jc w:val="left"/>
              <w:rPr>
                <w:rFonts w:hint="eastAsia" w:ascii="宋体" w:hAnsi="宋体" w:cs="宋体"/>
                <w:sz w:val="24"/>
              </w:rPr>
            </w:pPr>
            <w:r>
              <w:rPr>
                <w:rFonts w:hint="eastAsia" w:ascii="宋体" w:hAnsi="宋体" w:cs="宋体"/>
                <w:sz w:val="24"/>
              </w:rPr>
              <w:t>是否完全同意竞选文件中要求的相关条款</w:t>
            </w:r>
          </w:p>
        </w:tc>
        <w:tc>
          <w:tcPr>
            <w:tcW w:w="6170" w:type="dxa"/>
            <w:gridSpan w:val="5"/>
            <w:tcBorders>
              <w:top w:val="single" w:color="auto" w:sz="4" w:space="0"/>
              <w:left w:val="single" w:color="auto" w:sz="4" w:space="0"/>
              <w:bottom w:val="single" w:color="auto" w:sz="4" w:space="0"/>
              <w:right w:val="single" w:color="auto" w:sz="4" w:space="0"/>
            </w:tcBorders>
            <w:noWrap w:val="0"/>
            <w:vAlign w:val="center"/>
          </w:tcPr>
          <w:p>
            <w:pPr>
              <w:spacing w:line="30" w:lineRule="atLeas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30" w:lineRule="atLeast"/>
              <w:jc w:val="center"/>
              <w:rPr>
                <w:rFonts w:hint="eastAsia" w:ascii="宋体" w:hAnsi="宋体" w:cs="宋体"/>
                <w:sz w:val="24"/>
              </w:rPr>
            </w:pPr>
            <w:r>
              <w:rPr>
                <w:rFonts w:ascii="宋体" w:hAnsi="宋体" w:cs="宋体"/>
                <w:sz w:val="24"/>
              </w:rPr>
              <w:t>3</w:t>
            </w:r>
          </w:p>
        </w:tc>
        <w:tc>
          <w:tcPr>
            <w:tcW w:w="2715" w:type="dxa"/>
            <w:gridSpan w:val="2"/>
            <w:tcBorders>
              <w:top w:val="single" w:color="auto" w:sz="4" w:space="0"/>
              <w:left w:val="single" w:color="auto" w:sz="4" w:space="0"/>
              <w:bottom w:val="single" w:color="auto" w:sz="4" w:space="0"/>
              <w:right w:val="single" w:color="auto" w:sz="4" w:space="0"/>
            </w:tcBorders>
            <w:noWrap w:val="0"/>
            <w:vAlign w:val="center"/>
          </w:tcPr>
          <w:p>
            <w:pPr>
              <w:spacing w:line="30" w:lineRule="atLeast"/>
              <w:ind w:left="480" w:hanging="480" w:hangingChars="200"/>
              <w:jc w:val="left"/>
              <w:rPr>
                <w:rFonts w:hint="eastAsia" w:ascii="宋体" w:hAnsi="宋体" w:cs="宋体"/>
                <w:sz w:val="24"/>
              </w:rPr>
            </w:pPr>
            <w:r>
              <w:rPr>
                <w:rFonts w:hint="eastAsia" w:ascii="宋体" w:hAnsi="宋体" w:cs="宋体"/>
                <w:sz w:val="24"/>
              </w:rPr>
              <w:t>其他相关要求：</w:t>
            </w:r>
          </w:p>
        </w:tc>
        <w:tc>
          <w:tcPr>
            <w:tcW w:w="6170" w:type="dxa"/>
            <w:gridSpan w:val="5"/>
            <w:tcBorders>
              <w:top w:val="single" w:color="auto" w:sz="4" w:space="0"/>
              <w:left w:val="single" w:color="auto" w:sz="4" w:space="0"/>
              <w:bottom w:val="single" w:color="auto" w:sz="4" w:space="0"/>
              <w:right w:val="single" w:color="auto" w:sz="4" w:space="0"/>
            </w:tcBorders>
            <w:noWrap w:val="0"/>
            <w:vAlign w:val="center"/>
          </w:tcPr>
          <w:p>
            <w:pPr>
              <w:spacing w:line="30" w:lineRule="atLeast"/>
              <w:rPr>
                <w:rFonts w:hint="eastAsia" w:ascii="宋体" w:hAnsi="宋体" w:cs="宋体"/>
                <w:sz w:val="24"/>
              </w:rPr>
            </w:pPr>
          </w:p>
        </w:tc>
      </w:tr>
    </w:tbl>
    <w:p>
      <w:pPr>
        <w:tabs>
          <w:tab w:val="left" w:pos="1680"/>
          <w:tab w:val="left" w:pos="4215"/>
          <w:tab w:val="left" w:pos="4305"/>
          <w:tab w:val="left" w:pos="8000"/>
        </w:tabs>
        <w:autoSpaceDE w:val="0"/>
        <w:autoSpaceDN w:val="0"/>
        <w:adjustRightInd w:val="0"/>
        <w:snapToGrid w:val="0"/>
        <w:spacing w:line="360" w:lineRule="auto"/>
        <w:ind w:firstLine="562" w:firstLineChars="200"/>
        <w:rPr>
          <w:rFonts w:ascii="宋体" w:hAnsi="宋体" w:cs="宋体"/>
          <w:b/>
          <w:kern w:val="0"/>
          <w:sz w:val="28"/>
          <w:szCs w:val="28"/>
        </w:rPr>
      </w:pPr>
      <w:r>
        <w:rPr>
          <w:rFonts w:hint="eastAsia" w:ascii="宋体" w:hAnsi="宋体" w:cs="宋体"/>
          <w:b/>
          <w:kern w:val="0"/>
          <w:sz w:val="28"/>
          <w:szCs w:val="28"/>
        </w:rPr>
        <w:t xml:space="preserve"> </w:t>
      </w:r>
    </w:p>
    <w:p>
      <w:pPr>
        <w:spacing w:line="400" w:lineRule="exact"/>
        <w:rPr>
          <w:rFonts w:ascii="宋体" w:hAnsi="宋体" w:cs="宋体"/>
          <w:kern w:val="0"/>
          <w:szCs w:val="21"/>
        </w:rPr>
      </w:pPr>
    </w:p>
    <w:p>
      <w:pPr>
        <w:pStyle w:val="4"/>
        <w:spacing w:before="0" w:after="0" w:line="360" w:lineRule="auto"/>
        <w:jc w:val="center"/>
        <w:rPr>
          <w:rFonts w:ascii="宋体" w:hAnsi="宋体" w:eastAsia="宋体" w:cs="宋体"/>
          <w:sz w:val="28"/>
        </w:rPr>
      </w:pPr>
      <w:bookmarkStart w:id="235" w:name="_Toc513633971"/>
      <w:bookmarkStart w:id="236" w:name="_Toc11329278"/>
      <w:bookmarkStart w:id="237" w:name="_Toc503951050"/>
      <w:bookmarkStart w:id="238" w:name="_Toc246996369"/>
      <w:bookmarkStart w:id="239" w:name="_Toc246997112"/>
      <w:bookmarkStart w:id="240" w:name="_Toc179632823"/>
      <w:bookmarkStart w:id="241" w:name="_Toc247085887"/>
      <w:bookmarkStart w:id="242" w:name="_Toc152042592"/>
      <w:bookmarkStart w:id="243" w:name="_Toc152045803"/>
      <w:bookmarkStart w:id="244" w:name="_Toc447827058"/>
      <w:bookmarkStart w:id="245" w:name="_Toc144974871"/>
      <w:r>
        <w:rPr>
          <w:rFonts w:hint="eastAsia" w:ascii="宋体" w:hAnsi="宋体" w:eastAsia="宋体" w:cs="宋体"/>
          <w:sz w:val="28"/>
        </w:rPr>
        <w:br w:type="page"/>
      </w:r>
      <w:bookmarkStart w:id="246" w:name="_Toc18757"/>
      <w:bookmarkStart w:id="247" w:name="_Toc11961"/>
      <w:bookmarkStart w:id="248" w:name="_Toc12910"/>
      <w:r>
        <w:rPr>
          <w:rFonts w:hint="eastAsia" w:ascii="宋体" w:hAnsi="宋体" w:eastAsia="宋体" w:cs="宋体"/>
          <w:sz w:val="28"/>
        </w:rPr>
        <w:t>四、资格审查资料</w:t>
      </w:r>
      <w:bookmarkEnd w:id="235"/>
      <w:bookmarkEnd w:id="236"/>
      <w:bookmarkEnd w:id="237"/>
      <w:bookmarkEnd w:id="246"/>
      <w:bookmarkEnd w:id="247"/>
      <w:bookmarkEnd w:id="248"/>
    </w:p>
    <w:p>
      <w:pPr>
        <w:pStyle w:val="4"/>
        <w:spacing w:before="0" w:after="0" w:line="360" w:lineRule="auto"/>
        <w:jc w:val="center"/>
        <w:rPr>
          <w:rFonts w:ascii="宋体" w:hAnsi="宋体" w:eastAsia="宋体" w:cs="宋体"/>
          <w:sz w:val="28"/>
        </w:rPr>
      </w:pPr>
      <w:bookmarkStart w:id="249" w:name="_Toc32456"/>
      <w:bookmarkStart w:id="250" w:name="_Toc22003"/>
      <w:bookmarkStart w:id="251" w:name="_Toc17915"/>
      <w:r>
        <w:rPr>
          <w:rFonts w:hint="eastAsia" w:ascii="宋体" w:hAnsi="宋体" w:eastAsia="宋体" w:cs="宋体"/>
          <w:sz w:val="28"/>
        </w:rPr>
        <w:t>（营业执照、资质证书、业绩要求、项目人员资料等）</w:t>
      </w:r>
      <w:bookmarkEnd w:id="249"/>
      <w:bookmarkEnd w:id="250"/>
      <w:bookmarkEnd w:id="251"/>
    </w:p>
    <w:p>
      <w:pPr>
        <w:numPr>
          <w:ilvl w:val="0"/>
          <w:numId w:val="8"/>
        </w:numPr>
        <w:rPr>
          <w:rFonts w:ascii="Calibri" w:hAnsi="Calibri"/>
          <w:sz w:val="28"/>
          <w:szCs w:val="28"/>
        </w:rPr>
      </w:pPr>
      <w:r>
        <w:rPr>
          <w:rFonts w:hint="eastAsia" w:ascii="Calibri" w:hAnsi="Calibri"/>
          <w:sz w:val="28"/>
          <w:szCs w:val="28"/>
        </w:rPr>
        <w:t>营业执照</w:t>
      </w:r>
    </w:p>
    <w:p>
      <w:pPr>
        <w:rPr>
          <w:szCs w:val="21"/>
        </w:rPr>
      </w:pPr>
      <w:r>
        <w:rPr>
          <w:rFonts w:hint="eastAsia"/>
          <w:szCs w:val="21"/>
        </w:rPr>
        <w:t>注：请附营业执照复印件或扫描件，并加盖报价人公章；</w:t>
      </w:r>
    </w:p>
    <w:p>
      <w:pPr>
        <w:rPr>
          <w:sz w:val="28"/>
          <w:szCs w:val="28"/>
        </w:rPr>
      </w:pPr>
    </w:p>
    <w:p>
      <w:pPr>
        <w:numPr>
          <w:ilvl w:val="0"/>
          <w:numId w:val="8"/>
        </w:numPr>
        <w:rPr>
          <w:rFonts w:ascii="Calibri" w:hAnsi="Calibri"/>
          <w:sz w:val="28"/>
          <w:szCs w:val="28"/>
        </w:rPr>
      </w:pPr>
      <w:r>
        <w:rPr>
          <w:rFonts w:hint="eastAsia" w:ascii="Calibri" w:hAnsi="Calibri"/>
          <w:sz w:val="28"/>
          <w:szCs w:val="28"/>
        </w:rPr>
        <w:t>业绩要求</w:t>
      </w:r>
    </w:p>
    <w:p>
      <w:pPr>
        <w:rPr>
          <w:sz w:val="28"/>
          <w:szCs w:val="28"/>
        </w:rPr>
      </w:pPr>
      <w:r>
        <w:rPr>
          <w:rFonts w:hint="eastAsia"/>
          <w:szCs w:val="21"/>
        </w:rPr>
        <w:t>注：请附</w:t>
      </w:r>
      <w:r>
        <w:rPr>
          <w:rFonts w:hint="eastAsia"/>
          <w:szCs w:val="21"/>
          <w:lang w:val="en-US" w:eastAsia="zh-CN"/>
        </w:rPr>
        <w:t>需提供2020年1月1日至本竞争性比选函发出之日期间至少1个50万元及以上的国有大型企业系统集成或建设研发或应用服务合同（以合同签订时间为准）</w:t>
      </w:r>
      <w:r>
        <w:rPr>
          <w:rFonts w:hint="eastAsia"/>
          <w:szCs w:val="21"/>
        </w:rPr>
        <w:t>。</w:t>
      </w:r>
    </w:p>
    <w:p>
      <w:pPr>
        <w:rPr>
          <w:sz w:val="28"/>
          <w:szCs w:val="28"/>
        </w:rPr>
      </w:pPr>
    </w:p>
    <w:p>
      <w:pPr>
        <w:numPr>
          <w:ilvl w:val="0"/>
          <w:numId w:val="8"/>
        </w:numPr>
        <w:rPr>
          <w:rFonts w:ascii="Calibri" w:hAnsi="Calibri"/>
          <w:sz w:val="28"/>
          <w:szCs w:val="28"/>
        </w:rPr>
      </w:pPr>
      <w:r>
        <w:rPr>
          <w:rFonts w:hint="eastAsia" w:ascii="Calibri" w:hAnsi="Calibri"/>
          <w:sz w:val="28"/>
          <w:szCs w:val="28"/>
        </w:rPr>
        <w:t>信誉要求</w:t>
      </w:r>
    </w:p>
    <w:p>
      <w:pPr>
        <w:rPr>
          <w:sz w:val="28"/>
          <w:szCs w:val="28"/>
        </w:rPr>
      </w:pPr>
      <w:r>
        <w:rPr>
          <w:rFonts w:hint="eastAsia"/>
          <w:szCs w:val="21"/>
        </w:rPr>
        <w:t>注：请附在国家企业信用信息公示系统（http://www.gsxt.gov.cn/）中未被列入严重违法失信企业名单（黑名单）信息，及在“信用中国”网站（http://www.creditchina.gov.cn/）中未被列入失信惩戒执行人名单截图（参见下图），并加盖报价人公章；</w:t>
      </w:r>
    </w:p>
    <w:p/>
    <w:p>
      <w:pPr>
        <w:pStyle w:val="16"/>
      </w:pPr>
    </w:p>
    <w:p/>
    <w:p>
      <w:pPr>
        <w:numPr>
          <w:ilvl w:val="0"/>
          <w:numId w:val="8"/>
        </w:numPr>
        <w:rPr>
          <w:rFonts w:ascii="Calibri" w:hAnsi="Calibri"/>
          <w:sz w:val="28"/>
          <w:szCs w:val="28"/>
        </w:rPr>
      </w:pPr>
      <w:r>
        <w:rPr>
          <w:rFonts w:hint="eastAsia" w:ascii="Calibri" w:hAnsi="Calibri"/>
          <w:sz w:val="28"/>
          <w:szCs w:val="28"/>
        </w:rPr>
        <w:t>人员要求</w:t>
      </w:r>
    </w:p>
    <w:p>
      <w:pPr>
        <w:jc w:val="center"/>
      </w:pPr>
      <w:r>
        <w:rPr>
          <w:rFonts w:hint="eastAsia" w:ascii="宋体" w:hAnsi="宋体" w:cs="宋体"/>
          <w:b/>
          <w:szCs w:val="21"/>
        </w:rPr>
        <w:t>主要管理人员名单</w:t>
      </w:r>
    </w:p>
    <w:bookmarkEnd w:id="238"/>
    <w:bookmarkEnd w:id="239"/>
    <w:bookmarkEnd w:id="240"/>
    <w:bookmarkEnd w:id="241"/>
    <w:bookmarkEnd w:id="242"/>
    <w:bookmarkEnd w:id="243"/>
    <w:bookmarkEnd w:id="244"/>
    <w:bookmarkEnd w:id="245"/>
    <w:tbl>
      <w:tblPr>
        <w:tblStyle w:val="43"/>
        <w:tblW w:w="10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43"/>
        <w:gridCol w:w="1297"/>
        <w:gridCol w:w="2541"/>
        <w:gridCol w:w="2936"/>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252" w:name="_Toc447827068"/>
            <w:bookmarkStart w:id="253" w:name="_Toc503951055"/>
            <w:bookmarkStart w:id="254" w:name="_Toc513633973"/>
            <w:r>
              <w:rPr>
                <w:rFonts w:hint="eastAsia" w:ascii="宋体" w:hAnsi="宋体" w:cs="宋体"/>
                <w:szCs w:val="21"/>
              </w:rPr>
              <w:t>序号</w:t>
            </w:r>
          </w:p>
        </w:tc>
        <w:tc>
          <w:tcPr>
            <w:tcW w:w="15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人  员</w:t>
            </w:r>
          </w:p>
        </w:tc>
        <w:tc>
          <w:tcPr>
            <w:tcW w:w="12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姓名</w:t>
            </w:r>
          </w:p>
        </w:tc>
        <w:tc>
          <w:tcPr>
            <w:tcW w:w="25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身份证号码</w:t>
            </w:r>
          </w:p>
        </w:tc>
        <w:tc>
          <w:tcPr>
            <w:tcW w:w="29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资格证件号码</w:t>
            </w: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5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项目经理</w:t>
            </w:r>
          </w:p>
        </w:tc>
        <w:tc>
          <w:tcPr>
            <w:tcW w:w="12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25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29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val="en-US" w:eastAsia="zh-CN"/>
              </w:rPr>
            </w:pPr>
            <w:bookmarkStart w:id="255" w:name="_Toc11672"/>
            <w:bookmarkStart w:id="256" w:name="_Toc11329281"/>
            <w:r>
              <w:rPr>
                <w:rFonts w:hint="eastAsia" w:ascii="宋体" w:hAnsi="宋体" w:cs="宋体"/>
                <w:szCs w:val="21"/>
                <w:lang w:val="en-US" w:eastAsia="zh-CN"/>
              </w:rPr>
              <w:t>2</w:t>
            </w:r>
          </w:p>
        </w:tc>
        <w:tc>
          <w:tcPr>
            <w:tcW w:w="15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lang w:val="en-US" w:eastAsia="zh-CN"/>
              </w:rPr>
            </w:pPr>
            <w:r>
              <w:rPr>
                <w:rFonts w:hint="default" w:ascii="宋体" w:hAnsi="宋体" w:eastAsia="宋体" w:cs="宋体"/>
                <w:szCs w:val="21"/>
                <w:lang w:val="en-US" w:eastAsia="zh-CN"/>
              </w:rPr>
              <w:t>项目技术人员</w:t>
            </w:r>
          </w:p>
        </w:tc>
        <w:tc>
          <w:tcPr>
            <w:tcW w:w="12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25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29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bl>
    <w:p>
      <w:pPr>
        <w:pStyle w:val="149"/>
        <w:adjustRightInd/>
        <w:spacing w:line="360" w:lineRule="auto"/>
        <w:rPr>
          <w:rFonts w:ascii="Times New Roman" w:hAnsi="宋体" w:cs="Times New Roman"/>
          <w:color w:val="auto"/>
          <w:sz w:val="21"/>
          <w:szCs w:val="21"/>
        </w:rPr>
      </w:pPr>
      <w:r>
        <w:rPr>
          <w:rFonts w:hint="eastAsia" w:ascii="Times New Roman" w:hAnsi="宋体" w:cs="Times New Roman"/>
          <w:color w:val="auto"/>
          <w:sz w:val="21"/>
          <w:szCs w:val="21"/>
          <w:lang w:val="en-US" w:eastAsia="zh-CN"/>
        </w:rPr>
        <w:t>提</w:t>
      </w:r>
      <w:r>
        <w:rPr>
          <w:rFonts w:hint="eastAsia" w:ascii="Times New Roman" w:hAnsi="宋体" w:cs="Times New Roman"/>
          <w:color w:val="auto"/>
          <w:sz w:val="21"/>
          <w:szCs w:val="21"/>
        </w:rPr>
        <w:t>供项目主要管理人员名单（表格形式），以上人员相关资质证件、身份证复印件及由社保局出具的报价人为以上人员</w:t>
      </w:r>
      <w:r>
        <w:rPr>
          <w:rFonts w:hint="eastAsia" w:ascii="Times New Roman" w:hAnsi="宋体" w:cs="Times New Roman"/>
          <w:color w:val="auto"/>
          <w:sz w:val="21"/>
          <w:szCs w:val="21"/>
          <w:lang w:val="en-US" w:eastAsia="zh-CN"/>
        </w:rPr>
        <w:t>缴纳2022年12月至2023年2月连续社保证明材料复印件（带有社保部门公章或社保部门的有效电子印章），并加盖单位鲜公章。</w:t>
      </w:r>
    </w:p>
    <w:p/>
    <w:p>
      <w:pPr>
        <w:pStyle w:val="16"/>
      </w:pPr>
    </w:p>
    <w:p/>
    <w:p>
      <w:pPr>
        <w:pStyle w:val="149"/>
        <w:adjustRightInd/>
        <w:spacing w:line="360" w:lineRule="auto"/>
        <w:rPr>
          <w:rFonts w:hint="eastAsia" w:hAnsi="宋体"/>
          <w:color w:val="auto"/>
          <w:sz w:val="21"/>
          <w:szCs w:val="21"/>
        </w:rPr>
      </w:pPr>
    </w:p>
    <w:p>
      <w:pPr>
        <w:pStyle w:val="149"/>
        <w:adjustRightInd/>
        <w:spacing w:line="360" w:lineRule="auto"/>
        <w:rPr>
          <w:rFonts w:hint="eastAsia" w:hAnsi="宋体"/>
          <w:color w:val="auto"/>
          <w:sz w:val="21"/>
          <w:szCs w:val="21"/>
        </w:rPr>
      </w:pPr>
    </w:p>
    <w:bookmarkEnd w:id="252"/>
    <w:bookmarkEnd w:id="253"/>
    <w:bookmarkEnd w:id="254"/>
    <w:p>
      <w:pPr>
        <w:pStyle w:val="4"/>
        <w:numPr>
          <w:ilvl w:val="0"/>
          <w:numId w:val="9"/>
        </w:numPr>
        <w:spacing w:before="0" w:after="0" w:line="360" w:lineRule="auto"/>
        <w:jc w:val="center"/>
        <w:rPr>
          <w:rFonts w:hint="eastAsia" w:ascii="宋体" w:hAnsi="宋体" w:eastAsia="宋体" w:cs="宋体"/>
          <w:sz w:val="28"/>
        </w:rPr>
      </w:pPr>
      <w:bookmarkStart w:id="257" w:name="_Toc11243"/>
      <w:bookmarkStart w:id="258" w:name="_Toc29559"/>
      <w:r>
        <w:rPr>
          <w:rFonts w:hint="eastAsia" w:ascii="宋体" w:hAnsi="宋体" w:eastAsia="宋体" w:cs="宋体"/>
          <w:sz w:val="28"/>
        </w:rPr>
        <w:t>报价人须知前附表规定的材料</w:t>
      </w:r>
      <w:bookmarkEnd w:id="255"/>
      <w:bookmarkEnd w:id="256"/>
      <w:bookmarkEnd w:id="257"/>
      <w:bookmarkEnd w:id="258"/>
    </w:p>
    <w:p>
      <w:pPr>
        <w:numPr>
          <w:ilvl w:val="0"/>
          <w:numId w:val="0"/>
        </w:numPr>
        <w:jc w:val="center"/>
        <w:rPr>
          <w:rFonts w:hint="eastAsia" w:ascii="宋体" w:hAnsi="宋体" w:eastAsia="宋体" w:cs="宋体"/>
          <w:b/>
          <w:bCs/>
          <w:kern w:val="0"/>
          <w:sz w:val="28"/>
          <w:szCs w:val="32"/>
          <w:lang w:val="en-US" w:eastAsia="zh-CN" w:bidi="ar-SA"/>
        </w:rPr>
      </w:pPr>
      <w:r>
        <w:rPr>
          <w:rFonts w:hint="eastAsia" w:ascii="宋体" w:hAnsi="宋体" w:eastAsia="宋体" w:cs="宋体"/>
          <w:b/>
          <w:bCs/>
          <w:kern w:val="0"/>
          <w:sz w:val="28"/>
          <w:szCs w:val="32"/>
          <w:lang w:val="en-US" w:eastAsia="zh-CN" w:bidi="ar-SA"/>
        </w:rPr>
        <w:t>（一）技术参数响应表</w:t>
      </w:r>
    </w:p>
    <w:p>
      <w:pPr>
        <w:numPr>
          <w:ilvl w:val="0"/>
          <w:numId w:val="0"/>
        </w:numPr>
      </w:pPr>
    </w:p>
    <w:tbl>
      <w:tblPr>
        <w:tblStyle w:val="43"/>
        <w:tblpPr w:leftFromText="180" w:rightFromText="180" w:vertAnchor="text" w:horzAnchor="margin" w:tblpXSpec="center" w:tblpY="239"/>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223"/>
        <w:gridCol w:w="2243"/>
        <w:gridCol w:w="2010"/>
        <w:gridCol w:w="2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36" w:type="dxa"/>
            <w:noWrap w:val="0"/>
            <w:vAlign w:val="center"/>
          </w:tcPr>
          <w:p>
            <w:pPr>
              <w:widowControl/>
              <w:jc w:val="both"/>
              <w:textAlignment w:val="top"/>
              <w:rPr>
                <w:rFonts w:ascii="宋体" w:hAnsi="宋体" w:cs="宋体"/>
                <w:b/>
                <w:bCs/>
                <w:szCs w:val="22"/>
              </w:rPr>
            </w:pPr>
            <w:bookmarkStart w:id="259" w:name="bookmark81"/>
            <w:bookmarkStart w:id="260" w:name="_Toc513633974"/>
            <w:bookmarkStart w:id="261" w:name="_Toc503951058"/>
            <w:r>
              <w:rPr>
                <w:rFonts w:ascii="宋体" w:hAnsi="宋体" w:cs="宋体"/>
                <w:b/>
                <w:bCs/>
                <w:szCs w:val="22"/>
              </w:rPr>
              <w:t>编号</w:t>
            </w:r>
          </w:p>
        </w:tc>
        <w:tc>
          <w:tcPr>
            <w:tcW w:w="1223" w:type="dxa"/>
            <w:noWrap w:val="0"/>
            <w:vAlign w:val="center"/>
          </w:tcPr>
          <w:p>
            <w:pPr>
              <w:widowControl/>
              <w:jc w:val="both"/>
              <w:textAlignment w:val="top"/>
              <w:rPr>
                <w:rFonts w:hint="eastAsia" w:ascii="宋体" w:hAnsi="宋体" w:cs="宋体"/>
                <w:b/>
                <w:bCs/>
                <w:szCs w:val="22"/>
              </w:rPr>
            </w:pPr>
            <w:r>
              <w:rPr>
                <w:rFonts w:ascii="宋体" w:hAnsi="宋体" w:cs="宋体"/>
                <w:b/>
                <w:bCs/>
                <w:szCs w:val="22"/>
              </w:rPr>
              <w:t>模块</w:t>
            </w:r>
          </w:p>
        </w:tc>
        <w:tc>
          <w:tcPr>
            <w:tcW w:w="2243" w:type="dxa"/>
            <w:noWrap w:val="0"/>
            <w:vAlign w:val="center"/>
          </w:tcPr>
          <w:p>
            <w:pPr>
              <w:widowControl/>
              <w:jc w:val="both"/>
              <w:textAlignment w:val="top"/>
              <w:rPr>
                <w:rFonts w:ascii="宋体" w:hAnsi="宋体" w:cs="宋体"/>
                <w:b/>
                <w:bCs/>
                <w:szCs w:val="22"/>
              </w:rPr>
            </w:pPr>
            <w:r>
              <w:rPr>
                <w:rFonts w:hint="eastAsia" w:ascii="宋体" w:hAnsi="宋体" w:cs="宋体"/>
                <w:b/>
                <w:bCs/>
                <w:color w:val="000000"/>
                <w:kern w:val="0"/>
                <w:szCs w:val="21"/>
                <w:lang w:bidi="ar"/>
              </w:rPr>
              <w:t>模板</w:t>
            </w:r>
          </w:p>
        </w:tc>
        <w:tc>
          <w:tcPr>
            <w:tcW w:w="2010" w:type="dxa"/>
            <w:noWrap w:val="0"/>
            <w:vAlign w:val="center"/>
          </w:tcPr>
          <w:p>
            <w:pPr>
              <w:widowControl/>
              <w:jc w:val="both"/>
              <w:textAlignment w:val="top"/>
              <w:rPr>
                <w:rFonts w:ascii="宋体" w:hAnsi="宋体" w:cs="宋体"/>
                <w:b/>
                <w:bCs/>
                <w:szCs w:val="22"/>
              </w:rPr>
            </w:pPr>
            <w:r>
              <w:rPr>
                <w:rFonts w:hint="eastAsia" w:ascii="宋体" w:hAnsi="宋体" w:cs="宋体"/>
                <w:b/>
                <w:bCs/>
                <w:color w:val="000000"/>
                <w:kern w:val="0"/>
                <w:szCs w:val="21"/>
                <w:lang w:bidi="ar"/>
              </w:rPr>
              <w:t>是否响应</w:t>
            </w:r>
          </w:p>
        </w:tc>
        <w:tc>
          <w:tcPr>
            <w:tcW w:w="2668" w:type="dxa"/>
            <w:noWrap w:val="0"/>
            <w:vAlign w:val="center"/>
          </w:tcPr>
          <w:p>
            <w:pPr>
              <w:widowControl/>
              <w:jc w:val="both"/>
              <w:textAlignment w:val="top"/>
              <w:rPr>
                <w:rFonts w:ascii="宋体" w:hAnsi="宋体" w:cs="宋体"/>
                <w:b/>
                <w:bCs/>
                <w:szCs w:val="22"/>
              </w:rPr>
            </w:pPr>
            <w:r>
              <w:rPr>
                <w:rFonts w:hint="eastAsia" w:ascii="宋体" w:hAnsi="宋体" w:cs="宋体"/>
                <w:b/>
                <w:bCs/>
                <w:color w:val="000000"/>
                <w:kern w:val="0"/>
                <w:szCs w:val="21"/>
                <w:lang w:bidi="ar"/>
              </w:rPr>
              <w:t>响应内容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36" w:type="dxa"/>
            <w:vMerge w:val="restart"/>
            <w:noWrap w:val="0"/>
            <w:vAlign w:val="center"/>
          </w:tcPr>
          <w:p>
            <w:pPr>
              <w:widowControl/>
              <w:jc w:val="center"/>
              <w:textAlignment w:val="center"/>
              <w:rPr>
                <w:rFonts w:hint="eastAsia" w:ascii="宋体" w:hAnsi="宋体" w:cs="宋体"/>
                <w:szCs w:val="22"/>
              </w:rPr>
            </w:pPr>
            <w:r>
              <w:rPr>
                <w:rFonts w:hint="eastAsia" w:ascii="宋体" w:hAnsi="宋体" w:cs="宋体"/>
                <w:szCs w:val="22"/>
              </w:rPr>
              <w:t>1</w:t>
            </w:r>
          </w:p>
        </w:tc>
        <w:tc>
          <w:tcPr>
            <w:tcW w:w="1223" w:type="dxa"/>
            <w:vMerge w:val="restart"/>
            <w:noWrap w:val="0"/>
            <w:vAlign w:val="center"/>
          </w:tcPr>
          <w:p>
            <w:pPr>
              <w:widowControl/>
              <w:jc w:val="center"/>
              <w:textAlignment w:val="center"/>
              <w:rPr>
                <w:rFonts w:hint="eastAsia" w:ascii="宋体" w:hAnsi="宋体" w:cs="宋体"/>
                <w:szCs w:val="22"/>
              </w:rPr>
            </w:pPr>
            <w:r>
              <w:rPr>
                <w:rFonts w:hint="eastAsia" w:ascii="宋体" w:hAnsi="宋体" w:cs="宋体"/>
                <w:szCs w:val="22"/>
              </w:rPr>
              <w:t>技术参数</w:t>
            </w:r>
          </w:p>
        </w:tc>
        <w:tc>
          <w:tcPr>
            <w:tcW w:w="2243" w:type="dxa"/>
            <w:noWrap w:val="0"/>
            <w:vAlign w:val="center"/>
          </w:tcPr>
          <w:p>
            <w:pPr>
              <w:widowControl/>
              <w:jc w:val="left"/>
              <w:textAlignment w:val="center"/>
              <w:rPr>
                <w:rFonts w:hint="eastAsia" w:ascii="宋体" w:hAnsi="宋体" w:cs="宋体"/>
                <w:szCs w:val="22"/>
              </w:rPr>
            </w:pPr>
            <w:r>
              <w:rPr>
                <w:rFonts w:hint="eastAsia" w:ascii="宋体" w:hAnsi="宋体" w:cs="宋体"/>
                <w:szCs w:val="21"/>
              </w:rPr>
              <w:t>★</w:t>
            </w:r>
            <w:r>
              <w:rPr>
                <w:rFonts w:hint="eastAsia" w:ascii="宋体" w:hAnsi="宋体" w:cs="宋体"/>
                <w:b/>
                <w:szCs w:val="21"/>
              </w:rPr>
              <w:t>决策制度管理</w:t>
            </w:r>
          </w:p>
        </w:tc>
        <w:tc>
          <w:tcPr>
            <w:tcW w:w="2010" w:type="dxa"/>
            <w:noWrap w:val="0"/>
            <w:vAlign w:val="center"/>
          </w:tcPr>
          <w:p>
            <w:pPr>
              <w:ind w:firstLine="480"/>
              <w:jc w:val="left"/>
              <w:rPr>
                <w:rFonts w:hint="eastAsia" w:ascii="宋体" w:hAnsi="宋体" w:cs="宋体"/>
                <w:szCs w:val="22"/>
              </w:rPr>
            </w:pPr>
          </w:p>
        </w:tc>
        <w:tc>
          <w:tcPr>
            <w:tcW w:w="2668" w:type="dxa"/>
            <w:noWrap w:val="0"/>
            <w:vAlign w:val="center"/>
          </w:tcPr>
          <w:p>
            <w:pPr>
              <w:ind w:firstLine="480"/>
              <w:jc w:val="left"/>
              <w:rPr>
                <w:rFonts w:hint="eastAsia"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36" w:type="dxa"/>
            <w:vMerge w:val="continue"/>
            <w:noWrap w:val="0"/>
            <w:vAlign w:val="center"/>
          </w:tcPr>
          <w:p>
            <w:pPr>
              <w:widowControl/>
              <w:ind w:firstLine="480"/>
              <w:jc w:val="center"/>
              <w:textAlignment w:val="center"/>
              <w:rPr>
                <w:rFonts w:hint="eastAsia" w:ascii="宋体" w:hAnsi="宋体" w:cs="宋体"/>
                <w:szCs w:val="22"/>
              </w:rPr>
            </w:pPr>
          </w:p>
        </w:tc>
        <w:tc>
          <w:tcPr>
            <w:tcW w:w="1223" w:type="dxa"/>
            <w:vMerge w:val="continue"/>
            <w:noWrap w:val="0"/>
            <w:vAlign w:val="center"/>
          </w:tcPr>
          <w:p>
            <w:pPr>
              <w:widowControl/>
              <w:ind w:firstLine="480"/>
              <w:jc w:val="center"/>
              <w:textAlignment w:val="center"/>
              <w:rPr>
                <w:rFonts w:hint="eastAsia" w:ascii="宋体" w:hAnsi="宋体" w:cs="宋体"/>
                <w:szCs w:val="22"/>
              </w:rPr>
            </w:pPr>
          </w:p>
        </w:tc>
        <w:tc>
          <w:tcPr>
            <w:tcW w:w="2243" w:type="dxa"/>
            <w:noWrap w:val="0"/>
            <w:vAlign w:val="center"/>
          </w:tcPr>
          <w:p>
            <w:pPr>
              <w:widowControl/>
              <w:jc w:val="left"/>
              <w:textAlignment w:val="center"/>
              <w:rPr>
                <w:rFonts w:hint="eastAsia" w:ascii="宋体" w:hAnsi="宋体" w:cs="宋体"/>
                <w:szCs w:val="22"/>
              </w:rPr>
            </w:pPr>
            <w:r>
              <w:rPr>
                <w:rFonts w:hint="eastAsia" w:ascii="宋体" w:hAnsi="宋体" w:cs="宋体"/>
                <w:szCs w:val="21"/>
              </w:rPr>
              <w:t>★</w:t>
            </w:r>
            <w:r>
              <w:rPr>
                <w:rFonts w:hint="eastAsia" w:ascii="宋体" w:hAnsi="宋体" w:cs="宋体"/>
                <w:b/>
                <w:szCs w:val="21"/>
              </w:rPr>
              <w:t>决策事项清单管理</w:t>
            </w:r>
          </w:p>
        </w:tc>
        <w:tc>
          <w:tcPr>
            <w:tcW w:w="2010" w:type="dxa"/>
            <w:noWrap w:val="0"/>
            <w:vAlign w:val="center"/>
          </w:tcPr>
          <w:p>
            <w:pPr>
              <w:ind w:firstLine="480"/>
              <w:jc w:val="left"/>
              <w:rPr>
                <w:rFonts w:hint="eastAsia" w:ascii="宋体" w:hAnsi="宋体" w:cs="宋体"/>
                <w:szCs w:val="22"/>
              </w:rPr>
            </w:pPr>
          </w:p>
        </w:tc>
        <w:tc>
          <w:tcPr>
            <w:tcW w:w="2668" w:type="dxa"/>
            <w:noWrap w:val="0"/>
            <w:vAlign w:val="center"/>
          </w:tcPr>
          <w:p>
            <w:pPr>
              <w:ind w:firstLine="480"/>
              <w:jc w:val="left"/>
              <w:rPr>
                <w:rFonts w:hint="eastAsia"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36" w:type="dxa"/>
            <w:vMerge w:val="continue"/>
            <w:noWrap w:val="0"/>
            <w:vAlign w:val="center"/>
          </w:tcPr>
          <w:p>
            <w:pPr>
              <w:widowControl/>
              <w:ind w:firstLine="480"/>
              <w:jc w:val="center"/>
              <w:textAlignment w:val="center"/>
              <w:rPr>
                <w:rFonts w:hint="eastAsia" w:ascii="宋体" w:hAnsi="宋体" w:cs="宋体"/>
                <w:szCs w:val="22"/>
              </w:rPr>
            </w:pPr>
          </w:p>
        </w:tc>
        <w:tc>
          <w:tcPr>
            <w:tcW w:w="1223" w:type="dxa"/>
            <w:vMerge w:val="continue"/>
            <w:noWrap w:val="0"/>
            <w:vAlign w:val="center"/>
          </w:tcPr>
          <w:p>
            <w:pPr>
              <w:widowControl/>
              <w:ind w:firstLine="480"/>
              <w:jc w:val="center"/>
              <w:textAlignment w:val="center"/>
              <w:rPr>
                <w:rFonts w:hint="eastAsia" w:ascii="宋体" w:hAnsi="宋体" w:cs="宋体"/>
                <w:szCs w:val="22"/>
              </w:rPr>
            </w:pPr>
          </w:p>
        </w:tc>
        <w:tc>
          <w:tcPr>
            <w:tcW w:w="2243" w:type="dxa"/>
            <w:noWrap w:val="0"/>
            <w:vAlign w:val="center"/>
          </w:tcPr>
          <w:p>
            <w:pPr>
              <w:widowControl/>
              <w:jc w:val="left"/>
              <w:textAlignment w:val="center"/>
              <w:rPr>
                <w:rFonts w:hint="eastAsia" w:ascii="宋体" w:hAnsi="宋体" w:cs="宋体"/>
                <w:szCs w:val="22"/>
              </w:rPr>
            </w:pPr>
            <w:r>
              <w:rPr>
                <w:rFonts w:hint="eastAsia" w:ascii="宋体" w:hAnsi="宋体" w:cs="宋体"/>
                <w:szCs w:val="21"/>
              </w:rPr>
              <w:t>★</w:t>
            </w:r>
            <w:r>
              <w:rPr>
                <w:rFonts w:hint="eastAsia" w:ascii="宋体" w:hAnsi="宋体" w:cs="宋体"/>
                <w:b/>
                <w:szCs w:val="21"/>
              </w:rPr>
              <w:t>议题管理</w:t>
            </w:r>
          </w:p>
        </w:tc>
        <w:tc>
          <w:tcPr>
            <w:tcW w:w="2010" w:type="dxa"/>
            <w:noWrap w:val="0"/>
            <w:vAlign w:val="center"/>
          </w:tcPr>
          <w:p>
            <w:pPr>
              <w:ind w:firstLine="480"/>
              <w:jc w:val="left"/>
              <w:rPr>
                <w:rFonts w:hint="eastAsia" w:ascii="宋体" w:hAnsi="宋体" w:cs="宋体"/>
                <w:szCs w:val="22"/>
              </w:rPr>
            </w:pPr>
          </w:p>
        </w:tc>
        <w:tc>
          <w:tcPr>
            <w:tcW w:w="2668" w:type="dxa"/>
            <w:noWrap w:val="0"/>
            <w:vAlign w:val="center"/>
          </w:tcPr>
          <w:p>
            <w:pPr>
              <w:ind w:firstLine="480"/>
              <w:jc w:val="left"/>
              <w:rPr>
                <w:rFonts w:hint="eastAsia"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36" w:type="dxa"/>
            <w:vMerge w:val="continue"/>
            <w:noWrap w:val="0"/>
            <w:vAlign w:val="center"/>
          </w:tcPr>
          <w:p>
            <w:pPr>
              <w:widowControl/>
              <w:ind w:firstLine="480"/>
              <w:jc w:val="center"/>
              <w:textAlignment w:val="center"/>
              <w:rPr>
                <w:rFonts w:hint="eastAsia" w:ascii="宋体" w:hAnsi="宋体" w:cs="宋体"/>
                <w:szCs w:val="22"/>
              </w:rPr>
            </w:pPr>
          </w:p>
        </w:tc>
        <w:tc>
          <w:tcPr>
            <w:tcW w:w="1223" w:type="dxa"/>
            <w:vMerge w:val="continue"/>
            <w:noWrap w:val="0"/>
            <w:vAlign w:val="center"/>
          </w:tcPr>
          <w:p>
            <w:pPr>
              <w:widowControl/>
              <w:ind w:firstLine="480"/>
              <w:jc w:val="center"/>
              <w:textAlignment w:val="center"/>
              <w:rPr>
                <w:rFonts w:hint="eastAsia" w:ascii="宋体" w:hAnsi="宋体" w:cs="宋体"/>
                <w:szCs w:val="22"/>
              </w:rPr>
            </w:pPr>
          </w:p>
        </w:tc>
        <w:tc>
          <w:tcPr>
            <w:tcW w:w="2243" w:type="dxa"/>
            <w:noWrap w:val="0"/>
            <w:vAlign w:val="center"/>
          </w:tcPr>
          <w:p>
            <w:pPr>
              <w:widowControl/>
              <w:jc w:val="left"/>
              <w:textAlignment w:val="center"/>
              <w:rPr>
                <w:rFonts w:hint="eastAsia" w:ascii="宋体" w:hAnsi="宋体" w:cs="宋体"/>
                <w:szCs w:val="22"/>
              </w:rPr>
            </w:pPr>
            <w:r>
              <w:rPr>
                <w:rFonts w:hint="eastAsia" w:ascii="宋体" w:hAnsi="宋体" w:cs="宋体"/>
                <w:szCs w:val="21"/>
              </w:rPr>
              <w:t>★</w:t>
            </w:r>
            <w:r>
              <w:rPr>
                <w:rFonts w:hint="eastAsia" w:ascii="宋体" w:hAnsi="宋体" w:cs="宋体"/>
                <w:b/>
                <w:szCs w:val="21"/>
              </w:rPr>
              <w:t>会议管理</w:t>
            </w:r>
          </w:p>
        </w:tc>
        <w:tc>
          <w:tcPr>
            <w:tcW w:w="2010" w:type="dxa"/>
            <w:noWrap w:val="0"/>
            <w:vAlign w:val="center"/>
          </w:tcPr>
          <w:p>
            <w:pPr>
              <w:ind w:firstLine="480"/>
              <w:jc w:val="left"/>
              <w:rPr>
                <w:rFonts w:hint="eastAsia" w:ascii="宋体" w:hAnsi="宋体" w:cs="宋体"/>
                <w:szCs w:val="22"/>
              </w:rPr>
            </w:pPr>
          </w:p>
        </w:tc>
        <w:tc>
          <w:tcPr>
            <w:tcW w:w="2668" w:type="dxa"/>
            <w:noWrap w:val="0"/>
            <w:vAlign w:val="center"/>
          </w:tcPr>
          <w:p>
            <w:pPr>
              <w:ind w:firstLine="480"/>
              <w:jc w:val="left"/>
              <w:rPr>
                <w:rFonts w:hint="eastAsia"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36" w:type="dxa"/>
            <w:vMerge w:val="continue"/>
            <w:noWrap w:val="0"/>
            <w:vAlign w:val="center"/>
          </w:tcPr>
          <w:p>
            <w:pPr>
              <w:widowControl/>
              <w:ind w:firstLine="480"/>
              <w:jc w:val="center"/>
              <w:textAlignment w:val="center"/>
              <w:rPr>
                <w:rFonts w:hint="eastAsia" w:ascii="宋体" w:hAnsi="宋体" w:cs="宋体"/>
                <w:szCs w:val="22"/>
              </w:rPr>
            </w:pPr>
          </w:p>
        </w:tc>
        <w:tc>
          <w:tcPr>
            <w:tcW w:w="1223" w:type="dxa"/>
            <w:vMerge w:val="continue"/>
            <w:noWrap w:val="0"/>
            <w:vAlign w:val="center"/>
          </w:tcPr>
          <w:p>
            <w:pPr>
              <w:widowControl/>
              <w:ind w:firstLine="480"/>
              <w:jc w:val="center"/>
              <w:textAlignment w:val="center"/>
              <w:rPr>
                <w:rFonts w:hint="eastAsia" w:ascii="宋体" w:hAnsi="宋体" w:cs="宋体"/>
                <w:szCs w:val="22"/>
              </w:rPr>
            </w:pPr>
          </w:p>
        </w:tc>
        <w:tc>
          <w:tcPr>
            <w:tcW w:w="2243" w:type="dxa"/>
            <w:noWrap w:val="0"/>
            <w:vAlign w:val="center"/>
          </w:tcPr>
          <w:p>
            <w:pPr>
              <w:widowControl/>
              <w:jc w:val="left"/>
              <w:textAlignment w:val="center"/>
              <w:rPr>
                <w:rFonts w:hint="eastAsia" w:ascii="宋体" w:hAnsi="宋体" w:cs="宋体"/>
                <w:szCs w:val="22"/>
              </w:rPr>
            </w:pPr>
            <w:r>
              <w:rPr>
                <w:rFonts w:hint="eastAsia" w:ascii="宋体" w:hAnsi="宋体" w:cs="宋体"/>
                <w:szCs w:val="21"/>
              </w:rPr>
              <w:t>★</w:t>
            </w:r>
            <w:r>
              <w:rPr>
                <w:rFonts w:hint="eastAsia" w:ascii="宋体" w:hAnsi="宋体" w:cs="宋体"/>
                <w:b/>
                <w:szCs w:val="21"/>
              </w:rPr>
              <w:t>组织实施</w:t>
            </w:r>
          </w:p>
        </w:tc>
        <w:tc>
          <w:tcPr>
            <w:tcW w:w="2010" w:type="dxa"/>
            <w:noWrap w:val="0"/>
            <w:vAlign w:val="center"/>
          </w:tcPr>
          <w:p>
            <w:pPr>
              <w:ind w:firstLine="480"/>
              <w:jc w:val="left"/>
              <w:rPr>
                <w:rFonts w:hint="eastAsia" w:ascii="宋体" w:hAnsi="宋体" w:cs="宋体"/>
                <w:szCs w:val="22"/>
              </w:rPr>
            </w:pPr>
          </w:p>
        </w:tc>
        <w:tc>
          <w:tcPr>
            <w:tcW w:w="2668" w:type="dxa"/>
            <w:noWrap w:val="0"/>
            <w:vAlign w:val="center"/>
          </w:tcPr>
          <w:p>
            <w:pPr>
              <w:ind w:firstLine="480"/>
              <w:jc w:val="left"/>
              <w:rPr>
                <w:rFonts w:hint="eastAsia"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36" w:type="dxa"/>
            <w:vMerge w:val="continue"/>
            <w:noWrap w:val="0"/>
            <w:vAlign w:val="center"/>
          </w:tcPr>
          <w:p>
            <w:pPr>
              <w:widowControl/>
              <w:ind w:firstLine="480"/>
              <w:jc w:val="center"/>
              <w:textAlignment w:val="center"/>
              <w:rPr>
                <w:rFonts w:hint="eastAsia" w:ascii="宋体" w:hAnsi="宋体" w:cs="宋体"/>
                <w:szCs w:val="22"/>
              </w:rPr>
            </w:pPr>
          </w:p>
        </w:tc>
        <w:tc>
          <w:tcPr>
            <w:tcW w:w="1223" w:type="dxa"/>
            <w:vMerge w:val="continue"/>
            <w:noWrap w:val="0"/>
            <w:vAlign w:val="center"/>
          </w:tcPr>
          <w:p>
            <w:pPr>
              <w:widowControl/>
              <w:ind w:firstLine="480"/>
              <w:jc w:val="center"/>
              <w:textAlignment w:val="center"/>
              <w:rPr>
                <w:rFonts w:hint="eastAsia" w:ascii="宋体" w:hAnsi="宋体" w:cs="宋体"/>
                <w:szCs w:val="22"/>
              </w:rPr>
            </w:pPr>
          </w:p>
        </w:tc>
        <w:tc>
          <w:tcPr>
            <w:tcW w:w="2243" w:type="dxa"/>
            <w:noWrap w:val="0"/>
            <w:vAlign w:val="center"/>
          </w:tcPr>
          <w:p>
            <w:pPr>
              <w:widowControl/>
              <w:jc w:val="left"/>
              <w:textAlignment w:val="center"/>
              <w:rPr>
                <w:rFonts w:hint="eastAsia" w:ascii="宋体" w:hAnsi="宋体" w:cs="宋体"/>
                <w:szCs w:val="22"/>
              </w:rPr>
            </w:pPr>
            <w:r>
              <w:rPr>
                <w:rFonts w:hint="eastAsia" w:ascii="宋体" w:hAnsi="宋体" w:cs="宋体"/>
                <w:szCs w:val="21"/>
              </w:rPr>
              <w:t>★</w:t>
            </w:r>
            <w:r>
              <w:rPr>
                <w:rFonts w:hint="eastAsia" w:ascii="宋体" w:hAnsi="宋体" w:cs="宋体"/>
                <w:b/>
                <w:szCs w:val="21"/>
              </w:rPr>
              <w:t>决策分析</w:t>
            </w:r>
          </w:p>
        </w:tc>
        <w:tc>
          <w:tcPr>
            <w:tcW w:w="2010" w:type="dxa"/>
            <w:noWrap w:val="0"/>
            <w:vAlign w:val="center"/>
          </w:tcPr>
          <w:p>
            <w:pPr>
              <w:ind w:firstLine="480"/>
              <w:jc w:val="left"/>
              <w:rPr>
                <w:rFonts w:hint="eastAsia" w:ascii="宋体" w:hAnsi="宋体" w:cs="宋体"/>
                <w:szCs w:val="22"/>
              </w:rPr>
            </w:pPr>
          </w:p>
        </w:tc>
        <w:tc>
          <w:tcPr>
            <w:tcW w:w="2668" w:type="dxa"/>
            <w:noWrap w:val="0"/>
            <w:vAlign w:val="center"/>
          </w:tcPr>
          <w:p>
            <w:pPr>
              <w:ind w:firstLine="480"/>
              <w:jc w:val="left"/>
              <w:rPr>
                <w:rFonts w:hint="eastAsia"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36" w:type="dxa"/>
            <w:vMerge w:val="continue"/>
            <w:noWrap w:val="0"/>
            <w:vAlign w:val="center"/>
          </w:tcPr>
          <w:p>
            <w:pPr>
              <w:widowControl/>
              <w:ind w:firstLine="480"/>
              <w:jc w:val="center"/>
              <w:textAlignment w:val="center"/>
              <w:rPr>
                <w:rFonts w:hint="eastAsia" w:ascii="宋体" w:hAnsi="宋体" w:cs="宋体"/>
                <w:szCs w:val="22"/>
              </w:rPr>
            </w:pPr>
          </w:p>
        </w:tc>
        <w:tc>
          <w:tcPr>
            <w:tcW w:w="1223" w:type="dxa"/>
            <w:vMerge w:val="continue"/>
            <w:noWrap w:val="0"/>
            <w:vAlign w:val="center"/>
          </w:tcPr>
          <w:p>
            <w:pPr>
              <w:widowControl/>
              <w:ind w:firstLine="480"/>
              <w:jc w:val="center"/>
              <w:textAlignment w:val="center"/>
              <w:rPr>
                <w:rFonts w:hint="eastAsia" w:ascii="宋体" w:hAnsi="宋体" w:cs="宋体"/>
                <w:szCs w:val="22"/>
              </w:rPr>
            </w:pPr>
          </w:p>
        </w:tc>
        <w:tc>
          <w:tcPr>
            <w:tcW w:w="2243" w:type="dxa"/>
            <w:noWrap w:val="0"/>
            <w:vAlign w:val="center"/>
          </w:tcPr>
          <w:p>
            <w:pPr>
              <w:widowControl/>
              <w:jc w:val="left"/>
              <w:textAlignment w:val="center"/>
              <w:rPr>
                <w:rFonts w:hint="eastAsia" w:ascii="宋体" w:hAnsi="宋体" w:cs="宋体"/>
                <w:szCs w:val="22"/>
              </w:rPr>
            </w:pPr>
            <w:r>
              <w:rPr>
                <w:rFonts w:hint="eastAsia" w:ascii="宋体" w:hAnsi="宋体" w:cs="宋体"/>
                <w:szCs w:val="21"/>
              </w:rPr>
              <w:t>★</w:t>
            </w:r>
            <w:r>
              <w:rPr>
                <w:rFonts w:hint="eastAsia" w:ascii="宋体" w:hAnsi="宋体" w:cs="宋体"/>
                <w:b/>
                <w:szCs w:val="21"/>
              </w:rPr>
              <w:t>查询管理</w:t>
            </w:r>
          </w:p>
        </w:tc>
        <w:tc>
          <w:tcPr>
            <w:tcW w:w="2010" w:type="dxa"/>
            <w:noWrap w:val="0"/>
            <w:vAlign w:val="center"/>
          </w:tcPr>
          <w:p>
            <w:pPr>
              <w:ind w:firstLine="480"/>
              <w:jc w:val="left"/>
              <w:rPr>
                <w:rFonts w:hint="eastAsia" w:ascii="宋体" w:hAnsi="宋体" w:cs="宋体"/>
                <w:szCs w:val="22"/>
              </w:rPr>
            </w:pPr>
          </w:p>
        </w:tc>
        <w:tc>
          <w:tcPr>
            <w:tcW w:w="2668" w:type="dxa"/>
            <w:noWrap w:val="0"/>
            <w:vAlign w:val="center"/>
          </w:tcPr>
          <w:p>
            <w:pPr>
              <w:ind w:firstLine="480"/>
              <w:jc w:val="left"/>
              <w:rPr>
                <w:rFonts w:hint="eastAsia"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36" w:type="dxa"/>
            <w:vMerge w:val="continue"/>
            <w:noWrap w:val="0"/>
            <w:vAlign w:val="center"/>
          </w:tcPr>
          <w:p>
            <w:pPr>
              <w:widowControl/>
              <w:ind w:firstLine="480"/>
              <w:jc w:val="center"/>
              <w:textAlignment w:val="center"/>
              <w:rPr>
                <w:rFonts w:hint="eastAsia" w:ascii="宋体" w:hAnsi="宋体" w:cs="宋体"/>
                <w:szCs w:val="22"/>
              </w:rPr>
            </w:pPr>
          </w:p>
        </w:tc>
        <w:tc>
          <w:tcPr>
            <w:tcW w:w="1223" w:type="dxa"/>
            <w:vMerge w:val="continue"/>
            <w:noWrap w:val="0"/>
            <w:vAlign w:val="center"/>
          </w:tcPr>
          <w:p>
            <w:pPr>
              <w:widowControl/>
              <w:ind w:firstLine="480"/>
              <w:jc w:val="center"/>
              <w:textAlignment w:val="center"/>
              <w:rPr>
                <w:rFonts w:hint="eastAsia" w:ascii="宋体" w:hAnsi="宋体" w:cs="宋体"/>
                <w:szCs w:val="22"/>
              </w:rPr>
            </w:pPr>
          </w:p>
        </w:tc>
        <w:tc>
          <w:tcPr>
            <w:tcW w:w="2243" w:type="dxa"/>
            <w:noWrap w:val="0"/>
            <w:vAlign w:val="center"/>
          </w:tcPr>
          <w:p>
            <w:pPr>
              <w:widowControl/>
              <w:jc w:val="left"/>
              <w:textAlignment w:val="center"/>
              <w:rPr>
                <w:rFonts w:hint="eastAsia" w:ascii="宋体" w:hAnsi="宋体" w:cs="宋体"/>
                <w:szCs w:val="21"/>
              </w:rPr>
            </w:pPr>
            <w:r>
              <w:rPr>
                <w:rFonts w:hint="eastAsia" w:ascii="宋体" w:hAnsi="宋体" w:cs="宋体"/>
                <w:szCs w:val="21"/>
              </w:rPr>
              <w:t>★</w:t>
            </w:r>
            <w:r>
              <w:rPr>
                <w:rFonts w:hint="eastAsia" w:ascii="宋体" w:hAnsi="宋体" w:cs="宋体"/>
                <w:b/>
                <w:bCs/>
                <w:szCs w:val="21"/>
                <w:lang w:eastAsia="zh-Hans"/>
              </w:rPr>
              <w:t>流程引擎</w:t>
            </w:r>
          </w:p>
        </w:tc>
        <w:tc>
          <w:tcPr>
            <w:tcW w:w="2010" w:type="dxa"/>
            <w:noWrap w:val="0"/>
            <w:vAlign w:val="center"/>
          </w:tcPr>
          <w:p>
            <w:pPr>
              <w:ind w:firstLine="480"/>
              <w:jc w:val="left"/>
              <w:rPr>
                <w:rFonts w:hint="eastAsia" w:ascii="宋体" w:hAnsi="宋体" w:cs="宋体"/>
                <w:szCs w:val="22"/>
              </w:rPr>
            </w:pPr>
          </w:p>
        </w:tc>
        <w:tc>
          <w:tcPr>
            <w:tcW w:w="2668" w:type="dxa"/>
            <w:noWrap w:val="0"/>
            <w:vAlign w:val="center"/>
          </w:tcPr>
          <w:p>
            <w:pPr>
              <w:ind w:firstLine="480"/>
              <w:jc w:val="left"/>
              <w:rPr>
                <w:rFonts w:hint="eastAsia"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36" w:type="dxa"/>
            <w:vMerge w:val="continue"/>
            <w:noWrap w:val="0"/>
            <w:vAlign w:val="center"/>
          </w:tcPr>
          <w:p>
            <w:pPr>
              <w:widowControl/>
              <w:ind w:firstLine="480"/>
              <w:jc w:val="center"/>
              <w:textAlignment w:val="center"/>
              <w:rPr>
                <w:rFonts w:hint="eastAsia" w:ascii="宋体" w:hAnsi="宋体" w:cs="宋体"/>
                <w:szCs w:val="22"/>
              </w:rPr>
            </w:pPr>
          </w:p>
        </w:tc>
        <w:tc>
          <w:tcPr>
            <w:tcW w:w="1223" w:type="dxa"/>
            <w:vMerge w:val="continue"/>
            <w:noWrap w:val="0"/>
            <w:vAlign w:val="center"/>
          </w:tcPr>
          <w:p>
            <w:pPr>
              <w:widowControl/>
              <w:ind w:firstLine="480"/>
              <w:jc w:val="center"/>
              <w:textAlignment w:val="center"/>
              <w:rPr>
                <w:rFonts w:hint="eastAsia" w:ascii="宋体" w:hAnsi="宋体" w:cs="宋体"/>
                <w:szCs w:val="22"/>
              </w:rPr>
            </w:pPr>
          </w:p>
        </w:tc>
        <w:tc>
          <w:tcPr>
            <w:tcW w:w="2243" w:type="dxa"/>
            <w:noWrap w:val="0"/>
            <w:vAlign w:val="center"/>
          </w:tcPr>
          <w:p>
            <w:pPr>
              <w:spacing w:before="156" w:beforeLines="50" w:after="156" w:afterLines="50" w:line="360" w:lineRule="auto"/>
              <w:rPr>
                <w:rFonts w:hint="eastAsia" w:ascii="宋体" w:hAnsi="宋体" w:cs="宋体"/>
                <w:b/>
                <w:bCs/>
                <w:szCs w:val="21"/>
                <w:lang w:eastAsia="zh-Hans"/>
              </w:rPr>
            </w:pPr>
            <w:r>
              <w:rPr>
                <w:rFonts w:hint="eastAsia" w:ascii="宋体" w:hAnsi="宋体" w:cs="宋体"/>
                <w:szCs w:val="21"/>
              </w:rPr>
              <w:t>★</w:t>
            </w:r>
            <w:r>
              <w:rPr>
                <w:rFonts w:hint="eastAsia" w:ascii="宋体" w:hAnsi="宋体" w:cs="宋体"/>
                <w:b/>
                <w:bCs/>
                <w:szCs w:val="21"/>
                <w:lang w:eastAsia="zh-Hans"/>
              </w:rPr>
              <w:t>单点登录</w:t>
            </w:r>
          </w:p>
        </w:tc>
        <w:tc>
          <w:tcPr>
            <w:tcW w:w="2010" w:type="dxa"/>
            <w:noWrap w:val="0"/>
            <w:vAlign w:val="center"/>
          </w:tcPr>
          <w:p>
            <w:pPr>
              <w:ind w:firstLine="480"/>
              <w:jc w:val="left"/>
              <w:rPr>
                <w:rFonts w:hint="eastAsia" w:ascii="宋体" w:hAnsi="宋体" w:cs="宋体"/>
                <w:szCs w:val="22"/>
              </w:rPr>
            </w:pPr>
          </w:p>
        </w:tc>
        <w:tc>
          <w:tcPr>
            <w:tcW w:w="2668" w:type="dxa"/>
            <w:noWrap w:val="0"/>
            <w:vAlign w:val="center"/>
          </w:tcPr>
          <w:p>
            <w:pPr>
              <w:ind w:firstLine="480"/>
              <w:jc w:val="left"/>
              <w:rPr>
                <w:rFonts w:hint="eastAsia"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36" w:type="dxa"/>
            <w:noWrap w:val="0"/>
            <w:vAlign w:val="center"/>
          </w:tcPr>
          <w:p>
            <w:pPr>
              <w:widowControl/>
              <w:jc w:val="center"/>
              <w:textAlignment w:val="center"/>
              <w:rPr>
                <w:rFonts w:hint="eastAsia" w:ascii="宋体" w:hAnsi="宋体" w:cs="宋体"/>
                <w:szCs w:val="21"/>
              </w:rPr>
            </w:pPr>
            <w:r>
              <w:rPr>
                <w:rFonts w:hint="eastAsia" w:ascii="宋体" w:hAnsi="宋体" w:cs="宋体"/>
                <w:szCs w:val="21"/>
              </w:rPr>
              <w:t>2</w:t>
            </w:r>
          </w:p>
        </w:tc>
        <w:tc>
          <w:tcPr>
            <w:tcW w:w="1223" w:type="dxa"/>
            <w:noWrap w:val="0"/>
            <w:vAlign w:val="center"/>
          </w:tcPr>
          <w:p>
            <w:pPr>
              <w:widowControl/>
              <w:jc w:val="center"/>
              <w:textAlignment w:val="center"/>
              <w:rPr>
                <w:rFonts w:hint="eastAsia" w:ascii="宋体" w:hAnsi="宋体" w:cs="宋体"/>
                <w:szCs w:val="22"/>
              </w:rPr>
            </w:pPr>
            <w:r>
              <w:rPr>
                <w:rFonts w:hint="eastAsia" w:ascii="宋体" w:hAnsi="宋体" w:cs="宋体"/>
                <w:szCs w:val="21"/>
              </w:rPr>
              <w:t>实施方案</w:t>
            </w:r>
          </w:p>
        </w:tc>
        <w:tc>
          <w:tcPr>
            <w:tcW w:w="2243"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szCs w:val="21"/>
              </w:rPr>
              <w:t>实施方案</w:t>
            </w:r>
          </w:p>
        </w:tc>
        <w:tc>
          <w:tcPr>
            <w:tcW w:w="2010" w:type="dxa"/>
            <w:noWrap w:val="0"/>
            <w:vAlign w:val="center"/>
          </w:tcPr>
          <w:p>
            <w:pPr>
              <w:ind w:firstLine="480"/>
              <w:jc w:val="left"/>
              <w:rPr>
                <w:rFonts w:hint="eastAsia" w:ascii="宋体" w:hAnsi="宋体" w:cs="宋体"/>
                <w:szCs w:val="22"/>
              </w:rPr>
            </w:pPr>
          </w:p>
        </w:tc>
        <w:tc>
          <w:tcPr>
            <w:tcW w:w="2668" w:type="dxa"/>
            <w:noWrap w:val="0"/>
            <w:vAlign w:val="center"/>
          </w:tcPr>
          <w:p>
            <w:pPr>
              <w:ind w:firstLine="480"/>
              <w:jc w:val="left"/>
              <w:rPr>
                <w:rFonts w:hint="eastAsia"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36" w:type="dxa"/>
            <w:noWrap w:val="0"/>
            <w:vAlign w:val="center"/>
          </w:tcPr>
          <w:p>
            <w:pPr>
              <w:widowControl/>
              <w:jc w:val="center"/>
              <w:textAlignment w:val="center"/>
              <w:rPr>
                <w:rFonts w:hint="eastAsia" w:ascii="宋体" w:hAnsi="宋体" w:cs="宋体"/>
                <w:szCs w:val="21"/>
              </w:rPr>
            </w:pPr>
            <w:r>
              <w:rPr>
                <w:rFonts w:hint="eastAsia" w:ascii="宋体" w:hAnsi="宋体" w:cs="宋体"/>
                <w:szCs w:val="21"/>
              </w:rPr>
              <w:t>3</w:t>
            </w:r>
          </w:p>
        </w:tc>
        <w:tc>
          <w:tcPr>
            <w:tcW w:w="1223" w:type="dxa"/>
            <w:noWrap w:val="0"/>
            <w:vAlign w:val="center"/>
          </w:tcPr>
          <w:p>
            <w:pPr>
              <w:widowControl/>
              <w:jc w:val="center"/>
              <w:textAlignment w:val="center"/>
              <w:rPr>
                <w:rFonts w:hint="eastAsia" w:ascii="宋体" w:hAnsi="宋体" w:cs="宋体"/>
                <w:szCs w:val="22"/>
              </w:rPr>
            </w:pPr>
            <w:r>
              <w:rPr>
                <w:rFonts w:hint="eastAsia" w:ascii="宋体" w:hAnsi="宋体" w:cs="宋体"/>
                <w:szCs w:val="21"/>
              </w:rPr>
              <w:t>计划目标、实施路径和措施保障</w:t>
            </w:r>
          </w:p>
        </w:tc>
        <w:tc>
          <w:tcPr>
            <w:tcW w:w="2243" w:type="dxa"/>
            <w:noWrap w:val="0"/>
            <w:vAlign w:val="center"/>
          </w:tcPr>
          <w:p>
            <w:pPr>
              <w:widowControl/>
              <w:jc w:val="left"/>
              <w:textAlignment w:val="center"/>
              <w:rPr>
                <w:rFonts w:hint="eastAsia" w:ascii="宋体" w:hAnsi="宋体" w:cs="宋体"/>
                <w:color w:val="000000"/>
                <w:kern w:val="0"/>
                <w:szCs w:val="21"/>
                <w:lang w:bidi="ar"/>
              </w:rPr>
            </w:pPr>
            <w:r>
              <w:rPr>
                <w:rFonts w:hint="eastAsia" w:ascii="宋体" w:hAnsi="宋体" w:cs="宋体"/>
                <w:szCs w:val="21"/>
              </w:rPr>
              <w:t>计划目标、实施路径和措施保障</w:t>
            </w:r>
          </w:p>
        </w:tc>
        <w:tc>
          <w:tcPr>
            <w:tcW w:w="2010" w:type="dxa"/>
            <w:noWrap w:val="0"/>
            <w:vAlign w:val="center"/>
          </w:tcPr>
          <w:p>
            <w:pPr>
              <w:ind w:firstLine="480"/>
              <w:jc w:val="left"/>
              <w:rPr>
                <w:rFonts w:hint="eastAsia" w:ascii="宋体" w:hAnsi="宋体" w:cs="宋体"/>
                <w:szCs w:val="22"/>
              </w:rPr>
            </w:pPr>
          </w:p>
        </w:tc>
        <w:tc>
          <w:tcPr>
            <w:tcW w:w="2668" w:type="dxa"/>
            <w:noWrap w:val="0"/>
            <w:vAlign w:val="center"/>
          </w:tcPr>
          <w:p>
            <w:pPr>
              <w:ind w:firstLine="480"/>
              <w:jc w:val="left"/>
              <w:rPr>
                <w:rFonts w:hint="eastAsia" w:ascii="宋体" w:hAnsi="宋体" w:cs="宋体"/>
                <w:szCs w:val="22"/>
              </w:rPr>
            </w:pPr>
          </w:p>
        </w:tc>
      </w:tr>
    </w:tbl>
    <w:p>
      <w:pPr>
        <w:pStyle w:val="5"/>
        <w:jc w:val="center"/>
        <w:rPr>
          <w:rFonts w:hint="eastAsia" w:ascii="宋体" w:hAnsi="宋体" w:cs="宋体"/>
          <w:sz w:val="28"/>
        </w:rPr>
      </w:pPr>
    </w:p>
    <w:p>
      <w:pPr>
        <w:pStyle w:val="5"/>
        <w:jc w:val="center"/>
        <w:rPr>
          <w:rFonts w:hint="eastAsia" w:ascii="宋体" w:hAnsi="宋体" w:cs="宋体"/>
          <w:sz w:val="28"/>
        </w:rPr>
      </w:pPr>
    </w:p>
    <w:p>
      <w:pPr>
        <w:pStyle w:val="5"/>
        <w:jc w:val="both"/>
        <w:rPr>
          <w:rFonts w:hint="eastAsia" w:ascii="宋体" w:hAnsi="宋体" w:cs="宋体"/>
          <w:sz w:val="28"/>
        </w:rPr>
      </w:pPr>
    </w:p>
    <w:p>
      <w:pPr>
        <w:pStyle w:val="5"/>
        <w:jc w:val="both"/>
        <w:rPr>
          <w:rFonts w:hint="eastAsia" w:ascii="宋体" w:hAnsi="宋体" w:cs="宋体"/>
          <w:sz w:val="28"/>
        </w:rPr>
      </w:pPr>
    </w:p>
    <w:p>
      <w:pPr>
        <w:rPr>
          <w:rFonts w:hint="eastAsia"/>
        </w:rPr>
      </w:pPr>
    </w:p>
    <w:p>
      <w:pPr>
        <w:pStyle w:val="5"/>
        <w:jc w:val="center"/>
        <w:rPr>
          <w:rFonts w:ascii="宋体" w:hAnsi="宋体" w:cs="宋体"/>
          <w:sz w:val="28"/>
        </w:rPr>
      </w:pPr>
      <w:r>
        <w:rPr>
          <w:rFonts w:hint="eastAsia" w:ascii="宋体" w:hAnsi="宋体" w:cs="宋体"/>
          <w:sz w:val="28"/>
        </w:rPr>
        <w:t>（</w:t>
      </w:r>
      <w:r>
        <w:rPr>
          <w:rFonts w:hint="eastAsia" w:ascii="宋体" w:hAnsi="宋体" w:cs="宋体"/>
          <w:sz w:val="28"/>
          <w:lang w:val="en-US" w:eastAsia="zh-CN"/>
        </w:rPr>
        <w:t>二</w:t>
      </w:r>
      <w:r>
        <w:rPr>
          <w:rFonts w:hint="eastAsia" w:ascii="宋体" w:hAnsi="宋体" w:cs="宋体"/>
          <w:sz w:val="28"/>
        </w:rPr>
        <w:t>）</w:t>
      </w:r>
      <w:bookmarkEnd w:id="259"/>
      <w:bookmarkStart w:id="262" w:name="_Toc504639215"/>
      <w:bookmarkStart w:id="263" w:name="_Toc507681488"/>
      <w:bookmarkStart w:id="264" w:name="_Toc507681700"/>
      <w:r>
        <w:rPr>
          <w:rFonts w:hint="eastAsia" w:ascii="宋体" w:hAnsi="宋体" w:cs="宋体"/>
          <w:sz w:val="28"/>
        </w:rPr>
        <w:t>报价人自行承诺部分</w:t>
      </w:r>
      <w:bookmarkEnd w:id="262"/>
      <w:bookmarkEnd w:id="263"/>
      <w:bookmarkEnd w:id="264"/>
    </w:p>
    <w:p>
      <w:pPr>
        <w:spacing w:line="360" w:lineRule="auto"/>
        <w:rPr>
          <w:sz w:val="24"/>
          <w:szCs w:val="28"/>
        </w:rPr>
      </w:pPr>
      <w:r>
        <w:rPr>
          <w:rFonts w:hint="eastAsia"/>
          <w:sz w:val="24"/>
          <w:szCs w:val="28"/>
        </w:rPr>
        <w:t>致：重庆首讯科技股份有限公司</w:t>
      </w:r>
    </w:p>
    <w:p>
      <w:pPr>
        <w:spacing w:line="360" w:lineRule="auto"/>
        <w:ind w:firstLine="480" w:firstLineChars="200"/>
        <w:rPr>
          <w:rFonts w:hint="eastAsia"/>
          <w:sz w:val="24"/>
          <w:szCs w:val="28"/>
        </w:rPr>
      </w:pPr>
      <w:r>
        <w:rPr>
          <w:rFonts w:hint="eastAsia"/>
          <w:sz w:val="24"/>
          <w:szCs w:val="28"/>
        </w:rPr>
        <w:t>我公司对</w:t>
      </w:r>
      <w:r>
        <w:rPr>
          <w:rFonts w:hint="eastAsia"/>
          <w:sz w:val="24"/>
          <w:szCs w:val="28"/>
          <w:u w:val="single"/>
        </w:rPr>
        <w:t xml:space="preserve">                                 （项目名称）</w:t>
      </w:r>
      <w:r>
        <w:rPr>
          <w:rFonts w:hint="eastAsia"/>
          <w:sz w:val="24"/>
          <w:szCs w:val="28"/>
        </w:rPr>
        <w:t>竞争性比选文件中要求内容完全响应做出以下承诺：</w:t>
      </w:r>
    </w:p>
    <w:p>
      <w:pPr>
        <w:spacing w:line="360" w:lineRule="auto"/>
        <w:ind w:firstLine="480" w:firstLineChars="200"/>
        <w:rPr>
          <w:rFonts w:hint="eastAsia"/>
          <w:sz w:val="24"/>
          <w:szCs w:val="28"/>
        </w:rPr>
      </w:pPr>
      <w:r>
        <w:rPr>
          <w:rFonts w:hint="eastAsia"/>
          <w:sz w:val="24"/>
          <w:szCs w:val="28"/>
        </w:rPr>
        <w:t>1、我方比选响应文件中所有资料都是真实、准确、完整的；</w:t>
      </w:r>
    </w:p>
    <w:p>
      <w:pPr>
        <w:spacing w:line="360" w:lineRule="auto"/>
        <w:ind w:firstLine="480" w:firstLineChars="200"/>
        <w:rPr>
          <w:sz w:val="24"/>
          <w:szCs w:val="28"/>
        </w:rPr>
      </w:pPr>
      <w:r>
        <w:rPr>
          <w:rFonts w:hint="eastAsia"/>
          <w:sz w:val="24"/>
          <w:szCs w:val="28"/>
        </w:rPr>
        <w:t>2、我方不存在资质挂靠或参与串标、围标情形。所报项目相关人员未在其他项目任职。</w:t>
      </w:r>
    </w:p>
    <w:p>
      <w:pPr>
        <w:spacing w:line="360" w:lineRule="auto"/>
        <w:ind w:firstLine="480" w:firstLineChars="200"/>
        <w:rPr>
          <w:rFonts w:hint="eastAsia"/>
          <w:sz w:val="24"/>
          <w:szCs w:val="28"/>
        </w:rPr>
      </w:pPr>
      <w:r>
        <w:rPr>
          <w:rFonts w:hint="eastAsia"/>
          <w:sz w:val="24"/>
          <w:szCs w:val="28"/>
        </w:rPr>
        <w:t>3、完全响应竞争性比选文件中的人员要求、机械设备要求、投标内容要求、报价要求、工期要求、质量标准、安全目标等要求；</w:t>
      </w:r>
    </w:p>
    <w:p>
      <w:pPr>
        <w:spacing w:line="360" w:lineRule="auto"/>
        <w:rPr>
          <w:sz w:val="24"/>
          <w:szCs w:val="28"/>
        </w:rPr>
      </w:pPr>
      <w:r>
        <w:rPr>
          <w:rFonts w:hint="eastAsia"/>
          <w:sz w:val="24"/>
          <w:szCs w:val="28"/>
        </w:rPr>
        <w:t>如我方违反上述承诺，隐瞒、提供虚假资料或不按竞争性比选文件要求组织实施，被贵方发现或被他人举报查实，无条件接受贵司的处罚，对造成的损失，任何法律和经济责任完全由我方承担。</w:t>
      </w:r>
    </w:p>
    <w:p>
      <w:pPr>
        <w:spacing w:line="360" w:lineRule="auto"/>
        <w:rPr>
          <w:sz w:val="24"/>
          <w:szCs w:val="28"/>
        </w:rPr>
      </w:pPr>
    </w:p>
    <w:p>
      <w:pPr>
        <w:spacing w:line="360" w:lineRule="auto"/>
        <w:rPr>
          <w:sz w:val="24"/>
          <w:szCs w:val="28"/>
        </w:rPr>
      </w:pPr>
    </w:p>
    <w:p>
      <w:pPr>
        <w:spacing w:line="360" w:lineRule="auto"/>
        <w:rPr>
          <w:rFonts w:hint="eastAsia"/>
          <w:sz w:val="24"/>
          <w:szCs w:val="28"/>
        </w:rPr>
      </w:pPr>
      <w:r>
        <w:rPr>
          <w:rFonts w:hint="eastAsia"/>
          <w:sz w:val="24"/>
          <w:szCs w:val="28"/>
        </w:rPr>
        <w:t xml:space="preserve">                    报价人（单位名称）：</w:t>
      </w:r>
    </w:p>
    <w:p>
      <w:pPr>
        <w:spacing w:line="360" w:lineRule="auto"/>
        <w:rPr>
          <w:rFonts w:hint="eastAsia" w:ascii="宋体" w:hAnsi="宋体"/>
          <w:sz w:val="24"/>
          <w:szCs w:val="28"/>
        </w:rPr>
      </w:pPr>
      <w:r>
        <w:rPr>
          <w:rFonts w:hint="eastAsia"/>
          <w:sz w:val="24"/>
          <w:szCs w:val="28"/>
        </w:rPr>
        <w:t xml:space="preserve">        </w:t>
      </w:r>
      <w:r>
        <w:rPr>
          <w:rFonts w:ascii="宋体" w:hAnsi="宋体"/>
          <w:sz w:val="24"/>
          <w:szCs w:val="28"/>
        </w:rPr>
        <w:t>法定代表人</w:t>
      </w:r>
      <w:r>
        <w:rPr>
          <w:rFonts w:hint="eastAsia" w:ascii="宋体" w:hAnsi="宋体"/>
          <w:sz w:val="24"/>
          <w:szCs w:val="28"/>
        </w:rPr>
        <w:t>（或</w:t>
      </w:r>
      <w:r>
        <w:rPr>
          <w:rFonts w:ascii="宋体" w:hAnsi="宋体"/>
          <w:sz w:val="24"/>
          <w:szCs w:val="28"/>
        </w:rPr>
        <w:t>委托代理人</w:t>
      </w:r>
      <w:r>
        <w:rPr>
          <w:rFonts w:hint="eastAsia" w:ascii="宋体" w:hAnsi="宋体"/>
          <w:sz w:val="24"/>
          <w:szCs w:val="28"/>
        </w:rPr>
        <w:t>）</w:t>
      </w:r>
      <w:r>
        <w:rPr>
          <w:rFonts w:ascii="宋体" w:hAnsi="宋体"/>
          <w:sz w:val="24"/>
          <w:szCs w:val="28"/>
        </w:rPr>
        <w:t>签字</w:t>
      </w:r>
      <w:r>
        <w:rPr>
          <w:rFonts w:hint="eastAsia" w:ascii="宋体" w:hAnsi="宋体"/>
          <w:sz w:val="24"/>
          <w:szCs w:val="28"/>
        </w:rPr>
        <w:t>：</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kern w:val="0"/>
          <w:szCs w:val="21"/>
        </w:rPr>
      </w:pPr>
      <w:r>
        <w:rPr>
          <w:rFonts w:hint="eastAsia" w:ascii="宋体" w:hAnsi="宋体"/>
          <w:sz w:val="24"/>
          <w:szCs w:val="28"/>
        </w:rPr>
        <w:t xml:space="preserve">     日期：</w:t>
      </w:r>
    </w:p>
    <w:p>
      <w:pPr>
        <w:pStyle w:val="5"/>
        <w:jc w:val="center"/>
        <w:rPr>
          <w:rFonts w:ascii="宋体" w:hAnsi="宋体" w:cs="宋体"/>
          <w:sz w:val="28"/>
        </w:rPr>
      </w:pPr>
    </w:p>
    <w:p>
      <w:pPr>
        <w:pStyle w:val="5"/>
        <w:jc w:val="center"/>
        <w:rPr>
          <w:rFonts w:ascii="宋体" w:hAnsi="宋体" w:cs="宋体"/>
          <w:sz w:val="28"/>
        </w:rPr>
      </w:pPr>
    </w:p>
    <w:p>
      <w:pPr>
        <w:pStyle w:val="4"/>
        <w:spacing w:before="0" w:after="0" w:line="360" w:lineRule="auto"/>
        <w:jc w:val="center"/>
        <w:rPr>
          <w:rFonts w:ascii="宋体" w:hAnsi="宋体" w:eastAsia="宋体" w:cs="宋体"/>
          <w:sz w:val="28"/>
        </w:rPr>
      </w:pPr>
      <w:r>
        <w:rPr>
          <w:rFonts w:hint="eastAsia" w:ascii="宋体" w:hAnsi="宋体" w:cs="宋体"/>
          <w:sz w:val="28"/>
        </w:rPr>
        <w:br w:type="page"/>
      </w:r>
      <w:r>
        <w:rPr>
          <w:rFonts w:hint="eastAsia" w:ascii="宋体" w:hAnsi="宋体" w:eastAsia="宋体" w:cs="宋体"/>
          <w:sz w:val="28"/>
        </w:rPr>
        <w:t>六、报价人基本信息及其他材料</w:t>
      </w:r>
    </w:p>
    <w:p>
      <w:pPr>
        <w:pStyle w:val="5"/>
        <w:spacing w:before="0" w:after="0" w:line="360" w:lineRule="auto"/>
        <w:jc w:val="center"/>
        <w:rPr>
          <w:sz w:val="28"/>
          <w:szCs w:val="28"/>
        </w:rPr>
      </w:pPr>
      <w:bookmarkStart w:id="265" w:name="_Toc452107137"/>
      <w:bookmarkStart w:id="266" w:name="_Toc4375"/>
      <w:bookmarkStart w:id="267" w:name="_Toc508110857"/>
      <w:r>
        <w:rPr>
          <w:rFonts w:hint="eastAsia"/>
          <w:sz w:val="28"/>
          <w:szCs w:val="28"/>
        </w:rPr>
        <w:t>（一）报价人基本信息表</w:t>
      </w:r>
      <w:bookmarkEnd w:id="265"/>
      <w:bookmarkEnd w:id="266"/>
      <w:bookmarkEnd w:id="267"/>
    </w:p>
    <w:p>
      <w:pPr>
        <w:pStyle w:val="26"/>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center"/>
        <w:rPr>
          <w:rFonts w:ascii="宋体" w:hAnsi="宋体" w:cs="宋体"/>
          <w:sz w:val="28"/>
        </w:rPr>
      </w:pPr>
      <w:r>
        <w:rPr>
          <w:rFonts w:hint="eastAsia" w:ascii="宋体" w:hAnsi="宋体" w:cs="宋体"/>
          <w:sz w:val="28"/>
        </w:rPr>
        <w:t>（二）其他材料</w:t>
      </w:r>
    </w:p>
    <w:p>
      <w:pPr>
        <w:pStyle w:val="5"/>
        <w:jc w:val="both"/>
        <w:rPr>
          <w:rFonts w:hint="eastAsia" w:ascii="宋体" w:hAnsi="宋体" w:cs="宋体"/>
          <w:b w:val="0"/>
          <w:bCs w:val="0"/>
          <w:kern w:val="0"/>
          <w:sz w:val="21"/>
          <w:szCs w:val="21"/>
          <w:lang w:val="en-US" w:eastAsia="zh-CN" w:bidi="ar-SA"/>
        </w:rPr>
      </w:pPr>
      <w:r>
        <w:rPr>
          <w:rFonts w:hint="eastAsia" w:ascii="宋体" w:hAnsi="宋体" w:cs="宋体"/>
          <w:b w:val="0"/>
          <w:bCs w:val="0"/>
          <w:kern w:val="0"/>
          <w:sz w:val="21"/>
          <w:szCs w:val="21"/>
          <w:lang w:val="en-US" w:eastAsia="zh-CN" w:bidi="ar-SA"/>
        </w:rPr>
        <w:t>1、投标保证金回执</w:t>
      </w:r>
    </w:p>
    <w:p>
      <w:pPr>
        <w:pStyle w:val="5"/>
        <w:jc w:val="both"/>
        <w:rPr>
          <w:rFonts w:hint="default" w:ascii="宋体" w:hAnsi="宋体" w:cs="宋体"/>
          <w:b w:val="0"/>
          <w:bCs w:val="0"/>
          <w:kern w:val="0"/>
          <w:sz w:val="21"/>
          <w:szCs w:val="21"/>
          <w:lang w:val="en-US" w:eastAsia="zh-CN" w:bidi="ar-SA"/>
        </w:rPr>
      </w:pPr>
      <w:r>
        <w:rPr>
          <w:rFonts w:hint="eastAsia" w:ascii="宋体" w:hAnsi="宋体" w:cs="宋体"/>
          <w:b w:val="0"/>
          <w:bCs w:val="0"/>
          <w:kern w:val="0"/>
          <w:sz w:val="21"/>
          <w:szCs w:val="21"/>
          <w:lang w:val="en-US" w:eastAsia="zh-CN" w:bidi="ar-SA"/>
        </w:rPr>
        <w:t>2、.....</w:t>
      </w:r>
    </w:p>
    <w:p>
      <w:pPr>
        <w:pStyle w:val="5"/>
        <w:jc w:val="both"/>
        <w:rPr>
          <w:rFonts w:hint="eastAsia" w:ascii="宋体" w:hAnsi="宋体" w:cs="宋体"/>
          <w:b w:val="0"/>
          <w:bCs w:val="0"/>
          <w:kern w:val="0"/>
          <w:sz w:val="21"/>
          <w:szCs w:val="21"/>
          <w:lang w:val="en-US" w:eastAsia="zh-CN" w:bidi="ar-SA"/>
        </w:rPr>
      </w:pPr>
    </w:p>
    <w:p>
      <w:pPr>
        <w:pStyle w:val="16"/>
      </w:pPr>
    </w:p>
    <w:p/>
    <w:p>
      <w:pPr>
        <w:pStyle w:val="16"/>
      </w:pPr>
    </w:p>
    <w:p/>
    <w:p>
      <w:pPr>
        <w:pStyle w:val="16"/>
      </w:pPr>
    </w:p>
    <w:p/>
    <w:p>
      <w:pPr>
        <w:pStyle w:val="16"/>
      </w:pPr>
    </w:p>
    <w:p/>
    <w:p>
      <w:pPr>
        <w:pStyle w:val="16"/>
      </w:pPr>
    </w:p>
    <w:p/>
    <w:p>
      <w:pPr>
        <w:pStyle w:val="16"/>
      </w:pPr>
    </w:p>
    <w:p/>
    <w:p>
      <w:pPr>
        <w:pStyle w:val="16"/>
      </w:pPr>
    </w:p>
    <w:p/>
    <w:p>
      <w:pPr>
        <w:pStyle w:val="16"/>
      </w:pPr>
    </w:p>
    <w:p/>
    <w:p>
      <w:pPr>
        <w:pStyle w:val="16"/>
      </w:pPr>
    </w:p>
    <w:p/>
    <w:p>
      <w:pPr>
        <w:pStyle w:val="16"/>
      </w:pPr>
    </w:p>
    <w:p/>
    <w:p>
      <w:pPr>
        <w:pStyle w:val="16"/>
      </w:pPr>
    </w:p>
    <w:p/>
    <w:p>
      <w:pPr>
        <w:pStyle w:val="16"/>
      </w:pPr>
    </w:p>
    <w:p/>
    <w:p>
      <w:pPr>
        <w:pStyle w:val="16"/>
      </w:pPr>
    </w:p>
    <w:bookmarkEnd w:id="260"/>
    <w:bookmarkEnd w:id="261"/>
    <w:p>
      <w:pPr>
        <w:pStyle w:val="28"/>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DC66A4D-6B10-41FF-A136-9C66955D04F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E71F989-F34F-48EE-A035-D9BE6B02F077}"/>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embedRegular r:id="rId3" w:fontKey="{DA0AE23F-12F4-42A6-A94F-7D63A2B18256}"/>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73</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94FDD"/>
    <w:multiLevelType w:val="singleLevel"/>
    <w:tmpl w:val="83094FDD"/>
    <w:lvl w:ilvl="0" w:tentative="0">
      <w:start w:val="1"/>
      <w:numFmt w:val="decimal"/>
      <w:suff w:val="nothing"/>
      <w:lvlText w:val="（%1）"/>
      <w:lvlJc w:val="left"/>
    </w:lvl>
  </w:abstractNum>
  <w:abstractNum w:abstractNumId="1">
    <w:nsid w:val="9F637B5D"/>
    <w:multiLevelType w:val="singleLevel"/>
    <w:tmpl w:val="9F637B5D"/>
    <w:lvl w:ilvl="0" w:tentative="0">
      <w:start w:val="1"/>
      <w:numFmt w:val="decimal"/>
      <w:suff w:val="nothing"/>
      <w:lvlText w:val="（%1）"/>
      <w:lvlJc w:val="left"/>
    </w:lvl>
  </w:abstractNum>
  <w:abstractNum w:abstractNumId="2">
    <w:nsid w:val="E2D59CDF"/>
    <w:multiLevelType w:val="singleLevel"/>
    <w:tmpl w:val="E2D59CDF"/>
    <w:lvl w:ilvl="0" w:tentative="0">
      <w:start w:val="1"/>
      <w:numFmt w:val="decimal"/>
      <w:suff w:val="nothing"/>
      <w:lvlText w:val="（%1）"/>
      <w:lvlJc w:val="left"/>
    </w:lvl>
  </w:abstractNum>
  <w:abstractNum w:abstractNumId="3">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3871CE1D"/>
    <w:multiLevelType w:val="singleLevel"/>
    <w:tmpl w:val="3871CE1D"/>
    <w:lvl w:ilvl="0" w:tentative="0">
      <w:start w:val="1"/>
      <w:numFmt w:val="chineseCounting"/>
      <w:suff w:val="nothing"/>
      <w:lvlText w:val="%1、"/>
      <w:lvlJc w:val="left"/>
      <w:rPr>
        <w:rFonts w:hint="eastAsia"/>
      </w:rPr>
    </w:lvl>
  </w:abstractNum>
  <w:abstractNum w:abstractNumId="5">
    <w:nsid w:val="3E7CE8BC"/>
    <w:multiLevelType w:val="singleLevel"/>
    <w:tmpl w:val="3E7CE8BC"/>
    <w:lvl w:ilvl="0" w:tentative="0">
      <w:start w:val="5"/>
      <w:numFmt w:val="chineseCounting"/>
      <w:suff w:val="nothing"/>
      <w:lvlText w:val="%1、"/>
      <w:lvlJc w:val="left"/>
      <w:rPr>
        <w:rFonts w:hint="eastAsia"/>
      </w:rPr>
    </w:lvl>
  </w:abstractNum>
  <w:abstractNum w:abstractNumId="6">
    <w:nsid w:val="55E7E3B4"/>
    <w:multiLevelType w:val="singleLevel"/>
    <w:tmpl w:val="55E7E3B4"/>
    <w:lvl w:ilvl="0" w:tentative="0">
      <w:start w:val="3"/>
      <w:numFmt w:val="chineseCounting"/>
      <w:suff w:val="space"/>
      <w:lvlText w:val="第%1章"/>
      <w:lvlJc w:val="left"/>
      <w:rPr>
        <w:rFonts w:hint="eastAsia"/>
      </w:rPr>
    </w:lvl>
  </w:abstractNum>
  <w:abstractNum w:abstractNumId="7">
    <w:nsid w:val="5E2C7F43"/>
    <w:multiLevelType w:val="multilevel"/>
    <w:tmpl w:val="5E2C7F4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8BA0F68"/>
    <w:multiLevelType w:val="singleLevel"/>
    <w:tmpl w:val="78BA0F68"/>
    <w:lvl w:ilvl="0" w:tentative="0">
      <w:start w:val="1"/>
      <w:numFmt w:val="decimal"/>
      <w:lvlText w:val="%1."/>
      <w:lvlJc w:val="left"/>
      <w:pPr>
        <w:tabs>
          <w:tab w:val="left" w:pos="312"/>
        </w:tabs>
      </w:pPr>
    </w:lvl>
  </w:abstractNum>
  <w:num w:numId="1">
    <w:abstractNumId w:val="3"/>
  </w:num>
  <w:num w:numId="2">
    <w:abstractNumId w:val="0"/>
  </w:num>
  <w:num w:numId="3">
    <w:abstractNumId w:val="8"/>
  </w:num>
  <w:num w:numId="4">
    <w:abstractNumId w:val="6"/>
  </w:num>
  <w:num w:numId="5">
    <w:abstractNumId w:val="1"/>
  </w:num>
  <w:num w:numId="6">
    <w:abstractNumId w:val="2"/>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3"/>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NTg1MzE2MzYxNTE0OGNlMzNlYTFkYTBmYjM2NjQ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1746"/>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4A56"/>
    <w:rsid w:val="00095B35"/>
    <w:rsid w:val="00095EDA"/>
    <w:rsid w:val="000975F2"/>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1523"/>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C54"/>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6337"/>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3553"/>
    <w:rsid w:val="002E695F"/>
    <w:rsid w:val="002F308B"/>
    <w:rsid w:val="002F59DF"/>
    <w:rsid w:val="002F6545"/>
    <w:rsid w:val="002F68D9"/>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3CA8"/>
    <w:rsid w:val="00397134"/>
    <w:rsid w:val="003A063A"/>
    <w:rsid w:val="003A67CF"/>
    <w:rsid w:val="003B4B4D"/>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0A3"/>
    <w:rsid w:val="00426621"/>
    <w:rsid w:val="0043226B"/>
    <w:rsid w:val="0043326B"/>
    <w:rsid w:val="00434144"/>
    <w:rsid w:val="00435BC6"/>
    <w:rsid w:val="004409EE"/>
    <w:rsid w:val="00441624"/>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B48CF"/>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D7ECE"/>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3989"/>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2F99"/>
    <w:rsid w:val="005E3EBE"/>
    <w:rsid w:val="005E3F38"/>
    <w:rsid w:val="005E782A"/>
    <w:rsid w:val="005F18AC"/>
    <w:rsid w:val="005F2C77"/>
    <w:rsid w:val="00605878"/>
    <w:rsid w:val="0060679A"/>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B6793"/>
    <w:rsid w:val="006C41F0"/>
    <w:rsid w:val="006C497C"/>
    <w:rsid w:val="006C75C9"/>
    <w:rsid w:val="006C7F0A"/>
    <w:rsid w:val="006D1032"/>
    <w:rsid w:val="006D48FF"/>
    <w:rsid w:val="006D4950"/>
    <w:rsid w:val="006E2BEB"/>
    <w:rsid w:val="006E2F3D"/>
    <w:rsid w:val="006E3F3F"/>
    <w:rsid w:val="006E44D5"/>
    <w:rsid w:val="006E4EA8"/>
    <w:rsid w:val="006F08B7"/>
    <w:rsid w:val="00702554"/>
    <w:rsid w:val="0070267A"/>
    <w:rsid w:val="00704E87"/>
    <w:rsid w:val="0070542B"/>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4196"/>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4285"/>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1929"/>
    <w:rsid w:val="00AE3AEB"/>
    <w:rsid w:val="00AE7FF3"/>
    <w:rsid w:val="00AF1302"/>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36D13"/>
    <w:rsid w:val="00B41020"/>
    <w:rsid w:val="00B42F9A"/>
    <w:rsid w:val="00B43741"/>
    <w:rsid w:val="00B459DA"/>
    <w:rsid w:val="00B4647E"/>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890"/>
    <w:rsid w:val="00C078A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12D"/>
    <w:rsid w:val="00C66A53"/>
    <w:rsid w:val="00C66FB7"/>
    <w:rsid w:val="00C76490"/>
    <w:rsid w:val="00C8220D"/>
    <w:rsid w:val="00C848C9"/>
    <w:rsid w:val="00C8655B"/>
    <w:rsid w:val="00C91CDE"/>
    <w:rsid w:val="00C91F22"/>
    <w:rsid w:val="00C92C81"/>
    <w:rsid w:val="00C943E9"/>
    <w:rsid w:val="00CA01B6"/>
    <w:rsid w:val="00CA2781"/>
    <w:rsid w:val="00CA398D"/>
    <w:rsid w:val="00CA45CB"/>
    <w:rsid w:val="00CA6808"/>
    <w:rsid w:val="00CA7567"/>
    <w:rsid w:val="00CB4015"/>
    <w:rsid w:val="00CB452C"/>
    <w:rsid w:val="00CB4A3D"/>
    <w:rsid w:val="00CB5C0F"/>
    <w:rsid w:val="00CB7FDA"/>
    <w:rsid w:val="00CC0EAF"/>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988"/>
    <w:rsid w:val="00DD4A11"/>
    <w:rsid w:val="00DD4FB9"/>
    <w:rsid w:val="00DD737B"/>
    <w:rsid w:val="00DE1033"/>
    <w:rsid w:val="00DE251C"/>
    <w:rsid w:val="00DE288F"/>
    <w:rsid w:val="00DE2BFF"/>
    <w:rsid w:val="00DE3226"/>
    <w:rsid w:val="00DE58F9"/>
    <w:rsid w:val="00DE680C"/>
    <w:rsid w:val="00DE7971"/>
    <w:rsid w:val="00DF1985"/>
    <w:rsid w:val="00DF5B31"/>
    <w:rsid w:val="00E02114"/>
    <w:rsid w:val="00E03783"/>
    <w:rsid w:val="00E03A6B"/>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703AC"/>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110D91"/>
    <w:rsid w:val="01232ED2"/>
    <w:rsid w:val="015D18DC"/>
    <w:rsid w:val="0184380B"/>
    <w:rsid w:val="01852BD3"/>
    <w:rsid w:val="018A6C3C"/>
    <w:rsid w:val="01912179"/>
    <w:rsid w:val="01A8609A"/>
    <w:rsid w:val="01A93FA3"/>
    <w:rsid w:val="01CA6EA2"/>
    <w:rsid w:val="01E05E16"/>
    <w:rsid w:val="01E05F01"/>
    <w:rsid w:val="020C0D2B"/>
    <w:rsid w:val="02195A53"/>
    <w:rsid w:val="022831DB"/>
    <w:rsid w:val="02375428"/>
    <w:rsid w:val="02427F54"/>
    <w:rsid w:val="024F494D"/>
    <w:rsid w:val="029D41FE"/>
    <w:rsid w:val="02A800C5"/>
    <w:rsid w:val="02B53517"/>
    <w:rsid w:val="02C6499B"/>
    <w:rsid w:val="02C91CAA"/>
    <w:rsid w:val="02D0709E"/>
    <w:rsid w:val="02FA438B"/>
    <w:rsid w:val="037D0CD2"/>
    <w:rsid w:val="038B3366"/>
    <w:rsid w:val="03981B5E"/>
    <w:rsid w:val="03996EAD"/>
    <w:rsid w:val="03F60BFA"/>
    <w:rsid w:val="04023CC8"/>
    <w:rsid w:val="04144049"/>
    <w:rsid w:val="042674F4"/>
    <w:rsid w:val="042A6EF2"/>
    <w:rsid w:val="042D3C13"/>
    <w:rsid w:val="04566DE4"/>
    <w:rsid w:val="04722D72"/>
    <w:rsid w:val="047A0BBC"/>
    <w:rsid w:val="04933E65"/>
    <w:rsid w:val="04BF52ED"/>
    <w:rsid w:val="04C12ED8"/>
    <w:rsid w:val="04DC5749"/>
    <w:rsid w:val="04E26FED"/>
    <w:rsid w:val="04E41F94"/>
    <w:rsid w:val="04FD6633"/>
    <w:rsid w:val="050F1997"/>
    <w:rsid w:val="0515595C"/>
    <w:rsid w:val="052E2B3B"/>
    <w:rsid w:val="054416D2"/>
    <w:rsid w:val="05507F0F"/>
    <w:rsid w:val="055A4D20"/>
    <w:rsid w:val="056F275C"/>
    <w:rsid w:val="05753C79"/>
    <w:rsid w:val="058324D6"/>
    <w:rsid w:val="05871A0A"/>
    <w:rsid w:val="05A42E7B"/>
    <w:rsid w:val="05A70EA9"/>
    <w:rsid w:val="05D55D36"/>
    <w:rsid w:val="060C2525"/>
    <w:rsid w:val="062756FD"/>
    <w:rsid w:val="06465A4B"/>
    <w:rsid w:val="065F7A31"/>
    <w:rsid w:val="067C53E7"/>
    <w:rsid w:val="06820F5E"/>
    <w:rsid w:val="06A7180A"/>
    <w:rsid w:val="06AE2ABA"/>
    <w:rsid w:val="06BA1001"/>
    <w:rsid w:val="06C75DF5"/>
    <w:rsid w:val="06DD02BB"/>
    <w:rsid w:val="06E71F51"/>
    <w:rsid w:val="06F3282F"/>
    <w:rsid w:val="06F965AD"/>
    <w:rsid w:val="07035F04"/>
    <w:rsid w:val="07050666"/>
    <w:rsid w:val="07166CB2"/>
    <w:rsid w:val="071A6392"/>
    <w:rsid w:val="071C4DB7"/>
    <w:rsid w:val="07362674"/>
    <w:rsid w:val="073B54B2"/>
    <w:rsid w:val="07410810"/>
    <w:rsid w:val="07537EF9"/>
    <w:rsid w:val="0760673E"/>
    <w:rsid w:val="077E1A2E"/>
    <w:rsid w:val="07815EE7"/>
    <w:rsid w:val="0784155A"/>
    <w:rsid w:val="079A613C"/>
    <w:rsid w:val="07E6454D"/>
    <w:rsid w:val="081748AE"/>
    <w:rsid w:val="08635851"/>
    <w:rsid w:val="08891E69"/>
    <w:rsid w:val="08A30341"/>
    <w:rsid w:val="08B128CB"/>
    <w:rsid w:val="08C2359B"/>
    <w:rsid w:val="08ED052C"/>
    <w:rsid w:val="09041814"/>
    <w:rsid w:val="092D7BDC"/>
    <w:rsid w:val="09332D2B"/>
    <w:rsid w:val="093E2D64"/>
    <w:rsid w:val="09455F12"/>
    <w:rsid w:val="09472203"/>
    <w:rsid w:val="098B1DA7"/>
    <w:rsid w:val="09907951"/>
    <w:rsid w:val="099F43E4"/>
    <w:rsid w:val="09A31A61"/>
    <w:rsid w:val="09BA7A85"/>
    <w:rsid w:val="09DE1094"/>
    <w:rsid w:val="09E2475B"/>
    <w:rsid w:val="0A183EA3"/>
    <w:rsid w:val="0A207013"/>
    <w:rsid w:val="0A3F34B7"/>
    <w:rsid w:val="0A4B11BE"/>
    <w:rsid w:val="0A7B4003"/>
    <w:rsid w:val="0A7D7D7B"/>
    <w:rsid w:val="0A8E5B8D"/>
    <w:rsid w:val="0AA240FA"/>
    <w:rsid w:val="0AA73E0E"/>
    <w:rsid w:val="0AAC0CBB"/>
    <w:rsid w:val="0ACC0D02"/>
    <w:rsid w:val="0AD84BD3"/>
    <w:rsid w:val="0AE941D3"/>
    <w:rsid w:val="0AFA761E"/>
    <w:rsid w:val="0B1061C6"/>
    <w:rsid w:val="0B246449"/>
    <w:rsid w:val="0B2B08D5"/>
    <w:rsid w:val="0B3A2110"/>
    <w:rsid w:val="0B896BF3"/>
    <w:rsid w:val="0B9874FD"/>
    <w:rsid w:val="0BA35012"/>
    <w:rsid w:val="0BB825ED"/>
    <w:rsid w:val="0BC0647C"/>
    <w:rsid w:val="0BD7624B"/>
    <w:rsid w:val="0BF26817"/>
    <w:rsid w:val="0C22464A"/>
    <w:rsid w:val="0C2B72AE"/>
    <w:rsid w:val="0C3A50BE"/>
    <w:rsid w:val="0C486A95"/>
    <w:rsid w:val="0C517E31"/>
    <w:rsid w:val="0C6222A3"/>
    <w:rsid w:val="0C623EAC"/>
    <w:rsid w:val="0C946488"/>
    <w:rsid w:val="0CAB3827"/>
    <w:rsid w:val="0CAD24AF"/>
    <w:rsid w:val="0CB27F34"/>
    <w:rsid w:val="0CE2660D"/>
    <w:rsid w:val="0D0D3F93"/>
    <w:rsid w:val="0D12389F"/>
    <w:rsid w:val="0D2820B7"/>
    <w:rsid w:val="0D2B5BA2"/>
    <w:rsid w:val="0D2F6875"/>
    <w:rsid w:val="0D33523D"/>
    <w:rsid w:val="0D4E3104"/>
    <w:rsid w:val="0D5B6D69"/>
    <w:rsid w:val="0D662EE5"/>
    <w:rsid w:val="0D6A3AE7"/>
    <w:rsid w:val="0D860EC5"/>
    <w:rsid w:val="0D9339BE"/>
    <w:rsid w:val="0D991370"/>
    <w:rsid w:val="0D9E6A67"/>
    <w:rsid w:val="0D9F0DC4"/>
    <w:rsid w:val="0DA07FC9"/>
    <w:rsid w:val="0DAE46EF"/>
    <w:rsid w:val="0DC02AA1"/>
    <w:rsid w:val="0DDE695A"/>
    <w:rsid w:val="0DF73A5B"/>
    <w:rsid w:val="0E164CA8"/>
    <w:rsid w:val="0E231949"/>
    <w:rsid w:val="0E2D072E"/>
    <w:rsid w:val="0E3B295D"/>
    <w:rsid w:val="0E47249B"/>
    <w:rsid w:val="0E551882"/>
    <w:rsid w:val="0E5C239D"/>
    <w:rsid w:val="0E7306EC"/>
    <w:rsid w:val="0E963048"/>
    <w:rsid w:val="0EAD7E50"/>
    <w:rsid w:val="0EB254B2"/>
    <w:rsid w:val="0EB567A2"/>
    <w:rsid w:val="0ED91C40"/>
    <w:rsid w:val="0EE44C60"/>
    <w:rsid w:val="0EFB3F5D"/>
    <w:rsid w:val="0F041CC7"/>
    <w:rsid w:val="0F042317"/>
    <w:rsid w:val="0F072534"/>
    <w:rsid w:val="0F1209F8"/>
    <w:rsid w:val="0F4C19DA"/>
    <w:rsid w:val="0F4C7D05"/>
    <w:rsid w:val="0F4F31AF"/>
    <w:rsid w:val="0F5F17BD"/>
    <w:rsid w:val="0F6B0BDE"/>
    <w:rsid w:val="0F7E014D"/>
    <w:rsid w:val="0F891F7D"/>
    <w:rsid w:val="0F904B36"/>
    <w:rsid w:val="0F90531D"/>
    <w:rsid w:val="0FAD64B5"/>
    <w:rsid w:val="0FB21FD4"/>
    <w:rsid w:val="0FE57427"/>
    <w:rsid w:val="0FFE176A"/>
    <w:rsid w:val="0FFF5930"/>
    <w:rsid w:val="1018536D"/>
    <w:rsid w:val="105454A3"/>
    <w:rsid w:val="108E33C3"/>
    <w:rsid w:val="10A265EF"/>
    <w:rsid w:val="10DC5B73"/>
    <w:rsid w:val="10E305D2"/>
    <w:rsid w:val="10EC4A0F"/>
    <w:rsid w:val="10FB7C4C"/>
    <w:rsid w:val="11156FC6"/>
    <w:rsid w:val="11485B0D"/>
    <w:rsid w:val="114C7209"/>
    <w:rsid w:val="114D3805"/>
    <w:rsid w:val="1154158B"/>
    <w:rsid w:val="11677BA5"/>
    <w:rsid w:val="117076B2"/>
    <w:rsid w:val="119E6579"/>
    <w:rsid w:val="11D435DD"/>
    <w:rsid w:val="11DA3C43"/>
    <w:rsid w:val="11E15B8A"/>
    <w:rsid w:val="11EC57E6"/>
    <w:rsid w:val="11F35990"/>
    <w:rsid w:val="1220326C"/>
    <w:rsid w:val="123A67B6"/>
    <w:rsid w:val="125515DD"/>
    <w:rsid w:val="125670E6"/>
    <w:rsid w:val="125E1A9C"/>
    <w:rsid w:val="1276289F"/>
    <w:rsid w:val="1288522D"/>
    <w:rsid w:val="129D6A95"/>
    <w:rsid w:val="12AF4046"/>
    <w:rsid w:val="12B74046"/>
    <w:rsid w:val="12CE506D"/>
    <w:rsid w:val="12D036D1"/>
    <w:rsid w:val="12EC4D41"/>
    <w:rsid w:val="12F65490"/>
    <w:rsid w:val="12F73D2A"/>
    <w:rsid w:val="12F9698E"/>
    <w:rsid w:val="13112273"/>
    <w:rsid w:val="131C7C5D"/>
    <w:rsid w:val="13511DF6"/>
    <w:rsid w:val="1359610F"/>
    <w:rsid w:val="138B4634"/>
    <w:rsid w:val="138F1214"/>
    <w:rsid w:val="13BF412F"/>
    <w:rsid w:val="13C00A21"/>
    <w:rsid w:val="13D101C7"/>
    <w:rsid w:val="1400440E"/>
    <w:rsid w:val="14005579"/>
    <w:rsid w:val="142669A3"/>
    <w:rsid w:val="142B5D9F"/>
    <w:rsid w:val="14301CC2"/>
    <w:rsid w:val="143805F9"/>
    <w:rsid w:val="144729D8"/>
    <w:rsid w:val="147A44EB"/>
    <w:rsid w:val="148530C5"/>
    <w:rsid w:val="148E78CB"/>
    <w:rsid w:val="149F4D92"/>
    <w:rsid w:val="14A13E6D"/>
    <w:rsid w:val="14AB614D"/>
    <w:rsid w:val="14B96C2B"/>
    <w:rsid w:val="15067DFC"/>
    <w:rsid w:val="15181495"/>
    <w:rsid w:val="153870BF"/>
    <w:rsid w:val="15436E45"/>
    <w:rsid w:val="154871D8"/>
    <w:rsid w:val="15507C7E"/>
    <w:rsid w:val="1557566D"/>
    <w:rsid w:val="15664AEF"/>
    <w:rsid w:val="158E23E1"/>
    <w:rsid w:val="159D7EA6"/>
    <w:rsid w:val="159F1BF9"/>
    <w:rsid w:val="15A00DC2"/>
    <w:rsid w:val="15B71B1D"/>
    <w:rsid w:val="15E63361"/>
    <w:rsid w:val="160B0227"/>
    <w:rsid w:val="16864176"/>
    <w:rsid w:val="16B34B25"/>
    <w:rsid w:val="16E04880"/>
    <w:rsid w:val="16F86032"/>
    <w:rsid w:val="16FE2244"/>
    <w:rsid w:val="17081A7A"/>
    <w:rsid w:val="17092996"/>
    <w:rsid w:val="17292C0C"/>
    <w:rsid w:val="176F50FE"/>
    <w:rsid w:val="17D10049"/>
    <w:rsid w:val="17D75109"/>
    <w:rsid w:val="17DD0B49"/>
    <w:rsid w:val="17EA6CFE"/>
    <w:rsid w:val="17EE4479"/>
    <w:rsid w:val="17F1563C"/>
    <w:rsid w:val="17F23C73"/>
    <w:rsid w:val="180F3B80"/>
    <w:rsid w:val="181B1411"/>
    <w:rsid w:val="181C1400"/>
    <w:rsid w:val="18223BBF"/>
    <w:rsid w:val="18406E44"/>
    <w:rsid w:val="185C1918"/>
    <w:rsid w:val="1880349D"/>
    <w:rsid w:val="18A24E51"/>
    <w:rsid w:val="18BD142C"/>
    <w:rsid w:val="18BD60C6"/>
    <w:rsid w:val="18D435BC"/>
    <w:rsid w:val="18E261BC"/>
    <w:rsid w:val="18E6320F"/>
    <w:rsid w:val="190050D9"/>
    <w:rsid w:val="19193365"/>
    <w:rsid w:val="19261639"/>
    <w:rsid w:val="195D5C0E"/>
    <w:rsid w:val="19795DC5"/>
    <w:rsid w:val="19B116AD"/>
    <w:rsid w:val="19B17485"/>
    <w:rsid w:val="19B64CC2"/>
    <w:rsid w:val="19BA69A5"/>
    <w:rsid w:val="19CC487B"/>
    <w:rsid w:val="19DF6D3F"/>
    <w:rsid w:val="19E24459"/>
    <w:rsid w:val="19E75211"/>
    <w:rsid w:val="19EF2451"/>
    <w:rsid w:val="1A176F08"/>
    <w:rsid w:val="1A194A1B"/>
    <w:rsid w:val="1A305FF4"/>
    <w:rsid w:val="1A3D7EBE"/>
    <w:rsid w:val="1A4353A0"/>
    <w:rsid w:val="1A557489"/>
    <w:rsid w:val="1A89451A"/>
    <w:rsid w:val="1AF45443"/>
    <w:rsid w:val="1B075A0C"/>
    <w:rsid w:val="1B1C7DC9"/>
    <w:rsid w:val="1B67066F"/>
    <w:rsid w:val="1B7229E4"/>
    <w:rsid w:val="1B7A5EC7"/>
    <w:rsid w:val="1B8D5F8D"/>
    <w:rsid w:val="1B8E5EC0"/>
    <w:rsid w:val="1BBE47DE"/>
    <w:rsid w:val="1BC10D01"/>
    <w:rsid w:val="1C2613A8"/>
    <w:rsid w:val="1C477E44"/>
    <w:rsid w:val="1C9B22E2"/>
    <w:rsid w:val="1CA53B30"/>
    <w:rsid w:val="1CB33990"/>
    <w:rsid w:val="1CBE72D2"/>
    <w:rsid w:val="1CF6260F"/>
    <w:rsid w:val="1CF83AEA"/>
    <w:rsid w:val="1CF911FC"/>
    <w:rsid w:val="1CFC0FD3"/>
    <w:rsid w:val="1CFF7A9C"/>
    <w:rsid w:val="1D34223E"/>
    <w:rsid w:val="1D681B82"/>
    <w:rsid w:val="1D6914D5"/>
    <w:rsid w:val="1D7C7A22"/>
    <w:rsid w:val="1D7E09CF"/>
    <w:rsid w:val="1D9F1A69"/>
    <w:rsid w:val="1DB50BD0"/>
    <w:rsid w:val="1DD7388B"/>
    <w:rsid w:val="1DE41480"/>
    <w:rsid w:val="1E2139B7"/>
    <w:rsid w:val="1E7A14A8"/>
    <w:rsid w:val="1E7F32B0"/>
    <w:rsid w:val="1EA77665"/>
    <w:rsid w:val="1EBA058B"/>
    <w:rsid w:val="1EBB622E"/>
    <w:rsid w:val="1ED17F52"/>
    <w:rsid w:val="1EDD751C"/>
    <w:rsid w:val="1EE170B7"/>
    <w:rsid w:val="1EEA13A6"/>
    <w:rsid w:val="1EEB392A"/>
    <w:rsid w:val="1EFE64E9"/>
    <w:rsid w:val="1F6207D0"/>
    <w:rsid w:val="1FA53BA4"/>
    <w:rsid w:val="1FCA360B"/>
    <w:rsid w:val="1FE1627D"/>
    <w:rsid w:val="1FEA603B"/>
    <w:rsid w:val="20084133"/>
    <w:rsid w:val="20133D98"/>
    <w:rsid w:val="20226856"/>
    <w:rsid w:val="20293E2F"/>
    <w:rsid w:val="20686E43"/>
    <w:rsid w:val="206E3E8E"/>
    <w:rsid w:val="207224C8"/>
    <w:rsid w:val="2076639A"/>
    <w:rsid w:val="2093114F"/>
    <w:rsid w:val="209B57AA"/>
    <w:rsid w:val="20A121FD"/>
    <w:rsid w:val="20C20004"/>
    <w:rsid w:val="20C66F34"/>
    <w:rsid w:val="20D83D6E"/>
    <w:rsid w:val="20DE5531"/>
    <w:rsid w:val="20E1180E"/>
    <w:rsid w:val="20EA6084"/>
    <w:rsid w:val="20F01139"/>
    <w:rsid w:val="20F1461D"/>
    <w:rsid w:val="211641D5"/>
    <w:rsid w:val="212B522B"/>
    <w:rsid w:val="213F6312"/>
    <w:rsid w:val="21736537"/>
    <w:rsid w:val="217E2000"/>
    <w:rsid w:val="21977807"/>
    <w:rsid w:val="219A6D4B"/>
    <w:rsid w:val="21B30D9B"/>
    <w:rsid w:val="21B32189"/>
    <w:rsid w:val="21C2735E"/>
    <w:rsid w:val="21E57FA3"/>
    <w:rsid w:val="21FB5A74"/>
    <w:rsid w:val="226650A3"/>
    <w:rsid w:val="22677BAA"/>
    <w:rsid w:val="226827C0"/>
    <w:rsid w:val="227C6EFF"/>
    <w:rsid w:val="22942795"/>
    <w:rsid w:val="22A10D06"/>
    <w:rsid w:val="22B665A5"/>
    <w:rsid w:val="22B66C9F"/>
    <w:rsid w:val="22C925E0"/>
    <w:rsid w:val="22D84291"/>
    <w:rsid w:val="22E46F4A"/>
    <w:rsid w:val="22E82DE7"/>
    <w:rsid w:val="22F20159"/>
    <w:rsid w:val="23005537"/>
    <w:rsid w:val="231A3C9A"/>
    <w:rsid w:val="232C54A8"/>
    <w:rsid w:val="233C2C53"/>
    <w:rsid w:val="23486890"/>
    <w:rsid w:val="236F1F61"/>
    <w:rsid w:val="23AB4CDF"/>
    <w:rsid w:val="23C37A75"/>
    <w:rsid w:val="240404D0"/>
    <w:rsid w:val="241B6DE6"/>
    <w:rsid w:val="24220F3E"/>
    <w:rsid w:val="2423604B"/>
    <w:rsid w:val="243A3F7E"/>
    <w:rsid w:val="24436391"/>
    <w:rsid w:val="2450121E"/>
    <w:rsid w:val="247A4C56"/>
    <w:rsid w:val="2487622C"/>
    <w:rsid w:val="24973094"/>
    <w:rsid w:val="24AD6D9A"/>
    <w:rsid w:val="24E52AD8"/>
    <w:rsid w:val="24E85B0E"/>
    <w:rsid w:val="250A6267"/>
    <w:rsid w:val="251418FC"/>
    <w:rsid w:val="254925FD"/>
    <w:rsid w:val="255249D2"/>
    <w:rsid w:val="256C0CC0"/>
    <w:rsid w:val="25712B23"/>
    <w:rsid w:val="25951FC5"/>
    <w:rsid w:val="25A845B3"/>
    <w:rsid w:val="25B34D67"/>
    <w:rsid w:val="25EB71B7"/>
    <w:rsid w:val="26154215"/>
    <w:rsid w:val="261A0BE6"/>
    <w:rsid w:val="26215F4F"/>
    <w:rsid w:val="26385E8A"/>
    <w:rsid w:val="263C7691"/>
    <w:rsid w:val="265E2776"/>
    <w:rsid w:val="26666FDC"/>
    <w:rsid w:val="26706683"/>
    <w:rsid w:val="26963D4E"/>
    <w:rsid w:val="26AB763C"/>
    <w:rsid w:val="26B267E7"/>
    <w:rsid w:val="26D794B7"/>
    <w:rsid w:val="26F131DC"/>
    <w:rsid w:val="26F65310"/>
    <w:rsid w:val="27052D05"/>
    <w:rsid w:val="27082804"/>
    <w:rsid w:val="270832AE"/>
    <w:rsid w:val="27343A60"/>
    <w:rsid w:val="27357F9F"/>
    <w:rsid w:val="275E35BF"/>
    <w:rsid w:val="27A4553F"/>
    <w:rsid w:val="27CA7E10"/>
    <w:rsid w:val="27D35135"/>
    <w:rsid w:val="27DD1D93"/>
    <w:rsid w:val="27EF1935"/>
    <w:rsid w:val="280A1B75"/>
    <w:rsid w:val="28257458"/>
    <w:rsid w:val="283962F8"/>
    <w:rsid w:val="28422AB2"/>
    <w:rsid w:val="284E28FF"/>
    <w:rsid w:val="285D6583"/>
    <w:rsid w:val="287A36F4"/>
    <w:rsid w:val="288458E7"/>
    <w:rsid w:val="28A33A20"/>
    <w:rsid w:val="28A47F17"/>
    <w:rsid w:val="28A95D87"/>
    <w:rsid w:val="28FE6071"/>
    <w:rsid w:val="290212C1"/>
    <w:rsid w:val="290D5ED8"/>
    <w:rsid w:val="29656DCE"/>
    <w:rsid w:val="29722140"/>
    <w:rsid w:val="298B4B23"/>
    <w:rsid w:val="29AD63FD"/>
    <w:rsid w:val="29B71FDB"/>
    <w:rsid w:val="29CF18DD"/>
    <w:rsid w:val="29D65D23"/>
    <w:rsid w:val="29D875FE"/>
    <w:rsid w:val="29DF010E"/>
    <w:rsid w:val="29FE44DD"/>
    <w:rsid w:val="2A1169E3"/>
    <w:rsid w:val="2A194E5D"/>
    <w:rsid w:val="2A21554B"/>
    <w:rsid w:val="2A594BC2"/>
    <w:rsid w:val="2A5A558B"/>
    <w:rsid w:val="2A9F7561"/>
    <w:rsid w:val="2AA90FA0"/>
    <w:rsid w:val="2AB103DC"/>
    <w:rsid w:val="2AB31CE2"/>
    <w:rsid w:val="2AB55266"/>
    <w:rsid w:val="2AF000D8"/>
    <w:rsid w:val="2B3C2B7F"/>
    <w:rsid w:val="2B487382"/>
    <w:rsid w:val="2B552F60"/>
    <w:rsid w:val="2B5D3585"/>
    <w:rsid w:val="2B7841A6"/>
    <w:rsid w:val="2BB367B9"/>
    <w:rsid w:val="2BB62D59"/>
    <w:rsid w:val="2BEC2B5B"/>
    <w:rsid w:val="2C13380B"/>
    <w:rsid w:val="2C184D47"/>
    <w:rsid w:val="2C796A89"/>
    <w:rsid w:val="2C7C10B6"/>
    <w:rsid w:val="2CB204A3"/>
    <w:rsid w:val="2CBD3A96"/>
    <w:rsid w:val="2CC74339"/>
    <w:rsid w:val="2CCC23F7"/>
    <w:rsid w:val="2CCE1414"/>
    <w:rsid w:val="2CF93ABF"/>
    <w:rsid w:val="2D1E27A3"/>
    <w:rsid w:val="2D1E560F"/>
    <w:rsid w:val="2D394FF5"/>
    <w:rsid w:val="2D766528"/>
    <w:rsid w:val="2D797435"/>
    <w:rsid w:val="2DF50B51"/>
    <w:rsid w:val="2E6111A5"/>
    <w:rsid w:val="2E671D49"/>
    <w:rsid w:val="2E6A704D"/>
    <w:rsid w:val="2E6C0B54"/>
    <w:rsid w:val="2E7A444E"/>
    <w:rsid w:val="2E8A6255"/>
    <w:rsid w:val="2E8B21B7"/>
    <w:rsid w:val="2EB8596B"/>
    <w:rsid w:val="2EC8145A"/>
    <w:rsid w:val="2F0B1048"/>
    <w:rsid w:val="2F132DA3"/>
    <w:rsid w:val="2F141AAA"/>
    <w:rsid w:val="2F57653D"/>
    <w:rsid w:val="2FCA4353"/>
    <w:rsid w:val="2FE55D75"/>
    <w:rsid w:val="2FF23F99"/>
    <w:rsid w:val="2FF43D8C"/>
    <w:rsid w:val="2FFD0E93"/>
    <w:rsid w:val="2FFF3277"/>
    <w:rsid w:val="30236367"/>
    <w:rsid w:val="30331BC6"/>
    <w:rsid w:val="303E7E03"/>
    <w:rsid w:val="30405AEB"/>
    <w:rsid w:val="304A182B"/>
    <w:rsid w:val="30700C52"/>
    <w:rsid w:val="30757C00"/>
    <w:rsid w:val="30782C0F"/>
    <w:rsid w:val="307D5D65"/>
    <w:rsid w:val="30B34CE3"/>
    <w:rsid w:val="30CB1C83"/>
    <w:rsid w:val="30ED2830"/>
    <w:rsid w:val="310743D8"/>
    <w:rsid w:val="3112096E"/>
    <w:rsid w:val="316B2857"/>
    <w:rsid w:val="31832D29"/>
    <w:rsid w:val="31997196"/>
    <w:rsid w:val="319D5339"/>
    <w:rsid w:val="319F2F47"/>
    <w:rsid w:val="31B2277E"/>
    <w:rsid w:val="31D20CDE"/>
    <w:rsid w:val="31F37E23"/>
    <w:rsid w:val="31FE689A"/>
    <w:rsid w:val="32223DC6"/>
    <w:rsid w:val="325A02A1"/>
    <w:rsid w:val="329032EF"/>
    <w:rsid w:val="329970EF"/>
    <w:rsid w:val="32AE0B6A"/>
    <w:rsid w:val="32B35AAA"/>
    <w:rsid w:val="32F81DE5"/>
    <w:rsid w:val="32FD11AA"/>
    <w:rsid w:val="330F3777"/>
    <w:rsid w:val="33135210"/>
    <w:rsid w:val="3326373F"/>
    <w:rsid w:val="334459AC"/>
    <w:rsid w:val="33705A64"/>
    <w:rsid w:val="338E32D5"/>
    <w:rsid w:val="33A055AF"/>
    <w:rsid w:val="33A51E80"/>
    <w:rsid w:val="33B04066"/>
    <w:rsid w:val="33E16D1D"/>
    <w:rsid w:val="33EE589E"/>
    <w:rsid w:val="340329A9"/>
    <w:rsid w:val="340D7B12"/>
    <w:rsid w:val="341E2B5D"/>
    <w:rsid w:val="342645AD"/>
    <w:rsid w:val="342B057B"/>
    <w:rsid w:val="34335C8F"/>
    <w:rsid w:val="345968B4"/>
    <w:rsid w:val="34617CD8"/>
    <w:rsid w:val="346317C9"/>
    <w:rsid w:val="346A286F"/>
    <w:rsid w:val="346C1C91"/>
    <w:rsid w:val="34753860"/>
    <w:rsid w:val="34A61339"/>
    <w:rsid w:val="34AF4725"/>
    <w:rsid w:val="34CC3006"/>
    <w:rsid w:val="34F3793E"/>
    <w:rsid w:val="34FA09EA"/>
    <w:rsid w:val="354B5D9D"/>
    <w:rsid w:val="35506C87"/>
    <w:rsid w:val="35574E9C"/>
    <w:rsid w:val="35580207"/>
    <w:rsid w:val="35681367"/>
    <w:rsid w:val="35712E34"/>
    <w:rsid w:val="35832558"/>
    <w:rsid w:val="359305B1"/>
    <w:rsid w:val="35966E67"/>
    <w:rsid w:val="35A973C7"/>
    <w:rsid w:val="35ED793B"/>
    <w:rsid w:val="35F06F52"/>
    <w:rsid w:val="35F84740"/>
    <w:rsid w:val="36383125"/>
    <w:rsid w:val="365E28A7"/>
    <w:rsid w:val="366C082D"/>
    <w:rsid w:val="368816D2"/>
    <w:rsid w:val="368C388A"/>
    <w:rsid w:val="36C00E6C"/>
    <w:rsid w:val="36C90DD1"/>
    <w:rsid w:val="36EF2646"/>
    <w:rsid w:val="36F275DD"/>
    <w:rsid w:val="36F55D23"/>
    <w:rsid w:val="37031C33"/>
    <w:rsid w:val="37084089"/>
    <w:rsid w:val="372A4537"/>
    <w:rsid w:val="374634AB"/>
    <w:rsid w:val="37543CF6"/>
    <w:rsid w:val="37704489"/>
    <w:rsid w:val="37710026"/>
    <w:rsid w:val="37925427"/>
    <w:rsid w:val="37A01319"/>
    <w:rsid w:val="37A55DCC"/>
    <w:rsid w:val="37C075FB"/>
    <w:rsid w:val="37CA04FF"/>
    <w:rsid w:val="37D30771"/>
    <w:rsid w:val="37E3512E"/>
    <w:rsid w:val="37EC0BB8"/>
    <w:rsid w:val="382F75E3"/>
    <w:rsid w:val="38371ACC"/>
    <w:rsid w:val="38665479"/>
    <w:rsid w:val="389205E6"/>
    <w:rsid w:val="38A748FD"/>
    <w:rsid w:val="38D53666"/>
    <w:rsid w:val="38E70932"/>
    <w:rsid w:val="38FF39F5"/>
    <w:rsid w:val="394C68A5"/>
    <w:rsid w:val="3952462B"/>
    <w:rsid w:val="395E479A"/>
    <w:rsid w:val="39675804"/>
    <w:rsid w:val="3988749C"/>
    <w:rsid w:val="398A60A0"/>
    <w:rsid w:val="39A36C2D"/>
    <w:rsid w:val="39AA29B9"/>
    <w:rsid w:val="39AE63D1"/>
    <w:rsid w:val="39D7D99B"/>
    <w:rsid w:val="39E71AEC"/>
    <w:rsid w:val="39F60058"/>
    <w:rsid w:val="3A104089"/>
    <w:rsid w:val="3A190FBF"/>
    <w:rsid w:val="3A1A692D"/>
    <w:rsid w:val="3A2B31D2"/>
    <w:rsid w:val="3A8217DE"/>
    <w:rsid w:val="3A822B01"/>
    <w:rsid w:val="3A8D375B"/>
    <w:rsid w:val="3AB8426E"/>
    <w:rsid w:val="3ACF765C"/>
    <w:rsid w:val="3AD278CD"/>
    <w:rsid w:val="3AFA4BE5"/>
    <w:rsid w:val="3B196D9D"/>
    <w:rsid w:val="3B2A44B8"/>
    <w:rsid w:val="3B2B6476"/>
    <w:rsid w:val="3BA0301A"/>
    <w:rsid w:val="3BAF3CA2"/>
    <w:rsid w:val="3BBC038E"/>
    <w:rsid w:val="3BF72351"/>
    <w:rsid w:val="3BFE3F02"/>
    <w:rsid w:val="3C2972FD"/>
    <w:rsid w:val="3C3261E8"/>
    <w:rsid w:val="3C524EFE"/>
    <w:rsid w:val="3C5B4444"/>
    <w:rsid w:val="3C852047"/>
    <w:rsid w:val="3C97F720"/>
    <w:rsid w:val="3CA13116"/>
    <w:rsid w:val="3CA925AE"/>
    <w:rsid w:val="3CC13485"/>
    <w:rsid w:val="3CCF4FA4"/>
    <w:rsid w:val="3CF877AB"/>
    <w:rsid w:val="3D306CB2"/>
    <w:rsid w:val="3D32729D"/>
    <w:rsid w:val="3D485E54"/>
    <w:rsid w:val="3D62504C"/>
    <w:rsid w:val="3D667959"/>
    <w:rsid w:val="3D8230F2"/>
    <w:rsid w:val="3D886E2C"/>
    <w:rsid w:val="3D9A6B04"/>
    <w:rsid w:val="3DAA5519"/>
    <w:rsid w:val="3DC413E8"/>
    <w:rsid w:val="3DCA34BB"/>
    <w:rsid w:val="3DD83D60"/>
    <w:rsid w:val="3DEE7764"/>
    <w:rsid w:val="3E044CAE"/>
    <w:rsid w:val="3E12201C"/>
    <w:rsid w:val="3E427218"/>
    <w:rsid w:val="3E460E59"/>
    <w:rsid w:val="3E8F30B5"/>
    <w:rsid w:val="3E962C89"/>
    <w:rsid w:val="3E9D9EE9"/>
    <w:rsid w:val="3EA27573"/>
    <w:rsid w:val="3EA72ABE"/>
    <w:rsid w:val="3EAD4174"/>
    <w:rsid w:val="3EAD7F9C"/>
    <w:rsid w:val="3EB32892"/>
    <w:rsid w:val="3EBC3336"/>
    <w:rsid w:val="3EDE79C6"/>
    <w:rsid w:val="3EF60080"/>
    <w:rsid w:val="3EF65530"/>
    <w:rsid w:val="3EFEC654"/>
    <w:rsid w:val="3F064AE9"/>
    <w:rsid w:val="3F3B0C43"/>
    <w:rsid w:val="3F4C62B0"/>
    <w:rsid w:val="3F585F31"/>
    <w:rsid w:val="3F6A4BE4"/>
    <w:rsid w:val="3F7279F0"/>
    <w:rsid w:val="3F7C65CA"/>
    <w:rsid w:val="3F7F0FB6"/>
    <w:rsid w:val="3F9717D1"/>
    <w:rsid w:val="3F9B13A5"/>
    <w:rsid w:val="3FB2485B"/>
    <w:rsid w:val="3FBD3AE8"/>
    <w:rsid w:val="3FEE166B"/>
    <w:rsid w:val="3FFEE24B"/>
    <w:rsid w:val="402A34B8"/>
    <w:rsid w:val="402C4889"/>
    <w:rsid w:val="40360CD1"/>
    <w:rsid w:val="40361D66"/>
    <w:rsid w:val="404C1EBB"/>
    <w:rsid w:val="405214DD"/>
    <w:rsid w:val="406060C3"/>
    <w:rsid w:val="40613E30"/>
    <w:rsid w:val="40736573"/>
    <w:rsid w:val="407D7357"/>
    <w:rsid w:val="40860A30"/>
    <w:rsid w:val="408D0A8F"/>
    <w:rsid w:val="409B4A07"/>
    <w:rsid w:val="40BF6E39"/>
    <w:rsid w:val="40C25B7F"/>
    <w:rsid w:val="40C73A02"/>
    <w:rsid w:val="40E02BC9"/>
    <w:rsid w:val="40F66678"/>
    <w:rsid w:val="40FA12EB"/>
    <w:rsid w:val="410A16AB"/>
    <w:rsid w:val="410E1C56"/>
    <w:rsid w:val="4120577A"/>
    <w:rsid w:val="41603084"/>
    <w:rsid w:val="41686388"/>
    <w:rsid w:val="416C142E"/>
    <w:rsid w:val="41E677EA"/>
    <w:rsid w:val="41FD121E"/>
    <w:rsid w:val="42117A10"/>
    <w:rsid w:val="421A7627"/>
    <w:rsid w:val="4233112B"/>
    <w:rsid w:val="42401E98"/>
    <w:rsid w:val="42474F8A"/>
    <w:rsid w:val="42872311"/>
    <w:rsid w:val="428B5762"/>
    <w:rsid w:val="429F3B64"/>
    <w:rsid w:val="42B64F1C"/>
    <w:rsid w:val="42C92887"/>
    <w:rsid w:val="42D47C2B"/>
    <w:rsid w:val="42DA32B5"/>
    <w:rsid w:val="42FB45E4"/>
    <w:rsid w:val="4307713D"/>
    <w:rsid w:val="433543AC"/>
    <w:rsid w:val="43420FE8"/>
    <w:rsid w:val="434513F0"/>
    <w:rsid w:val="43606D1A"/>
    <w:rsid w:val="43702851"/>
    <w:rsid w:val="437269BA"/>
    <w:rsid w:val="437F3C65"/>
    <w:rsid w:val="43B34232"/>
    <w:rsid w:val="43CA4F48"/>
    <w:rsid w:val="43FE78B1"/>
    <w:rsid w:val="440A7CA0"/>
    <w:rsid w:val="441F3AB4"/>
    <w:rsid w:val="4424604A"/>
    <w:rsid w:val="442967DE"/>
    <w:rsid w:val="445014AB"/>
    <w:rsid w:val="44674A51"/>
    <w:rsid w:val="44CE660D"/>
    <w:rsid w:val="44F103C7"/>
    <w:rsid w:val="452D47A4"/>
    <w:rsid w:val="4545710C"/>
    <w:rsid w:val="454C3E11"/>
    <w:rsid w:val="454F0B76"/>
    <w:rsid w:val="45795008"/>
    <w:rsid w:val="4579514B"/>
    <w:rsid w:val="457E2BBE"/>
    <w:rsid w:val="457F72E8"/>
    <w:rsid w:val="459F05CE"/>
    <w:rsid w:val="45D72674"/>
    <w:rsid w:val="45DE083B"/>
    <w:rsid w:val="45E076C0"/>
    <w:rsid w:val="45F36067"/>
    <w:rsid w:val="460C0745"/>
    <w:rsid w:val="463122D8"/>
    <w:rsid w:val="463144E5"/>
    <w:rsid w:val="4632053D"/>
    <w:rsid w:val="46577675"/>
    <w:rsid w:val="4662415A"/>
    <w:rsid w:val="4662498C"/>
    <w:rsid w:val="46641814"/>
    <w:rsid w:val="466E26B2"/>
    <w:rsid w:val="468425B0"/>
    <w:rsid w:val="46A022D9"/>
    <w:rsid w:val="46A9554B"/>
    <w:rsid w:val="46AF05B5"/>
    <w:rsid w:val="46B04A59"/>
    <w:rsid w:val="46B21457"/>
    <w:rsid w:val="46B411EC"/>
    <w:rsid w:val="46BE1A6C"/>
    <w:rsid w:val="46BE6647"/>
    <w:rsid w:val="46D0431B"/>
    <w:rsid w:val="46D35FF3"/>
    <w:rsid w:val="46EE3897"/>
    <w:rsid w:val="47140585"/>
    <w:rsid w:val="471B3499"/>
    <w:rsid w:val="4730142A"/>
    <w:rsid w:val="476870E2"/>
    <w:rsid w:val="478A0CA0"/>
    <w:rsid w:val="478E4BD2"/>
    <w:rsid w:val="47C848F5"/>
    <w:rsid w:val="47D84DCE"/>
    <w:rsid w:val="47DD756D"/>
    <w:rsid w:val="48037A8A"/>
    <w:rsid w:val="48057880"/>
    <w:rsid w:val="48150BC3"/>
    <w:rsid w:val="48377D23"/>
    <w:rsid w:val="486634EE"/>
    <w:rsid w:val="48807890"/>
    <w:rsid w:val="48A64B98"/>
    <w:rsid w:val="48A71804"/>
    <w:rsid w:val="48B30830"/>
    <w:rsid w:val="48BC156D"/>
    <w:rsid w:val="48DF62C3"/>
    <w:rsid w:val="48EA3B26"/>
    <w:rsid w:val="48F765BE"/>
    <w:rsid w:val="490445F2"/>
    <w:rsid w:val="49137521"/>
    <w:rsid w:val="49320F23"/>
    <w:rsid w:val="493A087A"/>
    <w:rsid w:val="49831FB1"/>
    <w:rsid w:val="49A10911"/>
    <w:rsid w:val="49CA61CE"/>
    <w:rsid w:val="49DD73AE"/>
    <w:rsid w:val="49F95BD6"/>
    <w:rsid w:val="4A0C7375"/>
    <w:rsid w:val="4A194AA5"/>
    <w:rsid w:val="4A2710F3"/>
    <w:rsid w:val="4A2B3C78"/>
    <w:rsid w:val="4A4915FD"/>
    <w:rsid w:val="4A4934DE"/>
    <w:rsid w:val="4A4D25BF"/>
    <w:rsid w:val="4A5E47CC"/>
    <w:rsid w:val="4A6E0EB3"/>
    <w:rsid w:val="4A6E7636"/>
    <w:rsid w:val="4A9106FD"/>
    <w:rsid w:val="4AA73240"/>
    <w:rsid w:val="4AB72272"/>
    <w:rsid w:val="4AC63E7C"/>
    <w:rsid w:val="4AD703A4"/>
    <w:rsid w:val="4B305E1B"/>
    <w:rsid w:val="4B4B6AFE"/>
    <w:rsid w:val="4B5D2E40"/>
    <w:rsid w:val="4B602D44"/>
    <w:rsid w:val="4B842010"/>
    <w:rsid w:val="4BB92D8E"/>
    <w:rsid w:val="4BBB7216"/>
    <w:rsid w:val="4BD07B58"/>
    <w:rsid w:val="4BE87BA5"/>
    <w:rsid w:val="4C155F10"/>
    <w:rsid w:val="4C2F7851"/>
    <w:rsid w:val="4C3176AB"/>
    <w:rsid w:val="4C324162"/>
    <w:rsid w:val="4C3C12ED"/>
    <w:rsid w:val="4C415DC1"/>
    <w:rsid w:val="4C571AC7"/>
    <w:rsid w:val="4C6E278E"/>
    <w:rsid w:val="4CA95F3B"/>
    <w:rsid w:val="4CE45067"/>
    <w:rsid w:val="4CFF538B"/>
    <w:rsid w:val="4D2A4B22"/>
    <w:rsid w:val="4D471EEE"/>
    <w:rsid w:val="4D4D7800"/>
    <w:rsid w:val="4D7251FF"/>
    <w:rsid w:val="4DDB4948"/>
    <w:rsid w:val="4DE50C0B"/>
    <w:rsid w:val="4DF831B6"/>
    <w:rsid w:val="4E11105D"/>
    <w:rsid w:val="4E16225A"/>
    <w:rsid w:val="4E253AB8"/>
    <w:rsid w:val="4E472C92"/>
    <w:rsid w:val="4E824D97"/>
    <w:rsid w:val="4E9D5C2D"/>
    <w:rsid w:val="4EBA57C1"/>
    <w:rsid w:val="4EC8768D"/>
    <w:rsid w:val="4EEB58EF"/>
    <w:rsid w:val="4EFC68C1"/>
    <w:rsid w:val="4EFE6975"/>
    <w:rsid w:val="4F047E0A"/>
    <w:rsid w:val="4F477F24"/>
    <w:rsid w:val="4F87600D"/>
    <w:rsid w:val="4FA91AAC"/>
    <w:rsid w:val="4FBD0FF5"/>
    <w:rsid w:val="4FC854D7"/>
    <w:rsid w:val="50142DE1"/>
    <w:rsid w:val="5015687B"/>
    <w:rsid w:val="501926CA"/>
    <w:rsid w:val="503109FF"/>
    <w:rsid w:val="503E7F87"/>
    <w:rsid w:val="504544C8"/>
    <w:rsid w:val="505E3D68"/>
    <w:rsid w:val="505F4DFA"/>
    <w:rsid w:val="505F5918"/>
    <w:rsid w:val="506F5953"/>
    <w:rsid w:val="507A0E74"/>
    <w:rsid w:val="50A218B6"/>
    <w:rsid w:val="50C2531E"/>
    <w:rsid w:val="50D13748"/>
    <w:rsid w:val="50D43A3A"/>
    <w:rsid w:val="510A120A"/>
    <w:rsid w:val="51426BF5"/>
    <w:rsid w:val="516A440A"/>
    <w:rsid w:val="51B053DC"/>
    <w:rsid w:val="51BA5A6F"/>
    <w:rsid w:val="51C42E16"/>
    <w:rsid w:val="51E5538B"/>
    <w:rsid w:val="52000D12"/>
    <w:rsid w:val="520D6221"/>
    <w:rsid w:val="5244074B"/>
    <w:rsid w:val="525351F4"/>
    <w:rsid w:val="525A6FBC"/>
    <w:rsid w:val="526C0997"/>
    <w:rsid w:val="5277467D"/>
    <w:rsid w:val="52855A65"/>
    <w:rsid w:val="52E11882"/>
    <w:rsid w:val="52E44E05"/>
    <w:rsid w:val="52F862D1"/>
    <w:rsid w:val="530B071F"/>
    <w:rsid w:val="53311AB3"/>
    <w:rsid w:val="53317F44"/>
    <w:rsid w:val="533D33D1"/>
    <w:rsid w:val="53511F1B"/>
    <w:rsid w:val="5353295D"/>
    <w:rsid w:val="53670B33"/>
    <w:rsid w:val="537735FB"/>
    <w:rsid w:val="53775B6A"/>
    <w:rsid w:val="538F5737"/>
    <w:rsid w:val="53CA0B91"/>
    <w:rsid w:val="53D43855"/>
    <w:rsid w:val="53D6214F"/>
    <w:rsid w:val="53EE1101"/>
    <w:rsid w:val="53FC4E8E"/>
    <w:rsid w:val="54111ADD"/>
    <w:rsid w:val="541717DC"/>
    <w:rsid w:val="54271D5C"/>
    <w:rsid w:val="5427740E"/>
    <w:rsid w:val="542B571F"/>
    <w:rsid w:val="54976AA9"/>
    <w:rsid w:val="549A3F89"/>
    <w:rsid w:val="54A022DD"/>
    <w:rsid w:val="54AA7049"/>
    <w:rsid w:val="54CF639A"/>
    <w:rsid w:val="54DE0134"/>
    <w:rsid w:val="54FC0026"/>
    <w:rsid w:val="553C46BA"/>
    <w:rsid w:val="55485688"/>
    <w:rsid w:val="55494082"/>
    <w:rsid w:val="555B3FA7"/>
    <w:rsid w:val="555F54CC"/>
    <w:rsid w:val="557D5B60"/>
    <w:rsid w:val="55834A19"/>
    <w:rsid w:val="559D43FA"/>
    <w:rsid w:val="55CF743F"/>
    <w:rsid w:val="55F27046"/>
    <w:rsid w:val="55F526C6"/>
    <w:rsid w:val="56066DC9"/>
    <w:rsid w:val="560B2337"/>
    <w:rsid w:val="561A7CC7"/>
    <w:rsid w:val="564E1228"/>
    <w:rsid w:val="566535A8"/>
    <w:rsid w:val="56A6131D"/>
    <w:rsid w:val="56A82B00"/>
    <w:rsid w:val="56BC5AD0"/>
    <w:rsid w:val="56D00C68"/>
    <w:rsid w:val="56EB60FD"/>
    <w:rsid w:val="57022BD1"/>
    <w:rsid w:val="57212B27"/>
    <w:rsid w:val="572809C2"/>
    <w:rsid w:val="57480C4D"/>
    <w:rsid w:val="574C27F3"/>
    <w:rsid w:val="57895A45"/>
    <w:rsid w:val="579D6934"/>
    <w:rsid w:val="57A16858"/>
    <w:rsid w:val="57B30CDA"/>
    <w:rsid w:val="57C5313B"/>
    <w:rsid w:val="57D807D4"/>
    <w:rsid w:val="57EA7969"/>
    <w:rsid w:val="57F740F4"/>
    <w:rsid w:val="57FA3D86"/>
    <w:rsid w:val="57FDBEDD"/>
    <w:rsid w:val="58466FCB"/>
    <w:rsid w:val="58750691"/>
    <w:rsid w:val="58AB575D"/>
    <w:rsid w:val="58AD0DF8"/>
    <w:rsid w:val="58BC728D"/>
    <w:rsid w:val="58BD4DB3"/>
    <w:rsid w:val="58D22E69"/>
    <w:rsid w:val="58DD0763"/>
    <w:rsid w:val="58EA22FF"/>
    <w:rsid w:val="58EB59C1"/>
    <w:rsid w:val="59445F91"/>
    <w:rsid w:val="596A4F3B"/>
    <w:rsid w:val="59815208"/>
    <w:rsid w:val="5993057B"/>
    <w:rsid w:val="59A43D8B"/>
    <w:rsid w:val="59A64B68"/>
    <w:rsid w:val="59F001A4"/>
    <w:rsid w:val="5A1E2DE7"/>
    <w:rsid w:val="5A20427A"/>
    <w:rsid w:val="5A331DE9"/>
    <w:rsid w:val="5A395FB6"/>
    <w:rsid w:val="5A436A2D"/>
    <w:rsid w:val="5A9833A8"/>
    <w:rsid w:val="5AAC047B"/>
    <w:rsid w:val="5AC95404"/>
    <w:rsid w:val="5B0A066E"/>
    <w:rsid w:val="5B123FA7"/>
    <w:rsid w:val="5B1D0885"/>
    <w:rsid w:val="5B5E18A4"/>
    <w:rsid w:val="5B613C0E"/>
    <w:rsid w:val="5B955E96"/>
    <w:rsid w:val="5B9B3675"/>
    <w:rsid w:val="5BA26571"/>
    <w:rsid w:val="5BCA6564"/>
    <w:rsid w:val="5BD66D67"/>
    <w:rsid w:val="5BFE7E52"/>
    <w:rsid w:val="5C107D40"/>
    <w:rsid w:val="5C1D1988"/>
    <w:rsid w:val="5C1E3775"/>
    <w:rsid w:val="5C381264"/>
    <w:rsid w:val="5C5E6BE8"/>
    <w:rsid w:val="5C672644"/>
    <w:rsid w:val="5C8132C7"/>
    <w:rsid w:val="5CA23A25"/>
    <w:rsid w:val="5CC26330"/>
    <w:rsid w:val="5CD67F41"/>
    <w:rsid w:val="5CDF760E"/>
    <w:rsid w:val="5CE07ABA"/>
    <w:rsid w:val="5CF00F5E"/>
    <w:rsid w:val="5D017C51"/>
    <w:rsid w:val="5D141BA6"/>
    <w:rsid w:val="5D4165A3"/>
    <w:rsid w:val="5D463591"/>
    <w:rsid w:val="5D4F2A78"/>
    <w:rsid w:val="5D570A59"/>
    <w:rsid w:val="5D792AE4"/>
    <w:rsid w:val="5DC25C67"/>
    <w:rsid w:val="5DCA711D"/>
    <w:rsid w:val="5DD97571"/>
    <w:rsid w:val="5DDA1D04"/>
    <w:rsid w:val="5DE22BD1"/>
    <w:rsid w:val="5E101ABB"/>
    <w:rsid w:val="5E2F58D3"/>
    <w:rsid w:val="5E5A06FD"/>
    <w:rsid w:val="5E6C6385"/>
    <w:rsid w:val="5E8A56FD"/>
    <w:rsid w:val="5E9342EC"/>
    <w:rsid w:val="5EA27CF7"/>
    <w:rsid w:val="5EBC3C1E"/>
    <w:rsid w:val="5EEE45E3"/>
    <w:rsid w:val="5EF17565"/>
    <w:rsid w:val="5F3815EE"/>
    <w:rsid w:val="5F5C32D6"/>
    <w:rsid w:val="5FB10E83"/>
    <w:rsid w:val="5FDC6467"/>
    <w:rsid w:val="5FFD96AC"/>
    <w:rsid w:val="600E788A"/>
    <w:rsid w:val="60173C67"/>
    <w:rsid w:val="60206354"/>
    <w:rsid w:val="603911C4"/>
    <w:rsid w:val="604130CF"/>
    <w:rsid w:val="60572C99"/>
    <w:rsid w:val="60663C94"/>
    <w:rsid w:val="60794FD4"/>
    <w:rsid w:val="60814FEF"/>
    <w:rsid w:val="60946411"/>
    <w:rsid w:val="60AE4E89"/>
    <w:rsid w:val="60CD4AC4"/>
    <w:rsid w:val="60D32F5A"/>
    <w:rsid w:val="61001CE1"/>
    <w:rsid w:val="610E2B4C"/>
    <w:rsid w:val="613E3956"/>
    <w:rsid w:val="6151253D"/>
    <w:rsid w:val="617F0AF7"/>
    <w:rsid w:val="619945D7"/>
    <w:rsid w:val="61C210E3"/>
    <w:rsid w:val="61C24BFD"/>
    <w:rsid w:val="61DE43D4"/>
    <w:rsid w:val="61E06967"/>
    <w:rsid w:val="61ED083B"/>
    <w:rsid w:val="61ED26C8"/>
    <w:rsid w:val="61FB2295"/>
    <w:rsid w:val="62184EFE"/>
    <w:rsid w:val="622F0AD0"/>
    <w:rsid w:val="623438B9"/>
    <w:rsid w:val="624216A0"/>
    <w:rsid w:val="626343A0"/>
    <w:rsid w:val="626736F9"/>
    <w:rsid w:val="626B4082"/>
    <w:rsid w:val="626B6B00"/>
    <w:rsid w:val="628E1BE9"/>
    <w:rsid w:val="62A3326C"/>
    <w:rsid w:val="62C126EC"/>
    <w:rsid w:val="62CF1703"/>
    <w:rsid w:val="62D06FF9"/>
    <w:rsid w:val="62D358FF"/>
    <w:rsid w:val="62D765EB"/>
    <w:rsid w:val="62E16861"/>
    <w:rsid w:val="636B22CC"/>
    <w:rsid w:val="636C198B"/>
    <w:rsid w:val="63B65AC7"/>
    <w:rsid w:val="63D7428B"/>
    <w:rsid w:val="64002DAD"/>
    <w:rsid w:val="640C4C0D"/>
    <w:rsid w:val="643B5584"/>
    <w:rsid w:val="64550596"/>
    <w:rsid w:val="645830D7"/>
    <w:rsid w:val="64675414"/>
    <w:rsid w:val="646D58E0"/>
    <w:rsid w:val="647258C3"/>
    <w:rsid w:val="64763CBE"/>
    <w:rsid w:val="647F41B9"/>
    <w:rsid w:val="648F5856"/>
    <w:rsid w:val="64AA2E73"/>
    <w:rsid w:val="64B8434A"/>
    <w:rsid w:val="64BD6867"/>
    <w:rsid w:val="64C5008F"/>
    <w:rsid w:val="64E8446E"/>
    <w:rsid w:val="64E959FD"/>
    <w:rsid w:val="64F9CCE6"/>
    <w:rsid w:val="651B5828"/>
    <w:rsid w:val="6530087B"/>
    <w:rsid w:val="65376B47"/>
    <w:rsid w:val="654042F5"/>
    <w:rsid w:val="65AB2B63"/>
    <w:rsid w:val="65E44DFA"/>
    <w:rsid w:val="65E63B9C"/>
    <w:rsid w:val="65F37088"/>
    <w:rsid w:val="65F66C79"/>
    <w:rsid w:val="660447CA"/>
    <w:rsid w:val="662B5A52"/>
    <w:rsid w:val="665622BC"/>
    <w:rsid w:val="66653739"/>
    <w:rsid w:val="666C4EE6"/>
    <w:rsid w:val="66792487"/>
    <w:rsid w:val="66D470E6"/>
    <w:rsid w:val="66ED2CA0"/>
    <w:rsid w:val="66F722EC"/>
    <w:rsid w:val="66FB0FDC"/>
    <w:rsid w:val="66FC5AFF"/>
    <w:rsid w:val="6709462E"/>
    <w:rsid w:val="676C49AE"/>
    <w:rsid w:val="6777196F"/>
    <w:rsid w:val="67825F62"/>
    <w:rsid w:val="678A1ED0"/>
    <w:rsid w:val="67AB61F8"/>
    <w:rsid w:val="67BA7741"/>
    <w:rsid w:val="67CEDCD6"/>
    <w:rsid w:val="67E6170C"/>
    <w:rsid w:val="67ED1BBE"/>
    <w:rsid w:val="67ED7463"/>
    <w:rsid w:val="67FD51CC"/>
    <w:rsid w:val="680D0CA5"/>
    <w:rsid w:val="684D7F02"/>
    <w:rsid w:val="686C7F9F"/>
    <w:rsid w:val="68A45648"/>
    <w:rsid w:val="68A5668C"/>
    <w:rsid w:val="68BD44C2"/>
    <w:rsid w:val="68D27297"/>
    <w:rsid w:val="68F42855"/>
    <w:rsid w:val="6911241F"/>
    <w:rsid w:val="69232A11"/>
    <w:rsid w:val="69586B5E"/>
    <w:rsid w:val="69B55D5F"/>
    <w:rsid w:val="69B67115"/>
    <w:rsid w:val="69B82DF4"/>
    <w:rsid w:val="69EF53B4"/>
    <w:rsid w:val="69FB8724"/>
    <w:rsid w:val="6A126DD2"/>
    <w:rsid w:val="6A2B4273"/>
    <w:rsid w:val="6A420E56"/>
    <w:rsid w:val="6A924E32"/>
    <w:rsid w:val="6A94008C"/>
    <w:rsid w:val="6AC635A8"/>
    <w:rsid w:val="6AC83B0F"/>
    <w:rsid w:val="6AE60947"/>
    <w:rsid w:val="6AEF6EB8"/>
    <w:rsid w:val="6AFD0629"/>
    <w:rsid w:val="6B0B374F"/>
    <w:rsid w:val="6B0E6D92"/>
    <w:rsid w:val="6B17074E"/>
    <w:rsid w:val="6B1F0CCB"/>
    <w:rsid w:val="6B285847"/>
    <w:rsid w:val="6B5F1CFB"/>
    <w:rsid w:val="6B6234E5"/>
    <w:rsid w:val="6B711708"/>
    <w:rsid w:val="6B980A95"/>
    <w:rsid w:val="6BA67A32"/>
    <w:rsid w:val="6BBD11F5"/>
    <w:rsid w:val="6BCE1834"/>
    <w:rsid w:val="6BD12800"/>
    <w:rsid w:val="6BF44877"/>
    <w:rsid w:val="6C022DB1"/>
    <w:rsid w:val="6C172034"/>
    <w:rsid w:val="6C1B1096"/>
    <w:rsid w:val="6C5E02FC"/>
    <w:rsid w:val="6C611966"/>
    <w:rsid w:val="6C721812"/>
    <w:rsid w:val="6C8B0F52"/>
    <w:rsid w:val="6CC73E80"/>
    <w:rsid w:val="6CDD0DD0"/>
    <w:rsid w:val="6CFA7DB1"/>
    <w:rsid w:val="6D0127E4"/>
    <w:rsid w:val="6D135E16"/>
    <w:rsid w:val="6D1C168A"/>
    <w:rsid w:val="6D2154B9"/>
    <w:rsid w:val="6D347A31"/>
    <w:rsid w:val="6D3668DD"/>
    <w:rsid w:val="6D471CAB"/>
    <w:rsid w:val="6D70425D"/>
    <w:rsid w:val="6D986796"/>
    <w:rsid w:val="6DAC0977"/>
    <w:rsid w:val="6DB941BD"/>
    <w:rsid w:val="6DC60F63"/>
    <w:rsid w:val="6DED6545"/>
    <w:rsid w:val="6DF11063"/>
    <w:rsid w:val="6E3B32BE"/>
    <w:rsid w:val="6E4C770B"/>
    <w:rsid w:val="6E5F1098"/>
    <w:rsid w:val="6E6F2793"/>
    <w:rsid w:val="6E703D8E"/>
    <w:rsid w:val="6E7F1EDE"/>
    <w:rsid w:val="6E84323D"/>
    <w:rsid w:val="6E942A76"/>
    <w:rsid w:val="6EA41FA2"/>
    <w:rsid w:val="6EB44AD4"/>
    <w:rsid w:val="6EBA69C8"/>
    <w:rsid w:val="6F265009"/>
    <w:rsid w:val="6F313FE8"/>
    <w:rsid w:val="6F381CAC"/>
    <w:rsid w:val="6F6128C1"/>
    <w:rsid w:val="6F723264"/>
    <w:rsid w:val="6F9C6902"/>
    <w:rsid w:val="6F9E6156"/>
    <w:rsid w:val="6FA06B69"/>
    <w:rsid w:val="6FA0729C"/>
    <w:rsid w:val="6FFB3E16"/>
    <w:rsid w:val="70100CA2"/>
    <w:rsid w:val="70393572"/>
    <w:rsid w:val="706E27A1"/>
    <w:rsid w:val="706F0977"/>
    <w:rsid w:val="707263F3"/>
    <w:rsid w:val="70A24D48"/>
    <w:rsid w:val="70B07280"/>
    <w:rsid w:val="70BA64EF"/>
    <w:rsid w:val="70C42D2B"/>
    <w:rsid w:val="70C900DF"/>
    <w:rsid w:val="70F80524"/>
    <w:rsid w:val="710A2419"/>
    <w:rsid w:val="710E65A0"/>
    <w:rsid w:val="71326D32"/>
    <w:rsid w:val="71347EB1"/>
    <w:rsid w:val="71453598"/>
    <w:rsid w:val="714C2CD0"/>
    <w:rsid w:val="715A596A"/>
    <w:rsid w:val="717C247D"/>
    <w:rsid w:val="717F26E4"/>
    <w:rsid w:val="71816B8E"/>
    <w:rsid w:val="71832D29"/>
    <w:rsid w:val="71907818"/>
    <w:rsid w:val="71B252F9"/>
    <w:rsid w:val="71DE7E1D"/>
    <w:rsid w:val="71E95916"/>
    <w:rsid w:val="71EB1F0E"/>
    <w:rsid w:val="7203413E"/>
    <w:rsid w:val="72191ED0"/>
    <w:rsid w:val="721C3014"/>
    <w:rsid w:val="721D0BFB"/>
    <w:rsid w:val="7250588C"/>
    <w:rsid w:val="726F5278"/>
    <w:rsid w:val="727E786A"/>
    <w:rsid w:val="72887FD4"/>
    <w:rsid w:val="72BD0544"/>
    <w:rsid w:val="72C0472D"/>
    <w:rsid w:val="72CB03A1"/>
    <w:rsid w:val="72D11D5C"/>
    <w:rsid w:val="72DC3720"/>
    <w:rsid w:val="72DC4121"/>
    <w:rsid w:val="72E4193A"/>
    <w:rsid w:val="72E85DAD"/>
    <w:rsid w:val="73133AF6"/>
    <w:rsid w:val="732303D9"/>
    <w:rsid w:val="7344428A"/>
    <w:rsid w:val="734979C3"/>
    <w:rsid w:val="73532CC9"/>
    <w:rsid w:val="735C549D"/>
    <w:rsid w:val="736F7373"/>
    <w:rsid w:val="738F6C61"/>
    <w:rsid w:val="7392343A"/>
    <w:rsid w:val="73B060B2"/>
    <w:rsid w:val="73D223F2"/>
    <w:rsid w:val="73D73D11"/>
    <w:rsid w:val="73E95EE8"/>
    <w:rsid w:val="744975DD"/>
    <w:rsid w:val="74610332"/>
    <w:rsid w:val="746920A5"/>
    <w:rsid w:val="74AD6F4A"/>
    <w:rsid w:val="74AE06FF"/>
    <w:rsid w:val="74CB1EDB"/>
    <w:rsid w:val="74DE73F5"/>
    <w:rsid w:val="750E239F"/>
    <w:rsid w:val="7517095A"/>
    <w:rsid w:val="751E77AF"/>
    <w:rsid w:val="75474541"/>
    <w:rsid w:val="75702156"/>
    <w:rsid w:val="757A6A57"/>
    <w:rsid w:val="75D07F8B"/>
    <w:rsid w:val="75EE5669"/>
    <w:rsid w:val="76957051"/>
    <w:rsid w:val="76BD4232"/>
    <w:rsid w:val="76C10199"/>
    <w:rsid w:val="76C57BCB"/>
    <w:rsid w:val="76D474B3"/>
    <w:rsid w:val="76EF6DD7"/>
    <w:rsid w:val="76F927CD"/>
    <w:rsid w:val="772F78A5"/>
    <w:rsid w:val="773B2934"/>
    <w:rsid w:val="773E064E"/>
    <w:rsid w:val="774E1211"/>
    <w:rsid w:val="7767181A"/>
    <w:rsid w:val="777B71D8"/>
    <w:rsid w:val="77842F01"/>
    <w:rsid w:val="77A54D53"/>
    <w:rsid w:val="77AB25AD"/>
    <w:rsid w:val="77D75F2B"/>
    <w:rsid w:val="77FC6767"/>
    <w:rsid w:val="781A0BEC"/>
    <w:rsid w:val="78202415"/>
    <w:rsid w:val="78213FC9"/>
    <w:rsid w:val="78572B59"/>
    <w:rsid w:val="78701D9C"/>
    <w:rsid w:val="7899537E"/>
    <w:rsid w:val="78F9F6D3"/>
    <w:rsid w:val="78FA0671"/>
    <w:rsid w:val="79393B8B"/>
    <w:rsid w:val="793A634F"/>
    <w:rsid w:val="795A4F33"/>
    <w:rsid w:val="79785617"/>
    <w:rsid w:val="797A5A56"/>
    <w:rsid w:val="797BA803"/>
    <w:rsid w:val="798635EB"/>
    <w:rsid w:val="79A5750A"/>
    <w:rsid w:val="79CF368F"/>
    <w:rsid w:val="79EB2FD6"/>
    <w:rsid w:val="79ECAB6F"/>
    <w:rsid w:val="79ED0DA8"/>
    <w:rsid w:val="7A0C1011"/>
    <w:rsid w:val="7A0E7A81"/>
    <w:rsid w:val="7A17211E"/>
    <w:rsid w:val="7A321CDB"/>
    <w:rsid w:val="7A4B626B"/>
    <w:rsid w:val="7A567B6E"/>
    <w:rsid w:val="7A6E32C8"/>
    <w:rsid w:val="7AA5772A"/>
    <w:rsid w:val="7AB0113D"/>
    <w:rsid w:val="7AC900CF"/>
    <w:rsid w:val="7B052FBD"/>
    <w:rsid w:val="7B2F54B5"/>
    <w:rsid w:val="7B48416D"/>
    <w:rsid w:val="7B5A5A6C"/>
    <w:rsid w:val="7B5C250E"/>
    <w:rsid w:val="7B5C3BBA"/>
    <w:rsid w:val="7B63305F"/>
    <w:rsid w:val="7B6D0F87"/>
    <w:rsid w:val="7B72691F"/>
    <w:rsid w:val="7B783FD8"/>
    <w:rsid w:val="7B9A3DB8"/>
    <w:rsid w:val="7BA113AB"/>
    <w:rsid w:val="7BA67BFD"/>
    <w:rsid w:val="7BAC4AE8"/>
    <w:rsid w:val="7BD52290"/>
    <w:rsid w:val="7BD568A0"/>
    <w:rsid w:val="7BE22960"/>
    <w:rsid w:val="7BF20E1E"/>
    <w:rsid w:val="7BFC01F8"/>
    <w:rsid w:val="7BFF70BE"/>
    <w:rsid w:val="7C120F4C"/>
    <w:rsid w:val="7C1B29E5"/>
    <w:rsid w:val="7C5728ED"/>
    <w:rsid w:val="7C574A54"/>
    <w:rsid w:val="7C686BCF"/>
    <w:rsid w:val="7C9408F4"/>
    <w:rsid w:val="7CA76EC6"/>
    <w:rsid w:val="7CB83597"/>
    <w:rsid w:val="7CB90CC2"/>
    <w:rsid w:val="7CC752E0"/>
    <w:rsid w:val="7CFB2CE9"/>
    <w:rsid w:val="7CFBCE9D"/>
    <w:rsid w:val="7D0C34C4"/>
    <w:rsid w:val="7D1E71EA"/>
    <w:rsid w:val="7D212CA5"/>
    <w:rsid w:val="7D255EE2"/>
    <w:rsid w:val="7D26D855"/>
    <w:rsid w:val="7D293184"/>
    <w:rsid w:val="7D2B742D"/>
    <w:rsid w:val="7D4B3EE6"/>
    <w:rsid w:val="7D4B572C"/>
    <w:rsid w:val="7D6112EF"/>
    <w:rsid w:val="7D68620F"/>
    <w:rsid w:val="7D69777E"/>
    <w:rsid w:val="7D6FB106"/>
    <w:rsid w:val="7D752C5B"/>
    <w:rsid w:val="7D927DC0"/>
    <w:rsid w:val="7DB34706"/>
    <w:rsid w:val="7DFE1ABC"/>
    <w:rsid w:val="7E1A0A9F"/>
    <w:rsid w:val="7E2327E1"/>
    <w:rsid w:val="7E3C401A"/>
    <w:rsid w:val="7E641213"/>
    <w:rsid w:val="7EA7EB6C"/>
    <w:rsid w:val="7EAD3628"/>
    <w:rsid w:val="7EB859C9"/>
    <w:rsid w:val="7ECB4935"/>
    <w:rsid w:val="7EE33139"/>
    <w:rsid w:val="7EEBD690"/>
    <w:rsid w:val="7EF34773"/>
    <w:rsid w:val="7EF931C4"/>
    <w:rsid w:val="7F0D08DC"/>
    <w:rsid w:val="7F173D26"/>
    <w:rsid w:val="7F3DC597"/>
    <w:rsid w:val="7F457705"/>
    <w:rsid w:val="7F666017"/>
    <w:rsid w:val="7F6FBE70"/>
    <w:rsid w:val="7F714EE5"/>
    <w:rsid w:val="7F765549"/>
    <w:rsid w:val="7F7F2734"/>
    <w:rsid w:val="7F9B10FB"/>
    <w:rsid w:val="7FA63F96"/>
    <w:rsid w:val="7FB7DF21"/>
    <w:rsid w:val="7FB9287C"/>
    <w:rsid w:val="7FC32F20"/>
    <w:rsid w:val="7FCB2760"/>
    <w:rsid w:val="7FCC47FD"/>
    <w:rsid w:val="7FD31973"/>
    <w:rsid w:val="7FE15B01"/>
    <w:rsid w:val="7FFB1B6E"/>
    <w:rsid w:val="8573C5B4"/>
    <w:rsid w:val="C6F5E4F8"/>
    <w:rsid w:val="CDFFBC69"/>
    <w:rsid w:val="DCE705B6"/>
    <w:rsid w:val="DE35E862"/>
    <w:rsid w:val="DF77D5E2"/>
    <w:rsid w:val="DFE64E7C"/>
    <w:rsid w:val="F76F081C"/>
    <w:rsid w:val="F7B3F097"/>
    <w:rsid w:val="F7BF1B7E"/>
    <w:rsid w:val="F7E80245"/>
    <w:rsid w:val="FB6B5221"/>
    <w:rsid w:val="FBB6A2A8"/>
    <w:rsid w:val="FFCB6B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11">
    <w:name w:val="toc 7"/>
    <w:basedOn w:val="1"/>
    <w:next w:val="1"/>
    <w:qFormat/>
    <w:uiPriority w:val="39"/>
    <w:pPr>
      <w:ind w:left="1260"/>
      <w:jc w:val="left"/>
    </w:pPr>
    <w:rPr>
      <w:rFonts w:ascii="Calibri" w:hAnsi="Calibri"/>
      <w:sz w:val="18"/>
      <w:szCs w:val="18"/>
    </w:rPr>
  </w:style>
  <w:style w:type="paragraph" w:styleId="12">
    <w:name w:val="Normal Indent"/>
    <w:basedOn w:val="1"/>
    <w:link w:val="68"/>
    <w:qFormat/>
    <w:uiPriority w:val="0"/>
    <w:pPr>
      <w:ind w:firstLine="420" w:firstLineChars="200"/>
    </w:pPr>
  </w:style>
  <w:style w:type="paragraph" w:styleId="13">
    <w:name w:val="Document Map"/>
    <w:basedOn w:val="1"/>
    <w:link w:val="75"/>
    <w:qFormat/>
    <w:uiPriority w:val="0"/>
    <w:pPr>
      <w:shd w:val="clear" w:color="auto" w:fill="000080"/>
    </w:pPr>
    <w:rPr>
      <w:kern w:val="0"/>
      <w:sz w:val="20"/>
    </w:rPr>
  </w:style>
  <w:style w:type="paragraph" w:styleId="14">
    <w:name w:val="annotation text"/>
    <w:basedOn w:val="1"/>
    <w:link w:val="57"/>
    <w:unhideWhenUsed/>
    <w:qFormat/>
    <w:uiPriority w:val="99"/>
    <w:pPr>
      <w:jc w:val="left"/>
    </w:pPr>
    <w:rPr>
      <w:kern w:val="0"/>
      <w:sz w:val="20"/>
    </w:rPr>
  </w:style>
  <w:style w:type="paragraph" w:styleId="15">
    <w:name w:val="Body Text 3"/>
    <w:basedOn w:val="1"/>
    <w:link w:val="61"/>
    <w:qFormat/>
    <w:uiPriority w:val="0"/>
    <w:rPr>
      <w:rFonts w:ascii="宋体"/>
      <w:kern w:val="0"/>
      <w:sz w:val="24"/>
      <w:szCs w:val="20"/>
    </w:rPr>
  </w:style>
  <w:style w:type="paragraph" w:styleId="16">
    <w:name w:val="Body Text"/>
    <w:basedOn w:val="1"/>
    <w:next w:val="1"/>
    <w:link w:val="64"/>
    <w:qFormat/>
    <w:uiPriority w:val="0"/>
    <w:pPr>
      <w:spacing w:after="120"/>
    </w:pPr>
    <w:rPr>
      <w:kern w:val="0"/>
      <w:sz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4"/>
    <w:next w:val="14"/>
    <w:link w:val="67"/>
    <w:qFormat/>
    <w:uiPriority w:val="0"/>
    <w:rPr>
      <w:b/>
      <w:bCs/>
    </w:rPr>
  </w:style>
  <w:style w:type="paragraph" w:styleId="41">
    <w:name w:val="Body Text First Indent"/>
    <w:basedOn w:val="16"/>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unhideWhenUsed/>
    <w:qFormat/>
    <w:uiPriority w:val="0"/>
    <w:pPr>
      <w:ind w:firstLine="420"/>
    </w:p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4"/>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5"/>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16"/>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2"/>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3"/>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color="auto"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paragraph" w:customStyle="1" w:styleId="168">
    <w:name w:val="Table Paragraph"/>
    <w:basedOn w:val="1"/>
    <w:qFormat/>
    <w:uiPriority w:val="1"/>
  </w:style>
  <w:style w:type="table" w:customStyle="1" w:styleId="169">
    <w:name w:val="Table Normal"/>
    <w:semiHidden/>
    <w:unhideWhenUsed/>
    <w:qFormat/>
    <w:uiPriority w:val="2"/>
    <w:tblPr>
      <w:tblCellMar>
        <w:top w:w="0" w:type="dxa"/>
        <w:left w:w="0" w:type="dxa"/>
        <w:bottom w:w="0" w:type="dxa"/>
        <w:right w:w="0" w:type="dxa"/>
      </w:tblCellMar>
    </w:tblPr>
  </w:style>
  <w:style w:type="paragraph" w:customStyle="1" w:styleId="170">
    <w:name w:val="符号列表"/>
    <w:basedOn w:val="1"/>
    <w:next w:val="171"/>
    <w:qFormat/>
    <w:uiPriority w:val="34"/>
    <w:pPr>
      <w:spacing w:beforeLines="50"/>
      <w:ind w:firstLine="420" w:firstLineChars="200"/>
    </w:pPr>
    <w:rPr>
      <w:rFonts w:ascii="Calibri" w:hAnsi="Calibri"/>
      <w:sz w:val="24"/>
      <w:szCs w:val="22"/>
      <w:lang w:val="zh-CN"/>
    </w:rPr>
  </w:style>
  <w:style w:type="paragraph" w:customStyle="1" w:styleId="171">
    <w:name w:val="列出段落1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36</Pages>
  <Words>14328</Words>
  <Characters>14935</Characters>
  <Lines>1</Lines>
  <Paragraphs>1</Paragraphs>
  <TotalTime>0</TotalTime>
  <ScaleCrop>false</ScaleCrop>
  <LinksUpToDate>false</LinksUpToDate>
  <CharactersWithSpaces>15932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2020-05-03T08:16:00Z</dcterms:created>
  <dc:creator>陈桂兰</dc:creator>
  <cp:lastModifiedBy>Kevin</cp:lastModifiedBy>
  <cp:lastPrinted>2022-06-10T18:10:00Z</cp:lastPrinted>
  <dcterms:modified xsi:type="dcterms:W3CDTF">2023-04-12T07:22:08Z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E01176138CD84CD8A283B7FD24ECA390</vt:lpwstr>
  </property>
  <property fmtid="{D5CDD505-2E9C-101B-9397-08002B2CF9AE}" pid="4" name="commondata">
    <vt:lpwstr>eyJoZGlkIjoiNmI0YzI4NGJiMjg2ZWZlN2MzZDcyYzg5ZDEwYzBhZDAifQ==</vt:lpwstr>
  </property>
</Properties>
</file>