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olor w:val="auto"/>
          <w:kern w:val="0"/>
          <w:szCs w:val="20"/>
        </w:rPr>
      </w:pPr>
    </w:p>
    <w:p>
      <w:pPr>
        <w:rPr>
          <w:rFonts w:hint="eastAsia" w:ascii="Times New Roman" w:hAnsi="Times New Roman"/>
          <w:color w:val="auto"/>
          <w:kern w:val="0"/>
          <w:szCs w:val="20"/>
        </w:rPr>
      </w:pPr>
    </w:p>
    <w:p>
      <w:pPr>
        <w:spacing w:line="360" w:lineRule="auto"/>
        <w:ind w:left="100"/>
        <w:jc w:val="center"/>
        <w:rPr>
          <w:rFonts w:hint="eastAsia" w:ascii="宋体" w:hAnsi="宋体" w:cs="宋体"/>
          <w:b/>
          <w:color w:val="auto"/>
          <w:kern w:val="1"/>
          <w:sz w:val="30"/>
          <w:szCs w:val="30"/>
        </w:rPr>
      </w:pPr>
    </w:p>
    <w:p>
      <w:pPr>
        <w:spacing w:line="360" w:lineRule="auto"/>
        <w:ind w:left="100"/>
        <w:jc w:val="center"/>
        <w:rPr>
          <w:rFonts w:hint="eastAsia" w:ascii="宋体" w:hAnsi="宋体" w:cs="宋体"/>
          <w:b/>
          <w:color w:val="auto"/>
          <w:kern w:val="1"/>
          <w:sz w:val="30"/>
          <w:szCs w:val="30"/>
        </w:rPr>
      </w:pPr>
      <w:r>
        <w:rPr>
          <w:rFonts w:hint="eastAsia" w:ascii="宋体" w:hAnsi="宋体" w:cs="宋体"/>
          <w:b/>
          <w:color w:val="auto"/>
          <w:kern w:val="1"/>
          <w:sz w:val="30"/>
          <w:szCs w:val="30"/>
        </w:rPr>
        <w:t>项目名称：2023年度道路病害标识服务项目</w:t>
      </w:r>
    </w:p>
    <w:p>
      <w:pPr>
        <w:spacing w:line="360" w:lineRule="auto"/>
        <w:ind w:left="100"/>
        <w:rPr>
          <w:rFonts w:ascii="宋体" w:hAnsi="宋体" w:cs="宋体"/>
          <w:b/>
          <w:color w:val="auto"/>
          <w:kern w:val="1"/>
          <w:sz w:val="30"/>
          <w:szCs w:val="30"/>
        </w:rPr>
      </w:pPr>
    </w:p>
    <w:p>
      <w:pPr>
        <w:spacing w:line="360" w:lineRule="auto"/>
        <w:ind w:left="100"/>
        <w:rPr>
          <w:rFonts w:ascii="宋体" w:hAnsi="宋体" w:cs="宋体"/>
          <w:b/>
          <w:color w:val="auto"/>
          <w:kern w:val="1"/>
          <w:sz w:val="30"/>
          <w:szCs w:val="30"/>
        </w:rPr>
      </w:pPr>
    </w:p>
    <w:p>
      <w:pPr>
        <w:spacing w:line="360" w:lineRule="auto"/>
        <w:ind w:left="100"/>
        <w:rPr>
          <w:rFonts w:ascii="宋体" w:hAnsi="宋体" w:cs="宋体"/>
          <w:b/>
          <w:color w:val="auto"/>
          <w:kern w:val="1"/>
          <w:sz w:val="30"/>
          <w:szCs w:val="30"/>
        </w:rPr>
      </w:pPr>
    </w:p>
    <w:p>
      <w:pPr>
        <w:spacing w:line="360" w:lineRule="auto"/>
        <w:ind w:left="100"/>
        <w:rPr>
          <w:rFonts w:ascii="宋体" w:hAnsi="宋体" w:cs="宋体"/>
          <w:b/>
          <w:color w:val="auto"/>
          <w:kern w:val="1"/>
          <w:sz w:val="30"/>
          <w:szCs w:val="30"/>
        </w:rPr>
      </w:pPr>
    </w:p>
    <w:p>
      <w:pPr>
        <w:spacing w:line="360" w:lineRule="auto"/>
        <w:ind w:left="100"/>
        <w:rPr>
          <w:rFonts w:hint="eastAsia" w:ascii="宋体" w:hAnsi="宋体" w:cs="宋体"/>
          <w:b/>
          <w:color w:val="auto"/>
          <w:kern w:val="1"/>
          <w:sz w:val="30"/>
          <w:szCs w:val="30"/>
        </w:rPr>
      </w:pPr>
    </w:p>
    <w:p>
      <w:pPr>
        <w:jc w:val="center"/>
        <w:rPr>
          <w:rFonts w:ascii="宋体" w:hAnsi="宋体" w:cs="宋体"/>
          <w:b/>
          <w:color w:val="auto"/>
          <w:spacing w:val="20"/>
          <w:kern w:val="0"/>
          <w:sz w:val="84"/>
          <w:szCs w:val="84"/>
        </w:rPr>
      </w:pPr>
      <w:r>
        <w:rPr>
          <w:rFonts w:hint="eastAsia" w:ascii="宋体" w:hAnsi="宋体" w:cs="宋体"/>
          <w:b/>
          <w:color w:val="auto"/>
          <w:spacing w:val="20"/>
          <w:kern w:val="0"/>
          <w:sz w:val="84"/>
          <w:szCs w:val="84"/>
        </w:rPr>
        <w:t>竞争性比选文件</w:t>
      </w:r>
    </w:p>
    <w:p>
      <w:pPr>
        <w:spacing w:line="360" w:lineRule="auto"/>
        <w:ind w:left="100"/>
        <w:rPr>
          <w:rFonts w:ascii="宋体" w:hAnsi="宋体" w:cs="宋体"/>
          <w:b/>
          <w:color w:val="auto"/>
          <w:kern w:val="1"/>
          <w:sz w:val="30"/>
          <w:szCs w:val="30"/>
        </w:rPr>
      </w:pPr>
    </w:p>
    <w:p>
      <w:pPr>
        <w:spacing w:line="360" w:lineRule="auto"/>
        <w:ind w:left="100"/>
        <w:rPr>
          <w:rFonts w:ascii="宋体" w:hAnsi="宋体" w:cs="宋体"/>
          <w:b/>
          <w:color w:val="auto"/>
          <w:kern w:val="1"/>
          <w:sz w:val="30"/>
          <w:szCs w:val="30"/>
        </w:rPr>
      </w:pPr>
    </w:p>
    <w:p>
      <w:pPr>
        <w:spacing w:line="360" w:lineRule="auto"/>
        <w:ind w:left="100"/>
        <w:rPr>
          <w:rFonts w:ascii="宋体" w:hAnsi="宋体" w:cs="宋体"/>
          <w:b/>
          <w:color w:val="auto"/>
          <w:kern w:val="1"/>
          <w:sz w:val="30"/>
          <w:szCs w:val="30"/>
        </w:rPr>
      </w:pPr>
    </w:p>
    <w:p>
      <w:pPr>
        <w:spacing w:line="360" w:lineRule="auto"/>
        <w:ind w:left="100"/>
        <w:rPr>
          <w:rFonts w:ascii="宋体" w:hAnsi="宋体" w:cs="宋体"/>
          <w:b/>
          <w:color w:val="auto"/>
          <w:kern w:val="1"/>
          <w:sz w:val="30"/>
          <w:szCs w:val="30"/>
        </w:rPr>
      </w:pPr>
    </w:p>
    <w:p>
      <w:pPr>
        <w:rPr>
          <w:rFonts w:ascii="宋体" w:hAnsi="宋体" w:cs="宋体"/>
          <w:b/>
          <w:color w:val="auto"/>
          <w:kern w:val="0"/>
          <w:sz w:val="30"/>
          <w:szCs w:val="30"/>
        </w:rPr>
      </w:pPr>
    </w:p>
    <w:p>
      <w:pPr>
        <w:spacing w:line="360" w:lineRule="auto"/>
        <w:ind w:left="100"/>
        <w:rPr>
          <w:rFonts w:ascii="宋体" w:hAnsi="宋体" w:cs="宋体"/>
          <w:b/>
          <w:color w:val="auto"/>
          <w:kern w:val="1"/>
          <w:sz w:val="30"/>
          <w:szCs w:val="30"/>
        </w:rPr>
      </w:pPr>
    </w:p>
    <w:p>
      <w:pPr>
        <w:spacing w:line="360" w:lineRule="auto"/>
        <w:ind w:left="100"/>
        <w:rPr>
          <w:rFonts w:ascii="宋体" w:hAnsi="宋体" w:cs="宋体"/>
          <w:b/>
          <w:color w:val="auto"/>
          <w:kern w:val="1"/>
          <w:sz w:val="30"/>
          <w:szCs w:val="30"/>
        </w:rPr>
      </w:pPr>
    </w:p>
    <w:p>
      <w:pPr>
        <w:spacing w:line="360" w:lineRule="auto"/>
        <w:ind w:left="100"/>
        <w:rPr>
          <w:rFonts w:ascii="宋体" w:hAnsi="宋体" w:cs="宋体"/>
          <w:b/>
          <w:color w:val="auto"/>
          <w:kern w:val="1"/>
          <w:sz w:val="30"/>
          <w:szCs w:val="30"/>
        </w:rPr>
      </w:pPr>
    </w:p>
    <w:p>
      <w:pPr>
        <w:spacing w:line="360" w:lineRule="auto"/>
        <w:ind w:left="100"/>
        <w:rPr>
          <w:rFonts w:hint="eastAsia" w:ascii="宋体" w:hAnsi="宋体" w:cs="宋体"/>
          <w:b/>
          <w:color w:val="auto"/>
          <w:kern w:val="1"/>
          <w:sz w:val="30"/>
          <w:szCs w:val="30"/>
        </w:rPr>
      </w:pPr>
    </w:p>
    <w:p>
      <w:pPr>
        <w:spacing w:line="360" w:lineRule="auto"/>
        <w:ind w:firstLine="2409" w:firstLineChars="800"/>
        <w:rPr>
          <w:rFonts w:ascii="宋体" w:hAnsi="宋体" w:cs="宋体"/>
          <w:b/>
          <w:color w:val="auto"/>
          <w:kern w:val="1"/>
          <w:sz w:val="30"/>
          <w:szCs w:val="30"/>
        </w:rPr>
      </w:pPr>
      <w:r>
        <w:rPr>
          <w:rFonts w:hint="eastAsia" w:ascii="宋体" w:hAnsi="宋体" w:cs="宋体"/>
          <w:b/>
          <w:color w:val="auto"/>
          <w:kern w:val="1"/>
          <w:sz w:val="30"/>
          <w:szCs w:val="30"/>
        </w:rPr>
        <w:t>重庆鹏途企业管理咨询有限公司</w:t>
      </w:r>
    </w:p>
    <w:p>
      <w:pPr>
        <w:spacing w:line="360" w:lineRule="auto"/>
        <w:ind w:left="100"/>
        <w:jc w:val="center"/>
        <w:rPr>
          <w:rFonts w:ascii="宋体" w:hAnsi="宋体" w:cs="宋体"/>
          <w:b/>
          <w:color w:val="auto"/>
          <w:kern w:val="1"/>
          <w:sz w:val="30"/>
          <w:szCs w:val="30"/>
        </w:rPr>
      </w:pPr>
      <w:r>
        <w:rPr>
          <w:rFonts w:ascii="宋体" w:hAnsi="宋体" w:cs="宋体"/>
          <w:b/>
          <w:color w:val="auto"/>
          <w:kern w:val="1"/>
          <w:sz w:val="30"/>
          <w:szCs w:val="30"/>
        </w:rPr>
        <w:t>202</w:t>
      </w:r>
      <w:r>
        <w:rPr>
          <w:rFonts w:hint="eastAsia" w:ascii="宋体" w:hAnsi="宋体" w:cs="宋体"/>
          <w:b/>
          <w:color w:val="auto"/>
          <w:kern w:val="1"/>
          <w:sz w:val="30"/>
          <w:szCs w:val="30"/>
        </w:rPr>
        <w:t>3</w:t>
      </w:r>
      <w:r>
        <w:rPr>
          <w:rFonts w:ascii="宋体" w:hAnsi="宋体" w:cs="宋体"/>
          <w:b/>
          <w:color w:val="auto"/>
          <w:kern w:val="1"/>
          <w:sz w:val="30"/>
          <w:szCs w:val="30"/>
        </w:rPr>
        <w:t>年</w:t>
      </w:r>
      <w:r>
        <w:rPr>
          <w:rFonts w:hint="eastAsia" w:ascii="宋体" w:hAnsi="宋体" w:cs="宋体"/>
          <w:b/>
          <w:color w:val="auto"/>
          <w:kern w:val="1"/>
          <w:sz w:val="30"/>
          <w:szCs w:val="30"/>
          <w:lang w:val="en-US" w:eastAsia="zh-CN"/>
        </w:rPr>
        <w:t>5</w:t>
      </w:r>
      <w:r>
        <w:rPr>
          <w:rFonts w:ascii="宋体" w:hAnsi="宋体" w:cs="宋体"/>
          <w:b/>
          <w:color w:val="auto"/>
          <w:kern w:val="1"/>
          <w:sz w:val="30"/>
          <w:szCs w:val="30"/>
        </w:rPr>
        <w:t>月</w:t>
      </w:r>
    </w:p>
    <w:p>
      <w:pPr>
        <w:rPr>
          <w:rFonts w:ascii="宋体" w:hAnsi="宋体" w:cs="宋体"/>
          <w:b/>
          <w:color w:val="auto"/>
          <w:kern w:val="1"/>
          <w:sz w:val="30"/>
          <w:szCs w:val="30"/>
        </w:rPr>
      </w:pPr>
      <w:r>
        <w:rPr>
          <w:rFonts w:ascii="宋体" w:hAnsi="宋体" w:cs="宋体"/>
          <w:b/>
          <w:color w:val="auto"/>
          <w:kern w:val="1"/>
          <w:sz w:val="30"/>
          <w:szCs w:val="30"/>
        </w:rPr>
        <w:br w:type="page"/>
      </w:r>
    </w:p>
    <w:p>
      <w:pPr>
        <w:spacing w:line="440" w:lineRule="exact"/>
        <w:ind w:firstLine="420" w:firstLineChars="200"/>
        <w:rPr>
          <w:color w:val="auto"/>
          <w:szCs w:val="21"/>
        </w:rPr>
      </w:pPr>
      <w:bookmarkStart w:id="0" w:name="_Toc246996167"/>
      <w:bookmarkStart w:id="1" w:name="_Toc179632537"/>
      <w:bookmarkStart w:id="2" w:name="_Toc152042296"/>
      <w:bookmarkStart w:id="3" w:name="_Toc246996910"/>
      <w:bookmarkStart w:id="4" w:name="_Toc152045520"/>
      <w:bookmarkStart w:id="5" w:name="_Toc296602411"/>
      <w:bookmarkStart w:id="6" w:name="_Toc247085681"/>
      <w:bookmarkStart w:id="7" w:name="_Toc144974488"/>
      <w:r>
        <w:rPr>
          <w:rFonts w:hint="eastAsia"/>
          <w:color w:val="auto"/>
          <w:szCs w:val="21"/>
        </w:rPr>
        <w:t>本次对2023年度道路病害标识服务项目进行公开竞争性比选，</w:t>
      </w:r>
      <w:r>
        <w:rPr>
          <w:rFonts w:hint="eastAsia"/>
          <w:color w:val="auto"/>
          <w:szCs w:val="21"/>
          <w:lang w:val="en-US" w:eastAsia="zh-CN"/>
        </w:rPr>
        <w:t>项目</w:t>
      </w:r>
      <w:r>
        <w:rPr>
          <w:rFonts w:hint="eastAsia"/>
          <w:color w:val="auto"/>
          <w:szCs w:val="21"/>
        </w:rPr>
        <w:t>资金来自业主自筹，项目出资比例为100%，比选人为重庆鹏途企业管理咨询有限公司。竞争性比选由比选人自行组织。根据国家相关法律法规相关规定，本项目计划以竞争性比选方式确定服务合作单位，具体情况如下：</w:t>
      </w:r>
    </w:p>
    <w:p>
      <w:pPr>
        <w:spacing w:line="440" w:lineRule="exact"/>
        <w:rPr>
          <w:b/>
          <w:color w:val="auto"/>
          <w:szCs w:val="21"/>
        </w:rPr>
      </w:pPr>
      <w:r>
        <w:rPr>
          <w:b/>
          <w:color w:val="auto"/>
          <w:szCs w:val="21"/>
        </w:rPr>
        <w:t>一、项目概况与</w:t>
      </w:r>
      <w:r>
        <w:rPr>
          <w:rFonts w:hint="eastAsia"/>
          <w:b/>
          <w:color w:val="auto"/>
          <w:szCs w:val="21"/>
        </w:rPr>
        <w:t>竞争性比选</w:t>
      </w:r>
      <w:r>
        <w:rPr>
          <w:b/>
          <w:color w:val="auto"/>
          <w:szCs w:val="21"/>
        </w:rPr>
        <w:t>范围</w:t>
      </w:r>
      <w:bookmarkEnd w:id="0"/>
      <w:bookmarkEnd w:id="1"/>
      <w:bookmarkEnd w:id="2"/>
      <w:bookmarkEnd w:id="3"/>
      <w:bookmarkEnd w:id="4"/>
      <w:bookmarkEnd w:id="5"/>
      <w:bookmarkEnd w:id="6"/>
      <w:bookmarkEnd w:id="7"/>
    </w:p>
    <w:p>
      <w:pPr>
        <w:widowControl/>
        <w:numPr>
          <w:ilvl w:val="0"/>
          <w:numId w:val="1"/>
        </w:numPr>
        <w:spacing w:line="440" w:lineRule="exact"/>
        <w:ind w:firstLine="422" w:firstLineChars="200"/>
        <w:rPr>
          <w:b/>
          <w:bCs/>
          <w:color w:val="auto"/>
          <w:szCs w:val="21"/>
        </w:rPr>
      </w:pPr>
      <w:r>
        <w:rPr>
          <w:rFonts w:hint="eastAsia"/>
          <w:b/>
          <w:bCs/>
          <w:color w:val="auto"/>
          <w:szCs w:val="21"/>
        </w:rPr>
        <w:t>项目概况：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3373"/>
        <w:gridCol w:w="1564"/>
        <w:gridCol w:w="1321"/>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342"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1"/>
                <w:szCs w:val="21"/>
              </w:rPr>
            </w:pPr>
            <w:r>
              <w:rPr>
                <w:rFonts w:ascii="宋体" w:hAnsi="宋体" w:cs="宋体"/>
                <w:b/>
                <w:bCs/>
                <w:color w:val="auto"/>
                <w:kern w:val="1"/>
                <w:szCs w:val="21"/>
              </w:rPr>
              <w:t>序号</w:t>
            </w:r>
          </w:p>
        </w:tc>
        <w:tc>
          <w:tcPr>
            <w:tcW w:w="3373"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1"/>
                <w:szCs w:val="21"/>
              </w:rPr>
            </w:pPr>
            <w:r>
              <w:rPr>
                <w:rFonts w:hint="eastAsia" w:ascii="宋体" w:hAnsi="宋体" w:cs="宋体"/>
                <w:b/>
                <w:bCs/>
                <w:color w:val="auto"/>
                <w:kern w:val="1"/>
                <w:szCs w:val="21"/>
              </w:rPr>
              <w:t>项目名称</w:t>
            </w:r>
          </w:p>
        </w:tc>
        <w:tc>
          <w:tcPr>
            <w:tcW w:w="1564"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auto"/>
                <w:kern w:val="1"/>
                <w:szCs w:val="21"/>
              </w:rPr>
            </w:pPr>
            <w:r>
              <w:rPr>
                <w:rFonts w:hint="eastAsia" w:ascii="宋体" w:hAnsi="宋体" w:cs="宋体"/>
                <w:b/>
                <w:bCs/>
                <w:color w:val="auto"/>
                <w:kern w:val="1"/>
                <w:szCs w:val="21"/>
              </w:rPr>
              <w:t>采购预算</w:t>
            </w:r>
          </w:p>
          <w:p>
            <w:pPr>
              <w:jc w:val="center"/>
              <w:rPr>
                <w:rFonts w:ascii="宋体" w:hAnsi="宋体" w:cs="宋体"/>
                <w:b/>
                <w:bCs/>
                <w:color w:val="auto"/>
                <w:kern w:val="1"/>
                <w:szCs w:val="21"/>
              </w:rPr>
            </w:pPr>
            <w:r>
              <w:rPr>
                <w:rFonts w:hint="eastAsia" w:ascii="宋体" w:hAnsi="宋体" w:cs="宋体"/>
                <w:b/>
                <w:bCs/>
                <w:color w:val="auto"/>
                <w:kern w:val="1"/>
                <w:szCs w:val="21"/>
              </w:rPr>
              <w:t>（元/公里）</w:t>
            </w:r>
          </w:p>
        </w:tc>
        <w:tc>
          <w:tcPr>
            <w:tcW w:w="1321"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1"/>
                <w:szCs w:val="21"/>
              </w:rPr>
            </w:pPr>
            <w:r>
              <w:rPr>
                <w:rFonts w:hint="eastAsia" w:ascii="宋体" w:hAnsi="宋体" w:cs="宋体"/>
                <w:b/>
                <w:bCs/>
                <w:color w:val="auto"/>
                <w:kern w:val="1"/>
                <w:szCs w:val="21"/>
              </w:rPr>
              <w:t>成交供应商数量（名）</w:t>
            </w:r>
          </w:p>
        </w:tc>
        <w:tc>
          <w:tcPr>
            <w:tcW w:w="917" w:type="dxa"/>
            <w:tcBorders>
              <w:top w:val="single" w:color="auto" w:sz="4" w:space="0"/>
              <w:left w:val="single" w:color="auto" w:sz="4" w:space="0"/>
              <w:right w:val="single" w:color="auto" w:sz="4" w:space="0"/>
            </w:tcBorders>
            <w:noWrap w:val="0"/>
            <w:vAlign w:val="center"/>
          </w:tcPr>
          <w:p>
            <w:pPr>
              <w:jc w:val="center"/>
              <w:rPr>
                <w:rFonts w:ascii="宋体" w:hAnsi="宋体" w:cs="宋体"/>
                <w:b/>
                <w:bCs/>
                <w:color w:val="auto"/>
                <w:kern w:val="1"/>
                <w:szCs w:val="21"/>
              </w:rPr>
            </w:pPr>
            <w:r>
              <w:rPr>
                <w:rFonts w:hint="eastAsia" w:ascii="宋体" w:hAnsi="宋体" w:cs="宋体"/>
                <w:b/>
                <w:bCs/>
                <w:color w:val="auto"/>
                <w:kern w:val="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42"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Cs/>
                <w:color w:val="auto"/>
                <w:kern w:val="1"/>
                <w:szCs w:val="21"/>
              </w:rPr>
            </w:pPr>
            <w:r>
              <w:rPr>
                <w:rFonts w:hint="eastAsia" w:ascii="宋体" w:hAnsi="宋体" w:cs="宋体"/>
                <w:bCs/>
                <w:color w:val="auto"/>
                <w:kern w:val="1"/>
                <w:szCs w:val="21"/>
              </w:rPr>
              <w:t>1</w:t>
            </w:r>
          </w:p>
        </w:tc>
        <w:tc>
          <w:tcPr>
            <w:tcW w:w="3373"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Cs/>
                <w:color w:val="auto"/>
                <w:kern w:val="1"/>
                <w:szCs w:val="21"/>
              </w:rPr>
            </w:pPr>
            <w:r>
              <w:rPr>
                <w:rFonts w:hint="eastAsia" w:ascii="宋体" w:hAnsi="宋体" w:cs="宋体"/>
                <w:bCs/>
                <w:color w:val="auto"/>
                <w:kern w:val="1"/>
                <w:szCs w:val="21"/>
              </w:rPr>
              <w:t>2023年度道路病害标识服务项目</w:t>
            </w:r>
          </w:p>
        </w:tc>
        <w:tc>
          <w:tcPr>
            <w:tcW w:w="1564" w:type="dxa"/>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bCs/>
                <w:color w:val="auto"/>
                <w:kern w:val="1"/>
                <w:szCs w:val="21"/>
                <w:lang w:val="en-US" w:eastAsia="zh-CN"/>
              </w:rPr>
            </w:pPr>
            <w:r>
              <w:rPr>
                <w:rFonts w:hint="eastAsia" w:ascii="宋体" w:hAnsi="宋体" w:cs="宋体"/>
                <w:bCs/>
                <w:color w:val="auto"/>
                <w:kern w:val="1"/>
                <w:szCs w:val="21"/>
                <w:lang w:val="en-US" w:eastAsia="zh-CN"/>
              </w:rPr>
              <w:t>63</w:t>
            </w:r>
          </w:p>
        </w:tc>
        <w:tc>
          <w:tcPr>
            <w:tcW w:w="1321" w:type="dxa"/>
            <w:tcBorders>
              <w:top w:val="single" w:color="auto" w:sz="4" w:space="0"/>
              <w:left w:val="single" w:color="auto" w:sz="4" w:space="0"/>
              <w:right w:val="single" w:color="auto" w:sz="4" w:space="0"/>
            </w:tcBorders>
            <w:noWrap w:val="0"/>
            <w:vAlign w:val="center"/>
          </w:tcPr>
          <w:p>
            <w:pPr>
              <w:widowControl/>
              <w:jc w:val="center"/>
              <w:rPr>
                <w:rFonts w:ascii="宋体" w:hAnsi="宋体" w:cs="宋体"/>
                <w:bCs/>
                <w:color w:val="auto"/>
                <w:kern w:val="1"/>
                <w:szCs w:val="21"/>
              </w:rPr>
            </w:pPr>
            <w:r>
              <w:rPr>
                <w:rFonts w:hint="eastAsia" w:ascii="宋体" w:hAnsi="宋体" w:cs="宋体"/>
                <w:bCs/>
                <w:color w:val="auto"/>
                <w:kern w:val="1"/>
                <w:szCs w:val="21"/>
              </w:rPr>
              <w:t>1</w:t>
            </w:r>
          </w:p>
        </w:tc>
        <w:tc>
          <w:tcPr>
            <w:tcW w:w="917" w:type="dxa"/>
            <w:tcBorders>
              <w:top w:val="single" w:color="auto" w:sz="4" w:space="0"/>
              <w:left w:val="single" w:color="auto" w:sz="4" w:space="0"/>
              <w:right w:val="single" w:color="auto" w:sz="4" w:space="0"/>
            </w:tcBorders>
            <w:noWrap w:val="0"/>
            <w:vAlign w:val="center"/>
          </w:tcPr>
          <w:p>
            <w:pPr>
              <w:jc w:val="center"/>
              <w:rPr>
                <w:rFonts w:ascii="宋体" w:hAnsi="宋体" w:cs="宋体"/>
                <w:bCs/>
                <w:color w:val="auto"/>
                <w:kern w:val="1"/>
                <w:szCs w:val="21"/>
              </w:rPr>
            </w:pPr>
          </w:p>
        </w:tc>
      </w:tr>
    </w:tbl>
    <w:p>
      <w:pPr>
        <w:widowControl/>
        <w:numPr>
          <w:ilvl w:val="0"/>
          <w:numId w:val="1"/>
        </w:numPr>
        <w:spacing w:line="560" w:lineRule="exact"/>
        <w:ind w:firstLine="422" w:firstLineChars="200"/>
        <w:rPr>
          <w:b/>
          <w:bCs/>
          <w:color w:val="auto"/>
          <w:szCs w:val="21"/>
        </w:rPr>
      </w:pPr>
      <w:r>
        <w:rPr>
          <w:rFonts w:hint="eastAsia"/>
          <w:b/>
          <w:bCs/>
          <w:color w:val="auto"/>
          <w:szCs w:val="21"/>
        </w:rPr>
        <w:t>竞争性比选范围：</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2.1工作内容：根据《公路技术状况评定标准》（JTG 5210—2018）要求，对采购人提供的原始检测数据进行人工病害标识工作，原始数据包括当前的主流检测车型（中公、武大等），采用专业识别软件加载数据后对病害进行识别，主要包括以下病害内容：裂缝、坑槽、沉陷、错台等路面常见病害，并按照规范标准要求进行评定计算，形成路面损坏状况指数表、路面行驶质量指数表和对应的病害明细。病害标识里程不低于10000公里，实际标识里程以采购人最终提供的数据为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2.2工作要求：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（1）根据《公路技术状况评定标准》(JTG 5210—2018) 要求,对重庆市普通公路路面技术状况的路况数据进行处理、识别，基于基础数据和采集数据，依托专业的数据软件，对采购人提供的公路图片数据进行技术状况数据进行识别处理，计算公路路面技术状况指数及相应分项指标：路面损坏状况指数PCI、路面行驶质量指数RQI及路面技术状况指数PQI。</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2）识别工作应采用计算机自动化识别结合人工识别复核的方法,工作开展过程中，采购人将随时对标识成果进行复核，总体准确率应保证在99%以上，若准确率低于采购人要求，则采购人有权终止项目合同并追究相关损失赔偿。</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（3）根据多种车型识别后的初步病害及路面平整度，按照统计规范进行数据转换清洗处理，形成计算评定的基础文件，如病害类型进行一致性转换，为不同模板格式数据进行兼容处理。</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（4）复核无误后，按区县、线路编码、里程桩号、技术等级、路面类型进行统计，形成识别数据每公里指标表及病害明细，并对公里指标进行桩号等信息的整理、核对。提供评价结果每公里的指标明细表。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5）根据2022年年报对线路进行处理，对形成的指标数据与年报进行一致性校正，结合外业人员的记录标记其中剔除及未检测路段，标定市政及城管路段，根据年报的技术等级及路面类型对指标进行分割，形成与年报里程相符的指标明细，成为分析的基准数据。</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（6）依据采购人要求提交路面平整度、路面破损率等指标，提供相应电子数据，同时可采用直观、便捷的方式展示。</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（7）要求将前方图像数据与路面数据相关联，能够正确反应检测路段的路域环境 。</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（8）服务供应商在收到数据后，应在3天之内处理完成。实际数据处理能力不低于300公里/天。</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（9）病害识别要求：</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1）沥青路面病害识别，根据《公路技术状况评定标准》(JTG 5210—2018) ，主要工作要求如下：</w:t>
      </w:r>
    </w:p>
    <w:p>
      <w:pPr>
        <w:jc w:val="center"/>
        <w:rPr>
          <w:rFonts w:hint="eastAsia" w:ascii="宋体" w:hAnsi="宋体" w:cs="宋体"/>
          <w:color w:val="auto"/>
          <w:szCs w:val="21"/>
        </w:rPr>
      </w:pPr>
      <w:r>
        <w:rPr>
          <w:rFonts w:hint="eastAsia" w:ascii="宋体" w:hAnsi="宋体" w:cs="宋体"/>
          <w:color w:val="auto"/>
          <w:szCs w:val="21"/>
        </w:rPr>
        <w:drawing>
          <wp:inline distT="0" distB="0" distL="114300" distR="114300">
            <wp:extent cx="4117975" cy="3934460"/>
            <wp:effectExtent l="0" t="0" r="15875"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117975" cy="3934460"/>
                    </a:xfrm>
                    <a:prstGeom prst="rect">
                      <a:avLst/>
                    </a:prstGeom>
                    <a:noFill/>
                    <a:ln>
                      <a:noFill/>
                    </a:ln>
                  </pic:spPr>
                </pic:pic>
              </a:graphicData>
            </a:graphic>
          </wp:inline>
        </w:drawing>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龟裂应按面积计算，损坏程度应按下列标准判断:</w:t>
      </w:r>
    </w:p>
    <w:p>
      <w:pPr>
        <w:numPr>
          <w:ilvl w:val="0"/>
          <w:numId w:val="2"/>
        </w:numPr>
        <w:spacing w:line="360" w:lineRule="auto"/>
        <w:rPr>
          <w:rFonts w:hint="eastAsia" w:ascii="宋体" w:hAnsi="宋体" w:cs="宋体"/>
          <w:color w:val="auto"/>
          <w:szCs w:val="21"/>
        </w:rPr>
      </w:pPr>
      <w:r>
        <w:rPr>
          <w:rFonts w:hint="eastAsia" w:ascii="宋体" w:hAnsi="宋体" w:cs="宋体"/>
          <w:color w:val="auto"/>
          <w:szCs w:val="21"/>
        </w:rPr>
        <w:t>轻度应为主要裂缝块度在0.2~0.5m 之间，平均裂缝宽度小于2mm。</w:t>
      </w:r>
    </w:p>
    <w:p>
      <w:pPr>
        <w:numPr>
          <w:ilvl w:val="0"/>
          <w:numId w:val="2"/>
        </w:numPr>
        <w:spacing w:line="360" w:lineRule="auto"/>
        <w:rPr>
          <w:rFonts w:hint="eastAsia" w:ascii="宋体" w:hAnsi="宋体" w:cs="宋体"/>
          <w:color w:val="auto"/>
          <w:szCs w:val="21"/>
        </w:rPr>
      </w:pPr>
      <w:r>
        <w:rPr>
          <w:rFonts w:hint="eastAsia" w:ascii="宋体" w:hAnsi="宋体" w:cs="宋体"/>
          <w:color w:val="auto"/>
          <w:szCs w:val="21"/>
        </w:rPr>
        <w:t>中度应为主要裂缝块度小于0.2m，平均裂缝宽度在2~5mm 之间。</w:t>
      </w:r>
    </w:p>
    <w:p>
      <w:pPr>
        <w:numPr>
          <w:ilvl w:val="0"/>
          <w:numId w:val="2"/>
        </w:numPr>
        <w:spacing w:line="360" w:lineRule="auto"/>
        <w:rPr>
          <w:rFonts w:hint="eastAsia" w:ascii="宋体" w:hAnsi="宋体" w:cs="宋体"/>
          <w:color w:val="auto"/>
          <w:szCs w:val="21"/>
        </w:rPr>
      </w:pPr>
      <w:r>
        <w:rPr>
          <w:rFonts w:hint="eastAsia" w:ascii="宋体" w:hAnsi="宋体" w:cs="宋体"/>
          <w:color w:val="auto"/>
          <w:szCs w:val="21"/>
        </w:rPr>
        <w:t>重度应为主要裂缝块度小于0.2m，平均裂缝宽度大于5mm。</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块状裂缝应按面积计算，损坏程度应按下列标准判断:</w:t>
      </w:r>
    </w:p>
    <w:p>
      <w:pPr>
        <w:numPr>
          <w:ilvl w:val="0"/>
          <w:numId w:val="3"/>
        </w:numPr>
        <w:spacing w:line="360" w:lineRule="auto"/>
        <w:rPr>
          <w:rFonts w:hint="eastAsia" w:ascii="宋体" w:hAnsi="宋体" w:cs="宋体"/>
          <w:color w:val="auto"/>
          <w:szCs w:val="21"/>
        </w:rPr>
      </w:pPr>
      <w:r>
        <w:rPr>
          <w:rFonts w:hint="eastAsia" w:ascii="宋体" w:hAnsi="宋体" w:cs="宋体"/>
          <w:color w:val="auto"/>
          <w:szCs w:val="21"/>
        </w:rPr>
        <w:t>轻度应为主要裂缝块度大于1.0m，平均裂缝宽度在1~2mm 之间。</w:t>
      </w:r>
    </w:p>
    <w:p>
      <w:pPr>
        <w:numPr>
          <w:ilvl w:val="0"/>
          <w:numId w:val="3"/>
        </w:numPr>
        <w:spacing w:line="360" w:lineRule="auto"/>
        <w:rPr>
          <w:rFonts w:hint="eastAsia" w:ascii="宋体" w:hAnsi="宋体" w:cs="宋体"/>
          <w:color w:val="auto"/>
          <w:szCs w:val="21"/>
        </w:rPr>
      </w:pPr>
      <w:r>
        <w:rPr>
          <w:rFonts w:hint="eastAsia" w:ascii="宋体" w:hAnsi="宋体" w:cs="宋体"/>
          <w:color w:val="auto"/>
          <w:szCs w:val="21"/>
        </w:rPr>
        <w:t>重度应为主要裂缝块度在0.5~10m之间，平均裂缝宽度大于2mm。</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纵向裂缝应是路面上与行车方向基本平行的裂缝，应按长度 (m) 计算。检测结果应用影响宽度 (0.2m) 换算成损坏面积。损坏程度应按下列标准判断:</w:t>
      </w:r>
    </w:p>
    <w:p>
      <w:pPr>
        <w:numPr>
          <w:ilvl w:val="0"/>
          <w:numId w:val="4"/>
        </w:numPr>
        <w:spacing w:line="360" w:lineRule="auto"/>
        <w:rPr>
          <w:rFonts w:hint="eastAsia" w:ascii="宋体" w:hAnsi="宋体" w:cs="宋体"/>
          <w:color w:val="auto"/>
          <w:szCs w:val="21"/>
        </w:rPr>
      </w:pPr>
      <w:r>
        <w:rPr>
          <w:rFonts w:hint="eastAsia" w:ascii="宋体" w:hAnsi="宋体" w:cs="宋体"/>
          <w:color w:val="auto"/>
          <w:szCs w:val="21"/>
        </w:rPr>
        <w:t>轻度应为主要裂缝宽度小于或等于3mm。</w:t>
      </w:r>
    </w:p>
    <w:p>
      <w:pPr>
        <w:numPr>
          <w:ilvl w:val="0"/>
          <w:numId w:val="4"/>
        </w:numPr>
        <w:spacing w:line="360" w:lineRule="auto"/>
        <w:rPr>
          <w:rFonts w:hint="eastAsia" w:ascii="宋体" w:hAnsi="宋体" w:cs="宋体"/>
          <w:color w:val="auto"/>
          <w:szCs w:val="21"/>
        </w:rPr>
      </w:pPr>
      <w:r>
        <w:rPr>
          <w:rFonts w:hint="eastAsia" w:ascii="宋体" w:hAnsi="宋体" w:cs="宋体"/>
          <w:color w:val="auto"/>
          <w:szCs w:val="21"/>
        </w:rPr>
        <w:t>重度应为主要裂缝宽度大于3mm。</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横向裂缝应是路面上与行车方向基本垂直的裂缝，应按长度 (m) 计算。检测结果应用影响宽度(0.2m) 换算成损坏面积。损坏程度应按下列标准判断:</w:t>
      </w:r>
    </w:p>
    <w:p>
      <w:pPr>
        <w:numPr>
          <w:ilvl w:val="0"/>
          <w:numId w:val="5"/>
        </w:numPr>
        <w:spacing w:line="360" w:lineRule="auto"/>
        <w:rPr>
          <w:rFonts w:hint="eastAsia" w:ascii="宋体" w:hAnsi="宋体" w:cs="宋体"/>
          <w:color w:val="auto"/>
          <w:szCs w:val="21"/>
        </w:rPr>
      </w:pPr>
      <w:r>
        <w:rPr>
          <w:rFonts w:hint="eastAsia" w:ascii="宋体" w:hAnsi="宋体" w:cs="宋体"/>
          <w:color w:val="auto"/>
          <w:szCs w:val="21"/>
        </w:rPr>
        <w:t>轻度应为主要裂缝宽度小于或等于3mm。</w:t>
      </w:r>
    </w:p>
    <w:p>
      <w:pPr>
        <w:numPr>
          <w:ilvl w:val="0"/>
          <w:numId w:val="5"/>
        </w:numPr>
        <w:spacing w:line="360" w:lineRule="auto"/>
        <w:rPr>
          <w:rFonts w:hint="eastAsia" w:ascii="宋体" w:hAnsi="宋体" w:cs="宋体"/>
          <w:color w:val="auto"/>
          <w:szCs w:val="21"/>
        </w:rPr>
      </w:pPr>
      <w:r>
        <w:rPr>
          <w:rFonts w:hint="eastAsia" w:ascii="宋体" w:hAnsi="宋体" w:cs="宋体"/>
          <w:color w:val="auto"/>
          <w:szCs w:val="21"/>
        </w:rPr>
        <w:t>重度应为主要裂缝宽度大于3mm。</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沉陷应为路面的局部下沉，应按面积计算。损坏程度应按下列标准判断，轻度应为沉陷深度在10~25mm 之间，行车无明显颠簸感重度应为沉陷深度大于25mm，行车有明显颠簸感。</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车辙应按长度 (m) 计算，测结果应用影响宽度 (0.4m) 换算成损坏面积。损坏程度应按下列标准判断:</w:t>
      </w:r>
    </w:p>
    <w:p>
      <w:pPr>
        <w:numPr>
          <w:ilvl w:val="0"/>
          <w:numId w:val="6"/>
        </w:numPr>
        <w:spacing w:line="360" w:lineRule="auto"/>
        <w:rPr>
          <w:rFonts w:hint="eastAsia" w:ascii="宋体" w:hAnsi="宋体" w:cs="宋体"/>
          <w:color w:val="auto"/>
          <w:szCs w:val="21"/>
        </w:rPr>
      </w:pPr>
      <w:r>
        <w:rPr>
          <w:rFonts w:hint="eastAsia" w:ascii="宋体" w:hAnsi="宋体" w:cs="宋体"/>
          <w:color w:val="auto"/>
          <w:szCs w:val="21"/>
        </w:rPr>
        <w:t>轻度应为车辙深度在10~15mm 之间</w:t>
      </w:r>
    </w:p>
    <w:p>
      <w:pPr>
        <w:numPr>
          <w:ilvl w:val="0"/>
          <w:numId w:val="6"/>
        </w:numPr>
        <w:spacing w:line="360" w:lineRule="auto"/>
        <w:rPr>
          <w:rFonts w:hint="eastAsia" w:ascii="宋体" w:hAnsi="宋体" w:cs="宋体"/>
          <w:color w:val="auto"/>
          <w:szCs w:val="21"/>
        </w:rPr>
      </w:pPr>
      <w:r>
        <w:rPr>
          <w:rFonts w:hint="eastAsia" w:ascii="宋体" w:hAnsi="宋体" w:cs="宋体"/>
          <w:color w:val="auto"/>
          <w:szCs w:val="21"/>
        </w:rPr>
        <w:t>重度应为车辙深度大于15mm。</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波浪拥包应按面积计算，损坏程度应按下列标准判断:</w:t>
      </w:r>
    </w:p>
    <w:p>
      <w:pPr>
        <w:numPr>
          <w:ilvl w:val="0"/>
          <w:numId w:val="7"/>
        </w:numPr>
        <w:spacing w:line="360" w:lineRule="auto"/>
        <w:rPr>
          <w:rFonts w:hint="eastAsia" w:ascii="宋体" w:hAnsi="宋体" w:cs="宋体"/>
          <w:color w:val="auto"/>
          <w:szCs w:val="21"/>
        </w:rPr>
      </w:pPr>
      <w:r>
        <w:rPr>
          <w:rFonts w:hint="eastAsia" w:ascii="宋体" w:hAnsi="宋体" w:cs="宋体"/>
          <w:color w:val="auto"/>
          <w:szCs w:val="21"/>
        </w:rPr>
        <w:t>轻度应为波峰波谷高差在10~25mm之间。</w:t>
      </w:r>
    </w:p>
    <w:p>
      <w:pPr>
        <w:numPr>
          <w:ilvl w:val="0"/>
          <w:numId w:val="7"/>
        </w:numPr>
        <w:spacing w:line="360" w:lineRule="auto"/>
        <w:rPr>
          <w:rFonts w:hint="eastAsia" w:ascii="宋体" w:hAnsi="宋体" w:cs="宋体"/>
          <w:color w:val="auto"/>
          <w:szCs w:val="21"/>
        </w:rPr>
      </w:pPr>
      <w:r>
        <w:rPr>
          <w:rFonts w:hint="eastAsia" w:ascii="宋体" w:hAnsi="宋体" w:cs="宋体"/>
          <w:color w:val="auto"/>
          <w:szCs w:val="21"/>
        </w:rPr>
        <w:t>重度应为波峰波谷高差大于25mm。</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坑槽应按面积计算，损坏程度应按下列标准判断</w:t>
      </w:r>
    </w:p>
    <w:p>
      <w:pPr>
        <w:numPr>
          <w:ilvl w:val="0"/>
          <w:numId w:val="8"/>
        </w:numPr>
        <w:spacing w:line="360" w:lineRule="auto"/>
        <w:rPr>
          <w:rFonts w:hint="eastAsia" w:ascii="宋体" w:hAnsi="宋体" w:cs="宋体"/>
          <w:color w:val="auto"/>
          <w:szCs w:val="21"/>
        </w:rPr>
      </w:pPr>
      <w:r>
        <w:rPr>
          <w:rFonts w:hint="eastAsia" w:ascii="宋体" w:hAnsi="宋体" w:cs="宋体"/>
          <w:color w:val="auto"/>
          <w:szCs w:val="21"/>
        </w:rPr>
        <w:t>轻度应为坑槽深度小于25mm，或面积小于0.1m?</w:t>
      </w:r>
    </w:p>
    <w:p>
      <w:pPr>
        <w:numPr>
          <w:ilvl w:val="0"/>
          <w:numId w:val="8"/>
        </w:numPr>
        <w:spacing w:line="360" w:lineRule="auto"/>
        <w:rPr>
          <w:rFonts w:hint="eastAsia" w:ascii="宋体" w:hAnsi="宋体" w:cs="宋体"/>
          <w:color w:val="auto"/>
          <w:szCs w:val="21"/>
        </w:rPr>
      </w:pPr>
      <w:r>
        <w:rPr>
          <w:rFonts w:hint="eastAsia" w:ascii="宋体" w:hAnsi="宋体" w:cs="宋体"/>
          <w:color w:val="auto"/>
          <w:szCs w:val="21"/>
        </w:rPr>
        <w:t>重度应为坑槽深度大于或等于25mm，或面积大于或等于0.1m</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松散应按面积计算，损坏程度应按下列标准判断:</w:t>
      </w:r>
    </w:p>
    <w:p>
      <w:pPr>
        <w:numPr>
          <w:ilvl w:val="0"/>
          <w:numId w:val="9"/>
        </w:numPr>
        <w:spacing w:line="360" w:lineRule="auto"/>
        <w:rPr>
          <w:rFonts w:hint="eastAsia" w:ascii="宋体" w:hAnsi="宋体" w:cs="宋体"/>
          <w:color w:val="auto"/>
          <w:szCs w:val="21"/>
        </w:rPr>
      </w:pPr>
      <w:r>
        <w:rPr>
          <w:rFonts w:hint="eastAsia" w:ascii="宋体" w:hAnsi="宋体" w:cs="宋体"/>
          <w:color w:val="auto"/>
          <w:szCs w:val="21"/>
        </w:rPr>
        <w:t>轻度应为路面表面细集料散失、脱皮、麻面等。</w:t>
      </w:r>
    </w:p>
    <w:p>
      <w:pPr>
        <w:numPr>
          <w:ilvl w:val="0"/>
          <w:numId w:val="9"/>
        </w:numPr>
        <w:spacing w:line="360" w:lineRule="auto"/>
        <w:rPr>
          <w:rFonts w:hint="eastAsia" w:ascii="宋体" w:hAnsi="宋体" w:cs="宋体"/>
          <w:color w:val="auto"/>
          <w:szCs w:val="21"/>
        </w:rPr>
      </w:pPr>
      <w:r>
        <w:rPr>
          <w:rFonts w:hint="eastAsia" w:ascii="宋体" w:hAnsi="宋体" w:cs="宋体"/>
          <w:color w:val="auto"/>
          <w:szCs w:val="21"/>
        </w:rPr>
        <w:t>重度应为路面表面粗集料散失、脱皮、麻面、露骨、表面剥落</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泛油应为沥青路面表面出现的薄油层，损坏应按面积计算。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修补应为裂缝、坑槽、松散、沉陷、车辙等损坏的修复。块状修补应按面积计算，条状修补应按长度 (m) 乘以 0.2m 影响宽度计算。长度大于 5m 的整车道修复不计为路面修补损坏。修补范围内再次发生的损坏，应按新的损坏类型计算。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1）水泥混凝土路面病害识别要求，根据《公路技术状况评定标准》(JTG 5210—2018) ，主要工作要求如下：</w:t>
      </w:r>
    </w:p>
    <w:p>
      <w:pPr>
        <w:jc w:val="center"/>
        <w:rPr>
          <w:rFonts w:hint="eastAsia" w:ascii="宋体" w:hAnsi="宋体" w:cs="宋体"/>
          <w:color w:val="auto"/>
          <w:szCs w:val="21"/>
        </w:rPr>
      </w:pPr>
      <w:r>
        <w:rPr>
          <w:rFonts w:hint="eastAsia" w:ascii="宋体" w:hAnsi="宋体" w:cs="宋体"/>
          <w:color w:val="auto"/>
          <w:szCs w:val="21"/>
        </w:rPr>
        <w:drawing>
          <wp:inline distT="0" distB="0" distL="114300" distR="114300">
            <wp:extent cx="4064000" cy="3872230"/>
            <wp:effectExtent l="0" t="0" r="12700" b="1397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4064000" cy="3872230"/>
                    </a:xfrm>
                    <a:prstGeom prst="rect">
                      <a:avLst/>
                    </a:prstGeom>
                    <a:noFill/>
                    <a:ln>
                      <a:noFill/>
                    </a:ln>
                  </pic:spPr>
                </pic:pic>
              </a:graphicData>
            </a:graphic>
          </wp:inline>
        </w:drawing>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破碎板应按板块面积计算，损坏程度应按下列标准判断:</w:t>
      </w:r>
    </w:p>
    <w:p>
      <w:pPr>
        <w:numPr>
          <w:ilvl w:val="0"/>
          <w:numId w:val="10"/>
        </w:numPr>
        <w:spacing w:line="360" w:lineRule="auto"/>
        <w:rPr>
          <w:rFonts w:hint="eastAsia" w:ascii="宋体" w:hAnsi="宋体" w:cs="宋体"/>
          <w:color w:val="auto"/>
          <w:szCs w:val="21"/>
        </w:rPr>
      </w:pPr>
      <w:r>
        <w:rPr>
          <w:rFonts w:hint="eastAsia" w:ascii="宋体" w:hAnsi="宋体" w:cs="宋体"/>
          <w:color w:val="auto"/>
          <w:szCs w:val="21"/>
        </w:rPr>
        <w:t>轻度应为板块被裂缝分为3 块及以上，破碎板未发生松动和沉陷。</w:t>
      </w:r>
    </w:p>
    <w:p>
      <w:pPr>
        <w:numPr>
          <w:ilvl w:val="0"/>
          <w:numId w:val="10"/>
        </w:numPr>
        <w:spacing w:line="360" w:lineRule="auto"/>
        <w:rPr>
          <w:rFonts w:hint="eastAsia" w:ascii="宋体" w:hAnsi="宋体" w:cs="宋体"/>
          <w:color w:val="auto"/>
          <w:szCs w:val="21"/>
        </w:rPr>
      </w:pPr>
      <w:r>
        <w:rPr>
          <w:rFonts w:hint="eastAsia" w:ascii="宋体" w:hAnsi="宋体" w:cs="宋体"/>
          <w:color w:val="auto"/>
          <w:szCs w:val="21"/>
        </w:rPr>
        <w:t>重度应为板块被裂缝分为 3 块及以上，破碎板有松动、沉陷和唧泥等现象。</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裂缝应为板块上只有一条裂缝的情况，应按长度 (m) 计算。检测结果应用影响宽度 (1.0m)换算成损坏面积。损坏程度应按下列标准判断:</w:t>
      </w:r>
    </w:p>
    <w:p>
      <w:pPr>
        <w:numPr>
          <w:ilvl w:val="0"/>
          <w:numId w:val="11"/>
        </w:numPr>
        <w:spacing w:line="360" w:lineRule="auto"/>
        <w:rPr>
          <w:rFonts w:hint="eastAsia" w:ascii="宋体" w:hAnsi="宋体" w:cs="宋体"/>
          <w:color w:val="auto"/>
          <w:szCs w:val="21"/>
        </w:rPr>
      </w:pPr>
      <w:r>
        <w:rPr>
          <w:rFonts w:hint="eastAsia" w:ascii="宋体" w:hAnsi="宋体" w:cs="宋体"/>
          <w:color w:val="auto"/>
          <w:szCs w:val="21"/>
        </w:rPr>
        <w:t>轻度应为主要裂缝宽度小于3mm，一般为未贯通裂缝。</w:t>
      </w:r>
    </w:p>
    <w:p>
      <w:pPr>
        <w:numPr>
          <w:ilvl w:val="0"/>
          <w:numId w:val="11"/>
        </w:numPr>
        <w:spacing w:line="360" w:lineRule="auto"/>
        <w:rPr>
          <w:rFonts w:hint="eastAsia" w:ascii="宋体" w:hAnsi="宋体" w:cs="宋体"/>
          <w:color w:val="auto"/>
          <w:szCs w:val="21"/>
        </w:rPr>
      </w:pPr>
      <w:r>
        <w:rPr>
          <w:rFonts w:hint="eastAsia" w:ascii="宋体" w:hAnsi="宋体" w:cs="宋体"/>
          <w:color w:val="auto"/>
          <w:szCs w:val="21"/>
        </w:rPr>
        <w:t>中度应为主要裂缝宽度在3~10mm之间。</w:t>
      </w:r>
    </w:p>
    <w:p>
      <w:pPr>
        <w:numPr>
          <w:ilvl w:val="0"/>
          <w:numId w:val="11"/>
        </w:numPr>
        <w:spacing w:line="360" w:lineRule="auto"/>
        <w:rPr>
          <w:rFonts w:hint="eastAsia" w:ascii="宋体" w:hAnsi="宋体" w:cs="宋体"/>
          <w:color w:val="auto"/>
          <w:szCs w:val="21"/>
        </w:rPr>
      </w:pPr>
      <w:r>
        <w:rPr>
          <w:rFonts w:hint="eastAsia" w:ascii="宋体" w:hAnsi="宋体" w:cs="宋体"/>
          <w:color w:val="auto"/>
          <w:szCs w:val="21"/>
        </w:rPr>
        <w:t>重度应为主要裂缝宽度大于10mm。</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板角断裂应为裂缝与纵横接缝相交，且交点距板角小于或等于板边长度一半的损坏，应按断裂板角的面积计算。损坏程度应按下列标准判断:</w:t>
      </w:r>
    </w:p>
    <w:p>
      <w:pPr>
        <w:numPr>
          <w:ilvl w:val="0"/>
          <w:numId w:val="12"/>
        </w:numPr>
        <w:spacing w:line="360" w:lineRule="auto"/>
        <w:rPr>
          <w:rFonts w:hint="eastAsia" w:ascii="宋体" w:hAnsi="宋体" w:cs="宋体"/>
          <w:color w:val="auto"/>
          <w:szCs w:val="21"/>
        </w:rPr>
      </w:pPr>
      <w:r>
        <w:rPr>
          <w:rFonts w:hint="eastAsia" w:ascii="宋体" w:hAnsi="宋体" w:cs="宋体"/>
          <w:color w:val="auto"/>
          <w:szCs w:val="21"/>
        </w:rPr>
        <w:t>轻度应为主要裂缝宽度小于3mm。</w:t>
      </w:r>
    </w:p>
    <w:p>
      <w:pPr>
        <w:numPr>
          <w:ilvl w:val="0"/>
          <w:numId w:val="12"/>
        </w:numPr>
        <w:spacing w:line="360" w:lineRule="auto"/>
        <w:rPr>
          <w:rFonts w:hint="eastAsia" w:ascii="宋体" w:hAnsi="宋体" w:cs="宋体"/>
          <w:color w:val="auto"/>
          <w:szCs w:val="21"/>
        </w:rPr>
      </w:pPr>
      <w:r>
        <w:rPr>
          <w:rFonts w:hint="eastAsia" w:ascii="宋体" w:hAnsi="宋体" w:cs="宋体"/>
          <w:color w:val="auto"/>
          <w:szCs w:val="21"/>
        </w:rPr>
        <w:t>中度应为主要裂缝宽度在3~10mm 之间。</w:t>
      </w:r>
    </w:p>
    <w:p>
      <w:pPr>
        <w:numPr>
          <w:ilvl w:val="0"/>
          <w:numId w:val="12"/>
        </w:numPr>
        <w:spacing w:line="360" w:lineRule="auto"/>
        <w:rPr>
          <w:rFonts w:hint="eastAsia" w:ascii="宋体" w:hAnsi="宋体" w:cs="宋体"/>
          <w:color w:val="auto"/>
          <w:szCs w:val="21"/>
        </w:rPr>
      </w:pPr>
      <w:r>
        <w:rPr>
          <w:rFonts w:hint="eastAsia" w:ascii="宋体" w:hAnsi="宋体" w:cs="宋体"/>
          <w:color w:val="auto"/>
          <w:szCs w:val="21"/>
        </w:rPr>
        <w:t>重度应为主要裂缝宽度大于10mm。</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错台应为接缝两边出现的高差，应按长度 (m) 计算。检测结果应用影响宽度 (1.0m)换算成损坏面积。损坏程度应按下列标准判断:</w:t>
      </w:r>
    </w:p>
    <w:p>
      <w:pPr>
        <w:numPr>
          <w:ilvl w:val="0"/>
          <w:numId w:val="13"/>
        </w:numPr>
        <w:spacing w:line="360" w:lineRule="auto"/>
        <w:rPr>
          <w:rFonts w:hint="eastAsia" w:ascii="宋体" w:hAnsi="宋体" w:cs="宋体"/>
          <w:color w:val="auto"/>
          <w:szCs w:val="21"/>
        </w:rPr>
      </w:pPr>
      <w:r>
        <w:rPr>
          <w:rFonts w:hint="eastAsia" w:ascii="宋体" w:hAnsi="宋体" w:cs="宋体"/>
          <w:color w:val="auto"/>
          <w:szCs w:val="21"/>
        </w:rPr>
        <w:t>轻度应为接缝两侧高差在5~10mm 之间。</w:t>
      </w:r>
    </w:p>
    <w:p>
      <w:pPr>
        <w:numPr>
          <w:ilvl w:val="0"/>
          <w:numId w:val="13"/>
        </w:numPr>
        <w:spacing w:line="360" w:lineRule="auto"/>
        <w:rPr>
          <w:rFonts w:hint="eastAsia" w:ascii="宋体" w:hAnsi="宋体" w:cs="宋体"/>
          <w:color w:val="auto"/>
          <w:szCs w:val="21"/>
        </w:rPr>
      </w:pPr>
      <w:r>
        <w:rPr>
          <w:rFonts w:hint="eastAsia" w:ascii="宋体" w:hAnsi="宋体" w:cs="宋体"/>
          <w:color w:val="auto"/>
          <w:szCs w:val="21"/>
        </w:rPr>
        <w:t>重度应为接缝两侧高差大于10mm。</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拱起应为横缝两侧板体高度大于 10mm 的拾高，损坏应按拱起涉及板块的面积计算。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边角剥落应为沿接缝方向板边上出现的碎裂和脱落，裂缝面与板面成一定角度，应按长度 (m) 计算。检测结果应用影响宽度 (1.0m) 换算成损坏面积。损坏程度应按下列标准判断:</w:t>
      </w:r>
    </w:p>
    <w:p>
      <w:pPr>
        <w:numPr>
          <w:ilvl w:val="0"/>
          <w:numId w:val="14"/>
        </w:numPr>
        <w:spacing w:line="360" w:lineRule="auto"/>
        <w:rPr>
          <w:rFonts w:hint="eastAsia" w:ascii="宋体" w:hAnsi="宋体" w:cs="宋体"/>
          <w:color w:val="auto"/>
          <w:szCs w:val="21"/>
        </w:rPr>
      </w:pPr>
      <w:r>
        <w:rPr>
          <w:rFonts w:hint="eastAsia" w:ascii="宋体" w:hAnsi="宋体" w:cs="宋体"/>
          <w:color w:val="auto"/>
          <w:szCs w:val="21"/>
        </w:rPr>
        <w:t>轻度应为板边上的碎裂和脱落</w:t>
      </w:r>
    </w:p>
    <w:p>
      <w:pPr>
        <w:numPr>
          <w:ilvl w:val="0"/>
          <w:numId w:val="14"/>
        </w:numPr>
        <w:spacing w:line="360" w:lineRule="auto"/>
        <w:rPr>
          <w:rFonts w:hint="eastAsia" w:ascii="宋体" w:hAnsi="宋体" w:cs="宋体"/>
          <w:color w:val="auto"/>
          <w:szCs w:val="21"/>
        </w:rPr>
      </w:pPr>
      <w:r>
        <w:rPr>
          <w:rFonts w:hint="eastAsia" w:ascii="宋体" w:hAnsi="宋体" w:cs="宋体"/>
          <w:color w:val="auto"/>
          <w:szCs w:val="21"/>
        </w:rPr>
        <w:t>中度应为板边上的碎裂和脱落，接缝附近水泥混凝土有开裂</w:t>
      </w:r>
    </w:p>
    <w:p>
      <w:pPr>
        <w:numPr>
          <w:ilvl w:val="0"/>
          <w:numId w:val="14"/>
        </w:numPr>
        <w:spacing w:line="360" w:lineRule="auto"/>
        <w:rPr>
          <w:rFonts w:hint="eastAsia" w:ascii="宋体" w:hAnsi="宋体" w:cs="宋体"/>
          <w:color w:val="auto"/>
          <w:szCs w:val="21"/>
        </w:rPr>
      </w:pPr>
      <w:r>
        <w:rPr>
          <w:rFonts w:hint="eastAsia" w:ascii="宋体" w:hAnsi="宋体" w:cs="宋体"/>
          <w:color w:val="auto"/>
          <w:szCs w:val="21"/>
        </w:rPr>
        <w:t>重度应为板边上的碎裂和脱落，接缝附近水泥混凝土多处开裂，开裂深度超过接缝槽底部。</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接缝料损坏应按长度 (m) 计算，检测结果应用影响宽度 (1.0m) 换算成损坏面积。损坏程度应按下列标准判断:</w:t>
      </w:r>
    </w:p>
    <w:p>
      <w:pPr>
        <w:numPr>
          <w:ilvl w:val="0"/>
          <w:numId w:val="15"/>
        </w:numPr>
        <w:spacing w:line="360" w:lineRule="auto"/>
        <w:rPr>
          <w:rFonts w:hint="eastAsia" w:ascii="宋体" w:hAnsi="宋体" w:cs="宋体"/>
          <w:color w:val="auto"/>
          <w:szCs w:val="21"/>
        </w:rPr>
      </w:pPr>
      <w:r>
        <w:rPr>
          <w:rFonts w:hint="eastAsia" w:ascii="宋体" w:hAnsi="宋体" w:cs="宋体"/>
          <w:color w:val="auto"/>
          <w:szCs w:val="21"/>
        </w:rPr>
        <w:t>轻度应为填料老化、不密水，尚未剥落脱空，未被砂、石、土等填塞.</w:t>
      </w:r>
    </w:p>
    <w:p>
      <w:pPr>
        <w:numPr>
          <w:ilvl w:val="0"/>
          <w:numId w:val="15"/>
        </w:numPr>
        <w:spacing w:line="360" w:lineRule="auto"/>
        <w:rPr>
          <w:rFonts w:hint="eastAsia" w:ascii="宋体" w:hAnsi="宋体" w:cs="宋体"/>
          <w:color w:val="auto"/>
          <w:szCs w:val="21"/>
        </w:rPr>
      </w:pPr>
      <w:r>
        <w:rPr>
          <w:rFonts w:hint="eastAsia" w:ascii="宋体" w:hAnsi="宋体" w:cs="宋体"/>
          <w:color w:val="auto"/>
          <w:szCs w:val="21"/>
        </w:rPr>
        <w:t>重度应为三分之一以上接缝出现空缝或被砂、石、土填塞。</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坑洞应为板面出现直径大于30mm、深度大于10mm 的坑槽，损坏应按坑洞或坑洞群的包络面积计算。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水泥应为板块接缝处有基层泥浆涌出，损坏应按长度 (m) 计算。检测结果应用影响宽度(1.0m)换算成损坏面积。</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露骨应为板块表面细集料散失、粗集料暴露或表层松疏剥落，损坏应按面积计算。</w:t>
      </w:r>
    </w:p>
    <w:p>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修补应为裂缝、板角断裂、边角剥落和坑洞等损坏的修复。块状修补应按面积计算，裂缝类的条状修补应按长度 (m) 乘以0.2m影响宽度计算。长度大于5m 的整车道修复不计为路面修补损坏。修补范围内再次发生的损坏，应按新的损坏类型计算。</w:t>
      </w:r>
    </w:p>
    <w:p>
      <w:pPr>
        <w:spacing w:line="440" w:lineRule="exact"/>
        <w:rPr>
          <w:color w:val="auto"/>
          <w:szCs w:val="21"/>
        </w:rPr>
      </w:pPr>
      <w:r>
        <w:rPr>
          <w:rFonts w:hint="eastAsia" w:ascii="宋体" w:hAnsi="宋体" w:cs="宋体"/>
          <w:color w:val="auto"/>
          <w:szCs w:val="21"/>
        </w:rPr>
        <w:t>2.3工作时间：合同签订后至2023年12月31日，实际数据处理能力不低于300公里/天，服务供应商在收到数据后，应在3天之内处理完成。</w:t>
      </w:r>
    </w:p>
    <w:p>
      <w:pPr>
        <w:spacing w:line="440" w:lineRule="exact"/>
        <w:ind w:left="420" w:leftChars="200"/>
        <w:rPr>
          <w:b/>
          <w:color w:val="auto"/>
          <w:szCs w:val="21"/>
        </w:rPr>
      </w:pPr>
      <w:r>
        <w:rPr>
          <w:b/>
          <w:color w:val="auto"/>
          <w:szCs w:val="21"/>
        </w:rPr>
        <w:t>3</w:t>
      </w:r>
      <w:r>
        <w:rPr>
          <w:rFonts w:hint="eastAsia"/>
          <w:b/>
          <w:color w:val="auto"/>
          <w:szCs w:val="21"/>
        </w:rPr>
        <w:t>、</w:t>
      </w:r>
      <w:r>
        <w:rPr>
          <w:b/>
          <w:color w:val="auto"/>
          <w:szCs w:val="21"/>
        </w:rPr>
        <w:t>本次</w:t>
      </w:r>
      <w:r>
        <w:rPr>
          <w:rFonts w:hint="eastAsia"/>
          <w:b/>
          <w:color w:val="auto"/>
          <w:szCs w:val="21"/>
        </w:rPr>
        <w:t>竞争性比选</w:t>
      </w:r>
      <w:r>
        <w:rPr>
          <w:b/>
          <w:color w:val="auto"/>
          <w:szCs w:val="21"/>
        </w:rPr>
        <w:t>不接受联合体竞标。</w:t>
      </w:r>
    </w:p>
    <w:p>
      <w:pPr>
        <w:spacing w:line="440" w:lineRule="exact"/>
        <w:ind w:firstLine="422" w:firstLineChars="200"/>
        <w:rPr>
          <w:b/>
          <w:color w:val="auto"/>
          <w:szCs w:val="21"/>
        </w:rPr>
      </w:pPr>
      <w:r>
        <w:rPr>
          <w:b/>
          <w:color w:val="auto"/>
          <w:szCs w:val="21"/>
        </w:rPr>
        <w:t>4</w:t>
      </w:r>
      <w:r>
        <w:rPr>
          <w:rFonts w:hint="eastAsia"/>
          <w:b/>
          <w:color w:val="auto"/>
          <w:szCs w:val="21"/>
        </w:rPr>
        <w:t>、本项目限价为：</w:t>
      </w:r>
      <w:r>
        <w:rPr>
          <w:b/>
          <w:color w:val="auto"/>
          <w:szCs w:val="21"/>
        </w:rPr>
        <w:t>6</w:t>
      </w:r>
      <w:r>
        <w:rPr>
          <w:rFonts w:hint="eastAsia"/>
          <w:b/>
          <w:color w:val="auto"/>
          <w:szCs w:val="21"/>
          <w:lang w:val="en-US" w:eastAsia="zh-CN"/>
        </w:rPr>
        <w:t>3</w:t>
      </w:r>
      <w:r>
        <w:rPr>
          <w:rFonts w:hint="eastAsia"/>
          <w:b/>
          <w:color w:val="auto"/>
          <w:szCs w:val="21"/>
        </w:rPr>
        <w:t>元/</w:t>
      </w:r>
      <w:r>
        <w:rPr>
          <w:b/>
          <w:color w:val="auto"/>
          <w:szCs w:val="21"/>
        </w:rPr>
        <w:t>公里</w:t>
      </w:r>
      <w:r>
        <w:rPr>
          <w:rFonts w:hint="eastAsia"/>
          <w:b/>
          <w:color w:val="auto"/>
          <w:szCs w:val="21"/>
        </w:rPr>
        <w:t>，以实际病害识别公里数结算，比选人不得超过招标人发布的最高限价，否则按否决投标处理。</w:t>
      </w:r>
    </w:p>
    <w:p>
      <w:pPr>
        <w:spacing w:line="440" w:lineRule="exact"/>
        <w:rPr>
          <w:b/>
          <w:color w:val="auto"/>
          <w:szCs w:val="21"/>
        </w:rPr>
      </w:pPr>
      <w:r>
        <w:rPr>
          <w:b/>
          <w:color w:val="auto"/>
          <w:szCs w:val="21"/>
        </w:rPr>
        <w:t>二、</w:t>
      </w:r>
      <w:r>
        <w:rPr>
          <w:rFonts w:hint="eastAsia"/>
          <w:b/>
          <w:color w:val="auto"/>
          <w:szCs w:val="21"/>
        </w:rPr>
        <w:t>比选申请人</w:t>
      </w:r>
      <w:r>
        <w:rPr>
          <w:b/>
          <w:color w:val="auto"/>
          <w:szCs w:val="21"/>
        </w:rPr>
        <w:t>资</w:t>
      </w:r>
      <w:r>
        <w:rPr>
          <w:rFonts w:hint="eastAsia"/>
          <w:b/>
          <w:color w:val="auto"/>
          <w:szCs w:val="21"/>
        </w:rPr>
        <w:t>格</w:t>
      </w:r>
      <w:r>
        <w:rPr>
          <w:b/>
          <w:color w:val="auto"/>
          <w:szCs w:val="21"/>
        </w:rPr>
        <w:t>要求</w:t>
      </w:r>
      <w:r>
        <w:rPr>
          <w:rFonts w:hint="eastAsia"/>
          <w:b/>
          <w:color w:val="auto"/>
          <w:szCs w:val="21"/>
        </w:rPr>
        <w:t>：</w:t>
      </w:r>
    </w:p>
    <w:p>
      <w:pPr>
        <w:spacing w:line="440" w:lineRule="exact"/>
        <w:ind w:left="420" w:leftChars="200"/>
        <w:rPr>
          <w:color w:val="auto"/>
          <w:szCs w:val="21"/>
        </w:rPr>
      </w:pPr>
      <w:bookmarkStart w:id="8" w:name="_Toc246996912"/>
      <w:bookmarkStart w:id="9" w:name="_Toc152042298"/>
      <w:bookmarkStart w:id="10" w:name="_Toc144974490"/>
      <w:bookmarkStart w:id="11" w:name="_Toc296602413"/>
      <w:bookmarkStart w:id="12" w:name="_Toc152045522"/>
      <w:bookmarkStart w:id="13" w:name="_Toc179632539"/>
      <w:bookmarkStart w:id="14" w:name="_Toc246996169"/>
      <w:bookmarkStart w:id="15" w:name="_Toc247085683"/>
      <w:r>
        <w:rPr>
          <w:rFonts w:hint="eastAsia"/>
          <w:color w:val="auto"/>
          <w:szCs w:val="21"/>
        </w:rPr>
        <w:t>1、具有独立承担民事责任的能力；</w:t>
      </w:r>
      <w:bookmarkStart w:id="20" w:name="_GoBack"/>
      <w:bookmarkEnd w:id="20"/>
    </w:p>
    <w:p>
      <w:pPr>
        <w:spacing w:line="440" w:lineRule="exact"/>
        <w:ind w:left="420" w:leftChars="200"/>
        <w:rPr>
          <w:color w:val="auto"/>
          <w:szCs w:val="21"/>
        </w:rPr>
      </w:pPr>
      <w:r>
        <w:rPr>
          <w:rFonts w:hint="eastAsia"/>
          <w:color w:val="auto"/>
          <w:szCs w:val="21"/>
        </w:rPr>
        <w:t>2、具有良好的商业信誉和健全的财务会计制度；</w:t>
      </w:r>
    </w:p>
    <w:p>
      <w:pPr>
        <w:spacing w:line="440" w:lineRule="exact"/>
        <w:ind w:left="420" w:leftChars="200"/>
        <w:rPr>
          <w:color w:val="auto"/>
          <w:szCs w:val="21"/>
        </w:rPr>
      </w:pPr>
      <w:r>
        <w:rPr>
          <w:rFonts w:hint="eastAsia"/>
          <w:color w:val="auto"/>
          <w:szCs w:val="21"/>
        </w:rPr>
        <w:t>3、具有履行合同所必需的设备和专业技术能力；</w:t>
      </w:r>
    </w:p>
    <w:p>
      <w:pPr>
        <w:spacing w:line="440" w:lineRule="exact"/>
        <w:ind w:left="420" w:leftChars="200"/>
        <w:rPr>
          <w:color w:val="auto"/>
          <w:szCs w:val="21"/>
        </w:rPr>
      </w:pPr>
      <w:r>
        <w:rPr>
          <w:rFonts w:hint="eastAsia"/>
          <w:color w:val="auto"/>
          <w:szCs w:val="21"/>
        </w:rPr>
        <w:t>4、有依法缴纳税收和社会保障资金的良好记录；</w:t>
      </w:r>
    </w:p>
    <w:p>
      <w:pPr>
        <w:spacing w:line="440" w:lineRule="exact"/>
        <w:ind w:left="420" w:leftChars="200"/>
        <w:rPr>
          <w:color w:val="auto"/>
          <w:szCs w:val="21"/>
        </w:rPr>
      </w:pPr>
      <w:r>
        <w:rPr>
          <w:rFonts w:hint="eastAsia"/>
          <w:color w:val="auto"/>
          <w:szCs w:val="21"/>
        </w:rPr>
        <w:t>5、参加政府采购活动前三年内，在经营活动中没有重大违法记录；</w:t>
      </w:r>
    </w:p>
    <w:p>
      <w:pPr>
        <w:spacing w:line="440" w:lineRule="exact"/>
        <w:ind w:left="420" w:leftChars="200"/>
        <w:rPr>
          <w:color w:val="auto"/>
          <w:szCs w:val="21"/>
        </w:rPr>
      </w:pPr>
      <w:r>
        <w:rPr>
          <w:rFonts w:hint="eastAsia"/>
          <w:color w:val="auto"/>
          <w:szCs w:val="21"/>
        </w:rPr>
        <w:t>6、本次询价不接受联合体报价。</w:t>
      </w:r>
    </w:p>
    <w:p>
      <w:pPr>
        <w:spacing w:line="440" w:lineRule="exact"/>
        <w:ind w:left="420" w:leftChars="200"/>
        <w:rPr>
          <w:color w:val="auto"/>
          <w:szCs w:val="21"/>
        </w:rPr>
      </w:pPr>
      <w:r>
        <w:rPr>
          <w:rFonts w:hint="eastAsia"/>
          <w:color w:val="auto"/>
          <w:szCs w:val="21"/>
        </w:rPr>
        <w:t>上述2-5项报价人可提供诚信声明（（见格式文件）。</w:t>
      </w:r>
    </w:p>
    <w:p>
      <w:pPr>
        <w:spacing w:line="440" w:lineRule="exact"/>
        <w:rPr>
          <w:b/>
          <w:color w:val="auto"/>
          <w:szCs w:val="21"/>
        </w:rPr>
      </w:pPr>
      <w:r>
        <w:rPr>
          <w:b/>
          <w:color w:val="auto"/>
          <w:szCs w:val="21"/>
        </w:rPr>
        <w:t>三、</w:t>
      </w:r>
      <w:r>
        <w:rPr>
          <w:rFonts w:hint="eastAsia"/>
          <w:b/>
          <w:color w:val="auto"/>
          <w:szCs w:val="21"/>
        </w:rPr>
        <w:t>竞争性比选申请</w:t>
      </w:r>
      <w:r>
        <w:rPr>
          <w:b/>
          <w:color w:val="auto"/>
          <w:szCs w:val="21"/>
        </w:rPr>
        <w:t>文件的相关要求：</w:t>
      </w:r>
    </w:p>
    <w:bookmarkEnd w:id="8"/>
    <w:bookmarkEnd w:id="9"/>
    <w:bookmarkEnd w:id="10"/>
    <w:bookmarkEnd w:id="11"/>
    <w:bookmarkEnd w:id="12"/>
    <w:bookmarkEnd w:id="13"/>
    <w:bookmarkEnd w:id="14"/>
    <w:bookmarkEnd w:id="15"/>
    <w:p>
      <w:pPr>
        <w:spacing w:line="440" w:lineRule="exact"/>
        <w:ind w:firstLine="422" w:firstLineChars="200"/>
        <w:rPr>
          <w:b/>
          <w:bCs/>
          <w:color w:val="auto"/>
          <w:szCs w:val="21"/>
        </w:rPr>
      </w:pPr>
      <w:r>
        <w:rPr>
          <w:rFonts w:hint="eastAsia"/>
          <w:b/>
          <w:bCs/>
          <w:color w:val="auto"/>
          <w:szCs w:val="21"/>
        </w:rPr>
        <w:t>1、</w:t>
      </w:r>
      <w:r>
        <w:rPr>
          <w:b/>
          <w:bCs/>
          <w:color w:val="auto"/>
          <w:szCs w:val="21"/>
        </w:rPr>
        <w:t>本次</w:t>
      </w:r>
      <w:r>
        <w:rPr>
          <w:rFonts w:hint="eastAsia"/>
          <w:b/>
          <w:bCs/>
          <w:color w:val="auto"/>
          <w:szCs w:val="21"/>
        </w:rPr>
        <w:t>比选申请</w:t>
      </w:r>
      <w:r>
        <w:rPr>
          <w:b/>
          <w:bCs/>
          <w:color w:val="auto"/>
          <w:szCs w:val="21"/>
        </w:rPr>
        <w:t>文件的组成：</w:t>
      </w:r>
    </w:p>
    <w:p>
      <w:pPr>
        <w:spacing w:line="440" w:lineRule="exact"/>
        <w:ind w:firstLine="420" w:firstLineChars="200"/>
        <w:rPr>
          <w:color w:val="auto"/>
          <w:szCs w:val="21"/>
        </w:rPr>
      </w:pPr>
      <w:r>
        <w:rPr>
          <w:rFonts w:hint="eastAsia"/>
          <w:color w:val="auto"/>
          <w:szCs w:val="21"/>
        </w:rPr>
        <w:t>一、报价文件</w:t>
      </w:r>
    </w:p>
    <w:p>
      <w:pPr>
        <w:spacing w:line="440" w:lineRule="exact"/>
        <w:ind w:firstLine="420" w:firstLineChars="200"/>
        <w:rPr>
          <w:color w:val="auto"/>
          <w:szCs w:val="21"/>
        </w:rPr>
      </w:pPr>
      <w:r>
        <w:rPr>
          <w:rFonts w:hint="eastAsia"/>
          <w:color w:val="auto"/>
          <w:szCs w:val="21"/>
        </w:rPr>
        <w:t>（一）报价函</w:t>
      </w:r>
    </w:p>
    <w:p>
      <w:pPr>
        <w:spacing w:line="440" w:lineRule="exact"/>
        <w:ind w:firstLine="420" w:firstLineChars="200"/>
        <w:rPr>
          <w:color w:val="auto"/>
          <w:szCs w:val="21"/>
        </w:rPr>
      </w:pPr>
      <w:r>
        <w:rPr>
          <w:rFonts w:hint="eastAsia"/>
          <w:color w:val="auto"/>
          <w:szCs w:val="21"/>
        </w:rPr>
        <w:t>二、服务文件</w:t>
      </w:r>
    </w:p>
    <w:p>
      <w:pPr>
        <w:spacing w:line="440" w:lineRule="exact"/>
        <w:ind w:firstLine="420" w:firstLineChars="200"/>
        <w:rPr>
          <w:color w:val="auto"/>
          <w:szCs w:val="21"/>
        </w:rPr>
      </w:pPr>
      <w:r>
        <w:rPr>
          <w:rFonts w:hint="eastAsia"/>
          <w:color w:val="auto"/>
          <w:szCs w:val="21"/>
        </w:rPr>
        <w:t>（一）服务要求响应（格式自定）</w:t>
      </w:r>
    </w:p>
    <w:p>
      <w:pPr>
        <w:spacing w:line="440" w:lineRule="exact"/>
        <w:ind w:firstLine="420" w:firstLineChars="200"/>
        <w:rPr>
          <w:color w:val="auto"/>
          <w:szCs w:val="21"/>
        </w:rPr>
      </w:pPr>
      <w:r>
        <w:rPr>
          <w:rFonts w:hint="eastAsia"/>
          <w:color w:val="auto"/>
          <w:szCs w:val="21"/>
        </w:rPr>
        <w:t>（二）服务方案（格式自定）</w:t>
      </w:r>
    </w:p>
    <w:p>
      <w:pPr>
        <w:spacing w:line="440" w:lineRule="exact"/>
        <w:ind w:firstLine="420" w:firstLineChars="200"/>
        <w:rPr>
          <w:color w:val="auto"/>
          <w:szCs w:val="21"/>
        </w:rPr>
      </w:pPr>
      <w:r>
        <w:rPr>
          <w:rFonts w:hint="eastAsia"/>
          <w:color w:val="auto"/>
          <w:szCs w:val="21"/>
        </w:rPr>
        <w:t>（三）评分表中相应证明材料及要求的其他内容</w:t>
      </w:r>
    </w:p>
    <w:p>
      <w:pPr>
        <w:spacing w:line="440" w:lineRule="exact"/>
        <w:ind w:firstLine="420" w:firstLineChars="200"/>
        <w:rPr>
          <w:color w:val="auto"/>
          <w:szCs w:val="21"/>
        </w:rPr>
      </w:pPr>
      <w:r>
        <w:rPr>
          <w:rFonts w:hint="eastAsia"/>
          <w:color w:val="auto"/>
          <w:szCs w:val="21"/>
        </w:rPr>
        <w:t>三、资格文件</w:t>
      </w:r>
    </w:p>
    <w:p>
      <w:pPr>
        <w:spacing w:line="440" w:lineRule="exact"/>
        <w:ind w:firstLine="420" w:firstLineChars="200"/>
        <w:rPr>
          <w:color w:val="auto"/>
          <w:szCs w:val="21"/>
        </w:rPr>
      </w:pPr>
      <w:r>
        <w:rPr>
          <w:rFonts w:hint="eastAsia"/>
          <w:color w:val="auto"/>
          <w:szCs w:val="21"/>
        </w:rPr>
        <w:t xml:space="preserve">（一）法定代表人身份证明或授权委托书 </w:t>
      </w:r>
    </w:p>
    <w:p>
      <w:pPr>
        <w:spacing w:line="440" w:lineRule="exact"/>
        <w:ind w:firstLine="420" w:firstLineChars="200"/>
        <w:rPr>
          <w:color w:val="auto"/>
          <w:szCs w:val="21"/>
        </w:rPr>
      </w:pPr>
      <w:r>
        <w:rPr>
          <w:rFonts w:hint="eastAsia"/>
          <w:color w:val="auto"/>
          <w:szCs w:val="21"/>
        </w:rPr>
        <w:t>（二）有效的营业执照复印件</w:t>
      </w:r>
    </w:p>
    <w:p>
      <w:pPr>
        <w:spacing w:line="440" w:lineRule="exact"/>
        <w:ind w:firstLine="420" w:firstLineChars="200"/>
        <w:rPr>
          <w:color w:val="auto"/>
          <w:szCs w:val="21"/>
        </w:rPr>
      </w:pPr>
      <w:r>
        <w:rPr>
          <w:rFonts w:hint="eastAsia"/>
          <w:color w:val="auto"/>
          <w:szCs w:val="21"/>
        </w:rPr>
        <w:t>（三）诚信声明</w:t>
      </w:r>
    </w:p>
    <w:p>
      <w:pPr>
        <w:spacing w:line="440" w:lineRule="exact"/>
        <w:ind w:firstLine="420" w:firstLineChars="200"/>
        <w:rPr>
          <w:color w:val="auto"/>
          <w:szCs w:val="21"/>
        </w:rPr>
      </w:pPr>
      <w:r>
        <w:rPr>
          <w:rFonts w:hint="eastAsia"/>
          <w:color w:val="auto"/>
          <w:szCs w:val="21"/>
        </w:rPr>
        <w:t>四、其他材料</w:t>
      </w:r>
    </w:p>
    <w:p>
      <w:pPr>
        <w:spacing w:line="440" w:lineRule="exact"/>
        <w:ind w:firstLine="422" w:firstLineChars="200"/>
        <w:rPr>
          <w:b/>
          <w:bCs/>
          <w:color w:val="auto"/>
          <w:szCs w:val="21"/>
        </w:rPr>
      </w:pPr>
      <w:r>
        <w:rPr>
          <w:rFonts w:hint="eastAsia"/>
          <w:b/>
          <w:bCs/>
          <w:color w:val="auto"/>
          <w:szCs w:val="21"/>
        </w:rPr>
        <w:t>（注：以上所有文件均须比选申请单位加盖单位公章，并装订成册）</w:t>
      </w:r>
    </w:p>
    <w:p>
      <w:pPr>
        <w:spacing w:line="440" w:lineRule="exact"/>
        <w:ind w:firstLine="422" w:firstLineChars="200"/>
        <w:rPr>
          <w:b/>
          <w:bCs/>
          <w:color w:val="auto"/>
          <w:szCs w:val="21"/>
        </w:rPr>
      </w:pPr>
      <w:r>
        <w:rPr>
          <w:rFonts w:hint="eastAsia"/>
          <w:b/>
          <w:bCs/>
          <w:color w:val="auto"/>
          <w:szCs w:val="21"/>
        </w:rPr>
        <w:t>2、比选申请</w:t>
      </w:r>
      <w:r>
        <w:rPr>
          <w:b/>
          <w:bCs/>
          <w:color w:val="auto"/>
          <w:szCs w:val="21"/>
        </w:rPr>
        <w:t>文件的份数及编制要求</w:t>
      </w:r>
      <w:r>
        <w:rPr>
          <w:rFonts w:hint="eastAsia"/>
          <w:b/>
          <w:bCs/>
          <w:color w:val="auto"/>
          <w:szCs w:val="21"/>
        </w:rPr>
        <w:t>：</w:t>
      </w:r>
    </w:p>
    <w:p>
      <w:pPr>
        <w:spacing w:line="440" w:lineRule="exact"/>
        <w:ind w:firstLine="420" w:firstLineChars="200"/>
        <w:rPr>
          <w:color w:val="auto"/>
          <w:szCs w:val="21"/>
        </w:rPr>
      </w:pPr>
      <w:r>
        <w:rPr>
          <w:rFonts w:hint="eastAsia"/>
          <w:color w:val="auto"/>
          <w:szCs w:val="21"/>
        </w:rPr>
        <w:t>比选申请文件3份（正本1份、副本</w:t>
      </w:r>
      <w:r>
        <w:rPr>
          <w:color w:val="auto"/>
          <w:szCs w:val="21"/>
        </w:rPr>
        <w:t>2</w:t>
      </w:r>
      <w:r>
        <w:rPr>
          <w:rFonts w:hint="eastAsia"/>
          <w:color w:val="auto"/>
          <w:szCs w:val="21"/>
        </w:rPr>
        <w:t>份，副本可为正本的复印件，比选人应在比选申请文件右上角清楚的标记“正本”“副本”字样，当正本与副本不一致时，以正本为准），比选申请文件按竞争性比选文件中规定格式排版。</w:t>
      </w:r>
    </w:p>
    <w:p>
      <w:pPr>
        <w:spacing w:line="440" w:lineRule="exact"/>
        <w:rPr>
          <w:b/>
          <w:color w:val="auto"/>
          <w:szCs w:val="21"/>
        </w:rPr>
      </w:pPr>
      <w:r>
        <w:rPr>
          <w:rFonts w:hint="eastAsia"/>
          <w:b/>
          <w:color w:val="auto"/>
          <w:szCs w:val="21"/>
        </w:rPr>
        <w:t>四、评标办法（本项目采用综合评估法）：</w:t>
      </w:r>
    </w:p>
    <w:tbl>
      <w:tblPr>
        <w:tblStyle w:val="6"/>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2136"/>
        <w:gridCol w:w="3261"/>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1" w:type="dxa"/>
            <w:gridSpan w:val="2"/>
            <w:noWrap w:val="0"/>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条款号</w:t>
            </w:r>
          </w:p>
        </w:tc>
        <w:tc>
          <w:tcPr>
            <w:tcW w:w="2136" w:type="dxa"/>
            <w:noWrap w:val="0"/>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评审因素</w:t>
            </w:r>
          </w:p>
        </w:tc>
        <w:tc>
          <w:tcPr>
            <w:tcW w:w="4909" w:type="dxa"/>
            <w:gridSpan w:val="2"/>
            <w:noWrap w:val="0"/>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restart"/>
            <w:noWrap w:val="0"/>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1</w:t>
            </w:r>
          </w:p>
        </w:tc>
        <w:tc>
          <w:tcPr>
            <w:tcW w:w="1205" w:type="dxa"/>
            <w:vMerge w:val="restart"/>
            <w:noWrap w:val="0"/>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形式评审标准</w:t>
            </w: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比选申请人名称</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报价书签字盖章</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比选申请文件格式</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报价唯一</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比选申请文件份数</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最高限价</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符合最高限价规定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restart"/>
            <w:noWrap w:val="0"/>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2</w:t>
            </w:r>
          </w:p>
        </w:tc>
        <w:tc>
          <w:tcPr>
            <w:tcW w:w="1205" w:type="dxa"/>
            <w:vMerge w:val="restart"/>
            <w:noWrap w:val="0"/>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资格评审标准</w:t>
            </w: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营业执照</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资质要求</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noWrap w:val="0"/>
            <w:vAlign w:val="center"/>
          </w:tcPr>
          <w:p>
            <w:pPr>
              <w:spacing w:line="300" w:lineRule="exact"/>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color w:val="auto"/>
                <w:szCs w:val="21"/>
              </w:rPr>
              <w:t>信誉要求</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966" w:type="dxa"/>
            <w:vMerge w:val="restart"/>
            <w:noWrap w:val="0"/>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3</w:t>
            </w:r>
          </w:p>
        </w:tc>
        <w:tc>
          <w:tcPr>
            <w:tcW w:w="1205" w:type="dxa"/>
            <w:vMerge w:val="restart"/>
            <w:noWrap w:val="0"/>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响应性评审标准</w:t>
            </w: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比选内容</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服务期</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966"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竞标有效期</w:t>
            </w:r>
          </w:p>
        </w:tc>
        <w:tc>
          <w:tcPr>
            <w:tcW w:w="4909" w:type="dxa"/>
            <w:gridSpan w:val="2"/>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966"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noWrap w:val="0"/>
            <w:vAlign w:val="center"/>
          </w:tcPr>
          <w:p>
            <w:pPr>
              <w:spacing w:line="300" w:lineRule="exact"/>
              <w:ind w:firstLine="420" w:firstLineChars="200"/>
              <w:rPr>
                <w:rFonts w:ascii="宋体" w:hAnsi="宋体" w:cs="宋体"/>
                <w:color w:val="auto"/>
                <w:szCs w:val="21"/>
                <w:shd w:val="clear" w:color="auto" w:fill="FFFFFF"/>
              </w:rPr>
            </w:pPr>
          </w:p>
        </w:tc>
        <w:tc>
          <w:tcPr>
            <w:tcW w:w="2136" w:type="dxa"/>
            <w:noWrap w:val="0"/>
            <w:vAlign w:val="center"/>
          </w:tcPr>
          <w:p>
            <w:pPr>
              <w:spacing w:line="300" w:lineRule="exact"/>
              <w:jc w:val="left"/>
              <w:rPr>
                <w:rFonts w:ascii="宋体" w:hAnsi="宋体" w:cs="宋体"/>
                <w:color w:val="auto"/>
                <w:kern w:val="0"/>
              </w:rPr>
            </w:pPr>
            <w:r>
              <w:rPr>
                <w:rFonts w:hint="eastAsia" w:ascii="宋体" w:hAnsi="宋体" w:cs="宋体"/>
                <w:color w:val="auto"/>
                <w:kern w:val="0"/>
              </w:rPr>
              <w:t>实质性要求</w:t>
            </w:r>
          </w:p>
        </w:tc>
        <w:tc>
          <w:tcPr>
            <w:tcW w:w="4909" w:type="dxa"/>
            <w:gridSpan w:val="2"/>
            <w:noWrap w:val="0"/>
            <w:vAlign w:val="center"/>
          </w:tcPr>
          <w:p>
            <w:pPr>
              <w:spacing w:line="300" w:lineRule="exact"/>
              <w:jc w:val="left"/>
              <w:rPr>
                <w:rFonts w:ascii="宋体" w:hAnsi="宋体" w:cs="宋体"/>
                <w:color w:val="auto"/>
                <w:kern w:val="0"/>
              </w:rPr>
            </w:pPr>
            <w:r>
              <w:rPr>
                <w:rFonts w:hint="eastAsia" w:ascii="宋体" w:hAnsi="宋体" w:cs="宋体"/>
                <w:color w:val="auto"/>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16" w:type="dxa"/>
            <w:gridSpan w:val="5"/>
            <w:noWrap w:val="0"/>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注：条款1-3均为强制性要求，比选申请人如不满足，按否决竞标处理。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216" w:type="dxa"/>
            <w:gridSpan w:val="5"/>
            <w:noWrap w:val="0"/>
            <w:vAlign w:val="center"/>
          </w:tcPr>
          <w:p>
            <w:pPr>
              <w:spacing w:line="300" w:lineRule="exact"/>
              <w:rPr>
                <w:b/>
                <w:color w:val="auto"/>
                <w:szCs w:val="21"/>
              </w:rPr>
            </w:pPr>
            <w:r>
              <w:rPr>
                <w:b/>
                <w:color w:val="auto"/>
                <w:szCs w:val="21"/>
              </w:rPr>
              <w:t>有下列情况之一的，视为</w:t>
            </w:r>
            <w:r>
              <w:rPr>
                <w:rFonts w:hint="eastAsia"/>
                <w:b/>
                <w:color w:val="auto"/>
                <w:szCs w:val="21"/>
              </w:rPr>
              <w:t>比选申请人</w:t>
            </w:r>
            <w:r>
              <w:rPr>
                <w:b/>
                <w:color w:val="auto"/>
                <w:szCs w:val="21"/>
              </w:rPr>
              <w:t>相互串通</w:t>
            </w:r>
            <w:r>
              <w:rPr>
                <w:rFonts w:hint="eastAsia"/>
                <w:b/>
                <w:color w:val="auto"/>
                <w:szCs w:val="21"/>
              </w:rPr>
              <w:t>竞标</w:t>
            </w:r>
            <w:r>
              <w:rPr>
                <w:b/>
                <w:color w:val="auto"/>
                <w:szCs w:val="21"/>
              </w:rPr>
              <w:t>，做否决</w:t>
            </w:r>
            <w:r>
              <w:rPr>
                <w:rFonts w:hint="eastAsia"/>
                <w:b/>
                <w:color w:val="auto"/>
                <w:szCs w:val="21"/>
              </w:rPr>
              <w:t>竞标</w:t>
            </w:r>
            <w:r>
              <w:rPr>
                <w:b/>
                <w:color w:val="auto"/>
                <w:szCs w:val="21"/>
              </w:rPr>
              <w:t>处理。</w:t>
            </w:r>
          </w:p>
          <w:p>
            <w:pPr>
              <w:numPr>
                <w:ilvl w:val="0"/>
                <w:numId w:val="16"/>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由同一单位或者个人编制；</w:t>
            </w:r>
          </w:p>
          <w:p>
            <w:pPr>
              <w:numPr>
                <w:ilvl w:val="0"/>
                <w:numId w:val="16"/>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委托同一单位或者个人办理</w:t>
            </w:r>
            <w:r>
              <w:rPr>
                <w:rFonts w:hint="eastAsia"/>
                <w:color w:val="auto"/>
                <w:szCs w:val="21"/>
              </w:rPr>
              <w:t>竞标</w:t>
            </w:r>
            <w:r>
              <w:rPr>
                <w:color w:val="auto"/>
                <w:szCs w:val="21"/>
              </w:rPr>
              <w:t>事宜；</w:t>
            </w:r>
          </w:p>
          <w:p>
            <w:pPr>
              <w:numPr>
                <w:ilvl w:val="0"/>
                <w:numId w:val="16"/>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载明的项目管理成员为同一人；</w:t>
            </w:r>
          </w:p>
          <w:p>
            <w:pPr>
              <w:numPr>
                <w:ilvl w:val="0"/>
                <w:numId w:val="16"/>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异常一致或者</w:t>
            </w:r>
            <w:r>
              <w:rPr>
                <w:rFonts w:hint="eastAsia"/>
                <w:color w:val="auto"/>
                <w:szCs w:val="21"/>
              </w:rPr>
              <w:t>竞标报价</w:t>
            </w:r>
            <w:r>
              <w:rPr>
                <w:color w:val="auto"/>
                <w:szCs w:val="21"/>
              </w:rPr>
              <w:t>呈规律性差异；</w:t>
            </w:r>
          </w:p>
          <w:p>
            <w:pPr>
              <w:spacing w:line="300" w:lineRule="exact"/>
              <w:rPr>
                <w:rFonts w:ascii="宋体" w:hAnsi="宋体" w:cs="宋体"/>
                <w:color w:val="auto"/>
                <w:szCs w:val="21"/>
                <w:shd w:val="clear" w:color="auto" w:fill="FFFFFF"/>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 w:type="dxa"/>
            <w:noWrap w:val="0"/>
            <w:vAlign w:val="center"/>
          </w:tcPr>
          <w:p>
            <w:pPr>
              <w:spacing w:line="300" w:lineRule="exact"/>
              <w:jc w:val="center"/>
              <w:rPr>
                <w:color w:val="auto"/>
                <w:szCs w:val="21"/>
              </w:rPr>
            </w:pPr>
            <w:r>
              <w:rPr>
                <w:rFonts w:hint="eastAsia"/>
                <w:color w:val="auto"/>
                <w:szCs w:val="21"/>
              </w:rPr>
              <w:t>2.1</w:t>
            </w:r>
          </w:p>
        </w:tc>
        <w:tc>
          <w:tcPr>
            <w:tcW w:w="1205" w:type="dxa"/>
            <w:noWrap w:val="0"/>
            <w:vAlign w:val="center"/>
          </w:tcPr>
          <w:p>
            <w:pPr>
              <w:spacing w:line="300" w:lineRule="exact"/>
              <w:jc w:val="center"/>
              <w:rPr>
                <w:color w:val="auto"/>
                <w:szCs w:val="21"/>
              </w:rPr>
            </w:pPr>
            <w:r>
              <w:rPr>
                <w:rFonts w:hint="eastAsia"/>
                <w:color w:val="auto"/>
                <w:szCs w:val="21"/>
              </w:rPr>
              <w:t>分值构成 （100分）</w:t>
            </w:r>
          </w:p>
        </w:tc>
        <w:tc>
          <w:tcPr>
            <w:tcW w:w="7045" w:type="dxa"/>
            <w:gridSpan w:val="3"/>
            <w:noWrap w:val="0"/>
            <w:vAlign w:val="center"/>
          </w:tcPr>
          <w:p>
            <w:pPr>
              <w:snapToGrid w:val="0"/>
              <w:spacing w:line="400" w:lineRule="exact"/>
              <w:rPr>
                <w:rFonts w:ascii="宋体" w:hAnsi="宋体" w:cs="宋体"/>
                <w:color w:val="auto"/>
                <w:kern w:val="0"/>
              </w:rPr>
            </w:pPr>
            <w:r>
              <w:rPr>
                <w:rFonts w:hint="eastAsia" w:ascii="宋体" w:hAnsi="宋体" w:cs="宋体"/>
                <w:color w:val="auto"/>
                <w:kern w:val="0"/>
              </w:rPr>
              <w:t>1.经济部分</w:t>
            </w:r>
            <w:r>
              <w:rPr>
                <w:rFonts w:hint="eastAsia" w:ascii="宋体" w:hAnsi="宋体" w:cs="宋体"/>
                <w:color w:val="auto"/>
                <w:kern w:val="0"/>
                <w:u w:val="single"/>
              </w:rPr>
              <w:t>2</w:t>
            </w:r>
            <w:r>
              <w:rPr>
                <w:rFonts w:ascii="宋体" w:hAnsi="宋体" w:cs="宋体"/>
                <w:color w:val="auto"/>
                <w:kern w:val="0"/>
                <w:u w:val="single"/>
              </w:rPr>
              <w:t>0</w:t>
            </w:r>
            <w:r>
              <w:rPr>
                <w:rFonts w:hint="eastAsia" w:ascii="宋体" w:hAnsi="宋体" w:cs="宋体"/>
                <w:color w:val="auto"/>
                <w:kern w:val="0"/>
              </w:rPr>
              <w:t>分；[提示：不低于2</w:t>
            </w:r>
            <w:r>
              <w:rPr>
                <w:rFonts w:ascii="宋体" w:hAnsi="宋体" w:cs="宋体"/>
                <w:color w:val="auto"/>
                <w:kern w:val="0"/>
              </w:rPr>
              <w:t>0</w:t>
            </w:r>
            <w:r>
              <w:rPr>
                <w:rFonts w:hint="eastAsia" w:ascii="宋体" w:hAnsi="宋体" w:cs="宋体"/>
                <w:color w:val="auto"/>
                <w:kern w:val="0"/>
              </w:rPr>
              <w:t>分]</w:t>
            </w:r>
          </w:p>
          <w:p>
            <w:pPr>
              <w:snapToGrid w:val="0"/>
              <w:spacing w:line="400" w:lineRule="exact"/>
              <w:rPr>
                <w:rFonts w:ascii="宋体" w:hAnsi="宋体" w:cs="宋体"/>
                <w:color w:val="auto"/>
                <w:kern w:val="0"/>
              </w:rPr>
            </w:pPr>
            <w:r>
              <w:rPr>
                <w:rFonts w:hint="eastAsia" w:ascii="宋体" w:hAnsi="宋体" w:cs="宋体"/>
                <w:color w:val="auto"/>
                <w:kern w:val="0"/>
              </w:rPr>
              <w:t>（1）投标报价2</w:t>
            </w:r>
            <w:r>
              <w:rPr>
                <w:rFonts w:ascii="宋体" w:hAnsi="宋体" w:cs="宋体"/>
                <w:color w:val="auto"/>
                <w:kern w:val="0"/>
              </w:rPr>
              <w:t>0</w:t>
            </w:r>
            <w:r>
              <w:rPr>
                <w:rFonts w:hint="eastAsia" w:ascii="宋体" w:hAnsi="宋体" w:cs="宋体"/>
                <w:color w:val="auto"/>
                <w:kern w:val="0"/>
              </w:rPr>
              <w:t>分；</w:t>
            </w:r>
          </w:p>
          <w:p>
            <w:pPr>
              <w:snapToGrid w:val="0"/>
              <w:spacing w:line="400" w:lineRule="exact"/>
              <w:rPr>
                <w:rFonts w:ascii="宋体" w:hAnsi="宋体" w:cs="宋体"/>
                <w:color w:val="auto"/>
                <w:kern w:val="0"/>
              </w:rPr>
            </w:pPr>
            <w:r>
              <w:rPr>
                <w:rFonts w:hint="eastAsia" w:ascii="宋体" w:hAnsi="宋体" w:cs="宋体"/>
                <w:color w:val="auto"/>
                <w:kern w:val="0"/>
              </w:rPr>
              <w:t>2.服务部分</w:t>
            </w:r>
            <w:r>
              <w:rPr>
                <w:rFonts w:ascii="宋体" w:hAnsi="宋体" w:cs="宋体"/>
                <w:color w:val="auto"/>
                <w:kern w:val="0"/>
                <w:u w:val="single"/>
              </w:rPr>
              <w:t>40</w:t>
            </w:r>
            <w:r>
              <w:rPr>
                <w:rFonts w:hint="eastAsia" w:ascii="宋体" w:hAnsi="宋体" w:cs="宋体"/>
                <w:color w:val="auto"/>
                <w:kern w:val="0"/>
              </w:rPr>
              <w:t>分；[提示：不高于</w:t>
            </w:r>
            <w:r>
              <w:rPr>
                <w:rFonts w:ascii="宋体" w:hAnsi="宋体" w:cs="宋体"/>
                <w:color w:val="auto"/>
                <w:kern w:val="0"/>
              </w:rPr>
              <w:t>40</w:t>
            </w:r>
            <w:r>
              <w:rPr>
                <w:rFonts w:hint="eastAsia" w:ascii="宋体" w:hAnsi="宋体" w:cs="宋体"/>
                <w:color w:val="auto"/>
                <w:kern w:val="0"/>
              </w:rPr>
              <w:t>分]</w:t>
            </w:r>
          </w:p>
          <w:p>
            <w:pPr>
              <w:spacing w:line="300" w:lineRule="exact"/>
              <w:jc w:val="left"/>
              <w:rPr>
                <w:rFonts w:ascii="宋体" w:hAnsi="宋体" w:cs="宋体"/>
                <w:color w:val="auto"/>
                <w:kern w:val="0"/>
              </w:rPr>
            </w:pPr>
            <w:r>
              <w:rPr>
                <w:rFonts w:hint="eastAsia" w:ascii="宋体" w:hAnsi="宋体" w:cs="宋体"/>
                <w:color w:val="auto"/>
                <w:kern w:val="0"/>
              </w:rPr>
              <w:t>（1）服务方案</w:t>
            </w:r>
            <w:r>
              <w:rPr>
                <w:rFonts w:ascii="宋体" w:hAnsi="宋体" w:cs="宋体"/>
                <w:color w:val="auto"/>
                <w:kern w:val="0"/>
                <w:u w:val="single"/>
              </w:rPr>
              <w:t>40</w:t>
            </w:r>
            <w:r>
              <w:rPr>
                <w:rFonts w:hint="eastAsia" w:ascii="宋体" w:hAnsi="宋体" w:cs="宋体"/>
                <w:color w:val="auto"/>
                <w:kern w:val="0"/>
              </w:rPr>
              <w:t>分；</w:t>
            </w:r>
          </w:p>
          <w:p>
            <w:pPr>
              <w:snapToGrid w:val="0"/>
              <w:spacing w:line="400" w:lineRule="exact"/>
              <w:rPr>
                <w:rFonts w:ascii="宋体" w:hAnsi="宋体" w:cs="宋体"/>
                <w:color w:val="auto"/>
                <w:kern w:val="0"/>
              </w:rPr>
            </w:pPr>
            <w:r>
              <w:rPr>
                <w:rFonts w:hint="eastAsia"/>
                <w:color w:val="auto"/>
              </w:rPr>
              <w:t>3</w:t>
            </w:r>
            <w:r>
              <w:rPr>
                <w:color w:val="auto"/>
              </w:rPr>
              <w:t>.商务部分</w:t>
            </w:r>
            <w:r>
              <w:rPr>
                <w:rFonts w:hint="eastAsia" w:ascii="宋体" w:hAnsi="宋体" w:cs="宋体"/>
                <w:color w:val="auto"/>
                <w:kern w:val="0"/>
                <w:u w:val="single"/>
              </w:rPr>
              <w:t>4</w:t>
            </w:r>
            <w:r>
              <w:rPr>
                <w:rFonts w:ascii="宋体" w:hAnsi="宋体" w:cs="宋体"/>
                <w:color w:val="auto"/>
                <w:kern w:val="0"/>
                <w:u w:val="single"/>
              </w:rPr>
              <w:t>0</w:t>
            </w:r>
            <w:r>
              <w:rPr>
                <w:rFonts w:hint="eastAsia" w:ascii="宋体" w:hAnsi="宋体" w:cs="宋体"/>
                <w:color w:val="auto"/>
                <w:kern w:val="0"/>
              </w:rPr>
              <w:t>分；[提示：不高于4</w:t>
            </w:r>
            <w:r>
              <w:rPr>
                <w:rFonts w:ascii="宋体" w:hAnsi="宋体" w:cs="宋体"/>
                <w:color w:val="auto"/>
                <w:kern w:val="0"/>
              </w:rPr>
              <w:t>0</w:t>
            </w:r>
            <w:r>
              <w:rPr>
                <w:rFonts w:hint="eastAsia" w:ascii="宋体" w:hAnsi="宋体" w:cs="宋体"/>
                <w:color w:val="auto"/>
                <w:kern w:val="0"/>
              </w:rPr>
              <w:t>分]</w:t>
            </w:r>
          </w:p>
          <w:p>
            <w:pPr>
              <w:spacing w:line="300" w:lineRule="exact"/>
              <w:jc w:val="left"/>
              <w:rPr>
                <w:rFonts w:ascii="宋体" w:hAnsi="宋体" w:cs="宋体"/>
                <w:color w:val="auto"/>
                <w:kern w:val="0"/>
              </w:rPr>
            </w:pPr>
            <w:r>
              <w:rPr>
                <w:rFonts w:hint="eastAsia" w:ascii="宋体" w:hAnsi="宋体" w:cs="宋体"/>
                <w:color w:val="auto"/>
                <w:kern w:val="0"/>
              </w:rPr>
              <w:t>（1）人员实力</w:t>
            </w:r>
            <w:r>
              <w:rPr>
                <w:rFonts w:hint="eastAsia" w:ascii="宋体" w:hAnsi="宋体" w:cs="宋体"/>
                <w:color w:val="auto"/>
                <w:kern w:val="0"/>
                <w:u w:val="single"/>
              </w:rPr>
              <w:t>10</w:t>
            </w:r>
            <w:r>
              <w:rPr>
                <w:rFonts w:hint="eastAsia" w:ascii="宋体" w:hAnsi="宋体" w:cs="宋体"/>
                <w:color w:val="auto"/>
                <w:kern w:val="0"/>
              </w:rPr>
              <w:t>分；</w:t>
            </w:r>
          </w:p>
          <w:p>
            <w:pPr>
              <w:spacing w:line="300" w:lineRule="exact"/>
              <w:jc w:val="left"/>
              <w:rPr>
                <w:rFonts w:ascii="宋体" w:hAnsi="宋体" w:cs="宋体"/>
                <w:color w:val="auto"/>
                <w:kern w:val="0"/>
              </w:rPr>
            </w:pPr>
            <w:r>
              <w:rPr>
                <w:rFonts w:hint="eastAsia" w:ascii="宋体" w:hAnsi="宋体" w:cs="宋体"/>
                <w:color w:val="auto"/>
                <w:kern w:val="0"/>
              </w:rPr>
              <w:t>（</w:t>
            </w:r>
            <w:r>
              <w:rPr>
                <w:rFonts w:ascii="宋体" w:hAnsi="宋体" w:cs="宋体"/>
                <w:color w:val="auto"/>
                <w:kern w:val="0"/>
              </w:rPr>
              <w:t>2</w:t>
            </w:r>
            <w:r>
              <w:rPr>
                <w:rFonts w:hint="eastAsia" w:ascii="宋体" w:hAnsi="宋体" w:cs="宋体"/>
                <w:color w:val="auto"/>
                <w:kern w:val="0"/>
              </w:rPr>
              <w:t>）</w:t>
            </w:r>
            <w:r>
              <w:rPr>
                <w:rFonts w:hint="eastAsia" w:ascii="宋体" w:hAnsi="宋体" w:cs="宋体"/>
                <w:color w:val="auto"/>
                <w:kern w:val="0"/>
                <w:szCs w:val="21"/>
              </w:rPr>
              <w:t>公司实力</w:t>
            </w:r>
            <w:r>
              <w:rPr>
                <w:rFonts w:hint="eastAsia" w:ascii="宋体" w:hAnsi="宋体" w:cs="宋体"/>
                <w:color w:val="auto"/>
                <w:kern w:val="0"/>
                <w:u w:val="single"/>
              </w:rPr>
              <w:t>10</w:t>
            </w:r>
            <w:r>
              <w:rPr>
                <w:rFonts w:hint="eastAsia" w:ascii="宋体" w:hAnsi="宋体" w:cs="宋体"/>
                <w:color w:val="auto"/>
                <w:kern w:val="0"/>
              </w:rPr>
              <w:t>分；</w:t>
            </w:r>
          </w:p>
          <w:p>
            <w:pPr>
              <w:spacing w:line="300" w:lineRule="exact"/>
              <w:jc w:val="left"/>
              <w:rPr>
                <w:rFonts w:ascii="宋体" w:hAnsi="宋体" w:cs="宋体"/>
                <w:color w:val="auto"/>
                <w:kern w:val="0"/>
              </w:rPr>
            </w:pPr>
            <w:r>
              <w:rPr>
                <w:rFonts w:hint="eastAsia" w:ascii="宋体" w:hAnsi="宋体" w:cs="宋体"/>
                <w:color w:val="auto"/>
                <w:kern w:val="0"/>
              </w:rPr>
              <w:t>（</w:t>
            </w:r>
            <w:r>
              <w:rPr>
                <w:rFonts w:ascii="宋体" w:hAnsi="宋体" w:cs="宋体"/>
                <w:color w:val="auto"/>
                <w:kern w:val="0"/>
              </w:rPr>
              <w:t>3</w:t>
            </w:r>
            <w:r>
              <w:rPr>
                <w:rFonts w:hint="eastAsia" w:ascii="宋体" w:hAnsi="宋体" w:cs="宋体"/>
                <w:color w:val="auto"/>
                <w:kern w:val="0"/>
              </w:rPr>
              <w:t>）业绩</w:t>
            </w:r>
            <w:r>
              <w:rPr>
                <w:rFonts w:ascii="宋体" w:hAnsi="宋体" w:cs="宋体"/>
                <w:color w:val="auto"/>
                <w:kern w:val="0"/>
                <w:u w:val="single"/>
              </w:rPr>
              <w:t>20</w:t>
            </w:r>
            <w:r>
              <w:rPr>
                <w:rFonts w:hint="eastAsia" w:ascii="宋体" w:hAnsi="宋体" w:cs="宋体"/>
                <w:color w:val="auto"/>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66" w:type="dxa"/>
            <w:noWrap w:val="0"/>
            <w:vAlign w:val="center"/>
          </w:tcPr>
          <w:p>
            <w:pPr>
              <w:spacing w:line="300" w:lineRule="exact"/>
              <w:jc w:val="center"/>
              <w:rPr>
                <w:color w:val="auto"/>
                <w:szCs w:val="21"/>
              </w:rPr>
            </w:pPr>
            <w:r>
              <w:rPr>
                <w:rFonts w:hint="eastAsia"/>
                <w:color w:val="auto"/>
                <w:szCs w:val="21"/>
              </w:rPr>
              <w:t>2.1.1</w:t>
            </w:r>
          </w:p>
        </w:tc>
        <w:tc>
          <w:tcPr>
            <w:tcW w:w="1205" w:type="dxa"/>
            <w:noWrap w:val="0"/>
            <w:vAlign w:val="center"/>
          </w:tcPr>
          <w:p>
            <w:pPr>
              <w:spacing w:line="300" w:lineRule="exact"/>
              <w:jc w:val="center"/>
              <w:rPr>
                <w:color w:val="auto"/>
                <w:szCs w:val="21"/>
              </w:rPr>
            </w:pPr>
            <w:r>
              <w:rPr>
                <w:rFonts w:hint="eastAsia"/>
                <w:color w:val="auto"/>
                <w:szCs w:val="22"/>
              </w:rPr>
              <w:t>经济部分A（</w:t>
            </w:r>
            <w:r>
              <w:rPr>
                <w:rFonts w:hint="eastAsia"/>
                <w:color w:val="auto"/>
                <w:szCs w:val="22"/>
                <w:lang w:val="en-US" w:eastAsia="zh-CN"/>
              </w:rPr>
              <w:t>20</w:t>
            </w:r>
            <w:r>
              <w:rPr>
                <w:rFonts w:hint="eastAsia"/>
                <w:color w:val="auto"/>
                <w:szCs w:val="22"/>
              </w:rPr>
              <w:t>分）</w:t>
            </w:r>
          </w:p>
        </w:tc>
        <w:tc>
          <w:tcPr>
            <w:tcW w:w="7045" w:type="dxa"/>
            <w:gridSpan w:val="3"/>
            <w:noWrap w:val="0"/>
            <w:vAlign w:val="top"/>
          </w:tcPr>
          <w:p>
            <w:pPr>
              <w:snapToGrid w:val="0"/>
              <w:spacing w:line="400" w:lineRule="exact"/>
              <w:jc w:val="left"/>
              <w:rPr>
                <w:rFonts w:ascii="宋体" w:hAnsi="宋体" w:cs="宋体"/>
                <w:color w:val="auto"/>
                <w:kern w:val="0"/>
                <w:szCs w:val="21"/>
              </w:rPr>
            </w:pPr>
            <w:r>
              <w:rPr>
                <w:rFonts w:hint="eastAsia" w:ascii="宋体" w:hAnsi="宋体" w:cs="宋体"/>
                <w:color w:val="auto"/>
                <w:kern w:val="0"/>
                <w:szCs w:val="21"/>
              </w:rPr>
              <w:t>有效的投标报价中的最低价为评标基准价，其价格分为满分。其他投标人的价格分统一按照下列公式计算：</w:t>
            </w:r>
          </w:p>
          <w:p>
            <w:pPr>
              <w:pStyle w:val="5"/>
              <w:rPr>
                <w:color w:val="auto"/>
              </w:rPr>
            </w:pPr>
            <w:r>
              <w:rPr>
                <w:rFonts w:hint="eastAsia" w:ascii="宋体" w:hAnsi="宋体" w:cs="宋体"/>
                <w:color w:val="auto"/>
                <w:kern w:val="0"/>
                <w:szCs w:val="21"/>
              </w:rPr>
              <w:t>投标报价得分＝（评标基准价/投标报价）×价格权重×100。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966" w:type="dxa"/>
            <w:vMerge w:val="restart"/>
            <w:noWrap w:val="0"/>
            <w:vAlign w:val="center"/>
          </w:tcPr>
          <w:p>
            <w:pPr>
              <w:spacing w:line="300" w:lineRule="exact"/>
              <w:ind w:firstLine="29" w:firstLineChars="14"/>
              <w:jc w:val="center"/>
              <w:rPr>
                <w:color w:val="auto"/>
                <w:szCs w:val="21"/>
              </w:rPr>
            </w:pPr>
            <w:r>
              <w:rPr>
                <w:rFonts w:hint="eastAsia"/>
                <w:color w:val="auto"/>
                <w:szCs w:val="21"/>
              </w:rPr>
              <w:t>2.1.2</w:t>
            </w:r>
          </w:p>
        </w:tc>
        <w:tc>
          <w:tcPr>
            <w:tcW w:w="1205" w:type="dxa"/>
            <w:vMerge w:val="restart"/>
            <w:noWrap w:val="0"/>
            <w:vAlign w:val="center"/>
          </w:tcPr>
          <w:p>
            <w:pPr>
              <w:spacing w:line="300" w:lineRule="exact"/>
              <w:jc w:val="center"/>
              <w:rPr>
                <w:color w:val="auto"/>
                <w:szCs w:val="22"/>
              </w:rPr>
            </w:pPr>
            <w:r>
              <w:rPr>
                <w:rFonts w:hint="eastAsia"/>
                <w:color w:val="auto"/>
                <w:szCs w:val="22"/>
              </w:rPr>
              <w:t>技术部分B（</w:t>
            </w:r>
            <w:r>
              <w:rPr>
                <w:color w:val="auto"/>
                <w:szCs w:val="22"/>
              </w:rPr>
              <w:t>40</w:t>
            </w:r>
            <w:r>
              <w:rPr>
                <w:rFonts w:hint="eastAsia"/>
                <w:color w:val="auto"/>
                <w:szCs w:val="22"/>
              </w:rPr>
              <w:t>分）</w:t>
            </w:r>
          </w:p>
        </w:tc>
        <w:tc>
          <w:tcPr>
            <w:tcW w:w="5397" w:type="dxa"/>
            <w:gridSpan w:val="2"/>
            <w:noWrap w:val="0"/>
            <w:vAlign w:val="top"/>
          </w:tcPr>
          <w:p>
            <w:pPr>
              <w:spacing w:line="360" w:lineRule="auto"/>
              <w:ind w:left="-38"/>
              <w:rPr>
                <w:rFonts w:ascii="宋体" w:hAnsi="宋体" w:cs="宋体"/>
                <w:b/>
                <w:color w:val="auto"/>
                <w:kern w:val="0"/>
                <w:szCs w:val="21"/>
              </w:rPr>
            </w:pPr>
            <w:r>
              <w:rPr>
                <w:rFonts w:hint="eastAsia" w:ascii="宋体" w:hAnsi="宋体" w:cs="宋体"/>
                <w:b/>
                <w:color w:val="auto"/>
                <w:kern w:val="0"/>
                <w:szCs w:val="21"/>
              </w:rPr>
              <w:t>1</w:t>
            </w:r>
            <w:r>
              <w:rPr>
                <w:rFonts w:ascii="宋体" w:hAnsi="宋体" w:cs="宋体"/>
                <w:b/>
                <w:color w:val="auto"/>
                <w:kern w:val="0"/>
                <w:szCs w:val="21"/>
              </w:rPr>
              <w:t>.</w:t>
            </w:r>
            <w:r>
              <w:rPr>
                <w:rFonts w:hint="eastAsia" w:ascii="宋体" w:hAnsi="宋体" w:cs="宋体"/>
                <w:b/>
                <w:color w:val="auto"/>
                <w:kern w:val="0"/>
                <w:szCs w:val="21"/>
              </w:rPr>
              <w:t xml:space="preserve"> 项目理解和服务能力</w:t>
            </w:r>
          </w:p>
          <w:p>
            <w:pPr>
              <w:spacing w:line="360" w:lineRule="auto"/>
              <w:ind w:left="-38" w:firstLine="420" w:firstLineChars="200"/>
              <w:rPr>
                <w:rFonts w:ascii="宋体" w:hAnsi="宋体" w:cs="宋体"/>
                <w:color w:val="auto"/>
                <w:kern w:val="0"/>
                <w:szCs w:val="21"/>
              </w:rPr>
            </w:pPr>
            <w:r>
              <w:rPr>
                <w:rFonts w:hint="eastAsia" w:ascii="宋体" w:hAnsi="宋体" w:cs="宋体"/>
                <w:color w:val="auto"/>
                <w:kern w:val="0"/>
                <w:szCs w:val="21"/>
              </w:rPr>
              <w:t>供应商对本项目的理解认知和分析，包含但不限于对《公路技术状况评定标准》（JTG 5210—2018）熟悉程度。对项目理解和分析详细、准确，且熟悉对应软件，得8分；对项目理解和分析较为详细、准确，且较为熟悉对应软件，得5分；对项目理解和分析不详细、准确，且一般熟悉对应软件，得3分。对项目理解和分析不对，或完全不会对应软件，得0分。</w:t>
            </w:r>
          </w:p>
        </w:tc>
        <w:tc>
          <w:tcPr>
            <w:tcW w:w="1648" w:type="dxa"/>
            <w:vMerge w:val="restart"/>
            <w:noWrap w:val="0"/>
            <w:vAlign w:val="top"/>
          </w:tcPr>
          <w:p>
            <w:pPr>
              <w:spacing w:line="360" w:lineRule="auto"/>
              <w:ind w:left="-38"/>
              <w:rPr>
                <w:rFonts w:ascii="宋体" w:hAnsi="宋体" w:cs="宋体"/>
                <w:color w:val="auto"/>
                <w:kern w:val="0"/>
                <w:szCs w:val="21"/>
              </w:rPr>
            </w:pPr>
            <w:r>
              <w:rPr>
                <w:rFonts w:hint="eastAsia" w:ascii="宋体" w:hAnsi="宋体" w:cs="宋体"/>
                <w:color w:val="auto"/>
                <w:kern w:val="0"/>
                <w:szCs w:val="21"/>
              </w:rPr>
              <w:t>供应商根据磋商文件内容提供服务方案，格式自定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6" w:type="dxa"/>
            <w:vMerge w:val="continue"/>
            <w:noWrap w:val="0"/>
            <w:vAlign w:val="center"/>
          </w:tcPr>
          <w:p>
            <w:pPr>
              <w:spacing w:line="300" w:lineRule="exact"/>
              <w:ind w:firstLine="29" w:firstLineChars="14"/>
              <w:jc w:val="center"/>
              <w:rPr>
                <w:color w:val="auto"/>
                <w:szCs w:val="21"/>
              </w:rPr>
            </w:pPr>
          </w:p>
        </w:tc>
        <w:tc>
          <w:tcPr>
            <w:tcW w:w="1205" w:type="dxa"/>
            <w:vMerge w:val="continue"/>
            <w:noWrap w:val="0"/>
            <w:vAlign w:val="center"/>
          </w:tcPr>
          <w:p>
            <w:pPr>
              <w:spacing w:line="300" w:lineRule="exact"/>
              <w:jc w:val="center"/>
              <w:rPr>
                <w:color w:val="auto"/>
                <w:szCs w:val="22"/>
              </w:rPr>
            </w:pPr>
          </w:p>
        </w:tc>
        <w:tc>
          <w:tcPr>
            <w:tcW w:w="5397" w:type="dxa"/>
            <w:gridSpan w:val="2"/>
            <w:noWrap w:val="0"/>
            <w:vAlign w:val="top"/>
          </w:tcPr>
          <w:p>
            <w:pPr>
              <w:spacing w:line="360" w:lineRule="auto"/>
              <w:ind w:left="-38"/>
              <w:rPr>
                <w:rFonts w:ascii="宋体" w:hAnsi="宋体" w:cs="宋体"/>
                <w:b/>
                <w:color w:val="auto"/>
                <w:kern w:val="0"/>
                <w:szCs w:val="21"/>
              </w:rPr>
            </w:pPr>
            <w:r>
              <w:rPr>
                <w:rFonts w:ascii="宋体" w:hAnsi="宋体" w:cs="宋体"/>
                <w:b/>
                <w:color w:val="auto"/>
                <w:kern w:val="0"/>
                <w:szCs w:val="21"/>
              </w:rPr>
              <w:t>2.</w:t>
            </w:r>
            <w:r>
              <w:rPr>
                <w:rFonts w:hint="eastAsia" w:ascii="宋体" w:hAnsi="宋体" w:cs="宋体"/>
                <w:b/>
                <w:color w:val="auto"/>
                <w:kern w:val="0"/>
                <w:szCs w:val="21"/>
              </w:rPr>
              <w:t xml:space="preserve"> 组织安排</w:t>
            </w:r>
          </w:p>
          <w:p>
            <w:pPr>
              <w:spacing w:line="360" w:lineRule="auto"/>
              <w:ind w:left="-38" w:firstLine="420" w:firstLineChars="200"/>
              <w:rPr>
                <w:rFonts w:ascii="宋体" w:hAnsi="宋体" w:cs="宋体"/>
                <w:color w:val="auto"/>
                <w:kern w:val="0"/>
                <w:szCs w:val="21"/>
              </w:rPr>
            </w:pPr>
            <w:r>
              <w:rPr>
                <w:rFonts w:hint="eastAsia" w:ascii="宋体" w:hAnsi="宋体" w:cs="宋体"/>
                <w:color w:val="auto"/>
                <w:kern w:val="0"/>
                <w:szCs w:val="21"/>
              </w:rPr>
              <w:t>评审专家根据本项目所有供应商提供的方案从供应商提供的针对本项目拟派的服务团队及职责分工的科学性、可行性、合理性进行综合比较。方案说明详细、准确、符合要求的为优，得8分；方案说明较为详细、较为准确、较符合要求的为良，得5分；方案说明一般详细、准确度不高，不符合要求的为一般，得3分。方案说明内容和本项项目无关或未提供的得0分。</w:t>
            </w:r>
          </w:p>
        </w:tc>
        <w:tc>
          <w:tcPr>
            <w:tcW w:w="1648" w:type="dxa"/>
            <w:vMerge w:val="continue"/>
            <w:noWrap w:val="0"/>
            <w:vAlign w:val="top"/>
          </w:tcPr>
          <w:p>
            <w:pPr>
              <w:spacing w:line="360" w:lineRule="auto"/>
              <w:ind w:left="-38"/>
              <w:rPr>
                <w:rFonts w:ascii="宋体" w:hAnsi="宋体" w:cs="宋体"/>
                <w:color w:val="auto"/>
                <w:kern w:val="0"/>
                <w:szCs w:val="21"/>
              </w:rPr>
            </w:pPr>
          </w:p>
        </w:tc>
      </w:tr>
    </w:tbl>
    <w:p>
      <w:pPr>
        <w:rPr>
          <w:color w:val="auto"/>
        </w:rPr>
      </w:pPr>
    </w:p>
    <w:tbl>
      <w:tblPr>
        <w:tblStyle w:val="6"/>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5397"/>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966" w:type="dxa"/>
            <w:vMerge w:val="restart"/>
            <w:noWrap w:val="0"/>
            <w:vAlign w:val="center"/>
          </w:tcPr>
          <w:p>
            <w:pPr>
              <w:spacing w:line="300" w:lineRule="exact"/>
              <w:ind w:firstLine="29" w:firstLineChars="14"/>
              <w:jc w:val="center"/>
              <w:rPr>
                <w:color w:val="auto"/>
                <w:szCs w:val="21"/>
              </w:rPr>
            </w:pPr>
          </w:p>
        </w:tc>
        <w:tc>
          <w:tcPr>
            <w:tcW w:w="1205" w:type="dxa"/>
            <w:vMerge w:val="restart"/>
            <w:noWrap w:val="0"/>
            <w:vAlign w:val="center"/>
          </w:tcPr>
          <w:p>
            <w:pPr>
              <w:spacing w:line="300" w:lineRule="exact"/>
              <w:jc w:val="center"/>
              <w:rPr>
                <w:color w:val="auto"/>
                <w:szCs w:val="22"/>
              </w:rPr>
            </w:pPr>
          </w:p>
        </w:tc>
        <w:tc>
          <w:tcPr>
            <w:tcW w:w="5397" w:type="dxa"/>
            <w:noWrap w:val="0"/>
            <w:vAlign w:val="top"/>
          </w:tcPr>
          <w:p>
            <w:pPr>
              <w:spacing w:line="360" w:lineRule="auto"/>
              <w:ind w:left="-38"/>
              <w:rPr>
                <w:rFonts w:ascii="宋体" w:hAnsi="宋体" w:cs="宋体"/>
                <w:b/>
                <w:color w:val="auto"/>
                <w:kern w:val="0"/>
                <w:szCs w:val="21"/>
              </w:rPr>
            </w:pPr>
            <w:r>
              <w:rPr>
                <w:rFonts w:ascii="宋体" w:hAnsi="宋体" w:cs="宋体"/>
                <w:b/>
                <w:color w:val="auto"/>
                <w:kern w:val="0"/>
                <w:szCs w:val="21"/>
              </w:rPr>
              <w:t>3.</w:t>
            </w:r>
            <w:r>
              <w:rPr>
                <w:rFonts w:hint="eastAsia" w:ascii="宋体" w:hAnsi="宋体" w:cs="宋体"/>
                <w:b/>
                <w:color w:val="auto"/>
                <w:kern w:val="0"/>
                <w:szCs w:val="21"/>
              </w:rPr>
              <w:t xml:space="preserve"> 服务质量保障</w:t>
            </w:r>
          </w:p>
          <w:p>
            <w:pPr>
              <w:spacing w:line="360" w:lineRule="auto"/>
              <w:ind w:left="-38" w:firstLine="420" w:firstLineChars="200"/>
              <w:rPr>
                <w:rFonts w:ascii="宋体" w:hAnsi="宋体" w:cs="宋体"/>
                <w:color w:val="auto"/>
                <w:kern w:val="0"/>
                <w:szCs w:val="21"/>
              </w:rPr>
            </w:pPr>
            <w:r>
              <w:rPr>
                <w:rFonts w:hint="eastAsia" w:ascii="宋体" w:hAnsi="宋体" w:cs="宋体"/>
                <w:color w:val="auto"/>
                <w:kern w:val="0"/>
                <w:szCs w:val="21"/>
              </w:rPr>
              <w:t>评审专家根据本项目所有供应商提供的方案从应商提供的针对本项目的路况图像病害标识的准确率，数据导出，复核能力行进行综合比较。方案说明详细、准确、符合要求的为优，得8分；方案说明较为详细、较为准确、较符合要求的为良，得5分；方案说明一般详细、准确度不高，不符合要求的为一般，得3分。方案说明内容和本项项目无关或未提供的得0分。</w:t>
            </w:r>
          </w:p>
        </w:tc>
        <w:tc>
          <w:tcPr>
            <w:tcW w:w="1648" w:type="dxa"/>
            <w:vMerge w:val="restart"/>
            <w:noWrap w:val="0"/>
            <w:vAlign w:val="top"/>
          </w:tcPr>
          <w:p>
            <w:pPr>
              <w:spacing w:line="360" w:lineRule="auto"/>
              <w:ind w:left="-38"/>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966" w:type="dxa"/>
            <w:vMerge w:val="continue"/>
            <w:noWrap w:val="0"/>
            <w:vAlign w:val="center"/>
          </w:tcPr>
          <w:p>
            <w:pPr>
              <w:spacing w:line="360" w:lineRule="auto"/>
              <w:ind w:left="-38" w:firstLine="420" w:firstLineChars="200"/>
              <w:rPr>
                <w:color w:val="auto"/>
              </w:rPr>
            </w:pPr>
          </w:p>
        </w:tc>
        <w:tc>
          <w:tcPr>
            <w:tcW w:w="1205" w:type="dxa"/>
            <w:vMerge w:val="continue"/>
            <w:noWrap w:val="0"/>
            <w:vAlign w:val="center"/>
          </w:tcPr>
          <w:p>
            <w:pPr>
              <w:spacing w:line="360" w:lineRule="auto"/>
              <w:ind w:left="-38" w:firstLine="420" w:firstLineChars="200"/>
              <w:rPr>
                <w:color w:val="auto"/>
              </w:rPr>
            </w:pPr>
          </w:p>
        </w:tc>
        <w:tc>
          <w:tcPr>
            <w:tcW w:w="5397" w:type="dxa"/>
            <w:noWrap w:val="0"/>
            <w:vAlign w:val="top"/>
          </w:tcPr>
          <w:p>
            <w:pPr>
              <w:spacing w:line="360" w:lineRule="auto"/>
              <w:ind w:left="-38"/>
              <w:rPr>
                <w:rFonts w:ascii="宋体" w:hAnsi="宋体" w:cs="宋体"/>
                <w:b/>
                <w:color w:val="auto"/>
                <w:kern w:val="0"/>
                <w:szCs w:val="21"/>
              </w:rPr>
            </w:pPr>
            <w:r>
              <w:rPr>
                <w:rFonts w:hint="eastAsia" w:ascii="宋体" w:hAnsi="宋体" w:cs="宋体"/>
                <w:b/>
                <w:color w:val="auto"/>
                <w:kern w:val="0"/>
                <w:szCs w:val="21"/>
              </w:rPr>
              <w:t>4</w:t>
            </w:r>
            <w:r>
              <w:rPr>
                <w:rFonts w:ascii="宋体" w:hAnsi="宋体" w:cs="宋体"/>
                <w:b/>
                <w:color w:val="auto"/>
                <w:kern w:val="0"/>
                <w:szCs w:val="21"/>
              </w:rPr>
              <w:t>.</w:t>
            </w:r>
            <w:r>
              <w:rPr>
                <w:rFonts w:hint="eastAsia"/>
                <w:b/>
                <w:color w:val="auto"/>
              </w:rPr>
              <w:t xml:space="preserve"> </w:t>
            </w:r>
            <w:r>
              <w:rPr>
                <w:rFonts w:hint="eastAsia" w:ascii="宋体" w:hAnsi="宋体" w:cs="宋体"/>
                <w:b/>
                <w:color w:val="auto"/>
                <w:kern w:val="0"/>
                <w:szCs w:val="21"/>
              </w:rPr>
              <w:t>工作量响应</w:t>
            </w:r>
          </w:p>
          <w:p>
            <w:pPr>
              <w:spacing w:line="360" w:lineRule="auto"/>
              <w:ind w:left="-38" w:firstLine="420" w:firstLineChars="200"/>
              <w:rPr>
                <w:rFonts w:hint="eastAsia" w:ascii="宋体" w:hAnsi="宋体" w:cs="宋体"/>
                <w:color w:val="auto"/>
                <w:kern w:val="0"/>
                <w:szCs w:val="21"/>
              </w:rPr>
            </w:pPr>
            <w:r>
              <w:rPr>
                <w:rFonts w:hint="eastAsia" w:ascii="宋体" w:hAnsi="宋体" w:cs="宋体"/>
                <w:color w:val="auto"/>
                <w:kern w:val="0"/>
                <w:szCs w:val="21"/>
              </w:rPr>
              <w:t>评审专家根据本项目所有供应商提供的方案从应商提供的针对本项目的响应速度和在保证真实、准确的情况下日处理数据能力进行评分。方案说明详细、准确、效率高的为优，得8分；方案说明较为详细、较为准确、效率较高的为良，得5分；方案说明一般详细、准确度不高，效率不高的为一般，得3分。方案说明内容和本项项目无关或未提供的得0分。</w:t>
            </w:r>
          </w:p>
        </w:tc>
        <w:tc>
          <w:tcPr>
            <w:tcW w:w="1648" w:type="dxa"/>
            <w:vMerge w:val="continue"/>
            <w:noWrap w:val="0"/>
            <w:vAlign w:val="top"/>
          </w:tcPr>
          <w:p>
            <w:pPr>
              <w:spacing w:line="360" w:lineRule="auto"/>
              <w:ind w:left="-38" w:firstLine="420" w:firstLineChars="200"/>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66" w:type="dxa"/>
            <w:vMerge w:val="continue"/>
            <w:noWrap w:val="0"/>
            <w:vAlign w:val="center"/>
          </w:tcPr>
          <w:p>
            <w:pPr>
              <w:spacing w:line="300" w:lineRule="exact"/>
              <w:ind w:firstLine="29" w:firstLineChars="14"/>
              <w:jc w:val="center"/>
              <w:rPr>
                <w:color w:val="auto"/>
                <w:szCs w:val="21"/>
              </w:rPr>
            </w:pPr>
          </w:p>
        </w:tc>
        <w:tc>
          <w:tcPr>
            <w:tcW w:w="1205" w:type="dxa"/>
            <w:vMerge w:val="continue"/>
            <w:noWrap w:val="0"/>
            <w:vAlign w:val="center"/>
          </w:tcPr>
          <w:p>
            <w:pPr>
              <w:spacing w:line="300" w:lineRule="exact"/>
              <w:jc w:val="center"/>
              <w:rPr>
                <w:color w:val="auto"/>
                <w:szCs w:val="22"/>
              </w:rPr>
            </w:pPr>
          </w:p>
        </w:tc>
        <w:tc>
          <w:tcPr>
            <w:tcW w:w="5397" w:type="dxa"/>
            <w:noWrap w:val="0"/>
            <w:vAlign w:val="top"/>
          </w:tcPr>
          <w:p>
            <w:pPr>
              <w:spacing w:line="360" w:lineRule="auto"/>
              <w:rPr>
                <w:color w:val="auto"/>
              </w:rPr>
            </w:pPr>
            <w:r>
              <w:rPr>
                <w:rFonts w:hint="eastAsia" w:ascii="宋体" w:hAnsi="宋体" w:cs="宋体"/>
                <w:b/>
                <w:color w:val="auto"/>
                <w:kern w:val="0"/>
                <w:szCs w:val="21"/>
              </w:rPr>
              <w:t>5.进度计划管理</w:t>
            </w:r>
          </w:p>
          <w:p>
            <w:pPr>
              <w:spacing w:line="360" w:lineRule="auto"/>
              <w:ind w:left="-38" w:firstLine="420" w:firstLineChars="200"/>
              <w:rPr>
                <w:rFonts w:ascii="宋体" w:hAnsi="宋体" w:cs="宋体"/>
                <w:color w:val="auto"/>
                <w:kern w:val="0"/>
                <w:szCs w:val="21"/>
              </w:rPr>
            </w:pPr>
            <w:r>
              <w:rPr>
                <w:rFonts w:hint="eastAsia" w:ascii="宋体" w:hAnsi="宋体" w:cs="宋体"/>
                <w:color w:val="auto"/>
                <w:kern w:val="0"/>
                <w:szCs w:val="21"/>
              </w:rPr>
              <w:t>评审专家根据本项目所有供应商提供的方案从应商提供的针对本项目的进度计划安排是否合理，是否能够满足工期要求，跟踪、纠偏、控制措施是否完备进行评分。方案说明详细、准确、效率高的为优，得8分；方案说明较为详细、较为准确、效率较高的为良，得5分；方案说明一般详细、准确度不高，效率不高的为一般，得3分。方案说明内容和本项项目无关或未提供的得0分。</w:t>
            </w:r>
          </w:p>
        </w:tc>
        <w:tc>
          <w:tcPr>
            <w:tcW w:w="1648" w:type="dxa"/>
            <w:vMerge w:val="continue"/>
            <w:noWrap w:val="0"/>
            <w:vAlign w:val="top"/>
          </w:tcPr>
          <w:p>
            <w:pPr>
              <w:spacing w:line="360" w:lineRule="auto"/>
              <w:ind w:left="-38"/>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966" w:type="dxa"/>
            <w:vMerge w:val="restart"/>
            <w:noWrap w:val="0"/>
            <w:vAlign w:val="center"/>
          </w:tcPr>
          <w:p>
            <w:pPr>
              <w:spacing w:line="300" w:lineRule="exact"/>
              <w:ind w:firstLine="29" w:firstLineChars="14"/>
              <w:jc w:val="center"/>
              <w:rPr>
                <w:color w:val="auto"/>
                <w:szCs w:val="21"/>
              </w:rPr>
            </w:pPr>
            <w:r>
              <w:rPr>
                <w:rFonts w:hint="eastAsia"/>
                <w:color w:val="auto"/>
                <w:szCs w:val="21"/>
              </w:rPr>
              <w:t>2.1.</w:t>
            </w:r>
            <w:r>
              <w:rPr>
                <w:color w:val="auto"/>
                <w:szCs w:val="21"/>
              </w:rPr>
              <w:t>3</w:t>
            </w:r>
          </w:p>
        </w:tc>
        <w:tc>
          <w:tcPr>
            <w:tcW w:w="1205" w:type="dxa"/>
            <w:vMerge w:val="restart"/>
            <w:noWrap w:val="0"/>
            <w:vAlign w:val="center"/>
          </w:tcPr>
          <w:p>
            <w:pPr>
              <w:spacing w:line="300" w:lineRule="exact"/>
              <w:jc w:val="center"/>
              <w:rPr>
                <w:color w:val="auto"/>
                <w:szCs w:val="22"/>
              </w:rPr>
            </w:pPr>
            <w:r>
              <w:rPr>
                <w:rFonts w:hint="eastAsia"/>
                <w:color w:val="auto"/>
                <w:szCs w:val="22"/>
              </w:rPr>
              <w:t>商务部分C（4</w:t>
            </w:r>
            <w:r>
              <w:rPr>
                <w:color w:val="auto"/>
                <w:szCs w:val="22"/>
              </w:rPr>
              <w:t>0</w:t>
            </w:r>
            <w:r>
              <w:rPr>
                <w:rFonts w:hint="eastAsia"/>
                <w:color w:val="auto"/>
                <w:szCs w:val="22"/>
              </w:rPr>
              <w:t>分）</w:t>
            </w:r>
          </w:p>
        </w:tc>
        <w:tc>
          <w:tcPr>
            <w:tcW w:w="5397" w:type="dxa"/>
            <w:noWrap w:val="0"/>
            <w:vAlign w:val="center"/>
          </w:tcPr>
          <w:p>
            <w:pPr>
              <w:spacing w:line="360" w:lineRule="auto"/>
              <w:rPr>
                <w:rFonts w:ascii="宋体" w:hAnsi="宋体" w:cs="宋体"/>
                <w:color w:val="auto"/>
                <w:kern w:val="0"/>
                <w:szCs w:val="21"/>
              </w:rPr>
            </w:pPr>
            <w:r>
              <w:rPr>
                <w:rFonts w:hint="eastAsia" w:ascii="宋体" w:hAnsi="宋体" w:cs="宋体"/>
                <w:color w:val="auto"/>
                <w:kern w:val="0"/>
                <w:szCs w:val="21"/>
              </w:rPr>
              <w:t>1.拟派项目负责人，具有咨询工程师证书的得4分，不满足或未提供不得分；</w:t>
            </w:r>
          </w:p>
        </w:tc>
        <w:tc>
          <w:tcPr>
            <w:tcW w:w="1648" w:type="dxa"/>
            <w:noWrap w:val="0"/>
            <w:vAlign w:val="center"/>
          </w:tcPr>
          <w:p>
            <w:pPr>
              <w:pStyle w:val="2"/>
              <w:spacing w:line="360" w:lineRule="auto"/>
              <w:rPr>
                <w:rFonts w:hint="eastAsia" w:ascii="宋体" w:hAnsi="宋体" w:eastAsia="宋体" w:cs="宋体"/>
                <w:color w:val="auto"/>
                <w:kern w:val="0"/>
                <w:sz w:val="21"/>
                <w:szCs w:val="21"/>
                <w:lang w:val="en-US" w:bidi="ar-SA"/>
              </w:rPr>
            </w:pPr>
            <w:r>
              <w:rPr>
                <w:rFonts w:hint="eastAsia" w:ascii="宋体" w:hAnsi="宋体" w:eastAsia="宋体" w:cs="宋体"/>
                <w:color w:val="auto"/>
                <w:kern w:val="0"/>
                <w:sz w:val="21"/>
                <w:szCs w:val="21"/>
                <w:lang w:val="en-US" w:bidi="ar-SA"/>
              </w:rPr>
              <w:t>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966" w:type="dxa"/>
            <w:vMerge w:val="continue"/>
            <w:noWrap w:val="0"/>
            <w:vAlign w:val="center"/>
          </w:tcPr>
          <w:p>
            <w:pPr>
              <w:spacing w:line="300" w:lineRule="exact"/>
              <w:ind w:firstLine="29" w:firstLineChars="14"/>
              <w:jc w:val="center"/>
              <w:rPr>
                <w:rFonts w:hint="eastAsia"/>
                <w:color w:val="auto"/>
                <w:szCs w:val="21"/>
              </w:rPr>
            </w:pPr>
          </w:p>
        </w:tc>
        <w:tc>
          <w:tcPr>
            <w:tcW w:w="1205" w:type="dxa"/>
            <w:vMerge w:val="continue"/>
            <w:noWrap w:val="0"/>
            <w:vAlign w:val="center"/>
          </w:tcPr>
          <w:p>
            <w:pPr>
              <w:spacing w:line="300" w:lineRule="exact"/>
              <w:jc w:val="center"/>
              <w:rPr>
                <w:rFonts w:hint="eastAsia"/>
                <w:color w:val="auto"/>
                <w:szCs w:val="22"/>
              </w:rPr>
            </w:pPr>
          </w:p>
        </w:tc>
        <w:tc>
          <w:tcPr>
            <w:tcW w:w="5397" w:type="dxa"/>
            <w:noWrap w:val="0"/>
            <w:vAlign w:val="center"/>
          </w:tcPr>
          <w:p>
            <w:pPr>
              <w:spacing w:line="360" w:lineRule="auto"/>
              <w:rPr>
                <w:rFonts w:hint="eastAsia" w:ascii="宋体" w:hAnsi="宋体" w:cs="宋体"/>
                <w:color w:val="auto"/>
                <w:kern w:val="0"/>
                <w:szCs w:val="21"/>
              </w:rPr>
            </w:pPr>
            <w:r>
              <w:rPr>
                <w:rFonts w:hint="eastAsia" w:ascii="宋体" w:hAnsi="宋体" w:cs="宋体"/>
                <w:color w:val="auto"/>
                <w:kern w:val="0"/>
                <w:szCs w:val="21"/>
              </w:rPr>
              <w:t>2.拟派项目实施人员，具有软件设计师工程证书或公路工程中级职称证书的，1个人员得2分，最高得6分。不满足或未提供的得0分。</w:t>
            </w:r>
          </w:p>
        </w:tc>
        <w:tc>
          <w:tcPr>
            <w:tcW w:w="1648" w:type="dxa"/>
            <w:noWrap w:val="0"/>
            <w:vAlign w:val="center"/>
          </w:tcPr>
          <w:p>
            <w:pPr>
              <w:pStyle w:val="2"/>
              <w:spacing w:line="360" w:lineRule="auto"/>
              <w:rPr>
                <w:rFonts w:hint="eastAsia" w:ascii="宋体" w:hAnsi="宋体" w:eastAsia="宋体" w:cs="宋体"/>
                <w:color w:val="auto"/>
                <w:kern w:val="0"/>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66" w:type="dxa"/>
            <w:vMerge w:val="continue"/>
            <w:noWrap w:val="0"/>
            <w:vAlign w:val="center"/>
          </w:tcPr>
          <w:p>
            <w:pPr>
              <w:spacing w:line="300" w:lineRule="exact"/>
              <w:ind w:firstLine="29" w:firstLineChars="14"/>
              <w:jc w:val="center"/>
              <w:rPr>
                <w:color w:val="auto"/>
                <w:szCs w:val="21"/>
              </w:rPr>
            </w:pPr>
          </w:p>
        </w:tc>
        <w:tc>
          <w:tcPr>
            <w:tcW w:w="1205" w:type="dxa"/>
            <w:vMerge w:val="continue"/>
            <w:noWrap w:val="0"/>
            <w:vAlign w:val="center"/>
          </w:tcPr>
          <w:p>
            <w:pPr>
              <w:spacing w:line="300" w:lineRule="exact"/>
              <w:jc w:val="center"/>
              <w:rPr>
                <w:color w:val="auto"/>
                <w:szCs w:val="22"/>
              </w:rPr>
            </w:pPr>
          </w:p>
        </w:tc>
        <w:tc>
          <w:tcPr>
            <w:tcW w:w="5397" w:type="dxa"/>
            <w:noWrap w:val="0"/>
            <w:vAlign w:val="center"/>
          </w:tcPr>
          <w:p>
            <w:pPr>
              <w:spacing w:line="360" w:lineRule="auto"/>
              <w:rPr>
                <w:rFonts w:hint="eastAsia" w:ascii="宋体" w:hAnsi="宋体" w:cs="宋体"/>
                <w:color w:val="auto"/>
                <w:kern w:val="0"/>
                <w:szCs w:val="21"/>
              </w:rPr>
            </w:pPr>
            <w:r>
              <w:rPr>
                <w:rFonts w:hint="eastAsia" w:ascii="宋体" w:hAnsi="宋体" w:cs="宋体"/>
                <w:color w:val="auto"/>
                <w:kern w:val="0"/>
                <w:szCs w:val="21"/>
              </w:rPr>
              <w:t>3.投标人具有与本项目相关的公路数据类软件著作权证书的得5分，最高得5分，不满足或未提供得0分；</w:t>
            </w:r>
          </w:p>
        </w:tc>
        <w:tc>
          <w:tcPr>
            <w:tcW w:w="1648" w:type="dxa"/>
            <w:vMerge w:val="restart"/>
            <w:noWrap w:val="0"/>
            <w:vAlign w:val="center"/>
          </w:tcPr>
          <w:p>
            <w:pPr>
              <w:pStyle w:val="2"/>
              <w:spacing w:line="360" w:lineRule="auto"/>
              <w:rPr>
                <w:rFonts w:hint="eastAsia" w:ascii="宋体" w:hAnsi="宋体" w:eastAsia="宋体" w:cs="宋体"/>
                <w:color w:val="auto"/>
                <w:kern w:val="0"/>
                <w:sz w:val="21"/>
                <w:szCs w:val="21"/>
                <w:lang w:val="en-US" w:bidi="ar-SA"/>
              </w:rPr>
            </w:pPr>
            <w:r>
              <w:rPr>
                <w:rFonts w:hint="eastAsia" w:ascii="宋体" w:hAnsi="宋体" w:eastAsia="宋体" w:cs="宋体"/>
                <w:color w:val="auto"/>
                <w:kern w:val="0"/>
                <w:sz w:val="21"/>
                <w:szCs w:val="21"/>
                <w:lang w:val="en-US" w:bidi="ar-SA"/>
              </w:rPr>
              <w:t>提供有效证明文件扫描件并加盖供应商公章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66" w:type="dxa"/>
            <w:vMerge w:val="continue"/>
            <w:noWrap w:val="0"/>
            <w:vAlign w:val="center"/>
          </w:tcPr>
          <w:p>
            <w:pPr>
              <w:spacing w:line="300" w:lineRule="exact"/>
              <w:ind w:firstLine="29" w:firstLineChars="14"/>
              <w:jc w:val="center"/>
              <w:rPr>
                <w:color w:val="auto"/>
                <w:szCs w:val="21"/>
              </w:rPr>
            </w:pPr>
          </w:p>
        </w:tc>
        <w:tc>
          <w:tcPr>
            <w:tcW w:w="1205" w:type="dxa"/>
            <w:vMerge w:val="continue"/>
            <w:noWrap w:val="0"/>
            <w:vAlign w:val="center"/>
          </w:tcPr>
          <w:p>
            <w:pPr>
              <w:spacing w:line="300" w:lineRule="exact"/>
              <w:jc w:val="center"/>
              <w:rPr>
                <w:color w:val="auto"/>
                <w:szCs w:val="22"/>
              </w:rPr>
            </w:pPr>
          </w:p>
        </w:tc>
        <w:tc>
          <w:tcPr>
            <w:tcW w:w="5397" w:type="dxa"/>
            <w:noWrap w:val="0"/>
            <w:vAlign w:val="center"/>
          </w:tcPr>
          <w:p>
            <w:pPr>
              <w:spacing w:line="360" w:lineRule="auto"/>
              <w:rPr>
                <w:rFonts w:hint="eastAsia" w:ascii="宋体" w:hAnsi="宋体" w:cs="宋体"/>
                <w:color w:val="auto"/>
                <w:kern w:val="0"/>
                <w:szCs w:val="21"/>
              </w:rPr>
            </w:pPr>
            <w:r>
              <w:rPr>
                <w:rFonts w:hint="eastAsia" w:ascii="宋体" w:hAnsi="宋体" w:cs="宋体"/>
                <w:color w:val="auto"/>
                <w:kern w:val="0"/>
                <w:szCs w:val="21"/>
              </w:rPr>
              <w:t>4.投标人具有与本项目相关的公路数据类专利的得5分，最高得5分，不满足或未提供得0分。</w:t>
            </w:r>
          </w:p>
        </w:tc>
        <w:tc>
          <w:tcPr>
            <w:tcW w:w="1648" w:type="dxa"/>
            <w:vMerge w:val="continue"/>
            <w:noWrap w:val="0"/>
            <w:vAlign w:val="center"/>
          </w:tcPr>
          <w:p>
            <w:pPr>
              <w:pStyle w:val="2"/>
              <w:spacing w:line="360" w:lineRule="auto"/>
              <w:rPr>
                <w:rFonts w:hint="eastAsia" w:ascii="宋体" w:hAnsi="宋体" w:eastAsia="宋体" w:cs="宋体"/>
                <w:color w:val="auto"/>
                <w:kern w:val="0"/>
                <w:sz w:val="21"/>
                <w:szCs w:val="21"/>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66" w:type="dxa"/>
            <w:vMerge w:val="continue"/>
            <w:noWrap w:val="0"/>
            <w:vAlign w:val="center"/>
          </w:tcPr>
          <w:p>
            <w:pPr>
              <w:spacing w:line="300" w:lineRule="exact"/>
              <w:ind w:firstLine="29" w:firstLineChars="14"/>
              <w:jc w:val="center"/>
              <w:rPr>
                <w:color w:val="auto"/>
                <w:szCs w:val="21"/>
              </w:rPr>
            </w:pPr>
          </w:p>
        </w:tc>
        <w:tc>
          <w:tcPr>
            <w:tcW w:w="1205" w:type="dxa"/>
            <w:vMerge w:val="continue"/>
            <w:noWrap w:val="0"/>
            <w:vAlign w:val="center"/>
          </w:tcPr>
          <w:p>
            <w:pPr>
              <w:spacing w:line="300" w:lineRule="exact"/>
              <w:jc w:val="center"/>
              <w:rPr>
                <w:color w:val="auto"/>
                <w:szCs w:val="22"/>
              </w:rPr>
            </w:pPr>
          </w:p>
        </w:tc>
        <w:tc>
          <w:tcPr>
            <w:tcW w:w="5397" w:type="dxa"/>
            <w:noWrap w:val="0"/>
            <w:vAlign w:val="center"/>
          </w:tcPr>
          <w:p>
            <w:pPr>
              <w:spacing w:line="360" w:lineRule="auto"/>
              <w:rPr>
                <w:rFonts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供应商2021年1月（时间以合同签订时间为准）以来，承担过省级（含直辖市）及以上的类似类似公路数据采集或数据分析评价项目，每提供一个得5分，最高得20分，不满足或未提供得0分.</w:t>
            </w:r>
          </w:p>
        </w:tc>
        <w:tc>
          <w:tcPr>
            <w:tcW w:w="1648" w:type="dxa"/>
            <w:noWrap w:val="0"/>
            <w:vAlign w:val="center"/>
          </w:tcPr>
          <w:p>
            <w:pPr>
              <w:pStyle w:val="2"/>
              <w:spacing w:line="360" w:lineRule="auto"/>
              <w:rPr>
                <w:rFonts w:hint="eastAsia" w:ascii="宋体" w:hAnsi="宋体" w:eastAsia="宋体" w:cs="宋体"/>
                <w:color w:val="auto"/>
                <w:kern w:val="0"/>
                <w:sz w:val="21"/>
                <w:szCs w:val="21"/>
                <w:lang w:val="en-US" w:bidi="ar-SA"/>
              </w:rPr>
            </w:pPr>
            <w:r>
              <w:rPr>
                <w:rFonts w:hint="eastAsia" w:ascii="宋体" w:hAnsi="宋体" w:eastAsia="宋体" w:cs="宋体"/>
                <w:color w:val="auto"/>
                <w:kern w:val="0"/>
                <w:sz w:val="21"/>
                <w:szCs w:val="21"/>
                <w:lang w:val="en-US" w:bidi="ar-SA"/>
              </w:rPr>
              <w:t>提供合同复印件（加盖投标人公章）。不提供或提供材料不符合的要求的不得分。签订合同时原件备查。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71" w:type="dxa"/>
            <w:gridSpan w:val="2"/>
            <w:noWrap w:val="0"/>
            <w:vAlign w:val="center"/>
          </w:tcPr>
          <w:p>
            <w:pPr>
              <w:spacing w:line="300" w:lineRule="exact"/>
              <w:rPr>
                <w:color w:val="auto"/>
                <w:kern w:val="0"/>
                <w:szCs w:val="21"/>
              </w:rPr>
            </w:pPr>
            <w:r>
              <w:rPr>
                <w:rFonts w:hint="eastAsia"/>
                <w:color w:val="auto"/>
                <w:szCs w:val="21"/>
              </w:rPr>
              <w:t>成交候</w:t>
            </w:r>
            <w:r>
              <w:rPr>
                <w:color w:val="auto"/>
                <w:szCs w:val="21"/>
              </w:rPr>
              <w:t>选人最终得分</w:t>
            </w:r>
          </w:p>
        </w:tc>
        <w:tc>
          <w:tcPr>
            <w:tcW w:w="7045" w:type="dxa"/>
            <w:gridSpan w:val="2"/>
            <w:noWrap w:val="0"/>
            <w:vAlign w:val="center"/>
          </w:tcPr>
          <w:p>
            <w:pPr>
              <w:spacing w:line="300" w:lineRule="exact"/>
              <w:rPr>
                <w:color w:val="auto"/>
                <w:szCs w:val="21"/>
              </w:rPr>
            </w:pPr>
            <w:r>
              <w:rPr>
                <w:rFonts w:hint="eastAsia"/>
                <w:color w:val="auto"/>
                <w:szCs w:val="21"/>
              </w:rPr>
              <w:t>成交候选人</w:t>
            </w:r>
            <w:r>
              <w:rPr>
                <w:color w:val="auto"/>
                <w:szCs w:val="21"/>
              </w:rPr>
              <w:t>评标得分＝综合得分（</w:t>
            </w:r>
            <w:r>
              <w:rPr>
                <w:rFonts w:hint="eastAsia"/>
                <w:color w:val="auto"/>
                <w:szCs w:val="21"/>
              </w:rPr>
              <w:t>经济得分A</w:t>
            </w:r>
            <w:r>
              <w:rPr>
                <w:color w:val="auto"/>
                <w:szCs w:val="21"/>
              </w:rPr>
              <w:t>+</w:t>
            </w:r>
            <w:r>
              <w:rPr>
                <w:rFonts w:hint="eastAsia"/>
                <w:color w:val="auto"/>
                <w:szCs w:val="21"/>
              </w:rPr>
              <w:t>技术</w:t>
            </w:r>
            <w:r>
              <w:rPr>
                <w:color w:val="auto"/>
                <w:szCs w:val="21"/>
              </w:rPr>
              <w:t>得分</w:t>
            </w:r>
            <w:r>
              <w:rPr>
                <w:rFonts w:hint="eastAsia"/>
                <w:color w:val="auto"/>
                <w:szCs w:val="21"/>
              </w:rPr>
              <w:t>+B</w:t>
            </w:r>
            <w:r>
              <w:rPr>
                <w:rFonts w:hint="eastAsia"/>
                <w:color w:val="auto"/>
                <w:szCs w:val="22"/>
              </w:rPr>
              <w:t>商务部分C</w:t>
            </w:r>
            <w:r>
              <w:rPr>
                <w:color w:val="auto"/>
                <w:szCs w:val="21"/>
              </w:rPr>
              <w:t>）</w:t>
            </w:r>
            <w:r>
              <w:rPr>
                <w:rFonts w:hint="eastAsia"/>
                <w:color w:val="auto"/>
                <w:szCs w:val="21"/>
              </w:rPr>
              <w:t>，对综合得分由高到低的先后顺序推荐3名成交候选人。若不足3名，则只选取相应的数量。</w:t>
            </w:r>
          </w:p>
        </w:tc>
      </w:tr>
    </w:tbl>
    <w:p>
      <w:pPr>
        <w:spacing w:line="440" w:lineRule="exact"/>
        <w:rPr>
          <w:b/>
          <w:color w:val="auto"/>
          <w:szCs w:val="21"/>
        </w:rPr>
      </w:pPr>
      <w:r>
        <w:rPr>
          <w:b/>
          <w:color w:val="auto"/>
          <w:szCs w:val="21"/>
        </w:rPr>
        <w:t>五、</w:t>
      </w:r>
      <w:r>
        <w:rPr>
          <w:rFonts w:hint="eastAsia"/>
          <w:b/>
          <w:color w:val="auto"/>
          <w:szCs w:val="21"/>
        </w:rPr>
        <w:t>竞争性比选</w:t>
      </w:r>
      <w:r>
        <w:rPr>
          <w:b/>
          <w:color w:val="auto"/>
          <w:szCs w:val="21"/>
        </w:rPr>
        <w:t>须知</w:t>
      </w:r>
      <w:r>
        <w:rPr>
          <w:rFonts w:hint="eastAsia"/>
          <w:b/>
          <w:color w:val="auto"/>
          <w:szCs w:val="21"/>
        </w:rPr>
        <w:t>:</w:t>
      </w:r>
    </w:p>
    <w:p>
      <w:pPr>
        <w:spacing w:line="440" w:lineRule="exact"/>
        <w:ind w:firstLine="420" w:firstLineChars="200"/>
        <w:rPr>
          <w:rFonts w:ascii="宋体" w:hAnsi="宋体" w:cs="宋体"/>
          <w:color w:val="auto"/>
          <w:szCs w:val="21"/>
        </w:rPr>
      </w:pPr>
      <w:r>
        <w:rPr>
          <w:rFonts w:hint="eastAsia" w:ascii="宋体" w:hAnsi="宋体" w:cs="宋体"/>
          <w:color w:val="auto"/>
          <w:szCs w:val="21"/>
        </w:rPr>
        <w:t>（一）凡有意参加竞标者，从挂网之日起至竞争性比选响应文件递交截止时间前在高速集团官网（http://www.cegc.com.cn/gw/index）、高速集团招投标平台（http://219.152.86.11:8088/pms/）上自行下载竞争性比选文件等全部内容。不管下载与否都视为潜在比选申请人全部知晓有关比选过程和全部内容。</w:t>
      </w:r>
    </w:p>
    <w:p>
      <w:pPr>
        <w:spacing w:line="440" w:lineRule="exact"/>
        <w:ind w:firstLine="420" w:firstLineChars="200"/>
        <w:rPr>
          <w:rFonts w:ascii="宋体" w:hAnsi="宋体" w:cs="宋体"/>
          <w:color w:val="auto"/>
          <w:szCs w:val="21"/>
        </w:rPr>
      </w:pPr>
      <w:r>
        <w:rPr>
          <w:rFonts w:hint="eastAsia" w:ascii="宋体" w:hAnsi="宋体" w:cs="宋体"/>
          <w:color w:val="auto"/>
          <w:szCs w:val="21"/>
        </w:rPr>
        <w:t>（二）竞争性比选报价文件提交截止时间（即开标时间）：2023年</w:t>
      </w:r>
      <w:r>
        <w:rPr>
          <w:rFonts w:ascii="宋体" w:hAnsi="宋体" w:cs="宋体"/>
          <w:color w:val="auto"/>
          <w:szCs w:val="21"/>
        </w:rPr>
        <w:t>0</w:t>
      </w:r>
      <w:r>
        <w:rPr>
          <w:rFonts w:hint="eastAsia" w:ascii="宋体" w:hAnsi="宋体" w:cs="宋体"/>
          <w:color w:val="auto"/>
          <w:szCs w:val="21"/>
          <w:lang w:val="en-US" w:eastAsia="zh-CN"/>
        </w:rPr>
        <w:t>5</w:t>
      </w:r>
      <w:r>
        <w:rPr>
          <w:rFonts w:hint="eastAsia" w:ascii="宋体" w:hAnsi="宋体" w:cs="宋体"/>
          <w:color w:val="auto"/>
          <w:szCs w:val="21"/>
        </w:rPr>
        <w:t>月</w:t>
      </w:r>
      <w:r>
        <w:rPr>
          <w:rFonts w:hint="eastAsia" w:ascii="宋体" w:hAnsi="宋体" w:cs="宋体"/>
          <w:color w:val="auto"/>
          <w:szCs w:val="21"/>
          <w:lang w:val="en-US" w:eastAsia="zh-CN"/>
        </w:rPr>
        <w:t>12</w:t>
      </w:r>
      <w:r>
        <w:rPr>
          <w:rFonts w:hint="eastAsia" w:ascii="宋体" w:hAnsi="宋体" w:cs="宋体"/>
          <w:color w:val="auto"/>
          <w:szCs w:val="21"/>
        </w:rPr>
        <w:t>日</w:t>
      </w:r>
      <w:r>
        <w:rPr>
          <w:rFonts w:ascii="宋体" w:hAnsi="宋体" w:cs="宋体"/>
          <w:color w:val="auto"/>
          <w:szCs w:val="21"/>
        </w:rPr>
        <w:t>14</w:t>
      </w:r>
      <w:r>
        <w:rPr>
          <w:rFonts w:hint="eastAsia" w:ascii="宋体" w:hAnsi="宋体" w:cs="宋体"/>
          <w:color w:val="auto"/>
          <w:szCs w:val="21"/>
        </w:rPr>
        <w:t>时</w:t>
      </w:r>
      <w:r>
        <w:rPr>
          <w:rFonts w:ascii="宋体" w:hAnsi="宋体" w:cs="宋体"/>
          <w:color w:val="auto"/>
          <w:szCs w:val="21"/>
        </w:rPr>
        <w:t>30</w:t>
      </w:r>
      <w:r>
        <w:rPr>
          <w:rFonts w:hint="eastAsia" w:ascii="宋体" w:hAnsi="宋体" w:cs="宋体"/>
          <w:color w:val="auto"/>
          <w:szCs w:val="21"/>
        </w:rPr>
        <w:t>分（北京时间）。</w:t>
      </w:r>
    </w:p>
    <w:p>
      <w:pPr>
        <w:spacing w:line="440" w:lineRule="exact"/>
        <w:ind w:firstLine="420" w:firstLineChars="200"/>
        <w:rPr>
          <w:rFonts w:ascii="宋体" w:hAnsi="宋体" w:cs="宋体"/>
          <w:color w:val="auto"/>
          <w:szCs w:val="21"/>
        </w:rPr>
      </w:pPr>
      <w:r>
        <w:rPr>
          <w:rFonts w:hint="eastAsia" w:ascii="宋体" w:hAnsi="宋体" w:cs="宋体"/>
          <w:color w:val="auto"/>
          <w:szCs w:val="21"/>
        </w:rPr>
        <w:t>（三）竞争性比选地点：重庆市渝北区星光大道62号海王星科技大厦d区5楼。</w:t>
      </w:r>
    </w:p>
    <w:p>
      <w:pPr>
        <w:spacing w:line="440" w:lineRule="exact"/>
        <w:ind w:firstLine="420" w:firstLineChars="200"/>
        <w:rPr>
          <w:rFonts w:ascii="宋体" w:hAnsi="宋体" w:cs="宋体"/>
          <w:color w:val="auto"/>
          <w:szCs w:val="21"/>
        </w:rPr>
      </w:pPr>
      <w:r>
        <w:rPr>
          <w:rFonts w:hint="eastAsia" w:ascii="宋体" w:hAnsi="宋体" w:cs="宋体"/>
          <w:color w:val="auto"/>
          <w:szCs w:val="21"/>
        </w:rPr>
        <w:t>（四） 逾期送达的或者未送达指定地点的比选申请文件，比选人不予受理。</w:t>
      </w:r>
    </w:p>
    <w:p>
      <w:pPr>
        <w:spacing w:line="440" w:lineRule="exact"/>
        <w:ind w:firstLine="420" w:firstLineChars="200"/>
        <w:rPr>
          <w:rFonts w:ascii="宋体" w:hAnsi="宋体" w:cs="宋体"/>
          <w:color w:val="auto"/>
          <w:szCs w:val="21"/>
        </w:rPr>
      </w:pPr>
      <w:r>
        <w:rPr>
          <w:rFonts w:hint="eastAsia" w:ascii="宋体" w:hAnsi="宋体" w:cs="宋体"/>
          <w:color w:val="auto"/>
          <w:szCs w:val="21"/>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spacing w:line="440" w:lineRule="exact"/>
        <w:ind w:firstLine="420" w:firstLineChars="200"/>
        <w:rPr>
          <w:rFonts w:ascii="宋体" w:hAnsi="宋体" w:cs="宋体"/>
          <w:color w:val="auto"/>
          <w:szCs w:val="21"/>
        </w:rPr>
      </w:pPr>
      <w:r>
        <w:rPr>
          <w:rFonts w:hint="eastAsia" w:ascii="宋体" w:hAnsi="宋体" w:cs="宋体"/>
          <w:color w:val="auto"/>
          <w:szCs w:val="21"/>
        </w:rPr>
        <w:t>（六）竞争性比选响应文件的份数及编制要求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竞争性比选响应文件正本1份，副本</w:t>
      </w:r>
      <w:r>
        <w:rPr>
          <w:rFonts w:ascii="宋体" w:hAnsi="宋体" w:cs="宋体"/>
          <w:color w:val="auto"/>
          <w:szCs w:val="21"/>
        </w:rPr>
        <w:t>2</w:t>
      </w:r>
      <w:r>
        <w:rPr>
          <w:rFonts w:hint="eastAsia" w:ascii="宋体" w:hAnsi="宋体" w:cs="宋体"/>
          <w:color w:val="auto"/>
          <w:szCs w:val="21"/>
        </w:rPr>
        <w:t>份。竞争性比选响应文件按竞争性比选文件中规定格式排版，并应编制目录。</w:t>
      </w:r>
    </w:p>
    <w:p>
      <w:pPr>
        <w:spacing w:line="440" w:lineRule="exact"/>
        <w:ind w:firstLine="420" w:firstLineChars="200"/>
        <w:rPr>
          <w:rFonts w:ascii="宋体" w:hAnsi="宋体" w:cs="宋体"/>
          <w:color w:val="auto"/>
          <w:szCs w:val="21"/>
        </w:rPr>
      </w:pPr>
      <w:r>
        <w:rPr>
          <w:rFonts w:hint="eastAsia" w:ascii="宋体" w:hAnsi="宋体" w:cs="宋体"/>
          <w:color w:val="auto"/>
          <w:szCs w:val="21"/>
        </w:rPr>
        <w:t>（七）密封要求</w:t>
      </w:r>
    </w:p>
    <w:p>
      <w:pPr>
        <w:spacing w:line="440" w:lineRule="exact"/>
        <w:ind w:firstLine="420" w:firstLineChars="200"/>
        <w:rPr>
          <w:rFonts w:ascii="宋体" w:hAnsi="宋体" w:cs="宋体"/>
          <w:color w:val="auto"/>
          <w:szCs w:val="21"/>
        </w:rPr>
      </w:pPr>
      <w:r>
        <w:rPr>
          <w:rFonts w:hint="eastAsia" w:ascii="宋体" w:hAnsi="宋体" w:cs="宋体"/>
          <w:color w:val="auto"/>
          <w:szCs w:val="21"/>
        </w:rPr>
        <w:t>将竞争性比选响应文件密封到一个封套中，再在封套上写明：</w:t>
      </w:r>
    </w:p>
    <w:p>
      <w:pPr>
        <w:spacing w:line="440" w:lineRule="exact"/>
        <w:ind w:firstLine="420" w:firstLineChars="200"/>
        <w:jc w:val="center"/>
        <w:rPr>
          <w:rFonts w:ascii="宋体" w:hAnsi="宋体" w:cs="宋体"/>
          <w:color w:val="auto"/>
          <w:szCs w:val="21"/>
          <w:u w:val="single"/>
        </w:rPr>
      </w:pPr>
      <w:r>
        <w:rPr>
          <w:rFonts w:hint="eastAsia" w:ascii="宋体" w:hAnsi="宋体" w:cs="宋体"/>
          <w:color w:val="auto"/>
          <w:szCs w:val="21"/>
          <w:u w:val="single"/>
        </w:rPr>
        <w:t>2023年度道路病害标识服务项目竞争性比选申请文件</w:t>
      </w:r>
    </w:p>
    <w:p>
      <w:pPr>
        <w:spacing w:line="440" w:lineRule="exact"/>
        <w:ind w:firstLine="420" w:firstLineChars="200"/>
        <w:jc w:val="center"/>
        <w:rPr>
          <w:rFonts w:ascii="宋体" w:hAnsi="宋体" w:cs="宋体"/>
          <w:color w:val="auto"/>
          <w:szCs w:val="21"/>
          <w:u w:val="single"/>
        </w:rPr>
      </w:pPr>
      <w:r>
        <w:rPr>
          <w:rFonts w:hint="eastAsia" w:ascii="宋体" w:hAnsi="宋体" w:cs="宋体"/>
          <w:color w:val="auto"/>
          <w:szCs w:val="21"/>
          <w:u w:val="single"/>
        </w:rPr>
        <w:t>在2023年</w:t>
      </w:r>
      <w:r>
        <w:rPr>
          <w:rFonts w:ascii="宋体" w:hAnsi="宋体" w:cs="宋体"/>
          <w:color w:val="auto"/>
          <w:szCs w:val="21"/>
          <w:u w:val="single"/>
        </w:rPr>
        <w:t>0</w:t>
      </w:r>
      <w:r>
        <w:rPr>
          <w:rFonts w:hint="eastAsia" w:ascii="宋体" w:hAnsi="宋体" w:cs="宋体"/>
          <w:color w:val="auto"/>
          <w:szCs w:val="21"/>
          <w:u w:val="single"/>
          <w:lang w:val="en-US" w:eastAsia="zh-CN"/>
        </w:rPr>
        <w:t>5</w:t>
      </w:r>
      <w:r>
        <w:rPr>
          <w:rFonts w:hint="eastAsia" w:ascii="宋体" w:hAnsi="宋体" w:cs="宋体"/>
          <w:color w:val="auto"/>
          <w:szCs w:val="21"/>
          <w:u w:val="single"/>
        </w:rPr>
        <w:t>月</w:t>
      </w:r>
      <w:r>
        <w:rPr>
          <w:rFonts w:hint="eastAsia" w:ascii="宋体" w:hAnsi="宋体" w:cs="宋体"/>
          <w:color w:val="auto"/>
          <w:szCs w:val="21"/>
          <w:u w:val="single"/>
          <w:lang w:val="en-US" w:eastAsia="zh-CN"/>
        </w:rPr>
        <w:t>12</w:t>
      </w:r>
      <w:r>
        <w:rPr>
          <w:rFonts w:hint="eastAsia" w:ascii="宋体" w:hAnsi="宋体" w:cs="宋体"/>
          <w:color w:val="auto"/>
          <w:szCs w:val="21"/>
          <w:u w:val="single"/>
        </w:rPr>
        <w:t>日</w:t>
      </w:r>
      <w:r>
        <w:rPr>
          <w:rFonts w:ascii="宋体" w:hAnsi="宋体" w:cs="宋体"/>
          <w:color w:val="auto"/>
          <w:szCs w:val="21"/>
          <w:u w:val="single"/>
        </w:rPr>
        <w:t>14</w:t>
      </w:r>
      <w:r>
        <w:rPr>
          <w:rFonts w:hint="eastAsia" w:ascii="宋体" w:hAnsi="宋体" w:cs="宋体"/>
          <w:color w:val="auto"/>
          <w:szCs w:val="21"/>
          <w:u w:val="single"/>
        </w:rPr>
        <w:t xml:space="preserve">时 </w:t>
      </w:r>
      <w:r>
        <w:rPr>
          <w:rFonts w:ascii="宋体" w:hAnsi="宋体" w:cs="宋体"/>
          <w:color w:val="auto"/>
          <w:szCs w:val="21"/>
          <w:u w:val="single"/>
        </w:rPr>
        <w:t>30</w:t>
      </w:r>
      <w:r>
        <w:rPr>
          <w:rFonts w:hint="eastAsia" w:ascii="宋体" w:hAnsi="宋体" w:cs="宋体"/>
          <w:color w:val="auto"/>
          <w:szCs w:val="21"/>
          <w:u w:val="single"/>
        </w:rPr>
        <w:t xml:space="preserve"> 分前不得开启</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（八）联系方式</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询价人：重庆鹏途企业管理咨询有限公司</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地  址：重庆市渝北区星光大道62号海王星科技大厦d区5楼</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 xml:space="preserve">联系人：梁老师       </w:t>
      </w:r>
    </w:p>
    <w:p>
      <w:pPr>
        <w:spacing w:line="440" w:lineRule="exact"/>
        <w:ind w:firstLine="420" w:firstLineChars="200"/>
        <w:jc w:val="left"/>
        <w:rPr>
          <w:rFonts w:ascii="宋体" w:hAnsi="宋体" w:cs="宋体"/>
          <w:color w:val="auto"/>
          <w:szCs w:val="21"/>
        </w:rPr>
      </w:pPr>
      <w:r>
        <w:rPr>
          <w:rFonts w:hint="eastAsia" w:ascii="宋体" w:hAnsi="宋体" w:cs="宋体"/>
          <w:color w:val="auto"/>
          <w:szCs w:val="21"/>
        </w:rPr>
        <w:t>电  话：</w:t>
      </w:r>
      <w:r>
        <w:rPr>
          <w:rFonts w:ascii="宋体" w:hAnsi="宋体" w:cs="宋体"/>
          <w:color w:val="auto"/>
          <w:szCs w:val="21"/>
        </w:rPr>
        <w:t>18883775227</w:t>
      </w:r>
    </w:p>
    <w:p>
      <w:pPr>
        <w:pStyle w:val="5"/>
        <w:rPr>
          <w:rFonts w:ascii="宋体" w:hAnsi="宋体" w:cs="宋体"/>
          <w:color w:val="auto"/>
          <w:sz w:val="24"/>
          <w:szCs w:val="24"/>
        </w:rPr>
      </w:pPr>
    </w:p>
    <w:p>
      <w:pPr>
        <w:jc w:val="center"/>
        <w:rPr>
          <w:rFonts w:ascii="宋体" w:hAnsi="宋体" w:cs="宋体"/>
          <w:b/>
          <w:color w:val="auto"/>
          <w:sz w:val="24"/>
        </w:rPr>
      </w:pPr>
    </w:p>
    <w:p>
      <w:pPr>
        <w:jc w:val="center"/>
        <w:rPr>
          <w:rFonts w:ascii="宋体" w:hAnsi="宋体" w:cs="宋体"/>
          <w:b/>
          <w:color w:val="auto"/>
          <w:sz w:val="24"/>
        </w:rPr>
      </w:pPr>
    </w:p>
    <w:p>
      <w:pPr>
        <w:jc w:val="center"/>
        <w:rPr>
          <w:rFonts w:ascii="宋体" w:hAnsi="宋体" w:cs="宋体"/>
          <w:b/>
          <w:color w:val="auto"/>
          <w:sz w:val="24"/>
        </w:rPr>
      </w:pPr>
    </w:p>
    <w:p>
      <w:pPr>
        <w:rPr>
          <w:rFonts w:ascii="宋体" w:hAnsi="宋体" w:cs="宋体"/>
          <w:b/>
          <w:color w:val="auto"/>
          <w:sz w:val="24"/>
        </w:rPr>
      </w:pPr>
    </w:p>
    <w:p>
      <w:pPr>
        <w:jc w:val="center"/>
        <w:rPr>
          <w:rFonts w:ascii="宋体" w:hAnsi="宋体" w:cs="宋体"/>
          <w:b/>
          <w:color w:val="auto"/>
          <w:sz w:val="36"/>
        </w:rPr>
      </w:pPr>
    </w:p>
    <w:p>
      <w:pPr>
        <w:widowControl/>
        <w:jc w:val="left"/>
        <w:rPr>
          <w:rFonts w:ascii="宋体" w:hAnsi="宋体" w:cs="宋体"/>
          <w:b/>
          <w:color w:val="auto"/>
          <w:sz w:val="36"/>
        </w:rPr>
      </w:pPr>
      <w:r>
        <w:rPr>
          <w:rFonts w:ascii="宋体" w:hAnsi="宋体" w:cs="宋体"/>
          <w:b/>
          <w:color w:val="auto"/>
          <w:sz w:val="36"/>
        </w:rPr>
        <w:br w:type="page"/>
      </w:r>
    </w:p>
    <w:p>
      <w:pPr>
        <w:jc w:val="center"/>
        <w:rPr>
          <w:rFonts w:ascii="宋体" w:hAnsi="宋体" w:cs="宋体"/>
          <w:b/>
          <w:color w:val="auto"/>
          <w:sz w:val="36"/>
        </w:rPr>
      </w:pPr>
    </w:p>
    <w:p>
      <w:pPr>
        <w:jc w:val="center"/>
        <w:rPr>
          <w:rFonts w:ascii="宋体" w:hAnsi="宋体" w:cs="宋体"/>
          <w:b/>
          <w:color w:val="auto"/>
          <w:sz w:val="36"/>
        </w:rPr>
      </w:pPr>
      <w:r>
        <w:rPr>
          <w:rFonts w:hint="eastAsia" w:ascii="宋体" w:hAnsi="宋体" w:cs="宋体"/>
          <w:b/>
          <w:color w:val="auto"/>
          <w:sz w:val="36"/>
        </w:rPr>
        <w:t>竞争性比选申请文件格式</w:t>
      </w:r>
    </w:p>
    <w:p>
      <w:pPr>
        <w:jc w:val="center"/>
        <w:rPr>
          <w:rFonts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（以下内容为示例）</w:t>
      </w:r>
    </w:p>
    <w:p>
      <w:pPr>
        <w:jc w:val="center"/>
        <w:rPr>
          <w:rFonts w:ascii="宋体" w:hAnsi="宋体" w:cs="宋体"/>
          <w:b/>
          <w:color w:val="auto"/>
          <w:sz w:val="24"/>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pPr>
    </w:p>
    <w:p>
      <w:pPr>
        <w:ind w:right="480" w:firstLine="2849" w:firstLineChars="946"/>
        <w:rPr>
          <w:rFonts w:ascii="宋体" w:hAnsi="宋体" w:cs="宋体"/>
          <w:b/>
          <w:color w:val="auto"/>
          <w:sz w:val="30"/>
          <w:szCs w:val="30"/>
        </w:rPr>
        <w:sectPr>
          <w:headerReference r:id="rId3" w:type="default"/>
          <w:pgSz w:w="11906" w:h="16838"/>
          <w:pgMar w:top="1418" w:right="1361" w:bottom="1418" w:left="1361" w:header="851" w:footer="992" w:gutter="0"/>
          <w:cols w:space="720" w:num="1"/>
          <w:docGrid w:type="lines" w:linePitch="312" w:charSpace="0"/>
        </w:sectPr>
      </w:pPr>
    </w:p>
    <w:p>
      <w:pPr>
        <w:jc w:val="right"/>
        <w:rPr>
          <w:rFonts w:ascii="宋体" w:hAnsi="宋体" w:cs="宋体"/>
          <w:b/>
          <w:color w:val="auto"/>
          <w:sz w:val="32"/>
          <w:szCs w:val="36"/>
        </w:rPr>
      </w:pPr>
      <w:r>
        <w:rPr>
          <w:rFonts w:hint="eastAsia" w:ascii="宋体" w:hAnsi="宋体" w:cs="宋体"/>
          <w:b/>
          <w:color w:val="auto"/>
          <w:sz w:val="32"/>
          <w:szCs w:val="36"/>
        </w:rPr>
        <w:t>正本（或副本）</w:t>
      </w:r>
    </w:p>
    <w:p>
      <w:pPr>
        <w:jc w:val="center"/>
        <w:rPr>
          <w:rFonts w:ascii="宋体" w:hAnsi="宋体" w:cs="宋体"/>
          <w:b/>
          <w:color w:val="auto"/>
          <w:sz w:val="40"/>
          <w:szCs w:val="44"/>
          <w:u w:val="single"/>
        </w:rPr>
      </w:pPr>
    </w:p>
    <w:p>
      <w:pPr>
        <w:tabs>
          <w:tab w:val="left" w:pos="6495"/>
        </w:tabs>
        <w:autoSpaceDE w:val="0"/>
        <w:autoSpaceDN w:val="0"/>
        <w:adjustRightInd w:val="0"/>
        <w:snapToGrid w:val="0"/>
        <w:spacing w:line="360" w:lineRule="auto"/>
        <w:jc w:val="left"/>
        <w:rPr>
          <w:rFonts w:ascii="宋体" w:hAnsi="宋体" w:cs="MingLiU"/>
          <w:b/>
          <w:color w:val="auto"/>
          <w:kern w:val="0"/>
          <w:sz w:val="27"/>
          <w:szCs w:val="27"/>
        </w:rPr>
      </w:pPr>
      <w:r>
        <w:rPr>
          <w:rFonts w:ascii="宋体" w:hAnsi="宋体"/>
          <w:b/>
          <w:color w:val="auto"/>
          <w:kern w:val="0"/>
          <w:sz w:val="27"/>
          <w:szCs w:val="27"/>
          <w:u w:val="single"/>
        </w:rPr>
        <w:tab/>
      </w:r>
      <w:r>
        <w:rPr>
          <w:rFonts w:hint="eastAsia" w:ascii="宋体" w:hAnsi="宋体" w:cs="MingLiU"/>
          <w:b/>
          <w:color w:val="auto"/>
          <w:w w:val="99"/>
          <w:kern w:val="0"/>
          <w:sz w:val="27"/>
          <w:szCs w:val="27"/>
        </w:rPr>
        <w:t>（项目名称</w:t>
      </w:r>
      <w:r>
        <w:rPr>
          <w:rFonts w:hint="eastAsia" w:ascii="宋体" w:hAnsi="宋体" w:cs="MingLiU"/>
          <w:b/>
          <w:color w:val="auto"/>
          <w:spacing w:val="1"/>
          <w:w w:val="99"/>
          <w:kern w:val="0"/>
          <w:sz w:val="27"/>
          <w:szCs w:val="27"/>
        </w:rPr>
        <w:t>）</w:t>
      </w:r>
    </w:p>
    <w:p>
      <w:pPr>
        <w:tabs>
          <w:tab w:val="left" w:pos="3600"/>
          <w:tab w:val="left" w:pos="4480"/>
          <w:tab w:val="left" w:pos="5360"/>
        </w:tabs>
        <w:autoSpaceDE w:val="0"/>
        <w:autoSpaceDN w:val="0"/>
        <w:adjustRightInd w:val="0"/>
        <w:snapToGrid w:val="0"/>
        <w:spacing w:line="276" w:lineRule="auto"/>
        <w:jc w:val="left"/>
        <w:rPr>
          <w:rFonts w:ascii="宋体" w:hAnsi="宋体" w:cs="MingLiU"/>
          <w:color w:val="auto"/>
          <w:kern w:val="0"/>
          <w:sz w:val="42"/>
          <w:szCs w:val="42"/>
        </w:rPr>
      </w:pPr>
    </w:p>
    <w:p>
      <w:pPr>
        <w:tabs>
          <w:tab w:val="left" w:pos="3600"/>
          <w:tab w:val="left" w:pos="4480"/>
          <w:tab w:val="left" w:pos="5360"/>
        </w:tabs>
        <w:autoSpaceDE w:val="0"/>
        <w:autoSpaceDN w:val="0"/>
        <w:adjustRightInd w:val="0"/>
        <w:snapToGrid w:val="0"/>
        <w:spacing w:line="276" w:lineRule="auto"/>
        <w:jc w:val="left"/>
        <w:rPr>
          <w:rFonts w:ascii="宋体" w:hAnsi="宋体" w:cs="MingLiU"/>
          <w:color w:val="auto"/>
          <w:kern w:val="0"/>
          <w:sz w:val="42"/>
          <w:szCs w:val="42"/>
        </w:rPr>
      </w:pPr>
    </w:p>
    <w:p>
      <w:pPr>
        <w:tabs>
          <w:tab w:val="left" w:pos="3600"/>
          <w:tab w:val="left" w:pos="4480"/>
          <w:tab w:val="left" w:pos="5360"/>
        </w:tabs>
        <w:autoSpaceDE w:val="0"/>
        <w:autoSpaceDN w:val="0"/>
        <w:adjustRightInd w:val="0"/>
        <w:snapToGrid w:val="0"/>
        <w:spacing w:line="276" w:lineRule="auto"/>
        <w:jc w:val="left"/>
        <w:rPr>
          <w:rFonts w:ascii="宋体" w:hAnsi="宋体" w:cs="MingLiU"/>
          <w:color w:val="auto"/>
          <w:kern w:val="0"/>
          <w:sz w:val="42"/>
          <w:szCs w:val="42"/>
        </w:rPr>
      </w:pPr>
    </w:p>
    <w:p>
      <w:pPr>
        <w:tabs>
          <w:tab w:val="left" w:pos="3600"/>
          <w:tab w:val="left" w:pos="4480"/>
          <w:tab w:val="left" w:pos="5360"/>
        </w:tabs>
        <w:autoSpaceDE w:val="0"/>
        <w:autoSpaceDN w:val="0"/>
        <w:adjustRightInd w:val="0"/>
        <w:snapToGrid w:val="0"/>
        <w:spacing w:line="276" w:lineRule="auto"/>
        <w:jc w:val="left"/>
        <w:rPr>
          <w:rFonts w:ascii="宋体" w:hAnsi="宋体" w:cs="MingLiU"/>
          <w:color w:val="auto"/>
          <w:kern w:val="0"/>
          <w:sz w:val="42"/>
          <w:szCs w:val="42"/>
        </w:rPr>
      </w:pPr>
    </w:p>
    <w:p>
      <w:pPr>
        <w:tabs>
          <w:tab w:val="left" w:pos="3600"/>
          <w:tab w:val="left" w:pos="4480"/>
          <w:tab w:val="left" w:pos="5360"/>
        </w:tabs>
        <w:autoSpaceDE w:val="0"/>
        <w:autoSpaceDN w:val="0"/>
        <w:adjustRightInd w:val="0"/>
        <w:snapToGrid w:val="0"/>
        <w:spacing w:line="276" w:lineRule="auto"/>
        <w:jc w:val="left"/>
        <w:rPr>
          <w:rFonts w:ascii="宋体" w:hAnsi="宋体" w:cs="MingLiU"/>
          <w:color w:val="auto"/>
          <w:kern w:val="0"/>
          <w:sz w:val="42"/>
          <w:szCs w:val="42"/>
        </w:rPr>
      </w:pPr>
    </w:p>
    <w:p>
      <w:pPr>
        <w:tabs>
          <w:tab w:val="left" w:pos="3600"/>
          <w:tab w:val="left" w:pos="4480"/>
          <w:tab w:val="left" w:pos="5360"/>
        </w:tabs>
        <w:autoSpaceDE w:val="0"/>
        <w:autoSpaceDN w:val="0"/>
        <w:adjustRightInd w:val="0"/>
        <w:snapToGrid w:val="0"/>
        <w:spacing w:line="276" w:lineRule="auto"/>
        <w:jc w:val="left"/>
        <w:rPr>
          <w:rFonts w:ascii="宋体" w:hAnsi="宋体" w:cs="MingLiU"/>
          <w:color w:val="auto"/>
          <w:kern w:val="0"/>
          <w:sz w:val="42"/>
          <w:szCs w:val="42"/>
        </w:rPr>
      </w:pPr>
    </w:p>
    <w:p>
      <w:pPr>
        <w:tabs>
          <w:tab w:val="left" w:pos="3600"/>
          <w:tab w:val="left" w:pos="4480"/>
          <w:tab w:val="left" w:pos="5360"/>
        </w:tabs>
        <w:autoSpaceDE w:val="0"/>
        <w:autoSpaceDN w:val="0"/>
        <w:adjustRightInd w:val="0"/>
        <w:snapToGrid w:val="0"/>
        <w:spacing w:line="276" w:lineRule="auto"/>
        <w:jc w:val="center"/>
        <w:rPr>
          <w:rFonts w:ascii="宋体" w:hAnsi="宋体" w:cs="MingLiU"/>
          <w:b/>
          <w:color w:val="auto"/>
          <w:kern w:val="0"/>
          <w:sz w:val="81"/>
          <w:szCs w:val="81"/>
        </w:rPr>
      </w:pPr>
      <w:r>
        <w:rPr>
          <w:rFonts w:hint="eastAsia" w:ascii="宋体" w:hAnsi="宋体" w:cs="MingLiU"/>
          <w:b/>
          <w:color w:val="auto"/>
          <w:kern w:val="0"/>
          <w:sz w:val="81"/>
          <w:szCs w:val="81"/>
        </w:rPr>
        <w:t>比选申请文件</w:t>
      </w:r>
    </w:p>
    <w:p>
      <w:pPr>
        <w:autoSpaceDE w:val="0"/>
        <w:autoSpaceDN w:val="0"/>
        <w:adjustRightInd w:val="0"/>
        <w:snapToGrid w:val="0"/>
        <w:spacing w:line="360" w:lineRule="auto"/>
        <w:jc w:val="left"/>
        <w:rPr>
          <w:rFonts w:ascii="宋体" w:hAnsi="宋体" w:cs="MingLiU"/>
          <w:b/>
          <w:color w:val="auto"/>
          <w:kern w:val="0"/>
          <w:sz w:val="19"/>
          <w:szCs w:val="19"/>
        </w:rPr>
      </w:pPr>
    </w:p>
    <w:p>
      <w:pPr>
        <w:autoSpaceDE w:val="0"/>
        <w:autoSpaceDN w:val="0"/>
        <w:adjustRightInd w:val="0"/>
        <w:snapToGrid w:val="0"/>
        <w:spacing w:line="360" w:lineRule="auto"/>
        <w:jc w:val="left"/>
        <w:rPr>
          <w:rFonts w:ascii="宋体" w:hAnsi="宋体" w:cs="MingLiU"/>
          <w:b/>
          <w:color w:val="auto"/>
          <w:kern w:val="0"/>
          <w:sz w:val="19"/>
          <w:szCs w:val="19"/>
        </w:rPr>
      </w:pPr>
    </w:p>
    <w:p>
      <w:pPr>
        <w:autoSpaceDE w:val="0"/>
        <w:autoSpaceDN w:val="0"/>
        <w:adjustRightInd w:val="0"/>
        <w:snapToGrid w:val="0"/>
        <w:spacing w:line="360" w:lineRule="auto"/>
        <w:jc w:val="left"/>
        <w:rPr>
          <w:rFonts w:ascii="宋体" w:hAnsi="宋体" w:cs="MingLiU"/>
          <w:b/>
          <w:color w:val="auto"/>
          <w:kern w:val="0"/>
          <w:sz w:val="19"/>
          <w:szCs w:val="19"/>
        </w:rPr>
      </w:pPr>
    </w:p>
    <w:p>
      <w:pPr>
        <w:autoSpaceDE w:val="0"/>
        <w:autoSpaceDN w:val="0"/>
        <w:adjustRightInd w:val="0"/>
        <w:snapToGrid w:val="0"/>
        <w:spacing w:line="360" w:lineRule="auto"/>
        <w:jc w:val="left"/>
        <w:rPr>
          <w:rFonts w:ascii="宋体" w:hAnsi="宋体" w:cs="MingLiU"/>
          <w:b/>
          <w:color w:val="auto"/>
          <w:kern w:val="0"/>
          <w:sz w:val="19"/>
          <w:szCs w:val="19"/>
        </w:rPr>
      </w:pPr>
    </w:p>
    <w:p>
      <w:pPr>
        <w:autoSpaceDE w:val="0"/>
        <w:autoSpaceDN w:val="0"/>
        <w:adjustRightInd w:val="0"/>
        <w:snapToGrid w:val="0"/>
        <w:spacing w:line="360" w:lineRule="auto"/>
        <w:jc w:val="left"/>
        <w:rPr>
          <w:rFonts w:ascii="宋体" w:hAnsi="宋体" w:cs="MingLiU"/>
          <w:b/>
          <w:color w:val="auto"/>
          <w:kern w:val="0"/>
          <w:sz w:val="19"/>
          <w:szCs w:val="19"/>
        </w:rPr>
      </w:pPr>
    </w:p>
    <w:p>
      <w:pPr>
        <w:autoSpaceDE w:val="0"/>
        <w:autoSpaceDN w:val="0"/>
        <w:adjustRightInd w:val="0"/>
        <w:snapToGrid w:val="0"/>
        <w:spacing w:line="360" w:lineRule="auto"/>
        <w:jc w:val="left"/>
        <w:rPr>
          <w:rFonts w:ascii="宋体" w:hAnsi="宋体" w:cs="MingLiU"/>
          <w:b/>
          <w:color w:val="auto"/>
          <w:kern w:val="0"/>
          <w:sz w:val="19"/>
          <w:szCs w:val="19"/>
        </w:rPr>
      </w:pPr>
    </w:p>
    <w:p>
      <w:pPr>
        <w:autoSpaceDE w:val="0"/>
        <w:autoSpaceDN w:val="0"/>
        <w:adjustRightInd w:val="0"/>
        <w:snapToGrid w:val="0"/>
        <w:spacing w:line="360" w:lineRule="auto"/>
        <w:jc w:val="left"/>
        <w:rPr>
          <w:rFonts w:ascii="宋体" w:hAnsi="宋体" w:cs="MingLiU"/>
          <w:b/>
          <w:color w:val="auto"/>
          <w:kern w:val="0"/>
          <w:sz w:val="19"/>
          <w:szCs w:val="19"/>
        </w:rPr>
      </w:pPr>
    </w:p>
    <w:p>
      <w:pPr>
        <w:autoSpaceDE w:val="0"/>
        <w:autoSpaceDN w:val="0"/>
        <w:adjustRightInd w:val="0"/>
        <w:snapToGrid w:val="0"/>
        <w:spacing w:line="360" w:lineRule="auto"/>
        <w:jc w:val="left"/>
        <w:rPr>
          <w:rFonts w:ascii="宋体" w:hAnsi="宋体" w:cs="MingLiU"/>
          <w:b/>
          <w:color w:val="auto"/>
          <w:kern w:val="0"/>
          <w:sz w:val="19"/>
          <w:szCs w:val="19"/>
        </w:rPr>
      </w:pPr>
    </w:p>
    <w:p>
      <w:pPr>
        <w:autoSpaceDE w:val="0"/>
        <w:autoSpaceDN w:val="0"/>
        <w:adjustRightInd w:val="0"/>
        <w:snapToGrid w:val="0"/>
        <w:spacing w:line="360" w:lineRule="auto"/>
        <w:jc w:val="left"/>
        <w:rPr>
          <w:rFonts w:ascii="宋体" w:hAnsi="宋体" w:cs="MingLiU"/>
          <w:b/>
          <w:color w:val="auto"/>
          <w:kern w:val="0"/>
          <w:sz w:val="19"/>
          <w:szCs w:val="19"/>
        </w:rPr>
      </w:pPr>
    </w:p>
    <w:p>
      <w:pPr>
        <w:autoSpaceDE w:val="0"/>
        <w:autoSpaceDN w:val="0"/>
        <w:adjustRightInd w:val="0"/>
        <w:snapToGrid w:val="0"/>
        <w:spacing w:line="360" w:lineRule="auto"/>
        <w:jc w:val="left"/>
        <w:rPr>
          <w:rFonts w:ascii="宋体" w:hAnsi="宋体" w:cs="MingLiU"/>
          <w:b/>
          <w:color w:val="auto"/>
          <w:kern w:val="0"/>
          <w:sz w:val="19"/>
          <w:szCs w:val="19"/>
        </w:rPr>
      </w:pPr>
    </w:p>
    <w:p>
      <w:pPr>
        <w:autoSpaceDE w:val="0"/>
        <w:autoSpaceDN w:val="0"/>
        <w:adjustRightInd w:val="0"/>
        <w:snapToGrid w:val="0"/>
        <w:spacing w:line="360" w:lineRule="auto"/>
        <w:jc w:val="left"/>
        <w:rPr>
          <w:rFonts w:ascii="宋体" w:hAnsi="宋体" w:cs="MingLiU"/>
          <w:b/>
          <w:color w:val="auto"/>
          <w:kern w:val="0"/>
          <w:sz w:val="19"/>
          <w:szCs w:val="19"/>
        </w:rPr>
      </w:pPr>
    </w:p>
    <w:p>
      <w:pPr>
        <w:tabs>
          <w:tab w:val="left" w:pos="6080"/>
          <w:tab w:val="left" w:pos="6640"/>
        </w:tabs>
        <w:autoSpaceDE w:val="0"/>
        <w:autoSpaceDN w:val="0"/>
        <w:adjustRightInd w:val="0"/>
        <w:snapToGrid w:val="0"/>
        <w:spacing w:line="360" w:lineRule="auto"/>
        <w:jc w:val="center"/>
        <w:rPr>
          <w:rFonts w:ascii="宋体" w:hAnsi="宋体"/>
          <w:b/>
          <w:color w:val="auto"/>
          <w:w w:val="99"/>
          <w:kern w:val="0"/>
          <w:sz w:val="27"/>
          <w:szCs w:val="27"/>
        </w:rPr>
      </w:pPr>
      <w:r>
        <w:rPr>
          <w:rFonts w:hint="eastAsia" w:ascii="宋体" w:hAnsi="宋体" w:cs="MingLiU"/>
          <w:b/>
          <w:color w:val="auto"/>
          <w:w w:val="99"/>
          <w:kern w:val="0"/>
          <w:sz w:val="27"/>
          <w:szCs w:val="27"/>
        </w:rPr>
        <w:t>比选申请人</w:t>
      </w:r>
      <w:r>
        <w:rPr>
          <w:rFonts w:hint="eastAsia" w:ascii="宋体" w:hAnsi="宋体" w:cs="MingLiU"/>
          <w:b/>
          <w:color w:val="auto"/>
          <w:spacing w:val="1"/>
          <w:w w:val="99"/>
          <w:kern w:val="0"/>
          <w:sz w:val="27"/>
          <w:szCs w:val="27"/>
        </w:rPr>
        <w:t>：</w:t>
      </w:r>
      <w:r>
        <w:rPr>
          <w:rFonts w:hint="eastAsia" w:ascii="宋体" w:hAnsi="宋体" w:cs="MingLiU"/>
          <w:b/>
          <w:color w:val="auto"/>
          <w:w w:val="198"/>
          <w:kern w:val="0"/>
          <w:sz w:val="27"/>
          <w:szCs w:val="27"/>
          <w:u w:val="single"/>
        </w:rPr>
        <w:t>　　　　 　</w:t>
      </w:r>
      <w:r>
        <w:rPr>
          <w:rFonts w:hint="eastAsia" w:ascii="宋体" w:hAnsi="宋体" w:cs="MingLiU"/>
          <w:b/>
          <w:color w:val="auto"/>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ascii="宋体" w:hAnsi="宋体" w:cs="MingLiU"/>
          <w:b/>
          <w:color w:val="auto"/>
          <w:kern w:val="0"/>
          <w:sz w:val="27"/>
          <w:szCs w:val="27"/>
        </w:rPr>
      </w:pPr>
      <w:r>
        <w:rPr>
          <w:rFonts w:hint="eastAsia" w:ascii="宋体" w:hAnsi="宋体" w:cs="MingLiU"/>
          <w:b/>
          <w:color w:val="auto"/>
          <w:w w:val="99"/>
          <w:kern w:val="0"/>
          <w:sz w:val="27"/>
          <w:szCs w:val="27"/>
        </w:rPr>
        <w:t>法定代表人或其委托代理人：</w:t>
      </w:r>
      <w:r>
        <w:rPr>
          <w:rFonts w:hint="eastAsia" w:ascii="宋体" w:hAnsi="宋体" w:cs="MingLiU"/>
          <w:b/>
          <w:color w:val="auto"/>
          <w:w w:val="198"/>
          <w:kern w:val="0"/>
          <w:sz w:val="27"/>
          <w:szCs w:val="27"/>
          <w:u w:val="single"/>
        </w:rPr>
        <w:t>　　 　</w:t>
      </w:r>
      <w:r>
        <w:rPr>
          <w:rFonts w:hint="eastAsia" w:ascii="宋体" w:hAnsi="宋体" w:cs="MingLiU"/>
          <w:b/>
          <w:color w:val="auto"/>
          <w:w w:val="99"/>
          <w:kern w:val="0"/>
          <w:sz w:val="27"/>
          <w:szCs w:val="27"/>
        </w:rPr>
        <w:t>（签字）</w:t>
      </w:r>
    </w:p>
    <w:p>
      <w:pPr>
        <w:autoSpaceDE w:val="0"/>
        <w:autoSpaceDN w:val="0"/>
        <w:adjustRightInd w:val="0"/>
        <w:spacing w:before="74" w:line="360" w:lineRule="auto"/>
        <w:ind w:left="120" w:leftChars="57" w:right="-29" w:firstLine="2879" w:firstLineChars="1074"/>
        <w:jc w:val="left"/>
        <w:rPr>
          <w:rFonts w:ascii="宋体" w:hAnsi="宋体" w:cs="MingLiU"/>
          <w:b/>
          <w:color w:val="auto"/>
          <w:w w:val="99"/>
          <w:kern w:val="0"/>
          <w:sz w:val="27"/>
          <w:szCs w:val="27"/>
          <w:u w:val="single"/>
        </w:rPr>
        <w:sectPr>
          <w:footerReference r:id="rId4" w:type="default"/>
          <w:pgSz w:w="11906" w:h="16838"/>
          <w:pgMar w:top="1440" w:right="1416" w:bottom="1440" w:left="1797" w:header="993" w:footer="992" w:gutter="0"/>
          <w:cols w:space="720" w:num="1"/>
          <w:docGrid w:linePitch="312" w:charSpace="0"/>
        </w:sectPr>
      </w:pPr>
      <w:r>
        <w:rPr>
          <w:rFonts w:hint="eastAsia" w:ascii="宋体" w:hAnsi="宋体" w:cs="MingLiU"/>
          <w:b/>
          <w:color w:val="auto"/>
          <w:w w:val="99"/>
          <w:kern w:val="0"/>
          <w:sz w:val="27"/>
          <w:szCs w:val="27"/>
          <w:u w:val="single"/>
        </w:rPr>
        <w:t xml:space="preserve">     年   月   日</w:t>
      </w:r>
    </w:p>
    <w:p>
      <w:pPr>
        <w:tabs>
          <w:tab w:val="left" w:pos="900"/>
          <w:tab w:val="left" w:pos="1080"/>
        </w:tabs>
        <w:spacing w:line="300" w:lineRule="auto"/>
        <w:jc w:val="center"/>
        <w:outlineLvl w:val="0"/>
        <w:rPr>
          <w:rFonts w:ascii="Arial" w:hAnsi="Arial" w:cs="Arial"/>
          <w:b/>
          <w:color w:val="auto"/>
          <w:sz w:val="24"/>
        </w:rPr>
      </w:pPr>
      <w:r>
        <w:rPr>
          <w:rFonts w:hint="eastAsia" w:ascii="Arial" w:hAnsi="Arial" w:cs="Arial"/>
          <w:b/>
          <w:color w:val="auto"/>
          <w:sz w:val="24"/>
        </w:rPr>
        <w:t>目  录</w:t>
      </w:r>
    </w:p>
    <w:p>
      <w:pPr>
        <w:tabs>
          <w:tab w:val="left" w:pos="900"/>
          <w:tab w:val="left" w:pos="1080"/>
        </w:tabs>
        <w:spacing w:line="300" w:lineRule="auto"/>
        <w:jc w:val="center"/>
        <w:outlineLvl w:val="0"/>
        <w:rPr>
          <w:rFonts w:ascii="Arial" w:hAnsi="Arial" w:cs="Arial"/>
          <w:b/>
          <w:color w:val="auto"/>
          <w:sz w:val="24"/>
        </w:rPr>
      </w:pPr>
    </w:p>
    <w:p>
      <w:pPr>
        <w:rPr>
          <w:color w:val="auto"/>
        </w:rPr>
      </w:pPr>
      <w:r>
        <w:rPr>
          <w:rFonts w:hint="eastAsia"/>
          <w:color w:val="auto"/>
        </w:rPr>
        <w:t>一、报价文件</w:t>
      </w:r>
    </w:p>
    <w:p>
      <w:pPr>
        <w:rPr>
          <w:color w:val="auto"/>
        </w:rPr>
      </w:pPr>
      <w:r>
        <w:rPr>
          <w:rFonts w:hint="eastAsia"/>
          <w:color w:val="auto"/>
        </w:rPr>
        <w:t>（一）报价函</w:t>
      </w:r>
    </w:p>
    <w:p>
      <w:pPr>
        <w:rPr>
          <w:color w:val="auto"/>
        </w:rPr>
      </w:pPr>
      <w:r>
        <w:rPr>
          <w:rFonts w:hint="eastAsia"/>
          <w:color w:val="auto"/>
        </w:rPr>
        <w:t>二、服务文件</w:t>
      </w:r>
    </w:p>
    <w:p>
      <w:pPr>
        <w:rPr>
          <w:color w:val="auto"/>
        </w:rPr>
      </w:pPr>
      <w:r>
        <w:rPr>
          <w:rFonts w:hint="eastAsia"/>
          <w:color w:val="auto"/>
        </w:rPr>
        <w:t>（一）服务要求响应（格式自定）</w:t>
      </w:r>
    </w:p>
    <w:p>
      <w:pPr>
        <w:rPr>
          <w:color w:val="auto"/>
        </w:rPr>
      </w:pPr>
      <w:r>
        <w:rPr>
          <w:rFonts w:hint="eastAsia"/>
          <w:color w:val="auto"/>
        </w:rPr>
        <w:t>（二）服务方案（格式自定）</w:t>
      </w:r>
    </w:p>
    <w:p>
      <w:pPr>
        <w:rPr>
          <w:color w:val="auto"/>
        </w:rPr>
      </w:pPr>
      <w:r>
        <w:rPr>
          <w:rFonts w:hint="eastAsia"/>
          <w:color w:val="auto"/>
        </w:rPr>
        <w:t>（三）评分表中相应证明材料及要求的其他内容</w:t>
      </w:r>
    </w:p>
    <w:p>
      <w:pPr>
        <w:rPr>
          <w:color w:val="auto"/>
        </w:rPr>
      </w:pPr>
      <w:r>
        <w:rPr>
          <w:rFonts w:hint="eastAsia"/>
          <w:color w:val="auto"/>
        </w:rPr>
        <w:t>三、资格文件</w:t>
      </w:r>
    </w:p>
    <w:p>
      <w:pPr>
        <w:rPr>
          <w:color w:val="auto"/>
        </w:rPr>
      </w:pPr>
      <w:r>
        <w:rPr>
          <w:rFonts w:hint="eastAsia"/>
          <w:color w:val="auto"/>
        </w:rPr>
        <w:t xml:space="preserve">（一）法定代表人身份证明或授权委托书 </w:t>
      </w:r>
    </w:p>
    <w:p>
      <w:pPr>
        <w:rPr>
          <w:color w:val="auto"/>
        </w:rPr>
      </w:pPr>
      <w:r>
        <w:rPr>
          <w:rFonts w:hint="eastAsia"/>
          <w:color w:val="auto"/>
        </w:rPr>
        <w:t>（二）有效的营业执照复印件</w:t>
      </w:r>
    </w:p>
    <w:p>
      <w:pPr>
        <w:rPr>
          <w:color w:val="auto"/>
        </w:rPr>
      </w:pPr>
      <w:r>
        <w:rPr>
          <w:rFonts w:hint="eastAsia"/>
          <w:color w:val="auto"/>
        </w:rPr>
        <w:t>（三）诚信声明</w:t>
      </w:r>
    </w:p>
    <w:p>
      <w:pPr>
        <w:rPr>
          <w:color w:val="auto"/>
        </w:rPr>
      </w:pPr>
      <w:r>
        <w:rPr>
          <w:rFonts w:hint="eastAsia"/>
          <w:color w:val="auto"/>
        </w:rPr>
        <w:t>四、其他材料</w:t>
      </w:r>
    </w:p>
    <w:p>
      <w:pPr>
        <w:rPr>
          <w:rFonts w:ascii="宋体" w:hAnsi="宋体" w:cs="宋体"/>
          <w:b/>
          <w:color w:val="auto"/>
          <w:sz w:val="24"/>
        </w:rPr>
      </w:pPr>
    </w:p>
    <w:p>
      <w:pPr>
        <w:rPr>
          <w:color w:val="auto"/>
        </w:rPr>
      </w:pPr>
    </w:p>
    <w:p>
      <w:pPr>
        <w:rPr>
          <w:color w:val="auto"/>
        </w:rPr>
      </w:pPr>
    </w:p>
    <w:p>
      <w:pPr>
        <w:rPr>
          <w:color w:val="auto"/>
        </w:rPr>
      </w:pPr>
    </w:p>
    <w:p>
      <w:pPr>
        <w:rPr>
          <w:color w:val="auto"/>
        </w:rPr>
      </w:pPr>
    </w:p>
    <w:p>
      <w:pPr>
        <w:rPr>
          <w:color w:val="auto"/>
        </w:rPr>
      </w:pPr>
    </w:p>
    <w:p>
      <w:pPr>
        <w:rPr>
          <w:color w:val="auto"/>
        </w:rPr>
      </w:pPr>
      <w:bookmarkStart w:id="16" w:name="_Toc265510122"/>
    </w:p>
    <w:p>
      <w:pPr>
        <w:rPr>
          <w:color w:val="auto"/>
        </w:rPr>
      </w:pPr>
    </w:p>
    <w:p>
      <w:pPr>
        <w:pStyle w:val="5"/>
        <w:rPr>
          <w:color w:val="auto"/>
        </w:rPr>
      </w:pPr>
    </w:p>
    <w:p>
      <w:pPr>
        <w:rPr>
          <w:color w:val="auto"/>
        </w:rPr>
      </w:pPr>
    </w:p>
    <w:p>
      <w:pPr>
        <w:rPr>
          <w:rFonts w:ascii="宋体" w:hAnsi="宋体" w:cs="宋体"/>
          <w:b/>
          <w:color w:val="auto"/>
          <w:sz w:val="28"/>
          <w:szCs w:val="28"/>
        </w:rPr>
      </w:pPr>
      <w:r>
        <w:rPr>
          <w:rFonts w:hint="eastAsia" w:ascii="宋体" w:hAnsi="宋体" w:cs="宋体"/>
          <w:b/>
          <w:color w:val="auto"/>
          <w:sz w:val="28"/>
          <w:szCs w:val="28"/>
        </w:rPr>
        <w:br w:type="page"/>
      </w:r>
    </w:p>
    <w:p>
      <w:pPr>
        <w:tabs>
          <w:tab w:val="left" w:pos="900"/>
          <w:tab w:val="left" w:pos="1080"/>
        </w:tabs>
        <w:spacing w:line="300" w:lineRule="auto"/>
        <w:jc w:val="left"/>
        <w:outlineLvl w:val="0"/>
        <w:rPr>
          <w:rFonts w:ascii="宋体" w:hAnsi="宋体" w:cs="宋体"/>
          <w:b/>
          <w:color w:val="auto"/>
          <w:sz w:val="28"/>
          <w:szCs w:val="28"/>
        </w:rPr>
      </w:pPr>
      <w:r>
        <w:rPr>
          <w:rFonts w:hint="eastAsia" w:ascii="宋体" w:hAnsi="宋体" w:cs="宋体"/>
          <w:b/>
          <w:color w:val="auto"/>
          <w:sz w:val="28"/>
          <w:szCs w:val="28"/>
        </w:rPr>
        <w:t>一、</w:t>
      </w:r>
      <w:bookmarkEnd w:id="16"/>
      <w:r>
        <w:rPr>
          <w:rFonts w:hint="eastAsia" w:ascii="宋体" w:hAnsi="宋体" w:cs="宋体"/>
          <w:b/>
          <w:color w:val="auto"/>
          <w:sz w:val="28"/>
          <w:szCs w:val="28"/>
        </w:rPr>
        <w:t>报价文件</w:t>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（一）报价函</w:t>
      </w:r>
    </w:p>
    <w:p>
      <w:pPr>
        <w:spacing w:line="440" w:lineRule="exact"/>
        <w:rPr>
          <w:rFonts w:ascii="宋体" w:hAnsi="宋体"/>
          <w:b/>
          <w:color w:val="auto"/>
          <w:u w:val="single"/>
        </w:rPr>
      </w:pPr>
      <w:r>
        <w:rPr>
          <w:rFonts w:hint="eastAsia" w:ascii="宋体" w:hAnsi="宋体"/>
          <w:b/>
          <w:color w:val="auto"/>
          <w:u w:val="single"/>
        </w:rPr>
        <w:t>致：重庆鹏途企业管理咨询有限公司</w:t>
      </w:r>
    </w:p>
    <w:p>
      <w:pPr>
        <w:spacing w:line="276" w:lineRule="auto"/>
        <w:ind w:firstLine="420" w:firstLineChars="200"/>
        <w:rPr>
          <w:color w:val="auto"/>
        </w:rPr>
      </w:pPr>
    </w:p>
    <w:p>
      <w:pPr>
        <w:autoSpaceDE w:val="0"/>
        <w:autoSpaceDN w:val="0"/>
        <w:adjustRightInd w:val="0"/>
        <w:spacing w:line="360" w:lineRule="auto"/>
        <w:ind w:right="-20" w:firstLine="420" w:firstLineChars="200"/>
        <w:jc w:val="left"/>
        <w:rPr>
          <w:rFonts w:ascii="宋体" w:hAnsi="宋体" w:cs="宋体"/>
          <w:color w:val="auto"/>
          <w:szCs w:val="21"/>
        </w:rPr>
      </w:pPr>
      <w:r>
        <w:rPr>
          <w:rFonts w:hint="eastAsia" w:ascii="宋体" w:hAnsi="宋体" w:cs="宋体"/>
          <w:color w:val="auto"/>
          <w:szCs w:val="21"/>
        </w:rPr>
        <w:t>1.我方已仔细研究了</w:t>
      </w:r>
      <w:r>
        <w:rPr>
          <w:rFonts w:hint="eastAsia" w:ascii="宋体" w:hAnsi="宋体" w:cs="宋体"/>
          <w:bCs/>
          <w:color w:val="auto"/>
          <w:szCs w:val="21"/>
          <w:u w:val="single"/>
        </w:rPr>
        <w:t xml:space="preserve">                     （项目名称）</w:t>
      </w:r>
      <w:r>
        <w:rPr>
          <w:rFonts w:hint="eastAsia" w:ascii="宋体" w:hAnsi="宋体" w:cs="宋体"/>
          <w:color w:val="auto"/>
          <w:szCs w:val="21"/>
        </w:rPr>
        <w:t>竞争性比选响应文件的全部内容，经研究比选文件的内容、服务条款后，愿意以竞标总报价¥</w:t>
      </w:r>
      <w:r>
        <w:rPr>
          <w:rFonts w:hint="eastAsia" w:ascii="宋体" w:hAnsi="宋体" w:cs="宋体"/>
          <w:color w:val="auto"/>
          <w:szCs w:val="21"/>
          <w:u w:val="single"/>
        </w:rPr>
        <w:t xml:space="preserve">      （元）</w:t>
      </w:r>
      <w:r>
        <w:rPr>
          <w:rFonts w:hint="eastAsia" w:ascii="宋体" w:hAnsi="宋体" w:cs="宋体"/>
          <w:color w:val="auto"/>
          <w:szCs w:val="21"/>
        </w:rPr>
        <w:t xml:space="preserve">（大写： </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），按合同约定完成工作。</w:t>
      </w:r>
    </w:p>
    <w:p>
      <w:pPr>
        <w:spacing w:line="360" w:lineRule="auto"/>
        <w:ind w:firstLine="420"/>
        <w:jc w:val="left"/>
        <w:rPr>
          <w:rFonts w:ascii="宋体" w:hAnsi="宋体" w:cs="宋体"/>
          <w:color w:val="auto"/>
          <w:szCs w:val="21"/>
        </w:rPr>
      </w:pPr>
      <w:r>
        <w:rPr>
          <w:rFonts w:hint="eastAsia" w:ascii="宋体" w:hAnsi="宋体" w:cs="宋体"/>
          <w:color w:val="auto"/>
          <w:szCs w:val="21"/>
        </w:rPr>
        <w:t>2．我方承诺在投标有效期内不修改、撤销竞争性比选响应文件。</w:t>
      </w:r>
    </w:p>
    <w:p>
      <w:pPr>
        <w:spacing w:line="360" w:lineRule="auto"/>
        <w:ind w:firstLine="420"/>
        <w:jc w:val="left"/>
        <w:rPr>
          <w:rFonts w:ascii="宋体" w:hAnsi="宋体" w:cs="宋体"/>
          <w:color w:val="auto"/>
          <w:szCs w:val="21"/>
        </w:rPr>
      </w:pPr>
      <w:r>
        <w:rPr>
          <w:rFonts w:hint="eastAsia" w:ascii="宋体" w:hAnsi="宋体" w:cs="宋体"/>
          <w:color w:val="auto"/>
          <w:szCs w:val="21"/>
        </w:rPr>
        <w:t>3．我方在此声明，所递交的竞争性比选响应文件及有关资料内容完整、真实和准确。</w:t>
      </w:r>
    </w:p>
    <w:p>
      <w:pPr>
        <w:spacing w:line="360" w:lineRule="auto"/>
        <w:ind w:firstLine="420"/>
        <w:jc w:val="left"/>
        <w:rPr>
          <w:rFonts w:ascii="宋体" w:hAnsi="宋体" w:cs="宋体"/>
          <w:color w:val="auto"/>
          <w:szCs w:val="21"/>
        </w:rPr>
      </w:pPr>
      <w:r>
        <w:rPr>
          <w:rFonts w:hint="eastAsia" w:ascii="宋体" w:hAnsi="宋体" w:cs="宋体"/>
          <w:color w:val="auto"/>
          <w:szCs w:val="21"/>
        </w:rPr>
        <w:t>4．在合同协议书正式签署生效之前，本报价书连同你方的成交通知书将构成我们双方之间共同遵守的文件。对双方具有约束力。</w:t>
      </w:r>
    </w:p>
    <w:p>
      <w:pPr>
        <w:spacing w:line="360" w:lineRule="auto"/>
        <w:ind w:firstLine="420"/>
        <w:jc w:val="left"/>
        <w:rPr>
          <w:rFonts w:ascii="宋体" w:hAnsi="宋体" w:cs="宋体"/>
          <w:color w:val="auto"/>
          <w:kern w:val="0"/>
          <w:szCs w:val="21"/>
        </w:rPr>
      </w:pPr>
      <w:r>
        <w:rPr>
          <w:rFonts w:hint="eastAsia" w:ascii="宋体" w:hAnsi="宋体" w:cs="宋体"/>
          <w:color w:val="auto"/>
          <w:szCs w:val="21"/>
        </w:rPr>
        <w:t>5．</w:t>
      </w:r>
      <w:r>
        <w:rPr>
          <w:rFonts w:hint="eastAsia" w:ascii="宋体" w:hAnsi="宋体" w:cs="宋体"/>
          <w:color w:val="auto"/>
          <w:szCs w:val="21"/>
          <w:u w:val="single"/>
        </w:rPr>
        <w:t xml:space="preserve">       </w:t>
      </w:r>
      <w:r>
        <w:rPr>
          <w:rFonts w:hint="eastAsia" w:ascii="宋体" w:hAnsi="宋体" w:cs="宋体"/>
          <w:color w:val="auto"/>
          <w:szCs w:val="21"/>
        </w:rPr>
        <w:t>（其他补充说明）。</w:t>
      </w:r>
    </w:p>
    <w:p>
      <w:pPr>
        <w:spacing w:line="360" w:lineRule="auto"/>
        <w:ind w:firstLine="420"/>
        <w:jc w:val="left"/>
        <w:rPr>
          <w:rFonts w:ascii="宋体" w:hAnsi="宋体" w:cs="宋体"/>
          <w:color w:val="auto"/>
          <w:kern w:val="0"/>
          <w:szCs w:val="21"/>
        </w:rPr>
      </w:pPr>
    </w:p>
    <w:p>
      <w:pPr>
        <w:spacing w:line="360" w:lineRule="auto"/>
        <w:ind w:firstLine="420"/>
        <w:jc w:val="left"/>
        <w:rPr>
          <w:rFonts w:ascii="宋体" w:hAnsi="宋体" w:cs="宋体"/>
          <w:color w:val="auto"/>
          <w:kern w:val="0"/>
          <w:szCs w:val="21"/>
        </w:rPr>
      </w:pPr>
    </w:p>
    <w:p>
      <w:pPr>
        <w:spacing w:line="360" w:lineRule="auto"/>
        <w:ind w:firstLine="420"/>
        <w:jc w:val="left"/>
        <w:rPr>
          <w:rFonts w:ascii="宋体" w:hAnsi="宋体" w:cs="宋体"/>
          <w:color w:val="auto"/>
          <w:kern w:val="0"/>
          <w:szCs w:val="21"/>
        </w:rPr>
      </w:pPr>
    </w:p>
    <w:p>
      <w:pPr>
        <w:spacing w:line="360" w:lineRule="auto"/>
        <w:ind w:firstLine="3158" w:firstLineChars="1504"/>
        <w:rPr>
          <w:rFonts w:ascii="宋体" w:hAnsi="宋体" w:cs="宋体"/>
          <w:color w:val="auto"/>
          <w:szCs w:val="21"/>
        </w:rPr>
      </w:pPr>
      <w:r>
        <w:rPr>
          <w:rFonts w:hint="eastAsia" w:ascii="宋体" w:hAnsi="宋体" w:cs="宋体"/>
          <w:color w:val="auto"/>
          <w:szCs w:val="21"/>
        </w:rPr>
        <w:t>比选申请人：</w:t>
      </w:r>
      <w:r>
        <w:rPr>
          <w:rFonts w:hint="eastAsia" w:ascii="宋体" w:hAnsi="宋体" w:cs="宋体"/>
          <w:color w:val="auto"/>
          <w:szCs w:val="21"/>
          <w:u w:val="single"/>
        </w:rPr>
        <w:t xml:space="preserve">                       </w:t>
      </w:r>
      <w:r>
        <w:rPr>
          <w:rFonts w:hint="eastAsia" w:ascii="宋体" w:hAnsi="宋体" w:cs="宋体"/>
          <w:color w:val="auto"/>
          <w:szCs w:val="21"/>
          <w:lang w:bidi="ar"/>
        </w:rPr>
        <w:t>（盖单位章）</w:t>
      </w:r>
    </w:p>
    <w:p>
      <w:pPr>
        <w:spacing w:line="360" w:lineRule="auto"/>
        <w:ind w:firstLine="3158" w:firstLineChars="1504"/>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hint="eastAsia" w:ascii="宋体" w:hAnsi="宋体" w:cs="宋体"/>
          <w:color w:val="auto"/>
          <w:szCs w:val="21"/>
        </w:rPr>
        <w:t>（签字或盖章）</w:t>
      </w:r>
    </w:p>
    <w:p>
      <w:pPr>
        <w:spacing w:line="360" w:lineRule="auto"/>
        <w:ind w:firstLine="3158" w:firstLineChars="1504"/>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pPr>
        <w:spacing w:line="360" w:lineRule="auto"/>
        <w:ind w:firstLine="3158" w:firstLineChars="1504"/>
        <w:rPr>
          <w:rFonts w:ascii="宋体" w:hAnsi="宋体" w:cs="宋体"/>
          <w:color w:val="auto"/>
          <w:szCs w:val="21"/>
        </w:rPr>
      </w:pPr>
      <w:r>
        <w:rPr>
          <w:rFonts w:hint="eastAsia" w:ascii="宋体" w:hAnsi="宋体" w:cs="宋体"/>
          <w:color w:val="auto"/>
          <w:szCs w:val="21"/>
        </w:rPr>
        <w:t>电话：</w:t>
      </w:r>
      <w:r>
        <w:rPr>
          <w:rFonts w:hint="eastAsia" w:ascii="宋体" w:hAnsi="宋体" w:cs="宋体"/>
          <w:color w:val="auto"/>
          <w:szCs w:val="21"/>
          <w:u w:val="single"/>
        </w:rPr>
        <w:t xml:space="preserve">                                 </w:t>
      </w:r>
    </w:p>
    <w:p>
      <w:pPr>
        <w:spacing w:line="360" w:lineRule="auto"/>
        <w:ind w:firstLine="3158" w:firstLineChars="1504"/>
        <w:rPr>
          <w:rFonts w:ascii="宋体" w:hAnsi="宋体" w:cs="宋体"/>
          <w:color w:val="auto"/>
          <w:szCs w:val="21"/>
        </w:rPr>
      </w:pPr>
      <w:r>
        <w:rPr>
          <w:rFonts w:hint="eastAsia" w:ascii="宋体" w:hAnsi="宋体" w:cs="宋体"/>
          <w:color w:val="auto"/>
          <w:szCs w:val="21"/>
        </w:rPr>
        <w:t>传真：</w:t>
      </w:r>
      <w:r>
        <w:rPr>
          <w:rFonts w:hint="eastAsia" w:ascii="宋体" w:hAnsi="宋体" w:cs="宋体"/>
          <w:color w:val="auto"/>
          <w:szCs w:val="21"/>
          <w:u w:val="single"/>
        </w:rPr>
        <w:t xml:space="preserve">                                 </w:t>
      </w:r>
    </w:p>
    <w:p>
      <w:pPr>
        <w:spacing w:line="360" w:lineRule="auto"/>
        <w:ind w:firstLine="3158" w:firstLineChars="1504"/>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pacing w:line="400" w:lineRule="atLeast"/>
        <w:jc w:val="center"/>
        <w:rPr>
          <w:rFonts w:ascii="宋体" w:hAnsi="宋体" w:cs="宋体"/>
          <w:b/>
          <w:color w:val="auto"/>
          <w:sz w:val="28"/>
          <w:szCs w:val="28"/>
        </w:rPr>
      </w:pPr>
    </w:p>
    <w:p>
      <w:pPr>
        <w:spacing w:line="400" w:lineRule="atLeast"/>
        <w:jc w:val="center"/>
        <w:rPr>
          <w:rFonts w:ascii="宋体" w:hAnsi="宋体" w:cs="宋体"/>
          <w:b/>
          <w:color w:val="auto"/>
          <w:sz w:val="28"/>
          <w:szCs w:val="28"/>
        </w:rPr>
        <w:sectPr>
          <w:pgSz w:w="11906" w:h="16838"/>
          <w:pgMar w:top="1418" w:right="1725" w:bottom="1418" w:left="178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二、服务文件</w:t>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（一）服务要求响应（格式自定）</w:t>
      </w:r>
    </w:p>
    <w:p>
      <w:pPr>
        <w:spacing w:line="400" w:lineRule="exact"/>
        <w:rPr>
          <w:rFonts w:ascii="方正仿宋_GBK" w:hAnsi="宋体" w:eastAsia="方正仿宋_GBK"/>
          <w:color w:val="auto"/>
          <w:sz w:val="24"/>
        </w:rPr>
      </w:pPr>
      <w:r>
        <w:rPr>
          <w:rFonts w:hint="eastAsia" w:ascii="方正仿宋_GBK" w:hAnsi="宋体" w:eastAsia="方正仿宋_GBK"/>
          <w:color w:val="auto"/>
          <w:sz w:val="24"/>
        </w:rPr>
        <w:t xml:space="preserve">                          </w:t>
      </w:r>
    </w:p>
    <w:p>
      <w:pPr>
        <w:widowControl/>
        <w:jc w:val="left"/>
        <w:rPr>
          <w:rFonts w:ascii="宋体" w:hAnsi="宋体" w:cs="宋体"/>
          <w:b/>
          <w:color w:val="auto"/>
          <w:sz w:val="28"/>
          <w:szCs w:val="28"/>
        </w:rPr>
      </w:pPr>
      <w:r>
        <w:rPr>
          <w:rFonts w:ascii="宋体" w:hAnsi="宋体" w:cs="宋体"/>
          <w:b/>
          <w:color w:val="auto"/>
          <w:sz w:val="28"/>
          <w:szCs w:val="28"/>
        </w:rPr>
        <w:br w:type="page"/>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（二）服务方案（格式自定）</w:t>
      </w:r>
    </w:p>
    <w:p>
      <w:pPr>
        <w:pStyle w:val="2"/>
        <w:rPr>
          <w:color w:val="auto"/>
        </w:rPr>
      </w:pPr>
    </w:p>
    <w:p>
      <w:pPr>
        <w:pStyle w:val="2"/>
        <w:rPr>
          <w:color w:val="auto"/>
        </w:rPr>
      </w:pPr>
    </w:p>
    <w:p>
      <w:pPr>
        <w:pStyle w:val="2"/>
        <w:rPr>
          <w:color w:val="auto"/>
        </w:rPr>
      </w:pPr>
    </w:p>
    <w:p>
      <w:pPr>
        <w:widowControl/>
        <w:jc w:val="left"/>
        <w:rPr>
          <w:color w:val="auto"/>
        </w:rPr>
      </w:pPr>
      <w:r>
        <w:rPr>
          <w:color w:val="auto"/>
        </w:rPr>
        <w:br w:type="page"/>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（三）评分表中相应证明材料及要求的其他内容</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widowControl/>
        <w:jc w:val="left"/>
        <w:rPr>
          <w:color w:val="auto"/>
        </w:rPr>
      </w:pPr>
      <w:r>
        <w:rPr>
          <w:color w:val="auto"/>
        </w:rPr>
        <w:br w:type="page"/>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三、资格文件</w:t>
      </w:r>
    </w:p>
    <w:p>
      <w:pPr>
        <w:pStyle w:val="2"/>
        <w:rPr>
          <w:color w:val="auto"/>
        </w:r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（一）法定代表人身份证明及授权委托书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b/>
          <w:color w:val="auto"/>
          <w:szCs w:val="21"/>
        </w:rPr>
      </w:pPr>
      <w:bookmarkStart w:id="17" w:name="_Toc262547328"/>
      <w:r>
        <w:rPr>
          <w:rFonts w:hint="eastAsia"/>
          <w:b/>
          <w:color w:val="auto"/>
          <w:szCs w:val="21"/>
        </w:rPr>
        <w:t>1</w:t>
      </w:r>
      <w:r>
        <w:rPr>
          <w:b/>
          <w:color w:val="auto"/>
          <w:szCs w:val="21"/>
        </w:rPr>
        <w:t>.</w:t>
      </w:r>
      <w:r>
        <w:rPr>
          <w:rFonts w:hint="eastAsia"/>
          <w:b/>
          <w:color w:val="auto"/>
          <w:szCs w:val="21"/>
        </w:rPr>
        <w:t>法定代表人身份证明</w:t>
      </w:r>
      <w:bookmarkEnd w:id="17"/>
    </w:p>
    <w:p>
      <w:pPr>
        <w:adjustRightInd w:val="0"/>
        <w:snapToGrid w:val="0"/>
        <w:spacing w:line="360" w:lineRule="auto"/>
        <w:ind w:firstLine="390" w:firstLineChars="186"/>
        <w:rPr>
          <w:rFonts w:ascii="宋体" w:hAnsi="宋体"/>
          <w:color w:val="auto"/>
          <w:szCs w:val="21"/>
        </w:rPr>
      </w:pPr>
      <w:bookmarkStart w:id="18" w:name="_Toc262547329"/>
      <w:r>
        <w:rPr>
          <w:rFonts w:hint="eastAsia" w:ascii="宋体" w:hAnsi="宋体"/>
          <w:color w:val="auto"/>
          <w:szCs w:val="21"/>
        </w:rPr>
        <w:t>比选申请人名称：</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 xml:space="preserve"> </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单位性质：</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 xml:space="preserve"> </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 xml:space="preserve"> </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1"/>
          <w:szCs w:val="21"/>
        </w:rPr>
        <w:t>年</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1"/>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 xml:space="preserve"> </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经营期限：</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 xml:space="preserve"> </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 性别</w:t>
      </w:r>
      <w:r>
        <w:rPr>
          <w:rFonts w:hint="eastAsia" w:ascii="宋体" w:hAnsi="宋体"/>
          <w:color w:val="auto"/>
          <w:spacing w:val="-1"/>
          <w:szCs w:val="21"/>
        </w:rPr>
        <w:t>：</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pacing w:val="-1"/>
          <w:szCs w:val="21"/>
        </w:rPr>
        <w:t>年</w:t>
      </w:r>
      <w:r>
        <w:rPr>
          <w:rFonts w:hint="eastAsia" w:ascii="宋体" w:hAnsi="宋体"/>
          <w:color w:val="auto"/>
          <w:szCs w:val="21"/>
        </w:rPr>
        <w:t>龄：</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r>
        <w:rPr>
          <w:rFonts w:hint="eastAsia" w:ascii="宋体" w:hAnsi="宋体"/>
          <w:color w:val="auto"/>
          <w:szCs w:val="21"/>
          <w:u w:val="single"/>
        </w:rPr>
        <w:tab/>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 xml:space="preserve"> </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 xml:space="preserve"> （比选申请人名称）的法定代表人。</w:t>
      </w:r>
    </w:p>
    <w:p>
      <w:pPr>
        <w:adjustRightInd w:val="0"/>
        <w:snapToGrid w:val="0"/>
        <w:spacing w:line="360" w:lineRule="auto"/>
        <w:ind w:firstLine="390" w:firstLineChars="186"/>
        <w:rPr>
          <w:rFonts w:ascii="宋体" w:hAnsi="宋体"/>
          <w:color w:val="auto"/>
          <w:szCs w:val="21"/>
        </w:rPr>
      </w:pPr>
      <w:r>
        <w:rPr>
          <w:rFonts w:hint="eastAsia" w:ascii="宋体" w:hAnsi="宋体"/>
          <w:color w:val="auto"/>
          <w:szCs w:val="21"/>
        </w:rPr>
        <w:t xml:space="preserve"> </w:t>
      </w:r>
    </w:p>
    <w:p>
      <w:pPr>
        <w:adjustRightInd w:val="0"/>
        <w:snapToGrid w:val="0"/>
        <w:spacing w:line="360" w:lineRule="auto"/>
        <w:ind w:firstLine="810" w:firstLineChars="386"/>
        <w:rPr>
          <w:rFonts w:ascii="宋体" w:hAnsi="宋体"/>
          <w:color w:val="auto"/>
          <w:szCs w:val="21"/>
        </w:rPr>
      </w:pPr>
      <w:r>
        <w:rPr>
          <w:rFonts w:hint="eastAsia" w:ascii="宋体" w:hAnsi="宋体"/>
          <w:color w:val="auto"/>
          <w:szCs w:val="21"/>
        </w:rPr>
        <w:t>特此证明。</w:t>
      </w:r>
    </w:p>
    <w:p>
      <w:pPr>
        <w:wordWrap w:val="0"/>
        <w:adjustRightInd w:val="0"/>
        <w:snapToGrid w:val="0"/>
        <w:spacing w:line="360" w:lineRule="auto"/>
        <w:ind w:firstLine="2100"/>
        <w:jc w:val="right"/>
        <w:rPr>
          <w:rFonts w:ascii="宋体" w:hAnsi="宋体"/>
          <w:color w:val="auto"/>
          <w:szCs w:val="21"/>
        </w:rPr>
      </w:pPr>
      <w:r>
        <w:rPr>
          <w:rFonts w:hint="eastAsia" w:ascii="宋体" w:hAnsi="宋体"/>
          <w:color w:val="auto"/>
          <w:szCs w:val="21"/>
        </w:rPr>
        <w:t>比选申请</w:t>
      </w:r>
      <w:r>
        <w:rPr>
          <w:rFonts w:hint="eastAsia" w:ascii="宋体" w:hAnsi="宋体"/>
          <w:color w:val="auto"/>
          <w:spacing w:val="-1"/>
          <w:szCs w:val="21"/>
        </w:rPr>
        <w:t>人</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pacing w:val="-1"/>
          <w:szCs w:val="21"/>
        </w:rPr>
        <w:t>（</w:t>
      </w:r>
      <w:r>
        <w:rPr>
          <w:rFonts w:hint="eastAsia" w:ascii="宋体" w:hAnsi="宋体"/>
          <w:color w:val="auto"/>
          <w:szCs w:val="21"/>
        </w:rPr>
        <w:t>盖单位章）</w:t>
      </w:r>
    </w:p>
    <w:p>
      <w:pPr>
        <w:adjustRightInd w:val="0"/>
        <w:snapToGrid w:val="0"/>
        <w:spacing w:line="360" w:lineRule="auto"/>
        <w:ind w:firstLine="3780"/>
        <w:jc w:val="right"/>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pacing w:val="-1"/>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rPr>
          <w:rFonts w:ascii="宋体" w:hAnsi="宋体"/>
          <w:color w:val="auto"/>
          <w:szCs w:val="21"/>
        </w:rPr>
      </w:pPr>
      <w:r>
        <w:rPr>
          <w:rFonts w:hint="eastAsia" w:ascii="宋体" w:hAnsi="宋体"/>
          <w:color w:val="auto"/>
          <w:szCs w:val="21"/>
        </w:rPr>
        <w:t>附法定代表人身份证复印件</w:t>
      </w:r>
    </w:p>
    <w:tbl>
      <w:tblPr>
        <w:tblStyle w:val="6"/>
        <w:tblW w:w="9086" w:type="dxa"/>
        <w:jc w:val="center"/>
        <w:tblLayout w:type="fixed"/>
        <w:tblCellMar>
          <w:top w:w="0" w:type="dxa"/>
          <w:left w:w="108" w:type="dxa"/>
          <w:bottom w:w="0" w:type="dxa"/>
          <w:right w:w="108" w:type="dxa"/>
        </w:tblCellMar>
      </w:tblPr>
      <w:tblGrid>
        <w:gridCol w:w="9086"/>
      </w:tblGrid>
      <w:tr>
        <w:tblPrEx>
          <w:tblCellMar>
            <w:top w:w="0" w:type="dxa"/>
            <w:left w:w="108" w:type="dxa"/>
            <w:bottom w:w="0" w:type="dxa"/>
            <w:right w:w="108" w:type="dxa"/>
          </w:tblCellMar>
        </w:tblPrEx>
        <w:trPr>
          <w:trHeight w:val="2426" w:hRule="atLeast"/>
          <w:jc w:val="center"/>
        </w:trPr>
        <w:tc>
          <w:tcPr>
            <w:tcW w:w="9086" w:type="dxa"/>
            <w:tcBorders>
              <w:top w:val="dotDotDash" w:color="auto" w:sz="4" w:space="0"/>
              <w:left w:val="dotDotDash" w:color="auto" w:sz="4" w:space="0"/>
              <w:bottom w:val="dotDotDash" w:color="auto" w:sz="4" w:space="0"/>
              <w:right w:val="dotDotDash" w:color="auto" w:sz="4" w:space="0"/>
            </w:tcBorders>
            <w:noWrap w:val="0"/>
            <w:vAlign w:val="top"/>
          </w:tcPr>
          <w:p>
            <w:pPr>
              <w:spacing w:line="520" w:lineRule="atLeast"/>
              <w:ind w:firstLine="420" w:firstLineChars="200"/>
              <w:jc w:val="center"/>
              <w:rPr>
                <w:rFonts w:ascii="宋体" w:hAnsi="宋体"/>
                <w:color w:val="auto"/>
                <w:szCs w:val="21"/>
              </w:rPr>
            </w:pPr>
            <w:r>
              <w:rPr>
                <w:rFonts w:hint="eastAsia" w:ascii="宋体" w:hAnsi="宋体"/>
                <w:color w:val="auto"/>
                <w:szCs w:val="21"/>
              </w:rPr>
              <w:t>法定代表人身份证复印件</w:t>
            </w:r>
          </w:p>
          <w:p>
            <w:pPr>
              <w:jc w:val="center"/>
              <w:rPr>
                <w:rFonts w:ascii="宋体" w:hAnsi="宋体"/>
                <w:color w:val="auto"/>
                <w:szCs w:val="21"/>
              </w:rPr>
            </w:pPr>
            <w:r>
              <w:rPr>
                <w:rFonts w:hint="eastAsia" w:ascii="宋体" w:hAnsi="宋体"/>
                <w:color w:val="auto"/>
                <w:szCs w:val="21"/>
              </w:rPr>
              <w:t>（双面）</w:t>
            </w:r>
          </w:p>
        </w:tc>
      </w:tr>
    </w:tbl>
    <w:p>
      <w:pPr>
        <w:adjustRightInd w:val="0"/>
        <w:snapToGrid w:val="0"/>
        <w:spacing w:before="156" w:beforeLines="50" w:line="300" w:lineRule="auto"/>
        <w:rPr>
          <w:rFonts w:ascii="宋体" w:hAnsi="宋体"/>
          <w:color w:val="auto"/>
          <w:szCs w:val="21"/>
        </w:rPr>
      </w:pPr>
    </w:p>
    <w:p>
      <w:pPr>
        <w:adjustRightInd w:val="0"/>
        <w:snapToGrid w:val="0"/>
        <w:spacing w:before="156" w:beforeLines="50" w:line="300" w:lineRule="auto"/>
        <w:rPr>
          <w:rFonts w:ascii="宋体" w:hAnsi="宋体"/>
          <w:color w:val="auto"/>
          <w:szCs w:val="21"/>
        </w:rPr>
      </w:pPr>
      <w:r>
        <w:rPr>
          <w:rFonts w:hint="eastAsia" w:ascii="宋体" w:hAnsi="宋体"/>
          <w:color w:val="auto"/>
          <w:szCs w:val="21"/>
        </w:rPr>
        <w:t>注：法定代表人身份证明需按上述格式填写完整，不可缺少内容。在此基础上增加内容的不影响其有效性。</w:t>
      </w:r>
    </w:p>
    <w:p>
      <w:pPr>
        <w:topLinePunct/>
        <w:spacing w:line="440" w:lineRule="exact"/>
        <w:jc w:val="center"/>
        <w:outlineLvl w:val="2"/>
        <w:rPr>
          <w:rFonts w:ascii="宋体" w:hAnsi="宋体" w:cs="宋体"/>
          <w:b/>
          <w:color w:val="auto"/>
          <w:szCs w:val="21"/>
        </w:rPr>
      </w:pPr>
      <w:r>
        <w:rPr>
          <w:rFonts w:hint="eastAsia" w:ascii="宋体" w:hAnsi="宋体" w:cs="宋体"/>
          <w:b/>
          <w:color w:val="auto"/>
          <w:szCs w:val="21"/>
        </w:rPr>
        <w:t>2</w:t>
      </w:r>
      <w:r>
        <w:rPr>
          <w:rFonts w:ascii="宋体" w:hAnsi="宋体" w:cs="宋体"/>
          <w:b/>
          <w:color w:val="auto"/>
          <w:szCs w:val="21"/>
        </w:rPr>
        <w:t>.</w:t>
      </w:r>
      <w:r>
        <w:rPr>
          <w:rFonts w:hint="eastAsia" w:ascii="宋体" w:hAnsi="宋体" w:cs="宋体"/>
          <w:b/>
          <w:color w:val="auto"/>
          <w:szCs w:val="21"/>
        </w:rPr>
        <w:t>授权委托书</w:t>
      </w:r>
      <w:bookmarkEnd w:id="18"/>
      <w:r>
        <w:rPr>
          <w:rFonts w:hint="eastAsia" w:ascii="宋体" w:hAnsi="宋体" w:cs="宋体"/>
          <w:b/>
          <w:color w:val="auto"/>
          <w:szCs w:val="21"/>
        </w:rPr>
        <w:t xml:space="preserve"> </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adjustRightInd w:val="0"/>
        <w:snapToGrid w:val="0"/>
        <w:spacing w:line="360" w:lineRule="auto"/>
        <w:ind w:firstLine="420"/>
        <w:rPr>
          <w:rFonts w:ascii="宋体" w:hAnsi="宋体"/>
          <w:color w:val="auto"/>
          <w:szCs w:val="21"/>
        </w:rPr>
      </w:pPr>
      <w:r>
        <w:rPr>
          <w:rFonts w:hint="eastAsia" w:ascii="宋体" w:hAnsi="宋体"/>
          <w:color w:val="auto"/>
          <w:szCs w:val="21"/>
        </w:rPr>
        <w:t>本人</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（姓名）系</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w:t>
      </w:r>
      <w:r>
        <w:rPr>
          <w:rFonts w:hint="eastAsia" w:ascii="宋体" w:hAnsi="宋体"/>
          <w:color w:val="auto"/>
          <w:spacing w:val="-1"/>
          <w:szCs w:val="21"/>
        </w:rPr>
        <w:t>比选申请</w:t>
      </w:r>
      <w:r>
        <w:rPr>
          <w:rFonts w:hint="eastAsia" w:ascii="宋体" w:hAnsi="宋体"/>
          <w:color w:val="auto"/>
          <w:szCs w:val="21"/>
        </w:rPr>
        <w:t>人名称</w:t>
      </w:r>
      <w:r>
        <w:rPr>
          <w:rFonts w:hint="eastAsia" w:ascii="宋体" w:hAnsi="宋体"/>
          <w:color w:val="auto"/>
          <w:spacing w:val="1"/>
          <w:szCs w:val="21"/>
        </w:rPr>
        <w:t>）</w:t>
      </w:r>
      <w:r>
        <w:rPr>
          <w:rFonts w:hint="eastAsia" w:ascii="宋体" w:hAnsi="宋体"/>
          <w:color w:val="auto"/>
          <w:szCs w:val="21"/>
        </w:rPr>
        <w:t>的法定代</w:t>
      </w:r>
      <w:r>
        <w:rPr>
          <w:rFonts w:hint="eastAsia" w:ascii="宋体" w:hAnsi="宋体"/>
          <w:color w:val="auto"/>
          <w:spacing w:val="1"/>
          <w:szCs w:val="21"/>
        </w:rPr>
        <w:t>表</w:t>
      </w:r>
      <w:r>
        <w:rPr>
          <w:rFonts w:hint="eastAsia" w:ascii="宋体" w:hAnsi="宋体"/>
          <w:color w:val="auto"/>
          <w:szCs w:val="21"/>
        </w:rPr>
        <w:t>人，现委托</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（姓名）为我方代理人。代理人根据授权，以我方名义签署、澄清、说明、补正、递交、撤回、 修改</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（项</w:t>
      </w:r>
      <w:r>
        <w:rPr>
          <w:rFonts w:hint="eastAsia" w:ascii="宋体" w:hAnsi="宋体"/>
          <w:color w:val="auto"/>
          <w:spacing w:val="-1"/>
          <w:szCs w:val="21"/>
        </w:rPr>
        <w:t>目</w:t>
      </w:r>
      <w:r>
        <w:rPr>
          <w:rFonts w:hint="eastAsia" w:ascii="宋体" w:hAnsi="宋体"/>
          <w:color w:val="auto"/>
          <w:szCs w:val="21"/>
        </w:rPr>
        <w:t>名称）比选申请文件、签订合同和处理有关事宜， 其法律后果由我方承担。</w:t>
      </w:r>
    </w:p>
    <w:p>
      <w:pPr>
        <w:adjustRightInd w:val="0"/>
        <w:snapToGrid w:val="0"/>
        <w:spacing w:line="360" w:lineRule="auto"/>
        <w:ind w:firstLine="420"/>
        <w:rPr>
          <w:rFonts w:ascii="宋体" w:hAnsi="宋体"/>
          <w:color w:val="auto"/>
          <w:szCs w:val="21"/>
        </w:rPr>
      </w:pPr>
      <w:r>
        <w:rPr>
          <w:rFonts w:hint="eastAsia" w:ascii="宋体" w:hAnsi="宋体"/>
          <w:color w:val="auto"/>
          <w:szCs w:val="21"/>
        </w:rPr>
        <w:t>委托</w:t>
      </w:r>
      <w:r>
        <w:rPr>
          <w:rFonts w:hint="eastAsia" w:ascii="宋体" w:hAnsi="宋体"/>
          <w:color w:val="auto"/>
          <w:spacing w:val="-1"/>
          <w:szCs w:val="21"/>
        </w:rPr>
        <w:t>期</w:t>
      </w:r>
      <w:r>
        <w:rPr>
          <w:rFonts w:hint="eastAsia" w:ascii="宋体" w:hAnsi="宋体"/>
          <w:color w:val="auto"/>
          <w:szCs w:val="21"/>
        </w:rPr>
        <w:t>限：</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 xml:space="preserve">。 </w:t>
      </w:r>
    </w:p>
    <w:p>
      <w:pPr>
        <w:adjustRightInd w:val="0"/>
        <w:snapToGrid w:val="0"/>
        <w:spacing w:line="360" w:lineRule="auto"/>
        <w:ind w:firstLine="420"/>
        <w:rPr>
          <w:rFonts w:ascii="宋体" w:hAnsi="宋体"/>
          <w:color w:val="auto"/>
          <w:szCs w:val="21"/>
        </w:rPr>
      </w:pPr>
      <w:r>
        <w:rPr>
          <w:rFonts w:hint="eastAsia" w:ascii="宋体" w:hAnsi="宋体"/>
          <w:color w:val="auto"/>
          <w:szCs w:val="21"/>
        </w:rPr>
        <w:t>代理人无转委托权。</w:t>
      </w:r>
    </w:p>
    <w:p>
      <w:pPr>
        <w:adjustRightInd w:val="0"/>
        <w:snapToGrid w:val="0"/>
        <w:spacing w:line="360" w:lineRule="auto"/>
        <w:ind w:firstLine="420"/>
        <w:rPr>
          <w:rFonts w:ascii="宋体" w:hAnsi="宋体"/>
          <w:color w:val="auto"/>
          <w:szCs w:val="21"/>
        </w:rPr>
      </w:pPr>
      <w:r>
        <w:rPr>
          <w:rFonts w:hint="eastAsia" w:ascii="宋体" w:hAnsi="宋体"/>
          <w:color w:val="auto"/>
          <w:szCs w:val="21"/>
        </w:rPr>
        <w:t xml:space="preserve"> </w:t>
      </w:r>
    </w:p>
    <w:p>
      <w:pPr>
        <w:adjustRightInd w:val="0"/>
        <w:snapToGrid w:val="0"/>
        <w:spacing w:line="360" w:lineRule="auto"/>
        <w:rPr>
          <w:rFonts w:ascii="宋体" w:hAnsi="宋体"/>
          <w:color w:val="auto"/>
          <w:szCs w:val="21"/>
        </w:rPr>
      </w:pPr>
      <w:r>
        <w:rPr>
          <w:rFonts w:hint="eastAsia" w:ascii="宋体" w:hAnsi="宋体"/>
          <w:color w:val="auto"/>
          <w:szCs w:val="21"/>
        </w:rPr>
        <w:t xml:space="preserve"> </w:t>
      </w:r>
    </w:p>
    <w:p>
      <w:pPr>
        <w:adjustRightInd w:val="0"/>
        <w:snapToGrid w:val="0"/>
        <w:spacing w:line="360" w:lineRule="auto"/>
        <w:rPr>
          <w:rFonts w:ascii="宋体" w:hAnsi="宋体"/>
          <w:color w:val="auto"/>
          <w:szCs w:val="21"/>
        </w:rPr>
      </w:pPr>
      <w:r>
        <w:rPr>
          <w:rFonts w:hint="eastAsia" w:ascii="宋体" w:hAnsi="宋体"/>
          <w:color w:val="auto"/>
          <w:szCs w:val="21"/>
        </w:rPr>
        <w:t xml:space="preserve"> </w:t>
      </w:r>
    </w:p>
    <w:p>
      <w:pPr>
        <w:adjustRightInd w:val="0"/>
        <w:snapToGrid w:val="0"/>
        <w:spacing w:line="360" w:lineRule="auto"/>
        <w:ind w:firstLine="1694"/>
        <w:rPr>
          <w:rFonts w:ascii="宋体" w:hAnsi="宋体"/>
          <w:color w:val="auto"/>
          <w:szCs w:val="21"/>
        </w:rPr>
      </w:pPr>
      <w:r>
        <w:rPr>
          <w:rFonts w:hint="eastAsia" w:ascii="宋体" w:hAnsi="宋体"/>
          <w:color w:val="auto"/>
          <w:szCs w:val="21"/>
        </w:rPr>
        <w:t>比选申请人：</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w:t>
      </w:r>
      <w:r>
        <w:rPr>
          <w:rFonts w:hint="eastAsia" w:ascii="宋体" w:hAnsi="宋体"/>
          <w:color w:val="auto"/>
          <w:spacing w:val="-1"/>
          <w:szCs w:val="21"/>
        </w:rPr>
        <w:t>盖</w:t>
      </w:r>
      <w:r>
        <w:rPr>
          <w:rFonts w:hint="eastAsia" w:ascii="宋体" w:hAnsi="宋体"/>
          <w:color w:val="auto"/>
          <w:szCs w:val="21"/>
        </w:rPr>
        <w:t xml:space="preserve">单位章） </w:t>
      </w:r>
    </w:p>
    <w:p>
      <w:pPr>
        <w:adjustRightInd w:val="0"/>
        <w:snapToGrid w:val="0"/>
        <w:spacing w:line="360" w:lineRule="auto"/>
        <w:ind w:firstLine="1680"/>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（签字）</w:t>
      </w:r>
    </w:p>
    <w:p>
      <w:pPr>
        <w:adjustRightInd w:val="0"/>
        <w:snapToGrid w:val="0"/>
        <w:spacing w:line="360" w:lineRule="auto"/>
        <w:ind w:firstLine="168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u w:val="single"/>
        </w:rPr>
        <w:tab/>
      </w:r>
    </w:p>
    <w:p>
      <w:pPr>
        <w:adjustRightInd w:val="0"/>
        <w:snapToGrid w:val="0"/>
        <w:spacing w:line="360" w:lineRule="auto"/>
        <w:ind w:firstLine="1680"/>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（签</w:t>
      </w:r>
      <w:r>
        <w:rPr>
          <w:rFonts w:hint="eastAsia" w:ascii="宋体" w:hAnsi="宋体"/>
          <w:color w:val="auto"/>
          <w:spacing w:val="-1"/>
          <w:szCs w:val="21"/>
        </w:rPr>
        <w:t>字</w:t>
      </w:r>
      <w:r>
        <w:rPr>
          <w:rFonts w:hint="eastAsia" w:ascii="宋体" w:hAnsi="宋体"/>
          <w:color w:val="auto"/>
          <w:szCs w:val="21"/>
        </w:rPr>
        <w:t>）</w:t>
      </w:r>
    </w:p>
    <w:p>
      <w:pPr>
        <w:adjustRightInd w:val="0"/>
        <w:snapToGrid w:val="0"/>
        <w:spacing w:line="360" w:lineRule="auto"/>
        <w:ind w:firstLine="1680"/>
        <w:rPr>
          <w:rFonts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p>
    <w:p>
      <w:pPr>
        <w:adjustRightInd w:val="0"/>
        <w:snapToGrid w:val="0"/>
        <w:spacing w:line="360" w:lineRule="auto"/>
        <w:rPr>
          <w:rFonts w:ascii="宋体" w:hAnsi="宋体"/>
          <w:color w:val="auto"/>
          <w:szCs w:val="21"/>
        </w:rPr>
      </w:pPr>
      <w:r>
        <w:rPr>
          <w:rFonts w:hint="eastAsia" w:ascii="宋体" w:hAnsi="宋体"/>
          <w:color w:val="auto"/>
          <w:szCs w:val="21"/>
        </w:rPr>
        <w:t xml:space="preserve">  </w:t>
      </w:r>
    </w:p>
    <w:p>
      <w:pPr>
        <w:adjustRightInd w:val="0"/>
        <w:snapToGrid w:val="0"/>
        <w:spacing w:line="360" w:lineRule="auto"/>
        <w:rPr>
          <w:rFonts w:ascii="宋体" w:hAnsi="宋体"/>
          <w:color w:val="auto"/>
          <w:szCs w:val="21"/>
        </w:rPr>
      </w:pPr>
      <w:r>
        <w:rPr>
          <w:rFonts w:hint="eastAsia" w:ascii="宋体" w:hAnsi="宋体"/>
          <w:color w:val="auto"/>
          <w:szCs w:val="21"/>
        </w:rPr>
        <w:t xml:space="preserve"> </w:t>
      </w:r>
    </w:p>
    <w:p>
      <w:pPr>
        <w:adjustRightInd w:val="0"/>
        <w:snapToGrid w:val="0"/>
        <w:spacing w:line="360" w:lineRule="auto"/>
        <w:ind w:firstLine="378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u w:val="single"/>
        </w:rPr>
        <w:tab/>
      </w:r>
      <w:r>
        <w:rPr>
          <w:rFonts w:hint="eastAsia" w:ascii="宋体" w:hAnsi="宋体"/>
          <w:color w:val="auto"/>
          <w:szCs w:val="21"/>
          <w:u w:val="single"/>
        </w:rPr>
        <w:t xml:space="preserve">   </w:t>
      </w:r>
      <w:r>
        <w:rPr>
          <w:rFonts w:hint="eastAsia" w:ascii="宋体" w:hAnsi="宋体"/>
          <w:color w:val="auto"/>
          <w:szCs w:val="21"/>
        </w:rPr>
        <w:t>日</w:t>
      </w:r>
    </w:p>
    <w:tbl>
      <w:tblPr>
        <w:tblStyle w:val="6"/>
        <w:tblW w:w="8136" w:type="dxa"/>
        <w:jc w:val="center"/>
        <w:tblLayout w:type="fixed"/>
        <w:tblCellMar>
          <w:top w:w="0" w:type="dxa"/>
          <w:left w:w="108" w:type="dxa"/>
          <w:bottom w:w="0" w:type="dxa"/>
          <w:right w:w="108" w:type="dxa"/>
        </w:tblCellMar>
      </w:tblPr>
      <w:tblGrid>
        <w:gridCol w:w="4068"/>
        <w:gridCol w:w="4068"/>
      </w:tblGrid>
      <w:tr>
        <w:tblPrEx>
          <w:tblCellMar>
            <w:top w:w="0" w:type="dxa"/>
            <w:left w:w="108" w:type="dxa"/>
            <w:bottom w:w="0" w:type="dxa"/>
            <w:right w:w="108" w:type="dxa"/>
          </w:tblCellMar>
        </w:tblPrEx>
        <w:trPr>
          <w:trHeight w:val="2492" w:hRule="atLeast"/>
          <w:jc w:val="center"/>
        </w:trPr>
        <w:tc>
          <w:tcPr>
            <w:tcW w:w="4068" w:type="dxa"/>
            <w:tcBorders>
              <w:top w:val="dotDotDash" w:color="auto" w:sz="4" w:space="0"/>
              <w:left w:val="dotDotDash" w:color="auto" w:sz="4" w:space="0"/>
              <w:bottom w:val="dotDotDash" w:color="auto" w:sz="4" w:space="0"/>
              <w:right w:val="dotDotDash" w:color="auto" w:sz="4" w:space="0"/>
            </w:tcBorders>
            <w:noWrap w:val="0"/>
            <w:vAlign w:val="top"/>
          </w:tcPr>
          <w:p>
            <w:pPr>
              <w:spacing w:line="520" w:lineRule="atLeast"/>
              <w:ind w:firstLine="420" w:firstLineChars="200"/>
              <w:jc w:val="center"/>
              <w:rPr>
                <w:rFonts w:ascii="宋体" w:hAnsi="宋体"/>
                <w:color w:val="auto"/>
                <w:szCs w:val="21"/>
              </w:rPr>
            </w:pPr>
          </w:p>
          <w:p>
            <w:pPr>
              <w:spacing w:line="520" w:lineRule="atLeast"/>
              <w:ind w:firstLine="420" w:firstLineChars="200"/>
              <w:jc w:val="center"/>
              <w:rPr>
                <w:rFonts w:ascii="宋体" w:hAnsi="宋体"/>
                <w:color w:val="auto"/>
                <w:szCs w:val="21"/>
              </w:rPr>
            </w:pPr>
            <w:bookmarkStart w:id="19" w:name="OLE_LINK5"/>
            <w:r>
              <w:rPr>
                <w:rFonts w:hint="eastAsia" w:ascii="宋体" w:hAnsi="宋体"/>
                <w:color w:val="auto"/>
                <w:szCs w:val="21"/>
              </w:rPr>
              <w:t>法定代表人身份证复印件</w:t>
            </w:r>
            <w:bookmarkEnd w:id="19"/>
          </w:p>
          <w:p>
            <w:pPr>
              <w:spacing w:line="520" w:lineRule="atLeast"/>
              <w:ind w:firstLine="420" w:firstLineChars="200"/>
              <w:jc w:val="center"/>
              <w:rPr>
                <w:rFonts w:ascii="宋体" w:hAnsi="宋体"/>
                <w:color w:val="auto"/>
                <w:szCs w:val="21"/>
              </w:rPr>
            </w:pPr>
            <w:r>
              <w:rPr>
                <w:rFonts w:hint="eastAsia" w:ascii="宋体" w:hAnsi="宋体"/>
                <w:color w:val="auto"/>
                <w:szCs w:val="21"/>
              </w:rPr>
              <w:t>（双面）</w:t>
            </w:r>
          </w:p>
        </w:tc>
        <w:tc>
          <w:tcPr>
            <w:tcW w:w="4068" w:type="dxa"/>
            <w:tcBorders>
              <w:top w:val="dotDotDash" w:color="auto" w:sz="4" w:space="0"/>
              <w:left w:val="nil"/>
              <w:bottom w:val="dotDotDash" w:color="auto" w:sz="4" w:space="0"/>
              <w:right w:val="dotDotDash" w:color="auto" w:sz="4" w:space="0"/>
            </w:tcBorders>
            <w:noWrap w:val="0"/>
            <w:vAlign w:val="top"/>
          </w:tcPr>
          <w:p>
            <w:pPr>
              <w:spacing w:line="520" w:lineRule="atLeast"/>
              <w:ind w:firstLine="420" w:firstLineChars="200"/>
              <w:jc w:val="center"/>
              <w:rPr>
                <w:rFonts w:ascii="宋体" w:hAnsi="宋体"/>
                <w:color w:val="auto"/>
                <w:szCs w:val="21"/>
              </w:rPr>
            </w:pPr>
          </w:p>
          <w:p>
            <w:pPr>
              <w:spacing w:line="520" w:lineRule="atLeast"/>
              <w:ind w:firstLine="420" w:firstLineChars="200"/>
              <w:jc w:val="center"/>
              <w:rPr>
                <w:rFonts w:ascii="宋体" w:hAnsi="宋体"/>
                <w:color w:val="auto"/>
                <w:szCs w:val="21"/>
              </w:rPr>
            </w:pPr>
            <w:r>
              <w:rPr>
                <w:rFonts w:hint="eastAsia" w:ascii="宋体" w:hAnsi="宋体"/>
                <w:color w:val="auto"/>
                <w:szCs w:val="21"/>
              </w:rPr>
              <w:t>委托代理人身份证复印件</w:t>
            </w:r>
          </w:p>
          <w:p>
            <w:pPr>
              <w:spacing w:line="520" w:lineRule="atLeast"/>
              <w:jc w:val="center"/>
              <w:rPr>
                <w:rFonts w:ascii="宋体" w:hAnsi="宋体"/>
                <w:color w:val="auto"/>
                <w:szCs w:val="21"/>
              </w:rPr>
            </w:pPr>
            <w:r>
              <w:rPr>
                <w:rFonts w:hint="eastAsia" w:ascii="宋体" w:hAnsi="宋体"/>
                <w:color w:val="auto"/>
                <w:szCs w:val="21"/>
              </w:rPr>
              <w:t>（双面）</w:t>
            </w:r>
          </w:p>
          <w:p>
            <w:pPr>
              <w:spacing w:line="520" w:lineRule="atLeast"/>
              <w:ind w:firstLine="420" w:firstLineChars="200"/>
              <w:jc w:val="center"/>
              <w:rPr>
                <w:rFonts w:ascii="宋体" w:hAnsi="宋体"/>
                <w:color w:val="auto"/>
                <w:szCs w:val="21"/>
              </w:rPr>
            </w:pPr>
          </w:p>
        </w:tc>
      </w:tr>
    </w:tbl>
    <w:p>
      <w:pPr>
        <w:adjustRightInd w:val="0"/>
        <w:snapToGrid w:val="0"/>
        <w:spacing w:line="360" w:lineRule="auto"/>
        <w:rPr>
          <w:rFonts w:ascii="宋体" w:hAnsi="宋体"/>
          <w:color w:val="auto"/>
          <w:szCs w:val="21"/>
        </w:rPr>
      </w:pPr>
      <w:r>
        <w:rPr>
          <w:rFonts w:hint="eastAsia" w:ascii="宋体" w:hAnsi="宋体"/>
          <w:color w:val="auto"/>
          <w:szCs w:val="21"/>
        </w:rPr>
        <w:t xml:space="preserve"> </w:t>
      </w: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p>
    <w:p>
      <w:pPr>
        <w:adjustRightInd w:val="0"/>
        <w:snapToGrid w:val="0"/>
        <w:spacing w:line="360" w:lineRule="auto"/>
        <w:rPr>
          <w:rFonts w:ascii="宋体" w:hAnsi="宋体"/>
          <w:color w:val="auto"/>
          <w:szCs w:val="21"/>
        </w:rPr>
      </w:pPr>
      <w:r>
        <w:rPr>
          <w:rFonts w:hint="eastAsia" w:ascii="宋体" w:hAnsi="宋体"/>
          <w:color w:val="auto"/>
          <w:szCs w:val="21"/>
        </w:rPr>
        <w:drawing>
          <wp:inline distT="0" distB="0" distL="114300" distR="114300">
            <wp:extent cx="2876550" cy="9525"/>
            <wp:effectExtent l="0" t="0" r="0" b="0"/>
            <wp:docPr id="3" name="图片 3"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7F82"/>
                    <pic:cNvPicPr>
                      <a:picLocks noChangeAspect="1"/>
                    </pic:cNvPicPr>
                  </pic:nvPicPr>
                  <pic:blipFill>
                    <a:blip r:embed="rId8"/>
                    <a:stretch>
                      <a:fillRect/>
                    </a:stretch>
                  </pic:blipFill>
                  <pic:spPr>
                    <a:xfrm>
                      <a:off x="0" y="0"/>
                      <a:ext cx="2876550" cy="9525"/>
                    </a:xfrm>
                    <a:prstGeom prst="rect">
                      <a:avLst/>
                    </a:prstGeom>
                    <a:noFill/>
                    <a:ln>
                      <a:noFill/>
                    </a:ln>
                  </pic:spPr>
                </pic:pic>
              </a:graphicData>
            </a:graphic>
          </wp:inline>
        </w:drawing>
      </w:r>
      <w:r>
        <w:rPr>
          <w:rFonts w:hint="eastAsia" w:ascii="宋体" w:hAnsi="宋体"/>
          <w:color w:val="auto"/>
          <w:szCs w:val="21"/>
        </w:rPr>
        <w:t xml:space="preserve"> </w:t>
      </w:r>
    </w:p>
    <w:p>
      <w:pPr>
        <w:adjustRightInd w:val="0"/>
        <w:spacing w:line="300" w:lineRule="exact"/>
        <w:ind w:left="735" w:right="11" w:hanging="735" w:hangingChars="350"/>
        <w:rPr>
          <w:rFonts w:ascii="宋体" w:hAnsi="宋体"/>
          <w:color w:val="auto"/>
          <w:szCs w:val="21"/>
        </w:rPr>
      </w:pPr>
      <w:r>
        <w:rPr>
          <w:rFonts w:hint="eastAsia" w:ascii="宋体" w:hAnsi="宋体"/>
          <w:color w:val="auto"/>
          <w:szCs w:val="21"/>
        </w:rPr>
        <w:t>注：1、法定代表人参加竞标活动并签署文件的不需要授权委托书，只需提供法定代表人身份证明；非法定代表人参加竞标活动及签署文件的除提供法定代表人身份证明外还须提供授权委托书。</w:t>
      </w:r>
    </w:p>
    <w:p>
      <w:pPr>
        <w:widowControl/>
        <w:jc w:val="left"/>
        <w:rPr>
          <w:color w:val="auto"/>
        </w:rPr>
      </w:pPr>
      <w:r>
        <w:rPr>
          <w:color w:val="auto"/>
        </w:rPr>
        <w:br w:type="page"/>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（二）有效的营业执照复印件</w:t>
      </w:r>
    </w:p>
    <w:p>
      <w:pPr>
        <w:pStyle w:val="2"/>
        <w:rPr>
          <w:color w:val="auto"/>
        </w:rPr>
      </w:pPr>
    </w:p>
    <w:p>
      <w:pPr>
        <w:widowControl/>
        <w:jc w:val="left"/>
        <w:rPr>
          <w:color w:val="auto"/>
        </w:rPr>
      </w:pPr>
      <w:r>
        <w:rPr>
          <w:color w:val="auto"/>
        </w:rPr>
        <w:br w:type="page"/>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（三）诚信声明</w:t>
      </w:r>
    </w:p>
    <w:p>
      <w:pPr>
        <w:pStyle w:val="2"/>
        <w:rPr>
          <w:color w:val="auto"/>
        </w:rPr>
      </w:pPr>
    </w:p>
    <w:p>
      <w:pPr>
        <w:tabs>
          <w:tab w:val="left" w:pos="6300"/>
        </w:tabs>
        <w:snapToGrid w:val="0"/>
        <w:spacing w:line="500" w:lineRule="exact"/>
        <w:rPr>
          <w:rFonts w:ascii="宋体" w:hAnsi="宋体" w:cs="MingLiU"/>
          <w:color w:val="auto"/>
          <w:szCs w:val="21"/>
        </w:rPr>
      </w:pPr>
      <w:r>
        <w:rPr>
          <w:rFonts w:hint="eastAsia" w:ascii="宋体" w:hAnsi="宋体" w:cs="MingLiU"/>
          <w:color w:val="auto"/>
          <w:szCs w:val="21"/>
        </w:rPr>
        <w:t xml:space="preserve">重庆鹏途企业管理咨询有限公司：                               </w:t>
      </w:r>
    </w:p>
    <w:p>
      <w:pPr>
        <w:tabs>
          <w:tab w:val="left" w:pos="6300"/>
        </w:tabs>
        <w:snapToGrid w:val="0"/>
        <w:spacing w:line="500" w:lineRule="exact"/>
        <w:ind w:firstLine="420" w:firstLineChars="200"/>
        <w:rPr>
          <w:rFonts w:ascii="宋体" w:hAnsi="宋体"/>
          <w:bCs/>
          <w:color w:val="auto"/>
          <w:szCs w:val="21"/>
        </w:rPr>
      </w:pPr>
      <w:r>
        <w:rPr>
          <w:rFonts w:hint="eastAsia" w:ascii="宋体" w:hAnsi="宋体"/>
          <w:bCs/>
          <w:color w:val="auto"/>
          <w:szCs w:val="21"/>
          <w:u w:val="single"/>
        </w:rPr>
        <w:t xml:space="preserve">                 （</w:t>
      </w:r>
      <w:r>
        <w:rPr>
          <w:rFonts w:hint="eastAsia" w:ascii="宋体" w:hAnsi="宋体" w:cs="宋体"/>
          <w:color w:val="auto"/>
          <w:szCs w:val="21"/>
        </w:rPr>
        <w:t>比选申请人</w:t>
      </w:r>
      <w:r>
        <w:rPr>
          <w:rFonts w:hint="eastAsia" w:ascii="宋体" w:hAnsi="宋体"/>
          <w:bCs/>
          <w:color w:val="auto"/>
          <w:szCs w:val="21"/>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420" w:firstLineChars="200"/>
        <w:rPr>
          <w:rFonts w:ascii="宋体" w:hAnsi="宋体"/>
          <w:bCs/>
          <w:color w:val="auto"/>
          <w:szCs w:val="21"/>
        </w:rPr>
      </w:pPr>
      <w:r>
        <w:rPr>
          <w:rFonts w:hint="eastAsia" w:ascii="宋体" w:hAnsi="宋体"/>
          <w:bCs/>
          <w:color w:val="auto"/>
          <w:szCs w:val="21"/>
        </w:rPr>
        <w:t>特此声明。</w:t>
      </w:r>
    </w:p>
    <w:p>
      <w:pPr>
        <w:tabs>
          <w:tab w:val="left" w:pos="6300"/>
        </w:tabs>
        <w:snapToGrid w:val="0"/>
        <w:spacing w:line="360" w:lineRule="auto"/>
        <w:ind w:firstLine="570"/>
        <w:rPr>
          <w:rFonts w:ascii="宋体" w:hAnsi="宋体"/>
          <w:bCs/>
          <w:color w:val="auto"/>
          <w:szCs w:val="21"/>
        </w:rPr>
      </w:pPr>
    </w:p>
    <w:p>
      <w:pPr>
        <w:spacing w:line="360" w:lineRule="auto"/>
        <w:jc w:val="right"/>
        <w:rPr>
          <w:rFonts w:ascii="宋体" w:hAnsi="宋体"/>
          <w:color w:val="auto"/>
          <w:sz w:val="22"/>
        </w:rPr>
      </w:pPr>
      <w:r>
        <w:rPr>
          <w:rFonts w:hint="eastAsia" w:ascii="宋体" w:hAnsi="宋体" w:cs="宋体"/>
          <w:color w:val="auto"/>
          <w:szCs w:val="21"/>
        </w:rPr>
        <w:t>比选申请人</w:t>
      </w:r>
      <w:r>
        <w:rPr>
          <w:rFonts w:hint="eastAsia" w:ascii="宋体" w:hAnsi="宋体"/>
          <w:color w:val="auto"/>
          <w:sz w:val="22"/>
        </w:rPr>
        <w:t>：</w:t>
      </w:r>
      <w:r>
        <w:rPr>
          <w:rFonts w:ascii="宋体" w:hAnsi="宋体"/>
          <w:color w:val="auto"/>
          <w:sz w:val="22"/>
          <w:u w:val="single"/>
        </w:rPr>
        <w:t xml:space="preserve">                 </w:t>
      </w:r>
      <w:r>
        <w:rPr>
          <w:rFonts w:hint="eastAsia" w:ascii="宋体" w:hAnsi="宋体"/>
          <w:color w:val="auto"/>
          <w:szCs w:val="21"/>
        </w:rPr>
        <w:t>（</w:t>
      </w:r>
      <w:r>
        <w:rPr>
          <w:rFonts w:hint="eastAsia" w:ascii="宋体" w:hAnsi="宋体"/>
          <w:color w:val="auto"/>
          <w:spacing w:val="-1"/>
          <w:szCs w:val="21"/>
        </w:rPr>
        <w:t>盖</w:t>
      </w:r>
      <w:r>
        <w:rPr>
          <w:rFonts w:hint="eastAsia" w:ascii="宋体" w:hAnsi="宋体"/>
          <w:color w:val="auto"/>
          <w:szCs w:val="21"/>
        </w:rPr>
        <w:t>单位章）</w:t>
      </w:r>
    </w:p>
    <w:p>
      <w:pPr>
        <w:pStyle w:val="8"/>
        <w:jc w:val="right"/>
        <w:rPr>
          <w:color w:val="auto"/>
        </w:rPr>
        <w:sectPr>
          <w:pgSz w:w="11906" w:h="16838"/>
          <w:pgMar w:top="1418" w:right="991" w:bottom="1418" w:left="1361" w:header="851" w:footer="992" w:gutter="0"/>
          <w:cols w:space="720" w:num="1"/>
          <w:docGrid w:type="lines" w:linePitch="312" w:charSpace="0"/>
        </w:sectPr>
      </w:pPr>
      <w:r>
        <w:rPr>
          <w:color w:val="auto"/>
        </w:rPr>
        <w:t xml:space="preserve">             </w:t>
      </w:r>
      <w:r>
        <w:rPr>
          <w:rFonts w:ascii="宋体" w:hAnsi="宋体"/>
          <w:bCs/>
          <w:color w:val="auto"/>
          <w:kern w:val="2"/>
          <w:sz w:val="21"/>
          <w:szCs w:val="21"/>
        </w:rPr>
        <w:t xml:space="preserve">                   年       月       日   </w:t>
      </w:r>
    </w:p>
    <w:p>
      <w:pPr>
        <w:tabs>
          <w:tab w:val="left" w:pos="900"/>
          <w:tab w:val="left" w:pos="1080"/>
        </w:tabs>
        <w:spacing w:line="360" w:lineRule="auto"/>
        <w:jc w:val="center"/>
        <w:outlineLvl w:val="0"/>
        <w:rPr>
          <w:b/>
          <w:bCs/>
          <w:color w:val="auto"/>
          <w:sz w:val="28"/>
          <w:szCs w:val="28"/>
        </w:rPr>
      </w:pPr>
      <w:r>
        <w:rPr>
          <w:rFonts w:hint="eastAsia"/>
          <w:b/>
          <w:bCs/>
          <w:color w:val="auto"/>
          <w:sz w:val="28"/>
          <w:szCs w:val="28"/>
        </w:rPr>
        <w:t>四、其他材料</w:t>
      </w:r>
    </w:p>
    <w:p>
      <w:pPr>
        <w:pStyle w:val="5"/>
        <w:rPr>
          <w:color w:val="auto"/>
        </w:rPr>
      </w:pPr>
      <w:r>
        <w:rPr>
          <w:rFonts w:hint="eastAsia"/>
          <w:color w:val="auto"/>
        </w:rPr>
        <w:t>由比选申请人自行提供，格式自拟。</w:t>
      </w:r>
    </w:p>
    <w:p>
      <w:pPr>
        <w:rPr>
          <w:rFonts w:ascii="宋体" w:hAnsi="宋体"/>
          <w:b/>
          <w:color w:val="auto"/>
          <w:sz w:val="36"/>
        </w:rPr>
      </w:pPr>
    </w:p>
    <w:p>
      <w:pPr>
        <w:rPr>
          <w:color w:val="auto"/>
        </w:rPr>
      </w:pPr>
    </w:p>
    <w:p>
      <w:pPr>
        <w:spacing w:line="360" w:lineRule="auto"/>
        <w:rPr>
          <w:rFonts w:ascii="方正仿宋_GBK" w:hAnsi="方正仿宋_GBK" w:eastAsia="方正仿宋_GBK" w:cs="方正仿宋_GBK"/>
          <w:color w:val="auto"/>
          <w:sz w:val="32"/>
          <w:szCs w:val="32"/>
        </w:rPr>
      </w:pPr>
    </w:p>
    <w:p>
      <w:pPr>
        <w:pStyle w:val="5"/>
        <w:rPr>
          <w:color w:val="auto"/>
        </w:rPr>
      </w:pPr>
    </w:p>
    <w:p>
      <w:pPr>
        <w:rPr>
          <w:color w:val="auto"/>
        </w:rPr>
      </w:pPr>
    </w:p>
    <w:p>
      <w:pPr>
        <w:ind w:left="1807" w:hanging="1807" w:hangingChars="500"/>
        <w:jc w:val="left"/>
        <w:rPr>
          <w:rFonts w:ascii="宋体" w:hAnsi="宋体" w:cs="宋体"/>
          <w:b/>
          <w:color w:val="auto"/>
          <w:sz w:val="36"/>
          <w:szCs w:val="36"/>
        </w:rPr>
      </w:pPr>
    </w:p>
    <w:p>
      <w:pPr>
        <w:pStyle w:val="5"/>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A20EC"/>
    <w:multiLevelType w:val="multilevel"/>
    <w:tmpl w:val="02DA20E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06D72606"/>
    <w:multiLevelType w:val="multilevel"/>
    <w:tmpl w:val="06D7260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08E60B3B"/>
    <w:multiLevelType w:val="multilevel"/>
    <w:tmpl w:val="08E60B3B"/>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08F37BAA"/>
    <w:multiLevelType w:val="multilevel"/>
    <w:tmpl w:val="08F37BA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4">
    <w:nsid w:val="1B52B921"/>
    <w:multiLevelType w:val="singleLevel"/>
    <w:tmpl w:val="1B52B921"/>
    <w:lvl w:ilvl="0" w:tentative="0">
      <w:start w:val="1"/>
      <w:numFmt w:val="decimal"/>
      <w:suff w:val="nothing"/>
      <w:lvlText w:val="%1、"/>
      <w:lvlJc w:val="left"/>
    </w:lvl>
  </w:abstractNum>
  <w:abstractNum w:abstractNumId="5">
    <w:nsid w:val="2D375146"/>
    <w:multiLevelType w:val="multilevel"/>
    <w:tmpl w:val="2D375146"/>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6">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8967CA"/>
    <w:multiLevelType w:val="multilevel"/>
    <w:tmpl w:val="2E8967C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8">
    <w:nsid w:val="30754584"/>
    <w:multiLevelType w:val="multilevel"/>
    <w:tmpl w:val="30754584"/>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9">
    <w:nsid w:val="36BA304E"/>
    <w:multiLevelType w:val="multilevel"/>
    <w:tmpl w:val="36BA304E"/>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0">
    <w:nsid w:val="424510E7"/>
    <w:multiLevelType w:val="multilevel"/>
    <w:tmpl w:val="424510E7"/>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1">
    <w:nsid w:val="43D7566C"/>
    <w:multiLevelType w:val="multilevel"/>
    <w:tmpl w:val="43D7566C"/>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2">
    <w:nsid w:val="49F05205"/>
    <w:multiLevelType w:val="multilevel"/>
    <w:tmpl w:val="49F05205"/>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3">
    <w:nsid w:val="4AF861FA"/>
    <w:multiLevelType w:val="multilevel"/>
    <w:tmpl w:val="4AF861F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4">
    <w:nsid w:val="4FFB15A3"/>
    <w:multiLevelType w:val="multilevel"/>
    <w:tmpl w:val="4FFB15A3"/>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5">
    <w:nsid w:val="64974BE9"/>
    <w:multiLevelType w:val="multilevel"/>
    <w:tmpl w:val="64974BE9"/>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4"/>
  </w:num>
  <w:num w:numId="2">
    <w:abstractNumId w:val="8"/>
  </w:num>
  <w:num w:numId="3">
    <w:abstractNumId w:val="14"/>
  </w:num>
  <w:num w:numId="4">
    <w:abstractNumId w:val="9"/>
  </w:num>
  <w:num w:numId="5">
    <w:abstractNumId w:val="11"/>
  </w:num>
  <w:num w:numId="6">
    <w:abstractNumId w:val="12"/>
  </w:num>
  <w:num w:numId="7">
    <w:abstractNumId w:val="10"/>
  </w:num>
  <w:num w:numId="8">
    <w:abstractNumId w:val="1"/>
  </w:num>
  <w:num w:numId="9">
    <w:abstractNumId w:val="5"/>
  </w:num>
  <w:num w:numId="10">
    <w:abstractNumId w:val="7"/>
  </w:num>
  <w:num w:numId="11">
    <w:abstractNumId w:val="15"/>
  </w:num>
  <w:num w:numId="12">
    <w:abstractNumId w:val="0"/>
  </w:num>
  <w:num w:numId="13">
    <w:abstractNumId w:val="13"/>
  </w:num>
  <w:num w:numId="14">
    <w:abstractNumId w:val="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45E19"/>
    <w:rsid w:val="06DD10DF"/>
    <w:rsid w:val="102740EF"/>
    <w:rsid w:val="1BBB37A8"/>
    <w:rsid w:val="1C627AD8"/>
    <w:rsid w:val="1D553FAD"/>
    <w:rsid w:val="2C1724E2"/>
    <w:rsid w:val="2DB0085C"/>
    <w:rsid w:val="2FBB153B"/>
    <w:rsid w:val="35897F2E"/>
    <w:rsid w:val="3E0D0E3B"/>
    <w:rsid w:val="4ADB2DDC"/>
    <w:rsid w:val="4AEF5670"/>
    <w:rsid w:val="595F4670"/>
    <w:rsid w:val="61BD3DC1"/>
    <w:rsid w:val="6BEE645B"/>
    <w:rsid w:val="7632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left="115"/>
    </w:pPr>
    <w:rPr>
      <w:rFonts w:ascii="方正仿宋_GBK" w:hAnsi="方正仿宋_GBK" w:eastAsia="方正仿宋_GBK" w:cs="方正仿宋_GBK"/>
      <w:sz w:val="30"/>
      <w:szCs w:val="30"/>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tabs>
        <w:tab w:val="right" w:leader="dot" w:pos="8805"/>
      </w:tabs>
      <w:spacing w:line="440" w:lineRule="exact"/>
      <w:jc w:val="center"/>
    </w:pPr>
    <w:rPr>
      <w:rFonts w:ascii="Times New Roman" w:hAnsi="Times New Roman"/>
      <w:color w:val="000000"/>
      <w:sz w:val="20"/>
      <w:szCs w:val="20"/>
    </w:rPr>
  </w:style>
  <w:style w:type="paragraph" w:customStyle="1" w:styleId="8">
    <w:name w:val="Default"/>
    <w:next w:val="1"/>
    <w:unhideWhenUsed/>
    <w:qFormat/>
    <w:uiPriority w:val="0"/>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2023-01-06T01:43:00Z</dcterms:created>
  <dc:creator>Administrator</dc:creator>
  <cp:lastModifiedBy>LW</cp:lastModifiedBy>
  <dcterms:modified xsi:type="dcterms:W3CDTF">2023-05-05T02:07:53Z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3E0F6421D78F4C2B80A0A9967237E927</vt:lpwstr>
  </property>
</Properties>
</file>