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宋体" w:hAnsi="宋体" w:cs="宋体"/>
          <w:b/>
          <w:sz w:val="48"/>
          <w:szCs w:val="48"/>
        </w:rPr>
      </w:pPr>
    </w:p>
    <w:p>
      <w:pPr>
        <w:jc w:val="center"/>
        <w:rPr>
          <w:rFonts w:ascii="宋体" w:hAnsi="宋体" w:cs="宋体"/>
          <w:b/>
          <w:sz w:val="40"/>
          <w:szCs w:val="40"/>
        </w:rPr>
      </w:pPr>
      <w:r>
        <w:rPr>
          <w:rFonts w:hint="eastAsia" w:ascii="宋体" w:hAnsi="宋体" w:cs="宋体"/>
          <w:b/>
          <w:sz w:val="40"/>
          <w:szCs w:val="40"/>
        </w:rPr>
        <w:t>重庆通力高速公路养护工程有限公司</w:t>
      </w:r>
    </w:p>
    <w:p>
      <w:pPr>
        <w:jc w:val="center"/>
        <w:rPr>
          <w:rFonts w:ascii="宋体" w:hAnsi="宋体" w:cs="宋体"/>
          <w:b/>
          <w:spacing w:val="20"/>
          <w:sz w:val="52"/>
          <w:szCs w:val="52"/>
        </w:rPr>
      </w:pPr>
      <w:r>
        <w:rPr>
          <w:rFonts w:hint="eastAsia" w:ascii="宋体" w:hAnsi="宋体" w:cs="宋体"/>
          <w:b/>
          <w:sz w:val="40"/>
          <w:szCs w:val="40"/>
        </w:rPr>
        <w:t>重庆高速公路集团有限公司东北营运分公司隧道病害处治施工项目商品混凝土（巫山段）材料采购</w:t>
      </w:r>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ascii="宋体" w:hAnsi="宋体" w:cs="宋体"/>
          <w:b/>
          <w:sz w:val="32"/>
          <w:szCs w:val="32"/>
        </w:rPr>
        <w:t>3</w:t>
      </w:r>
      <w:r>
        <w:rPr>
          <w:rFonts w:hint="eastAsia" w:ascii="宋体" w:hAnsi="宋体" w:cs="宋体"/>
          <w:b/>
          <w:sz w:val="32"/>
          <w:szCs w:val="32"/>
        </w:rPr>
        <w:t>年</w:t>
      </w:r>
      <w:r>
        <w:rPr>
          <w:rFonts w:ascii="宋体" w:hAnsi="宋体" w:cs="宋体"/>
          <w:b/>
          <w:sz w:val="32"/>
          <w:szCs w:val="32"/>
        </w:rPr>
        <w:t>6</w:t>
      </w:r>
      <w:r>
        <w:rPr>
          <w:rFonts w:hint="eastAsia" w:ascii="宋体" w:hAnsi="宋体" w:cs="宋体"/>
          <w:b/>
          <w:sz w:val="32"/>
          <w:szCs w:val="32"/>
        </w:rPr>
        <w:t>月</w:t>
      </w:r>
    </w:p>
    <w:p/>
    <w:p>
      <w:pPr>
        <w:jc w:val="center"/>
        <w:rPr>
          <w:rFonts w:ascii="宋体" w:hAnsi="宋体" w:cs="宋体"/>
          <w:b/>
          <w:sz w:val="30"/>
          <w:szCs w:val="30"/>
        </w:rPr>
      </w:pPr>
      <w:r>
        <w:rPr>
          <w:rFonts w:hint="eastAsia" w:ascii="宋体" w:hAnsi="宋体" w:cs="宋体"/>
          <w:b/>
          <w:sz w:val="30"/>
          <w:szCs w:val="30"/>
        </w:rPr>
        <w:t>重庆通力高速公路养护工程有限公司</w:t>
      </w:r>
    </w:p>
    <w:p>
      <w:pPr>
        <w:jc w:val="center"/>
        <w:rPr>
          <w:rFonts w:ascii="宋体" w:hAnsi="宋体" w:cs="宋体"/>
          <w:b/>
          <w:sz w:val="30"/>
          <w:szCs w:val="30"/>
        </w:rPr>
      </w:pPr>
      <w:r>
        <w:rPr>
          <w:rFonts w:hint="eastAsia" w:ascii="宋体" w:hAnsi="宋体" w:cs="宋体"/>
          <w:b/>
          <w:sz w:val="30"/>
          <w:szCs w:val="30"/>
        </w:rPr>
        <w:t>重庆高速公路集团有限公司东北营运分公司隧道病害处治施工项目</w:t>
      </w:r>
    </w:p>
    <w:p>
      <w:pPr>
        <w:jc w:val="center"/>
        <w:rPr>
          <w:rFonts w:ascii="宋体" w:hAnsi="宋体" w:cs="宋体"/>
          <w:b/>
          <w:sz w:val="30"/>
          <w:szCs w:val="30"/>
        </w:rPr>
      </w:pPr>
      <w:bookmarkStart w:id="0" w:name="_Hlk137027901"/>
      <w:r>
        <w:rPr>
          <w:rFonts w:hint="eastAsia" w:ascii="宋体" w:hAnsi="宋体" w:cs="宋体"/>
          <w:b/>
          <w:sz w:val="30"/>
          <w:szCs w:val="30"/>
        </w:rPr>
        <w:t>商品混凝土（巫山段）材料采购</w:t>
      </w:r>
      <w:bookmarkEnd w:id="0"/>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1" w:name="_Toc152042295"/>
      <w:bookmarkStart w:id="2" w:name="_Toc144974487"/>
      <w:bookmarkStart w:id="3" w:name="_Toc296602410"/>
      <w:bookmarkStart w:id="4" w:name="_Toc246996909"/>
      <w:bookmarkStart w:id="5" w:name="_Toc246996166"/>
      <w:bookmarkStart w:id="6" w:name="_Toc247085680"/>
      <w:bookmarkStart w:id="7" w:name="_Toc152045519"/>
      <w:bookmarkStart w:id="8" w:name="_Toc179632536"/>
    </w:p>
    <w:bookmarkEnd w:id="1"/>
    <w:bookmarkEnd w:id="2"/>
    <w:bookmarkEnd w:id="3"/>
    <w:bookmarkEnd w:id="4"/>
    <w:bookmarkEnd w:id="5"/>
    <w:bookmarkEnd w:id="6"/>
    <w:bookmarkEnd w:id="7"/>
    <w:bookmarkEnd w:id="8"/>
    <w:p>
      <w:pPr>
        <w:ind w:firstLine="420" w:firstLineChars="200"/>
        <w:rPr>
          <w:szCs w:val="21"/>
        </w:rPr>
      </w:pPr>
      <w:bookmarkStart w:id="9" w:name="_Toc144974488"/>
      <w:bookmarkStart w:id="10" w:name="_Toc296602411"/>
      <w:bookmarkStart w:id="11" w:name="_Toc179632537"/>
      <w:bookmarkStart w:id="12" w:name="_Toc246996167"/>
      <w:bookmarkStart w:id="13" w:name="_Toc152042296"/>
      <w:bookmarkStart w:id="14" w:name="_Toc247085681"/>
      <w:bookmarkStart w:id="15" w:name="_Toc152045520"/>
      <w:bookmarkStart w:id="16" w:name="_Toc246996910"/>
      <w:bookmarkStart w:id="17" w:name="_Toc179632538"/>
      <w:bookmarkStart w:id="18" w:name="_Toc152045521"/>
      <w:bookmarkStart w:id="19" w:name="_Toc144974489"/>
      <w:bookmarkStart w:id="20" w:name="_Toc246996168"/>
      <w:bookmarkStart w:id="21" w:name="_Toc152042297"/>
      <w:bookmarkStart w:id="22" w:name="_Toc246996911"/>
      <w:bookmarkStart w:id="23" w:name="_Toc247085682"/>
      <w:bookmarkStart w:id="24" w:name="_Toc296602412"/>
      <w:r>
        <w:rPr>
          <w:rFonts w:hint="eastAsia"/>
          <w:szCs w:val="21"/>
        </w:rPr>
        <w:t>本项目</w:t>
      </w:r>
      <w:bookmarkStart w:id="25" w:name="_Hlk135573670"/>
      <w:r>
        <w:rPr>
          <w:rFonts w:hint="eastAsia"/>
          <w:b/>
          <w:bCs/>
          <w:szCs w:val="21"/>
          <w:u w:val="single"/>
        </w:rPr>
        <w:t>重庆高速公路集团有限公司东北营运分公司隧道病害处治施工项目</w:t>
      </w:r>
      <w:bookmarkEnd w:id="25"/>
      <w:r>
        <w:rPr>
          <w:rFonts w:hint="eastAsia"/>
          <w:b/>
          <w:bCs/>
          <w:szCs w:val="21"/>
          <w:u w:val="single"/>
        </w:rPr>
        <w:t>商品混凝土（巫山段）材料采购</w:t>
      </w:r>
      <w:r>
        <w:rPr>
          <w:szCs w:val="21"/>
        </w:rPr>
        <w:t>准备组织实施，重庆通力高速公路养护工程有限公司计划以</w:t>
      </w:r>
      <w:r>
        <w:rPr>
          <w:rFonts w:hint="eastAsia"/>
          <w:szCs w:val="21"/>
        </w:rPr>
        <w:t>公开竞争性比选</w:t>
      </w:r>
      <w:r>
        <w:rPr>
          <w:szCs w:val="21"/>
        </w:rPr>
        <w:t>方式确定成交单位，具体情况如下：</w:t>
      </w:r>
    </w:p>
    <w:p>
      <w:pPr>
        <w:spacing w:line="400" w:lineRule="exact"/>
        <w:rPr>
          <w:b/>
          <w:szCs w:val="21"/>
        </w:rPr>
      </w:pPr>
      <w:r>
        <w:rPr>
          <w:b/>
          <w:szCs w:val="21"/>
        </w:rPr>
        <w:t>一、项目概况与</w:t>
      </w:r>
      <w:r>
        <w:rPr>
          <w:rFonts w:hint="eastAsia"/>
          <w:b/>
          <w:szCs w:val="21"/>
        </w:rPr>
        <w:t>竞争性比选</w:t>
      </w:r>
      <w:r>
        <w:rPr>
          <w:b/>
          <w:szCs w:val="21"/>
        </w:rPr>
        <w:t>范围</w:t>
      </w:r>
      <w:bookmarkEnd w:id="9"/>
      <w:bookmarkEnd w:id="10"/>
      <w:bookmarkEnd w:id="11"/>
      <w:bookmarkEnd w:id="12"/>
      <w:bookmarkEnd w:id="13"/>
      <w:bookmarkEnd w:id="14"/>
      <w:bookmarkEnd w:id="15"/>
      <w:bookmarkEnd w:id="16"/>
    </w:p>
    <w:p>
      <w:pPr>
        <w:spacing w:line="400" w:lineRule="exact"/>
        <w:ind w:firstLine="420" w:firstLineChars="200"/>
        <w:rPr>
          <w:b/>
          <w:bCs/>
          <w:szCs w:val="21"/>
        </w:rPr>
      </w:pPr>
      <w:r>
        <w:rPr>
          <w:rFonts w:hint="eastAsia"/>
          <w:szCs w:val="21"/>
        </w:rPr>
        <w:t>本项目为</w:t>
      </w:r>
      <w:r>
        <w:rPr>
          <w:rFonts w:hint="eastAsia"/>
          <w:b/>
          <w:bCs/>
          <w:szCs w:val="21"/>
        </w:rPr>
        <w:t>重庆高速公路集团有限公司东北营运分公司隧道病害处治施工项目商品混凝土（巫山段）材料采购项目。</w:t>
      </w:r>
    </w:p>
    <w:p>
      <w:pPr>
        <w:spacing w:line="400" w:lineRule="exact"/>
        <w:ind w:firstLine="422" w:firstLineChars="200"/>
        <w:rPr>
          <w:szCs w:val="21"/>
        </w:rPr>
      </w:pPr>
      <w:r>
        <w:rPr>
          <w:rFonts w:hint="eastAsia"/>
          <w:b/>
          <w:bCs/>
          <w:szCs w:val="21"/>
        </w:rPr>
        <w:t>1.1材料采购情况：</w:t>
      </w:r>
      <w:r>
        <w:rPr>
          <w:rFonts w:hint="eastAsia"/>
          <w:szCs w:val="21"/>
        </w:rPr>
        <w:t>本次商品混凝土采购综合单价应是满足比选文件要求的产品运至施工现场比选人指定地点的固定综合含税单价，包含了产品的出厂价（含所有规费等）、运杂费（含包装、装卸和运输至施工现场指定地点）、通行费、风险费、保险（交货验收前）、各种检测及检验、成品和半成品保护、各种税费、所有检测、验收、办理中标产品所需要的各种许可证、提供产品所需的各种检测报告（自检及第三方检测）、各种规费、配合费（中标供应商提供的现场技术指导服务等的费用。满足现场施工要求，及时解答材料使用中的问题和注意事项等），以及询价文件、合同明示或暗示的所有责任、义务和一般风险。</w:t>
      </w:r>
    </w:p>
    <w:p>
      <w:pPr>
        <w:spacing w:line="400" w:lineRule="exact"/>
        <w:ind w:firstLine="422" w:firstLineChars="200"/>
        <w:rPr>
          <w:b/>
          <w:bCs/>
          <w:szCs w:val="21"/>
        </w:rPr>
      </w:pPr>
      <w:r>
        <w:rPr>
          <w:b/>
          <w:bCs/>
          <w:szCs w:val="21"/>
        </w:rPr>
        <w:t>1.2</w:t>
      </w:r>
      <w:r>
        <w:rPr>
          <w:rFonts w:hint="eastAsia"/>
          <w:b/>
          <w:bCs/>
          <w:szCs w:val="21"/>
        </w:rPr>
        <w:t>竞争性比选材料（混凝土）采购详见下表：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176"/>
        <w:gridCol w:w="1377"/>
        <w:gridCol w:w="2279"/>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b/>
                <w:bCs/>
                <w:szCs w:val="21"/>
              </w:rPr>
            </w:pPr>
            <w:r>
              <w:rPr>
                <w:rFonts w:hint="eastAsia"/>
                <w:b/>
                <w:bCs/>
                <w:szCs w:val="21"/>
              </w:rPr>
              <w:t>序号</w:t>
            </w:r>
          </w:p>
        </w:tc>
        <w:tc>
          <w:tcPr>
            <w:tcW w:w="1127" w:type="pct"/>
            <w:vAlign w:val="center"/>
          </w:tcPr>
          <w:p>
            <w:pPr>
              <w:spacing w:line="260" w:lineRule="exact"/>
              <w:jc w:val="center"/>
              <w:textAlignment w:val="baseline"/>
              <w:rPr>
                <w:b/>
                <w:bCs/>
                <w:szCs w:val="21"/>
              </w:rPr>
            </w:pPr>
            <w:r>
              <w:rPr>
                <w:rFonts w:hint="eastAsia"/>
                <w:b/>
                <w:bCs/>
                <w:szCs w:val="21"/>
              </w:rPr>
              <w:t>产品名称</w:t>
            </w:r>
          </w:p>
        </w:tc>
        <w:tc>
          <w:tcPr>
            <w:tcW w:w="713" w:type="pct"/>
            <w:vAlign w:val="center"/>
          </w:tcPr>
          <w:p>
            <w:pPr>
              <w:spacing w:line="260" w:lineRule="exact"/>
              <w:jc w:val="center"/>
              <w:textAlignment w:val="baseline"/>
              <w:rPr>
                <w:b/>
                <w:bCs/>
                <w:szCs w:val="21"/>
              </w:rPr>
            </w:pPr>
            <w:r>
              <w:rPr>
                <w:rFonts w:hint="eastAsia"/>
                <w:b/>
                <w:bCs/>
                <w:szCs w:val="21"/>
              </w:rPr>
              <w:t>单位</w:t>
            </w:r>
          </w:p>
        </w:tc>
        <w:tc>
          <w:tcPr>
            <w:tcW w:w="1180" w:type="pct"/>
            <w:vAlign w:val="center"/>
          </w:tcPr>
          <w:p>
            <w:pPr>
              <w:spacing w:line="260" w:lineRule="exact"/>
              <w:jc w:val="center"/>
              <w:textAlignment w:val="baseline"/>
              <w:rPr>
                <w:b/>
                <w:bCs/>
                <w:szCs w:val="21"/>
              </w:rPr>
            </w:pPr>
            <w:r>
              <w:rPr>
                <w:rFonts w:hint="eastAsia"/>
                <w:b/>
                <w:bCs/>
                <w:szCs w:val="21"/>
              </w:rPr>
              <w:t>暂估量</w:t>
            </w:r>
          </w:p>
        </w:tc>
        <w:tc>
          <w:tcPr>
            <w:tcW w:w="1509" w:type="pct"/>
            <w:vAlign w:val="center"/>
          </w:tcPr>
          <w:p>
            <w:pPr>
              <w:spacing w:line="260" w:lineRule="exact"/>
              <w:jc w:val="center"/>
              <w:textAlignment w:val="baseline"/>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1</w:t>
            </w:r>
          </w:p>
        </w:tc>
        <w:tc>
          <w:tcPr>
            <w:tcW w:w="1127" w:type="pct"/>
            <w:vAlign w:val="center"/>
          </w:tcPr>
          <w:p>
            <w:pPr>
              <w:widowControl/>
              <w:jc w:val="center"/>
              <w:textAlignment w:val="center"/>
              <w:rPr>
                <w:color w:val="000000"/>
                <w:sz w:val="22"/>
                <w:szCs w:val="22"/>
              </w:rPr>
            </w:pPr>
            <w:r>
              <w:rPr>
                <w:rFonts w:hint="eastAsia"/>
                <w:color w:val="000000"/>
                <w:sz w:val="22"/>
                <w:szCs w:val="22"/>
              </w:rPr>
              <w:t>C45防腐细石混凝土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75</w:t>
            </w:r>
          </w:p>
        </w:tc>
        <w:tc>
          <w:tcPr>
            <w:tcW w:w="1509" w:type="pct"/>
            <w:vMerge w:val="restart"/>
            <w:vAlign w:val="center"/>
          </w:tcPr>
          <w:p>
            <w:pPr>
              <w:pStyle w:val="9"/>
              <w:jc w:val="left"/>
              <w:rPr>
                <w:rFonts w:eastAsia="宋体"/>
                <w:color w:val="000000"/>
                <w:kern w:val="2"/>
                <w:sz w:val="22"/>
                <w:szCs w:val="22"/>
              </w:rPr>
            </w:pPr>
            <w:r>
              <w:rPr>
                <w:rFonts w:hint="eastAsia" w:eastAsia="宋体"/>
                <w:color w:val="000000"/>
                <w:kern w:val="2"/>
                <w:sz w:val="22"/>
                <w:szCs w:val="22"/>
              </w:rPr>
              <w:t>1、表中数量为折算损耗率后的暂定数量，具体数量以工程实施过程中实际供应为准。</w:t>
            </w:r>
          </w:p>
          <w:p>
            <w:pPr>
              <w:pStyle w:val="9"/>
              <w:jc w:val="left"/>
              <w:rPr>
                <w:rFonts w:eastAsia="宋体"/>
                <w:color w:val="000000"/>
                <w:kern w:val="2"/>
                <w:sz w:val="22"/>
                <w:szCs w:val="22"/>
              </w:rPr>
            </w:pPr>
            <w:r>
              <w:rPr>
                <w:rFonts w:eastAsia="宋体"/>
                <w:color w:val="000000"/>
                <w:kern w:val="2"/>
                <w:sz w:val="22"/>
                <w:szCs w:val="22"/>
              </w:rPr>
              <w:t>2</w:t>
            </w:r>
            <w:r>
              <w:rPr>
                <w:rFonts w:hint="eastAsia" w:eastAsia="宋体"/>
                <w:color w:val="000000"/>
                <w:kern w:val="2"/>
                <w:sz w:val="22"/>
                <w:szCs w:val="22"/>
              </w:rPr>
              <w:t>、交货地点:巫奉高速马垭口隧道（1886m³，巫山上道，草堂【高速运距30km】下道）。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2</w:t>
            </w:r>
          </w:p>
        </w:tc>
        <w:tc>
          <w:tcPr>
            <w:tcW w:w="1127" w:type="pct"/>
            <w:vAlign w:val="center"/>
          </w:tcPr>
          <w:p>
            <w:pPr>
              <w:widowControl/>
              <w:jc w:val="center"/>
              <w:textAlignment w:val="center"/>
              <w:rPr>
                <w:color w:val="000000"/>
                <w:sz w:val="22"/>
                <w:szCs w:val="22"/>
              </w:rPr>
            </w:pPr>
            <w:r>
              <w:rPr>
                <w:rFonts w:hint="eastAsia"/>
                <w:color w:val="000000"/>
                <w:sz w:val="22"/>
                <w:szCs w:val="22"/>
              </w:rPr>
              <w:t>C25防腐蚀混凝土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1136</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3</w:t>
            </w:r>
          </w:p>
        </w:tc>
        <w:tc>
          <w:tcPr>
            <w:tcW w:w="1127" w:type="pct"/>
            <w:vAlign w:val="center"/>
          </w:tcPr>
          <w:p>
            <w:pPr>
              <w:widowControl/>
              <w:jc w:val="center"/>
              <w:textAlignment w:val="center"/>
              <w:rPr>
                <w:color w:val="000000"/>
                <w:sz w:val="22"/>
                <w:szCs w:val="22"/>
              </w:rPr>
            </w:pPr>
            <w:r>
              <w:rPr>
                <w:rFonts w:hint="eastAsia"/>
                <w:color w:val="000000"/>
                <w:sz w:val="22"/>
                <w:szCs w:val="22"/>
              </w:rPr>
              <w:t>C35防腐蚀混凝土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8</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4</w:t>
            </w:r>
          </w:p>
        </w:tc>
        <w:tc>
          <w:tcPr>
            <w:tcW w:w="1127" w:type="pct"/>
            <w:vAlign w:val="center"/>
          </w:tcPr>
          <w:p>
            <w:pPr>
              <w:widowControl/>
              <w:jc w:val="center"/>
              <w:textAlignment w:val="center"/>
              <w:rPr>
                <w:color w:val="000000"/>
                <w:sz w:val="22"/>
                <w:szCs w:val="22"/>
              </w:rPr>
            </w:pPr>
            <w:r>
              <w:rPr>
                <w:rFonts w:hint="eastAsia"/>
                <w:color w:val="000000"/>
                <w:sz w:val="22"/>
                <w:szCs w:val="22"/>
              </w:rPr>
              <w:t>C40防腐蚀混凝土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566</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5</w:t>
            </w:r>
          </w:p>
        </w:tc>
        <w:tc>
          <w:tcPr>
            <w:tcW w:w="1127" w:type="pct"/>
            <w:vAlign w:val="center"/>
          </w:tcPr>
          <w:p>
            <w:pPr>
              <w:widowControl/>
              <w:jc w:val="center"/>
              <w:textAlignment w:val="center"/>
              <w:rPr>
                <w:color w:val="000000"/>
                <w:sz w:val="22"/>
                <w:szCs w:val="22"/>
              </w:rPr>
            </w:pPr>
            <w:r>
              <w:rPr>
                <w:rFonts w:hint="eastAsia"/>
                <w:color w:val="000000"/>
                <w:sz w:val="22"/>
                <w:szCs w:val="22"/>
              </w:rPr>
              <w:t>C20混凝土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14</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6</w:t>
            </w:r>
          </w:p>
        </w:tc>
        <w:tc>
          <w:tcPr>
            <w:tcW w:w="1127" w:type="pct"/>
            <w:vAlign w:val="center"/>
          </w:tcPr>
          <w:p>
            <w:pPr>
              <w:spacing w:line="260" w:lineRule="exact"/>
              <w:jc w:val="center"/>
              <w:textAlignment w:val="baseline"/>
              <w:rPr>
                <w:color w:val="000000"/>
                <w:sz w:val="22"/>
                <w:szCs w:val="22"/>
              </w:rPr>
            </w:pPr>
            <w:r>
              <w:rPr>
                <w:rFonts w:hint="eastAsia"/>
                <w:color w:val="000000"/>
                <w:sz w:val="22"/>
                <w:szCs w:val="22"/>
              </w:rPr>
              <w:t>C30混凝土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87</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7</w:t>
            </w:r>
          </w:p>
        </w:tc>
        <w:tc>
          <w:tcPr>
            <w:tcW w:w="1127" w:type="pct"/>
            <w:vAlign w:val="center"/>
          </w:tcPr>
          <w:p>
            <w:pPr>
              <w:spacing w:line="260" w:lineRule="exact"/>
              <w:jc w:val="center"/>
              <w:textAlignment w:val="baseline"/>
              <w:rPr>
                <w:color w:val="000000"/>
                <w:sz w:val="22"/>
                <w:szCs w:val="22"/>
              </w:rPr>
            </w:pPr>
            <w:r>
              <w:rPr>
                <w:rFonts w:hint="eastAsia"/>
                <w:color w:val="000000"/>
                <w:sz w:val="22"/>
                <w:szCs w:val="22"/>
              </w:rPr>
              <w:t>合计</w:t>
            </w:r>
          </w:p>
        </w:tc>
        <w:tc>
          <w:tcPr>
            <w:tcW w:w="713" w:type="pct"/>
            <w:vAlign w:val="center"/>
          </w:tcPr>
          <w:p>
            <w:pPr>
              <w:spacing w:line="260" w:lineRule="exact"/>
              <w:jc w:val="center"/>
              <w:textAlignment w:val="baseline"/>
              <w:rPr>
                <w:color w:val="000000"/>
                <w:sz w:val="22"/>
                <w:szCs w:val="22"/>
              </w:rPr>
            </w:pPr>
            <w:r>
              <w:rPr>
                <w:rFonts w:hint="eastAsia"/>
                <w:color w:val="000000"/>
                <w:sz w:val="22"/>
                <w:szCs w:val="22"/>
              </w:rPr>
              <w:t>m³</w:t>
            </w:r>
          </w:p>
        </w:tc>
        <w:tc>
          <w:tcPr>
            <w:tcW w:w="1180" w:type="pct"/>
            <w:vAlign w:val="center"/>
          </w:tcPr>
          <w:p>
            <w:pPr>
              <w:spacing w:line="260" w:lineRule="exact"/>
              <w:jc w:val="center"/>
              <w:textAlignment w:val="baseline"/>
              <w:rPr>
                <w:color w:val="000000"/>
                <w:sz w:val="22"/>
                <w:szCs w:val="22"/>
              </w:rPr>
            </w:pPr>
            <w:r>
              <w:rPr>
                <w:rFonts w:hint="eastAsia"/>
                <w:color w:val="000000"/>
                <w:sz w:val="22"/>
                <w:szCs w:val="22"/>
              </w:rPr>
              <w:t>1886</w:t>
            </w:r>
          </w:p>
        </w:tc>
        <w:tc>
          <w:tcPr>
            <w:tcW w:w="1509" w:type="pct"/>
            <w:vMerge w:val="continue"/>
            <w:vAlign w:val="center"/>
          </w:tcPr>
          <w:p>
            <w:pPr>
              <w:pStyle w:val="9"/>
              <w:widowControl w:val="0"/>
              <w:spacing w:line="260" w:lineRule="exact"/>
              <w:jc w:val="left"/>
              <w:textAlignment w:val="baseline"/>
              <w:rPr>
                <w:rFonts w:eastAsia="宋体"/>
                <w:color w:val="000000"/>
                <w:kern w:val="2"/>
                <w:sz w:val="22"/>
                <w:szCs w:val="22"/>
              </w:rPr>
            </w:pPr>
          </w:p>
        </w:tc>
      </w:tr>
    </w:tbl>
    <w:p>
      <w:pPr>
        <w:spacing w:line="360" w:lineRule="exact"/>
        <w:ind w:firstLine="422" w:firstLineChars="200"/>
        <w:rPr>
          <w:b/>
          <w:bCs/>
          <w:szCs w:val="21"/>
        </w:rPr>
      </w:pPr>
      <w:r>
        <w:rPr>
          <w:rFonts w:hint="eastAsia"/>
          <w:b/>
          <w:bCs/>
          <w:szCs w:val="21"/>
        </w:rPr>
        <w:t>备注：</w:t>
      </w:r>
    </w:p>
    <w:p>
      <w:pPr>
        <w:spacing w:line="360" w:lineRule="exact"/>
        <w:ind w:firstLine="422" w:firstLineChars="200"/>
        <w:rPr>
          <w:b/>
          <w:bCs/>
          <w:szCs w:val="21"/>
        </w:rPr>
      </w:pPr>
      <w:r>
        <w:rPr>
          <w:rFonts w:hint="eastAsia"/>
          <w:b/>
          <w:bCs/>
          <w:szCs w:val="21"/>
        </w:rPr>
        <w:t>1、本次采购数量为暂估量，材料单价为固定综合单价，最终数量以实际结算数量为准且满足国家及行业的相关技术规范标准(具体规格型号以竞争性比选人实际要求为准)。</w:t>
      </w:r>
    </w:p>
    <w:p>
      <w:pPr>
        <w:ind w:firstLine="422" w:firstLineChars="200"/>
        <w:rPr>
          <w:kern w:val="0"/>
          <w:szCs w:val="21"/>
        </w:rPr>
      </w:pPr>
      <w:r>
        <w:rPr>
          <w:rFonts w:hint="eastAsia"/>
          <w:b/>
          <w:bCs/>
          <w:szCs w:val="21"/>
        </w:rPr>
        <w:t>2、供货期：</w:t>
      </w:r>
      <w:r>
        <w:rPr>
          <w:rFonts w:hint="eastAsia"/>
          <w:b/>
          <w:szCs w:val="21"/>
        </w:rPr>
        <w:t>本工程工期预计为202</w:t>
      </w:r>
      <w:r>
        <w:rPr>
          <w:b/>
          <w:szCs w:val="21"/>
        </w:rPr>
        <w:t>3</w:t>
      </w:r>
      <w:r>
        <w:rPr>
          <w:rFonts w:hint="eastAsia"/>
          <w:b/>
          <w:szCs w:val="21"/>
        </w:rPr>
        <w:t>年6月-202</w:t>
      </w:r>
      <w:r>
        <w:rPr>
          <w:b/>
          <w:szCs w:val="21"/>
        </w:rPr>
        <w:t>3</w:t>
      </w:r>
      <w:r>
        <w:rPr>
          <w:rFonts w:hint="eastAsia"/>
          <w:b/>
          <w:szCs w:val="21"/>
        </w:rPr>
        <w:t>年</w:t>
      </w:r>
      <w:r>
        <w:rPr>
          <w:b/>
          <w:szCs w:val="21"/>
        </w:rPr>
        <w:t>12</w:t>
      </w:r>
      <w:r>
        <w:rPr>
          <w:rFonts w:hint="eastAsia"/>
          <w:b/>
          <w:szCs w:val="21"/>
        </w:rPr>
        <w:t>月，具体以项目工期要求为准，比选申请人必须保证商品混凝土的生产及供应及时，比选人一般提前一天以电话（短信）通知计划用量</w:t>
      </w:r>
      <w:r>
        <w:rPr>
          <w:rFonts w:hint="eastAsia"/>
          <w:kern w:val="0"/>
          <w:szCs w:val="21"/>
        </w:rPr>
        <w:t>。</w:t>
      </w:r>
    </w:p>
    <w:p>
      <w:pPr>
        <w:spacing w:line="360" w:lineRule="exact"/>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b/>
          <w:szCs w:val="21"/>
        </w:rPr>
      </w:pPr>
      <w:r>
        <w:rPr>
          <w:rFonts w:hint="eastAsia"/>
          <w:b/>
          <w:szCs w:val="21"/>
        </w:rPr>
        <w:t>4、供货地点：重庆高速公路集团有限公司东北营运分公司隧道病害处治施工项目沿线所涉及的巫奉高速马垭口隧道（1886m³，巫山上道，草堂【高速运距30km】下道），按比选人要求的具体时间及地点进行供货。</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17"/>
    <w:bookmarkEnd w:id="18"/>
    <w:bookmarkEnd w:id="19"/>
    <w:bookmarkEnd w:id="20"/>
    <w:bookmarkEnd w:id="21"/>
    <w:bookmarkEnd w:id="22"/>
    <w:bookmarkEnd w:id="23"/>
    <w:bookmarkEnd w:id="24"/>
    <w:p>
      <w:pPr>
        <w:spacing w:line="360" w:lineRule="exact"/>
        <w:ind w:firstLine="420" w:firstLineChars="200"/>
        <w:outlineLvl w:val="0"/>
        <w:rPr>
          <w:szCs w:val="21"/>
        </w:rPr>
      </w:pPr>
      <w:bookmarkStart w:id="26" w:name="_Toc179632539"/>
      <w:bookmarkStart w:id="27" w:name="_Toc152042298"/>
      <w:bookmarkStart w:id="28" w:name="_Toc246996169"/>
      <w:bookmarkStart w:id="29" w:name="_Toc152045522"/>
      <w:bookmarkStart w:id="30" w:name="_Toc247085683"/>
      <w:bookmarkStart w:id="31" w:name="_Toc246996912"/>
      <w:bookmarkStart w:id="32" w:name="_Toc144974490"/>
      <w:bookmarkStart w:id="33" w:name="_Toc296602413"/>
      <w:r>
        <w:rPr>
          <w:rFonts w:hint="eastAsia"/>
          <w:szCs w:val="21"/>
        </w:rPr>
        <w:t>（1）具有独立法人资格、有效的营业执照、银行开户许可证。</w:t>
      </w:r>
    </w:p>
    <w:p>
      <w:pPr>
        <w:spacing w:line="360" w:lineRule="exact"/>
        <w:ind w:firstLine="422" w:firstLineChars="200"/>
        <w:outlineLvl w:val="0"/>
        <w:rPr>
          <w:szCs w:val="21"/>
        </w:rPr>
      </w:pPr>
      <w:r>
        <w:rPr>
          <w:rFonts w:hint="eastAsia"/>
          <w:b/>
          <w:bCs/>
          <w:szCs w:val="21"/>
        </w:rPr>
        <w:t>注：须提供营业执照的复印件或扫描件，并加盖比选申请人公章。</w:t>
      </w:r>
    </w:p>
    <w:p>
      <w:pPr>
        <w:spacing w:line="360" w:lineRule="exact"/>
        <w:ind w:firstLine="420" w:firstLineChars="200"/>
        <w:outlineLvl w:val="0"/>
        <w:rPr>
          <w:szCs w:val="21"/>
        </w:rPr>
      </w:pPr>
      <w:r>
        <w:rPr>
          <w:rFonts w:hint="eastAsia"/>
          <w:szCs w:val="21"/>
        </w:rPr>
        <w:t>（2）比选申请人在“信用中国”网站（http://www.creditchina.gov.cn/）中未被列入失信被执行人名单（黑名单）。</w:t>
      </w:r>
    </w:p>
    <w:p>
      <w:pPr>
        <w:ind w:firstLine="422" w:firstLineChars="200"/>
        <w:rPr>
          <w:b/>
          <w:bCs/>
          <w:szCs w:val="21"/>
        </w:rPr>
      </w:pPr>
      <w:r>
        <w:rPr>
          <w:rFonts w:hint="eastAsia"/>
          <w:b/>
          <w:bCs/>
          <w:szCs w:val="21"/>
        </w:rPr>
        <w:t>注：上述第（2）条由比选申请人作出真实性承诺即可，格式自拟。</w:t>
      </w:r>
    </w:p>
    <w:p>
      <w:pPr>
        <w:spacing w:line="360" w:lineRule="exact"/>
        <w:rPr>
          <w:b/>
          <w:szCs w:val="21"/>
        </w:rPr>
      </w:pPr>
      <w:r>
        <w:rPr>
          <w:b/>
          <w:szCs w:val="21"/>
        </w:rPr>
        <w:t>三、</w:t>
      </w:r>
      <w:r>
        <w:rPr>
          <w:rFonts w:hint="eastAsia"/>
          <w:b/>
          <w:szCs w:val="21"/>
        </w:rPr>
        <w:t>竞争性比选</w:t>
      </w:r>
      <w:r>
        <w:rPr>
          <w:b/>
          <w:szCs w:val="21"/>
        </w:rPr>
        <w:t>响应文件的相关要求：</w:t>
      </w:r>
    </w:p>
    <w:bookmarkEnd w:id="26"/>
    <w:bookmarkEnd w:id="27"/>
    <w:bookmarkEnd w:id="28"/>
    <w:bookmarkEnd w:id="29"/>
    <w:bookmarkEnd w:id="30"/>
    <w:bookmarkEnd w:id="31"/>
    <w:bookmarkEnd w:id="32"/>
    <w:bookmarkEnd w:id="3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400" w:lineRule="atLeast"/>
        <w:ind w:firstLine="420" w:firstLineChars="200"/>
        <w:outlineLvl w:val="0"/>
        <w:rPr>
          <w:szCs w:val="21"/>
        </w:rPr>
      </w:pPr>
      <w:r>
        <w:rPr>
          <w:rFonts w:hint="eastAsia"/>
          <w:szCs w:val="21"/>
        </w:rPr>
        <w:t>（1）竞标报价为</w:t>
      </w:r>
      <w:r>
        <w:rPr>
          <w:rFonts w:hint="eastAsia"/>
          <w:b/>
          <w:bCs/>
          <w:szCs w:val="21"/>
          <w:u w:val="single"/>
        </w:rPr>
        <w:t>综合单价</w:t>
      </w:r>
      <w:r>
        <w:rPr>
          <w:rFonts w:hint="eastAsia"/>
          <w:szCs w:val="21"/>
        </w:rPr>
        <w:t>。投标人应提供合法有效且符合招标人要求的增值税专用发票。因开具的发票不规范、不合法或涉嫌虚开发票引起税务问题的，投标人需向招标人重新开具发票，并向招标人承担赔偿责任，包括但不限于税款、滞纳金、罚款及相关损失等。</w:t>
      </w:r>
    </w:p>
    <w:p>
      <w:pPr>
        <w:spacing w:line="400" w:lineRule="atLeast"/>
        <w:ind w:firstLine="420" w:firstLineChars="200"/>
        <w:outlineLvl w:val="0"/>
        <w:rPr>
          <w:szCs w:val="21"/>
        </w:rPr>
      </w:pPr>
      <w:r>
        <w:rPr>
          <w:rFonts w:hint="eastAsia"/>
          <w:szCs w:val="21"/>
        </w:rPr>
        <w:t>投标人应按照招标人要求，及时向招标人开具增值税专用发票。因投标人开具发票不及时给招标人造成无法及时认证、抵扣发票等情形的，投标人需向招标人承担赔偿责任，包括但不限于税款、滞纳金、罚款及相关损失等。</w:t>
      </w:r>
    </w:p>
    <w:p>
      <w:pPr>
        <w:spacing w:line="400" w:lineRule="atLeast"/>
        <w:ind w:firstLine="420" w:firstLineChars="200"/>
        <w:outlineLvl w:val="0"/>
        <w:rPr>
          <w:szCs w:val="21"/>
        </w:rPr>
      </w:pPr>
      <w:r>
        <w:rPr>
          <w:rFonts w:hint="eastAsia"/>
          <w:szCs w:val="21"/>
        </w:rPr>
        <w:t>（2）报价表中的工程量为招标人暂估量，如实际工程量与暂估量有出入，则该出入部分工程量单价按签约合同单价计量。</w:t>
      </w:r>
    </w:p>
    <w:p>
      <w:pPr>
        <w:widowControl/>
        <w:ind w:firstLine="420" w:firstLineChars="200"/>
        <w:jc w:val="left"/>
        <w:rPr>
          <w:szCs w:val="21"/>
        </w:rPr>
      </w:pPr>
      <w:r>
        <w:rPr>
          <w:rFonts w:hint="eastAsia"/>
          <w:szCs w:val="21"/>
        </w:rPr>
        <w:t>（3）本项目最高总限价为：</w:t>
      </w:r>
      <w:r>
        <w:rPr>
          <w:rFonts w:hint="eastAsia"/>
          <w:b/>
          <w:bCs/>
          <w:color w:val="FF0000"/>
          <w:szCs w:val="21"/>
          <w:u w:val="single"/>
        </w:rPr>
        <w:t>1403295.81元（大写：</w:t>
      </w:r>
      <w:r>
        <w:rPr>
          <w:rFonts w:hint="eastAsia"/>
          <w:b/>
          <w:bCs/>
          <w:color w:val="FF0000"/>
          <w:szCs w:val="21"/>
          <w:u w:val="single"/>
          <w:lang w:val="en-US" w:eastAsia="zh-CN"/>
        </w:rPr>
        <w:t>壹佰肆拾万叁仟贰佰玖拾伍元捌角壹分</w:t>
      </w:r>
      <w:r>
        <w:rPr>
          <w:rFonts w:hint="eastAsia"/>
          <w:b/>
          <w:bCs/>
          <w:color w:val="FF0000"/>
          <w:szCs w:val="21"/>
          <w:u w:val="single"/>
        </w:rPr>
        <w:t>）</w:t>
      </w:r>
      <w:r>
        <w:rPr>
          <w:rFonts w:hint="eastAsia"/>
          <w:b/>
          <w:bCs/>
          <w:szCs w:val="21"/>
          <w:u w:val="single"/>
        </w:rPr>
        <w:t>（不含税金额）</w:t>
      </w:r>
    </w:p>
    <w:p>
      <w:pPr>
        <w:spacing w:line="400" w:lineRule="atLeast"/>
        <w:ind w:firstLine="420" w:firstLineChars="200"/>
        <w:outlineLvl w:val="0"/>
        <w:rPr>
          <w:szCs w:val="21"/>
        </w:rPr>
      </w:pPr>
      <w:r>
        <w:rPr>
          <w:rFonts w:hint="eastAsia"/>
          <w:szCs w:val="21"/>
        </w:rPr>
        <w:t>注：投标人的竞标报价不得超过招标人公布的相应最高限价，否则报价为无效竞标（详见格式“五、已标价报价清单”）</w:t>
      </w:r>
    </w:p>
    <w:p>
      <w:pPr>
        <w:spacing w:line="360" w:lineRule="exact"/>
        <w:ind w:firstLine="420" w:firstLineChars="200"/>
        <w:rPr>
          <w:szCs w:val="21"/>
        </w:rPr>
      </w:pPr>
      <w:r>
        <w:rPr>
          <w:rFonts w:hint="eastAsia"/>
          <w:szCs w:val="21"/>
        </w:rPr>
        <w:t>2、供货要求：</w:t>
      </w:r>
    </w:p>
    <w:p>
      <w:pPr>
        <w:spacing w:line="360" w:lineRule="exact"/>
        <w:ind w:firstLine="420" w:firstLineChars="200"/>
        <w:outlineLvl w:val="0"/>
        <w:rPr>
          <w:szCs w:val="21"/>
        </w:rPr>
      </w:pPr>
      <w:r>
        <w:rPr>
          <w:rFonts w:hint="eastAsia"/>
          <w:szCs w:val="21"/>
        </w:rPr>
        <w:t>防腐混凝土采用强度等级为42.5级中抗硫酸盐水泥或普通硅酸盐水泥配置的抗硫酸盐腐蚀混凝土，混凝土最大水胶比为0.4、最小胶凝材料用量为340kg/m3、最大胶凝材料用量不宜超过450kg/m3；抗腐剂掺量</w:t>
      </w:r>
      <w:r>
        <w:rPr>
          <w:szCs w:val="21"/>
        </w:rPr>
        <w:t>3</w:t>
      </w:r>
      <w:r>
        <w:rPr>
          <w:rFonts w:hint="eastAsia"/>
          <w:szCs w:val="21"/>
        </w:rPr>
        <w:t>~</w:t>
      </w:r>
      <w:r>
        <w:rPr>
          <w:szCs w:val="21"/>
        </w:rPr>
        <w:t>6</w:t>
      </w:r>
      <w:r>
        <w:rPr>
          <w:rFonts w:hint="eastAsia"/>
          <w:szCs w:val="21"/>
        </w:rPr>
        <w:t>%，可选用JQ-H高效防腐剂、YBQK防腐剂、SA-100A抗硫酸盐侵蚀防护剂、BDY型混凝土抗硫酸盐类侵蚀防腐剂等，所选防腐剂物理化学性能指标需满足表10.1-1要求，且满足《混凝土抗侵蚀防腐剂》（JC/T 1011-2021）的相关要求。</w:t>
      </w:r>
    </w:p>
    <w:p>
      <w:pPr>
        <w:spacing w:line="360" w:lineRule="exact"/>
        <w:jc w:val="center"/>
        <w:outlineLvl w:val="0"/>
        <w:rPr>
          <w:szCs w:val="21"/>
        </w:rPr>
      </w:pPr>
      <w:r>
        <w:rPr>
          <w:rFonts w:hint="eastAsia"/>
          <w:szCs w:val="21"/>
        </w:rPr>
        <w:t>表10.1-1</w:t>
      </w:r>
      <w:r>
        <w:rPr>
          <w:szCs w:val="21"/>
        </w:rPr>
        <w:t xml:space="preserve"> </w:t>
      </w:r>
      <w:r>
        <w:rPr>
          <w:rFonts w:hint="eastAsia"/>
          <w:szCs w:val="21"/>
        </w:rPr>
        <w:t>混凝土抗侵蚀防腐剂物理性能指标要求</w:t>
      </w:r>
    </w:p>
    <w:p>
      <w:pPr>
        <w:pStyle w:val="10"/>
        <w:jc w:val="center"/>
      </w:pPr>
      <w:r>
        <w:drawing>
          <wp:inline distT="0" distB="0" distL="0" distR="0">
            <wp:extent cx="3627120" cy="1658620"/>
            <wp:effectExtent l="0" t="0" r="0" b="0"/>
            <wp:docPr id="1787465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5858" name="图片 1"/>
                    <pic:cNvPicPr>
                      <a:picLocks noChangeAspect="1"/>
                    </pic:cNvPicPr>
                  </pic:nvPicPr>
                  <pic:blipFill>
                    <a:blip r:embed="rId8"/>
                    <a:stretch>
                      <a:fillRect/>
                    </a:stretch>
                  </pic:blipFill>
                  <pic:spPr>
                    <a:xfrm>
                      <a:off x="0" y="0"/>
                      <a:ext cx="3642301" cy="1666159"/>
                    </a:xfrm>
                    <a:prstGeom prst="rect">
                      <a:avLst/>
                    </a:prstGeom>
                  </pic:spPr>
                </pic:pic>
              </a:graphicData>
            </a:graphic>
          </wp:inline>
        </w:drawing>
      </w:r>
    </w:p>
    <w:p>
      <w:pPr>
        <w:spacing w:line="360" w:lineRule="exact"/>
        <w:ind w:firstLine="420" w:firstLineChars="200"/>
        <w:outlineLvl w:val="0"/>
        <w:rPr>
          <w:szCs w:val="21"/>
        </w:rPr>
      </w:pPr>
      <w:r>
        <w:rPr>
          <w:rFonts w:hint="eastAsia"/>
          <w:szCs w:val="21"/>
        </w:rPr>
        <w:t>（</w:t>
      </w:r>
      <w:r>
        <w:rPr>
          <w:szCs w:val="21"/>
        </w:rPr>
        <w:t>1</w:t>
      </w:r>
      <w:r>
        <w:rPr>
          <w:rFonts w:hint="eastAsia"/>
          <w:szCs w:val="21"/>
        </w:rPr>
        <w:t>）混凝土材料要求</w:t>
      </w:r>
    </w:p>
    <w:p>
      <w:pPr>
        <w:spacing w:line="360" w:lineRule="exact"/>
        <w:ind w:firstLine="420" w:firstLineChars="200"/>
        <w:outlineLvl w:val="0"/>
        <w:rPr>
          <w:szCs w:val="21"/>
        </w:rPr>
      </w:pPr>
      <w:r>
        <w:rPr>
          <w:rFonts w:hint="eastAsia"/>
          <w:szCs w:val="21"/>
        </w:rPr>
        <w:t>1）应选用质量稳定、低水化热和碱含量低的中抗硫酸盐硅酸盐水泥或普通硅酸盐水泥，尽可能避免使用早强水泥和C3A 含量偏高的水泥。硅酸盐水泥或普通硅酸盐水泥的细度不宜超过350m2/kg，水泥中铝酸三钙(C3A)含量不宜超过8%，水泥的碱含量（根据《通用硅酸盐水泥标准》（GB175-2020），碱含量按Na20+0.658K2O 量计）不宜超过0.6%；</w:t>
      </w:r>
    </w:p>
    <w:p>
      <w:pPr>
        <w:spacing w:line="360" w:lineRule="exact"/>
        <w:ind w:firstLine="420" w:firstLineChars="200"/>
        <w:outlineLvl w:val="0"/>
        <w:rPr>
          <w:szCs w:val="21"/>
        </w:rPr>
      </w:pPr>
      <w:r>
        <w:rPr>
          <w:rFonts w:hint="eastAsia"/>
          <w:szCs w:val="21"/>
        </w:rPr>
        <w:t>2）选用质地坚硬、级配良好、粒径合格、吸水率低、颗粒洁净、有害杂质含量少、无碱活性的粗、细集料，基本技术指标应按现行标准《公路桥涵施工技术规范》（JTG/T 3650-2020）的相关要求执行；</w:t>
      </w:r>
    </w:p>
    <w:p>
      <w:pPr>
        <w:spacing w:line="360" w:lineRule="exact"/>
        <w:ind w:firstLine="420" w:firstLineChars="200"/>
        <w:outlineLvl w:val="0"/>
        <w:rPr>
          <w:szCs w:val="21"/>
        </w:rPr>
      </w:pPr>
      <w:r>
        <w:rPr>
          <w:rFonts w:hint="eastAsia"/>
          <w:szCs w:val="21"/>
        </w:rPr>
        <w:t>3）粗集料的最大公称粒径不应超过结构最小边尺寸的1/4 和钢筋最小净距的3/4；在两层或多层密布钢筋结构中，不应超过钢筋最小净距的1/2；</w:t>
      </w:r>
    </w:p>
    <w:p>
      <w:pPr>
        <w:spacing w:line="360" w:lineRule="exact"/>
        <w:ind w:firstLine="420" w:firstLineChars="200"/>
        <w:outlineLvl w:val="0"/>
        <w:rPr>
          <w:szCs w:val="21"/>
        </w:rPr>
      </w:pPr>
      <w:r>
        <w:rPr>
          <w:rFonts w:hint="eastAsia"/>
          <w:szCs w:val="21"/>
        </w:rPr>
        <w:t>4）混凝土用水应清洁，不应采用污水或pH 值小于6 的酸性水，混凝土用水中不应含有影响水泥正常凝结与硬化的有害杂质、油脂、糖类及游离酸类，相关指标符合《公路桥涵施工技术规范》（JTG/T 3650-2020）的相关规定；</w:t>
      </w:r>
    </w:p>
    <w:p>
      <w:pPr>
        <w:spacing w:line="360" w:lineRule="exact"/>
        <w:ind w:firstLine="420" w:firstLineChars="200"/>
        <w:outlineLvl w:val="0"/>
        <w:rPr>
          <w:szCs w:val="21"/>
        </w:rPr>
      </w:pPr>
      <w:r>
        <w:rPr>
          <w:rFonts w:hint="eastAsia"/>
          <w:szCs w:val="21"/>
        </w:rPr>
        <w:t>5）外加剂应根据使用目的和混凝土性能、原材料性能、施工条件、配合比等因素，选择适宜外加剂，并通过试验及技术经济比较确定用量；当不同品种外加剂复合使用时，应事先通过试验验证其相容性及对混凝土性能的影响；各种外加剂中的氯离子总含量不宜大于混凝土中胶凝材料总质量的0.02%，硫酸钠含量不宜大于减水剂干重的15%；防冻剂中的氯离子含量不应大于0.1%；</w:t>
      </w:r>
    </w:p>
    <w:p>
      <w:pPr>
        <w:spacing w:line="360" w:lineRule="exact"/>
        <w:ind w:firstLine="420" w:firstLineChars="200"/>
        <w:outlineLvl w:val="0"/>
        <w:rPr>
          <w:szCs w:val="21"/>
        </w:rPr>
      </w:pPr>
      <w:r>
        <w:rPr>
          <w:rFonts w:hint="eastAsia"/>
          <w:szCs w:val="21"/>
        </w:rPr>
        <w:t>6）为避免混凝土可能发生的碱-骨料反应、钙矾石延迟反应和软水对混凝土的溶蚀，对骨料无活性的条件下，混凝土含碱量不得大于3kg/m3；对骨料有活性的条件下，应严格控制混凝土含碱量并掺加矿物掺合料。</w:t>
      </w:r>
    </w:p>
    <w:p>
      <w:pPr>
        <w:spacing w:line="360" w:lineRule="exact"/>
        <w:ind w:firstLine="420" w:firstLineChars="200"/>
        <w:outlineLvl w:val="0"/>
        <w:rPr>
          <w:szCs w:val="21"/>
        </w:rPr>
      </w:pPr>
      <w:r>
        <w:rPr>
          <w:rFonts w:hint="eastAsia"/>
          <w:szCs w:val="21"/>
        </w:rPr>
        <w:t>（</w:t>
      </w:r>
      <w:r>
        <w:rPr>
          <w:szCs w:val="21"/>
        </w:rPr>
        <w:t>2</w:t>
      </w:r>
      <w:r>
        <w:rPr>
          <w:rFonts w:hint="eastAsia"/>
          <w:szCs w:val="21"/>
        </w:rPr>
        <w:t>）矿物掺合料应符合下列规定：</w:t>
      </w:r>
    </w:p>
    <w:p>
      <w:pPr>
        <w:spacing w:line="360" w:lineRule="exact"/>
        <w:ind w:firstLine="420" w:firstLineChars="200"/>
        <w:outlineLvl w:val="0"/>
        <w:rPr>
          <w:szCs w:val="21"/>
        </w:rPr>
      </w:pPr>
      <w:r>
        <w:rPr>
          <w:rFonts w:hint="eastAsia"/>
          <w:szCs w:val="21"/>
        </w:rPr>
        <w:t>1）宜综使用优质粉煤灰、磨细矿渣矿物掺合料或复合矿物掺合料；</w:t>
      </w:r>
    </w:p>
    <w:p>
      <w:pPr>
        <w:spacing w:line="360" w:lineRule="exact"/>
        <w:ind w:firstLine="420" w:firstLineChars="200"/>
        <w:outlineLvl w:val="0"/>
        <w:rPr>
          <w:szCs w:val="21"/>
        </w:rPr>
      </w:pPr>
      <w:r>
        <w:rPr>
          <w:rFonts w:hint="eastAsia"/>
          <w:szCs w:val="21"/>
        </w:rPr>
        <w:t>2）矿物掺合料中的碱含量应以其中的可溶性碱计算，按试样中碱的溶出量试验确定；当无检测条件时，对于粉煤灰，应以其总碱量的1/6 计算粉煤灰中的可溶性碱，对于矿渣，以总碱量的1/2 计算；</w:t>
      </w:r>
    </w:p>
    <w:p>
      <w:pPr>
        <w:spacing w:line="360" w:lineRule="exact"/>
        <w:ind w:firstLine="420" w:firstLineChars="200"/>
        <w:outlineLvl w:val="0"/>
        <w:rPr>
          <w:szCs w:val="21"/>
        </w:rPr>
      </w:pPr>
      <w:r>
        <w:rPr>
          <w:rFonts w:hint="eastAsia"/>
          <w:szCs w:val="21"/>
        </w:rPr>
        <w:t>3）公路工程混凝土结构宜采用F 类I 级或II 级粉煤灰。对普通钢筋混凝土，粉煤灰烧失量不宜大于8%；需水量比不宜大于105%；I 级粉煤灰的45μm 方孔筛筛余不宜大于12%，II 级粉煤灰的筛余量不宜大于20%。粉煤灰其他相关技术指标应符合现行国家标准《用于水泥和混凝土中的粉煤灰》（GB/T 1596-2017）的规定；</w:t>
      </w:r>
    </w:p>
    <w:p>
      <w:pPr>
        <w:spacing w:line="360" w:lineRule="exact"/>
        <w:ind w:firstLine="420" w:firstLineChars="200"/>
        <w:outlineLvl w:val="0"/>
        <w:rPr>
          <w:szCs w:val="21"/>
        </w:rPr>
      </w:pPr>
      <w:r>
        <w:rPr>
          <w:szCs w:val="21"/>
        </w:rPr>
        <w:t>4</w:t>
      </w:r>
      <w:r>
        <w:rPr>
          <w:rFonts w:hint="eastAsia"/>
          <w:szCs w:val="21"/>
        </w:rPr>
        <w:t>）磨细高炉矿渣的比表面积宜为</w:t>
      </w:r>
      <w:r>
        <w:rPr>
          <w:szCs w:val="21"/>
        </w:rPr>
        <w:t>350~450m2/kg</w:t>
      </w:r>
      <w:r>
        <w:rPr>
          <w:rFonts w:hint="eastAsia"/>
          <w:szCs w:val="21"/>
        </w:rPr>
        <w:t>，需水量比不宜大于</w:t>
      </w:r>
      <w:r>
        <w:rPr>
          <w:szCs w:val="21"/>
        </w:rPr>
        <w:t>100%</w:t>
      </w:r>
      <w:r>
        <w:rPr>
          <w:rFonts w:hint="eastAsia"/>
          <w:szCs w:val="21"/>
        </w:rPr>
        <w:t>，烧失量不应大于</w:t>
      </w:r>
      <w:r>
        <w:rPr>
          <w:szCs w:val="21"/>
        </w:rPr>
        <w:t>3%</w:t>
      </w:r>
      <w:r>
        <w:rPr>
          <w:rFonts w:hint="eastAsia"/>
          <w:szCs w:val="21"/>
        </w:rPr>
        <w:t>，此外氯离子含量不应大于</w:t>
      </w:r>
      <w:r>
        <w:rPr>
          <w:szCs w:val="21"/>
        </w:rPr>
        <w:t>0.02%</w:t>
      </w:r>
      <w:r>
        <w:rPr>
          <w:rFonts w:hint="eastAsia"/>
          <w:szCs w:val="21"/>
        </w:rPr>
        <w:t>。其他相关技术指标应按现行标准《公路桥涵施工技术规范》（</w:t>
      </w:r>
      <w:r>
        <w:rPr>
          <w:szCs w:val="21"/>
        </w:rPr>
        <w:t>JTG/T 3650-2020</w:t>
      </w:r>
      <w:r>
        <w:rPr>
          <w:rFonts w:hint="eastAsia"/>
          <w:szCs w:val="21"/>
        </w:rPr>
        <w:t>）的相关要求执行。</w:t>
      </w:r>
    </w:p>
    <w:p>
      <w:pPr>
        <w:spacing w:line="360" w:lineRule="exact"/>
        <w:ind w:firstLine="420" w:firstLineChars="200"/>
        <w:outlineLvl w:val="0"/>
        <w:rPr>
          <w:szCs w:val="21"/>
        </w:rPr>
      </w:pPr>
      <w:r>
        <w:rPr>
          <w:rFonts w:hint="eastAsia"/>
          <w:szCs w:val="21"/>
        </w:rPr>
        <w:t>（3）混凝土的抗压、抗拉强度、弹性模量，以及抗硫酸盐结晶破坏等级（混凝土抗压强度耐蚀系数下降到不低于75%时的最大干湿循环次数KS）等指标必须满足相应强度等级的混凝土的要求。</w:t>
      </w:r>
    </w:p>
    <w:p>
      <w:pPr>
        <w:spacing w:line="360" w:lineRule="exact"/>
        <w:ind w:firstLine="422" w:firstLineChars="200"/>
        <w:outlineLvl w:val="0"/>
        <w:rPr>
          <w:b/>
          <w:bCs/>
          <w:szCs w:val="21"/>
          <w:u w:val="single"/>
        </w:rPr>
      </w:pPr>
      <w:r>
        <w:rPr>
          <w:rFonts w:hint="eastAsia"/>
          <w:b/>
          <w:bCs/>
          <w:szCs w:val="21"/>
          <w:u w:val="single"/>
        </w:rPr>
        <w:t>乙方提供的商品预拌砼需附原材料检测报告（含合格证）及每批次商品预拌砼的生产厂家提供的有检测资质单位出具的配合比报告【需原材料检测报告2份（加盖检测单位章及乙方鲜章），配合比报告2份（加盖检测单位章及乙方鲜章），自检合格报告2份（加盖检测单位鲜章）】。</w:t>
      </w:r>
    </w:p>
    <w:p>
      <w:pPr>
        <w:spacing w:line="360" w:lineRule="exact"/>
        <w:ind w:firstLine="420" w:firstLineChars="200"/>
        <w:outlineLvl w:val="0"/>
        <w:rPr>
          <w:szCs w:val="21"/>
        </w:rPr>
      </w:pPr>
      <w:r>
        <w:rPr>
          <w:rFonts w:hint="eastAsia"/>
          <w:szCs w:val="21"/>
        </w:rPr>
        <w:t>（4）甲方应按照</w:t>
      </w:r>
      <w:r>
        <w:rPr>
          <w:rFonts w:ascii="Arial" w:hAnsi="Arial" w:cs="Arial"/>
          <w:color w:val="333333"/>
          <w:szCs w:val="21"/>
          <w:shd w:val="clear" w:color="auto" w:fill="FFFFFF"/>
        </w:rPr>
        <w:t>《混凝土质量控制标准》GB 50164-2011</w:t>
      </w:r>
      <w:r>
        <w:rPr>
          <w:rFonts w:hint="eastAsia"/>
          <w:szCs w:val="21"/>
        </w:rPr>
        <w:t>，《预拌混凝土质量控制标准》（DBJ50/T-038-2018）进行操作，预拌砼试件必须进行标准制作和标准养护，如未按要求操作造成质量问题由甲方负责。</w:t>
      </w:r>
    </w:p>
    <w:p>
      <w:pPr>
        <w:spacing w:line="360" w:lineRule="exact"/>
        <w:ind w:firstLine="420" w:firstLineChars="200"/>
        <w:outlineLvl w:val="0"/>
        <w:rPr>
          <w:szCs w:val="21"/>
        </w:rPr>
      </w:pPr>
      <w:r>
        <w:rPr>
          <w:rFonts w:hint="eastAsia"/>
          <w:szCs w:val="21"/>
        </w:rPr>
        <w:t>（5）如产品出现质量问题，甲方可在发现问题后10个工作日内向乙方提出异议。甲方未在上述期限内提出异议的，不免除乙方的质量保证责任。</w:t>
      </w:r>
    </w:p>
    <w:p>
      <w:pPr>
        <w:spacing w:line="360" w:lineRule="exact"/>
        <w:ind w:firstLine="420" w:firstLineChars="200"/>
        <w:rPr>
          <w:szCs w:val="21"/>
        </w:rPr>
      </w:pPr>
      <w:r>
        <w:rPr>
          <w:rFonts w:hint="eastAsia"/>
          <w:szCs w:val="21"/>
        </w:rPr>
        <w:t>（6）材料运输：本竞争性比选文件约定的材料价格为比选人指定位置的到场单价，材料运输的安全由比选申请人负责，因材料运输超限等引起的全部后果、责任均由比选申请人承担。比选申请人必须保证安全、及时供货，比选人不承担由此造成的安全责任及相应费用。</w:t>
      </w:r>
    </w:p>
    <w:p>
      <w:pPr>
        <w:spacing w:line="400" w:lineRule="atLeast"/>
        <w:ind w:firstLine="420" w:firstLineChars="200"/>
        <w:rPr>
          <w:szCs w:val="21"/>
        </w:rPr>
      </w:pPr>
      <w:r>
        <w:rPr>
          <w:szCs w:val="21"/>
        </w:rPr>
        <w:t>3</w:t>
      </w:r>
      <w:r>
        <w:rPr>
          <w:rFonts w:hint="eastAsia"/>
          <w:szCs w:val="21"/>
        </w:rPr>
        <w:t>、</w:t>
      </w:r>
      <w:r>
        <w:rPr>
          <w:szCs w:val="21"/>
        </w:rPr>
        <w:t>本次</w:t>
      </w:r>
      <w:r>
        <w:rPr>
          <w:rFonts w:hint="eastAsia"/>
          <w:szCs w:val="21"/>
        </w:rPr>
        <w:t>投标</w:t>
      </w:r>
      <w:r>
        <w:rPr>
          <w:szCs w:val="21"/>
        </w:rPr>
        <w:t>文件的组成：</w:t>
      </w:r>
    </w:p>
    <w:p>
      <w:pPr>
        <w:spacing w:line="400" w:lineRule="atLeast"/>
        <w:ind w:firstLine="422" w:firstLineChars="200"/>
        <w:rPr>
          <w:rFonts w:ascii="宋体" w:hAnsi="宋体" w:cs="宋体"/>
          <w:szCs w:val="21"/>
        </w:rPr>
      </w:pPr>
      <w:r>
        <w:rPr>
          <w:rFonts w:hint="eastAsia" w:ascii="宋体" w:hAnsi="宋体" w:cs="宋体"/>
          <w:b/>
          <w:bCs/>
          <w:szCs w:val="21"/>
        </w:rPr>
        <w:t>按招标文件格式编制。</w:t>
      </w:r>
    </w:p>
    <w:p>
      <w:pPr>
        <w:spacing w:line="400" w:lineRule="atLeast"/>
        <w:ind w:firstLine="422" w:firstLineChars="200"/>
        <w:rPr>
          <w:szCs w:val="21"/>
        </w:rPr>
      </w:pPr>
      <w:r>
        <w:rPr>
          <w:rFonts w:hint="eastAsia"/>
          <w:b/>
          <w:bCs/>
          <w:szCs w:val="21"/>
        </w:rPr>
        <w:t>（注：以上所有文件均须投标人加盖单位公章）</w:t>
      </w:r>
    </w:p>
    <w:p>
      <w:pPr>
        <w:spacing w:line="360" w:lineRule="exact"/>
        <w:ind w:firstLine="420" w:firstLineChars="200"/>
        <w:rPr>
          <w:szCs w:val="21"/>
        </w:rPr>
      </w:pPr>
      <w:r>
        <w:rPr>
          <w:szCs w:val="21"/>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pPr>
      <w:r>
        <w:rPr>
          <w:rFonts w:hint="eastAsia"/>
          <w:szCs w:val="21"/>
        </w:rPr>
        <w:t>各标段递交竞争性比选响应文件</w:t>
      </w:r>
      <w:r>
        <w:rPr>
          <w:rFonts w:hint="eastAsia"/>
          <w:b/>
          <w:bCs/>
          <w:szCs w:val="21"/>
        </w:rPr>
        <w:t>1份</w:t>
      </w:r>
      <w:r>
        <w:rPr>
          <w:rFonts w:hint="eastAsia"/>
          <w:szCs w:val="21"/>
        </w:rPr>
        <w:t>，竞争性比选响应文件按竞争性比选文件中规定格式排版并装订成册。应注意填写清楚，文件表述应前后一致。</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p>
    <w:p>
      <w:pPr>
        <w:spacing w:line="360" w:lineRule="exact"/>
        <w:ind w:firstLine="420" w:firstLineChars="200"/>
        <w:rPr>
          <w:szCs w:val="21"/>
        </w:rPr>
      </w:pPr>
      <w:r>
        <w:rPr>
          <w:rFonts w:hint="eastAsia"/>
          <w:szCs w:val="21"/>
        </w:rPr>
        <w:t>本项目采用经评审的最低价法，在满足比选文件要求的前提下，评标委员会报价从低到高的先后顺序推荐中标候选人。若在满足比选文件所有要求前提下，最低报价相同时，</w:t>
      </w:r>
      <w:r>
        <w:rPr>
          <w:rFonts w:hint="eastAsia"/>
          <w:b/>
          <w:bCs/>
          <w:szCs w:val="21"/>
        </w:rPr>
        <w:t>进行第二轮报价</w:t>
      </w:r>
      <w:r>
        <w:rPr>
          <w:rFonts w:hint="eastAsia"/>
          <w:szCs w:val="21"/>
        </w:rPr>
        <w:t>。请各报价单位结合自身情况及市场行情进行报价。</w:t>
      </w:r>
      <w:r>
        <w:rPr>
          <w:rFonts w:hint="eastAsia"/>
          <w:b/>
          <w:bCs/>
          <w:szCs w:val="21"/>
        </w:rPr>
        <w:t>具体评审标准详见下表：</w:t>
      </w:r>
    </w:p>
    <w:tbl>
      <w:tblPr>
        <w:tblStyle w:val="7"/>
        <w:tblW w:w="9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276"/>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552" w:type="dxa"/>
            <w:gridSpan w:val="2"/>
            <w:vAlign w:val="center"/>
          </w:tcPr>
          <w:p>
            <w:pPr>
              <w:spacing w:line="340" w:lineRule="exact"/>
              <w:ind w:firstLine="420" w:firstLineChars="200"/>
              <w:jc w:val="center"/>
              <w:rPr>
                <w:rFonts w:ascii="宋体" w:hAnsi="宋体"/>
                <w:shd w:val="clear" w:color="auto" w:fill="FFFFFF"/>
              </w:rPr>
            </w:pPr>
            <w:r>
              <w:rPr>
                <w:rFonts w:hint="eastAsia" w:ascii="宋体" w:hAnsi="宋体"/>
                <w:shd w:val="clear" w:color="auto" w:fill="FFFFFF"/>
              </w:rPr>
              <w:t>条款号</w:t>
            </w:r>
          </w:p>
        </w:tc>
        <w:tc>
          <w:tcPr>
            <w:tcW w:w="1276" w:type="dxa"/>
            <w:vAlign w:val="center"/>
          </w:tcPr>
          <w:p>
            <w:pPr>
              <w:spacing w:line="340" w:lineRule="exact"/>
              <w:ind w:firstLine="420" w:firstLineChars="200"/>
              <w:jc w:val="center"/>
              <w:rPr>
                <w:rFonts w:ascii="宋体" w:hAnsi="宋体"/>
                <w:shd w:val="clear" w:color="auto" w:fill="FFFFFF"/>
              </w:rPr>
            </w:pPr>
            <w:r>
              <w:rPr>
                <w:rFonts w:hint="eastAsia" w:ascii="宋体" w:hAnsi="宋体"/>
                <w:shd w:val="clear" w:color="auto" w:fill="FFFFFF"/>
              </w:rPr>
              <w:t>评审因素</w:t>
            </w:r>
          </w:p>
        </w:tc>
        <w:tc>
          <w:tcPr>
            <w:tcW w:w="5613" w:type="dxa"/>
            <w:vAlign w:val="center"/>
          </w:tcPr>
          <w:p>
            <w:pPr>
              <w:spacing w:line="340" w:lineRule="exact"/>
              <w:jc w:val="center"/>
              <w:rPr>
                <w:rFonts w:ascii="宋体" w:hAnsi="宋体"/>
                <w:shd w:val="clear" w:color="auto" w:fill="FFFFFF"/>
              </w:rPr>
            </w:pPr>
            <w:r>
              <w:rPr>
                <w:rFonts w:hint="eastAsia" w:ascii="宋体" w:hAnsi="宋体"/>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51" w:type="dxa"/>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1.1.1</w:t>
            </w:r>
          </w:p>
        </w:tc>
        <w:tc>
          <w:tcPr>
            <w:tcW w:w="1701" w:type="dxa"/>
            <w:vAlign w:val="center"/>
          </w:tcPr>
          <w:p>
            <w:pPr>
              <w:spacing w:line="340" w:lineRule="exact"/>
              <w:jc w:val="center"/>
              <w:rPr>
                <w:rFonts w:ascii="宋体" w:hAnsi="宋体"/>
                <w:shd w:val="clear" w:color="auto" w:fill="FFFFFF"/>
              </w:rPr>
            </w:pPr>
            <w:r>
              <w:rPr>
                <w:rFonts w:hint="eastAsia" w:ascii="宋体" w:hAnsi="宋体"/>
                <w:shd w:val="clear" w:color="auto" w:fill="FFFFFF"/>
              </w:rPr>
              <w:t>形式评审标准</w:t>
            </w:r>
          </w:p>
        </w:tc>
        <w:tc>
          <w:tcPr>
            <w:tcW w:w="1276" w:type="dxa"/>
            <w:vAlign w:val="center"/>
          </w:tcPr>
          <w:p>
            <w:pPr>
              <w:spacing w:line="340" w:lineRule="exact"/>
              <w:rPr>
                <w:rFonts w:ascii="宋体" w:hAnsi="宋体"/>
                <w:shd w:val="clear" w:color="auto" w:fill="FFFFFF"/>
              </w:rPr>
            </w:pPr>
            <w:r>
              <w:rPr>
                <w:rFonts w:hint="eastAsia" w:ascii="宋体" w:hAnsi="宋体"/>
                <w:shd w:val="clear" w:color="auto" w:fill="FFFFFF"/>
              </w:rPr>
              <w:t>签字盖章</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竞标文件要求竞标人盖章和竞标单位法定代表人签字（或盖章）的地方须齐全。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851" w:type="dxa"/>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1.1.2</w:t>
            </w:r>
          </w:p>
        </w:tc>
        <w:tc>
          <w:tcPr>
            <w:tcW w:w="1701" w:type="dxa"/>
            <w:vAlign w:val="center"/>
          </w:tcPr>
          <w:p>
            <w:pPr>
              <w:spacing w:line="340" w:lineRule="exact"/>
              <w:jc w:val="center"/>
              <w:rPr>
                <w:rFonts w:ascii="宋体" w:hAnsi="宋体"/>
                <w:shd w:val="clear" w:color="auto" w:fill="FFFFFF"/>
              </w:rPr>
            </w:pPr>
            <w:r>
              <w:rPr>
                <w:rFonts w:hint="eastAsia" w:ascii="宋体" w:hAnsi="宋体"/>
                <w:shd w:val="clear" w:color="auto" w:fill="FFFFFF"/>
              </w:rPr>
              <w:t>资格评审标准</w:t>
            </w: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营业执照</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851" w:type="dxa"/>
            <w:vMerge w:val="restart"/>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1.1.3</w:t>
            </w:r>
          </w:p>
        </w:tc>
        <w:tc>
          <w:tcPr>
            <w:tcW w:w="1701" w:type="dxa"/>
            <w:vMerge w:val="restart"/>
            <w:vAlign w:val="center"/>
          </w:tcPr>
          <w:p>
            <w:pPr>
              <w:spacing w:line="340" w:lineRule="exact"/>
              <w:jc w:val="center"/>
              <w:rPr>
                <w:rFonts w:ascii="宋体" w:hAnsi="宋体"/>
                <w:shd w:val="clear" w:color="auto" w:fill="FFFFFF"/>
              </w:rPr>
            </w:pPr>
            <w:r>
              <w:rPr>
                <w:rFonts w:hint="eastAsia" w:ascii="宋体" w:hAnsi="宋体"/>
                <w:shd w:val="clear" w:color="auto" w:fill="FFFFFF"/>
              </w:rPr>
              <w:t>响应性评审标准</w:t>
            </w: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报价要求</w:t>
            </w:r>
          </w:p>
        </w:tc>
        <w:tc>
          <w:tcPr>
            <w:tcW w:w="5613" w:type="dxa"/>
            <w:vAlign w:val="center"/>
          </w:tcPr>
          <w:p>
            <w:pPr>
              <w:numPr>
                <w:ilvl w:val="0"/>
                <w:numId w:val="2"/>
              </w:numPr>
              <w:spacing w:line="340" w:lineRule="exact"/>
              <w:rPr>
                <w:rFonts w:ascii="宋体" w:hAnsi="宋体"/>
              </w:rPr>
            </w:pPr>
            <w:r>
              <w:rPr>
                <w:rFonts w:hint="eastAsia" w:ascii="宋体" w:hAnsi="宋体"/>
                <w:shd w:val="clear" w:color="auto" w:fill="FFFFFF"/>
              </w:rPr>
              <w:t>竞标人</w:t>
            </w:r>
            <w:r>
              <w:rPr>
                <w:rFonts w:hint="eastAsia" w:ascii="宋体" w:hAnsi="宋体"/>
              </w:rPr>
              <w:t xml:space="preserve">总报价及综合单价报价不得超过比选人公布的相应最高限价。若报价为下浮比例方式，则应满足比选文件要求。 </w:t>
            </w:r>
          </w:p>
          <w:p>
            <w:pPr>
              <w:spacing w:line="340" w:lineRule="exact"/>
              <w:rPr>
                <w:rFonts w:ascii="宋体" w:hAnsi="宋体"/>
                <w:shd w:val="clear" w:color="auto" w:fill="FFFFFF"/>
              </w:rPr>
            </w:pPr>
            <w:r>
              <w:rPr>
                <w:rFonts w:hint="eastAsia" w:ascii="宋体" w:hAnsi="宋体"/>
              </w:rPr>
              <w:t>2、</w:t>
            </w:r>
            <w:r>
              <w:rPr>
                <w:rFonts w:hint="eastAsia" w:ascii="宋体" w:hAnsi="宋体"/>
                <w:shd w:val="clear" w:color="auto" w:fill="FFFFFF"/>
              </w:rPr>
              <w:t>同一竞标人提交两个以上不同的竞标文件或者竞标报价，但比选文件要求提交备选的除外。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851" w:type="dxa"/>
            <w:vMerge w:val="continue"/>
            <w:vAlign w:val="center"/>
          </w:tcPr>
          <w:p>
            <w:pPr>
              <w:widowControl/>
              <w:jc w:val="left"/>
              <w:rPr>
                <w:rFonts w:ascii="宋体" w:hAnsi="宋体"/>
                <w:szCs w:val="21"/>
                <w:shd w:val="clear" w:color="auto" w:fill="FFFFFF"/>
              </w:rPr>
            </w:pPr>
          </w:p>
        </w:tc>
        <w:tc>
          <w:tcPr>
            <w:tcW w:w="1701" w:type="dxa"/>
            <w:vMerge w:val="continue"/>
            <w:vAlign w:val="center"/>
          </w:tcPr>
          <w:p>
            <w:pPr>
              <w:widowControl/>
              <w:jc w:val="left"/>
              <w:rPr>
                <w:rFonts w:ascii="宋体" w:hAnsi="宋体"/>
                <w:szCs w:val="21"/>
                <w:shd w:val="clear" w:color="auto" w:fill="FFFFFF"/>
              </w:rPr>
            </w:pP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投标保证金</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441" w:type="dxa"/>
            <w:gridSpan w:val="4"/>
            <w:vAlign w:val="center"/>
          </w:tcPr>
          <w:p>
            <w:pPr>
              <w:spacing w:line="340" w:lineRule="exact"/>
              <w:rPr>
                <w:rFonts w:ascii="宋体" w:hAnsi="宋体"/>
                <w:shd w:val="clear" w:color="auto" w:fill="FFFFFF"/>
              </w:rPr>
            </w:pPr>
            <w:r>
              <w:rPr>
                <w:rFonts w:hint="eastAsia" w:ascii="宋体" w:hAnsi="宋体"/>
                <w:shd w:val="clear" w:color="auto" w:fill="FFFFFF"/>
              </w:rPr>
              <w:t>注：条款1.1.1、1.1.2、1.1.3均为强制性要求，竞标人如不满足，按否决</w:t>
            </w:r>
            <w:r>
              <w:rPr>
                <w:rFonts w:hint="eastAsia" w:ascii="宋体" w:hAnsi="宋体"/>
                <w:b/>
              </w:rPr>
              <w:t>竞标</w:t>
            </w:r>
            <w:r>
              <w:rPr>
                <w:rFonts w:hint="eastAsia" w:ascii="宋体" w:hAnsi="宋体"/>
                <w:shd w:val="clear" w:color="auto" w:fill="FFFFFF"/>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441" w:type="dxa"/>
            <w:gridSpan w:val="4"/>
            <w:vAlign w:val="center"/>
          </w:tcPr>
          <w:p>
            <w:pPr>
              <w:spacing w:line="400" w:lineRule="exact"/>
            </w:pPr>
            <w:r>
              <w:rPr>
                <w:rFonts w:ascii="宋体" w:hAnsi="宋体"/>
              </w:rPr>
              <w:t>有下列情况之一的，</w:t>
            </w:r>
            <w:r>
              <w:rPr>
                <w:rFonts w:hint="eastAsia" w:ascii="宋体" w:hAnsi="宋体"/>
              </w:rPr>
              <w:t>直接按</w:t>
            </w:r>
            <w:r>
              <w:rPr>
                <w:rFonts w:ascii="宋体" w:hAnsi="宋体"/>
              </w:rPr>
              <w:t>否决</w:t>
            </w:r>
            <w:r>
              <w:rPr>
                <w:rFonts w:hint="eastAsia" w:ascii="宋体" w:hAnsi="宋体"/>
              </w:rPr>
              <w:t>竞标</w:t>
            </w:r>
            <w:r>
              <w:rPr>
                <w:rFonts w:ascii="宋体" w:hAnsi="宋体"/>
              </w:rPr>
              <w:t>处理。</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由同一单位或者个人编制；</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委托同一单位或者个人办理</w:t>
            </w:r>
            <w:r>
              <w:rPr>
                <w:rFonts w:hint="eastAsia" w:ascii="宋体" w:hAnsi="宋体"/>
              </w:rPr>
              <w:t>竞标</w:t>
            </w:r>
            <w:r>
              <w:rPr>
                <w:rFonts w:ascii="宋体" w:hAnsi="宋体"/>
              </w:rPr>
              <w:t>事宜；</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载明的项目管理成员为同一人；</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异常一致或者</w:t>
            </w:r>
            <w:r>
              <w:rPr>
                <w:rFonts w:hint="eastAsia" w:ascii="宋体" w:hAnsi="宋体"/>
              </w:rPr>
              <w:t>竞标报价</w:t>
            </w:r>
            <w:r>
              <w:rPr>
                <w:rFonts w:ascii="宋体" w:hAnsi="宋体"/>
              </w:rPr>
              <w:t>呈规律性差异</w:t>
            </w:r>
            <w:r>
              <w:rPr>
                <w:rFonts w:hint="eastAsia" w:ascii="宋体" w:hAnsi="宋体"/>
              </w:rPr>
              <w:t>或报价低于成本不具备竞争性</w:t>
            </w:r>
            <w:r>
              <w:rPr>
                <w:rFonts w:ascii="宋体" w:hAnsi="宋体"/>
              </w:rPr>
              <w:t>；</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相互混装；</w:t>
            </w:r>
          </w:p>
          <w:p>
            <w:pPr>
              <w:numPr>
                <w:ilvl w:val="0"/>
                <w:numId w:val="3"/>
              </w:numPr>
              <w:spacing w:line="400" w:lineRule="exact"/>
              <w:rPr>
                <w:rFonts w:eastAsia="黑体"/>
              </w:rPr>
            </w:pPr>
            <w:r>
              <w:rPr>
                <w:rFonts w:hint="eastAsia" w:ascii="宋体" w:hAnsi="宋体"/>
                <w:shd w:val="clear" w:color="auto" w:fill="FFFFFF"/>
              </w:rPr>
              <w:t>竞标人</w:t>
            </w:r>
            <w:r>
              <w:rPr>
                <w:rFonts w:hint="eastAsia" w:ascii="宋体" w:hAnsi="宋体"/>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rPr>
                <w:kern w:val="0"/>
              </w:rPr>
            </w:pPr>
            <w:r>
              <w:rPr>
                <w:rFonts w:hint="eastAsia" w:ascii="宋体" w:hAnsi="宋体"/>
              </w:rPr>
              <w:t>候</w:t>
            </w:r>
            <w:r>
              <w:rPr>
                <w:rFonts w:ascii="宋体" w:hAnsi="宋体"/>
              </w:rPr>
              <w:t>选人</w:t>
            </w:r>
            <w:r>
              <w:rPr>
                <w:rFonts w:hint="eastAsia" w:ascii="宋体" w:hAnsi="宋体"/>
              </w:rPr>
              <w:t>推荐</w:t>
            </w:r>
          </w:p>
        </w:tc>
        <w:tc>
          <w:tcPr>
            <w:tcW w:w="6889" w:type="dxa"/>
            <w:gridSpan w:val="2"/>
            <w:vAlign w:val="center"/>
          </w:tcPr>
          <w:p>
            <w:pPr>
              <w:spacing w:line="400" w:lineRule="exact"/>
            </w:pPr>
            <w:r>
              <w:t xml:space="preserve">    </w:t>
            </w:r>
            <w:r>
              <w:rPr>
                <w:rFonts w:hint="eastAsia" w:ascii="宋体" w:hAnsi="宋体"/>
              </w:rPr>
              <w:t>若各标段报名家数大于等于三家，则经评审合格的候选人按价格由低到高的先后顺序推荐</w:t>
            </w:r>
            <w:r>
              <w:rPr>
                <w:rFonts w:hint="eastAsia"/>
              </w:rPr>
              <w:t>3</w:t>
            </w:r>
            <w:r>
              <w:rPr>
                <w:rFonts w:hint="eastAsia" w:ascii="宋体" w:hAnsi="宋体"/>
              </w:rPr>
              <w:t>名中标候选人；若评审合格的候选人不足</w:t>
            </w:r>
            <w:r>
              <w:rPr>
                <w:rFonts w:hint="eastAsia"/>
              </w:rPr>
              <w:t>3</w:t>
            </w:r>
            <w:r>
              <w:rPr>
                <w:rFonts w:hint="eastAsia" w:ascii="宋体" w:hAnsi="宋体"/>
              </w:rPr>
              <w:t>名（</w:t>
            </w:r>
            <w:r>
              <w:rPr>
                <w:rFonts w:ascii="宋体" w:hAnsi="宋体"/>
              </w:rPr>
              <w:t>有效</w:t>
            </w:r>
            <w:r>
              <w:rPr>
                <w:rFonts w:hint="eastAsia" w:ascii="宋体" w:hAnsi="宋体"/>
              </w:rPr>
              <w:t>候选人</w:t>
            </w:r>
            <w:r>
              <w:rPr>
                <w:rFonts w:ascii="宋体" w:hAnsi="宋体"/>
              </w:rPr>
              <w:t>的经济、技术等指标仍然具有市场竞争力，能够满足</w:t>
            </w:r>
            <w:r>
              <w:rPr>
                <w:rFonts w:hint="eastAsia" w:ascii="宋体" w:hAnsi="宋体"/>
              </w:rPr>
              <w:t>比选</w:t>
            </w:r>
            <w:r>
              <w:rPr>
                <w:rFonts w:ascii="宋体" w:hAnsi="宋体"/>
              </w:rPr>
              <w:t>文件要求的</w:t>
            </w:r>
            <w:r>
              <w:rPr>
                <w:rFonts w:hint="eastAsia" w:ascii="宋体" w:hAnsi="宋体"/>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pPr>
            <w:r>
              <w:rPr>
                <w:rFonts w:hint="eastAsia" w:ascii="宋体" w:hAnsi="宋体"/>
              </w:rPr>
              <w:t>报价算术错误修正</w:t>
            </w:r>
          </w:p>
        </w:tc>
        <w:tc>
          <w:tcPr>
            <w:tcW w:w="6889" w:type="dxa"/>
            <w:gridSpan w:val="2"/>
            <w:vAlign w:val="center"/>
          </w:tcPr>
          <w:p>
            <w:pPr>
              <w:spacing w:line="400" w:lineRule="exact"/>
            </w:pPr>
            <w:r>
              <w:t xml:space="preserve">    </w:t>
            </w:r>
            <w:r>
              <w:rPr>
                <w:rFonts w:hint="eastAsia" w:ascii="宋体" w:hAnsi="宋体"/>
              </w:rPr>
              <w:t>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rPr>
                <w:rFonts w:ascii="宋体" w:hAnsi="宋体"/>
              </w:rPr>
            </w:pPr>
            <w:r>
              <w:rPr>
                <w:rFonts w:hint="eastAsia" w:ascii="宋体" w:hAnsi="宋体"/>
              </w:rPr>
              <w:t>澄清</w:t>
            </w:r>
          </w:p>
        </w:tc>
        <w:tc>
          <w:tcPr>
            <w:tcW w:w="6889" w:type="dxa"/>
            <w:gridSpan w:val="2"/>
            <w:vAlign w:val="center"/>
          </w:tcPr>
          <w:p>
            <w:pPr>
              <w:spacing w:line="400" w:lineRule="exact"/>
            </w:pPr>
            <w:r>
              <w:t xml:space="preserve">    </w:t>
            </w:r>
            <w:r>
              <w:rPr>
                <w:rFonts w:hint="eastAsia" w:ascii="宋体" w:hAnsi="宋体"/>
              </w:rPr>
              <w:t>在评标过程中，评审小组可以要求竞标人对所提交投标文件中不明确的内容进行书面澄清或说明，或者对细微偏差进行补正。评标小组不接受竞标人主动提出的澄清、说明或补正。</w:t>
            </w:r>
          </w:p>
        </w:tc>
      </w:tr>
    </w:tbl>
    <w:p>
      <w:pPr>
        <w:spacing w:line="360" w:lineRule="exact"/>
        <w:rPr>
          <w:b/>
          <w:szCs w:val="21"/>
        </w:rPr>
      </w:pPr>
      <w:r>
        <w:rPr>
          <w:b/>
          <w:szCs w:val="21"/>
        </w:rPr>
        <w:t>五、</w:t>
      </w:r>
      <w:r>
        <w:rPr>
          <w:rFonts w:hint="eastAsia"/>
          <w:b/>
          <w:szCs w:val="21"/>
        </w:rPr>
        <w:t>投标保证金</w:t>
      </w:r>
    </w:p>
    <w:p>
      <w:pPr>
        <w:spacing w:line="400" w:lineRule="atLeast"/>
        <w:ind w:firstLine="422" w:firstLineChars="200"/>
        <w:rPr>
          <w:b/>
          <w:bCs/>
        </w:rPr>
      </w:pPr>
      <w:r>
        <w:rPr>
          <w:rFonts w:hint="eastAsia"/>
          <w:b/>
          <w:bCs/>
        </w:rPr>
        <w:t>1、以转账支票或电汇形式交纳投标保证金</w:t>
      </w:r>
    </w:p>
    <w:p>
      <w:pPr>
        <w:spacing w:line="400" w:lineRule="atLeast"/>
        <w:ind w:firstLine="420" w:firstLineChars="200"/>
      </w:pP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spacing w:line="400" w:lineRule="atLeast"/>
        <w:ind w:firstLine="422" w:firstLineChars="200"/>
        <w:rPr>
          <w:b/>
          <w:bCs/>
        </w:rPr>
      </w:pPr>
      <w:r>
        <w:rPr>
          <w:rFonts w:hint="eastAsia"/>
          <w:b/>
          <w:bCs/>
        </w:rPr>
        <w:t>2、以转账支票或电汇形式提交投标保证金的金额：20000元整（人民币）。</w:t>
      </w:r>
    </w:p>
    <w:p>
      <w:pPr>
        <w:spacing w:line="400" w:lineRule="atLeast"/>
        <w:ind w:firstLine="420" w:firstLineChars="200"/>
      </w:pPr>
      <w:r>
        <w:rPr>
          <w:rFonts w:hint="eastAsia"/>
        </w:rPr>
        <w:t>3、投标保证金账户及账号：</w:t>
      </w:r>
    </w:p>
    <w:p>
      <w:pPr>
        <w:spacing w:line="400" w:lineRule="atLeast"/>
        <w:ind w:firstLine="420" w:firstLineChars="200"/>
      </w:pPr>
      <w:r>
        <w:rPr>
          <w:rFonts w:hint="eastAsia"/>
        </w:rPr>
        <w:t>单位名称：重庆通力高速公路养护工程有限公司</w:t>
      </w:r>
    </w:p>
    <w:p>
      <w:pPr>
        <w:spacing w:line="400" w:lineRule="atLeast"/>
        <w:ind w:firstLine="420" w:firstLineChars="200"/>
      </w:pPr>
      <w:r>
        <w:rPr>
          <w:rFonts w:hint="eastAsia"/>
        </w:rPr>
        <w:t>开户行：工商银行重庆西湖路支行</w:t>
      </w:r>
    </w:p>
    <w:p>
      <w:pPr>
        <w:spacing w:line="400" w:lineRule="atLeast"/>
        <w:ind w:firstLine="420" w:firstLineChars="200"/>
      </w:pPr>
      <w:r>
        <w:rPr>
          <w:rFonts w:hint="eastAsia"/>
        </w:rPr>
        <w:t>账户性质：（一般户、收入户）</w:t>
      </w:r>
    </w:p>
    <w:p>
      <w:pPr>
        <w:spacing w:line="400" w:lineRule="atLeast"/>
        <w:ind w:firstLine="420" w:firstLineChars="200"/>
      </w:pPr>
      <w:r>
        <w:rPr>
          <w:rFonts w:hint="eastAsia"/>
        </w:rPr>
        <w:t>账号：3100038119100018671</w:t>
      </w:r>
    </w:p>
    <w:p>
      <w:pPr>
        <w:spacing w:line="400" w:lineRule="atLeast"/>
        <w:ind w:firstLine="420" w:firstLineChars="200"/>
      </w:pPr>
      <w:r>
        <w:rPr>
          <w:rFonts w:hint="eastAsia"/>
        </w:rPr>
        <w:t>行号：102653001602</w:t>
      </w:r>
    </w:p>
    <w:p>
      <w:pPr>
        <w:spacing w:line="400" w:lineRule="atLeast"/>
        <w:ind w:firstLine="420" w:firstLineChars="200"/>
      </w:pPr>
      <w:r>
        <w:rPr>
          <w:rFonts w:hint="eastAsia"/>
        </w:rPr>
        <w:t>投标保证金以比选人展示的保证金交纳情况为准。投标人须在投标文件中提供企业基本账户开户证明文件。</w:t>
      </w:r>
    </w:p>
    <w:p>
      <w:pPr>
        <w:spacing w:line="400" w:lineRule="atLeast"/>
        <w:ind w:firstLine="420" w:firstLineChars="200"/>
      </w:pPr>
      <w:r>
        <w:rPr>
          <w:rFonts w:hint="eastAsia"/>
        </w:rPr>
        <w:t>4、</w:t>
      </w:r>
      <w:r>
        <w:rPr>
          <w:rFonts w:hint="eastAsia"/>
          <w:b/>
          <w:bCs/>
        </w:rPr>
        <w:t>投标人必须在付款凭证备注栏中注明是“ 东北公司隧道病害处治施工项目商品混凝土（巫山段）材料采购比选保证金”。</w:t>
      </w:r>
    </w:p>
    <w:p>
      <w:pPr>
        <w:spacing w:line="400" w:lineRule="atLeast"/>
        <w:ind w:firstLine="420" w:firstLineChars="200"/>
      </w:pPr>
      <w:r>
        <w:rPr>
          <w:rFonts w:hint="eastAsia"/>
        </w:rPr>
        <w:t>5、投标保证金有效期与投标有效期一致。</w:t>
      </w:r>
    </w:p>
    <w:p>
      <w:pPr>
        <w:spacing w:line="400" w:lineRule="atLeast"/>
        <w:ind w:firstLine="420" w:firstLineChars="200"/>
      </w:pPr>
      <w:r>
        <w:rPr>
          <w:rFonts w:hint="eastAsia"/>
        </w:rPr>
        <w:t>6、必须从基本账户转入。</w:t>
      </w:r>
    </w:p>
    <w:p>
      <w:pPr>
        <w:spacing w:line="360" w:lineRule="exact"/>
        <w:rPr>
          <w:b/>
          <w:szCs w:val="21"/>
        </w:rPr>
      </w:pPr>
      <w:r>
        <w:rPr>
          <w:rFonts w:hint="eastAsia"/>
          <w:b/>
          <w:szCs w:val="21"/>
        </w:rPr>
        <w:t>六</w:t>
      </w:r>
      <w:r>
        <w:rPr>
          <w:b/>
          <w:szCs w:val="21"/>
        </w:rPr>
        <w:t>、</w:t>
      </w:r>
      <w:r>
        <w:rPr>
          <w:rFonts w:hint="eastAsia"/>
          <w:b/>
          <w:szCs w:val="21"/>
        </w:rPr>
        <w:t>竞争性比选</w:t>
      </w:r>
      <w:r>
        <w:rPr>
          <w:b/>
          <w:szCs w:val="21"/>
        </w:rPr>
        <w:t>须知</w:t>
      </w:r>
    </w:p>
    <w:p>
      <w:pPr>
        <w:spacing w:line="400" w:lineRule="atLeast"/>
        <w:ind w:firstLine="420" w:firstLineChars="200"/>
        <w:rPr>
          <w:rFonts w:ascii="宋体" w:hAnsi="宋体" w:cs="宋体"/>
          <w:szCs w:val="21"/>
        </w:rPr>
      </w:pPr>
      <w:r>
        <w:rPr>
          <w:rFonts w:hint="eastAsia" w:ascii="宋体" w:hAnsi="宋体" w:cs="宋体"/>
          <w:szCs w:val="21"/>
        </w:rPr>
        <w:t>（一）招标文件获取方式：凡愿意参加的潜在投标人，从本招标文件在平台挂网之日起至投标文件递交截止时间前，在重庆高速集团官网（http://www.cegc.com.cn/gw/newsInfoMenu.html?id=42&amp;key=2）、重庆高速公路集团有限公司招投标管理平台（http://112.35.165.219:8088/PMS/</w:t>
      </w:r>
      <w:r>
        <w:rPr>
          <w:rFonts w:hint="eastAsia" w:ascii="宋体" w:hAnsi="宋体" w:cs="宋体"/>
          <w:szCs w:val="21"/>
          <w:lang w:eastAsia="zh-CN"/>
        </w:rPr>
        <w:t>）、</w:t>
      </w:r>
      <w:bookmarkStart w:id="37" w:name="_GoBack"/>
      <w:r>
        <w:rPr>
          <w:rFonts w:hint="eastAsia" w:ascii="宋体" w:hAnsi="宋体" w:cs="宋体"/>
          <w:szCs w:val="21"/>
        </w:rPr>
        <w:t>重庆高速集团物资采购平台</w:t>
      </w:r>
      <w:r>
        <w:rPr>
          <w:rFonts w:hint="eastAsia" w:ascii="宋体" w:hAnsi="宋体" w:cs="宋体"/>
          <w:szCs w:val="21"/>
          <w:lang w:eastAsia="zh-CN"/>
        </w:rPr>
        <w:t>（http://wzcg.cegc.com.cn:8099/）</w:t>
      </w:r>
      <w:bookmarkEnd w:id="37"/>
      <w:r>
        <w:rPr>
          <w:rFonts w:hint="eastAsia" w:ascii="宋体" w:hAnsi="宋体" w:cs="宋体"/>
          <w:szCs w:val="21"/>
        </w:rPr>
        <w:t>上发布的本项目招标公告中的获取方式自行下载。不管投标人是否下载，均视为已知晓招标文件的全部内容和有关事宜。本项目不需要报名，直接投标 。</w:t>
      </w:r>
    </w:p>
    <w:p>
      <w:pPr>
        <w:spacing w:line="400" w:lineRule="atLeast"/>
        <w:ind w:firstLine="420" w:firstLineChars="200"/>
        <w:rPr>
          <w:rFonts w:ascii="宋体" w:hAnsi="宋体" w:cs="宋体"/>
          <w:szCs w:val="21"/>
        </w:rPr>
      </w:pPr>
      <w:r>
        <w:rPr>
          <w:rFonts w:hint="eastAsia" w:ascii="宋体" w:hAnsi="宋体" w:cs="宋体"/>
          <w:szCs w:val="21"/>
        </w:rPr>
        <w:t>（二）招标公告及结果公示将在重庆高速集团官网（http://www.cegc.com.cn/gw/newsInfoMenu.html?id=42&amp;key=2）、重庆高速公路集团有限公司招投标管理平台（http://112.35.165.219:8088/PMS/）上发布。</w:t>
      </w:r>
    </w:p>
    <w:p>
      <w:pPr>
        <w:spacing w:line="400" w:lineRule="atLeast"/>
        <w:ind w:firstLine="420" w:firstLineChars="200"/>
        <w:rPr>
          <w:rFonts w:ascii="宋体" w:hAnsi="宋体" w:cs="宋体"/>
          <w:szCs w:val="21"/>
        </w:rPr>
      </w:pPr>
      <w:r>
        <w:rPr>
          <w:rFonts w:hint="eastAsia" w:ascii="宋体" w:hAnsi="宋体" w:cs="宋体"/>
          <w:szCs w:val="21"/>
        </w:rPr>
        <w:t>（三）投标文件递交地点：重庆市沙坪坝区梨高路4号</w:t>
      </w:r>
      <w:r>
        <w:rPr>
          <w:rFonts w:hint="eastAsia" w:ascii="宋体" w:hAnsi="宋体" w:cs="宋体"/>
          <w:b/>
          <w:bCs/>
          <w:szCs w:val="21"/>
        </w:rPr>
        <w:t>重庆通力高速公路养护工程有限公司306室</w:t>
      </w:r>
      <w:r>
        <w:rPr>
          <w:rFonts w:hint="eastAsia" w:ascii="宋体" w:hAnsi="宋体" w:cs="宋体"/>
          <w:szCs w:val="21"/>
        </w:rPr>
        <w:t>（重庆市沙坪坝区梨高路沙坪坝区档案馆旁重庆市公路养护管理段三楼）。</w:t>
      </w:r>
    </w:p>
    <w:p>
      <w:pPr>
        <w:spacing w:line="400" w:lineRule="atLeast"/>
        <w:ind w:firstLine="420" w:firstLineChars="200"/>
        <w:rPr>
          <w:rFonts w:ascii="宋体" w:hAnsi="宋体" w:cs="宋体"/>
          <w:szCs w:val="21"/>
        </w:rPr>
      </w:pPr>
      <w:r>
        <w:rPr>
          <w:rFonts w:hint="eastAsia" w:ascii="宋体" w:hAnsi="宋体" w:cs="宋体"/>
          <w:szCs w:val="21"/>
        </w:rPr>
        <w:t>（四）投标文件递交截止时间：2023年</w:t>
      </w:r>
      <w:r>
        <w:rPr>
          <w:rFonts w:hint="eastAsia" w:ascii="宋体" w:hAnsi="宋体" w:cs="宋体"/>
          <w:szCs w:val="21"/>
          <w:u w:val="single"/>
        </w:rPr>
        <w:t xml:space="preserve"> 6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15</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400" w:lineRule="atLeast"/>
        <w:ind w:firstLine="420" w:firstLineChars="200"/>
        <w:rPr>
          <w:rFonts w:ascii="宋体" w:hAnsi="宋体" w:cs="宋体"/>
          <w:szCs w:val="21"/>
        </w:rPr>
      </w:pPr>
      <w:r>
        <w:rPr>
          <w:rFonts w:hint="eastAsia" w:ascii="宋体" w:hAnsi="宋体" w:cs="宋体"/>
          <w:szCs w:val="21"/>
        </w:rPr>
        <w:t>（五）各投标人应根据本次招标的具体要求，编制规范的投标文件（投标文件，要求填写规范，密封完好并在封口处加盖公章，所有投标文件均只能作一次性提交，提交后不得更改）。投标人因自身原因或其他特殊情况等不能到场开标，可通过其他方式在投标截止日前递交标书进行报名。不到场参与开标，视为投标人默认开标过程及开标结果。当第一次不足三家报名时，不予开标，标书当场退回；第二次不足三家报名时，可按招标文件要求进行开标。</w:t>
      </w:r>
    </w:p>
    <w:p>
      <w:pPr>
        <w:spacing w:line="400" w:lineRule="atLeast"/>
        <w:ind w:firstLine="420" w:firstLineChars="200"/>
        <w:rPr>
          <w:rFonts w:ascii="宋体" w:hAnsi="宋体" w:cs="宋体"/>
          <w:szCs w:val="21"/>
        </w:rPr>
      </w:pPr>
      <w:r>
        <w:rPr>
          <w:rFonts w:hint="eastAsia" w:ascii="宋体" w:hAnsi="宋体" w:cs="宋体"/>
          <w:szCs w:val="21"/>
        </w:rPr>
        <w:t>（六）密封要求：</w:t>
      </w:r>
    </w:p>
    <w:p>
      <w:pPr>
        <w:spacing w:line="400" w:lineRule="atLeast"/>
        <w:ind w:firstLine="420" w:firstLineChars="200"/>
        <w:rPr>
          <w:sz w:val="22"/>
          <w:szCs w:val="22"/>
        </w:rPr>
      </w:pPr>
      <w:r>
        <w:rPr>
          <w:rFonts w:hint="eastAsia" w:ascii="宋体" w:hAnsi="宋体" w:cs="宋体"/>
          <w:szCs w:val="21"/>
        </w:rPr>
        <w:t>将按第三条要求制作的投标文件密封到一个封套中，再在封套上写明：</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重庆通力高速公路养护工程有限公司</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重庆高速公路集团有限公司东北营运分公司隧道病害处治施工项目</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商品混凝土（巫山段）材料采购竞争性比选响应性文件</w:t>
      </w:r>
    </w:p>
    <w:p>
      <w:pPr>
        <w:spacing w:line="360" w:lineRule="exact"/>
        <w:ind w:firstLine="482" w:firstLineChars="200"/>
        <w:jc w:val="center"/>
        <w:rPr>
          <w:rFonts w:ascii="宋体" w:hAnsi="宋体" w:cs="宋体"/>
          <w:b/>
          <w:bCs/>
          <w:sz w:val="24"/>
          <w:szCs w:val="24"/>
        </w:rPr>
      </w:pPr>
      <w:r>
        <w:rPr>
          <w:rFonts w:hint="eastAsia" w:ascii="宋体" w:hAnsi="宋体" w:cs="宋体"/>
          <w:b/>
          <w:bCs/>
          <w:color w:val="FF0000"/>
          <w:sz w:val="24"/>
          <w:szCs w:val="24"/>
        </w:rPr>
        <w:t xml:space="preserve">2023年 6 月 </w:t>
      </w:r>
      <w:r>
        <w:rPr>
          <w:rFonts w:hint="eastAsia" w:ascii="宋体" w:hAnsi="宋体" w:cs="宋体"/>
          <w:b/>
          <w:bCs/>
          <w:color w:val="FF0000"/>
          <w:sz w:val="24"/>
          <w:szCs w:val="24"/>
          <w:lang w:val="en-US" w:eastAsia="zh-CN"/>
        </w:rPr>
        <w:t>15</w:t>
      </w:r>
      <w:r>
        <w:rPr>
          <w:rFonts w:hint="eastAsia" w:ascii="宋体" w:hAnsi="宋体" w:cs="宋体"/>
          <w:b/>
          <w:bCs/>
          <w:color w:val="FF0000"/>
          <w:sz w:val="24"/>
          <w:szCs w:val="24"/>
        </w:rPr>
        <w:t>日 10 时 00 分前不得开启</w:t>
      </w:r>
      <w:r>
        <w:rPr>
          <w:rFonts w:hint="eastAsia" w:ascii="宋体" w:hAnsi="宋体" w:cs="宋体"/>
          <w:b/>
          <w:bCs/>
          <w:sz w:val="24"/>
          <w:szCs w:val="24"/>
        </w:rPr>
        <w:t>。</w:t>
      </w:r>
    </w:p>
    <w:p>
      <w:pPr>
        <w:spacing w:line="400" w:lineRule="atLeast"/>
        <w:ind w:firstLine="422" w:firstLineChars="200"/>
        <w:rPr>
          <w:rFonts w:ascii="宋体" w:hAnsi="宋体" w:cs="宋体"/>
          <w:szCs w:val="21"/>
        </w:rPr>
      </w:pPr>
      <w:r>
        <w:rPr>
          <w:rFonts w:hint="eastAsia"/>
          <w:b/>
          <w:bCs/>
          <w:szCs w:val="21"/>
        </w:rPr>
        <w:t>（七）特别提醒：若投标人恶意竞标后不按招标要求与招标人签订合同或履约，招标人将直接将投标人及其关联单位（含法人代表与委托代理人）一并拉入黑名单，不得参与通力公司所有招标项目报价。</w:t>
      </w:r>
    </w:p>
    <w:p>
      <w:pPr>
        <w:spacing w:line="400" w:lineRule="atLeast"/>
        <w:ind w:firstLine="420" w:firstLineChars="200"/>
        <w:jc w:val="left"/>
        <w:rPr>
          <w:szCs w:val="21"/>
        </w:rPr>
      </w:pPr>
      <w:r>
        <w:rPr>
          <w:rFonts w:hint="eastAsia" w:ascii="宋体" w:hAnsi="宋体" w:cs="宋体"/>
          <w:szCs w:val="21"/>
        </w:rPr>
        <w:t>（八）</w:t>
      </w:r>
      <w:r>
        <w:rPr>
          <w:rFonts w:hint="eastAsia"/>
          <w:szCs w:val="21"/>
        </w:rPr>
        <w:t>廉政约定：</w:t>
      </w:r>
    </w:p>
    <w:p>
      <w:pPr>
        <w:spacing w:line="400" w:lineRule="atLeast"/>
        <w:ind w:firstLine="420" w:firstLineChars="200"/>
        <w:rPr>
          <w:rFonts w:ascii="宋体" w:hAnsi="宋体" w:cs="宋体"/>
          <w:szCs w:val="21"/>
        </w:rPr>
      </w:pPr>
      <w:r>
        <w:rPr>
          <w:rFonts w:hint="eastAsia" w:ascii="宋体" w:hAnsi="宋体" w:cs="宋体"/>
          <w:szCs w:val="21"/>
        </w:rPr>
        <w:t>为杜绝商业贿赂现象，共同营造公平、公正的竞争环境，敬请各投标人在参与竞标报价过程中，将招标人明示或暗示要求宴请、招待，或索取礼金、礼品、礼券、其他利益，或故意刁难、显失公平现象，向我司纪检监察人员进行举报（须提供有效线索和相关证据、证明材料）。具体举报渠道告知如下：</w:t>
      </w:r>
    </w:p>
    <w:p>
      <w:pPr>
        <w:spacing w:line="400" w:lineRule="atLeast"/>
        <w:ind w:firstLine="420" w:firstLineChars="200"/>
        <w:rPr>
          <w:rFonts w:ascii="宋体" w:hAnsi="宋体" w:cs="宋体"/>
          <w:szCs w:val="21"/>
        </w:rPr>
      </w:pPr>
      <w:r>
        <w:rPr>
          <w:rFonts w:hint="eastAsia" w:ascii="宋体" w:hAnsi="宋体" w:cs="宋体"/>
          <w:szCs w:val="21"/>
        </w:rPr>
        <w:t>举报联系人：崔老师   举报电话：</w:t>
      </w:r>
      <w:r>
        <w:rPr>
          <w:rFonts w:ascii="宋体" w:hAnsi="宋体" w:cs="宋体"/>
          <w:szCs w:val="21"/>
        </w:rPr>
        <w:t>023-89187977</w:t>
      </w:r>
    </w:p>
    <w:p>
      <w:pPr>
        <w:spacing w:line="400" w:lineRule="atLeast"/>
        <w:ind w:firstLine="420" w:firstLineChars="200"/>
        <w:rPr>
          <w:rFonts w:ascii="宋体" w:hAnsi="宋体" w:cs="宋体"/>
          <w:szCs w:val="21"/>
        </w:rPr>
      </w:pPr>
      <w:r>
        <w:rPr>
          <w:rFonts w:hint="eastAsia" w:ascii="宋体" w:hAnsi="宋体" w:cs="宋体"/>
          <w:szCs w:val="21"/>
        </w:rPr>
        <w:t>我司承诺：对所有举报信息及时调查处理，对举报来源严格保守秘密，对举报单位因举报所可能遭受的利益损害采取特别措施予以保护。</w:t>
      </w:r>
    </w:p>
    <w:p>
      <w:pPr>
        <w:spacing w:line="400" w:lineRule="atLeast"/>
        <w:ind w:firstLine="420" w:firstLineChars="200"/>
        <w:rPr>
          <w:szCs w:val="21"/>
        </w:rPr>
      </w:pPr>
      <w:r>
        <w:rPr>
          <w:rFonts w:hint="eastAsia"/>
          <w:szCs w:val="21"/>
        </w:rPr>
        <w:t>（九）采购合同（附后）：</w:t>
      </w:r>
    </w:p>
    <w:p>
      <w:pPr>
        <w:spacing w:line="400" w:lineRule="atLeast"/>
        <w:ind w:firstLine="420" w:firstLineChars="200"/>
        <w:jc w:val="left"/>
        <w:rPr>
          <w:rFonts w:ascii="宋体" w:hAnsi="宋体" w:cs="宋体"/>
          <w:szCs w:val="21"/>
        </w:rPr>
      </w:pPr>
      <w:r>
        <w:rPr>
          <w:rFonts w:hint="eastAsia" w:ascii="宋体" w:hAnsi="宋体" w:cs="宋体"/>
          <w:szCs w:val="21"/>
        </w:rPr>
        <w:t>（十）招标人联系方式：</w:t>
      </w:r>
    </w:p>
    <w:p>
      <w:pPr>
        <w:spacing w:line="400" w:lineRule="atLeast"/>
        <w:ind w:firstLine="420" w:firstLineChars="200"/>
        <w:jc w:val="left"/>
        <w:rPr>
          <w:rFonts w:ascii="宋体" w:hAnsi="宋体" w:cs="宋体"/>
          <w:szCs w:val="21"/>
        </w:rPr>
      </w:pPr>
      <w:r>
        <w:rPr>
          <w:rFonts w:hint="eastAsia" w:ascii="宋体" w:hAnsi="宋体" w:cs="宋体"/>
          <w:szCs w:val="21"/>
        </w:rPr>
        <w:t>招标人：重庆通力高速公路养护工程有限公司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地址：重庆市沙坪坝区梨高路4号</w:t>
      </w:r>
      <w:r>
        <w:rPr>
          <w:rFonts w:hint="eastAsia" w:ascii="宋体" w:hAnsi="宋体" w:cs="宋体"/>
          <w:b/>
          <w:bCs/>
          <w:szCs w:val="21"/>
        </w:rPr>
        <w:t>重庆通力高速公路养护工程有限公司306室</w:t>
      </w:r>
      <w:r>
        <w:rPr>
          <w:rFonts w:hint="eastAsia" w:ascii="宋体" w:hAnsi="宋体" w:cs="宋体"/>
          <w:szCs w:val="21"/>
        </w:rPr>
        <w:t>（重庆市沙坪坝区梨高路沙坪坝区档案馆旁重庆市公路养护管理段三楼）</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电话：023-88563373</w:t>
      </w:r>
      <w:r>
        <w:rPr>
          <w:rFonts w:hint="eastAsia" w:ascii="宋体" w:hAnsi="宋体"/>
          <w:snapToGrid w:val="0"/>
          <w:kern w:val="0"/>
          <w:szCs w:val="21"/>
        </w:rPr>
        <w:t xml:space="preserve">      郁老师   电话：1</w:t>
      </w:r>
      <w:r>
        <w:rPr>
          <w:rFonts w:ascii="宋体" w:hAnsi="宋体"/>
          <w:snapToGrid w:val="0"/>
          <w:kern w:val="0"/>
          <w:szCs w:val="21"/>
        </w:rPr>
        <w:t>80083</w:t>
      </w:r>
      <w:r>
        <w:rPr>
          <w:rFonts w:hint="eastAsia" w:ascii="宋体" w:hAnsi="宋体"/>
          <w:snapToGrid w:val="0"/>
          <w:kern w:val="0"/>
          <w:szCs w:val="21"/>
        </w:rPr>
        <w:t>7</w:t>
      </w:r>
      <w:r>
        <w:rPr>
          <w:rFonts w:ascii="宋体" w:hAnsi="宋体"/>
          <w:snapToGrid w:val="0"/>
          <w:kern w:val="0"/>
          <w:szCs w:val="21"/>
        </w:rPr>
        <w:t>6357</w:t>
      </w:r>
    </w:p>
    <w:p>
      <w:pPr>
        <w:spacing w:line="360" w:lineRule="exact"/>
        <w:rPr>
          <w:b/>
          <w:szCs w:val="21"/>
        </w:rPr>
      </w:pPr>
      <w:r>
        <w:rPr>
          <w:rFonts w:hint="eastAsia"/>
          <w:b/>
          <w:sz w:val="24"/>
          <w:szCs w:val="21"/>
        </w:rPr>
        <w:br w:type="page"/>
      </w:r>
    </w:p>
    <w:p>
      <w:pPr>
        <w:pStyle w:val="9"/>
        <w:rPr>
          <w:rFonts w:ascii="宋体" w:hAnsi="宋体" w:cs="宋体"/>
          <w:szCs w:val="21"/>
        </w:rPr>
      </w:pPr>
    </w:p>
    <w:p>
      <w:pPr>
        <w:spacing w:line="360" w:lineRule="exact"/>
        <w:jc w:val="left"/>
        <w:rPr>
          <w:b/>
          <w:sz w:val="24"/>
          <w:szCs w:val="21"/>
        </w:rPr>
      </w:pPr>
      <w:r>
        <w:rPr>
          <w:rFonts w:ascii="宋体" w:hAnsi="宋体"/>
          <w:szCs w:val="21"/>
        </w:rPr>
        <w:t xml:space="preserve"> </w:t>
      </w:r>
      <w:r>
        <w:rPr>
          <w:rFonts w:hint="eastAsia"/>
          <w:b/>
          <w:sz w:val="24"/>
          <w:szCs w:val="21"/>
        </w:rPr>
        <w:t>采购合同：</w:t>
      </w:r>
    </w:p>
    <w:p>
      <w:pPr>
        <w:pStyle w:val="9"/>
      </w:pPr>
    </w:p>
    <w:p>
      <w:pPr>
        <w:spacing w:line="360" w:lineRule="auto"/>
        <w:jc w:val="center"/>
        <w:rPr>
          <w:b/>
          <w:sz w:val="32"/>
          <w:szCs w:val="18"/>
        </w:rPr>
      </w:pPr>
      <w:r>
        <w:rPr>
          <w:rFonts w:hint="eastAsia"/>
          <w:b/>
          <w:sz w:val="32"/>
          <w:szCs w:val="18"/>
        </w:rPr>
        <w:t>重庆通力高速公路养护工程有限公司</w:t>
      </w:r>
    </w:p>
    <w:p>
      <w:pPr>
        <w:spacing w:line="360" w:lineRule="auto"/>
        <w:jc w:val="center"/>
        <w:rPr>
          <w:b/>
          <w:sz w:val="32"/>
          <w:szCs w:val="18"/>
        </w:rPr>
      </w:pPr>
      <w:r>
        <w:rPr>
          <w:rFonts w:hint="eastAsia"/>
          <w:b/>
          <w:sz w:val="32"/>
          <w:szCs w:val="18"/>
        </w:rPr>
        <w:t>重庆高速公路集团有限公司东北营运分公司隧道病害处治施工项目</w:t>
      </w:r>
    </w:p>
    <w:p>
      <w:pPr>
        <w:spacing w:line="360" w:lineRule="auto"/>
        <w:jc w:val="center"/>
        <w:rPr>
          <w:b/>
          <w:sz w:val="24"/>
          <w:szCs w:val="32"/>
        </w:rPr>
      </w:pPr>
      <w:r>
        <w:rPr>
          <w:rFonts w:hint="eastAsia"/>
          <w:b/>
          <w:sz w:val="32"/>
          <w:szCs w:val="18"/>
        </w:rPr>
        <w:t>商品混凝土（巫山段）材料采购合同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 xml:space="preserve">乙方：                                   </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sz w:val="24"/>
          <w:szCs w:val="24"/>
        </w:rPr>
        <w:t>重庆高速公路集团有限公司东北营运分公司隧道病害处治施工项目需要，协议向乙方购买商品混凝土一批；依照《中华人民共和国合同法》及其他有关法律、行政法规，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4"/>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p>
    <w:p>
      <w:pPr>
        <w:spacing w:line="360" w:lineRule="auto"/>
        <w:jc w:val="right"/>
        <w:textAlignment w:val="baseline"/>
        <w:rPr>
          <w:szCs w:val="21"/>
        </w:rPr>
      </w:pPr>
      <w:r>
        <w:rPr>
          <w:rFonts w:hint="eastAsia"/>
          <w:szCs w:val="21"/>
        </w:rPr>
        <w:t>货币单位：人民币   元</w:t>
      </w:r>
    </w:p>
    <w:tbl>
      <w:tblPr>
        <w:tblStyle w:val="7"/>
        <w:tblW w:w="1057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2256"/>
        <w:gridCol w:w="567"/>
        <w:gridCol w:w="709"/>
        <w:gridCol w:w="992"/>
        <w:gridCol w:w="992"/>
        <w:gridCol w:w="709"/>
        <w:gridCol w:w="992"/>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2256"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材料名称</w:t>
            </w:r>
          </w:p>
        </w:tc>
        <w:tc>
          <w:tcPr>
            <w:tcW w:w="567"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c>
          <w:tcPr>
            <w:tcW w:w="709" w:type="dxa"/>
            <w:shd w:val="clear" w:color="000000" w:fill="FFFFFF"/>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工程量</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不含税单价</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增值税税率</w:t>
            </w:r>
          </w:p>
        </w:tc>
        <w:tc>
          <w:tcPr>
            <w:tcW w:w="709"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含税单价</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不含税合价</w:t>
            </w:r>
          </w:p>
        </w:tc>
        <w:tc>
          <w:tcPr>
            <w:tcW w:w="709"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含税合价</w:t>
            </w:r>
          </w:p>
        </w:tc>
        <w:tc>
          <w:tcPr>
            <w:tcW w:w="2268"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1</w:t>
            </w:r>
          </w:p>
        </w:tc>
        <w:tc>
          <w:tcPr>
            <w:tcW w:w="2256" w:type="dxa"/>
            <w:shd w:val="clear" w:color="auto" w:fill="auto"/>
            <w:noWrap/>
            <w:vAlign w:val="center"/>
          </w:tcPr>
          <w:p>
            <w:pPr>
              <w:jc w:val="center"/>
              <w:rPr>
                <w:color w:val="000000"/>
                <w:sz w:val="22"/>
                <w:szCs w:val="22"/>
              </w:rPr>
            </w:pPr>
            <w:r>
              <w:rPr>
                <w:rFonts w:hint="eastAsia"/>
                <w:color w:val="000000"/>
                <w:sz w:val="22"/>
                <w:szCs w:val="22"/>
              </w:rPr>
              <w:t>C45防腐细石混凝土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75</w:t>
            </w:r>
          </w:p>
        </w:tc>
        <w:tc>
          <w:tcPr>
            <w:tcW w:w="992" w:type="dxa"/>
            <w:noWrap/>
            <w:vAlign w:val="center"/>
          </w:tcPr>
          <w:p>
            <w:pPr>
              <w:widowControl/>
              <w:jc w:val="center"/>
              <w:textAlignment w:val="center"/>
              <w:rPr>
                <w:rFonts w:eastAsia="仿宋"/>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仿宋"/>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restart"/>
            <w:vAlign w:val="center"/>
          </w:tcPr>
          <w:p>
            <w:pPr>
              <w:jc w:val="left"/>
              <w:rPr>
                <w:rFonts w:ascii="仿宋" w:hAnsi="仿宋" w:eastAsia="仿宋" w:cs="宋体"/>
                <w:color w:val="000000"/>
                <w:sz w:val="22"/>
                <w:szCs w:val="22"/>
              </w:rPr>
            </w:pPr>
            <w:r>
              <w:rPr>
                <w:rFonts w:hint="eastAsia" w:ascii="仿宋" w:hAnsi="仿宋" w:eastAsia="仿宋" w:cs="宋体"/>
                <w:color w:val="000000"/>
                <w:sz w:val="22"/>
                <w:szCs w:val="22"/>
              </w:rPr>
              <w:t>1、表中数量为折算损耗率后的暂定数量，具体数量以工程实施过程中实际供应为准。</w:t>
            </w:r>
          </w:p>
          <w:p>
            <w:pPr>
              <w:jc w:val="left"/>
              <w:rPr>
                <w:rFonts w:ascii="仿宋" w:hAnsi="仿宋" w:eastAsia="仿宋" w:cs="宋体"/>
                <w:color w:val="000000"/>
                <w:sz w:val="22"/>
                <w:szCs w:val="22"/>
              </w:rPr>
            </w:pPr>
            <w:r>
              <w:rPr>
                <w:rFonts w:hint="eastAsia" w:ascii="仿宋" w:hAnsi="仿宋" w:eastAsia="仿宋" w:cs="宋体"/>
                <w:color w:val="000000"/>
                <w:sz w:val="22"/>
                <w:szCs w:val="22"/>
              </w:rPr>
              <w:t>2、交货地点:巫奉高速马垭口隧道（1886m</w:t>
            </w:r>
            <w:r>
              <w:rPr>
                <w:rFonts w:ascii="Calibri" w:hAnsi="Calibri" w:eastAsia="仿宋" w:cs="Calibri"/>
                <w:color w:val="000000"/>
                <w:sz w:val="22"/>
                <w:szCs w:val="22"/>
              </w:rPr>
              <w:t>³</w:t>
            </w:r>
            <w:r>
              <w:rPr>
                <w:rFonts w:hint="eastAsia" w:ascii="仿宋" w:hAnsi="仿宋" w:eastAsia="仿宋" w:cs="仿宋"/>
                <w:color w:val="000000"/>
                <w:sz w:val="22"/>
                <w:szCs w:val="22"/>
              </w:rPr>
              <w:t>，巫山上道，草堂【高速运距</w:t>
            </w:r>
            <w:r>
              <w:rPr>
                <w:rFonts w:hint="eastAsia" w:ascii="仿宋" w:hAnsi="仿宋" w:eastAsia="仿宋" w:cs="宋体"/>
                <w:color w:val="000000"/>
                <w:sz w:val="22"/>
                <w:szCs w:val="22"/>
              </w:rPr>
              <w:t>30km】下道）。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2</w:t>
            </w:r>
          </w:p>
        </w:tc>
        <w:tc>
          <w:tcPr>
            <w:tcW w:w="2256" w:type="dxa"/>
            <w:shd w:val="clear" w:color="auto" w:fill="auto"/>
            <w:noWrap/>
            <w:vAlign w:val="center"/>
          </w:tcPr>
          <w:p>
            <w:pPr>
              <w:jc w:val="center"/>
              <w:rPr>
                <w:color w:val="000000"/>
                <w:sz w:val="22"/>
                <w:szCs w:val="22"/>
              </w:rPr>
            </w:pPr>
            <w:r>
              <w:rPr>
                <w:rFonts w:hint="eastAsia"/>
                <w:color w:val="000000"/>
                <w:sz w:val="22"/>
                <w:szCs w:val="22"/>
              </w:rPr>
              <w:t>C25防腐蚀混凝土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1136</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3</w:t>
            </w:r>
          </w:p>
        </w:tc>
        <w:tc>
          <w:tcPr>
            <w:tcW w:w="2256" w:type="dxa"/>
            <w:shd w:val="clear" w:color="auto" w:fill="auto"/>
            <w:noWrap/>
            <w:vAlign w:val="center"/>
          </w:tcPr>
          <w:p>
            <w:pPr>
              <w:jc w:val="center"/>
              <w:rPr>
                <w:color w:val="000000"/>
                <w:sz w:val="22"/>
                <w:szCs w:val="22"/>
              </w:rPr>
            </w:pPr>
            <w:r>
              <w:rPr>
                <w:rFonts w:hint="eastAsia"/>
                <w:color w:val="000000"/>
                <w:sz w:val="22"/>
                <w:szCs w:val="22"/>
              </w:rPr>
              <w:t>C35防腐蚀混凝土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8</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4</w:t>
            </w:r>
          </w:p>
        </w:tc>
        <w:tc>
          <w:tcPr>
            <w:tcW w:w="2256" w:type="dxa"/>
            <w:shd w:val="clear" w:color="auto" w:fill="auto"/>
            <w:noWrap/>
            <w:vAlign w:val="center"/>
          </w:tcPr>
          <w:p>
            <w:pPr>
              <w:jc w:val="center"/>
              <w:rPr>
                <w:color w:val="000000"/>
                <w:sz w:val="22"/>
                <w:szCs w:val="22"/>
              </w:rPr>
            </w:pPr>
            <w:r>
              <w:rPr>
                <w:rFonts w:hint="eastAsia"/>
                <w:color w:val="000000"/>
                <w:sz w:val="22"/>
                <w:szCs w:val="22"/>
              </w:rPr>
              <w:t>C40防腐蚀混凝土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566</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5</w:t>
            </w:r>
          </w:p>
        </w:tc>
        <w:tc>
          <w:tcPr>
            <w:tcW w:w="2256" w:type="dxa"/>
            <w:shd w:val="clear" w:color="auto" w:fill="auto"/>
            <w:noWrap/>
            <w:vAlign w:val="center"/>
          </w:tcPr>
          <w:p>
            <w:pPr>
              <w:jc w:val="center"/>
              <w:rPr>
                <w:color w:val="000000"/>
                <w:sz w:val="22"/>
                <w:szCs w:val="22"/>
              </w:rPr>
            </w:pPr>
            <w:r>
              <w:rPr>
                <w:rFonts w:hint="eastAsia"/>
                <w:color w:val="000000"/>
                <w:sz w:val="22"/>
                <w:szCs w:val="22"/>
              </w:rPr>
              <w:t>C20混凝土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14</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6</w:t>
            </w:r>
          </w:p>
        </w:tc>
        <w:tc>
          <w:tcPr>
            <w:tcW w:w="2256" w:type="dxa"/>
            <w:shd w:val="clear" w:color="auto" w:fill="auto"/>
            <w:noWrap/>
            <w:vAlign w:val="center"/>
          </w:tcPr>
          <w:p>
            <w:pPr>
              <w:jc w:val="center"/>
              <w:rPr>
                <w:color w:val="000000"/>
                <w:sz w:val="22"/>
                <w:szCs w:val="22"/>
              </w:rPr>
            </w:pPr>
            <w:r>
              <w:rPr>
                <w:rFonts w:hint="eastAsia"/>
                <w:color w:val="000000"/>
                <w:sz w:val="22"/>
                <w:szCs w:val="22"/>
              </w:rPr>
              <w:t>C30混凝土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87</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32" w:type="dxa"/>
            <w:gridSpan w:val="2"/>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合计</w:t>
            </w:r>
          </w:p>
        </w:tc>
        <w:tc>
          <w:tcPr>
            <w:tcW w:w="567" w:type="dxa"/>
            <w:shd w:val="clear" w:color="auto" w:fill="auto"/>
            <w:noWrap/>
            <w:vAlign w:val="center"/>
          </w:tcPr>
          <w:p>
            <w:pPr>
              <w:widowControl/>
              <w:jc w:val="center"/>
              <w:rPr>
                <w:rFonts w:ascii="仿宋" w:hAnsi="仿宋" w:eastAsia="仿宋" w:cs="宋体"/>
                <w:color w:val="000000"/>
                <w:kern w:val="0"/>
                <w:sz w:val="22"/>
                <w:szCs w:val="22"/>
              </w:rPr>
            </w:pPr>
            <w:r>
              <w:rPr>
                <w:rFonts w:hint="eastAsia"/>
                <w:color w:val="000000"/>
                <w:sz w:val="22"/>
                <w:szCs w:val="22"/>
              </w:rPr>
              <w:t>m³</w:t>
            </w:r>
          </w:p>
        </w:tc>
        <w:tc>
          <w:tcPr>
            <w:tcW w:w="709" w:type="dxa"/>
            <w:shd w:val="clear" w:color="000000" w:fill="FFFFFF"/>
            <w:noWrap/>
            <w:vAlign w:val="center"/>
          </w:tcPr>
          <w:p>
            <w:pPr>
              <w:widowControl/>
              <w:jc w:val="center"/>
              <w:rPr>
                <w:rFonts w:ascii="仿宋" w:hAnsi="仿宋" w:eastAsia="仿宋" w:cs="宋体"/>
                <w:color w:val="000000"/>
                <w:kern w:val="0"/>
                <w:sz w:val="22"/>
                <w:szCs w:val="22"/>
              </w:rPr>
            </w:pPr>
            <w:r>
              <w:rPr>
                <w:rFonts w:hint="eastAsia"/>
                <w:color w:val="000000"/>
                <w:sz w:val="22"/>
                <w:szCs w:val="22"/>
              </w:rPr>
              <w:t>1886</w:t>
            </w:r>
          </w:p>
        </w:tc>
        <w:tc>
          <w:tcPr>
            <w:tcW w:w="992" w:type="dxa"/>
            <w:noWrap/>
            <w:vAlign w:val="center"/>
          </w:tcPr>
          <w:p>
            <w:pPr>
              <w:widowControl/>
              <w:jc w:val="center"/>
              <w:rPr>
                <w:rFonts w:ascii="仿宋" w:hAnsi="仿宋" w:eastAsia="仿宋" w:cs="宋体"/>
                <w:color w:val="000000"/>
                <w:kern w:val="0"/>
                <w:sz w:val="22"/>
                <w:szCs w:val="22"/>
              </w:rPr>
            </w:pPr>
          </w:p>
        </w:tc>
        <w:tc>
          <w:tcPr>
            <w:tcW w:w="992" w:type="dxa"/>
            <w:noWrap/>
            <w:vAlign w:val="center"/>
          </w:tcPr>
          <w:p>
            <w:pPr>
              <w:widowControl/>
              <w:jc w:val="center"/>
              <w:rPr>
                <w:rFonts w:ascii="仿宋" w:hAnsi="仿宋" w:eastAsia="仿宋" w:cs="宋体"/>
                <w:color w:val="000000"/>
                <w:kern w:val="0"/>
                <w:sz w:val="22"/>
                <w:szCs w:val="22"/>
              </w:rPr>
            </w:pPr>
          </w:p>
        </w:tc>
        <w:tc>
          <w:tcPr>
            <w:tcW w:w="709" w:type="dxa"/>
            <w:noWrap/>
            <w:vAlign w:val="center"/>
          </w:tcPr>
          <w:p>
            <w:pPr>
              <w:widowControl/>
              <w:jc w:val="center"/>
              <w:rPr>
                <w:rFonts w:ascii="仿宋" w:hAnsi="仿宋" w:eastAsia="仿宋" w:cs="宋体"/>
                <w:color w:val="000000"/>
                <w:kern w:val="0"/>
                <w:sz w:val="22"/>
                <w:szCs w:val="22"/>
              </w:rPr>
            </w:pPr>
          </w:p>
        </w:tc>
        <w:tc>
          <w:tcPr>
            <w:tcW w:w="992" w:type="dxa"/>
            <w:noWrap/>
            <w:vAlign w:val="center"/>
          </w:tcPr>
          <w:p>
            <w:pPr>
              <w:widowControl/>
              <w:jc w:val="center"/>
              <w:textAlignment w:val="center"/>
              <w:rPr>
                <w:rFonts w:ascii="仿宋" w:hAnsi="仿宋" w:eastAsia="仿宋" w:cs="宋体"/>
                <w:color w:val="000000"/>
                <w:kern w:val="0"/>
                <w:sz w:val="22"/>
                <w:szCs w:val="22"/>
              </w:rPr>
            </w:pPr>
          </w:p>
        </w:tc>
        <w:tc>
          <w:tcPr>
            <w:tcW w:w="709" w:type="dxa"/>
            <w:noWrap/>
            <w:vAlign w:val="center"/>
          </w:tcPr>
          <w:p>
            <w:pPr>
              <w:widowControl/>
              <w:jc w:val="center"/>
              <w:textAlignment w:val="center"/>
              <w:rPr>
                <w:rFonts w:ascii="仿宋" w:hAnsi="仿宋" w:eastAsia="仿宋" w:cs="宋体"/>
                <w:color w:val="000000"/>
                <w:kern w:val="0"/>
                <w:sz w:val="22"/>
                <w:szCs w:val="22"/>
              </w:rPr>
            </w:pPr>
          </w:p>
        </w:tc>
        <w:tc>
          <w:tcPr>
            <w:tcW w:w="2268" w:type="dxa"/>
            <w:vMerge w:val="continue"/>
            <w:noWrap/>
            <w:vAlign w:val="center"/>
          </w:tcPr>
          <w:p>
            <w:pPr>
              <w:widowControl/>
              <w:jc w:val="left"/>
              <w:rPr>
                <w:rFonts w:ascii="仿宋" w:hAnsi="仿宋" w:eastAsia="仿宋" w:cs="宋体"/>
                <w:color w:val="000000"/>
                <w:kern w:val="0"/>
                <w:sz w:val="22"/>
                <w:szCs w:val="22"/>
              </w:rPr>
            </w:pPr>
          </w:p>
        </w:tc>
      </w:tr>
    </w:tbl>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1、本次采购数量为暂估量，材料单价为固定综合单价，最终数量以实际结算数量为准且满足国家及行业的相关技术规范标准(具体规格型号以甲方实际要求为准)。合同总金额为人民币（大写）</w:t>
      </w:r>
      <w:r>
        <w:rPr>
          <w:rFonts w:hint="eastAsia" w:ascii="宋体" w:hAnsi="宋体" w:cs="宋体"/>
          <w:color w:val="FF0000"/>
          <w:sz w:val="24"/>
          <w:szCs w:val="24"/>
          <w:u w:val="single"/>
        </w:rPr>
        <w:t xml:space="preserve">           </w:t>
      </w:r>
      <w:r>
        <w:rPr>
          <w:rFonts w:hint="eastAsia" w:ascii="宋体" w:hAnsi="宋体" w:cs="宋体"/>
          <w:sz w:val="24"/>
          <w:szCs w:val="24"/>
        </w:rPr>
        <w:t>元（小写：¥</w:t>
      </w:r>
      <w:r>
        <w:rPr>
          <w:rFonts w:hint="eastAsia" w:ascii="宋体" w:hAnsi="宋体" w:cs="宋体"/>
          <w:color w:val="FF0000"/>
          <w:sz w:val="24"/>
          <w:szCs w:val="24"/>
          <w:u w:val="single"/>
        </w:rPr>
        <w:t xml:space="preserve">           </w:t>
      </w:r>
      <w:r>
        <w:rPr>
          <w:rFonts w:hint="eastAsia" w:ascii="宋体" w:hAnsi="宋体" w:cs="宋体"/>
          <w:sz w:val="24"/>
          <w:szCs w:val="24"/>
        </w:rPr>
        <w:t>元）（含增值税），其中不含税金额</w:t>
      </w:r>
      <w:r>
        <w:rPr>
          <w:rFonts w:hint="eastAsia" w:ascii="宋体" w:hAnsi="宋体" w:cs="宋体"/>
          <w:color w:val="FF0000"/>
          <w:sz w:val="24"/>
          <w:szCs w:val="24"/>
          <w:u w:val="single"/>
        </w:rPr>
        <w:t xml:space="preserve">           </w:t>
      </w:r>
      <w:r>
        <w:rPr>
          <w:rFonts w:hint="eastAsia" w:ascii="宋体" w:hAnsi="宋体" w:cs="宋体"/>
          <w:sz w:val="24"/>
          <w:szCs w:val="24"/>
        </w:rPr>
        <w:t>元，增值税税额为小写¥</w:t>
      </w:r>
      <w:r>
        <w:rPr>
          <w:rFonts w:hint="eastAsia" w:ascii="宋体" w:hAnsi="宋体" w:cs="宋体"/>
          <w:color w:val="FF0000"/>
          <w:sz w:val="24"/>
          <w:szCs w:val="24"/>
          <w:u w:val="single"/>
        </w:rPr>
        <w:t xml:space="preserve">           </w:t>
      </w:r>
      <w:r>
        <w:rPr>
          <w:rFonts w:hint="eastAsia" w:ascii="宋体" w:hAnsi="宋体" w:cs="宋体"/>
          <w:sz w:val="24"/>
          <w:szCs w:val="24"/>
        </w:rPr>
        <w:t>元，税率</w:t>
      </w:r>
      <w:r>
        <w:rPr>
          <w:rFonts w:hint="eastAsia" w:ascii="宋体" w:hAnsi="宋体" w:cs="宋体"/>
          <w:color w:val="FF0000"/>
          <w:sz w:val="24"/>
          <w:szCs w:val="24"/>
          <w:u w:val="single"/>
        </w:rPr>
        <w:t xml:space="preserve">           </w:t>
      </w:r>
      <w:r>
        <w:rPr>
          <w:rFonts w:hint="eastAsia" w:ascii="宋体" w:hAnsi="宋体" w:cs="宋体"/>
          <w:sz w:val="24"/>
          <w:szCs w:val="24"/>
        </w:rPr>
        <w:t>%。最终实际结算金额=不含税总价+增值税税额（实际开票税额）。</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表中含税单价为含税到场价（包含运输费、材料费、保险、税金、通行费、合理损耗、间接费、运杂费、利润、规费、物价上涨、安全措施费、装卸费等在内的各种费用以及合同明示或暗示的所有责任、义务和一般风险）。</w:t>
      </w:r>
    </w:p>
    <w:p>
      <w:pPr>
        <w:spacing w:line="360" w:lineRule="auto"/>
        <w:ind w:firstLine="480" w:firstLineChars="200"/>
        <w:textAlignment w:val="baseline"/>
        <w:rPr>
          <w:sz w:val="24"/>
          <w:szCs w:val="24"/>
        </w:rPr>
      </w:pPr>
      <w:r>
        <w:rPr>
          <w:sz w:val="24"/>
          <w:szCs w:val="24"/>
        </w:rPr>
        <w:t>3</w:t>
      </w:r>
      <w:r>
        <w:rPr>
          <w:rFonts w:hint="eastAsia"/>
          <w:sz w:val="24"/>
          <w:szCs w:val="24"/>
        </w:rPr>
        <w:t>、 乙方指定经办人：</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r>
        <w:rPr>
          <w:rFonts w:hint="eastAsia"/>
          <w:sz w:val="24"/>
          <w:szCs w:val="24"/>
        </w:rPr>
        <w:t>；邮箱：</w:t>
      </w:r>
      <w:r>
        <w:rPr>
          <w:rFonts w:hint="eastAsia"/>
          <w:sz w:val="24"/>
          <w:szCs w:val="24"/>
          <w:u w:val="single"/>
        </w:rPr>
        <w:t xml:space="preserve">              </w:t>
      </w:r>
      <w:r>
        <w:rPr>
          <w:rFonts w:hint="eastAsia"/>
          <w:sz w:val="24"/>
          <w:szCs w:val="24"/>
          <w:u w:val="none"/>
          <w:lang w:eastAsia="zh-CN"/>
        </w:rPr>
        <w:t>）</w:t>
      </w:r>
      <w:r>
        <w:rPr>
          <w:rFonts w:hint="eastAsia"/>
          <w:sz w:val="24"/>
          <w:szCs w:val="24"/>
        </w:rPr>
        <w:t>全权代表乙方负责处理本合同项下各项事务，包括但不限于接收订单、与甲方沟通供货事宜、办理结算等，甲方向本条约定的联系方式发送订单，视为乙方已收到。</w:t>
      </w:r>
    </w:p>
    <w:p>
      <w:pPr>
        <w:spacing w:line="360" w:lineRule="auto"/>
        <w:ind w:firstLine="482" w:firstLineChars="200"/>
        <w:rPr>
          <w:rFonts w:ascii="宋体" w:hAnsi="宋体" w:cs="宋体"/>
          <w:sz w:val="24"/>
          <w:szCs w:val="24"/>
        </w:rPr>
      </w:pPr>
      <w:r>
        <w:rPr>
          <w:rFonts w:hint="eastAsia"/>
          <w:b/>
          <w:sz w:val="24"/>
          <w:szCs w:val="24"/>
        </w:rPr>
        <w:t>二、质量要求、技术标准</w:t>
      </w:r>
    </w:p>
    <w:p>
      <w:pPr>
        <w:spacing w:line="360" w:lineRule="auto"/>
        <w:ind w:firstLine="480" w:firstLineChars="200"/>
        <w:textAlignment w:val="baseline"/>
        <w:rPr>
          <w:sz w:val="24"/>
          <w:szCs w:val="24"/>
        </w:rPr>
      </w:pPr>
      <w:r>
        <w:rPr>
          <w:rFonts w:hint="eastAsia"/>
          <w:sz w:val="24"/>
          <w:szCs w:val="24"/>
        </w:rPr>
        <w:t>防腐混凝土采用强度等级为42.5级中抗硫酸盐水泥或普通硅酸盐水泥配置的抗硫酸盐腐蚀混凝土，混凝土最大水胶比为0.4、最小胶凝材料用量为340kg/m3、最大胶凝材料用量不宜超过450kg/m3；抗腐剂掺量</w:t>
      </w:r>
      <w:r>
        <w:rPr>
          <w:sz w:val="24"/>
          <w:szCs w:val="24"/>
        </w:rPr>
        <w:t>3</w:t>
      </w:r>
      <w:r>
        <w:rPr>
          <w:rFonts w:hint="eastAsia"/>
          <w:sz w:val="24"/>
          <w:szCs w:val="24"/>
        </w:rPr>
        <w:t>~</w:t>
      </w:r>
      <w:r>
        <w:rPr>
          <w:sz w:val="24"/>
          <w:szCs w:val="24"/>
        </w:rPr>
        <w:t>6</w:t>
      </w:r>
      <w:r>
        <w:rPr>
          <w:rFonts w:hint="eastAsia"/>
          <w:sz w:val="24"/>
          <w:szCs w:val="24"/>
        </w:rPr>
        <w:t>%，可选用JQ-H高效防腐剂、YBQK防腐剂、SA-100A抗硫酸盐侵蚀防护剂、BDY型混凝土抗硫酸盐类侵蚀防腐剂等，所选防腐剂物理化学性能指标需满足表10.1-1要求，且满足《混凝土抗侵蚀防腐剂》（JC/T 1011-2021）的相关要求。</w:t>
      </w:r>
    </w:p>
    <w:p>
      <w:pPr>
        <w:spacing w:line="360" w:lineRule="exact"/>
        <w:jc w:val="center"/>
        <w:outlineLvl w:val="0"/>
        <w:rPr>
          <w:sz w:val="24"/>
          <w:szCs w:val="24"/>
        </w:rPr>
      </w:pPr>
      <w:r>
        <w:rPr>
          <w:rFonts w:hint="eastAsia"/>
          <w:sz w:val="24"/>
          <w:szCs w:val="24"/>
        </w:rPr>
        <w:t>表10.1-1</w:t>
      </w:r>
      <w:r>
        <w:rPr>
          <w:sz w:val="24"/>
          <w:szCs w:val="24"/>
        </w:rPr>
        <w:t xml:space="preserve"> </w:t>
      </w:r>
      <w:r>
        <w:rPr>
          <w:rFonts w:hint="eastAsia"/>
          <w:sz w:val="24"/>
          <w:szCs w:val="24"/>
        </w:rPr>
        <w:t>混凝土抗侵蚀防腐剂物理性能指标要求</w:t>
      </w:r>
    </w:p>
    <w:p>
      <w:pPr>
        <w:pStyle w:val="10"/>
        <w:jc w:val="center"/>
      </w:pPr>
      <w:r>
        <w:drawing>
          <wp:inline distT="0" distB="0" distL="0" distR="0">
            <wp:extent cx="4427220" cy="2025015"/>
            <wp:effectExtent l="0" t="0" r="0" b="0"/>
            <wp:docPr id="1684432746" name="图片 168443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2746" name="图片 1684432746"/>
                    <pic:cNvPicPr>
                      <a:picLocks noChangeAspect="1"/>
                    </pic:cNvPicPr>
                  </pic:nvPicPr>
                  <pic:blipFill>
                    <a:blip r:embed="rId8"/>
                    <a:stretch>
                      <a:fillRect/>
                    </a:stretch>
                  </pic:blipFill>
                  <pic:spPr>
                    <a:xfrm>
                      <a:off x="0" y="0"/>
                      <a:ext cx="4458097" cy="2039342"/>
                    </a:xfrm>
                    <a:prstGeom prst="rect">
                      <a:avLst/>
                    </a:prstGeom>
                  </pic:spPr>
                </pic:pic>
              </a:graphicData>
            </a:graphic>
          </wp:inline>
        </w:drawing>
      </w:r>
    </w:p>
    <w:p>
      <w:pPr>
        <w:spacing w:line="360" w:lineRule="auto"/>
        <w:ind w:firstLine="480" w:firstLineChars="200"/>
        <w:textAlignment w:val="baseline"/>
        <w:rPr>
          <w:sz w:val="24"/>
          <w:szCs w:val="24"/>
        </w:rPr>
      </w:pPr>
      <w:r>
        <w:rPr>
          <w:rFonts w:hint="eastAsia"/>
          <w:sz w:val="24"/>
          <w:szCs w:val="24"/>
        </w:rPr>
        <w:t>（</w:t>
      </w:r>
      <w:r>
        <w:rPr>
          <w:sz w:val="24"/>
          <w:szCs w:val="24"/>
        </w:rPr>
        <w:t>1</w:t>
      </w:r>
      <w:r>
        <w:rPr>
          <w:rFonts w:hint="eastAsia"/>
          <w:sz w:val="24"/>
          <w:szCs w:val="24"/>
        </w:rPr>
        <w:t>）混凝土材料要求</w:t>
      </w:r>
    </w:p>
    <w:p>
      <w:pPr>
        <w:spacing w:line="360" w:lineRule="auto"/>
        <w:ind w:firstLine="480" w:firstLineChars="200"/>
        <w:textAlignment w:val="baseline"/>
        <w:rPr>
          <w:sz w:val="24"/>
          <w:szCs w:val="24"/>
        </w:rPr>
      </w:pPr>
      <w:r>
        <w:rPr>
          <w:rFonts w:hint="eastAsia"/>
          <w:sz w:val="24"/>
          <w:szCs w:val="24"/>
        </w:rPr>
        <w:t>1）应选用质量稳定、低水化热和碱含量低的中抗硫酸盐硅酸盐水泥或普通硅酸盐水泥，尽可能避免使用早强水泥和C3A 含量偏高的水泥。硅酸盐水泥或普通硅酸盐水泥的细度不宜超过350m2/kg，水泥中铝酸三钙(C3A)含量不宜超过8%，水泥的碱含量（根据《通用硅酸盐水泥标准》（GB175-2020），碱含量按Na20+0.658K2O 量计）不宜超过0.6%；</w:t>
      </w:r>
    </w:p>
    <w:p>
      <w:pPr>
        <w:spacing w:line="360" w:lineRule="auto"/>
        <w:ind w:firstLine="480" w:firstLineChars="200"/>
        <w:textAlignment w:val="baseline"/>
        <w:rPr>
          <w:sz w:val="24"/>
          <w:szCs w:val="24"/>
        </w:rPr>
      </w:pPr>
      <w:r>
        <w:rPr>
          <w:rFonts w:hint="eastAsia"/>
          <w:sz w:val="24"/>
          <w:szCs w:val="24"/>
        </w:rPr>
        <w:t>2）选用质地坚硬、级配良好、粒径合格、吸水率低、颗粒洁净、有害杂质含量少、无碱活性的粗、细集料，基本技术指标应按现行标准《公路桥涵施工技术规范》（JTG/T 3650-2020）的相关要求执行；</w:t>
      </w:r>
    </w:p>
    <w:p>
      <w:pPr>
        <w:spacing w:line="360" w:lineRule="auto"/>
        <w:ind w:firstLine="480" w:firstLineChars="200"/>
        <w:textAlignment w:val="baseline"/>
        <w:rPr>
          <w:sz w:val="24"/>
          <w:szCs w:val="24"/>
        </w:rPr>
      </w:pPr>
      <w:r>
        <w:rPr>
          <w:rFonts w:hint="eastAsia"/>
          <w:sz w:val="24"/>
          <w:szCs w:val="24"/>
        </w:rPr>
        <w:t>3）粗集料的最大公称粒径不应超过结构最小边尺寸的1/4 和钢筋最小净距的3/4；在两层或多层密布钢筋结构中，不应超过钢筋最小净距的1/2；</w:t>
      </w:r>
    </w:p>
    <w:p>
      <w:pPr>
        <w:spacing w:line="360" w:lineRule="auto"/>
        <w:ind w:firstLine="480" w:firstLineChars="200"/>
        <w:textAlignment w:val="baseline"/>
        <w:rPr>
          <w:sz w:val="24"/>
          <w:szCs w:val="24"/>
        </w:rPr>
      </w:pPr>
      <w:r>
        <w:rPr>
          <w:rFonts w:hint="eastAsia"/>
          <w:sz w:val="24"/>
          <w:szCs w:val="24"/>
        </w:rPr>
        <w:t>4）混凝土用水应清洁，不应采用污水或pH 值小于6 的酸性水，混凝土用水中不应含有影响水泥正常凝结与硬化的有害杂质、油脂、糖类及游离酸类，相关指标符合《公路桥涵施工技术规范》（JTG/T 3650-2020）的相关规定；</w:t>
      </w:r>
    </w:p>
    <w:p>
      <w:pPr>
        <w:spacing w:line="360" w:lineRule="auto"/>
        <w:ind w:firstLine="480" w:firstLineChars="200"/>
        <w:textAlignment w:val="baseline"/>
        <w:rPr>
          <w:sz w:val="24"/>
          <w:szCs w:val="24"/>
        </w:rPr>
      </w:pPr>
      <w:r>
        <w:rPr>
          <w:rFonts w:hint="eastAsia"/>
          <w:sz w:val="24"/>
          <w:szCs w:val="24"/>
        </w:rPr>
        <w:t>5）外加剂应根据使用目的和混凝土性能、原材料性能、施工条件、配合比等因素，选择适宜外加剂，并通过试验及技术经济比较确定用量；当不同品种外加剂复合使用时，应事先通过试验验证其相容性及对混凝土性能的影响；各种外加剂中的氯离子总含量不宜大于混凝土中胶凝材料总质量的0.02%，硫酸钠含量不宜大于减水剂干重的15%；防冻剂中的氯离子含量不应大于0.1%；</w:t>
      </w:r>
    </w:p>
    <w:p>
      <w:pPr>
        <w:spacing w:line="360" w:lineRule="auto"/>
        <w:ind w:firstLine="480" w:firstLineChars="200"/>
        <w:textAlignment w:val="baseline"/>
        <w:rPr>
          <w:sz w:val="24"/>
          <w:szCs w:val="24"/>
        </w:rPr>
      </w:pPr>
      <w:r>
        <w:rPr>
          <w:rFonts w:hint="eastAsia"/>
          <w:sz w:val="24"/>
          <w:szCs w:val="24"/>
        </w:rPr>
        <w:t>6）为避免混凝土可能发生的碱-骨料反应、钙矾石延迟反应和软水对混凝土的溶蚀，对骨料无活性的条件下，混凝土含碱量不得大于3kg/m3；对骨料有活性的条件下，应严格控制混凝土含碱量并掺加矿物掺合料。</w:t>
      </w:r>
    </w:p>
    <w:p>
      <w:pPr>
        <w:spacing w:line="360" w:lineRule="auto"/>
        <w:ind w:firstLine="480" w:firstLineChars="200"/>
        <w:textAlignment w:val="baseline"/>
        <w:rPr>
          <w:sz w:val="24"/>
          <w:szCs w:val="24"/>
        </w:rPr>
      </w:pPr>
      <w:r>
        <w:rPr>
          <w:rFonts w:hint="eastAsia"/>
          <w:sz w:val="24"/>
          <w:szCs w:val="24"/>
        </w:rPr>
        <w:t>（</w:t>
      </w:r>
      <w:r>
        <w:rPr>
          <w:sz w:val="24"/>
          <w:szCs w:val="24"/>
        </w:rPr>
        <w:t>2</w:t>
      </w:r>
      <w:r>
        <w:rPr>
          <w:rFonts w:hint="eastAsia"/>
          <w:sz w:val="24"/>
          <w:szCs w:val="24"/>
        </w:rPr>
        <w:t>）矿物掺合料应符合下列规定：</w:t>
      </w:r>
    </w:p>
    <w:p>
      <w:pPr>
        <w:spacing w:line="360" w:lineRule="auto"/>
        <w:ind w:firstLine="480" w:firstLineChars="200"/>
        <w:textAlignment w:val="baseline"/>
        <w:rPr>
          <w:sz w:val="24"/>
          <w:szCs w:val="24"/>
        </w:rPr>
      </w:pPr>
      <w:r>
        <w:rPr>
          <w:rFonts w:hint="eastAsia"/>
          <w:sz w:val="24"/>
          <w:szCs w:val="24"/>
        </w:rPr>
        <w:t>1）宜综使用优质粉煤灰、磨细矿渣矿物掺合料或复合矿物掺合料；</w:t>
      </w:r>
    </w:p>
    <w:p>
      <w:pPr>
        <w:spacing w:line="360" w:lineRule="auto"/>
        <w:ind w:firstLine="480" w:firstLineChars="200"/>
        <w:textAlignment w:val="baseline"/>
        <w:rPr>
          <w:sz w:val="24"/>
          <w:szCs w:val="24"/>
        </w:rPr>
      </w:pPr>
      <w:r>
        <w:rPr>
          <w:rFonts w:hint="eastAsia"/>
          <w:sz w:val="24"/>
          <w:szCs w:val="24"/>
        </w:rPr>
        <w:t>2）矿物掺合料中的碱含量应以其中的可溶性碱计算，按试样中碱的溶出量试验确定；当无检测条件时，对于粉煤灰，应以其总碱量的1/6 计算粉煤灰中的可溶性碱，对于矿渣，以总碱量的1/2 计算；</w:t>
      </w:r>
    </w:p>
    <w:p>
      <w:pPr>
        <w:spacing w:line="360" w:lineRule="auto"/>
        <w:ind w:firstLine="480" w:firstLineChars="200"/>
        <w:textAlignment w:val="baseline"/>
        <w:rPr>
          <w:sz w:val="24"/>
          <w:szCs w:val="24"/>
        </w:rPr>
      </w:pPr>
      <w:r>
        <w:rPr>
          <w:rFonts w:hint="eastAsia"/>
          <w:sz w:val="24"/>
          <w:szCs w:val="24"/>
        </w:rPr>
        <w:t>3）公路工程混凝土结构宜采用F 类I 级或II 级粉煤灰。对普通钢筋混凝土，粉煤灰烧失量不宜大于8%；需水量比不宜大于105%；I 级粉煤灰的45μm 方孔筛筛余不宜大于12%，II 级粉煤灰的筛余量不宜大于20%。粉煤灰其他相关技术指标应符合现行国家标准《用于水泥和混凝土中的粉煤灰》（GB/T 1596-2017）的规定；</w:t>
      </w:r>
    </w:p>
    <w:p>
      <w:pPr>
        <w:spacing w:line="360" w:lineRule="auto"/>
        <w:ind w:firstLine="480" w:firstLineChars="200"/>
        <w:textAlignment w:val="baseline"/>
        <w:rPr>
          <w:sz w:val="24"/>
          <w:szCs w:val="24"/>
        </w:rPr>
      </w:pPr>
      <w:r>
        <w:rPr>
          <w:sz w:val="24"/>
          <w:szCs w:val="24"/>
        </w:rPr>
        <w:t>4</w:t>
      </w:r>
      <w:r>
        <w:rPr>
          <w:rFonts w:hint="eastAsia"/>
          <w:sz w:val="24"/>
          <w:szCs w:val="24"/>
        </w:rPr>
        <w:t>）磨细高炉矿渣的比表面积宜为</w:t>
      </w:r>
      <w:r>
        <w:rPr>
          <w:sz w:val="24"/>
          <w:szCs w:val="24"/>
        </w:rPr>
        <w:t>350~450m2/kg</w:t>
      </w:r>
      <w:r>
        <w:rPr>
          <w:rFonts w:hint="eastAsia"/>
          <w:sz w:val="24"/>
          <w:szCs w:val="24"/>
        </w:rPr>
        <w:t>，需水量比不宜大于</w:t>
      </w:r>
      <w:r>
        <w:rPr>
          <w:sz w:val="24"/>
          <w:szCs w:val="24"/>
        </w:rPr>
        <w:t>100%</w:t>
      </w:r>
      <w:r>
        <w:rPr>
          <w:rFonts w:hint="eastAsia"/>
          <w:sz w:val="24"/>
          <w:szCs w:val="24"/>
        </w:rPr>
        <w:t>，烧失量不应大于</w:t>
      </w:r>
      <w:r>
        <w:rPr>
          <w:sz w:val="24"/>
          <w:szCs w:val="24"/>
        </w:rPr>
        <w:t>3%</w:t>
      </w:r>
      <w:r>
        <w:rPr>
          <w:rFonts w:hint="eastAsia"/>
          <w:sz w:val="24"/>
          <w:szCs w:val="24"/>
        </w:rPr>
        <w:t>，此外氯离子含量不应大于</w:t>
      </w:r>
      <w:r>
        <w:rPr>
          <w:sz w:val="24"/>
          <w:szCs w:val="24"/>
        </w:rPr>
        <w:t>0.02%</w:t>
      </w:r>
      <w:r>
        <w:rPr>
          <w:rFonts w:hint="eastAsia"/>
          <w:sz w:val="24"/>
          <w:szCs w:val="24"/>
        </w:rPr>
        <w:t>。其他相关技术指标应按现行标准《公路桥涵施工技术规范》（</w:t>
      </w:r>
      <w:r>
        <w:rPr>
          <w:sz w:val="24"/>
          <w:szCs w:val="24"/>
        </w:rPr>
        <w:t>JTG/T 3650-2020</w:t>
      </w:r>
      <w:r>
        <w:rPr>
          <w:rFonts w:hint="eastAsia"/>
          <w:sz w:val="24"/>
          <w:szCs w:val="24"/>
        </w:rPr>
        <w:t>）的相关要求执行。</w:t>
      </w:r>
    </w:p>
    <w:p>
      <w:pPr>
        <w:spacing w:line="360" w:lineRule="auto"/>
        <w:ind w:firstLine="480" w:firstLineChars="200"/>
        <w:textAlignment w:val="baseline"/>
        <w:rPr>
          <w:sz w:val="24"/>
          <w:szCs w:val="24"/>
        </w:rPr>
      </w:pPr>
      <w:r>
        <w:rPr>
          <w:rFonts w:hint="eastAsia"/>
          <w:sz w:val="24"/>
          <w:szCs w:val="24"/>
        </w:rPr>
        <w:t>（3）混凝土的抗压、抗拉强度、弹性模量，以及抗硫酸盐结晶破坏等级（混凝土抗压强度耐蚀系数下降到不低于75%时的最大干湿循环次数KS）等指标必须满足相应强度等级的混凝土的要求。</w:t>
      </w:r>
    </w:p>
    <w:p>
      <w:pPr>
        <w:spacing w:line="360" w:lineRule="auto"/>
        <w:ind w:firstLine="482" w:firstLineChars="200"/>
        <w:textAlignment w:val="baseline"/>
        <w:rPr>
          <w:b/>
          <w:bCs/>
          <w:sz w:val="24"/>
          <w:szCs w:val="24"/>
        </w:rPr>
      </w:pPr>
      <w:r>
        <w:rPr>
          <w:rFonts w:hint="eastAsia"/>
          <w:b/>
          <w:bCs/>
          <w:sz w:val="24"/>
          <w:szCs w:val="24"/>
        </w:rPr>
        <w:t>乙方提供的商品预拌砼需附原材料检测报告（含合格证）及每批次商品预拌砼的生产厂家提供的有检测资质单位出具的配合比报告【需原材料检测报告2份（加盖检测单位章及乙方鲜章），配合比报告2份（加盖检测单位章及乙方鲜章），自检合格报告2份（加盖检测单位鲜章）】。</w:t>
      </w:r>
    </w:p>
    <w:p>
      <w:pPr>
        <w:spacing w:line="360" w:lineRule="auto"/>
        <w:ind w:firstLine="480" w:firstLineChars="200"/>
        <w:textAlignment w:val="baseline"/>
        <w:rPr>
          <w:sz w:val="24"/>
          <w:szCs w:val="24"/>
        </w:rPr>
      </w:pPr>
      <w:r>
        <w:rPr>
          <w:rFonts w:hint="eastAsia"/>
          <w:sz w:val="24"/>
          <w:szCs w:val="24"/>
        </w:rPr>
        <w:t>（4）甲方应按照</w:t>
      </w:r>
      <w:r>
        <w:rPr>
          <w:sz w:val="24"/>
          <w:szCs w:val="24"/>
        </w:rPr>
        <w:t>《混凝土质量控制标准》GB 50164-2011</w:t>
      </w:r>
      <w:r>
        <w:rPr>
          <w:rFonts w:hint="eastAsia"/>
          <w:sz w:val="24"/>
          <w:szCs w:val="24"/>
        </w:rPr>
        <w:t>，《预拌混凝土质量控制标准》（DBJ50/T-038-2018）进行操作，预拌砼试件必须进行标准制作和标准养护，如未按要求操作造成质量问题由甲方负责。</w:t>
      </w:r>
    </w:p>
    <w:p>
      <w:pPr>
        <w:spacing w:line="360" w:lineRule="auto"/>
        <w:ind w:firstLine="480" w:firstLineChars="200"/>
        <w:textAlignment w:val="baseline"/>
        <w:rPr>
          <w:sz w:val="24"/>
          <w:szCs w:val="24"/>
        </w:rPr>
      </w:pPr>
      <w:r>
        <w:rPr>
          <w:rFonts w:hint="eastAsia"/>
          <w:sz w:val="24"/>
          <w:szCs w:val="24"/>
        </w:rPr>
        <w:t>（5）如产品出现质量问题，甲方可在发现问题后10个工作日内向乙方提出异议。甲方未在上述期限内提出异议的，不免除乙方的质量保证责任。</w:t>
      </w:r>
    </w:p>
    <w:p>
      <w:pPr>
        <w:spacing w:line="360" w:lineRule="auto"/>
        <w:ind w:firstLine="480" w:firstLineChars="200"/>
        <w:textAlignment w:val="baseline"/>
        <w:rPr>
          <w:sz w:val="24"/>
          <w:szCs w:val="24"/>
        </w:rPr>
      </w:pPr>
      <w:r>
        <w:rPr>
          <w:rFonts w:hint="eastAsia"/>
          <w:sz w:val="24"/>
          <w:szCs w:val="24"/>
        </w:rPr>
        <w:t>（6）材料运输：本合同约定的材料价格为比选人指定位置的到场单价，材料运输的安全由乙方负责，因材料运输超限等引起的全部后果、责任均由乙方承担。乙方必须保证安全、及时供货，甲方不承担由此造成的安全责任及相应费用。</w:t>
      </w:r>
    </w:p>
    <w:p>
      <w:pPr>
        <w:spacing w:line="360" w:lineRule="auto"/>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1、甲方所采购的商品混凝土由乙方以</w:t>
      </w:r>
      <w:r>
        <w:rPr>
          <w:rFonts w:hint="eastAsia"/>
          <w:b/>
          <w:bCs/>
          <w:sz w:val="24"/>
          <w:szCs w:val="24"/>
          <w:u w:val="single"/>
        </w:rPr>
        <w:t>混凝土罐车</w:t>
      </w:r>
      <w:r>
        <w:rPr>
          <w:rFonts w:hint="eastAsia"/>
          <w:sz w:val="24"/>
          <w:szCs w:val="24"/>
        </w:rPr>
        <w:t>运至甲方指定位置：</w:t>
      </w:r>
      <w:r>
        <w:rPr>
          <w:rFonts w:hint="eastAsia"/>
          <w:b/>
          <w:bCs/>
          <w:sz w:val="24"/>
          <w:szCs w:val="24"/>
          <w:u w:val="single"/>
        </w:rPr>
        <w:t>巫奉高速马垭口隧道</w:t>
      </w:r>
      <w:r>
        <w:rPr>
          <w:rFonts w:hint="eastAsia"/>
          <w:sz w:val="24"/>
          <w:szCs w:val="24"/>
        </w:rPr>
        <w:t>。</w:t>
      </w:r>
    </w:p>
    <w:p>
      <w:pPr>
        <w:spacing w:line="360" w:lineRule="auto"/>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360" w:lineRule="auto"/>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360" w:lineRule="auto"/>
        <w:ind w:firstLine="480" w:firstLineChars="200"/>
        <w:textAlignment w:val="baseline"/>
        <w:rPr>
          <w:sz w:val="24"/>
          <w:szCs w:val="24"/>
        </w:rPr>
      </w:pPr>
      <w:r>
        <w:rPr>
          <w:rFonts w:hint="eastAsia"/>
          <w:sz w:val="24"/>
          <w:szCs w:val="24"/>
        </w:rPr>
        <w:t>4、乙方所供应的商品混凝土经甲方对外观初步验收合格后收货。在转运过程中，乙方必须采取有效措施避免材料的二次污染或受损，否则，甲方有权拒绝收货或要求退货。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rPr>
          <w:rFonts w:ascii="宋体" w:hAnsi="宋体" w:cs="宋体"/>
          <w:sz w:val="24"/>
          <w:szCs w:val="24"/>
        </w:rPr>
      </w:pPr>
      <w:r>
        <w:rPr>
          <w:rFonts w:hint="eastAsia" w:ascii="宋体" w:hAnsi="宋体" w:cs="宋体"/>
          <w:sz w:val="24"/>
          <w:szCs w:val="24"/>
        </w:rPr>
        <w:t>本合同约定的材料价格为甲方指定位置的到场单价。材料运输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480" w:lineRule="exact"/>
        <w:ind w:firstLine="470" w:firstLineChars="196"/>
        <w:rPr>
          <w:sz w:val="24"/>
          <w:szCs w:val="24"/>
        </w:rPr>
      </w:pPr>
      <w:r>
        <w:rPr>
          <w:rFonts w:hint="eastAsia"/>
          <w:sz w:val="24"/>
          <w:szCs w:val="24"/>
        </w:rPr>
        <w:t>1、商品混凝土供应量按乙方运到施工现场，</w:t>
      </w:r>
      <w:r>
        <w:rPr>
          <w:rFonts w:hint="eastAsia" w:ascii="宋体" w:hAnsi="宋体"/>
          <w:sz w:val="24"/>
        </w:rPr>
        <w:t>并经甲方</w:t>
      </w:r>
      <w:r>
        <w:rPr>
          <w:rFonts w:hint="eastAsia"/>
          <w:sz w:val="24"/>
          <w:szCs w:val="24"/>
        </w:rPr>
        <w:t>实际签证的供货小票或磅单计算，以体积计量，以立方米为计量单位。</w:t>
      </w:r>
    </w:p>
    <w:p>
      <w:pPr>
        <w:spacing w:line="480" w:lineRule="exact"/>
        <w:ind w:firstLine="470" w:firstLineChars="196"/>
        <w:textAlignment w:val="baseline"/>
      </w:pPr>
      <w:r>
        <w:rPr>
          <w:rFonts w:hint="eastAsia"/>
          <w:sz w:val="24"/>
          <w:szCs w:val="24"/>
        </w:rPr>
        <w:t>2、甲方可随时对乙方的砼运输车实际装载量过磅抽检，若抽检中发现误差超过国家计量允许范围（±2%）(具体按</w:t>
      </w:r>
      <w:r>
        <w:fldChar w:fldCharType="begin"/>
      </w:r>
      <w:r>
        <w:instrText xml:space="preserve"> HYPERLINK "http://www.baidu.com/s?wd=%E3%80%8A%E9%A2%84%E6%8B%8C%E6%B7%B7%E5%87%9D%E5%9C%9F%E3%80%8B&amp;tn=SE_PcZhidaonwhc_ngpagmjz&amp;rsv_dl=gh_pc_zhidao" \t "https://zhidao.baidu.com/question/_blank" </w:instrText>
      </w:r>
      <w:r>
        <w:fldChar w:fldCharType="separate"/>
      </w:r>
      <w:r>
        <w:rPr>
          <w:sz w:val="24"/>
          <w:szCs w:val="24"/>
        </w:rPr>
        <w:t>《预拌混凝土》</w:t>
      </w:r>
      <w:r>
        <w:rPr>
          <w:sz w:val="24"/>
          <w:szCs w:val="24"/>
        </w:rPr>
        <w:fldChar w:fldCharType="end"/>
      </w:r>
      <w:r>
        <w:rPr>
          <w:sz w:val="24"/>
          <w:szCs w:val="24"/>
        </w:rPr>
        <w:t>GB/T14902</w:t>
      </w:r>
      <w:r>
        <w:rPr>
          <w:rFonts w:hint="eastAsia"/>
          <w:sz w:val="24"/>
          <w:szCs w:val="24"/>
        </w:rPr>
        <w:t>-2012相关条款执行)，则该日该批次供应的预拌砼按抽检到的比例计算。抽检时，需乙方在场，每批次第一车预拌砼不能作为抽检依据，每批次抽检不得少于1车。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80" w:firstLineChars="200"/>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80" w:firstLineChars="200"/>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kern w:val="0"/>
          <w:sz w:val="24"/>
          <w:szCs w:val="24"/>
        </w:rPr>
        <w:t>，</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80" w:firstLineChars="200"/>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80" w:firstLineChars="200"/>
        <w:textAlignment w:val="baseline"/>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1、商品混凝土销售全额发票由乙方开具</w:t>
      </w:r>
      <w:r>
        <w:rPr>
          <w:rFonts w:hint="eastAsia" w:ascii="宋体" w:hAnsi="宋体" w:cs="宋体"/>
          <w:b/>
          <w:sz w:val="24"/>
          <w:szCs w:val="24"/>
        </w:rPr>
        <w:t xml:space="preserve">增值税专用发票（抵扣税率 </w:t>
      </w:r>
      <w:r>
        <w:rPr>
          <w:rFonts w:hint="eastAsia" w:ascii="宋体" w:hAnsi="宋体" w:cs="宋体"/>
          <w:b/>
          <w:color w:val="FF0000"/>
          <w:sz w:val="24"/>
          <w:szCs w:val="24"/>
          <w:u w:val="single"/>
        </w:rPr>
        <w:t xml:space="preserve">      %</w:t>
      </w:r>
      <w:r>
        <w:rPr>
          <w:rFonts w:hint="eastAsia"/>
          <w:b/>
          <w:sz w:val="24"/>
          <w:szCs w:val="24"/>
        </w:rPr>
        <w:t>）</w:t>
      </w:r>
      <w:r>
        <w:rPr>
          <w:rFonts w:hint="eastAsia"/>
          <w:sz w:val="24"/>
          <w:szCs w:val="24"/>
        </w:rPr>
        <w:t>给甲方，发票单位名称为本合同甲乙双方全称，（增值税专用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sz w:val="24"/>
          <w:szCs w:val="24"/>
        </w:rPr>
      </w:pPr>
      <w:r>
        <w:rPr>
          <w:rFonts w:hint="eastAsia"/>
          <w:b/>
          <w:sz w:val="24"/>
          <w:szCs w:val="24"/>
        </w:rPr>
        <w:t>九、结算方式及期限</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1、材料预付款：</w:t>
      </w:r>
      <w:r>
        <w:rPr>
          <w:rFonts w:hint="eastAsia"/>
          <w:b/>
          <w:bCs/>
          <w:color w:val="000000"/>
          <w:sz w:val="24"/>
          <w:szCs w:val="24"/>
          <w:u w:val="single"/>
        </w:rPr>
        <w:t>本工程签订后由甲方向乙方支付合同金额30%的预付款，乙方需向甲方开具等额收据</w:t>
      </w:r>
      <w:r>
        <w:rPr>
          <w:rFonts w:hint="eastAsia"/>
          <w:color w:val="000000"/>
          <w:sz w:val="24"/>
          <w:szCs w:val="24"/>
        </w:rPr>
        <w:t>。</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2、预付款的扣回：</w:t>
      </w:r>
      <w:r>
        <w:rPr>
          <w:rFonts w:hint="eastAsia"/>
          <w:b/>
          <w:bCs/>
          <w:color w:val="000000"/>
          <w:sz w:val="24"/>
          <w:szCs w:val="24"/>
          <w:u w:val="single"/>
        </w:rPr>
        <w:t>甲方需在本合同完工结算前冲抵完等额材料预付款</w:t>
      </w:r>
      <w:r>
        <w:rPr>
          <w:rFonts w:hint="eastAsia"/>
          <w:color w:val="000000"/>
          <w:sz w:val="24"/>
          <w:szCs w:val="24"/>
        </w:rPr>
        <w:t>。</w:t>
      </w:r>
    </w:p>
    <w:p>
      <w:pPr>
        <w:adjustRightInd w:val="0"/>
        <w:snapToGrid w:val="0"/>
        <w:spacing w:line="480" w:lineRule="exact"/>
        <w:ind w:firstLine="405" w:firstLineChars="169"/>
        <w:textAlignment w:val="baseline"/>
        <w:rPr>
          <w:sz w:val="24"/>
          <w:szCs w:val="24"/>
        </w:rPr>
      </w:pPr>
      <w:r>
        <w:rPr>
          <w:rFonts w:hint="eastAsia"/>
          <w:color w:val="000000"/>
          <w:sz w:val="24"/>
          <w:szCs w:val="24"/>
        </w:rPr>
        <w:t>3、结算方式：</w:t>
      </w:r>
      <w:r>
        <w:rPr>
          <w:rFonts w:hint="eastAsia"/>
          <w:sz w:val="24"/>
          <w:szCs w:val="24"/>
        </w:rPr>
        <w:t>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已对账的实际收货数量×合同单价，若需冲抵预付款则扣除需冲抵的预付款金额</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b/>
          <w:bCs/>
          <w:sz w:val="24"/>
          <w:szCs w:val="24"/>
          <w:u w:val="single"/>
        </w:rPr>
        <w:t>20</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360" w:lineRule="auto"/>
        <w:ind w:firstLine="480" w:firstLineChars="200"/>
        <w:textAlignment w:val="baseline"/>
        <w:rPr>
          <w:sz w:val="24"/>
          <w:szCs w:val="24"/>
        </w:rPr>
      </w:pPr>
      <w:r>
        <w:rPr>
          <w:rFonts w:hint="eastAsia"/>
          <w:sz w:val="24"/>
          <w:szCs w:val="24"/>
        </w:rPr>
        <w:t>3、结算期限：每月6日-25日办理上月支付。</w:t>
      </w:r>
    </w:p>
    <w:p>
      <w:pPr>
        <w:spacing w:line="360" w:lineRule="auto"/>
        <w:ind w:firstLine="472" w:firstLineChars="196"/>
        <w:textAlignment w:val="baseline"/>
        <w:rPr>
          <w:b/>
          <w:sz w:val="24"/>
          <w:szCs w:val="24"/>
        </w:rPr>
      </w:pPr>
      <w:r>
        <w:rPr>
          <w:rFonts w:hint="eastAsia"/>
          <w:b/>
          <w:sz w:val="24"/>
          <w:szCs w:val="24"/>
        </w:rPr>
        <w:t>十、质量保证金</w:t>
      </w:r>
    </w:p>
    <w:p>
      <w:pPr>
        <w:pStyle w:val="9"/>
        <w:spacing w:line="360" w:lineRule="auto"/>
        <w:rPr>
          <w:rFonts w:ascii="宋体" w:hAnsi="宋体" w:eastAsia="宋体"/>
          <w:kern w:val="2"/>
          <w:sz w:val="24"/>
          <w:szCs w:val="24"/>
        </w:rPr>
      </w:pPr>
      <w:r>
        <w:rPr>
          <w:rFonts w:hint="eastAsia" w:ascii="宋体" w:hAnsi="宋体" w:eastAsia="宋体"/>
          <w:kern w:val="2"/>
          <w:sz w:val="24"/>
          <w:szCs w:val="24"/>
        </w:rPr>
        <w:t xml:space="preserve">    本采购合同无质量保证金。</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1、乙方必须保证供货质量（要求检验合格率达到100%），若因材料质量原因（检验合格率不足100%）导致的一切损失皆由乙方负责。若出现材料质量事故的，按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乙方保证收到甲方短信或通知后在指定的时间内将甲方所需合同材料送达到指定地点。乙方材料的供应量、送货时间必须满足甲方通知要求和甲方施工进度要求，否则，按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数量的合同材料差价由乙方全部承担。</w:t>
      </w:r>
    </w:p>
    <w:p>
      <w:pPr>
        <w:spacing w:line="360" w:lineRule="auto"/>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bCs/>
          <w:sz w:val="24"/>
          <w:szCs w:val="24"/>
          <w:u w:val="single"/>
        </w:rPr>
        <w:t>伍</w:t>
      </w:r>
      <w:r>
        <w:rPr>
          <w:rFonts w:hint="eastAsia" w:ascii="宋体" w:hAnsi="宋体"/>
          <w:b/>
          <w:sz w:val="24"/>
          <w:szCs w:val="24"/>
          <w:u w:val="single"/>
        </w:rPr>
        <w:t>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按《中华人民共和国民法典》执行，由违约方向守约方赔偿由此给守约方造成的一切经济损失。</w:t>
      </w:r>
    </w:p>
    <w:p>
      <w:pPr>
        <w:spacing w:line="360" w:lineRule="auto"/>
        <w:ind w:firstLine="480" w:firstLineChars="200"/>
        <w:textAlignment w:val="baseline"/>
        <w:rPr>
          <w:rFonts w:ascii="宋体" w:hAnsi="宋体"/>
          <w:sz w:val="24"/>
        </w:rPr>
      </w:pPr>
      <w:r>
        <w:rPr>
          <w:rFonts w:hint="eastAsia"/>
          <w:sz w:val="24"/>
          <w:szCs w:val="24"/>
        </w:rPr>
        <w:t>7、本合同约定的甲方损失</w:t>
      </w:r>
      <w:r>
        <w:rPr>
          <w:rFonts w:hint="eastAsia" w:ascii="宋体" w:hAnsi="宋体"/>
          <w:sz w:val="24"/>
        </w:rPr>
        <w:t>包括工期延误损失、甲方向第三人承担的违约金、赔偿金、甲方预期利润等全部直接和间接损失。</w:t>
      </w:r>
    </w:p>
    <w:p>
      <w:pPr>
        <w:spacing w:line="360" w:lineRule="auto"/>
        <w:ind w:firstLine="480" w:firstLineChars="200"/>
        <w:textAlignment w:val="baseline"/>
        <w:rPr>
          <w:sz w:val="24"/>
          <w:szCs w:val="24"/>
        </w:rPr>
      </w:pPr>
      <w:r>
        <w:rPr>
          <w:rFonts w:hint="eastAsia"/>
          <w:sz w:val="24"/>
          <w:szCs w:val="24"/>
        </w:rPr>
        <w:t>8、若合同执行期间，乙方供应的材料因质量不合格出现退货的，处以50000元/次的违约罚金；乙方供应的材料质量不合格造成工程返工或返修，卖方除承担继续履行、采取修理、更换、退货等补救措施外，处以100000元/次的违约罚金。</w:t>
      </w:r>
    </w:p>
    <w:p>
      <w:pPr>
        <w:spacing w:line="360" w:lineRule="auto"/>
        <w:ind w:firstLine="472" w:firstLineChars="196"/>
        <w:textAlignment w:val="baseline"/>
        <w:rPr>
          <w:b/>
          <w:sz w:val="24"/>
          <w:szCs w:val="24"/>
        </w:rPr>
      </w:pPr>
      <w:r>
        <w:rPr>
          <w:rFonts w:hint="eastAsia"/>
          <w:b/>
          <w:sz w:val="24"/>
          <w:szCs w:val="24"/>
        </w:rPr>
        <w:t>十二、其它约定事项</w:t>
      </w:r>
    </w:p>
    <w:p>
      <w:pPr>
        <w:spacing w:line="520" w:lineRule="exact"/>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w:t>
      </w:r>
      <w:r>
        <w:rPr>
          <w:rFonts w:hint="eastAsia" w:ascii="宋体" w:hAnsi="宋体" w:cs="宋体"/>
          <w:sz w:val="24"/>
          <w:szCs w:val="24"/>
        </w:rPr>
        <w:t>合同为</w:t>
      </w:r>
      <w:r>
        <w:rPr>
          <w:rFonts w:hint="eastAsia" w:ascii="宋体" w:hAnsi="宋体" w:cs="宋体"/>
          <w:b/>
          <w:bCs/>
          <w:sz w:val="24"/>
          <w:szCs w:val="24"/>
          <w:u w:val="single"/>
        </w:rPr>
        <w:t>固定综合</w:t>
      </w:r>
      <w:r>
        <w:rPr>
          <w:rFonts w:hint="eastAsia" w:ascii="宋体" w:hAnsi="宋体" w:cs="宋体"/>
          <w:b/>
          <w:sz w:val="24"/>
          <w:szCs w:val="24"/>
          <w:u w:val="single"/>
        </w:rPr>
        <w:t>单价</w:t>
      </w:r>
      <w:r>
        <w:rPr>
          <w:rFonts w:hint="eastAsia" w:ascii="宋体" w:hAnsi="宋体" w:cs="宋体"/>
          <w:sz w:val="24"/>
          <w:szCs w:val="24"/>
        </w:rPr>
        <w:t>合同。包含运输费、材料费、保险、税金、通行费、合理损耗、间接费、运杂费、利润、规费、物价上涨、安全措施费、装卸费等在内的各种费用以及合同明示或暗示的所有责任、义务和一般风险</w:t>
      </w:r>
      <w:r>
        <w:rPr>
          <w:rFonts w:hint="eastAsia"/>
          <w:sz w:val="24"/>
          <w:szCs w:val="24"/>
        </w:rPr>
        <w:t>。</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spacing w:line="360" w:lineRule="auto"/>
        <w:ind w:firstLine="472" w:firstLineChars="197"/>
        <w:textAlignment w:val="baseline"/>
        <w:rPr>
          <w:sz w:val="24"/>
          <w:szCs w:val="24"/>
        </w:rPr>
      </w:pPr>
      <w:r>
        <w:rPr>
          <w:rFonts w:hint="eastAsia"/>
          <w:sz w:val="24"/>
          <w:szCs w:val="24"/>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sz w:val="24"/>
          <w:szCs w:val="24"/>
        </w:rPr>
        <w:t>4、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360" w:lineRule="auto"/>
        <w:ind w:firstLine="460" w:firstLineChars="192"/>
        <w:rPr>
          <w:rFonts w:ascii="宋体" w:hAnsi="宋体"/>
          <w:sz w:val="24"/>
          <w:szCs w:val="24"/>
        </w:rPr>
      </w:pPr>
      <w:r>
        <w:rPr>
          <w:rFonts w:ascii="宋体" w:hAnsi="宋体"/>
          <w:sz w:val="24"/>
          <w:szCs w:val="24"/>
        </w:rPr>
        <w:t>5</w:t>
      </w:r>
      <w:r>
        <w:rPr>
          <w:rFonts w:hint="eastAsia" w:ascii="宋体" w:hAnsi="宋体"/>
          <w:sz w:val="24"/>
          <w:szCs w:val="24"/>
        </w:rPr>
        <w:t>、甲方的询价文件及乙方的报价文件作为本合同的附件，具有同等法律效力，若有不一致或矛盾之处，以本合同条款为准。</w:t>
      </w:r>
    </w:p>
    <w:p>
      <w:pPr>
        <w:spacing w:line="360" w:lineRule="auto"/>
        <w:ind w:firstLine="460" w:firstLineChars="192"/>
        <w:rPr>
          <w:rFonts w:ascii="宋体" w:hAnsi="宋体"/>
          <w:sz w:val="24"/>
        </w:rPr>
      </w:pPr>
      <w:r>
        <w:rPr>
          <w:rFonts w:ascii="宋体" w:hAnsi="宋体"/>
          <w:sz w:val="24"/>
        </w:rPr>
        <w:t>6</w:t>
      </w:r>
      <w:r>
        <w:rPr>
          <w:rFonts w:hint="eastAsia" w:ascii="宋体" w:hAnsi="宋体"/>
          <w:sz w:val="24"/>
        </w:rPr>
        <w:t>、若出现重庆高速公路收费站限重等不可违抗因素，无任何运费调价机制，所有到场的运输费用由乙方自行承当。</w:t>
      </w:r>
    </w:p>
    <w:p>
      <w:pPr>
        <w:spacing w:line="360" w:lineRule="auto"/>
        <w:ind w:firstLine="463" w:firstLineChars="192"/>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b/>
          <w:bCs/>
          <w:sz w:val="24"/>
          <w:szCs w:val="24"/>
          <w:u w:val="single"/>
        </w:rPr>
        <w:t>自本</w:t>
      </w:r>
      <w:r>
        <w:rPr>
          <w:rFonts w:hint="eastAsia" w:ascii="宋体" w:hAnsi="宋体" w:cs="宋体"/>
          <w:b/>
          <w:sz w:val="24"/>
          <w:szCs w:val="24"/>
          <w:u w:val="single"/>
        </w:rPr>
        <w:t>合同签订之日起至双方办理完结算时为止</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：重庆市沙坪坝区梨高路4号重庆通力高速公路养护工程有限公司。</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6"/>
        <w:rPr>
          <w:rFonts w:ascii="Times New Roman" w:hAnsi="Times New Roman"/>
          <w:b w:val="0"/>
          <w:bCs w:val="0"/>
          <w:caps w:val="0"/>
          <w:sz w:val="24"/>
          <w:szCs w:val="24"/>
        </w:rPr>
      </w:pPr>
    </w:p>
    <w:p>
      <w:pPr>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本页无正文）</w:t>
      </w:r>
    </w:p>
    <w:p/>
    <w:p>
      <w:pPr>
        <w:pStyle w:val="6"/>
      </w:pPr>
    </w:p>
    <w:p/>
    <w:p>
      <w:pPr>
        <w:spacing w:line="360" w:lineRule="auto"/>
        <w:rPr>
          <w:sz w:val="24"/>
          <w:szCs w:val="24"/>
        </w:rPr>
      </w:pPr>
      <w:r>
        <w:rPr>
          <w:rFonts w:hint="eastAsia"/>
          <w:sz w:val="24"/>
          <w:szCs w:val="24"/>
        </w:rPr>
        <w:t>甲方（盖章）：                           乙方（盖章）：</w:t>
      </w:r>
    </w:p>
    <w:p>
      <w:pPr>
        <w:spacing w:line="276"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ind w:left="6000" w:hanging="6000" w:hangingChars="2500"/>
        <w:rPr>
          <w:sz w:val="24"/>
          <w:szCs w:val="24"/>
        </w:rPr>
      </w:pPr>
      <w:r>
        <w:rPr>
          <w:rFonts w:hint="eastAsia"/>
          <w:sz w:val="24"/>
          <w:szCs w:val="24"/>
        </w:rPr>
        <w:t xml:space="preserve">经办人：                                 开户银行：    </w:t>
      </w:r>
    </w:p>
    <w:p>
      <w:pPr>
        <w:spacing w:line="360" w:lineRule="auto"/>
        <w:rPr>
          <w:sz w:val="24"/>
          <w:szCs w:val="24"/>
        </w:rPr>
      </w:pPr>
      <w:r>
        <w:rPr>
          <w:rFonts w:hint="eastAsia"/>
          <w:sz w:val="24"/>
          <w:szCs w:val="24"/>
        </w:rPr>
        <w:t xml:space="preserve">                                         账号：                             </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rPr>
          <w:sz w:val="24"/>
        </w:rPr>
        <w:sectPr>
          <w:headerReference r:id="rId3"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jc w:val="center"/>
        <w:rPr>
          <w:b/>
          <w:sz w:val="36"/>
          <w:szCs w:val="36"/>
        </w:rPr>
      </w:pPr>
      <w:r>
        <w:rPr>
          <w:rFonts w:hint="eastAsia"/>
          <w:b/>
          <w:sz w:val="36"/>
          <w:szCs w:val="36"/>
        </w:rPr>
        <w:t>重庆通力高速公路养护工程有限公司</w:t>
      </w:r>
    </w:p>
    <w:p>
      <w:pPr>
        <w:spacing w:line="360" w:lineRule="auto"/>
        <w:jc w:val="center"/>
        <w:rPr>
          <w:b/>
          <w:sz w:val="36"/>
          <w:szCs w:val="36"/>
        </w:rPr>
      </w:pPr>
      <w:r>
        <w:rPr>
          <w:rFonts w:hint="eastAsia"/>
          <w:b/>
          <w:sz w:val="36"/>
          <w:szCs w:val="36"/>
        </w:rPr>
        <w:t>重庆高速公路集团有限公司东北营运分公司隧道病害处治施工项目商品混凝土（巫山段）材料采购之廉政合同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u w:val="single"/>
        </w:rPr>
        <w:t>《重庆高速公路集团有限公司东北营运分公司隧道病害处治施工项目商品混凝土（巫山段）材料采购合同》</w:t>
      </w:r>
      <w:r>
        <w:rPr>
          <w:rFonts w:hint="eastAsia"/>
          <w:sz w:val="24"/>
        </w:rPr>
        <w:t>的相关条款，自觉按合同办事。</w:t>
      </w:r>
    </w:p>
    <w:p>
      <w:pPr>
        <w:spacing w:line="360" w:lineRule="auto"/>
        <w:ind w:firstLine="480" w:firstLineChars="200"/>
        <w:rPr>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bCs/>
          <w:sz w:val="24"/>
          <w:u w:val="single"/>
        </w:rPr>
        <w:t>重庆高速公路集团有限公司东北营运分公司隧道病害处治施工项目商品混凝土（巫山段）材料采购合同</w:t>
      </w:r>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360" w:lineRule="auto"/>
        <w:ind w:firstLine="470" w:firstLineChars="196"/>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（本页无正文）</w:t>
      </w:r>
    </w:p>
    <w:p>
      <w:pPr>
        <w:pStyle w:val="6"/>
      </w:pPr>
    </w:p>
    <w:p/>
    <w:p>
      <w:pPr>
        <w:spacing w:line="360" w:lineRule="auto"/>
        <w:ind w:firstLine="470" w:firstLineChars="196"/>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rPr>
          <w:sz w:val="24"/>
          <w:szCs w:val="24"/>
        </w:rPr>
      </w:pPr>
      <w:r>
        <w:rPr>
          <w:rFonts w:hint="eastAsia"/>
          <w:sz w:val="24"/>
          <w:szCs w:val="24"/>
        </w:rPr>
        <w:t xml:space="preserve">重庆通力高速公路养护工程有限公司      </w:t>
      </w:r>
    </w:p>
    <w:p>
      <w:pPr>
        <w:pStyle w:val="6"/>
      </w:pPr>
    </w:p>
    <w:p/>
    <w:p>
      <w:pPr>
        <w:spacing w:line="276" w:lineRule="auto"/>
        <w:rPr>
          <w:rFonts w:ascii="宋体" w:hAnsi="宋体"/>
          <w:sz w:val="24"/>
        </w:rPr>
      </w:pPr>
      <w:r>
        <w:rPr>
          <w:rFonts w:hint="eastAsia" w:ascii="宋体" w:hAnsi="宋体"/>
          <w:sz w:val="24"/>
        </w:rPr>
        <w:t>法定代表人                             法定代表人</w:t>
      </w:r>
    </w:p>
    <w:p>
      <w:pPr>
        <w:pStyle w:val="6"/>
      </w:pP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pStyle w:val="6"/>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pStyle w:val="6"/>
      </w:pPr>
    </w:p>
    <w:p>
      <w:pPr>
        <w:widowControl/>
        <w:spacing w:line="276" w:lineRule="auto"/>
        <w:jc w:val="left"/>
        <w:textAlignment w:val="baseline"/>
        <w:rPr>
          <w:rFonts w:ascii="宋体" w:hAnsi="宋体" w:cs="宋体"/>
          <w:b/>
          <w:sz w:val="36"/>
          <w:highlight w:val="yellow"/>
        </w:rPr>
        <w:sectPr>
          <w:headerReference r:id="rId4" w:type="default"/>
          <w:footerReference r:id="rId5" w:type="default"/>
          <w:pgSz w:w="11906" w:h="16838"/>
          <w:pgMar w:top="1418" w:right="1361" w:bottom="1418" w:left="1361" w:header="851" w:footer="992" w:gutter="0"/>
          <w:cols w:space="720" w:num="1"/>
          <w:docGrid w:type="lines" w:linePitch="312" w:charSpace="0"/>
        </w:sectPr>
      </w:pPr>
      <w:r>
        <w:rPr>
          <w:rFonts w:hint="eastAsia"/>
          <w:sz w:val="24"/>
        </w:rPr>
        <w:t xml:space="preserve">签约时间：    年   月   日             签约时间：    年   月   </w:t>
      </w:r>
    </w:p>
    <w:p>
      <w:pPr>
        <w:spacing w:line="360" w:lineRule="auto"/>
        <w:jc w:val="center"/>
        <w:rPr>
          <w:rFonts w:ascii="宋体" w:hAnsi="宋体" w:cs="宋体"/>
          <w:b/>
          <w:sz w:val="36"/>
        </w:rPr>
      </w:pPr>
    </w:p>
    <w:p>
      <w:pPr>
        <w:jc w:val="center"/>
        <w:rPr>
          <w:rFonts w:ascii="宋体" w:hAnsi="宋体" w:cs="宋体"/>
          <w:b/>
          <w:sz w:val="36"/>
        </w:rPr>
      </w:pPr>
      <w:r>
        <w:rPr>
          <w:rFonts w:hint="eastAsia" w:ascii="宋体" w:hAnsi="宋体" w:cs="宋体"/>
          <w:b/>
          <w:sz w:val="36"/>
        </w:rPr>
        <w:t>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重庆高速公路集团有限公司东北营运分公司隧道病害处治施工项目商品混凝土（巫山段）材料采购</w:t>
      </w:r>
    </w:p>
    <w:p>
      <w:pPr>
        <w:jc w:val="center"/>
        <w:rPr>
          <w:rFonts w:ascii="宋体" w:hAnsi="宋体" w:cs="宋体"/>
          <w:b/>
          <w:sz w:val="40"/>
          <w:szCs w:val="44"/>
        </w:rPr>
      </w:pPr>
      <w:r>
        <w:rPr>
          <w:rFonts w:hint="eastAsia" w:ascii="宋体" w:hAnsi="宋体" w:cs="宋体"/>
          <w:b/>
          <w:sz w:val="40"/>
          <w:szCs w:val="44"/>
          <w:u w:val="single"/>
        </w:rPr>
        <w:t>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jc w:val="center"/>
        <w:outlineLvl w:val="2"/>
        <w:rPr>
          <w:rFonts w:ascii="宋体" w:hAnsi="宋体" w:cs="宋体"/>
          <w:b/>
          <w:sz w:val="28"/>
          <w:szCs w:val="28"/>
        </w:rPr>
      </w:pPr>
      <w:r>
        <w:rPr>
          <w:rFonts w:hint="eastAsia" w:ascii="宋体" w:hAnsi="宋体" w:cs="宋体"/>
          <w:b/>
          <w:sz w:val="28"/>
          <w:szCs w:val="28"/>
        </w:rPr>
        <w:t>一、报价书</w:t>
      </w:r>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bookmarkStart w:id="34" w:name="_Hlk135575816"/>
      <w:r>
        <w:rPr>
          <w:rFonts w:hint="eastAsia"/>
          <w:b/>
          <w:bCs/>
          <w:szCs w:val="21"/>
        </w:rPr>
        <w:t>重庆高速公路集团有限公司东北营运分公司隧道病害处治施工项目商品混凝土（巫山段）材料采购</w:t>
      </w:r>
      <w:bookmarkEnd w:id="34"/>
      <w:r>
        <w:rPr>
          <w:rFonts w:hint="eastAsia"/>
          <w:szCs w:val="21"/>
        </w:rPr>
        <w:t>竞争性比选</w:t>
      </w:r>
      <w:r>
        <w:rPr>
          <w:szCs w:val="21"/>
        </w:rPr>
        <w:t>文件的全部内容，</w:t>
      </w:r>
      <w:r>
        <w:rPr>
          <w:rFonts w:hint="eastAsia"/>
          <w:szCs w:val="21"/>
        </w:rPr>
        <w:t>根据相关取费标准，愿意以不含税报价（大写）</w:t>
      </w:r>
      <w:r>
        <w:rPr>
          <w:rFonts w:hint="eastAsia"/>
          <w:szCs w:val="21"/>
          <w:u w:val="single"/>
        </w:rPr>
        <w:t xml:space="preserve"> </w:t>
      </w:r>
      <w:r>
        <w:rPr>
          <w:szCs w:val="21"/>
          <w:u w:val="single"/>
        </w:rPr>
        <w:t xml:space="preserve">  </w:t>
      </w:r>
      <w:r>
        <w:rPr>
          <w:rFonts w:hint="eastAsia"/>
          <w:szCs w:val="21"/>
        </w:rPr>
        <w:t xml:space="preserve"> （¥</w:t>
      </w:r>
      <w:r>
        <w:rPr>
          <w:rFonts w:hint="eastAsia"/>
          <w:szCs w:val="21"/>
          <w:u w:val="single"/>
        </w:rPr>
        <w:t xml:space="preserve">    </w:t>
      </w:r>
      <w:r>
        <w:rPr>
          <w:rFonts w:hint="eastAsia"/>
          <w:szCs w:val="21"/>
        </w:rPr>
        <w:t>）参与竞价，并按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0"/>
        <w:ind w:left="5250"/>
      </w:pPr>
    </w:p>
    <w:p>
      <w:pPr>
        <w:pStyle w:val="10"/>
        <w:ind w:left="5250"/>
      </w:pPr>
    </w:p>
    <w:p>
      <w:pPr>
        <w:pStyle w:val="10"/>
        <w:ind w:left="5250"/>
      </w:pPr>
    </w:p>
    <w:p>
      <w:pPr>
        <w:pStyle w:val="10"/>
        <w:ind w:left="5250"/>
        <w:rPr>
          <w:color w:val="auto"/>
        </w:rPr>
      </w:pPr>
    </w:p>
    <w:p>
      <w:pPr>
        <w:pStyle w:val="10"/>
        <w:rPr>
          <w:rFonts w:ascii="宋体" w:hAnsi="宋体" w:cs="宋体"/>
          <w:b/>
          <w:color w:val="auto"/>
        </w:rPr>
      </w:pPr>
    </w:p>
    <w:p>
      <w:pPr>
        <w:pStyle w:val="10"/>
        <w:rPr>
          <w:rFonts w:ascii="宋体" w:hAnsi="宋体" w:cs="宋体"/>
          <w:b/>
          <w:color w:val="auto"/>
        </w:rPr>
      </w:pPr>
    </w:p>
    <w:p>
      <w:pPr>
        <w:spacing w:line="440" w:lineRule="exact"/>
        <w:ind w:firstLine="2670" w:firstLineChars="950"/>
        <w:outlineLvl w:val="1"/>
        <w:rPr>
          <w:rFonts w:ascii="宋体" w:hAnsi="宋体" w:cs="宋体"/>
          <w:b/>
          <w:sz w:val="28"/>
          <w:szCs w:val="28"/>
        </w:rPr>
      </w:pPr>
      <w:bookmarkStart w:id="35" w:name="_Toc262547329"/>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6" w:name="_Toc262547328"/>
      <w:r>
        <w:rPr>
          <w:rFonts w:hint="eastAsia"/>
          <w:b/>
          <w:szCs w:val="21"/>
        </w:rPr>
        <w:t>（一）法定代表人身份证明</w:t>
      </w:r>
      <w:bookmarkEnd w:id="36"/>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End w:id="35"/>
      <w:r>
        <w:rPr>
          <w:rFonts w:hint="eastAsia" w:ascii="宋体" w:hAnsi="宋体" w:cs="宋体"/>
          <w:b/>
          <w:szCs w:val="21"/>
        </w:rPr>
        <w:t xml:space="preserve">（二）授权委托书 </w:t>
      </w: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重庆高速公路集团有限公司东北营运分公司隧道病害处治施工项目商品混凝土（巫山段）材料采购</w:t>
      </w:r>
      <w:r>
        <w:rPr>
          <w:rFonts w:hint="eastAsia" w:ascii="宋体" w:hAnsi="宋体" w:cs="宋体"/>
          <w:kern w:val="0"/>
          <w:szCs w:val="21"/>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eastAsia="宋体" w:cs="宋体"/>
          <w:kern w:val="0"/>
          <w:szCs w:val="21"/>
          <w:u w:val="single"/>
          <w:lang w:val="en-US" w:eastAsia="zh-CN"/>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tbl>
      <w:tblPr>
        <w:tblStyle w:val="7"/>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pPr>
              <w:spacing w:line="500" w:lineRule="exact"/>
              <w:jc w:val="center"/>
              <w:rPr>
                <w:sz w:val="28"/>
              </w:rPr>
            </w:pPr>
            <w:r>
              <w:rPr>
                <w:rFonts w:hint="eastAsia" w:ascii="宋体" w:hAnsi="宋体" w:cs="宋体"/>
                <w:sz w:val="24"/>
                <w:szCs w:val="24"/>
              </w:rPr>
              <w:t>法定代表人身份证正面</w:t>
            </w:r>
          </w:p>
        </w:tc>
        <w:tc>
          <w:tcPr>
            <w:tcW w:w="4670" w:type="dxa"/>
            <w:vAlign w:val="center"/>
          </w:tcPr>
          <w:p>
            <w:pPr>
              <w:spacing w:line="500" w:lineRule="exact"/>
              <w:jc w:val="center"/>
              <w:rPr>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pPr>
              <w:spacing w:line="500" w:lineRule="exact"/>
              <w:jc w:val="center"/>
              <w:rPr>
                <w:sz w:val="28"/>
              </w:rPr>
            </w:pPr>
            <w:r>
              <w:rPr>
                <w:rFonts w:hint="eastAsia" w:ascii="宋体" w:hAnsi="宋体" w:cs="宋体"/>
                <w:sz w:val="24"/>
                <w:szCs w:val="24"/>
              </w:rPr>
              <w:t>代理人身份证正面</w:t>
            </w:r>
          </w:p>
        </w:tc>
        <w:tc>
          <w:tcPr>
            <w:tcW w:w="4670" w:type="dxa"/>
            <w:vAlign w:val="center"/>
          </w:tcPr>
          <w:p>
            <w:pPr>
              <w:spacing w:line="500" w:lineRule="exact"/>
              <w:jc w:val="center"/>
              <w:rPr>
                <w:sz w:val="28"/>
              </w:rPr>
            </w:pPr>
            <w:r>
              <w:rPr>
                <w:rFonts w:hint="eastAsia" w:ascii="宋体" w:hAnsi="宋体" w:cs="宋体"/>
                <w:sz w:val="24"/>
                <w:szCs w:val="24"/>
              </w:rPr>
              <w:t>代理人身份证反面</w:t>
            </w:r>
          </w:p>
        </w:tc>
      </w:tr>
    </w:tbl>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sz w:val="28"/>
          <w:szCs w:val="28"/>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tabs>
          <w:tab w:val="left" w:pos="900"/>
          <w:tab w:val="left" w:pos="1080"/>
        </w:tabs>
        <w:spacing w:line="300" w:lineRule="auto"/>
        <w:jc w:val="center"/>
        <w:outlineLvl w:val="0"/>
        <w:rPr>
          <w:rFonts w:ascii="宋体" w:hAnsi="宋体" w:cs="宋体"/>
          <w:b/>
          <w:sz w:val="28"/>
          <w:szCs w:val="28"/>
        </w:rPr>
      </w:pPr>
    </w:p>
    <w:p>
      <w:pPr>
        <w:tabs>
          <w:tab w:val="left" w:pos="900"/>
          <w:tab w:val="left" w:pos="1080"/>
        </w:tabs>
        <w:spacing w:line="300" w:lineRule="auto"/>
        <w:jc w:val="center"/>
        <w:outlineLvl w:val="0"/>
      </w:pPr>
    </w:p>
    <w:p>
      <w:pPr>
        <w:tabs>
          <w:tab w:val="left" w:pos="900"/>
          <w:tab w:val="left" w:pos="1080"/>
        </w:tabs>
        <w:spacing w:line="360" w:lineRule="auto"/>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三、具有独立法人资格、有效的营业执照、银行开户许可证或基本存款账户信息等（详见招标文件中要求所述）</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四、比选申请人自行承诺部分</w:t>
      </w:r>
    </w:p>
    <w:p>
      <w:pPr>
        <w:tabs>
          <w:tab w:val="left" w:pos="900"/>
          <w:tab w:val="left" w:pos="1080"/>
        </w:tabs>
        <w:spacing w:line="300" w:lineRule="auto"/>
        <w:jc w:val="center"/>
        <w:outlineLvl w:val="0"/>
        <w:rPr>
          <w:rFonts w:hint="default" w:ascii="宋体" w:hAnsi="宋体" w:eastAsia="宋体" w:cs="宋体"/>
          <w:szCs w:val="21"/>
          <w:u w:val="single"/>
          <w:lang w:val="en-US" w:eastAsia="zh-CN"/>
        </w:rPr>
      </w:pPr>
      <w:r>
        <w:rPr>
          <w:rFonts w:hint="eastAsia"/>
          <w:szCs w:val="21"/>
          <w:lang w:val="en-US" w:eastAsia="zh-CN"/>
        </w:rPr>
        <w:t>（格式自拟）</w:t>
      </w: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pStyle w:val="10"/>
        <w:jc w:val="center"/>
        <w:rPr>
          <w:rFonts w:ascii="宋体" w:hAnsi="宋体" w:cs="宋体"/>
          <w:b/>
          <w:sz w:val="28"/>
          <w:szCs w:val="28"/>
        </w:rPr>
      </w:pPr>
      <w:r>
        <w:rPr>
          <w:rFonts w:hint="eastAsia" w:ascii="宋体" w:hAnsi="宋体" w:cs="宋体"/>
          <w:b/>
          <w:sz w:val="28"/>
          <w:szCs w:val="28"/>
        </w:rPr>
        <w:t>五、已标价报价清单</w:t>
      </w:r>
    </w:p>
    <w:p>
      <w:pPr>
        <w:pStyle w:val="6"/>
        <w:jc w:val="right"/>
        <w:rPr>
          <w:rFonts w:ascii="宋体" w:hAnsi="宋体" w:cs="宋体"/>
          <w:b w:val="0"/>
          <w:bCs w:val="0"/>
          <w:sz w:val="21"/>
          <w:szCs w:val="21"/>
        </w:rPr>
      </w:pPr>
      <w:r>
        <w:rPr>
          <w:rFonts w:hint="eastAsia" w:ascii="宋体" w:hAnsi="宋体" w:cs="宋体"/>
          <w:sz w:val="21"/>
          <w:szCs w:val="21"/>
        </w:rPr>
        <w:t>货币单位：人民币  元</w:t>
      </w:r>
    </w:p>
    <w:tbl>
      <w:tblPr>
        <w:tblStyle w:val="7"/>
        <w:tblW w:w="1041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90"/>
        <w:gridCol w:w="791"/>
        <w:gridCol w:w="669"/>
        <w:gridCol w:w="991"/>
        <w:gridCol w:w="1094"/>
        <w:gridCol w:w="1359"/>
        <w:gridCol w:w="1190"/>
        <w:gridCol w:w="106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52" w:type="dxa"/>
            <w:vMerge w:val="restart"/>
            <w:shd w:val="clear" w:color="auto" w:fill="auto"/>
            <w:vAlign w:val="center"/>
          </w:tcPr>
          <w:p>
            <w:pPr>
              <w:jc w:val="center"/>
              <w:textAlignment w:val="baseline"/>
              <w:rPr>
                <w:rFonts w:ascii="宋体" w:hAnsi="宋体" w:cs="宋体"/>
                <w:b/>
                <w:bCs/>
                <w:color w:val="000000"/>
                <w:szCs w:val="21"/>
              </w:rPr>
            </w:pPr>
            <w:r>
              <w:rPr>
                <w:rFonts w:hint="eastAsia" w:ascii="宋体" w:hAnsi="宋体" w:cs="宋体"/>
                <w:b/>
                <w:bCs/>
                <w:color w:val="000000"/>
                <w:szCs w:val="21"/>
              </w:rPr>
              <w:t xml:space="preserve">序号     </w:t>
            </w:r>
          </w:p>
        </w:tc>
        <w:tc>
          <w:tcPr>
            <w:tcW w:w="2181" w:type="dxa"/>
            <w:gridSpan w:val="2"/>
            <w:vMerge w:val="restart"/>
            <w:shd w:val="clear" w:color="auto" w:fill="auto"/>
            <w:vAlign w:val="center"/>
          </w:tcPr>
          <w:p>
            <w:pPr>
              <w:jc w:val="center"/>
              <w:textAlignment w:val="baseline"/>
              <w:rPr>
                <w:rFonts w:ascii="宋体" w:hAnsi="宋体" w:cs="宋体"/>
                <w:b/>
                <w:bCs/>
                <w:szCs w:val="21"/>
              </w:rPr>
            </w:pPr>
            <w:r>
              <w:rPr>
                <w:rFonts w:hint="eastAsia" w:ascii="宋体" w:hAnsi="宋体" w:cs="宋体"/>
                <w:b/>
                <w:bCs/>
                <w:color w:val="000000"/>
                <w:szCs w:val="21"/>
              </w:rPr>
              <w:t>材料名称</w:t>
            </w:r>
          </w:p>
        </w:tc>
        <w:tc>
          <w:tcPr>
            <w:tcW w:w="669" w:type="dxa"/>
            <w:vMerge w:val="restart"/>
            <w:shd w:val="clear" w:color="auto" w:fill="auto"/>
            <w:vAlign w:val="center"/>
          </w:tcPr>
          <w:p>
            <w:pPr>
              <w:jc w:val="center"/>
              <w:textAlignment w:val="baseline"/>
              <w:rPr>
                <w:rFonts w:ascii="宋体" w:hAnsi="宋体" w:cs="宋体"/>
                <w:b/>
                <w:bCs/>
                <w:color w:val="000000"/>
                <w:kern w:val="0"/>
                <w:szCs w:val="21"/>
                <w:lang w:bidi="ar"/>
              </w:rPr>
            </w:pPr>
            <w:r>
              <w:rPr>
                <w:rFonts w:hint="eastAsia" w:ascii="宋体" w:hAnsi="宋体" w:cs="宋体"/>
                <w:b/>
                <w:szCs w:val="21"/>
              </w:rPr>
              <w:t>单位</w:t>
            </w:r>
          </w:p>
        </w:tc>
        <w:tc>
          <w:tcPr>
            <w:tcW w:w="991" w:type="dxa"/>
            <w:vMerge w:val="restart"/>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lang w:bidi="ar"/>
              </w:rPr>
              <w:t>暂定工程量</w:t>
            </w:r>
          </w:p>
        </w:tc>
        <w:tc>
          <w:tcPr>
            <w:tcW w:w="2453" w:type="dxa"/>
            <w:gridSpan w:val="2"/>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上限价</w:t>
            </w:r>
          </w:p>
        </w:tc>
        <w:tc>
          <w:tcPr>
            <w:tcW w:w="2253" w:type="dxa"/>
            <w:gridSpan w:val="2"/>
            <w:shd w:val="clear" w:color="auto" w:fill="auto"/>
            <w:vAlign w:val="center"/>
          </w:tcPr>
          <w:p>
            <w:pPr>
              <w:jc w:val="center"/>
              <w:rPr>
                <w:rFonts w:ascii="宋体" w:hAnsi="宋体" w:cs="宋体"/>
                <w:b/>
                <w:bCs/>
                <w:szCs w:val="21"/>
              </w:rPr>
            </w:pPr>
            <w:r>
              <w:rPr>
                <w:rFonts w:hint="eastAsia" w:ascii="宋体" w:hAnsi="宋体" w:cs="宋体"/>
                <w:b/>
                <w:bCs/>
                <w:kern w:val="0"/>
                <w:szCs w:val="21"/>
                <w:lang w:bidi="ar"/>
              </w:rPr>
              <w:t>报价</w:t>
            </w:r>
          </w:p>
        </w:tc>
        <w:tc>
          <w:tcPr>
            <w:tcW w:w="1215" w:type="dxa"/>
            <w:vMerge w:val="restart"/>
            <w:shd w:val="clear" w:color="auto" w:fill="auto"/>
            <w:vAlign w:val="center"/>
          </w:tcPr>
          <w:p>
            <w:pPr>
              <w:jc w:val="center"/>
              <w:rPr>
                <w:rFonts w:ascii="宋体" w:hAnsi="宋体" w:cs="宋体"/>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2" w:type="dxa"/>
            <w:vMerge w:val="continue"/>
            <w:shd w:val="clear" w:color="auto" w:fill="auto"/>
            <w:vAlign w:val="center"/>
          </w:tcPr>
          <w:p>
            <w:pPr>
              <w:widowControl/>
              <w:jc w:val="center"/>
              <w:textAlignment w:val="center"/>
              <w:rPr>
                <w:rFonts w:ascii="宋体" w:hAnsi="宋体" w:cs="宋体"/>
                <w:b/>
                <w:bCs/>
                <w:szCs w:val="21"/>
              </w:rPr>
            </w:pPr>
          </w:p>
        </w:tc>
        <w:tc>
          <w:tcPr>
            <w:tcW w:w="2181" w:type="dxa"/>
            <w:gridSpan w:val="2"/>
            <w:vMerge w:val="continue"/>
            <w:shd w:val="clear" w:color="auto" w:fill="auto"/>
            <w:vAlign w:val="center"/>
          </w:tcPr>
          <w:p>
            <w:pPr>
              <w:widowControl/>
              <w:jc w:val="center"/>
              <w:textAlignment w:val="center"/>
              <w:rPr>
                <w:rFonts w:ascii="宋体" w:hAnsi="宋体" w:cs="宋体"/>
                <w:b/>
                <w:bCs/>
                <w:szCs w:val="21"/>
              </w:rPr>
            </w:pPr>
          </w:p>
        </w:tc>
        <w:tc>
          <w:tcPr>
            <w:tcW w:w="669" w:type="dxa"/>
            <w:vMerge w:val="continue"/>
            <w:shd w:val="clear" w:color="auto" w:fill="auto"/>
            <w:vAlign w:val="center"/>
          </w:tcPr>
          <w:p>
            <w:pPr>
              <w:widowControl/>
              <w:jc w:val="center"/>
              <w:textAlignment w:val="center"/>
              <w:rPr>
                <w:rFonts w:ascii="宋体" w:hAnsi="宋体" w:cs="宋体"/>
                <w:b/>
                <w:bCs/>
                <w:szCs w:val="21"/>
              </w:rPr>
            </w:pPr>
          </w:p>
        </w:tc>
        <w:tc>
          <w:tcPr>
            <w:tcW w:w="991" w:type="dxa"/>
            <w:vMerge w:val="continue"/>
            <w:shd w:val="clear" w:color="auto" w:fill="auto"/>
            <w:vAlign w:val="center"/>
          </w:tcPr>
          <w:p>
            <w:pPr>
              <w:widowControl/>
              <w:jc w:val="center"/>
              <w:textAlignment w:val="center"/>
              <w:rPr>
                <w:rFonts w:ascii="宋体" w:hAnsi="宋体" w:cs="宋体"/>
                <w:b/>
                <w:bCs/>
                <w:szCs w:val="21"/>
              </w:rPr>
            </w:pPr>
          </w:p>
        </w:tc>
        <w:tc>
          <w:tcPr>
            <w:tcW w:w="1094" w:type="dxa"/>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szCs w:val="21"/>
              </w:rPr>
              <w:t>到场不含税单价</w:t>
            </w:r>
          </w:p>
        </w:tc>
        <w:tc>
          <w:tcPr>
            <w:tcW w:w="1359" w:type="dxa"/>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szCs w:val="21"/>
              </w:rPr>
              <w:t>到场不含税</w:t>
            </w:r>
            <w:r>
              <w:rPr>
                <w:rFonts w:hint="eastAsia" w:ascii="宋体" w:hAnsi="宋体" w:cs="宋体"/>
                <w:b/>
                <w:bCs/>
                <w:kern w:val="0"/>
                <w:szCs w:val="21"/>
                <w:lang w:bidi="ar"/>
              </w:rPr>
              <w:t>合价</w:t>
            </w:r>
          </w:p>
        </w:tc>
        <w:tc>
          <w:tcPr>
            <w:tcW w:w="1190" w:type="dxa"/>
            <w:shd w:val="clear" w:color="auto" w:fill="auto"/>
            <w:vAlign w:val="center"/>
          </w:tcPr>
          <w:p>
            <w:pPr>
              <w:jc w:val="center"/>
              <w:rPr>
                <w:rFonts w:ascii="宋体" w:hAnsi="宋体" w:cs="宋体"/>
                <w:b/>
                <w:bCs/>
                <w:szCs w:val="21"/>
              </w:rPr>
            </w:pPr>
            <w:r>
              <w:rPr>
                <w:rFonts w:hint="eastAsia" w:ascii="宋体" w:hAnsi="宋体" w:cs="宋体"/>
                <w:b/>
                <w:bCs/>
                <w:szCs w:val="21"/>
              </w:rPr>
              <w:t>到场不含税单价</w:t>
            </w:r>
          </w:p>
        </w:tc>
        <w:tc>
          <w:tcPr>
            <w:tcW w:w="1063" w:type="dxa"/>
            <w:shd w:val="clear" w:color="auto" w:fill="auto"/>
            <w:vAlign w:val="center"/>
          </w:tcPr>
          <w:p>
            <w:pPr>
              <w:jc w:val="center"/>
              <w:rPr>
                <w:rFonts w:ascii="宋体" w:hAnsi="宋体" w:cs="宋体"/>
                <w:b/>
                <w:bCs/>
                <w:szCs w:val="21"/>
              </w:rPr>
            </w:pPr>
            <w:r>
              <w:rPr>
                <w:rFonts w:hint="eastAsia" w:ascii="宋体" w:hAnsi="宋体" w:cs="宋体"/>
                <w:b/>
                <w:bCs/>
                <w:szCs w:val="21"/>
              </w:rPr>
              <w:t>到场不含税</w:t>
            </w:r>
            <w:r>
              <w:rPr>
                <w:rFonts w:hint="eastAsia" w:ascii="宋体" w:hAnsi="宋体" w:cs="宋体"/>
                <w:b/>
                <w:bCs/>
                <w:kern w:val="0"/>
                <w:szCs w:val="21"/>
                <w:lang w:bidi="ar"/>
              </w:rPr>
              <w:t>合价</w:t>
            </w:r>
          </w:p>
        </w:tc>
        <w:tc>
          <w:tcPr>
            <w:tcW w:w="1215" w:type="dxa"/>
            <w:vMerge w:val="continue"/>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1</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C45防腐细石混凝土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75</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809.48</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60711</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2</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C25防腐蚀混凝土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1136</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726.48</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825281.28</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3</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C35防腐蚀混凝土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8</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758.65</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6069.2</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4</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C40防腐蚀混凝土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566</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778.58</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440676.28</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5</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C20混凝土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14</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680.85</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9531.9</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color w:val="000000"/>
                <w:sz w:val="22"/>
                <w:szCs w:val="22"/>
              </w:rPr>
            </w:pPr>
            <w:r>
              <w:rPr>
                <w:rFonts w:hint="eastAsia"/>
                <w:color w:val="000000"/>
                <w:sz w:val="22"/>
                <w:szCs w:val="22"/>
              </w:rPr>
              <w:t>6</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C30混凝土</w:t>
            </w:r>
          </w:p>
        </w:tc>
        <w:tc>
          <w:tcPr>
            <w:tcW w:w="669" w:type="dxa"/>
            <w:shd w:val="clear" w:color="auto" w:fill="auto"/>
            <w:vAlign w:val="center"/>
          </w:tcPr>
          <w:p>
            <w:pPr>
              <w:widowControl/>
              <w:jc w:val="center"/>
              <w:textAlignment w:val="center"/>
              <w:rPr>
                <w:color w:val="000000"/>
                <w:sz w:val="22"/>
                <w:szCs w:val="22"/>
              </w:rPr>
            </w:pPr>
            <w:r>
              <w:rPr>
                <w:rFonts w:hint="eastAsia"/>
                <w:color w:val="000000"/>
                <w:sz w:val="22"/>
                <w:szCs w:val="22"/>
              </w:rPr>
              <w:t>m³</w:t>
            </w:r>
          </w:p>
        </w:tc>
        <w:tc>
          <w:tcPr>
            <w:tcW w:w="991" w:type="dxa"/>
            <w:shd w:val="clear" w:color="auto" w:fill="auto"/>
            <w:vAlign w:val="center"/>
          </w:tcPr>
          <w:p>
            <w:pPr>
              <w:widowControl/>
              <w:jc w:val="center"/>
              <w:textAlignment w:val="center"/>
              <w:rPr>
                <w:color w:val="000000"/>
                <w:sz w:val="22"/>
                <w:szCs w:val="22"/>
              </w:rPr>
            </w:pPr>
            <w:r>
              <w:rPr>
                <w:rFonts w:hint="eastAsia"/>
                <w:color w:val="000000"/>
                <w:sz w:val="22"/>
                <w:szCs w:val="22"/>
              </w:rPr>
              <w:t>87</w:t>
            </w:r>
          </w:p>
        </w:tc>
        <w:tc>
          <w:tcPr>
            <w:tcW w:w="1094"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rPr>
              <w:t>701.45</w:t>
            </w:r>
          </w:p>
        </w:tc>
        <w:tc>
          <w:tcPr>
            <w:tcW w:w="1359" w:type="dxa"/>
            <w:shd w:val="clear" w:color="auto" w:fill="auto"/>
            <w:vAlign w:val="center"/>
          </w:tcPr>
          <w:p>
            <w:pPr>
              <w:widowControl/>
              <w:jc w:val="center"/>
              <w:textAlignment w:val="center"/>
              <w:rPr>
                <w:rFonts w:hint="eastAsia"/>
                <w:color w:val="000000"/>
                <w:sz w:val="22"/>
                <w:szCs w:val="22"/>
              </w:rPr>
            </w:pPr>
            <w:r>
              <w:rPr>
                <w:rFonts w:hint="eastAsia"/>
                <w:color w:val="000000"/>
                <w:sz w:val="22"/>
                <w:szCs w:val="22"/>
                <w:lang w:val="en-US" w:eastAsia="zh-CN"/>
              </w:rPr>
              <w:t>61026.15</w:t>
            </w:r>
          </w:p>
        </w:tc>
        <w:tc>
          <w:tcPr>
            <w:tcW w:w="1190" w:type="dxa"/>
            <w:shd w:val="clear" w:color="auto" w:fill="auto"/>
            <w:vAlign w:val="center"/>
          </w:tcPr>
          <w:p>
            <w:pPr>
              <w:jc w:val="center"/>
              <w:textAlignment w:val="center"/>
              <w:rPr>
                <w:color w:val="000000"/>
                <w:sz w:val="22"/>
                <w:szCs w:val="22"/>
              </w:rPr>
            </w:pPr>
          </w:p>
        </w:tc>
        <w:tc>
          <w:tcPr>
            <w:tcW w:w="1063" w:type="dxa"/>
            <w:shd w:val="clear" w:color="auto" w:fill="auto"/>
            <w:vAlign w:val="center"/>
          </w:tcPr>
          <w:p>
            <w:pPr>
              <w:jc w:val="center"/>
              <w:textAlignment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52" w:type="dxa"/>
            <w:shd w:val="clear" w:color="auto" w:fill="auto"/>
            <w:vAlign w:val="center"/>
          </w:tcPr>
          <w:p>
            <w:pPr>
              <w:widowControl/>
              <w:jc w:val="center"/>
              <w:textAlignment w:val="center"/>
              <w:rPr>
                <w:color w:val="000000"/>
                <w:sz w:val="22"/>
                <w:szCs w:val="22"/>
              </w:rPr>
            </w:pPr>
            <w:r>
              <w:rPr>
                <w:color w:val="000000"/>
                <w:sz w:val="22"/>
                <w:szCs w:val="22"/>
              </w:rPr>
              <w:t>7</w:t>
            </w:r>
          </w:p>
        </w:tc>
        <w:tc>
          <w:tcPr>
            <w:tcW w:w="2181" w:type="dxa"/>
            <w:gridSpan w:val="2"/>
            <w:shd w:val="clear" w:color="auto" w:fill="auto"/>
            <w:vAlign w:val="center"/>
          </w:tcPr>
          <w:p>
            <w:pPr>
              <w:widowControl/>
              <w:jc w:val="center"/>
              <w:textAlignment w:val="center"/>
              <w:rPr>
                <w:color w:val="000000"/>
                <w:sz w:val="22"/>
                <w:szCs w:val="22"/>
              </w:rPr>
            </w:pPr>
            <w:r>
              <w:rPr>
                <w:rFonts w:hint="eastAsia"/>
                <w:color w:val="000000"/>
                <w:sz w:val="22"/>
                <w:szCs w:val="22"/>
              </w:rPr>
              <w:t>税前合计</w:t>
            </w:r>
          </w:p>
        </w:tc>
        <w:tc>
          <w:tcPr>
            <w:tcW w:w="669" w:type="dxa"/>
            <w:shd w:val="clear" w:color="auto" w:fill="auto"/>
            <w:vAlign w:val="center"/>
          </w:tcPr>
          <w:p>
            <w:pPr>
              <w:jc w:val="center"/>
              <w:rPr>
                <w:color w:val="000000"/>
                <w:sz w:val="22"/>
                <w:szCs w:val="22"/>
              </w:rPr>
            </w:pPr>
            <w:r>
              <w:rPr>
                <w:rFonts w:hint="eastAsia"/>
                <w:color w:val="000000"/>
                <w:sz w:val="22"/>
                <w:szCs w:val="22"/>
              </w:rPr>
              <w:t>m³</w:t>
            </w:r>
          </w:p>
        </w:tc>
        <w:tc>
          <w:tcPr>
            <w:tcW w:w="991" w:type="dxa"/>
            <w:shd w:val="clear" w:color="auto" w:fill="auto"/>
            <w:vAlign w:val="center"/>
          </w:tcPr>
          <w:p>
            <w:pPr>
              <w:jc w:val="center"/>
              <w:rPr>
                <w:color w:val="000000"/>
                <w:sz w:val="22"/>
                <w:szCs w:val="22"/>
              </w:rPr>
            </w:pPr>
            <w:r>
              <w:rPr>
                <w:rFonts w:hint="eastAsia"/>
                <w:color w:val="000000"/>
                <w:sz w:val="22"/>
                <w:szCs w:val="22"/>
              </w:rPr>
              <w:t>1886</w:t>
            </w:r>
          </w:p>
        </w:tc>
        <w:tc>
          <w:tcPr>
            <w:tcW w:w="1094" w:type="dxa"/>
            <w:shd w:val="clear" w:color="auto" w:fill="auto"/>
            <w:vAlign w:val="center"/>
          </w:tcPr>
          <w:p>
            <w:pPr>
              <w:widowControl/>
              <w:jc w:val="center"/>
              <w:textAlignment w:val="center"/>
              <w:rPr>
                <w:rFonts w:hint="eastAsia"/>
                <w:color w:val="000000"/>
                <w:sz w:val="22"/>
                <w:szCs w:val="22"/>
              </w:rPr>
            </w:pPr>
          </w:p>
        </w:tc>
        <w:tc>
          <w:tcPr>
            <w:tcW w:w="1359" w:type="dxa"/>
            <w:shd w:val="clear" w:color="auto" w:fill="auto"/>
            <w:vAlign w:val="center"/>
          </w:tcPr>
          <w:p>
            <w:pPr>
              <w:widowControl/>
              <w:jc w:val="center"/>
              <w:textAlignment w:val="center"/>
              <w:rPr>
                <w:rFonts w:hint="eastAsia"/>
                <w:color w:val="000000"/>
                <w:sz w:val="22"/>
                <w:szCs w:val="22"/>
                <w:lang w:val="en-US" w:eastAsia="zh-CN"/>
              </w:rPr>
            </w:pPr>
            <w:r>
              <w:rPr>
                <w:rFonts w:hint="eastAsia"/>
                <w:color w:val="000000"/>
                <w:sz w:val="22"/>
                <w:szCs w:val="22"/>
                <w:lang w:val="en-US" w:eastAsia="zh-CN"/>
              </w:rPr>
              <w:t>1403295.81</w:t>
            </w:r>
          </w:p>
        </w:tc>
        <w:tc>
          <w:tcPr>
            <w:tcW w:w="1190" w:type="dxa"/>
            <w:shd w:val="clear" w:color="auto" w:fill="auto"/>
            <w:vAlign w:val="center"/>
          </w:tcPr>
          <w:p>
            <w:pPr>
              <w:jc w:val="center"/>
              <w:rPr>
                <w:color w:val="000000"/>
                <w:sz w:val="22"/>
                <w:szCs w:val="22"/>
              </w:rPr>
            </w:pPr>
          </w:p>
        </w:tc>
        <w:tc>
          <w:tcPr>
            <w:tcW w:w="1063" w:type="dxa"/>
            <w:shd w:val="clear" w:color="auto" w:fill="auto"/>
            <w:vAlign w:val="center"/>
          </w:tcPr>
          <w:p>
            <w:pPr>
              <w:jc w:val="center"/>
              <w:rPr>
                <w:color w:val="000000"/>
                <w:sz w:val="22"/>
                <w:szCs w:val="22"/>
              </w:rPr>
            </w:pPr>
          </w:p>
        </w:tc>
        <w:tc>
          <w:tcPr>
            <w:tcW w:w="1215" w:type="dxa"/>
            <w:shd w:val="clear" w:color="auto" w:fill="auto"/>
            <w:vAlign w:val="center"/>
          </w:tcPr>
          <w:p>
            <w:pPr>
              <w:widowControl/>
              <w:jc w:val="center"/>
              <w:textAlignment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52" w:type="dxa"/>
            <w:shd w:val="clear" w:color="auto" w:fill="auto"/>
            <w:vAlign w:val="center"/>
          </w:tcPr>
          <w:p>
            <w:pPr>
              <w:widowControl/>
              <w:jc w:val="center"/>
              <w:textAlignment w:val="center"/>
              <w:rPr>
                <w:rFonts w:ascii="宋体" w:hAnsi="宋体" w:cs="宋体"/>
                <w:color w:val="000000"/>
                <w:kern w:val="0"/>
                <w:szCs w:val="21"/>
                <w:lang w:bidi="ar"/>
              </w:rPr>
            </w:pPr>
          </w:p>
        </w:tc>
        <w:tc>
          <w:tcPr>
            <w:tcW w:w="1390" w:type="dxa"/>
            <w:shd w:val="clear" w:color="auto" w:fill="auto"/>
            <w:vAlign w:val="center"/>
          </w:tcPr>
          <w:p>
            <w:pPr>
              <w:widowControl/>
              <w:jc w:val="center"/>
              <w:textAlignment w:val="center"/>
              <w:rPr>
                <w:rFonts w:ascii="宋体" w:hAnsi="宋体" w:cs="宋体"/>
                <w:b/>
                <w:bCs/>
                <w:kern w:val="0"/>
                <w:szCs w:val="21"/>
                <w:lang w:bidi="ar"/>
              </w:rPr>
            </w:pPr>
          </w:p>
        </w:tc>
        <w:tc>
          <w:tcPr>
            <w:tcW w:w="4904" w:type="dxa"/>
            <w:gridSpan w:val="5"/>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b/>
                <w:bCs/>
                <w:kern w:val="0"/>
                <w:szCs w:val="21"/>
                <w:lang w:bidi="ar"/>
              </w:rPr>
              <w:t>投标人填报：增值税专用发票抵扣税率</w:t>
            </w:r>
          </w:p>
        </w:tc>
        <w:tc>
          <w:tcPr>
            <w:tcW w:w="2253" w:type="dxa"/>
            <w:gridSpan w:val="2"/>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u w:val="single"/>
                <w:lang w:bidi="ar"/>
              </w:rPr>
              <w:t xml:space="preserve">         %</w:t>
            </w:r>
          </w:p>
        </w:tc>
        <w:tc>
          <w:tcPr>
            <w:tcW w:w="1215" w:type="dxa"/>
            <w:shd w:val="clear" w:color="auto" w:fill="auto"/>
            <w:vAlign w:val="center"/>
          </w:tcPr>
          <w:p>
            <w:pPr>
              <w:widowControl/>
              <w:jc w:val="lef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14" w:type="dxa"/>
            <w:gridSpan w:val="10"/>
            <w:shd w:val="clear" w:color="auto" w:fill="auto"/>
            <w:vAlign w:val="center"/>
          </w:tcPr>
          <w:p>
            <w:pPr>
              <w:ind w:firstLine="422" w:firstLineChars="200"/>
              <w:jc w:val="left"/>
              <w:rPr>
                <w:rFonts w:ascii="宋体" w:hAnsi="宋体" w:cs="宋体"/>
                <w:szCs w:val="21"/>
                <w:shd w:val="clear" w:color="auto" w:fill="FFFFFF"/>
              </w:rPr>
            </w:pPr>
            <w:r>
              <w:rPr>
                <w:rFonts w:hint="eastAsia" w:ascii="宋体" w:hAnsi="宋体" w:cs="宋体"/>
                <w:b/>
                <w:bCs/>
                <w:szCs w:val="21"/>
                <w:shd w:val="clear" w:color="auto" w:fill="FFFFFF"/>
              </w:rPr>
              <w:t>注：</w:t>
            </w:r>
            <w:r>
              <w:rPr>
                <w:rFonts w:hint="eastAsia" w:ascii="宋体" w:hAnsi="宋体" w:cs="宋体"/>
                <w:szCs w:val="21"/>
                <w:shd w:val="clear" w:color="auto" w:fill="FFFFFF"/>
              </w:rPr>
              <w:t>本竞争性比选文件约定的材料价格为公开竞争性比选，单价为不含税到场价（包含运输费、材料费、保险、通行费、合理损耗、间接费、运杂费、利润、规费、物价上涨、安全措施费、装卸费等在内的各种费用以及合同明示或暗示的所有责任、义务和一般风险），卸货至比选人指定的施工现场，报价请保留两位小数。暂估量仅作为评标的依据与基础，比选人根据开标结果与成交单位签订材料供应单价合同。各规格型号材料实际采购数量以比选人最终需求数量为准，比选申请人不得以此当做单价变更的任何条件。</w:t>
            </w:r>
          </w:p>
          <w:p>
            <w:pPr>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1、表中价格</w:t>
            </w:r>
            <w:r>
              <w:rPr>
                <w:rFonts w:hint="eastAsia" w:ascii="宋体" w:hAnsi="宋体" w:cs="宋体"/>
                <w:b/>
                <w:bCs/>
                <w:szCs w:val="21"/>
                <w:u w:val="single"/>
                <w:shd w:val="clear" w:color="auto" w:fill="FFFFFF"/>
              </w:rPr>
              <w:t>为固定单价</w:t>
            </w:r>
            <w:r>
              <w:rPr>
                <w:rFonts w:hint="eastAsia" w:ascii="宋体" w:hAnsi="宋体" w:cs="宋体"/>
                <w:szCs w:val="21"/>
                <w:shd w:val="clear" w:color="auto" w:fill="FFFFFF"/>
              </w:rPr>
              <w:t>，项目实施过程不予调价，竞价人须充分考虑相关风险后进行报价。</w:t>
            </w:r>
          </w:p>
          <w:p>
            <w:pPr>
              <w:widowControl/>
              <w:ind w:firstLine="420" w:firstLineChars="200"/>
              <w:jc w:val="left"/>
              <w:rPr>
                <w:rFonts w:ascii="宋体" w:hAnsi="宋体" w:cs="宋体"/>
                <w:b/>
                <w:bCs/>
                <w:szCs w:val="21"/>
                <w:u w:val="single"/>
                <w:shd w:val="clear" w:color="auto" w:fill="FFFFFF"/>
              </w:rPr>
            </w:pPr>
            <w:r>
              <w:rPr>
                <w:rFonts w:hint="eastAsia" w:ascii="宋体" w:hAnsi="宋体" w:cs="宋体"/>
                <w:szCs w:val="21"/>
                <w:shd w:val="clear" w:color="auto" w:fill="FFFFFF"/>
              </w:rPr>
              <w:t>2、本工程为高速公路作业，竞标人需服从询价人的交通作业指挥。询价人指定的交货地点：</w:t>
            </w:r>
            <w:r>
              <w:rPr>
                <w:rFonts w:hint="eastAsia" w:ascii="宋体" w:hAnsi="宋体" w:cs="宋体"/>
                <w:b/>
                <w:bCs/>
                <w:szCs w:val="21"/>
                <w:u w:val="single"/>
                <w:shd w:val="clear" w:color="auto" w:fill="FFFFFF"/>
              </w:rPr>
              <w:t>重庆市巫奉高速马垭口隧道。</w:t>
            </w:r>
          </w:p>
          <w:p>
            <w:pPr>
              <w:ind w:firstLine="420" w:firstLineChars="200"/>
              <w:jc w:val="left"/>
              <w:rPr>
                <w:rFonts w:ascii="宋体" w:hAnsi="宋体" w:cs="宋体"/>
                <w:szCs w:val="21"/>
              </w:rPr>
            </w:pPr>
            <w:r>
              <w:rPr>
                <w:rFonts w:hint="eastAsia" w:ascii="宋体" w:hAnsi="宋体" w:cs="宋体"/>
                <w:szCs w:val="21"/>
                <w:shd w:val="clear" w:color="auto" w:fill="FFFFFF"/>
              </w:rPr>
              <w:t>3、</w:t>
            </w:r>
            <w:r>
              <w:rPr>
                <w:rFonts w:hint="eastAsia" w:ascii="宋体" w:hAnsi="宋体" w:cs="宋体"/>
                <w:szCs w:val="21"/>
              </w:rPr>
              <w:t>上述报价为税前单价，按税前单价及其税前合计金额进行评标，按含税单价签订合同。中标人含税单价=中标人投标报价*（1+中标人增值税专用发票抵扣税率），四舍五入保留两位小数。</w:t>
            </w:r>
            <w:r>
              <w:rPr>
                <w:rFonts w:hint="eastAsia" w:ascii="宋体" w:hAnsi="宋体" w:cs="宋体"/>
                <w:szCs w:val="21"/>
                <w:shd w:val="clear" w:color="auto" w:fill="FFFFFF"/>
              </w:rPr>
              <w:t>比选人应提供合法有效且符合比选申请人要求的增值税专用发票（开票方式为到场单价一票制，运输费等相关费用不再单独开具发票）。开具增值税专用发票和账单，注明比选人所用材料规格型号、方量、单价、总金额。材料结算单价和发票单价必须一致。</w:t>
            </w:r>
          </w:p>
        </w:tc>
      </w:tr>
    </w:tbl>
    <w:p>
      <w:pPr>
        <w:spacing w:line="400" w:lineRule="atLeast"/>
        <w:ind w:firstLine="420" w:firstLineChars="200"/>
        <w:rPr>
          <w:color w:val="000000"/>
          <w:szCs w:val="21"/>
        </w:rPr>
      </w:pPr>
      <w:r>
        <w:rPr>
          <w:rFonts w:hint="eastAsia"/>
          <w:color w:val="000000"/>
          <w:szCs w:val="21"/>
        </w:rPr>
        <w:t xml:space="preserve">比选申请人（盖单位公章）：___________________                </w:t>
      </w:r>
    </w:p>
    <w:p>
      <w:pPr>
        <w:spacing w:line="400" w:lineRule="atLeast"/>
        <w:ind w:firstLine="420" w:firstLineChars="200"/>
        <w:rPr>
          <w:color w:val="000000"/>
          <w:szCs w:val="21"/>
        </w:rPr>
      </w:pPr>
      <w:r>
        <w:rPr>
          <w:rFonts w:hint="eastAsia"/>
          <w:color w:val="000000"/>
          <w:szCs w:val="21"/>
        </w:rPr>
        <w:t xml:space="preserve">法定代表人（或授权代表）：___________________联系电话：___________________                                     </w:t>
      </w:r>
    </w:p>
    <w:p>
      <w:pPr>
        <w:spacing w:line="400" w:lineRule="atLeast"/>
        <w:ind w:firstLine="3570" w:firstLineChars="1700"/>
        <w:rPr>
          <w:color w:val="000000"/>
          <w:szCs w:val="21"/>
        </w:rPr>
      </w:pPr>
      <w:r>
        <w:rPr>
          <w:rFonts w:hint="eastAsia"/>
          <w:color w:val="000000"/>
          <w:szCs w:val="21"/>
        </w:rPr>
        <w:t>日期：   年    月    日</w:t>
      </w:r>
    </w:p>
    <w:p/>
    <w:p/>
    <w:p/>
    <w:p/>
    <w:p/>
    <w:p/>
    <w:p/>
    <w:p/>
    <w:p/>
    <w:p/>
    <w:p/>
    <w:p/>
    <w:p>
      <w:pPr>
        <w:tabs>
          <w:tab w:val="left" w:pos="900"/>
          <w:tab w:val="left" w:pos="1080"/>
        </w:tabs>
        <w:spacing w:line="300" w:lineRule="auto"/>
        <w:ind w:left="210" w:leftChars="100"/>
        <w:jc w:val="center"/>
        <w:outlineLvl w:val="0"/>
        <w:rPr>
          <w:rFonts w:ascii="宋体" w:hAnsi="宋体" w:cs="宋体"/>
          <w:b/>
          <w:sz w:val="28"/>
          <w:szCs w:val="28"/>
        </w:rPr>
      </w:pPr>
      <w:r>
        <w:rPr>
          <w:rFonts w:hint="eastAsia" w:ascii="宋体" w:hAnsi="宋体" w:cs="宋体"/>
          <w:b/>
          <w:sz w:val="28"/>
          <w:szCs w:val="28"/>
        </w:rPr>
        <w:t>六、投标保证金缴纳证明文件</w:t>
      </w:r>
    </w:p>
    <w:p>
      <w:pPr>
        <w:pStyle w:val="10"/>
        <w:ind w:left="5250" w:firstLine="5520" w:firstLineChars="2300"/>
        <w:jc w:val="both"/>
        <w:rPr>
          <w:color w:val="auto"/>
        </w:rPr>
      </w:pPr>
    </w:p>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95DFC"/>
    <w:multiLevelType w:val="multilevel"/>
    <w:tmpl w:val="50395DFC"/>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89AB4D9"/>
    <w:multiLevelType w:val="singleLevel"/>
    <w:tmpl w:val="589AB4D9"/>
    <w:lvl w:ilvl="0" w:tentative="0">
      <w:start w:val="4"/>
      <w:numFmt w:val="chineseCounting"/>
      <w:suff w:val="nothing"/>
      <w:lvlText w:val="%1、"/>
      <w:lvlJc w:val="left"/>
    </w:lvl>
  </w:abstractNum>
  <w:abstractNum w:abstractNumId="2">
    <w:nsid w:val="59FBED4B"/>
    <w:multiLevelType w:val="singleLevel"/>
    <w:tmpl w:val="59FBED4B"/>
    <w:lvl w:ilvl="0" w:tentative="0">
      <w:start w:val="1"/>
      <w:numFmt w:val="chineseCounting"/>
      <w:suff w:val="nothing"/>
      <w:lvlText w:val="%1、"/>
      <w:lvlJc w:val="left"/>
    </w:lvl>
  </w:abstractNum>
  <w:abstractNum w:abstractNumId="3">
    <w:nsid w:val="67AC1167"/>
    <w:multiLevelType w:val="multilevel"/>
    <w:tmpl w:val="67AC116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2MwYjU0NzE2NjIzODgxOTgxODAzOTY5OWM1ZGEifQ=="/>
  </w:docVars>
  <w:rsids>
    <w:rsidRoot w:val="349A1550"/>
    <w:rsid w:val="000009B2"/>
    <w:rsid w:val="00004D23"/>
    <w:rsid w:val="0002561D"/>
    <w:rsid w:val="00031EB8"/>
    <w:rsid w:val="00034AA6"/>
    <w:rsid w:val="00060F33"/>
    <w:rsid w:val="0006278E"/>
    <w:rsid w:val="000816A7"/>
    <w:rsid w:val="000A3C97"/>
    <w:rsid w:val="000E41A6"/>
    <w:rsid w:val="00122FEA"/>
    <w:rsid w:val="00144866"/>
    <w:rsid w:val="0015360B"/>
    <w:rsid w:val="00160021"/>
    <w:rsid w:val="00183925"/>
    <w:rsid w:val="00185E94"/>
    <w:rsid w:val="00190346"/>
    <w:rsid w:val="001A07B1"/>
    <w:rsid w:val="001A17FC"/>
    <w:rsid w:val="001D1C54"/>
    <w:rsid w:val="001E6BAB"/>
    <w:rsid w:val="002019FB"/>
    <w:rsid w:val="00205087"/>
    <w:rsid w:val="00213A12"/>
    <w:rsid w:val="002163CF"/>
    <w:rsid w:val="002375D0"/>
    <w:rsid w:val="00296AF2"/>
    <w:rsid w:val="002B3FCB"/>
    <w:rsid w:val="00307420"/>
    <w:rsid w:val="00334821"/>
    <w:rsid w:val="0036655B"/>
    <w:rsid w:val="00381A87"/>
    <w:rsid w:val="00395A28"/>
    <w:rsid w:val="00397B0B"/>
    <w:rsid w:val="003B2F1A"/>
    <w:rsid w:val="003C0814"/>
    <w:rsid w:val="003D266B"/>
    <w:rsid w:val="003E6995"/>
    <w:rsid w:val="004671E3"/>
    <w:rsid w:val="00473304"/>
    <w:rsid w:val="004C5189"/>
    <w:rsid w:val="00535D19"/>
    <w:rsid w:val="005A7D37"/>
    <w:rsid w:val="005D41FB"/>
    <w:rsid w:val="00604ED5"/>
    <w:rsid w:val="006108A6"/>
    <w:rsid w:val="00623F40"/>
    <w:rsid w:val="006851A1"/>
    <w:rsid w:val="006A11EC"/>
    <w:rsid w:val="006A2761"/>
    <w:rsid w:val="006B3FCB"/>
    <w:rsid w:val="006D18F4"/>
    <w:rsid w:val="006E2BA2"/>
    <w:rsid w:val="006E7460"/>
    <w:rsid w:val="00700980"/>
    <w:rsid w:val="00716930"/>
    <w:rsid w:val="007534E1"/>
    <w:rsid w:val="00754B49"/>
    <w:rsid w:val="00773EB8"/>
    <w:rsid w:val="00786A2C"/>
    <w:rsid w:val="00786F2E"/>
    <w:rsid w:val="00793EE7"/>
    <w:rsid w:val="007A238E"/>
    <w:rsid w:val="007A37D3"/>
    <w:rsid w:val="007C2149"/>
    <w:rsid w:val="007C7964"/>
    <w:rsid w:val="007E645A"/>
    <w:rsid w:val="007F394C"/>
    <w:rsid w:val="008363BD"/>
    <w:rsid w:val="008B47E8"/>
    <w:rsid w:val="008F6E01"/>
    <w:rsid w:val="00901569"/>
    <w:rsid w:val="009044B1"/>
    <w:rsid w:val="00921CB2"/>
    <w:rsid w:val="00925F42"/>
    <w:rsid w:val="00934A8D"/>
    <w:rsid w:val="00955565"/>
    <w:rsid w:val="00963465"/>
    <w:rsid w:val="009768D5"/>
    <w:rsid w:val="00991D35"/>
    <w:rsid w:val="009929B7"/>
    <w:rsid w:val="0099313E"/>
    <w:rsid w:val="009A6B3D"/>
    <w:rsid w:val="009B48FD"/>
    <w:rsid w:val="009B499D"/>
    <w:rsid w:val="009E542F"/>
    <w:rsid w:val="00A5415A"/>
    <w:rsid w:val="00A56866"/>
    <w:rsid w:val="00A668FA"/>
    <w:rsid w:val="00A7125A"/>
    <w:rsid w:val="00A81F27"/>
    <w:rsid w:val="00AA1FEB"/>
    <w:rsid w:val="00AA53F6"/>
    <w:rsid w:val="00AC284D"/>
    <w:rsid w:val="00AD080B"/>
    <w:rsid w:val="00AE7C52"/>
    <w:rsid w:val="00B065F3"/>
    <w:rsid w:val="00B11619"/>
    <w:rsid w:val="00B119C1"/>
    <w:rsid w:val="00BA5D81"/>
    <w:rsid w:val="00BC5461"/>
    <w:rsid w:val="00BD1B39"/>
    <w:rsid w:val="00BE5850"/>
    <w:rsid w:val="00BF6551"/>
    <w:rsid w:val="00C06836"/>
    <w:rsid w:val="00C114F7"/>
    <w:rsid w:val="00C13D0A"/>
    <w:rsid w:val="00C20E75"/>
    <w:rsid w:val="00C42623"/>
    <w:rsid w:val="00C45EED"/>
    <w:rsid w:val="00C62EE4"/>
    <w:rsid w:val="00C72378"/>
    <w:rsid w:val="00C9296F"/>
    <w:rsid w:val="00C975DD"/>
    <w:rsid w:val="00CB18C0"/>
    <w:rsid w:val="00CB5D96"/>
    <w:rsid w:val="00CC1574"/>
    <w:rsid w:val="00CF6A43"/>
    <w:rsid w:val="00D01F31"/>
    <w:rsid w:val="00D16D36"/>
    <w:rsid w:val="00D2053C"/>
    <w:rsid w:val="00D2204F"/>
    <w:rsid w:val="00D34B19"/>
    <w:rsid w:val="00DA2610"/>
    <w:rsid w:val="00DA4532"/>
    <w:rsid w:val="00DB7E8F"/>
    <w:rsid w:val="00DC4556"/>
    <w:rsid w:val="00DD5A45"/>
    <w:rsid w:val="00DE64FF"/>
    <w:rsid w:val="00DE6E79"/>
    <w:rsid w:val="00E32534"/>
    <w:rsid w:val="00E4176B"/>
    <w:rsid w:val="00E5635D"/>
    <w:rsid w:val="00E97BCA"/>
    <w:rsid w:val="00EA7CBB"/>
    <w:rsid w:val="00EB4689"/>
    <w:rsid w:val="00EB766A"/>
    <w:rsid w:val="00ED2A3F"/>
    <w:rsid w:val="00EE2CEE"/>
    <w:rsid w:val="00F2321D"/>
    <w:rsid w:val="00F514D2"/>
    <w:rsid w:val="00F55547"/>
    <w:rsid w:val="00F63AE7"/>
    <w:rsid w:val="00F67F54"/>
    <w:rsid w:val="00F71155"/>
    <w:rsid w:val="00F85518"/>
    <w:rsid w:val="00FB5C83"/>
    <w:rsid w:val="00FC10D7"/>
    <w:rsid w:val="00FE7EEF"/>
    <w:rsid w:val="00FF3591"/>
    <w:rsid w:val="017C0232"/>
    <w:rsid w:val="02224073"/>
    <w:rsid w:val="06AC5775"/>
    <w:rsid w:val="0ACC5CE4"/>
    <w:rsid w:val="0CE0261E"/>
    <w:rsid w:val="0D6231C7"/>
    <w:rsid w:val="0EC67291"/>
    <w:rsid w:val="0ECF2B6F"/>
    <w:rsid w:val="0F394DC8"/>
    <w:rsid w:val="0F843BEA"/>
    <w:rsid w:val="121A7883"/>
    <w:rsid w:val="12E86320"/>
    <w:rsid w:val="12EF19FD"/>
    <w:rsid w:val="132803FF"/>
    <w:rsid w:val="176725E7"/>
    <w:rsid w:val="1D022D7B"/>
    <w:rsid w:val="1EB61874"/>
    <w:rsid w:val="1FA83694"/>
    <w:rsid w:val="20083813"/>
    <w:rsid w:val="20122E29"/>
    <w:rsid w:val="25DB0988"/>
    <w:rsid w:val="283326B3"/>
    <w:rsid w:val="283C5022"/>
    <w:rsid w:val="290822BE"/>
    <w:rsid w:val="2AE94D8E"/>
    <w:rsid w:val="2EF857AD"/>
    <w:rsid w:val="2F5C6AA1"/>
    <w:rsid w:val="2F837332"/>
    <w:rsid w:val="30B17ECF"/>
    <w:rsid w:val="31376626"/>
    <w:rsid w:val="332E2493"/>
    <w:rsid w:val="349A1550"/>
    <w:rsid w:val="355C652D"/>
    <w:rsid w:val="36DE286A"/>
    <w:rsid w:val="37FD501A"/>
    <w:rsid w:val="39AF0E40"/>
    <w:rsid w:val="3DF67564"/>
    <w:rsid w:val="43B44BF3"/>
    <w:rsid w:val="43C91EF3"/>
    <w:rsid w:val="4BCB5E91"/>
    <w:rsid w:val="51361FFF"/>
    <w:rsid w:val="51C501F0"/>
    <w:rsid w:val="51FC6627"/>
    <w:rsid w:val="53FC1A4E"/>
    <w:rsid w:val="55877B5D"/>
    <w:rsid w:val="59C56616"/>
    <w:rsid w:val="5DB6074F"/>
    <w:rsid w:val="5FA212FF"/>
    <w:rsid w:val="62CF347D"/>
    <w:rsid w:val="666D1BC7"/>
    <w:rsid w:val="6A6D1720"/>
    <w:rsid w:val="6B9569F6"/>
    <w:rsid w:val="6CC771BC"/>
    <w:rsid w:val="6E2B15E2"/>
    <w:rsid w:val="750C58CE"/>
    <w:rsid w:val="75A730DE"/>
    <w:rsid w:val="787C2BD1"/>
    <w:rsid w:val="7AA5772A"/>
    <w:rsid w:val="7F485CB7"/>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b/>
      <w:bCs/>
      <w:caps/>
      <w:sz w:val="20"/>
    </w:rPr>
  </w:style>
  <w:style w:type="paragraph" w:customStyle="1" w:styleId="9">
    <w:name w:val="无间隔1"/>
    <w:qFormat/>
    <w:uiPriority w:val="1"/>
    <w:pPr>
      <w:jc w:val="both"/>
    </w:pPr>
    <w:rPr>
      <w:rFonts w:ascii="Times New Roman" w:hAnsi="Times New Roman" w:eastAsia="Times New Roman" w:cs="Times New Roman"/>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15123</Words>
  <Characters>16193</Characters>
  <Lines>135</Lines>
  <Paragraphs>38</Paragraphs>
  <TotalTime>22</TotalTime>
  <ScaleCrop>false</ScaleCrop>
  <LinksUpToDate>false</LinksUpToDate>
  <CharactersWithSpaces>17730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2022-02-15T08:06:00Z</dcterms:created>
  <dc:creator>哈皮扭几儿</dc:creator>
  <cp:lastModifiedBy>医大里的非医学生</cp:lastModifiedBy>
  <dcterms:modified xsi:type="dcterms:W3CDTF">2023-06-11T09:51:48Z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5735861AF42A4CBB9F540905E72A1336</vt:lpwstr>
  </property>
</Properties>
</file>