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涪江重庆段航道整治和渭沱枢纽船闸扩能升级改造工程国家湿地公园影响论证</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6</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涪江重庆段航道整治和渭沱枢纽船闸扩能升级改造工程国家湿地公园影响论证</w:t>
      </w:r>
      <w:r>
        <w:rPr>
          <w:rFonts w:hint="default" w:ascii="Times New Roman" w:hAnsi="Times New Roman" w:eastAsia="方正小标宋_GBK" w:cs="Times New Roman"/>
          <w:color w:val="auto"/>
          <w:sz w:val="36"/>
          <w:szCs w:val="36"/>
          <w:highlight w:val="none"/>
          <w:lang w:val="en-US" w:eastAsia="zh-CN"/>
        </w:rPr>
        <w:t>询</w:t>
      </w:r>
      <w:r>
        <w:rPr>
          <w:rFonts w:hint="default" w:ascii="Times New Roman" w:hAnsi="Times New Roman" w:eastAsia="方正小标宋_GBK" w:cs="Times New Roman"/>
          <w:color w:val="auto"/>
          <w:sz w:val="36"/>
          <w:szCs w:val="36"/>
          <w:highlight w:val="none"/>
          <w:lang w:eastAsia="zh-CN"/>
        </w:rPr>
        <w:t>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0126361"/>
      <w:bookmarkStart w:id="3" w:name="_Toc29194681"/>
      <w:bookmarkStart w:id="4" w:name="_Toc6230450"/>
      <w:bookmarkStart w:id="5" w:name="_Toc52097500"/>
      <w:bookmarkStart w:id="6" w:name="_Toc37564157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涪江重庆段航道整治和渭沱枢纽船闸扩能升级改造工程国家湿地公园影响论证</w:t>
      </w:r>
      <w:r>
        <w:rPr>
          <w:rFonts w:hint="default" w:ascii="Times New Roman" w:hAnsi="Times New Roman" w:eastAsia="方正仿宋_GBK" w:cs="Times New Roman"/>
          <w:bCs/>
          <w:color w:val="auto"/>
          <w:sz w:val="32"/>
          <w:szCs w:val="32"/>
          <w:highlight w:val="none"/>
          <w:u w:val="single"/>
          <w:lang w:val="en-US" w:eastAsia="zh-CN"/>
        </w:rPr>
        <w:t>询价公告</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国家湿地公园影响论证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52097501"/>
      <w:bookmarkStart w:id="9" w:name="_Toc29194682"/>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21092"/>
      <w:bookmarkStart w:id="12" w:name="_Toc324429695"/>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i/>
          <w:iCs/>
          <w:color w:val="auto"/>
          <w:sz w:val="32"/>
          <w:szCs w:val="32"/>
          <w:highlight w:val="none"/>
          <w:lang w:val="en-US" w:eastAsia="zh-CN"/>
        </w:rPr>
        <w:t xml:space="preserve"> </w:t>
      </w:r>
      <w:r>
        <w:rPr>
          <w:rFonts w:hint="eastAsia" w:ascii="Times New Roman" w:hAnsi="Times New Roman" w:eastAsia="方正仿宋_GBK" w:cs="Times New Roman"/>
          <w:bCs/>
          <w:i w:val="0"/>
          <w:iCs w:val="0"/>
          <w:color w:val="auto"/>
          <w:sz w:val="32"/>
          <w:szCs w:val="32"/>
          <w:highlight w:val="none"/>
          <w:lang w:val="en-US" w:eastAsia="zh-CN"/>
        </w:rPr>
        <w:t>重庆合川区渭沱镇、涪江重庆段（潼南区、铜梁区、合川区）</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color w:val="auto"/>
          <w:kern w:val="0"/>
          <w:sz w:val="32"/>
          <w:szCs w:val="32"/>
          <w:highlight w:val="none"/>
          <w:lang w:val="en-US" w:eastAsia="zh-CN" w:bidi="ar-SA"/>
        </w:rPr>
        <w:t>涪江是嘉陵江右岸的最大一级支流，发源于四川省松潘县，主要流经四川平武、绵阳、遂宁和重庆潼南、铜梁、合川等地，干流全长670公里。其中涪江重庆段长约136公里。涪江全流域规划开发21个梯级，其中重庆境内5个，已建成投产潼南、富金坝、安居、渭沱4座梯级，双江梯级正在建设中，基本形成连续渠化河道。涪江重庆段航道整治工程预估总投资约5亿元。</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sz w:val="32"/>
          <w:szCs w:val="32"/>
          <w:lang w:val="en-US" w:eastAsia="zh-CN"/>
        </w:rPr>
        <w:t>涪江渭沱枢纽船闸扩能升级改造</w:t>
      </w:r>
      <w:r>
        <w:rPr>
          <w:rFonts w:hint="eastAsia" w:ascii="方正仿宋_GBK" w:hAnsi="方正仿宋_GBK" w:eastAsia="方正仿宋_GBK" w:cs="方正仿宋_GBK"/>
          <w:sz w:val="32"/>
          <w:szCs w:val="32"/>
          <w:lang w:eastAsia="zh-CN"/>
        </w:rPr>
        <w:t>工程位于合川区渭沱镇，是涪江最下游一个梯级，现有船闸现状为Ⅵ级，船闸尺度为100×12×8×2m（闸室长坝×闸室宽×闸首宽×门槛水深），通航船舶100吨级，年通过能力80万吨。拟通过改造现有船闸或新修建船闸进行扩能升级，达到Ⅳ级船闸标准，船闸尺度≥150*23*4.2m（长度*宽度*门槛水深），</w:t>
      </w:r>
      <w:r>
        <w:rPr>
          <w:rFonts w:hint="eastAsia" w:ascii="Times New Roman" w:hAnsi="Times New Roman" w:eastAsia="仿宋_GB2312" w:cs="Times New Roman"/>
          <w:sz w:val="32"/>
          <w:szCs w:val="32"/>
          <w:lang w:val="en-US" w:eastAsia="zh-CN"/>
        </w:rPr>
        <w:t>同时新建一座鱼道。</w:t>
      </w:r>
      <w:r>
        <w:rPr>
          <w:rFonts w:hint="eastAsia" w:ascii="方正仿宋_GBK" w:hAnsi="方正仿宋_GBK" w:eastAsia="方正仿宋_GBK" w:cs="方正仿宋_GBK"/>
          <w:sz w:val="32"/>
          <w:szCs w:val="32"/>
          <w:lang w:eastAsia="zh-CN"/>
        </w:rPr>
        <w:t>预估总投资约6-8亿元。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831499.0</w:t>
      </w:r>
      <w:r>
        <w:rPr>
          <w:rFonts w:hint="default" w:ascii="Times New Roman" w:hAnsi="Times New Roman" w:eastAsia="方正仿宋_GBK" w:cs="Times New Roman"/>
          <w:bCs/>
          <w:color w:val="auto"/>
          <w:sz w:val="32"/>
          <w:szCs w:val="32"/>
          <w:highlight w:val="none"/>
          <w:lang w:eastAsia="zh-CN"/>
        </w:rPr>
        <w:t>元</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其中</w:t>
      </w:r>
      <w:r>
        <w:rPr>
          <w:rFonts w:hint="eastAsia" w:ascii="方正仿宋_GBK" w:hAnsi="方正仿宋_GBK" w:eastAsia="方正仿宋_GBK" w:cs="方正仿宋_GBK"/>
          <w:sz w:val="32"/>
          <w:szCs w:val="32"/>
          <w:lang w:val="en-US" w:eastAsia="zh-CN"/>
        </w:rPr>
        <w:t>渭沱枢纽船闸扩能升级改造工程国家湿地公园影响论证报告编制上限价为207874.0元，涪江重庆段航道整治工程国家湿地公园影响论证报告编制上限价为623625.0元</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val="en-US" w:eastAsia="zh-CN"/>
        </w:rPr>
        <w:t>为涪江重庆段航道整治和渭沱枢纽船闸扩能升级改造工程国家湿地公园影响论证报告编制；其中渭沱船闸改造工程仅涉及合川三江国家湿地公园，涪江重庆段航道整治工程涉及潼南重庆涪江国家湿地公园、合川三江国家湿地公园、铜梁安居国家湿地公园</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w:t>
      </w:r>
      <w:r>
        <w:rPr>
          <w:rFonts w:hint="eastAsia" w:ascii="方正仿宋_GBK" w:hAnsi="方正仿宋_GBK" w:eastAsia="方正仿宋_GBK" w:cs="方正仿宋_GBK"/>
          <w:bCs/>
          <w:color w:val="auto"/>
          <w:sz w:val="32"/>
          <w:szCs w:val="32"/>
          <w:highlight w:val="none"/>
          <w:lang w:val="en-US" w:eastAsia="zh-CN"/>
        </w:rPr>
        <w:t>本</w:t>
      </w:r>
      <w:r>
        <w:rPr>
          <w:rFonts w:hint="eastAsia" w:ascii="方正仿宋_GBK" w:hAnsi="方正仿宋_GBK" w:eastAsia="方正仿宋_GBK" w:cs="方正仿宋_GBK"/>
          <w:sz w:val="32"/>
          <w:szCs w:val="32"/>
          <w:lang w:val="en-US" w:eastAsia="zh-CN"/>
        </w:rPr>
        <w:t>行业</w:t>
      </w:r>
      <w:r>
        <w:rPr>
          <w:rFonts w:hint="eastAsia" w:ascii="方正仿宋_GBK" w:hAnsi="方正仿宋_GBK" w:eastAsia="方正仿宋_GBK" w:cs="方正仿宋_GBK"/>
          <w:bCs/>
          <w:color w:val="auto"/>
          <w:sz w:val="32"/>
          <w:szCs w:val="32"/>
          <w:highlight w:val="none"/>
          <w:lang w:eastAsia="zh-CN"/>
        </w:rPr>
        <w:t>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并出具合格的报告</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配</w:t>
      </w:r>
    </w:p>
    <w:p>
      <w:pPr>
        <w:spacing w:line="510" w:lineRule="exact"/>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合</w:t>
      </w:r>
      <w:r>
        <w:rPr>
          <w:rFonts w:hint="eastAsia" w:ascii="方正仿宋_GBK" w:hAnsi="方正仿宋_GBK" w:eastAsia="方正仿宋_GBK" w:cs="方正仿宋_GBK"/>
          <w:bCs/>
          <w:color w:val="auto"/>
          <w:sz w:val="32"/>
          <w:szCs w:val="32"/>
          <w:highlight w:val="none"/>
          <w:lang w:val="en-US" w:eastAsia="zh-CN"/>
        </w:rPr>
        <w:t>环评编制</w:t>
      </w:r>
      <w:r>
        <w:rPr>
          <w:rFonts w:hint="eastAsia" w:ascii="方正仿宋_GBK" w:hAnsi="方正仿宋_GBK" w:eastAsia="方正仿宋_GBK" w:cs="方正仿宋_GBK"/>
          <w:bCs/>
          <w:color w:val="auto"/>
          <w:sz w:val="32"/>
          <w:szCs w:val="32"/>
          <w:highlight w:val="none"/>
          <w:lang w:eastAsia="zh-CN"/>
        </w:rPr>
        <w:t>、一切税费和公司取费（企业管理费、利润等）等一切相关费用均由供应商承担，并包含在供应商的响应报价之内。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支付合同总价的10%作为预付款；湿地公园影响论证报告通过行业主管部门审查后，支付合同总价的70%；取得行业主管部门批复意见后，再支付剩余合同总价的20%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本项目工期120日历天。甲方提供工可报告初稿后</w:t>
      </w:r>
      <w:r>
        <w:rPr>
          <w:rFonts w:hint="eastAsia" w:eastAsia="仿宋_GB2312"/>
          <w:kern w:val="0"/>
          <w:sz w:val="32"/>
          <w:szCs w:val="32"/>
        </w:rPr>
        <w:t>，</w:t>
      </w:r>
      <w:r>
        <w:rPr>
          <w:rFonts w:hint="eastAsia" w:eastAsia="仿宋_GB2312"/>
          <w:kern w:val="0"/>
          <w:sz w:val="32"/>
          <w:szCs w:val="32"/>
          <w:lang w:val="en-US" w:eastAsia="zh-CN"/>
        </w:rPr>
        <w:t>乙方于</w:t>
      </w:r>
      <w:r>
        <w:rPr>
          <w:rFonts w:hint="eastAsia" w:eastAsia="仿宋_GB2312"/>
          <w:kern w:val="0"/>
          <w:sz w:val="32"/>
          <w:szCs w:val="32"/>
        </w:rPr>
        <w:t>45日内提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eastAsia="仿宋_GB2312"/>
          <w:kern w:val="0"/>
          <w:sz w:val="32"/>
          <w:szCs w:val="32"/>
          <w:lang w:val="en-US" w:eastAsia="zh-CN"/>
        </w:rPr>
        <w:t>湿地公园影响论证报告</w:t>
      </w:r>
      <w:r>
        <w:rPr>
          <w:rFonts w:hint="eastAsia" w:eastAsia="仿宋_GB2312"/>
          <w:kern w:val="0"/>
          <w:sz w:val="32"/>
          <w:szCs w:val="32"/>
        </w:rPr>
        <w:t>》</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通</w:t>
      </w:r>
      <w:r>
        <w:rPr>
          <w:rFonts w:hint="eastAsia" w:eastAsia="仿宋_GB2312"/>
          <w:color w:val="auto"/>
          <w:kern w:val="0"/>
          <w:sz w:val="32"/>
          <w:szCs w:val="32"/>
          <w:highlight w:val="none"/>
          <w:lang w:val="en-US" w:eastAsia="zh-CN"/>
        </w:rPr>
        <w:t>过业主组织的专家审查并修</w:t>
      </w:r>
      <w:r>
        <w:rPr>
          <w:rFonts w:hint="eastAsia" w:eastAsia="仿宋_GB2312"/>
          <w:color w:val="auto"/>
          <w:kern w:val="0"/>
          <w:sz w:val="32"/>
          <w:szCs w:val="32"/>
          <w:lang w:val="en-US" w:eastAsia="zh-CN"/>
        </w:rPr>
        <w:t>改完善后，乙方于30天内提交《</w:t>
      </w:r>
      <w:r>
        <w:rPr>
          <w:rFonts w:hint="eastAsia" w:eastAsia="仿宋_GB2312"/>
          <w:kern w:val="0"/>
          <w:sz w:val="32"/>
          <w:szCs w:val="32"/>
          <w:lang w:val="en-US" w:eastAsia="zh-CN"/>
        </w:rPr>
        <w:t>湿地公园影响论证报告</w:t>
      </w:r>
      <w:r>
        <w:rPr>
          <w:rFonts w:hint="eastAsia" w:eastAsia="仿宋_GB2312"/>
          <w:color w:val="auto"/>
          <w:kern w:val="0"/>
          <w:sz w:val="32"/>
          <w:szCs w:val="32"/>
          <w:lang w:val="en-US" w:eastAsia="zh-CN"/>
        </w:rPr>
        <w:t>》（送审稿）电子版及15份纸质版；</w:t>
      </w:r>
      <w:r>
        <w:rPr>
          <w:rFonts w:hint="eastAsia" w:eastAsia="仿宋_GB2312"/>
          <w:kern w:val="0"/>
          <w:sz w:val="32"/>
          <w:szCs w:val="32"/>
        </w:rPr>
        <w:t>通过主管部门审查后15日内，提供《</w:t>
      </w:r>
      <w:r>
        <w:rPr>
          <w:rFonts w:hint="eastAsia" w:eastAsia="仿宋_GB2312"/>
          <w:kern w:val="0"/>
          <w:sz w:val="32"/>
          <w:szCs w:val="32"/>
          <w:lang w:val="en-US" w:eastAsia="zh-CN"/>
        </w:rPr>
        <w:t>湿地公园影响论证报告</w:t>
      </w:r>
      <w:r>
        <w:rPr>
          <w:rFonts w:hint="eastAsia" w:eastAsia="仿宋_GB2312"/>
          <w:kern w:val="0"/>
          <w:sz w:val="32"/>
          <w:szCs w:val="32"/>
        </w:rPr>
        <w:t>》（报批稿）10份。以上报告提供时，均需提供电子文档光盘资料2份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10" w:lineRule="exact"/>
        <w:ind w:left="102" w:right="113" w:firstLine="640" w:firstLineChars="200"/>
        <w:textAlignment w:val="auto"/>
        <w:rPr>
          <w:rFonts w:hint="default" w:ascii="Times New Roman" w:hAnsi="Times New Roman" w:eastAsia="黑体" w:cs="Times New Roman"/>
          <w:b w:val="0"/>
          <w:color w:val="auto"/>
          <w:highlight w:val="none"/>
          <w:lang w:eastAsia="zh-CN"/>
        </w:rPr>
      </w:pPr>
      <w:bookmarkStart w:id="13" w:name="_Toc29194683"/>
      <w:bookmarkStart w:id="14" w:name="_Toc52097502"/>
      <w:bookmarkStart w:id="15" w:name="_Toc623045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营业执照、税务登记证、组织机构代码证的单位</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提供信息合并后的有效证件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w:t>
      </w:r>
      <w:r>
        <w:rPr>
          <w:rFonts w:hint="eastAsia" w:eastAsia="仿宋_GB2312"/>
          <w:color w:val="auto"/>
          <w:kern w:val="0"/>
          <w:sz w:val="32"/>
          <w:szCs w:val="32"/>
          <w:highlight w:val="none"/>
          <w:lang w:val="en-US" w:eastAsia="zh-CN"/>
        </w:rPr>
        <w:t>合同签订</w:t>
      </w:r>
      <w:r>
        <w:rPr>
          <w:rFonts w:hint="eastAsia" w:eastAsia="仿宋_GB2312"/>
          <w:color w:val="auto"/>
          <w:kern w:val="0"/>
          <w:sz w:val="32"/>
          <w:szCs w:val="32"/>
          <w:highlight w:val="none"/>
        </w:rPr>
        <w:t>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eastAsia="仿宋_GB2312"/>
          <w:kern w:val="0"/>
          <w:sz w:val="32"/>
          <w:szCs w:val="32"/>
          <w:highlight w:val="none"/>
          <w:lang w:val="en-US" w:eastAsia="zh-CN"/>
        </w:rPr>
        <w:t>湿地公园影响论证报告编制并取得省级（直辖市）及上行业行政主管部门批复</w:t>
      </w:r>
      <w:r>
        <w:rPr>
          <w:rFonts w:hint="eastAsia" w:ascii="Times New Roman" w:hAnsi="Times New Roman" w:eastAsia="方正仿宋_GBK" w:cs="Times New Roman"/>
          <w:bCs/>
          <w:color w:val="auto"/>
          <w:sz w:val="32"/>
          <w:szCs w:val="32"/>
          <w:highlight w:val="none"/>
          <w:lang w:val="en-US" w:eastAsia="zh-CN"/>
        </w:rPr>
        <w:t>的业绩</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29194684"/>
      <w:bookmarkStart w:id="17" w:name="_Toc6230453"/>
      <w:bookmarkStart w:id="18" w:name="_Toc52097503"/>
      <w:bookmarkStart w:id="19" w:name="_Toc13014"/>
      <w:bookmarkStart w:id="20" w:name="_Toc324429696"/>
      <w:bookmarkStart w:id="21" w:name="_Toc323734101"/>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6</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14</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2023年6月9日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约</w:t>
      </w:r>
      <w:r>
        <w:rPr>
          <w:rFonts w:hint="default" w:ascii="Times New Roman" w:hAnsi="Times New Roman" w:eastAsia="方正仿宋_GBK" w:cs="Times New Roman"/>
          <w:bCs/>
          <w:color w:val="auto"/>
          <w:sz w:val="32"/>
          <w:szCs w:val="32"/>
          <w:highlight w:val="none"/>
          <w:lang w:val="en-US" w:eastAsia="zh-CN"/>
        </w:rPr>
        <w:t>______</w:t>
      </w:r>
      <w:r>
        <w:rPr>
          <w:rFonts w:hint="eastAsia" w:ascii="Times New Roman" w:hAnsi="Times New Roman" w:eastAsia="方正仿宋_GBK" w:cs="Times New Roman"/>
          <w:bCs/>
          <w:color w:val="auto"/>
          <w:sz w:val="32"/>
          <w:szCs w:val="32"/>
          <w:highlight w:val="none"/>
          <w:u w:val="single"/>
          <w:lang w:val="en-US" w:eastAsia="zh-CN"/>
        </w:rPr>
        <w:t>831499</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val="en-US" w:eastAsia="zh-CN"/>
        </w:rPr>
        <w:t>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831499</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万元）。报价人的报价不得高于最高限价，</w:t>
      </w:r>
      <w:r>
        <w:rPr>
          <w:rFonts w:hint="eastAsia" w:ascii="Times New Roman" w:hAnsi="Times New Roman" w:eastAsia="方正仿宋_GBK" w:cs="Times New Roman"/>
          <w:bCs/>
          <w:color w:val="auto"/>
          <w:sz w:val="32"/>
          <w:szCs w:val="32"/>
          <w:highlight w:val="none"/>
          <w:lang w:val="en-US" w:eastAsia="zh-CN"/>
        </w:rPr>
        <w:t>且两个项目需填报分项报价，</w:t>
      </w:r>
      <w:r>
        <w:rPr>
          <w:rFonts w:hint="default" w:ascii="Times New Roman" w:hAnsi="Times New Roman" w:eastAsia="方正仿宋_GBK" w:cs="Times New Roman"/>
          <w:bCs/>
          <w:color w:val="auto"/>
          <w:sz w:val="32"/>
          <w:szCs w:val="32"/>
          <w:highlight w:val="none"/>
          <w:lang w:eastAsia="zh-CN"/>
        </w:rPr>
        <w:t>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1.2报价文件装订采用A4纸幅面，不得采用活页夹等可随时拆换的方式装订，目录、页码齐全，正副本分开装订，封面注明正副本字样。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涪江航道整治和渭沱船闸改造工程国家湿地公园影响论证</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6</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14</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证明材料：合同文件、批复文件（或行政许可）</w:t>
      </w:r>
      <w:r>
        <w:rPr>
          <w:rFonts w:hint="default" w:ascii="Times New Roman" w:hAnsi="Times New Roman" w:eastAsia="方正仿宋_GBK" w:cs="Times New Roman"/>
          <w:bCs/>
          <w:color w:val="auto"/>
          <w:sz w:val="32"/>
          <w:szCs w:val="32"/>
          <w:highlight w:val="none"/>
          <w:lang w:eastAsia="zh-CN"/>
        </w:rPr>
        <w:t>。</w:t>
      </w:r>
    </w:p>
    <w:p>
      <w:pPr>
        <w:pStyle w:val="43"/>
        <w:rPr>
          <w:rFonts w:hint="default"/>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bookmarkStart w:id="22" w:name="_GoBack"/>
      <w:bookmarkEnd w:id="22"/>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Q1MjcxMzAxOTc4YjE2MDg3YWQxOGE1YjVkYT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3667C72"/>
    <w:rsid w:val="048A3FA3"/>
    <w:rsid w:val="04C75BA9"/>
    <w:rsid w:val="05046843"/>
    <w:rsid w:val="05940AC6"/>
    <w:rsid w:val="06113EC5"/>
    <w:rsid w:val="0636605F"/>
    <w:rsid w:val="066E658D"/>
    <w:rsid w:val="067A2C61"/>
    <w:rsid w:val="06ED263D"/>
    <w:rsid w:val="07501833"/>
    <w:rsid w:val="08651193"/>
    <w:rsid w:val="08F93D5B"/>
    <w:rsid w:val="09480908"/>
    <w:rsid w:val="09CD7F8F"/>
    <w:rsid w:val="0A95138C"/>
    <w:rsid w:val="0AAC240E"/>
    <w:rsid w:val="0B6251C3"/>
    <w:rsid w:val="0BB95CD2"/>
    <w:rsid w:val="0BFE4292"/>
    <w:rsid w:val="0C292867"/>
    <w:rsid w:val="0C923886"/>
    <w:rsid w:val="0CD07E15"/>
    <w:rsid w:val="0CFA4A65"/>
    <w:rsid w:val="0D406B8E"/>
    <w:rsid w:val="0E707BD8"/>
    <w:rsid w:val="0F07055B"/>
    <w:rsid w:val="0FB66909"/>
    <w:rsid w:val="10A81391"/>
    <w:rsid w:val="117A6EEF"/>
    <w:rsid w:val="12711EC4"/>
    <w:rsid w:val="12F47048"/>
    <w:rsid w:val="13B86C2F"/>
    <w:rsid w:val="14295DAF"/>
    <w:rsid w:val="142A7E51"/>
    <w:rsid w:val="159E24E8"/>
    <w:rsid w:val="162417DF"/>
    <w:rsid w:val="16996B88"/>
    <w:rsid w:val="16A76DEE"/>
    <w:rsid w:val="16B64EC9"/>
    <w:rsid w:val="16C86822"/>
    <w:rsid w:val="17AC5B95"/>
    <w:rsid w:val="19212219"/>
    <w:rsid w:val="19421CE6"/>
    <w:rsid w:val="198130EF"/>
    <w:rsid w:val="19AE416C"/>
    <w:rsid w:val="19DD43BA"/>
    <w:rsid w:val="1A4B45F5"/>
    <w:rsid w:val="1AEB3291"/>
    <w:rsid w:val="1AFA7273"/>
    <w:rsid w:val="1CEB3111"/>
    <w:rsid w:val="1D1E25DF"/>
    <w:rsid w:val="1D652848"/>
    <w:rsid w:val="1DD736C3"/>
    <w:rsid w:val="1EAF02C7"/>
    <w:rsid w:val="1F7A7982"/>
    <w:rsid w:val="21762DE7"/>
    <w:rsid w:val="21CC3BA7"/>
    <w:rsid w:val="21E3769E"/>
    <w:rsid w:val="21F901D7"/>
    <w:rsid w:val="22102401"/>
    <w:rsid w:val="228765EB"/>
    <w:rsid w:val="234E4979"/>
    <w:rsid w:val="241174C5"/>
    <w:rsid w:val="24304B96"/>
    <w:rsid w:val="24430E72"/>
    <w:rsid w:val="24B738C2"/>
    <w:rsid w:val="25257535"/>
    <w:rsid w:val="254C1860"/>
    <w:rsid w:val="255178E6"/>
    <w:rsid w:val="255E1927"/>
    <w:rsid w:val="2580476C"/>
    <w:rsid w:val="25F14B98"/>
    <w:rsid w:val="264834DB"/>
    <w:rsid w:val="26710645"/>
    <w:rsid w:val="26971D6D"/>
    <w:rsid w:val="26A91696"/>
    <w:rsid w:val="26B15A9F"/>
    <w:rsid w:val="26EA7C92"/>
    <w:rsid w:val="27007186"/>
    <w:rsid w:val="272F2851"/>
    <w:rsid w:val="274F3DB2"/>
    <w:rsid w:val="279C6923"/>
    <w:rsid w:val="27BD1AEB"/>
    <w:rsid w:val="28A65C00"/>
    <w:rsid w:val="28FC289D"/>
    <w:rsid w:val="2914405B"/>
    <w:rsid w:val="29156EF2"/>
    <w:rsid w:val="293435B5"/>
    <w:rsid w:val="296138F6"/>
    <w:rsid w:val="298E5654"/>
    <w:rsid w:val="2B052B73"/>
    <w:rsid w:val="2B6948BD"/>
    <w:rsid w:val="2BD001FB"/>
    <w:rsid w:val="2BF539B5"/>
    <w:rsid w:val="2C0C4FAB"/>
    <w:rsid w:val="2C61237F"/>
    <w:rsid w:val="2D280A7E"/>
    <w:rsid w:val="2E9A4AF0"/>
    <w:rsid w:val="2FCD04BE"/>
    <w:rsid w:val="319A23E2"/>
    <w:rsid w:val="3206472E"/>
    <w:rsid w:val="328937F3"/>
    <w:rsid w:val="32F017EB"/>
    <w:rsid w:val="33254D78"/>
    <w:rsid w:val="33541C67"/>
    <w:rsid w:val="335D4929"/>
    <w:rsid w:val="33C83BC3"/>
    <w:rsid w:val="35153592"/>
    <w:rsid w:val="35276BCD"/>
    <w:rsid w:val="35996867"/>
    <w:rsid w:val="381C1FF3"/>
    <w:rsid w:val="387B5356"/>
    <w:rsid w:val="389F0583"/>
    <w:rsid w:val="3A296D28"/>
    <w:rsid w:val="3AED190D"/>
    <w:rsid w:val="3B3B1938"/>
    <w:rsid w:val="3B536115"/>
    <w:rsid w:val="3B896557"/>
    <w:rsid w:val="3C7324DC"/>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A713D5"/>
    <w:rsid w:val="42E21CE0"/>
    <w:rsid w:val="42EE0B57"/>
    <w:rsid w:val="42FC2B26"/>
    <w:rsid w:val="43EF3495"/>
    <w:rsid w:val="44054362"/>
    <w:rsid w:val="453756CC"/>
    <w:rsid w:val="454A4722"/>
    <w:rsid w:val="455255E8"/>
    <w:rsid w:val="45912351"/>
    <w:rsid w:val="45B11EFA"/>
    <w:rsid w:val="46E4318C"/>
    <w:rsid w:val="46F43FF9"/>
    <w:rsid w:val="471F4D88"/>
    <w:rsid w:val="479E3A47"/>
    <w:rsid w:val="47D87266"/>
    <w:rsid w:val="48324764"/>
    <w:rsid w:val="489857A5"/>
    <w:rsid w:val="49222A1C"/>
    <w:rsid w:val="49A2577D"/>
    <w:rsid w:val="4A321E22"/>
    <w:rsid w:val="4A3546F1"/>
    <w:rsid w:val="4A962868"/>
    <w:rsid w:val="4AAB0DE9"/>
    <w:rsid w:val="4B106456"/>
    <w:rsid w:val="4BA94F6F"/>
    <w:rsid w:val="4C475532"/>
    <w:rsid w:val="4C6F2EDA"/>
    <w:rsid w:val="4D0B0C3B"/>
    <w:rsid w:val="4DDF79D2"/>
    <w:rsid w:val="4E03626B"/>
    <w:rsid w:val="4E4C658E"/>
    <w:rsid w:val="4EBB21ED"/>
    <w:rsid w:val="4ECA3387"/>
    <w:rsid w:val="4F7B2533"/>
    <w:rsid w:val="508711A9"/>
    <w:rsid w:val="510E35CE"/>
    <w:rsid w:val="517B4EC0"/>
    <w:rsid w:val="51B322DA"/>
    <w:rsid w:val="51CC3CA7"/>
    <w:rsid w:val="51F850A8"/>
    <w:rsid w:val="526D2EBF"/>
    <w:rsid w:val="53366EE7"/>
    <w:rsid w:val="53DC50DF"/>
    <w:rsid w:val="54260108"/>
    <w:rsid w:val="54271112"/>
    <w:rsid w:val="54523A5C"/>
    <w:rsid w:val="555C3065"/>
    <w:rsid w:val="55987088"/>
    <w:rsid w:val="56A32E66"/>
    <w:rsid w:val="56EF6751"/>
    <w:rsid w:val="577747A6"/>
    <w:rsid w:val="577A27D6"/>
    <w:rsid w:val="593C56D0"/>
    <w:rsid w:val="593F171A"/>
    <w:rsid w:val="59E454CF"/>
    <w:rsid w:val="59F726F3"/>
    <w:rsid w:val="59FE7432"/>
    <w:rsid w:val="5B052582"/>
    <w:rsid w:val="5B151D9E"/>
    <w:rsid w:val="5B297B8D"/>
    <w:rsid w:val="5B57543C"/>
    <w:rsid w:val="5BBE331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17F68"/>
    <w:rsid w:val="5F4768A1"/>
    <w:rsid w:val="5FA74DF5"/>
    <w:rsid w:val="60895210"/>
    <w:rsid w:val="60DC0379"/>
    <w:rsid w:val="60F91A9B"/>
    <w:rsid w:val="61033B4B"/>
    <w:rsid w:val="61681DAA"/>
    <w:rsid w:val="62137647"/>
    <w:rsid w:val="63BA6ABF"/>
    <w:rsid w:val="64761A1E"/>
    <w:rsid w:val="65585085"/>
    <w:rsid w:val="65E41BD1"/>
    <w:rsid w:val="66FB3677"/>
    <w:rsid w:val="67015D83"/>
    <w:rsid w:val="6755430C"/>
    <w:rsid w:val="676C3643"/>
    <w:rsid w:val="67B30A70"/>
    <w:rsid w:val="68466749"/>
    <w:rsid w:val="68562C5D"/>
    <w:rsid w:val="68762F5B"/>
    <w:rsid w:val="689313CC"/>
    <w:rsid w:val="69E81028"/>
    <w:rsid w:val="6D541C74"/>
    <w:rsid w:val="6D8C1329"/>
    <w:rsid w:val="6DAD722E"/>
    <w:rsid w:val="6DE06576"/>
    <w:rsid w:val="700B0D28"/>
    <w:rsid w:val="70495453"/>
    <w:rsid w:val="70656815"/>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7F92A26"/>
    <w:rsid w:val="78286988"/>
    <w:rsid w:val="7861167A"/>
    <w:rsid w:val="78E04108"/>
    <w:rsid w:val="78F07C69"/>
    <w:rsid w:val="7A3E4002"/>
    <w:rsid w:val="7AAF6562"/>
    <w:rsid w:val="7B784E3E"/>
    <w:rsid w:val="7BC02341"/>
    <w:rsid w:val="7C4D729D"/>
    <w:rsid w:val="7D100213"/>
    <w:rsid w:val="7DCC7838"/>
    <w:rsid w:val="7E5E0DFC"/>
    <w:rsid w:val="7EBD184F"/>
    <w:rsid w:val="7F3A3F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2548</Words>
  <Characters>2815</Characters>
  <Lines>72</Lines>
  <Paragraphs>20</Paragraphs>
  <TotalTime>33</TotalTime>
  <ScaleCrop>false</ScaleCrop>
  <LinksUpToDate>false</LinksUpToDate>
  <CharactersWithSpaces>2902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2023-02-17T01:46:00Z</cp:lastPrinted>
  <dcterms:modified xsi:type="dcterms:W3CDTF">2023-06-09T01:29:36Z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8F9C2C5C160741B1BCA533736BE6A519_13</vt:lpwstr>
  </property>
</Properties>
</file>