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MingLiU"/>
          <w:b/>
          <w:kern w:val="0"/>
          <w:sz w:val="56"/>
          <w:szCs w:val="56"/>
          <w:lang w:eastAsia="zh-CN"/>
        </w:rPr>
      </w:pPr>
      <w:r>
        <w:rPr>
          <w:rFonts w:hint="eastAsia" w:ascii="宋体" w:hAnsi="宋体" w:cs="MingLiU"/>
          <w:b/>
          <w:kern w:val="0"/>
          <w:sz w:val="56"/>
          <w:szCs w:val="56"/>
          <w:lang w:val="en-US" w:eastAsia="zh-CN"/>
        </w:rPr>
        <w:t>2023年边坡病害处治工程（第二次）</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重庆高速公路集团有限公司东南营运分公司</w:t>
      </w:r>
    </w:p>
    <w:p>
      <w:pPr>
        <w:autoSpaceDE w:val="0"/>
        <w:autoSpaceDN w:val="0"/>
        <w:adjustRightInd w:val="0"/>
        <w:snapToGrid w:val="0"/>
        <w:spacing w:line="360" w:lineRule="auto"/>
        <w:jc w:val="left"/>
        <w:rPr>
          <w:rFonts w:hint="eastAsia" w:ascii="宋体" w:hAnsi="宋体" w:eastAsia="宋体" w:cs="宋体"/>
          <w:b/>
          <w:kern w:val="2"/>
          <w:sz w:val="32"/>
          <w:szCs w:val="32"/>
          <w:lang w:val="en-US" w:eastAsia="zh-CN" w:bidi="ar-SA"/>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pStyle w:val="11"/>
        <w:spacing w:line="360" w:lineRule="auto"/>
        <w:ind w:left="99" w:leftChars="47"/>
        <w:jc w:val="center"/>
        <w:rPr>
          <w:rFonts w:hint="eastAsia" w:ascii="宋体" w:hAnsi="宋体" w:cs="宋体"/>
          <w:b/>
          <w:sz w:val="32"/>
          <w:szCs w:val="32"/>
          <w:lang w:eastAsia="zh-CN"/>
        </w:rPr>
      </w:pPr>
      <w:bookmarkStart w:id="0" w:name="_Toc224103306"/>
      <w:bookmarkStart w:id="1" w:name="_Toc287607735"/>
      <w:bookmarkStart w:id="2" w:name="_Toc34310512"/>
      <w:r>
        <w:rPr>
          <w:rFonts w:hint="eastAsia" w:ascii="宋体" w:hAnsi="宋体" w:cs="宋体"/>
          <w:b/>
          <w:sz w:val="32"/>
          <w:szCs w:val="32"/>
          <w:lang w:val="en-US" w:eastAsia="zh-CN"/>
        </w:rPr>
        <w:t>2023</w:t>
      </w:r>
      <w:r>
        <w:rPr>
          <w:rFonts w:hint="eastAsia" w:ascii="宋体" w:hAnsi="宋体" w:cs="宋体"/>
          <w:b/>
          <w:sz w:val="32"/>
          <w:szCs w:val="32"/>
          <w:lang w:eastAsia="zh-CN"/>
        </w:rPr>
        <w:t>年</w:t>
      </w:r>
      <w:r>
        <w:rPr>
          <w:rFonts w:hint="eastAsia" w:ascii="宋体" w:hAnsi="宋体" w:cs="宋体"/>
          <w:b/>
          <w:sz w:val="32"/>
          <w:szCs w:val="32"/>
          <w:lang w:val="en-US" w:eastAsia="zh-CN"/>
        </w:rPr>
        <w:t>6</w:t>
      </w:r>
      <w:r>
        <w:rPr>
          <w:rFonts w:hint="eastAsia" w:ascii="宋体" w:hAnsi="宋体" w:cs="宋体"/>
          <w:b/>
          <w:sz w:val="32"/>
          <w:szCs w:val="32"/>
          <w:lang w:eastAsia="zh-CN"/>
        </w:rPr>
        <w:t>月</w:t>
      </w:r>
    </w:p>
    <w:p>
      <w:pPr>
        <w:rPr>
          <w:rFonts w:hint="eastAsia" w:ascii="宋体" w:hAnsi="宋体" w:cs="宋体"/>
          <w:b/>
          <w:sz w:val="32"/>
          <w:szCs w:val="32"/>
          <w:lang w:eastAsia="zh-CN"/>
        </w:rPr>
      </w:pPr>
    </w:p>
    <w:p>
      <w:pPr>
        <w:pStyle w:val="2"/>
        <w:rPr>
          <w:rFonts w:hint="eastAsia"/>
          <w:lang w:eastAsia="zh-CN"/>
        </w:rPr>
      </w:pPr>
    </w:p>
    <w:p>
      <w:pPr>
        <w:rPr>
          <w:rFonts w:hint="eastAsia"/>
          <w:lang w:eastAsia="zh-CN"/>
        </w:rPr>
      </w:pPr>
    </w:p>
    <w:p>
      <w:pPr>
        <w:pStyle w:val="3"/>
        <w:jc w:val="center"/>
        <w:rPr>
          <w:rFonts w:hint="eastAsia" w:ascii="宋体" w:hAnsi="宋体" w:cs="MingLiU"/>
          <w:snapToGrid w:val="0"/>
          <w:kern w:val="0"/>
        </w:rPr>
      </w:pPr>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28"/>
          <w:szCs w:val="28"/>
          <w:lang w:eastAsia="zh-CN"/>
        </w:rPr>
      </w:pPr>
      <w:r>
        <w:rPr>
          <w:rFonts w:hint="eastAsia" w:ascii="宋体" w:hAnsi="宋体" w:cs="MingLiU"/>
          <w:b/>
          <w:w w:val="99"/>
          <w:kern w:val="0"/>
          <w:sz w:val="28"/>
          <w:szCs w:val="28"/>
          <w:lang w:val="en-US" w:eastAsia="zh-CN"/>
        </w:rPr>
        <w:t>2023年边坡病害处治工程（第二次）</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jc w:val="both"/>
        <w:rPr>
          <w:rFonts w:ascii="宋体" w:hAnsi="宋体"/>
          <w:snapToGrid w:val="0"/>
          <w:sz w:val="28"/>
        </w:rPr>
      </w:pPr>
      <w:bookmarkStart w:id="3" w:name="_Toc277082543"/>
      <w:bookmarkStart w:id="4" w:name="_Toc224103307"/>
      <w:bookmarkStart w:id="5" w:name="_Toc34309286"/>
      <w:bookmarkStart w:id="6" w:name="_Toc34310513"/>
      <w:bookmarkStart w:id="7" w:name="_Toc287607736"/>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u w:val="single"/>
          <w:lang w:val="en-US" w:eastAsia="zh-CN"/>
        </w:rPr>
        <w:t xml:space="preserve">2023年边坡病害处治工程 </w:t>
      </w:r>
      <w:r>
        <w:rPr>
          <w:rFonts w:hint="eastAsia" w:ascii="宋体" w:hAnsi="宋体" w:cs="MingLiU"/>
          <w:snapToGrid w:val="0"/>
          <w:kern w:val="0"/>
          <w:szCs w:val="21"/>
          <w:u w:val="single"/>
          <w:lang w:eastAsia="zh-CN"/>
        </w:rPr>
        <w:t>已</w:t>
      </w:r>
      <w:r>
        <w:rPr>
          <w:rFonts w:hint="eastAsia" w:ascii="宋体" w:hAnsi="宋体" w:cs="MingLiU"/>
          <w:snapToGrid w:val="0"/>
          <w:kern w:val="0"/>
          <w:szCs w:val="21"/>
        </w:rPr>
        <w:t>纳入</w:t>
      </w:r>
      <w:r>
        <w:rPr>
          <w:rFonts w:hint="eastAsia" w:ascii="宋体" w:hAnsi="宋体" w:cs="MingLiU"/>
          <w:snapToGrid w:val="0"/>
          <w:kern w:val="0"/>
          <w:szCs w:val="21"/>
          <w:u w:val="single"/>
          <w:lang w:eastAsia="zh-CN"/>
        </w:rPr>
        <w:t>重庆高速公路集团有限公司东南营运分公司</w:t>
      </w:r>
      <w:r>
        <w:rPr>
          <w:rFonts w:hint="eastAsia" w:ascii="宋体" w:hAnsi="宋体" w:eastAsia="宋体" w:cs="MingLiU"/>
          <w:snapToGrid w:val="0"/>
          <w:kern w:val="0"/>
          <w:szCs w:val="21"/>
          <w:u w:val="single"/>
          <w:lang w:val="en-US" w:eastAsia="zh-CN"/>
        </w:rPr>
        <w:t>2023年建设计划</w:t>
      </w:r>
      <w:r>
        <w:rPr>
          <w:rFonts w:hint="eastAsia" w:ascii="宋体" w:hAnsi="宋体" w:eastAsia="宋体" w:cs="MingLiU"/>
          <w:snapToGrid w:val="0"/>
          <w:kern w:val="0"/>
          <w:szCs w:val="21"/>
          <w:u w:val="none"/>
          <w:lang w:val="en-US" w:eastAsia="zh-CN"/>
        </w:rPr>
        <w:t>，</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重庆高速公路集团有限公司东南营运分公司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jc w:val="both"/>
        <w:rPr>
          <w:rFonts w:ascii="宋体" w:hAnsi="宋体"/>
          <w:snapToGrid w:val="0"/>
          <w:sz w:val="28"/>
        </w:rPr>
      </w:pPr>
      <w:bookmarkStart w:id="8" w:name="_Toc277082544"/>
      <w:bookmarkStart w:id="9" w:name="_Toc224103308"/>
      <w:bookmarkStart w:id="10" w:name="_Toc34309287"/>
      <w:bookmarkStart w:id="11" w:name="_Toc34310514"/>
      <w:bookmarkStart w:id="12" w:name="_Toc287607737"/>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0" w:right="0" w:rightChars="0"/>
        <w:textAlignment w:val="auto"/>
        <w:outlineLvl w:val="9"/>
        <w:rPr>
          <w:b/>
          <w:bCs/>
          <w:szCs w:val="21"/>
        </w:rPr>
      </w:pPr>
      <w:r>
        <w:rPr>
          <w:rFonts w:hint="eastAsia"/>
          <w:b/>
          <w:bCs/>
          <w:szCs w:val="21"/>
          <w:lang w:eastAsia="zh-CN"/>
        </w:rPr>
        <w:t>（</w:t>
      </w:r>
      <w:r>
        <w:rPr>
          <w:rFonts w:hint="eastAsia"/>
          <w:b/>
          <w:bCs/>
          <w:szCs w:val="21"/>
          <w:lang w:val="en-US" w:eastAsia="zh-CN"/>
        </w:rPr>
        <w:t>1）</w:t>
      </w:r>
      <w:r>
        <w:rPr>
          <w:rFonts w:hint="eastAsia"/>
          <w:b/>
          <w:bCs/>
          <w:szCs w:val="21"/>
        </w:rPr>
        <w:t>竞争性比选范围：</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cs="MingLiU"/>
          <w:snapToGrid w:val="0"/>
          <w:kern w:val="0"/>
          <w:szCs w:val="21"/>
          <w:lang w:val="en-US" w:eastAsia="zh-CN"/>
        </w:rPr>
        <w:t>1）</w:t>
      </w:r>
      <w:r>
        <w:rPr>
          <w:rFonts w:hint="eastAsia" w:ascii="宋体" w:hAnsi="宋体" w:eastAsia="宋体" w:cs="MingLiU"/>
          <w:snapToGrid w:val="0"/>
          <w:kern w:val="0"/>
          <w:szCs w:val="21"/>
          <w:lang w:val="en-US" w:eastAsia="zh-CN"/>
        </w:rPr>
        <w:t>工程地址：</w:t>
      </w:r>
      <w:r>
        <w:rPr>
          <w:rFonts w:hint="eastAsia" w:ascii="宋体" w:hAnsi="宋体" w:cs="MingLiU"/>
          <w:snapToGrid w:val="0"/>
          <w:kern w:val="0"/>
          <w:szCs w:val="21"/>
          <w:u w:val="single"/>
          <w:lang w:val="en-US" w:eastAsia="zh-CN"/>
        </w:rPr>
        <w:t xml:space="preserve"> 出城K1918+150~306段</w:t>
      </w:r>
      <w:bookmarkStart w:id="55" w:name="_GoBack"/>
      <w:bookmarkEnd w:id="55"/>
      <w:r>
        <w:rPr>
          <w:rFonts w:hint="eastAsia" w:ascii="宋体" w:hAnsi="宋体" w:cs="MingLiU"/>
          <w:snapToGrid w:val="0"/>
          <w:kern w:val="0"/>
          <w:szCs w:val="21"/>
          <w:u w:val="single"/>
          <w:lang w:val="en-US" w:eastAsia="zh-CN"/>
        </w:rPr>
        <w:t xml:space="preserve">、出城K1922+316~440段、出城彭水西收费站下道口  </w:t>
      </w:r>
      <w:r>
        <w:rPr>
          <w:rFonts w:hint="eastAsia" w:ascii="宋体" w:hAnsi="宋体" w:eastAsia="宋体" w:cs="MingLiU"/>
          <w:snapToGrid w:val="0"/>
          <w:kern w:val="0"/>
          <w:szCs w:val="21"/>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u w:val="single"/>
          <w:lang w:val="en-US" w:eastAsia="zh-CN"/>
        </w:rPr>
      </w:pPr>
      <w:r>
        <w:rPr>
          <w:rFonts w:hint="eastAsia" w:ascii="宋体" w:hAnsi="宋体" w:cs="MingLiU"/>
          <w:snapToGrid w:val="0"/>
          <w:kern w:val="0"/>
          <w:szCs w:val="21"/>
          <w:lang w:val="en-US" w:eastAsia="zh-CN"/>
        </w:rPr>
        <w:t>2）</w:t>
      </w:r>
      <w:r>
        <w:rPr>
          <w:rFonts w:hint="eastAsia" w:ascii="宋体" w:hAnsi="宋体" w:eastAsia="宋体" w:cs="MingLiU"/>
          <w:snapToGrid w:val="0"/>
          <w:kern w:val="0"/>
          <w:szCs w:val="21"/>
          <w:lang w:val="en-US" w:eastAsia="zh-CN"/>
        </w:rPr>
        <w:t>比选范围：</w:t>
      </w:r>
      <w:r>
        <w:rPr>
          <w:rFonts w:hint="eastAsia" w:ascii="宋体" w:hAnsi="宋体" w:cs="MingLiU"/>
          <w:snapToGrid w:val="0"/>
          <w:kern w:val="0"/>
          <w:szCs w:val="21"/>
          <w:u w:val="single"/>
          <w:lang w:val="en-US" w:eastAsia="zh-CN"/>
        </w:rPr>
        <w:t xml:space="preserve">   出城K1918+150~306段、出城K1922+316~440段、出城彭水西收费站下道口图纸及清单包</w:t>
      </w:r>
      <w:r>
        <w:rPr>
          <w:rFonts w:hint="eastAsia" w:ascii="宋体" w:hAnsi="宋体" w:eastAsia="宋体" w:cs="MingLiU"/>
          <w:snapToGrid w:val="0"/>
          <w:kern w:val="0"/>
          <w:szCs w:val="21"/>
          <w:u w:val="single"/>
          <w:lang w:val="en-US" w:eastAsia="zh-CN"/>
        </w:rPr>
        <w:t>含内容、项目实施过程中的相关协调等工作。</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highlight w:val="none"/>
        </w:rPr>
      </w:pPr>
      <w:r>
        <w:rPr>
          <w:rFonts w:hint="eastAsia" w:ascii="宋体" w:hAnsi="宋体" w:cs="宋体"/>
          <w:kern w:val="1"/>
          <w:szCs w:val="21"/>
          <w:lang w:val="en-US" w:eastAsia="zh-CN"/>
        </w:rPr>
        <w:t>3）</w:t>
      </w:r>
      <w:r>
        <w:rPr>
          <w:rFonts w:hint="eastAsia" w:ascii="宋体" w:hAnsi="宋体" w:cs="宋体"/>
          <w:kern w:val="1"/>
          <w:szCs w:val="21"/>
          <w:lang w:eastAsia="zh-CN"/>
        </w:rPr>
        <w:t>工期</w:t>
      </w:r>
      <w:r>
        <w:rPr>
          <w:rFonts w:hint="eastAsia" w:ascii="宋体" w:hAnsi="宋体" w:cs="宋体"/>
          <w:kern w:val="1"/>
          <w:szCs w:val="21"/>
        </w:rPr>
        <w:t>：</w:t>
      </w:r>
      <w:r>
        <w:rPr>
          <w:rFonts w:hint="eastAsia" w:ascii="宋体" w:hAnsi="宋体" w:cs="宋体"/>
          <w:kern w:val="1"/>
          <w:szCs w:val="21"/>
          <w:u w:val="single"/>
          <w:lang w:val="en-US" w:eastAsia="zh-CN"/>
        </w:rPr>
        <w:t xml:space="preserve">    </w:t>
      </w:r>
      <w:r>
        <w:rPr>
          <w:rFonts w:hint="eastAsia" w:ascii="宋体" w:hAnsi="宋体" w:cs="宋体"/>
          <w:kern w:val="1"/>
          <w:szCs w:val="21"/>
          <w:highlight w:val="none"/>
          <w:u w:val="single"/>
          <w:lang w:val="en-US" w:eastAsia="zh-CN"/>
        </w:rPr>
        <w:t xml:space="preserve">   60     </w:t>
      </w:r>
      <w:r>
        <w:rPr>
          <w:rFonts w:hint="eastAsia" w:ascii="宋体" w:hAnsi="宋体" w:cs="宋体"/>
          <w:kern w:val="1"/>
          <w:szCs w:val="21"/>
          <w:highlight w:val="none"/>
          <w:u w:val="none"/>
          <w:lang w:val="en-US" w:eastAsia="zh-CN"/>
        </w:rPr>
        <w:t>日历天</w:t>
      </w:r>
      <w:r>
        <w:rPr>
          <w:rFonts w:hint="eastAsia" w:ascii="宋体" w:hAnsi="宋体" w:cs="宋体"/>
          <w:kern w:val="1"/>
          <w:szCs w:val="21"/>
          <w:highlight w:val="none"/>
        </w:rPr>
        <w:t>。</w:t>
      </w:r>
    </w:p>
    <w:p>
      <w:pPr>
        <w:spacing w:line="320" w:lineRule="exact"/>
        <w:ind w:firstLine="422" w:firstLineChars="200"/>
        <w:rPr>
          <w:b/>
          <w:szCs w:val="21"/>
          <w:highlight w:val="none"/>
        </w:rPr>
      </w:pPr>
      <w:r>
        <w:rPr>
          <w:rFonts w:hint="eastAsia"/>
          <w:b/>
          <w:szCs w:val="21"/>
          <w:highlight w:val="none"/>
        </w:rPr>
        <w:t>2、</w:t>
      </w:r>
      <w:r>
        <w:rPr>
          <w:b/>
          <w:szCs w:val="21"/>
          <w:highlight w:val="none"/>
        </w:rPr>
        <w:t>本次</w:t>
      </w:r>
      <w:r>
        <w:rPr>
          <w:rFonts w:hint="eastAsia"/>
          <w:b/>
          <w:szCs w:val="21"/>
          <w:highlight w:val="none"/>
        </w:rPr>
        <w:t>竞争性比选</w:t>
      </w:r>
      <w:r>
        <w:rPr>
          <w:b/>
          <w:szCs w:val="21"/>
          <w:highlight w:val="none"/>
        </w:rPr>
        <w:t>不接受联合体竞标，不允许分包和转包。</w:t>
      </w:r>
    </w:p>
    <w:p>
      <w:pPr>
        <w:spacing w:line="320" w:lineRule="exact"/>
        <w:ind w:firstLine="422" w:firstLineChars="200"/>
        <w:rPr>
          <w:rFonts w:hint="eastAsia"/>
          <w:b/>
          <w:bCs/>
          <w:szCs w:val="21"/>
          <w:highlight w:val="none"/>
        </w:rPr>
      </w:pPr>
      <w:r>
        <w:rPr>
          <w:rFonts w:hint="eastAsia"/>
          <w:b/>
          <w:bCs/>
          <w:szCs w:val="21"/>
          <w:highlight w:val="none"/>
        </w:rPr>
        <w:t>3、本次比选为一个合同</w:t>
      </w:r>
      <w:r>
        <w:rPr>
          <w:rFonts w:hint="eastAsia"/>
          <w:b/>
          <w:bCs/>
          <w:szCs w:val="21"/>
          <w:highlight w:val="none"/>
          <w:lang w:val="en-US" w:eastAsia="zh-CN"/>
        </w:rPr>
        <w:t>段</w:t>
      </w:r>
      <w:r>
        <w:rPr>
          <w:rFonts w:hint="eastAsia"/>
          <w:b/>
          <w:bCs/>
          <w:szCs w:val="21"/>
          <w:highlight w:val="none"/>
        </w:rPr>
        <w:t>。</w:t>
      </w:r>
    </w:p>
    <w:p>
      <w:pPr>
        <w:pStyle w:val="4"/>
        <w:spacing w:before="0" w:after="0" w:line="400" w:lineRule="exact"/>
        <w:jc w:val="both"/>
        <w:rPr>
          <w:rFonts w:ascii="宋体" w:hAnsi="宋体"/>
          <w:snapToGrid w:val="0"/>
          <w:sz w:val="28"/>
          <w:highlight w:val="none"/>
        </w:rPr>
      </w:pPr>
      <w:bookmarkStart w:id="13" w:name="_Toc34309288"/>
      <w:bookmarkStart w:id="14" w:name="_Toc224103309"/>
      <w:bookmarkStart w:id="15" w:name="_Toc277082545"/>
      <w:bookmarkStart w:id="16" w:name="_Toc34310515"/>
      <w:bookmarkStart w:id="17" w:name="_Toc287607738"/>
      <w:r>
        <w:rPr>
          <w:rFonts w:ascii="宋体" w:hAnsi="宋体"/>
          <w:snapToGrid w:val="0"/>
          <w:sz w:val="28"/>
          <w:highlight w:val="none"/>
        </w:rPr>
        <w:t>3.</w:t>
      </w:r>
      <w:r>
        <w:rPr>
          <w:rFonts w:hint="eastAsia" w:ascii="宋体" w:hAnsi="宋体"/>
          <w:snapToGrid w:val="0"/>
          <w:sz w:val="28"/>
          <w:highlight w:val="none"/>
        </w:rPr>
        <w:t>比选申请人资格要求</w:t>
      </w:r>
      <w:bookmarkEnd w:id="13"/>
      <w:bookmarkEnd w:id="14"/>
      <w:bookmarkEnd w:id="15"/>
      <w:bookmarkEnd w:id="16"/>
      <w:bookmarkEnd w:id="17"/>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highlight w:val="none"/>
          <w:lang w:val="en-US" w:eastAsia="zh-CN"/>
        </w:rPr>
      </w:pPr>
      <w:r>
        <w:rPr>
          <w:rFonts w:hint="eastAsia" w:ascii="宋体" w:hAnsi="宋体" w:eastAsia="宋体" w:cs="MingLiU"/>
          <w:snapToGrid w:val="0"/>
          <w:color w:val="auto"/>
          <w:kern w:val="0"/>
          <w:szCs w:val="21"/>
          <w:highlight w:val="none"/>
          <w:lang w:val="en-US" w:eastAsia="zh-CN"/>
        </w:rPr>
        <w:t>（1）</w:t>
      </w:r>
      <w:r>
        <w:rPr>
          <w:rFonts w:hint="eastAsia" w:ascii="宋体" w:hAnsi="宋体" w:eastAsia="宋体" w:cs="MingLiU"/>
          <w:snapToGrid w:val="0"/>
          <w:kern w:val="0"/>
          <w:szCs w:val="21"/>
          <w:highlight w:val="none"/>
          <w:lang w:val="en-US" w:eastAsia="zh-CN"/>
        </w:rPr>
        <w:t>具有独立法人资格、有效的营业执照、有效的安全生产许可证；具有公路工程施工总承包一级及以上或公路路基工程专业承包一级或路基路面养护甲级或养护工程总承包甲级资质。</w:t>
      </w:r>
    </w:p>
    <w:p>
      <w:pPr>
        <w:tabs>
          <w:tab w:val="left" w:pos="4305"/>
          <w:tab w:val="left" w:pos="4640"/>
          <w:tab w:val="left" w:pos="7240"/>
        </w:tabs>
        <w:autoSpaceDE w:val="0"/>
        <w:autoSpaceDN w:val="0"/>
        <w:adjustRightInd w:val="0"/>
        <w:spacing w:line="400" w:lineRule="exact"/>
        <w:ind w:firstLine="420"/>
        <w:jc w:val="left"/>
        <w:rPr>
          <w:rFonts w:hint="eastAsia"/>
          <w:highlight w:val="none"/>
          <w:lang w:val="en-US" w:eastAsia="zh-CN"/>
        </w:rPr>
      </w:pPr>
      <w:r>
        <w:rPr>
          <w:rFonts w:hint="eastAsia" w:ascii="宋体" w:hAnsi="宋体" w:eastAsia="宋体" w:cs="MingLiU"/>
          <w:snapToGrid w:val="0"/>
          <w:color w:val="auto"/>
          <w:kern w:val="0"/>
          <w:szCs w:val="21"/>
          <w:highlight w:val="none"/>
          <w:lang w:val="en-US" w:eastAsia="zh-CN"/>
        </w:rPr>
        <w:t>（2）竞争性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w:t>
      </w:r>
      <w:r>
        <w:rPr>
          <w:rFonts w:hint="eastAsia"/>
          <w:b/>
          <w:color w:val="auto"/>
          <w:szCs w:val="21"/>
          <w:lang w:eastAsia="zh-CN"/>
        </w:rPr>
        <w:t>、</w:t>
      </w:r>
      <w:r>
        <w:rPr>
          <w:rFonts w:hint="eastAsia"/>
          <w:b/>
          <w:color w:val="auto"/>
          <w:szCs w:val="21"/>
          <w:lang w:val="en-US" w:eastAsia="zh-CN"/>
        </w:rPr>
        <w:t>安全生产许可证</w:t>
      </w:r>
      <w:r>
        <w:rPr>
          <w:rFonts w:hint="eastAsia"/>
          <w:b/>
          <w:color w:val="auto"/>
          <w:szCs w:val="21"/>
        </w:rPr>
        <w:t>的复印件或扫描件。）</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w:t>
      </w:r>
      <w:r>
        <w:rPr>
          <w:rFonts w:hint="eastAsia" w:ascii="宋体" w:hAnsi="宋体" w:cs="宋体"/>
          <w:bCs/>
          <w:szCs w:val="28"/>
          <w:lang w:val="en-US" w:eastAsia="zh-CN"/>
        </w:rPr>
        <w:t>2023</w:t>
      </w:r>
      <w:r>
        <w:rPr>
          <w:rFonts w:hint="eastAsia" w:ascii="宋体" w:hAnsi="宋体" w:cs="宋体"/>
          <w:bCs/>
          <w:szCs w:val="28"/>
          <w:lang w:eastAsia="zh-CN"/>
        </w:rPr>
        <w:t>年</w:t>
      </w:r>
      <w:r>
        <w:rPr>
          <w:rFonts w:hint="eastAsia" w:ascii="宋体" w:hAnsi="宋体" w:cs="宋体"/>
          <w:bCs/>
          <w:szCs w:val="28"/>
          <w:lang w:val="en-US" w:eastAsia="zh-CN"/>
        </w:rPr>
        <w:t>6</w:t>
      </w:r>
      <w:r>
        <w:rPr>
          <w:rFonts w:hint="eastAsia" w:ascii="宋体" w:hAnsi="宋体" w:cs="宋体"/>
          <w:bCs/>
          <w:szCs w:val="28"/>
          <w:lang w:eastAsia="zh-CN"/>
        </w:rPr>
        <w:t>月</w:t>
      </w:r>
      <w:r>
        <w:rPr>
          <w:rFonts w:hint="eastAsia" w:ascii="宋体" w:hAnsi="宋体" w:cs="宋体"/>
          <w:bCs/>
          <w:szCs w:val="28"/>
          <w:lang w:val="en-US" w:eastAsia="zh-CN"/>
        </w:rPr>
        <w:t>13</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2023年6月19</w:t>
      </w:r>
      <w:r>
        <w:rPr>
          <w:rFonts w:hint="eastAsia" w:ascii="宋体" w:hAnsi="宋体" w:cs="宋体"/>
          <w:bCs/>
          <w:szCs w:val="28"/>
        </w:rPr>
        <w:t>日</w:t>
      </w:r>
      <w:r>
        <w:rPr>
          <w:rFonts w:hint="eastAsia" w:ascii="宋体" w:hAnsi="宋体" w:cs="宋体"/>
          <w:bCs/>
          <w:szCs w:val="28"/>
          <w:lang w:val="en-US" w:eastAsia="zh-CN"/>
        </w:rPr>
        <w:t>10</w:t>
      </w:r>
      <w:r>
        <w:rPr>
          <w:rFonts w:hint="eastAsia" w:ascii="宋体" w:hAnsi="宋体" w:cs="宋体"/>
          <w:bCs/>
          <w:szCs w:val="28"/>
        </w:rPr>
        <w:t>时</w:t>
      </w:r>
      <w:r>
        <w:rPr>
          <w:rFonts w:hint="eastAsia" w:ascii="宋体" w:hAnsi="宋体" w:cs="宋体"/>
          <w:bCs/>
          <w:szCs w:val="28"/>
          <w:lang w:val="en-US" w:eastAsia="zh-CN"/>
        </w:rPr>
        <w:t>0</w:t>
      </w:r>
      <w:r>
        <w:rPr>
          <w:rFonts w:hint="eastAsia" w:ascii="宋体" w:hAnsi="宋体" w:cs="宋体"/>
          <w:bCs/>
          <w:szCs w:val="28"/>
        </w:rPr>
        <w:t>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cs="宋体"/>
          <w:bCs/>
          <w:szCs w:val="28"/>
          <w:lang w:eastAsia="zh-CN"/>
        </w:rPr>
        <w:t>重庆市渝北区银杉路66号重庆高速公路集团有限公司16楼16</w:t>
      </w:r>
      <w:r>
        <w:rPr>
          <w:rFonts w:hint="eastAsia" w:ascii="宋体" w:hAnsi="宋体" w:cs="宋体"/>
          <w:bCs/>
          <w:szCs w:val="28"/>
          <w:lang w:val="en-US" w:eastAsia="zh-CN"/>
        </w:rPr>
        <w:t>11</w:t>
      </w:r>
      <w:r>
        <w:rPr>
          <w:rFonts w:hint="eastAsia" w:ascii="宋体" w:hAnsi="宋体" w:cs="宋体"/>
          <w:bCs/>
          <w:szCs w:val="28"/>
          <w:lang w:eastAsia="zh-CN"/>
        </w:rPr>
        <w:t>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spacing w:line="440" w:lineRule="atLeast"/>
        <w:ind w:firstLine="411" w:firstLineChars="196"/>
        <w:jc w:val="both"/>
        <w:rPr>
          <w:rFonts w:hint="eastAsia"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本竞争性比选项目的监督部门为重庆高速公路集团有限公司东南营运分公司。为杜绝违法违纪现象，共同营造公平、公正的竞争环境，敬请各竞争性比选申请人在参与投标报价过程中，将竞争性比选人相关工作人员明示或暗示要求宴请、招待，或索取礼金、礼品、礼券、其他利益，或故意刁难、显失公平现象，向我司纪检监察人员进行举报。具体举报渠道告知如下：</w:t>
      </w:r>
    </w:p>
    <w:p>
      <w:pPr>
        <w:spacing w:line="440" w:lineRule="atLeast"/>
        <w:ind w:firstLine="411" w:firstLineChars="196"/>
        <w:jc w:val="both"/>
        <w:rPr>
          <w:rFonts w:hint="default"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举报电话（传真）： 023-89138820</w:t>
      </w:r>
    </w:p>
    <w:p>
      <w:pPr>
        <w:spacing w:line="440" w:lineRule="atLeast"/>
        <w:ind w:firstLine="411" w:firstLineChars="196"/>
        <w:jc w:val="both"/>
        <w:rPr>
          <w:rFonts w:hint="eastAsia"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我司承诺：对所有举报信息及时调查处理，对举报来源严格保守秘密，对举报单位因举报所可能遭受的利益损害采取特别措施予以保护。</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①报价书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②法定代表人身份证明及授权委托书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③比选申请单位有效的营业执照、资质证书等证明材料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④工程量清单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⑤其他材料</w:t>
      </w:r>
    </w:p>
    <w:p>
      <w:pPr>
        <w:spacing w:line="320" w:lineRule="exact"/>
        <w:ind w:firstLine="422" w:firstLineChars="200"/>
        <w:rPr>
          <w:rFonts w:hint="eastAsia"/>
          <w:b/>
          <w:bCs/>
          <w:szCs w:val="21"/>
        </w:rPr>
      </w:pPr>
      <w:r>
        <w:rPr>
          <w:rFonts w:hint="eastAsia"/>
          <w:b/>
          <w:bCs/>
          <w:szCs w:val="21"/>
        </w:rPr>
        <w:t>（注：所有资料</w:t>
      </w:r>
      <w:r>
        <w:rPr>
          <w:rFonts w:hint="eastAsia"/>
          <w:b/>
          <w:bCs/>
          <w:szCs w:val="21"/>
          <w:lang w:val="en-US" w:eastAsia="zh-CN"/>
        </w:rPr>
        <w:t>要求盖章地方应盖</w:t>
      </w:r>
      <w:r>
        <w:rPr>
          <w:rFonts w:hint="eastAsia"/>
          <w:b/>
          <w:bCs/>
          <w:szCs w:val="21"/>
        </w:rPr>
        <w:t>比选申请单位公章，格式要求中应签字地方须比选申请单位法定代表人（单位负责人）或其授权代理人签署，并装订成册）</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val="en-US" w:eastAsia="zh-CN"/>
        </w:rPr>
        <w:t>2023年边坡病害处治工程</w:t>
      </w:r>
      <w:r>
        <w:rPr>
          <w:rFonts w:hint="eastAsia" w:ascii="宋体" w:hAnsi="宋体" w:cs="MingLiU"/>
          <w:snapToGrid w:val="0"/>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rPr>
      </w:pPr>
      <w:r>
        <w:rPr>
          <w:rFonts w:hint="eastAsia" w:ascii="宋体" w:hAnsi="宋体" w:cs="MingLiU"/>
          <w:snapToGrid w:val="0"/>
          <w:kern w:val="0"/>
          <w:szCs w:val="21"/>
        </w:rPr>
        <w:t>在</w:t>
      </w:r>
      <w:r>
        <w:rPr>
          <w:rFonts w:hint="eastAsia" w:ascii="宋体" w:hAnsi="宋体" w:cs="MingLiU"/>
          <w:snapToGrid w:val="0"/>
          <w:kern w:val="0"/>
          <w:szCs w:val="21"/>
          <w:lang w:val="en-US" w:eastAsia="zh-CN"/>
        </w:rPr>
        <w:t>2023</w:t>
      </w:r>
      <w:r>
        <w:rPr>
          <w:rFonts w:hint="eastAsia" w:ascii="宋体" w:hAnsi="宋体" w:cs="MingLiU"/>
          <w:snapToGrid w:val="0"/>
          <w:kern w:val="0"/>
          <w:szCs w:val="21"/>
        </w:rPr>
        <w:t>年</w:t>
      </w:r>
      <w:r>
        <w:rPr>
          <w:rFonts w:hint="eastAsia" w:ascii="宋体" w:hAnsi="宋体" w:cs="MingLiU"/>
          <w:snapToGrid w:val="0"/>
          <w:kern w:val="0"/>
          <w:szCs w:val="21"/>
          <w:lang w:val="en-US" w:eastAsia="zh-CN"/>
        </w:rPr>
        <w:t>6</w:t>
      </w:r>
      <w:r>
        <w:rPr>
          <w:rFonts w:hint="eastAsia" w:ascii="宋体" w:hAnsi="宋体" w:cs="MingLiU"/>
          <w:snapToGrid w:val="0"/>
          <w:kern w:val="0"/>
          <w:szCs w:val="21"/>
        </w:rPr>
        <w:t>月</w:t>
      </w:r>
      <w:r>
        <w:rPr>
          <w:rFonts w:hint="eastAsia" w:ascii="宋体" w:hAnsi="宋体" w:cs="MingLiU"/>
          <w:snapToGrid w:val="0"/>
          <w:kern w:val="0"/>
          <w:szCs w:val="21"/>
          <w:lang w:val="en-US" w:eastAsia="zh-CN"/>
        </w:rPr>
        <w:t>19</w:t>
      </w:r>
      <w:r>
        <w:rPr>
          <w:rFonts w:hint="eastAsia" w:ascii="宋体" w:hAnsi="宋体" w:cs="MingLiU"/>
          <w:snapToGrid w:val="0"/>
          <w:kern w:val="0"/>
          <w:szCs w:val="21"/>
        </w:rPr>
        <w:t>日</w:t>
      </w:r>
      <w:r>
        <w:rPr>
          <w:rFonts w:hint="eastAsia" w:ascii="宋体" w:hAnsi="宋体" w:cs="MingLiU"/>
          <w:snapToGrid w:val="0"/>
          <w:kern w:val="0"/>
          <w:szCs w:val="21"/>
          <w:lang w:val="en-US" w:eastAsia="zh-CN"/>
        </w:rPr>
        <w:t>10</w:t>
      </w:r>
      <w:r>
        <w:rPr>
          <w:rFonts w:hint="eastAsia" w:ascii="宋体" w:hAnsi="宋体" w:cs="MingLiU"/>
          <w:snapToGrid w:val="0"/>
          <w:kern w:val="0"/>
          <w:szCs w:val="21"/>
        </w:rPr>
        <w:t xml:space="preserve">时 </w:t>
      </w:r>
      <w:r>
        <w:rPr>
          <w:rFonts w:hint="eastAsia" w:ascii="宋体" w:hAnsi="宋体" w:cs="MingLiU"/>
          <w:snapToGrid w:val="0"/>
          <w:kern w:val="0"/>
          <w:szCs w:val="21"/>
          <w:lang w:val="en-US" w:eastAsia="zh-CN"/>
        </w:rPr>
        <w:t>0</w:t>
      </w:r>
      <w:r>
        <w:rPr>
          <w:rFonts w:hint="eastAsia" w:ascii="宋体" w:hAnsi="宋体" w:cs="MingLiU"/>
          <w:snapToGrid w:val="0"/>
          <w:kern w:val="0"/>
          <w:szCs w:val="21"/>
        </w:rPr>
        <w:t>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w:t>
      </w:r>
      <w:r>
        <w:rPr>
          <w:rFonts w:hint="eastAsia" w:ascii="宋体" w:hAnsi="宋体" w:cs="MingLiU"/>
          <w:snapToGrid w:val="0"/>
          <w:kern w:val="0"/>
          <w:szCs w:val="21"/>
          <w:lang w:val="en-US" w:eastAsia="zh-CN"/>
        </w:rPr>
        <w:t>可</w:t>
      </w:r>
      <w:r>
        <w:rPr>
          <w:rFonts w:hint="eastAsia" w:ascii="宋体" w:hAnsi="宋体" w:cs="MingLiU"/>
          <w:snapToGrid w:val="0"/>
          <w:kern w:val="0"/>
          <w:szCs w:val="21"/>
        </w:rPr>
        <w:t>为正本的完整复印件，副本与正本不一致时以正本为准。</w:t>
      </w:r>
    </w:p>
    <w:p>
      <w:pPr>
        <w:spacing w:line="360" w:lineRule="auto"/>
        <w:jc w:val="both"/>
        <w:rPr>
          <w:rFonts w:hint="eastAsia" w:ascii="宋体" w:hAnsi="宋体" w:eastAsia="仿宋_GB2312" w:cs="Times New Roman"/>
          <w:snapToGrid w:val="0"/>
          <w:kern w:val="2"/>
          <w:sz w:val="28"/>
          <w:szCs w:val="20"/>
          <w:lang w:val="en-US" w:eastAsia="zh-CN" w:bidi="ar-SA"/>
        </w:rPr>
      </w:pPr>
      <w:r>
        <w:rPr>
          <w:rFonts w:hint="eastAsia" w:ascii="宋体" w:hAnsi="宋体" w:eastAsia="仿宋_GB2312" w:cs="Times New Roman"/>
          <w:snapToGrid w:val="0"/>
          <w:kern w:val="2"/>
          <w:sz w:val="28"/>
          <w:szCs w:val="20"/>
          <w:lang w:val="en-US" w:eastAsia="zh-CN" w:bidi="ar-SA"/>
        </w:rPr>
        <w:t>7、报价原则</w:t>
      </w:r>
    </w:p>
    <w:p>
      <w:pPr>
        <w:spacing w:line="432" w:lineRule="exact"/>
        <w:ind w:firstLine="480" w:firstLineChars="200"/>
        <w:jc w:val="both"/>
        <w:rPr>
          <w:rFonts w:hint="eastAsia" w:ascii="宋体" w:hAnsi="宋体" w:eastAsia="宋体"/>
          <w:sz w:val="24"/>
          <w:lang w:eastAsia="zh-CN"/>
        </w:rPr>
      </w:pPr>
      <w:r>
        <w:rPr>
          <w:rFonts w:hint="eastAsia" w:ascii="宋体" w:hAnsi="宋体"/>
          <w:sz w:val="24"/>
          <w:lang w:val="en-US" w:eastAsia="zh-CN"/>
        </w:rPr>
        <w:t>7.1</w:t>
      </w:r>
      <w:r>
        <w:rPr>
          <w:rFonts w:hint="eastAsia" w:ascii="宋体" w:hAnsi="宋体"/>
          <w:sz w:val="24"/>
          <w:lang w:eastAsia="zh-CN"/>
        </w:rPr>
        <w:t>竞争性比选申请人</w:t>
      </w:r>
      <w:r>
        <w:rPr>
          <w:rFonts w:hint="eastAsia" w:ascii="宋体" w:hAnsi="宋体"/>
          <w:sz w:val="24"/>
          <w:lang w:val="en-US" w:eastAsia="zh-CN"/>
        </w:rPr>
        <w:t>应以竞争性比选人提供的项目内容及范围为依据，</w:t>
      </w:r>
      <w:r>
        <w:rPr>
          <w:rFonts w:hint="eastAsia" w:ascii="宋体" w:hAnsi="宋体"/>
          <w:sz w:val="24"/>
        </w:rPr>
        <w:t>自行前往现场查看现场条件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以国家相关规范及行业标准</w:t>
      </w:r>
      <w:r>
        <w:rPr>
          <w:rFonts w:hint="eastAsia" w:ascii="宋体" w:hAnsi="宋体"/>
          <w:sz w:val="24"/>
          <w:lang w:val="en-US" w:eastAsia="zh-CN"/>
        </w:rPr>
        <w:t>要求</w:t>
      </w:r>
      <w:r>
        <w:rPr>
          <w:rFonts w:hint="eastAsia" w:ascii="宋体" w:hAnsi="宋体"/>
          <w:sz w:val="24"/>
        </w:rPr>
        <w:t>，结合市场行情自主合理报价</w:t>
      </w:r>
      <w:r>
        <w:rPr>
          <w:rFonts w:hint="eastAsia" w:ascii="宋体" w:hAnsi="宋体"/>
          <w:sz w:val="24"/>
          <w:lang w:eastAsia="zh-CN"/>
        </w:rPr>
        <w:t>；</w:t>
      </w:r>
    </w:p>
    <w:p>
      <w:pPr>
        <w:spacing w:line="432" w:lineRule="exact"/>
        <w:ind w:firstLine="480" w:firstLineChars="200"/>
        <w:rPr>
          <w:rFonts w:hint="eastAsia"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2</w:t>
      </w:r>
      <w:r>
        <w:rPr>
          <w:rFonts w:hint="eastAsia" w:ascii="宋体" w:hAnsi="宋体" w:eastAsia="宋体"/>
          <w:sz w:val="24"/>
          <w:lang w:eastAsia="zh-CN"/>
        </w:rPr>
        <w:t>竞争性比选申请人</w:t>
      </w:r>
      <w:r>
        <w:rPr>
          <w:rFonts w:hint="eastAsia" w:ascii="宋体" w:hAnsi="宋体" w:eastAsia="宋体"/>
          <w:sz w:val="24"/>
        </w:rPr>
        <w:t>的报价应包括完成本项目</w:t>
      </w:r>
      <w:r>
        <w:rPr>
          <w:rFonts w:hint="eastAsia" w:ascii="宋体" w:hAnsi="宋体" w:eastAsia="宋体"/>
          <w:sz w:val="24"/>
          <w:lang w:val="en-US" w:eastAsia="zh-CN"/>
        </w:rPr>
        <w:t>所需的</w:t>
      </w:r>
      <w:r>
        <w:rPr>
          <w:rFonts w:hint="eastAsia" w:ascii="宋体" w:hAnsi="宋体" w:eastAsia="宋体"/>
          <w:sz w:val="24"/>
        </w:rPr>
        <w:t>劳务、材料、机械、质检（自检）、安装、缺陷修复、管理、运输、利润、税金等至验收合格交付甲方止前所有各项费用。</w:t>
      </w:r>
    </w:p>
    <w:p>
      <w:pPr>
        <w:spacing w:line="432" w:lineRule="exact"/>
        <w:ind w:firstLine="460" w:firstLineChars="192"/>
        <w:rPr>
          <w:rFonts w:hint="eastAsia" w:ascii="宋体" w:hAnsi="宋体"/>
          <w:sz w:val="24"/>
          <w:lang w:eastAsia="zh-CN"/>
        </w:rPr>
      </w:pPr>
      <w:r>
        <w:rPr>
          <w:rFonts w:hint="eastAsia" w:ascii="宋体" w:hAnsi="宋体"/>
          <w:sz w:val="24"/>
          <w:lang w:val="en-US" w:eastAsia="zh-CN"/>
        </w:rPr>
        <w:t>7.</w:t>
      </w:r>
      <w:r>
        <w:rPr>
          <w:rFonts w:ascii="宋体" w:hAnsi="宋体"/>
          <w:sz w:val="24"/>
        </w:rPr>
        <w:t>3</w:t>
      </w:r>
      <w:r>
        <w:rPr>
          <w:rFonts w:hint="eastAsia" w:ascii="宋体" w:hAnsi="宋体"/>
          <w:sz w:val="24"/>
          <w:lang w:eastAsia="zh-CN"/>
        </w:rPr>
        <w:t>竞争性比选申请人</w:t>
      </w:r>
      <w:r>
        <w:rPr>
          <w:rFonts w:hint="eastAsia" w:ascii="宋体" w:hAnsi="宋体"/>
          <w:sz w:val="24"/>
        </w:rPr>
        <w:t>的报价不得</w:t>
      </w:r>
      <w:r>
        <w:rPr>
          <w:rFonts w:hint="eastAsia" w:ascii="宋体" w:hAnsi="宋体"/>
          <w:sz w:val="24"/>
          <w:lang w:val="en-US" w:eastAsia="zh-CN"/>
        </w:rPr>
        <w:t>超过竞争性比选人</w:t>
      </w:r>
      <w:r>
        <w:rPr>
          <w:rFonts w:hint="eastAsia" w:ascii="宋体" w:hAnsi="宋体"/>
          <w:sz w:val="24"/>
        </w:rPr>
        <w:t>提供的</w:t>
      </w:r>
      <w:r>
        <w:rPr>
          <w:rFonts w:hint="eastAsia" w:ascii="宋体" w:hAnsi="宋体"/>
          <w:sz w:val="24"/>
          <w:lang w:val="en-US" w:eastAsia="zh-CN"/>
        </w:rPr>
        <w:t>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eastAsia" w:ascii="宋体" w:hAnsi="宋体"/>
          <w:sz w:val="24"/>
        </w:rPr>
      </w:pPr>
      <w:r>
        <w:rPr>
          <w:rFonts w:hint="eastAsia" w:ascii="宋体" w:hAnsi="宋体"/>
          <w:sz w:val="24"/>
          <w:lang w:val="en-US" w:eastAsia="zh-CN"/>
        </w:rPr>
        <w:t>7.4</w:t>
      </w:r>
      <w:r>
        <w:rPr>
          <w:rFonts w:hint="eastAsia" w:ascii="宋体" w:hAnsi="宋体"/>
          <w:sz w:val="24"/>
        </w:rPr>
        <w:t>本项目合同为</w:t>
      </w:r>
      <w:r>
        <w:rPr>
          <w:rFonts w:hint="eastAsia" w:ascii="宋体" w:hAnsi="宋体"/>
          <w:sz w:val="24"/>
          <w:u w:val="single"/>
          <w:lang w:eastAsia="zh-CN"/>
        </w:rPr>
        <w:t>固定</w:t>
      </w:r>
      <w:r>
        <w:rPr>
          <w:rFonts w:hint="eastAsia" w:ascii="宋体" w:hAnsi="宋体"/>
          <w:sz w:val="24"/>
          <w:u w:val="single"/>
          <w:lang w:val="en-US" w:eastAsia="zh-CN"/>
        </w:rPr>
        <w:t>单价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w:t>
      </w:r>
      <w:r>
        <w:rPr>
          <w:rFonts w:hint="eastAsia" w:ascii="宋体" w:hAnsi="宋体"/>
          <w:sz w:val="24"/>
          <w:lang w:val="en-US" w:eastAsia="zh-CN"/>
        </w:rPr>
        <w:t>单</w:t>
      </w:r>
      <w:r>
        <w:rPr>
          <w:rFonts w:hint="eastAsia" w:ascii="宋体" w:hAnsi="宋体"/>
          <w:sz w:val="24"/>
        </w:rPr>
        <w:t>价将不予调整；</w:t>
      </w:r>
      <w:r>
        <w:rPr>
          <w:rFonts w:hint="eastAsia" w:ascii="宋体" w:hAnsi="宋体"/>
          <w:sz w:val="24"/>
          <w:lang w:eastAsia="zh-CN"/>
        </w:rPr>
        <w:t>竞争性比选申请人</w:t>
      </w:r>
      <w:r>
        <w:rPr>
          <w:rFonts w:hint="eastAsia" w:ascii="宋体" w:hAnsi="宋体"/>
          <w:sz w:val="24"/>
        </w:rPr>
        <w:t>在报价中应充分考虑可能发生的价格变动</w:t>
      </w:r>
      <w:r>
        <w:rPr>
          <w:rFonts w:hint="eastAsia" w:ascii="宋体" w:hAnsi="宋体"/>
          <w:sz w:val="24"/>
          <w:lang w:val="en-US" w:eastAsia="zh-CN"/>
        </w:rPr>
        <w:t>等</w:t>
      </w:r>
      <w:r>
        <w:rPr>
          <w:rFonts w:hint="eastAsia" w:ascii="宋体" w:hAnsi="宋体"/>
          <w:sz w:val="24"/>
        </w:rPr>
        <w:t>因素。</w:t>
      </w:r>
    </w:p>
    <w:p>
      <w:pPr>
        <w:pStyle w:val="2"/>
        <w:jc w:val="both"/>
        <w:rPr>
          <w:rFonts w:hint="default" w:eastAsia="宋体"/>
          <w:lang w:val="en-US" w:eastAsia="zh-CN"/>
        </w:rPr>
      </w:pPr>
      <w:r>
        <w:rPr>
          <w:rFonts w:hint="eastAsia" w:ascii="宋体" w:hAnsi="宋体"/>
          <w:color w:val="FF0000"/>
          <w:sz w:val="24"/>
          <w:lang w:val="en-US" w:eastAsia="zh-CN"/>
        </w:rPr>
        <w:t xml:space="preserve">    7.5 若所有竞争性比选申请人报价均不具备竞争性，本次竞争性比选按流标处理，由竞争性比选人重新比选。</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8</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本次竞争性比选采用经评审的最低投标价法。</w:t>
      </w:r>
    </w:p>
    <w:p>
      <w:pPr>
        <w:pStyle w:val="4"/>
        <w:spacing w:before="0" w:after="0" w:line="400" w:lineRule="exact"/>
        <w:jc w:val="both"/>
        <w:rPr>
          <w:rFonts w:ascii="宋体" w:hAnsi="宋体"/>
          <w:snapToGrid w:val="0"/>
          <w:sz w:val="28"/>
        </w:rPr>
      </w:pPr>
      <w:bookmarkStart w:id="18" w:name="_Toc19552714"/>
      <w:r>
        <w:rPr>
          <w:rFonts w:hint="eastAsia" w:ascii="宋体" w:hAnsi="宋体"/>
          <w:snapToGrid w:val="0"/>
          <w:sz w:val="28"/>
          <w:lang w:val="en-US" w:eastAsia="zh-CN"/>
        </w:rPr>
        <w:t>9</w:t>
      </w:r>
      <w:r>
        <w:rPr>
          <w:rFonts w:hint="eastAsia" w:ascii="宋体" w:hAnsi="宋体"/>
          <w:snapToGrid w:val="0"/>
          <w:sz w:val="28"/>
        </w:rPr>
        <w:t>、联系方式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比选人：</w:t>
      </w:r>
      <w:r>
        <w:rPr>
          <w:rFonts w:hint="eastAsia" w:ascii="宋体" w:hAnsi="宋体" w:cs="MingLiU"/>
          <w:snapToGrid w:val="0"/>
          <w:kern w:val="0"/>
          <w:szCs w:val="21"/>
          <w:lang w:eastAsia="zh-CN"/>
        </w:rPr>
        <w:t>重庆高速公路集团有限公司东南营运分公司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r>
        <w:rPr>
          <w:rFonts w:hint="eastAsia" w:ascii="宋体" w:hAnsi="宋体" w:eastAsia="宋体" w:cs="MingLiU"/>
          <w:snapToGrid w:val="0"/>
          <w:kern w:val="0"/>
          <w:szCs w:val="21"/>
        </w:rPr>
        <w:t>地址：：</w:t>
      </w:r>
      <w:r>
        <w:rPr>
          <w:rFonts w:hint="eastAsia" w:ascii="宋体" w:hAnsi="宋体" w:cs="MingLiU"/>
          <w:snapToGrid w:val="0"/>
          <w:kern w:val="0"/>
          <w:szCs w:val="21"/>
          <w:lang w:eastAsia="zh-CN"/>
        </w:rPr>
        <w:t>重庆市渝北区银杉路66号重庆高速公路集团有限公司16楼16</w:t>
      </w:r>
      <w:r>
        <w:rPr>
          <w:rFonts w:hint="eastAsia" w:ascii="宋体" w:hAnsi="宋体" w:cs="MingLiU"/>
          <w:snapToGrid w:val="0"/>
          <w:kern w:val="0"/>
          <w:szCs w:val="21"/>
          <w:lang w:val="en-US" w:eastAsia="zh-CN"/>
        </w:rPr>
        <w:t>11</w:t>
      </w:r>
      <w:r>
        <w:rPr>
          <w:rFonts w:hint="eastAsia" w:ascii="宋体" w:hAnsi="宋体" w:cs="MingLiU"/>
          <w:snapToGrid w:val="0"/>
          <w:kern w:val="0"/>
          <w:szCs w:val="21"/>
          <w:lang w:eastAsia="zh-CN"/>
        </w:rPr>
        <w:t>会议室</w:t>
      </w:r>
      <w:r>
        <w:rPr>
          <w:rFonts w:hint="eastAsia" w:ascii="宋体" w:hAnsi="宋体" w:eastAsia="宋体" w:cs="MingLiU"/>
          <w:snapToGrid w:val="0"/>
          <w:kern w:val="0"/>
          <w:szCs w:val="21"/>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kern w:val="0"/>
          <w:szCs w:val="21"/>
          <w:u w:val="single"/>
          <w:lang w:val="en-US" w:eastAsia="zh-CN"/>
        </w:rPr>
      </w:pPr>
      <w:r>
        <w:rPr>
          <w:rFonts w:hint="eastAsia" w:ascii="宋体" w:hAnsi="宋体" w:eastAsia="宋体" w:cs="MingLiU"/>
          <w:snapToGrid w:val="0"/>
          <w:kern w:val="0"/>
          <w:szCs w:val="21"/>
        </w:rPr>
        <w:t>联系人：</w:t>
      </w:r>
      <w:r>
        <w:rPr>
          <w:rFonts w:hint="eastAsia" w:ascii="宋体" w:hAnsi="宋体" w:cs="MingLiU"/>
          <w:snapToGrid w:val="0"/>
          <w:kern w:val="0"/>
          <w:szCs w:val="21"/>
          <w:u w:val="single"/>
          <w:lang w:val="en-US" w:eastAsia="zh-CN"/>
        </w:rPr>
        <w:t xml:space="preserve">   庹大权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lang w:val="en-US" w:eastAsia="zh-CN"/>
        </w:rPr>
      </w:pPr>
      <w:r>
        <w:rPr>
          <w:rFonts w:hint="eastAsia" w:ascii="宋体" w:hAnsi="宋体" w:eastAsia="宋体" w:cs="MingLiU"/>
          <w:snapToGrid w:val="0"/>
          <w:kern w:val="0"/>
          <w:szCs w:val="21"/>
        </w:rPr>
        <w:t>电  话：</w:t>
      </w:r>
      <w:r>
        <w:rPr>
          <w:rFonts w:hint="eastAsia" w:ascii="宋体" w:hAnsi="宋体" w:cs="MingLiU"/>
          <w:snapToGrid w:val="0"/>
          <w:kern w:val="0"/>
          <w:szCs w:val="21"/>
          <w:u w:val="single"/>
          <w:lang w:val="en-US" w:eastAsia="zh-CN"/>
        </w:rPr>
        <w:t xml:space="preserve">   15086775586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p>
    <w:p/>
    <w:p>
      <w:pPr>
        <w:pStyle w:val="2"/>
        <w:tabs>
          <w:tab w:val="right" w:leader="dot" w:pos="9117"/>
          <w:tab w:val="clear" w:pos="8805"/>
        </w:tabs>
      </w:pPr>
    </w:p>
    <w:p/>
    <w:p>
      <w:pPr>
        <w:pStyle w:val="2"/>
        <w:tabs>
          <w:tab w:val="right" w:leader="dot" w:pos="9117"/>
          <w:tab w:val="clear" w:pos="8805"/>
        </w:tabs>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tabs>
          <w:tab w:val="right" w:leader="dot" w:pos="9117"/>
          <w:tab w:val="clear" w:pos="8805"/>
        </w:tabs>
      </w:pPr>
    </w:p>
    <w:p/>
    <w:p>
      <w:pPr>
        <w:pStyle w:val="3"/>
        <w:spacing w:line="360" w:lineRule="auto"/>
        <w:jc w:val="center"/>
        <w:rPr>
          <w:rFonts w:hint="eastAsia" w:ascii="宋体" w:hAnsi="宋体"/>
          <w:snapToGrid w:val="0"/>
          <w:kern w:val="0"/>
        </w:rPr>
      </w:pPr>
      <w:bookmarkStart w:id="19" w:name="_Toc34310520"/>
      <w:bookmarkStart w:id="20" w:name="_Toc287607744"/>
      <w:bookmarkStart w:id="21" w:name="_Toc224103315"/>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8"/>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重庆高速公路集团有限公司东南营运分公司</w:t>
            </w:r>
          </w:p>
          <w:p>
            <w:pPr>
              <w:spacing w:line="380" w:lineRule="exact"/>
              <w:rPr>
                <w:rFonts w:hint="eastAsia" w:ascii="宋体" w:hAnsi="宋体" w:eastAsia="宋体" w:cs="宋体"/>
                <w:kern w:val="0"/>
                <w:szCs w:val="21"/>
                <w:lang w:eastAsia="zh-CN"/>
              </w:rPr>
            </w:pPr>
            <w:r>
              <w:rPr>
                <w:rFonts w:hint="eastAsia" w:ascii="宋体" w:hAnsi="宋体" w:cs="宋体"/>
                <w:kern w:val="0"/>
                <w:szCs w:val="21"/>
              </w:rPr>
              <w:t>地址：</w:t>
            </w:r>
            <w:r>
              <w:rPr>
                <w:rFonts w:hint="eastAsia" w:ascii="宋体" w:hAnsi="宋体" w:cs="宋体"/>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u w:val="single"/>
                <w:lang w:val="en-US" w:eastAsia="zh-CN"/>
              </w:rPr>
              <w:t xml:space="preserve"> 庹大权              </w:t>
            </w:r>
            <w:r>
              <w:rPr>
                <w:rFonts w:hint="eastAsia" w:ascii="宋体" w:hAnsi="宋体" w:cs="宋体"/>
                <w:sz w:val="18"/>
                <w:szCs w:val="18"/>
                <w:u w:val="none"/>
                <w:lang w:val="en-US" w:eastAsia="zh-CN"/>
              </w:rPr>
              <w:t>；</w:t>
            </w:r>
          </w:p>
          <w:p>
            <w:pPr>
              <w:spacing w:line="360" w:lineRule="auto"/>
              <w:jc w:val="left"/>
              <w:rPr>
                <w:rFonts w:hint="default" w:ascii="宋体" w:hAnsi="宋体" w:eastAsia="宋体" w:cs="宋体"/>
                <w:kern w:val="0"/>
                <w:szCs w:val="21"/>
                <w:lang w:val="en-US" w:eastAsia="zh-CN"/>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u w:val="single"/>
                <w:lang w:val="en-US" w:eastAsia="zh-CN"/>
              </w:rPr>
              <w:t xml:space="preserve"> 15086775586     </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宋体"/>
                <w:kern w:val="0"/>
                <w:szCs w:val="21"/>
                <w:lang w:val="en-US" w:eastAsia="zh-CN"/>
              </w:rPr>
              <w:t>2023年边坡病害处治工程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default" w:ascii="宋体" w:hAnsi="宋体" w:eastAsia="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MingLiU"/>
                <w:snapToGrid w:val="0"/>
                <w:kern w:val="0"/>
                <w:szCs w:val="21"/>
                <w:u w:val="single"/>
                <w:lang w:val="en-US" w:eastAsia="zh-CN"/>
              </w:rPr>
              <w:t>出城K1918+150~306段、出城K1922+316~440段、出城彭水西收费站下道口</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工期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u w:val="single"/>
                <w:lang w:val="en-US" w:eastAsia="zh-CN"/>
              </w:rPr>
              <w:t xml:space="preserve">   60   </w:t>
            </w:r>
            <w:r>
              <w:rPr>
                <w:rFonts w:hint="eastAsia" w:ascii="宋体" w:hAnsi="宋体" w:cs="宋体"/>
                <w:kern w:val="1"/>
                <w:szCs w:val="21"/>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lang w:val="en-US" w:eastAsia="zh-CN"/>
              </w:rPr>
              <w:t>满足</w:t>
            </w:r>
            <w:r>
              <w:rPr>
                <w:rFonts w:hint="eastAsia" w:ascii="宋体" w:hAnsi="宋体"/>
                <w:szCs w:val="21"/>
              </w:rPr>
              <w:t>国家现行</w:t>
            </w:r>
            <w:r>
              <w:rPr>
                <w:rFonts w:hint="eastAsia" w:ascii="宋体" w:hAnsi="宋体"/>
                <w:szCs w:val="21"/>
                <w:lang w:val="en-US" w:eastAsia="zh-CN"/>
              </w:rPr>
              <w:t>相关标准、规范</w:t>
            </w:r>
            <w:r>
              <w:rPr>
                <w:rFonts w:hint="eastAsia" w:ascii="宋体" w:hAnsi="宋体"/>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比选申请人资质条件、能力和信誉</w:t>
            </w:r>
          </w:p>
        </w:tc>
        <w:tc>
          <w:tcPr>
            <w:tcW w:w="6744" w:type="dxa"/>
          </w:tcPr>
          <w:p>
            <w:pPr>
              <w:spacing w:line="380" w:lineRule="exact"/>
              <w:rPr>
                <w:rFonts w:hint="eastAsia"/>
                <w:highlight w:val="none"/>
              </w:rPr>
            </w:pPr>
            <w:r>
              <w:rPr>
                <w:rFonts w:hint="eastAsia"/>
                <w:highlight w:val="none"/>
              </w:rPr>
              <w:t>比选申请人应同时满足以下资格条件：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highlight w:val="none"/>
                <w:lang w:val="en-US" w:eastAsia="zh-CN"/>
              </w:rPr>
            </w:pPr>
            <w:r>
              <w:rPr>
                <w:rFonts w:hint="eastAsia"/>
                <w:highlight w:val="none"/>
                <w:lang w:val="en-US" w:eastAsia="zh-CN"/>
              </w:rPr>
              <w:t> </w:t>
            </w:r>
            <w:r>
              <w:rPr>
                <w:rFonts w:hint="eastAsia" w:ascii="宋体" w:hAnsi="宋体" w:eastAsia="宋体" w:cs="MingLiU"/>
                <w:snapToGrid w:val="0"/>
                <w:color w:val="auto"/>
                <w:kern w:val="0"/>
                <w:szCs w:val="21"/>
                <w:highlight w:val="none"/>
                <w:lang w:val="en-US" w:eastAsia="zh-CN"/>
              </w:rPr>
              <w:t>（1）</w:t>
            </w:r>
            <w:r>
              <w:rPr>
                <w:rFonts w:hint="eastAsia" w:ascii="宋体" w:hAnsi="宋体" w:eastAsia="宋体" w:cs="MingLiU"/>
                <w:snapToGrid w:val="0"/>
                <w:kern w:val="0"/>
                <w:szCs w:val="21"/>
                <w:highlight w:val="none"/>
                <w:lang w:val="en-US" w:eastAsia="zh-CN"/>
              </w:rPr>
              <w:t>具有独立法人资格、有效的营业执照、有效的安全生产许可证；具有公路工程施工总承包一级及以上或公路路基工程专业承包一级或路基路面养护甲级或养护工程总承包甲级资质。</w:t>
            </w:r>
          </w:p>
          <w:p>
            <w:pPr>
              <w:tabs>
                <w:tab w:val="left" w:pos="4305"/>
                <w:tab w:val="left" w:pos="4640"/>
                <w:tab w:val="left" w:pos="7240"/>
              </w:tabs>
              <w:autoSpaceDE w:val="0"/>
              <w:autoSpaceDN w:val="0"/>
              <w:adjustRightInd w:val="0"/>
              <w:spacing w:line="400" w:lineRule="exact"/>
              <w:ind w:firstLine="420"/>
              <w:jc w:val="left"/>
              <w:rPr>
                <w:rFonts w:hint="eastAsia"/>
                <w:highlight w:val="none"/>
                <w:lang w:val="en-US" w:eastAsia="zh-CN"/>
              </w:rPr>
            </w:pPr>
            <w:r>
              <w:rPr>
                <w:rFonts w:hint="eastAsia" w:ascii="宋体" w:hAnsi="宋体" w:eastAsia="宋体" w:cs="MingLiU"/>
                <w:snapToGrid w:val="0"/>
                <w:color w:val="auto"/>
                <w:kern w:val="0"/>
                <w:szCs w:val="21"/>
                <w:highlight w:val="none"/>
                <w:lang w:val="en-US" w:eastAsia="zh-CN"/>
              </w:rPr>
              <w:t>（2）竞争性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p>
          <w:p>
            <w:pPr>
              <w:spacing w:line="380" w:lineRule="exact"/>
              <w:rPr>
                <w:rFonts w:hint="default"/>
                <w:highlight w:val="none"/>
                <w:lang w:val="en-US" w:eastAsia="zh-CN"/>
              </w:rPr>
            </w:pPr>
            <w:r>
              <w:rPr>
                <w:rFonts w:hint="eastAsia"/>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lang w:val="en-US" w:eastAsia="zh-CN"/>
              </w:rPr>
              <w:t>2023</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16</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10</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eastAsia="zh-CN"/>
              </w:rPr>
              <w:t>x</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 w:val="44"/>
                <w:szCs w:val="44"/>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lang w:val="en-US" w:eastAsia="zh-CN"/>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6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19</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w:t>
            </w:r>
            <w:r>
              <w:rPr>
                <w:rFonts w:hint="eastAsia" w:ascii="宋体" w:cs="宋体"/>
                <w:color w:val="000000"/>
                <w:kern w:val="0"/>
                <w:szCs w:val="21"/>
                <w:u w:val="single"/>
                <w:lang w:val="en-US" w:eastAsia="zh-CN" w:bidi="ar"/>
              </w:rPr>
              <w:t xml:space="preserve"> 1676724 </w:t>
            </w:r>
            <w:r>
              <w:rPr>
                <w:rFonts w:hint="eastAsia" w:ascii="宋体" w:hAnsi="Times New Roman" w:eastAsia="宋体" w:cs="宋体"/>
                <w:color w:val="000000"/>
                <w:kern w:val="0"/>
                <w:szCs w:val="21"/>
                <w:lang w:val="en-US" w:eastAsia="zh-CN" w:bidi="ar"/>
              </w:rPr>
              <w:t>元整</w:t>
            </w:r>
            <w:r>
              <w:rPr>
                <w:rFonts w:hint="eastAsia" w:ascii="宋体" w:hAnsi="Times New Roman" w:eastAsia="宋体" w:cs="宋体"/>
                <w:color w:val="000000"/>
                <w:kern w:val="0"/>
                <w:szCs w:val="21"/>
                <w:lang w:bidi="ar"/>
              </w:rPr>
              <w:t>（大写：</w:t>
            </w:r>
            <w:r>
              <w:rPr>
                <w:rFonts w:hint="eastAsia" w:ascii="宋体" w:cs="宋体"/>
                <w:color w:val="000000"/>
                <w:kern w:val="0"/>
                <w:szCs w:val="21"/>
                <w:u w:val="single"/>
                <w:lang w:val="en-US" w:eastAsia="zh-CN" w:bidi="ar"/>
              </w:rPr>
              <w:t xml:space="preserve"> 壹佰陆拾柒万陆仟柒佰贰拾肆元整 </w:t>
            </w:r>
            <w:r>
              <w:rPr>
                <w:rFonts w:hint="eastAsia" w:ascii="宋体" w:hAnsi="Times New Roman" w:eastAsia="宋体" w:cs="宋体"/>
                <w:color w:val="000000"/>
                <w:kern w:val="0"/>
                <w:szCs w:val="21"/>
                <w:lang w:bidi="ar"/>
              </w:rPr>
              <w:t>）</w:t>
            </w:r>
            <w:r>
              <w:rPr>
                <w:rFonts w:hint="eastAsia" w:ascii="宋体" w:cs="宋体"/>
                <w:color w:val="000000"/>
                <w:kern w:val="0"/>
                <w:szCs w:val="21"/>
                <w:lang w:eastAsia="zh-CN" w:bidi="ar"/>
              </w:rPr>
              <w:t>，</w:t>
            </w:r>
            <w:r>
              <w:rPr>
                <w:rFonts w:hint="eastAsia" w:ascii="宋体" w:cs="宋体"/>
                <w:color w:val="000000"/>
                <w:kern w:val="0"/>
                <w:szCs w:val="21"/>
                <w:lang w:val="en-US" w:eastAsia="zh-CN" w:bidi="ar"/>
              </w:rPr>
              <w:t>各分项限价详见工程量清单。</w:t>
            </w:r>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结合市场、企业自身情况等条件自行填写总报价及清单报价（总报价、清单报价以“元”为单位，并保留两位小数）。</w:t>
            </w:r>
          </w:p>
          <w:p>
            <w:pPr>
              <w:widowControl/>
              <w:spacing w:line="360" w:lineRule="exact"/>
              <w:ind w:firstLine="420" w:firstLineChars="200"/>
              <w:jc w:val="left"/>
              <w:rPr>
                <w:rFonts w:hint="eastAsia" w:ascii="宋体" w:hAnsi="宋体" w:eastAsia="宋体" w:cs="宋体"/>
                <w:szCs w:val="21"/>
                <w:lang w:eastAsia="zh-CN"/>
              </w:rPr>
            </w:pPr>
            <w:r>
              <w:rPr>
                <w:rFonts w:hint="eastAsia" w:ascii="宋体" w:cs="宋体"/>
                <w:color w:val="000000"/>
                <w:kern w:val="0"/>
                <w:szCs w:val="21"/>
                <w:lang w:bidi="ar"/>
              </w:rPr>
              <w:t>注：投标人的投标报价不得超过招标人发布的最高限价，否则视为重大偏差，按否决投标</w:t>
            </w:r>
            <w:r>
              <w:rPr>
                <w:rFonts w:hint="eastAsia" w:ascii="宋体" w:cs="宋体"/>
                <w:color w:val="000000"/>
                <w:kern w:val="0"/>
                <w:szCs w:val="21"/>
                <w:lang w:val="en-US" w:eastAsia="zh-CN" w:bidi="ar"/>
              </w:rPr>
              <w:t>处理</w:t>
            </w:r>
            <w:r>
              <w:rPr>
                <w:rFonts w:hint="eastAsia" w:ascii="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w:t>
            </w:r>
            <w:r>
              <w:rPr>
                <w:rFonts w:hint="eastAsia" w:ascii="宋体" w:hAnsi="宋体" w:cs="宋体"/>
                <w:kern w:val="0"/>
                <w:szCs w:val="21"/>
                <w:lang w:val="en-US" w:eastAsia="zh-CN"/>
              </w:rPr>
              <w:t>法定代表人</w:t>
            </w:r>
            <w:r>
              <w:rPr>
                <w:rFonts w:hint="eastAsia" w:ascii="宋体" w:hAnsi="宋体" w:cs="宋体"/>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w:t>
            </w:r>
            <w:r>
              <w:rPr>
                <w:rFonts w:hint="eastAsia" w:ascii="宋体" w:hAnsi="宋体" w:cs="MingLiU"/>
                <w:snapToGrid w:val="0"/>
                <w:kern w:val="0"/>
                <w:szCs w:val="21"/>
                <w:u w:val="single"/>
                <w:lang w:val="en-US" w:eastAsia="zh-CN"/>
              </w:rPr>
              <w:t>2023年边坡病害处治工程</w:t>
            </w:r>
            <w:r>
              <w:rPr>
                <w:rFonts w:hint="eastAsia" w:ascii="宋体" w:hAnsi="宋体" w:cs="宋体"/>
                <w:szCs w:val="21"/>
                <w:u w:val="single"/>
                <w:lang w:eastAsia="zh-CN"/>
              </w:rPr>
              <w:t>）</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w:t>
            </w:r>
            <w:r>
              <w:rPr>
                <w:rFonts w:hint="eastAsia" w:ascii="宋体" w:hAnsi="宋体" w:cs="宋体"/>
                <w:szCs w:val="21"/>
                <w:u w:val="single"/>
                <w:lang w:val="en-US" w:eastAsia="zh-CN"/>
              </w:rPr>
              <w:t>2023年 6月19日 10时  00 分</w:t>
            </w:r>
            <w:r>
              <w:rPr>
                <w:rFonts w:hint="eastAsia" w:ascii="宋体" w:hAnsi="宋体" w:cs="宋体"/>
                <w:szCs w:val="21"/>
                <w:u w:val="single"/>
              </w:rPr>
              <w:t>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是否退还比选申请文件</w:t>
            </w:r>
          </w:p>
        </w:tc>
        <w:tc>
          <w:tcPr>
            <w:tcW w:w="6744" w:type="dxa"/>
            <w:vAlign w:val="center"/>
          </w:tcPr>
          <w:p>
            <w:pPr>
              <w:spacing w:line="380" w:lineRule="exact"/>
              <w:rPr>
                <w:rFonts w:hint="eastAsia" w:ascii="宋体" w:hAnsi="宋体" w:cs="宋体"/>
                <w:kern w:val="0"/>
                <w:szCs w:val="21"/>
                <w:highlight w:val="none"/>
              </w:rPr>
            </w:pPr>
            <w:r>
              <w:rPr>
                <w:rFonts w:hint="eastAsia" w:ascii="宋体" w:hAnsi="宋体" w:cs="宋体"/>
                <w:color w:val="FF0000"/>
                <w:kern w:val="0"/>
                <w:szCs w:val="21"/>
                <w:highlight w:val="none"/>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w:t>
            </w:r>
            <w:r>
              <w:rPr>
                <w:rFonts w:hint="eastAsia" w:ascii="宋体" w:hAnsi="宋体" w:cs="宋体"/>
                <w:szCs w:val="21"/>
              </w:rPr>
              <w:t>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w:t>
            </w:r>
            <w:r>
              <w:rPr>
                <w:rFonts w:hint="eastAsia" w:ascii="宋体" w:hAnsi="宋体"/>
                <w:szCs w:val="21"/>
              </w:rPr>
              <w:t>公示：成交候选人排序、名称和竞标总报价。</w:t>
            </w:r>
          </w:p>
          <w:p>
            <w:pPr>
              <w:spacing w:line="380" w:lineRule="exact"/>
              <w:rPr>
                <w:rFonts w:hint="eastAsia" w:ascii="宋体" w:hAnsi="宋体"/>
                <w:szCs w:val="21"/>
              </w:rPr>
            </w:pPr>
            <w:r>
              <w:rPr>
                <w:rFonts w:hint="eastAsia" w:ascii="宋体" w:hAnsi="宋体"/>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成交人应在领取成交通知书后</w:t>
            </w:r>
            <w:r>
              <w:rPr>
                <w:rFonts w:hint="eastAsia" w:ascii="宋体" w:hAnsi="宋体" w:cs="宋体"/>
                <w:kern w:val="0"/>
                <w:szCs w:val="21"/>
                <w:lang w:val="en-US" w:eastAsia="zh-CN"/>
              </w:rPr>
              <w:t>30</w:t>
            </w:r>
            <w:r>
              <w:rPr>
                <w:rFonts w:hint="eastAsia" w:ascii="宋体" w:hAnsi="宋体" w:cs="宋体"/>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有下列情形之一的，比选人将重新比选：</w:t>
            </w:r>
          </w:p>
          <w:p>
            <w:pPr>
              <w:autoSpaceDE w:val="0"/>
              <w:autoSpaceDN w:val="0"/>
              <w:adjustRightInd w:val="0"/>
              <w:spacing w:line="38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）比选截止时间止，比选申请人少于</w:t>
            </w:r>
            <w:r>
              <w:rPr>
                <w:rFonts w:ascii="宋体" w:hAnsi="宋体"/>
                <w:snapToGrid w:val="0"/>
                <w:kern w:val="0"/>
                <w:szCs w:val="21"/>
                <w:highlight w:val="none"/>
              </w:rPr>
              <w:t xml:space="preserve"> 3 </w:t>
            </w:r>
            <w:r>
              <w:rPr>
                <w:rFonts w:hint="eastAsia" w:ascii="宋体" w:hAnsi="宋体" w:cs="MingLiU"/>
                <w:snapToGrid w:val="0"/>
                <w:kern w:val="0"/>
                <w:szCs w:val="21"/>
                <w:highlight w:val="none"/>
              </w:rPr>
              <w:t>个的；</w:t>
            </w:r>
          </w:p>
          <w:p>
            <w:pPr>
              <w:autoSpaceDE w:val="0"/>
              <w:autoSpaceDN w:val="0"/>
              <w:adjustRightInd w:val="0"/>
              <w:spacing w:line="380" w:lineRule="exact"/>
              <w:jc w:val="left"/>
              <w:rPr>
                <w:rFonts w:hint="eastAsia" w:ascii="宋体" w:hAnsi="宋体" w:cs="宋体"/>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）经评标委员会评审</w:t>
            </w:r>
            <w:r>
              <w:rPr>
                <w:rFonts w:hint="eastAsia" w:ascii="宋体" w:hAnsi="宋体" w:cs="MingLiU"/>
                <w:snapToGrid w:val="0"/>
                <w:kern w:val="0"/>
                <w:szCs w:val="21"/>
                <w:highlight w:val="none"/>
                <w:lang w:val="en-US" w:eastAsia="zh-CN"/>
              </w:rPr>
              <w:t>后</w:t>
            </w:r>
            <w:r>
              <w:rPr>
                <w:rFonts w:hint="eastAsia" w:ascii="宋体" w:hAnsi="宋体" w:cs="MingLiU"/>
                <w:snapToGrid w:val="0"/>
                <w:kern w:val="0"/>
                <w:szCs w:val="21"/>
                <w:highlight w:val="none"/>
              </w:rPr>
              <w:t>否决所有比选的</w:t>
            </w:r>
            <w:r>
              <w:rPr>
                <w:rFonts w:hint="eastAsia" w:ascii="宋体" w:hAnsi="宋体" w:cs="MingLiU"/>
                <w:snapToGrid w:val="0"/>
                <w:kern w:val="0"/>
                <w:szCs w:val="21"/>
                <w:highlight w:val="none"/>
                <w:lang w:eastAsia="zh-CN"/>
              </w:rPr>
              <w:t>（</w:t>
            </w:r>
            <w:r>
              <w:rPr>
                <w:rFonts w:hint="eastAsia" w:ascii="宋体" w:hAnsi="宋体" w:cs="MingLiU"/>
                <w:snapToGrid w:val="0"/>
                <w:color w:val="FF0000"/>
                <w:kern w:val="0"/>
                <w:szCs w:val="21"/>
                <w:highlight w:val="none"/>
                <w:lang w:val="en-US" w:eastAsia="zh-CN"/>
              </w:rPr>
              <w:t>包括所有比选申请人报价均不具备竞争性的情形</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rPr>
              <w:t>。</w:t>
            </w:r>
          </w:p>
        </w:tc>
      </w:tr>
    </w:tbl>
    <w:p>
      <w:pPr>
        <w:rPr>
          <w:rFonts w:ascii="宋体" w:hAnsi="宋体" w:cs="仿宋_GB2312"/>
          <w:kern w:val="0"/>
          <w:sz w:val="20"/>
          <w:szCs w:val="20"/>
        </w:rPr>
        <w:sectPr>
          <w:footerReference r:id="rId3" w:type="default"/>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509218763"/>
      <w:bookmarkStart w:id="23" w:name="_Toc57795916"/>
      <w:bookmarkStart w:id="24" w:name="_Toc13186"/>
      <w:bookmarkStart w:id="25" w:name="_Toc287607854"/>
      <w:bookmarkStart w:id="26" w:name="_Toc34310524"/>
      <w:r>
        <w:rPr>
          <w:rFonts w:hint="eastAsia" w:ascii="宋体" w:hAnsi="宋体"/>
          <w:color w:val="000000"/>
          <w:lang w:eastAsia="zh-CN"/>
        </w:rPr>
        <w:t>第三章  评审办法（经评审的最低投标价法）</w:t>
      </w:r>
      <w:bookmarkEnd w:id="22"/>
      <w:bookmarkEnd w:id="23"/>
      <w:bookmarkEnd w:id="24"/>
    </w:p>
    <w:tbl>
      <w:tblPr>
        <w:tblStyle w:val="18"/>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87620739"/>
            <w:bookmarkStart w:id="28" w:name="_Toc287607800"/>
            <w:bookmarkStart w:id="29" w:name="_Toc277082606"/>
            <w:bookmarkStart w:id="30" w:name="_Toc430530489"/>
            <w:bookmarkStart w:id="31" w:name="_Toc224103371"/>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45"/>
              <w:spacing w:line="320" w:lineRule="exact"/>
              <w:ind w:firstLine="420"/>
              <w:jc w:val="center"/>
              <w:rPr>
                <w:sz w:val="21"/>
                <w:szCs w:val="21"/>
              </w:rPr>
            </w:pPr>
            <w:r>
              <w:rPr>
                <w:sz w:val="21"/>
                <w:szCs w:val="21"/>
              </w:rPr>
              <w:t>1</w:t>
            </w:r>
          </w:p>
        </w:tc>
        <w:tc>
          <w:tcPr>
            <w:tcW w:w="1560" w:type="dxa"/>
            <w:tcBorders>
              <w:left w:val="single" w:color="auto" w:sz="4" w:space="0"/>
            </w:tcBorders>
            <w:vAlign w:val="center"/>
          </w:tcPr>
          <w:p>
            <w:pPr>
              <w:pStyle w:val="45"/>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w:t>
            </w:r>
            <w:r>
              <w:rPr>
                <w:rFonts w:hint="eastAsia" w:ascii="宋体"/>
                <w:spacing w:val="4"/>
                <w:kern w:val="0"/>
                <w:szCs w:val="21"/>
                <w:lang w:eastAsia="zh-CN"/>
              </w:rPr>
              <w:t>经评审的最低投标价法</w:t>
            </w:r>
            <w:r>
              <w:rPr>
                <w:rFonts w:hint="eastAsia" w:ascii="宋体"/>
                <w:spacing w:val="4"/>
                <w:kern w:val="0"/>
                <w:szCs w:val="21"/>
              </w:rPr>
              <w:t>，</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kern w:val="2"/>
                <w:sz w:val="21"/>
                <w:szCs w:val="24"/>
                <w:lang w:val="en-US" w:eastAsia="zh-CN" w:bidi="ar-SA"/>
              </w:rPr>
            </w:pPr>
            <w:r>
              <w:rPr>
                <w:rFonts w:hint="eastAsia" w:ascii="宋体" w:cs="宋体"/>
                <w:szCs w:val="21"/>
                <w:lang w:val="en-US" w:eastAsia="zh-CN"/>
              </w:rPr>
              <w:t>2</w:t>
            </w:r>
          </w:p>
        </w:tc>
        <w:tc>
          <w:tcPr>
            <w:tcW w:w="1560"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ascii="宋体"/>
                <w:color w:val="auto"/>
                <w:spacing w:val="4"/>
                <w:kern w:val="0"/>
                <w:szCs w:val="21"/>
                <w:highlight w:val="none"/>
              </w:rPr>
              <w:t>符合性审查</w:t>
            </w:r>
          </w:p>
        </w:tc>
        <w:tc>
          <w:tcPr>
            <w:tcW w:w="6882" w:type="dxa"/>
            <w:vAlign w:val="center"/>
          </w:tcPr>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color w:val="auto"/>
                <w:kern w:val="0"/>
                <w:szCs w:val="21"/>
                <w:highlight w:val="none"/>
                <w:lang w:val="en-US" w:eastAsia="zh-CN"/>
              </w:rPr>
            </w:pPr>
            <w:r>
              <w:rPr>
                <w:rFonts w:hint="eastAsia" w:ascii="宋体" w:hAnsi="宋体" w:eastAsia="宋体" w:cs="MingLiU"/>
                <w:snapToGrid w:val="0"/>
                <w:color w:val="auto"/>
                <w:kern w:val="0"/>
                <w:szCs w:val="21"/>
                <w:highlight w:val="none"/>
                <w:lang w:val="en-US" w:eastAsia="zh-CN"/>
              </w:rPr>
              <w:t>（1）竞选人需具有独立法人资格、有效的营业执照、有效的安全生产许可证；具有公路工程施工总承包一级及以上或公路路基工程专业承包一级或路基路面养护甲级或养护工程总承包甲级资质。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MingLiU"/>
                <w:snapToGrid w:val="0"/>
                <w:color w:val="auto"/>
                <w:kern w:val="0"/>
                <w:szCs w:val="21"/>
                <w:highlight w:val="none"/>
                <w:lang w:val="en-US" w:eastAsia="zh-CN"/>
              </w:rPr>
              <w:t>（2）竞争性比选申请人应为重庆高速公路集团有限公司所属全资企业，且单位负责人为同一人或者存在控股、管理关系的不同单位不得同时参加本项目投标，否则均按无效投标处理。</w:t>
            </w:r>
            <w:r>
              <w:rPr>
                <w:rFonts w:hint="eastAsia" w:ascii="宋体" w:hAnsi="宋体" w:cs="宋体"/>
                <w:color w:val="auto"/>
                <w:kern w:val="0"/>
                <w:highlight w:val="none"/>
              </w:rPr>
              <w:t>比选申请人名称与营业执照、资质证书一致</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rFonts w:hint="eastAsia" w:eastAsia="宋体"/>
                <w:sz w:val="21"/>
                <w:szCs w:val="21"/>
                <w:lang w:val="en-US" w:eastAsia="zh-CN"/>
              </w:rPr>
            </w:pPr>
          </w:p>
        </w:tc>
        <w:tc>
          <w:tcPr>
            <w:tcW w:w="1560"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vAlign w:val="center"/>
          </w:tcPr>
          <w:p>
            <w:pPr>
              <w:spacing w:line="400" w:lineRule="exact"/>
              <w:jc w:val="center"/>
            </w:pPr>
            <w:r>
              <w:rPr>
                <w:rFonts w:hint="eastAsia" w:ascii="宋体" w:hAnsi="宋体"/>
                <w:szCs w:val="21"/>
              </w:rPr>
              <w:t>视为比选申请人相互串通投标的情形</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w:t>
            </w:r>
            <w:r>
              <w:rPr>
                <w:rFonts w:hint="eastAsia" w:ascii="宋体"/>
                <w:kern w:val="0"/>
                <w:szCs w:val="21"/>
                <w:lang w:eastAsia="zh-CN"/>
              </w:rPr>
              <w:t>经评审的最低投标价法</w:t>
            </w:r>
            <w:r>
              <w:rPr>
                <w:rFonts w:hint="eastAsia" w:ascii="宋体"/>
                <w:kern w:val="0"/>
                <w:szCs w:val="21"/>
              </w:rPr>
              <w:t>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2"/>
        <w:tabs>
          <w:tab w:val="right" w:leader="dot" w:pos="9117"/>
          <w:tab w:val="clear" w:pos="8805"/>
        </w:tabs>
        <w:jc w:val="both"/>
      </w:pPr>
    </w:p>
    <w:p/>
    <w:p>
      <w:pPr>
        <w:pStyle w:val="2"/>
        <w:tabs>
          <w:tab w:val="right" w:leader="dot" w:pos="9117"/>
          <w:tab w:val="clear" w:pos="8805"/>
        </w:tabs>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bookmarkEnd w:id="25"/>
    <w:bookmarkEnd w:id="26"/>
    <w:p>
      <w:pPr>
        <w:pStyle w:val="3"/>
        <w:jc w:val="center"/>
        <w:rPr>
          <w:rFonts w:hint="eastAsia" w:ascii="宋体" w:hAnsi="宋体"/>
        </w:rPr>
      </w:pPr>
      <w:bookmarkStart w:id="32" w:name="_Toc287607865"/>
      <w:bookmarkStart w:id="33" w:name="_Toc34310528"/>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eastAsia="zh-CN"/>
        </w:rPr>
        <w:t>（项目名称）</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5"/>
        <w:rPr>
          <w:rFonts w:hint="eastAsia" w:ascii="宋体" w:hAnsi="宋体" w:eastAsia="宋体"/>
          <w:color w:val="auto"/>
        </w:rPr>
      </w:pPr>
    </w:p>
    <w:p>
      <w:pPr>
        <w:pStyle w:val="25"/>
        <w:rPr>
          <w:rFonts w:hint="eastAsia" w:ascii="宋体" w:hAnsi="宋体" w:eastAsia="宋体"/>
          <w:color w:val="auto"/>
        </w:rPr>
      </w:pPr>
    </w:p>
    <w:p>
      <w:pPr>
        <w:jc w:val="center"/>
        <w:rPr>
          <w:rFonts w:hint="eastAsia" w:ascii="宋体" w:hAnsi="宋体"/>
          <w:szCs w:val="20"/>
        </w:rPr>
        <w:sectPr>
          <w:footerReference r:id="rId4"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报价书</w:t>
      </w: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三、比选申请单位有效的营业执照、资质证书、安全生产许可证等证明材料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四、工程量清单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五、其他材料</w:t>
      </w:r>
    </w:p>
    <w:p>
      <w:pPr>
        <w:pStyle w:val="5"/>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24103495"/>
      <w:bookmarkStart w:id="37" w:name="_Toc287607867"/>
      <w:bookmarkStart w:id="38" w:name="_Toc34309302"/>
      <w:bookmarkStart w:id="39" w:name="_Toc277082643"/>
      <w:bookmarkStart w:id="40" w:name="_Toc224103496"/>
      <w:bookmarkStart w:id="41" w:name="_Toc277082644"/>
      <w:bookmarkStart w:id="42" w:name="_Toc287607868"/>
      <w:bookmarkStart w:id="43" w:name="_Toc34310531"/>
      <w:bookmarkStart w:id="44" w:name="_Toc34309303"/>
      <w:r>
        <w:rPr>
          <w:rFonts w:hint="eastAsia" w:ascii="宋体" w:hAnsi="宋体"/>
          <w:sz w:val="28"/>
        </w:rPr>
        <w:t>一、报价书</w:t>
      </w:r>
      <w:bookmarkEnd w:id="35"/>
    </w:p>
    <w:p>
      <w:pPr>
        <w:pStyle w:val="5"/>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w:t>
      </w:r>
      <w:r>
        <w:rPr>
          <w:rFonts w:hint="eastAsia" w:ascii="宋体" w:hAnsi="宋体" w:cs="宋体"/>
          <w:szCs w:val="21"/>
          <w:u w:val="single"/>
          <w:lang w:eastAsia="zh-CN"/>
        </w:rPr>
        <w:t>工期</w:t>
      </w:r>
      <w:r>
        <w:rPr>
          <w:rFonts w:hint="eastAsia" w:ascii="宋体" w:hAnsi="宋体" w:cs="宋体"/>
          <w:szCs w:val="21"/>
          <w:u w:val="single"/>
        </w:rPr>
        <w:t>：</w:t>
      </w:r>
      <w:r>
        <w:rPr>
          <w:rFonts w:hint="eastAsia" w:ascii="宋体" w:hAnsi="宋体" w:cs="宋体"/>
          <w:szCs w:val="21"/>
          <w:u w:val="single"/>
          <w:lang w:val="en-US" w:eastAsia="zh-CN"/>
        </w:rPr>
        <w:t xml:space="preserve">    天</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bookmarkEnd w:id="40"/>
    <w:bookmarkEnd w:id="41"/>
    <w:bookmarkEnd w:id="42"/>
    <w:bookmarkEnd w:id="43"/>
    <w:bookmarkEnd w:id="44"/>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bookmarkStart w:id="46" w:name="_Toc277082645"/>
      <w:bookmarkStart w:id="47" w:name="_Toc34309304"/>
      <w:bookmarkStart w:id="48" w:name="_Toc34310532"/>
      <w:bookmarkStart w:id="49" w:name="_Toc224103497"/>
      <w:bookmarkStart w:id="50" w:name="_Toc287607869"/>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hoB2QAAAAkBAAAPAAAAAAAAAAEAIAAAACIAAABkcnMvZG93bnJldi54bWxQSwEC&#10;FAAUAAAACACHTuJA7tU5r/MBAADkAwAADgAAAAAAAAABACAAAAAoAQAAZHJzL2Uyb0RvYy54bWxQ&#10;SwUGAAAAAAYABgBZAQAAj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both"/>
        <w:rPr>
          <w:rFonts w:hint="eastAsia" w:ascii="宋体" w:hAnsi="宋体"/>
          <w:b/>
          <w:sz w:val="28"/>
          <w:szCs w:val="28"/>
          <w:lang w:val="en-US" w:eastAsia="zh-CN"/>
        </w:rPr>
      </w:pPr>
      <w:bookmarkStart w:id="51" w:name="_Toc287607887"/>
      <w:bookmarkStart w:id="52" w:name="_Toc277082659"/>
      <w:r>
        <w:rPr>
          <w:rFonts w:hint="eastAsia" w:ascii="宋体" w:hAnsi="宋体"/>
          <w:b/>
          <w:sz w:val="28"/>
          <w:szCs w:val="28"/>
          <w:lang w:val="en-US" w:eastAsia="zh-CN"/>
        </w:rPr>
        <w:t>三、比选申请单位有效的营业执照、资质证书、安全生产许可证等证明材料</w:t>
      </w:r>
    </w:p>
    <w:bookmarkEnd w:id="51"/>
    <w:bookmarkEnd w:id="52"/>
    <w:p>
      <w:pPr>
        <w:pStyle w:val="5"/>
        <w:jc w:val="center"/>
        <w:rPr>
          <w:rFonts w:hint="eastAsia" w:ascii="宋体" w:hAnsi="宋体"/>
          <w:b/>
          <w:sz w:val="28"/>
          <w:szCs w:val="28"/>
          <w:lang w:val="en-US" w:eastAsia="zh-CN"/>
        </w:rPr>
      </w:pPr>
      <w:bookmarkStart w:id="53" w:name="_Toc34310536"/>
      <w:bookmarkStart w:id="54" w:name="_Toc34309308"/>
    </w:p>
    <w:p>
      <w:pPr>
        <w:rPr>
          <w:rFonts w:hint="eastAsia" w:ascii="宋体" w:hAnsi="宋体"/>
          <w:b/>
          <w:sz w:val="28"/>
          <w:szCs w:val="28"/>
          <w:lang w:val="en-US" w:eastAsia="zh-CN"/>
        </w:rPr>
      </w:pPr>
    </w:p>
    <w:p>
      <w:pPr>
        <w:pStyle w:val="2"/>
        <w:rPr>
          <w:rFonts w:hint="eastAsia"/>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rPr>
          <w:rFonts w:hint="eastAsia"/>
          <w:lang w:val="en-US" w:eastAsia="zh-CN"/>
        </w:rPr>
      </w:pPr>
    </w:p>
    <w:p>
      <w:pPr>
        <w:pStyle w:val="5"/>
        <w:jc w:val="center"/>
        <w:rPr>
          <w:rFonts w:hint="default"/>
          <w:lang w:val="en-US" w:eastAsia="zh-CN"/>
        </w:rPr>
      </w:pPr>
      <w:r>
        <w:rPr>
          <w:rFonts w:hint="eastAsia" w:ascii="宋体" w:hAnsi="宋体"/>
          <w:sz w:val="28"/>
          <w:lang w:val="en-US" w:eastAsia="zh-CN"/>
        </w:rPr>
        <w:t>四、</w:t>
      </w:r>
      <w:r>
        <w:rPr>
          <w:rFonts w:hint="eastAsia" w:ascii="宋体" w:hAnsi="宋体" w:cs="宋体"/>
          <w:bCs/>
          <w:szCs w:val="28"/>
          <w:lang w:val="en-US" w:eastAsia="zh-CN"/>
        </w:rPr>
        <w:t>工程量清单（根据具体项目提供清单）</w:t>
      </w:r>
    </w:p>
    <w:tbl>
      <w:tblPr>
        <w:tblStyle w:val="18"/>
        <w:tblW w:w="9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323"/>
        <w:gridCol w:w="830"/>
        <w:gridCol w:w="774"/>
        <w:gridCol w:w="1000"/>
        <w:gridCol w:w="1104"/>
        <w:gridCol w:w="1008"/>
        <w:gridCol w:w="1008"/>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19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2023年边坡病害处治工程报价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段：K1918+150~306段边坡工程</w:t>
            </w:r>
          </w:p>
        </w:tc>
        <w:tc>
          <w:tcPr>
            <w:tcW w:w="4969"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现场施工技术措施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脚手架（含密闭目网）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安全围挡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214423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清理坡面土方（含弃方运输）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27934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清理坡脚堆积土石方（含弃方运输）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增设排水设施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边沟、排水沟、截水沟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现浇排、截水沟混凝土C25（含挖方及外运）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36046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原有坡面防护修复与加固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M10砂浆封闭裂缝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修复与加固坡面柔性防护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主动防护系统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344707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段：K1922+316~440段边坡工程</w:t>
            </w:r>
          </w:p>
        </w:tc>
        <w:tc>
          <w:tcPr>
            <w:tcW w:w="4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脚手架（含密闭目网）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安全围挡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115892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清理坡脚堆积土石方（含弃方运输）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原有坡面防护修复与加固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M10砂浆封闭裂缝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修复与加固坡面柔性防护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主动防护系统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122604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146395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段：彭水西收费站下道口路面开裂工程</w:t>
            </w:r>
          </w:p>
        </w:tc>
        <w:tc>
          <w:tcPr>
            <w:tcW w:w="4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边沟清理（含弃方运输）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拆除结构物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拆除浆砌片（块）石结构（含弃方运输）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路基修复与补强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路基挖方（不含塌方及滑坡体的清除）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203-1-6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机械挖土方（含弃方运输）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23485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利用土（石）填筑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土基夯实</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特殊路基处理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软土路基处理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路基换填碎石</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路基沉陷处理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注浆处治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203-6-4-1-3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钻孔注M10水泥砂浆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钻孔φ110mm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-b</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注M30水泥砂浆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641.59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防渗土工布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渗水土工布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碎石填料</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路基裂缝处理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土工格栅</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增设排水设施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边沟、排水沟、截水沟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现浇排、截水沟混凝土C25（含挖方及外运）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869.88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204-2-5-2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塑料排水管 φ40mm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468240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沥青混凝土路面养护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沥青混凝土路面翻修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旧路面处治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挖除沥青混凝土路面（含废料运输）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174.41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改性沥青混凝土面层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改性中粒式改性沥青混凝土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厚60mm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沥青玛蹄脂碎石混合料面层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细粒式沥青玛蹄脂碎石混合料面层(玄武岩碎石)</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厚40mm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改性乳化沥青粘层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303-4-5-3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改性乳化沥青稀浆封层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路面垫层维修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铺筑水泥稳定碎石垫层 厚20cm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路面基层维修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挖除基层（含废料运输）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铺筑水泥稳定碎石基层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铺筑沥青稳定碎石基层（ATB-25）厚100mm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路面底基层维修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铺筑水泥稳定碎石底基层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296272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波形护栏板拆除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波形护栏立柱拆除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增设波形梁钢护栏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A级波形护栏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Gr-A-4E（利用旧材料）</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道路交通标线维护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热熔型反光标线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振荡标线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165.93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突起路标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605-7-2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反光晶格片突起路标（单面）</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弹性立柱（拆除并恢复原样）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铺设表土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植草防护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撒（喷）播草种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703-1-1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撒播狗牙根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1676724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rPr>
          <w:rFonts w:hint="eastAsia"/>
          <w:lang w:val="en-US" w:eastAsia="zh-CN"/>
        </w:rPr>
      </w:pPr>
    </w:p>
    <w:p>
      <w:pPr>
        <w:pStyle w:val="5"/>
        <w:jc w:val="center"/>
        <w:rPr>
          <w:rFonts w:hint="eastAsia" w:ascii="宋体" w:hAnsi="宋体"/>
          <w:sz w:val="28"/>
        </w:rPr>
      </w:pPr>
    </w:p>
    <w:p>
      <w:pPr>
        <w:rPr>
          <w:rFonts w:hint="eastAsia" w:ascii="宋体" w:hAnsi="宋体"/>
          <w:sz w:val="28"/>
        </w:rPr>
      </w:pPr>
    </w:p>
    <w:p>
      <w:pPr>
        <w:pStyle w:val="2"/>
        <w:rPr>
          <w:rFonts w:hint="eastAsia" w:ascii="宋体" w:hAnsi="宋体"/>
          <w:sz w:val="28"/>
        </w:rPr>
      </w:pPr>
    </w:p>
    <w:p>
      <w:pPr>
        <w:rPr>
          <w:rFonts w:hint="eastAsia" w:ascii="宋体" w:hAnsi="宋体"/>
          <w:sz w:val="28"/>
        </w:rPr>
      </w:pPr>
    </w:p>
    <w:p>
      <w:pPr>
        <w:pStyle w:val="5"/>
        <w:jc w:val="center"/>
      </w:pPr>
      <w:r>
        <w:rPr>
          <w:rFonts w:hint="eastAsia" w:ascii="宋体" w:hAnsi="宋体"/>
          <w:sz w:val="28"/>
          <w:lang w:val="en-US" w:eastAsia="zh-CN"/>
        </w:rPr>
        <w:t>五</w:t>
      </w:r>
      <w:r>
        <w:rPr>
          <w:rFonts w:hint="eastAsia" w:ascii="宋体" w:hAnsi="宋体"/>
          <w:sz w:val="28"/>
        </w:rPr>
        <w:t>、其他材料</w:t>
      </w:r>
      <w:bookmarkEnd w:id="53"/>
      <w:bookmarkEnd w:id="54"/>
    </w:p>
    <w:sectPr>
      <w:headerReference r:id="rId5" w:type="default"/>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CE1E6"/>
    <w:multiLevelType w:val="singleLevel"/>
    <w:tmpl w:val="618CE1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mJmZDA2MWY0ZTA5MTRhNWZjMzUzYWZhZmI1ZjQ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1011"/>
    <w:rsid w:val="000730B1"/>
    <w:rsid w:val="000822CF"/>
    <w:rsid w:val="00082F65"/>
    <w:rsid w:val="00091DF5"/>
    <w:rsid w:val="000927B0"/>
    <w:rsid w:val="00094628"/>
    <w:rsid w:val="0009682E"/>
    <w:rsid w:val="00096CDF"/>
    <w:rsid w:val="000A133B"/>
    <w:rsid w:val="000A3ACA"/>
    <w:rsid w:val="000B5301"/>
    <w:rsid w:val="000C4AD9"/>
    <w:rsid w:val="000C5586"/>
    <w:rsid w:val="000D2361"/>
    <w:rsid w:val="000D3486"/>
    <w:rsid w:val="000D4F8A"/>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2215"/>
    <w:rsid w:val="001F3253"/>
    <w:rsid w:val="001F3500"/>
    <w:rsid w:val="00200BF3"/>
    <w:rsid w:val="002040A9"/>
    <w:rsid w:val="00205C28"/>
    <w:rsid w:val="00207470"/>
    <w:rsid w:val="00207C78"/>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E3C3F"/>
    <w:rsid w:val="006F1D58"/>
    <w:rsid w:val="00705D85"/>
    <w:rsid w:val="00710431"/>
    <w:rsid w:val="007129DC"/>
    <w:rsid w:val="007177E2"/>
    <w:rsid w:val="0072159A"/>
    <w:rsid w:val="00727637"/>
    <w:rsid w:val="00727A56"/>
    <w:rsid w:val="00733F37"/>
    <w:rsid w:val="00740A19"/>
    <w:rsid w:val="007452DC"/>
    <w:rsid w:val="00762700"/>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3360"/>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160C"/>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192D3E"/>
    <w:rsid w:val="029D13AF"/>
    <w:rsid w:val="03867954"/>
    <w:rsid w:val="03F645CA"/>
    <w:rsid w:val="03FA09BE"/>
    <w:rsid w:val="03FB5E46"/>
    <w:rsid w:val="04B4278F"/>
    <w:rsid w:val="051C7A24"/>
    <w:rsid w:val="05CD2187"/>
    <w:rsid w:val="05D22312"/>
    <w:rsid w:val="06115AC4"/>
    <w:rsid w:val="0623067E"/>
    <w:rsid w:val="06C20FDE"/>
    <w:rsid w:val="07583D63"/>
    <w:rsid w:val="07AF6AAA"/>
    <w:rsid w:val="07B66435"/>
    <w:rsid w:val="08273270"/>
    <w:rsid w:val="083B5957"/>
    <w:rsid w:val="086434A7"/>
    <w:rsid w:val="086B6512"/>
    <w:rsid w:val="088A1A8F"/>
    <w:rsid w:val="08D51C6C"/>
    <w:rsid w:val="094A684B"/>
    <w:rsid w:val="0A9A7472"/>
    <w:rsid w:val="0B9D1C12"/>
    <w:rsid w:val="0BBF09A7"/>
    <w:rsid w:val="0BC50AF9"/>
    <w:rsid w:val="0BCE5435"/>
    <w:rsid w:val="0BE3650F"/>
    <w:rsid w:val="0BF9347B"/>
    <w:rsid w:val="0C1B2FD3"/>
    <w:rsid w:val="0C707D3A"/>
    <w:rsid w:val="0C7F5C97"/>
    <w:rsid w:val="0D2F072F"/>
    <w:rsid w:val="0D34077B"/>
    <w:rsid w:val="0E740769"/>
    <w:rsid w:val="0E827993"/>
    <w:rsid w:val="0F3E3402"/>
    <w:rsid w:val="0FDC39C3"/>
    <w:rsid w:val="10D7115B"/>
    <w:rsid w:val="122C785E"/>
    <w:rsid w:val="122D1F78"/>
    <w:rsid w:val="124972AE"/>
    <w:rsid w:val="126307EA"/>
    <w:rsid w:val="12FB0BD5"/>
    <w:rsid w:val="133676D0"/>
    <w:rsid w:val="139D7549"/>
    <w:rsid w:val="140637C3"/>
    <w:rsid w:val="154F4F0C"/>
    <w:rsid w:val="157950FF"/>
    <w:rsid w:val="16482658"/>
    <w:rsid w:val="167261FB"/>
    <w:rsid w:val="167539E5"/>
    <w:rsid w:val="178A70D6"/>
    <w:rsid w:val="17A96398"/>
    <w:rsid w:val="17B62FB6"/>
    <w:rsid w:val="191C3CF2"/>
    <w:rsid w:val="193F2457"/>
    <w:rsid w:val="19CC0ACE"/>
    <w:rsid w:val="1A0D4D83"/>
    <w:rsid w:val="1A6767CB"/>
    <w:rsid w:val="1AB37EEE"/>
    <w:rsid w:val="1AF11DFF"/>
    <w:rsid w:val="1B121C31"/>
    <w:rsid w:val="1BBB420C"/>
    <w:rsid w:val="1C06581A"/>
    <w:rsid w:val="1C197510"/>
    <w:rsid w:val="1C895B5E"/>
    <w:rsid w:val="1C8E1FE6"/>
    <w:rsid w:val="1C915B68"/>
    <w:rsid w:val="1CA3450A"/>
    <w:rsid w:val="1D760770"/>
    <w:rsid w:val="1DA57798"/>
    <w:rsid w:val="1E590358"/>
    <w:rsid w:val="1EF4762E"/>
    <w:rsid w:val="1F520CC1"/>
    <w:rsid w:val="1FB61FB7"/>
    <w:rsid w:val="20366009"/>
    <w:rsid w:val="203F5D95"/>
    <w:rsid w:val="2055491A"/>
    <w:rsid w:val="2118036E"/>
    <w:rsid w:val="21816606"/>
    <w:rsid w:val="22DA20BB"/>
    <w:rsid w:val="234052E2"/>
    <w:rsid w:val="234D22AC"/>
    <w:rsid w:val="23626844"/>
    <w:rsid w:val="2509234F"/>
    <w:rsid w:val="25441F39"/>
    <w:rsid w:val="25EE5343"/>
    <w:rsid w:val="268D5D4F"/>
    <w:rsid w:val="26973684"/>
    <w:rsid w:val="27536553"/>
    <w:rsid w:val="276D1447"/>
    <w:rsid w:val="27B60CB4"/>
    <w:rsid w:val="27F46C54"/>
    <w:rsid w:val="280553B0"/>
    <w:rsid w:val="28901201"/>
    <w:rsid w:val="29493649"/>
    <w:rsid w:val="29FF4B49"/>
    <w:rsid w:val="2A637619"/>
    <w:rsid w:val="2A761395"/>
    <w:rsid w:val="2A7D1611"/>
    <w:rsid w:val="2A897858"/>
    <w:rsid w:val="2AC563B9"/>
    <w:rsid w:val="2B4E4089"/>
    <w:rsid w:val="2B5C6C23"/>
    <w:rsid w:val="2CC203FD"/>
    <w:rsid w:val="2D386B29"/>
    <w:rsid w:val="2D3938BF"/>
    <w:rsid w:val="2D624039"/>
    <w:rsid w:val="2E4B2482"/>
    <w:rsid w:val="2ECB6253"/>
    <w:rsid w:val="2EDA5567"/>
    <w:rsid w:val="2F1D677A"/>
    <w:rsid w:val="2F200117"/>
    <w:rsid w:val="2F377B90"/>
    <w:rsid w:val="2FE46D20"/>
    <w:rsid w:val="300A55B3"/>
    <w:rsid w:val="31494069"/>
    <w:rsid w:val="31BD4918"/>
    <w:rsid w:val="32284440"/>
    <w:rsid w:val="327E6090"/>
    <w:rsid w:val="328C6BDE"/>
    <w:rsid w:val="32A85286"/>
    <w:rsid w:val="33874FA5"/>
    <w:rsid w:val="33C22F6A"/>
    <w:rsid w:val="33C4423F"/>
    <w:rsid w:val="34A244D0"/>
    <w:rsid w:val="36165E8F"/>
    <w:rsid w:val="369115D3"/>
    <w:rsid w:val="36DE17E3"/>
    <w:rsid w:val="37A30ED5"/>
    <w:rsid w:val="382626DA"/>
    <w:rsid w:val="398A2765"/>
    <w:rsid w:val="39BB7E60"/>
    <w:rsid w:val="3AD628A1"/>
    <w:rsid w:val="3BEC6846"/>
    <w:rsid w:val="3BFB3656"/>
    <w:rsid w:val="3C0B453D"/>
    <w:rsid w:val="3C624734"/>
    <w:rsid w:val="3D765FB2"/>
    <w:rsid w:val="3DAB3D49"/>
    <w:rsid w:val="3EBE037D"/>
    <w:rsid w:val="3F5B5C7D"/>
    <w:rsid w:val="3F787D6F"/>
    <w:rsid w:val="415A7A9A"/>
    <w:rsid w:val="42450FD8"/>
    <w:rsid w:val="42C667F7"/>
    <w:rsid w:val="43415B03"/>
    <w:rsid w:val="43685B14"/>
    <w:rsid w:val="4378246C"/>
    <w:rsid w:val="43CB7A2B"/>
    <w:rsid w:val="441E2B56"/>
    <w:rsid w:val="44323ABD"/>
    <w:rsid w:val="44E80768"/>
    <w:rsid w:val="45007B43"/>
    <w:rsid w:val="450C7A86"/>
    <w:rsid w:val="452B420A"/>
    <w:rsid w:val="457F1045"/>
    <w:rsid w:val="4591449F"/>
    <w:rsid w:val="460209EA"/>
    <w:rsid w:val="46C2747A"/>
    <w:rsid w:val="47594FFE"/>
    <w:rsid w:val="47A54FEA"/>
    <w:rsid w:val="47A81287"/>
    <w:rsid w:val="48C2713F"/>
    <w:rsid w:val="49B358F8"/>
    <w:rsid w:val="4A4B6D70"/>
    <w:rsid w:val="4A6F5CAB"/>
    <w:rsid w:val="4A887DD5"/>
    <w:rsid w:val="4AAC78A7"/>
    <w:rsid w:val="4AB90AA7"/>
    <w:rsid w:val="4AEA4235"/>
    <w:rsid w:val="4BF434AB"/>
    <w:rsid w:val="4BFF76BB"/>
    <w:rsid w:val="4C2410AE"/>
    <w:rsid w:val="4C6D79C2"/>
    <w:rsid w:val="4C927F2F"/>
    <w:rsid w:val="4D005889"/>
    <w:rsid w:val="4D0F4129"/>
    <w:rsid w:val="4D903231"/>
    <w:rsid w:val="4DA67C4F"/>
    <w:rsid w:val="4E65355A"/>
    <w:rsid w:val="4F4E60F4"/>
    <w:rsid w:val="4FA07BB2"/>
    <w:rsid w:val="527D4E81"/>
    <w:rsid w:val="52862D78"/>
    <w:rsid w:val="543236CD"/>
    <w:rsid w:val="54396D19"/>
    <w:rsid w:val="54710045"/>
    <w:rsid w:val="548F0ECE"/>
    <w:rsid w:val="55DC5385"/>
    <w:rsid w:val="565F1A15"/>
    <w:rsid w:val="56930406"/>
    <w:rsid w:val="571B0692"/>
    <w:rsid w:val="58DC7D89"/>
    <w:rsid w:val="58F419BF"/>
    <w:rsid w:val="598C48FA"/>
    <w:rsid w:val="59B212B6"/>
    <w:rsid w:val="59DB6163"/>
    <w:rsid w:val="5A9F56BB"/>
    <w:rsid w:val="5B74650D"/>
    <w:rsid w:val="5C665B2C"/>
    <w:rsid w:val="5C8B5E09"/>
    <w:rsid w:val="5D1E0F52"/>
    <w:rsid w:val="5DE26CAF"/>
    <w:rsid w:val="5E332888"/>
    <w:rsid w:val="5F0461BD"/>
    <w:rsid w:val="5F214CFC"/>
    <w:rsid w:val="5F5D0994"/>
    <w:rsid w:val="60266CCC"/>
    <w:rsid w:val="60526897"/>
    <w:rsid w:val="60837066"/>
    <w:rsid w:val="616A66EB"/>
    <w:rsid w:val="621F1A2C"/>
    <w:rsid w:val="62224681"/>
    <w:rsid w:val="625B33FB"/>
    <w:rsid w:val="6273092E"/>
    <w:rsid w:val="62B25944"/>
    <w:rsid w:val="62E908F6"/>
    <w:rsid w:val="634F29FC"/>
    <w:rsid w:val="63A020E1"/>
    <w:rsid w:val="641E1DD0"/>
    <w:rsid w:val="64EA021F"/>
    <w:rsid w:val="650642CC"/>
    <w:rsid w:val="66B76211"/>
    <w:rsid w:val="66F3119A"/>
    <w:rsid w:val="67077A58"/>
    <w:rsid w:val="671047A1"/>
    <w:rsid w:val="67376D7A"/>
    <w:rsid w:val="675652B7"/>
    <w:rsid w:val="67686B92"/>
    <w:rsid w:val="679B3764"/>
    <w:rsid w:val="67A6641B"/>
    <w:rsid w:val="68382B41"/>
    <w:rsid w:val="68575FBB"/>
    <w:rsid w:val="69D9551D"/>
    <w:rsid w:val="6A5E5688"/>
    <w:rsid w:val="6AE74CF1"/>
    <w:rsid w:val="6C1D5873"/>
    <w:rsid w:val="6C5D4FEA"/>
    <w:rsid w:val="6CD77A20"/>
    <w:rsid w:val="6D552011"/>
    <w:rsid w:val="6F503036"/>
    <w:rsid w:val="6F670725"/>
    <w:rsid w:val="6F6E1BD3"/>
    <w:rsid w:val="6F860D65"/>
    <w:rsid w:val="6FFD6B93"/>
    <w:rsid w:val="7015676C"/>
    <w:rsid w:val="703603A6"/>
    <w:rsid w:val="705F3B9E"/>
    <w:rsid w:val="7236277D"/>
    <w:rsid w:val="72C67931"/>
    <w:rsid w:val="72DB1475"/>
    <w:rsid w:val="72E10006"/>
    <w:rsid w:val="731E664B"/>
    <w:rsid w:val="75DB71C7"/>
    <w:rsid w:val="762C54EE"/>
    <w:rsid w:val="772E3D2E"/>
    <w:rsid w:val="775F45E6"/>
    <w:rsid w:val="77841DDD"/>
    <w:rsid w:val="78EE584F"/>
    <w:rsid w:val="78FD530C"/>
    <w:rsid w:val="79663027"/>
    <w:rsid w:val="79A44820"/>
    <w:rsid w:val="79D43743"/>
    <w:rsid w:val="7A656E5D"/>
    <w:rsid w:val="7AD4597C"/>
    <w:rsid w:val="7B684C37"/>
    <w:rsid w:val="7B8521AC"/>
    <w:rsid w:val="7CA73A1A"/>
    <w:rsid w:val="7CAD6FE6"/>
    <w:rsid w:val="7CFA259B"/>
    <w:rsid w:val="7D987A74"/>
    <w:rsid w:val="7E1A6D94"/>
    <w:rsid w:val="7E842075"/>
    <w:rsid w:val="7F312B78"/>
    <w:rsid w:val="7F3B60CB"/>
    <w:rsid w:val="7F3E2CD3"/>
    <w:rsid w:val="7F9027B0"/>
    <w:rsid w:val="7F9D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jc w:val="center"/>
      <w:outlineLvl w:val="0"/>
    </w:pPr>
    <w:rPr>
      <w:rFonts w:eastAsia="仿宋_GB2312"/>
      <w:sz w:val="30"/>
      <w:szCs w:val="20"/>
    </w:rPr>
  </w:style>
  <w:style w:type="paragraph" w:styleId="4">
    <w:name w:val="heading 2"/>
    <w:basedOn w:val="1"/>
    <w:next w:val="1"/>
    <w:link w:val="27"/>
    <w:qFormat/>
    <w:uiPriority w:val="0"/>
    <w:pPr>
      <w:keepNext/>
      <w:jc w:val="center"/>
      <w:outlineLvl w:val="1"/>
    </w:pPr>
    <w:rPr>
      <w:rFonts w:eastAsia="仿宋_GB2312"/>
      <w:sz w:val="28"/>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7">
    <w:name w:val="Normal Indent"/>
    <w:basedOn w:val="1"/>
    <w:unhideWhenUsed/>
    <w:qFormat/>
    <w:uiPriority w:val="99"/>
    <w:pPr>
      <w:ind w:firstLine="420" w:firstLineChars="200"/>
    </w:pPr>
  </w:style>
  <w:style w:type="paragraph" w:styleId="8">
    <w:name w:val="annotation text"/>
    <w:basedOn w:val="1"/>
    <w:unhideWhenUsed/>
    <w:qFormat/>
    <w:uiPriority w:val="99"/>
    <w:pPr>
      <w:jc w:val="left"/>
    </w:pPr>
  </w:style>
  <w:style w:type="paragraph" w:styleId="9">
    <w:name w:val="Body Text"/>
    <w:basedOn w:val="1"/>
    <w:link w:val="32"/>
    <w:qFormat/>
    <w:uiPriority w:val="0"/>
    <w:pPr>
      <w:jc w:val="center"/>
    </w:pPr>
    <w:rPr>
      <w:rFonts w:ascii="仿宋_GB2312"/>
      <w:b/>
      <w:bCs/>
      <w:sz w:val="40"/>
    </w:rPr>
  </w:style>
  <w:style w:type="paragraph" w:styleId="10">
    <w:name w:val="Plain Text"/>
    <w:basedOn w:val="1"/>
    <w:unhideWhenUsed/>
    <w:qFormat/>
    <w:uiPriority w:val="99"/>
    <w:rPr>
      <w:rFonts w:ascii="宋体" w:hAnsi="Courier New"/>
      <w:szCs w:val="21"/>
    </w:rPr>
  </w:style>
  <w:style w:type="paragraph" w:styleId="11">
    <w:name w:val="Date"/>
    <w:basedOn w:val="1"/>
    <w:next w:val="1"/>
    <w:link w:val="29"/>
    <w:unhideWhenUsed/>
    <w:qFormat/>
    <w:uiPriority w:val="99"/>
    <w:pPr>
      <w:ind w:left="100" w:leftChars="2500"/>
    </w:pPr>
  </w:style>
  <w:style w:type="paragraph" w:styleId="12">
    <w:name w:val="Balloon Text"/>
    <w:basedOn w:val="1"/>
    <w:link w:val="33"/>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index 1"/>
    <w:basedOn w:val="1"/>
    <w:next w:val="1"/>
    <w:unhideWhenUsed/>
    <w:qFormat/>
    <w:uiPriority w:val="99"/>
    <w:pPr>
      <w:spacing w:line="360" w:lineRule="auto"/>
      <w:jc w:val="center"/>
    </w:pPr>
    <w:rPr>
      <w:rFonts w:ascii="宋体" w:hAnsi="宋体" w:cs="Arial"/>
      <w:b/>
      <w:kern w:val="1"/>
      <w:sz w:val="24"/>
    </w:rPr>
  </w:style>
  <w:style w:type="paragraph" w:styleId="17">
    <w:name w:val="Title"/>
    <w:basedOn w:val="1"/>
    <w:next w:val="1"/>
    <w:qFormat/>
    <w:uiPriority w:val="0"/>
    <w:pPr>
      <w:spacing w:before="240" w:after="60" w:line="360" w:lineRule="auto"/>
      <w:jc w:val="center"/>
      <w:outlineLvl w:val="0"/>
    </w:pPr>
    <w:rPr>
      <w:rFonts w:cs="宋体"/>
      <w:b/>
      <w:bCs/>
      <w:sz w:val="32"/>
      <w:szCs w:val="3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nhideWhenUsed/>
    <w:qFormat/>
    <w:uiPriority w:val="99"/>
  </w:style>
  <w:style w:type="character" w:styleId="22">
    <w:name w:val="FollowedHyperlink"/>
    <w:basedOn w:val="20"/>
    <w:unhideWhenUsed/>
    <w:qFormat/>
    <w:uiPriority w:val="99"/>
    <w:rPr>
      <w:rFonts w:hint="default" w:ascii="PingFang SC" w:hAnsi="PingFang SC" w:eastAsia="PingFang SC" w:cs="PingFang SC"/>
      <w:color w:val="333333"/>
      <w:sz w:val="21"/>
      <w:szCs w:val="21"/>
      <w:u w:val="none"/>
    </w:rPr>
  </w:style>
  <w:style w:type="character" w:styleId="23">
    <w:name w:val="Hyperlink"/>
    <w:basedOn w:val="20"/>
    <w:unhideWhenUsed/>
    <w:qFormat/>
    <w:uiPriority w:val="99"/>
    <w:rPr>
      <w:rFonts w:ascii="PingFang SC" w:hAnsi="PingFang SC" w:eastAsia="PingFang SC" w:cs="PingFang SC"/>
      <w:color w:val="333333"/>
      <w:sz w:val="21"/>
      <w:szCs w:val="21"/>
      <w:u w:val="none"/>
    </w:rPr>
  </w:style>
  <w:style w:type="character" w:styleId="24">
    <w:name w:val="annotation reference"/>
    <w:basedOn w:val="20"/>
    <w:unhideWhenUsed/>
    <w:qFormat/>
    <w:uiPriority w:val="99"/>
    <w:rPr>
      <w:rFonts w:ascii="Verdana" w:hAnsi="Verdana" w:cs="Times New Roman"/>
      <w:kern w:val="0"/>
      <w:sz w:val="21"/>
      <w:szCs w:val="21"/>
      <w:lang w:eastAsia="en-US"/>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1 字符"/>
    <w:basedOn w:val="20"/>
    <w:link w:val="3"/>
    <w:qFormat/>
    <w:uiPriority w:val="0"/>
    <w:rPr>
      <w:rFonts w:eastAsia="仿宋_GB2312"/>
      <w:kern w:val="2"/>
      <w:sz w:val="30"/>
    </w:rPr>
  </w:style>
  <w:style w:type="character" w:customStyle="1" w:styleId="27">
    <w:name w:val="标题 2 字符"/>
    <w:basedOn w:val="20"/>
    <w:link w:val="4"/>
    <w:qFormat/>
    <w:uiPriority w:val="0"/>
    <w:rPr>
      <w:rFonts w:eastAsia="仿宋_GB2312"/>
      <w:kern w:val="2"/>
      <w:sz w:val="28"/>
    </w:rPr>
  </w:style>
  <w:style w:type="paragraph" w:customStyle="1" w:styleId="28">
    <w:name w:val="列出段落1"/>
    <w:basedOn w:val="1"/>
    <w:qFormat/>
    <w:uiPriority w:val="34"/>
    <w:pPr>
      <w:ind w:firstLine="420" w:firstLineChars="200"/>
    </w:pPr>
  </w:style>
  <w:style w:type="character" w:customStyle="1" w:styleId="29">
    <w:name w:val="日期 字符"/>
    <w:basedOn w:val="20"/>
    <w:link w:val="11"/>
    <w:semiHidden/>
    <w:qFormat/>
    <w:uiPriority w:val="99"/>
    <w:rPr>
      <w:kern w:val="2"/>
      <w:sz w:val="21"/>
      <w:szCs w:val="24"/>
    </w:rPr>
  </w:style>
  <w:style w:type="character" w:customStyle="1" w:styleId="30">
    <w:name w:val="页眉 字符"/>
    <w:basedOn w:val="20"/>
    <w:link w:val="14"/>
    <w:semiHidden/>
    <w:qFormat/>
    <w:uiPriority w:val="99"/>
    <w:rPr>
      <w:kern w:val="2"/>
      <w:sz w:val="18"/>
      <w:szCs w:val="18"/>
    </w:rPr>
  </w:style>
  <w:style w:type="character" w:customStyle="1" w:styleId="31">
    <w:name w:val="页脚 字符"/>
    <w:basedOn w:val="20"/>
    <w:link w:val="13"/>
    <w:qFormat/>
    <w:uiPriority w:val="99"/>
    <w:rPr>
      <w:kern w:val="2"/>
      <w:sz w:val="18"/>
      <w:szCs w:val="18"/>
    </w:rPr>
  </w:style>
  <w:style w:type="character" w:customStyle="1" w:styleId="32">
    <w:name w:val="正文文本 字符"/>
    <w:basedOn w:val="20"/>
    <w:link w:val="9"/>
    <w:qFormat/>
    <w:uiPriority w:val="0"/>
    <w:rPr>
      <w:rFonts w:ascii="仿宋_GB2312"/>
      <w:b/>
      <w:bCs/>
      <w:kern w:val="2"/>
      <w:sz w:val="40"/>
      <w:szCs w:val="24"/>
    </w:rPr>
  </w:style>
  <w:style w:type="character" w:customStyle="1" w:styleId="33">
    <w:name w:val="批注框文本 字符"/>
    <w:basedOn w:val="20"/>
    <w:link w:val="12"/>
    <w:semiHidden/>
    <w:qFormat/>
    <w:uiPriority w:val="99"/>
    <w:rPr>
      <w:kern w:val="2"/>
      <w:sz w:val="18"/>
      <w:szCs w:val="18"/>
    </w:rPr>
  </w:style>
  <w:style w:type="paragraph" w:customStyle="1" w:styleId="3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
    <w:name w:val="列出段落11"/>
    <w:basedOn w:val="1"/>
    <w:qFormat/>
    <w:uiPriority w:val="0"/>
    <w:pPr>
      <w:ind w:firstLine="420" w:firstLineChars="200"/>
    </w:pPr>
  </w:style>
  <w:style w:type="character" w:customStyle="1" w:styleId="36">
    <w:name w:val="after"/>
    <w:basedOn w:val="20"/>
    <w:qFormat/>
    <w:uiPriority w:val="0"/>
    <w:rPr>
      <w:bdr w:val="dashed" w:color="auto" w:sz="48" w:space="0"/>
    </w:rPr>
  </w:style>
  <w:style w:type="character" w:customStyle="1" w:styleId="37">
    <w:name w:val="first-child"/>
    <w:basedOn w:val="20"/>
    <w:qFormat/>
    <w:uiPriority w:val="0"/>
  </w:style>
  <w:style w:type="character" w:customStyle="1" w:styleId="38">
    <w:name w:val="credit"/>
    <w:basedOn w:val="20"/>
    <w:qFormat/>
    <w:uiPriority w:val="0"/>
    <w:rPr>
      <w:sz w:val="18"/>
      <w:szCs w:val="18"/>
    </w:rPr>
  </w:style>
  <w:style w:type="character" w:customStyle="1" w:styleId="39">
    <w:name w:val="hover48"/>
    <w:basedOn w:val="20"/>
    <w:qFormat/>
    <w:uiPriority w:val="0"/>
    <w:rPr>
      <w:shd w:val="clear" w:fill="346AC3"/>
    </w:rPr>
  </w:style>
  <w:style w:type="character" w:customStyle="1" w:styleId="40">
    <w:name w:val="hover49"/>
    <w:basedOn w:val="20"/>
    <w:qFormat/>
    <w:uiPriority w:val="0"/>
    <w:rPr>
      <w:color w:val="4285F4"/>
    </w:rPr>
  </w:style>
  <w:style w:type="character" w:customStyle="1" w:styleId="41">
    <w:name w:val="hover50"/>
    <w:basedOn w:val="20"/>
    <w:qFormat/>
    <w:uiPriority w:val="0"/>
  </w:style>
  <w:style w:type="character" w:customStyle="1" w:styleId="42">
    <w:name w:val="hover51"/>
    <w:basedOn w:val="20"/>
    <w:qFormat/>
    <w:uiPriority w:val="0"/>
    <w:rPr>
      <w:color w:val="4285F4"/>
      <w:u w:val="none"/>
    </w:rPr>
  </w:style>
  <w:style w:type="character" w:customStyle="1" w:styleId="43">
    <w:name w:val="hover52"/>
    <w:basedOn w:val="20"/>
    <w:qFormat/>
    <w:uiPriority w:val="0"/>
    <w:rPr>
      <w:color w:val="1A85D7"/>
    </w:rPr>
  </w:style>
  <w:style w:type="character" w:customStyle="1" w:styleId="44">
    <w:name w:val="before"/>
    <w:basedOn w:val="20"/>
    <w:qFormat/>
    <w:uiPriority w:val="0"/>
    <w:rPr>
      <w:bdr w:val="single" w:color="auto" w:sz="48" w:space="0"/>
    </w:rPr>
  </w:style>
  <w:style w:type="paragraph" w:customStyle="1" w:styleId="45">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73160-5690-4A55-8DE8-713ACC14E40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4956</Words>
  <Characters>5494</Characters>
  <Lines>56</Lines>
  <Paragraphs>15</Paragraphs>
  <TotalTime>13</TotalTime>
  <ScaleCrop>false</ScaleCrop>
  <LinksUpToDate>false</LinksUpToDate>
  <CharactersWithSpaces>5888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ジ</cp:lastModifiedBy>
  <cp:lastPrinted>2021-06-15T10:00:00Z</cp:lastPrinted>
  <dcterms:modified xsi:type="dcterms:W3CDTF">2023-06-12T08:29:07Z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F4D2362C62884F6AA5F45602D7F4E669</vt:lpwstr>
  </property>
</Properties>
</file>