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sz w:val="48"/>
          <w:szCs w:val="48"/>
          <w:lang w:val="en-US" w:eastAsia="zh-CN"/>
        </w:rPr>
      </w:pPr>
      <w:bookmarkStart w:id="35" w:name="_GoBack"/>
      <w:r>
        <w:rPr>
          <w:rFonts w:hint="eastAsia" w:ascii="Times New Roman" w:hAnsi="Times New Roman" w:eastAsia="方正小标宋_GBK" w:cs="Times New Roman"/>
          <w:bCs/>
          <w:sz w:val="48"/>
          <w:szCs w:val="48"/>
          <w:lang w:val="en-US" w:eastAsia="zh-CN"/>
        </w:rPr>
        <w:t>重庆乌江白马航电枢纽工程</w:t>
      </w:r>
      <w:r>
        <w:rPr>
          <w:rFonts w:hint="eastAsia" w:ascii="Times New Roman" w:hAnsi="Times New Roman" w:eastAsia="方正小标宋_GBK" w:cs="Times New Roman"/>
          <w:b/>
          <w:bCs w:val="0"/>
          <w:sz w:val="48"/>
          <w:szCs w:val="48"/>
          <w:lang w:val="en-US" w:eastAsia="zh-CN"/>
        </w:rPr>
        <w:t>10#</w:t>
      </w:r>
      <w:r>
        <w:rPr>
          <w:rFonts w:hint="eastAsia" w:ascii="Times New Roman" w:hAnsi="Times New Roman" w:eastAsia="方正小标宋_GBK" w:cs="Times New Roman"/>
          <w:bCs/>
          <w:sz w:val="48"/>
          <w:szCs w:val="48"/>
          <w:lang w:val="en-US" w:eastAsia="zh-CN"/>
        </w:rPr>
        <w:t>场</w:t>
      </w:r>
      <w:r>
        <w:rPr>
          <w:rFonts w:hint="eastAsia" w:ascii="Times New Roman" w:hAnsi="Times New Roman" w:eastAsia="方正小标宋_GBK" w:cs="Times New Roman"/>
          <w:b/>
          <w:bCs w:val="0"/>
          <w:sz w:val="48"/>
          <w:szCs w:val="48"/>
          <w:lang w:val="en-US" w:eastAsia="zh-CN"/>
        </w:rPr>
        <w:t>内</w:t>
      </w:r>
      <w:r>
        <w:rPr>
          <w:rFonts w:hint="eastAsia" w:ascii="Times New Roman" w:hAnsi="Times New Roman" w:eastAsia="方正小标宋_GBK" w:cs="Times New Roman"/>
          <w:bCs/>
          <w:sz w:val="48"/>
          <w:szCs w:val="48"/>
          <w:lang w:val="en-US" w:eastAsia="zh-CN"/>
        </w:rPr>
        <w:t>公</w:t>
      </w:r>
      <w:r>
        <w:rPr>
          <w:rFonts w:hint="eastAsia" w:ascii="Times New Roman" w:hAnsi="Times New Roman" w:eastAsia="方正小标宋_GBK" w:cs="Times New Roman"/>
          <w:b/>
          <w:bCs w:val="0"/>
          <w:sz w:val="48"/>
          <w:szCs w:val="48"/>
          <w:lang w:val="en-US" w:eastAsia="zh-CN"/>
        </w:rPr>
        <w:t>路二期</w:t>
      </w:r>
      <w:r>
        <w:rPr>
          <w:rFonts w:hint="eastAsia" w:ascii="Times New Roman" w:hAnsi="Times New Roman" w:eastAsia="方正小标宋_GBK" w:cs="Times New Roman"/>
          <w:bCs/>
          <w:sz w:val="48"/>
          <w:szCs w:val="48"/>
          <w:lang w:val="en-US" w:eastAsia="zh-CN"/>
        </w:rPr>
        <w:t>新增用地</w:t>
      </w:r>
      <w:r>
        <w:rPr>
          <w:rFonts w:hint="eastAsia" w:ascii="Times New Roman" w:hAnsi="Times New Roman" w:eastAsia="方正小标宋_GBK" w:cs="Times New Roman"/>
          <w:bCs/>
          <w:sz w:val="48"/>
          <w:szCs w:val="48"/>
          <w:lang w:eastAsia="zh-CN"/>
        </w:rPr>
        <w:t>使用林地可研报告</w:t>
      </w:r>
      <w:r>
        <w:rPr>
          <w:rFonts w:hint="eastAsia" w:ascii="Times New Roman" w:hAnsi="Times New Roman" w:eastAsia="方正小标宋_GBK" w:cs="Times New Roman"/>
          <w:b/>
          <w:bCs w:val="0"/>
          <w:sz w:val="48"/>
          <w:szCs w:val="48"/>
          <w:lang w:val="en-US" w:eastAsia="zh-CN"/>
        </w:rPr>
        <w:t>技术</w:t>
      </w:r>
      <w:r>
        <w:rPr>
          <w:rFonts w:hint="eastAsia" w:ascii="Times New Roman" w:hAnsi="Times New Roman" w:eastAsia="方正小标宋_GBK" w:cs="Times New Roman"/>
          <w:bCs/>
          <w:sz w:val="48"/>
          <w:szCs w:val="48"/>
          <w:lang w:val="en-US" w:eastAsia="zh-CN"/>
        </w:rPr>
        <w:t>咨询</w:t>
      </w:r>
      <w:r>
        <w:rPr>
          <w:rFonts w:hint="eastAsia" w:ascii="Times New Roman" w:hAnsi="Times New Roman" w:eastAsia="方正小标宋_GBK" w:cs="Times New Roman"/>
          <w:b/>
          <w:bCs w:val="0"/>
          <w:sz w:val="48"/>
          <w:szCs w:val="48"/>
          <w:lang w:val="en-US" w:eastAsia="zh-CN"/>
        </w:rPr>
        <w:t>服务</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bookmarkEnd w:id="35"/>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重庆白马航运发展有限公司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val="en-US"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6</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52097499"/>
      <w:bookmarkStart w:id="1" w:name="_Toc29194680"/>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spacing w:line="510" w:lineRule="exact"/>
        <w:jc w:val="center"/>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重庆乌江白马航电枢纽工程</w:t>
      </w:r>
      <w:r>
        <w:rPr>
          <w:rFonts w:hint="eastAsia" w:ascii="Times New Roman" w:hAnsi="Times New Roman" w:eastAsia="方正小标宋_GBK" w:cs="Times New Roman"/>
          <w:b/>
          <w:bCs/>
          <w:color w:val="000000" w:themeColor="text1"/>
          <w:sz w:val="36"/>
          <w:szCs w:val="36"/>
          <w:lang w:val="en-US" w:eastAsia="zh-CN"/>
          <w14:textFill>
            <w14:solidFill>
              <w14:schemeClr w14:val="tx1"/>
            </w14:solidFill>
          </w14:textFill>
        </w:rPr>
        <w:t>10#</w:t>
      </w:r>
      <w:r>
        <w:rPr>
          <w:rFonts w:hint="eastAsia" w:ascii="Times New Roman" w:hAnsi="Times New Roman" w:eastAsia="方正小标宋_GBK" w:cs="Times New Roman"/>
          <w:b w:val="0"/>
          <w:bCs w:val="0"/>
          <w:color w:val="000000" w:themeColor="text1"/>
          <w:sz w:val="36"/>
          <w:szCs w:val="36"/>
          <w:lang w:val="en-US" w:eastAsia="zh-CN"/>
          <w14:textFill>
            <w14:solidFill>
              <w14:schemeClr w14:val="tx1"/>
            </w14:solidFill>
          </w14:textFill>
        </w:rPr>
        <w:t>场</w:t>
      </w:r>
      <w:r>
        <w:rPr>
          <w:rFonts w:hint="eastAsia" w:ascii="Times New Roman" w:hAnsi="Times New Roman" w:eastAsia="方正小标宋_GBK" w:cs="Times New Roman"/>
          <w:b/>
          <w:bCs/>
          <w:color w:val="000000" w:themeColor="text1"/>
          <w:sz w:val="36"/>
          <w:szCs w:val="36"/>
          <w:lang w:val="en-US" w:eastAsia="zh-CN"/>
          <w14:textFill>
            <w14:solidFill>
              <w14:schemeClr w14:val="tx1"/>
            </w14:solidFill>
          </w14:textFill>
        </w:rPr>
        <w:t>内</w:t>
      </w:r>
      <w:r>
        <w:rPr>
          <w:rFonts w:hint="eastAsia" w:ascii="Times New Roman" w:hAnsi="Times New Roman" w:eastAsia="方正小标宋_GBK" w:cs="Times New Roman"/>
          <w:b w:val="0"/>
          <w:bCs w:val="0"/>
          <w:color w:val="000000" w:themeColor="text1"/>
          <w:sz w:val="36"/>
          <w:szCs w:val="36"/>
          <w:lang w:val="en-US" w:eastAsia="zh-CN"/>
          <w14:textFill>
            <w14:solidFill>
              <w14:schemeClr w14:val="tx1"/>
            </w14:solidFill>
          </w14:textFill>
        </w:rPr>
        <w:t>公</w:t>
      </w:r>
      <w:r>
        <w:rPr>
          <w:rFonts w:hint="eastAsia" w:ascii="Times New Roman" w:hAnsi="Times New Roman" w:eastAsia="方正小标宋_GBK" w:cs="Times New Roman"/>
          <w:b/>
          <w:bCs/>
          <w:color w:val="000000" w:themeColor="text1"/>
          <w:sz w:val="36"/>
          <w:szCs w:val="36"/>
          <w:lang w:val="en-US" w:eastAsia="zh-CN"/>
          <w14:textFill>
            <w14:solidFill>
              <w14:schemeClr w14:val="tx1"/>
            </w14:solidFill>
          </w14:textFill>
        </w:rPr>
        <w:t>路二期</w:t>
      </w: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新增用地使用林地可研报告</w:t>
      </w:r>
      <w:r>
        <w:rPr>
          <w:rFonts w:hint="eastAsia" w:ascii="Times New Roman" w:hAnsi="Times New Roman" w:eastAsia="方正小标宋_GBK" w:cs="Times New Roman"/>
          <w:b/>
          <w:bCs/>
          <w:color w:val="000000" w:themeColor="text1"/>
          <w:sz w:val="36"/>
          <w:szCs w:val="36"/>
          <w:lang w:val="en-US" w:eastAsia="zh-CN"/>
          <w14:textFill>
            <w14:solidFill>
              <w14:schemeClr w14:val="tx1"/>
            </w14:solidFill>
          </w14:textFill>
        </w:rPr>
        <w:t>技术</w:t>
      </w: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咨询</w:t>
      </w:r>
      <w:r>
        <w:rPr>
          <w:rFonts w:hint="eastAsia" w:ascii="Times New Roman" w:hAnsi="Times New Roman" w:eastAsia="方正小标宋_GBK" w:cs="Times New Roman"/>
          <w:b/>
          <w:bCs/>
          <w:color w:val="000000" w:themeColor="text1"/>
          <w:sz w:val="36"/>
          <w:szCs w:val="36"/>
          <w:lang w:val="en-US" w:eastAsia="zh-CN"/>
          <w14:textFill>
            <w14:solidFill>
              <w14:schemeClr w14:val="tx1"/>
            </w14:solidFill>
          </w14:textFill>
        </w:rPr>
        <w:t>服务</w:t>
      </w:r>
      <w:r>
        <w:rPr>
          <w:rFonts w:ascii="Times New Roman" w:hAnsi="Times New Roman" w:eastAsia="方正小标宋_GBK" w:cs="Times New Roman"/>
          <w:color w:val="000000" w:themeColor="text1"/>
          <w:sz w:val="36"/>
          <w:szCs w:val="36"/>
          <w:lang w:eastAsia="zh-CN"/>
          <w14:textFill>
            <w14:solidFill>
              <w14:schemeClr w14:val="tx1"/>
            </w14:solidFill>
          </w14:textFill>
        </w:rPr>
        <w:t>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2" w:name="_Toc6230450"/>
      <w:bookmarkEnd w:id="2"/>
      <w:bookmarkStart w:id="3" w:name="_Toc375641571"/>
      <w:bookmarkEnd w:id="3"/>
      <w:bookmarkStart w:id="4" w:name="_Toc29194681"/>
      <w:bookmarkEnd w:id="4"/>
      <w:bookmarkStart w:id="5" w:name="_Toc52097500"/>
      <w:bookmarkEnd w:id="5"/>
      <w:bookmarkStart w:id="6" w:name="_Toc370126361"/>
      <w:bookmarkEnd w:id="6"/>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u w:val="single"/>
          <w:lang w:eastAsia="zh-CN"/>
        </w:rPr>
        <w:t>重庆乌江白马航电枢纽工程10#场内公路二期新增用地使用林地可研报告技术咨询服务</w:t>
      </w:r>
      <w:r>
        <w:rPr>
          <w:rFonts w:ascii="Times New Roman" w:hAnsi="Times New Roman" w:eastAsia="方正仿宋_GBK" w:cs="Times New Roman"/>
          <w:bCs/>
          <w:sz w:val="32"/>
          <w:szCs w:val="32"/>
          <w:lang w:eastAsia="zh-CN"/>
        </w:rPr>
        <w:t>项目已具备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w:t>
      </w:r>
      <w:r>
        <w:rPr>
          <w:rFonts w:hint="eastAsia" w:ascii="Times New Roman" w:hAnsi="Times New Roman" w:eastAsia="方正仿宋_GBK" w:cs="Times New Roman"/>
          <w:bCs/>
          <w:sz w:val="32"/>
          <w:szCs w:val="32"/>
          <w:u w:val="single"/>
          <w:lang w:val="en-US" w:eastAsia="zh-CN"/>
        </w:rPr>
        <w:t>重庆白马航运发展有限公司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方正仿宋_GBK" w:cs="Times New Roman"/>
          <w:lang w:eastAsia="zh-CN"/>
        </w:rPr>
      </w:pPr>
      <w:bookmarkStart w:id="7" w:name="_Toc6230451"/>
      <w:bookmarkEnd w:id="7"/>
      <w:bookmarkStart w:id="8" w:name="_Toc29194682"/>
      <w:bookmarkEnd w:id="8"/>
      <w:bookmarkStart w:id="9" w:name="_Toc52097501"/>
      <w:bookmarkEnd w:id="9"/>
      <w:bookmarkStart w:id="10" w:name="_Toc324429695"/>
      <w:bookmarkStart w:id="11" w:name="_Toc323734100"/>
      <w:bookmarkStart w:id="12" w:name="_Toc21092"/>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白马航电枢纽工程地处武隆区白马镇，是乌江干流梯级开发规划的最下一个梯级。工程开发任务以航运为主，兼顾发电。工程等别为二等，工程规模为大（2）型，主要建筑物包括拦水坝、泄洪闸、船闸、鱼道和电站厂房等。水库正常蓄水位184.0m，正常库容1.67亿m3，总库容3.74亿m3，航道通航标准为IV级，电站转机容量480MW。工程建成后可渠化航道里程45.3km，船闸年单向通货能力1060.5万t，多年平均发电量17.6亿kw.h。工程总工期99个月，估算总投资109亿元，其中环保相关投资约3.3亿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val="en-US" w:eastAsia="zh-CN"/>
        </w:rPr>
        <w:t>85000</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重庆乌江白马航电枢纽工程10#场内公路二期新增用地使用林地可研报告技术咨询服务工作，范围面积约</w:t>
      </w:r>
      <w:r>
        <w:rPr>
          <w:rFonts w:hint="eastAsia" w:ascii="Times New Roman" w:hAnsi="Times New Roman" w:eastAsia="方正仿宋_GBK" w:cs="Times New Roman"/>
          <w:bCs/>
          <w:sz w:val="32"/>
          <w:szCs w:val="32"/>
          <w:lang w:val="en-US" w:eastAsia="zh-CN"/>
        </w:rPr>
        <w:t>26.85</w:t>
      </w:r>
      <w:r>
        <w:rPr>
          <w:rFonts w:hint="eastAsia" w:ascii="Times New Roman" w:hAnsi="Times New Roman" w:eastAsia="方正仿宋_GBK" w:cs="Times New Roman"/>
          <w:bCs/>
          <w:sz w:val="32"/>
          <w:szCs w:val="32"/>
          <w:lang w:eastAsia="zh-CN"/>
        </w:rPr>
        <w:t>亩；</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w:t>
      </w:r>
      <w:r>
        <w:rPr>
          <w:rFonts w:hint="eastAsia" w:ascii="Times New Roman" w:hAnsi="Times New Roman" w:eastAsia="方正仿宋_GBK" w:cs="Times New Roman"/>
          <w:bCs/>
          <w:sz w:val="32"/>
          <w:szCs w:val="32"/>
          <w:lang w:eastAsia="zh-CN"/>
        </w:rPr>
        <w:t>工期（交货期、服务期）：</w:t>
      </w:r>
      <w:r>
        <w:rPr>
          <w:rFonts w:hint="eastAsia" w:ascii="Times New Roman" w:hAnsi="Times New Roman" w:eastAsia="方正仿宋_GBK" w:cs="Times New Roman"/>
          <w:bCs/>
          <w:sz w:val="32"/>
          <w:szCs w:val="32"/>
          <w:u w:val="single"/>
          <w:lang w:val="en-US" w:eastAsia="zh-CN"/>
        </w:rPr>
        <w:t>0.5</w:t>
      </w:r>
      <w:r>
        <w:rPr>
          <w:rFonts w:hint="eastAsia" w:ascii="Times New Roman" w:hAnsi="Times New Roman" w:eastAsia="方正仿宋_GBK" w:cs="Times New Roman"/>
          <w:bCs/>
          <w:sz w:val="32"/>
          <w:szCs w:val="32"/>
          <w:lang w:eastAsia="zh-CN"/>
        </w:rPr>
        <w:t>个月。开始服务时间：暂定</w:t>
      </w:r>
      <w:r>
        <w:rPr>
          <w:rFonts w:hint="eastAsia" w:ascii="Times New Roman" w:hAnsi="Times New Roman" w:eastAsia="方正仿宋_GBK" w:cs="Times New Roman"/>
          <w:bCs/>
          <w:sz w:val="32"/>
          <w:szCs w:val="32"/>
          <w:u w:val="single"/>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u w:val="single"/>
          <w:lang w:val="en-US" w:eastAsia="zh-CN"/>
        </w:rPr>
        <w:t>6</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u w:val="single"/>
          <w:lang w:val="en-US" w:eastAsia="zh-CN"/>
        </w:rPr>
        <w:t>12</w:t>
      </w:r>
      <w:r>
        <w:rPr>
          <w:rFonts w:hint="eastAsia" w:ascii="Times New Roman" w:hAnsi="Times New Roman" w:eastAsia="方正仿宋_GBK" w:cs="Times New Roman"/>
          <w:bCs/>
          <w:sz w:val="32"/>
          <w:szCs w:val="32"/>
          <w:lang w:eastAsia="zh-CN"/>
        </w:rPr>
        <w:t>日，具体进场时间以发包人通知为准。</w:t>
      </w:r>
    </w:p>
    <w:p>
      <w:pPr>
        <w:spacing w:line="510" w:lineRule="exact"/>
        <w:ind w:firstLine="640" w:firstLineChars="200"/>
        <w:jc w:val="both"/>
        <w:rPr>
          <w:rFonts w:ascii="Times New Roman" w:hAnsi="Times New Roman" w:eastAsia="方正仿宋_GBK" w:cs="Times New Roman"/>
          <w:bCs/>
          <w:sz w:val="32"/>
          <w:szCs w:val="32"/>
          <w:lang w:eastAsia="zh-CN"/>
        </w:rPr>
      </w:pPr>
    </w:p>
    <w:bookmarkEnd w:id="10"/>
    <w:bookmarkEnd w:id="11"/>
    <w:bookmarkEnd w:id="12"/>
    <w:p>
      <w:pPr>
        <w:pStyle w:val="4"/>
        <w:spacing w:line="510" w:lineRule="exact"/>
        <w:rPr>
          <w:rFonts w:ascii="Times New Roman" w:hAnsi="Times New Roman" w:eastAsia="黑体" w:cs="Times New Roman"/>
          <w:b w:val="0"/>
          <w:lang w:eastAsia="zh-CN"/>
        </w:rPr>
      </w:pPr>
      <w:bookmarkStart w:id="13" w:name="_Toc6230452"/>
      <w:bookmarkEnd w:id="13"/>
      <w:bookmarkStart w:id="14" w:name="_Toc29194683"/>
      <w:bookmarkEnd w:id="14"/>
      <w:bookmarkStart w:id="15" w:name="_Toc52097502"/>
      <w:bookmarkEnd w:id="15"/>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具有有效营业执照、税务登记证、组织机构代码证，多证合一的需备注；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（2）报价人应具有</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国家</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行政</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主管部门颁发的林业调查规划设计资质证书（乙级）</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：报价人自</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2019</w:t>
      </w:r>
      <w:r>
        <w:rPr>
          <w:rFonts w:ascii="Times New Roman" w:hAnsi="Times New Roman" w:eastAsia="方正仿宋_GBK" w:cs="Times New Roman"/>
          <w:bCs/>
          <w:color w:val="000000" w:themeColor="text1"/>
          <w:sz w:val="32"/>
          <w:szCs w:val="32"/>
          <w:lang w:eastAsia="zh-CN"/>
          <w14:textFill>
            <w14:solidFill>
              <w14:schemeClr w14:val="tx1"/>
            </w14:solidFill>
          </w14:textFill>
        </w:rPr>
        <w:t>年1月1日至报价截止日止，至少具有</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个</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水利水电项目技术服务</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的</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相关</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u w:val="single"/>
          <w:lang w:val="en-US" w:eastAsia="zh-CN"/>
        </w:rPr>
        <w:t>重庆市武隆区白马镇重庆白马航运发展有限公司</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挂网公示后第</w:t>
      </w:r>
      <w:r>
        <w:rPr>
          <w:rFonts w:hint="eastAsia" w:ascii="Times New Roman" w:hAnsi="Times New Roman" w:eastAsia="方正仿宋_GBK" w:cs="Times New Roman"/>
          <w:bCs/>
          <w:sz w:val="32"/>
          <w:szCs w:val="32"/>
          <w:highlight w:val="none"/>
          <w:u w:val="single"/>
          <w:lang w:eastAsia="zh-CN"/>
        </w:rPr>
        <w:t>4</w:t>
      </w:r>
      <w:r>
        <w:rPr>
          <w:rFonts w:hint="eastAsia" w:ascii="Times New Roman" w:hAnsi="Times New Roman" w:eastAsia="方正仿宋_GBK" w:cs="Times New Roman"/>
          <w:bCs/>
          <w:sz w:val="32"/>
          <w:szCs w:val="32"/>
          <w:highlight w:val="none"/>
          <w:lang w:eastAsia="zh-CN"/>
        </w:rPr>
        <w:t>日</w:t>
      </w:r>
      <w:r>
        <w:rPr>
          <w:rFonts w:hint="eastAsia" w:ascii="Times New Roman" w:hAnsi="Times New Roman" w:eastAsia="方正仿宋_GBK" w:cs="Times New Roman"/>
          <w:bCs/>
          <w:sz w:val="32"/>
          <w:szCs w:val="32"/>
          <w:highlight w:val="none"/>
          <w:u w:val="single"/>
          <w:lang w:val="en-US" w:eastAsia="zh-CN"/>
        </w:rPr>
        <w:t>14</w:t>
      </w:r>
      <w:r>
        <w:rPr>
          <w:rFonts w:ascii="Times New Roman" w:hAnsi="Times New Roman" w:eastAsia="方正仿宋_GBK" w:cs="Times New Roman"/>
          <w:bCs/>
          <w:sz w:val="32"/>
          <w:szCs w:val="32"/>
          <w:lang w:eastAsia="zh-CN"/>
        </w:rPr>
        <w:t>时</w:t>
      </w:r>
      <w:r>
        <w:rPr>
          <w:rFonts w:hint="eastAsia" w:ascii="Times New Roman" w:hAnsi="Times New Roman" w:eastAsia="方正仿宋_GBK" w:cs="Times New Roman"/>
          <w:bCs/>
          <w:sz w:val="32"/>
          <w:szCs w:val="32"/>
          <w:u w:val="single"/>
          <w:lang w:val="en-US" w:eastAsia="zh-CN"/>
        </w:rPr>
        <w:t>00</w:t>
      </w:r>
      <w:r>
        <w:rPr>
          <w:rFonts w:ascii="Times New Roman" w:hAnsi="Times New Roman" w:eastAsia="方正仿宋_GBK" w:cs="Times New Roman"/>
          <w:bCs/>
          <w:sz w:val="32"/>
          <w:szCs w:val="32"/>
          <w:lang w:eastAsia="zh-CN"/>
        </w:rPr>
        <w:t>分为止（北京时间）。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43"/>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val="en-US" w:eastAsia="zh-CN"/>
        </w:rPr>
        <w:t>重庆白马航运发展有限公司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val="en-US" w:eastAsia="zh-CN"/>
        </w:rPr>
        <w:t>重庆市武隆区白马镇重庆白马航运发展有限公司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周老师</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023-77770016</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重庆白马航运发展有限公司监事会（纪检）</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eastAsia="zh-CN"/>
        </w:rPr>
        <w:t>023-77709100</w:t>
      </w:r>
    </w:p>
    <w:p>
      <w:pPr>
        <w:jc w:val="right"/>
        <w:rPr>
          <w:lang w:eastAsia="zh-CN"/>
        </w:rPr>
      </w:pPr>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6</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9</w:t>
      </w:r>
      <w:r>
        <w:rPr>
          <w:rFonts w:hint="eastAsia" w:ascii="Times New Roman" w:hAnsi="Times New Roman" w:eastAsia="方正仿宋_GBK" w:cs="Times New Roman"/>
          <w:bCs/>
          <w:sz w:val="32"/>
          <w:szCs w:val="32"/>
          <w:lang w:eastAsia="zh-CN"/>
        </w:rPr>
        <w:t>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160000</w:t>
      </w:r>
      <w:r>
        <w:rPr>
          <w:rFonts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u w:val="single"/>
          <w:lang w:val="en-US" w:eastAsia="zh-CN"/>
        </w:rPr>
        <w:t>拾陆</w:t>
      </w:r>
      <w:r>
        <w:rPr>
          <w:rFonts w:ascii="Times New Roman" w:hAnsi="Times New Roman" w:eastAsia="方正仿宋_GBK" w:cs="Times New Roman"/>
          <w:bCs/>
          <w:sz w:val="32"/>
          <w:szCs w:val="32"/>
          <w:u w:val="single"/>
          <w:lang w:eastAsia="zh-CN"/>
        </w:rPr>
        <w:t>万元</w:t>
      </w:r>
      <w:r>
        <w:rPr>
          <w:rFonts w:hint="eastAsia" w:ascii="Times New Roman" w:hAnsi="Times New Roman" w:eastAsia="方正仿宋_GBK" w:cs="Times New Roman"/>
          <w:bCs/>
          <w:sz w:val="32"/>
          <w:szCs w:val="32"/>
          <w:u w:val="single"/>
          <w:lang w:val="en-US" w:eastAsia="zh-CN"/>
        </w:rPr>
        <w:t>整</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eastAsia="zh-CN"/>
        </w:rPr>
        <w:t>重庆乌江白马航电枢纽工程10#场内公路二期新增用地使用林地可研报告技术咨询服务</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jc w:val="right"/>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6" w:name="_Toc29194791"/>
      <w:bookmarkEnd w:id="16"/>
      <w:bookmarkStart w:id="17" w:name="_Toc52097542"/>
      <w:bookmarkEnd w:id="17"/>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spacing w:line="510" w:lineRule="exact"/>
        <w:rPr>
          <w:rFonts w:ascii="Times New Roman" w:hAnsi="Times New Roman" w:eastAsia="黑体" w:cs="Times New Roman"/>
          <w:sz w:val="32"/>
          <w:szCs w:val="32"/>
          <w:lang w:eastAsia="zh-CN"/>
        </w:rPr>
      </w:pPr>
    </w:p>
    <w:p>
      <w:pPr>
        <w:numPr>
          <w:ilvl w:val="0"/>
          <w:numId w:val="1"/>
        </w:num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合同范围</w:t>
      </w:r>
    </w:p>
    <w:p>
      <w:pPr>
        <w:pStyle w:val="43"/>
        <w:ind w:left="0" w:leftChars="0" w:firstLine="560" w:firstLineChars="200"/>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pPr>
      <w:r>
        <w:rPr>
          <w:rFonts w:hint="eastAsia" w:ascii="方正仿宋_GBK" w:hAnsi="宋体" w:eastAsia="方正仿宋_GBK"/>
          <w:snapToGrid w:val="0"/>
          <w:kern w:val="0"/>
          <w:sz w:val="28"/>
          <w:szCs w:val="28"/>
          <w:lang w:val="en-US" w:eastAsia="zh-CN"/>
        </w:rPr>
        <w:t>3、</w:t>
      </w:r>
      <w:r>
        <w:rPr>
          <w:rFonts w:hint="eastAsia" w:ascii="方正仿宋_GBK" w:hAnsi="宋体" w:eastAsia="方正仿宋_GBK" w:cs="Times New Roman"/>
          <w:bCs/>
          <w:snapToGrid w:val="0"/>
          <w:kern w:val="0"/>
          <w:sz w:val="28"/>
          <w:szCs w:val="28"/>
          <w:u w:val="none"/>
          <w:lang w:val="en-US" w:eastAsia="zh-CN"/>
        </w:rPr>
        <w:t>编制</w:t>
      </w:r>
      <w:r>
        <w:rPr>
          <w:rFonts w:hint="eastAsia" w:ascii="方正仿宋_GBK" w:hAnsi="宋体" w:eastAsia="方正仿宋_GBK" w:cs="Times New Roman"/>
          <w:bCs/>
          <w:snapToGrid w:val="0"/>
          <w:kern w:val="0"/>
          <w:sz w:val="28"/>
          <w:szCs w:val="28"/>
          <w:u w:val="single"/>
          <w:lang w:eastAsia="zh-CN"/>
        </w:rPr>
        <w:t>《</w:t>
      </w:r>
      <w:r>
        <w:rPr>
          <w:rFonts w:ascii="方正仿宋_GBK" w:hAnsi="宋体" w:eastAsia="方正仿宋_GBK" w:cs="Times New Roman"/>
          <w:bCs/>
          <w:snapToGrid w:val="0"/>
          <w:kern w:val="0"/>
          <w:sz w:val="28"/>
          <w:szCs w:val="28"/>
          <w:u w:val="single"/>
        </w:rPr>
        <w:t>重庆乌江白马航电枢纽工程</w:t>
      </w:r>
      <w:r>
        <w:rPr>
          <w:rFonts w:hint="eastAsia" w:ascii="方正仿宋_GBK" w:hAnsi="宋体" w:eastAsia="方正仿宋_GBK" w:cs="Times New Roman"/>
          <w:bCs/>
          <w:snapToGrid w:val="0"/>
          <w:kern w:val="0"/>
          <w:sz w:val="28"/>
          <w:szCs w:val="28"/>
          <w:u w:val="single"/>
          <w:lang w:eastAsia="zh-CN"/>
        </w:rPr>
        <w:t>10</w:t>
      </w:r>
      <w:r>
        <w:rPr>
          <w:rFonts w:hint="eastAsia" w:ascii="Times New Roman" w:hAnsi="Times New Roman" w:eastAsia="方正仿宋_GBK" w:cs="Times New Roman"/>
          <w:bCs/>
          <w:sz w:val="32"/>
          <w:szCs w:val="32"/>
          <w:u w:val="single"/>
          <w:lang w:eastAsia="zh-CN"/>
        </w:rPr>
        <w:t>#</w:t>
      </w:r>
      <w:r>
        <w:rPr>
          <w:rFonts w:hint="eastAsia" w:ascii="方正仿宋_GBK" w:hAnsi="宋体" w:eastAsia="方正仿宋_GBK" w:cs="Times New Roman"/>
          <w:bCs/>
          <w:snapToGrid w:val="0"/>
          <w:kern w:val="0"/>
          <w:sz w:val="28"/>
          <w:szCs w:val="28"/>
          <w:u w:val="single"/>
          <w:lang w:eastAsia="zh-CN"/>
        </w:rPr>
        <w:t>场内公路二期新增用地</w:t>
      </w:r>
      <w:r>
        <w:rPr>
          <w:rFonts w:hint="eastAsia" w:ascii="方正仿宋_GBK" w:eastAsia="方正仿宋_GBK" w:cs="Times New Roman"/>
          <w:bCs/>
          <w:snapToGrid w:val="0"/>
          <w:kern w:val="0"/>
          <w:sz w:val="28"/>
          <w:szCs w:val="28"/>
          <w:u w:val="single"/>
          <w:lang w:val="en-US" w:eastAsia="zh-CN"/>
        </w:rPr>
        <w:t>林地可行性研究</w:t>
      </w:r>
      <w:r>
        <w:rPr>
          <w:rFonts w:ascii="方正仿宋_GBK" w:hAnsi="宋体" w:eastAsia="方正仿宋_GBK"/>
          <w:bCs/>
          <w:snapToGrid w:val="0"/>
          <w:kern w:val="0"/>
          <w:sz w:val="28"/>
          <w:szCs w:val="28"/>
          <w:u w:val="single"/>
        </w:rPr>
        <w:t>报告</w:t>
      </w:r>
      <w:r>
        <w:rPr>
          <w:rFonts w:hint="eastAsia" w:ascii="方正仿宋_GBK" w:hAnsi="宋体" w:eastAsia="方正仿宋_GBK"/>
          <w:snapToGrid w:val="0"/>
          <w:kern w:val="0"/>
          <w:sz w:val="28"/>
          <w:szCs w:val="28"/>
          <w:u w:val="single"/>
        </w:rPr>
        <w:t>》</w:t>
      </w:r>
      <w:r>
        <w:rPr>
          <w:rFonts w:hint="eastAsia" w:ascii="方正仿宋_GBK" w:hAnsi="宋体" w:eastAsia="方正仿宋_GBK"/>
          <w:snapToGrid w:val="0"/>
          <w:kern w:val="0"/>
          <w:sz w:val="28"/>
          <w:szCs w:val="28"/>
        </w:rPr>
        <w:t>（以下简称《</w:t>
      </w:r>
      <w:r>
        <w:rPr>
          <w:rFonts w:hint="eastAsia" w:ascii="方正仿宋_GBK" w:eastAsia="方正仿宋_GBK"/>
          <w:snapToGrid w:val="0"/>
          <w:kern w:val="0"/>
          <w:sz w:val="28"/>
          <w:szCs w:val="28"/>
          <w:lang w:val="en-US" w:eastAsia="zh-CN"/>
        </w:rPr>
        <w:t>林可研</w:t>
      </w:r>
      <w:r>
        <w:rPr>
          <w:rFonts w:hint="eastAsia" w:ascii="方正仿宋_GBK" w:hAnsi="宋体" w:eastAsia="方正仿宋_GBK"/>
          <w:snapToGrid w:val="0"/>
          <w:kern w:val="0"/>
          <w:sz w:val="28"/>
          <w:szCs w:val="28"/>
        </w:rPr>
        <w:t>报告》）</w:t>
      </w:r>
    </w:p>
    <w:p>
      <w:pPr>
        <w:pStyle w:val="43"/>
        <w:ind w:left="0" w:leftChars="0" w:firstLine="560" w:firstLineChars="200"/>
        <w:rPr>
          <w:rFonts w:hint="eastAsia" w:ascii="方正仿宋_GBK" w:eastAsia="方正仿宋_GBK"/>
          <w:snapToGrid w:val="0"/>
          <w:kern w:val="0"/>
          <w:sz w:val="28"/>
          <w:szCs w:val="28"/>
          <w:lang w:val="en-US" w:eastAsia="zh-CN"/>
        </w:rPr>
      </w:pPr>
      <w:r>
        <w:rPr>
          <w:rFonts w:hint="eastAsia" w:ascii="方正仿宋_GBK" w:eastAsia="方正仿宋_GBK"/>
          <w:snapToGrid w:val="0"/>
          <w:kern w:val="0"/>
          <w:sz w:val="28"/>
          <w:szCs w:val="28"/>
          <w:lang w:val="en-US" w:eastAsia="zh-CN"/>
        </w:rPr>
        <w:t>4、以上报告的内容和要求应符合并达到相关行政主管部门对编制报告所要求的内容和深度；</w:t>
      </w:r>
    </w:p>
    <w:p>
      <w:pPr>
        <w:pStyle w:val="43"/>
        <w:ind w:left="0" w:leftChars="0" w:firstLine="560" w:firstLineChars="200"/>
        <w:rPr>
          <w:rFonts w:hint="eastAsia" w:ascii="方正仿宋_GBK" w:hAnsi="宋体" w:eastAsia="方正仿宋_GBK" w:cs="宋体"/>
          <w:snapToGrid w:val="0"/>
          <w:kern w:val="0"/>
          <w:sz w:val="28"/>
          <w:szCs w:val="28"/>
          <w:lang w:val="en-US" w:eastAsia="zh-CN" w:bidi="ar-SA"/>
        </w:rPr>
      </w:pPr>
      <w:r>
        <w:rPr>
          <w:rFonts w:hint="eastAsia" w:ascii="方正仿宋_GBK" w:eastAsia="方正仿宋_GBK"/>
          <w:snapToGrid w:val="0"/>
          <w:kern w:val="0"/>
          <w:sz w:val="28"/>
          <w:szCs w:val="28"/>
          <w:lang w:val="en-US" w:eastAsia="zh-CN"/>
        </w:rPr>
        <w:t>5、</w:t>
      </w:r>
      <w:r>
        <w:rPr>
          <w:rFonts w:hint="eastAsia" w:ascii="方正仿宋_GBK" w:hAnsi="宋体" w:eastAsia="方正仿宋_GBK" w:cs="宋体"/>
          <w:snapToGrid w:val="0"/>
          <w:kern w:val="0"/>
          <w:sz w:val="28"/>
          <w:szCs w:val="28"/>
          <w:lang w:val="en-US" w:eastAsia="zh-CN" w:bidi="ar-SA"/>
        </w:rPr>
        <w:t>乙方向甲方提交成果资料为纸质版</w:t>
      </w:r>
      <w:r>
        <w:rPr>
          <w:rFonts w:hint="eastAsia" w:ascii="方正仿宋_GBK" w:hAnsi="宋体" w:eastAsia="方正仿宋_GBK" w:cs="宋体"/>
          <w:snapToGrid w:val="0"/>
          <w:kern w:val="0"/>
          <w:sz w:val="28"/>
          <w:szCs w:val="28"/>
          <w:u w:val="single"/>
          <w:lang w:val="en-US" w:eastAsia="zh-CN" w:bidi="ar-SA"/>
        </w:rPr>
        <w:t>6</w:t>
      </w:r>
      <w:r>
        <w:rPr>
          <w:rFonts w:hint="eastAsia" w:ascii="方正仿宋_GBK" w:hAnsi="宋体" w:eastAsia="方正仿宋_GBK" w:cs="宋体"/>
          <w:snapToGrid w:val="0"/>
          <w:kern w:val="0"/>
          <w:sz w:val="28"/>
          <w:szCs w:val="28"/>
          <w:lang w:val="en-US" w:eastAsia="zh-CN" w:bidi="ar-SA"/>
        </w:rPr>
        <w:t>份、电子版</w:t>
      </w:r>
      <w:r>
        <w:rPr>
          <w:rFonts w:hint="eastAsia" w:ascii="方正仿宋_GBK" w:hAnsi="宋体" w:eastAsia="方正仿宋_GBK" w:cs="宋体"/>
          <w:snapToGrid w:val="0"/>
          <w:kern w:val="0"/>
          <w:sz w:val="28"/>
          <w:szCs w:val="28"/>
          <w:u w:val="single"/>
          <w:lang w:val="en-US" w:eastAsia="zh-CN" w:bidi="ar-SA"/>
        </w:rPr>
        <w:t>1</w:t>
      </w:r>
      <w:r>
        <w:rPr>
          <w:rFonts w:hint="eastAsia" w:ascii="方正仿宋_GBK" w:hAnsi="宋体" w:eastAsia="方正仿宋_GBK" w:cs="宋体"/>
          <w:snapToGrid w:val="0"/>
          <w:kern w:val="0"/>
          <w:sz w:val="28"/>
          <w:szCs w:val="28"/>
          <w:lang w:val="en-US" w:eastAsia="zh-CN" w:bidi="ar-SA"/>
        </w:rPr>
        <w:t>份。</w:t>
      </w:r>
    </w:p>
    <w:p>
      <w:pPr>
        <w:pStyle w:val="43"/>
        <w:ind w:left="0" w:leftChars="0" w:firstLine="420" w:firstLineChars="200"/>
        <w:rPr>
          <w:rFonts w:hint="eastAsia" w:eastAsia="方正仿宋_GBK"/>
          <w:lang w:val="en-US" w:eastAsia="zh-CN"/>
        </w:rPr>
      </w:pPr>
    </w:p>
    <w:p>
      <w:pPr>
        <w:rPr>
          <w:rFonts w:ascii="Times New Roman" w:hAnsi="Times New Roman" w:eastAsia="方正仿宋_GBK" w:cs="Times New Roman"/>
          <w:i/>
          <w:iCs/>
          <w:sz w:val="28"/>
          <w:szCs w:val="28"/>
          <w:lang w:eastAsia="zh-CN"/>
        </w:rPr>
      </w:pPr>
    </w:p>
    <w:p>
      <w:pPr>
        <w:spacing w:line="510" w:lineRule="exact"/>
        <w:ind w:left="420" w:firstLine="320" w:firstLineChars="1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2.1合同价格</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本项目为</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合同。卖方所报</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在合同有效期内固定不变，即合同</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不因国家和地方政策调整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、物价变动等因数的影响而调整。</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2.2支付方式</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根据中选金额，本项目技术服务费总额为人民币160000元（大写：拾陆万元整）。此费用为包干费用，包含但不限于为完成本次询价的全部工作内容所需的劳务、差旅费、会务费、专家咨询费、材料、管理、税金（增值税专用发票）、利润等所有费用，以及合同明示或暗示的所有责任、义务和一般风险。</w:t>
      </w:r>
    </w:p>
    <w:p>
      <w:pPr>
        <w:spacing w:line="510" w:lineRule="exact"/>
        <w:ind w:firstLine="640" w:firstLineChars="200"/>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甲方在本咨询合同签定并收到乙方正式发票(增值税专用发票税率不低于6%）后10个工作日内，甲方应向乙方支付合同金额20%，计人民币32000元（大写：叁万贰仟元整）。成果资料取得相关批复后，甲方收到乙方正式发票(增值税专用发票税率不低于6%）10个工作日内付清本项目剩余的金额。</w:t>
      </w:r>
    </w:p>
    <w:p>
      <w:pPr>
        <w:pStyle w:val="2"/>
        <w:rPr>
          <w:rFonts w:hint="eastAsia"/>
          <w:lang w:val="en-US" w:eastAsia="zh-CN"/>
        </w:rPr>
      </w:pPr>
    </w:p>
    <w:p>
      <w:pPr>
        <w:spacing w:line="510" w:lineRule="exact"/>
        <w:ind w:left="420" w:firstLine="320" w:firstLineChars="1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3.安全约定</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一、甲方职责</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 严格遵守国家有关安全生产的法律法规，认真执行合同中的有关安全要求。</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 按照“安全第一、预防为主”和坚持“管生产必须管安全”的原则进行安全生产管理，做到生产与安全工作同时计划、布置、检查和总结。</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3．切实注重安全生产，及时传达中央及地方有关安全生产的精神。</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二、乙方职责</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1．严格遵守国家、行业、地方有关安全生产的法律法规、安全生产的规定，认真执行合同中的有关安全要求。</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2．坚持“安全第一、预防为主”和“管生产必须管安全”的原则，加强安全生产宣传教育，增强全员安全生产意识，做到生产与安全工作同时计划、布置、检查和总结。</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3．乙方在任何时候都应采取各种合理的预防措施，防止其员工发生任何违法、违禁、暴力或妨碍治安的行为。</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4. 切实注重安全生产，及时传达中央及地方有关安全生产的精神。</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三、违约责任</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如因甲方或乙方违约造成安全事故，将依法追究责任。</w:t>
      </w:r>
    </w:p>
    <w:p>
      <w:pPr>
        <w:spacing w:line="510" w:lineRule="exact"/>
        <w:ind w:firstLine="636" w:firstLineChars="199"/>
        <w:rPr>
          <w:rFonts w:hint="eastAsia" w:ascii="Times New Roman" w:hAnsi="Times New Roman" w:eastAsia="黑体" w:cs="Times New Roman"/>
          <w:sz w:val="32"/>
          <w:szCs w:val="32"/>
          <w:lang w:val="en-US" w:eastAsia="zh-CN"/>
        </w:rPr>
      </w:pPr>
    </w:p>
    <w:p>
      <w:pPr>
        <w:spacing w:line="510" w:lineRule="exact"/>
        <w:ind w:firstLine="640" w:firstLineChars="20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.违约责任与处理</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甲乙双方按照《中华人民共和国民法典》的有关规定承担相应的违约责任。</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1、甲方未按约定逾期支付报酬，每天按合同金额的2‰支付违约金，乙方可随时终止合同执行。</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2、乙方未按照约定时间逾期提交报告和成果资料，每天按合同金额的2‰支付违约金，甲方可随时终止合同执行。如遇特殊情况（工作量变化，不可抗力影响以及非承接方原因造成的停、窝工等）时，工期顺延。</w:t>
      </w:r>
    </w:p>
    <w:p>
      <w:pPr>
        <w:adjustRightInd w:val="0"/>
        <w:snapToGrid w:val="0"/>
        <w:spacing w:after="120"/>
        <w:rPr>
          <w:rFonts w:ascii="Times New Roman" w:hAnsi="Times New Roman" w:eastAsia="方正仿宋_GBK" w:cs="Times New Roman"/>
          <w:sz w:val="24"/>
          <w:szCs w:val="24"/>
          <w:lang w:eastAsia="zh-CN"/>
        </w:rPr>
      </w:pP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eastAsia="zh-CN"/>
        </w:rPr>
        <w:t>.争议处理</w:t>
      </w:r>
    </w:p>
    <w:p>
      <w:pPr>
        <w:spacing w:line="510" w:lineRule="exact"/>
        <w:ind w:firstLine="636" w:firstLineChars="199"/>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因违约或终止合同而引起的损失和损害的赔偿，委托人与咨询人之间应当协商解决；如未能达成一致，可提交有关主管部门调解；协商或调解不成的，根据双方约定提交仲裁机关仲裁，或向人民法院提起诉讼。</w:t>
      </w:r>
    </w:p>
    <w:p>
      <w:pPr>
        <w:spacing w:line="510" w:lineRule="exact"/>
        <w:ind w:firstLine="636" w:firstLineChars="199"/>
        <w:rPr>
          <w:rFonts w:hint="eastAsia" w:ascii="Times New Roman" w:hAnsi="Times New Roman" w:eastAsia="黑体" w:cs="Times New Roman"/>
          <w:sz w:val="32"/>
          <w:szCs w:val="32"/>
          <w:lang w:val="en-US" w:eastAsia="zh-CN"/>
        </w:rPr>
      </w:pPr>
    </w:p>
    <w:p>
      <w:pPr>
        <w:pStyle w:val="2"/>
        <w:rPr>
          <w:rFonts w:hint="eastAsia"/>
          <w:lang w:val="en-US" w:eastAsia="zh-CN"/>
        </w:rPr>
      </w:pPr>
    </w:p>
    <w:p>
      <w:pPr>
        <w:spacing w:line="510" w:lineRule="exact"/>
        <w:ind w:firstLine="636" w:firstLineChars="199"/>
        <w:rPr>
          <w:lang w:eastAsia="zh-CN"/>
        </w:rPr>
      </w:pPr>
      <w:r>
        <w:rPr>
          <w:rFonts w:hint="eastAsia" w:ascii="Times New Roman" w:hAnsi="Times New Roman" w:eastAsia="黑体" w:cs="Times New Roman"/>
          <w:sz w:val="32"/>
          <w:szCs w:val="32"/>
          <w:lang w:val="en-US" w:eastAsia="zh-CN"/>
        </w:rPr>
        <w:t>6</w:t>
      </w:r>
      <w:r>
        <w:rPr>
          <w:rFonts w:hint="eastAsia" w:ascii="Times New Roman" w:hAnsi="Times New Roman" w:eastAsia="黑体" w:cs="Times New Roman"/>
          <w:sz w:val="32"/>
          <w:szCs w:val="32"/>
          <w:lang w:eastAsia="zh-CN"/>
        </w:rPr>
        <w:t>.合同保密</w:t>
      </w:r>
    </w:p>
    <w:p>
      <w:pPr>
        <w:spacing w:line="510" w:lineRule="exact"/>
        <w:ind w:firstLine="636" w:firstLineChars="199"/>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甲乙双方都应在履行本合同义务中，遵守双方的商业秘密和知识产权，未经对方同意，不得向第三者提供履行本合同的一切资料。否则，视为违约，并赔偿守约方的一切损失；</w:t>
      </w:r>
    </w:p>
    <w:p>
      <w:pPr>
        <w:numPr>
          <w:ilvl w:val="0"/>
          <w:numId w:val="0"/>
        </w:numPr>
        <w:spacing w:line="510" w:lineRule="exact"/>
        <w:ind w:left="420" w:leftChars="0" w:firstLine="320" w:firstLineChars="100"/>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双方约定违约金为委托费用的10%。</w:t>
      </w:r>
    </w:p>
    <w:p>
      <w:pPr>
        <w:pStyle w:val="2"/>
        <w:numPr>
          <w:ilvl w:val="0"/>
          <w:numId w:val="0"/>
        </w:numPr>
        <w:rPr>
          <w:rFonts w:hint="eastAsia"/>
          <w:lang w:val="en-US" w:eastAsia="zh-CN"/>
        </w:rPr>
      </w:pPr>
    </w:p>
    <w:p>
      <w:pPr>
        <w:rPr>
          <w:rFonts w:hint="eastAsia"/>
          <w:lang w:val="en-US" w:eastAsia="zh-CN"/>
        </w:rPr>
      </w:pPr>
    </w:p>
    <w:p>
      <w:pPr>
        <w:pStyle w:val="2"/>
        <w:rPr>
          <w:rFonts w:hint="eastAsia"/>
          <w:lang w:val="en-US" w:eastAsia="zh-CN"/>
        </w:rPr>
      </w:pPr>
    </w:p>
    <w:p>
      <w:pPr>
        <w:spacing w:line="510" w:lineRule="exact"/>
        <w:ind w:left="66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7</w:t>
      </w:r>
      <w:r>
        <w:rPr>
          <w:rFonts w:hint="eastAsia" w:ascii="Times New Roman" w:hAnsi="Times New Roman" w:eastAsia="黑体" w:cs="Times New Roman"/>
          <w:sz w:val="32"/>
          <w:szCs w:val="32"/>
          <w:lang w:eastAsia="zh-CN"/>
        </w:rPr>
        <w:t>.附件</w:t>
      </w:r>
    </w:p>
    <w:p>
      <w:pPr>
        <w:spacing w:line="360" w:lineRule="auto"/>
        <w:ind w:firstLine="660" w:firstLineChars="300"/>
        <w:jc w:val="both"/>
        <w:rPr>
          <w:rFonts w:hint="eastAsia" w:ascii="宋体" w:hAnsi="宋体"/>
          <w:szCs w:val="21"/>
          <w:lang w:eastAsia="zh-CN"/>
        </w:rPr>
      </w:pPr>
      <w:r>
        <w:rPr>
          <w:rFonts w:hint="eastAsia" w:ascii="宋体" w:hAnsi="宋体"/>
          <w:szCs w:val="21"/>
          <w:lang w:eastAsia="zh-CN"/>
        </w:rPr>
        <w:t>附件1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宋体" w:hAnsi="宋体"/>
          <w:szCs w:val="21"/>
          <w:lang w:eastAsia="zh-CN"/>
        </w:rPr>
        <w:t>安全</w:t>
      </w:r>
      <w:r>
        <w:rPr>
          <w:rFonts w:hint="eastAsia" w:ascii="宋体" w:hAnsi="宋体"/>
          <w:szCs w:val="21"/>
          <w:lang w:val="en-US" w:eastAsia="zh-CN"/>
        </w:rPr>
        <w:t>生产</w:t>
      </w:r>
      <w:r>
        <w:rPr>
          <w:rFonts w:hint="eastAsia" w:ascii="宋体" w:hAnsi="宋体"/>
          <w:szCs w:val="21"/>
          <w:lang w:eastAsia="zh-CN"/>
        </w:rPr>
        <w:t>合同</w:t>
      </w:r>
    </w:p>
    <w:p>
      <w:pPr>
        <w:spacing w:line="360" w:lineRule="auto"/>
        <w:ind w:firstLine="660" w:firstLineChars="300"/>
        <w:jc w:val="both"/>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w:t>
      </w:r>
    </w:p>
    <w:p>
      <w:pPr>
        <w:adjustRightInd w:val="0"/>
        <w:snapToGrid w:val="0"/>
        <w:spacing w:line="360" w:lineRule="auto"/>
        <w:ind w:firstLine="440" w:firstLineChars="200"/>
        <w:rPr>
          <w:rFonts w:ascii="Times New Roman" w:hAnsi="Times New Roman" w:eastAsia="方正仿宋_GBK" w:cs="Times New Roman"/>
          <w:sz w:val="32"/>
          <w:szCs w:val="32"/>
          <w:lang w:eastAsia="zh-CN"/>
        </w:rPr>
      </w:pPr>
      <w:r>
        <w:rPr>
          <w:lang w:eastAsia="zh-CN"/>
        </w:rPr>
        <w:br w:type="page"/>
      </w: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8" w:name="_Toc52097543"/>
      <w:bookmarkEnd w:id="18"/>
      <w:bookmarkStart w:id="19" w:name="_Toc29194793"/>
      <w:bookmarkStart w:id="20" w:name="_Toc10710824"/>
      <w:bookmarkStart w:id="21" w:name="bookmark292"/>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9"/>
    <w:bookmarkEnd w:id="20"/>
    <w:bookmarkEnd w:id="21"/>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2" w:name="_Toc52097544"/>
      <w:bookmarkEnd w:id="22"/>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23" w:name="bookmark293"/>
      <w:bookmarkEnd w:id="2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2"/>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4" w:name="_Toc29194794"/>
      <w:bookmarkEnd w:id="24"/>
      <w:bookmarkStart w:id="25" w:name="_Toc52097545"/>
      <w:bookmarkEnd w:id="25"/>
      <w:bookmarkStart w:id="26" w:name="_Toc10710825"/>
      <w:bookmarkEnd w:id="26"/>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w:t>
      </w:r>
      <w:r>
        <w:rPr>
          <w:rFonts w:ascii="Times New Roman" w:hAnsi="Times New Roman" w:eastAsia="方正仿宋_GBK" w:cs="Times New Roman"/>
          <w:sz w:val="32"/>
          <w:szCs w:val="32"/>
          <w:lang w:eastAsia="zh-CN"/>
        </w:rPr>
        <w:t>指导安装调试费、审查费、验收费</w:t>
      </w:r>
      <w:r>
        <w:rPr>
          <w:rFonts w:hint="eastAsia" w:ascii="Times New Roman" w:hAnsi="Times New Roman" w:eastAsia="方正仿宋_GBK" w:cs="Times New Roman"/>
          <w:sz w:val="32"/>
          <w:szCs w:val="32"/>
          <w:lang w:eastAsia="zh-CN"/>
        </w:rPr>
        <w:t>（根据项目实际情况确定上述费用中的一种或几种）</w:t>
      </w:r>
      <w:r>
        <w:rPr>
          <w:rFonts w:ascii="Times New Roman" w:hAnsi="Times New Roman" w:eastAsia="方正仿宋_GBK" w:cs="Times New Roman"/>
          <w:sz w:val="32"/>
          <w:szCs w:val="32"/>
          <w:lang w:eastAsia="zh-CN"/>
        </w:rPr>
        <w:t>，技术服务费、保险费、管理费、利润、税费，以及合同明示或暗示的风险、责任和义务等所发生的其他全部费用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3"/>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43"/>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97"/>
        <w:gridCol w:w="1417"/>
        <w:gridCol w:w="1418"/>
        <w:gridCol w:w="140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编号</w:t>
            </w: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41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数量</w:t>
            </w:r>
          </w:p>
        </w:tc>
        <w:tc>
          <w:tcPr>
            <w:tcW w:w="1418"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单位</w:t>
            </w:r>
          </w:p>
        </w:tc>
        <w:tc>
          <w:tcPr>
            <w:tcW w:w="1405"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单价</w:t>
            </w:r>
          </w:p>
        </w:tc>
        <w:tc>
          <w:tcPr>
            <w:tcW w:w="1374"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bl>
    <w:p>
      <w:pPr>
        <w:pStyle w:val="73"/>
        <w:spacing w:line="360" w:lineRule="auto"/>
        <w:ind w:left="800"/>
        <w:rPr>
          <w:rFonts w:ascii="Times New Roman" w:hAnsi="Times New Roman" w:cs="Times New Roman"/>
          <w:b/>
          <w:bCs/>
          <w:szCs w:val="21"/>
          <w:lang w:eastAsia="zh-CN"/>
        </w:rPr>
      </w:pPr>
    </w:p>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7" w:name="_Toc52097546"/>
      <w:bookmarkEnd w:id="27"/>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重庆白马航运发展有限公司</w:t>
      </w:r>
      <w:r>
        <w:rPr>
          <w:rFonts w:ascii="Times New Roman" w:hAnsi="Times New Roman" w:eastAsia="方正仿宋_GBK" w:cs="Times New Roman"/>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none"/>
          <w:lang w:eastAsia="zh-CN"/>
        </w:rPr>
      </w:pPr>
      <w:r>
        <w:rPr>
          <w:rFonts w:hint="eastAsia" w:ascii="Times New Roman" w:hAnsi="Times New Roman" w:eastAsia="方正仿宋_GBK" w:cs="Times New Roman"/>
          <w:i/>
          <w:iCs/>
          <w:sz w:val="32"/>
          <w:szCs w:val="32"/>
          <w:highlight w:val="none"/>
          <w:lang w:eastAsia="zh-CN"/>
        </w:rPr>
        <w:t>项目方案可根据综合评估法的技术要求或者询价文件中的技术要求编写。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8"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8"/>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adjustRightInd w:val="0"/>
        <w:snapToGrid w:val="0"/>
        <w:spacing w:line="360" w:lineRule="auto"/>
        <w:jc w:val="center"/>
        <w:rPr>
          <w:rFonts w:ascii="Times New Roman" w:hAnsi="Times New Roman" w:eastAsia="宋体" w:cs="Times New Roman"/>
          <w:b/>
          <w:color w:val="auto"/>
          <w:szCs w:val="21"/>
          <w:highlight w:val="none"/>
        </w:rPr>
      </w:pPr>
      <w:bookmarkStart w:id="29" w:name="_Toc420995178"/>
      <w:bookmarkStart w:id="30" w:name="_Toc420995074"/>
      <w:bookmarkStart w:id="31" w:name="_Toc421798219"/>
      <w:bookmarkStart w:id="32" w:name="_Toc416788188"/>
      <w:bookmarkStart w:id="33" w:name="_Toc24117"/>
      <w:bookmarkStart w:id="34" w:name="_Toc418517429"/>
      <w:r>
        <w:rPr>
          <w:rFonts w:hint="default" w:ascii="Times New Roman" w:hAnsi="Times New Roman" w:eastAsia="宋体" w:cs="Times New Roman"/>
          <w:b/>
          <w:color w:val="auto"/>
          <w:szCs w:val="21"/>
          <w:highlight w:val="none"/>
        </w:rPr>
        <w:t>廉政合同</w:t>
      </w:r>
      <w:bookmarkEnd w:id="29"/>
      <w:bookmarkEnd w:id="30"/>
      <w:bookmarkEnd w:id="31"/>
      <w:bookmarkEnd w:id="32"/>
      <w:bookmarkEnd w:id="33"/>
      <w:bookmarkEnd w:id="34"/>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1B90DD-D0B1-4964-95C7-5BC3DBAA1D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embedRegular r:id="rId2" w:fontKey="{DC849B59-C3C3-4BDC-8994-4D6D70565F1C}"/>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embedRegular r:id="rId3" w:fontKey="{D5C20908-54AD-4ABA-818F-07188A8219E6}"/>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4" w:fontKey="{1DE7DFB4-D1EE-4DB5-B84B-E31AB88E5B75}"/>
  </w:font>
  <w:font w:name="方正仿宋_GBK">
    <w:panose1 w:val="02000000000000000000"/>
    <w:charset w:val="86"/>
    <w:family w:val="auto"/>
    <w:pitch w:val="default"/>
    <w:sig w:usb0="A00002BF" w:usb1="38CF7CFA" w:usb2="00082016" w:usb3="00000000" w:csb0="00040001" w:csb1="00000000"/>
    <w:embedRegular r:id="rId5" w:fontKey="{DDA2B39D-2123-4BF1-9295-54E67DFD9534}"/>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381E9E"/>
    <w:multiLevelType w:val="singleLevel"/>
    <w:tmpl w:val="61381E9E"/>
    <w:lvl w:ilvl="0" w:tentative="0">
      <w:start w:val="1"/>
      <w:numFmt w:val="decimal"/>
      <w:suff w:val="nothing"/>
      <w:lvlText w:val="%1."/>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YWU1NWEwMDkzY2I4YjQ3NDFkZjJlYWNhYjg3MmIifQ=="/>
  </w:docVars>
  <w:rsids>
    <w:rsidRoot w:val="68320443"/>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636605F"/>
    <w:rsid w:val="067A2C61"/>
    <w:rsid w:val="06ED263D"/>
    <w:rsid w:val="07501833"/>
    <w:rsid w:val="082C3C8D"/>
    <w:rsid w:val="08651193"/>
    <w:rsid w:val="08F93D5B"/>
    <w:rsid w:val="09CD7F8F"/>
    <w:rsid w:val="0A95138C"/>
    <w:rsid w:val="0BB95CD2"/>
    <w:rsid w:val="0BFE4292"/>
    <w:rsid w:val="0C292867"/>
    <w:rsid w:val="0CD07E15"/>
    <w:rsid w:val="0CFA4A65"/>
    <w:rsid w:val="0F805784"/>
    <w:rsid w:val="0FB66909"/>
    <w:rsid w:val="10A81391"/>
    <w:rsid w:val="117A6EEF"/>
    <w:rsid w:val="12B33874"/>
    <w:rsid w:val="13B86C2F"/>
    <w:rsid w:val="14295DAF"/>
    <w:rsid w:val="142A7E51"/>
    <w:rsid w:val="159E24E8"/>
    <w:rsid w:val="162417DF"/>
    <w:rsid w:val="16A76DEE"/>
    <w:rsid w:val="17AC5B95"/>
    <w:rsid w:val="19421CE6"/>
    <w:rsid w:val="19446922"/>
    <w:rsid w:val="198130EF"/>
    <w:rsid w:val="19AE416C"/>
    <w:rsid w:val="19DD43BA"/>
    <w:rsid w:val="19E219A9"/>
    <w:rsid w:val="1A4B45F5"/>
    <w:rsid w:val="1AEB3291"/>
    <w:rsid w:val="1CEB3111"/>
    <w:rsid w:val="1D1E25DF"/>
    <w:rsid w:val="1D652848"/>
    <w:rsid w:val="1DD736C3"/>
    <w:rsid w:val="1E5C3BAD"/>
    <w:rsid w:val="21CC3BA7"/>
    <w:rsid w:val="21E3769E"/>
    <w:rsid w:val="22102401"/>
    <w:rsid w:val="228765EB"/>
    <w:rsid w:val="241174C5"/>
    <w:rsid w:val="24304B96"/>
    <w:rsid w:val="24430E72"/>
    <w:rsid w:val="24B738C2"/>
    <w:rsid w:val="24CA5E5B"/>
    <w:rsid w:val="253103B3"/>
    <w:rsid w:val="255178E6"/>
    <w:rsid w:val="255E192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D280A7E"/>
    <w:rsid w:val="319A23E2"/>
    <w:rsid w:val="328937F3"/>
    <w:rsid w:val="32F017EB"/>
    <w:rsid w:val="33C83BC3"/>
    <w:rsid w:val="35153592"/>
    <w:rsid w:val="35276BCD"/>
    <w:rsid w:val="35996867"/>
    <w:rsid w:val="387B5356"/>
    <w:rsid w:val="389F0583"/>
    <w:rsid w:val="3B3B1938"/>
    <w:rsid w:val="3B536115"/>
    <w:rsid w:val="3B896557"/>
    <w:rsid w:val="3D12686E"/>
    <w:rsid w:val="3D18578A"/>
    <w:rsid w:val="3DA55E6C"/>
    <w:rsid w:val="3DC654EF"/>
    <w:rsid w:val="3E0A4684"/>
    <w:rsid w:val="3E415AC4"/>
    <w:rsid w:val="3E4D1237"/>
    <w:rsid w:val="3EC066EC"/>
    <w:rsid w:val="3ED20001"/>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6E4318C"/>
    <w:rsid w:val="471F4D88"/>
    <w:rsid w:val="4766336A"/>
    <w:rsid w:val="476957A5"/>
    <w:rsid w:val="479E3A47"/>
    <w:rsid w:val="47D87266"/>
    <w:rsid w:val="48324764"/>
    <w:rsid w:val="49222A1C"/>
    <w:rsid w:val="49A2577D"/>
    <w:rsid w:val="4A321E22"/>
    <w:rsid w:val="4A3546F1"/>
    <w:rsid w:val="4AF40C8C"/>
    <w:rsid w:val="4B106456"/>
    <w:rsid w:val="4C6F2EDA"/>
    <w:rsid w:val="4D072EF9"/>
    <w:rsid w:val="4E03626B"/>
    <w:rsid w:val="4F7B2533"/>
    <w:rsid w:val="508711A9"/>
    <w:rsid w:val="510E35CE"/>
    <w:rsid w:val="517B4EC0"/>
    <w:rsid w:val="51B322DA"/>
    <w:rsid w:val="51CC3CA7"/>
    <w:rsid w:val="51F850A8"/>
    <w:rsid w:val="526D2EBF"/>
    <w:rsid w:val="53366EE7"/>
    <w:rsid w:val="54271112"/>
    <w:rsid w:val="54523A5C"/>
    <w:rsid w:val="555C3065"/>
    <w:rsid w:val="55816D64"/>
    <w:rsid w:val="55987088"/>
    <w:rsid w:val="56A32E66"/>
    <w:rsid w:val="56EF6751"/>
    <w:rsid w:val="577747A6"/>
    <w:rsid w:val="577A27D6"/>
    <w:rsid w:val="59374B66"/>
    <w:rsid w:val="593C56D0"/>
    <w:rsid w:val="593F171A"/>
    <w:rsid w:val="59E454CF"/>
    <w:rsid w:val="59F726F3"/>
    <w:rsid w:val="5B052582"/>
    <w:rsid w:val="5B297B8D"/>
    <w:rsid w:val="5B57543C"/>
    <w:rsid w:val="5BC14BBB"/>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681DAA"/>
    <w:rsid w:val="62137647"/>
    <w:rsid w:val="635E4CE4"/>
    <w:rsid w:val="64761A1E"/>
    <w:rsid w:val="65585085"/>
    <w:rsid w:val="67015D83"/>
    <w:rsid w:val="676C3643"/>
    <w:rsid w:val="67B30A70"/>
    <w:rsid w:val="68320443"/>
    <w:rsid w:val="68466749"/>
    <w:rsid w:val="68562C5D"/>
    <w:rsid w:val="689313CC"/>
    <w:rsid w:val="69E81028"/>
    <w:rsid w:val="6C492150"/>
    <w:rsid w:val="6C88401A"/>
    <w:rsid w:val="6D541C74"/>
    <w:rsid w:val="6DAD722E"/>
    <w:rsid w:val="6DE06576"/>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AD20AE"/>
    <w:rsid w:val="78286988"/>
    <w:rsid w:val="7861167A"/>
    <w:rsid w:val="78E04108"/>
    <w:rsid w:val="796E0C91"/>
    <w:rsid w:val="7A3E4002"/>
    <w:rsid w:val="7AAF6562"/>
    <w:rsid w:val="7C4D729D"/>
    <w:rsid w:val="7D100213"/>
    <w:rsid w:val="7DCC7838"/>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 w:type="paragraph" w:customStyle="1" w:styleId="19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7325;&#24198;&#20044;&#27743;&#30333;&#39532;&#33322;&#30005;&#26530;&#32445;&#24037;&#31243;10#&#22330;&#20869;&#20844;&#36335;&#20108;&#26399;&#26032;&#22686;&#29992;&#22320;&#21208;&#27979;&#23450;&#30028;&#21672;&#35810;&#12289;&#20020;&#26102;&#30028;&#26729;&#25918;&#26729;&#21450;&#22475;&#35774;&#12289;&#22303;&#22320;&#22797;&#22438;&#26041;&#26696;&#25216;&#26415;&#21672;&#35810;&#26381;&#21153;&#35810;&#20215;&#25991;&#202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重庆乌江白马航电枢纽工程10#场内公路二期新增用地勘测定界咨询、临时界桩放桩及埋设、土地复垦方案技术咨询服务询价文件.docx</Template>
  <Pages>24</Pages>
  <Words>7361</Words>
  <Characters>7704</Characters>
  <Lines>39</Lines>
  <Paragraphs>11</Paragraphs>
  <TotalTime>2</TotalTime>
  <ScaleCrop>false</ScaleCrop>
  <LinksUpToDate>false</LinksUpToDate>
  <CharactersWithSpaces>8229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2023-06-09T02:33:00Z</dcterms:created>
  <dc:creator>興趣使然</dc:creator>
  <cp:lastModifiedBy>興趣使然</cp:lastModifiedBy>
  <dcterms:modified xsi:type="dcterms:W3CDTF">2023-06-09T02:42:03Z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D97A557584E5412C9F70970C2C74A7A5_11</vt:lpwstr>
  </property>
</Properties>
</file>