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rPr>
          <w:rFonts w:ascii="宋体" w:hAnsi="宋体" w:cs="宋体"/>
          <w:b/>
          <w:sz w:val="32"/>
          <w:szCs w:val="32"/>
        </w:rPr>
      </w:pPr>
      <w:r>
        <w:rPr>
          <w:rFonts w:hint="eastAsia" w:ascii="宋体" w:hAnsi="宋体" w:cs="宋体"/>
          <w:b/>
          <w:sz w:val="32"/>
          <w:szCs w:val="32"/>
        </w:rPr>
        <w:t>项目名称：重庆高速集团综合办公系统国产软件适配升级服务采购</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2023</w:t>
      </w:r>
      <w:r>
        <w:rPr>
          <w:rFonts w:hint="eastAsia" w:ascii="宋体" w:hAnsi="宋体" w:cs="宋体"/>
          <w:b/>
          <w:sz w:val="28"/>
          <w:szCs w:val="28"/>
        </w:rPr>
        <w:t>年</w:t>
      </w:r>
      <w:r>
        <w:rPr>
          <w:rFonts w:hint="eastAsia" w:ascii="宋体" w:hAnsi="宋体" w:cs="宋体"/>
          <w:b/>
          <w:sz w:val="28"/>
          <w:szCs w:val="28"/>
          <w:u w:val="single"/>
        </w:rPr>
        <w:t>6</w:t>
      </w:r>
      <w:r>
        <w:rPr>
          <w:rFonts w:hint="eastAsia" w:ascii="宋体" w:hAnsi="宋体" w:cs="宋体"/>
          <w:b/>
          <w:sz w:val="28"/>
          <w:szCs w:val="28"/>
        </w:rPr>
        <w:t>月</w:t>
      </w:r>
    </w:p>
    <w:p>
      <w:pPr>
        <w:pStyle w:val="28"/>
        <w:jc w:val="center"/>
        <w:rPr>
          <w:rFonts w:ascii="宋体" w:hAnsi="宋体" w:cs="宋体"/>
          <w:szCs w:val="21"/>
        </w:rPr>
      </w:pPr>
      <w:r>
        <w:br w:type="page"/>
      </w:r>
      <w:bookmarkStart w:id="0" w:name="_Toc246996898"/>
      <w:bookmarkStart w:id="1" w:name="_Toc507428442"/>
      <w:bookmarkStart w:id="2" w:name="_Toc507319889"/>
      <w:bookmarkStart w:id="3" w:name="_Toc247085669"/>
      <w:bookmarkStart w:id="4" w:name="_Toc296602400"/>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"_Toc23346" </w:instrText>
      </w:r>
      <w:r>
        <w:fldChar w:fldCharType="separate"/>
      </w:r>
      <w:r>
        <w:rPr>
          <w:rFonts w:hint="eastAsia" w:ascii="宋体" w:hAnsi="宋体" w:cs="宋体"/>
        </w:rPr>
        <w:t>第一章 比选公告</w:t>
      </w:r>
      <w:r>
        <w:tab/>
      </w:r>
      <w:r>
        <w:fldChar w:fldCharType="begin"/>
      </w:r>
      <w:r>
        <w:instrText xml:space="preserve"> PAGEREF _Toc23346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"_Toc90" </w:instrText>
      </w:r>
      <w:r>
        <w:fldChar w:fldCharType="separate"/>
      </w:r>
      <w:r>
        <w:rPr>
          <w:rFonts w:hint="eastAsia" w:ascii="宋体" w:hAnsi="宋体" w:cs="宋体"/>
        </w:rPr>
        <w:t>1. 比选条件</w:t>
      </w:r>
      <w:r>
        <w:tab/>
      </w:r>
      <w:r>
        <w:fldChar w:fldCharType="begin"/>
      </w:r>
      <w:r>
        <w:instrText xml:space="preserve"> PAGEREF _Toc90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"_Toc4826" </w:instrText>
      </w:r>
      <w:r>
        <w:fldChar w:fldCharType="separate"/>
      </w:r>
      <w:r>
        <w:rPr>
          <w:rFonts w:hint="eastAsia" w:ascii="宋体" w:hAnsi="宋体" w:cs="宋体"/>
        </w:rPr>
        <w:t>2. 项目概况与采购范围</w:t>
      </w:r>
      <w:r>
        <w:tab/>
      </w:r>
      <w:r>
        <w:fldChar w:fldCharType="begin"/>
      </w:r>
      <w:r>
        <w:instrText xml:space="preserve"> PAGEREF _Toc4826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"_Toc21728" </w:instrText>
      </w:r>
      <w:r>
        <w:fldChar w:fldCharType="separate"/>
      </w:r>
      <w:r>
        <w:rPr>
          <w:rFonts w:hint="eastAsia" w:ascii="宋体" w:hAnsi="宋体" w:cs="宋体"/>
        </w:rPr>
        <w:t>3. 报价人资格要求</w:t>
      </w:r>
      <w:r>
        <w:tab/>
      </w:r>
      <w:r>
        <w:fldChar w:fldCharType="begin"/>
      </w:r>
      <w:r>
        <w:instrText xml:space="preserve"> PAGEREF _Toc21728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"_Toc25583" </w:instrText>
      </w:r>
      <w:r>
        <w:fldChar w:fldCharType="separate"/>
      </w:r>
      <w:r>
        <w:rPr>
          <w:rFonts w:hint="eastAsia" w:ascii="宋体" w:hAnsi="宋体" w:cs="宋体"/>
        </w:rPr>
        <w:t>4. 比选文件的获取</w:t>
      </w:r>
      <w:r>
        <w:tab/>
      </w:r>
      <w:r>
        <w:fldChar w:fldCharType="begin"/>
      </w:r>
      <w:r>
        <w:instrText xml:space="preserve"> PAGEREF _Toc25583 \h </w:instrText>
      </w:r>
      <w:r>
        <w:fldChar w:fldCharType="separate"/>
      </w:r>
      <w:r>
        <w:t>2</w:t>
      </w:r>
      <w:r>
        <w:fldChar w:fldCharType="end"/>
      </w:r>
      <w:r>
        <w:fldChar w:fldCharType="end"/>
      </w:r>
    </w:p>
    <w:p>
      <w:pPr>
        <w:pStyle w:val="34"/>
        <w:tabs>
          <w:tab w:val="right" w:leader="dot" w:pos="9638"/>
        </w:tabs>
      </w:pPr>
      <w:r>
        <w:fldChar w:fldCharType="begin"/>
      </w:r>
      <w:r>
        <w:instrText xml:space="preserve"> HYPERLINK \l "_Toc12878" </w:instrText>
      </w:r>
      <w:r>
        <w:fldChar w:fldCharType="separate"/>
      </w:r>
      <w:r>
        <w:rPr>
          <w:rFonts w:hint="eastAsia" w:ascii="宋体" w:hAnsi="宋体" w:cs="宋体"/>
        </w:rPr>
        <w:t>5. 竞争性比选响应文件的递交及相关事宜</w:t>
      </w:r>
      <w:r>
        <w:tab/>
      </w:r>
      <w:r>
        <w:fldChar w:fldCharType="begin"/>
      </w:r>
      <w:r>
        <w:instrText xml:space="preserve"> PAGEREF _Toc12878 \h </w:instrText>
      </w:r>
      <w:r>
        <w:fldChar w:fldCharType="separate"/>
      </w:r>
      <w:r>
        <w:t>2</w:t>
      </w:r>
      <w:r>
        <w:fldChar w:fldCharType="end"/>
      </w:r>
      <w:r>
        <w:fldChar w:fldCharType="end"/>
      </w:r>
    </w:p>
    <w:p>
      <w:pPr>
        <w:pStyle w:val="34"/>
        <w:tabs>
          <w:tab w:val="right" w:leader="dot" w:pos="9638"/>
        </w:tabs>
      </w:pPr>
      <w:r>
        <w:fldChar w:fldCharType="begin"/>
      </w:r>
      <w:r>
        <w:instrText xml:space="preserve"> HYPERLINK \l "_Toc9155" </w:instrText>
      </w:r>
      <w:r>
        <w:fldChar w:fldCharType="separate"/>
      </w:r>
      <w:r>
        <w:rPr>
          <w:rFonts w:hint="eastAsia" w:ascii="宋体" w:hAnsi="宋体" w:cs="宋体"/>
        </w:rPr>
        <w:t>6. 联系方式</w:t>
      </w:r>
      <w:r>
        <w:tab/>
      </w:r>
      <w:r>
        <w:fldChar w:fldCharType="begin"/>
      </w:r>
      <w:r>
        <w:instrText xml:space="preserve"> PAGEREF _Toc9155 \h </w:instrText>
      </w:r>
      <w:r>
        <w:fldChar w:fldCharType="separate"/>
      </w:r>
      <w:r>
        <w:t>2</w:t>
      </w:r>
      <w:r>
        <w:fldChar w:fldCharType="end"/>
      </w:r>
      <w:r>
        <w:fldChar w:fldCharType="end"/>
      </w:r>
    </w:p>
    <w:p>
      <w:pPr>
        <w:pStyle w:val="28"/>
        <w:tabs>
          <w:tab w:val="right" w:leader="dot" w:pos="9638"/>
        </w:tabs>
      </w:pPr>
      <w:r>
        <w:fldChar w:fldCharType="begin"/>
      </w:r>
      <w:r>
        <w:instrText xml:space="preserve"> HYPERLINK \l "_Toc3102" </w:instrText>
      </w:r>
      <w:r>
        <w:fldChar w:fldCharType="separate"/>
      </w:r>
      <w:r>
        <w:rPr>
          <w:rFonts w:hint="eastAsia" w:ascii="宋体" w:hAnsi="宋体" w:cs="宋体"/>
        </w:rPr>
        <w:t>第二章 报价人须知</w:t>
      </w:r>
      <w:r>
        <w:tab/>
      </w:r>
      <w:r>
        <w:fldChar w:fldCharType="begin"/>
      </w:r>
      <w:r>
        <w:instrText xml:space="preserve"> PAGEREF _Toc3102 \h </w:instrText>
      </w:r>
      <w:r>
        <w:fldChar w:fldCharType="separate"/>
      </w:r>
      <w:r>
        <w:t>3</w:t>
      </w:r>
      <w:r>
        <w:fldChar w:fldCharType="end"/>
      </w:r>
      <w:r>
        <w:fldChar w:fldCharType="end"/>
      </w:r>
    </w:p>
    <w:p>
      <w:pPr>
        <w:pStyle w:val="34"/>
        <w:tabs>
          <w:tab w:val="right" w:leader="dot" w:pos="9638"/>
        </w:tabs>
      </w:pPr>
      <w:r>
        <w:fldChar w:fldCharType="begin"/>
      </w:r>
      <w:r>
        <w:instrText xml:space="preserve"> HYPERLINK \l "_Toc25998" </w:instrText>
      </w:r>
      <w:r>
        <w:fldChar w:fldCharType="separate"/>
      </w:r>
      <w:r>
        <w:rPr>
          <w:rFonts w:hint="eastAsia" w:ascii="黑体" w:hAnsi="宋体" w:cs="黑体"/>
          <w:kern w:val="0"/>
          <w:szCs w:val="21"/>
        </w:rPr>
        <w:t>报价人须知</w:t>
      </w:r>
      <w:r>
        <w:rPr>
          <w:rFonts w:hint="eastAsia" w:ascii="黑体" w:hAnsi="宋体" w:eastAsia="黑体" w:cs="黑体"/>
          <w:kern w:val="0"/>
          <w:szCs w:val="21"/>
        </w:rPr>
        <w:t>正文部分：</w:t>
      </w:r>
      <w:r>
        <w:tab/>
      </w:r>
      <w:r>
        <w:fldChar w:fldCharType="begin"/>
      </w:r>
      <w:r>
        <w:instrText xml:space="preserve"> PAGEREF _Toc25998 \h </w:instrText>
      </w:r>
      <w:r>
        <w:fldChar w:fldCharType="separate"/>
      </w:r>
      <w:r>
        <w:t>5</w:t>
      </w:r>
      <w:r>
        <w:fldChar w:fldCharType="end"/>
      </w:r>
      <w:r>
        <w:fldChar w:fldCharType="end"/>
      </w:r>
    </w:p>
    <w:p>
      <w:pPr>
        <w:pStyle w:val="34"/>
        <w:tabs>
          <w:tab w:val="right" w:leader="dot" w:pos="9638"/>
        </w:tabs>
      </w:pPr>
      <w:r>
        <w:fldChar w:fldCharType="begin"/>
      </w:r>
      <w:r>
        <w:instrText xml:space="preserve"> HYPERLINK \l "_Toc1963" </w:instrText>
      </w:r>
      <w:r>
        <w:fldChar w:fldCharType="separate"/>
      </w:r>
      <w:r>
        <w:rPr>
          <w:rFonts w:hint="eastAsia" w:ascii="黑体" w:hAnsi="宋体" w:eastAsia="黑体" w:cs="黑体"/>
          <w:kern w:val="0"/>
          <w:szCs w:val="21"/>
        </w:rPr>
        <w:t>1.  总则</w:t>
      </w:r>
      <w:r>
        <w:tab/>
      </w:r>
      <w:r>
        <w:fldChar w:fldCharType="begin"/>
      </w:r>
      <w:r>
        <w:instrText xml:space="preserve"> PAGEREF _Toc1963 \h </w:instrText>
      </w:r>
      <w:r>
        <w:fldChar w:fldCharType="separate"/>
      </w:r>
      <w:r>
        <w:t>5</w:t>
      </w:r>
      <w:r>
        <w:fldChar w:fldCharType="end"/>
      </w:r>
      <w:r>
        <w:fldChar w:fldCharType="end"/>
      </w:r>
    </w:p>
    <w:p>
      <w:pPr>
        <w:pStyle w:val="34"/>
        <w:tabs>
          <w:tab w:val="right" w:leader="dot" w:pos="9638"/>
        </w:tabs>
      </w:pPr>
      <w:r>
        <w:fldChar w:fldCharType="begin"/>
      </w:r>
      <w:r>
        <w:instrText xml:space="preserve"> HYPERLINK \l "_Toc9275" </w:instrText>
      </w:r>
      <w:r>
        <w:fldChar w:fldCharType="separate"/>
      </w:r>
      <w:r>
        <w:rPr>
          <w:rFonts w:hint="eastAsia" w:ascii="宋体" w:hAnsi="宋体" w:eastAsia="黑体"/>
          <w:kern w:val="0"/>
          <w:szCs w:val="21"/>
        </w:rPr>
        <w:t xml:space="preserve">2.  </w:t>
      </w:r>
      <w:r>
        <w:rPr>
          <w:rFonts w:hint="eastAsia" w:ascii="黑体" w:hAnsi="宋体" w:cs="黑体"/>
          <w:kern w:val="0"/>
          <w:szCs w:val="21"/>
        </w:rPr>
        <w:t>竞争性比选</w:t>
      </w:r>
      <w:r>
        <w:rPr>
          <w:rFonts w:hint="eastAsia" w:ascii="黑体" w:hAnsi="宋体" w:eastAsia="黑体" w:cs="黑体"/>
          <w:kern w:val="0"/>
          <w:szCs w:val="21"/>
        </w:rPr>
        <w:t>文件</w:t>
      </w:r>
      <w:r>
        <w:tab/>
      </w:r>
      <w:r>
        <w:fldChar w:fldCharType="begin"/>
      </w:r>
      <w:r>
        <w:instrText xml:space="preserve"> PAGEREF _Toc9275 \h </w:instrText>
      </w:r>
      <w:r>
        <w:fldChar w:fldCharType="separate"/>
      </w:r>
      <w:r>
        <w:t>6</w:t>
      </w:r>
      <w:r>
        <w:fldChar w:fldCharType="end"/>
      </w:r>
      <w:r>
        <w:fldChar w:fldCharType="end"/>
      </w:r>
    </w:p>
    <w:p>
      <w:pPr>
        <w:pStyle w:val="34"/>
        <w:tabs>
          <w:tab w:val="right" w:leader="dot" w:pos="9638"/>
        </w:tabs>
      </w:pPr>
      <w:r>
        <w:fldChar w:fldCharType="begin"/>
      </w:r>
      <w:r>
        <w:instrText xml:space="preserve"> HYPERLINK \l "_Toc23367" </w:instrText>
      </w:r>
      <w:r>
        <w:fldChar w:fldCharType="separate"/>
      </w:r>
      <w:r>
        <w:rPr>
          <w:rFonts w:hint="eastAsia" w:ascii="宋体" w:hAnsi="宋体" w:eastAsia="黑体"/>
          <w:kern w:val="0"/>
          <w:szCs w:val="21"/>
        </w:rPr>
        <w:t xml:space="preserve">3.  </w:t>
      </w:r>
      <w:r>
        <w:rPr>
          <w:rFonts w:hint="eastAsia" w:ascii="黑体" w:hAnsi="宋体" w:cs="黑体"/>
          <w:kern w:val="0"/>
          <w:szCs w:val="21"/>
        </w:rPr>
        <w:t>比选响应文件</w:t>
      </w:r>
      <w:r>
        <w:tab/>
      </w:r>
      <w:r>
        <w:fldChar w:fldCharType="begin"/>
      </w:r>
      <w:r>
        <w:instrText xml:space="preserve"> PAGEREF _Toc23367 \h </w:instrText>
      </w:r>
      <w:r>
        <w:fldChar w:fldCharType="separate"/>
      </w:r>
      <w:r>
        <w:t>7</w:t>
      </w:r>
      <w:r>
        <w:fldChar w:fldCharType="end"/>
      </w:r>
      <w:r>
        <w:fldChar w:fldCharType="end"/>
      </w:r>
    </w:p>
    <w:p>
      <w:pPr>
        <w:pStyle w:val="34"/>
        <w:tabs>
          <w:tab w:val="right" w:leader="dot" w:pos="9638"/>
        </w:tabs>
      </w:pPr>
      <w:r>
        <w:fldChar w:fldCharType="begin"/>
      </w:r>
      <w:r>
        <w:instrText xml:space="preserve"> HYPERLINK \l "_Toc3996" </w:instrText>
      </w:r>
      <w:r>
        <w:fldChar w:fldCharType="separate"/>
      </w:r>
      <w:r>
        <w:rPr>
          <w:rFonts w:hint="eastAsia" w:ascii="宋体" w:hAnsi="宋体" w:eastAsia="黑体"/>
          <w:kern w:val="0"/>
          <w:szCs w:val="21"/>
        </w:rPr>
        <w:t xml:space="preserve">4.  </w:t>
      </w:r>
      <w:r>
        <w:rPr>
          <w:rFonts w:hint="eastAsia" w:ascii="黑体" w:hAnsi="宋体" w:eastAsia="黑体" w:cs="黑体"/>
          <w:kern w:val="0"/>
          <w:szCs w:val="21"/>
        </w:rPr>
        <w:t>投标</w:t>
      </w:r>
      <w:r>
        <w:tab/>
      </w:r>
      <w:r>
        <w:fldChar w:fldCharType="begin"/>
      </w:r>
      <w:r>
        <w:instrText xml:space="preserve"> PAGEREF _Toc3996 \h </w:instrText>
      </w:r>
      <w:r>
        <w:fldChar w:fldCharType="separate"/>
      </w:r>
      <w:r>
        <w:t>8</w:t>
      </w:r>
      <w:r>
        <w:fldChar w:fldCharType="end"/>
      </w:r>
      <w:r>
        <w:fldChar w:fldCharType="end"/>
      </w:r>
    </w:p>
    <w:p>
      <w:pPr>
        <w:pStyle w:val="34"/>
        <w:tabs>
          <w:tab w:val="right" w:leader="dot" w:pos="9638"/>
        </w:tabs>
      </w:pPr>
      <w:r>
        <w:fldChar w:fldCharType="begin"/>
      </w:r>
      <w:r>
        <w:instrText xml:space="preserve"> HYPERLINK \l "_Toc10011" </w:instrText>
      </w:r>
      <w:r>
        <w:fldChar w:fldCharType="separate"/>
      </w:r>
      <w:r>
        <w:rPr>
          <w:rFonts w:hint="eastAsia" w:ascii="宋体" w:hAnsi="宋体" w:eastAsia="黑体"/>
          <w:kern w:val="0"/>
          <w:szCs w:val="21"/>
        </w:rPr>
        <w:t xml:space="preserve">5.  </w:t>
      </w:r>
      <w:r>
        <w:rPr>
          <w:rFonts w:hint="eastAsia" w:ascii="黑体" w:hAnsi="宋体" w:eastAsia="黑体" w:cs="黑体"/>
          <w:kern w:val="0"/>
          <w:szCs w:val="21"/>
        </w:rPr>
        <w:t>开标</w:t>
      </w:r>
      <w:r>
        <w:tab/>
      </w:r>
      <w:r>
        <w:fldChar w:fldCharType="begin"/>
      </w:r>
      <w:r>
        <w:instrText xml:space="preserve"> PAGEREF _Toc10011 \h </w:instrText>
      </w:r>
      <w:r>
        <w:fldChar w:fldCharType="separate"/>
      </w:r>
      <w:r>
        <w:t>8</w:t>
      </w:r>
      <w:r>
        <w:fldChar w:fldCharType="end"/>
      </w:r>
      <w:r>
        <w:fldChar w:fldCharType="end"/>
      </w:r>
    </w:p>
    <w:p>
      <w:pPr>
        <w:pStyle w:val="34"/>
        <w:tabs>
          <w:tab w:val="right" w:leader="dot" w:pos="9638"/>
        </w:tabs>
      </w:pPr>
      <w:r>
        <w:fldChar w:fldCharType="begin"/>
      </w:r>
      <w:r>
        <w:instrText xml:space="preserve"> HYPERLINK \l "_Toc16471" </w:instrText>
      </w:r>
      <w:r>
        <w:fldChar w:fldCharType="separate"/>
      </w:r>
      <w:r>
        <w:rPr>
          <w:rFonts w:hint="eastAsia" w:ascii="宋体" w:hAnsi="宋体" w:eastAsia="黑体"/>
          <w:kern w:val="0"/>
          <w:szCs w:val="21"/>
        </w:rPr>
        <w:t xml:space="preserve">6.  </w:t>
      </w:r>
      <w:r>
        <w:rPr>
          <w:rFonts w:hint="eastAsia" w:ascii="黑体" w:hAnsi="宋体" w:eastAsia="黑体" w:cs="黑体"/>
          <w:kern w:val="0"/>
          <w:szCs w:val="21"/>
        </w:rPr>
        <w:t>评标</w:t>
      </w:r>
      <w:r>
        <w:tab/>
      </w:r>
      <w:r>
        <w:fldChar w:fldCharType="begin"/>
      </w:r>
      <w:r>
        <w:instrText xml:space="preserve"> PAGEREF _Toc16471 \h </w:instrText>
      </w:r>
      <w:r>
        <w:fldChar w:fldCharType="separate"/>
      </w:r>
      <w:r>
        <w:t>8</w:t>
      </w:r>
      <w:r>
        <w:fldChar w:fldCharType="end"/>
      </w:r>
      <w:r>
        <w:fldChar w:fldCharType="end"/>
      </w:r>
    </w:p>
    <w:p>
      <w:pPr>
        <w:pStyle w:val="34"/>
        <w:tabs>
          <w:tab w:val="right" w:leader="dot" w:pos="9638"/>
        </w:tabs>
      </w:pPr>
      <w:r>
        <w:fldChar w:fldCharType="begin"/>
      </w:r>
      <w:r>
        <w:instrText xml:space="preserve"> HYPERLINK \l "_Toc7661" </w:instrText>
      </w:r>
      <w:r>
        <w:fldChar w:fldCharType="separate"/>
      </w:r>
      <w:r>
        <w:rPr>
          <w:rFonts w:hint="eastAsia" w:ascii="宋体" w:hAnsi="宋体" w:eastAsia="黑体"/>
          <w:kern w:val="0"/>
          <w:szCs w:val="21"/>
        </w:rPr>
        <w:t xml:space="preserve">7.  </w:t>
      </w:r>
      <w:r>
        <w:rPr>
          <w:rFonts w:hint="eastAsia" w:ascii="宋体" w:hAnsi="宋体" w:cs="宋体"/>
          <w:szCs w:val="21"/>
        </w:rPr>
        <w:t>合同授予</w:t>
      </w:r>
      <w:r>
        <w:tab/>
      </w:r>
      <w:r>
        <w:fldChar w:fldCharType="begin"/>
      </w:r>
      <w:r>
        <w:instrText xml:space="preserve"> PAGEREF _Toc7661 \h </w:instrText>
      </w:r>
      <w:r>
        <w:fldChar w:fldCharType="separate"/>
      </w:r>
      <w:r>
        <w:t>9</w:t>
      </w:r>
      <w:r>
        <w:fldChar w:fldCharType="end"/>
      </w:r>
      <w:r>
        <w:fldChar w:fldCharType="end"/>
      </w:r>
    </w:p>
    <w:p>
      <w:pPr>
        <w:pStyle w:val="34"/>
        <w:tabs>
          <w:tab w:val="right" w:leader="dot" w:pos="9638"/>
        </w:tabs>
      </w:pPr>
      <w:r>
        <w:fldChar w:fldCharType="begin"/>
      </w:r>
      <w:r>
        <w:instrText xml:space="preserve"> HYPERLINK \l "_Toc28670" </w:instrText>
      </w:r>
      <w:r>
        <w:fldChar w:fldCharType="separate"/>
      </w:r>
      <w:r>
        <w:rPr>
          <w:rFonts w:hint="eastAsia" w:ascii="宋体" w:hAnsi="宋体" w:cs="宋体"/>
          <w:szCs w:val="28"/>
        </w:rPr>
        <w:t>附录1  报价人资格要求</w:t>
      </w:r>
      <w:r>
        <w:tab/>
      </w:r>
      <w:r>
        <w:fldChar w:fldCharType="begin"/>
      </w:r>
      <w:r>
        <w:instrText xml:space="preserve"> PAGEREF _Toc28670 \h </w:instrText>
      </w:r>
      <w:r>
        <w:fldChar w:fldCharType="separate"/>
      </w:r>
      <w:r>
        <w:t>11</w:t>
      </w:r>
      <w:r>
        <w:fldChar w:fldCharType="end"/>
      </w:r>
      <w:r>
        <w:fldChar w:fldCharType="end"/>
      </w:r>
    </w:p>
    <w:p>
      <w:pPr>
        <w:pStyle w:val="28"/>
        <w:tabs>
          <w:tab w:val="right" w:leader="dot" w:pos="9638"/>
        </w:tabs>
      </w:pPr>
      <w:r>
        <w:fldChar w:fldCharType="begin"/>
      </w:r>
      <w:r>
        <w:instrText xml:space="preserve"> HYPERLINK \l "_Toc17732" </w:instrText>
      </w:r>
      <w:r>
        <w:fldChar w:fldCharType="separate"/>
      </w:r>
      <w:r>
        <w:rPr>
          <w:rFonts w:hint="eastAsia"/>
        </w:rPr>
        <w:t xml:space="preserve">第三章 </w:t>
      </w:r>
      <w:r>
        <w:rPr>
          <w:rFonts w:hint="eastAsia" w:ascii="宋体" w:hAnsi="宋体" w:cs="宋体"/>
        </w:rPr>
        <w:t>评标办法（综合评估法）</w:t>
      </w:r>
      <w:r>
        <w:tab/>
      </w:r>
      <w:r>
        <w:fldChar w:fldCharType="begin"/>
      </w:r>
      <w:r>
        <w:instrText xml:space="preserve"> PAGEREF _Toc17732 \h </w:instrText>
      </w:r>
      <w:r>
        <w:fldChar w:fldCharType="separate"/>
      </w:r>
      <w:r>
        <w:t>12</w:t>
      </w:r>
      <w:r>
        <w:fldChar w:fldCharType="end"/>
      </w:r>
      <w:r>
        <w:fldChar w:fldCharType="end"/>
      </w:r>
    </w:p>
    <w:p>
      <w:pPr>
        <w:pStyle w:val="34"/>
        <w:tabs>
          <w:tab w:val="right" w:leader="dot" w:pos="9638"/>
        </w:tabs>
      </w:pPr>
      <w:r>
        <w:fldChar w:fldCharType="begin"/>
      </w:r>
      <w:r>
        <w:instrText xml:space="preserve"> HYPERLINK \l "_Toc32566" </w:instrText>
      </w:r>
      <w:r>
        <w:fldChar w:fldCharType="separate"/>
      </w:r>
      <w:r>
        <w:rPr>
          <w:rFonts w:hint="eastAsia" w:ascii="宋体" w:hAnsi="宋体" w:cs="宋体"/>
          <w:szCs w:val="28"/>
        </w:rPr>
        <w:t>评标方法前附表</w:t>
      </w:r>
      <w:r>
        <w:tab/>
      </w:r>
      <w:r>
        <w:fldChar w:fldCharType="begin"/>
      </w:r>
      <w:r>
        <w:instrText xml:space="preserve"> PAGEREF _Toc32566 \h </w:instrText>
      </w:r>
      <w:r>
        <w:fldChar w:fldCharType="separate"/>
      </w:r>
      <w:r>
        <w:t>12</w:t>
      </w:r>
      <w:r>
        <w:fldChar w:fldCharType="end"/>
      </w:r>
      <w:r>
        <w:fldChar w:fldCharType="end"/>
      </w:r>
    </w:p>
    <w:p>
      <w:pPr>
        <w:pStyle w:val="34"/>
        <w:tabs>
          <w:tab w:val="right" w:leader="dot" w:pos="9638"/>
        </w:tabs>
      </w:pPr>
      <w:r>
        <w:fldChar w:fldCharType="begin"/>
      </w:r>
      <w:r>
        <w:instrText xml:space="preserve"> HYPERLINK \l "_Toc3971" </w:instrText>
      </w:r>
      <w:r>
        <w:fldChar w:fldCharType="separate"/>
      </w:r>
      <w:r>
        <w:rPr>
          <w:rFonts w:hint="eastAsia" w:ascii="宋体" w:hAnsi="宋体" w:cs="宋体"/>
          <w:szCs w:val="28"/>
        </w:rPr>
        <w:t>1. 评标方法</w:t>
      </w:r>
      <w:r>
        <w:tab/>
      </w:r>
      <w:r>
        <w:fldChar w:fldCharType="begin"/>
      </w:r>
      <w:r>
        <w:instrText xml:space="preserve"> PAGEREF _Toc3971 \h </w:instrText>
      </w:r>
      <w:r>
        <w:fldChar w:fldCharType="separate"/>
      </w:r>
      <w:r>
        <w:t>15</w:t>
      </w:r>
      <w:r>
        <w:fldChar w:fldCharType="end"/>
      </w:r>
      <w:r>
        <w:fldChar w:fldCharType="end"/>
      </w:r>
    </w:p>
    <w:p>
      <w:pPr>
        <w:pStyle w:val="34"/>
        <w:tabs>
          <w:tab w:val="right" w:leader="dot" w:pos="9638"/>
        </w:tabs>
      </w:pPr>
      <w:r>
        <w:fldChar w:fldCharType="begin"/>
      </w:r>
      <w:r>
        <w:instrText xml:space="preserve"> HYPERLINK \l "_Toc8671" </w:instrText>
      </w:r>
      <w:r>
        <w:fldChar w:fldCharType="separate"/>
      </w:r>
      <w:r>
        <w:rPr>
          <w:rFonts w:hint="eastAsia" w:ascii="宋体" w:hAnsi="宋体" w:cs="宋体"/>
          <w:szCs w:val="28"/>
        </w:rPr>
        <w:t>2. 评审标准</w:t>
      </w:r>
      <w:r>
        <w:tab/>
      </w:r>
      <w:r>
        <w:fldChar w:fldCharType="begin"/>
      </w:r>
      <w:r>
        <w:instrText xml:space="preserve"> PAGEREF _Toc8671 \h </w:instrText>
      </w:r>
      <w:r>
        <w:fldChar w:fldCharType="separate"/>
      </w:r>
      <w:r>
        <w:t>15</w:t>
      </w:r>
      <w:r>
        <w:fldChar w:fldCharType="end"/>
      </w:r>
      <w:r>
        <w:fldChar w:fldCharType="end"/>
      </w:r>
    </w:p>
    <w:p>
      <w:pPr>
        <w:pStyle w:val="34"/>
        <w:tabs>
          <w:tab w:val="right" w:leader="dot" w:pos="9638"/>
        </w:tabs>
      </w:pPr>
      <w:r>
        <w:fldChar w:fldCharType="begin"/>
      </w:r>
      <w:r>
        <w:instrText xml:space="preserve"> HYPERLINK \l "_Toc26605" </w:instrText>
      </w:r>
      <w:r>
        <w:fldChar w:fldCharType="separate"/>
      </w:r>
      <w:r>
        <w:rPr>
          <w:rFonts w:hint="eastAsia" w:ascii="宋体" w:hAnsi="宋体" w:cs="宋体"/>
          <w:szCs w:val="28"/>
        </w:rPr>
        <w:t>3. 评标程序</w:t>
      </w:r>
      <w:r>
        <w:tab/>
      </w:r>
      <w:r>
        <w:fldChar w:fldCharType="begin"/>
      </w:r>
      <w:r>
        <w:instrText xml:space="preserve"> PAGEREF _Toc26605 \h </w:instrText>
      </w:r>
      <w:r>
        <w:fldChar w:fldCharType="separate"/>
      </w:r>
      <w:r>
        <w:t>15</w:t>
      </w:r>
      <w:r>
        <w:fldChar w:fldCharType="end"/>
      </w:r>
      <w:r>
        <w:fldChar w:fldCharType="end"/>
      </w:r>
    </w:p>
    <w:p>
      <w:pPr>
        <w:pStyle w:val="28"/>
        <w:tabs>
          <w:tab w:val="right" w:leader="dot" w:pos="9638"/>
        </w:tabs>
      </w:pPr>
      <w:r>
        <w:fldChar w:fldCharType="begin"/>
      </w:r>
      <w:r>
        <w:instrText xml:space="preserve"> HYPERLINK \l "_Toc2449" </w:instrText>
      </w:r>
      <w:r>
        <w:fldChar w:fldCharType="separate"/>
      </w:r>
      <w:r>
        <w:rPr>
          <w:rFonts w:hint="eastAsia" w:ascii="宋体" w:hAnsi="宋体" w:cs="宋体"/>
        </w:rPr>
        <w:t>第四章 采购清单</w:t>
      </w:r>
      <w:r>
        <w:tab/>
      </w:r>
      <w:r>
        <w:fldChar w:fldCharType="begin"/>
      </w:r>
      <w:r>
        <w:instrText xml:space="preserve"> PAGEREF _Toc2449 \h </w:instrText>
      </w:r>
      <w:r>
        <w:fldChar w:fldCharType="separate"/>
      </w:r>
      <w:r>
        <w:t>17</w:t>
      </w:r>
      <w:r>
        <w:fldChar w:fldCharType="end"/>
      </w:r>
      <w:r>
        <w:fldChar w:fldCharType="end"/>
      </w:r>
    </w:p>
    <w:p>
      <w:pPr>
        <w:pStyle w:val="28"/>
        <w:tabs>
          <w:tab w:val="right" w:leader="dot" w:pos="9638"/>
        </w:tabs>
      </w:pPr>
      <w:r>
        <w:fldChar w:fldCharType="begin"/>
      </w:r>
      <w:r>
        <w:instrText xml:space="preserve"> HYPERLINK \l "_Toc26861" </w:instrText>
      </w:r>
      <w:r>
        <w:fldChar w:fldCharType="separate"/>
      </w:r>
      <w:r>
        <w:rPr>
          <w:rFonts w:hint="eastAsia" w:ascii="宋体" w:hAnsi="宋体" w:cs="宋体"/>
        </w:rPr>
        <w:t>第五章  技术标准</w:t>
      </w:r>
      <w:r>
        <w:tab/>
      </w:r>
      <w:r>
        <w:fldChar w:fldCharType="begin"/>
      </w:r>
      <w:r>
        <w:instrText xml:space="preserve"> PAGEREF _Toc26861 \h </w:instrText>
      </w:r>
      <w:r>
        <w:fldChar w:fldCharType="separate"/>
      </w:r>
      <w:r>
        <w:t>18</w:t>
      </w:r>
      <w:r>
        <w:fldChar w:fldCharType="end"/>
      </w:r>
      <w:r>
        <w:fldChar w:fldCharType="end"/>
      </w:r>
    </w:p>
    <w:p>
      <w:pPr>
        <w:pStyle w:val="28"/>
        <w:tabs>
          <w:tab w:val="right" w:leader="dot" w:pos="9638"/>
        </w:tabs>
      </w:pPr>
      <w:r>
        <w:fldChar w:fldCharType="begin"/>
      </w:r>
      <w:r>
        <w:instrText xml:space="preserve"> HYPERLINK \l "_Toc25698" </w:instrText>
      </w:r>
      <w:r>
        <w:fldChar w:fldCharType="separate"/>
      </w:r>
      <w:r>
        <w:rPr>
          <w:rFonts w:hint="eastAsia" w:ascii="宋体" w:hAnsi="宋体" w:cs="宋体"/>
        </w:rPr>
        <w:t>第六章  合同范本</w:t>
      </w:r>
      <w:r>
        <w:tab/>
      </w:r>
      <w:r>
        <w:fldChar w:fldCharType="begin"/>
      </w:r>
      <w:r>
        <w:instrText xml:space="preserve"> PAGEREF _Toc25698 \h </w:instrText>
      </w:r>
      <w:r>
        <w:fldChar w:fldCharType="separate"/>
      </w:r>
      <w:r>
        <w:t>21</w:t>
      </w:r>
      <w:r>
        <w:fldChar w:fldCharType="end"/>
      </w:r>
      <w:r>
        <w:fldChar w:fldCharType="end"/>
      </w:r>
    </w:p>
    <w:p>
      <w:pPr>
        <w:pStyle w:val="28"/>
        <w:tabs>
          <w:tab w:val="right" w:leader="dot" w:pos="9638"/>
        </w:tabs>
      </w:pPr>
      <w:r>
        <w:fldChar w:fldCharType="begin"/>
      </w:r>
      <w:r>
        <w:instrText xml:space="preserve"> HYPERLINK \l "_Toc16020" </w:instrText>
      </w:r>
      <w:r>
        <w:fldChar w:fldCharType="separate"/>
      </w:r>
      <w:r>
        <w:rPr>
          <w:rFonts w:hint="eastAsia" w:ascii="宋体" w:hAnsi="宋体" w:cs="宋体"/>
        </w:rPr>
        <w:t>第七章  竞争性比选响应文件格式</w:t>
      </w:r>
      <w:r>
        <w:tab/>
      </w:r>
      <w:r>
        <w:fldChar w:fldCharType="begin"/>
      </w:r>
      <w:r>
        <w:instrText xml:space="preserve"> PAGEREF _Toc16020 \h </w:instrText>
      </w:r>
      <w:r>
        <w:fldChar w:fldCharType="separate"/>
      </w:r>
      <w:r>
        <w:t>45</w:t>
      </w:r>
      <w:r>
        <w:fldChar w:fldCharType="end"/>
      </w:r>
      <w:r>
        <w:fldChar w:fldCharType="end"/>
      </w:r>
    </w:p>
    <w:p>
      <w:pPr>
        <w:pStyle w:val="34"/>
        <w:tabs>
          <w:tab w:val="right" w:leader="dot" w:pos="9638"/>
        </w:tabs>
      </w:pPr>
      <w:r>
        <w:fldChar w:fldCharType="begin"/>
      </w:r>
      <w:r>
        <w:instrText xml:space="preserve"> HYPERLINK \l "_Toc19387" </w:instrText>
      </w:r>
      <w:r>
        <w:fldChar w:fldCharType="separate"/>
      </w:r>
      <w:r>
        <w:rPr>
          <w:rFonts w:hint="eastAsia" w:ascii="宋体" w:hAnsi="宋体" w:cs="宋体"/>
        </w:rPr>
        <w:t>目    录</w:t>
      </w:r>
      <w:r>
        <w:tab/>
      </w:r>
      <w:r>
        <w:fldChar w:fldCharType="begin"/>
      </w:r>
      <w:r>
        <w:instrText xml:space="preserve"> PAGEREF _Toc19387 \h </w:instrText>
      </w:r>
      <w:r>
        <w:fldChar w:fldCharType="separate"/>
      </w:r>
      <w:r>
        <w:t>47</w:t>
      </w:r>
      <w:r>
        <w:fldChar w:fldCharType="end"/>
      </w:r>
      <w:r>
        <w:fldChar w:fldCharType="end"/>
      </w:r>
    </w:p>
    <w:p>
      <w:pPr>
        <w:pStyle w:val="34"/>
        <w:tabs>
          <w:tab w:val="right" w:leader="dot" w:pos="9638"/>
        </w:tabs>
      </w:pPr>
      <w:r>
        <w:fldChar w:fldCharType="begin"/>
      </w:r>
      <w:r>
        <w:instrText xml:space="preserve"> HYPERLINK \l "_Toc3269" </w:instrText>
      </w:r>
      <w:r>
        <w:fldChar w:fldCharType="separate"/>
      </w:r>
      <w:r>
        <w:rPr>
          <w:rFonts w:hint="eastAsia" w:ascii="宋体" w:hAnsi="宋体" w:cs="宋体"/>
        </w:rPr>
        <w:t>一、 竞争比选响应声明书</w:t>
      </w:r>
      <w:r>
        <w:tab/>
      </w:r>
      <w:r>
        <w:fldChar w:fldCharType="begin"/>
      </w:r>
      <w:r>
        <w:instrText xml:space="preserve"> PAGEREF _Toc3269 \h </w:instrText>
      </w:r>
      <w:r>
        <w:fldChar w:fldCharType="separate"/>
      </w:r>
      <w:r>
        <w:t>48</w:t>
      </w:r>
      <w:r>
        <w:fldChar w:fldCharType="end"/>
      </w:r>
      <w:r>
        <w:fldChar w:fldCharType="end"/>
      </w:r>
    </w:p>
    <w:p>
      <w:pPr>
        <w:pStyle w:val="34"/>
        <w:tabs>
          <w:tab w:val="right" w:leader="dot" w:pos="9638"/>
        </w:tabs>
      </w:pPr>
      <w:r>
        <w:fldChar w:fldCharType="begin"/>
      </w:r>
      <w:r>
        <w:instrText xml:space="preserve"> HYPERLINK \l "_Toc7450" </w:instrText>
      </w:r>
      <w:r>
        <w:fldChar w:fldCharType="separate"/>
      </w:r>
      <w:r>
        <w:rPr>
          <w:rFonts w:hint="eastAsia" w:ascii="宋体" w:hAnsi="宋体" w:cs="宋体"/>
        </w:rPr>
        <w:t>二、 法定代表人身份证明或法定代表人授权委托书</w:t>
      </w:r>
      <w:r>
        <w:tab/>
      </w:r>
      <w:r>
        <w:fldChar w:fldCharType="begin"/>
      </w:r>
      <w:r>
        <w:instrText xml:space="preserve"> PAGEREF _Toc7450 \h </w:instrText>
      </w:r>
      <w:r>
        <w:fldChar w:fldCharType="separate"/>
      </w:r>
      <w:r>
        <w:t>49</w:t>
      </w:r>
      <w:r>
        <w:fldChar w:fldCharType="end"/>
      </w:r>
      <w:r>
        <w:fldChar w:fldCharType="end"/>
      </w:r>
    </w:p>
    <w:p>
      <w:pPr>
        <w:pStyle w:val="34"/>
        <w:tabs>
          <w:tab w:val="right" w:leader="dot" w:pos="9638"/>
        </w:tabs>
      </w:pPr>
      <w:r>
        <w:fldChar w:fldCharType="begin"/>
      </w:r>
      <w:r>
        <w:instrText xml:space="preserve"> HYPERLINK \l "_Toc2796" </w:instrText>
      </w:r>
      <w:r>
        <w:fldChar w:fldCharType="separate"/>
      </w:r>
      <w:r>
        <w:rPr>
          <w:rFonts w:hint="eastAsia" w:ascii="宋体" w:hAnsi="宋体" w:cs="宋体"/>
          <w:szCs w:val="24"/>
        </w:rPr>
        <w:t>（一）法定代表人身份证明</w:t>
      </w:r>
      <w:r>
        <w:tab/>
      </w:r>
      <w:r>
        <w:fldChar w:fldCharType="begin"/>
      </w:r>
      <w:r>
        <w:instrText xml:space="preserve"> PAGEREF _Toc2796 \h </w:instrText>
      </w:r>
      <w:r>
        <w:fldChar w:fldCharType="separate"/>
      </w:r>
      <w:r>
        <w:t>49</w:t>
      </w:r>
      <w:r>
        <w:fldChar w:fldCharType="end"/>
      </w:r>
      <w:r>
        <w:fldChar w:fldCharType="end"/>
      </w:r>
    </w:p>
    <w:p>
      <w:pPr>
        <w:pStyle w:val="34"/>
        <w:tabs>
          <w:tab w:val="right" w:leader="dot" w:pos="9638"/>
        </w:tabs>
      </w:pPr>
      <w:r>
        <w:fldChar w:fldCharType="begin"/>
      </w:r>
      <w:r>
        <w:instrText xml:space="preserve"> HYPERLINK \l "_Toc22895" </w:instrText>
      </w:r>
      <w:r>
        <w:fldChar w:fldCharType="separate"/>
      </w:r>
      <w:r>
        <w:rPr>
          <w:rFonts w:hint="eastAsia" w:ascii="宋体" w:hAnsi="宋体" w:cs="宋体"/>
          <w:szCs w:val="24"/>
        </w:rPr>
        <w:t>（二）法定代表人授权委托书</w:t>
      </w:r>
      <w:r>
        <w:tab/>
      </w:r>
      <w:r>
        <w:fldChar w:fldCharType="begin"/>
      </w:r>
      <w:r>
        <w:instrText xml:space="preserve"> PAGEREF _Toc22895 \h </w:instrText>
      </w:r>
      <w:r>
        <w:fldChar w:fldCharType="separate"/>
      </w:r>
      <w:r>
        <w:t>50</w:t>
      </w:r>
      <w:r>
        <w:fldChar w:fldCharType="end"/>
      </w:r>
      <w:r>
        <w:fldChar w:fldCharType="end"/>
      </w:r>
    </w:p>
    <w:p>
      <w:pPr>
        <w:pStyle w:val="34"/>
        <w:tabs>
          <w:tab w:val="right" w:leader="dot" w:pos="9638"/>
        </w:tabs>
      </w:pPr>
      <w:r>
        <w:fldChar w:fldCharType="begin"/>
      </w:r>
      <w:r>
        <w:instrText xml:space="preserve"> HYPERLINK \l "_Toc2219" </w:instrText>
      </w:r>
      <w:r>
        <w:fldChar w:fldCharType="separate"/>
      </w:r>
      <w:r>
        <w:rPr>
          <w:rFonts w:hint="eastAsia" w:ascii="宋体" w:hAnsi="宋体" w:cs="宋体"/>
        </w:rPr>
        <w:t>三、 报价一览表</w:t>
      </w:r>
      <w:r>
        <w:tab/>
      </w:r>
      <w:r>
        <w:fldChar w:fldCharType="begin"/>
      </w:r>
      <w:r>
        <w:instrText xml:space="preserve"> PAGEREF _Toc2219 \h </w:instrText>
      </w:r>
      <w:r>
        <w:fldChar w:fldCharType="separate"/>
      </w:r>
      <w:r>
        <w:t>51</w:t>
      </w:r>
      <w:r>
        <w:fldChar w:fldCharType="end"/>
      </w:r>
      <w:r>
        <w:fldChar w:fldCharType="end"/>
      </w:r>
    </w:p>
    <w:p>
      <w:pPr>
        <w:pStyle w:val="34"/>
        <w:tabs>
          <w:tab w:val="right" w:leader="dot" w:pos="9638"/>
        </w:tabs>
      </w:pPr>
      <w:r>
        <w:fldChar w:fldCharType="begin"/>
      </w:r>
      <w:r>
        <w:instrText xml:space="preserve"> HYPERLINK \l "_Toc17048" </w:instrText>
      </w:r>
      <w:r>
        <w:fldChar w:fldCharType="separate"/>
      </w:r>
      <w:r>
        <w:rPr>
          <w:rFonts w:hint="eastAsia" w:ascii="宋体" w:hAnsi="宋体" w:cs="宋体"/>
        </w:rPr>
        <w:t>四、 审查资料</w:t>
      </w:r>
      <w:r>
        <w:tab/>
      </w:r>
      <w:r>
        <w:fldChar w:fldCharType="begin"/>
      </w:r>
      <w:r>
        <w:instrText xml:space="preserve"> PAGEREF _Toc17048 \h </w:instrText>
      </w:r>
      <w:r>
        <w:fldChar w:fldCharType="separate"/>
      </w:r>
      <w:r>
        <w:t>52</w:t>
      </w:r>
      <w:r>
        <w:fldChar w:fldCharType="end"/>
      </w:r>
      <w:r>
        <w:fldChar w:fldCharType="end"/>
      </w:r>
    </w:p>
    <w:p>
      <w:pPr>
        <w:pStyle w:val="34"/>
        <w:tabs>
          <w:tab w:val="right" w:leader="dot" w:pos="9638"/>
        </w:tabs>
      </w:pPr>
      <w:r>
        <w:fldChar w:fldCharType="begin"/>
      </w:r>
      <w:r>
        <w:instrText xml:space="preserve"> HYPERLINK \l "_Toc13858" </w:instrText>
      </w:r>
      <w:r>
        <w:fldChar w:fldCharType="separate"/>
      </w:r>
      <w:r>
        <w:rPr>
          <w:rFonts w:hint="eastAsia" w:ascii="宋体" w:hAnsi="宋体" w:cs="宋体"/>
          <w:bCs/>
          <w:kern w:val="0"/>
          <w:szCs w:val="32"/>
        </w:rPr>
        <w:t>资格审查资料</w:t>
      </w:r>
      <w:r>
        <w:tab/>
      </w:r>
      <w:r>
        <w:fldChar w:fldCharType="begin"/>
      </w:r>
      <w:r>
        <w:instrText xml:space="preserve"> PAGEREF _Toc13858 \h </w:instrText>
      </w:r>
      <w:r>
        <w:fldChar w:fldCharType="separate"/>
      </w:r>
      <w:r>
        <w:t>52</w:t>
      </w:r>
      <w:r>
        <w:fldChar w:fldCharType="end"/>
      </w:r>
      <w:r>
        <w:fldChar w:fldCharType="end"/>
      </w:r>
    </w:p>
    <w:p>
      <w:pPr>
        <w:pStyle w:val="34"/>
        <w:tabs>
          <w:tab w:val="right" w:leader="dot" w:pos="9638"/>
        </w:tabs>
      </w:pPr>
      <w:r>
        <w:fldChar w:fldCharType="begin"/>
      </w:r>
      <w:r>
        <w:instrText xml:space="preserve"> HYPERLINK \l "_Toc20231" </w:instrText>
      </w:r>
      <w:r>
        <w:fldChar w:fldCharType="separate"/>
      </w:r>
      <w:r>
        <w:rPr>
          <w:rFonts w:hint="eastAsia" w:ascii="宋体" w:hAnsi="宋体" w:cs="宋体"/>
          <w:bCs/>
          <w:kern w:val="0"/>
          <w:szCs w:val="32"/>
        </w:rPr>
        <w:t>（二）商务评分资料</w:t>
      </w:r>
      <w:r>
        <w:tab/>
      </w:r>
      <w:r>
        <w:fldChar w:fldCharType="begin"/>
      </w:r>
      <w:r>
        <w:instrText xml:space="preserve"> PAGEREF _Toc20231 \h </w:instrText>
      </w:r>
      <w:r>
        <w:fldChar w:fldCharType="separate"/>
      </w:r>
      <w:r>
        <w:t>52</w:t>
      </w:r>
      <w:r>
        <w:fldChar w:fldCharType="end"/>
      </w:r>
      <w:r>
        <w:fldChar w:fldCharType="end"/>
      </w:r>
    </w:p>
    <w:p>
      <w:pPr>
        <w:pStyle w:val="34"/>
        <w:tabs>
          <w:tab w:val="right" w:leader="dot" w:pos="9638"/>
        </w:tabs>
      </w:pPr>
      <w:r>
        <w:fldChar w:fldCharType="begin"/>
      </w:r>
      <w:r>
        <w:instrText xml:space="preserve"> HYPERLINK \l "_Toc25471" </w:instrText>
      </w:r>
      <w:r>
        <w:fldChar w:fldCharType="separate"/>
      </w:r>
      <w:r>
        <w:rPr>
          <w:rFonts w:hint="eastAsia" w:ascii="宋体" w:hAnsi="宋体" w:cs="宋体"/>
          <w:bCs/>
          <w:kern w:val="0"/>
          <w:szCs w:val="32"/>
        </w:rPr>
        <w:t>（三）技术方案</w:t>
      </w:r>
      <w:r>
        <w:tab/>
      </w:r>
      <w:r>
        <w:fldChar w:fldCharType="begin"/>
      </w:r>
      <w:r>
        <w:instrText xml:space="preserve"> PAGEREF _Toc25471 \h </w:instrText>
      </w:r>
      <w:r>
        <w:fldChar w:fldCharType="separate"/>
      </w:r>
      <w:r>
        <w:t>53</w:t>
      </w:r>
      <w:r>
        <w:fldChar w:fldCharType="end"/>
      </w:r>
      <w:r>
        <w:fldChar w:fldCharType="end"/>
      </w:r>
    </w:p>
    <w:p>
      <w:pPr>
        <w:pStyle w:val="34"/>
        <w:tabs>
          <w:tab w:val="right" w:leader="dot" w:pos="9638"/>
        </w:tabs>
      </w:pPr>
      <w:r>
        <w:fldChar w:fldCharType="begin"/>
      </w:r>
      <w:r>
        <w:instrText xml:space="preserve"> HYPERLINK \l "_Toc7055" </w:instrText>
      </w:r>
      <w:r>
        <w:fldChar w:fldCharType="separate"/>
      </w:r>
      <w:r>
        <w:rPr>
          <w:rFonts w:hint="eastAsia" w:ascii="宋体" w:hAnsi="宋体" w:cs="宋体"/>
        </w:rPr>
        <w:t>五、 报价人承诺</w:t>
      </w:r>
      <w:r>
        <w:tab/>
      </w:r>
      <w:r>
        <w:fldChar w:fldCharType="begin"/>
      </w:r>
      <w:r>
        <w:instrText xml:space="preserve"> PAGEREF _Toc7055 \h </w:instrText>
      </w:r>
      <w:r>
        <w:fldChar w:fldCharType="separate"/>
      </w:r>
      <w:r>
        <w:t>54</w:t>
      </w:r>
      <w:r>
        <w:fldChar w:fldCharType="end"/>
      </w:r>
      <w:r>
        <w:fldChar w:fldCharType="end"/>
      </w:r>
    </w:p>
    <w:p>
      <w:pPr>
        <w:pStyle w:val="34"/>
        <w:tabs>
          <w:tab w:val="right" w:leader="dot" w:pos="9638"/>
        </w:tabs>
      </w:pPr>
      <w:r>
        <w:fldChar w:fldCharType="begin"/>
      </w:r>
      <w:r>
        <w:instrText xml:space="preserve"> HYPERLINK \l "_Toc6695" </w:instrText>
      </w:r>
      <w:r>
        <w:fldChar w:fldCharType="separate"/>
      </w:r>
      <w:r>
        <w:rPr>
          <w:rFonts w:hint="eastAsia" w:ascii="宋体" w:hAnsi="宋体" w:cs="宋体"/>
        </w:rPr>
        <w:t>六、 报价人提供的其他资料（如有）</w:t>
      </w:r>
      <w:r>
        <w:tab/>
      </w:r>
      <w:r>
        <w:fldChar w:fldCharType="begin"/>
      </w:r>
      <w:r>
        <w:instrText xml:space="preserve"> PAGEREF _Toc6695 \h </w:instrText>
      </w:r>
      <w:r>
        <w:fldChar w:fldCharType="separate"/>
      </w:r>
      <w:r>
        <w:t>54</w:t>
      </w:r>
      <w:r>
        <w:fldChar w:fldCharType="end"/>
      </w:r>
      <w: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44974479"/>
      <w:bookmarkStart w:id="6" w:name="_Toc2000404"/>
      <w:bookmarkStart w:id="7" w:name="_Toc152042287"/>
      <w:bookmarkStart w:id="8" w:name="_Toc507319890"/>
      <w:bookmarkStart w:id="9" w:name="_Toc152045511"/>
      <w:bookmarkStart w:id="10" w:name="_Toc246996157"/>
      <w:bookmarkStart w:id="11" w:name="_Toc247096243"/>
      <w:bookmarkStart w:id="12" w:name="_Toc179632527"/>
      <w:bookmarkStart w:id="13" w:name="_Toc247085671"/>
      <w:bookmarkStart w:id="14" w:name="_Toc246996900"/>
      <w:bookmarkStart w:id="15" w:name="_Toc23346"/>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24874"/>
      <w:bookmarkStart w:id="19" w:name="_Toc247085672"/>
      <w:bookmarkStart w:id="20" w:name="_Toc10076"/>
      <w:bookmarkStart w:id="21" w:name="_Toc246996901"/>
      <w:bookmarkStart w:id="22" w:name="_Toc152045512"/>
      <w:bookmarkStart w:id="23" w:name="_Toc246996158"/>
      <w:bookmarkStart w:id="24" w:name="_Toc179632528"/>
      <w:bookmarkStart w:id="25" w:name="_Toc11329213"/>
      <w:bookmarkStart w:id="26" w:name="_Toc152042288"/>
      <w:bookmarkStart w:id="27" w:name="_Toc507319891"/>
      <w:bookmarkStart w:id="28" w:name="_Toc6549"/>
      <w:bookmarkStart w:id="29" w:name="_Toc7525"/>
      <w:bookmarkStart w:id="30" w:name="_Toc90"/>
      <w:bookmarkStart w:id="31" w:name="_Toc144974480"/>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rPr>
        <w:t>重庆高速集团综合办公系统国产软件适配升级服务采购</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2" w:name="_Toc11329214"/>
      <w:bookmarkStart w:id="33" w:name="_Toc4826"/>
      <w:bookmarkStart w:id="34" w:name="_Toc507319892"/>
      <w:bookmarkStart w:id="35" w:name="_Toc10952"/>
      <w:bookmarkStart w:id="36" w:name="_Toc144974481"/>
      <w:bookmarkStart w:id="37" w:name="_Toc246996159"/>
      <w:bookmarkStart w:id="38" w:name="_Toc21343"/>
      <w:bookmarkStart w:id="39" w:name="_Toc247085673"/>
      <w:bookmarkStart w:id="40" w:name="_Toc179632529"/>
      <w:bookmarkStart w:id="41" w:name="_Toc152045513"/>
      <w:bookmarkStart w:id="42" w:name="_Toc18109"/>
      <w:bookmarkStart w:id="43" w:name="_Toc152042289"/>
      <w:bookmarkStart w:id="44" w:name="_Toc246996902"/>
      <w:bookmarkStart w:id="45" w:name="_Toc23060"/>
      <w:r>
        <w:rPr>
          <w:rFonts w:hint="eastAsia" w:ascii="宋体" w:hAnsi="宋体" w:eastAsia="宋体" w:cs="宋体"/>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12"/>
        <w:adjustRightInd w:val="0"/>
        <w:spacing w:line="400" w:lineRule="exact"/>
        <w:rPr>
          <w:rFonts w:ascii="宋体" w:hAnsi="宋体" w:cs="宋体"/>
          <w:szCs w:val="21"/>
          <w:u w:val="single"/>
        </w:rPr>
      </w:pPr>
      <w:bookmarkStart w:id="46" w:name="_Toc446247226"/>
      <w:r>
        <w:rPr>
          <w:rFonts w:hint="eastAsia" w:ascii="宋体" w:hAnsi="宋体" w:cs="宋体"/>
        </w:rPr>
        <w:t xml:space="preserve">2.1 </w:t>
      </w:r>
      <w:bookmarkEnd w:id="46"/>
      <w:r>
        <w:rPr>
          <w:rFonts w:hint="eastAsia" w:ascii="宋体" w:hAnsi="宋体" w:cs="宋体"/>
          <w:szCs w:val="21"/>
        </w:rPr>
        <w:t>项目概况：</w:t>
      </w:r>
      <w:r>
        <w:rPr>
          <w:rFonts w:hint="eastAsia"/>
        </w:rPr>
        <w:t>重庆高速集团协同办公系统国产化适配升级项目，主要工作内容是协调现有办公系统功能升级、国产适配、现有系统数据迁移。</w:t>
      </w:r>
    </w:p>
    <w:p>
      <w:pPr>
        <w:spacing w:line="400" w:lineRule="exact"/>
        <w:ind w:firstLine="420" w:firstLineChars="200"/>
        <w:rPr>
          <w:rFonts w:ascii="宋体" w:hAnsi="宋体" w:cs="宋体"/>
        </w:rPr>
      </w:pPr>
      <w:r>
        <w:rPr>
          <w:rFonts w:hint="eastAsia" w:ascii="宋体" w:hAnsi="宋体" w:cs="宋体"/>
        </w:rPr>
        <w:t>2.2 采购内容：对重庆高速集团综合办公系统进行系统底层改造以及对改造后的系统进行部署、数据迁移以及系统维护等相关工作。</w:t>
      </w:r>
    </w:p>
    <w:p>
      <w:pPr>
        <w:spacing w:line="400" w:lineRule="exact"/>
        <w:ind w:firstLine="420" w:firstLineChars="200"/>
        <w:rPr>
          <w:rFonts w:ascii="宋体" w:hAnsi="宋体" w:cs="宋体"/>
          <w:highlight w:val="yellow"/>
        </w:rPr>
      </w:pPr>
      <w:r>
        <w:rPr>
          <w:rFonts w:hint="eastAsia" w:ascii="宋体" w:hAnsi="宋体" w:cs="宋体"/>
        </w:rPr>
        <w:t xml:space="preserve">2.3 </w:t>
      </w:r>
      <w:r>
        <w:rPr>
          <w:rFonts w:hint="eastAsia" w:ascii="宋体" w:hAnsi="宋体" w:cs="宋体"/>
          <w:highlight w:val="none"/>
          <w:lang w:val="en-US" w:eastAsia="zh-CN"/>
        </w:rPr>
        <w:t>服务</w:t>
      </w:r>
      <w:r>
        <w:rPr>
          <w:rFonts w:hint="eastAsia" w:ascii="宋体" w:hAnsi="宋体" w:cs="宋体"/>
          <w:highlight w:val="none"/>
        </w:rPr>
        <w:t>期限：2个月，具体以采购人要求为准。</w:t>
      </w:r>
    </w:p>
    <w:p>
      <w:pPr>
        <w:spacing w:line="400" w:lineRule="exact"/>
        <w:ind w:firstLine="420" w:firstLineChars="200"/>
        <w:rPr>
          <w:rFonts w:ascii="宋体" w:hAnsi="宋体" w:cs="宋体"/>
          <w:szCs w:val="21"/>
        </w:rPr>
      </w:pPr>
      <w:r>
        <w:rPr>
          <w:rFonts w:hint="eastAsia" w:ascii="宋体" w:hAnsi="宋体" w:cs="宋体"/>
        </w:rPr>
        <w:t>2.4标段划分：</w:t>
      </w:r>
      <w:r>
        <w:rPr>
          <w:rFonts w:hint="eastAsia" w:ascii="宋体" w:hAnsi="宋体" w:cs="宋体"/>
          <w:szCs w:val="21"/>
        </w:rPr>
        <w:t>本次竞争性比选分为1个合同段。</w:t>
      </w:r>
    </w:p>
    <w:p>
      <w:pPr>
        <w:pStyle w:val="4"/>
        <w:spacing w:before="120" w:after="0" w:line="360" w:lineRule="auto"/>
        <w:rPr>
          <w:rFonts w:ascii="宋体" w:hAnsi="宋体" w:eastAsia="宋体" w:cs="宋体"/>
        </w:rPr>
      </w:pPr>
      <w:bookmarkStart w:id="47" w:name="_Toc246996160"/>
      <w:bookmarkStart w:id="48" w:name="_Toc152045514"/>
      <w:bookmarkStart w:id="49" w:name="_Toc144974482"/>
      <w:bookmarkStart w:id="50" w:name="_Toc507319893"/>
      <w:bookmarkStart w:id="51" w:name="_Toc152042290"/>
      <w:bookmarkStart w:id="52" w:name="_Toc11329215"/>
      <w:bookmarkStart w:id="53" w:name="_Toc179632530"/>
      <w:bookmarkStart w:id="54" w:name="_Toc10171"/>
      <w:bookmarkStart w:id="55" w:name="_Toc247085674"/>
      <w:bookmarkStart w:id="56" w:name="_Toc23184"/>
      <w:bookmarkStart w:id="57" w:name="_Toc30356"/>
      <w:bookmarkStart w:id="58" w:name="_Toc21728"/>
      <w:bookmarkStart w:id="59" w:name="_Toc7065"/>
      <w:bookmarkStart w:id="60" w:name="_Toc246996903"/>
      <w:r>
        <w:rPr>
          <w:rFonts w:hint="eastAsia" w:ascii="宋体" w:hAnsi="宋体" w:eastAsia="宋体" w:cs="宋体"/>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20" w:firstLineChars="200"/>
        <w:rPr>
          <w:rFonts w:ascii="宋体" w:hAnsi="宋体" w:cs="宋体"/>
          <w:szCs w:val="21"/>
          <w:shd w:val="clear" w:color="auto" w:fill="FFFFFF"/>
        </w:rPr>
      </w:pPr>
      <w:bookmarkStart w:id="61" w:name="_Toc246996161"/>
      <w:bookmarkStart w:id="62" w:name="_Toc152045515"/>
      <w:bookmarkStart w:id="63" w:name="_Toc246996904"/>
      <w:bookmarkStart w:id="64" w:name="_Toc144974483"/>
      <w:bookmarkStart w:id="65" w:name="_Toc152042291"/>
      <w:bookmarkStart w:id="66" w:name="_Toc247085675"/>
      <w:bookmarkStart w:id="67" w:name="_Toc179632531"/>
      <w:r>
        <w:rPr>
          <w:rFonts w:hint="eastAsia" w:ascii="宋体" w:hAnsi="宋体" w:cs="宋体"/>
          <w:szCs w:val="21"/>
          <w:shd w:val="clear" w:color="auto" w:fill="FFFFFF"/>
        </w:rPr>
        <w:t>3.1 具有独立法人资格，具有有效的营业执照，营业执照营业范围需含类似软件开发、计算机软、硬件技术等相关内容。</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 xml:space="preserve">3.2 </w:t>
      </w:r>
      <w:r>
        <w:rPr>
          <w:rFonts w:hint="eastAsia" w:ascii="宋体" w:hAnsi="宋体" w:cs="宋体"/>
          <w:szCs w:val="21"/>
        </w:rPr>
        <w:t>资质要求：</w:t>
      </w:r>
      <w:r>
        <w:rPr>
          <w:rFonts w:hint="eastAsia" w:ascii="宋体" w:hAnsi="宋体" w:cs="宋体"/>
          <w:szCs w:val="21"/>
          <w:shd w:val="clear" w:color="auto" w:fill="FFFFFF"/>
        </w:rPr>
        <w:t>具有有效的CMMI（软件能力成熟度模型集成）三级及以上（四级或五级均高于三级）认证证书。</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3.3业绩要求：2020年1月1日至竞争性比选函发出之日,参与完成至少1项单个项目合同金额不低于35万元的办公类综合软件开发或者软件升级或者软件维护等相关业绩。</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3.4主要人员要求：1名，拟派技术负责人应是投标单位在职员工，具有项目管理专业人士资格认证证书（PMP证书),提供项目负责人身份证和认证证书复印件。</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3.5信誉要求：在国家企业信用信息公示系统（http://www.gsxt.gov.cn/）中未被列入严重违法失信企业名单（黑名单）信息（若并非企业，则无需查询）；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3.6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3.7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68" w:name="_Toc14361"/>
      <w:bookmarkStart w:id="69" w:name="_Toc12460"/>
      <w:bookmarkStart w:id="70" w:name="_Toc25619"/>
      <w:bookmarkStart w:id="71" w:name="_Toc25583"/>
      <w:bookmarkStart w:id="72" w:name="_Toc507319894"/>
      <w:bookmarkStart w:id="73" w:name="_Toc11329216"/>
      <w:bookmarkStart w:id="74" w:name="_Toc23921"/>
      <w:r>
        <w:rPr>
          <w:rFonts w:hint="eastAsia" w:ascii="宋体" w:hAnsi="宋体" w:eastAsia="宋体" w:cs="宋体"/>
        </w:rPr>
        <w:t>4. 比选文件的获取</w:t>
      </w:r>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pacing w:line="360" w:lineRule="auto"/>
        <w:ind w:firstLine="420" w:firstLineChars="200"/>
        <w:rPr>
          <w:rFonts w:ascii="宋体" w:hAnsi="宋体"/>
          <w:szCs w:val="21"/>
        </w:rPr>
      </w:pPr>
      <w:bookmarkStart w:id="75" w:name="_Toc507319895"/>
      <w:bookmarkStart w:id="76" w:name="_Toc179632532"/>
      <w:bookmarkStart w:id="77" w:name="_Toc247085676"/>
      <w:bookmarkStart w:id="78" w:name="_Toc152045516"/>
      <w:bookmarkStart w:id="79" w:name="_Toc144974484"/>
      <w:bookmarkStart w:id="80" w:name="_Toc11329217"/>
      <w:bookmarkStart w:id="81" w:name="_Toc246996905"/>
      <w:bookmarkStart w:id="82" w:name="_Toc246996162"/>
      <w:bookmarkStart w:id="83" w:name="_Toc152042292"/>
      <w:r>
        <w:rPr>
          <w:rFonts w:hint="eastAsia" w:ascii="宋体" w:hAnsi="宋体"/>
          <w:szCs w:val="21"/>
        </w:rPr>
        <w:t>凡愿意参加的潜在报价人，在开标截止日2023年</w:t>
      </w:r>
      <w:r>
        <w:rPr>
          <w:rFonts w:hint="eastAsia" w:ascii="宋体" w:hAnsi="宋体"/>
          <w:szCs w:val="21"/>
          <w:highlight w:val="none"/>
          <w:lang w:val="en-US" w:eastAsia="zh-CN"/>
        </w:rPr>
        <w:t>6</w:t>
      </w:r>
      <w:r>
        <w:rPr>
          <w:rFonts w:hint="eastAsia" w:ascii="宋体" w:hAnsi="宋体"/>
          <w:szCs w:val="21"/>
          <w:highlight w:val="none"/>
        </w:rPr>
        <w:t>月</w:t>
      </w:r>
      <w:r>
        <w:rPr>
          <w:rFonts w:hint="eastAsia" w:ascii="宋体" w:hAnsi="宋体"/>
          <w:szCs w:val="21"/>
          <w:highlight w:val="none"/>
          <w:lang w:val="en-US" w:eastAsia="zh-CN"/>
        </w:rPr>
        <w:t>21</w:t>
      </w:r>
      <w:r>
        <w:rPr>
          <w:rFonts w:hint="eastAsia" w:ascii="宋体" w:hAnsi="宋体"/>
          <w:szCs w:val="21"/>
          <w:highlight w:val="none"/>
        </w:rPr>
        <w:t>日上午</w:t>
      </w:r>
      <w:r>
        <w:rPr>
          <w:rFonts w:hint="eastAsia" w:ascii="宋体" w:hAnsi="宋体"/>
          <w:szCs w:val="21"/>
          <w:highlight w:val="none"/>
          <w:lang w:val="en-US" w:eastAsia="zh-CN"/>
        </w:rPr>
        <w:t>10：00</w:t>
      </w:r>
      <w:r>
        <w:rPr>
          <w:rFonts w:hint="eastAsia" w:ascii="宋体" w:hAnsi="宋体"/>
          <w:szCs w:val="21"/>
          <w:highlight w:val="none"/>
        </w:rPr>
        <w:t>前，</w:t>
      </w:r>
      <w:r>
        <w:rPr>
          <w:rFonts w:hint="eastAsia" w:ascii="宋体" w:hAnsi="宋体"/>
          <w:szCs w:val="21"/>
        </w:rPr>
        <w:t>在重庆高速集团官网（http://www.cegc.com.cn/gw/newsInfoMenu.html?id=42&amp;key=2）和重庆高速招投标管理平台（http://219.152.86.3:8081/pms/）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4" w:name="_Toc31493"/>
      <w:bookmarkStart w:id="85" w:name="_Toc12878"/>
      <w:bookmarkStart w:id="86" w:name="_Toc16686"/>
      <w:bookmarkStart w:id="87" w:name="_Toc9131"/>
      <w:bookmarkStart w:id="88" w:name="_Toc4096"/>
      <w:r>
        <w:rPr>
          <w:rFonts w:hint="eastAsia" w:ascii="宋体" w:hAnsi="宋体" w:eastAsia="宋体" w:cs="宋体"/>
        </w:rPr>
        <w:t>5. 竞争性比选响应文件的递交</w:t>
      </w:r>
      <w:bookmarkEnd w:id="75"/>
      <w:bookmarkEnd w:id="76"/>
      <w:bookmarkEnd w:id="77"/>
      <w:bookmarkEnd w:id="78"/>
      <w:bookmarkEnd w:id="79"/>
      <w:bookmarkEnd w:id="80"/>
      <w:bookmarkEnd w:id="81"/>
      <w:bookmarkEnd w:id="82"/>
      <w:bookmarkEnd w:id="83"/>
      <w:r>
        <w:rPr>
          <w:rFonts w:hint="eastAsia" w:ascii="宋体" w:hAnsi="宋体" w:eastAsia="宋体" w:cs="宋体"/>
        </w:rPr>
        <w:t>及相关事宜</w:t>
      </w:r>
      <w:bookmarkEnd w:id="84"/>
      <w:bookmarkEnd w:id="85"/>
      <w:bookmarkEnd w:id="86"/>
      <w:bookmarkEnd w:id="87"/>
      <w:bookmarkEnd w:id="88"/>
    </w:p>
    <w:p>
      <w:pPr>
        <w:tabs>
          <w:tab w:val="left" w:pos="360"/>
        </w:tabs>
        <w:spacing w:line="400" w:lineRule="exact"/>
        <w:ind w:firstLine="420" w:firstLineChars="200"/>
        <w:rPr>
          <w:rFonts w:ascii="宋体" w:hAnsi="宋体" w:cs="宋体"/>
          <w:szCs w:val="21"/>
        </w:rPr>
      </w:pPr>
      <w:bookmarkStart w:id="89" w:name="_Toc152045517"/>
      <w:bookmarkStart w:id="90" w:name="_Toc179632534"/>
      <w:bookmarkStart w:id="91" w:name="_Toc246996907"/>
      <w:bookmarkStart w:id="92" w:name="_Toc11329219"/>
      <w:bookmarkStart w:id="93" w:name="_Toc393"/>
      <w:bookmarkStart w:id="94" w:name="_Toc246996164"/>
      <w:bookmarkStart w:id="95" w:name="_Toc18402"/>
      <w:bookmarkStart w:id="96" w:name="_Toc152042293"/>
      <w:bookmarkStart w:id="97" w:name="_Toc247085678"/>
      <w:bookmarkStart w:id="98" w:name="_Toc144974485"/>
      <w:bookmarkStart w:id="99" w:name="_Toc21615"/>
      <w:bookmarkStart w:id="100" w:name="_Toc507319897"/>
      <w:bookmarkStart w:id="101" w:name="_Toc11820"/>
      <w:r>
        <w:rPr>
          <w:rFonts w:hint="eastAsia" w:ascii="宋体" w:hAnsi="宋体" w:cs="宋体"/>
          <w:szCs w:val="21"/>
        </w:rPr>
        <w:t>5.1</w:t>
      </w:r>
      <w:r>
        <w:rPr>
          <w:rFonts w:hint="eastAsia" w:ascii="宋体" w:hAnsi="宋体" w:cs="宋体"/>
          <w:szCs w:val="21"/>
          <w:highlight w:val="none"/>
        </w:rPr>
        <w:t>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lang w:val="en-US" w:eastAsia="zh-CN"/>
        </w:rPr>
        <w:t>6</w:t>
      </w:r>
      <w:r>
        <w:rPr>
          <w:rFonts w:hint="eastAsia" w:ascii="宋体" w:hAnsi="宋体"/>
          <w:szCs w:val="21"/>
          <w:highlight w:val="none"/>
        </w:rPr>
        <w:t>月</w:t>
      </w:r>
      <w:r>
        <w:rPr>
          <w:rFonts w:hint="eastAsia" w:ascii="宋体" w:hAnsi="宋体"/>
          <w:szCs w:val="21"/>
          <w:highlight w:val="none"/>
          <w:u w:val="single"/>
          <w:lang w:val="en-US" w:eastAsia="zh-CN"/>
        </w:rPr>
        <w:t>21</w:t>
      </w:r>
      <w:r>
        <w:rPr>
          <w:rFonts w:hint="eastAsia" w:ascii="宋体" w:hAnsi="宋体"/>
          <w:szCs w:val="21"/>
          <w:highlight w:val="none"/>
        </w:rPr>
        <w:t>日上午</w:t>
      </w:r>
      <w:r>
        <w:rPr>
          <w:rFonts w:hint="eastAsia" w:ascii="宋体" w:hAnsi="宋体" w:cs="宋体"/>
          <w:szCs w:val="21"/>
          <w:highlight w:val="none"/>
          <w:u w:val="single"/>
          <w:lang w:val="en-US" w:eastAsia="zh-CN"/>
        </w:rPr>
        <w:t>10</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zCs w:val="21"/>
        </w:rPr>
        <w:t>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5.2递交地址：报价人将完整的报价资料递交至重庆市渝北区新南路52号东界龙湖一楼重庆首讯科技股份有限公司东界龙湖办公区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pStyle w:val="4"/>
        <w:spacing w:before="120" w:after="0" w:line="400" w:lineRule="exact"/>
        <w:rPr>
          <w:rFonts w:ascii="宋体" w:hAnsi="宋体" w:eastAsia="宋体" w:cs="宋体"/>
        </w:rPr>
      </w:pPr>
      <w:bookmarkStart w:id="102" w:name="_Toc9155"/>
      <w:r>
        <w:rPr>
          <w:rFonts w:hint="eastAsia" w:ascii="宋体" w:hAnsi="宋体" w:eastAsia="宋体" w:cs="宋体"/>
        </w:rPr>
        <w:t>6. 联系方式</w:t>
      </w:r>
      <w:bookmarkEnd w:id="89"/>
      <w:bookmarkEnd w:id="90"/>
      <w:bookmarkEnd w:id="91"/>
      <w:bookmarkEnd w:id="92"/>
      <w:bookmarkEnd w:id="93"/>
      <w:bookmarkEnd w:id="94"/>
      <w:bookmarkEnd w:id="95"/>
      <w:bookmarkEnd w:id="96"/>
      <w:bookmarkEnd w:id="97"/>
      <w:bookmarkEnd w:id="98"/>
      <w:bookmarkEnd w:id="99"/>
      <w:bookmarkEnd w:id="100"/>
      <w:bookmarkEnd w:id="101"/>
      <w:bookmarkEnd w:id="102"/>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地址：重庆市渝北区新南路52号东界龙湖一楼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4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技术联系人：田老师  电 话：15310912351</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pPr>
            <w:r>
              <w:rPr>
                <w:rFonts w:hint="eastAsia" w:ascii="宋体" w:hAnsi="宋体" w:cs="宋体"/>
                <w:szCs w:val="21"/>
              </w:rPr>
              <w:t>商务联系人：蒋老师  电 话：17783017837</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103" w:name="_Toc247085687"/>
      <w:bookmarkStart w:id="104" w:name="_Toc246996173"/>
      <w:bookmarkStart w:id="105" w:name="_Toc144974495"/>
      <w:bookmarkStart w:id="106" w:name="_Toc2000405"/>
      <w:bookmarkStart w:id="107" w:name="_Toc246996916"/>
      <w:bookmarkStart w:id="108" w:name="_Toc152042303"/>
      <w:bookmarkStart w:id="109" w:name="_Toc152045527"/>
      <w:bookmarkStart w:id="110" w:name="_Toc179632544"/>
      <w:bookmarkStart w:id="111" w:name="_Toc507319898"/>
      <w:r>
        <w:rPr>
          <w:rFonts w:hint="eastAsia" w:ascii="宋体" w:hAnsi="宋体" w:cs="宋体"/>
        </w:rPr>
        <w:br w:type="page"/>
      </w:r>
      <w:bookmarkStart w:id="112" w:name="_Toc3102"/>
      <w:r>
        <w:rPr>
          <w:rFonts w:hint="eastAsia" w:ascii="宋体" w:hAnsi="宋体" w:cs="宋体"/>
        </w:rPr>
        <w:t>第二章 报价人须知</w:t>
      </w:r>
      <w:bookmarkEnd w:id="103"/>
      <w:bookmarkEnd w:id="104"/>
      <w:bookmarkEnd w:id="105"/>
      <w:bookmarkEnd w:id="106"/>
      <w:bookmarkEnd w:id="107"/>
      <w:bookmarkEnd w:id="108"/>
      <w:bookmarkEnd w:id="109"/>
      <w:bookmarkEnd w:id="110"/>
      <w:bookmarkEnd w:id="111"/>
      <w:bookmarkEnd w:id="112"/>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13"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联系人：蒋老师</w:t>
            </w:r>
          </w:p>
          <w:p>
            <w:pPr>
              <w:topLinePunct/>
              <w:spacing w:line="420" w:lineRule="exact"/>
              <w:ind w:firstLine="420" w:firstLineChars="200"/>
            </w:pPr>
            <w:r>
              <w:rPr>
                <w:rFonts w:hint="eastAsia" w:ascii="宋体" w:hAnsi="宋体" w:cs="宋体"/>
                <w:szCs w:val="21"/>
              </w:rPr>
              <w:t>电  话：17783017837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重庆高速集团综合办公系统国产软件适配升级服务采购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项目概况</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技术标准</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报价人资格要求</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14" w:name="_Hlt227984024"/>
            <w:bookmarkEnd w:id="114"/>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Pr>
          <w:p>
            <w:pPr>
              <w:spacing w:line="400" w:lineRule="exact"/>
              <w:ind w:firstLine="420" w:firstLineChars="200"/>
              <w:jc w:val="left"/>
              <w:rPr>
                <w:rFonts w:ascii="宋体" w:hAnsi="宋体" w:cs="宋体"/>
                <w:szCs w:val="21"/>
              </w:rPr>
            </w:pPr>
            <w:r>
              <w:rPr>
                <w:rFonts w:hint="eastAsia" w:ascii="宋体" w:hAnsi="宋体" w:cs="宋体"/>
              </w:rPr>
              <w:t>报价人按照采购人提供的报价清单填写报价。</w:t>
            </w:r>
          </w:p>
          <w:p>
            <w:pPr>
              <w:spacing w:line="400" w:lineRule="exact"/>
              <w:ind w:firstLine="422" w:firstLineChars="200"/>
              <w:rPr>
                <w:rFonts w:ascii="宋体" w:hAnsi="宋体" w:cs="宋体"/>
                <w:b/>
                <w:szCs w:val="21"/>
              </w:rPr>
            </w:pPr>
            <w:r>
              <w:rPr>
                <w:rFonts w:hint="eastAsia" w:ascii="宋体" w:hAnsi="宋体" w:cs="宋体"/>
                <w:b/>
                <w:szCs w:val="21"/>
              </w:rPr>
              <w:t>折扣率取小数点后一位，小数点后第二位四舍五入。</w:t>
            </w:r>
          </w:p>
          <w:p>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rPr>
              <w:t>重庆高速集团综合办公系统国产软件适配升级服务采购项目最高限价：</w:t>
            </w:r>
            <w:r>
              <w:rPr>
                <w:rFonts w:hint="eastAsia" w:ascii="宋体" w:hAnsi="宋体"/>
                <w:b/>
                <w:bCs/>
                <w:szCs w:val="21"/>
                <w:highlight w:val="none"/>
                <w:u w:val="single"/>
              </w:rPr>
              <w:t>578865.00元。</w:t>
            </w:r>
          </w:p>
          <w:p>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16"/>
              <w:ind w:firstLine="420" w:firstLineChars="200"/>
              <w:rPr>
                <w:rFonts w:ascii="宋体" w:hAnsi="宋体" w:cs="宋体"/>
                <w:sz w:val="21"/>
                <w:szCs w:val="21"/>
              </w:rPr>
            </w:pPr>
            <w:r>
              <w:rPr>
                <w:rFonts w:ascii="宋体" w:hAnsi="宋体" w:cs="宋体"/>
                <w:sz w:val="21"/>
                <w:szCs w:val="21"/>
              </w:rPr>
              <w:t>（1）合同签订且需求调研完成双方签订《需求确认文件》之日起15个工作日内合同金额的20%。</w:t>
            </w:r>
          </w:p>
          <w:p>
            <w:pPr>
              <w:pStyle w:val="16"/>
              <w:ind w:firstLine="420" w:firstLineChars="200"/>
              <w:rPr>
                <w:rFonts w:ascii="宋体" w:hAnsi="宋体" w:cs="宋体"/>
                <w:sz w:val="21"/>
                <w:szCs w:val="21"/>
              </w:rPr>
            </w:pPr>
            <w:r>
              <w:rPr>
                <w:rFonts w:ascii="宋体" w:hAnsi="宋体" w:cs="宋体"/>
                <w:sz w:val="21"/>
                <w:szCs w:val="21"/>
              </w:rPr>
              <w:t>（2）完成综合办公系统国产软件适配升级且经验收合格后15个工作日内支付合同金额得75%。</w:t>
            </w:r>
          </w:p>
          <w:p>
            <w:pPr>
              <w:pStyle w:val="16"/>
              <w:ind w:firstLine="420" w:firstLineChars="200"/>
            </w:pPr>
            <w:r>
              <w:rPr>
                <w:rFonts w:ascii="宋体" w:hAnsi="宋体" w:cs="宋体"/>
                <w:sz w:val="21"/>
                <w:szCs w:val="21"/>
              </w:rPr>
              <w:t>（3）综合办公系统国产软件适配升级验收合格之日起稳定运行1年后合同金额得5%。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18</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无</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无</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9"/>
              <w:spacing w:line="400" w:lineRule="exact"/>
              <w:ind w:firstLine="420" w:firstLineChars="200"/>
              <w:rPr>
                <w:rFonts w:hAnsi="宋体"/>
                <w:color w:val="auto"/>
                <w:kern w:val="2"/>
                <w:sz w:val="21"/>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19</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竞争性比选响应文件的组成</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w:t>
            </w:r>
            <w:r>
              <w:rPr>
                <w:rFonts w:hint="eastAsia" w:hAnsi="宋体"/>
                <w:b/>
                <w:bCs/>
                <w:color w:val="auto"/>
                <w:kern w:val="2"/>
                <w:sz w:val="21"/>
                <w:szCs w:val="21"/>
              </w:rPr>
              <w:t>正本1份，副本1份，电子文件1份</w:t>
            </w:r>
            <w:r>
              <w:rPr>
                <w:rFonts w:hint="eastAsia" w:hAnsi="宋体"/>
                <w:color w:val="auto"/>
                <w:kern w:val="2"/>
                <w:sz w:val="21"/>
                <w:szCs w:val="21"/>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w:t>
            </w:r>
            <w:r>
              <w:rPr>
                <w:rFonts w:hint="eastAsia" w:hAnsi="宋体"/>
                <w:b/>
                <w:bCs/>
                <w:color w:val="auto"/>
                <w:kern w:val="2"/>
                <w:sz w:val="21"/>
                <w:szCs w:val="21"/>
              </w:rPr>
              <w:t>上所有文件均须逐页加盖报价人的公章</w:t>
            </w:r>
            <w:r>
              <w:rPr>
                <w:rFonts w:hint="eastAsia" w:hAnsi="宋体"/>
                <w:color w:val="auto"/>
                <w:kern w:val="2"/>
                <w:sz w:val="21"/>
                <w:szCs w:val="21"/>
              </w:rPr>
              <w:t>）。</w:t>
            </w:r>
          </w:p>
          <w:p>
            <w:pPr>
              <w:pStyle w:val="14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重庆高速集团综合办公系统国产软件适配升级服务采购项目竞争性比选响应文件（加盖报价人的公章）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spacing w:line="400" w:lineRule="exact"/>
              <w:jc w:val="center"/>
              <w:rPr>
                <w:rFonts w:hAnsi="宋体"/>
                <w:szCs w:val="21"/>
              </w:rPr>
            </w:pPr>
            <w:r>
              <w:rPr>
                <w:rFonts w:hint="eastAsia"/>
              </w:rPr>
              <w:t>中标候选人公示</w:t>
            </w:r>
          </w:p>
        </w:tc>
        <w:tc>
          <w:tcPr>
            <w:tcW w:w="7104" w:type="dxa"/>
            <w:vAlign w:val="center"/>
          </w:tcPr>
          <w:p>
            <w:pPr>
              <w:spacing w:line="400" w:lineRule="exact"/>
              <w:ind w:firstLine="420" w:firstLineChars="200"/>
              <w:rPr>
                <w:rFonts w:hAnsi="宋体"/>
                <w:szCs w:val="21"/>
              </w:rPr>
            </w:pPr>
            <w:r>
              <w:rPr>
                <w:rFonts w:hint="eastAsia"/>
              </w:rPr>
              <w:t>评标结果将在重庆高速集团官网（http://www.cegc.com.cn）和重庆高速招投标管理平台（http://219.152.86.3:8081/pms/）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13"/>
    </w:tbl>
    <w:p>
      <w:pPr>
        <w:pStyle w:val="4"/>
        <w:widowControl/>
        <w:spacing w:before="0" w:after="0" w:line="300" w:lineRule="exact"/>
        <w:rPr>
          <w:rFonts w:ascii="黑体" w:hAnsi="宋体" w:cs="黑体"/>
          <w:sz w:val="21"/>
          <w:szCs w:val="21"/>
        </w:rPr>
      </w:pPr>
      <w:bookmarkStart w:id="115" w:name="_Toc224103317"/>
      <w:bookmarkStart w:id="116" w:name="_Toc25998"/>
      <w:r>
        <w:rPr>
          <w:rFonts w:hint="eastAsia" w:ascii="黑体" w:hAnsi="宋体" w:cs="黑体"/>
          <w:sz w:val="21"/>
          <w:szCs w:val="21"/>
        </w:rPr>
        <w:t>报价人须知正文部分：</w:t>
      </w:r>
      <w:bookmarkEnd w:id="115"/>
      <w:bookmarkEnd w:id="116"/>
    </w:p>
    <w:p>
      <w:pPr>
        <w:pStyle w:val="4"/>
        <w:widowControl/>
        <w:spacing w:before="0" w:after="0" w:line="300" w:lineRule="exact"/>
        <w:rPr>
          <w:rFonts w:ascii="宋体" w:hAnsi="宋体"/>
          <w:sz w:val="21"/>
          <w:szCs w:val="21"/>
        </w:rPr>
      </w:pPr>
      <w:bookmarkStart w:id="117" w:name="_Toc9035"/>
      <w:bookmarkEnd w:id="117"/>
      <w:bookmarkStart w:id="118" w:name="_Toc17808"/>
      <w:bookmarkEnd w:id="118"/>
      <w:bookmarkStart w:id="119" w:name="_Toc5673"/>
      <w:bookmarkEnd w:id="119"/>
      <w:bookmarkStart w:id="120" w:name="_Toc28401"/>
      <w:bookmarkStart w:id="121" w:name="_Toc1963"/>
      <w:r>
        <w:rPr>
          <w:rFonts w:hint="eastAsia" w:ascii="黑体" w:hAnsi="宋体" w:cs="黑体"/>
          <w:sz w:val="21"/>
          <w:szCs w:val="21"/>
        </w:rPr>
        <w:t xml:space="preserve">1.  </w:t>
      </w:r>
      <w:bookmarkEnd w:id="120"/>
      <w:r>
        <w:rPr>
          <w:rFonts w:hint="eastAsia" w:ascii="黑体" w:hAnsi="宋体" w:cs="黑体"/>
          <w:sz w:val="21"/>
          <w:szCs w:val="21"/>
        </w:rPr>
        <w:t>总则</w:t>
      </w:r>
      <w:bookmarkEnd w:id="121"/>
    </w:p>
    <w:p>
      <w:pPr>
        <w:pStyle w:val="5"/>
        <w:widowControl/>
        <w:spacing w:before="0" w:after="0" w:line="300" w:lineRule="exact"/>
        <w:rPr>
          <w:rFonts w:ascii="宋体" w:hAnsi="宋体"/>
          <w:kern w:val="2"/>
          <w:sz w:val="21"/>
          <w:szCs w:val="21"/>
        </w:rPr>
      </w:pPr>
      <w:bookmarkStart w:id="122" w:name="_Toc277082553"/>
      <w:bookmarkEnd w:id="122"/>
      <w:bookmarkStart w:id="123" w:name="_Toc224103318"/>
      <w:bookmarkEnd w:id="123"/>
      <w:bookmarkStart w:id="124" w:name="_Toc40455646"/>
      <w:bookmarkEnd w:id="124"/>
      <w:bookmarkStart w:id="125" w:name="_Toc4661429"/>
      <w:bookmarkEnd w:id="125"/>
      <w:bookmarkStart w:id="126" w:name="_Toc4661671"/>
      <w:bookmarkEnd w:id="126"/>
      <w:bookmarkStart w:id="127" w:name="_Toc11657"/>
      <w:bookmarkEnd w:id="127"/>
      <w:bookmarkStart w:id="128" w:name="_Toc287607747"/>
      <w:bookmarkEnd w:id="128"/>
      <w:bookmarkStart w:id="129" w:name="_Toc200513127"/>
      <w:bookmarkEnd w:id="129"/>
      <w:bookmarkStart w:id="130" w:name="_Toc40455273"/>
      <w:bookmarkEnd w:id="130"/>
      <w:bookmarkStart w:id="131" w:name="_Toc4662143"/>
      <w:bookmarkEnd w:id="131"/>
      <w:bookmarkStart w:id="132" w:name="_Toc4661907"/>
      <w:bookmarkEnd w:id="132"/>
      <w:bookmarkStart w:id="133" w:name="_Toc40780255"/>
      <w:r>
        <w:rPr>
          <w:rFonts w:hint="eastAsia" w:ascii="宋体" w:hAnsi="宋体"/>
          <w:kern w:val="2"/>
          <w:sz w:val="21"/>
          <w:szCs w:val="21"/>
        </w:rPr>
        <w:t xml:space="preserve">1.1  </w:t>
      </w:r>
      <w:bookmarkEnd w:id="133"/>
      <w:r>
        <w:rPr>
          <w:rFonts w:hint="eastAsia" w:ascii="宋体" w:hAnsi="宋体" w:cs="宋体"/>
          <w:kern w:val="2"/>
          <w:sz w:val="21"/>
          <w:szCs w:val="21"/>
        </w:rPr>
        <w:t>项目概况</w:t>
      </w:r>
    </w:p>
    <w:p>
      <w:pPr>
        <w:autoSpaceDE w:val="0"/>
        <w:autoSpaceDN w:val="0"/>
        <w:adjustRightInd w:val="0"/>
        <w:spacing w:line="300" w:lineRule="exact"/>
        <w:ind w:firstLine="354" w:firstLineChars="169"/>
        <w:jc w:val="left"/>
        <w:rPr>
          <w:rFonts w:ascii="宋体" w:hAnsi="宋体" w:cs="Calibri"/>
          <w:kern w:val="0"/>
          <w:szCs w:val="21"/>
        </w:rPr>
      </w:pPr>
      <w:r>
        <w:rPr>
          <w:rFonts w:hint="eastAsia" w:ascii="宋体" w:hAnsi="宋体" w:cs="Calibri"/>
          <w:kern w:val="0"/>
          <w:szCs w:val="21"/>
          <w:lang w:bidi="ar"/>
        </w:rPr>
        <w:t xml:space="preserve">1.1.1  </w:t>
      </w:r>
      <w:r>
        <w:rPr>
          <w:rFonts w:hint="eastAsia" w:ascii="宋体" w:hAnsi="宋体" w:cs="宋体"/>
          <w:kern w:val="0"/>
          <w:szCs w:val="21"/>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rPr>
      </w:pPr>
      <w:r>
        <w:rPr>
          <w:rFonts w:hint="eastAsia" w:ascii="宋体" w:hAnsi="宋体" w:cs="Calibri"/>
          <w:kern w:val="0"/>
          <w:szCs w:val="21"/>
          <w:lang w:bidi="ar"/>
        </w:rPr>
        <w:t xml:space="preserve">1.1.2  </w:t>
      </w:r>
      <w:r>
        <w:rPr>
          <w:rFonts w:hint="eastAsia" w:ascii="宋体" w:hAnsi="宋体" w:cs="宋体"/>
          <w:kern w:val="0"/>
          <w:szCs w:val="21"/>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1.1.3 </w:t>
      </w:r>
      <w:r>
        <w:rPr>
          <w:rFonts w:hint="eastAsia" w:ascii="宋体" w:hAnsi="宋体" w:cs="宋体"/>
          <w:kern w:val="0"/>
          <w:szCs w:val="21"/>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1.1.4  </w:t>
      </w:r>
      <w:r>
        <w:rPr>
          <w:rFonts w:hint="eastAsia" w:ascii="宋体" w:hAnsi="宋体" w:cs="宋体"/>
          <w:kern w:val="0"/>
          <w:szCs w:val="21"/>
          <w:lang w:bidi="ar"/>
        </w:rPr>
        <w:t>本项目建设地点：见报价人须知前附表。</w:t>
      </w:r>
    </w:p>
    <w:p>
      <w:pPr>
        <w:pStyle w:val="5"/>
        <w:widowControl/>
        <w:spacing w:before="0" w:after="0" w:line="300" w:lineRule="exact"/>
        <w:rPr>
          <w:rFonts w:ascii="宋体" w:hAnsi="宋体"/>
          <w:kern w:val="2"/>
          <w:sz w:val="21"/>
          <w:szCs w:val="21"/>
        </w:rPr>
      </w:pPr>
      <w:bookmarkStart w:id="134" w:name="_Toc4661430"/>
      <w:bookmarkEnd w:id="134"/>
      <w:bookmarkStart w:id="135" w:name="_Toc4662144"/>
      <w:bookmarkEnd w:id="135"/>
      <w:bookmarkStart w:id="136" w:name="_Toc224103319"/>
      <w:bookmarkEnd w:id="136"/>
      <w:bookmarkStart w:id="137" w:name="_Toc40780256"/>
      <w:bookmarkEnd w:id="137"/>
      <w:bookmarkStart w:id="138" w:name="_Toc4661672"/>
      <w:bookmarkEnd w:id="138"/>
      <w:bookmarkStart w:id="139" w:name="_Toc200513128"/>
      <w:bookmarkEnd w:id="139"/>
      <w:bookmarkStart w:id="140" w:name="_Toc4661908"/>
      <w:bookmarkEnd w:id="140"/>
      <w:bookmarkStart w:id="141" w:name="_Toc40455274"/>
      <w:bookmarkEnd w:id="141"/>
      <w:bookmarkStart w:id="142" w:name="_Toc287607748"/>
      <w:bookmarkEnd w:id="142"/>
      <w:bookmarkStart w:id="143" w:name="_Toc40455647"/>
      <w:bookmarkEnd w:id="143"/>
      <w:bookmarkStart w:id="144" w:name="_Toc21776"/>
      <w:bookmarkEnd w:id="144"/>
      <w:bookmarkStart w:id="145" w:name="_Toc277082554"/>
      <w:r>
        <w:rPr>
          <w:rFonts w:hint="eastAsia" w:ascii="宋体" w:hAnsi="宋体"/>
          <w:kern w:val="2"/>
          <w:sz w:val="21"/>
          <w:szCs w:val="21"/>
        </w:rPr>
        <w:t xml:space="preserve">1.2  </w:t>
      </w:r>
      <w:bookmarkEnd w:id="145"/>
      <w:r>
        <w:rPr>
          <w:rFonts w:hint="eastAsia" w:ascii="宋体" w:hAnsi="宋体" w:cs="宋体"/>
          <w:kern w:val="2"/>
          <w:sz w:val="21"/>
          <w:szCs w:val="21"/>
        </w:rPr>
        <w:t>资金来源和落实情况</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1.2.1  </w:t>
      </w:r>
      <w:r>
        <w:rPr>
          <w:rFonts w:hint="eastAsia" w:ascii="宋体" w:hAnsi="宋体" w:cs="宋体"/>
          <w:kern w:val="0"/>
          <w:szCs w:val="21"/>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1.2.2  </w:t>
      </w:r>
      <w:r>
        <w:rPr>
          <w:rFonts w:hint="eastAsia" w:ascii="宋体" w:hAnsi="宋体" w:cs="宋体"/>
          <w:kern w:val="0"/>
          <w:szCs w:val="21"/>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1.2.3  </w:t>
      </w:r>
      <w:r>
        <w:rPr>
          <w:rFonts w:hint="eastAsia" w:ascii="宋体" w:hAnsi="宋体" w:cs="宋体"/>
          <w:kern w:val="0"/>
          <w:szCs w:val="21"/>
          <w:lang w:bidi="ar"/>
        </w:rPr>
        <w:t>本竞争性比选项目的资金落实情况：见报价人须知前附表。</w:t>
      </w:r>
    </w:p>
    <w:p>
      <w:pPr>
        <w:pStyle w:val="5"/>
        <w:widowControl/>
        <w:spacing w:before="0" w:after="0" w:line="300" w:lineRule="exact"/>
        <w:rPr>
          <w:rFonts w:ascii="宋体" w:hAnsi="宋体"/>
          <w:kern w:val="2"/>
          <w:sz w:val="21"/>
          <w:szCs w:val="21"/>
        </w:rPr>
      </w:pPr>
      <w:bookmarkStart w:id="146" w:name="_Toc4661909"/>
      <w:bookmarkEnd w:id="146"/>
      <w:bookmarkStart w:id="147" w:name="_Toc200513129"/>
      <w:bookmarkEnd w:id="147"/>
      <w:bookmarkStart w:id="148" w:name="_Toc287607749"/>
      <w:bookmarkEnd w:id="148"/>
      <w:bookmarkStart w:id="149" w:name="_Toc4661431"/>
      <w:bookmarkEnd w:id="149"/>
      <w:bookmarkStart w:id="150" w:name="_Toc40455648"/>
      <w:bookmarkEnd w:id="150"/>
      <w:bookmarkStart w:id="151" w:name="_Toc4661673"/>
      <w:bookmarkEnd w:id="151"/>
      <w:bookmarkStart w:id="152" w:name="_Toc4662145"/>
      <w:bookmarkEnd w:id="152"/>
      <w:bookmarkStart w:id="153" w:name="_Toc224103320"/>
      <w:bookmarkEnd w:id="153"/>
      <w:bookmarkStart w:id="154" w:name="_Toc277082555"/>
      <w:bookmarkEnd w:id="154"/>
      <w:bookmarkStart w:id="155" w:name="_Toc40780257"/>
      <w:bookmarkEnd w:id="155"/>
      <w:bookmarkStart w:id="156" w:name="_Toc40455275"/>
      <w:bookmarkEnd w:id="156"/>
      <w:bookmarkStart w:id="157" w:name="_Toc11911"/>
      <w:r>
        <w:rPr>
          <w:rFonts w:hint="eastAsia" w:ascii="宋体" w:hAnsi="宋体"/>
          <w:kern w:val="2"/>
          <w:sz w:val="21"/>
          <w:szCs w:val="21"/>
        </w:rPr>
        <w:t xml:space="preserve">1.3  </w:t>
      </w:r>
      <w:bookmarkEnd w:id="157"/>
      <w:r>
        <w:rPr>
          <w:rFonts w:hint="eastAsia" w:ascii="宋体" w:hAnsi="宋体" w:cs="宋体"/>
          <w:kern w:val="2"/>
          <w:sz w:val="21"/>
          <w:szCs w:val="21"/>
        </w:rPr>
        <w:t>竞争性比选范围、工期和质量要求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1.3.1  </w:t>
      </w:r>
      <w:r>
        <w:rPr>
          <w:rFonts w:hint="eastAsia" w:ascii="宋体" w:hAnsi="宋体" w:cs="宋体"/>
          <w:kern w:val="0"/>
          <w:szCs w:val="21"/>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1.3.2  </w:t>
      </w:r>
      <w:r>
        <w:rPr>
          <w:rFonts w:hint="eastAsia" w:ascii="宋体" w:hAnsi="宋体" w:cs="宋体"/>
          <w:kern w:val="0"/>
          <w:szCs w:val="21"/>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lang w:bidi="ar"/>
        </w:rPr>
      </w:pPr>
      <w:r>
        <w:rPr>
          <w:rFonts w:hint="eastAsia" w:ascii="宋体" w:hAnsi="宋体" w:cs="Calibri"/>
          <w:kern w:val="0"/>
          <w:szCs w:val="21"/>
          <w:lang w:bidi="ar"/>
        </w:rPr>
        <w:t xml:space="preserve">1.3.3  </w:t>
      </w:r>
      <w:r>
        <w:rPr>
          <w:rFonts w:hint="eastAsia" w:ascii="宋体" w:hAnsi="宋体" w:cs="宋体"/>
          <w:kern w:val="0"/>
          <w:szCs w:val="21"/>
          <w:lang w:bidi="ar"/>
        </w:rPr>
        <w:t>本项目的质量要求：见报价人须知前附表。</w:t>
      </w:r>
    </w:p>
    <w:p>
      <w:pPr>
        <w:autoSpaceDE w:val="0"/>
        <w:autoSpaceDN w:val="0"/>
        <w:adjustRightInd w:val="0"/>
        <w:spacing w:line="300" w:lineRule="exact"/>
        <w:ind w:left="359" w:leftChars="171"/>
        <w:jc w:val="left"/>
      </w:pPr>
      <w:r>
        <w:rPr>
          <w:rFonts w:hint="eastAsia" w:ascii="宋体" w:hAnsi="宋体" w:cs="Calibri"/>
          <w:kern w:val="0"/>
          <w:szCs w:val="21"/>
          <w:lang w:bidi="ar"/>
        </w:rPr>
        <w:t xml:space="preserve">1.3.4  </w:t>
      </w:r>
      <w:r>
        <w:rPr>
          <w:rFonts w:hint="eastAsia" w:ascii="宋体" w:hAnsi="宋体" w:cs="宋体"/>
          <w:kern w:val="0"/>
          <w:szCs w:val="21"/>
          <w:lang w:bidi="ar"/>
        </w:rPr>
        <w:t>本项目的安全目标：见报价人须知前附表。</w:t>
      </w:r>
    </w:p>
    <w:p>
      <w:pPr>
        <w:pStyle w:val="5"/>
        <w:widowControl/>
        <w:spacing w:before="0" w:after="0" w:line="300" w:lineRule="exact"/>
        <w:rPr>
          <w:rFonts w:ascii="宋体" w:hAnsi="宋体"/>
          <w:kern w:val="2"/>
          <w:sz w:val="21"/>
          <w:szCs w:val="21"/>
        </w:rPr>
      </w:pPr>
      <w:bookmarkStart w:id="158" w:name="_Toc200513131"/>
      <w:bookmarkEnd w:id="158"/>
      <w:bookmarkStart w:id="159" w:name="_Toc4661432"/>
      <w:bookmarkEnd w:id="159"/>
      <w:bookmarkStart w:id="160" w:name="_Toc40780258"/>
      <w:bookmarkEnd w:id="160"/>
      <w:bookmarkStart w:id="161" w:name="_Toc40455649"/>
      <w:bookmarkEnd w:id="161"/>
      <w:bookmarkStart w:id="162" w:name="_Toc4661674"/>
      <w:bookmarkEnd w:id="162"/>
      <w:bookmarkStart w:id="163" w:name="_Toc15725"/>
      <w:bookmarkEnd w:id="163"/>
      <w:bookmarkStart w:id="164" w:name="_Toc4661910"/>
      <w:bookmarkEnd w:id="164"/>
      <w:bookmarkStart w:id="165" w:name="_Toc4662146"/>
      <w:bookmarkEnd w:id="165"/>
      <w:bookmarkStart w:id="166" w:name="_Toc40455276"/>
      <w:bookmarkEnd w:id="166"/>
      <w:bookmarkStart w:id="167" w:name="_Toc287607751"/>
      <w:bookmarkEnd w:id="167"/>
      <w:bookmarkStart w:id="168" w:name="_Toc224103322"/>
      <w:bookmarkEnd w:id="168"/>
      <w:bookmarkStart w:id="169" w:name="_Toc277082557"/>
      <w:r>
        <w:rPr>
          <w:rFonts w:hint="eastAsia" w:ascii="宋体" w:hAnsi="宋体"/>
          <w:kern w:val="2"/>
          <w:sz w:val="21"/>
          <w:szCs w:val="21"/>
        </w:rPr>
        <w:t xml:space="preserve">1.4  </w:t>
      </w:r>
      <w:bookmarkEnd w:id="169"/>
      <w:r>
        <w:rPr>
          <w:rFonts w:hint="eastAsia" w:ascii="宋体" w:hAnsi="宋体" w:cs="宋体"/>
          <w:kern w:val="2"/>
          <w:sz w:val="21"/>
          <w:szCs w:val="21"/>
        </w:rPr>
        <w:t>报价人资格要求</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1.4.1 </w:t>
      </w:r>
      <w:r>
        <w:rPr>
          <w:rFonts w:hint="eastAsia" w:ascii="宋体" w:hAnsi="宋体" w:cs="宋体"/>
          <w:kern w:val="0"/>
          <w:szCs w:val="21"/>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w:t>
      </w:r>
      <w:r>
        <w:rPr>
          <w:rFonts w:hint="eastAsia" w:ascii="宋体" w:hAnsi="宋体" w:cs="宋体"/>
          <w:szCs w:val="21"/>
          <w:lang w:bidi="ar"/>
        </w:rPr>
        <w:t>营业执照、资质要求</w:t>
      </w:r>
      <w:r>
        <w:rPr>
          <w:rFonts w:hint="eastAsia" w:ascii="宋体" w:hAnsi="宋体" w:cs="宋体"/>
          <w:kern w:val="0"/>
          <w:szCs w:val="21"/>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lang w:bidi="ar"/>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）信誉要求：见报价人须知前附表。</w:t>
      </w:r>
    </w:p>
    <w:p>
      <w:pPr>
        <w:autoSpaceDE w:val="0"/>
        <w:autoSpaceDN w:val="0"/>
        <w:adjustRightInd w:val="0"/>
        <w:spacing w:line="300" w:lineRule="exact"/>
        <w:ind w:firstLine="357" w:firstLineChars="170"/>
        <w:jc w:val="left"/>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1.4.2  </w:t>
      </w:r>
      <w:r>
        <w:rPr>
          <w:rFonts w:hint="eastAsia" w:ascii="宋体" w:hAnsi="宋体" w:cs="宋体"/>
          <w:kern w:val="0"/>
          <w:szCs w:val="21"/>
          <w:lang w:bidi="ar"/>
        </w:rPr>
        <w:t>报价人须知前附表规定接受联合体投标的，除应符合本章第</w:t>
      </w:r>
      <w:r>
        <w:rPr>
          <w:rFonts w:hint="eastAsia" w:ascii="宋体" w:hAnsi="宋体" w:cs="Calibri"/>
          <w:kern w:val="0"/>
          <w:szCs w:val="21"/>
          <w:lang w:bidi="ar"/>
        </w:rPr>
        <w:t>1.4.1</w:t>
      </w:r>
      <w:r>
        <w:rPr>
          <w:rFonts w:hint="eastAsia" w:ascii="宋体" w:hAnsi="宋体" w:cs="宋体"/>
          <w:kern w:val="0"/>
          <w:szCs w:val="21"/>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1.4.3  </w:t>
      </w:r>
      <w:r>
        <w:rPr>
          <w:rFonts w:hint="eastAsia" w:ascii="宋体" w:hAnsi="宋体" w:cs="宋体"/>
          <w:kern w:val="0"/>
          <w:szCs w:val="21"/>
          <w:lang w:bidi="ar"/>
        </w:rPr>
        <w:t>报价人不得存在下列情形之一：</w:t>
      </w:r>
    </w:p>
    <w:p>
      <w:pPr>
        <w:autoSpaceDE w:val="0"/>
        <w:autoSpaceDN w:val="0"/>
        <w:adjustRightInd w:val="0"/>
        <w:spacing w:line="300" w:lineRule="exact"/>
        <w:ind w:firstLine="420"/>
        <w:jc w:val="left"/>
        <w:rPr>
          <w:rFonts w:ascii="宋体" w:hAnsi="宋体" w:cs="MingLiU"/>
          <w:kern w:val="0"/>
          <w:szCs w:val="21"/>
        </w:rPr>
      </w:pPr>
      <w:bookmarkStart w:id="170" w:name="_Toc4661433"/>
      <w:bookmarkEnd w:id="170"/>
      <w:bookmarkStart w:id="171" w:name="_Toc224103323"/>
      <w:bookmarkEnd w:id="171"/>
      <w:bookmarkStart w:id="172" w:name="_Toc277082558"/>
      <w:bookmarkEnd w:id="172"/>
      <w:bookmarkStart w:id="173" w:name="_Toc4661911"/>
      <w:bookmarkEnd w:id="173"/>
      <w:bookmarkStart w:id="174" w:name="_Toc4661675"/>
      <w:bookmarkEnd w:id="174"/>
      <w:bookmarkStart w:id="175" w:name="_Toc40455650"/>
      <w:bookmarkEnd w:id="175"/>
      <w:bookmarkStart w:id="176" w:name="_Toc40455277"/>
      <w:bookmarkEnd w:id="176"/>
      <w:bookmarkStart w:id="177" w:name="_Toc40780259"/>
      <w:bookmarkEnd w:id="177"/>
      <w:bookmarkStart w:id="178" w:name="_Toc200513132"/>
      <w:bookmarkEnd w:id="178"/>
      <w:bookmarkStart w:id="179" w:name="_Toc287607752"/>
      <w:bookmarkEnd w:id="179"/>
      <w:bookmarkStart w:id="180" w:name="_Toc4662147"/>
      <w:bookmarkEnd w:id="180"/>
      <w:bookmarkStart w:id="181" w:name="_Toc23688"/>
      <w:r>
        <w:rPr>
          <w:rFonts w:hint="eastAsia" w:ascii="宋体" w:hAnsi="宋体" w:cs="宋体"/>
          <w:kern w:val="0"/>
          <w:szCs w:val="21"/>
          <w:lang w:bidi="ar"/>
        </w:rPr>
        <w:t>（</w:t>
      </w:r>
      <w:r>
        <w:rPr>
          <w:rFonts w:hint="eastAsia" w:ascii="宋体" w:hAnsi="宋体" w:cs="MingLiU"/>
          <w:kern w:val="0"/>
          <w:szCs w:val="21"/>
          <w:lang w:bidi="ar"/>
        </w:rPr>
        <w:t>1）与采购人存在利害关系且可能影响竞争性比选公正性；</w:t>
      </w:r>
      <w:bookmarkEnd w:id="181"/>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15）法律法规或报价人须知前附表规定的其他情形。</w:t>
      </w:r>
    </w:p>
    <w:p>
      <w:pPr>
        <w:pStyle w:val="5"/>
        <w:widowControl/>
        <w:spacing w:before="0" w:after="0" w:line="300" w:lineRule="exact"/>
        <w:rPr>
          <w:rFonts w:ascii="宋体" w:hAnsi="宋体"/>
          <w:kern w:val="2"/>
          <w:sz w:val="21"/>
          <w:szCs w:val="21"/>
        </w:rPr>
      </w:pPr>
      <w:r>
        <w:rPr>
          <w:rFonts w:hint="eastAsia" w:ascii="宋体" w:hAnsi="宋体"/>
          <w:kern w:val="2"/>
          <w:sz w:val="21"/>
          <w:szCs w:val="21"/>
        </w:rPr>
        <w:t>1.5  费用承担</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报价人准备和参加竞争性比选活动发生的费用自理。</w:t>
      </w:r>
    </w:p>
    <w:p>
      <w:pPr>
        <w:pStyle w:val="5"/>
        <w:widowControl/>
        <w:spacing w:before="0" w:after="0" w:line="300" w:lineRule="exact"/>
        <w:rPr>
          <w:rFonts w:ascii="宋体" w:hAnsi="宋体"/>
          <w:kern w:val="2"/>
          <w:sz w:val="21"/>
          <w:szCs w:val="21"/>
        </w:rPr>
      </w:pPr>
      <w:bookmarkStart w:id="182" w:name="_Toc706"/>
      <w:bookmarkEnd w:id="182"/>
      <w:bookmarkStart w:id="183" w:name="_Toc40455651"/>
      <w:bookmarkEnd w:id="183"/>
      <w:bookmarkStart w:id="184" w:name="_Toc287607753"/>
      <w:bookmarkEnd w:id="184"/>
      <w:bookmarkStart w:id="185" w:name="_Toc4661676"/>
      <w:bookmarkEnd w:id="185"/>
      <w:bookmarkStart w:id="186" w:name="_Toc224103324"/>
      <w:bookmarkEnd w:id="186"/>
      <w:bookmarkStart w:id="187" w:name="_Toc4661434"/>
      <w:bookmarkEnd w:id="187"/>
      <w:bookmarkStart w:id="188" w:name="_Toc277082559"/>
      <w:bookmarkEnd w:id="188"/>
      <w:bookmarkStart w:id="189" w:name="_Toc40455278"/>
      <w:bookmarkEnd w:id="189"/>
      <w:bookmarkStart w:id="190" w:name="_Toc4662148"/>
      <w:bookmarkEnd w:id="190"/>
      <w:bookmarkStart w:id="191" w:name="_Toc200513133"/>
      <w:bookmarkEnd w:id="191"/>
      <w:bookmarkStart w:id="192" w:name="_Toc4661912"/>
      <w:bookmarkEnd w:id="192"/>
      <w:bookmarkStart w:id="193" w:name="_Toc40780260"/>
      <w:r>
        <w:rPr>
          <w:rFonts w:hint="eastAsia" w:ascii="宋体" w:hAnsi="宋体"/>
          <w:kern w:val="2"/>
          <w:sz w:val="21"/>
          <w:szCs w:val="21"/>
        </w:rPr>
        <w:t xml:space="preserve">1.6  </w:t>
      </w:r>
      <w:bookmarkEnd w:id="193"/>
      <w:r>
        <w:rPr>
          <w:rFonts w:hint="eastAsia" w:ascii="宋体" w:hAnsi="宋体" w:cs="宋体"/>
          <w:kern w:val="2"/>
          <w:sz w:val="21"/>
          <w:szCs w:val="21"/>
        </w:rPr>
        <w:t>保密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参与竞争性比选投标活动的各方应对竞争性比选文件和比选响应文件中的商业和技术等秘密保密，违者应对由此造成的后果承担法律责任。</w:t>
      </w:r>
    </w:p>
    <w:p>
      <w:pPr>
        <w:pStyle w:val="5"/>
        <w:widowControl/>
        <w:spacing w:before="0" w:after="0" w:line="300" w:lineRule="exact"/>
        <w:rPr>
          <w:rFonts w:ascii="宋体" w:hAnsi="宋体"/>
          <w:kern w:val="2"/>
          <w:sz w:val="21"/>
          <w:szCs w:val="21"/>
        </w:rPr>
      </w:pPr>
      <w:bookmarkStart w:id="194" w:name="_Toc4264"/>
      <w:bookmarkEnd w:id="194"/>
      <w:bookmarkStart w:id="195" w:name="_Toc277082560"/>
      <w:bookmarkEnd w:id="195"/>
      <w:bookmarkStart w:id="196" w:name="_Toc4661435"/>
      <w:bookmarkEnd w:id="196"/>
      <w:bookmarkStart w:id="197" w:name="_Toc40455652"/>
      <w:bookmarkEnd w:id="197"/>
      <w:bookmarkStart w:id="198" w:name="_Toc40455279"/>
      <w:bookmarkEnd w:id="198"/>
      <w:bookmarkStart w:id="199" w:name="_Toc224103325"/>
      <w:bookmarkEnd w:id="199"/>
      <w:bookmarkStart w:id="200" w:name="_Toc287607754"/>
      <w:bookmarkEnd w:id="200"/>
      <w:bookmarkStart w:id="201" w:name="_Toc40780261"/>
      <w:bookmarkEnd w:id="201"/>
      <w:bookmarkStart w:id="202" w:name="_Toc4661913"/>
      <w:bookmarkEnd w:id="202"/>
      <w:bookmarkStart w:id="203" w:name="_Toc4661677"/>
      <w:bookmarkEnd w:id="203"/>
      <w:bookmarkStart w:id="204" w:name="_Toc200513134"/>
      <w:bookmarkEnd w:id="204"/>
      <w:bookmarkStart w:id="205" w:name="_Toc4662149"/>
      <w:r>
        <w:rPr>
          <w:rFonts w:hint="eastAsia" w:ascii="宋体" w:hAnsi="宋体"/>
          <w:kern w:val="2"/>
          <w:sz w:val="21"/>
          <w:szCs w:val="21"/>
        </w:rPr>
        <w:t xml:space="preserve">1.7  </w:t>
      </w:r>
      <w:bookmarkEnd w:id="205"/>
      <w:r>
        <w:rPr>
          <w:rFonts w:hint="eastAsia" w:ascii="宋体" w:hAnsi="宋体" w:cs="宋体"/>
          <w:kern w:val="2"/>
          <w:sz w:val="21"/>
          <w:szCs w:val="21"/>
        </w:rPr>
        <w:t>语言文字</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除专用术语外，与竞争性比选投标有关的语言均使用中文。必要时专用术语应附有中文注释。</w:t>
      </w:r>
    </w:p>
    <w:p>
      <w:pPr>
        <w:pStyle w:val="5"/>
        <w:widowControl/>
        <w:spacing w:before="0" w:after="0" w:line="300" w:lineRule="exact"/>
        <w:rPr>
          <w:rFonts w:ascii="宋体" w:hAnsi="宋体"/>
          <w:kern w:val="2"/>
          <w:sz w:val="21"/>
          <w:szCs w:val="21"/>
        </w:rPr>
      </w:pPr>
      <w:bookmarkStart w:id="206" w:name="_Toc4661678"/>
      <w:bookmarkEnd w:id="206"/>
      <w:bookmarkStart w:id="207" w:name="_Toc287607755"/>
      <w:bookmarkEnd w:id="207"/>
      <w:bookmarkStart w:id="208" w:name="_Toc4662150"/>
      <w:bookmarkEnd w:id="208"/>
      <w:bookmarkStart w:id="209" w:name="_Toc934"/>
      <w:bookmarkEnd w:id="209"/>
      <w:bookmarkStart w:id="210" w:name="_Toc40455280"/>
      <w:bookmarkEnd w:id="210"/>
      <w:bookmarkStart w:id="211" w:name="_Toc40780262"/>
      <w:bookmarkEnd w:id="211"/>
      <w:bookmarkStart w:id="212" w:name="_Toc4661436"/>
      <w:bookmarkEnd w:id="212"/>
      <w:bookmarkStart w:id="213" w:name="_Toc224103326"/>
      <w:bookmarkEnd w:id="213"/>
      <w:bookmarkStart w:id="214" w:name="_Toc200513135"/>
      <w:bookmarkEnd w:id="214"/>
      <w:bookmarkStart w:id="215" w:name="_Toc277082561"/>
      <w:bookmarkEnd w:id="215"/>
      <w:bookmarkStart w:id="216" w:name="_Toc40455653"/>
      <w:bookmarkEnd w:id="216"/>
      <w:bookmarkStart w:id="217" w:name="_Toc4661914"/>
      <w:r>
        <w:rPr>
          <w:rFonts w:hint="eastAsia" w:ascii="宋体" w:hAnsi="宋体"/>
          <w:kern w:val="2"/>
          <w:sz w:val="21"/>
          <w:szCs w:val="21"/>
        </w:rPr>
        <w:t xml:space="preserve">1.8  </w:t>
      </w:r>
      <w:bookmarkEnd w:id="217"/>
      <w:r>
        <w:rPr>
          <w:rFonts w:hint="eastAsia" w:ascii="宋体" w:hAnsi="宋体" w:cs="宋体"/>
          <w:kern w:val="2"/>
          <w:sz w:val="21"/>
          <w:szCs w:val="21"/>
        </w:rPr>
        <w:t>计量单位</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宋体"/>
          <w:kern w:val="0"/>
          <w:szCs w:val="21"/>
          <w:lang w:bidi="ar"/>
        </w:rPr>
        <w:t>所有计量均采用中华人民共和国法定计量单位。</w:t>
      </w:r>
    </w:p>
    <w:p>
      <w:pPr>
        <w:pStyle w:val="5"/>
        <w:widowControl/>
        <w:spacing w:before="0" w:after="0" w:line="300" w:lineRule="exact"/>
        <w:rPr>
          <w:rFonts w:ascii="宋体" w:hAnsi="宋体"/>
          <w:kern w:val="2"/>
          <w:sz w:val="21"/>
          <w:szCs w:val="21"/>
        </w:rPr>
      </w:pPr>
      <w:bookmarkStart w:id="218" w:name="_Toc4661679"/>
      <w:bookmarkEnd w:id="218"/>
      <w:bookmarkStart w:id="219" w:name="_Toc277082562"/>
      <w:bookmarkEnd w:id="219"/>
      <w:bookmarkStart w:id="220" w:name="_Toc14666"/>
      <w:bookmarkEnd w:id="220"/>
      <w:bookmarkStart w:id="221" w:name="_Toc224103327"/>
      <w:bookmarkEnd w:id="221"/>
      <w:bookmarkStart w:id="222" w:name="_Toc4661437"/>
      <w:bookmarkEnd w:id="222"/>
      <w:bookmarkStart w:id="223" w:name="_Toc40455281"/>
      <w:bookmarkEnd w:id="223"/>
      <w:bookmarkStart w:id="224" w:name="_Toc200513136"/>
      <w:bookmarkEnd w:id="224"/>
      <w:bookmarkStart w:id="225" w:name="_Toc287607756"/>
      <w:bookmarkEnd w:id="225"/>
      <w:bookmarkStart w:id="226" w:name="_Toc40455654"/>
      <w:bookmarkEnd w:id="226"/>
      <w:bookmarkStart w:id="227" w:name="_Toc4661915"/>
      <w:bookmarkEnd w:id="227"/>
      <w:bookmarkStart w:id="228" w:name="_Toc4662151"/>
      <w:bookmarkEnd w:id="228"/>
      <w:bookmarkStart w:id="229" w:name="_Toc40780263"/>
      <w:r>
        <w:rPr>
          <w:rFonts w:hint="eastAsia" w:ascii="宋体" w:hAnsi="宋体"/>
          <w:kern w:val="2"/>
          <w:sz w:val="21"/>
          <w:szCs w:val="21"/>
        </w:rPr>
        <w:t xml:space="preserve">1.9  </w:t>
      </w:r>
      <w:bookmarkEnd w:id="229"/>
      <w:r>
        <w:rPr>
          <w:rFonts w:hint="eastAsia" w:ascii="宋体" w:hAnsi="宋体" w:cs="宋体"/>
          <w:kern w:val="2"/>
          <w:sz w:val="21"/>
          <w:szCs w:val="21"/>
        </w:rPr>
        <w:t>踏勘现场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1.9.1  </w:t>
      </w:r>
      <w:r>
        <w:rPr>
          <w:rFonts w:hint="eastAsia" w:ascii="宋体" w:hAnsi="宋体" w:cs="宋体"/>
          <w:kern w:val="0"/>
          <w:szCs w:val="21"/>
          <w:lang w:bidi="ar"/>
        </w:rPr>
        <w:t>报价人须知前附表规定组织踏勘现场的，采购人按报价人须知前附表规定的时间、</w:t>
      </w:r>
      <w:r>
        <w:rPr>
          <w:rFonts w:hint="eastAsia" w:ascii="宋体" w:hAnsi="宋体" w:cs="MingLiU"/>
          <w:kern w:val="0"/>
          <w:szCs w:val="21"/>
          <w:lang w:bidi="ar"/>
        </w:rPr>
        <w:t xml:space="preserve"> </w:t>
      </w:r>
      <w:r>
        <w:rPr>
          <w:rFonts w:hint="eastAsia" w:ascii="宋体" w:hAnsi="宋体" w:cs="宋体"/>
          <w:kern w:val="0"/>
          <w:szCs w:val="21"/>
          <w:lang w:bidi="ar"/>
        </w:rPr>
        <w:t>地点组织报价人踏勘项目现场。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1.9.2  </w:t>
      </w:r>
      <w:r>
        <w:rPr>
          <w:rFonts w:hint="eastAsia" w:ascii="宋体" w:hAnsi="宋体" w:cs="宋体"/>
          <w:kern w:val="0"/>
          <w:szCs w:val="21"/>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1.9.3  </w:t>
      </w:r>
      <w:r>
        <w:rPr>
          <w:rFonts w:hint="eastAsia" w:ascii="宋体" w:hAnsi="宋体" w:cs="宋体"/>
          <w:kern w:val="0"/>
          <w:szCs w:val="21"/>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1.9.4  </w:t>
      </w:r>
      <w:r>
        <w:rPr>
          <w:rFonts w:hint="eastAsia" w:ascii="宋体" w:hAnsi="宋体" w:cs="宋体"/>
          <w:kern w:val="0"/>
          <w:szCs w:val="21"/>
          <w:lang w:bidi="ar"/>
        </w:rPr>
        <w:t>采购人在踏勘现场中介绍的工程场地和相关的周边环境情况，供报价人在编制投</w:t>
      </w:r>
      <w:r>
        <w:rPr>
          <w:rFonts w:hint="eastAsia" w:ascii="宋体" w:hAnsi="宋体" w:cs="Calibri"/>
          <w:kern w:val="0"/>
          <w:szCs w:val="21"/>
          <w:lang w:bidi="ar"/>
        </w:rPr>
        <w:t xml:space="preserve"> </w:t>
      </w:r>
      <w:r>
        <w:rPr>
          <w:rFonts w:hint="eastAsia" w:ascii="宋体" w:hAnsi="宋体" w:cs="宋体"/>
          <w:kern w:val="0"/>
          <w:szCs w:val="21"/>
          <w:lang w:bidi="ar"/>
        </w:rPr>
        <w:t>标文件时参考，采购人不对报价人据此做出的判断和决策负责。</w:t>
      </w:r>
    </w:p>
    <w:p>
      <w:pPr>
        <w:pStyle w:val="5"/>
        <w:widowControl/>
        <w:spacing w:before="0" w:after="0" w:line="300" w:lineRule="exact"/>
        <w:rPr>
          <w:rFonts w:ascii="宋体" w:hAnsi="宋体"/>
          <w:kern w:val="2"/>
          <w:sz w:val="21"/>
          <w:szCs w:val="21"/>
        </w:rPr>
      </w:pPr>
      <w:bookmarkStart w:id="230" w:name="_Toc224103328"/>
      <w:bookmarkEnd w:id="230"/>
      <w:bookmarkStart w:id="231" w:name="_Toc40455282"/>
      <w:bookmarkEnd w:id="231"/>
      <w:bookmarkStart w:id="232" w:name="_Toc40780264"/>
      <w:bookmarkEnd w:id="232"/>
      <w:bookmarkStart w:id="233" w:name="_Toc4661438"/>
      <w:bookmarkEnd w:id="233"/>
      <w:bookmarkStart w:id="234" w:name="_Toc200513137"/>
      <w:bookmarkEnd w:id="234"/>
      <w:bookmarkStart w:id="235" w:name="_Toc32378"/>
      <w:bookmarkEnd w:id="235"/>
      <w:bookmarkStart w:id="236" w:name="_Toc277082563"/>
      <w:bookmarkEnd w:id="236"/>
      <w:bookmarkStart w:id="237" w:name="_Toc287607757"/>
      <w:bookmarkEnd w:id="237"/>
      <w:bookmarkStart w:id="238" w:name="_Toc4662152"/>
      <w:bookmarkEnd w:id="238"/>
      <w:bookmarkStart w:id="239" w:name="_Toc4661680"/>
      <w:bookmarkEnd w:id="239"/>
      <w:bookmarkStart w:id="240" w:name="_Toc4661916"/>
      <w:bookmarkEnd w:id="240"/>
      <w:bookmarkStart w:id="241" w:name="_Toc40455655"/>
      <w:r>
        <w:rPr>
          <w:rFonts w:hint="eastAsia" w:ascii="宋体" w:hAnsi="宋体"/>
          <w:kern w:val="2"/>
          <w:sz w:val="21"/>
          <w:szCs w:val="21"/>
        </w:rPr>
        <w:t xml:space="preserve">1.10  </w:t>
      </w:r>
      <w:bookmarkEnd w:id="241"/>
      <w:r>
        <w:rPr>
          <w:rFonts w:hint="eastAsia" w:ascii="宋体" w:hAnsi="宋体" w:cs="宋体"/>
          <w:kern w:val="2"/>
          <w:sz w:val="21"/>
          <w:szCs w:val="21"/>
        </w:rPr>
        <w:t>投标预备会</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1.10.1  </w:t>
      </w:r>
      <w:r>
        <w:rPr>
          <w:rFonts w:hint="eastAsia" w:ascii="宋体" w:hAnsi="宋体" w:cs="宋体"/>
          <w:kern w:val="0"/>
          <w:szCs w:val="21"/>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1.10.2  </w:t>
      </w:r>
      <w:r>
        <w:rPr>
          <w:rFonts w:hint="eastAsia" w:ascii="宋体" w:hAnsi="宋体" w:cs="宋体"/>
          <w:kern w:val="0"/>
          <w:szCs w:val="21"/>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szCs w:val="21"/>
          <w:lang w:bidi="ar"/>
        </w:rPr>
        <w:t xml:space="preserve">1.10.3  </w:t>
      </w:r>
      <w:r>
        <w:rPr>
          <w:rFonts w:hint="eastAsia" w:ascii="宋体" w:hAnsi="宋体" w:cs="宋体"/>
          <w:kern w:val="0"/>
          <w:szCs w:val="21"/>
          <w:lang w:bidi="ar"/>
        </w:rPr>
        <w:t>投标预备会后，采购人在报价人须知前附表规定的时间内，将对报价人所提问题</w:t>
      </w:r>
      <w:r>
        <w:rPr>
          <w:rFonts w:hint="eastAsia" w:ascii="宋体" w:hAnsi="宋体" w:cs="宋体"/>
          <w:kern w:val="0"/>
          <w:position w:val="-2"/>
          <w:szCs w:val="21"/>
          <w:lang w:bidi="ar"/>
        </w:rPr>
        <w:t>的澄清，以书面方式通知所有购买竞争性比选文件的报价人。该澄清内容为竞争性比选文件的组成部分。</w:t>
      </w:r>
    </w:p>
    <w:p>
      <w:pPr>
        <w:pStyle w:val="5"/>
        <w:widowControl/>
        <w:spacing w:before="0" w:after="0" w:line="300" w:lineRule="exact"/>
        <w:rPr>
          <w:rFonts w:ascii="宋体" w:hAnsi="宋体"/>
          <w:kern w:val="2"/>
          <w:sz w:val="21"/>
          <w:szCs w:val="21"/>
        </w:rPr>
      </w:pPr>
      <w:bookmarkStart w:id="242" w:name="_Toc277082564"/>
      <w:bookmarkEnd w:id="242"/>
      <w:bookmarkStart w:id="243" w:name="_Toc4661439"/>
      <w:bookmarkEnd w:id="243"/>
      <w:bookmarkStart w:id="244" w:name="_Toc4662153"/>
      <w:bookmarkEnd w:id="244"/>
      <w:bookmarkStart w:id="245" w:name="_Toc1732"/>
      <w:bookmarkEnd w:id="245"/>
      <w:bookmarkStart w:id="246" w:name="_Toc40455283"/>
      <w:bookmarkEnd w:id="246"/>
      <w:bookmarkStart w:id="247" w:name="_Toc4661917"/>
      <w:bookmarkEnd w:id="247"/>
      <w:bookmarkStart w:id="248" w:name="_Toc40780265"/>
      <w:bookmarkEnd w:id="248"/>
      <w:bookmarkStart w:id="249" w:name="_Toc287607758"/>
      <w:bookmarkEnd w:id="249"/>
      <w:bookmarkStart w:id="250" w:name="_Toc40455656"/>
      <w:bookmarkEnd w:id="250"/>
      <w:bookmarkStart w:id="251" w:name="_Toc224103329"/>
      <w:bookmarkEnd w:id="251"/>
      <w:bookmarkStart w:id="252" w:name="_Toc4661681"/>
      <w:bookmarkEnd w:id="252"/>
      <w:bookmarkStart w:id="253" w:name="_Toc200513138"/>
      <w:r>
        <w:rPr>
          <w:rFonts w:hint="eastAsia" w:ascii="宋体" w:hAnsi="宋体"/>
          <w:kern w:val="2"/>
          <w:sz w:val="21"/>
          <w:szCs w:val="21"/>
        </w:rPr>
        <w:t xml:space="preserve">1.11  </w:t>
      </w:r>
      <w:bookmarkEnd w:id="253"/>
      <w:r>
        <w:rPr>
          <w:rFonts w:hint="eastAsia" w:ascii="宋体" w:hAnsi="宋体" w:cs="宋体"/>
          <w:kern w:val="2"/>
          <w:sz w:val="21"/>
          <w:szCs w:val="21"/>
        </w:rPr>
        <w:t>分包</w:t>
      </w:r>
    </w:p>
    <w:p>
      <w:pPr>
        <w:pStyle w:val="5"/>
        <w:widowControl/>
        <w:spacing w:before="0" w:after="0" w:line="300" w:lineRule="exact"/>
        <w:rPr>
          <w:rFonts w:ascii="宋体" w:hAnsi="宋体" w:cs="MingLiU"/>
          <w:b w:val="0"/>
          <w:sz w:val="21"/>
          <w:szCs w:val="21"/>
        </w:rPr>
      </w:pPr>
      <w:bookmarkStart w:id="254" w:name="_Toc200513139"/>
      <w:bookmarkEnd w:id="254"/>
      <w:bookmarkStart w:id="255" w:name="_Toc277082565"/>
      <w:bookmarkEnd w:id="255"/>
      <w:bookmarkStart w:id="256" w:name="_Toc4661918"/>
      <w:bookmarkEnd w:id="256"/>
      <w:bookmarkStart w:id="257" w:name="_Toc1991"/>
      <w:bookmarkEnd w:id="257"/>
      <w:bookmarkStart w:id="258" w:name="_Toc4662154"/>
      <w:bookmarkEnd w:id="258"/>
      <w:bookmarkStart w:id="259" w:name="_Toc4661440"/>
      <w:bookmarkEnd w:id="259"/>
      <w:bookmarkStart w:id="260" w:name="_Toc40455657"/>
      <w:bookmarkEnd w:id="260"/>
      <w:bookmarkStart w:id="261" w:name="_Toc4661682"/>
      <w:bookmarkEnd w:id="261"/>
      <w:bookmarkStart w:id="262" w:name="_Toc40780266"/>
      <w:bookmarkEnd w:id="262"/>
      <w:bookmarkStart w:id="263" w:name="_Toc40455284"/>
      <w:bookmarkEnd w:id="263"/>
      <w:bookmarkStart w:id="264" w:name="_Toc287607759"/>
      <w:bookmarkEnd w:id="264"/>
      <w:bookmarkStart w:id="265" w:name="_Toc224103330"/>
      <w:r>
        <w:rPr>
          <w:rFonts w:hint="eastAsia" w:ascii="宋体" w:hAnsi="宋体" w:cs="MingLiU"/>
          <w:b w:val="0"/>
          <w:sz w:val="21"/>
          <w:szCs w:val="21"/>
        </w:rPr>
        <w:t>1.11.1本项目竞争性比选范围内的内容如需分包，分包单位的确定须采购人书面批准同意。否则采购人均有权取消中标人资格。</w:t>
      </w:r>
      <w:bookmarkEnd w:id="265"/>
    </w:p>
    <w:p>
      <w:pPr>
        <w:pStyle w:val="5"/>
        <w:widowControl/>
        <w:spacing w:before="0" w:after="0" w:line="300" w:lineRule="exact"/>
        <w:rPr>
          <w:rFonts w:ascii="宋体" w:hAnsi="宋体" w:cs="MingLiU"/>
          <w:b w:val="0"/>
          <w:sz w:val="21"/>
          <w:szCs w:val="21"/>
        </w:rPr>
      </w:pPr>
      <w:r>
        <w:rPr>
          <w:rFonts w:hint="eastAsia" w:ascii="宋体" w:hAnsi="宋体" w:cs="MingLiU"/>
          <w:b w:val="0"/>
          <w:sz w:val="21"/>
          <w:szCs w:val="21"/>
        </w:rPr>
        <w:t>1.12  偏离</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报价人须知前附表允许比选响应文件偏离竞争性比选文件某些要求的，偏离应当符合竞争性比选文件规定</w:t>
      </w:r>
      <w:r>
        <w:rPr>
          <w:rFonts w:hint="eastAsia" w:ascii="宋体" w:hAnsi="宋体" w:cs="Calibri"/>
          <w:kern w:val="0"/>
          <w:szCs w:val="21"/>
          <w:lang w:bidi="ar"/>
        </w:rPr>
        <w:t xml:space="preserve"> </w:t>
      </w:r>
      <w:r>
        <w:rPr>
          <w:rFonts w:hint="eastAsia" w:ascii="宋体" w:hAnsi="宋体" w:cs="宋体"/>
          <w:kern w:val="0"/>
          <w:szCs w:val="21"/>
          <w:lang w:bidi="ar"/>
        </w:rPr>
        <w:t>的偏离范围和幅度。</w:t>
      </w:r>
    </w:p>
    <w:p>
      <w:pPr>
        <w:pStyle w:val="4"/>
        <w:widowControl/>
        <w:spacing w:before="0" w:after="0" w:line="300" w:lineRule="exact"/>
        <w:rPr>
          <w:rFonts w:ascii="宋体" w:hAnsi="宋体"/>
          <w:sz w:val="21"/>
          <w:szCs w:val="21"/>
        </w:rPr>
      </w:pPr>
      <w:bookmarkStart w:id="266" w:name="_Toc4661441"/>
      <w:bookmarkEnd w:id="266"/>
      <w:bookmarkStart w:id="267" w:name="_Toc30989"/>
      <w:bookmarkEnd w:id="267"/>
      <w:bookmarkStart w:id="268" w:name="_Toc4661919"/>
      <w:bookmarkEnd w:id="268"/>
      <w:bookmarkStart w:id="269" w:name="_Toc40455285"/>
      <w:bookmarkEnd w:id="269"/>
      <w:bookmarkStart w:id="270" w:name="_Toc4662155"/>
      <w:bookmarkEnd w:id="270"/>
      <w:bookmarkStart w:id="271" w:name="_Toc277082566"/>
      <w:bookmarkEnd w:id="271"/>
      <w:bookmarkStart w:id="272" w:name="_Toc200513140"/>
      <w:bookmarkEnd w:id="272"/>
      <w:bookmarkStart w:id="273" w:name="_Toc224103331"/>
      <w:bookmarkEnd w:id="273"/>
      <w:bookmarkStart w:id="274" w:name="_Toc4661683"/>
      <w:bookmarkEnd w:id="274"/>
      <w:bookmarkStart w:id="275" w:name="_Toc25763"/>
      <w:bookmarkEnd w:id="275"/>
      <w:bookmarkStart w:id="276" w:name="_Toc40455658"/>
      <w:bookmarkEnd w:id="276"/>
      <w:bookmarkStart w:id="277" w:name="_Toc143"/>
      <w:bookmarkEnd w:id="277"/>
      <w:bookmarkStart w:id="278" w:name="_Toc4806"/>
      <w:bookmarkEnd w:id="278"/>
      <w:bookmarkStart w:id="279" w:name="_Toc27390"/>
      <w:bookmarkEnd w:id="279"/>
      <w:bookmarkStart w:id="280" w:name="_Toc287607760"/>
      <w:bookmarkEnd w:id="280"/>
      <w:bookmarkStart w:id="281" w:name="_Toc24734"/>
      <w:bookmarkStart w:id="282" w:name="_Toc9275"/>
      <w:r>
        <w:rPr>
          <w:rFonts w:hint="eastAsia" w:ascii="宋体" w:hAnsi="宋体"/>
          <w:sz w:val="21"/>
          <w:szCs w:val="21"/>
        </w:rPr>
        <w:t xml:space="preserve">2.  </w:t>
      </w:r>
      <w:bookmarkEnd w:id="281"/>
      <w:r>
        <w:rPr>
          <w:rFonts w:hint="eastAsia" w:ascii="黑体" w:hAnsi="宋体" w:cs="黑体"/>
          <w:sz w:val="21"/>
          <w:szCs w:val="21"/>
        </w:rPr>
        <w:t>竞争性比选文件</w:t>
      </w:r>
      <w:bookmarkEnd w:id="282"/>
    </w:p>
    <w:p>
      <w:pPr>
        <w:pStyle w:val="5"/>
        <w:widowControl/>
        <w:spacing w:before="0" w:after="0" w:line="300" w:lineRule="exact"/>
        <w:rPr>
          <w:rFonts w:ascii="宋体" w:hAnsi="宋体"/>
          <w:kern w:val="2"/>
          <w:sz w:val="21"/>
          <w:szCs w:val="21"/>
        </w:rPr>
      </w:pPr>
      <w:bookmarkStart w:id="283" w:name="_Toc29861"/>
      <w:bookmarkEnd w:id="283"/>
      <w:bookmarkStart w:id="284" w:name="_Toc40455286"/>
      <w:bookmarkEnd w:id="284"/>
      <w:bookmarkStart w:id="285" w:name="_Toc277082567"/>
      <w:bookmarkEnd w:id="285"/>
      <w:bookmarkStart w:id="286" w:name="_Toc287607761"/>
      <w:bookmarkEnd w:id="286"/>
      <w:bookmarkStart w:id="287" w:name="_Toc4661920"/>
      <w:bookmarkEnd w:id="287"/>
      <w:bookmarkStart w:id="288" w:name="_Toc4662156"/>
      <w:bookmarkEnd w:id="288"/>
      <w:bookmarkStart w:id="289" w:name="_Toc200513141"/>
      <w:bookmarkEnd w:id="289"/>
      <w:bookmarkStart w:id="290" w:name="_Toc40455659"/>
      <w:bookmarkEnd w:id="290"/>
      <w:bookmarkStart w:id="291" w:name="_Toc4661684"/>
      <w:bookmarkEnd w:id="291"/>
      <w:bookmarkStart w:id="292" w:name="_Toc224103332"/>
      <w:bookmarkEnd w:id="292"/>
      <w:bookmarkStart w:id="293" w:name="_Toc40780268"/>
      <w:bookmarkEnd w:id="293"/>
      <w:bookmarkStart w:id="294" w:name="_Toc4661442"/>
      <w:r>
        <w:rPr>
          <w:rFonts w:hint="eastAsia" w:ascii="宋体" w:hAnsi="宋体"/>
          <w:kern w:val="2"/>
          <w:sz w:val="21"/>
          <w:szCs w:val="21"/>
        </w:rPr>
        <w:t xml:space="preserve">2.1  </w:t>
      </w:r>
      <w:bookmarkEnd w:id="294"/>
      <w:r>
        <w:rPr>
          <w:rFonts w:hint="eastAsia" w:ascii="宋体" w:hAnsi="宋体" w:cs="宋体"/>
          <w:kern w:val="2"/>
          <w:sz w:val="21"/>
          <w:szCs w:val="21"/>
        </w:rPr>
        <w:t>竞争性比选文件的组成</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本竞争性比选文件包括：</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）竞争性比选公告；</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）报价人须知；</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）评标办法；</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）合同条款及格式；</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）技术标准和要求；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）比选响应文件格式；</w:t>
      </w:r>
    </w:p>
    <w:p>
      <w:pPr>
        <w:pStyle w:val="169"/>
        <w:widowControl/>
        <w:spacing w:line="300" w:lineRule="exact"/>
        <w:ind w:firstLine="420"/>
        <w:rPr>
          <w:rFonts w:hint="default" w:cs="Calibri"/>
        </w:rPr>
      </w:pPr>
      <w:r>
        <w:rPr>
          <w:rFonts w:cs="宋体"/>
          <w:spacing w:val="0"/>
          <w:sz w:val="21"/>
          <w:szCs w:val="21"/>
        </w:rPr>
        <w:t>（</w:t>
      </w:r>
      <w:r>
        <w:rPr>
          <w:rFonts w:cs="MingLiU"/>
          <w:spacing w:val="0"/>
          <w:sz w:val="21"/>
          <w:szCs w:val="21"/>
        </w:rPr>
        <w:t>7）报价人须知前附表规定的其他材料。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根据本章第</w:t>
      </w:r>
      <w:r>
        <w:rPr>
          <w:rFonts w:hint="eastAsia" w:ascii="宋体" w:hAnsi="宋体" w:cs="Calibri"/>
          <w:kern w:val="0"/>
          <w:szCs w:val="21"/>
          <w:lang w:bidi="ar"/>
        </w:rPr>
        <w:t>1.10</w:t>
      </w:r>
      <w:r>
        <w:rPr>
          <w:rFonts w:hint="eastAsia" w:ascii="宋体" w:hAnsi="宋体" w:cs="宋体"/>
          <w:kern w:val="0"/>
          <w:szCs w:val="21"/>
          <w:lang w:bidi="ar"/>
        </w:rPr>
        <w:t>款、第</w:t>
      </w:r>
      <w:r>
        <w:rPr>
          <w:rFonts w:hint="eastAsia" w:ascii="宋体" w:hAnsi="宋体" w:cs="Calibri"/>
          <w:kern w:val="0"/>
          <w:szCs w:val="21"/>
          <w:lang w:bidi="ar"/>
        </w:rPr>
        <w:t>2.2</w:t>
      </w:r>
      <w:r>
        <w:rPr>
          <w:rFonts w:hint="eastAsia" w:ascii="宋体" w:hAnsi="宋体" w:cs="宋体"/>
          <w:kern w:val="0"/>
          <w:szCs w:val="21"/>
          <w:lang w:bidi="ar"/>
        </w:rPr>
        <w:t>款和第</w:t>
      </w:r>
      <w:r>
        <w:rPr>
          <w:rFonts w:hint="eastAsia" w:ascii="宋体" w:hAnsi="宋体" w:cs="Calibri"/>
          <w:kern w:val="0"/>
          <w:szCs w:val="21"/>
          <w:lang w:bidi="ar"/>
        </w:rPr>
        <w:t>2.3</w:t>
      </w:r>
      <w:r>
        <w:rPr>
          <w:rFonts w:hint="eastAsia" w:ascii="宋体" w:hAnsi="宋体" w:cs="宋体"/>
          <w:kern w:val="0"/>
          <w:szCs w:val="21"/>
          <w:lang w:bidi="ar"/>
        </w:rPr>
        <w:t>款对竞争性比选文件所作的澄清、修改，构成竞争性比选文件的组成部分。</w:t>
      </w:r>
    </w:p>
    <w:p>
      <w:pPr>
        <w:pStyle w:val="5"/>
        <w:widowControl/>
        <w:spacing w:before="0" w:after="0" w:line="300" w:lineRule="exact"/>
        <w:rPr>
          <w:rFonts w:ascii="宋体" w:hAnsi="宋体"/>
          <w:kern w:val="2"/>
          <w:sz w:val="21"/>
          <w:szCs w:val="21"/>
        </w:rPr>
      </w:pPr>
      <w:bookmarkStart w:id="295" w:name="_Toc4662157"/>
      <w:bookmarkEnd w:id="295"/>
      <w:bookmarkStart w:id="296" w:name="_Toc40780269"/>
      <w:bookmarkEnd w:id="296"/>
      <w:bookmarkStart w:id="297" w:name="_Toc40455660"/>
      <w:bookmarkEnd w:id="297"/>
      <w:bookmarkStart w:id="298" w:name="_Toc287607762"/>
      <w:bookmarkEnd w:id="298"/>
      <w:bookmarkStart w:id="299" w:name="_Toc224103333"/>
      <w:bookmarkEnd w:id="299"/>
      <w:bookmarkStart w:id="300" w:name="_Toc4661443"/>
      <w:bookmarkEnd w:id="300"/>
      <w:bookmarkStart w:id="301" w:name="_Toc277082568"/>
      <w:bookmarkEnd w:id="301"/>
      <w:bookmarkStart w:id="302" w:name="_Toc4661921"/>
      <w:bookmarkEnd w:id="302"/>
      <w:bookmarkStart w:id="303" w:name="_Toc200513142"/>
      <w:bookmarkEnd w:id="303"/>
      <w:bookmarkStart w:id="304" w:name="_Toc40455287"/>
      <w:bookmarkEnd w:id="304"/>
      <w:bookmarkStart w:id="305" w:name="_Toc32674"/>
      <w:bookmarkEnd w:id="305"/>
      <w:bookmarkStart w:id="306" w:name="_Toc4661685"/>
      <w:r>
        <w:rPr>
          <w:rFonts w:hint="eastAsia" w:ascii="宋体" w:hAnsi="宋体"/>
          <w:kern w:val="2"/>
          <w:sz w:val="21"/>
          <w:szCs w:val="21"/>
        </w:rPr>
        <w:t xml:space="preserve">2.2  </w:t>
      </w:r>
      <w:bookmarkEnd w:id="306"/>
      <w:r>
        <w:rPr>
          <w:rFonts w:hint="eastAsia" w:ascii="宋体" w:hAnsi="宋体" w:cs="宋体"/>
          <w:kern w:val="2"/>
          <w:sz w:val="21"/>
          <w:szCs w:val="21"/>
        </w:rPr>
        <w:t>竞争性比选文件的澄清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2.2.1  </w:t>
      </w:r>
      <w:r>
        <w:rPr>
          <w:rFonts w:hint="eastAsia" w:ascii="宋体" w:hAnsi="宋体" w:cs="宋体"/>
          <w:kern w:val="0"/>
          <w:szCs w:val="21"/>
          <w:lang w:bidi="ar"/>
        </w:rPr>
        <w:t>报价人应仔细阅读和检查竞争性比选文件的全部内容。如发现缺页或附件不全，应及时向采购人提出，以便补齐。如有疑问，应在报价人须知前附表规定的时间前在重庆市公共资源交易网</w:t>
      </w:r>
      <w:r>
        <w:fldChar w:fldCharType="begin"/>
      </w:r>
      <w:r>
        <w:instrText xml:space="preserve">HYPERLINK "http://www.cpcb.com.cn/Front.aspx/Zydy"</w:instrText>
      </w:r>
      <w:r>
        <w:fldChar w:fldCharType="separate"/>
      </w:r>
      <w:r>
        <w:rPr>
          <w:rStyle w:val="49"/>
          <w:rFonts w:hint="eastAsia" w:ascii="宋体" w:hAnsi="宋体" w:cs="宋体"/>
          <w:kern w:val="0"/>
        </w:rPr>
        <w:t>报价人</w:t>
      </w:r>
      <w:r>
        <w:rPr>
          <w:rStyle w:val="49"/>
          <w:rFonts w:hint="eastAsia" w:ascii="宋体" w:hAnsi="宋体" w:eastAsia="宋体" w:cs="宋体"/>
          <w:kern w:val="0"/>
        </w:rPr>
        <w:t>质疑区</w:t>
      </w:r>
      <w:r>
        <w:rPr>
          <w:rStyle w:val="49"/>
          <w:rFonts w:ascii="宋体" w:hAnsi="宋体" w:eastAsia="宋体" w:cs="宋体"/>
          <w:kern w:val="0"/>
        </w:rPr>
        <w:fldChar w:fldCharType="end"/>
      </w:r>
      <w:r>
        <w:rPr>
          <w:rFonts w:hint="eastAsia" w:ascii="宋体" w:hAnsi="宋体" w:cs="宋体"/>
          <w:kern w:val="0"/>
          <w:szCs w:val="21"/>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2.2.2  </w:t>
      </w:r>
      <w:r>
        <w:rPr>
          <w:rFonts w:hint="eastAsia" w:ascii="宋体" w:hAnsi="宋体" w:cs="宋体"/>
          <w:kern w:val="0"/>
          <w:szCs w:val="21"/>
          <w:lang w:bidi="ar"/>
        </w:rPr>
        <w:t>竞争性比选文件的澄清将在报价人须知前附表规定的投标截止时间</w:t>
      </w:r>
      <w:r>
        <w:rPr>
          <w:rFonts w:hint="eastAsia" w:ascii="宋体" w:hAnsi="宋体" w:cs="Calibri"/>
          <w:kern w:val="0"/>
          <w:szCs w:val="21"/>
          <w:lang w:bidi="ar"/>
        </w:rPr>
        <w:t>15</w:t>
      </w:r>
      <w:r>
        <w:rPr>
          <w:rFonts w:hint="eastAsia" w:ascii="宋体" w:hAnsi="宋体" w:cs="宋体"/>
          <w:kern w:val="0"/>
          <w:szCs w:val="21"/>
          <w:lang w:bidi="ar"/>
        </w:rPr>
        <w:t>天前在重庆市公共资源交易网答疑区发布答疑，但不指明澄清问题的来源。如果澄清发出的时间距投标截止时间不足</w:t>
      </w:r>
      <w:r>
        <w:rPr>
          <w:rFonts w:hint="eastAsia" w:ascii="宋体" w:hAnsi="宋体" w:cs="Calibri"/>
          <w:kern w:val="0"/>
          <w:szCs w:val="21"/>
          <w:lang w:bidi="ar"/>
        </w:rPr>
        <w:t>15</w:t>
      </w:r>
      <w:r>
        <w:rPr>
          <w:rFonts w:hint="eastAsia" w:ascii="宋体" w:hAnsi="宋体" w:cs="宋体"/>
          <w:kern w:val="0"/>
          <w:szCs w:val="21"/>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position w:val="-2"/>
          <w:szCs w:val="21"/>
          <w:lang w:bidi="ar"/>
        </w:rPr>
        <w:t xml:space="preserve">2.2.3  </w:t>
      </w:r>
      <w:r>
        <w:rPr>
          <w:rFonts w:hint="eastAsia" w:ascii="宋体" w:hAnsi="宋体" w:cs="宋体"/>
          <w:kern w:val="0"/>
          <w:szCs w:val="21"/>
          <w:lang w:bidi="ar"/>
        </w:rPr>
        <w:t>补遗内容可能影响比选响应文件编制的，须在投标截止时间2</w:t>
      </w:r>
      <w:r>
        <w:rPr>
          <w:rFonts w:hint="eastAsia" w:ascii="宋体" w:hAnsi="宋体" w:cs="MingLiU"/>
          <w:kern w:val="0"/>
          <w:szCs w:val="21"/>
          <w:lang w:bidi="ar"/>
        </w:rPr>
        <w:t>日前发布，发布时间至投标截止时间不足2日的，须相应延后投标截止时间。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MingLiU"/>
          <w:kern w:val="0"/>
          <w:szCs w:val="21"/>
          <w:lang w:bidi="ar"/>
        </w:rPr>
        <w:t xml:space="preserve">2.2.4  </w:t>
      </w:r>
      <w:r>
        <w:rPr>
          <w:rFonts w:hint="eastAsia" w:ascii="宋体" w:hAnsi="宋体" w:cs="宋体"/>
          <w:kern w:val="0"/>
          <w:position w:val="-2"/>
          <w:szCs w:val="21"/>
          <w:lang w:bidi="ar"/>
        </w:rPr>
        <w:t>报价人对竞争性比选文件和答疑补遗有异议的，应当在投标截止时间</w:t>
      </w:r>
      <w:r>
        <w:rPr>
          <w:rFonts w:hint="eastAsia" w:ascii="宋体" w:hAnsi="宋体" w:cs="Calibri"/>
          <w:kern w:val="0"/>
          <w:position w:val="-2"/>
          <w:szCs w:val="21"/>
          <w:lang w:bidi="ar"/>
        </w:rPr>
        <w:t>2日前，</w:t>
      </w:r>
      <w:r>
        <w:rPr>
          <w:rFonts w:hint="eastAsia" w:ascii="宋体" w:hAnsi="宋体" w:cs="宋体"/>
          <w:kern w:val="0"/>
          <w:position w:val="-2"/>
          <w:szCs w:val="21"/>
          <w:lang w:bidi="ar"/>
        </w:rPr>
        <w:t>以书面形式通知采购人</w:t>
      </w:r>
      <w:r>
        <w:rPr>
          <w:rFonts w:hint="eastAsia" w:ascii="宋体" w:hAnsi="宋体" w:cs="宋体"/>
          <w:kern w:val="0"/>
          <w:szCs w:val="21"/>
          <w:lang w:bidi="ar"/>
        </w:rPr>
        <w:t>或竞争性比选代理机构。采购人应当自收到异议之日起</w:t>
      </w:r>
      <w:r>
        <w:rPr>
          <w:rFonts w:hint="eastAsia" w:ascii="宋体" w:hAnsi="宋体" w:cs="MingLiU"/>
          <w:kern w:val="0"/>
          <w:szCs w:val="21"/>
          <w:lang w:bidi="ar"/>
        </w:rPr>
        <w:t>1日内做出答复，并将答复内容以补遗的形式在重庆高速集团官网及重庆高速集团招投标管理平台上</w:t>
      </w:r>
      <w:r>
        <w:rPr>
          <w:rFonts w:hint="eastAsia" w:ascii="宋体" w:hAnsi="宋体" w:cs="宋体"/>
          <w:kern w:val="0"/>
          <w:szCs w:val="21"/>
          <w:lang w:bidi="ar"/>
        </w:rPr>
        <w:t>发布。补遗内容可能影响比选响应文件编制的，须在投标截止时间</w:t>
      </w:r>
      <w:r>
        <w:rPr>
          <w:rFonts w:hint="eastAsia" w:ascii="宋体" w:hAnsi="宋体" w:cs="MingLiU"/>
          <w:kern w:val="0"/>
          <w:szCs w:val="21"/>
          <w:lang w:bidi="ar"/>
        </w:rPr>
        <w:t>1日前发布，发布时间至投标截止时间不足1日的，须相应延后投标截止时间。</w:t>
      </w:r>
    </w:p>
    <w:p>
      <w:pPr>
        <w:pStyle w:val="5"/>
        <w:widowControl/>
        <w:spacing w:before="0" w:after="0" w:line="300" w:lineRule="exact"/>
        <w:rPr>
          <w:rFonts w:ascii="宋体" w:hAnsi="宋体" w:cs="MingLiU"/>
          <w:b w:val="0"/>
          <w:sz w:val="21"/>
          <w:szCs w:val="21"/>
        </w:rPr>
      </w:pPr>
      <w:bookmarkStart w:id="307" w:name="_Toc40780270"/>
      <w:bookmarkEnd w:id="307"/>
      <w:bookmarkStart w:id="308" w:name="_Toc4661444"/>
      <w:bookmarkEnd w:id="308"/>
      <w:bookmarkStart w:id="309" w:name="_Toc200513143"/>
      <w:bookmarkEnd w:id="309"/>
      <w:bookmarkStart w:id="310" w:name="_Toc287607763"/>
      <w:bookmarkEnd w:id="310"/>
      <w:bookmarkStart w:id="311" w:name="_Toc277082569"/>
      <w:bookmarkEnd w:id="311"/>
      <w:bookmarkStart w:id="312" w:name="_Toc4662158"/>
      <w:bookmarkEnd w:id="312"/>
      <w:bookmarkStart w:id="313" w:name="_Toc24909"/>
      <w:bookmarkEnd w:id="313"/>
      <w:bookmarkStart w:id="314" w:name="_Toc40455288"/>
      <w:bookmarkEnd w:id="314"/>
      <w:bookmarkStart w:id="315" w:name="_Toc4661686"/>
      <w:bookmarkEnd w:id="315"/>
      <w:bookmarkStart w:id="316" w:name="_Toc4661922"/>
      <w:bookmarkEnd w:id="316"/>
      <w:bookmarkStart w:id="317" w:name="_Toc224103334"/>
      <w:bookmarkEnd w:id="317"/>
      <w:bookmarkStart w:id="318" w:name="_Toc40455661"/>
      <w:r>
        <w:rPr>
          <w:rFonts w:hint="eastAsia" w:ascii="宋体" w:hAnsi="宋体" w:cs="MingLiU"/>
          <w:b w:val="0"/>
          <w:sz w:val="21"/>
          <w:szCs w:val="21"/>
        </w:rPr>
        <w:t>1.11.2.严禁转包、转让中标项目，也不得将中标项目肢解后分别转包、转让，否则采购人有权取消中标人资格。</w:t>
      </w:r>
    </w:p>
    <w:p>
      <w:pPr>
        <w:pStyle w:val="5"/>
        <w:widowControl/>
        <w:spacing w:before="0" w:after="0" w:line="300" w:lineRule="exact"/>
        <w:rPr>
          <w:rFonts w:ascii="宋体" w:hAnsi="宋体"/>
          <w:kern w:val="2"/>
          <w:sz w:val="21"/>
          <w:szCs w:val="21"/>
        </w:rPr>
      </w:pPr>
      <w:r>
        <w:rPr>
          <w:rFonts w:hint="eastAsia" w:ascii="宋体" w:hAnsi="宋体"/>
          <w:kern w:val="2"/>
          <w:sz w:val="21"/>
          <w:szCs w:val="21"/>
        </w:rPr>
        <w:t xml:space="preserve">2.3  </w:t>
      </w:r>
      <w:bookmarkEnd w:id="318"/>
      <w:r>
        <w:rPr>
          <w:rFonts w:hint="eastAsia" w:ascii="宋体" w:hAnsi="宋体" w:cs="宋体"/>
          <w:kern w:val="2"/>
          <w:sz w:val="21"/>
          <w:szCs w:val="21"/>
        </w:rPr>
        <w:t>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详见报价人须知前附表。</w:t>
      </w:r>
    </w:p>
    <w:p>
      <w:pPr>
        <w:pStyle w:val="4"/>
        <w:widowControl/>
        <w:spacing w:before="0" w:after="0" w:line="300" w:lineRule="exact"/>
        <w:rPr>
          <w:rFonts w:ascii="宋体" w:hAnsi="宋体"/>
          <w:sz w:val="21"/>
          <w:szCs w:val="21"/>
        </w:rPr>
      </w:pPr>
      <w:bookmarkStart w:id="319" w:name="_Toc9348"/>
      <w:bookmarkEnd w:id="319"/>
      <w:bookmarkStart w:id="320" w:name="_Toc200513144"/>
      <w:bookmarkEnd w:id="320"/>
      <w:bookmarkStart w:id="321" w:name="_Toc6279"/>
      <w:bookmarkEnd w:id="321"/>
      <w:bookmarkStart w:id="322" w:name="_Toc40455289"/>
      <w:bookmarkEnd w:id="322"/>
      <w:bookmarkStart w:id="323" w:name="_Toc287607764"/>
      <w:bookmarkEnd w:id="323"/>
      <w:bookmarkStart w:id="324" w:name="_Toc277082570"/>
      <w:bookmarkEnd w:id="324"/>
      <w:bookmarkStart w:id="325" w:name="_Toc4661923"/>
      <w:bookmarkEnd w:id="325"/>
      <w:bookmarkStart w:id="326" w:name="_Toc6118"/>
      <w:bookmarkEnd w:id="326"/>
      <w:bookmarkStart w:id="327" w:name="_Toc4662159"/>
      <w:bookmarkEnd w:id="327"/>
      <w:bookmarkStart w:id="328" w:name="_Toc224103335"/>
      <w:bookmarkEnd w:id="328"/>
      <w:bookmarkStart w:id="329" w:name="_Toc4661445"/>
      <w:bookmarkEnd w:id="329"/>
      <w:bookmarkStart w:id="330" w:name="_Toc22553"/>
      <w:bookmarkEnd w:id="330"/>
      <w:bookmarkStart w:id="331" w:name="_Toc14104"/>
      <w:bookmarkEnd w:id="331"/>
      <w:bookmarkStart w:id="332" w:name="_Toc40455662"/>
      <w:bookmarkEnd w:id="332"/>
      <w:bookmarkStart w:id="333" w:name="_Toc4661687"/>
      <w:bookmarkEnd w:id="333"/>
      <w:bookmarkStart w:id="334" w:name="_Toc26853"/>
      <w:bookmarkStart w:id="335" w:name="_Toc23367"/>
      <w:r>
        <w:rPr>
          <w:rFonts w:hint="eastAsia" w:ascii="宋体" w:hAnsi="宋体"/>
          <w:sz w:val="21"/>
          <w:szCs w:val="21"/>
        </w:rPr>
        <w:t xml:space="preserve">3.  </w:t>
      </w:r>
      <w:bookmarkEnd w:id="334"/>
      <w:r>
        <w:rPr>
          <w:rFonts w:hint="eastAsia" w:ascii="黑体" w:hAnsi="宋体" w:cs="黑体"/>
          <w:sz w:val="21"/>
          <w:szCs w:val="21"/>
        </w:rPr>
        <w:t>比选响应文件</w:t>
      </w:r>
      <w:bookmarkEnd w:id="335"/>
    </w:p>
    <w:p>
      <w:pPr>
        <w:pStyle w:val="5"/>
        <w:widowControl/>
        <w:spacing w:before="0" w:after="0" w:line="300" w:lineRule="exact"/>
        <w:rPr>
          <w:rFonts w:ascii="宋体" w:hAnsi="宋体"/>
          <w:kern w:val="2"/>
          <w:sz w:val="21"/>
          <w:szCs w:val="21"/>
        </w:rPr>
      </w:pPr>
      <w:bookmarkStart w:id="336" w:name="_Toc200513145"/>
      <w:bookmarkEnd w:id="336"/>
      <w:bookmarkStart w:id="337" w:name="_Toc277082571"/>
      <w:bookmarkEnd w:id="337"/>
      <w:bookmarkStart w:id="338" w:name="_Toc40455290"/>
      <w:bookmarkEnd w:id="338"/>
      <w:bookmarkStart w:id="339" w:name="_Toc4661446"/>
      <w:bookmarkEnd w:id="339"/>
      <w:bookmarkStart w:id="340" w:name="_Toc287607765"/>
      <w:bookmarkEnd w:id="340"/>
      <w:bookmarkStart w:id="341" w:name="_Toc40780272"/>
      <w:bookmarkEnd w:id="341"/>
      <w:bookmarkStart w:id="342" w:name="_Toc32064"/>
      <w:bookmarkEnd w:id="342"/>
      <w:bookmarkStart w:id="343" w:name="_Toc4662160"/>
      <w:bookmarkEnd w:id="343"/>
      <w:bookmarkStart w:id="344" w:name="_Toc40455663"/>
      <w:bookmarkEnd w:id="344"/>
      <w:bookmarkStart w:id="345" w:name="_Toc4661688"/>
      <w:bookmarkEnd w:id="345"/>
      <w:bookmarkStart w:id="346" w:name="_Toc224103336"/>
      <w:bookmarkEnd w:id="346"/>
      <w:bookmarkStart w:id="347" w:name="_Toc4661924"/>
      <w:r>
        <w:rPr>
          <w:rFonts w:hint="eastAsia" w:ascii="宋体" w:hAnsi="宋体"/>
          <w:kern w:val="2"/>
          <w:sz w:val="21"/>
          <w:szCs w:val="21"/>
        </w:rPr>
        <w:t xml:space="preserve">3.1  </w:t>
      </w:r>
      <w:bookmarkEnd w:id="347"/>
      <w:r>
        <w:rPr>
          <w:rFonts w:hint="eastAsia" w:ascii="宋体" w:hAnsi="宋体" w:cs="宋体"/>
          <w:kern w:val="2"/>
          <w:sz w:val="21"/>
          <w:szCs w:val="21"/>
        </w:rPr>
        <w:t>比选响应文件的组成</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3.1.1 </w:t>
      </w:r>
      <w:r>
        <w:rPr>
          <w:rFonts w:hint="eastAsia" w:ascii="宋体" w:hAnsi="宋体" w:cs="宋体"/>
          <w:kern w:val="0"/>
          <w:szCs w:val="21"/>
          <w:lang w:bidi="ar"/>
        </w:rPr>
        <w:t>比选响应文件应包括下列内容：</w:t>
      </w:r>
    </w:p>
    <w:p>
      <w:pPr>
        <w:spacing w:line="300" w:lineRule="exact"/>
        <w:ind w:firstLine="420" w:firstLineChars="200"/>
        <w:rPr>
          <w:rFonts w:ascii="宋体" w:hAnsi="宋体" w:cs="Calibri"/>
          <w:szCs w:val="21"/>
        </w:rPr>
      </w:pPr>
      <w:r>
        <w:rPr>
          <w:rFonts w:hint="eastAsia" w:ascii="宋体" w:hAnsi="宋体" w:cs="Calibri"/>
          <w:szCs w:val="21"/>
          <w:lang w:bidi="ar"/>
        </w:rPr>
        <w:t xml:space="preserve">3.1.1.1 </w:t>
      </w:r>
      <w:r>
        <w:rPr>
          <w:rFonts w:hint="eastAsia" w:ascii="宋体" w:hAnsi="宋体" w:cs="宋体"/>
          <w:szCs w:val="21"/>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rPr>
      </w:pPr>
      <w:r>
        <w:rPr>
          <w:rFonts w:hint="eastAsia" w:ascii="宋体" w:hAnsi="宋体" w:cs="Calibri"/>
          <w:szCs w:val="21"/>
          <w:lang w:bidi="ar"/>
        </w:rPr>
        <w:t>3.1.1.2比选响应文件由以下内容组成：</w:t>
      </w:r>
    </w:p>
    <w:p>
      <w:pPr>
        <w:spacing w:line="300" w:lineRule="exact"/>
        <w:ind w:firstLine="420" w:firstLineChars="200"/>
        <w:rPr>
          <w:rFonts w:ascii="宋体" w:hAnsi="宋体" w:cs="Calibri"/>
          <w:szCs w:val="21"/>
        </w:rPr>
      </w:pPr>
      <w:r>
        <w:rPr>
          <w:rFonts w:hint="eastAsia" w:ascii="宋体" w:hAnsi="宋体" w:cs="宋体"/>
          <w:szCs w:val="21"/>
          <w:lang w:bidi="ar"/>
        </w:rPr>
        <w:t>详见第九章</w:t>
      </w:r>
    </w:p>
    <w:p>
      <w:pPr>
        <w:pStyle w:val="5"/>
        <w:widowControl/>
        <w:spacing w:before="0" w:after="0" w:line="300" w:lineRule="exact"/>
        <w:rPr>
          <w:rFonts w:ascii="宋体" w:hAnsi="宋体"/>
          <w:kern w:val="2"/>
          <w:sz w:val="21"/>
          <w:szCs w:val="21"/>
        </w:rPr>
      </w:pPr>
      <w:bookmarkStart w:id="348" w:name="_Toc27743"/>
      <w:bookmarkEnd w:id="348"/>
      <w:bookmarkStart w:id="349" w:name="_Toc40780273"/>
      <w:bookmarkEnd w:id="349"/>
      <w:bookmarkStart w:id="350" w:name="_Toc277082572"/>
      <w:bookmarkEnd w:id="350"/>
      <w:bookmarkStart w:id="351" w:name="_Toc4661447"/>
      <w:bookmarkEnd w:id="351"/>
      <w:bookmarkStart w:id="352" w:name="_Toc4661925"/>
      <w:bookmarkEnd w:id="352"/>
      <w:bookmarkStart w:id="353" w:name="_Toc4661689"/>
      <w:bookmarkEnd w:id="353"/>
      <w:bookmarkStart w:id="354" w:name="_Toc287607766"/>
      <w:bookmarkEnd w:id="354"/>
      <w:bookmarkStart w:id="355" w:name="_Toc200513146"/>
      <w:bookmarkEnd w:id="355"/>
      <w:bookmarkStart w:id="356" w:name="_Toc224103337"/>
      <w:bookmarkEnd w:id="356"/>
      <w:bookmarkStart w:id="357" w:name="_Toc40455291"/>
      <w:bookmarkEnd w:id="357"/>
      <w:bookmarkStart w:id="358" w:name="_Toc40455664"/>
      <w:bookmarkEnd w:id="358"/>
      <w:bookmarkStart w:id="359" w:name="_Toc4662161"/>
      <w:r>
        <w:rPr>
          <w:rFonts w:hint="eastAsia" w:ascii="宋体" w:hAnsi="宋体"/>
          <w:kern w:val="2"/>
          <w:sz w:val="21"/>
          <w:szCs w:val="21"/>
        </w:rPr>
        <w:t xml:space="preserve">3.2  </w:t>
      </w:r>
      <w:bookmarkEnd w:id="359"/>
      <w:r>
        <w:rPr>
          <w:rFonts w:hint="eastAsia" w:ascii="宋体" w:hAnsi="宋体" w:cs="宋体"/>
          <w:kern w:val="2"/>
          <w:sz w:val="21"/>
          <w:szCs w:val="21"/>
        </w:rPr>
        <w:t>投标报价</w:t>
      </w:r>
    </w:p>
    <w:p>
      <w:pPr>
        <w:spacing w:line="300" w:lineRule="exact"/>
        <w:ind w:firstLine="420" w:firstLineChars="200"/>
        <w:rPr>
          <w:rFonts w:ascii="宋体" w:hAnsi="宋体" w:cs="MingLiU"/>
          <w:kern w:val="0"/>
          <w:szCs w:val="21"/>
        </w:rPr>
      </w:pPr>
      <w:r>
        <w:rPr>
          <w:rFonts w:hint="eastAsia" w:ascii="宋体" w:hAnsi="宋体" w:cs="宋体"/>
          <w:kern w:val="0"/>
          <w:szCs w:val="21"/>
          <w:lang w:bidi="ar"/>
        </w:rPr>
        <w:t>见本章报价人须知前附表。</w:t>
      </w:r>
      <w:bookmarkStart w:id="360" w:name="_Toc40455665"/>
      <w:bookmarkEnd w:id="360"/>
      <w:bookmarkStart w:id="361" w:name="_Toc200513147"/>
      <w:bookmarkEnd w:id="361"/>
      <w:bookmarkStart w:id="362" w:name="_Toc40780274"/>
      <w:bookmarkEnd w:id="362"/>
      <w:bookmarkStart w:id="363" w:name="_Toc20908"/>
      <w:bookmarkEnd w:id="363"/>
      <w:bookmarkStart w:id="364" w:name="_Toc4662162"/>
      <w:bookmarkEnd w:id="364"/>
      <w:bookmarkStart w:id="365" w:name="_Toc4661690"/>
      <w:bookmarkEnd w:id="365"/>
      <w:bookmarkStart w:id="366" w:name="_Toc4661926"/>
      <w:bookmarkEnd w:id="366"/>
      <w:bookmarkStart w:id="367" w:name="_Toc4661448"/>
      <w:bookmarkEnd w:id="367"/>
      <w:bookmarkStart w:id="368" w:name="_Toc287607767"/>
      <w:bookmarkEnd w:id="368"/>
      <w:bookmarkStart w:id="369" w:name="_Toc277082573"/>
      <w:bookmarkEnd w:id="369"/>
      <w:bookmarkStart w:id="370" w:name="_Toc224103338"/>
      <w:bookmarkEnd w:id="370"/>
    </w:p>
    <w:p>
      <w:pPr>
        <w:pStyle w:val="5"/>
        <w:widowControl/>
        <w:spacing w:before="0" w:after="0" w:line="300" w:lineRule="exact"/>
        <w:rPr>
          <w:rFonts w:ascii="宋体" w:hAnsi="宋体"/>
          <w:kern w:val="2"/>
          <w:sz w:val="21"/>
          <w:szCs w:val="21"/>
        </w:rPr>
      </w:pPr>
      <w:bookmarkStart w:id="371" w:name="_Toc287607768"/>
      <w:bookmarkEnd w:id="371"/>
      <w:bookmarkStart w:id="372" w:name="_Toc224103339"/>
      <w:bookmarkEnd w:id="372"/>
      <w:bookmarkStart w:id="373" w:name="_Toc4661691"/>
      <w:bookmarkEnd w:id="373"/>
      <w:bookmarkStart w:id="374" w:name="_Toc200513148"/>
      <w:bookmarkEnd w:id="374"/>
      <w:bookmarkStart w:id="375" w:name="_Toc277082574"/>
      <w:bookmarkEnd w:id="375"/>
      <w:bookmarkStart w:id="376" w:name="_Toc40780275"/>
      <w:bookmarkEnd w:id="376"/>
      <w:bookmarkStart w:id="377" w:name="_Toc4661927"/>
      <w:bookmarkEnd w:id="377"/>
      <w:bookmarkStart w:id="378" w:name="_Toc40455293"/>
      <w:bookmarkEnd w:id="378"/>
      <w:bookmarkStart w:id="379" w:name="_Toc4662163"/>
      <w:bookmarkEnd w:id="379"/>
      <w:bookmarkStart w:id="380" w:name="_Toc4661449"/>
      <w:bookmarkEnd w:id="380"/>
      <w:bookmarkStart w:id="381" w:name="_Toc40455666"/>
      <w:bookmarkEnd w:id="381"/>
      <w:bookmarkStart w:id="382" w:name="_Toc25463"/>
      <w:r>
        <w:rPr>
          <w:rFonts w:hint="eastAsia" w:ascii="宋体" w:hAnsi="宋体"/>
          <w:kern w:val="2"/>
          <w:sz w:val="21"/>
          <w:szCs w:val="21"/>
        </w:rPr>
        <w:t xml:space="preserve">3.3  </w:t>
      </w:r>
      <w:bookmarkEnd w:id="382"/>
      <w:r>
        <w:rPr>
          <w:rFonts w:hint="eastAsia" w:ascii="宋体" w:hAnsi="宋体" w:cs="宋体"/>
          <w:kern w:val="2"/>
          <w:sz w:val="21"/>
          <w:szCs w:val="21"/>
        </w:rPr>
        <w:t>保证金</w:t>
      </w:r>
    </w:p>
    <w:p>
      <w:pPr>
        <w:autoSpaceDE w:val="0"/>
        <w:autoSpaceDN w:val="0"/>
        <w:adjustRightInd w:val="0"/>
        <w:spacing w:line="300" w:lineRule="exact"/>
        <w:ind w:firstLine="420" w:firstLineChars="200"/>
        <w:rPr>
          <w:rFonts w:ascii="宋体" w:hAnsi="宋体" w:cs="MingLiU"/>
          <w:kern w:val="0"/>
          <w:szCs w:val="21"/>
        </w:rPr>
      </w:pPr>
      <w:r>
        <w:rPr>
          <w:rFonts w:hint="eastAsia" w:ascii="宋体" w:hAnsi="宋体" w:cs="Calibri"/>
          <w:kern w:val="0"/>
          <w:szCs w:val="21"/>
          <w:lang w:bidi="ar"/>
        </w:rPr>
        <w:t xml:space="preserve">3.3.1  </w:t>
      </w:r>
      <w:r>
        <w:rPr>
          <w:rFonts w:hint="eastAsia" w:ascii="宋体" w:hAnsi="宋体" w:cs="宋体"/>
          <w:kern w:val="0"/>
          <w:szCs w:val="21"/>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3.3.2  </w:t>
      </w:r>
      <w:r>
        <w:rPr>
          <w:rFonts w:hint="eastAsia" w:ascii="宋体" w:hAnsi="宋体" w:cs="宋体"/>
          <w:kern w:val="0"/>
          <w:szCs w:val="21"/>
          <w:lang w:bidi="ar"/>
        </w:rPr>
        <w:t>报价人不按本章第</w:t>
      </w:r>
      <w:r>
        <w:rPr>
          <w:rFonts w:hint="eastAsia" w:ascii="宋体" w:hAnsi="宋体" w:cs="Calibri"/>
          <w:kern w:val="0"/>
          <w:szCs w:val="21"/>
          <w:lang w:bidi="ar"/>
        </w:rPr>
        <w:t xml:space="preserve"> 3.4.1 </w:t>
      </w:r>
      <w:r>
        <w:rPr>
          <w:rFonts w:hint="eastAsia" w:ascii="宋体" w:hAnsi="宋体" w:cs="宋体"/>
          <w:kern w:val="0"/>
          <w:szCs w:val="21"/>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3.3.3  </w:t>
      </w:r>
      <w:r>
        <w:rPr>
          <w:rFonts w:hint="eastAsia" w:ascii="宋体" w:hAnsi="宋体" w:cs="宋体"/>
          <w:kern w:val="0"/>
          <w:szCs w:val="21"/>
          <w:lang w:bidi="ar"/>
        </w:rPr>
        <w:t>投标</w:t>
      </w:r>
      <w:r>
        <w:rPr>
          <w:rFonts w:hint="eastAsia" w:ascii="宋体" w:hAnsi="宋体" w:cs="宋体"/>
          <w:kern w:val="0"/>
          <w:position w:val="-2"/>
          <w:szCs w:val="21"/>
          <w:lang w:bidi="ar"/>
        </w:rPr>
        <w:t>保证金</w:t>
      </w:r>
      <w:r>
        <w:rPr>
          <w:rFonts w:hint="eastAsia" w:ascii="宋体" w:hAnsi="宋体" w:cs="宋体"/>
          <w:kern w:val="0"/>
          <w:szCs w:val="21"/>
          <w:lang w:bidi="ar"/>
        </w:rPr>
        <w:t>退还：见报价人须知前附表</w:t>
      </w:r>
      <w:r>
        <w:rPr>
          <w:rFonts w:hint="eastAsia" w:ascii="宋体" w:hAnsi="宋体" w:cs="宋体"/>
          <w:kern w:val="0"/>
          <w:position w:val="-2"/>
          <w:szCs w:val="21"/>
          <w:lang w:bidi="ar"/>
        </w:rPr>
        <w:t>。</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3.3.4  </w:t>
      </w:r>
      <w:r>
        <w:rPr>
          <w:rFonts w:hint="eastAsia" w:ascii="宋体" w:hAnsi="宋体" w:cs="宋体"/>
          <w:kern w:val="0"/>
          <w:szCs w:val="21"/>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3）法律法规和本竞争性比选文件规定的其他情形。</w:t>
      </w:r>
    </w:p>
    <w:p>
      <w:pPr>
        <w:pStyle w:val="5"/>
        <w:widowControl/>
        <w:spacing w:before="0" w:after="0" w:line="300" w:lineRule="exact"/>
        <w:rPr>
          <w:rFonts w:ascii="宋体" w:hAnsi="宋体"/>
          <w:kern w:val="2"/>
          <w:sz w:val="21"/>
          <w:szCs w:val="21"/>
        </w:rPr>
      </w:pPr>
      <w:bookmarkStart w:id="383" w:name="_Toc40455667"/>
      <w:bookmarkEnd w:id="383"/>
      <w:bookmarkStart w:id="384" w:name="_Toc4661692"/>
      <w:bookmarkEnd w:id="384"/>
      <w:bookmarkStart w:id="385" w:name="_Toc40455294"/>
      <w:bookmarkEnd w:id="385"/>
      <w:bookmarkStart w:id="386" w:name="_Toc40780276"/>
      <w:bookmarkEnd w:id="386"/>
      <w:bookmarkStart w:id="387" w:name="_Toc287607770"/>
      <w:bookmarkEnd w:id="387"/>
      <w:bookmarkStart w:id="388" w:name="_Toc4661928"/>
      <w:bookmarkEnd w:id="388"/>
      <w:bookmarkStart w:id="389" w:name="_Toc200513150"/>
      <w:bookmarkEnd w:id="389"/>
      <w:bookmarkStart w:id="390" w:name="_Toc7158"/>
      <w:bookmarkEnd w:id="390"/>
      <w:bookmarkStart w:id="391" w:name="_Toc4662164"/>
      <w:bookmarkEnd w:id="391"/>
      <w:bookmarkStart w:id="392" w:name="_Toc277082576"/>
      <w:bookmarkEnd w:id="392"/>
      <w:bookmarkStart w:id="393" w:name="_Toc224103341"/>
      <w:bookmarkEnd w:id="393"/>
      <w:bookmarkStart w:id="394" w:name="_Toc4661450"/>
      <w:r>
        <w:rPr>
          <w:rFonts w:hint="eastAsia" w:ascii="宋体" w:hAnsi="宋体"/>
          <w:kern w:val="2"/>
          <w:sz w:val="21"/>
          <w:szCs w:val="21"/>
        </w:rPr>
        <w:t xml:space="preserve">3.4  </w:t>
      </w:r>
      <w:bookmarkEnd w:id="394"/>
      <w:r>
        <w:rPr>
          <w:rFonts w:hint="eastAsia" w:ascii="宋体" w:hAnsi="宋体" w:cs="宋体"/>
          <w:kern w:val="2"/>
          <w:sz w:val="21"/>
          <w:szCs w:val="21"/>
        </w:rPr>
        <w:t>资格审查资料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详见报价人须知前附表。</w:t>
      </w:r>
    </w:p>
    <w:p>
      <w:pPr>
        <w:pStyle w:val="5"/>
        <w:widowControl/>
        <w:spacing w:before="0" w:after="0" w:line="300" w:lineRule="exact"/>
        <w:rPr>
          <w:rFonts w:ascii="宋体" w:hAnsi="宋体"/>
          <w:kern w:val="2"/>
          <w:sz w:val="21"/>
          <w:szCs w:val="21"/>
        </w:rPr>
      </w:pPr>
      <w:bookmarkStart w:id="395" w:name="_Toc40455295"/>
      <w:bookmarkEnd w:id="395"/>
      <w:bookmarkStart w:id="396" w:name="_Toc20488"/>
      <w:bookmarkEnd w:id="396"/>
      <w:bookmarkStart w:id="397" w:name="_Toc4662165"/>
      <w:bookmarkEnd w:id="397"/>
      <w:bookmarkStart w:id="398" w:name="_Toc40455668"/>
      <w:bookmarkEnd w:id="398"/>
      <w:bookmarkStart w:id="399" w:name="_Toc200513151"/>
      <w:bookmarkEnd w:id="399"/>
      <w:bookmarkStart w:id="400" w:name="_Toc287607771"/>
      <w:bookmarkEnd w:id="400"/>
      <w:bookmarkStart w:id="401" w:name="_Toc277082577"/>
      <w:bookmarkEnd w:id="401"/>
      <w:bookmarkStart w:id="402" w:name="_Toc4661693"/>
      <w:bookmarkEnd w:id="402"/>
      <w:bookmarkStart w:id="403" w:name="_Toc4661451"/>
      <w:bookmarkEnd w:id="403"/>
      <w:bookmarkStart w:id="404" w:name="_Toc40780277"/>
      <w:bookmarkEnd w:id="404"/>
      <w:bookmarkStart w:id="405" w:name="_Toc224103342"/>
      <w:bookmarkEnd w:id="405"/>
      <w:bookmarkStart w:id="406" w:name="_Toc4661929"/>
      <w:r>
        <w:rPr>
          <w:rFonts w:hint="eastAsia" w:ascii="宋体" w:hAnsi="宋体"/>
          <w:kern w:val="2"/>
          <w:sz w:val="21"/>
          <w:szCs w:val="21"/>
        </w:rPr>
        <w:t xml:space="preserve">3.5 </w:t>
      </w:r>
      <w:bookmarkEnd w:id="406"/>
      <w:r>
        <w:rPr>
          <w:rFonts w:hint="eastAsia" w:ascii="宋体" w:hAnsi="宋体" w:cs="宋体"/>
          <w:kern w:val="2"/>
          <w:sz w:val="21"/>
          <w:szCs w:val="21"/>
        </w:rPr>
        <w:t>备选投标方案</w:t>
      </w:r>
    </w:p>
    <w:p>
      <w:pPr>
        <w:autoSpaceDE w:val="0"/>
        <w:autoSpaceDN w:val="0"/>
        <w:adjustRightInd w:val="0"/>
        <w:spacing w:line="300" w:lineRule="exact"/>
        <w:ind w:left="120" w:right="-109" w:firstLine="420"/>
        <w:jc w:val="left"/>
        <w:rPr>
          <w:rFonts w:ascii="宋体" w:hAnsi="宋体" w:cs="黑体"/>
          <w:kern w:val="0"/>
          <w:szCs w:val="21"/>
        </w:rPr>
      </w:pPr>
      <w:bookmarkStart w:id="407" w:name="_Toc4661694"/>
      <w:bookmarkEnd w:id="407"/>
      <w:bookmarkStart w:id="408" w:name="_Toc4661930"/>
      <w:bookmarkEnd w:id="408"/>
      <w:bookmarkStart w:id="409" w:name="_Toc287607772"/>
      <w:bookmarkEnd w:id="409"/>
      <w:bookmarkStart w:id="410" w:name="_Toc200513152"/>
      <w:bookmarkEnd w:id="410"/>
      <w:bookmarkStart w:id="411" w:name="_Toc4661452"/>
      <w:bookmarkEnd w:id="411"/>
      <w:bookmarkStart w:id="412" w:name="_Toc277082578"/>
      <w:bookmarkEnd w:id="412"/>
      <w:bookmarkStart w:id="413" w:name="_Toc224103343"/>
      <w:bookmarkEnd w:id="413"/>
      <w:bookmarkStart w:id="414" w:name="_Toc4662166"/>
      <w:r>
        <w:rPr>
          <w:rFonts w:hint="eastAsia" w:ascii="宋体" w:hAnsi="宋体" w:cs="宋体"/>
          <w:kern w:val="0"/>
          <w:szCs w:val="21"/>
          <w:lang w:bidi="ar"/>
        </w:rPr>
        <w:t>采购人不接受报价人的备选投标方案。</w:t>
      </w:r>
      <w:bookmarkEnd w:id="414"/>
    </w:p>
    <w:p>
      <w:pPr>
        <w:pStyle w:val="5"/>
        <w:widowControl/>
        <w:spacing w:before="0" w:after="0" w:line="300" w:lineRule="exact"/>
        <w:rPr>
          <w:rFonts w:ascii="宋体" w:hAnsi="宋体"/>
          <w:kern w:val="2"/>
          <w:sz w:val="21"/>
          <w:szCs w:val="21"/>
        </w:rPr>
      </w:pPr>
      <w:bookmarkStart w:id="415" w:name="_Toc40455669"/>
      <w:bookmarkEnd w:id="415"/>
      <w:bookmarkStart w:id="416" w:name="_Toc40780278"/>
      <w:bookmarkEnd w:id="416"/>
      <w:bookmarkStart w:id="417" w:name="_Toc26001"/>
      <w:bookmarkEnd w:id="417"/>
      <w:bookmarkStart w:id="418" w:name="_Toc40455296"/>
      <w:r>
        <w:rPr>
          <w:rFonts w:hint="eastAsia" w:ascii="宋体" w:hAnsi="宋体"/>
          <w:kern w:val="2"/>
          <w:sz w:val="21"/>
          <w:szCs w:val="21"/>
        </w:rPr>
        <w:t>3</w:t>
      </w:r>
      <w:bookmarkEnd w:id="418"/>
      <w:r>
        <w:rPr>
          <w:rFonts w:hint="eastAsia" w:ascii="宋体" w:hAnsi="宋体"/>
          <w:kern w:val="2"/>
          <w:sz w:val="21"/>
          <w:szCs w:val="21"/>
        </w:rPr>
        <w:t xml:space="preserve">.6  </w:t>
      </w:r>
      <w:r>
        <w:rPr>
          <w:rFonts w:hint="eastAsia" w:ascii="宋体" w:hAnsi="宋体" w:cs="宋体"/>
          <w:kern w:val="2"/>
          <w:sz w:val="21"/>
          <w:szCs w:val="21"/>
        </w:rPr>
        <w:t>比选响应文件的编制</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3.6.1  </w:t>
      </w:r>
      <w:r>
        <w:rPr>
          <w:rFonts w:hint="eastAsia" w:ascii="宋体" w:hAnsi="宋体" w:cs="宋体"/>
          <w:kern w:val="0"/>
          <w:szCs w:val="21"/>
          <w:lang w:bidi="ar"/>
        </w:rPr>
        <w:t>比选响应文件应按第九章</w:t>
      </w:r>
      <w:r>
        <w:rPr>
          <w:rFonts w:hint="eastAsia" w:ascii="宋体" w:hAnsi="宋体" w:cs="MingLiU"/>
          <w:kern w:val="0"/>
          <w:szCs w:val="21"/>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3.6.2  </w:t>
      </w:r>
      <w:r>
        <w:rPr>
          <w:rFonts w:hint="eastAsia" w:ascii="宋体" w:hAnsi="宋体" w:cs="宋体"/>
          <w:kern w:val="0"/>
          <w:szCs w:val="21"/>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position w:val="-2"/>
          <w:szCs w:val="21"/>
          <w:lang w:bidi="ar"/>
        </w:rPr>
        <w:t xml:space="preserve">3.6.3  </w:t>
      </w:r>
      <w:r>
        <w:rPr>
          <w:rFonts w:hint="eastAsia" w:ascii="宋体" w:hAnsi="宋体" w:cs="宋体"/>
          <w:kern w:val="0"/>
          <w:position w:val="-2"/>
          <w:szCs w:val="21"/>
          <w:lang w:bidi="ar"/>
        </w:rPr>
        <w:t>比选响应文件应用不褪色的材料书写或打印，并由报价人的法定代表人或其委托代理</w:t>
      </w:r>
      <w:r>
        <w:rPr>
          <w:rFonts w:hint="eastAsia" w:ascii="宋体" w:hAnsi="宋体" w:cs="宋体"/>
          <w:kern w:val="0"/>
          <w:szCs w:val="21"/>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rPr>
      </w:pPr>
      <w:r>
        <w:rPr>
          <w:rFonts w:hint="eastAsia" w:ascii="宋体" w:hAnsi="宋体" w:cs="Calibri"/>
          <w:kern w:val="0"/>
          <w:szCs w:val="21"/>
          <w:lang w:bidi="ar"/>
        </w:rPr>
        <w:t xml:space="preserve">3.6.4  </w:t>
      </w:r>
      <w:r>
        <w:rPr>
          <w:rFonts w:hint="eastAsia" w:ascii="宋体" w:hAnsi="宋体" w:cs="宋体"/>
          <w:kern w:val="0"/>
          <w:szCs w:val="21"/>
          <w:lang w:bidi="ar"/>
        </w:rPr>
        <w:t>比选响应文件正本一份，副本份数见报价人须知前附表。正本和副本的封面上应清楚地标记</w:t>
      </w:r>
      <w:r>
        <w:rPr>
          <w:rFonts w:hint="eastAsia" w:ascii="宋体" w:hAnsi="宋体" w:cs="MingLiU"/>
          <w:kern w:val="0"/>
          <w:szCs w:val="21"/>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rPr>
      </w:pPr>
      <w:r>
        <w:rPr>
          <w:rFonts w:hint="eastAsia" w:ascii="宋体" w:hAnsi="宋体" w:cs="Calibri"/>
          <w:kern w:val="0"/>
          <w:szCs w:val="21"/>
          <w:lang w:bidi="ar"/>
        </w:rPr>
        <w:t xml:space="preserve">3.6.5  </w:t>
      </w:r>
      <w:r>
        <w:rPr>
          <w:rFonts w:hint="eastAsia" w:ascii="宋体" w:hAnsi="宋体" w:cs="宋体"/>
          <w:kern w:val="0"/>
          <w:szCs w:val="21"/>
          <w:lang w:bidi="ar"/>
        </w:rPr>
        <w:t>比选响应文件的正本与副本应分别装订成册，并编制目录，具体装订要求见报价人须知前附表规定。</w:t>
      </w:r>
    </w:p>
    <w:p>
      <w:pPr>
        <w:pStyle w:val="4"/>
        <w:widowControl/>
        <w:spacing w:before="0" w:after="0" w:line="300" w:lineRule="exact"/>
        <w:rPr>
          <w:rFonts w:ascii="宋体" w:hAnsi="宋体"/>
          <w:sz w:val="21"/>
          <w:szCs w:val="21"/>
        </w:rPr>
      </w:pPr>
      <w:bookmarkStart w:id="419" w:name="_Toc200513153"/>
      <w:bookmarkEnd w:id="419"/>
      <w:bookmarkStart w:id="420" w:name="_Toc778"/>
      <w:bookmarkEnd w:id="420"/>
      <w:bookmarkStart w:id="421" w:name="_Toc224103344"/>
      <w:bookmarkEnd w:id="421"/>
      <w:bookmarkStart w:id="422" w:name="_Toc4661931"/>
      <w:bookmarkEnd w:id="422"/>
      <w:bookmarkStart w:id="423" w:name="_Toc4661695"/>
      <w:bookmarkEnd w:id="423"/>
      <w:bookmarkStart w:id="424" w:name="_Toc277082579"/>
      <w:bookmarkEnd w:id="424"/>
      <w:bookmarkStart w:id="425" w:name="_Toc16777"/>
      <w:bookmarkEnd w:id="425"/>
      <w:bookmarkStart w:id="426" w:name="_Toc287607773"/>
      <w:bookmarkEnd w:id="426"/>
      <w:bookmarkStart w:id="427" w:name="_Toc4662167"/>
      <w:bookmarkEnd w:id="427"/>
      <w:bookmarkStart w:id="428" w:name="_Toc40455670"/>
      <w:bookmarkEnd w:id="428"/>
      <w:bookmarkStart w:id="429" w:name="_Toc4661453"/>
      <w:bookmarkEnd w:id="429"/>
      <w:bookmarkStart w:id="430" w:name="_Toc28775"/>
      <w:bookmarkEnd w:id="430"/>
      <w:bookmarkStart w:id="431" w:name="_Toc30351"/>
      <w:bookmarkEnd w:id="431"/>
      <w:bookmarkStart w:id="432" w:name="_Toc7095"/>
      <w:bookmarkEnd w:id="432"/>
      <w:bookmarkStart w:id="433" w:name="_Toc40455297"/>
      <w:bookmarkEnd w:id="433"/>
      <w:bookmarkStart w:id="434" w:name="_Toc4633"/>
      <w:bookmarkStart w:id="435" w:name="_Toc3996"/>
      <w:r>
        <w:rPr>
          <w:rFonts w:hint="eastAsia" w:ascii="宋体" w:hAnsi="宋体"/>
          <w:sz w:val="21"/>
          <w:szCs w:val="21"/>
        </w:rPr>
        <w:t xml:space="preserve">4.  </w:t>
      </w:r>
      <w:bookmarkEnd w:id="434"/>
      <w:r>
        <w:rPr>
          <w:rFonts w:hint="eastAsia" w:ascii="黑体" w:hAnsi="宋体" w:cs="黑体"/>
          <w:sz w:val="21"/>
          <w:szCs w:val="21"/>
        </w:rPr>
        <w:t>投标</w:t>
      </w:r>
      <w:bookmarkEnd w:id="435"/>
    </w:p>
    <w:p>
      <w:pPr>
        <w:pStyle w:val="5"/>
        <w:widowControl/>
        <w:spacing w:before="0" w:after="0" w:line="300" w:lineRule="exact"/>
        <w:rPr>
          <w:rFonts w:ascii="宋体" w:hAnsi="宋体"/>
          <w:kern w:val="2"/>
          <w:sz w:val="21"/>
          <w:szCs w:val="21"/>
        </w:rPr>
      </w:pPr>
      <w:bookmarkStart w:id="436" w:name="_Toc200513154"/>
      <w:bookmarkEnd w:id="436"/>
      <w:bookmarkStart w:id="437" w:name="_Toc4662168"/>
      <w:bookmarkEnd w:id="437"/>
      <w:bookmarkStart w:id="438" w:name="_Toc40780280"/>
      <w:bookmarkEnd w:id="438"/>
      <w:bookmarkStart w:id="439" w:name="_Toc40455298"/>
      <w:bookmarkEnd w:id="439"/>
      <w:bookmarkStart w:id="440" w:name="_Toc277082580"/>
      <w:bookmarkEnd w:id="440"/>
      <w:bookmarkStart w:id="441" w:name="_Toc2952"/>
      <w:bookmarkEnd w:id="441"/>
      <w:bookmarkStart w:id="442" w:name="_Toc4661932"/>
      <w:bookmarkEnd w:id="442"/>
      <w:bookmarkStart w:id="443" w:name="_Toc287607774"/>
      <w:bookmarkEnd w:id="443"/>
      <w:bookmarkStart w:id="444" w:name="_Toc4661696"/>
      <w:bookmarkEnd w:id="444"/>
      <w:bookmarkStart w:id="445" w:name="_Toc40455671"/>
      <w:bookmarkEnd w:id="445"/>
      <w:bookmarkStart w:id="446" w:name="_Toc4661454"/>
      <w:bookmarkEnd w:id="446"/>
      <w:bookmarkStart w:id="447" w:name="_Toc224103345"/>
      <w:r>
        <w:rPr>
          <w:rFonts w:hint="eastAsia" w:ascii="宋体" w:hAnsi="宋体"/>
          <w:kern w:val="2"/>
          <w:sz w:val="21"/>
          <w:szCs w:val="21"/>
        </w:rPr>
        <w:t xml:space="preserve">4.1  </w:t>
      </w:r>
      <w:bookmarkEnd w:id="447"/>
      <w:r>
        <w:rPr>
          <w:rFonts w:hint="eastAsia" w:ascii="宋体" w:hAnsi="宋体" w:cs="宋体"/>
          <w:kern w:val="2"/>
          <w:sz w:val="21"/>
          <w:szCs w:val="21"/>
        </w:rPr>
        <w:t>比选响应文件的密封和标记</w:t>
      </w:r>
    </w:p>
    <w:p>
      <w:pPr>
        <w:autoSpaceDE w:val="0"/>
        <w:autoSpaceDN w:val="0"/>
        <w:adjustRightInd w:val="0"/>
        <w:spacing w:line="300" w:lineRule="exact"/>
        <w:ind w:left="359" w:leftChars="171"/>
        <w:jc w:val="left"/>
        <w:rPr>
          <w:rFonts w:ascii="宋体" w:hAnsi="宋体" w:cs="MingLiU"/>
          <w:kern w:val="0"/>
          <w:szCs w:val="21"/>
        </w:rPr>
      </w:pPr>
      <w:bookmarkStart w:id="448" w:name="_Toc200513155"/>
      <w:bookmarkEnd w:id="448"/>
      <w:r>
        <w:rPr>
          <w:rFonts w:hint="eastAsia" w:ascii="宋体" w:hAnsi="宋体" w:cs="MingLiU"/>
          <w:kern w:val="0"/>
          <w:szCs w:val="21"/>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MingLiU"/>
          <w:kern w:val="0"/>
          <w:szCs w:val="21"/>
          <w:lang w:bidi="ar"/>
        </w:rPr>
        <w:t>4.1.2  比选响应文件的封套上应写明的内容见报价人须知前附表。</w:t>
      </w:r>
    </w:p>
    <w:p>
      <w:pPr>
        <w:pStyle w:val="5"/>
        <w:widowControl/>
        <w:spacing w:before="0" w:after="0" w:line="300" w:lineRule="exact"/>
        <w:rPr>
          <w:rFonts w:ascii="宋体" w:hAnsi="宋体"/>
          <w:kern w:val="2"/>
          <w:sz w:val="21"/>
          <w:szCs w:val="21"/>
        </w:rPr>
      </w:pPr>
      <w:bookmarkStart w:id="449" w:name="_Toc4661697"/>
      <w:bookmarkEnd w:id="449"/>
      <w:bookmarkStart w:id="450" w:name="_Toc40780281"/>
      <w:bookmarkEnd w:id="450"/>
      <w:bookmarkStart w:id="451" w:name="_Toc277082581"/>
      <w:bookmarkEnd w:id="451"/>
      <w:bookmarkStart w:id="452" w:name="_Toc4661933"/>
      <w:bookmarkEnd w:id="452"/>
      <w:bookmarkStart w:id="453" w:name="_Toc40455672"/>
      <w:bookmarkEnd w:id="453"/>
      <w:bookmarkStart w:id="454" w:name="_Toc40455299"/>
      <w:bookmarkEnd w:id="454"/>
      <w:bookmarkStart w:id="455" w:name="_Toc4662169"/>
      <w:bookmarkEnd w:id="455"/>
      <w:bookmarkStart w:id="456" w:name="_Toc28009"/>
      <w:bookmarkEnd w:id="456"/>
      <w:bookmarkStart w:id="457" w:name="_Toc224103346"/>
      <w:bookmarkEnd w:id="457"/>
      <w:bookmarkStart w:id="458" w:name="_Toc4661455"/>
      <w:bookmarkEnd w:id="458"/>
      <w:bookmarkStart w:id="459" w:name="_Toc287607775"/>
      <w:r>
        <w:rPr>
          <w:rFonts w:hint="eastAsia" w:ascii="宋体" w:hAnsi="宋体"/>
          <w:kern w:val="2"/>
          <w:sz w:val="21"/>
          <w:szCs w:val="21"/>
        </w:rPr>
        <w:t xml:space="preserve">4.2  </w:t>
      </w:r>
      <w:bookmarkEnd w:id="459"/>
      <w:r>
        <w:rPr>
          <w:rFonts w:hint="eastAsia" w:ascii="宋体" w:hAnsi="宋体" w:cs="宋体"/>
          <w:kern w:val="2"/>
          <w:sz w:val="21"/>
          <w:szCs w:val="21"/>
        </w:rPr>
        <w:t>比选响应文件的递交</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4.2.1  </w:t>
      </w:r>
      <w:r>
        <w:rPr>
          <w:rFonts w:hint="eastAsia" w:ascii="宋体" w:hAnsi="宋体" w:cs="宋体"/>
          <w:kern w:val="0"/>
          <w:szCs w:val="21"/>
          <w:lang w:bidi="ar"/>
        </w:rPr>
        <w:t>报价人应在本章第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4.2.2  </w:t>
      </w:r>
      <w:r>
        <w:rPr>
          <w:rFonts w:hint="eastAsia" w:ascii="宋体" w:hAnsi="宋体" w:cs="宋体"/>
          <w:kern w:val="0"/>
          <w:szCs w:val="21"/>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4.2.3  </w:t>
      </w:r>
      <w:r>
        <w:rPr>
          <w:rFonts w:hint="eastAsia" w:ascii="宋体" w:hAnsi="宋体" w:cs="宋体"/>
          <w:kern w:val="0"/>
          <w:szCs w:val="21"/>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4.2.4  </w:t>
      </w:r>
      <w:r>
        <w:rPr>
          <w:rFonts w:hint="eastAsia" w:ascii="宋体" w:hAnsi="宋体" w:cs="宋体"/>
          <w:kern w:val="0"/>
          <w:szCs w:val="21"/>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4.2.5  </w:t>
      </w:r>
      <w:r>
        <w:rPr>
          <w:rFonts w:hint="eastAsia" w:ascii="宋体" w:hAnsi="宋体" w:cs="宋体"/>
          <w:kern w:val="0"/>
          <w:szCs w:val="21"/>
          <w:lang w:bidi="ar"/>
        </w:rPr>
        <w:t>逾期送达的或者未送达指定地点的比选响应文件，采购人不予受理。</w:t>
      </w:r>
    </w:p>
    <w:p>
      <w:pPr>
        <w:pStyle w:val="5"/>
        <w:widowControl/>
        <w:spacing w:before="0" w:after="0" w:line="300" w:lineRule="exact"/>
        <w:rPr>
          <w:rFonts w:ascii="宋体" w:hAnsi="宋体"/>
          <w:kern w:val="2"/>
          <w:sz w:val="21"/>
          <w:szCs w:val="21"/>
        </w:rPr>
      </w:pPr>
      <w:bookmarkStart w:id="460" w:name="_Toc200513156"/>
      <w:bookmarkEnd w:id="460"/>
      <w:bookmarkStart w:id="461" w:name="_Toc4661456"/>
      <w:bookmarkEnd w:id="461"/>
      <w:bookmarkStart w:id="462" w:name="_Toc4661934"/>
      <w:bookmarkEnd w:id="462"/>
      <w:bookmarkStart w:id="463" w:name="_Toc40455673"/>
      <w:bookmarkEnd w:id="463"/>
      <w:bookmarkStart w:id="464" w:name="_Toc287607776"/>
      <w:bookmarkEnd w:id="464"/>
      <w:bookmarkStart w:id="465" w:name="_Toc40780282"/>
      <w:bookmarkEnd w:id="465"/>
      <w:bookmarkStart w:id="466" w:name="_Toc15210"/>
      <w:bookmarkEnd w:id="466"/>
      <w:bookmarkStart w:id="467" w:name="_Toc40455300"/>
      <w:bookmarkEnd w:id="467"/>
      <w:bookmarkStart w:id="468" w:name="_Toc277082582"/>
      <w:bookmarkEnd w:id="468"/>
      <w:bookmarkStart w:id="469" w:name="_Toc4661698"/>
      <w:bookmarkEnd w:id="469"/>
      <w:bookmarkStart w:id="470" w:name="_Toc224103347"/>
      <w:bookmarkEnd w:id="470"/>
      <w:bookmarkStart w:id="471" w:name="_Toc4662170"/>
      <w:r>
        <w:rPr>
          <w:rFonts w:hint="eastAsia" w:ascii="宋体" w:hAnsi="宋体"/>
          <w:kern w:val="2"/>
          <w:sz w:val="21"/>
          <w:szCs w:val="21"/>
        </w:rPr>
        <w:t xml:space="preserve">4.3  </w:t>
      </w:r>
      <w:bookmarkEnd w:id="471"/>
      <w:r>
        <w:rPr>
          <w:rFonts w:hint="eastAsia" w:ascii="宋体" w:hAnsi="宋体" w:cs="宋体"/>
          <w:kern w:val="2"/>
          <w:sz w:val="21"/>
          <w:szCs w:val="21"/>
        </w:rPr>
        <w:t>比选响应文件的修改与撤回</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4.3.1  </w:t>
      </w:r>
      <w:r>
        <w:rPr>
          <w:rFonts w:hint="eastAsia" w:ascii="宋体" w:hAnsi="宋体" w:cs="宋体"/>
          <w:kern w:val="0"/>
          <w:szCs w:val="21"/>
          <w:lang w:bidi="ar"/>
        </w:rPr>
        <w:t>在本章第</w:t>
      </w:r>
      <w:r>
        <w:rPr>
          <w:rFonts w:hint="eastAsia" w:ascii="宋体" w:hAnsi="宋体" w:cs="Calibri"/>
          <w:kern w:val="0"/>
          <w:szCs w:val="21"/>
          <w:lang w:bidi="ar"/>
        </w:rPr>
        <w:t>2.2.2</w:t>
      </w:r>
      <w:r>
        <w:rPr>
          <w:rFonts w:hint="eastAsia" w:ascii="宋体" w:hAnsi="宋体" w:cs="宋体"/>
          <w:kern w:val="0"/>
          <w:szCs w:val="21"/>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4.3.2  </w:t>
      </w:r>
      <w:r>
        <w:rPr>
          <w:rFonts w:hint="eastAsia" w:ascii="宋体" w:hAnsi="宋体" w:cs="宋体"/>
          <w:kern w:val="0"/>
          <w:szCs w:val="21"/>
          <w:lang w:bidi="ar"/>
        </w:rPr>
        <w:t>报价人修改或撤回已递交比选响应文件的书面通知应按照本章第</w:t>
      </w:r>
      <w:r>
        <w:rPr>
          <w:rFonts w:hint="eastAsia" w:ascii="宋体" w:hAnsi="宋体" w:cs="Calibri"/>
          <w:kern w:val="0"/>
          <w:szCs w:val="21"/>
          <w:lang w:bidi="ar"/>
        </w:rPr>
        <w:t>3.7.3</w:t>
      </w:r>
      <w:r>
        <w:rPr>
          <w:rFonts w:hint="eastAsia" w:ascii="宋体" w:hAnsi="宋体" w:cs="宋体"/>
          <w:kern w:val="0"/>
          <w:szCs w:val="21"/>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4.3.3  </w:t>
      </w:r>
      <w:r>
        <w:rPr>
          <w:rFonts w:hint="eastAsia" w:ascii="宋体" w:hAnsi="宋体" w:cs="宋体"/>
          <w:kern w:val="0"/>
          <w:szCs w:val="21"/>
          <w:lang w:bidi="ar"/>
        </w:rPr>
        <w:t>修改的内容为比选响应文件的组成部分。修改的比选响应文件应按照本章第</w:t>
      </w:r>
      <w:r>
        <w:rPr>
          <w:rFonts w:hint="eastAsia" w:ascii="宋体" w:hAnsi="宋体" w:cs="Calibri"/>
          <w:kern w:val="0"/>
          <w:szCs w:val="21"/>
          <w:lang w:bidi="ar"/>
        </w:rPr>
        <w:t>3</w:t>
      </w:r>
      <w:r>
        <w:rPr>
          <w:rFonts w:hint="eastAsia" w:ascii="宋体" w:hAnsi="宋体" w:cs="宋体"/>
          <w:kern w:val="0"/>
          <w:szCs w:val="21"/>
          <w:lang w:bidi="ar"/>
        </w:rPr>
        <w:t>条、第</w:t>
      </w:r>
      <w:r>
        <w:rPr>
          <w:rFonts w:hint="eastAsia" w:ascii="宋体" w:hAnsi="宋体" w:cs="Calibri"/>
          <w:kern w:val="0"/>
          <w:szCs w:val="21"/>
          <w:lang w:bidi="ar"/>
        </w:rPr>
        <w:t>4</w:t>
      </w:r>
      <w:r>
        <w:rPr>
          <w:rFonts w:hint="eastAsia" w:ascii="宋体" w:hAnsi="宋体" w:cs="宋体"/>
          <w:kern w:val="0"/>
          <w:szCs w:val="21"/>
          <w:lang w:bidi="ar"/>
        </w:rPr>
        <w:t>条规定进行编制、密封、标记和递交，并标明</w:t>
      </w:r>
      <w:r>
        <w:rPr>
          <w:rFonts w:hint="eastAsia" w:ascii="宋体" w:hAnsi="宋体" w:cs="MingLiU"/>
          <w:kern w:val="0"/>
          <w:szCs w:val="21"/>
          <w:lang w:bidi="ar"/>
        </w:rPr>
        <w:t>“修改”字样。</w:t>
      </w:r>
    </w:p>
    <w:p>
      <w:pPr>
        <w:pStyle w:val="4"/>
        <w:widowControl/>
        <w:spacing w:before="0" w:after="0" w:line="300" w:lineRule="exact"/>
        <w:rPr>
          <w:rFonts w:ascii="宋体" w:hAnsi="宋体"/>
          <w:sz w:val="21"/>
          <w:szCs w:val="21"/>
        </w:rPr>
      </w:pPr>
      <w:bookmarkStart w:id="472" w:name="_Toc27819"/>
      <w:bookmarkEnd w:id="472"/>
      <w:bookmarkStart w:id="473" w:name="_Toc4661935"/>
      <w:bookmarkEnd w:id="473"/>
      <w:bookmarkStart w:id="474" w:name="_Toc224103348"/>
      <w:bookmarkEnd w:id="474"/>
      <w:bookmarkStart w:id="475" w:name="_Toc4662171"/>
      <w:bookmarkEnd w:id="475"/>
      <w:bookmarkStart w:id="476" w:name="_Toc287607777"/>
      <w:bookmarkEnd w:id="476"/>
      <w:bookmarkStart w:id="477" w:name="_Toc26569"/>
      <w:bookmarkEnd w:id="477"/>
      <w:bookmarkStart w:id="478" w:name="_Toc40455301"/>
      <w:bookmarkEnd w:id="478"/>
      <w:bookmarkStart w:id="479" w:name="_Toc3631"/>
      <w:bookmarkEnd w:id="479"/>
      <w:bookmarkStart w:id="480" w:name="_Toc4661699"/>
      <w:bookmarkEnd w:id="480"/>
      <w:bookmarkStart w:id="481" w:name="_Toc200513157"/>
      <w:bookmarkEnd w:id="481"/>
      <w:bookmarkStart w:id="482" w:name="_Toc277082583"/>
      <w:bookmarkEnd w:id="482"/>
      <w:bookmarkStart w:id="483" w:name="_Toc40455674"/>
      <w:bookmarkEnd w:id="483"/>
      <w:bookmarkStart w:id="484" w:name="_Toc4661457"/>
      <w:bookmarkEnd w:id="484"/>
      <w:bookmarkStart w:id="485" w:name="_Toc13110"/>
      <w:bookmarkEnd w:id="485"/>
      <w:bookmarkStart w:id="486" w:name="_Toc2667"/>
      <w:bookmarkEnd w:id="486"/>
      <w:bookmarkStart w:id="487" w:name="_Toc665"/>
      <w:bookmarkStart w:id="488" w:name="_Toc10011"/>
      <w:r>
        <w:rPr>
          <w:rFonts w:hint="eastAsia" w:ascii="宋体" w:hAnsi="宋体"/>
          <w:sz w:val="21"/>
          <w:szCs w:val="21"/>
        </w:rPr>
        <w:t xml:space="preserve">5.  </w:t>
      </w:r>
      <w:bookmarkEnd w:id="487"/>
      <w:r>
        <w:rPr>
          <w:rFonts w:hint="eastAsia" w:ascii="黑体" w:hAnsi="宋体" w:cs="黑体"/>
          <w:sz w:val="21"/>
          <w:szCs w:val="21"/>
        </w:rPr>
        <w:t>开标</w:t>
      </w:r>
      <w:bookmarkEnd w:id="488"/>
    </w:p>
    <w:p>
      <w:pPr>
        <w:pStyle w:val="5"/>
        <w:widowControl/>
        <w:spacing w:before="0" w:after="0" w:line="300" w:lineRule="exact"/>
        <w:rPr>
          <w:rFonts w:ascii="宋体" w:hAnsi="宋体"/>
          <w:kern w:val="2"/>
          <w:sz w:val="21"/>
          <w:szCs w:val="21"/>
        </w:rPr>
      </w:pPr>
      <w:bookmarkStart w:id="489" w:name="_Toc4661458"/>
      <w:bookmarkEnd w:id="489"/>
      <w:bookmarkStart w:id="490" w:name="_Toc200513158"/>
      <w:bookmarkEnd w:id="490"/>
      <w:bookmarkStart w:id="491" w:name="_Toc4662172"/>
      <w:bookmarkEnd w:id="491"/>
      <w:bookmarkStart w:id="492" w:name="_Toc4661700"/>
      <w:bookmarkEnd w:id="492"/>
      <w:bookmarkStart w:id="493" w:name="_Toc224103349"/>
      <w:bookmarkEnd w:id="493"/>
      <w:bookmarkStart w:id="494" w:name="_Toc40455302"/>
      <w:bookmarkEnd w:id="494"/>
      <w:bookmarkStart w:id="495" w:name="_Toc277082584"/>
      <w:bookmarkEnd w:id="495"/>
      <w:bookmarkStart w:id="496" w:name="_Toc40455675"/>
      <w:bookmarkEnd w:id="496"/>
      <w:bookmarkStart w:id="497" w:name="_Toc22642"/>
      <w:bookmarkEnd w:id="497"/>
      <w:bookmarkStart w:id="498" w:name="_Toc287607778"/>
      <w:bookmarkEnd w:id="498"/>
      <w:bookmarkStart w:id="499" w:name="_Toc40780284"/>
      <w:bookmarkEnd w:id="499"/>
      <w:bookmarkStart w:id="500" w:name="_Toc4661936"/>
      <w:r>
        <w:rPr>
          <w:rFonts w:hint="eastAsia" w:ascii="宋体" w:hAnsi="宋体"/>
          <w:kern w:val="2"/>
          <w:sz w:val="21"/>
          <w:szCs w:val="21"/>
        </w:rPr>
        <w:t>5.1  开标时间和地点</w:t>
      </w:r>
      <w:bookmarkEnd w:id="500"/>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采购人在本章第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项规定的投标截止时间（开标时间）和报价人须知前附表规定的情况进行开标。</w:t>
      </w:r>
    </w:p>
    <w:p>
      <w:pPr>
        <w:pStyle w:val="5"/>
        <w:widowControl/>
        <w:spacing w:before="0" w:after="0" w:line="300" w:lineRule="exact"/>
        <w:rPr>
          <w:rFonts w:ascii="宋体" w:hAnsi="宋体"/>
          <w:kern w:val="2"/>
          <w:sz w:val="21"/>
          <w:szCs w:val="21"/>
        </w:rPr>
      </w:pPr>
      <w:bookmarkStart w:id="501" w:name="_Toc4661937"/>
      <w:bookmarkEnd w:id="501"/>
      <w:bookmarkStart w:id="502" w:name="_Toc1823"/>
      <w:bookmarkEnd w:id="502"/>
      <w:bookmarkStart w:id="503" w:name="_Toc287607779"/>
      <w:bookmarkEnd w:id="503"/>
      <w:bookmarkStart w:id="504" w:name="_Toc40455303"/>
      <w:bookmarkEnd w:id="504"/>
      <w:bookmarkStart w:id="505" w:name="_Toc4661459"/>
      <w:bookmarkEnd w:id="505"/>
      <w:bookmarkStart w:id="506" w:name="_Toc4661701"/>
      <w:bookmarkEnd w:id="506"/>
      <w:bookmarkStart w:id="507" w:name="_Toc224103350"/>
      <w:bookmarkEnd w:id="507"/>
      <w:bookmarkStart w:id="508" w:name="_Toc4662173"/>
      <w:bookmarkEnd w:id="508"/>
      <w:bookmarkStart w:id="509" w:name="_Toc277082585"/>
      <w:bookmarkEnd w:id="509"/>
      <w:bookmarkStart w:id="510" w:name="_Toc40455676"/>
      <w:bookmarkEnd w:id="510"/>
      <w:bookmarkStart w:id="511" w:name="_Toc40780285"/>
      <w:bookmarkEnd w:id="511"/>
      <w:bookmarkStart w:id="512" w:name="_Toc200513159"/>
      <w:r>
        <w:rPr>
          <w:rFonts w:hint="eastAsia" w:ascii="宋体" w:hAnsi="宋体"/>
          <w:kern w:val="2"/>
          <w:sz w:val="21"/>
          <w:szCs w:val="21"/>
        </w:rPr>
        <w:t xml:space="preserve">5.2  </w:t>
      </w:r>
      <w:bookmarkEnd w:id="512"/>
      <w:r>
        <w:rPr>
          <w:rFonts w:hint="eastAsia" w:ascii="宋体" w:hAnsi="宋体" w:cs="宋体"/>
          <w:kern w:val="2"/>
          <w:sz w:val="21"/>
          <w:szCs w:val="21"/>
        </w:rPr>
        <w:t>开标程序</w:t>
      </w:r>
    </w:p>
    <w:p>
      <w:pPr>
        <w:autoSpaceDE w:val="0"/>
        <w:autoSpaceDN w:val="0"/>
        <w:adjustRightInd w:val="0"/>
        <w:spacing w:line="300" w:lineRule="exact"/>
        <w:ind w:firstLine="420" w:firstLineChars="200"/>
        <w:jc w:val="left"/>
        <w:rPr>
          <w:rFonts w:ascii="宋体" w:hAnsi="宋体" w:cs="MingLiU"/>
          <w:kern w:val="0"/>
          <w:szCs w:val="21"/>
        </w:rPr>
      </w:pPr>
      <w:bookmarkStart w:id="513" w:name="_Toc287607780"/>
      <w:bookmarkEnd w:id="513"/>
      <w:bookmarkStart w:id="514" w:name="_Toc277082586"/>
      <w:bookmarkEnd w:id="514"/>
      <w:bookmarkStart w:id="515" w:name="_Toc200513160"/>
      <w:bookmarkEnd w:id="515"/>
      <w:bookmarkStart w:id="516" w:name="_Toc224103351"/>
      <w:r>
        <w:rPr>
          <w:rFonts w:hint="eastAsia" w:ascii="宋体" w:hAnsi="宋体" w:cs="宋体"/>
          <w:kern w:val="0"/>
          <w:szCs w:val="21"/>
          <w:lang w:bidi="ar"/>
        </w:rPr>
        <w:t>见报价人须知前附表。</w:t>
      </w:r>
      <w:bookmarkEnd w:id="516"/>
    </w:p>
    <w:p>
      <w:pPr>
        <w:pStyle w:val="4"/>
        <w:widowControl/>
        <w:spacing w:before="0" w:after="0" w:line="300" w:lineRule="exact"/>
        <w:rPr>
          <w:rFonts w:ascii="宋体" w:hAnsi="宋体"/>
          <w:sz w:val="21"/>
          <w:szCs w:val="21"/>
        </w:rPr>
      </w:pPr>
      <w:bookmarkStart w:id="517" w:name="_Toc4661938"/>
      <w:bookmarkEnd w:id="517"/>
      <w:bookmarkStart w:id="518" w:name="_Toc29816"/>
      <w:bookmarkEnd w:id="518"/>
      <w:bookmarkStart w:id="519" w:name="_Toc6592"/>
      <w:bookmarkEnd w:id="519"/>
      <w:bookmarkStart w:id="520" w:name="_Toc4661702"/>
      <w:bookmarkEnd w:id="520"/>
      <w:bookmarkStart w:id="521" w:name="_Toc26714"/>
      <w:bookmarkEnd w:id="521"/>
      <w:bookmarkStart w:id="522" w:name="_Toc4904"/>
      <w:bookmarkEnd w:id="522"/>
      <w:bookmarkStart w:id="523" w:name="_Toc4661460"/>
      <w:bookmarkEnd w:id="523"/>
      <w:bookmarkStart w:id="524" w:name="_Toc4662174"/>
      <w:bookmarkEnd w:id="524"/>
      <w:bookmarkStart w:id="525" w:name="_Toc40455677"/>
      <w:bookmarkEnd w:id="525"/>
      <w:bookmarkStart w:id="526" w:name="_Toc5895"/>
      <w:bookmarkEnd w:id="526"/>
      <w:bookmarkStart w:id="527" w:name="_Toc40455304"/>
      <w:bookmarkEnd w:id="527"/>
      <w:bookmarkStart w:id="528" w:name="_Toc5685"/>
      <w:bookmarkStart w:id="529" w:name="_Toc16471"/>
      <w:r>
        <w:rPr>
          <w:rFonts w:hint="eastAsia" w:ascii="宋体" w:hAnsi="宋体"/>
          <w:sz w:val="21"/>
          <w:szCs w:val="21"/>
        </w:rPr>
        <w:t xml:space="preserve">6.  </w:t>
      </w:r>
      <w:bookmarkEnd w:id="528"/>
      <w:r>
        <w:rPr>
          <w:rFonts w:hint="eastAsia" w:ascii="黑体" w:hAnsi="宋体" w:cs="黑体"/>
          <w:sz w:val="21"/>
          <w:szCs w:val="21"/>
        </w:rPr>
        <w:t>评标</w:t>
      </w:r>
      <w:bookmarkEnd w:id="529"/>
    </w:p>
    <w:p>
      <w:pPr>
        <w:pStyle w:val="5"/>
        <w:widowControl/>
        <w:spacing w:before="0" w:after="0" w:line="300" w:lineRule="exact"/>
        <w:rPr>
          <w:rFonts w:ascii="宋体" w:hAnsi="宋体"/>
          <w:kern w:val="2"/>
          <w:sz w:val="21"/>
          <w:szCs w:val="21"/>
        </w:rPr>
      </w:pPr>
      <w:bookmarkStart w:id="530" w:name="_Toc287607781"/>
      <w:bookmarkEnd w:id="530"/>
      <w:bookmarkStart w:id="531" w:name="_Toc40780287"/>
      <w:bookmarkEnd w:id="531"/>
      <w:bookmarkStart w:id="532" w:name="_Toc40455305"/>
      <w:bookmarkEnd w:id="532"/>
      <w:bookmarkStart w:id="533" w:name="_Toc4661461"/>
      <w:bookmarkEnd w:id="533"/>
      <w:bookmarkStart w:id="534" w:name="_Toc40455678"/>
      <w:bookmarkEnd w:id="534"/>
      <w:bookmarkStart w:id="535" w:name="_Toc277082587"/>
      <w:bookmarkEnd w:id="535"/>
      <w:bookmarkStart w:id="536" w:name="_Toc224103352"/>
      <w:bookmarkEnd w:id="536"/>
      <w:bookmarkStart w:id="537" w:name="_Toc4662175"/>
      <w:bookmarkEnd w:id="537"/>
      <w:bookmarkStart w:id="538" w:name="_Toc4661703"/>
      <w:bookmarkEnd w:id="538"/>
      <w:bookmarkStart w:id="539" w:name="_Toc200513161"/>
      <w:bookmarkEnd w:id="539"/>
      <w:bookmarkStart w:id="540" w:name="_Toc9614"/>
      <w:bookmarkEnd w:id="540"/>
      <w:bookmarkStart w:id="541" w:name="_Toc4661939"/>
      <w:r>
        <w:rPr>
          <w:rFonts w:hint="eastAsia" w:ascii="宋体" w:hAnsi="宋体"/>
          <w:kern w:val="2"/>
          <w:sz w:val="21"/>
          <w:szCs w:val="21"/>
        </w:rPr>
        <w:t xml:space="preserve">6.1  </w:t>
      </w:r>
      <w:bookmarkEnd w:id="541"/>
      <w:r>
        <w:rPr>
          <w:rFonts w:hint="eastAsia" w:ascii="宋体" w:hAnsi="宋体" w:cs="宋体"/>
          <w:kern w:val="2"/>
          <w:sz w:val="21"/>
          <w:szCs w:val="21"/>
        </w:rPr>
        <w:t>评标委员会</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6.1.1  </w:t>
      </w:r>
      <w:r>
        <w:rPr>
          <w:rFonts w:hint="eastAsia" w:ascii="宋体" w:hAnsi="宋体" w:cs="宋体"/>
          <w:kern w:val="0"/>
          <w:szCs w:val="21"/>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6.1.2  </w:t>
      </w:r>
      <w:r>
        <w:rPr>
          <w:rFonts w:hint="eastAsia" w:ascii="宋体" w:hAnsi="宋体" w:cs="宋体"/>
          <w:kern w:val="0"/>
          <w:szCs w:val="21"/>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w:t>
      </w:r>
      <w:r>
        <w:rPr>
          <w:rFonts w:hint="eastAsia" w:ascii="宋体" w:hAnsi="宋体" w:cs="宋体"/>
          <w:kern w:val="0"/>
          <w:szCs w:val="21"/>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w:t>
      </w:r>
      <w:r>
        <w:rPr>
          <w:rFonts w:hint="eastAsia" w:ascii="宋体" w:hAnsi="宋体" w:cs="宋体"/>
          <w:kern w:val="0"/>
          <w:szCs w:val="21"/>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6）近3年在采购人、报价人或竞争性比选代理机构工作过的人员。</w:t>
      </w:r>
    </w:p>
    <w:p>
      <w:pPr>
        <w:pStyle w:val="5"/>
        <w:widowControl/>
        <w:spacing w:before="0" w:after="0" w:line="300" w:lineRule="exact"/>
        <w:rPr>
          <w:rFonts w:ascii="宋体" w:hAnsi="宋体"/>
          <w:kern w:val="2"/>
          <w:sz w:val="21"/>
          <w:szCs w:val="21"/>
        </w:rPr>
      </w:pPr>
      <w:bookmarkStart w:id="542" w:name="_Toc40455679"/>
      <w:bookmarkEnd w:id="542"/>
      <w:bookmarkStart w:id="543" w:name="_Toc40780288"/>
      <w:bookmarkEnd w:id="543"/>
      <w:bookmarkStart w:id="544" w:name="_Toc287607782"/>
      <w:bookmarkEnd w:id="544"/>
      <w:bookmarkStart w:id="545" w:name="_Toc4661462"/>
      <w:bookmarkEnd w:id="545"/>
      <w:bookmarkStart w:id="546" w:name="_Toc4661940"/>
      <w:bookmarkEnd w:id="546"/>
      <w:bookmarkStart w:id="547" w:name="_Toc4662176"/>
      <w:bookmarkEnd w:id="547"/>
      <w:bookmarkStart w:id="548" w:name="_Toc224103353"/>
      <w:bookmarkEnd w:id="548"/>
      <w:bookmarkStart w:id="549" w:name="_Toc40455306"/>
      <w:bookmarkEnd w:id="549"/>
      <w:bookmarkStart w:id="550" w:name="_Toc277082588"/>
      <w:bookmarkEnd w:id="550"/>
      <w:bookmarkStart w:id="551" w:name="_Toc200513162"/>
      <w:bookmarkEnd w:id="551"/>
      <w:bookmarkStart w:id="552" w:name="_Toc4661704"/>
      <w:bookmarkEnd w:id="552"/>
      <w:bookmarkStart w:id="553" w:name="_Toc3788"/>
      <w:r>
        <w:rPr>
          <w:rFonts w:hint="eastAsia" w:ascii="宋体" w:hAnsi="宋体"/>
          <w:kern w:val="2"/>
          <w:sz w:val="21"/>
          <w:szCs w:val="21"/>
        </w:rPr>
        <w:t xml:space="preserve">6.2  </w:t>
      </w:r>
      <w:bookmarkEnd w:id="553"/>
      <w:r>
        <w:rPr>
          <w:rFonts w:hint="eastAsia" w:ascii="宋体" w:hAnsi="宋体" w:cs="宋体"/>
          <w:kern w:val="2"/>
          <w:sz w:val="21"/>
          <w:szCs w:val="21"/>
        </w:rPr>
        <w:t>评标原则</w:t>
      </w:r>
    </w:p>
    <w:p>
      <w:pPr>
        <w:autoSpaceDE w:val="0"/>
        <w:autoSpaceDN w:val="0"/>
        <w:adjustRightInd w:val="0"/>
        <w:spacing w:line="300" w:lineRule="exact"/>
        <w:jc w:val="left"/>
        <w:rPr>
          <w:rFonts w:ascii="宋体" w:hAnsi="宋体" w:cs="MingLiU"/>
          <w:kern w:val="0"/>
          <w:szCs w:val="21"/>
        </w:rPr>
      </w:pPr>
      <w:r>
        <w:rPr>
          <w:rFonts w:hint="eastAsia" w:ascii="宋体" w:hAnsi="宋体" w:cs="MingLiU"/>
          <w:kern w:val="0"/>
          <w:szCs w:val="21"/>
          <w:lang w:bidi="ar"/>
        </w:rPr>
        <w:t xml:space="preserve">    </w:t>
      </w:r>
      <w:r>
        <w:rPr>
          <w:rFonts w:hint="eastAsia" w:ascii="宋体" w:hAnsi="宋体" w:cs="宋体"/>
          <w:kern w:val="0"/>
          <w:szCs w:val="21"/>
          <w:lang w:bidi="ar"/>
        </w:rPr>
        <w:t>评标活动遵循公平、公正、科学和择优的原则。</w:t>
      </w:r>
    </w:p>
    <w:p>
      <w:pPr>
        <w:pStyle w:val="5"/>
        <w:widowControl/>
        <w:spacing w:before="0" w:after="0" w:line="300" w:lineRule="exact"/>
        <w:rPr>
          <w:rFonts w:ascii="宋体" w:hAnsi="宋体"/>
          <w:kern w:val="2"/>
          <w:sz w:val="21"/>
          <w:szCs w:val="21"/>
        </w:rPr>
      </w:pPr>
      <w:bookmarkStart w:id="554" w:name="_Toc40455307"/>
      <w:bookmarkEnd w:id="554"/>
      <w:bookmarkStart w:id="555" w:name="_Toc224103354"/>
      <w:bookmarkEnd w:id="555"/>
      <w:bookmarkStart w:id="556" w:name="_Toc4661941"/>
      <w:bookmarkEnd w:id="556"/>
      <w:bookmarkStart w:id="557" w:name="_Toc26101"/>
      <w:bookmarkEnd w:id="557"/>
      <w:bookmarkStart w:id="558" w:name="_Toc40780289"/>
      <w:bookmarkEnd w:id="558"/>
      <w:bookmarkStart w:id="559" w:name="_Toc287607783"/>
      <w:bookmarkEnd w:id="559"/>
      <w:bookmarkStart w:id="560" w:name="_Toc4661705"/>
      <w:bookmarkEnd w:id="560"/>
      <w:bookmarkStart w:id="561" w:name="_Toc4661463"/>
      <w:bookmarkEnd w:id="561"/>
      <w:bookmarkStart w:id="562" w:name="_Toc40455680"/>
      <w:bookmarkEnd w:id="562"/>
      <w:bookmarkStart w:id="563" w:name="_Toc200513163"/>
      <w:bookmarkEnd w:id="563"/>
      <w:bookmarkStart w:id="564" w:name="_Toc277082589"/>
      <w:bookmarkEnd w:id="564"/>
      <w:bookmarkStart w:id="565" w:name="_Toc4662177"/>
      <w:r>
        <w:rPr>
          <w:rFonts w:hint="eastAsia" w:ascii="宋体" w:hAnsi="宋体"/>
          <w:kern w:val="2"/>
          <w:sz w:val="21"/>
          <w:szCs w:val="21"/>
        </w:rPr>
        <w:t xml:space="preserve">6.3  </w:t>
      </w:r>
      <w:bookmarkEnd w:id="565"/>
      <w:r>
        <w:rPr>
          <w:rFonts w:hint="eastAsia" w:ascii="宋体" w:hAnsi="宋体" w:cs="宋体"/>
          <w:kern w:val="2"/>
          <w:sz w:val="21"/>
          <w:szCs w:val="21"/>
        </w:rPr>
        <w:t>评标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6.3.2评标完成后，评标委员会应向采购人提交书面评标报告和中标候选人名单。评标委员会推荐中标候选人的人数见报价人须知前附表。</w:t>
      </w:r>
    </w:p>
    <w:p>
      <w:pPr>
        <w:pStyle w:val="4"/>
        <w:widowControl/>
        <w:spacing w:before="0" w:after="0" w:line="300" w:lineRule="exact"/>
        <w:rPr>
          <w:rFonts w:ascii="宋体" w:hAnsi="宋体"/>
          <w:sz w:val="21"/>
          <w:szCs w:val="21"/>
        </w:rPr>
      </w:pPr>
      <w:bookmarkStart w:id="566" w:name="_Toc4662178"/>
      <w:bookmarkEnd w:id="566"/>
      <w:bookmarkStart w:id="567" w:name="_Toc40455681"/>
      <w:bookmarkEnd w:id="567"/>
      <w:bookmarkStart w:id="568" w:name="_Toc200513164"/>
      <w:bookmarkEnd w:id="568"/>
      <w:bookmarkStart w:id="569" w:name="_Toc287607784"/>
      <w:bookmarkEnd w:id="569"/>
      <w:bookmarkStart w:id="570" w:name="_Toc4661464"/>
      <w:bookmarkEnd w:id="570"/>
      <w:bookmarkStart w:id="571" w:name="_Toc13060"/>
      <w:bookmarkEnd w:id="571"/>
      <w:bookmarkStart w:id="572" w:name="_Toc277082590"/>
      <w:bookmarkEnd w:id="572"/>
      <w:bookmarkStart w:id="573" w:name="_Toc4661706"/>
      <w:bookmarkEnd w:id="573"/>
      <w:bookmarkStart w:id="574" w:name="_Toc2883"/>
      <w:bookmarkEnd w:id="574"/>
      <w:bookmarkStart w:id="575" w:name="_Toc224103355"/>
      <w:bookmarkEnd w:id="575"/>
      <w:bookmarkStart w:id="576" w:name="_Toc40455308"/>
      <w:bookmarkEnd w:id="576"/>
      <w:bookmarkStart w:id="577" w:name="_Toc20858"/>
      <w:bookmarkEnd w:id="577"/>
      <w:bookmarkStart w:id="578" w:name="_Toc28253"/>
      <w:bookmarkEnd w:id="578"/>
      <w:bookmarkStart w:id="579" w:name="_Toc6853"/>
      <w:bookmarkEnd w:id="579"/>
      <w:bookmarkStart w:id="580" w:name="_Toc4661942"/>
      <w:bookmarkEnd w:id="580"/>
      <w:bookmarkStart w:id="581" w:name="_Toc28602"/>
      <w:bookmarkStart w:id="582" w:name="_Toc7661"/>
      <w:r>
        <w:rPr>
          <w:rFonts w:hint="eastAsia" w:ascii="宋体" w:hAnsi="宋体"/>
          <w:sz w:val="21"/>
          <w:szCs w:val="21"/>
        </w:rPr>
        <w:t xml:space="preserve">7.  </w:t>
      </w:r>
      <w:bookmarkEnd w:id="581"/>
      <w:r>
        <w:rPr>
          <w:rFonts w:hint="eastAsia" w:ascii="宋体" w:hAnsi="宋体" w:eastAsia="宋体" w:cs="宋体"/>
          <w:kern w:val="2"/>
          <w:sz w:val="21"/>
          <w:szCs w:val="21"/>
        </w:rPr>
        <w:t>合同授予</w:t>
      </w:r>
      <w:bookmarkEnd w:id="582"/>
    </w:p>
    <w:p>
      <w:pPr>
        <w:pStyle w:val="5"/>
        <w:widowControl/>
        <w:spacing w:before="0" w:after="0" w:line="300" w:lineRule="exact"/>
        <w:rPr>
          <w:rFonts w:ascii="宋体" w:hAnsi="宋体"/>
          <w:kern w:val="2"/>
          <w:sz w:val="21"/>
          <w:szCs w:val="21"/>
        </w:rPr>
      </w:pPr>
      <w:bookmarkStart w:id="583" w:name="_Toc200513165"/>
      <w:bookmarkEnd w:id="583"/>
      <w:bookmarkStart w:id="584" w:name="_Toc4661465"/>
      <w:bookmarkEnd w:id="584"/>
      <w:bookmarkStart w:id="585" w:name="_Toc277082591"/>
      <w:bookmarkEnd w:id="585"/>
      <w:bookmarkStart w:id="586" w:name="_Toc4662179"/>
      <w:bookmarkEnd w:id="586"/>
      <w:bookmarkStart w:id="587" w:name="_Toc4661707"/>
      <w:bookmarkEnd w:id="587"/>
      <w:bookmarkStart w:id="588" w:name="_Toc287607785"/>
      <w:bookmarkEnd w:id="588"/>
      <w:bookmarkStart w:id="589" w:name="_Toc40455309"/>
      <w:bookmarkEnd w:id="589"/>
      <w:bookmarkStart w:id="590" w:name="_Toc40455682"/>
      <w:bookmarkEnd w:id="590"/>
      <w:bookmarkStart w:id="591" w:name="_Toc12458"/>
      <w:bookmarkEnd w:id="591"/>
      <w:bookmarkStart w:id="592" w:name="_Toc4661943"/>
      <w:bookmarkEnd w:id="592"/>
      <w:bookmarkStart w:id="593" w:name="_Toc224103356"/>
      <w:bookmarkEnd w:id="593"/>
      <w:bookmarkStart w:id="594" w:name="_Toc40780291"/>
      <w:r>
        <w:rPr>
          <w:rFonts w:hint="eastAsia" w:ascii="宋体" w:hAnsi="宋体"/>
          <w:kern w:val="2"/>
          <w:sz w:val="21"/>
          <w:szCs w:val="21"/>
        </w:rPr>
        <w:t xml:space="preserve">7.1  </w:t>
      </w:r>
      <w:bookmarkEnd w:id="594"/>
      <w:r>
        <w:rPr>
          <w:rFonts w:hint="eastAsia" w:ascii="宋体" w:hAnsi="宋体" w:cs="宋体"/>
          <w:kern w:val="2"/>
          <w:sz w:val="21"/>
          <w:szCs w:val="21"/>
        </w:rPr>
        <w:t>定标方式</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5"/>
        <w:widowControl/>
        <w:spacing w:before="0" w:after="0" w:line="300" w:lineRule="exact"/>
        <w:rPr>
          <w:rFonts w:ascii="宋体" w:hAnsi="宋体"/>
          <w:kern w:val="2"/>
          <w:sz w:val="21"/>
          <w:szCs w:val="21"/>
        </w:rPr>
      </w:pPr>
      <w:bookmarkStart w:id="595" w:name="_Toc40455683"/>
      <w:bookmarkEnd w:id="595"/>
      <w:bookmarkStart w:id="596" w:name="_Toc4661708"/>
      <w:bookmarkEnd w:id="596"/>
      <w:bookmarkStart w:id="597" w:name="_Toc4661466"/>
      <w:bookmarkEnd w:id="597"/>
      <w:bookmarkStart w:id="598" w:name="_Toc200513166"/>
      <w:bookmarkEnd w:id="598"/>
      <w:bookmarkStart w:id="599" w:name="_Toc277082592"/>
      <w:bookmarkEnd w:id="599"/>
      <w:bookmarkStart w:id="600" w:name="_Toc4662180"/>
      <w:bookmarkEnd w:id="600"/>
      <w:bookmarkStart w:id="601" w:name="_Toc4661944"/>
      <w:bookmarkEnd w:id="601"/>
      <w:bookmarkStart w:id="602" w:name="_Toc40780292"/>
      <w:bookmarkEnd w:id="602"/>
      <w:bookmarkStart w:id="603" w:name="_Toc40455310"/>
      <w:bookmarkEnd w:id="603"/>
      <w:bookmarkStart w:id="604" w:name="_Toc287607786"/>
      <w:bookmarkEnd w:id="604"/>
      <w:bookmarkStart w:id="605" w:name="_Toc32622"/>
      <w:bookmarkEnd w:id="605"/>
      <w:bookmarkStart w:id="606" w:name="_Toc224103357"/>
      <w:r>
        <w:rPr>
          <w:rFonts w:hint="eastAsia" w:ascii="宋体" w:hAnsi="宋体"/>
          <w:kern w:val="2"/>
          <w:sz w:val="21"/>
          <w:szCs w:val="21"/>
        </w:rPr>
        <w:t xml:space="preserve">7.2  </w:t>
      </w:r>
      <w:bookmarkEnd w:id="606"/>
      <w:r>
        <w:rPr>
          <w:rFonts w:hint="eastAsia" w:ascii="宋体" w:hAnsi="宋体" w:cs="宋体"/>
          <w:kern w:val="2"/>
          <w:sz w:val="21"/>
          <w:szCs w:val="21"/>
        </w:rPr>
        <w:t>中标通知</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在本章第</w:t>
      </w:r>
      <w:r>
        <w:rPr>
          <w:rFonts w:hint="eastAsia" w:ascii="宋体" w:hAnsi="宋体" w:cs="Calibri"/>
          <w:kern w:val="0"/>
          <w:szCs w:val="21"/>
          <w:lang w:bidi="ar"/>
        </w:rPr>
        <w:t xml:space="preserve"> 3.3 </w:t>
      </w:r>
      <w:r>
        <w:rPr>
          <w:rFonts w:hint="eastAsia" w:ascii="宋体" w:hAnsi="宋体" w:cs="宋体"/>
          <w:kern w:val="0"/>
          <w:szCs w:val="21"/>
          <w:lang w:bidi="ar"/>
        </w:rPr>
        <w:t>款规定的投标有效期内，采购人以书面形式向中标人发出中标通知书，同时将中标结果通知未中标的报价人。</w:t>
      </w:r>
    </w:p>
    <w:p>
      <w:pPr>
        <w:pStyle w:val="5"/>
        <w:widowControl/>
        <w:spacing w:before="0" w:after="0" w:line="300" w:lineRule="exact"/>
        <w:rPr>
          <w:rFonts w:ascii="宋体" w:hAnsi="宋体"/>
          <w:kern w:val="2"/>
          <w:sz w:val="21"/>
          <w:szCs w:val="21"/>
        </w:rPr>
      </w:pPr>
      <w:bookmarkStart w:id="607" w:name="_Toc200513167"/>
      <w:bookmarkEnd w:id="607"/>
      <w:bookmarkStart w:id="608" w:name="_Toc40455311"/>
      <w:bookmarkEnd w:id="608"/>
      <w:bookmarkStart w:id="609" w:name="_Toc6509"/>
      <w:bookmarkEnd w:id="609"/>
      <w:bookmarkStart w:id="610" w:name="_Toc224103358"/>
      <w:bookmarkEnd w:id="610"/>
      <w:bookmarkStart w:id="611" w:name="_Toc4661709"/>
      <w:bookmarkEnd w:id="611"/>
      <w:bookmarkStart w:id="612" w:name="_Toc277082593"/>
      <w:bookmarkEnd w:id="612"/>
      <w:bookmarkStart w:id="613" w:name="_Toc40780293"/>
      <w:bookmarkEnd w:id="613"/>
      <w:bookmarkStart w:id="614" w:name="_Toc4661945"/>
      <w:bookmarkEnd w:id="614"/>
      <w:bookmarkStart w:id="615" w:name="_Toc4661467"/>
      <w:bookmarkEnd w:id="615"/>
      <w:bookmarkStart w:id="616" w:name="_Toc40455684"/>
      <w:bookmarkEnd w:id="616"/>
      <w:bookmarkStart w:id="617" w:name="_Toc287607787"/>
      <w:bookmarkEnd w:id="617"/>
      <w:bookmarkStart w:id="618" w:name="_Toc4662181"/>
      <w:r>
        <w:rPr>
          <w:rFonts w:hint="eastAsia" w:ascii="宋体" w:hAnsi="宋体"/>
          <w:kern w:val="2"/>
          <w:sz w:val="21"/>
          <w:szCs w:val="21"/>
        </w:rPr>
        <w:t xml:space="preserve">7.3  </w:t>
      </w:r>
      <w:bookmarkEnd w:id="618"/>
      <w:r>
        <w:rPr>
          <w:rFonts w:hint="eastAsia" w:ascii="宋体" w:hAnsi="宋体" w:cs="宋体"/>
          <w:kern w:val="2"/>
          <w:sz w:val="21"/>
          <w:szCs w:val="21"/>
        </w:rPr>
        <w:t>履约担保</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7.3.1  </w:t>
      </w:r>
      <w:r>
        <w:rPr>
          <w:rFonts w:hint="eastAsia" w:ascii="宋体" w:hAnsi="宋体" w:cs="宋体"/>
          <w:kern w:val="0"/>
          <w:szCs w:val="21"/>
          <w:lang w:bidi="ar"/>
        </w:rPr>
        <w:t>在签订合同前，中标人应按报价人须知前附表规定的金额、担保形式和竞争性比选文件</w:t>
      </w:r>
      <w:r>
        <w:rPr>
          <w:rFonts w:hint="eastAsia" w:ascii="宋体" w:hAnsi="宋体" w:cs="Calibri"/>
          <w:kern w:val="0"/>
          <w:szCs w:val="21"/>
          <w:lang w:bidi="ar"/>
        </w:rPr>
        <w:t xml:space="preserve"> </w:t>
      </w:r>
      <w:r>
        <w:rPr>
          <w:rFonts w:hint="eastAsia" w:ascii="宋体" w:hAnsi="宋体" w:cs="宋体"/>
          <w:kern w:val="0"/>
          <w:szCs w:val="21"/>
          <w:lang w:bidi="ar"/>
        </w:rPr>
        <w:t>第四章</w:t>
      </w:r>
      <w:r>
        <w:rPr>
          <w:rFonts w:hint="eastAsia" w:ascii="宋体" w:hAnsi="宋体" w:cs="MingLiU"/>
          <w:kern w:val="0"/>
          <w:szCs w:val="21"/>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7.3.2  </w:t>
      </w:r>
      <w:r>
        <w:rPr>
          <w:rFonts w:hint="eastAsia" w:ascii="宋体" w:hAnsi="宋体" w:cs="宋体"/>
          <w:kern w:val="0"/>
          <w:szCs w:val="21"/>
          <w:lang w:bidi="ar"/>
        </w:rPr>
        <w:t>中标人不能按本章第</w:t>
      </w:r>
      <w:r>
        <w:rPr>
          <w:rFonts w:hint="eastAsia" w:ascii="宋体" w:hAnsi="宋体" w:cs="Calibri"/>
          <w:kern w:val="0"/>
          <w:szCs w:val="21"/>
          <w:lang w:bidi="ar"/>
        </w:rPr>
        <w:t xml:space="preserve"> 7.3.1 </w:t>
      </w:r>
      <w:r>
        <w:rPr>
          <w:rFonts w:hint="eastAsia" w:ascii="宋体" w:hAnsi="宋体" w:cs="宋体"/>
          <w:kern w:val="0"/>
          <w:szCs w:val="21"/>
          <w:lang w:bidi="ar"/>
        </w:rPr>
        <w:t>项要求提交履约担保的，视为放弃中标，其投标保证金不予退还，给采购人造成的损失超过投标保证金数额的，中标人还应当对超过部分予以赔偿。</w:t>
      </w:r>
    </w:p>
    <w:p>
      <w:pPr>
        <w:pStyle w:val="5"/>
        <w:widowControl/>
        <w:spacing w:before="0" w:after="0" w:line="300" w:lineRule="exact"/>
        <w:rPr>
          <w:rFonts w:ascii="宋体" w:hAnsi="宋体"/>
          <w:kern w:val="2"/>
          <w:sz w:val="21"/>
          <w:szCs w:val="21"/>
        </w:rPr>
      </w:pPr>
      <w:bookmarkStart w:id="619" w:name="_Toc4661946"/>
      <w:bookmarkEnd w:id="619"/>
      <w:bookmarkStart w:id="620" w:name="_Toc4661710"/>
      <w:bookmarkEnd w:id="620"/>
      <w:bookmarkStart w:id="621" w:name="_Toc40455685"/>
      <w:bookmarkEnd w:id="621"/>
      <w:bookmarkStart w:id="622" w:name="_Toc4662182"/>
      <w:bookmarkEnd w:id="622"/>
      <w:bookmarkStart w:id="623" w:name="_Toc4661468"/>
      <w:bookmarkEnd w:id="623"/>
      <w:bookmarkStart w:id="624" w:name="_Toc200513168"/>
      <w:bookmarkEnd w:id="624"/>
      <w:bookmarkStart w:id="625" w:name="_Toc12031"/>
      <w:bookmarkEnd w:id="625"/>
      <w:bookmarkStart w:id="626" w:name="_Toc40780294"/>
      <w:bookmarkEnd w:id="626"/>
      <w:bookmarkStart w:id="627" w:name="_Toc40455312"/>
      <w:bookmarkEnd w:id="627"/>
      <w:bookmarkStart w:id="628" w:name="_Toc224103359"/>
      <w:bookmarkEnd w:id="628"/>
      <w:bookmarkStart w:id="629" w:name="_Toc277082594"/>
      <w:bookmarkEnd w:id="629"/>
      <w:bookmarkStart w:id="630" w:name="_Toc287607788"/>
      <w:r>
        <w:rPr>
          <w:rFonts w:hint="eastAsia" w:ascii="宋体" w:hAnsi="宋体"/>
          <w:kern w:val="2"/>
          <w:sz w:val="21"/>
          <w:szCs w:val="21"/>
        </w:rPr>
        <w:t xml:space="preserve">7.4  </w:t>
      </w:r>
      <w:bookmarkEnd w:id="630"/>
      <w:r>
        <w:rPr>
          <w:rFonts w:hint="eastAsia" w:ascii="宋体" w:hAnsi="宋体" w:cs="宋体"/>
          <w:kern w:val="2"/>
          <w:sz w:val="21"/>
          <w:szCs w:val="21"/>
        </w:rPr>
        <w:t>签订合同</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7.4.1 </w:t>
      </w:r>
      <w:r>
        <w:rPr>
          <w:rFonts w:hint="eastAsia" w:ascii="宋体" w:hAnsi="宋体" w:cs="宋体"/>
          <w:kern w:val="0"/>
          <w:szCs w:val="21"/>
          <w:lang w:bidi="ar"/>
        </w:rPr>
        <w:t>采购人和中标人应当自中标通知书发出之日起</w:t>
      </w:r>
      <w:r>
        <w:rPr>
          <w:rFonts w:hint="eastAsia" w:ascii="宋体" w:hAnsi="宋体" w:cs="Calibri"/>
          <w:kern w:val="0"/>
          <w:szCs w:val="21"/>
          <w:lang w:bidi="ar"/>
        </w:rPr>
        <w:t xml:space="preserve"> 30 </w:t>
      </w:r>
      <w:r>
        <w:rPr>
          <w:rFonts w:hint="eastAsia" w:ascii="宋体" w:hAnsi="宋体" w:cs="宋体"/>
          <w:kern w:val="0"/>
          <w:szCs w:val="21"/>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7.4.2  </w:t>
      </w:r>
      <w:r>
        <w:rPr>
          <w:rFonts w:hint="eastAsia" w:ascii="宋体" w:hAnsi="宋体" w:cs="宋体"/>
          <w:kern w:val="0"/>
          <w:szCs w:val="21"/>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rPr>
      </w:pPr>
      <w:bookmarkStart w:id="631" w:name="_Toc200513169"/>
      <w:bookmarkEnd w:id="631"/>
      <w:bookmarkStart w:id="632" w:name="_Toc224103360"/>
      <w:bookmarkEnd w:id="632"/>
      <w:bookmarkStart w:id="633" w:name="_Toc4661711"/>
      <w:bookmarkEnd w:id="633"/>
      <w:bookmarkStart w:id="634" w:name="_Toc4661469"/>
      <w:bookmarkEnd w:id="634"/>
      <w:bookmarkStart w:id="635" w:name="_Toc40455686"/>
      <w:bookmarkEnd w:id="635"/>
      <w:bookmarkStart w:id="636" w:name="_Toc4661947"/>
      <w:bookmarkEnd w:id="636"/>
      <w:bookmarkStart w:id="637" w:name="_Toc8265"/>
      <w:bookmarkEnd w:id="637"/>
      <w:bookmarkStart w:id="638" w:name="_Toc287607789"/>
      <w:bookmarkEnd w:id="638"/>
      <w:bookmarkStart w:id="639" w:name="_Toc277082595"/>
      <w:bookmarkEnd w:id="639"/>
      <w:bookmarkStart w:id="640" w:name="_Toc40455313"/>
      <w:bookmarkEnd w:id="640"/>
      <w:bookmarkStart w:id="641" w:name="_Toc4662183"/>
      <w:bookmarkEnd w:id="641"/>
      <w:bookmarkStart w:id="642" w:name="_Toc14976"/>
      <w:r>
        <w:rPr>
          <w:rFonts w:hint="eastAsia" w:ascii="宋体" w:hAnsi="宋体"/>
          <w:b/>
          <w:szCs w:val="21"/>
          <w:lang w:bidi="ar"/>
        </w:rPr>
        <w:t xml:space="preserve">8.  </w:t>
      </w:r>
      <w:bookmarkEnd w:id="642"/>
      <w:bookmarkStart w:id="643" w:name="_Toc4662186"/>
      <w:bookmarkEnd w:id="643"/>
      <w:bookmarkStart w:id="644" w:name="_Toc4661714"/>
      <w:bookmarkEnd w:id="644"/>
      <w:bookmarkStart w:id="645" w:name="_Toc277082598"/>
      <w:bookmarkEnd w:id="645"/>
      <w:bookmarkStart w:id="646" w:name="_Toc40455316"/>
      <w:bookmarkEnd w:id="646"/>
      <w:bookmarkStart w:id="647" w:name="_Toc40455689"/>
      <w:bookmarkEnd w:id="647"/>
      <w:bookmarkStart w:id="648" w:name="_Toc14831"/>
      <w:bookmarkEnd w:id="648"/>
      <w:bookmarkStart w:id="649" w:name="_Toc31835"/>
      <w:bookmarkEnd w:id="649"/>
      <w:bookmarkStart w:id="650" w:name="_Toc287607792"/>
      <w:bookmarkEnd w:id="650"/>
      <w:bookmarkStart w:id="651" w:name="_Toc224103363"/>
      <w:bookmarkEnd w:id="651"/>
      <w:bookmarkStart w:id="652" w:name="_Toc4661950"/>
      <w:bookmarkEnd w:id="652"/>
      <w:bookmarkStart w:id="653" w:name="_Toc4661472"/>
      <w:bookmarkEnd w:id="653"/>
      <w:bookmarkStart w:id="654" w:name="_Toc200513172"/>
      <w:bookmarkEnd w:id="654"/>
      <w:r>
        <w:rPr>
          <w:rFonts w:hint="eastAsia" w:ascii="宋体" w:hAnsi="宋体"/>
          <w:b/>
          <w:szCs w:val="21"/>
          <w:lang w:bidi="ar"/>
        </w:rPr>
        <w:t xml:space="preserve"> </w:t>
      </w:r>
      <w:r>
        <w:rPr>
          <w:rFonts w:hint="eastAsia" w:ascii="宋体" w:hAnsi="宋体" w:cs="宋体"/>
          <w:b/>
          <w:szCs w:val="21"/>
          <w:lang w:bidi="ar"/>
        </w:rPr>
        <w:t>纪律和监督</w:t>
      </w:r>
    </w:p>
    <w:p>
      <w:pPr>
        <w:pStyle w:val="5"/>
        <w:widowControl/>
        <w:spacing w:before="0" w:after="0" w:line="300" w:lineRule="exact"/>
        <w:rPr>
          <w:rFonts w:ascii="宋体" w:hAnsi="宋体"/>
          <w:kern w:val="2"/>
          <w:sz w:val="21"/>
          <w:szCs w:val="21"/>
        </w:rPr>
      </w:pPr>
      <w:bookmarkStart w:id="655" w:name="_Toc4662187"/>
      <w:bookmarkEnd w:id="655"/>
      <w:bookmarkStart w:id="656" w:name="_Toc4661473"/>
      <w:bookmarkEnd w:id="656"/>
      <w:bookmarkStart w:id="657" w:name="_Toc40455317"/>
      <w:bookmarkEnd w:id="657"/>
      <w:bookmarkStart w:id="658" w:name="_Toc224103364"/>
      <w:bookmarkEnd w:id="658"/>
      <w:bookmarkStart w:id="659" w:name="_Toc277082599"/>
      <w:bookmarkEnd w:id="659"/>
      <w:bookmarkStart w:id="660" w:name="_Toc40455690"/>
      <w:bookmarkEnd w:id="660"/>
      <w:bookmarkStart w:id="661" w:name="_Toc287607793"/>
      <w:bookmarkEnd w:id="661"/>
      <w:bookmarkStart w:id="662" w:name="_Toc8515"/>
      <w:bookmarkEnd w:id="662"/>
      <w:bookmarkStart w:id="663" w:name="_Toc40780299"/>
      <w:bookmarkEnd w:id="663"/>
      <w:bookmarkStart w:id="664" w:name="_Toc4661715"/>
      <w:bookmarkEnd w:id="664"/>
      <w:bookmarkStart w:id="665" w:name="_Toc200513173"/>
      <w:bookmarkEnd w:id="665"/>
      <w:bookmarkStart w:id="666" w:name="_Toc4661951"/>
      <w:r>
        <w:rPr>
          <w:rFonts w:hint="eastAsia" w:ascii="宋体" w:hAnsi="宋体"/>
          <w:kern w:val="2"/>
          <w:sz w:val="21"/>
          <w:szCs w:val="21"/>
        </w:rPr>
        <w:t>8</w:t>
      </w:r>
      <w:bookmarkEnd w:id="666"/>
      <w:r>
        <w:rPr>
          <w:rFonts w:hint="eastAsia" w:ascii="宋体" w:hAnsi="宋体"/>
          <w:kern w:val="2"/>
          <w:sz w:val="21"/>
          <w:szCs w:val="21"/>
        </w:rPr>
        <w:t xml:space="preserve">.1  </w:t>
      </w:r>
      <w:r>
        <w:rPr>
          <w:rFonts w:hint="eastAsia" w:ascii="宋体" w:hAnsi="宋体" w:cs="宋体"/>
          <w:kern w:val="2"/>
          <w:sz w:val="21"/>
          <w:szCs w:val="21"/>
        </w:rPr>
        <w:t>对采购人的纪律要求</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采购人不得泄漏竞争性比选投标活动中应当保密的情况和资料，不得与报价人串通损害国家利益、社会公共利益或者他人合法权益，</w:t>
      </w:r>
      <w:r>
        <w:rPr>
          <w:rFonts w:hint="eastAsia" w:ascii="宋体" w:hAnsi="宋体" w:cs="宋体"/>
          <w:szCs w:val="21"/>
          <w:lang w:bidi="ar"/>
        </w:rPr>
        <w:t>禁止采购人与报价人串通投标。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有下列情形之一的，属于采购人与报价人串通投标：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（1）采购人在开标前开启比选响应文件并将有关信息泄露给其他报价人;</w:t>
      </w:r>
      <w:r>
        <w:rPr>
          <w:rFonts w:hint="eastAsia" w:ascii="宋体" w:hAnsi="宋体" w:cs="Calibri"/>
          <w:szCs w:val="21"/>
          <w:lang w:bidi="ar"/>
        </w:rPr>
        <w:br w:type="textWrapping"/>
      </w:r>
      <w:r>
        <w:rPr>
          <w:rFonts w:hint="eastAsia" w:ascii="宋体" w:hAnsi="宋体" w:cs="Calibri"/>
          <w:szCs w:val="21"/>
          <w:lang w:bidi="ar"/>
        </w:rPr>
        <w:t xml:space="preserve">  （2）采购人直接或者间接向报价人泄露标底、评标委员会成员等信息；</w:t>
      </w:r>
      <w:r>
        <w:rPr>
          <w:rFonts w:hint="eastAsia" w:ascii="宋体" w:hAnsi="宋体" w:cs="Calibri"/>
          <w:szCs w:val="21"/>
          <w:lang w:bidi="ar"/>
        </w:rPr>
        <w:br w:type="textWrapping"/>
      </w:r>
      <w:r>
        <w:rPr>
          <w:rFonts w:hint="eastAsia" w:ascii="宋体" w:hAnsi="宋体" w:cs="Calibri"/>
          <w:szCs w:val="21"/>
          <w:lang w:bidi="ar"/>
        </w:rPr>
        <w:t xml:space="preserve">  （3）采购人明示或者暗示报价人压低或者抬高投标报价；</w:t>
      </w:r>
      <w:r>
        <w:rPr>
          <w:rFonts w:hint="eastAsia" w:ascii="宋体" w:hAnsi="宋体" w:cs="Calibri"/>
          <w:szCs w:val="21"/>
          <w:lang w:bidi="ar"/>
        </w:rPr>
        <w:br w:type="textWrapping"/>
      </w:r>
      <w:r>
        <w:rPr>
          <w:rFonts w:hint="eastAsia" w:ascii="宋体" w:hAnsi="宋体" w:cs="Calibri"/>
          <w:szCs w:val="21"/>
          <w:lang w:bidi="ar"/>
        </w:rPr>
        <w:t xml:space="preserve">  （4）采购人授意报价人撤换、修改比选响应文件；</w:t>
      </w:r>
      <w:r>
        <w:rPr>
          <w:rFonts w:hint="eastAsia" w:ascii="宋体" w:hAnsi="宋体" w:cs="Calibri"/>
          <w:szCs w:val="21"/>
          <w:lang w:bidi="ar"/>
        </w:rPr>
        <w:br w:type="textWrapping"/>
      </w:r>
      <w:r>
        <w:rPr>
          <w:rFonts w:hint="eastAsia" w:ascii="宋体" w:hAnsi="宋体" w:cs="Calibri"/>
          <w:szCs w:val="21"/>
          <w:lang w:bidi="ar"/>
        </w:rPr>
        <w:t xml:space="preserve">  （5）采购人明示或者暗示报价人为特定报价人中标提供方便；</w:t>
      </w:r>
      <w:r>
        <w:rPr>
          <w:rFonts w:hint="eastAsia" w:ascii="宋体" w:hAnsi="宋体" w:cs="Calibri"/>
          <w:szCs w:val="21"/>
          <w:lang w:bidi="ar"/>
        </w:rPr>
        <w:br w:type="textWrapping"/>
      </w:r>
      <w:r>
        <w:rPr>
          <w:rFonts w:hint="eastAsia" w:ascii="宋体" w:hAnsi="宋体" w:cs="Calibri"/>
          <w:szCs w:val="21"/>
          <w:lang w:bidi="ar"/>
        </w:rPr>
        <w:t xml:space="preserve">  （6）采购人与报价人为谋求特定报价人中标而采取的其他串通行为。</w:t>
      </w:r>
    </w:p>
    <w:p>
      <w:pPr>
        <w:pStyle w:val="5"/>
        <w:widowControl/>
        <w:spacing w:before="0" w:after="0" w:line="300" w:lineRule="exact"/>
        <w:rPr>
          <w:rFonts w:ascii="宋体" w:hAnsi="宋体"/>
          <w:kern w:val="2"/>
          <w:sz w:val="21"/>
          <w:szCs w:val="21"/>
        </w:rPr>
      </w:pPr>
      <w:bookmarkStart w:id="667" w:name="_Toc40780300"/>
      <w:bookmarkEnd w:id="667"/>
      <w:bookmarkStart w:id="668" w:name="_Toc19536"/>
      <w:bookmarkEnd w:id="668"/>
      <w:bookmarkStart w:id="669" w:name="_Toc4661952"/>
      <w:bookmarkEnd w:id="669"/>
      <w:bookmarkStart w:id="670" w:name="_Toc4661716"/>
      <w:bookmarkEnd w:id="670"/>
      <w:bookmarkStart w:id="671" w:name="_Toc4662188"/>
      <w:bookmarkEnd w:id="671"/>
      <w:bookmarkStart w:id="672" w:name="_Toc40455691"/>
      <w:bookmarkEnd w:id="672"/>
      <w:bookmarkStart w:id="673" w:name="_Toc287607794"/>
      <w:bookmarkEnd w:id="673"/>
      <w:bookmarkStart w:id="674" w:name="_Toc224103365"/>
      <w:bookmarkEnd w:id="674"/>
      <w:bookmarkStart w:id="675" w:name="_Toc200513174"/>
      <w:bookmarkEnd w:id="675"/>
      <w:bookmarkStart w:id="676" w:name="_Toc40455318"/>
      <w:bookmarkEnd w:id="676"/>
      <w:bookmarkStart w:id="677" w:name="_Toc4661474"/>
      <w:bookmarkEnd w:id="677"/>
      <w:bookmarkStart w:id="678" w:name="_Toc277082600"/>
      <w:r>
        <w:rPr>
          <w:rFonts w:hint="eastAsia" w:ascii="宋体" w:hAnsi="宋体"/>
          <w:kern w:val="2"/>
          <w:sz w:val="21"/>
          <w:szCs w:val="21"/>
        </w:rPr>
        <w:t>8</w:t>
      </w:r>
      <w:bookmarkEnd w:id="678"/>
      <w:r>
        <w:rPr>
          <w:rFonts w:hint="eastAsia" w:ascii="宋体" w:hAnsi="宋体"/>
          <w:kern w:val="2"/>
          <w:sz w:val="21"/>
          <w:szCs w:val="21"/>
        </w:rPr>
        <w:t xml:space="preserve">.2  </w:t>
      </w:r>
      <w:r>
        <w:rPr>
          <w:rFonts w:hint="eastAsia" w:ascii="宋体" w:hAnsi="宋体" w:cs="宋体"/>
          <w:kern w:val="2"/>
          <w:sz w:val="21"/>
          <w:szCs w:val="21"/>
        </w:rPr>
        <w:t>对报价人的纪律要求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8.2.1有下列情形之一的，属于报价人相互串通投标：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2）报价人之间约定中标人；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3）报价人之间约定部分报价人放弃投标或者中标；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8.2.2有下列情形之一的，视为报价人相互串通投标：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2）不同报价人委托同一单位或者个人办理投标事宜；</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5）不同报价人的比选响应文件相互混装；</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1）使用伪造、变造的许可证件；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2）提供虚假的财务状况或者业绩；</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4）提供虚假的信用状况；</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szCs w:val="21"/>
          <w:lang w:bidi="ar"/>
        </w:rPr>
        <w:t>（</w:t>
      </w:r>
      <w:r>
        <w:rPr>
          <w:rFonts w:hint="eastAsia" w:ascii="宋体" w:hAnsi="宋体" w:cs="Calibri"/>
          <w:szCs w:val="21"/>
          <w:lang w:bidi="ar"/>
        </w:rPr>
        <w:t>5）其他弄虚作假的行为。</w:t>
      </w:r>
    </w:p>
    <w:p>
      <w:pPr>
        <w:pStyle w:val="5"/>
        <w:widowControl/>
        <w:spacing w:before="0" w:after="0" w:line="300" w:lineRule="exact"/>
        <w:rPr>
          <w:rFonts w:ascii="宋体" w:hAnsi="宋体"/>
          <w:kern w:val="2"/>
          <w:sz w:val="21"/>
          <w:szCs w:val="21"/>
        </w:rPr>
      </w:pPr>
      <w:bookmarkStart w:id="679" w:name="_Toc200513175"/>
      <w:bookmarkEnd w:id="679"/>
      <w:bookmarkStart w:id="680" w:name="_Toc287607795"/>
      <w:bookmarkEnd w:id="680"/>
      <w:bookmarkStart w:id="681" w:name="_Toc224103366"/>
      <w:bookmarkEnd w:id="681"/>
      <w:bookmarkStart w:id="682" w:name="_Toc6459"/>
      <w:bookmarkEnd w:id="682"/>
      <w:bookmarkStart w:id="683" w:name="_Toc277082601"/>
      <w:bookmarkEnd w:id="683"/>
      <w:bookmarkStart w:id="684" w:name="_Toc4661475"/>
      <w:bookmarkEnd w:id="684"/>
      <w:bookmarkStart w:id="685" w:name="_Toc40780301"/>
      <w:bookmarkEnd w:id="685"/>
      <w:bookmarkStart w:id="686" w:name="_Toc4662189"/>
      <w:bookmarkEnd w:id="686"/>
      <w:bookmarkStart w:id="687" w:name="_Toc40455692"/>
      <w:bookmarkEnd w:id="687"/>
      <w:bookmarkStart w:id="688" w:name="_Toc40455319"/>
      <w:bookmarkEnd w:id="688"/>
      <w:bookmarkStart w:id="689" w:name="_Toc4661717"/>
      <w:bookmarkEnd w:id="689"/>
      <w:bookmarkStart w:id="690" w:name="_Toc4661953"/>
      <w:r>
        <w:rPr>
          <w:rFonts w:hint="eastAsia" w:ascii="宋体" w:hAnsi="宋体"/>
          <w:kern w:val="2"/>
          <w:sz w:val="21"/>
          <w:szCs w:val="21"/>
        </w:rPr>
        <w:t>8</w:t>
      </w:r>
      <w:bookmarkEnd w:id="690"/>
      <w:r>
        <w:rPr>
          <w:rFonts w:hint="eastAsia" w:ascii="宋体" w:hAnsi="宋体"/>
          <w:kern w:val="2"/>
          <w:sz w:val="21"/>
          <w:szCs w:val="21"/>
        </w:rPr>
        <w:t xml:space="preserve">.3  </w:t>
      </w:r>
      <w:r>
        <w:rPr>
          <w:rFonts w:hint="eastAsia" w:ascii="宋体" w:hAnsi="宋体" w:cs="宋体"/>
          <w:kern w:val="2"/>
          <w:sz w:val="21"/>
          <w:szCs w:val="21"/>
        </w:rPr>
        <w:t>对评标委员会成员的纪律要求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lang w:bidi="ar"/>
        </w:rPr>
        <w:t>“评标办法”没有规定的评审因素和标准进行评标。</w:t>
      </w:r>
    </w:p>
    <w:p>
      <w:pPr>
        <w:pStyle w:val="5"/>
        <w:widowControl/>
        <w:spacing w:before="0" w:after="0" w:line="300" w:lineRule="exact"/>
        <w:rPr>
          <w:rFonts w:ascii="宋体" w:hAnsi="宋体"/>
          <w:kern w:val="2"/>
          <w:sz w:val="21"/>
          <w:szCs w:val="21"/>
        </w:rPr>
      </w:pPr>
      <w:bookmarkStart w:id="691" w:name="_Toc40780302"/>
      <w:bookmarkEnd w:id="691"/>
      <w:bookmarkStart w:id="692" w:name="_Toc4661476"/>
      <w:bookmarkEnd w:id="692"/>
      <w:bookmarkStart w:id="693" w:name="_Toc287607796"/>
      <w:bookmarkEnd w:id="693"/>
      <w:bookmarkStart w:id="694" w:name="_Toc224103367"/>
      <w:bookmarkEnd w:id="694"/>
      <w:bookmarkStart w:id="695" w:name="_Toc200513176"/>
      <w:bookmarkEnd w:id="695"/>
      <w:bookmarkStart w:id="696" w:name="_Toc40455693"/>
      <w:bookmarkEnd w:id="696"/>
      <w:bookmarkStart w:id="697" w:name="_Toc4661954"/>
      <w:bookmarkEnd w:id="697"/>
      <w:bookmarkStart w:id="698" w:name="_Toc4662190"/>
      <w:bookmarkEnd w:id="698"/>
      <w:bookmarkStart w:id="699" w:name="_Toc13495"/>
      <w:bookmarkEnd w:id="699"/>
      <w:bookmarkStart w:id="700" w:name="_Toc277082602"/>
      <w:bookmarkEnd w:id="700"/>
      <w:bookmarkStart w:id="701" w:name="_Toc40455320"/>
      <w:bookmarkEnd w:id="701"/>
      <w:bookmarkStart w:id="702" w:name="_Toc4661718"/>
      <w:r>
        <w:rPr>
          <w:rFonts w:hint="eastAsia" w:ascii="宋体" w:hAnsi="宋体"/>
          <w:kern w:val="2"/>
          <w:sz w:val="21"/>
          <w:szCs w:val="21"/>
        </w:rPr>
        <w:t>8</w:t>
      </w:r>
      <w:bookmarkEnd w:id="702"/>
      <w:r>
        <w:rPr>
          <w:rFonts w:hint="eastAsia" w:ascii="宋体" w:hAnsi="宋体"/>
          <w:kern w:val="2"/>
          <w:sz w:val="21"/>
          <w:szCs w:val="21"/>
        </w:rPr>
        <w:t xml:space="preserve">.4  </w:t>
      </w:r>
      <w:r>
        <w:rPr>
          <w:rFonts w:hint="eastAsia" w:ascii="宋体" w:hAnsi="宋体" w:cs="宋体"/>
          <w:kern w:val="2"/>
          <w:sz w:val="21"/>
          <w:szCs w:val="21"/>
        </w:rPr>
        <w:t>对与评标活动有关的工作人员的纪律要求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5"/>
        <w:widowControl/>
        <w:spacing w:before="0" w:after="0" w:line="300" w:lineRule="exact"/>
        <w:rPr>
          <w:rFonts w:ascii="宋体" w:hAnsi="宋体"/>
          <w:kern w:val="2"/>
          <w:sz w:val="21"/>
          <w:szCs w:val="21"/>
        </w:rPr>
      </w:pPr>
      <w:bookmarkStart w:id="703" w:name="_Toc277082603"/>
      <w:bookmarkEnd w:id="703"/>
      <w:bookmarkStart w:id="704" w:name="_Toc22072"/>
      <w:bookmarkEnd w:id="704"/>
      <w:bookmarkStart w:id="705" w:name="_Toc287607797"/>
      <w:bookmarkEnd w:id="705"/>
      <w:bookmarkStart w:id="706" w:name="_Toc4662191"/>
      <w:bookmarkEnd w:id="706"/>
      <w:bookmarkStart w:id="707" w:name="_Toc224103368"/>
      <w:bookmarkEnd w:id="707"/>
      <w:bookmarkStart w:id="708" w:name="_Toc40455694"/>
      <w:bookmarkEnd w:id="708"/>
      <w:bookmarkStart w:id="709" w:name="_Toc40780303"/>
      <w:bookmarkEnd w:id="709"/>
      <w:bookmarkStart w:id="710" w:name="_Toc4661719"/>
      <w:bookmarkEnd w:id="710"/>
      <w:bookmarkStart w:id="711" w:name="_Toc40455321"/>
      <w:bookmarkEnd w:id="711"/>
      <w:bookmarkStart w:id="712" w:name="_Toc4661477"/>
      <w:bookmarkEnd w:id="712"/>
      <w:bookmarkStart w:id="713" w:name="_Toc200513177"/>
      <w:bookmarkEnd w:id="713"/>
      <w:bookmarkStart w:id="714" w:name="_Toc4661955"/>
      <w:r>
        <w:rPr>
          <w:rFonts w:hint="eastAsia" w:ascii="宋体" w:hAnsi="宋体"/>
          <w:kern w:val="2"/>
          <w:sz w:val="21"/>
          <w:szCs w:val="21"/>
        </w:rPr>
        <w:t>8</w:t>
      </w:r>
      <w:bookmarkEnd w:id="714"/>
      <w:r>
        <w:rPr>
          <w:rFonts w:hint="eastAsia" w:ascii="宋体" w:hAnsi="宋体"/>
          <w:kern w:val="2"/>
          <w:sz w:val="21"/>
          <w:szCs w:val="21"/>
        </w:rPr>
        <w:t xml:space="preserve">.5  </w:t>
      </w:r>
      <w:r>
        <w:rPr>
          <w:rFonts w:hint="eastAsia" w:ascii="宋体" w:hAnsi="宋体" w:cs="宋体"/>
          <w:kern w:val="2"/>
          <w:sz w:val="21"/>
          <w:szCs w:val="21"/>
        </w:rPr>
        <w:t>投诉</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报价人和其他利害关系人认为本次竞争性比选活动违反法律、法规和规章规定的，有权向有关监督部门投诉。具体见报价人须知前附表。</w:t>
      </w:r>
    </w:p>
    <w:p>
      <w:pPr>
        <w:pStyle w:val="5"/>
        <w:widowControl/>
        <w:spacing w:before="0" w:after="0" w:line="300" w:lineRule="exact"/>
        <w:rPr>
          <w:rFonts w:ascii="宋体" w:hAnsi="宋体"/>
          <w:kern w:val="2"/>
          <w:sz w:val="21"/>
          <w:szCs w:val="21"/>
        </w:rPr>
      </w:pPr>
      <w:bookmarkStart w:id="715" w:name="_Toc4661720"/>
      <w:bookmarkEnd w:id="715"/>
      <w:bookmarkStart w:id="716" w:name="_Toc4661956"/>
      <w:bookmarkEnd w:id="716"/>
      <w:bookmarkStart w:id="717" w:name="_Toc4662192"/>
      <w:bookmarkEnd w:id="717"/>
      <w:bookmarkStart w:id="718" w:name="_Toc287607798"/>
      <w:bookmarkEnd w:id="718"/>
      <w:bookmarkStart w:id="719" w:name="_Toc40455322"/>
      <w:bookmarkEnd w:id="719"/>
      <w:bookmarkStart w:id="720" w:name="_Toc277082604"/>
      <w:bookmarkEnd w:id="720"/>
      <w:bookmarkStart w:id="721" w:name="_Toc4661478"/>
      <w:bookmarkEnd w:id="721"/>
      <w:bookmarkStart w:id="722" w:name="_Toc26060"/>
      <w:bookmarkEnd w:id="722"/>
      <w:bookmarkStart w:id="723" w:name="_Toc224103369"/>
      <w:bookmarkEnd w:id="723"/>
      <w:bookmarkStart w:id="724" w:name="_Toc40455695"/>
      <w:bookmarkEnd w:id="724"/>
      <w:bookmarkStart w:id="725" w:name="_Toc287620737"/>
      <w:bookmarkEnd w:id="725"/>
      <w:bookmarkStart w:id="726" w:name="_Toc200513178"/>
      <w:r>
        <w:rPr>
          <w:rFonts w:hint="eastAsia" w:ascii="宋体" w:hAnsi="宋体"/>
          <w:kern w:val="2"/>
          <w:sz w:val="21"/>
          <w:szCs w:val="21"/>
        </w:rPr>
        <w:t>9</w:t>
      </w:r>
      <w:bookmarkEnd w:id="726"/>
      <w:r>
        <w:rPr>
          <w:rFonts w:hint="eastAsia" w:ascii="宋体" w:hAnsi="宋体"/>
          <w:kern w:val="2"/>
          <w:sz w:val="21"/>
          <w:szCs w:val="21"/>
        </w:rPr>
        <w:t>.</w:t>
      </w:r>
      <w:r>
        <w:rPr>
          <w:rFonts w:hint="eastAsia" w:ascii="宋体" w:hAnsi="宋体" w:cs="宋体"/>
          <w:kern w:val="2"/>
          <w:sz w:val="21"/>
          <w:szCs w:val="21"/>
        </w:rPr>
        <w:t>是否采用电子竞争性比选投标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本竞争性比选项目是否采用电子竞争性比选投标方式：见报价人须知前附表。</w:t>
      </w:r>
    </w:p>
    <w:p>
      <w:pPr>
        <w:pStyle w:val="5"/>
        <w:widowControl/>
        <w:spacing w:before="0" w:after="0" w:line="300" w:lineRule="exact"/>
        <w:rPr>
          <w:rFonts w:ascii="宋体" w:hAnsi="宋体" w:cs="宋体"/>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rPr>
        <w:t>10.需要补充的其他内容</w:t>
      </w:r>
    </w:p>
    <w:p>
      <w:pPr>
        <w:pStyle w:val="4"/>
        <w:jc w:val="center"/>
        <w:rPr>
          <w:rFonts w:ascii="宋体" w:hAnsi="宋体" w:eastAsia="宋体" w:cs="宋体"/>
          <w:bCs w:val="0"/>
          <w:sz w:val="28"/>
          <w:szCs w:val="28"/>
        </w:rPr>
      </w:pPr>
      <w:bookmarkStart w:id="727" w:name="_Toc11284"/>
      <w:bookmarkStart w:id="728" w:name="_Toc11329222"/>
      <w:bookmarkStart w:id="729" w:name="_Toc17532"/>
      <w:bookmarkStart w:id="730" w:name="_Toc30198"/>
      <w:bookmarkStart w:id="731" w:name="_Toc28670"/>
      <w:bookmarkStart w:id="732" w:name="_Toc32070"/>
      <w:r>
        <w:rPr>
          <w:rFonts w:hint="eastAsia" w:ascii="宋体" w:hAnsi="宋体" w:eastAsia="宋体" w:cs="宋体"/>
          <w:sz w:val="28"/>
          <w:szCs w:val="28"/>
        </w:rPr>
        <w:t xml:space="preserve">附录1  </w:t>
      </w:r>
      <w:bookmarkEnd w:id="727"/>
      <w:bookmarkEnd w:id="728"/>
      <w:bookmarkEnd w:id="729"/>
      <w:bookmarkEnd w:id="730"/>
      <w:bookmarkStart w:id="733" w:name="_Toc11329226"/>
      <w:bookmarkStart w:id="734" w:name="_Toc27096"/>
      <w:bookmarkStart w:id="735" w:name="_Toc25591"/>
      <w:bookmarkStart w:id="736" w:name="_Toc12773"/>
      <w:r>
        <w:rPr>
          <w:rFonts w:hint="eastAsia" w:ascii="宋体" w:hAnsi="宋体" w:eastAsia="宋体" w:cs="宋体"/>
          <w:bCs w:val="0"/>
          <w:sz w:val="28"/>
          <w:szCs w:val="28"/>
        </w:rPr>
        <w:t>报价人资格要求</w:t>
      </w:r>
      <w:bookmarkEnd w:id="731"/>
      <w:bookmarkEnd w:id="732"/>
      <w:bookmarkEnd w:id="733"/>
      <w:bookmarkEnd w:id="734"/>
      <w:bookmarkEnd w:id="735"/>
      <w:bookmarkEnd w:id="736"/>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37" w:name="_Toc388534043"/>
            <w:bookmarkStart w:id="738" w:name="_Toc387234996"/>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营业执照营业范围需含类似软件开发、计算机软、硬件技术等相关内容。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rPr>
              <w:t>具有有效的CMMI（软件能力成熟度模型集成）三级及以上（四级或五级均高于三级）认证证书。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2020年1月1日至竞争性比选函发出之日,参与完成至少1项单个项目合同金额不低于35万元的办公类综合软件开发或者软件升级或者软件维护等相关业绩。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主要管理人员要求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1名，拟派技术负责人应是投标单位在职员工，具有项目管理专业人士资格认证证书（PMP证书)。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2"/>
        </w:numPr>
      </w:pPr>
      <w:r>
        <w:rPr>
          <w:rFonts w:hint="eastAsia" w:hAnsi="宋体"/>
          <w:kern w:val="0"/>
          <w:szCs w:val="21"/>
        </w:rPr>
        <w:t>提供报价人</w:t>
      </w:r>
      <w:r>
        <w:rPr>
          <w:rFonts w:hint="eastAsia"/>
        </w:rPr>
        <w:t>CMMI（软件能力成熟度模型集成）认证证书，</w:t>
      </w:r>
      <w:r>
        <w:rPr>
          <w:rFonts w:hint="eastAsia" w:hAnsi="宋体"/>
          <w:kern w:val="0"/>
          <w:szCs w:val="21"/>
        </w:rPr>
        <w:t>并加盖报价人鲜章。</w:t>
      </w:r>
    </w:p>
    <w:p>
      <w:pPr>
        <w:numPr>
          <w:ilvl w:val="0"/>
          <w:numId w:val="2"/>
        </w:numPr>
      </w:pPr>
      <w:r>
        <w:t>提供合同（合同需清晰反映上述业绩要求的主要内容，包括但不限于合同签订时间、合同金额及合同内容）复印件或扫描件</w:t>
      </w:r>
      <w:r>
        <w:rPr>
          <w:rFonts w:hint="eastAsia"/>
        </w:rPr>
        <w:t>，</w:t>
      </w:r>
      <w:r>
        <w:rPr>
          <w:rFonts w:hint="eastAsia" w:hAnsi="宋体"/>
          <w:kern w:val="0"/>
          <w:szCs w:val="21"/>
        </w:rPr>
        <w:t>盖报价人鲜章。</w:t>
      </w:r>
    </w:p>
    <w:p>
      <w:pPr>
        <w:numPr>
          <w:ilvl w:val="0"/>
          <w:numId w:val="2"/>
        </w:numPr>
      </w:pPr>
      <w:r>
        <w:rPr>
          <w:rFonts w:hint="eastAsia"/>
        </w:rPr>
        <w:t>提供主要管理人员身份证、资格证书，加盖投标单位鲜章。</w:t>
      </w:r>
    </w:p>
    <w:p>
      <w:pPr>
        <w:numPr>
          <w:ilvl w:val="0"/>
          <w:numId w:val="2"/>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pStyle w:val="28"/>
      </w:pPr>
    </w:p>
    <w:bookmarkEnd w:id="737"/>
    <w:bookmarkEnd w:id="738"/>
    <w:p>
      <w:pPr>
        <w:spacing w:line="440" w:lineRule="exact"/>
        <w:ind w:firstLine="210" w:firstLineChars="100"/>
        <w:rPr>
          <w:rFonts w:ascii="宋体" w:hAnsi="宋体" w:cs="宋体"/>
        </w:rPr>
      </w:pPr>
    </w:p>
    <w:p>
      <w:pPr>
        <w:pStyle w:val="16"/>
        <w:rPr>
          <w:rFonts w:ascii="宋体" w:hAnsi="宋体" w:cs="宋体"/>
        </w:rPr>
      </w:pPr>
    </w:p>
    <w:p>
      <w:pPr>
        <w:rPr>
          <w:rFonts w:ascii="宋体" w:hAnsi="宋体" w:cs="宋体"/>
        </w:rPr>
      </w:pPr>
    </w:p>
    <w:p>
      <w:pPr>
        <w:pStyle w:val="16"/>
        <w:rPr>
          <w:rFonts w:ascii="宋体" w:hAnsi="宋体" w:cs="宋体"/>
        </w:rPr>
      </w:pPr>
    </w:p>
    <w:p>
      <w:pPr>
        <w:rPr>
          <w:rFonts w:ascii="宋体" w:hAnsi="宋体" w:cs="宋体"/>
        </w:rPr>
      </w:pPr>
    </w:p>
    <w:p>
      <w:pPr>
        <w:rPr>
          <w:rFonts w:ascii="宋体" w:hAnsi="宋体" w:cs="宋体"/>
        </w:rPr>
      </w:pPr>
    </w:p>
    <w:p>
      <w:pPr>
        <w:pStyle w:val="16"/>
        <w:rPr>
          <w:rFonts w:ascii="宋体" w:hAnsi="宋体" w:cs="宋体"/>
        </w:rPr>
      </w:pPr>
    </w:p>
    <w:p>
      <w:pPr>
        <w:rPr>
          <w:rFonts w:ascii="宋体" w:hAnsi="宋体" w:cs="宋体"/>
        </w:rPr>
      </w:pPr>
    </w:p>
    <w:p>
      <w:pPr>
        <w:pStyle w:val="16"/>
      </w:pPr>
    </w:p>
    <w:p>
      <w:pPr>
        <w:pStyle w:val="3"/>
        <w:numPr>
          <w:ilvl w:val="0"/>
          <w:numId w:val="3"/>
        </w:numPr>
        <w:spacing w:before="0" w:after="0" w:line="360" w:lineRule="auto"/>
        <w:jc w:val="center"/>
      </w:pPr>
      <w:bookmarkStart w:id="739" w:name="_Toc246996973"/>
      <w:bookmarkStart w:id="740" w:name="_Toc152045587"/>
      <w:bookmarkStart w:id="741" w:name="_Toc2000406"/>
      <w:bookmarkStart w:id="742" w:name="_Toc247085745"/>
      <w:bookmarkStart w:id="743" w:name="_Toc152042364"/>
      <w:bookmarkStart w:id="744" w:name="_Toc179632605"/>
      <w:bookmarkStart w:id="745" w:name="_Toc144974554"/>
      <w:bookmarkStart w:id="746" w:name="_Toc246996230"/>
      <w:bookmarkStart w:id="747" w:name="_Toc17732"/>
      <w:bookmarkStart w:id="748" w:name="_Toc507319957"/>
      <w:r>
        <w:rPr>
          <w:rFonts w:hint="eastAsia" w:ascii="宋体" w:hAnsi="宋体" w:cs="宋体"/>
        </w:rPr>
        <w:t>评标办法（综合评估法）</w:t>
      </w:r>
      <w:bookmarkEnd w:id="739"/>
      <w:bookmarkEnd w:id="740"/>
      <w:bookmarkEnd w:id="741"/>
      <w:bookmarkEnd w:id="742"/>
      <w:bookmarkEnd w:id="743"/>
      <w:bookmarkEnd w:id="744"/>
      <w:bookmarkEnd w:id="745"/>
      <w:bookmarkEnd w:id="746"/>
      <w:bookmarkEnd w:id="747"/>
      <w:bookmarkEnd w:id="748"/>
    </w:p>
    <w:p>
      <w:pPr>
        <w:pStyle w:val="4"/>
        <w:spacing w:before="0" w:after="0" w:line="360" w:lineRule="auto"/>
        <w:rPr>
          <w:rFonts w:ascii="宋体" w:hAnsi="宋体" w:cs="宋体"/>
          <w:sz w:val="28"/>
          <w:szCs w:val="28"/>
        </w:rPr>
      </w:pPr>
      <w:bookmarkStart w:id="749" w:name="_Toc32566"/>
      <w:bookmarkStart w:id="750" w:name="_Toc18631"/>
      <w:r>
        <w:rPr>
          <w:rFonts w:hint="eastAsia" w:ascii="宋体" w:hAnsi="宋体" w:cs="宋体"/>
          <w:sz w:val="28"/>
          <w:szCs w:val="28"/>
        </w:rPr>
        <w:t>评标方法前附表</w:t>
      </w:r>
      <w:bookmarkEnd w:id="749"/>
      <w:bookmarkEnd w:id="750"/>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075"/>
        <w:gridCol w:w="1090"/>
        <w:gridCol w:w="1417"/>
        <w:gridCol w:w="4665"/>
        <w:gridCol w:w="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931" w:type="dxa"/>
            <w:gridSpan w:val="3"/>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w:t>
            </w:r>
          </w:p>
        </w:tc>
        <w:tc>
          <w:tcPr>
            <w:tcW w:w="5457" w:type="dxa"/>
            <w:gridSpan w:val="2"/>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66" w:type="dxa"/>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5" w:type="dxa"/>
            <w:gridSpan w:val="2"/>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评标方法</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中标候选人排序方法</w:t>
            </w:r>
          </w:p>
        </w:tc>
        <w:tc>
          <w:tcPr>
            <w:tcW w:w="5457" w:type="dxa"/>
            <w:gridSpan w:val="2"/>
            <w:tcBorders>
              <w:top w:val="single" w:color="auto" w:sz="4" w:space="0"/>
              <w:left w:val="single" w:color="auto" w:sz="4" w:space="0"/>
              <w:bottom w:val="single" w:color="auto" w:sz="4" w:space="0"/>
            </w:tcBorders>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报价人得分=A+B+C，对通过初步评审的报价人按照投标总得分（商务+技术+报价）由从高到低的先后顺序。如出现得分(精确到小数点后两位)相等时，按以下原则确定第一中标候选人：</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（1）以评标价低的报价人优先；</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（2）如评标价也相同时，以技术得分较高的报价人优先；</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（3）如技术得分也相同时，以商务得分高的优先；</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5" w:type="dxa"/>
            <w:gridSpan w:val="2"/>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报价人名称</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766" w:type="dxa"/>
            <w:vMerge w:val="continue"/>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报价函签字盖章</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竞争性比选响应文件格式</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符合第九章“竞争性比选响应文件格式”的要求，字迹清晰可辨。</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1.报价函的所有数据均符合比选文件的规定；</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已标价工程量清单</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报价其它要求</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trPr>
        <w:tc>
          <w:tcPr>
            <w:tcW w:w="766" w:type="dxa"/>
            <w:vMerge w:val="continue"/>
            <w:tcBorders>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457" w:type="dxa"/>
            <w:gridSpan w:val="2"/>
            <w:tcBorders>
              <w:top w:val="single" w:color="auto" w:sz="4" w:space="0"/>
              <w:lef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资质要求</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宋体" w:hAnsi="宋体" w:cs="宋体"/>
                <w:szCs w:val="21"/>
              </w:rPr>
              <w:t>业绩要求</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主要管理人员要求</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信誉要求</w:t>
            </w:r>
          </w:p>
        </w:tc>
        <w:tc>
          <w:tcPr>
            <w:tcW w:w="5457" w:type="dxa"/>
            <w:gridSpan w:val="2"/>
            <w:tcBorders>
              <w:top w:val="single" w:color="auto" w:sz="4" w:space="0"/>
              <w:left w:val="single" w:color="auto" w:sz="4" w:space="0"/>
              <w:bottom w:val="single" w:color="auto" w:sz="4" w:space="0"/>
            </w:tcBorders>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766" w:type="dxa"/>
            <w:vMerge w:val="restart"/>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报价内容</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符合比选文件给出的范围及数量，且报价不得超过采购人公布的最高限价。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81"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宋体" w:hAnsi="宋体"/>
                <w:color w:val="000000"/>
                <w:sz w:val="24"/>
              </w:rPr>
              <w:t>服务期限</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409" w:hRule="atLeast"/>
        </w:trPr>
        <w:tc>
          <w:tcPr>
            <w:tcW w:w="766"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分值构成</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(总分1O0分)</w:t>
            </w:r>
          </w:p>
        </w:tc>
        <w:tc>
          <w:tcPr>
            <w:tcW w:w="6874" w:type="dxa"/>
            <w:gridSpan w:val="3"/>
            <w:tcBorders>
              <w:top w:val="single" w:color="auto" w:sz="4" w:space="0"/>
              <w:left w:val="single" w:color="auto" w:sz="4" w:space="0"/>
              <w:bottom w:val="single" w:color="auto" w:sz="4" w:space="0"/>
            </w:tcBorders>
          </w:tcPr>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A：投标报价60分；</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B：商务部分20分；</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C：技术部分20分。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766"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评标基准价</w:t>
            </w:r>
          </w:p>
        </w:tc>
        <w:tc>
          <w:tcPr>
            <w:tcW w:w="6874" w:type="dxa"/>
            <w:gridSpan w:val="3"/>
            <w:tcBorders>
              <w:top w:val="single" w:color="auto" w:sz="4" w:space="0"/>
              <w:left w:val="single" w:color="auto" w:sz="4" w:space="0"/>
              <w:bottom w:val="single" w:color="auto" w:sz="4" w:space="0"/>
            </w:tcBorders>
          </w:tcPr>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（1）评标价的确定：评标价＝投标函文字报价</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（2）评标基准价的确定：</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在通过初步评审后且不高于最高限价的投标报价中去掉六分之一（不能整除的按小数前整数取整，不足六家报价则不去掉）的最低价和相同家数的最高价后的算术平均值为评标基准价。</w:t>
            </w:r>
          </w:p>
          <w:p>
            <w:pPr>
              <w:spacing w:line="400" w:lineRule="exact"/>
              <w:ind w:firstLine="420"/>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766"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lang w:bidi="ar"/>
              </w:rPr>
              <w:t>评标价的偏差率计算公式</w:t>
            </w:r>
          </w:p>
        </w:tc>
        <w:tc>
          <w:tcPr>
            <w:tcW w:w="6874" w:type="dxa"/>
            <w:gridSpan w:val="3"/>
            <w:tcBorders>
              <w:top w:val="single" w:color="auto" w:sz="4" w:space="0"/>
              <w:left w:val="single" w:color="auto" w:sz="4" w:space="0"/>
              <w:bottom w:val="single" w:color="auto" w:sz="4" w:space="0"/>
            </w:tcBorders>
            <w:vAlign w:val="center"/>
          </w:tcPr>
          <w:p>
            <w:pPr>
              <w:spacing w:line="32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lang w:bidi="ar"/>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766"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lang w:bidi="ar"/>
              </w:rPr>
              <w:t>条款号</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b/>
                <w:szCs w:val="21"/>
                <w:lang w:bidi="ar"/>
              </w:rPr>
              <w:t>评分因素权重分值</w:t>
            </w:r>
          </w:p>
        </w:tc>
        <w:tc>
          <w:tcPr>
            <w:tcW w:w="6082" w:type="dxa"/>
            <w:gridSpan w:val="2"/>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b/>
                <w:szCs w:val="21"/>
                <w:lang w:bidi="ar"/>
              </w:rPr>
              <w:t>各评分因素细分项</w:t>
            </w:r>
          </w:p>
        </w:tc>
        <w:tc>
          <w:tcPr>
            <w:tcW w:w="792"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b/>
                <w:szCs w:val="21"/>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8" w:hRule="atLeast"/>
        </w:trPr>
        <w:tc>
          <w:tcPr>
            <w:tcW w:w="766" w:type="dxa"/>
            <w:vMerge w:val="restart"/>
            <w:tcBorders>
              <w:top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8</w:t>
            </w:r>
          </w:p>
        </w:tc>
        <w:tc>
          <w:tcPr>
            <w:tcW w:w="1075" w:type="dxa"/>
            <w:vMerge w:val="restart"/>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商务评分标准（20分）</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szCs w:val="21"/>
              </w:rPr>
              <w:t>资质要求（10分）</w:t>
            </w:r>
          </w:p>
        </w:tc>
        <w:tc>
          <w:tcPr>
            <w:tcW w:w="6082" w:type="dxa"/>
            <w:gridSpan w:val="2"/>
            <w:tcBorders>
              <w:top w:val="single" w:color="auto" w:sz="4" w:space="0"/>
              <w:left w:val="single" w:color="auto" w:sz="4" w:space="0"/>
              <w:bottom w:val="single" w:color="auto" w:sz="4" w:space="0"/>
            </w:tcBorders>
            <w:vAlign w:val="center"/>
          </w:tcPr>
          <w:p>
            <w:pPr>
              <w:spacing w:line="400" w:lineRule="exact"/>
              <w:ind w:firstLine="420"/>
              <w:rPr>
                <w:rFonts w:asciiTheme="minorEastAsia" w:hAnsiTheme="minorEastAsia" w:eastAsiaTheme="minorEastAsia" w:cstheme="minorEastAsia"/>
                <w:color w:val="000000"/>
                <w:kern w:val="0"/>
                <w:szCs w:val="21"/>
                <w:shd w:val="clear" w:color="auto" w:fill="FFFFFF"/>
                <w:lang w:bidi="ar"/>
              </w:rPr>
            </w:pPr>
            <w:r>
              <w:rPr>
                <w:rFonts w:hint="eastAsia" w:asciiTheme="minorEastAsia" w:hAnsiTheme="minorEastAsia" w:eastAsiaTheme="minorEastAsia" w:cstheme="minorEastAsia"/>
                <w:color w:val="000000"/>
                <w:kern w:val="0"/>
                <w:szCs w:val="21"/>
                <w:shd w:val="clear" w:color="auto" w:fill="FFFFFF"/>
                <w:lang w:bidi="ar"/>
              </w:rPr>
              <w:t>1.满足基础资质要求，得6分；</w:t>
            </w:r>
          </w:p>
          <w:p>
            <w:pPr>
              <w:spacing w:line="400" w:lineRule="exact"/>
              <w:ind w:firstLine="420"/>
              <w:rPr>
                <w:rFonts w:asciiTheme="minorEastAsia" w:hAnsiTheme="minorEastAsia" w:eastAsiaTheme="minorEastAsia" w:cstheme="minorEastAsia"/>
                <w:color w:val="000000"/>
                <w:kern w:val="0"/>
                <w:szCs w:val="21"/>
                <w:shd w:val="clear" w:color="auto" w:fill="FFFFFF"/>
                <w:lang w:bidi="ar"/>
              </w:rPr>
            </w:pPr>
            <w:r>
              <w:rPr>
                <w:rFonts w:hint="eastAsia" w:asciiTheme="minorEastAsia" w:hAnsiTheme="minorEastAsia" w:eastAsiaTheme="minorEastAsia" w:cstheme="minorEastAsia"/>
                <w:color w:val="000000"/>
                <w:kern w:val="0"/>
                <w:szCs w:val="21"/>
                <w:shd w:val="clear" w:color="auto" w:fill="FFFFFF"/>
                <w:lang w:bidi="ar"/>
              </w:rPr>
              <w:t>2.每具有一个ISO9001或ISO20000或ISO22301或ISO27001或ISO45001认证证书，得1分，满分2分；</w:t>
            </w:r>
          </w:p>
          <w:p>
            <w:pPr>
              <w:spacing w:line="400" w:lineRule="exact"/>
              <w:ind w:firstLine="420"/>
              <w:rPr>
                <w:rFonts w:asciiTheme="minorEastAsia" w:hAnsiTheme="minorEastAsia" w:eastAsiaTheme="minorEastAsia" w:cstheme="minorEastAsia"/>
                <w:color w:val="000000"/>
                <w:kern w:val="0"/>
                <w:szCs w:val="21"/>
                <w:shd w:val="clear" w:color="auto" w:fill="FFFFFF"/>
                <w:lang w:bidi="ar"/>
              </w:rPr>
            </w:pPr>
            <w:r>
              <w:rPr>
                <w:rFonts w:hint="eastAsia" w:asciiTheme="minorEastAsia" w:hAnsiTheme="minorEastAsia" w:eastAsiaTheme="minorEastAsia" w:cstheme="minorEastAsia"/>
                <w:color w:val="000000"/>
                <w:kern w:val="0"/>
                <w:szCs w:val="21"/>
                <w:shd w:val="clear" w:color="auto" w:fill="FFFFFF"/>
                <w:lang w:bidi="ar"/>
              </w:rPr>
              <w:t>3.具有5（含）-10个（不含）信创兼容适配互认认证证书，得1~1.5分，具有10个及以上信创兼容适配互认认证证书，得2分，满分2分。</w:t>
            </w:r>
          </w:p>
          <w:p>
            <w:pPr>
              <w:spacing w:line="400" w:lineRule="exact"/>
              <w:ind w:firstLine="420"/>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color w:val="000000"/>
                <w:kern w:val="0"/>
                <w:szCs w:val="21"/>
                <w:shd w:val="clear" w:color="auto" w:fill="FFFFFF"/>
                <w:lang w:bidi="ar"/>
              </w:rPr>
              <w:t>注：提供认证证书及兼容适配互认认证证书复印件加盖投标单位公章。</w:t>
            </w:r>
          </w:p>
        </w:tc>
        <w:tc>
          <w:tcPr>
            <w:tcW w:w="792"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4" w:hRule="atLeast"/>
        </w:trPr>
        <w:tc>
          <w:tcPr>
            <w:tcW w:w="766" w:type="dxa"/>
            <w:vMerge w:val="continue"/>
            <w:tcBorders>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c>
          <w:tcPr>
            <w:tcW w:w="1075"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szCs w:val="21"/>
              </w:rPr>
              <w:t>项目经验（10分）</w:t>
            </w:r>
          </w:p>
        </w:tc>
        <w:tc>
          <w:tcPr>
            <w:tcW w:w="6082" w:type="dxa"/>
            <w:gridSpan w:val="2"/>
            <w:tcBorders>
              <w:top w:val="single" w:color="auto" w:sz="4" w:space="0"/>
              <w:left w:val="single" w:color="auto" w:sz="4" w:space="0"/>
              <w:bottom w:val="single" w:color="auto" w:sz="4" w:space="0"/>
            </w:tcBorders>
            <w:vAlign w:val="center"/>
          </w:tcPr>
          <w:p>
            <w:pPr>
              <w:pStyle w:val="120"/>
              <w:widowControl/>
              <w:spacing w:line="40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1.满足基础业绩要求得6分；</w:t>
            </w:r>
          </w:p>
          <w:p>
            <w:pPr>
              <w:pStyle w:val="120"/>
              <w:widowControl/>
              <w:spacing w:line="40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2.每增加一个20</w:t>
            </w:r>
            <w:r>
              <w:rPr>
                <w:rFonts w:hint="eastAsia" w:asciiTheme="minorEastAsia" w:hAnsiTheme="minorEastAsia" w:eastAsiaTheme="minorEastAsia" w:cstheme="minorEastAsia"/>
                <w:bCs/>
                <w:szCs w:val="21"/>
                <w:lang w:val="en-US" w:eastAsia="zh-CN"/>
              </w:rPr>
              <w:t>20</w:t>
            </w:r>
            <w:r>
              <w:rPr>
                <w:rFonts w:hint="eastAsia" w:asciiTheme="minorEastAsia" w:hAnsiTheme="minorEastAsia" w:eastAsiaTheme="minorEastAsia" w:cstheme="minorEastAsia"/>
                <w:bCs/>
                <w:szCs w:val="21"/>
              </w:rPr>
              <w:t>年1月1日至竞争性比选函发出之日,参与完成至少1项单个</w:t>
            </w:r>
            <w:bookmarkStart w:id="888" w:name="_GoBack"/>
            <w:bookmarkEnd w:id="888"/>
            <w:r>
              <w:rPr>
                <w:rFonts w:hint="eastAsia" w:asciiTheme="minorEastAsia" w:hAnsiTheme="minorEastAsia" w:eastAsiaTheme="minorEastAsia" w:cstheme="minorEastAsia"/>
                <w:bCs/>
                <w:szCs w:val="21"/>
              </w:rPr>
              <w:t>合同金额不低于35万元的办公类综合软件开发或者软件升级或者软件维护等相关业绩得2分，满分4分。</w:t>
            </w:r>
          </w:p>
          <w:p>
            <w:pPr>
              <w:pStyle w:val="120"/>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提供合同（合同需清晰反映上述业绩要求的主要内容，包括但不限于合同签订时间、合同金额及合同内容）复印件或扫描件。若合同中无法体现上述内容的，则还需提供业主出具的业绩证明材料（加盖业主单位鲜公章）。</w:t>
            </w:r>
          </w:p>
        </w:tc>
        <w:tc>
          <w:tcPr>
            <w:tcW w:w="792"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75" w:type="dxa"/>
            <w:vMerge w:val="restart"/>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技术评分标准（20分）</w:t>
            </w:r>
          </w:p>
        </w:tc>
        <w:tc>
          <w:tcPr>
            <w:tcW w:w="1090" w:type="dxa"/>
            <w:tcBorders>
              <w:top w:val="single" w:color="auto" w:sz="4" w:space="0"/>
              <w:left w:val="single" w:color="auto" w:sz="4" w:space="0"/>
              <w:bottom w:val="single" w:color="auto" w:sz="4" w:space="0"/>
              <w:right w:val="single" w:color="auto" w:sz="4" w:space="0"/>
            </w:tcBorders>
            <w:vAlign w:val="center"/>
          </w:tcPr>
          <w:p>
            <w:pPr>
              <w:pStyle w:val="120"/>
              <w:widowControl/>
              <w:spacing w:line="400" w:lineRule="exact"/>
              <w:ind w:firstLine="0" w:firstLineChars="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技术方案（10分）</w:t>
            </w:r>
          </w:p>
        </w:tc>
        <w:tc>
          <w:tcPr>
            <w:tcW w:w="6082" w:type="dxa"/>
            <w:gridSpan w:val="2"/>
            <w:tcBorders>
              <w:top w:val="single" w:color="auto" w:sz="4" w:space="0"/>
              <w:left w:val="single" w:color="auto" w:sz="4" w:space="0"/>
              <w:bottom w:val="single" w:color="auto" w:sz="4" w:space="0"/>
            </w:tcBorders>
            <w:vAlign w:val="center"/>
          </w:tcPr>
          <w:p>
            <w:pPr>
              <w:pStyle w:val="120"/>
              <w:widowControl/>
              <w:spacing w:line="40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基于综合办公系统国产软件适配升级技术方案</w:t>
            </w:r>
          </w:p>
          <w:p>
            <w:pPr>
              <w:pStyle w:val="120"/>
              <w:widowControl/>
              <w:spacing w:line="40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对原有综合办公系统进行功能升级，同时对国产化信创环境进行安装部署适配，包括原系统的的企业门户、流程管理、公文管理、合同管理、车辆管理、会议管理、督办管理、档案管理、知识管理、移动办公等模块进行全面升级及信创适配，升级后原有应用功能模块及其功能完全保留，用户操作习惯不发生根本性变化，同时又有新的功能特性；升级后需要对原系统数据进行迁移，升级后的系统可兼容原系统所有数据，保证与原系统数据完整性及一致性，不得出现数据丢失以及影响原系统功能应用。</w:t>
            </w:r>
          </w:p>
          <w:p>
            <w:pPr>
              <w:pStyle w:val="120"/>
              <w:widowControl/>
              <w:spacing w:line="40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根据高速公路现有的综合办公系统提供国产软件适配升级方案。技术方案表达清晰、完整，先进性和可操作性强得10~8分，技术方案表达较清晰、完整，可操作性较强得8~5分，技术方案表达不够清晰、完整，操作性不强得5~0分。</w:t>
            </w:r>
          </w:p>
        </w:tc>
        <w:tc>
          <w:tcPr>
            <w:tcW w:w="792" w:type="dxa"/>
            <w:tcBorders>
              <w:left w:val="single" w:color="auto" w:sz="4" w:space="0"/>
            </w:tcBorders>
            <w:vAlign w:val="center"/>
          </w:tcPr>
          <w:p>
            <w:pPr>
              <w:spacing w:line="320" w:lineRule="exact"/>
              <w:jc w:val="center"/>
              <w:rPr>
                <w:rFonts w:asciiTheme="minorEastAsia" w:hAnsiTheme="minorEastAsia" w:eastAsiaTheme="minorEastAsia" w:cstheme="minorEastAsia"/>
                <w:b/>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25" w:hRule="atLeast"/>
        </w:trPr>
        <w:tc>
          <w:tcPr>
            <w:tcW w:w="766" w:type="dxa"/>
            <w:vMerge w:val="continue"/>
            <w:tcBorders>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75"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120"/>
              <w:widowControl/>
              <w:spacing w:line="400" w:lineRule="exact"/>
              <w:ind w:firstLine="0" w:firstLineChars="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实施方案</w:t>
            </w:r>
          </w:p>
          <w:p>
            <w:pPr>
              <w:pStyle w:val="120"/>
              <w:widowControl/>
              <w:spacing w:line="400" w:lineRule="exact"/>
              <w:ind w:firstLine="0" w:firstLineChars="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（5分）</w:t>
            </w:r>
          </w:p>
        </w:tc>
        <w:tc>
          <w:tcPr>
            <w:tcW w:w="6082" w:type="dxa"/>
            <w:gridSpan w:val="2"/>
            <w:tcBorders>
              <w:top w:val="single" w:color="auto" w:sz="4" w:space="0"/>
              <w:left w:val="single" w:color="auto" w:sz="4" w:space="0"/>
              <w:bottom w:val="single" w:color="auto" w:sz="4" w:space="0"/>
            </w:tcBorders>
            <w:vAlign w:val="center"/>
          </w:tcPr>
          <w:p>
            <w:pPr>
              <w:pStyle w:val="120"/>
              <w:widowControl/>
              <w:spacing w:line="40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综合办公系统国产软件适配升级实施方案</w:t>
            </w:r>
          </w:p>
          <w:p>
            <w:pPr>
              <w:pStyle w:val="120"/>
              <w:widowControl/>
              <w:spacing w:line="40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报价人根据针对本项目提供的实施方案（至少包含①总体思路、实施內容②安全保障措施、③质量保证措施、④实施进度、⑤培训方案）进行应答。</w:t>
            </w:r>
          </w:p>
          <w:p>
            <w:pPr>
              <w:pStyle w:val="120"/>
              <w:widowControl/>
              <w:spacing w:line="40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实施方案合理性、可行性、完整性强得5~3分，实施方案合理性、可行性、完整性较好得3~2分，实施方案不够合理、不够完整得2~0分。</w:t>
            </w:r>
          </w:p>
        </w:tc>
        <w:tc>
          <w:tcPr>
            <w:tcW w:w="792" w:type="dxa"/>
            <w:tcBorders>
              <w:left w:val="single" w:color="auto" w:sz="4" w:space="0"/>
            </w:tcBorders>
            <w:vAlign w:val="center"/>
          </w:tcPr>
          <w:p>
            <w:pPr>
              <w:spacing w:line="320" w:lineRule="exact"/>
              <w:jc w:val="center"/>
              <w:rPr>
                <w:rFonts w:asciiTheme="minorEastAsia" w:hAnsiTheme="minorEastAsia" w:eastAsiaTheme="minorEastAsia" w:cstheme="minorEastAsia"/>
                <w:b/>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75"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90" w:type="dxa"/>
            <w:tcBorders>
              <w:top w:val="single" w:color="auto" w:sz="4" w:space="0"/>
              <w:left w:val="single" w:color="auto" w:sz="4" w:space="0"/>
              <w:bottom w:val="single" w:color="auto" w:sz="4" w:space="0"/>
              <w:right w:val="single" w:color="auto" w:sz="4" w:space="0"/>
            </w:tcBorders>
            <w:vAlign w:val="center"/>
          </w:tcPr>
          <w:p>
            <w:pPr>
              <w:pStyle w:val="120"/>
              <w:widowControl/>
              <w:spacing w:line="400" w:lineRule="exact"/>
              <w:ind w:firstLine="0" w:firstLineChars="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售后服务方案</w:t>
            </w:r>
          </w:p>
          <w:p>
            <w:pPr>
              <w:pStyle w:val="120"/>
              <w:widowControl/>
              <w:spacing w:line="400" w:lineRule="exact"/>
              <w:ind w:firstLine="0" w:firstLineChars="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（5分）</w:t>
            </w:r>
          </w:p>
        </w:tc>
        <w:tc>
          <w:tcPr>
            <w:tcW w:w="6082" w:type="dxa"/>
            <w:gridSpan w:val="2"/>
            <w:tcBorders>
              <w:top w:val="single" w:color="auto" w:sz="4" w:space="0"/>
              <w:left w:val="single" w:color="auto" w:sz="4" w:space="0"/>
              <w:bottom w:val="single" w:color="auto" w:sz="4" w:space="0"/>
            </w:tcBorders>
            <w:vAlign w:val="center"/>
          </w:tcPr>
          <w:p>
            <w:pPr>
              <w:pStyle w:val="120"/>
              <w:widowControl/>
              <w:spacing w:line="40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根据报价人针对本项目提供的售后服务方案（至少包含①响应时间、②现场服务支持能力、③培训方式、④人员配置、⑤售后服务年限等，逐项编制对应方案，满足本项目采购需求且符合本项目实际情况。</w:t>
            </w:r>
          </w:p>
          <w:p>
            <w:pPr>
              <w:pStyle w:val="120"/>
              <w:widowControl/>
              <w:spacing w:line="400" w:lineRule="exact"/>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售后服务方案响应度、响应方式、服务内容性强得5~3分，售后服务方案响应度、响应方式、服务内容性较好得3~2分，售后服务方案响应度、响应方式、服务内容性不够完善得2~0分。</w:t>
            </w:r>
          </w:p>
        </w:tc>
        <w:tc>
          <w:tcPr>
            <w:tcW w:w="792" w:type="dxa"/>
            <w:tcBorders>
              <w:left w:val="single" w:color="auto" w:sz="4" w:space="0"/>
            </w:tcBorders>
            <w:vAlign w:val="center"/>
          </w:tcPr>
          <w:p>
            <w:pPr>
              <w:spacing w:line="320" w:lineRule="exact"/>
              <w:jc w:val="center"/>
              <w:rPr>
                <w:rFonts w:asciiTheme="minorEastAsia" w:hAnsiTheme="minorEastAsia" w:eastAsiaTheme="minorEastAsia" w:cstheme="minorEastAsia"/>
                <w:b/>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10</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pStyle w:val="37"/>
              <w:widowControl w:val="0"/>
              <w:adjustRightInd w:val="0"/>
              <w:spacing w:before="0" w:after="0" w:afterAutospacing="0" w:line="320" w:lineRule="exact"/>
              <w:jc w:val="center"/>
              <w:textAlignment w:val="baseline"/>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lang w:bidi="ar"/>
              </w:rPr>
              <w:t>评标价（60分）</w:t>
            </w:r>
          </w:p>
        </w:tc>
        <w:tc>
          <w:tcPr>
            <w:tcW w:w="6082" w:type="dxa"/>
            <w:gridSpan w:val="2"/>
            <w:tcBorders>
              <w:top w:val="single" w:color="auto" w:sz="4" w:space="0"/>
              <w:left w:val="single" w:color="auto" w:sz="4" w:space="0"/>
              <w:bottom w:val="single" w:color="auto" w:sz="4" w:space="0"/>
              <w:right w:val="single" w:color="auto" w:sz="4" w:space="0"/>
            </w:tcBorders>
            <w:vAlign w:val="center"/>
          </w:tcPr>
          <w:p>
            <w:pPr>
              <w:pStyle w:val="37"/>
              <w:widowControl w:val="0"/>
              <w:adjustRightInd w:val="0"/>
              <w:spacing w:before="0" w:after="0" w:afterAutospacing="0" w:line="320" w:lineRule="exact"/>
              <w:ind w:firstLine="420" w:firstLineChars="200"/>
              <w:jc w:val="both"/>
              <w:textAlignment w:val="baseline"/>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所有有效投标报价分别与评标基准价相比较，等于基准价得60分，每增加1%扣0.5分；每减少1%扣0.3分，最多扣10分。按插入法计算得分。以上计算取小数点后两位，第三位四舍五入。</w:t>
            </w:r>
          </w:p>
        </w:tc>
        <w:tc>
          <w:tcPr>
            <w:tcW w:w="792"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766" w:type="dxa"/>
            <w:tcBorders>
              <w:top w:val="single" w:color="auto" w:sz="4" w:space="0"/>
              <w:bottom w:val="single" w:color="auto" w:sz="4" w:space="0"/>
              <w:right w:val="single" w:color="auto" w:sz="4" w:space="0"/>
            </w:tcBorders>
            <w:vAlign w:val="center"/>
          </w:tcPr>
          <w:p>
            <w:pPr>
              <w:pStyle w:val="37"/>
              <w:widowControl w:val="0"/>
              <w:adjustRightInd w:val="0"/>
              <w:spacing w:before="0" w:after="0" w:afterAutospacing="0" w:line="320" w:lineRule="exact"/>
              <w:jc w:val="center"/>
              <w:textAlignment w:val="baseline"/>
              <w:rPr>
                <w:rFonts w:asciiTheme="minorEastAsia" w:hAnsiTheme="minorEastAsia" w:eastAsiaTheme="minorEastAsia" w:cstheme="minorEastAsia"/>
                <w:b/>
                <w:kern w:val="2"/>
                <w:sz w:val="21"/>
                <w:szCs w:val="21"/>
                <w:lang w:bidi="ar"/>
              </w:rPr>
            </w:pPr>
            <w:r>
              <w:rPr>
                <w:rFonts w:hint="eastAsia" w:asciiTheme="minorEastAsia" w:hAnsiTheme="minorEastAsia" w:eastAsiaTheme="minorEastAsia" w:cstheme="minorEastAsia"/>
                <w:kern w:val="2"/>
                <w:sz w:val="21"/>
                <w:szCs w:val="21"/>
                <w:lang w:bidi="ar"/>
              </w:rPr>
              <w:t>11</w:t>
            </w:r>
          </w:p>
        </w:tc>
        <w:tc>
          <w:tcPr>
            <w:tcW w:w="9039" w:type="dxa"/>
            <w:gridSpan w:val="5"/>
            <w:tcBorders>
              <w:top w:val="single" w:color="auto" w:sz="4" w:space="0"/>
              <w:left w:val="single" w:color="auto" w:sz="4" w:space="0"/>
              <w:bottom w:val="single" w:color="auto" w:sz="4" w:space="0"/>
            </w:tcBorders>
            <w:vAlign w:val="bottom"/>
          </w:tcPr>
          <w:p>
            <w:pPr>
              <w:pStyle w:val="37"/>
              <w:widowControl w:val="0"/>
              <w:adjustRightInd w:val="0"/>
              <w:spacing w:before="0" w:beforeAutospacing="0" w:after="0" w:afterAutospacing="0"/>
              <w:jc w:val="both"/>
              <w:textAlignment w:val="baseline"/>
              <w:rPr>
                <w:rFonts w:asciiTheme="minorEastAsia" w:hAnsiTheme="minorEastAsia" w:eastAsiaTheme="minorEastAsia" w:cstheme="minorEastAsia"/>
                <w:kern w:val="2"/>
                <w:sz w:val="21"/>
                <w:szCs w:val="21"/>
                <w:lang w:bidi="ar"/>
              </w:rPr>
            </w:pPr>
            <w:r>
              <w:rPr>
                <w:rFonts w:hint="eastAsia" w:asciiTheme="minorEastAsia" w:hAnsiTheme="minorEastAsia" w:eastAsiaTheme="minorEastAsia" w:cstheme="minorEastAsia"/>
                <w:kern w:val="2"/>
                <w:sz w:val="21"/>
                <w:szCs w:val="21"/>
                <w:lang w:bidi="ar"/>
              </w:rPr>
              <w:t>补充正文：</w:t>
            </w:r>
          </w:p>
          <w:p>
            <w:pPr>
              <w:pStyle w:val="37"/>
              <w:widowControl w:val="0"/>
              <w:adjustRightInd w:val="0"/>
              <w:spacing w:before="0" w:beforeAutospacing="0" w:after="0" w:afterAutospacing="0"/>
              <w:jc w:val="both"/>
              <w:textAlignment w:val="baseline"/>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bidi="ar"/>
              </w:rPr>
              <w:t>中标候选人推荐办法：</w:t>
            </w:r>
          </w:p>
          <w:p>
            <w:pPr>
              <w:pStyle w:val="37"/>
              <w:widowControl w:val="0"/>
              <w:adjustRightInd w:val="0"/>
              <w:spacing w:before="0" w:beforeAutospacing="0" w:after="0" w:afterAutospacing="0"/>
              <w:jc w:val="both"/>
              <w:textAlignment w:val="baseline"/>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bidi="ar"/>
              </w:rPr>
              <w:t>1.对通过评审的报价人按照综合得分（商务得分+技术得分+报价得分）由高到低排序。</w:t>
            </w:r>
          </w:p>
          <w:p>
            <w:pPr>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szCs w:val="21"/>
                <w:lang w:bidi="ar"/>
              </w:rPr>
              <w:t>2.按评标综合得分由高到低排序推荐2名中标候选人。</w:t>
            </w:r>
          </w:p>
        </w:tc>
      </w:tr>
    </w:tbl>
    <w:p/>
    <w:p>
      <w:pPr>
        <w:pStyle w:val="4"/>
        <w:spacing w:before="0" w:after="0" w:line="360" w:lineRule="auto"/>
        <w:rPr>
          <w:rFonts w:ascii="宋体" w:hAnsi="宋体" w:cs="宋体"/>
          <w:sz w:val="28"/>
          <w:szCs w:val="28"/>
        </w:rPr>
      </w:pPr>
      <w:bookmarkStart w:id="751" w:name="_Toc6578"/>
      <w:bookmarkStart w:id="752" w:name="_Toc3971"/>
      <w:bookmarkStart w:id="753" w:name="_Toc33106441"/>
      <w:bookmarkStart w:id="754" w:name="_Toc57795918"/>
      <w:r>
        <w:rPr>
          <w:rFonts w:hint="eastAsia" w:ascii="宋体" w:hAnsi="宋体" w:cs="宋体"/>
          <w:sz w:val="28"/>
          <w:szCs w:val="28"/>
        </w:rPr>
        <w:t>1. 评标方法</w:t>
      </w:r>
      <w:bookmarkEnd w:id="751"/>
      <w:bookmarkEnd w:id="752"/>
      <w:bookmarkEnd w:id="753"/>
      <w:bookmarkEnd w:id="754"/>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以评标办法前附表约定的原则确定排序。</w:t>
      </w:r>
    </w:p>
    <w:p>
      <w:pPr>
        <w:pStyle w:val="4"/>
        <w:spacing w:before="0" w:after="0" w:line="360" w:lineRule="auto"/>
        <w:rPr>
          <w:rFonts w:ascii="宋体" w:hAnsi="宋体" w:cs="宋体"/>
          <w:sz w:val="28"/>
          <w:szCs w:val="28"/>
        </w:rPr>
      </w:pPr>
      <w:bookmarkStart w:id="755" w:name="_Toc8671"/>
      <w:bookmarkStart w:id="756" w:name="_Toc33106442"/>
      <w:bookmarkStart w:id="757" w:name="_Toc57795919"/>
      <w:bookmarkStart w:id="758" w:name="_Toc2783"/>
      <w:r>
        <w:rPr>
          <w:rFonts w:hint="eastAsia" w:ascii="宋体" w:hAnsi="宋体" w:cs="宋体"/>
          <w:sz w:val="28"/>
          <w:szCs w:val="28"/>
        </w:rPr>
        <w:t>2. 评审标准</w:t>
      </w:r>
      <w:bookmarkEnd w:id="755"/>
      <w:bookmarkEnd w:id="756"/>
      <w:bookmarkEnd w:id="757"/>
      <w:bookmarkEnd w:id="758"/>
    </w:p>
    <w:p>
      <w:pPr>
        <w:pStyle w:val="5"/>
        <w:spacing w:before="0" w:after="0" w:line="360" w:lineRule="auto"/>
        <w:rPr>
          <w:rFonts w:ascii="宋体" w:hAnsi="宋体" w:cs="宋体"/>
          <w:sz w:val="21"/>
          <w:szCs w:val="21"/>
        </w:rPr>
      </w:pPr>
      <w:bookmarkStart w:id="759" w:name="_Toc33106443"/>
      <w:bookmarkStart w:id="760" w:name="_Toc57795920"/>
      <w:r>
        <w:rPr>
          <w:rFonts w:hint="eastAsia" w:ascii="宋体" w:hAnsi="宋体" w:cs="宋体"/>
          <w:sz w:val="21"/>
          <w:szCs w:val="21"/>
        </w:rPr>
        <w:t>2.1报价排序</w:t>
      </w:r>
      <w:bookmarkEnd w:id="759"/>
      <w:r>
        <w:rPr>
          <w:rFonts w:hint="eastAsia" w:ascii="宋体" w:hAnsi="宋体" w:cs="宋体"/>
          <w:sz w:val="21"/>
          <w:szCs w:val="21"/>
        </w:rPr>
        <w:t>标准</w:t>
      </w:r>
      <w:bookmarkEnd w:id="760"/>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761" w:name="_Toc33106444"/>
      <w:bookmarkStart w:id="762" w:name="_Toc57795921"/>
      <w:r>
        <w:rPr>
          <w:rFonts w:ascii="宋体" w:hAnsi="宋体" w:cs="宋体"/>
          <w:sz w:val="21"/>
          <w:szCs w:val="21"/>
        </w:rPr>
        <w:t>2.</w:t>
      </w:r>
      <w:r>
        <w:rPr>
          <w:rFonts w:hint="eastAsia" w:ascii="宋体" w:hAnsi="宋体" w:cs="宋体"/>
          <w:sz w:val="21"/>
          <w:szCs w:val="21"/>
        </w:rPr>
        <w:t>2符合性审查</w:t>
      </w:r>
      <w:bookmarkEnd w:id="761"/>
      <w:r>
        <w:rPr>
          <w:rFonts w:hint="eastAsia" w:ascii="宋体" w:hAnsi="宋体" w:cs="宋体"/>
          <w:sz w:val="21"/>
          <w:szCs w:val="21"/>
        </w:rPr>
        <w:t>标准</w:t>
      </w:r>
      <w:bookmarkEnd w:id="762"/>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按评标办法前附表约定的报价人报价排序数量进行符合性审查</w:t>
      </w:r>
      <w:r>
        <w:rPr>
          <w:rFonts w:hint="eastAsia" w:ascii="宋体" w:hAnsi="宋体"/>
          <w:spacing w:val="4"/>
          <w:kern w:val="0"/>
          <w:szCs w:val="21"/>
        </w:rPr>
        <w:t>。符合性审查内容：技术方案评审（如有）、资格评审、形式评审、响应性、响应声明书部分及经济部分（如有）评审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cs="宋体"/>
          <w:sz w:val="28"/>
          <w:szCs w:val="28"/>
        </w:rPr>
      </w:pPr>
      <w:bookmarkStart w:id="763" w:name="_Toc33106445"/>
      <w:bookmarkStart w:id="764" w:name="_Toc8634"/>
      <w:bookmarkStart w:id="765" w:name="_Toc57795922"/>
      <w:bookmarkStart w:id="766" w:name="_Toc26605"/>
      <w:r>
        <w:rPr>
          <w:rFonts w:hint="eastAsia" w:ascii="宋体" w:hAnsi="宋体" w:cs="宋体"/>
          <w:sz w:val="28"/>
          <w:szCs w:val="28"/>
        </w:rPr>
        <w:t>3. 评标程序</w:t>
      </w:r>
      <w:bookmarkEnd w:id="763"/>
      <w:bookmarkEnd w:id="764"/>
      <w:bookmarkEnd w:id="765"/>
      <w:bookmarkEnd w:id="766"/>
    </w:p>
    <w:p>
      <w:pPr>
        <w:pStyle w:val="5"/>
        <w:spacing w:before="0" w:after="0" w:line="360" w:lineRule="auto"/>
        <w:rPr>
          <w:rFonts w:ascii="宋体" w:hAnsi="宋体" w:cs="宋体"/>
          <w:sz w:val="21"/>
          <w:szCs w:val="21"/>
        </w:rPr>
      </w:pPr>
      <w:bookmarkStart w:id="767" w:name="_Toc57795923"/>
      <w:bookmarkStart w:id="768" w:name="_Toc33106446"/>
      <w:r>
        <w:rPr>
          <w:rFonts w:hint="eastAsia" w:ascii="宋体" w:hAnsi="宋体" w:cs="宋体"/>
          <w:sz w:val="21"/>
          <w:szCs w:val="21"/>
        </w:rPr>
        <w:t>3.1报价排序</w:t>
      </w:r>
      <w:bookmarkEnd w:id="767"/>
      <w:bookmarkEnd w:id="768"/>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769" w:name="_Toc33106447"/>
      <w:bookmarkStart w:id="770" w:name="_Toc57795924"/>
      <w:r>
        <w:rPr>
          <w:rFonts w:hint="eastAsia" w:ascii="宋体" w:hAnsi="宋体" w:cs="宋体"/>
          <w:sz w:val="21"/>
          <w:szCs w:val="21"/>
        </w:rPr>
        <w:t>3.2符合性审查</w:t>
      </w:r>
      <w:bookmarkEnd w:id="769"/>
      <w:bookmarkEnd w:id="770"/>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（2）拒绝按评标委员会要求澄清、说明或补正的。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（2）响应声明书中的总报价与已标价采购清单总报价不一致的，由评标委员会作否决投标处理。</w:t>
      </w:r>
    </w:p>
    <w:p>
      <w:pPr>
        <w:pStyle w:val="5"/>
        <w:spacing w:before="0" w:after="0" w:line="360" w:lineRule="auto"/>
        <w:rPr>
          <w:rFonts w:ascii="宋体" w:hAnsi="宋体" w:cs="宋体"/>
          <w:sz w:val="21"/>
          <w:szCs w:val="21"/>
        </w:rPr>
      </w:pPr>
      <w:bookmarkStart w:id="771" w:name="_Toc57795925"/>
      <w:bookmarkStart w:id="772" w:name="_Toc33106448"/>
      <w:r>
        <w:rPr>
          <w:rFonts w:hint="eastAsia" w:ascii="宋体" w:hAnsi="宋体" w:cs="宋体"/>
          <w:sz w:val="21"/>
          <w:szCs w:val="21"/>
        </w:rPr>
        <w:t>3.3 投标文件的澄清和补正</w:t>
      </w:r>
      <w:bookmarkEnd w:id="771"/>
      <w:bookmarkEnd w:id="772"/>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773" w:name="_Toc57795926"/>
      <w:bookmarkStart w:id="774" w:name="_Toc33106449"/>
      <w:bookmarkStart w:id="775" w:name="_Toc484465184"/>
      <w:bookmarkStart w:id="776" w:name="_Toc479262406"/>
      <w:r>
        <w:rPr>
          <w:rFonts w:hint="eastAsia" w:ascii="宋体" w:hAnsi="宋体" w:cs="宋体"/>
          <w:sz w:val="21"/>
          <w:szCs w:val="21"/>
        </w:rPr>
        <w:t>3.4 评标结果</w:t>
      </w:r>
      <w:bookmarkEnd w:id="773"/>
      <w:bookmarkEnd w:id="774"/>
      <w:bookmarkEnd w:id="775"/>
      <w:bookmarkEnd w:id="776"/>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评标委员会完成评标后，应当向采购人提交书面评标报告和中标候选人名单。</w:t>
      </w:r>
    </w:p>
    <w:p>
      <w:pPr>
        <w:rPr>
          <w:rStyle w:val="82"/>
        </w:rPr>
      </w:pPr>
      <w:r>
        <w:rPr>
          <w:rFonts w:hint="eastAsia" w:ascii="宋体" w:hAnsi="宋体" w:cs="宋体"/>
          <w:szCs w:val="21"/>
        </w:rPr>
        <w:br w:type="page"/>
      </w:r>
    </w:p>
    <w:p>
      <w:pPr>
        <w:pStyle w:val="3"/>
        <w:numPr>
          <w:ilvl w:val="0"/>
          <w:numId w:val="3"/>
        </w:numPr>
        <w:spacing w:before="0" w:after="0" w:line="360" w:lineRule="auto"/>
        <w:jc w:val="center"/>
        <w:rPr>
          <w:rFonts w:ascii="宋体" w:hAnsi="宋体" w:cs="宋体"/>
        </w:rPr>
      </w:pPr>
      <w:r>
        <w:rPr>
          <w:rFonts w:hint="eastAsia" w:ascii="宋体" w:hAnsi="宋体" w:cs="宋体"/>
        </w:rPr>
        <w:t>报价说明</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本项目所包含的全部服务内容和询价文件明确提出的所建系统所需的所有中间件、第三方平台、第三方插件的永久授权及竞争性文件所包含的所有责任、义务和风险等各项费用，如驻地办公、生活、交通（含差旅）、通讯、设备（仪器）、软硬件设施、劳动力、开展系统及软件评估评审所需要的费用、评测与管理、优化建议、保险、利润、税金（含增值税）、培训、技术服务、售后服务、正式交付前开展系统及软件测试与试运行而搭建临时硬件平台所需的人工费、材料费、机械费、措施费（含安全文明施工费）、企业管理费、利润、规费、税金（含增值税）、政策性文件规定、市场价格变化、员工人身意外险、现场条件、工期赶工费、保修等所有的直接费、间接费和风险费。</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4、整个平台开发周期内不得因甲方需求变化随意要求调整价格，如需求增加或减少询价文件约定的开发内容的30%以上，由双方协商一致后确定。</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9、在合同执行过程中，如因国家税务政策调整，当增值税税率提高，含税总价不变；当增值税税率降低，不含税总价不变，并相应减少增值税金额。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16"/>
        <w:spacing w:line="360" w:lineRule="auto"/>
        <w:ind w:firstLine="420" w:firstLineChars="200"/>
        <w:rPr>
          <w:rFonts w:ascii="宋体" w:hAnsi="宋体" w:cs="宋体"/>
          <w:sz w:val="21"/>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sz w:val="21"/>
          <w:szCs w:val="21"/>
        </w:rPr>
        <w:t>14、报价人应严格按照工程量清单进行报价，不得随意修改采购人发布的工程量清单数量、公式及相关内容。</w:t>
      </w:r>
    </w:p>
    <w:p/>
    <w:p>
      <w:pPr>
        <w:pStyle w:val="3"/>
        <w:numPr>
          <w:ilvl w:val="0"/>
          <w:numId w:val="3"/>
        </w:numPr>
        <w:spacing w:before="0" w:after="0" w:line="360" w:lineRule="auto"/>
        <w:jc w:val="center"/>
        <w:rPr>
          <w:rFonts w:ascii="宋体" w:hAnsi="宋体" w:cs="宋体"/>
        </w:rPr>
      </w:pPr>
      <w:bookmarkStart w:id="777" w:name="_Toc2449"/>
      <w:r>
        <w:rPr>
          <w:rFonts w:hint="eastAsia" w:ascii="宋体" w:hAnsi="宋体" w:cs="宋体"/>
        </w:rPr>
        <w:t>采购清单</w:t>
      </w:r>
      <w:bookmarkEnd w:id="777"/>
    </w:p>
    <w:p/>
    <w:tbl>
      <w:tblPr>
        <w:tblStyle w:val="43"/>
        <w:tblpPr w:leftFromText="180" w:rightFromText="180" w:vertAnchor="text" w:horzAnchor="page" w:tblpX="1429" w:tblpY="368"/>
        <w:tblOverlap w:val="never"/>
        <w:tblW w:w="8816" w:type="dxa"/>
        <w:tblInd w:w="0" w:type="dxa"/>
        <w:tblLayout w:type="fixed"/>
        <w:tblCellMar>
          <w:top w:w="0" w:type="dxa"/>
          <w:left w:w="108" w:type="dxa"/>
          <w:bottom w:w="0" w:type="dxa"/>
          <w:right w:w="108" w:type="dxa"/>
        </w:tblCellMar>
      </w:tblPr>
      <w:tblGrid>
        <w:gridCol w:w="481"/>
        <w:gridCol w:w="1323"/>
        <w:gridCol w:w="3159"/>
        <w:gridCol w:w="555"/>
        <w:gridCol w:w="645"/>
        <w:gridCol w:w="930"/>
        <w:gridCol w:w="750"/>
        <w:gridCol w:w="973"/>
      </w:tblGrid>
      <w:tr>
        <w:tblPrEx>
          <w:tblCellMar>
            <w:top w:w="0" w:type="dxa"/>
            <w:left w:w="108" w:type="dxa"/>
            <w:bottom w:w="0" w:type="dxa"/>
            <w:right w:w="108" w:type="dxa"/>
          </w:tblCellMar>
        </w:tblPrEx>
        <w:trPr>
          <w:trHeight w:val="724"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bookmarkStart w:id="778" w:name="_Toc179632806"/>
            <w:bookmarkStart w:id="779" w:name="_Toc144974855"/>
            <w:bookmarkStart w:id="780" w:name="_Toc152042575"/>
            <w:bookmarkStart w:id="781" w:name="_Toc246996354"/>
            <w:bookmarkStart w:id="782" w:name="_Toc246997097"/>
            <w:bookmarkStart w:id="783" w:name="_Toc247085872"/>
            <w:bookmarkStart w:id="784" w:name="_Toc152045786"/>
            <w:r>
              <w:rPr>
                <w:rFonts w:hint="eastAsia" w:ascii="宋体" w:hAnsi="宋体" w:cs="宋体"/>
                <w:b/>
                <w:bCs/>
                <w:color w:val="000000"/>
                <w:kern w:val="0"/>
                <w:szCs w:val="21"/>
                <w:lang w:bidi="ar"/>
              </w:rPr>
              <w:t>序号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服务名称</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服务内容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含税单价（元）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税率（%）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小计（元）</w:t>
            </w:r>
          </w:p>
        </w:tc>
      </w:tr>
      <w:tr>
        <w:tblPrEx>
          <w:tblCellMar>
            <w:top w:w="0" w:type="dxa"/>
            <w:left w:w="108" w:type="dxa"/>
            <w:bottom w:w="0" w:type="dxa"/>
            <w:right w:w="108" w:type="dxa"/>
          </w:tblCellMar>
        </w:tblPrEx>
        <w:trPr>
          <w:trHeight w:val="1515"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办公系统国产软件适配升级</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1.原系统升级，原办公系统基础上完成升级、改造、代码合并等工作内容；</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2.实施开发，对业主提供得国产数据库、国产服务器、国产中间件适配、安装调试、实施开发、培训等；</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 完成历史数据迁移，确保数据完整性和数据平滑迁移可用性等。</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11" w:hRule="atLeast"/>
        </w:trPr>
        <w:tc>
          <w:tcPr>
            <w:tcW w:w="784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总价（元）</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r>
    </w:tbl>
    <w:p>
      <w:pPr>
        <w:pStyle w:val="16"/>
      </w:pPr>
    </w:p>
    <w:p/>
    <w:p>
      <w:pPr>
        <w:pStyle w:val="16"/>
      </w:pPr>
    </w:p>
    <w:p>
      <w:pPr>
        <w:pStyle w:val="16"/>
      </w:pPr>
    </w:p>
    <w:p/>
    <w:p>
      <w:pPr>
        <w:pStyle w:val="16"/>
      </w:pPr>
    </w:p>
    <w:p>
      <w:pPr>
        <w:pStyle w:val="3"/>
        <w:numPr>
          <w:ilvl w:val="0"/>
          <w:numId w:val="3"/>
        </w:numPr>
        <w:spacing w:before="0" w:after="0" w:line="360" w:lineRule="auto"/>
        <w:jc w:val="center"/>
        <w:sectPr>
          <w:footerReference r:id="rId9" w:type="default"/>
          <w:pgSz w:w="11906" w:h="16838"/>
          <w:pgMar w:top="1440" w:right="1800" w:bottom="1440" w:left="1800" w:header="851" w:footer="992" w:gutter="0"/>
          <w:cols w:space="720" w:num="1"/>
          <w:titlePg/>
          <w:docGrid w:type="lines" w:linePitch="312" w:charSpace="0"/>
        </w:sectPr>
      </w:pPr>
      <w:bookmarkStart w:id="785" w:name="_Toc246997083"/>
      <w:bookmarkStart w:id="786" w:name="_Toc152045772"/>
      <w:bookmarkStart w:id="787" w:name="_Toc247085855"/>
      <w:bookmarkStart w:id="788" w:name="_Toc514858705"/>
      <w:bookmarkStart w:id="789" w:name="_Toc179632789"/>
      <w:bookmarkStart w:id="790" w:name="_Toc152042554"/>
      <w:bookmarkStart w:id="791" w:name="_Toc144974834"/>
      <w:bookmarkStart w:id="792" w:name="_Toc246996340"/>
      <w:bookmarkStart w:id="793" w:name="_Toc2000409"/>
    </w:p>
    <w:bookmarkEnd w:id="785"/>
    <w:bookmarkEnd w:id="786"/>
    <w:bookmarkEnd w:id="787"/>
    <w:bookmarkEnd w:id="788"/>
    <w:bookmarkEnd w:id="789"/>
    <w:bookmarkEnd w:id="790"/>
    <w:bookmarkEnd w:id="791"/>
    <w:bookmarkEnd w:id="792"/>
    <w:bookmarkEnd w:id="793"/>
    <w:p>
      <w:pPr>
        <w:pStyle w:val="3"/>
        <w:numPr>
          <w:ilvl w:val="0"/>
          <w:numId w:val="3"/>
        </w:numPr>
        <w:spacing w:before="0" w:after="0" w:line="360" w:lineRule="auto"/>
        <w:jc w:val="center"/>
        <w:rPr>
          <w:rFonts w:ascii="宋体" w:hAnsi="宋体" w:cs="宋体"/>
        </w:rPr>
      </w:pPr>
      <w:r>
        <w:rPr>
          <w:rFonts w:hint="eastAsia" w:ascii="宋体" w:hAnsi="宋体" w:cs="宋体"/>
        </w:rPr>
        <w:t>技术标准和工作要求</w:t>
      </w:r>
    </w:p>
    <w:p>
      <w:pPr>
        <w:pStyle w:val="4"/>
        <w:numPr>
          <w:ilvl w:val="1"/>
          <w:numId w:val="4"/>
        </w:numPr>
      </w:pPr>
      <w:bookmarkStart w:id="794" w:name="_Toc18241"/>
      <w:bookmarkStart w:id="795" w:name="_Toc409303003"/>
      <w:r>
        <w:t>总体</w:t>
      </w:r>
      <w:bookmarkEnd w:id="794"/>
      <w:r>
        <w:rPr>
          <w:rFonts w:hint="eastAsia"/>
        </w:rPr>
        <w:t>要求</w:t>
      </w:r>
    </w:p>
    <w:p>
      <w:pPr>
        <w:autoSpaceDE w:val="0"/>
        <w:autoSpaceDN w:val="0"/>
        <w:adjustRightInd w:val="0"/>
        <w:spacing w:line="360" w:lineRule="auto"/>
        <w:ind w:left="-15" w:leftChars="-7" w:firstLine="437"/>
        <w:rPr>
          <w:rFonts w:ascii="宋体" w:hAnsi="宋体"/>
          <w:szCs w:val="21"/>
        </w:rPr>
      </w:pPr>
      <w:r>
        <w:rPr>
          <w:rFonts w:hint="eastAsia" w:ascii="宋体" w:hAnsi="宋体"/>
          <w:color w:val="auto"/>
          <w:szCs w:val="21"/>
        </w:rPr>
        <w:t>本次项目为对原有协同办公平台进行升级同时进行国产化信创环境适配改造的协同办公平台升级改造项目，</w:t>
      </w:r>
      <w:r>
        <w:rPr>
          <w:rFonts w:hint="eastAsia" w:ascii="宋体" w:hAnsi="宋体"/>
          <w:szCs w:val="21"/>
        </w:rPr>
        <w:t>要求从长远规划的角度出发，将原平台升级成一套全新的、功能强大、扩展性强的、全面运行在信创环境的协同办公平台，满足公司的业务发展和信创信息化建设需求，通过信创信息化手段提高工作质量和效率，并能兼容原平台历史数据，保证数据完整性及功能完整性不丢失，信创升级改造后的系统原有应用功能及业务流程不变并能正常使用，同时新的信创协同办公平台能够持续引入业界领先的理念与技术，例如数字化转型、人工智能、大数据，保障平台持续领先与创新。</w:t>
      </w:r>
    </w:p>
    <w:p>
      <w:pPr>
        <w:autoSpaceDE w:val="0"/>
        <w:autoSpaceDN w:val="0"/>
        <w:adjustRightInd w:val="0"/>
        <w:spacing w:line="360" w:lineRule="auto"/>
        <w:ind w:left="-15" w:leftChars="-7" w:firstLine="437"/>
        <w:rPr>
          <w:rFonts w:ascii="宋体" w:hAnsi="宋体"/>
          <w:szCs w:val="21"/>
        </w:rPr>
      </w:pPr>
      <w:r>
        <w:rPr>
          <w:rFonts w:hint="eastAsia" w:ascii="宋体" w:hAnsi="宋体"/>
          <w:szCs w:val="21"/>
        </w:rPr>
        <w:t>原协同办公平台主要应该功能模块包括：企业门户、流程管理、公文管理、合同管理、车辆管理、会议管理、督办管理、档案管理、知识管理、移动办公等模块，要求在对系统进行升级改造后，原有应用功能模块及其功能完全保留，用户操作习惯不发生根本性变化，同时又有新的功能特性，为用户提供更便捷的工作方式以及更顺畅的操作体验，包括：更美观的门户展现、更灵活的系统界面配置、更强大的流程审批功能、更直观便捷的功能操作方式、更高效的移动办公支持、以及更丰富的异构系统集成接口等。</w:t>
      </w:r>
    </w:p>
    <w:p>
      <w:pPr>
        <w:autoSpaceDE w:val="0"/>
        <w:autoSpaceDN w:val="0"/>
        <w:adjustRightInd w:val="0"/>
        <w:spacing w:line="360" w:lineRule="auto"/>
        <w:ind w:left="-15" w:leftChars="-7" w:firstLine="437"/>
        <w:rPr>
          <w:rFonts w:ascii="宋体" w:hAnsi="宋体"/>
          <w:szCs w:val="21"/>
        </w:rPr>
      </w:pPr>
      <w:r>
        <w:rPr>
          <w:rFonts w:hint="eastAsia" w:ascii="宋体" w:hAnsi="宋体"/>
          <w:szCs w:val="21"/>
        </w:rPr>
        <w:t>因此，</w:t>
      </w:r>
      <w:r>
        <w:rPr>
          <w:rFonts w:ascii="宋体" w:hAnsi="宋体"/>
          <w:szCs w:val="21"/>
        </w:rPr>
        <w:t>本次项目要求必须能够从</w:t>
      </w:r>
      <w:r>
        <w:rPr>
          <w:rFonts w:hint="eastAsia" w:ascii="宋体" w:hAnsi="宋体"/>
          <w:szCs w:val="21"/>
        </w:rPr>
        <w:t>六</w:t>
      </w:r>
      <w:r>
        <w:rPr>
          <w:rFonts w:ascii="宋体" w:hAnsi="宋体"/>
          <w:szCs w:val="21"/>
        </w:rPr>
        <w:t>个方面保障</w:t>
      </w:r>
      <w:r>
        <w:rPr>
          <w:rFonts w:hint="eastAsia" w:ascii="宋体" w:hAnsi="宋体"/>
          <w:szCs w:val="21"/>
        </w:rPr>
        <w:t>信创协同办公平台</w:t>
      </w:r>
      <w:r>
        <w:rPr>
          <w:rFonts w:ascii="宋体" w:hAnsi="宋体"/>
          <w:szCs w:val="21"/>
        </w:rPr>
        <w:t>的</w:t>
      </w:r>
      <w:r>
        <w:rPr>
          <w:rFonts w:hint="eastAsia" w:ascii="宋体" w:hAnsi="宋体"/>
          <w:szCs w:val="21"/>
        </w:rPr>
        <w:t>升级改造</w:t>
      </w:r>
      <w:r>
        <w:rPr>
          <w:rFonts w:ascii="宋体" w:hAnsi="宋体"/>
          <w:szCs w:val="21"/>
        </w:rPr>
        <w:t>建设：</w:t>
      </w:r>
    </w:p>
    <w:p>
      <w:pPr>
        <w:pStyle w:val="120"/>
        <w:numPr>
          <w:ilvl w:val="0"/>
          <w:numId w:val="5"/>
        </w:numPr>
        <w:tabs>
          <w:tab w:val="left" w:pos="993"/>
        </w:tabs>
        <w:autoSpaceDE w:val="0"/>
        <w:autoSpaceDN w:val="0"/>
        <w:adjustRightInd w:val="0"/>
        <w:ind w:left="-15" w:leftChars="-7" w:firstLine="420"/>
        <w:rPr>
          <w:rFonts w:ascii="宋体" w:hAnsi="宋体"/>
          <w:szCs w:val="21"/>
        </w:rPr>
      </w:pPr>
      <w:r>
        <w:rPr>
          <w:rFonts w:ascii="宋体" w:hAnsi="宋体"/>
          <w:szCs w:val="21"/>
        </w:rPr>
        <w:t>系统底层：</w:t>
      </w:r>
      <w:r>
        <w:rPr>
          <w:rFonts w:hint="eastAsia" w:ascii="宋体" w:hAnsi="宋体"/>
          <w:szCs w:val="21"/>
        </w:rPr>
        <w:t>信创升级改造后的平台，</w:t>
      </w:r>
      <w:r>
        <w:rPr>
          <w:rFonts w:ascii="宋体" w:hAnsi="宋体"/>
          <w:szCs w:val="21"/>
        </w:rPr>
        <w:t>所有功能模块能够满足企业的复杂管理要求，例如支持复杂的组织架构，各单位</w:t>
      </w:r>
      <w:r>
        <w:rPr>
          <w:rFonts w:hint="eastAsia" w:ascii="宋体" w:hAnsi="宋体"/>
          <w:szCs w:val="21"/>
        </w:rPr>
        <w:t>、</w:t>
      </w:r>
      <w:r>
        <w:rPr>
          <w:rFonts w:ascii="宋体" w:hAnsi="宋体"/>
          <w:szCs w:val="21"/>
        </w:rPr>
        <w:t>部门之间的数据权限管控等</w:t>
      </w:r>
      <w:r>
        <w:rPr>
          <w:rFonts w:hint="eastAsia" w:ascii="宋体" w:hAnsi="宋体"/>
          <w:szCs w:val="21"/>
        </w:rPr>
        <w:t>。</w:t>
      </w:r>
      <w:r>
        <w:rPr>
          <w:rFonts w:ascii="宋体" w:hAnsi="宋体"/>
          <w:szCs w:val="21"/>
        </w:rPr>
        <w:t>所有业务功能的实现和调整支持简单的</w:t>
      </w:r>
      <w:r>
        <w:rPr>
          <w:rFonts w:hint="eastAsia" w:ascii="宋体" w:hAnsi="宋体"/>
          <w:szCs w:val="21"/>
        </w:rPr>
        <w:t>拖拽式操作，无需经过复杂的学习过程或者依赖专业人员，可以快速的进行修改调整。系统底层平台能够持续升级，保证</w:t>
      </w:r>
      <w:r>
        <w:rPr>
          <w:rFonts w:ascii="宋体" w:hAnsi="宋体"/>
          <w:szCs w:val="21"/>
        </w:rPr>
        <w:t>将来版本升级不需要重新搭建平台以及做数据功能迁移</w:t>
      </w:r>
      <w:r>
        <w:rPr>
          <w:rFonts w:hint="eastAsia" w:ascii="宋体" w:hAnsi="宋体"/>
          <w:szCs w:val="21"/>
        </w:rPr>
        <w:t>。</w:t>
      </w:r>
    </w:p>
    <w:p>
      <w:pPr>
        <w:pStyle w:val="120"/>
        <w:numPr>
          <w:ilvl w:val="0"/>
          <w:numId w:val="5"/>
        </w:numPr>
        <w:tabs>
          <w:tab w:val="left" w:pos="993"/>
        </w:tabs>
        <w:autoSpaceDE w:val="0"/>
        <w:autoSpaceDN w:val="0"/>
        <w:adjustRightInd w:val="0"/>
        <w:ind w:left="-15" w:leftChars="-7" w:firstLine="420"/>
        <w:rPr>
          <w:rFonts w:ascii="宋体" w:hAnsi="宋体"/>
          <w:szCs w:val="21"/>
        </w:rPr>
      </w:pPr>
      <w:r>
        <w:rPr>
          <w:rFonts w:ascii="宋体" w:hAnsi="宋体"/>
          <w:szCs w:val="21"/>
        </w:rPr>
        <w:t>系统部署：</w:t>
      </w:r>
      <w:r>
        <w:rPr>
          <w:rFonts w:hint="eastAsia" w:ascii="宋体" w:hAnsi="宋体"/>
          <w:szCs w:val="21"/>
        </w:rPr>
        <w:t>信创升级改造后的平台，</w:t>
      </w:r>
      <w:r>
        <w:rPr>
          <w:rFonts w:ascii="宋体" w:hAnsi="宋体"/>
          <w:szCs w:val="21"/>
        </w:rPr>
        <w:t>根据公司的</w:t>
      </w:r>
      <w:r>
        <w:rPr>
          <w:rFonts w:hint="eastAsia" w:ascii="宋体" w:hAnsi="宋体"/>
          <w:szCs w:val="21"/>
        </w:rPr>
        <w:t>2</w:t>
      </w:r>
      <w:r>
        <w:rPr>
          <w:rFonts w:ascii="宋体" w:hAnsi="宋体"/>
          <w:szCs w:val="21"/>
        </w:rPr>
        <w:t>0000用户数，灵活的进行系统部署及扩展，例如增加服务器数量、采用虚拟化技术、集群技术</w:t>
      </w:r>
      <w:r>
        <w:rPr>
          <w:rFonts w:hint="eastAsia" w:ascii="宋体" w:hAnsi="宋体"/>
          <w:szCs w:val="21"/>
        </w:rPr>
        <w:t>（需支持6台及6台以上的应用程序的集群部署）</w:t>
      </w:r>
      <w:r>
        <w:rPr>
          <w:rFonts w:ascii="宋体" w:hAnsi="宋体"/>
          <w:szCs w:val="21"/>
        </w:rPr>
        <w:t>，提高系统性能。</w:t>
      </w:r>
      <w:r>
        <w:rPr>
          <w:rFonts w:hint="eastAsia" w:ascii="宋体" w:hAnsi="宋体"/>
          <w:szCs w:val="21"/>
        </w:rPr>
        <w:t>全面</w:t>
      </w:r>
      <w:r>
        <w:rPr>
          <w:rFonts w:ascii="宋体" w:hAnsi="宋体"/>
          <w:szCs w:val="21"/>
        </w:rPr>
        <w:t>支持</w:t>
      </w:r>
      <w:r>
        <w:rPr>
          <w:rFonts w:hint="eastAsia" w:ascii="宋体" w:hAnsi="宋体"/>
          <w:szCs w:val="21"/>
        </w:rPr>
        <w:t>并采用国产化环境部署，包括</w:t>
      </w:r>
      <w:r>
        <w:rPr>
          <w:rFonts w:ascii="宋体" w:hAnsi="宋体"/>
          <w:szCs w:val="21"/>
        </w:rPr>
        <w:t>市面各种主流的国产</w:t>
      </w:r>
      <w:r>
        <w:rPr>
          <w:rFonts w:hint="eastAsia" w:ascii="宋体" w:hAnsi="宋体"/>
          <w:szCs w:val="21"/>
        </w:rPr>
        <w:t>硬件、国产</w:t>
      </w:r>
      <w:r>
        <w:rPr>
          <w:rFonts w:ascii="宋体" w:hAnsi="宋体"/>
          <w:szCs w:val="21"/>
        </w:rPr>
        <w:t>操作系统</w:t>
      </w:r>
      <w:r>
        <w:rPr>
          <w:rFonts w:hint="eastAsia" w:ascii="宋体" w:hAnsi="宋体"/>
          <w:szCs w:val="21"/>
        </w:rPr>
        <w:t>、国产中间件、</w:t>
      </w:r>
      <w:r>
        <w:rPr>
          <w:rFonts w:ascii="宋体" w:hAnsi="宋体"/>
          <w:szCs w:val="21"/>
        </w:rPr>
        <w:t>国产数据库</w:t>
      </w:r>
      <w:r>
        <w:rPr>
          <w:rFonts w:hint="eastAsia" w:ascii="宋体" w:hAnsi="宋体"/>
          <w:szCs w:val="21"/>
        </w:rPr>
        <w:t>、国产流版签软件</w:t>
      </w:r>
      <w:r>
        <w:rPr>
          <w:rFonts w:ascii="宋体" w:hAnsi="宋体"/>
          <w:szCs w:val="21"/>
        </w:rPr>
        <w:t>等</w:t>
      </w:r>
      <w:r>
        <w:rPr>
          <w:rFonts w:hint="eastAsia" w:ascii="宋体" w:hAnsi="宋体"/>
          <w:szCs w:val="21"/>
        </w:rPr>
        <w:t>。</w:t>
      </w:r>
    </w:p>
    <w:p>
      <w:pPr>
        <w:pStyle w:val="120"/>
        <w:numPr>
          <w:ilvl w:val="0"/>
          <w:numId w:val="5"/>
        </w:numPr>
        <w:tabs>
          <w:tab w:val="left" w:pos="993"/>
        </w:tabs>
        <w:autoSpaceDE w:val="0"/>
        <w:autoSpaceDN w:val="0"/>
        <w:adjustRightInd w:val="0"/>
        <w:ind w:left="-15" w:leftChars="-7" w:firstLine="420"/>
        <w:rPr>
          <w:rFonts w:ascii="宋体" w:hAnsi="宋体"/>
          <w:szCs w:val="21"/>
        </w:rPr>
      </w:pPr>
      <w:r>
        <w:rPr>
          <w:rFonts w:hint="eastAsia" w:ascii="宋体" w:hAnsi="宋体"/>
          <w:szCs w:val="21"/>
        </w:rPr>
        <w:t>数据兼容</w:t>
      </w:r>
      <w:r>
        <w:rPr>
          <w:rFonts w:ascii="宋体" w:hAnsi="宋体"/>
          <w:szCs w:val="21"/>
        </w:rPr>
        <w:t>：</w:t>
      </w:r>
      <w:bookmarkStart w:id="796" w:name="_Hlk134735526"/>
      <w:r>
        <w:rPr>
          <w:rFonts w:hint="eastAsia" w:ascii="宋体" w:hAnsi="宋体"/>
          <w:szCs w:val="21"/>
        </w:rPr>
        <w:t>信创升级改造后的平台，</w:t>
      </w:r>
      <w:r>
        <w:rPr>
          <w:rFonts w:ascii="宋体" w:hAnsi="宋体"/>
          <w:szCs w:val="21"/>
        </w:rPr>
        <w:t>可</w:t>
      </w:r>
      <w:r>
        <w:rPr>
          <w:rFonts w:hint="eastAsia" w:ascii="宋体" w:hAnsi="宋体"/>
          <w:szCs w:val="21"/>
        </w:rPr>
        <w:t>兼容原平台所有数据，保证原平台数据完整性及一致性，进行数据迁移时不得出现数据丢失</w:t>
      </w:r>
      <w:r>
        <w:rPr>
          <w:rFonts w:ascii="宋体" w:hAnsi="宋体"/>
          <w:szCs w:val="21"/>
        </w:rPr>
        <w:t>，</w:t>
      </w:r>
      <w:r>
        <w:rPr>
          <w:rFonts w:hint="eastAsia" w:ascii="宋体" w:hAnsi="宋体"/>
          <w:szCs w:val="21"/>
        </w:rPr>
        <w:t>原系统功能不能出现减少，同时业务及流程不发生变化，能够继续推进及流转</w:t>
      </w:r>
      <w:bookmarkEnd w:id="796"/>
      <w:r>
        <w:rPr>
          <w:rFonts w:hint="eastAsia" w:ascii="宋体" w:hAnsi="宋体"/>
          <w:szCs w:val="21"/>
        </w:rPr>
        <w:t>。</w:t>
      </w:r>
    </w:p>
    <w:p>
      <w:pPr>
        <w:pStyle w:val="120"/>
        <w:numPr>
          <w:ilvl w:val="0"/>
          <w:numId w:val="5"/>
        </w:numPr>
        <w:tabs>
          <w:tab w:val="left" w:pos="993"/>
        </w:tabs>
        <w:autoSpaceDE w:val="0"/>
        <w:autoSpaceDN w:val="0"/>
        <w:adjustRightInd w:val="0"/>
        <w:ind w:left="-15" w:leftChars="-7" w:firstLine="420"/>
        <w:rPr>
          <w:rFonts w:ascii="宋体" w:hAnsi="宋体"/>
          <w:szCs w:val="21"/>
        </w:rPr>
      </w:pPr>
      <w:r>
        <w:rPr>
          <w:rFonts w:hint="eastAsia" w:ascii="宋体" w:hAnsi="宋体"/>
          <w:szCs w:val="21"/>
        </w:rPr>
        <w:t>开发建模：信创升级改造后的平台，能够针对公司今后快速发展产生的个性化业务需求，提供开发工具快速定制，支持简单功能的可视化开发，快速生成业务模块；支持复杂功能的代码开发工具，响应复杂业务需求。同时支持模块的代码开源。</w:t>
      </w:r>
    </w:p>
    <w:p>
      <w:pPr>
        <w:pStyle w:val="120"/>
        <w:numPr>
          <w:ilvl w:val="0"/>
          <w:numId w:val="5"/>
        </w:numPr>
        <w:tabs>
          <w:tab w:val="left" w:pos="993"/>
        </w:tabs>
        <w:autoSpaceDE w:val="0"/>
        <w:autoSpaceDN w:val="0"/>
        <w:adjustRightInd w:val="0"/>
        <w:ind w:left="-15" w:leftChars="-7" w:firstLine="420"/>
        <w:rPr>
          <w:rFonts w:ascii="宋体" w:hAnsi="宋体"/>
          <w:szCs w:val="21"/>
        </w:rPr>
      </w:pPr>
      <w:r>
        <w:rPr>
          <w:rFonts w:ascii="宋体" w:hAnsi="宋体"/>
          <w:szCs w:val="21"/>
        </w:rPr>
        <w:t>系统集成：</w:t>
      </w:r>
      <w:r>
        <w:rPr>
          <w:rFonts w:hint="eastAsia" w:ascii="宋体" w:hAnsi="宋体"/>
          <w:szCs w:val="21"/>
        </w:rPr>
        <w:t>信创升级改造后的平台，</w:t>
      </w:r>
      <w:r>
        <w:rPr>
          <w:rFonts w:ascii="宋体" w:hAnsi="宋体"/>
          <w:szCs w:val="21"/>
        </w:rPr>
        <w:t>支持市面主流的集成接口，能够通过配置式的方式快速和第三方系统进行单点登录和数据交换；将现有各个业务系统的数据进行打通，和有效的加工、利用，减少企业内部信息孤岛，提升大数据应用能力</w:t>
      </w:r>
      <w:r>
        <w:rPr>
          <w:rFonts w:hint="eastAsia" w:ascii="宋体" w:hAnsi="宋体"/>
          <w:szCs w:val="21"/>
        </w:rPr>
        <w:t>。</w:t>
      </w:r>
    </w:p>
    <w:p>
      <w:pPr>
        <w:pStyle w:val="120"/>
        <w:numPr>
          <w:ilvl w:val="0"/>
          <w:numId w:val="5"/>
        </w:numPr>
        <w:tabs>
          <w:tab w:val="left" w:pos="993"/>
        </w:tabs>
        <w:autoSpaceDE w:val="0"/>
        <w:autoSpaceDN w:val="0"/>
        <w:adjustRightInd w:val="0"/>
        <w:ind w:left="-15" w:leftChars="-7" w:firstLine="420"/>
        <w:rPr>
          <w:rFonts w:ascii="宋体" w:hAnsi="宋体"/>
          <w:szCs w:val="21"/>
        </w:rPr>
      </w:pPr>
      <w:r>
        <w:rPr>
          <w:rFonts w:ascii="宋体" w:hAnsi="宋体"/>
          <w:szCs w:val="21"/>
        </w:rPr>
        <w:t>系统运维：</w:t>
      </w:r>
      <w:r>
        <w:rPr>
          <w:rFonts w:hint="eastAsia" w:ascii="宋体" w:hAnsi="宋体"/>
          <w:szCs w:val="21"/>
        </w:rPr>
        <w:t>信创升级改造后的平台，</w:t>
      </w:r>
      <w:r>
        <w:rPr>
          <w:rFonts w:ascii="宋体" w:hAnsi="宋体"/>
          <w:szCs w:val="21"/>
        </w:rPr>
        <w:t>提供专业的系统运维工具，改变以往传统的问题事后处理的模式，能够实时监控服务器运行状况，并设置预警值，</w:t>
      </w:r>
      <w:r>
        <w:rPr>
          <w:rFonts w:hint="eastAsia" w:ascii="宋体" w:hAnsi="宋体"/>
          <w:szCs w:val="21"/>
        </w:rPr>
        <w:t>实现</w:t>
      </w:r>
      <w:r>
        <w:rPr>
          <w:rFonts w:ascii="宋体" w:hAnsi="宋体"/>
          <w:szCs w:val="21"/>
        </w:rPr>
        <w:t>事前预警</w:t>
      </w:r>
      <w:r>
        <w:rPr>
          <w:rFonts w:hint="eastAsia" w:ascii="宋体" w:hAnsi="宋体"/>
          <w:szCs w:val="21"/>
        </w:rPr>
        <w:t>，</w:t>
      </w:r>
      <w:r>
        <w:rPr>
          <w:rFonts w:ascii="宋体" w:hAnsi="宋体"/>
          <w:szCs w:val="21"/>
        </w:rPr>
        <w:t>防患未然</w:t>
      </w:r>
      <w:r>
        <w:rPr>
          <w:rFonts w:hint="eastAsia" w:ascii="宋体" w:hAnsi="宋体"/>
          <w:szCs w:val="21"/>
        </w:rPr>
        <w:t>，并提供2年免费的售后运维服务</w:t>
      </w:r>
      <w:r>
        <w:rPr>
          <w:rFonts w:ascii="宋体" w:hAnsi="宋体"/>
          <w:szCs w:val="21"/>
        </w:rPr>
        <w:t>。</w:t>
      </w:r>
    </w:p>
    <w:p>
      <w:pPr>
        <w:pStyle w:val="4"/>
        <w:numPr>
          <w:ilvl w:val="1"/>
          <w:numId w:val="4"/>
        </w:numPr>
      </w:pPr>
      <w:bookmarkStart w:id="797" w:name="_Toc9645"/>
      <w:r>
        <w:rPr>
          <w:rFonts w:hint="eastAsia"/>
        </w:rPr>
        <w:t>功能性需求</w:t>
      </w:r>
      <w:bookmarkEnd w:id="797"/>
    </w:p>
    <w:p>
      <w:pPr>
        <w:autoSpaceDE w:val="0"/>
        <w:autoSpaceDN w:val="0"/>
        <w:adjustRightInd w:val="0"/>
        <w:spacing w:line="360" w:lineRule="auto"/>
        <w:ind w:left="-15" w:leftChars="-7" w:firstLine="437"/>
        <w:rPr>
          <w:rFonts w:ascii="宋体" w:hAnsi="宋体"/>
          <w:szCs w:val="21"/>
        </w:rPr>
      </w:pPr>
      <w:r>
        <w:rPr>
          <w:rFonts w:hint="eastAsia" w:ascii="宋体" w:hAnsi="宋体"/>
          <w:szCs w:val="21"/>
        </w:rPr>
        <w:t>信创协同办公管理平台的定位为管理支撑平台，一方面做企业内外部的流程&amp;协作、信息管理、知识管理、企业社区，另一方面做门户整合&amp;业务整合连接企业的其他业务系统。</w:t>
      </w:r>
    </w:p>
    <w:p>
      <w:pPr>
        <w:autoSpaceDE w:val="0"/>
        <w:autoSpaceDN w:val="0"/>
        <w:adjustRightInd w:val="0"/>
        <w:spacing w:line="360" w:lineRule="auto"/>
        <w:ind w:left="-15" w:leftChars="-7" w:firstLine="437"/>
        <w:rPr>
          <w:rFonts w:ascii="宋体" w:hAnsi="宋体"/>
          <w:szCs w:val="21"/>
        </w:rPr>
      </w:pPr>
      <w:r>
        <w:rPr>
          <w:rFonts w:hint="eastAsia" w:ascii="宋体" w:hAnsi="宋体"/>
          <w:szCs w:val="21"/>
        </w:rPr>
        <w:t>需要具备的核心能力归纳为：以“流程”为管道，需具备强大的流程引擎能力，来拉通企业内外各种复杂的流程场景；以“知识”为活水，需具备知识管理落地能力，来管理企业知识及赋能企业员工；以“连接”为基础，需具备移动端的入口连接能力，来满足员工移动办公场景；以“整合”为拓展，需具备灵活强大的集成能力，来深入业务处理；以“平台”为支撑，需具备稳定、安全、高扩展、高可用的平台，来满足企业业务的快速变化。</w:t>
      </w:r>
    </w:p>
    <w:p>
      <w:pPr>
        <w:autoSpaceDE w:val="0"/>
        <w:autoSpaceDN w:val="0"/>
        <w:adjustRightInd w:val="0"/>
        <w:spacing w:line="360" w:lineRule="auto"/>
        <w:ind w:left="-15" w:leftChars="-7" w:firstLine="437"/>
        <w:rPr>
          <w:rFonts w:ascii="宋体" w:hAnsi="宋体"/>
          <w:szCs w:val="21"/>
        </w:rPr>
      </w:pPr>
      <w:r>
        <w:rPr>
          <w:rFonts w:hint="eastAsia" w:ascii="宋体" w:hAnsi="宋体"/>
          <w:szCs w:val="21"/>
        </w:rPr>
        <w:t>本次信创升级改造项目从功能性的角度，实现的主要功能模块包括企业门户、流程管理、表单管理、公文管理、合同管理、车辆管理、会议管理、督办管理、档案管理、知识管理、集成平台、组织管理、移动办公等，具体功能描述如下：</w:t>
      </w:r>
    </w:p>
    <w:p>
      <w:pPr>
        <w:pStyle w:val="5"/>
        <w:numPr>
          <w:ilvl w:val="2"/>
          <w:numId w:val="4"/>
        </w:numPr>
      </w:pPr>
      <w:r>
        <w:rPr>
          <w:rFonts w:hint="eastAsia"/>
        </w:rPr>
        <w:t>企业门户</w:t>
      </w:r>
    </w:p>
    <w:p>
      <w:pPr>
        <w:pStyle w:val="120"/>
        <w:numPr>
          <w:ilvl w:val="0"/>
          <w:numId w:val="6"/>
        </w:numPr>
        <w:autoSpaceDE w:val="0"/>
        <w:autoSpaceDN w:val="0"/>
        <w:adjustRightInd w:val="0"/>
        <w:ind w:firstLine="420"/>
        <w:rPr>
          <w:rFonts w:ascii="宋体" w:hAnsi="宋体"/>
          <w:szCs w:val="21"/>
        </w:rPr>
      </w:pPr>
      <w:r>
        <w:rPr>
          <w:rFonts w:hint="eastAsia" w:ascii="宋体" w:hAnsi="宋体"/>
          <w:szCs w:val="21"/>
        </w:rPr>
        <w:t>支撑门户作为企业统一的信息化入口，包括PC门户和移动门户，用户通过一个入口访问企业各个应用系统。</w:t>
      </w:r>
    </w:p>
    <w:p>
      <w:pPr>
        <w:pStyle w:val="120"/>
        <w:numPr>
          <w:ilvl w:val="0"/>
          <w:numId w:val="6"/>
        </w:numPr>
        <w:autoSpaceDE w:val="0"/>
        <w:autoSpaceDN w:val="0"/>
        <w:adjustRightInd w:val="0"/>
        <w:ind w:firstLine="420"/>
        <w:rPr>
          <w:rFonts w:ascii="宋体" w:hAnsi="宋体"/>
          <w:szCs w:val="21"/>
        </w:rPr>
      </w:pPr>
      <w:r>
        <w:rPr>
          <w:rFonts w:hint="eastAsia" w:ascii="宋体" w:hAnsi="宋体"/>
          <w:szCs w:val="21"/>
        </w:rPr>
        <w:t>提供统一消息管理，可以将用户系统内的各个模块和异构系统的待办、待阅、通知等信息集成在一个模块界面内展示，并标注该消息来源；通过统一消息中心可以直接进入该消息来源的模块及系统进行处理。</w:t>
      </w:r>
    </w:p>
    <w:p>
      <w:pPr>
        <w:pStyle w:val="120"/>
        <w:numPr>
          <w:ilvl w:val="0"/>
          <w:numId w:val="6"/>
        </w:numPr>
        <w:autoSpaceDE w:val="0"/>
        <w:autoSpaceDN w:val="0"/>
        <w:adjustRightInd w:val="0"/>
        <w:ind w:firstLine="420"/>
        <w:rPr>
          <w:rFonts w:ascii="宋体" w:hAnsi="宋体"/>
          <w:szCs w:val="21"/>
        </w:rPr>
      </w:pPr>
      <w:r>
        <w:rPr>
          <w:rFonts w:hint="eastAsia" w:ascii="宋体" w:hAnsi="宋体"/>
          <w:szCs w:val="21"/>
        </w:rPr>
        <w:t>支持把系统中的各个模块的信息科学的、有机的展现在工作门户上，方便工作人员第一时间了解自己的待办、待阅的各种公文、会议、通知、公告、新闻、知识、档案等；</w:t>
      </w:r>
    </w:p>
    <w:p>
      <w:pPr>
        <w:pStyle w:val="120"/>
        <w:numPr>
          <w:ilvl w:val="0"/>
          <w:numId w:val="6"/>
        </w:numPr>
        <w:autoSpaceDE w:val="0"/>
        <w:autoSpaceDN w:val="0"/>
        <w:adjustRightInd w:val="0"/>
        <w:ind w:firstLine="420"/>
        <w:rPr>
          <w:rFonts w:ascii="宋体" w:hAnsi="宋体"/>
          <w:szCs w:val="21"/>
        </w:rPr>
      </w:pPr>
      <w:r>
        <w:rPr>
          <w:rFonts w:hint="eastAsia" w:ascii="宋体" w:hAnsi="宋体"/>
          <w:szCs w:val="21"/>
        </w:rPr>
        <w:t>可以根据业务导向展示业务地图，根据用户业务地图引导用户工作，指引用户自助查找相关材料和自助完成相关工作，并提供多种样式的门户场景地图模板，业务地图无需开发，完全通过配置的方式实现，以业务导向指引用户工作，如财务门户可以放置财务地图，财务地图将财务相关的所有知识链接分级分类展示。</w:t>
      </w:r>
    </w:p>
    <w:p>
      <w:pPr>
        <w:pStyle w:val="120"/>
        <w:numPr>
          <w:ilvl w:val="0"/>
          <w:numId w:val="6"/>
        </w:numPr>
        <w:autoSpaceDE w:val="0"/>
        <w:autoSpaceDN w:val="0"/>
        <w:adjustRightInd w:val="0"/>
        <w:ind w:firstLine="420"/>
        <w:rPr>
          <w:rFonts w:ascii="宋体" w:hAnsi="宋体"/>
          <w:szCs w:val="21"/>
        </w:rPr>
      </w:pPr>
      <w:r>
        <w:rPr>
          <w:rFonts w:hint="eastAsia" w:ascii="宋体" w:hAnsi="宋体"/>
          <w:szCs w:val="21"/>
        </w:rPr>
        <w:t>提供灵活的门户定制功能，包括门户首页布局调整、内容定制、个人导航栏定制、风格定制、提醒设置等功能，门户配置操作应该采用简单、直观的零代码图形化配置界面，实现在门户页面以拖拽模块方式进行自由布局，最大程度地方便非计算机专业人员的使用；同时，门户设置针对专业的技术人员提供在线源代码编辑模式，以便完成企业自助可控且深度、个性化的门户布局及设计。</w:t>
      </w:r>
    </w:p>
    <w:p>
      <w:pPr>
        <w:pStyle w:val="120"/>
        <w:numPr>
          <w:ilvl w:val="0"/>
          <w:numId w:val="6"/>
        </w:numPr>
        <w:autoSpaceDE w:val="0"/>
        <w:autoSpaceDN w:val="0"/>
        <w:adjustRightInd w:val="0"/>
        <w:ind w:firstLine="420"/>
        <w:rPr>
          <w:rFonts w:ascii="宋体" w:hAnsi="宋体"/>
          <w:szCs w:val="21"/>
        </w:rPr>
      </w:pPr>
      <w:r>
        <w:rPr>
          <w:rFonts w:hint="eastAsia" w:ascii="宋体" w:hAnsi="宋体"/>
          <w:szCs w:val="21"/>
        </w:rPr>
        <w:t>提供常用部件，包括快捷方式、常用链接、多级树菜单、自定义页面等，方便用户从门户中快速导航到系统内或系统外的已有页面</w:t>
      </w:r>
    </w:p>
    <w:p>
      <w:pPr>
        <w:pStyle w:val="120"/>
        <w:numPr>
          <w:ilvl w:val="0"/>
          <w:numId w:val="6"/>
        </w:numPr>
        <w:autoSpaceDE w:val="0"/>
        <w:autoSpaceDN w:val="0"/>
        <w:adjustRightInd w:val="0"/>
        <w:ind w:firstLine="420"/>
        <w:rPr>
          <w:rFonts w:ascii="宋体" w:hAnsi="宋体"/>
          <w:szCs w:val="21"/>
        </w:rPr>
      </w:pPr>
      <w:r>
        <w:rPr>
          <w:rFonts w:hint="eastAsia" w:ascii="宋体" w:hAnsi="宋体"/>
          <w:szCs w:val="21"/>
        </w:rPr>
        <w:t>支持构建匿名门户，匿名门户和普通门户一样都可以通过配置完成搭建，且匿名门户上的组件也必须是有匿名权限的才可以访问使用。</w:t>
      </w:r>
    </w:p>
    <w:p>
      <w:pPr>
        <w:pStyle w:val="120"/>
        <w:numPr>
          <w:ilvl w:val="0"/>
          <w:numId w:val="6"/>
        </w:numPr>
        <w:autoSpaceDE w:val="0"/>
        <w:autoSpaceDN w:val="0"/>
        <w:adjustRightInd w:val="0"/>
        <w:ind w:firstLine="420"/>
        <w:rPr>
          <w:rFonts w:ascii="宋体" w:hAnsi="宋体"/>
          <w:szCs w:val="21"/>
        </w:rPr>
      </w:pPr>
      <w:r>
        <w:rPr>
          <w:rFonts w:hint="eastAsia" w:ascii="宋体" w:hAnsi="宋体"/>
          <w:szCs w:val="21"/>
        </w:rPr>
        <w:t>可以实现一键将系统主题置为灰化，类似名人诞辰忌日、国家重大事件发生、客户有重大事件发生时可使用。</w:t>
      </w:r>
    </w:p>
    <w:p>
      <w:pPr>
        <w:pStyle w:val="120"/>
        <w:numPr>
          <w:ilvl w:val="0"/>
          <w:numId w:val="6"/>
        </w:numPr>
        <w:autoSpaceDE w:val="0"/>
        <w:autoSpaceDN w:val="0"/>
        <w:adjustRightInd w:val="0"/>
        <w:ind w:firstLine="420"/>
      </w:pPr>
      <w:r>
        <w:rPr>
          <w:rFonts w:hint="eastAsia" w:ascii="宋体" w:hAnsi="宋体"/>
          <w:szCs w:val="21"/>
        </w:rPr>
        <w:t>根据按组织按角色按业务进行构建的不同维度门户，支持给予不同的权限人员维护和使用</w:t>
      </w:r>
    </w:p>
    <w:p>
      <w:pPr>
        <w:pStyle w:val="120"/>
        <w:numPr>
          <w:ilvl w:val="0"/>
          <w:numId w:val="6"/>
        </w:numPr>
        <w:autoSpaceDE w:val="0"/>
        <w:autoSpaceDN w:val="0"/>
        <w:adjustRightInd w:val="0"/>
        <w:ind w:firstLine="420"/>
      </w:pPr>
      <w:r>
        <w:rPr>
          <w:rFonts w:hint="eastAsia" w:ascii="宋体" w:hAnsi="宋体"/>
          <w:szCs w:val="21"/>
        </w:rPr>
        <w:t>支持提供本模块的源代码</w:t>
      </w:r>
    </w:p>
    <w:p>
      <w:pPr>
        <w:pStyle w:val="5"/>
        <w:numPr>
          <w:ilvl w:val="2"/>
          <w:numId w:val="4"/>
        </w:numPr>
      </w:pPr>
      <w:r>
        <w:rPr>
          <w:rFonts w:hint="eastAsia"/>
        </w:rPr>
        <w:t>流程管理</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提供遵循国际标准BPMN2.0规范的流程引擎，可单独部署供业务系统调用</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提供强大的流程自定义功能，涵盖流程起草、审批、沟通、驳回、发布、实施反馈、废弃等全周期管理。</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支持可视化的所见即所得方式配置审批流程，并提供丰富的流程审批操作及流转节点，除基本的审批节点、签字节点、抄送节点、子流程、人工分支、条件分支、并行分支等节点外，还须提供投票节点、检查节点、抢办节点、嵌入子流程节点、即席子流程节点、动态子流程节点等扩展操作节点，以满足复杂的业务流，包括自由流、子流程、各种分支等各种复杂审批场景。</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提供流程仿真测试，管理员在流程配置界面可以发起仿真，输入必要字段，可以自动测试流程的流转路径，系统自动计算并显示各个节点实际处理人，异常节点会显示预警；支持保存测试实例，进行批量仿真测试、定时仿真测试，确保关键流程正常运行。</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支持流程中重复身份跳过，跳过类型要支持仅相邻身份重复跳过、重复身份后节点跳过、重复身份前节点跳过等多种方式</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提供规则引擎，能够将业务决策从应用程序代码中分离出来，通过规则配置实现规则设定，引用到流程处理人、表单数据上。并且支持同一规则，多处引用，后续业务发生变化，只需调整规则，所有引用规则的位置生效。</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支持保存常用审批意见，减少审批录入时间，支持批量审批，同类流程可以批量处理</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对于用户关注的流程，可以进行流程跟踪，自定义选择跟踪节点，被跟踪的节点发生变化时会自动通知到用户，方便跟踪流程最新进展</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流程代理可以支持根据某类流程的具体条件授权代理，而不仅仅是针对某类流程授权。比如报销流程，可以将金额&lt;5万给A审，5万&lt;=金额&lt;20万给B审，金额&gt;=20万给C审</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为了提高审批审批以及避免待办实时骚扰高管，需要支持汇总审批配置，配置汇总的的关键信息和推送待办的时间，使高管可以定时（比如每天上午10点和下午2点）收到汇总的待办和汇总的关键信息进行快速审批。</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为了避免一个流程被人多次连续催办，可以支持冷却处理，设置冷却时间，在冷却时间内不允许催办。</w:t>
      </w:r>
    </w:p>
    <w:p>
      <w:pPr>
        <w:pStyle w:val="120"/>
        <w:numPr>
          <w:ilvl w:val="0"/>
          <w:numId w:val="7"/>
        </w:numPr>
        <w:autoSpaceDE w:val="0"/>
        <w:autoSpaceDN w:val="0"/>
        <w:adjustRightInd w:val="0"/>
        <w:ind w:firstLine="420"/>
        <w:rPr>
          <w:rFonts w:ascii="宋体" w:hAnsi="宋体"/>
          <w:szCs w:val="21"/>
        </w:rPr>
      </w:pPr>
      <w:r>
        <w:rPr>
          <w:rFonts w:hint="eastAsia" w:ascii="宋体" w:hAnsi="宋体"/>
          <w:szCs w:val="21"/>
        </w:rPr>
        <w:t>提供单独的流程分析平台，可以做流程的统计查询、出现问题的流程预警分析、从组织维度分析数量和效率、从流程的角度分析数量和效率等，为流程优化提供依据</w:t>
      </w:r>
    </w:p>
    <w:p>
      <w:pPr>
        <w:pStyle w:val="120"/>
        <w:numPr>
          <w:ilvl w:val="0"/>
          <w:numId w:val="7"/>
        </w:numPr>
        <w:autoSpaceDE w:val="0"/>
        <w:autoSpaceDN w:val="0"/>
        <w:adjustRightInd w:val="0"/>
        <w:ind w:firstLine="420"/>
      </w:pPr>
      <w:r>
        <w:rPr>
          <w:rFonts w:hint="eastAsia" w:ascii="宋体" w:hAnsi="宋体"/>
          <w:szCs w:val="21"/>
        </w:rPr>
        <w:t>可以查看流程实例的概况，包括运行时流程、暂停流程、重启过的流程、超时的流程、已结束的流程等各种状态流程的汇总数据，并可以穿透查看具体数据，对有问题的流程可以进行干预处理</w:t>
      </w:r>
    </w:p>
    <w:p>
      <w:pPr>
        <w:pStyle w:val="5"/>
        <w:numPr>
          <w:ilvl w:val="2"/>
          <w:numId w:val="4"/>
        </w:numPr>
      </w:pPr>
      <w:r>
        <w:rPr>
          <w:rFonts w:hint="eastAsia"/>
        </w:rPr>
        <w:t>表单管理</w:t>
      </w:r>
    </w:p>
    <w:p>
      <w:pPr>
        <w:pStyle w:val="120"/>
        <w:numPr>
          <w:ilvl w:val="0"/>
          <w:numId w:val="8"/>
        </w:numPr>
        <w:autoSpaceDE w:val="0"/>
        <w:autoSpaceDN w:val="0"/>
        <w:adjustRightInd w:val="0"/>
        <w:ind w:firstLine="420"/>
        <w:rPr>
          <w:rFonts w:ascii="宋体" w:hAnsi="宋体"/>
          <w:szCs w:val="21"/>
        </w:rPr>
      </w:pPr>
      <w:r>
        <w:rPr>
          <w:rFonts w:hint="eastAsia" w:ascii="宋体" w:hAnsi="宋体"/>
          <w:szCs w:val="21"/>
        </w:rPr>
        <w:t>支持可视化表单配置，提供丰富的表单控件，包括但不限于常规表单元素（单行输入、多行输入、单选按钮、多选按钮、下拉菜单、日期选择、附件上传、值计算、大小写转换等）、集成表单控件、地图控件、大数据控件、二维码控件、投票结果控件、审批意见控件、OCR图文识别控件（身份证、营业执照、驾驶证、行驶证等）等，配置效果即真实效果，所见即所得。</w:t>
      </w:r>
    </w:p>
    <w:p>
      <w:pPr>
        <w:pStyle w:val="120"/>
        <w:numPr>
          <w:ilvl w:val="0"/>
          <w:numId w:val="8"/>
        </w:numPr>
        <w:autoSpaceDE w:val="0"/>
        <w:autoSpaceDN w:val="0"/>
        <w:adjustRightInd w:val="0"/>
        <w:ind w:firstLine="420"/>
        <w:rPr>
          <w:rFonts w:ascii="宋体" w:hAnsi="宋体"/>
          <w:szCs w:val="21"/>
        </w:rPr>
      </w:pPr>
      <w:r>
        <w:rPr>
          <w:rFonts w:hint="eastAsia" w:ascii="宋体" w:hAnsi="宋体"/>
          <w:szCs w:val="21"/>
        </w:rPr>
        <w:t>支持表单数据的导入，明细表数据的导入、导出</w:t>
      </w:r>
    </w:p>
    <w:p>
      <w:pPr>
        <w:pStyle w:val="120"/>
        <w:numPr>
          <w:ilvl w:val="0"/>
          <w:numId w:val="8"/>
        </w:numPr>
        <w:autoSpaceDE w:val="0"/>
        <w:autoSpaceDN w:val="0"/>
        <w:adjustRightInd w:val="0"/>
        <w:ind w:firstLine="420"/>
        <w:rPr>
          <w:rFonts w:ascii="宋体" w:hAnsi="宋体"/>
          <w:szCs w:val="21"/>
        </w:rPr>
      </w:pPr>
      <w:r>
        <w:rPr>
          <w:rFonts w:hint="eastAsia" w:ascii="宋体" w:hAnsi="宋体"/>
          <w:szCs w:val="21"/>
        </w:rPr>
        <w:t>支持附件的批量上传、下载，支持附件顺序调整，以及附件重命名</w:t>
      </w:r>
    </w:p>
    <w:p>
      <w:pPr>
        <w:pStyle w:val="120"/>
        <w:numPr>
          <w:ilvl w:val="0"/>
          <w:numId w:val="8"/>
        </w:numPr>
        <w:autoSpaceDE w:val="0"/>
        <w:autoSpaceDN w:val="0"/>
        <w:adjustRightInd w:val="0"/>
        <w:ind w:firstLine="420"/>
        <w:rPr>
          <w:rFonts w:ascii="宋体" w:hAnsi="宋体"/>
          <w:szCs w:val="21"/>
        </w:rPr>
      </w:pPr>
      <w:r>
        <w:rPr>
          <w:rFonts w:hint="eastAsia" w:ascii="宋体" w:hAnsi="宋体"/>
          <w:szCs w:val="21"/>
        </w:rPr>
        <w:t>提单人可以设置表单中的阅读权限、附件权限，附件权限可以管理到是否可拷贝、可下载、可打印等这种细化程度</w:t>
      </w:r>
    </w:p>
    <w:p>
      <w:pPr>
        <w:pStyle w:val="120"/>
        <w:numPr>
          <w:ilvl w:val="0"/>
          <w:numId w:val="8"/>
        </w:numPr>
        <w:autoSpaceDE w:val="0"/>
        <w:autoSpaceDN w:val="0"/>
        <w:adjustRightInd w:val="0"/>
        <w:ind w:firstLine="420"/>
        <w:rPr>
          <w:rFonts w:ascii="宋体" w:hAnsi="宋体"/>
          <w:szCs w:val="21"/>
        </w:rPr>
      </w:pPr>
      <w:r>
        <w:rPr>
          <w:rFonts w:hint="eastAsia" w:ascii="宋体" w:hAnsi="宋体"/>
          <w:szCs w:val="21"/>
        </w:rPr>
        <w:t>审批意见可以显示在表单上，且打印表单时可以打印出审批意见</w:t>
      </w:r>
    </w:p>
    <w:p>
      <w:pPr>
        <w:pStyle w:val="120"/>
        <w:numPr>
          <w:ilvl w:val="0"/>
          <w:numId w:val="8"/>
        </w:numPr>
        <w:autoSpaceDE w:val="0"/>
        <w:autoSpaceDN w:val="0"/>
        <w:adjustRightInd w:val="0"/>
        <w:ind w:firstLine="420"/>
        <w:rPr>
          <w:rFonts w:ascii="宋体" w:hAnsi="宋体"/>
          <w:szCs w:val="21"/>
        </w:rPr>
      </w:pPr>
      <w:r>
        <w:rPr>
          <w:rFonts w:hint="eastAsia" w:ascii="宋体" w:hAnsi="宋体"/>
          <w:szCs w:val="21"/>
        </w:rPr>
        <w:t>支持多种方式生成表单，包括直接使用通用表单、引入通用表单再调整、Execl导入生成表单等多种方式</w:t>
      </w:r>
    </w:p>
    <w:p>
      <w:pPr>
        <w:pStyle w:val="120"/>
        <w:numPr>
          <w:ilvl w:val="0"/>
          <w:numId w:val="8"/>
        </w:numPr>
        <w:autoSpaceDE w:val="0"/>
        <w:autoSpaceDN w:val="0"/>
        <w:adjustRightInd w:val="0"/>
        <w:ind w:firstLine="420"/>
        <w:rPr>
          <w:rFonts w:ascii="宋体" w:hAnsi="宋体"/>
          <w:szCs w:val="21"/>
        </w:rPr>
      </w:pPr>
      <w:r>
        <w:rPr>
          <w:rFonts w:hint="eastAsia" w:ascii="宋体" w:hAnsi="宋体"/>
          <w:szCs w:val="21"/>
        </w:rPr>
        <w:t>可实现权限区段控制，不同节点不同审批人有表单字段权限。</w:t>
      </w:r>
    </w:p>
    <w:p>
      <w:pPr>
        <w:pStyle w:val="120"/>
        <w:numPr>
          <w:ilvl w:val="0"/>
          <w:numId w:val="8"/>
        </w:numPr>
        <w:autoSpaceDE w:val="0"/>
        <w:autoSpaceDN w:val="0"/>
        <w:adjustRightInd w:val="0"/>
        <w:ind w:firstLine="420"/>
        <w:rPr>
          <w:rFonts w:ascii="宋体" w:hAnsi="宋体"/>
          <w:szCs w:val="21"/>
        </w:rPr>
      </w:pPr>
      <w:r>
        <w:rPr>
          <w:rFonts w:hint="eastAsia" w:ascii="宋体" w:hAnsi="宋体"/>
          <w:szCs w:val="21"/>
        </w:rPr>
        <w:t>表单中的敏感字段支持安全加密，同时数据库中该字段也加密</w:t>
      </w:r>
    </w:p>
    <w:p>
      <w:pPr>
        <w:pStyle w:val="120"/>
        <w:numPr>
          <w:ilvl w:val="0"/>
          <w:numId w:val="8"/>
        </w:numPr>
        <w:autoSpaceDE w:val="0"/>
        <w:autoSpaceDN w:val="0"/>
        <w:adjustRightInd w:val="0"/>
        <w:ind w:firstLine="420"/>
        <w:rPr>
          <w:rFonts w:ascii="宋体" w:hAnsi="宋体"/>
          <w:szCs w:val="21"/>
        </w:rPr>
      </w:pPr>
      <w:r>
        <w:rPr>
          <w:rFonts w:hint="eastAsia" w:ascii="宋体" w:hAnsi="宋体"/>
          <w:szCs w:val="21"/>
        </w:rPr>
        <w:t>PC端表单配置与移动端表单自适应，移动端表单自动生成无需二次设计，如需调整也可以拖拉拽调整</w:t>
      </w:r>
    </w:p>
    <w:p>
      <w:pPr>
        <w:pStyle w:val="5"/>
        <w:numPr>
          <w:ilvl w:val="2"/>
          <w:numId w:val="4"/>
        </w:numPr>
      </w:pPr>
      <w:r>
        <w:rPr>
          <w:rFonts w:hint="eastAsia"/>
        </w:rPr>
        <w:t>公文管理</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提供完整收文、发文、签报业务场景覆盖，支持不同的公文处理方式，包括公文会签、意见征询、跟踪、套红、签发、用印、分发、传阅、公文交换等相关功能</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支持与国产流版签软件进行集成，通过流版签软件集成实现对公文正文、附件免插件化在线阅读、编辑、套红、编号、签章、转换等操作</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支持公文一屏显示：在一个页面上显示公文正文、公文表单、签批件、协同信息等信息，也支持公文的稿纸和正文左右分屏展示：左侧展示稿纸、右侧展示正文</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支持设定公文的文种、单位类型和名称、缓急程度、密级程度、文件编号规则等</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提供基于国家电子公文交换标准的公文交换功能，支撑对内对外的收发文，能够实现文件分发，文件上报，分发收回，多种收文方式、发文情况跟踪等</w:t>
      </w:r>
      <w:r>
        <w:rPr>
          <w:rFonts w:ascii="宋体" w:hAnsi="宋体"/>
          <w:szCs w:val="21"/>
        </w:rPr>
        <w:t xml:space="preserve"> </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支持系统自动加载该类别中预先设定的模板内容、流程、权限、关联文档等信息，可以在线编辑正文内容，可以对附件进行批注并支持修改留痕，也可以打开本地初稿的方式导入正文和附件</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支持在特定流程节点进行清稿，系统可以自动清除编辑状态下的各种痕迹，接受所有修订。清稿后会产生痕迹文档，痕迹文档只有起草人、流程处理人员、模块管理员可看</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支持查看发文的签收情况，支持单位文书进行归档，归档至档案管理中。归档后的公文仅供查阅</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收文时，可以选择分发单位或分发个人，分发单位选择分发的主送、抄送和报送单位，分发后每个收文单位的文书进行签收操作，在收文分发记录下查看签收情况</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公文流转支持后台预先配置流程进行流转，同时也支持后台无需配置流程节点前端自由流转，并支持用户自定义多个前端流程模板进行选择</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系统支持无插件、多种格式的编辑和预览，包括但不限于DOC、DOCX、WPS、OFD格式、PDF格式在线格式转换</w:t>
      </w:r>
    </w:p>
    <w:p>
      <w:pPr>
        <w:pStyle w:val="120"/>
        <w:numPr>
          <w:ilvl w:val="0"/>
          <w:numId w:val="9"/>
        </w:numPr>
        <w:autoSpaceDE w:val="0"/>
        <w:autoSpaceDN w:val="0"/>
        <w:adjustRightInd w:val="0"/>
        <w:ind w:firstLine="420"/>
        <w:rPr>
          <w:rFonts w:ascii="宋体" w:hAnsi="宋体"/>
          <w:szCs w:val="21"/>
        </w:rPr>
      </w:pPr>
      <w:r>
        <w:rPr>
          <w:rFonts w:hint="eastAsia" w:ascii="宋体" w:hAnsi="宋体"/>
          <w:szCs w:val="21"/>
        </w:rPr>
        <w:t>公文传阅支持有序传阅和无需传阅两种模式；同时支持设定传阅结束时间、是否允许继续传阅、是否必填传阅意见</w:t>
      </w:r>
    </w:p>
    <w:p>
      <w:pPr>
        <w:pStyle w:val="5"/>
        <w:numPr>
          <w:ilvl w:val="2"/>
          <w:numId w:val="4"/>
        </w:numPr>
      </w:pPr>
      <w:r>
        <w:rPr>
          <w:rFonts w:hint="eastAsia"/>
        </w:rPr>
        <w:t>合同管理</w:t>
      </w:r>
    </w:p>
    <w:p>
      <w:pPr>
        <w:pStyle w:val="120"/>
        <w:numPr>
          <w:ilvl w:val="0"/>
          <w:numId w:val="10"/>
        </w:numPr>
        <w:autoSpaceDE w:val="0"/>
        <w:autoSpaceDN w:val="0"/>
        <w:adjustRightInd w:val="0"/>
        <w:ind w:firstLine="420"/>
        <w:rPr>
          <w:rFonts w:ascii="宋体" w:hAnsi="宋体"/>
          <w:szCs w:val="21"/>
        </w:rPr>
      </w:pPr>
      <w:r>
        <w:rPr>
          <w:rFonts w:hint="eastAsia" w:ascii="宋体" w:hAnsi="宋体"/>
          <w:szCs w:val="21"/>
        </w:rPr>
        <w:t>提供从合同起草、合同审批以及合同变更、解除、补充等变动的管理</w:t>
      </w:r>
      <w:bookmarkStart w:id="798" w:name="_Hlk136351278"/>
      <w:r>
        <w:rPr>
          <w:rFonts w:hint="eastAsia" w:ascii="宋体" w:hAnsi="宋体"/>
          <w:szCs w:val="21"/>
        </w:rPr>
        <w:t>（</w:t>
      </w:r>
      <w:bookmarkEnd w:id="798"/>
      <w:r>
        <w:rPr>
          <w:rFonts w:hint="eastAsia" w:ascii="宋体" w:hAnsi="宋体"/>
          <w:szCs w:val="21"/>
        </w:rPr>
        <w:t>合同起草、审批过程中，提供智能审批校验，按照设定的规则做相应的校验提醒</w:t>
      </w:r>
    </w:p>
    <w:p>
      <w:pPr>
        <w:pStyle w:val="120"/>
        <w:numPr>
          <w:ilvl w:val="0"/>
          <w:numId w:val="10"/>
        </w:numPr>
        <w:autoSpaceDE w:val="0"/>
        <w:autoSpaceDN w:val="0"/>
        <w:adjustRightInd w:val="0"/>
        <w:ind w:firstLine="420"/>
        <w:rPr>
          <w:rFonts w:ascii="宋体" w:hAnsi="宋体"/>
          <w:szCs w:val="21"/>
        </w:rPr>
      </w:pPr>
      <w:r>
        <w:rPr>
          <w:rFonts w:hint="eastAsia" w:ascii="宋体" w:hAnsi="宋体"/>
          <w:szCs w:val="21"/>
        </w:rPr>
        <w:t>提供合同范本的管理，便于合同拟稿人员高效拟稿</w:t>
      </w:r>
    </w:p>
    <w:p>
      <w:pPr>
        <w:pStyle w:val="120"/>
        <w:numPr>
          <w:ilvl w:val="0"/>
          <w:numId w:val="10"/>
        </w:numPr>
        <w:autoSpaceDE w:val="0"/>
        <w:autoSpaceDN w:val="0"/>
        <w:adjustRightInd w:val="0"/>
        <w:ind w:firstLine="420"/>
      </w:pPr>
      <w:r>
        <w:rPr>
          <w:rFonts w:hint="eastAsia" w:ascii="宋体" w:hAnsi="宋体"/>
          <w:szCs w:val="21"/>
        </w:rPr>
        <w:t>提供合同相对方的管理，包括客户、供应商、伙伴等多种类型的企业和个人</w:t>
      </w:r>
    </w:p>
    <w:p>
      <w:pPr>
        <w:pStyle w:val="5"/>
        <w:numPr>
          <w:ilvl w:val="2"/>
          <w:numId w:val="4"/>
        </w:numPr>
      </w:pPr>
      <w:r>
        <w:rPr>
          <w:rFonts w:hint="eastAsia"/>
        </w:rPr>
        <w:t>车辆管理</w:t>
      </w:r>
    </w:p>
    <w:p>
      <w:pPr>
        <w:pStyle w:val="120"/>
        <w:numPr>
          <w:ilvl w:val="0"/>
          <w:numId w:val="11"/>
        </w:numPr>
        <w:ind w:firstLine="420"/>
        <w:rPr>
          <w:rFonts w:ascii="宋体" w:hAnsi="宋体"/>
          <w:szCs w:val="21"/>
        </w:rPr>
      </w:pPr>
      <w:r>
        <w:rPr>
          <w:rFonts w:hint="eastAsia" w:ascii="宋体" w:hAnsi="宋体"/>
          <w:szCs w:val="21"/>
        </w:rPr>
        <w:t>实现对公司内部公用车辆的统一管理，包括车辆信息登记、车辆保养/保险/违章信息维护、车辆状态跟进、历史用车情况查询、车辆保险日期提醒等功能</w:t>
      </w:r>
    </w:p>
    <w:p>
      <w:pPr>
        <w:pStyle w:val="120"/>
        <w:numPr>
          <w:ilvl w:val="0"/>
          <w:numId w:val="11"/>
        </w:numPr>
        <w:autoSpaceDE w:val="0"/>
        <w:autoSpaceDN w:val="0"/>
        <w:adjustRightInd w:val="0"/>
        <w:ind w:firstLine="420"/>
        <w:rPr>
          <w:rFonts w:ascii="宋体" w:hAnsi="宋体"/>
          <w:szCs w:val="21"/>
        </w:rPr>
      </w:pPr>
      <w:r>
        <w:rPr>
          <w:rFonts w:hint="eastAsia" w:ascii="宋体" w:hAnsi="宋体"/>
          <w:szCs w:val="21"/>
        </w:rPr>
        <w:t>根据用车申请统一进行车辆调度，合理的安排出车资源，以避免造成不必要的浪费。车辆调度时，填写车辆的出车时间、用车人、具体行驶路线等信息</w:t>
      </w:r>
    </w:p>
    <w:p>
      <w:pPr>
        <w:pStyle w:val="120"/>
        <w:numPr>
          <w:ilvl w:val="0"/>
          <w:numId w:val="11"/>
        </w:numPr>
        <w:autoSpaceDE w:val="0"/>
        <w:autoSpaceDN w:val="0"/>
        <w:adjustRightInd w:val="0"/>
        <w:ind w:firstLine="420"/>
        <w:rPr>
          <w:rFonts w:ascii="宋体" w:hAnsi="宋体"/>
          <w:szCs w:val="21"/>
        </w:rPr>
      </w:pPr>
      <w:r>
        <w:rPr>
          <w:rFonts w:hint="eastAsia" w:ascii="宋体" w:hAnsi="宋体"/>
          <w:szCs w:val="21"/>
        </w:rPr>
        <w:t>用车完成后，由回车登记员进行回车登记，记录回车时间、出车时产生的费用等资料</w:t>
      </w:r>
    </w:p>
    <w:p>
      <w:pPr>
        <w:pStyle w:val="5"/>
        <w:numPr>
          <w:ilvl w:val="2"/>
          <w:numId w:val="4"/>
        </w:numPr>
      </w:pPr>
      <w:r>
        <w:rPr>
          <w:rFonts w:hint="eastAsia"/>
        </w:rPr>
        <w:t>会议管理</w:t>
      </w:r>
    </w:p>
    <w:p>
      <w:pPr>
        <w:pStyle w:val="120"/>
        <w:numPr>
          <w:ilvl w:val="0"/>
          <w:numId w:val="12"/>
        </w:numPr>
        <w:autoSpaceDE w:val="0"/>
        <w:autoSpaceDN w:val="0"/>
        <w:adjustRightInd w:val="0"/>
        <w:ind w:firstLine="420"/>
        <w:rPr>
          <w:rFonts w:ascii="宋体" w:hAnsi="宋体"/>
          <w:szCs w:val="21"/>
        </w:rPr>
      </w:pPr>
      <w:r>
        <w:rPr>
          <w:rFonts w:hint="eastAsia" w:ascii="宋体" w:hAnsi="宋体"/>
          <w:szCs w:val="21"/>
        </w:rPr>
        <w:t>支持会议室的在线预定，可以在线查看会议室占用情况</w:t>
      </w:r>
    </w:p>
    <w:p>
      <w:pPr>
        <w:pStyle w:val="120"/>
        <w:numPr>
          <w:ilvl w:val="0"/>
          <w:numId w:val="12"/>
        </w:numPr>
        <w:autoSpaceDE w:val="0"/>
        <w:autoSpaceDN w:val="0"/>
        <w:adjustRightInd w:val="0"/>
        <w:ind w:firstLine="420"/>
        <w:rPr>
          <w:rFonts w:ascii="宋体" w:hAnsi="宋体"/>
          <w:szCs w:val="21"/>
        </w:rPr>
      </w:pPr>
      <w:r>
        <w:rPr>
          <w:rFonts w:hint="eastAsia" w:ascii="宋体" w:hAnsi="宋体"/>
          <w:szCs w:val="21"/>
        </w:rPr>
        <w:t>实现对会议室信息的维护和管理，可以设置会议室的使用范围；每个会议室可以单独设置座席，座席设置都是通过图形化拖拉拽的方式实现；座席设置可以引用座席模板后再微调，也可以单独设置座席</w:t>
      </w:r>
    </w:p>
    <w:p>
      <w:pPr>
        <w:pStyle w:val="120"/>
        <w:numPr>
          <w:ilvl w:val="0"/>
          <w:numId w:val="12"/>
        </w:numPr>
        <w:autoSpaceDE w:val="0"/>
        <w:autoSpaceDN w:val="0"/>
        <w:adjustRightInd w:val="0"/>
        <w:ind w:firstLine="420"/>
        <w:rPr>
          <w:rFonts w:ascii="宋体" w:hAnsi="宋体"/>
          <w:szCs w:val="21"/>
        </w:rPr>
      </w:pPr>
      <w:r>
        <w:rPr>
          <w:rFonts w:hint="eastAsia" w:ascii="宋体" w:hAnsi="宋体"/>
          <w:szCs w:val="21"/>
        </w:rPr>
        <w:t>会议召集人发起对会议的通知流程，实现对参会人的会议提醒功能，并形成会议日程。提醒方式支持PC端和移动端的提醒。</w:t>
      </w:r>
    </w:p>
    <w:p>
      <w:pPr>
        <w:pStyle w:val="120"/>
        <w:numPr>
          <w:ilvl w:val="0"/>
          <w:numId w:val="12"/>
        </w:numPr>
        <w:autoSpaceDE w:val="0"/>
        <w:autoSpaceDN w:val="0"/>
        <w:adjustRightInd w:val="0"/>
        <w:ind w:firstLine="420"/>
        <w:rPr>
          <w:rFonts w:ascii="宋体" w:hAnsi="宋体"/>
          <w:szCs w:val="21"/>
        </w:rPr>
      </w:pPr>
      <w:r>
        <w:rPr>
          <w:rFonts w:hint="eastAsia" w:ascii="宋体" w:hAnsi="宋体"/>
          <w:szCs w:val="21"/>
        </w:rPr>
        <w:t>参会人收到会议通知后，可以针对会议进行回执，会议召集人可以查看参会回执情况及统计。</w:t>
      </w:r>
    </w:p>
    <w:p>
      <w:pPr>
        <w:pStyle w:val="120"/>
        <w:numPr>
          <w:ilvl w:val="0"/>
          <w:numId w:val="12"/>
        </w:numPr>
        <w:autoSpaceDE w:val="0"/>
        <w:autoSpaceDN w:val="0"/>
        <w:adjustRightInd w:val="0"/>
        <w:ind w:firstLine="420"/>
        <w:rPr>
          <w:rFonts w:ascii="宋体" w:hAnsi="宋体"/>
          <w:szCs w:val="21"/>
        </w:rPr>
      </w:pPr>
      <w:r>
        <w:rPr>
          <w:rFonts w:hint="eastAsia" w:ascii="宋体" w:hAnsi="宋体"/>
          <w:szCs w:val="21"/>
        </w:rPr>
        <w:t>发起会议通知后可生成会议二维码，参会人在现场可以扫描二维码进行签到，实现对会议签到的统计。</w:t>
      </w:r>
    </w:p>
    <w:p>
      <w:pPr>
        <w:pStyle w:val="120"/>
        <w:numPr>
          <w:ilvl w:val="0"/>
          <w:numId w:val="12"/>
        </w:numPr>
        <w:autoSpaceDE w:val="0"/>
        <w:autoSpaceDN w:val="0"/>
        <w:adjustRightInd w:val="0"/>
        <w:ind w:firstLine="420"/>
        <w:rPr>
          <w:rFonts w:ascii="宋体" w:hAnsi="宋体"/>
          <w:szCs w:val="21"/>
        </w:rPr>
      </w:pPr>
      <w:r>
        <w:rPr>
          <w:rFonts w:hint="eastAsia" w:ascii="宋体" w:hAnsi="宋体"/>
          <w:szCs w:val="21"/>
        </w:rPr>
        <w:t>提供会议工作台，可以快速便捷做会议安排、查询个人会议统计数据，可以查看个人本月、本年的会议统计数据以及个人的会议趋势统计</w:t>
      </w:r>
    </w:p>
    <w:p>
      <w:pPr>
        <w:pStyle w:val="5"/>
        <w:numPr>
          <w:ilvl w:val="2"/>
          <w:numId w:val="4"/>
        </w:numPr>
      </w:pPr>
      <w:r>
        <w:rPr>
          <w:rFonts w:hint="eastAsia"/>
        </w:rPr>
        <w:t>督办管理</w:t>
      </w:r>
    </w:p>
    <w:p>
      <w:pPr>
        <w:pStyle w:val="120"/>
        <w:numPr>
          <w:ilvl w:val="0"/>
          <w:numId w:val="13"/>
        </w:numPr>
        <w:autoSpaceDE w:val="0"/>
        <w:autoSpaceDN w:val="0"/>
        <w:adjustRightInd w:val="0"/>
        <w:ind w:firstLine="420"/>
        <w:rPr>
          <w:rFonts w:ascii="宋体" w:hAnsi="宋体"/>
          <w:szCs w:val="21"/>
        </w:rPr>
      </w:pPr>
      <w:r>
        <w:rPr>
          <w:rFonts w:hint="eastAsia" w:ascii="宋体" w:hAnsi="宋体"/>
          <w:szCs w:val="21"/>
        </w:rPr>
        <w:t>支持对督办任务的直接创建，同时支持从会议管理、公文管理等模块关联创建督办任务</w:t>
      </w:r>
    </w:p>
    <w:p>
      <w:pPr>
        <w:pStyle w:val="120"/>
        <w:numPr>
          <w:ilvl w:val="0"/>
          <w:numId w:val="13"/>
        </w:numPr>
        <w:autoSpaceDE w:val="0"/>
        <w:autoSpaceDN w:val="0"/>
        <w:adjustRightInd w:val="0"/>
        <w:ind w:firstLine="420"/>
        <w:rPr>
          <w:rFonts w:ascii="宋体" w:hAnsi="宋体"/>
          <w:szCs w:val="21"/>
        </w:rPr>
      </w:pPr>
      <w:r>
        <w:rPr>
          <w:rFonts w:hint="eastAsia" w:ascii="宋体" w:hAnsi="宋体"/>
          <w:szCs w:val="21"/>
        </w:rPr>
        <w:t>实现对督办工作单的定义，督办发起人可以选择具体的主办人和协办人、落实部门、开始时间、结束时间等信息，主办人和协办人收到任务后需要对任务进行反馈</w:t>
      </w:r>
    </w:p>
    <w:p>
      <w:pPr>
        <w:pStyle w:val="120"/>
        <w:numPr>
          <w:ilvl w:val="0"/>
          <w:numId w:val="13"/>
        </w:numPr>
        <w:autoSpaceDE w:val="0"/>
        <w:autoSpaceDN w:val="0"/>
        <w:adjustRightInd w:val="0"/>
        <w:ind w:firstLine="420"/>
        <w:rPr>
          <w:rFonts w:ascii="宋体" w:hAnsi="宋体"/>
          <w:szCs w:val="21"/>
        </w:rPr>
      </w:pPr>
      <w:r>
        <w:rPr>
          <w:rFonts w:hint="eastAsia" w:ascii="宋体" w:hAnsi="宋体"/>
          <w:szCs w:val="21"/>
        </w:rPr>
        <w:t>实现对任务状态的管理，包括开始前、正常推进中、即将超期、已超期、正常办结等多种状态</w:t>
      </w:r>
    </w:p>
    <w:p>
      <w:pPr>
        <w:pStyle w:val="120"/>
        <w:numPr>
          <w:ilvl w:val="0"/>
          <w:numId w:val="13"/>
        </w:numPr>
        <w:autoSpaceDE w:val="0"/>
        <w:autoSpaceDN w:val="0"/>
        <w:adjustRightInd w:val="0"/>
        <w:ind w:firstLine="420"/>
        <w:rPr>
          <w:rFonts w:ascii="宋体" w:hAnsi="宋体"/>
          <w:szCs w:val="21"/>
        </w:rPr>
      </w:pPr>
      <w:r>
        <w:rPr>
          <w:rFonts w:hint="eastAsia" w:ascii="宋体" w:hAnsi="宋体"/>
          <w:szCs w:val="21"/>
        </w:rPr>
        <w:t>对于领导关注的督办实现可以单独提醒查看和处理</w:t>
      </w:r>
    </w:p>
    <w:p>
      <w:pPr>
        <w:pStyle w:val="120"/>
        <w:numPr>
          <w:ilvl w:val="0"/>
          <w:numId w:val="13"/>
        </w:numPr>
        <w:autoSpaceDE w:val="0"/>
        <w:autoSpaceDN w:val="0"/>
        <w:adjustRightInd w:val="0"/>
        <w:ind w:firstLine="420"/>
        <w:rPr>
          <w:rFonts w:ascii="宋体" w:hAnsi="宋体"/>
          <w:szCs w:val="21"/>
        </w:rPr>
      </w:pPr>
      <w:r>
        <w:rPr>
          <w:rFonts w:hint="eastAsia" w:ascii="宋体" w:hAnsi="宋体"/>
          <w:szCs w:val="21"/>
        </w:rPr>
        <w:t>督办发起人可以查看到主办人和协办人的所有反馈记录情况</w:t>
      </w:r>
    </w:p>
    <w:p>
      <w:pPr>
        <w:pStyle w:val="5"/>
        <w:numPr>
          <w:ilvl w:val="2"/>
          <w:numId w:val="4"/>
        </w:numPr>
        <w:rPr>
          <w:rFonts w:hint="eastAsia"/>
        </w:rPr>
      </w:pPr>
      <w:r>
        <w:rPr>
          <w:rFonts w:hint="eastAsia"/>
        </w:rPr>
        <w:t>档案管理</w:t>
      </w:r>
    </w:p>
    <w:p>
      <w:pPr>
        <w:pStyle w:val="120"/>
        <w:numPr>
          <w:ilvl w:val="0"/>
          <w:numId w:val="14"/>
        </w:numPr>
        <w:autoSpaceDE w:val="0"/>
        <w:autoSpaceDN w:val="0"/>
        <w:adjustRightInd w:val="0"/>
        <w:ind w:firstLine="420"/>
        <w:rPr>
          <w:rFonts w:ascii="宋体" w:hAnsi="宋体"/>
          <w:szCs w:val="21"/>
        </w:rPr>
      </w:pPr>
      <w:r>
        <w:rPr>
          <w:rFonts w:hint="eastAsia" w:ascii="宋体" w:hAnsi="宋体"/>
          <w:szCs w:val="21"/>
        </w:rPr>
        <w:t>支持档案登记、借阅、鉴定、销毁等全生命周期管理；</w:t>
      </w:r>
    </w:p>
    <w:p>
      <w:pPr>
        <w:pStyle w:val="120"/>
        <w:numPr>
          <w:ilvl w:val="0"/>
          <w:numId w:val="14"/>
        </w:numPr>
        <w:autoSpaceDE w:val="0"/>
        <w:autoSpaceDN w:val="0"/>
        <w:adjustRightInd w:val="0"/>
        <w:ind w:firstLine="420"/>
        <w:rPr>
          <w:rFonts w:ascii="宋体" w:hAnsi="宋体"/>
          <w:szCs w:val="21"/>
        </w:rPr>
      </w:pPr>
      <w:r>
        <w:rPr>
          <w:rFonts w:hint="eastAsia" w:ascii="宋体" w:hAnsi="宋体"/>
          <w:szCs w:val="21"/>
        </w:rPr>
        <w:t>支持档案多种来源方式，包括直接录入档案，以及从从公文管理、流程管理、合同管理等模块直接归档操作</w:t>
      </w:r>
    </w:p>
    <w:p>
      <w:pPr>
        <w:pStyle w:val="120"/>
        <w:numPr>
          <w:ilvl w:val="0"/>
          <w:numId w:val="14"/>
        </w:numPr>
        <w:autoSpaceDE w:val="0"/>
        <w:autoSpaceDN w:val="0"/>
        <w:adjustRightInd w:val="0"/>
        <w:ind w:firstLine="420"/>
        <w:rPr>
          <w:rFonts w:ascii="宋体" w:hAnsi="宋体"/>
          <w:szCs w:val="21"/>
        </w:rPr>
      </w:pPr>
      <w:r>
        <w:rPr>
          <w:rFonts w:hint="eastAsia" w:ascii="宋体" w:hAnsi="宋体"/>
          <w:szCs w:val="21"/>
        </w:rPr>
        <w:t>支持对档案文件进行借阅、鉴定和销毁等管理操作。</w:t>
      </w:r>
    </w:p>
    <w:p>
      <w:pPr>
        <w:pStyle w:val="5"/>
        <w:numPr>
          <w:ilvl w:val="2"/>
          <w:numId w:val="4"/>
        </w:numPr>
        <w:rPr>
          <w:rFonts w:hint="eastAsia"/>
        </w:rPr>
      </w:pPr>
      <w:r>
        <w:rPr>
          <w:rFonts w:hint="eastAsia"/>
        </w:rPr>
        <w:t>知识管理</w:t>
      </w:r>
    </w:p>
    <w:p>
      <w:pPr>
        <w:pStyle w:val="120"/>
        <w:numPr>
          <w:ilvl w:val="0"/>
          <w:numId w:val="15"/>
        </w:numPr>
        <w:autoSpaceDE w:val="0"/>
        <w:autoSpaceDN w:val="0"/>
        <w:adjustRightInd w:val="0"/>
        <w:ind w:firstLine="420"/>
        <w:rPr>
          <w:rFonts w:ascii="宋体" w:hAnsi="宋体"/>
          <w:szCs w:val="21"/>
        </w:rPr>
      </w:pPr>
      <w:r>
        <w:rPr>
          <w:rFonts w:hint="eastAsia" w:ascii="宋体" w:hAnsi="宋体"/>
          <w:szCs w:val="21"/>
        </w:rPr>
        <w:t>支持多级知识目录结构，支持多种知识文档上传，且能在线直接预览，无需任何插件安装；</w:t>
      </w:r>
    </w:p>
    <w:p>
      <w:pPr>
        <w:pStyle w:val="120"/>
        <w:numPr>
          <w:ilvl w:val="0"/>
          <w:numId w:val="15"/>
        </w:numPr>
        <w:autoSpaceDE w:val="0"/>
        <w:autoSpaceDN w:val="0"/>
        <w:adjustRightInd w:val="0"/>
        <w:ind w:firstLine="420"/>
        <w:rPr>
          <w:rFonts w:ascii="宋体" w:hAnsi="宋体"/>
          <w:szCs w:val="21"/>
        </w:rPr>
      </w:pPr>
      <w:r>
        <w:rPr>
          <w:rFonts w:hint="eastAsia" w:ascii="宋体" w:hAnsi="宋体"/>
          <w:szCs w:val="21"/>
        </w:rPr>
        <w:t>不同类型的知识，支持不同属性的自定义配置。实现知识多维属性，方便用户查找知识，方便知识管理员统计各类属性的存储情况；</w:t>
      </w:r>
    </w:p>
    <w:p>
      <w:pPr>
        <w:pStyle w:val="120"/>
        <w:numPr>
          <w:ilvl w:val="0"/>
          <w:numId w:val="15"/>
        </w:numPr>
        <w:autoSpaceDE w:val="0"/>
        <w:autoSpaceDN w:val="0"/>
        <w:adjustRightInd w:val="0"/>
        <w:ind w:firstLine="420"/>
        <w:rPr>
          <w:rFonts w:ascii="宋体" w:hAnsi="宋体"/>
          <w:szCs w:val="21"/>
        </w:rPr>
      </w:pPr>
      <w:r>
        <w:rPr>
          <w:rFonts w:hint="eastAsia" w:ascii="宋体" w:hAnsi="宋体"/>
          <w:szCs w:val="21"/>
        </w:rPr>
        <w:t>支持细致的权限控制，针对文档提供可阅读、可编辑权限、可下载、可打印、可复制的权限等；</w:t>
      </w:r>
    </w:p>
    <w:p>
      <w:pPr>
        <w:pStyle w:val="120"/>
        <w:numPr>
          <w:ilvl w:val="0"/>
          <w:numId w:val="15"/>
        </w:numPr>
        <w:autoSpaceDE w:val="0"/>
        <w:autoSpaceDN w:val="0"/>
        <w:adjustRightInd w:val="0"/>
        <w:ind w:firstLine="420"/>
        <w:rPr>
          <w:rFonts w:ascii="宋体" w:hAnsi="宋体"/>
          <w:szCs w:val="21"/>
        </w:rPr>
      </w:pPr>
      <w:r>
        <w:rPr>
          <w:rFonts w:hint="eastAsia" w:ascii="宋体" w:hAnsi="宋体"/>
          <w:szCs w:val="21"/>
        </w:rPr>
        <w:t>支持多种样式的知识地图，将零散的知识组合成业务场景的知识，让员工使用的体验性更好、效率更高。还支持游戏闯关式的学习地图，提高学习的趣味性、积极性；</w:t>
      </w:r>
    </w:p>
    <w:p>
      <w:pPr>
        <w:pStyle w:val="120"/>
        <w:numPr>
          <w:ilvl w:val="0"/>
          <w:numId w:val="15"/>
        </w:numPr>
        <w:autoSpaceDE w:val="0"/>
        <w:autoSpaceDN w:val="0"/>
        <w:adjustRightInd w:val="0"/>
        <w:ind w:firstLine="420"/>
        <w:rPr>
          <w:rFonts w:ascii="宋体" w:hAnsi="宋体"/>
          <w:szCs w:val="21"/>
        </w:rPr>
      </w:pPr>
      <w:r>
        <w:rPr>
          <w:rFonts w:hint="eastAsia" w:ascii="宋体" w:hAnsi="宋体"/>
          <w:szCs w:val="21"/>
        </w:rPr>
        <w:t>提供点评、推荐、赞赏、知识标签等机制。</w:t>
      </w:r>
    </w:p>
    <w:p>
      <w:pPr>
        <w:pStyle w:val="5"/>
        <w:numPr>
          <w:ilvl w:val="2"/>
          <w:numId w:val="4"/>
        </w:numPr>
      </w:pPr>
      <w:r>
        <w:rPr>
          <w:rFonts w:hint="eastAsia"/>
        </w:rPr>
        <w:t>组织管理</w:t>
      </w:r>
    </w:p>
    <w:p>
      <w:pPr>
        <w:pStyle w:val="120"/>
        <w:numPr>
          <w:ilvl w:val="0"/>
          <w:numId w:val="16"/>
        </w:numPr>
        <w:autoSpaceDE w:val="0"/>
        <w:autoSpaceDN w:val="0"/>
        <w:adjustRightInd w:val="0"/>
        <w:ind w:firstLine="420"/>
        <w:rPr>
          <w:rFonts w:ascii="宋体" w:hAnsi="宋体"/>
          <w:szCs w:val="21"/>
        </w:rPr>
      </w:pPr>
      <w:r>
        <w:rPr>
          <w:rFonts w:hint="eastAsia" w:ascii="宋体" w:hAnsi="宋体"/>
          <w:szCs w:val="21"/>
        </w:rPr>
        <w:t>支持多组织应用，支持不同公司间数据、权限隔离</w:t>
      </w:r>
    </w:p>
    <w:p>
      <w:pPr>
        <w:pStyle w:val="120"/>
        <w:numPr>
          <w:ilvl w:val="0"/>
          <w:numId w:val="16"/>
        </w:numPr>
        <w:autoSpaceDE w:val="0"/>
        <w:autoSpaceDN w:val="0"/>
        <w:adjustRightInd w:val="0"/>
        <w:ind w:firstLine="420"/>
        <w:rPr>
          <w:rFonts w:ascii="宋体" w:hAnsi="宋体"/>
          <w:szCs w:val="21"/>
        </w:rPr>
      </w:pPr>
      <w:r>
        <w:rPr>
          <w:rFonts w:hint="eastAsia" w:ascii="宋体" w:hAnsi="宋体"/>
          <w:szCs w:val="21"/>
        </w:rPr>
        <w:t>支持一人多岗，人员离职或岗位变动时可以使用工作交接，批量替换流程节点中的人员和文档权限</w:t>
      </w:r>
    </w:p>
    <w:p>
      <w:pPr>
        <w:pStyle w:val="120"/>
        <w:numPr>
          <w:ilvl w:val="0"/>
          <w:numId w:val="16"/>
        </w:numPr>
        <w:autoSpaceDE w:val="0"/>
        <w:autoSpaceDN w:val="0"/>
        <w:adjustRightInd w:val="0"/>
        <w:ind w:firstLine="420"/>
        <w:rPr>
          <w:rFonts w:ascii="宋体" w:hAnsi="宋体"/>
          <w:szCs w:val="21"/>
        </w:rPr>
      </w:pPr>
      <w:r>
        <w:rPr>
          <w:rFonts w:hint="eastAsia" w:ascii="宋体" w:hAnsi="宋体"/>
          <w:szCs w:val="21"/>
        </w:rPr>
        <w:t>支持组织架构隐私设置，避免高层领导联系方式泄露</w:t>
      </w:r>
    </w:p>
    <w:p>
      <w:pPr>
        <w:pStyle w:val="120"/>
        <w:numPr>
          <w:ilvl w:val="0"/>
          <w:numId w:val="16"/>
        </w:numPr>
        <w:autoSpaceDE w:val="0"/>
        <w:autoSpaceDN w:val="0"/>
        <w:adjustRightInd w:val="0"/>
        <w:ind w:firstLine="420"/>
        <w:rPr>
          <w:rFonts w:ascii="宋体" w:hAnsi="宋体"/>
          <w:szCs w:val="21"/>
        </w:rPr>
      </w:pPr>
      <w:r>
        <w:rPr>
          <w:rFonts w:hint="eastAsia" w:ascii="宋体" w:hAnsi="宋体"/>
          <w:szCs w:val="21"/>
        </w:rPr>
        <w:t>提供价值链上下游组织管理，支持将外部用户等纳入到组织进行业务协同，保证内外权限安全隔离</w:t>
      </w:r>
    </w:p>
    <w:p>
      <w:pPr>
        <w:pStyle w:val="120"/>
        <w:numPr>
          <w:ilvl w:val="0"/>
          <w:numId w:val="16"/>
        </w:numPr>
        <w:autoSpaceDE w:val="0"/>
        <w:autoSpaceDN w:val="0"/>
        <w:adjustRightInd w:val="0"/>
        <w:ind w:firstLine="420"/>
        <w:rPr>
          <w:rFonts w:ascii="宋体" w:hAnsi="宋体"/>
          <w:szCs w:val="21"/>
        </w:rPr>
      </w:pPr>
      <w:r>
        <w:rPr>
          <w:rFonts w:hint="eastAsia" w:ascii="宋体" w:hAnsi="宋体"/>
          <w:szCs w:val="21"/>
        </w:rPr>
        <w:t>提供矩阵组织，将职能行政组织和横向的项目、任务的组织组合起来实现业务型的组织管理；提供矩阵组织的版本管理和分权分级管理</w:t>
      </w:r>
    </w:p>
    <w:p/>
    <w:p>
      <w:pPr>
        <w:pStyle w:val="5"/>
        <w:numPr>
          <w:ilvl w:val="2"/>
          <w:numId w:val="4"/>
        </w:numPr>
      </w:pPr>
      <w:r>
        <w:rPr>
          <w:rFonts w:hint="eastAsia"/>
        </w:rPr>
        <w:t>集成平台</w:t>
      </w:r>
    </w:p>
    <w:p>
      <w:pPr>
        <w:pStyle w:val="120"/>
        <w:numPr>
          <w:ilvl w:val="0"/>
          <w:numId w:val="17"/>
        </w:numPr>
        <w:autoSpaceDE w:val="0"/>
        <w:autoSpaceDN w:val="0"/>
        <w:adjustRightInd w:val="0"/>
        <w:ind w:firstLine="420"/>
        <w:rPr>
          <w:rFonts w:ascii="宋体" w:hAnsi="宋体"/>
          <w:szCs w:val="21"/>
        </w:rPr>
      </w:pPr>
      <w:r>
        <w:rPr>
          <w:rFonts w:hint="eastAsia" w:ascii="宋体" w:hAnsi="宋体"/>
          <w:szCs w:val="21"/>
        </w:rPr>
        <w:t>提供SAP、EAS、NC、U8、K3等常规业务组件，且不限于系统类型，只要满足SOAP、REST、JDBC等多种类型的接口接入，都通过配置的方式可以实现接口接入</w:t>
      </w:r>
    </w:p>
    <w:p>
      <w:pPr>
        <w:pStyle w:val="120"/>
        <w:numPr>
          <w:ilvl w:val="0"/>
          <w:numId w:val="17"/>
        </w:numPr>
        <w:autoSpaceDE w:val="0"/>
        <w:autoSpaceDN w:val="0"/>
        <w:adjustRightInd w:val="0"/>
        <w:ind w:firstLine="420"/>
        <w:rPr>
          <w:rFonts w:ascii="宋体" w:hAnsi="宋体"/>
          <w:szCs w:val="21"/>
        </w:rPr>
      </w:pPr>
      <w:r>
        <w:rPr>
          <w:rFonts w:hint="eastAsia" w:ascii="宋体" w:hAnsi="宋体"/>
          <w:szCs w:val="21"/>
        </w:rPr>
        <w:t>接入的第三方系统的接口可以用于前端调用、后端调用以及表单数据调用、流程事件调用等</w:t>
      </w:r>
    </w:p>
    <w:p>
      <w:pPr>
        <w:pStyle w:val="120"/>
        <w:numPr>
          <w:ilvl w:val="0"/>
          <w:numId w:val="17"/>
        </w:numPr>
        <w:autoSpaceDE w:val="0"/>
        <w:autoSpaceDN w:val="0"/>
        <w:adjustRightInd w:val="0"/>
        <w:ind w:firstLine="420"/>
        <w:rPr>
          <w:rFonts w:ascii="宋体" w:hAnsi="宋体"/>
          <w:szCs w:val="21"/>
        </w:rPr>
      </w:pPr>
      <w:r>
        <w:rPr>
          <w:rFonts w:hint="eastAsia" w:ascii="宋体" w:hAnsi="宋体"/>
          <w:szCs w:val="21"/>
        </w:rPr>
        <w:t>不同业务系统接入的接口，可以相互之间调用，比如，可以通过集成平台，让A系统调用B系统的接口</w:t>
      </w:r>
    </w:p>
    <w:p>
      <w:pPr>
        <w:pStyle w:val="120"/>
        <w:numPr>
          <w:ilvl w:val="0"/>
          <w:numId w:val="17"/>
        </w:numPr>
        <w:autoSpaceDE w:val="0"/>
        <w:autoSpaceDN w:val="0"/>
        <w:adjustRightInd w:val="0"/>
        <w:ind w:firstLine="420"/>
        <w:rPr>
          <w:rFonts w:ascii="宋体" w:hAnsi="宋体"/>
          <w:szCs w:val="21"/>
        </w:rPr>
      </w:pPr>
      <w:r>
        <w:rPr>
          <w:rFonts w:hint="eastAsia" w:ascii="宋体" w:hAnsi="宋体"/>
          <w:szCs w:val="21"/>
        </w:rPr>
        <w:t>支持通过定时任务，定时调用接入进来的第三方系统接口</w:t>
      </w:r>
    </w:p>
    <w:p>
      <w:pPr>
        <w:pStyle w:val="120"/>
        <w:numPr>
          <w:ilvl w:val="0"/>
          <w:numId w:val="17"/>
        </w:numPr>
        <w:autoSpaceDE w:val="0"/>
        <w:autoSpaceDN w:val="0"/>
        <w:adjustRightInd w:val="0"/>
        <w:ind w:firstLine="420"/>
      </w:pPr>
      <w:r>
        <w:rPr>
          <w:rFonts w:hint="eastAsia" w:ascii="宋体" w:hAnsi="宋体"/>
          <w:szCs w:val="21"/>
        </w:rPr>
        <w:t>支持原系统已集成的其它三方系统各项集成功能，包括：邮件、财务、项目管理、运维平台等系统</w:t>
      </w:r>
    </w:p>
    <w:p>
      <w:pPr>
        <w:pStyle w:val="5"/>
        <w:numPr>
          <w:ilvl w:val="2"/>
          <w:numId w:val="4"/>
        </w:numPr>
      </w:pPr>
      <w:r>
        <w:rPr>
          <w:rFonts w:hint="eastAsia"/>
        </w:rPr>
        <w:t>移动办公</w:t>
      </w:r>
    </w:p>
    <w:p>
      <w:pPr>
        <w:pStyle w:val="120"/>
        <w:numPr>
          <w:ilvl w:val="0"/>
          <w:numId w:val="18"/>
        </w:numPr>
        <w:autoSpaceDE w:val="0"/>
        <w:autoSpaceDN w:val="0"/>
        <w:adjustRightInd w:val="0"/>
        <w:ind w:firstLine="420"/>
        <w:rPr>
          <w:rFonts w:ascii="宋体" w:hAnsi="宋体"/>
          <w:szCs w:val="21"/>
        </w:rPr>
      </w:pPr>
      <w:r>
        <w:rPr>
          <w:rFonts w:hint="eastAsia" w:ascii="宋体" w:hAnsi="宋体"/>
          <w:szCs w:val="21"/>
        </w:rPr>
        <w:t>系统支持手机、平板等移动端通过钉钉接入系统</w:t>
      </w:r>
    </w:p>
    <w:p>
      <w:pPr>
        <w:pStyle w:val="120"/>
        <w:numPr>
          <w:ilvl w:val="0"/>
          <w:numId w:val="18"/>
        </w:numPr>
        <w:autoSpaceDE w:val="0"/>
        <w:autoSpaceDN w:val="0"/>
        <w:adjustRightInd w:val="0"/>
        <w:ind w:firstLine="420"/>
        <w:rPr>
          <w:rFonts w:ascii="宋体" w:hAnsi="宋体"/>
          <w:szCs w:val="21"/>
        </w:rPr>
      </w:pPr>
      <w:r>
        <w:rPr>
          <w:rFonts w:hint="eastAsia" w:ascii="宋体" w:hAnsi="宋体"/>
          <w:szCs w:val="21"/>
        </w:rPr>
        <w:t>系统所有模块提供移动端操作界面，包括但不限于：流程管理、公文管理、合同管理、会议管理、车辆管理等等模块，均能通过钉钉完成相应业务操作</w:t>
      </w:r>
    </w:p>
    <w:p>
      <w:pPr>
        <w:pStyle w:val="120"/>
        <w:numPr>
          <w:ilvl w:val="0"/>
          <w:numId w:val="18"/>
        </w:numPr>
        <w:autoSpaceDE w:val="0"/>
        <w:autoSpaceDN w:val="0"/>
        <w:adjustRightInd w:val="0"/>
        <w:ind w:firstLine="420"/>
        <w:rPr>
          <w:rFonts w:ascii="宋体" w:hAnsi="宋体"/>
          <w:szCs w:val="21"/>
        </w:rPr>
      </w:pPr>
      <w:r>
        <w:rPr>
          <w:rFonts w:hint="eastAsia" w:ascii="宋体" w:hAnsi="宋体"/>
          <w:szCs w:val="21"/>
        </w:rPr>
        <w:t>可以将移动门户在钉钉移动端上展示；可以实现钉钉移动端工作消息提醒；可以在钉钉移动端发起流程、审批流程、查阅资料(不限于word、PDF、PPT等)等</w:t>
      </w:r>
    </w:p>
    <w:p>
      <w:pPr>
        <w:pStyle w:val="120"/>
        <w:numPr>
          <w:ilvl w:val="0"/>
          <w:numId w:val="18"/>
        </w:numPr>
        <w:autoSpaceDE w:val="0"/>
        <w:autoSpaceDN w:val="0"/>
        <w:adjustRightInd w:val="0"/>
        <w:ind w:firstLine="420"/>
        <w:rPr>
          <w:rFonts w:ascii="宋体" w:hAnsi="宋体"/>
          <w:szCs w:val="21"/>
        </w:rPr>
      </w:pPr>
      <w:r>
        <w:rPr>
          <w:rFonts w:hint="eastAsia" w:ascii="宋体" w:hAnsi="宋体"/>
          <w:szCs w:val="21"/>
        </w:rPr>
        <w:t>流程审批与钉钉即时通讯功能无缝连接，可以通过流程直接发起钉钉群聊，拉取相关人员进群，针对当前流程进行沟通交流，所有沟通记录与流程关联，后续通过流程可查看群聊信息，通过群聊信息可查看流程情况</w:t>
      </w:r>
      <w:bookmarkEnd w:id="795"/>
      <w:r>
        <w:rPr>
          <w:rFonts w:hint="eastAsia" w:ascii="宋体" w:hAnsi="宋体"/>
          <w:szCs w:val="21"/>
        </w:rPr>
        <w:t xml:space="preserve"> </w:t>
      </w:r>
    </w:p>
    <w:p>
      <w:pPr>
        <w:pStyle w:val="5"/>
        <w:numPr>
          <w:ilvl w:val="2"/>
          <w:numId w:val="4"/>
        </w:numPr>
      </w:pPr>
      <w:r>
        <w:rPr>
          <w:rFonts w:hint="eastAsia"/>
        </w:rPr>
        <w:t>低代码平台</w:t>
      </w:r>
    </w:p>
    <w:p>
      <w:pPr>
        <w:pStyle w:val="120"/>
        <w:numPr>
          <w:ilvl w:val="0"/>
          <w:numId w:val="17"/>
        </w:numPr>
        <w:autoSpaceDE w:val="0"/>
        <w:autoSpaceDN w:val="0"/>
        <w:adjustRightInd w:val="0"/>
        <w:ind w:firstLine="420"/>
        <w:rPr>
          <w:rFonts w:ascii="宋体" w:hAnsi="宋体"/>
          <w:szCs w:val="21"/>
        </w:rPr>
      </w:pPr>
      <w:r>
        <w:rPr>
          <w:rFonts w:hint="eastAsia" w:ascii="宋体" w:hAnsi="宋体"/>
          <w:szCs w:val="21"/>
        </w:rPr>
        <w:t>提供低代码平台，通过表单建模、流程建模、应用首页、应用列表、业务触发关系等多种能力，通过拖拉拽配置可以快速搭建应用</w:t>
      </w:r>
    </w:p>
    <w:p>
      <w:pPr>
        <w:pStyle w:val="120"/>
        <w:numPr>
          <w:ilvl w:val="0"/>
          <w:numId w:val="17"/>
        </w:numPr>
        <w:autoSpaceDE w:val="0"/>
        <w:autoSpaceDN w:val="0"/>
        <w:adjustRightInd w:val="0"/>
        <w:ind w:firstLine="420"/>
        <w:rPr>
          <w:rFonts w:ascii="宋体" w:hAnsi="宋体"/>
          <w:szCs w:val="21"/>
        </w:rPr>
      </w:pPr>
      <w:r>
        <w:rPr>
          <w:rFonts w:hint="eastAsia" w:ascii="宋体" w:hAnsi="宋体"/>
          <w:szCs w:val="21"/>
        </w:rPr>
        <w:t>PC端建模完成后，移动端建模可自动生成，如需调整，也可进行调整</w:t>
      </w:r>
    </w:p>
    <w:p>
      <w:pPr>
        <w:pStyle w:val="120"/>
        <w:numPr>
          <w:ilvl w:val="0"/>
          <w:numId w:val="17"/>
        </w:numPr>
        <w:autoSpaceDE w:val="0"/>
        <w:autoSpaceDN w:val="0"/>
        <w:adjustRightInd w:val="0"/>
        <w:ind w:firstLine="420"/>
        <w:rPr>
          <w:rFonts w:ascii="宋体" w:hAnsi="宋体"/>
          <w:szCs w:val="21"/>
        </w:rPr>
      </w:pPr>
      <w:r>
        <w:rPr>
          <w:rFonts w:hint="eastAsia" w:ascii="宋体" w:hAnsi="宋体"/>
          <w:szCs w:val="21"/>
        </w:rPr>
        <w:t>应用支持多种模式的数据呈现，包括列表模式、卡片模式、资源看板、日历模式、甘特图等多种展现形式</w:t>
      </w:r>
    </w:p>
    <w:p>
      <w:pPr>
        <w:pStyle w:val="120"/>
        <w:numPr>
          <w:ilvl w:val="0"/>
          <w:numId w:val="17"/>
        </w:numPr>
        <w:autoSpaceDE w:val="0"/>
        <w:autoSpaceDN w:val="0"/>
        <w:adjustRightInd w:val="0"/>
        <w:ind w:firstLine="420"/>
        <w:rPr>
          <w:rFonts w:ascii="宋体" w:hAnsi="宋体"/>
          <w:szCs w:val="21"/>
        </w:rPr>
      </w:pPr>
      <w:r>
        <w:rPr>
          <w:rFonts w:hint="eastAsia" w:ascii="宋体" w:hAnsi="宋体"/>
          <w:szCs w:val="21"/>
        </w:rPr>
        <w:t>对于应用中内置的审批通知外，还可以自定义设置更多的通知机制</w:t>
      </w:r>
    </w:p>
    <w:p>
      <w:pPr>
        <w:pStyle w:val="120"/>
        <w:numPr>
          <w:ilvl w:val="0"/>
          <w:numId w:val="17"/>
        </w:numPr>
        <w:autoSpaceDE w:val="0"/>
        <w:autoSpaceDN w:val="0"/>
        <w:adjustRightInd w:val="0"/>
        <w:ind w:firstLine="420"/>
        <w:rPr>
          <w:rFonts w:ascii="宋体" w:hAnsi="宋体"/>
          <w:szCs w:val="21"/>
        </w:rPr>
      </w:pPr>
      <w:r>
        <w:rPr>
          <w:rFonts w:hint="eastAsia" w:ascii="宋体" w:hAnsi="宋体"/>
          <w:szCs w:val="21"/>
        </w:rPr>
        <w:t>支持应用导入导出，方便迁移和复用</w:t>
      </w:r>
    </w:p>
    <w:p>
      <w:pPr>
        <w:pStyle w:val="120"/>
        <w:autoSpaceDE w:val="0"/>
        <w:autoSpaceDN w:val="0"/>
        <w:adjustRightInd w:val="0"/>
        <w:ind w:left="420" w:leftChars="200" w:firstLine="0" w:firstLineChars="0"/>
        <w:rPr>
          <w:rFonts w:ascii="宋体" w:hAnsi="宋体"/>
          <w:szCs w:val="21"/>
        </w:rPr>
      </w:pPr>
    </w:p>
    <w:p/>
    <w:bookmarkEnd w:id="778"/>
    <w:bookmarkEnd w:id="779"/>
    <w:bookmarkEnd w:id="780"/>
    <w:bookmarkEnd w:id="781"/>
    <w:bookmarkEnd w:id="782"/>
    <w:bookmarkEnd w:id="783"/>
    <w:bookmarkEnd w:id="784"/>
    <w:p>
      <w:pPr>
        <w:pStyle w:val="3"/>
        <w:spacing w:before="0" w:after="0" w:line="360" w:lineRule="auto"/>
        <w:jc w:val="center"/>
        <w:rPr>
          <w:rFonts w:ascii="宋体" w:hAnsi="宋体" w:cs="宋体"/>
          <w:highlight w:val="yellow"/>
        </w:rPr>
      </w:pPr>
      <w:bookmarkStart w:id="799" w:name="_Toc514858708"/>
      <w:bookmarkStart w:id="800" w:name="_Toc514430114"/>
      <w:bookmarkStart w:id="801" w:name="_Toc2000412"/>
      <w:bookmarkStart w:id="802" w:name="_Toc246997098"/>
      <w:bookmarkStart w:id="803" w:name="_Toc144974856"/>
      <w:bookmarkStart w:id="804" w:name="_Toc152042576"/>
      <w:bookmarkStart w:id="805" w:name="_Toc507320039"/>
      <w:bookmarkStart w:id="806" w:name="_Toc152045787"/>
      <w:bookmarkStart w:id="807" w:name="_Toc179632807"/>
      <w:bookmarkStart w:id="808" w:name="_Toc247085873"/>
      <w:bookmarkStart w:id="809" w:name="_Toc246996355"/>
      <w:r>
        <w:rPr>
          <w:rFonts w:hint="eastAsia" w:ascii="宋体" w:hAnsi="宋体" w:cs="宋体"/>
        </w:rPr>
        <w:br w:type="page"/>
      </w:r>
      <w:bookmarkEnd w:id="799"/>
      <w:bookmarkEnd w:id="800"/>
      <w:bookmarkEnd w:id="801"/>
    </w:p>
    <w:p>
      <w:pPr>
        <w:pStyle w:val="3"/>
        <w:numPr>
          <w:ilvl w:val="0"/>
          <w:numId w:val="3"/>
        </w:numPr>
        <w:spacing w:before="0" w:after="0" w:line="360" w:lineRule="auto"/>
        <w:jc w:val="center"/>
      </w:pPr>
      <w:r>
        <w:rPr>
          <w:rFonts w:hint="eastAsia" w:ascii="宋体" w:hAnsi="宋体" w:cs="宋体"/>
        </w:rPr>
        <w:t xml:space="preserve"> 合同范本</w:t>
      </w:r>
    </w:p>
    <w:p>
      <w:pPr>
        <w:pStyle w:val="6"/>
      </w:pPr>
    </w:p>
    <w:p>
      <w:pPr>
        <w:spacing w:line="500" w:lineRule="exact"/>
        <w:jc w:val="center"/>
        <w:rPr>
          <w:b/>
          <w:sz w:val="44"/>
          <w:szCs w:val="44"/>
        </w:rPr>
      </w:pPr>
    </w:p>
    <w:p>
      <w:pPr>
        <w:jc w:val="center"/>
        <w:rPr>
          <w:rFonts w:ascii="宋体" w:hAnsi="宋体"/>
          <w:b/>
          <w:sz w:val="36"/>
          <w:szCs w:val="36"/>
        </w:rPr>
      </w:pPr>
      <w:r>
        <w:rPr>
          <w:rFonts w:hint="eastAsia"/>
          <w:b/>
          <w:sz w:val="44"/>
          <w:szCs w:val="44"/>
        </w:rPr>
        <w:t>重庆高速集团综合办公系统国产软件适配升级服务采购合同</w:t>
      </w:r>
    </w:p>
    <w:p>
      <w:pPr>
        <w:rPr>
          <w:rFonts w:ascii="宋体" w:hAnsi="宋体"/>
          <w:b/>
          <w:sz w:val="36"/>
          <w:szCs w:val="36"/>
        </w:rPr>
      </w:pPr>
    </w:p>
    <w:p>
      <w:pPr>
        <w:jc w:val="right"/>
        <w:rPr>
          <w:rFonts w:ascii="仿宋" w:hAnsi="仿宋" w:eastAsia="仿宋" w:cs="仿宋"/>
          <w:b/>
          <w:sz w:val="36"/>
          <w:szCs w:val="36"/>
        </w:rPr>
      </w:pPr>
    </w:p>
    <w:p>
      <w:pPr>
        <w:jc w:val="center"/>
        <w:rPr>
          <w:rFonts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2718" w:firstLineChars="967"/>
        <w:rPr>
          <w:rFonts w:ascii="仿宋" w:hAnsi="仿宋" w:eastAsia="仿宋" w:cs="仿宋"/>
          <w:b/>
          <w:sz w:val="84"/>
          <w:szCs w:val="84"/>
        </w:rPr>
      </w:pPr>
      <w:r>
        <w:rPr>
          <w:rFonts w:hint="eastAsia" w:ascii="仿宋" w:hAnsi="仿宋" w:eastAsia="仿宋" w:cs="仿宋"/>
          <w:b/>
          <w:sz w:val="28"/>
        </w:rPr>
        <w:t xml:space="preserve">合同编号：               </w:t>
      </w:r>
    </w:p>
    <w:p>
      <w:pPr>
        <w:jc w:val="center"/>
        <w:rPr>
          <w:rFonts w:ascii="仿宋" w:hAnsi="仿宋" w:eastAsia="仿宋" w:cs="仿宋"/>
          <w:b/>
          <w:sz w:val="84"/>
          <w:szCs w:val="84"/>
        </w:rPr>
      </w:pPr>
    </w:p>
    <w:p>
      <w:pP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rPr>
          <w:rFonts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rPr>
        <w:t xml:space="preserve">                   公司</w:t>
      </w:r>
    </w:p>
    <w:p>
      <w:pPr>
        <w:pStyle w:val="34"/>
        <w:tabs>
          <w:tab w:val="right" w:leader="dot" w:pos="8296"/>
        </w:tabs>
        <w:jc w:val="center"/>
        <w:rPr>
          <w:rFonts w:ascii="仿宋" w:hAnsi="仿宋" w:eastAsia="仿宋" w:cs="仿宋"/>
          <w:smallCaps w:val="0"/>
          <w:kern w:val="0"/>
          <w:sz w:val="24"/>
        </w:rPr>
      </w:pPr>
    </w:p>
    <w:p/>
    <w:p>
      <w:pPr>
        <w:pStyle w:val="34"/>
        <w:tabs>
          <w:tab w:val="right" w:leader="dot" w:pos="8296"/>
        </w:tabs>
        <w:jc w:val="center"/>
        <w:rPr>
          <w:rFonts w:ascii="仿宋" w:hAnsi="仿宋" w:eastAsia="仿宋" w:cs="仿宋"/>
          <w:smallCaps w:val="0"/>
          <w:kern w:val="0"/>
          <w:sz w:val="24"/>
        </w:rPr>
      </w:pPr>
      <w:r>
        <w:rPr>
          <w:rFonts w:hint="eastAsia" w:ascii="仿宋" w:hAnsi="仿宋" w:eastAsia="仿宋" w:cs="仿宋"/>
          <w:smallCaps w:val="0"/>
          <w:kern w:val="0"/>
          <w:sz w:val="24"/>
        </w:rPr>
        <w:t>目     录</w:t>
      </w:r>
    </w:p>
    <w:p>
      <w:pPr>
        <w:pStyle w:val="34"/>
        <w:tabs>
          <w:tab w:val="right" w:leader="dot" w:pos="8296"/>
        </w:tabs>
        <w:rPr>
          <w:rFonts w:ascii="仿宋" w:hAnsi="仿宋" w:eastAsia="仿宋" w:cs="仿宋"/>
          <w:smallCaps w:val="0"/>
          <w:kern w:val="0"/>
          <w:sz w:val="24"/>
        </w:rPr>
      </w:pPr>
      <w:r>
        <w:rPr>
          <w:rFonts w:hint="eastAsia" w:ascii="仿宋" w:hAnsi="仿宋" w:eastAsia="仿宋" w:cs="仿宋"/>
          <w:smallCaps w:val="0"/>
          <w:kern w:val="0"/>
          <w:sz w:val="24"/>
        </w:rPr>
        <w:fldChar w:fldCharType="begin"/>
      </w:r>
      <w:r>
        <w:rPr>
          <w:rFonts w:hint="eastAsia" w:ascii="仿宋" w:hAnsi="仿宋" w:eastAsia="仿宋" w:cs="仿宋"/>
          <w:smallCaps w:val="0"/>
          <w:kern w:val="0"/>
          <w:sz w:val="24"/>
        </w:rPr>
        <w:instrText xml:space="preserve"> TOC \o "1-3" \h \z </w:instrText>
      </w:r>
      <w:r>
        <w:rPr>
          <w:rFonts w:hint="eastAsia" w:ascii="仿宋" w:hAnsi="仿宋" w:eastAsia="仿宋" w:cs="仿宋"/>
          <w:smallCaps w:val="0"/>
          <w:kern w:val="0"/>
          <w:sz w:val="24"/>
        </w:rPr>
        <w:fldChar w:fldCharType="separate"/>
      </w:r>
      <w:r>
        <w:fldChar w:fldCharType="begin"/>
      </w:r>
      <w:r>
        <w:instrText xml:space="preserve"> HYPERLINK \l "_Toc513647839" </w:instrText>
      </w:r>
      <w:r>
        <w:fldChar w:fldCharType="separate"/>
      </w:r>
      <w:r>
        <w:rPr>
          <w:rStyle w:val="49"/>
          <w:rFonts w:hint="eastAsia" w:ascii="仿宋" w:hAnsi="仿宋" w:eastAsia="仿宋" w:cs="仿宋"/>
          <w:smallCaps w:val="0"/>
          <w:color w:val="auto"/>
          <w:kern w:val="0"/>
          <w:sz w:val="24"/>
        </w:rPr>
        <w:t xml:space="preserve">第1条 </w:t>
      </w:r>
      <w:r>
        <w:rPr>
          <w:rStyle w:val="49"/>
          <w:rFonts w:ascii="仿宋" w:hAnsi="仿宋" w:eastAsia="仿宋" w:cs="仿宋"/>
          <w:smallCaps w:val="0"/>
          <w:color w:val="auto"/>
          <w:kern w:val="0"/>
          <w:sz w:val="24"/>
        </w:rPr>
        <w:t>定义</w:t>
      </w:r>
      <w:r>
        <w:rPr>
          <w:rFonts w:hint="eastAsia" w:ascii="仿宋" w:hAnsi="仿宋" w:eastAsia="仿宋" w:cs="仿宋"/>
          <w:smallCaps w:val="0"/>
          <w:kern w:val="0"/>
          <w:sz w:val="24"/>
        </w:rPr>
        <w:tab/>
      </w:r>
      <w:r>
        <w:rPr>
          <w:rFonts w:hint="eastAsia" w:ascii="仿宋" w:hAnsi="仿宋" w:eastAsia="仿宋" w:cs="仿宋"/>
          <w:smallCaps w:val="0"/>
          <w:kern w:val="0"/>
          <w:sz w:val="24"/>
        </w:rPr>
        <w:t>3</w:t>
      </w:r>
      <w:r>
        <w:rPr>
          <w:rFonts w:hint="eastAsia" w:ascii="仿宋" w:hAnsi="仿宋" w:eastAsia="仿宋" w:cs="仿宋"/>
          <w:smallCaps w:val="0"/>
          <w:kern w:val="0"/>
          <w:sz w:val="24"/>
        </w:rPr>
        <w:fldChar w:fldCharType="end"/>
      </w:r>
    </w:p>
    <w:p>
      <w:pPr>
        <w:pStyle w:val="34"/>
        <w:tabs>
          <w:tab w:val="right" w:leader="dot" w:pos="8296"/>
        </w:tabs>
        <w:rPr>
          <w:rFonts w:ascii="仿宋" w:hAnsi="仿宋" w:eastAsia="仿宋" w:cs="仿宋"/>
          <w:smallCaps w:val="0"/>
          <w:kern w:val="0"/>
          <w:sz w:val="24"/>
        </w:rPr>
      </w:pPr>
      <w:r>
        <w:fldChar w:fldCharType="begin"/>
      </w:r>
      <w:r>
        <w:instrText xml:space="preserve"> HYPERLINK \l "_Toc513647842" </w:instrText>
      </w:r>
      <w:r>
        <w:fldChar w:fldCharType="separate"/>
      </w:r>
      <w:r>
        <w:rPr>
          <w:rStyle w:val="49"/>
          <w:rFonts w:hint="eastAsia" w:ascii="仿宋" w:hAnsi="仿宋" w:eastAsia="仿宋" w:cs="仿宋"/>
          <w:smallCaps w:val="0"/>
          <w:color w:val="auto"/>
          <w:kern w:val="0"/>
          <w:sz w:val="24"/>
        </w:rPr>
        <w:t xml:space="preserve">第2条 </w:t>
      </w:r>
      <w:r>
        <w:rPr>
          <w:rStyle w:val="49"/>
          <w:rFonts w:ascii="仿宋" w:hAnsi="仿宋" w:eastAsia="仿宋" w:cs="仿宋"/>
          <w:smallCaps w:val="0"/>
          <w:color w:val="auto"/>
          <w:kern w:val="0"/>
          <w:sz w:val="24"/>
        </w:rPr>
        <w:t>开发软件描述</w:t>
      </w:r>
      <w:r>
        <w:rPr>
          <w:rStyle w:val="49"/>
          <w:rFonts w:hint="eastAsia" w:ascii="仿宋" w:hAnsi="仿宋" w:eastAsia="仿宋" w:cs="仿宋"/>
          <w:smallCaps w:val="0"/>
          <w:color w:val="auto"/>
          <w:kern w:val="0"/>
          <w:sz w:val="24"/>
        </w:rPr>
        <w:t>及清单</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4</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"_Toc513647845" </w:instrText>
      </w:r>
      <w:r>
        <w:fldChar w:fldCharType="separate"/>
      </w:r>
      <w:r>
        <w:rPr>
          <w:rStyle w:val="49"/>
          <w:rFonts w:hint="eastAsia" w:ascii="仿宋" w:hAnsi="仿宋" w:eastAsia="仿宋" w:cs="仿宋"/>
          <w:smallCaps w:val="0"/>
          <w:color w:val="auto"/>
          <w:kern w:val="0"/>
          <w:sz w:val="24"/>
        </w:rPr>
        <w:t xml:space="preserve">第3条 </w:t>
      </w:r>
      <w:r>
        <w:rPr>
          <w:rStyle w:val="49"/>
          <w:rFonts w:ascii="仿宋" w:hAnsi="仿宋" w:eastAsia="仿宋" w:cs="仿宋"/>
          <w:smallCaps w:val="0"/>
          <w:color w:val="auto"/>
          <w:kern w:val="0"/>
          <w:sz w:val="24"/>
        </w:rPr>
        <w:t>软件开发</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4</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"_Toc513647848" </w:instrText>
      </w:r>
      <w:r>
        <w:fldChar w:fldCharType="separate"/>
      </w:r>
      <w:r>
        <w:rPr>
          <w:rStyle w:val="49"/>
          <w:rFonts w:hint="eastAsia" w:ascii="仿宋" w:hAnsi="仿宋" w:eastAsia="仿宋" w:cs="仿宋"/>
          <w:smallCaps w:val="0"/>
          <w:color w:val="auto"/>
          <w:kern w:val="0"/>
          <w:sz w:val="24"/>
        </w:rPr>
        <w:t xml:space="preserve">第4条 </w:t>
      </w:r>
      <w:r>
        <w:rPr>
          <w:rStyle w:val="49"/>
          <w:rFonts w:ascii="仿宋" w:hAnsi="仿宋" w:eastAsia="仿宋" w:cs="仿宋"/>
          <w:smallCaps w:val="0"/>
          <w:color w:val="auto"/>
          <w:kern w:val="0"/>
          <w:sz w:val="24"/>
        </w:rPr>
        <w:t>项目变更</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6</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"_Toc513647852" </w:instrText>
      </w:r>
      <w:r>
        <w:fldChar w:fldCharType="separate"/>
      </w:r>
      <w:r>
        <w:rPr>
          <w:rStyle w:val="49"/>
          <w:rFonts w:hint="eastAsia" w:ascii="仿宋" w:hAnsi="仿宋" w:eastAsia="仿宋" w:cs="仿宋"/>
          <w:smallCaps w:val="0"/>
          <w:color w:val="auto"/>
          <w:kern w:val="0"/>
          <w:sz w:val="24"/>
        </w:rPr>
        <w:t xml:space="preserve">第5条 </w:t>
      </w:r>
      <w:r>
        <w:rPr>
          <w:rStyle w:val="49"/>
          <w:rFonts w:ascii="仿宋" w:hAnsi="仿宋" w:eastAsia="仿宋" w:cs="仿宋"/>
          <w:smallCaps w:val="0"/>
          <w:color w:val="auto"/>
          <w:kern w:val="0"/>
          <w:sz w:val="24"/>
        </w:rPr>
        <w:t>交付、领受与验收</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6</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"_Toc513647857" </w:instrText>
      </w:r>
      <w:r>
        <w:fldChar w:fldCharType="separate"/>
      </w:r>
      <w:r>
        <w:rPr>
          <w:rStyle w:val="49"/>
          <w:rFonts w:hint="eastAsia" w:ascii="仿宋" w:hAnsi="仿宋" w:eastAsia="仿宋" w:cs="仿宋"/>
          <w:smallCaps w:val="0"/>
          <w:color w:val="auto"/>
          <w:kern w:val="0"/>
          <w:sz w:val="24"/>
        </w:rPr>
        <w:t xml:space="preserve">第6条 </w:t>
      </w:r>
      <w:r>
        <w:rPr>
          <w:rStyle w:val="49"/>
          <w:rFonts w:ascii="仿宋" w:hAnsi="仿宋" w:eastAsia="仿宋" w:cs="仿宋"/>
          <w:smallCaps w:val="0"/>
          <w:color w:val="auto"/>
          <w:kern w:val="0"/>
          <w:sz w:val="24"/>
        </w:rPr>
        <w:t>知识产权和使用权</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7</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"_Toc513647858" </w:instrText>
      </w:r>
      <w:r>
        <w:fldChar w:fldCharType="separate"/>
      </w:r>
      <w:r>
        <w:rPr>
          <w:rStyle w:val="49"/>
          <w:rFonts w:hint="eastAsia" w:ascii="仿宋" w:hAnsi="仿宋" w:eastAsia="仿宋" w:cs="仿宋"/>
          <w:smallCaps w:val="0"/>
          <w:color w:val="auto"/>
          <w:kern w:val="0"/>
          <w:sz w:val="24"/>
        </w:rPr>
        <w:t xml:space="preserve">第7条 </w:t>
      </w:r>
      <w:r>
        <w:rPr>
          <w:rStyle w:val="49"/>
          <w:rFonts w:ascii="仿宋" w:hAnsi="仿宋" w:eastAsia="仿宋" w:cs="仿宋"/>
          <w:smallCaps w:val="0"/>
          <w:color w:val="auto"/>
          <w:kern w:val="0"/>
          <w:sz w:val="24"/>
        </w:rPr>
        <w:t>维护和培训</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8</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"_Toc513647859" </w:instrText>
      </w:r>
      <w:r>
        <w:fldChar w:fldCharType="separate"/>
      </w:r>
      <w:r>
        <w:rPr>
          <w:rStyle w:val="49"/>
          <w:rFonts w:hint="eastAsia" w:ascii="仿宋" w:hAnsi="仿宋" w:eastAsia="仿宋" w:cs="仿宋"/>
          <w:smallCaps w:val="0"/>
          <w:color w:val="auto"/>
          <w:kern w:val="0"/>
          <w:sz w:val="24"/>
        </w:rPr>
        <w:t xml:space="preserve">第8条 </w:t>
      </w:r>
      <w:r>
        <w:rPr>
          <w:rStyle w:val="49"/>
          <w:rFonts w:ascii="仿宋" w:hAnsi="仿宋" w:eastAsia="仿宋" w:cs="仿宋"/>
          <w:smallCaps w:val="0"/>
          <w:color w:val="auto"/>
          <w:kern w:val="0"/>
          <w:sz w:val="24"/>
        </w:rPr>
        <w:t>价格与付款方式</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8</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"_Toc513647860" </w:instrText>
      </w:r>
      <w:r>
        <w:fldChar w:fldCharType="separate"/>
      </w:r>
      <w:r>
        <w:rPr>
          <w:rStyle w:val="49"/>
          <w:rFonts w:hint="eastAsia" w:ascii="仿宋" w:hAnsi="仿宋" w:eastAsia="仿宋" w:cs="仿宋"/>
          <w:smallCaps w:val="0"/>
          <w:color w:val="auto"/>
          <w:kern w:val="0"/>
          <w:sz w:val="24"/>
        </w:rPr>
        <w:t xml:space="preserve">第9条 </w:t>
      </w:r>
      <w:r>
        <w:rPr>
          <w:rStyle w:val="49"/>
          <w:rFonts w:ascii="仿宋" w:hAnsi="仿宋" w:eastAsia="仿宋" w:cs="仿宋"/>
          <w:smallCaps w:val="0"/>
          <w:color w:val="auto"/>
          <w:kern w:val="0"/>
          <w:sz w:val="24"/>
        </w:rPr>
        <w:t>保证与免责</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9</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"_Toc513647863" </w:instrText>
      </w:r>
      <w:r>
        <w:fldChar w:fldCharType="separate"/>
      </w:r>
      <w:r>
        <w:rPr>
          <w:rStyle w:val="49"/>
          <w:rFonts w:hint="eastAsia" w:ascii="仿宋" w:hAnsi="仿宋" w:eastAsia="仿宋" w:cs="仿宋"/>
          <w:smallCaps w:val="0"/>
          <w:color w:val="auto"/>
          <w:kern w:val="0"/>
          <w:sz w:val="24"/>
        </w:rPr>
        <w:t xml:space="preserve">第10条 </w:t>
      </w:r>
      <w:r>
        <w:rPr>
          <w:rStyle w:val="49"/>
          <w:rFonts w:ascii="仿宋" w:hAnsi="仿宋" w:eastAsia="仿宋" w:cs="仿宋"/>
          <w:smallCaps w:val="0"/>
          <w:color w:val="auto"/>
          <w:kern w:val="0"/>
          <w:sz w:val="24"/>
        </w:rPr>
        <w:t>保密</w:t>
      </w:r>
      <w:r>
        <w:rPr>
          <w:rFonts w:hint="eastAsia" w:ascii="仿宋" w:hAnsi="仿宋" w:eastAsia="仿宋" w:cs="仿宋"/>
          <w:smallCaps w:val="0"/>
          <w:kern w:val="0"/>
          <w:sz w:val="24"/>
        </w:rPr>
        <w:tab/>
      </w:r>
      <w:r>
        <w:rPr>
          <w:rFonts w:hint="eastAsia" w:ascii="仿宋" w:hAnsi="仿宋" w:eastAsia="仿宋" w:cs="仿宋"/>
          <w:smallCaps w:val="0"/>
          <w:kern w:val="0"/>
          <w:sz w:val="24"/>
        </w:rPr>
        <w:t>1</w:t>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1</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"_Toc513647864" </w:instrText>
      </w:r>
      <w:r>
        <w:fldChar w:fldCharType="separate"/>
      </w:r>
      <w:r>
        <w:rPr>
          <w:rStyle w:val="49"/>
          <w:rFonts w:hint="eastAsia" w:ascii="仿宋" w:hAnsi="仿宋" w:eastAsia="仿宋" w:cs="仿宋"/>
          <w:smallCaps w:val="0"/>
          <w:color w:val="auto"/>
          <w:kern w:val="0"/>
          <w:sz w:val="24"/>
        </w:rPr>
        <w:t xml:space="preserve">第11条 </w:t>
      </w:r>
      <w:r>
        <w:rPr>
          <w:rFonts w:hint="eastAsia" w:ascii="仿宋" w:hAnsi="仿宋" w:eastAsia="仿宋" w:cs="仿宋"/>
          <w:smallCaps w:val="0"/>
          <w:kern w:val="0"/>
          <w:sz w:val="24"/>
        </w:rPr>
        <w:t>违约与赔偿责任</w:t>
      </w:r>
      <w:r>
        <w:rPr>
          <w:rFonts w:hint="eastAsia" w:ascii="仿宋" w:hAnsi="仿宋" w:eastAsia="仿宋" w:cs="仿宋"/>
          <w:smallCaps w:val="0"/>
          <w:kern w:val="0"/>
          <w:sz w:val="24"/>
        </w:rPr>
        <w:tab/>
      </w:r>
      <w:r>
        <w:rPr>
          <w:rFonts w:hint="eastAsia" w:ascii="仿宋" w:hAnsi="仿宋" w:eastAsia="仿宋" w:cs="仿宋"/>
          <w:smallCaps w:val="0"/>
          <w:kern w:val="0"/>
          <w:sz w:val="24"/>
        </w:rPr>
        <w:t>1</w:t>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3</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"_Toc513647864" </w:instrText>
      </w:r>
      <w:r>
        <w:fldChar w:fldCharType="separate"/>
      </w:r>
      <w:r>
        <w:rPr>
          <w:rFonts w:hint="eastAsia" w:ascii="仿宋" w:hAnsi="仿宋" w:eastAsia="仿宋" w:cs="仿宋"/>
          <w:smallCaps w:val="0"/>
          <w:kern w:val="0"/>
          <w:sz w:val="24"/>
        </w:rPr>
        <w:t>第12条 综合条款</w:t>
      </w:r>
      <w:r>
        <w:rPr>
          <w:rFonts w:hint="eastAsia" w:ascii="仿宋" w:hAnsi="仿宋" w:eastAsia="仿宋" w:cs="仿宋"/>
          <w:smallCaps w:val="0"/>
          <w:kern w:val="0"/>
          <w:sz w:val="24"/>
        </w:rPr>
        <w:tab/>
      </w:r>
      <w:r>
        <w:rPr>
          <w:rFonts w:hint="eastAsia" w:ascii="仿宋" w:hAnsi="仿宋" w:eastAsia="仿宋" w:cs="仿宋"/>
          <w:smallCaps w:val="0"/>
          <w:kern w:val="0"/>
          <w:sz w:val="24"/>
        </w:rPr>
        <w:t>1</w:t>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4</w:t>
      </w:r>
    </w:p>
    <w:p>
      <w:pPr>
        <w:pStyle w:val="34"/>
        <w:tabs>
          <w:tab w:val="right" w:leader="dot" w:pos="8296"/>
        </w:tabs>
      </w:pPr>
      <w:r>
        <w:fldChar w:fldCharType="begin"/>
      </w:r>
      <w:r>
        <w:instrText xml:space="preserve"> HYPERLINK \l "_Toc513647865" </w:instrText>
      </w:r>
      <w:r>
        <w:fldChar w:fldCharType="separate"/>
      </w:r>
      <w:r>
        <w:rPr>
          <w:rFonts w:hint="eastAsia" w:ascii="仿宋" w:hAnsi="仿宋" w:eastAsia="仿宋" w:cs="仿宋"/>
          <w:smallCaps w:val="0"/>
          <w:kern w:val="0"/>
          <w:sz w:val="24"/>
        </w:rPr>
        <w:t>第13条</w:t>
      </w:r>
      <w:r>
        <w:rPr>
          <w:rStyle w:val="49"/>
          <w:rFonts w:hint="eastAsia" w:ascii="仿宋" w:hAnsi="仿宋" w:eastAsia="仿宋" w:cs="仿宋"/>
          <w:smallCaps w:val="0"/>
          <w:color w:val="auto"/>
          <w:kern w:val="0"/>
          <w:sz w:val="24"/>
        </w:rPr>
        <w:t xml:space="preserve"> </w:t>
      </w:r>
      <w:r>
        <w:rPr>
          <w:rStyle w:val="49"/>
          <w:rFonts w:ascii="仿宋" w:hAnsi="仿宋" w:eastAsia="仿宋" w:cs="仿宋"/>
          <w:smallCaps w:val="0"/>
          <w:color w:val="auto"/>
          <w:kern w:val="0"/>
          <w:sz w:val="24"/>
        </w:rPr>
        <w:t>争议解决</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15</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"_Toc513647865" </w:instrText>
      </w:r>
      <w:r>
        <w:fldChar w:fldCharType="separate"/>
      </w:r>
      <w:r>
        <w:rPr>
          <w:rFonts w:hint="eastAsia" w:ascii="仿宋" w:hAnsi="仿宋" w:eastAsia="仿宋" w:cs="仿宋"/>
          <w:smallCaps w:val="0"/>
          <w:kern w:val="0"/>
          <w:sz w:val="24"/>
        </w:rPr>
        <w:t>第</w:t>
      </w:r>
      <w:r>
        <w:rPr>
          <w:rStyle w:val="49"/>
          <w:rFonts w:hint="eastAsia" w:ascii="仿宋" w:hAnsi="仿宋" w:eastAsia="仿宋" w:cs="仿宋"/>
          <w:smallCaps w:val="0"/>
          <w:color w:val="auto"/>
          <w:kern w:val="0"/>
          <w:sz w:val="24"/>
        </w:rPr>
        <w:t xml:space="preserve">14条 </w:t>
      </w:r>
      <w:r>
        <w:rPr>
          <w:rStyle w:val="49"/>
          <w:rFonts w:ascii="仿宋" w:hAnsi="仿宋" w:eastAsia="仿宋" w:cs="仿宋"/>
          <w:smallCaps w:val="0"/>
          <w:color w:val="auto"/>
          <w:kern w:val="0"/>
          <w:sz w:val="24"/>
        </w:rPr>
        <w:t>通知</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15</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"_Toc513647866" </w:instrText>
      </w:r>
      <w:r>
        <w:fldChar w:fldCharType="separate"/>
      </w:r>
      <w:r>
        <w:rPr>
          <w:rStyle w:val="49"/>
          <w:rFonts w:hint="eastAsia" w:ascii="仿宋" w:hAnsi="仿宋" w:eastAsia="仿宋" w:cs="仿宋"/>
          <w:smallCaps w:val="0"/>
          <w:color w:val="auto"/>
          <w:kern w:val="0"/>
          <w:sz w:val="24"/>
        </w:rPr>
        <w:t xml:space="preserve">第15条 </w:t>
      </w:r>
      <w:r>
        <w:rPr>
          <w:rStyle w:val="49"/>
          <w:rFonts w:ascii="仿宋" w:hAnsi="仿宋" w:eastAsia="仿宋" w:cs="仿宋"/>
          <w:smallCaps w:val="0"/>
          <w:color w:val="auto"/>
          <w:kern w:val="0"/>
          <w:sz w:val="24"/>
        </w:rPr>
        <w:t>合同的生效、变更与终止</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15</w:t>
      </w:r>
    </w:p>
    <w:p>
      <w:pPr>
        <w:pStyle w:val="34"/>
        <w:tabs>
          <w:tab w:val="right" w:leader="dot" w:pos="8296"/>
        </w:tabs>
        <w:rPr>
          <w:rFonts w:ascii="仿宋" w:hAnsi="仿宋" w:eastAsia="仿宋" w:cs="仿宋"/>
          <w:smallCaps w:val="0"/>
          <w:kern w:val="0"/>
          <w:sz w:val="24"/>
        </w:rPr>
      </w:pPr>
      <w:r>
        <w:fldChar w:fldCharType="begin"/>
      </w:r>
      <w:r>
        <w:instrText xml:space="preserve"> HYPERLINK \l "_Toc513647866" </w:instrText>
      </w:r>
      <w:r>
        <w:fldChar w:fldCharType="separate"/>
      </w:r>
      <w:r>
        <w:rPr>
          <w:rFonts w:hint="eastAsia" w:ascii="仿宋" w:hAnsi="仿宋" w:eastAsia="仿宋" w:cs="仿宋"/>
          <w:smallCaps w:val="0"/>
          <w:kern w:val="0"/>
          <w:sz w:val="24"/>
        </w:rPr>
        <w:t>第16条 信用</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16</w:t>
      </w:r>
    </w:p>
    <w:p>
      <w:pPr>
        <w:pStyle w:val="34"/>
        <w:tabs>
          <w:tab w:val="right" w:leader="dot" w:pos="8296"/>
        </w:tabs>
        <w:ind w:left="0"/>
        <w:rPr>
          <w:rFonts w:ascii="仿宋" w:hAnsi="仿宋" w:eastAsia="仿宋" w:cs="仿宋"/>
          <w:smallCaps w:val="0"/>
          <w:kern w:val="0"/>
          <w:sz w:val="24"/>
        </w:rPr>
      </w:pPr>
      <w:r>
        <w:rPr>
          <w:rFonts w:hint="eastAsia" w:ascii="仿宋" w:hAnsi="仿宋" w:eastAsia="仿宋" w:cs="仿宋"/>
          <w:smallCaps w:val="0"/>
          <w:kern w:val="0"/>
          <w:sz w:val="24"/>
        </w:rPr>
        <w:t xml:space="preserve">  </w:t>
      </w:r>
      <w:r>
        <w:fldChar w:fldCharType="begin"/>
      </w:r>
      <w:r>
        <w:instrText xml:space="preserve"> HYPERLINK \l "_Toc513647866" </w:instrText>
      </w:r>
      <w:r>
        <w:fldChar w:fldCharType="separate"/>
      </w:r>
      <w:r>
        <w:rPr>
          <w:rFonts w:hint="eastAsia" w:ascii="仿宋" w:hAnsi="仿宋" w:eastAsia="仿宋" w:cs="仿宋"/>
          <w:smallCaps w:val="0"/>
          <w:kern w:val="0"/>
          <w:sz w:val="24"/>
        </w:rPr>
        <w:t>附件</w:t>
      </w:r>
      <w:r>
        <w:rPr>
          <w:rFonts w:hint="eastAsia" w:ascii="仿宋" w:hAnsi="仿宋" w:eastAsia="仿宋" w:cs="仿宋"/>
          <w:smallCaps w:val="0"/>
          <w:kern w:val="0"/>
          <w:sz w:val="24"/>
        </w:rPr>
        <w:tab/>
      </w:r>
      <w:r>
        <w:rPr>
          <w:rFonts w:hint="eastAsia" w:ascii="仿宋" w:hAnsi="仿宋" w:eastAsia="仿宋" w:cs="仿宋"/>
          <w:smallCaps w:val="0"/>
          <w:kern w:val="0"/>
          <w:sz w:val="24"/>
        </w:rPr>
        <w:fldChar w:fldCharType="end"/>
      </w:r>
      <w:r>
        <w:rPr>
          <w:rFonts w:hint="eastAsia" w:ascii="仿宋" w:hAnsi="仿宋" w:eastAsia="仿宋" w:cs="仿宋"/>
          <w:smallCaps w:val="0"/>
          <w:kern w:val="0"/>
          <w:sz w:val="24"/>
        </w:rPr>
        <w:t>17</w:t>
      </w:r>
    </w:p>
    <w:p/>
    <w:p>
      <w:pPr>
        <w:pStyle w:val="37"/>
        <w:spacing w:line="500" w:lineRule="exact"/>
        <w:jc w:val="center"/>
        <w:rPr>
          <w:rFonts w:ascii="仿宋" w:hAnsi="仿宋" w:eastAsia="仿宋" w:cs="仿宋"/>
        </w:rPr>
      </w:pPr>
      <w:r>
        <w:rPr>
          <w:rFonts w:hint="eastAsia" w:ascii="仿宋" w:hAnsi="仿宋" w:eastAsia="仿宋" w:cs="仿宋"/>
        </w:rPr>
        <w:fldChar w:fldCharType="end"/>
      </w:r>
    </w:p>
    <w:p>
      <w:pPr>
        <w:pStyle w:val="37"/>
        <w:spacing w:line="500" w:lineRule="exact"/>
        <w:jc w:val="center"/>
        <w:rPr>
          <w:rFonts w:ascii="仿宋" w:hAnsi="仿宋" w:eastAsia="仿宋" w:cs="仿宋"/>
        </w:rPr>
      </w:pPr>
    </w:p>
    <w:p>
      <w:pPr>
        <w:pStyle w:val="37"/>
        <w:spacing w:line="500" w:lineRule="exact"/>
        <w:jc w:val="center"/>
        <w:rPr>
          <w:rFonts w:ascii="仿宋" w:hAnsi="仿宋" w:eastAsia="仿宋" w:cs="仿宋"/>
        </w:rPr>
      </w:pPr>
    </w:p>
    <w:p>
      <w:pPr>
        <w:pStyle w:val="37"/>
        <w:spacing w:line="500" w:lineRule="exact"/>
        <w:jc w:val="center"/>
        <w:rPr>
          <w:rFonts w:ascii="仿宋" w:hAnsi="仿宋" w:eastAsia="仿宋" w:cs="仿宋"/>
        </w:rPr>
      </w:pPr>
    </w:p>
    <w:p>
      <w:pPr>
        <w:pStyle w:val="37"/>
        <w:spacing w:line="500" w:lineRule="exact"/>
        <w:jc w:val="center"/>
        <w:rPr>
          <w:rFonts w:ascii="仿宋" w:hAnsi="仿宋" w:eastAsia="仿宋" w:cs="仿宋"/>
        </w:rPr>
      </w:pPr>
    </w:p>
    <w:p>
      <w:pPr>
        <w:pStyle w:val="37"/>
        <w:spacing w:line="500" w:lineRule="exact"/>
        <w:jc w:val="center"/>
        <w:rPr>
          <w:rFonts w:ascii="仿宋" w:hAnsi="仿宋" w:eastAsia="仿宋" w:cs="仿宋"/>
          <w:b/>
          <w:color w:val="FF0000"/>
          <w:kern w:val="2"/>
          <w:sz w:val="32"/>
          <w:szCs w:val="32"/>
        </w:rPr>
      </w:pPr>
    </w:p>
    <w:p>
      <w:pPr>
        <w:pStyle w:val="37"/>
        <w:spacing w:line="500" w:lineRule="exact"/>
        <w:jc w:val="center"/>
        <w:rPr>
          <w:rFonts w:ascii="仿宋" w:hAnsi="仿宋" w:eastAsia="仿宋" w:cs="仿宋"/>
          <w:b/>
          <w:color w:val="FF0000"/>
          <w:kern w:val="2"/>
          <w:sz w:val="32"/>
          <w:szCs w:val="32"/>
        </w:rPr>
      </w:pPr>
    </w:p>
    <w:p>
      <w:pPr>
        <w:pStyle w:val="37"/>
        <w:spacing w:line="500" w:lineRule="exact"/>
        <w:jc w:val="center"/>
        <w:rPr>
          <w:rFonts w:ascii="仿宋" w:hAnsi="仿宋" w:eastAsia="仿宋" w:cs="仿宋"/>
          <w:b/>
          <w:color w:val="FF0000"/>
          <w:kern w:val="2"/>
          <w:sz w:val="32"/>
          <w:szCs w:val="32"/>
        </w:rPr>
      </w:pPr>
    </w:p>
    <w:p>
      <w:pPr>
        <w:pStyle w:val="37"/>
        <w:spacing w:line="500" w:lineRule="exact"/>
        <w:jc w:val="center"/>
        <w:rPr>
          <w:rFonts w:ascii="仿宋" w:hAnsi="仿宋" w:eastAsia="仿宋" w:cs="仿宋"/>
          <w:b/>
          <w:color w:val="FF0000"/>
          <w:kern w:val="2"/>
          <w:sz w:val="32"/>
          <w:szCs w:val="32"/>
        </w:rPr>
      </w:pPr>
    </w:p>
    <w:p>
      <w:pPr>
        <w:pStyle w:val="37"/>
        <w:spacing w:line="500" w:lineRule="exact"/>
        <w:jc w:val="center"/>
        <w:rPr>
          <w:rFonts w:ascii="仿宋" w:hAnsi="仿宋" w:eastAsia="仿宋" w:cs="仿宋"/>
          <w:b/>
          <w:color w:val="FF0000"/>
          <w:kern w:val="2"/>
          <w:sz w:val="32"/>
          <w:szCs w:val="32"/>
        </w:rPr>
      </w:pPr>
    </w:p>
    <w:p>
      <w:pPr>
        <w:pStyle w:val="37"/>
        <w:spacing w:line="500" w:lineRule="exact"/>
        <w:jc w:val="center"/>
        <w:rPr>
          <w:rFonts w:eastAsia="仿宋"/>
          <w:color w:val="auto"/>
          <w:sz w:val="28"/>
          <w:szCs w:val="28"/>
          <w:u w:val="single"/>
        </w:rPr>
      </w:pPr>
      <w:r>
        <w:rPr>
          <w:rFonts w:hint="eastAsia" w:ascii="仿宋" w:hAnsi="仿宋" w:eastAsia="仿宋" w:cs="仿宋"/>
          <w:b/>
          <w:color w:val="auto"/>
          <w:kern w:val="2"/>
          <w:sz w:val="32"/>
          <w:szCs w:val="32"/>
          <w:u w:val="single"/>
        </w:rPr>
        <w:t xml:space="preserve"> 重庆高速集团综合办公系统国产软件适配升级服务采购</w:t>
      </w:r>
      <w:r>
        <w:rPr>
          <w:rFonts w:hint="eastAsia" w:ascii="仿宋" w:hAnsi="仿宋" w:eastAsia="仿宋" w:cs="仿宋"/>
          <w:b/>
          <w:color w:val="auto"/>
          <w:kern w:val="2"/>
          <w:sz w:val="32"/>
          <w:szCs w:val="32"/>
        </w:rPr>
        <w:t>合同</w:t>
      </w:r>
    </w:p>
    <w:p>
      <w:pPr>
        <w:pStyle w:val="37"/>
        <w:spacing w:before="0" w:beforeAutospacing="0" w:after="0" w:afterAutospacing="0" w:line="400" w:lineRule="exact"/>
        <w:ind w:firstLine="480" w:firstLineChars="200"/>
        <w:jc w:val="both"/>
        <w:rPr>
          <w:rFonts w:ascii="仿宋" w:hAnsi="仿宋" w:eastAsia="仿宋" w:cs="仿宋"/>
          <w:color w:val="auto"/>
          <w:u w:val="single"/>
        </w:rPr>
      </w:pPr>
      <w:r>
        <w:rPr>
          <w:rFonts w:hint="eastAsia" w:ascii="仿宋" w:hAnsi="仿宋" w:eastAsia="仿宋" w:cs="仿宋"/>
          <w:color w:val="auto"/>
        </w:rPr>
        <w:t>甲方：</w:t>
      </w:r>
      <w:r>
        <w:rPr>
          <w:rFonts w:hint="eastAsia" w:ascii="仿宋" w:hAnsi="仿宋" w:eastAsia="仿宋" w:cs="仿宋"/>
          <w:color w:val="auto"/>
          <w:u w:val="single"/>
        </w:rPr>
        <w:t xml:space="preserve">  重庆首讯科技股份有限公司         </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地址：</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法定代表人：</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联系电话：</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邮编：</w:t>
      </w:r>
    </w:p>
    <w:p>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p>
    <w:p>
      <w:pPr>
        <w:pStyle w:val="37"/>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rPr>
        <w:t>地址：</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法定代表人：</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联系电话：</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邮编：</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鉴于甲方有意委托乙方对重庆高速集团综合办公系统国产软件适配升级，双方特依据《中华人民共和国民法典》和相关的法律法规，按照平等互利的原则达成如下协议：</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第1条 定义</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本合同中使用的下列词语具有如下含义：</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1.1 “软件”包括“软件系统”，除另有指明外，指描述于本合同附件—中的在本合同履行期内所开发和提供的当前和将来的软件版本，包括乙方为履行本合同所开发和提供的软件版本和相关的文件。</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1.2 “可交付件”指附件中指定的由乙方所交付的软件，包括源代码、安装盘、技术文档、用户指南、操作手册、安装指南和测试报告等。</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1.3 “交付”指乙方在双方规定的日期内交付约定开发的软件的行为。但是乙方完成交付行为，并不意味着乙方已经完成了本合同项下所规定的所有义务。</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1.4 “规格”是指在技术或其他开发任务上所设定的技术标准、规范。</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1.5 “里程碑”是指附件中所规定的由乙方在本软件开发过程中阶段性完成的，并具有相对独立性的部分软件或模块。</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1.6 “源代码”指用于该软件的源代码。其必须可为熟练的程序员理解和使用，可打印以及被机器阅读或具备其他合理而必要的形式，包括对该软件的评估、测试或其它技术文件。</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1.8 “工作日”指国家所规定的节假日之外的所有工作日，未指明为工作日的日期指自然顺延的日期。</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第2条 开发软件描述及清单</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2.1 软件系统</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乙方所开发的软件系统为</w:t>
      </w:r>
      <w:r>
        <w:rPr>
          <w:color w:val="000000"/>
          <w:u w:val="single"/>
        </w:rPr>
        <w:t> </w:t>
      </w:r>
      <w:r>
        <w:rPr>
          <w:rFonts w:hint="eastAsia"/>
          <w:color w:val="000000"/>
          <w:u w:val="single"/>
        </w:rPr>
        <w:t xml:space="preserve">       </w:t>
      </w:r>
      <w:r>
        <w:rPr>
          <w:rFonts w:hint="eastAsia" w:ascii="仿宋" w:hAnsi="仿宋" w:eastAsia="仿宋" w:cs="仿宋"/>
        </w:rPr>
        <w:t>（系统名称）；</w:t>
      </w:r>
    </w:p>
    <w:tbl>
      <w:tblPr>
        <w:tblStyle w:val="43"/>
        <w:tblpPr w:leftFromText="180" w:rightFromText="180" w:vertAnchor="text" w:horzAnchor="page" w:tblpX="1537" w:tblpY="40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43"/>
        <w:gridCol w:w="900"/>
        <w:gridCol w:w="1605"/>
        <w:gridCol w:w="772"/>
        <w:gridCol w:w="1152"/>
        <w:gridCol w:w="125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tcPr>
          <w:p>
            <w:pPr>
              <w:pStyle w:val="37"/>
              <w:spacing w:before="0" w:beforeAutospacing="0" w:after="0" w:afterAutospacing="0" w:line="400" w:lineRule="exact"/>
              <w:jc w:val="both"/>
              <w:rPr>
                <w:rFonts w:ascii="仿宋" w:hAnsi="仿宋" w:eastAsia="仿宋" w:cs="仿宋"/>
              </w:rPr>
            </w:pPr>
            <w:r>
              <w:rPr>
                <w:rFonts w:hint="eastAsia" w:ascii="仿宋" w:hAnsi="仿宋" w:eastAsia="仿宋" w:cs="仿宋"/>
              </w:rPr>
              <w:t>序号</w:t>
            </w:r>
          </w:p>
        </w:tc>
        <w:tc>
          <w:tcPr>
            <w:tcW w:w="797" w:type="pct"/>
          </w:tcPr>
          <w:p>
            <w:pPr>
              <w:pStyle w:val="37"/>
              <w:spacing w:before="0" w:beforeAutospacing="0" w:after="0" w:afterAutospacing="0" w:line="400" w:lineRule="exact"/>
              <w:jc w:val="both"/>
              <w:rPr>
                <w:rFonts w:ascii="仿宋" w:hAnsi="仿宋" w:eastAsia="仿宋" w:cs="仿宋"/>
              </w:rPr>
            </w:pPr>
            <w:r>
              <w:rPr>
                <w:rFonts w:hint="eastAsia" w:ascii="仿宋" w:hAnsi="仿宋" w:eastAsia="仿宋" w:cs="仿宋"/>
              </w:rPr>
              <w:t>名称</w:t>
            </w:r>
          </w:p>
        </w:tc>
        <w:tc>
          <w:tcPr>
            <w:tcW w:w="498" w:type="pct"/>
          </w:tcPr>
          <w:p>
            <w:pPr>
              <w:pStyle w:val="37"/>
              <w:spacing w:before="0" w:beforeAutospacing="0" w:after="0" w:afterAutospacing="0" w:line="400" w:lineRule="exact"/>
              <w:jc w:val="both"/>
              <w:rPr>
                <w:rFonts w:ascii="仿宋" w:hAnsi="仿宋" w:eastAsia="仿宋" w:cs="仿宋"/>
              </w:rPr>
            </w:pPr>
            <w:r>
              <w:rPr>
                <w:rFonts w:hint="eastAsia" w:ascii="仿宋" w:hAnsi="仿宋" w:eastAsia="仿宋" w:cs="仿宋"/>
              </w:rPr>
              <w:t>品牌</w:t>
            </w:r>
          </w:p>
        </w:tc>
        <w:tc>
          <w:tcPr>
            <w:tcW w:w="886" w:type="pct"/>
          </w:tcPr>
          <w:p>
            <w:pPr>
              <w:pStyle w:val="37"/>
              <w:spacing w:before="0" w:beforeAutospacing="0" w:after="0" w:afterAutospacing="0" w:line="400" w:lineRule="exact"/>
              <w:jc w:val="both"/>
              <w:rPr>
                <w:rFonts w:ascii="仿宋" w:hAnsi="仿宋" w:eastAsia="仿宋" w:cs="仿宋"/>
              </w:rPr>
            </w:pPr>
            <w:r>
              <w:rPr>
                <w:rFonts w:hint="eastAsia" w:ascii="仿宋" w:hAnsi="仿宋" w:eastAsia="仿宋" w:cs="仿宋"/>
              </w:rPr>
              <w:t>功能描述</w:t>
            </w:r>
          </w:p>
        </w:tc>
        <w:tc>
          <w:tcPr>
            <w:tcW w:w="427" w:type="pct"/>
          </w:tcPr>
          <w:p>
            <w:pPr>
              <w:pStyle w:val="37"/>
              <w:spacing w:before="0" w:beforeAutospacing="0" w:after="0" w:afterAutospacing="0" w:line="400" w:lineRule="exact"/>
              <w:jc w:val="both"/>
              <w:rPr>
                <w:rFonts w:ascii="仿宋" w:hAnsi="仿宋" w:eastAsia="仿宋" w:cs="仿宋"/>
              </w:rPr>
            </w:pPr>
            <w:r>
              <w:rPr>
                <w:rFonts w:hint="eastAsia" w:ascii="仿宋" w:hAnsi="仿宋" w:eastAsia="仿宋" w:cs="仿宋"/>
              </w:rPr>
              <w:t>单位</w:t>
            </w:r>
          </w:p>
        </w:tc>
        <w:tc>
          <w:tcPr>
            <w:tcW w:w="636" w:type="pct"/>
          </w:tcPr>
          <w:p>
            <w:pPr>
              <w:pStyle w:val="37"/>
              <w:spacing w:before="0" w:beforeAutospacing="0" w:after="0" w:afterAutospacing="0" w:line="400" w:lineRule="exact"/>
              <w:jc w:val="both"/>
              <w:rPr>
                <w:rFonts w:ascii="仿宋" w:hAnsi="仿宋" w:eastAsia="仿宋" w:cs="仿宋"/>
              </w:rPr>
            </w:pPr>
            <w:r>
              <w:rPr>
                <w:rFonts w:hint="eastAsia" w:ascii="仿宋" w:hAnsi="仿宋" w:eastAsia="仿宋" w:cs="仿宋"/>
              </w:rPr>
              <w:t>数量</w:t>
            </w:r>
          </w:p>
        </w:tc>
        <w:tc>
          <w:tcPr>
            <w:tcW w:w="693" w:type="pct"/>
          </w:tcPr>
          <w:p>
            <w:pPr>
              <w:pStyle w:val="37"/>
              <w:spacing w:before="0" w:beforeAutospacing="0" w:after="0" w:afterAutospacing="0" w:line="400" w:lineRule="exact"/>
              <w:jc w:val="both"/>
              <w:rPr>
                <w:rFonts w:ascii="仿宋" w:hAnsi="仿宋" w:eastAsia="仿宋" w:cs="仿宋"/>
              </w:rPr>
            </w:pPr>
            <w:r>
              <w:rPr>
                <w:rFonts w:hint="eastAsia" w:ascii="仿宋" w:hAnsi="仿宋" w:eastAsia="仿宋" w:cs="仿宋"/>
              </w:rPr>
              <w:t>单价（元）</w:t>
            </w:r>
          </w:p>
        </w:tc>
        <w:tc>
          <w:tcPr>
            <w:tcW w:w="693" w:type="pct"/>
          </w:tcPr>
          <w:p>
            <w:pPr>
              <w:pStyle w:val="37"/>
              <w:spacing w:before="0" w:beforeAutospacing="0" w:after="0" w:afterAutospacing="0" w:line="400" w:lineRule="exact"/>
              <w:jc w:val="both"/>
              <w:rPr>
                <w:rFonts w:ascii="仿宋" w:hAnsi="仿宋" w:eastAsia="仿宋" w:cs="仿宋"/>
              </w:rPr>
            </w:pPr>
            <w:r>
              <w:rPr>
                <w:rFonts w:hint="eastAsia" w:ascii="仿宋" w:hAnsi="仿宋" w:eastAsia="仿宋" w:cs="仿宋"/>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tcPr>
          <w:p>
            <w:pPr>
              <w:pStyle w:val="37"/>
              <w:spacing w:before="0" w:beforeAutospacing="0" w:after="0" w:afterAutospacing="0" w:line="400" w:lineRule="exact"/>
              <w:jc w:val="both"/>
              <w:rPr>
                <w:rFonts w:ascii="仿宋" w:hAnsi="仿宋" w:eastAsia="仿宋" w:cs="仿宋"/>
              </w:rPr>
            </w:pPr>
            <w:r>
              <w:rPr>
                <w:rFonts w:hint="eastAsia" w:ascii="仿宋" w:hAnsi="仿宋" w:eastAsia="仿宋" w:cs="仿宋"/>
              </w:rPr>
              <w:t>1</w:t>
            </w:r>
          </w:p>
        </w:tc>
        <w:tc>
          <w:tcPr>
            <w:tcW w:w="797" w:type="pct"/>
          </w:tcPr>
          <w:p>
            <w:pPr>
              <w:pStyle w:val="37"/>
              <w:spacing w:before="0" w:beforeAutospacing="0" w:after="0" w:afterAutospacing="0" w:line="400" w:lineRule="exact"/>
              <w:jc w:val="both"/>
              <w:rPr>
                <w:rFonts w:ascii="仿宋" w:hAnsi="仿宋" w:eastAsia="仿宋" w:cs="仿宋"/>
              </w:rPr>
            </w:pPr>
          </w:p>
        </w:tc>
        <w:tc>
          <w:tcPr>
            <w:tcW w:w="498" w:type="pct"/>
          </w:tcPr>
          <w:p>
            <w:pPr>
              <w:pStyle w:val="37"/>
              <w:spacing w:before="0" w:beforeAutospacing="0" w:after="0" w:afterAutospacing="0" w:line="400" w:lineRule="exact"/>
              <w:jc w:val="both"/>
              <w:rPr>
                <w:rFonts w:ascii="仿宋" w:hAnsi="仿宋" w:eastAsia="仿宋" w:cs="仿宋"/>
              </w:rPr>
            </w:pPr>
          </w:p>
        </w:tc>
        <w:tc>
          <w:tcPr>
            <w:tcW w:w="886" w:type="pct"/>
          </w:tcPr>
          <w:p>
            <w:pPr>
              <w:pStyle w:val="37"/>
              <w:spacing w:before="0" w:beforeAutospacing="0" w:after="0" w:afterAutospacing="0" w:line="400" w:lineRule="exact"/>
              <w:jc w:val="both"/>
              <w:rPr>
                <w:rFonts w:ascii="仿宋" w:hAnsi="仿宋" w:eastAsia="仿宋" w:cs="仿宋"/>
              </w:rPr>
            </w:pPr>
          </w:p>
        </w:tc>
        <w:tc>
          <w:tcPr>
            <w:tcW w:w="427" w:type="pct"/>
          </w:tcPr>
          <w:p>
            <w:pPr>
              <w:pStyle w:val="37"/>
              <w:spacing w:before="0" w:beforeAutospacing="0" w:after="0" w:afterAutospacing="0" w:line="400" w:lineRule="exact"/>
              <w:jc w:val="both"/>
              <w:rPr>
                <w:rFonts w:ascii="仿宋" w:hAnsi="仿宋" w:eastAsia="仿宋" w:cs="仿宋"/>
              </w:rPr>
            </w:pPr>
          </w:p>
        </w:tc>
        <w:tc>
          <w:tcPr>
            <w:tcW w:w="636" w:type="pct"/>
          </w:tcPr>
          <w:p>
            <w:pPr>
              <w:pStyle w:val="37"/>
              <w:spacing w:before="0" w:beforeAutospacing="0" w:after="0" w:afterAutospacing="0" w:line="400" w:lineRule="exact"/>
              <w:jc w:val="both"/>
              <w:rPr>
                <w:rFonts w:ascii="仿宋" w:hAnsi="仿宋" w:eastAsia="仿宋" w:cs="仿宋"/>
              </w:rPr>
            </w:pPr>
          </w:p>
        </w:tc>
        <w:tc>
          <w:tcPr>
            <w:tcW w:w="693" w:type="pct"/>
          </w:tcPr>
          <w:p>
            <w:pPr>
              <w:pStyle w:val="37"/>
              <w:spacing w:before="0" w:beforeAutospacing="0" w:after="0" w:afterAutospacing="0" w:line="400" w:lineRule="exact"/>
              <w:jc w:val="both"/>
              <w:rPr>
                <w:rFonts w:ascii="仿宋" w:hAnsi="仿宋" w:eastAsia="仿宋" w:cs="仿宋"/>
              </w:rPr>
            </w:pPr>
          </w:p>
        </w:tc>
        <w:tc>
          <w:tcPr>
            <w:tcW w:w="693" w:type="pct"/>
          </w:tcPr>
          <w:p>
            <w:pPr>
              <w:pStyle w:val="37"/>
              <w:spacing w:before="0" w:beforeAutospacing="0" w:after="0" w:afterAutospacing="0" w:line="400" w:lineRule="exact"/>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tcPr>
          <w:p>
            <w:pPr>
              <w:pStyle w:val="37"/>
              <w:spacing w:before="0" w:beforeAutospacing="0" w:after="0" w:afterAutospacing="0" w:line="400" w:lineRule="exact"/>
              <w:jc w:val="both"/>
              <w:rPr>
                <w:rFonts w:ascii="仿宋" w:hAnsi="仿宋" w:eastAsia="仿宋" w:cs="仿宋"/>
              </w:rPr>
            </w:pPr>
            <w:r>
              <w:rPr>
                <w:rFonts w:hint="eastAsia" w:ascii="仿宋" w:hAnsi="仿宋" w:eastAsia="仿宋" w:cs="仿宋"/>
              </w:rPr>
              <w:t>2</w:t>
            </w:r>
          </w:p>
        </w:tc>
        <w:tc>
          <w:tcPr>
            <w:tcW w:w="797" w:type="pct"/>
          </w:tcPr>
          <w:p>
            <w:pPr>
              <w:pStyle w:val="37"/>
              <w:spacing w:before="0" w:beforeAutospacing="0" w:after="0" w:afterAutospacing="0" w:line="400" w:lineRule="exact"/>
              <w:jc w:val="both"/>
              <w:rPr>
                <w:rFonts w:ascii="仿宋" w:hAnsi="仿宋" w:eastAsia="仿宋" w:cs="仿宋"/>
              </w:rPr>
            </w:pPr>
          </w:p>
        </w:tc>
        <w:tc>
          <w:tcPr>
            <w:tcW w:w="498" w:type="pct"/>
          </w:tcPr>
          <w:p>
            <w:pPr>
              <w:pStyle w:val="37"/>
              <w:spacing w:before="0" w:beforeAutospacing="0" w:after="0" w:afterAutospacing="0" w:line="400" w:lineRule="exact"/>
              <w:jc w:val="both"/>
              <w:rPr>
                <w:rFonts w:ascii="仿宋" w:hAnsi="仿宋" w:eastAsia="仿宋" w:cs="仿宋"/>
              </w:rPr>
            </w:pPr>
          </w:p>
        </w:tc>
        <w:tc>
          <w:tcPr>
            <w:tcW w:w="886" w:type="pct"/>
          </w:tcPr>
          <w:p>
            <w:pPr>
              <w:pStyle w:val="37"/>
              <w:spacing w:before="0" w:beforeAutospacing="0" w:after="0" w:afterAutospacing="0" w:line="400" w:lineRule="exact"/>
              <w:jc w:val="both"/>
              <w:rPr>
                <w:rFonts w:ascii="仿宋" w:hAnsi="仿宋" w:eastAsia="仿宋" w:cs="仿宋"/>
              </w:rPr>
            </w:pPr>
          </w:p>
        </w:tc>
        <w:tc>
          <w:tcPr>
            <w:tcW w:w="427" w:type="pct"/>
          </w:tcPr>
          <w:p>
            <w:pPr>
              <w:pStyle w:val="37"/>
              <w:spacing w:before="0" w:beforeAutospacing="0" w:after="0" w:afterAutospacing="0" w:line="400" w:lineRule="exact"/>
              <w:jc w:val="both"/>
              <w:rPr>
                <w:rFonts w:ascii="仿宋" w:hAnsi="仿宋" w:eastAsia="仿宋" w:cs="仿宋"/>
              </w:rPr>
            </w:pPr>
          </w:p>
        </w:tc>
        <w:tc>
          <w:tcPr>
            <w:tcW w:w="636" w:type="pct"/>
          </w:tcPr>
          <w:p>
            <w:pPr>
              <w:pStyle w:val="37"/>
              <w:spacing w:before="0" w:beforeAutospacing="0" w:after="0" w:afterAutospacing="0" w:line="400" w:lineRule="exact"/>
              <w:jc w:val="both"/>
              <w:rPr>
                <w:rFonts w:ascii="仿宋" w:hAnsi="仿宋" w:eastAsia="仿宋" w:cs="仿宋"/>
              </w:rPr>
            </w:pPr>
          </w:p>
        </w:tc>
        <w:tc>
          <w:tcPr>
            <w:tcW w:w="693" w:type="pct"/>
          </w:tcPr>
          <w:p>
            <w:pPr>
              <w:pStyle w:val="37"/>
              <w:spacing w:before="0" w:beforeAutospacing="0" w:after="0" w:afterAutospacing="0" w:line="400" w:lineRule="exact"/>
              <w:jc w:val="both"/>
              <w:rPr>
                <w:rFonts w:ascii="仿宋" w:hAnsi="仿宋" w:eastAsia="仿宋" w:cs="仿宋"/>
              </w:rPr>
            </w:pPr>
          </w:p>
        </w:tc>
        <w:tc>
          <w:tcPr>
            <w:tcW w:w="693" w:type="pct"/>
          </w:tcPr>
          <w:p>
            <w:pPr>
              <w:pStyle w:val="37"/>
              <w:spacing w:before="0" w:beforeAutospacing="0" w:after="0" w:afterAutospacing="0" w:line="400" w:lineRule="exact"/>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6" w:type="pct"/>
          </w:tcPr>
          <w:p>
            <w:pPr>
              <w:pStyle w:val="37"/>
              <w:spacing w:before="0" w:beforeAutospacing="0" w:after="0" w:afterAutospacing="0" w:line="400" w:lineRule="exact"/>
              <w:jc w:val="both"/>
              <w:rPr>
                <w:rFonts w:ascii="仿宋" w:hAnsi="仿宋" w:eastAsia="仿宋" w:cs="仿宋"/>
              </w:rPr>
            </w:pPr>
            <w:r>
              <w:rPr>
                <w:rFonts w:ascii="Arial" w:hAnsi="Arial" w:eastAsia="仿宋" w:cs="Arial"/>
              </w:rPr>
              <w:t>……</w:t>
            </w:r>
          </w:p>
        </w:tc>
        <w:tc>
          <w:tcPr>
            <w:tcW w:w="797" w:type="pct"/>
          </w:tcPr>
          <w:p>
            <w:pPr>
              <w:pStyle w:val="37"/>
              <w:spacing w:before="0" w:beforeAutospacing="0" w:after="0" w:afterAutospacing="0" w:line="400" w:lineRule="exact"/>
              <w:jc w:val="both"/>
              <w:rPr>
                <w:rFonts w:ascii="仿宋" w:hAnsi="仿宋" w:eastAsia="仿宋" w:cs="仿宋"/>
              </w:rPr>
            </w:pPr>
          </w:p>
        </w:tc>
        <w:tc>
          <w:tcPr>
            <w:tcW w:w="498" w:type="pct"/>
          </w:tcPr>
          <w:p>
            <w:pPr>
              <w:pStyle w:val="37"/>
              <w:spacing w:before="0" w:beforeAutospacing="0" w:after="0" w:afterAutospacing="0" w:line="400" w:lineRule="exact"/>
              <w:jc w:val="both"/>
              <w:rPr>
                <w:rFonts w:ascii="仿宋" w:hAnsi="仿宋" w:eastAsia="仿宋" w:cs="仿宋"/>
              </w:rPr>
            </w:pPr>
          </w:p>
        </w:tc>
        <w:tc>
          <w:tcPr>
            <w:tcW w:w="886" w:type="pct"/>
          </w:tcPr>
          <w:p>
            <w:pPr>
              <w:pStyle w:val="37"/>
              <w:spacing w:before="0" w:beforeAutospacing="0" w:after="0" w:afterAutospacing="0" w:line="400" w:lineRule="exact"/>
              <w:jc w:val="both"/>
              <w:rPr>
                <w:rFonts w:ascii="仿宋" w:hAnsi="仿宋" w:eastAsia="仿宋" w:cs="仿宋"/>
              </w:rPr>
            </w:pPr>
          </w:p>
        </w:tc>
        <w:tc>
          <w:tcPr>
            <w:tcW w:w="427" w:type="pct"/>
          </w:tcPr>
          <w:p>
            <w:pPr>
              <w:pStyle w:val="37"/>
              <w:spacing w:before="0" w:beforeAutospacing="0" w:after="0" w:afterAutospacing="0" w:line="400" w:lineRule="exact"/>
              <w:jc w:val="both"/>
              <w:rPr>
                <w:rFonts w:ascii="仿宋" w:hAnsi="仿宋" w:eastAsia="仿宋" w:cs="仿宋"/>
              </w:rPr>
            </w:pPr>
          </w:p>
        </w:tc>
        <w:tc>
          <w:tcPr>
            <w:tcW w:w="636" w:type="pct"/>
          </w:tcPr>
          <w:p>
            <w:pPr>
              <w:pStyle w:val="37"/>
              <w:spacing w:before="0" w:beforeAutospacing="0" w:after="0" w:afterAutospacing="0" w:line="400" w:lineRule="exact"/>
              <w:jc w:val="both"/>
              <w:rPr>
                <w:rFonts w:ascii="仿宋" w:hAnsi="仿宋" w:eastAsia="仿宋" w:cs="仿宋"/>
              </w:rPr>
            </w:pPr>
          </w:p>
        </w:tc>
        <w:tc>
          <w:tcPr>
            <w:tcW w:w="693" w:type="pct"/>
          </w:tcPr>
          <w:p>
            <w:pPr>
              <w:pStyle w:val="37"/>
              <w:spacing w:before="0" w:beforeAutospacing="0" w:after="0" w:afterAutospacing="0" w:line="400" w:lineRule="exact"/>
              <w:jc w:val="both"/>
              <w:rPr>
                <w:rFonts w:ascii="仿宋" w:hAnsi="仿宋" w:eastAsia="仿宋" w:cs="仿宋"/>
              </w:rPr>
            </w:pPr>
          </w:p>
        </w:tc>
        <w:tc>
          <w:tcPr>
            <w:tcW w:w="693" w:type="pct"/>
          </w:tcPr>
          <w:p>
            <w:pPr>
              <w:pStyle w:val="37"/>
              <w:spacing w:before="0" w:beforeAutospacing="0" w:after="0" w:afterAutospacing="0" w:line="400" w:lineRule="exact"/>
              <w:jc w:val="both"/>
              <w:rPr>
                <w:rFonts w:ascii="仿宋" w:hAnsi="仿宋" w:eastAsia="仿宋" w:cs="仿宋"/>
              </w:rPr>
            </w:pPr>
          </w:p>
        </w:tc>
      </w:tr>
    </w:tbl>
    <w:p>
      <w:pPr>
        <w:pStyle w:val="37"/>
        <w:spacing w:before="0" w:beforeAutospacing="0" w:after="0" w:afterAutospacing="0" w:line="400" w:lineRule="exact"/>
        <w:jc w:val="both"/>
        <w:rPr>
          <w:rFonts w:ascii="仿宋" w:hAnsi="仿宋" w:eastAsia="仿宋" w:cs="仿宋"/>
        </w:rPr>
      </w:pP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2.2 软件开发的目标</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软件整体功能符合甲方所描述的经营和管理等要求，应达到正确性、效率、安全性、可靠性、开放性、实用性等的技术指标。</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2.3 软件开发的交付进度和时间</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（1）本开发软件交付的时间为</w:t>
      </w:r>
      <w:r>
        <w:rPr>
          <w:color w:val="000000"/>
          <w:u w:val="single"/>
        </w:rPr>
        <w:t> </w:t>
      </w:r>
      <w:r>
        <w:rPr>
          <w:rFonts w:hint="eastAsia" w:ascii="仿宋" w:hAnsi="仿宋" w:eastAsia="仿宋" w:cs="仿宋"/>
        </w:rPr>
        <w:t> 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（2）软件开发分为</w:t>
      </w:r>
      <w:r>
        <w:rPr>
          <w:color w:val="000000"/>
          <w:u w:val="single"/>
        </w:rPr>
        <w:t> </w:t>
      </w:r>
      <w:r>
        <w:rPr>
          <w:rFonts w:hint="eastAsia"/>
          <w:color w:val="000000"/>
          <w:u w:val="single"/>
        </w:rPr>
        <w:t xml:space="preserve"> </w:t>
      </w:r>
      <w:r>
        <w:rPr>
          <w:rFonts w:hint="eastAsia" w:ascii="仿宋" w:hAnsi="仿宋" w:eastAsia="仿宋" w:cs="仿宋"/>
        </w:rPr>
        <w:t>个里程碑阶段，每个里程碑阶段的项目完成后，均应该依据本合同附件</w:t>
      </w:r>
      <w:r>
        <w:rPr>
          <w:rFonts w:hint="eastAsia" w:ascii="仿宋" w:hAnsi="仿宋" w:eastAsia="仿宋" w:cs="仿宋"/>
          <w:color w:val="000000"/>
        </w:rPr>
        <w:t>三</w:t>
      </w:r>
      <w:r>
        <w:rPr>
          <w:rFonts w:hint="eastAsia" w:ascii="仿宋" w:hAnsi="仿宋" w:eastAsia="仿宋" w:cs="仿宋"/>
        </w:rPr>
        <w:t>所列的检测标准进行检测和交付。甲方将按照本合同的第</w:t>
      </w:r>
      <w:r>
        <w:rPr>
          <w:color w:val="000000"/>
          <w:u w:val="single"/>
        </w:rPr>
        <w:t> </w:t>
      </w:r>
      <w:r>
        <w:rPr>
          <w:rFonts w:hint="eastAsia"/>
          <w:color w:val="000000"/>
          <w:u w:val="single"/>
        </w:rPr>
        <w:t xml:space="preserve"> </w:t>
      </w:r>
      <w:r>
        <w:rPr>
          <w:rFonts w:hint="eastAsia" w:ascii="仿宋" w:hAnsi="仿宋" w:eastAsia="仿宋" w:cs="仿宋"/>
        </w:rPr>
        <w:t>条规定进行付款。乙方开发软件或引用的检测标准不得低于</w:t>
      </w:r>
      <w:r>
        <w:rPr>
          <w:color w:val="FF0000"/>
        </w:rPr>
        <w:sym w:font="Wingdings 2" w:char="00A3"/>
      </w:r>
      <w:r>
        <w:rPr>
          <w:rFonts w:hint="eastAsia" w:ascii="仿宋" w:hAnsi="仿宋" w:eastAsia="仿宋" w:cs="仿宋"/>
          <w:color w:val="FF0000"/>
        </w:rPr>
        <w:t>国家</w:t>
      </w:r>
      <w:r>
        <w:rPr>
          <w:color w:val="FF0000"/>
        </w:rPr>
        <w:sym w:font="Wingdings 2" w:char="00A3"/>
      </w:r>
      <w:r>
        <w:rPr>
          <w:rFonts w:hint="eastAsia" w:ascii="仿宋" w:hAnsi="仿宋" w:eastAsia="仿宋" w:cs="仿宋"/>
          <w:color w:val="FF0000"/>
        </w:rPr>
        <w:t>行业</w:t>
      </w:r>
      <w:r>
        <w:rPr>
          <w:color w:val="FF0000"/>
        </w:rPr>
        <w:sym w:font="Wingdings 2" w:char="00A3"/>
      </w:r>
      <w:r>
        <w:rPr>
          <w:rFonts w:hint="eastAsia" w:ascii="仿宋" w:hAnsi="仿宋" w:eastAsia="仿宋" w:cs="仿宋"/>
          <w:color w:val="FF0000"/>
        </w:rPr>
        <w:t>企业</w:t>
      </w:r>
      <w:r>
        <w:rPr>
          <w:rFonts w:hint="eastAsia" w:ascii="仿宋" w:hAnsi="仿宋" w:eastAsia="仿宋" w:cs="仿宋"/>
        </w:rPr>
        <w:t>的标准。其具体规格、检测标准、阶段和进度、交付时间与地点、付款方式等见附件。</w:t>
      </w:r>
    </w:p>
    <w:p>
      <w:pPr>
        <w:tabs>
          <w:tab w:val="left" w:pos="2880"/>
          <w:tab w:val="left" w:pos="7020"/>
        </w:tabs>
        <w:spacing w:line="360" w:lineRule="auto"/>
        <w:ind w:right="178" w:rightChars="85" w:firstLine="482"/>
        <w:rPr>
          <w:rFonts w:ascii="仿宋" w:hAnsi="仿宋" w:eastAsia="仿宋" w:cs="仿宋"/>
        </w:rPr>
      </w:pPr>
      <w:r>
        <w:rPr>
          <w:rFonts w:hint="eastAsia" w:ascii="仿宋" w:hAnsi="仿宋" w:eastAsia="仿宋" w:cs="仿宋"/>
          <w:b/>
          <w:bCs/>
          <w:kern w:val="0"/>
          <w:sz w:val="24"/>
        </w:rPr>
        <w:t>第3条 软件开发</w:t>
      </w:r>
    </w:p>
    <w:p>
      <w:pPr>
        <w:tabs>
          <w:tab w:val="left" w:pos="2880"/>
          <w:tab w:val="left" w:pos="7020"/>
        </w:tabs>
        <w:spacing w:line="360" w:lineRule="auto"/>
        <w:ind w:right="178" w:rightChars="85" w:firstLine="482"/>
        <w:rPr>
          <w:rFonts w:ascii="仿宋" w:hAnsi="仿宋" w:eastAsia="仿宋" w:cs="仿宋"/>
          <w:sz w:val="24"/>
        </w:rPr>
      </w:pPr>
      <w:r>
        <w:rPr>
          <w:rFonts w:hint="eastAsia" w:ascii="仿宋" w:hAnsi="仿宋" w:eastAsia="仿宋" w:cs="仿宋"/>
          <w:sz w:val="24"/>
        </w:rPr>
        <w:t>3.1 开发</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自本合同签订之日起，乙方应尽力履行其在开发计划中所规定的义务，按时完成并交付每一项里程碑，其质</w:t>
      </w:r>
      <w:r>
        <w:rPr>
          <w:rFonts w:hint="eastAsia" w:ascii="仿宋" w:hAnsi="仿宋" w:eastAsia="仿宋" w:cs="仿宋"/>
          <w:highlight w:val="none"/>
        </w:rPr>
        <w:t>量标准应符合附件</w:t>
      </w:r>
      <w:r>
        <w:rPr>
          <w:color w:val="000000"/>
          <w:highlight w:val="none"/>
          <w:u w:val="single"/>
        </w:rPr>
        <w:t> </w:t>
      </w:r>
      <w:r>
        <w:rPr>
          <w:rFonts w:hint="eastAsia" w:ascii="仿宋" w:hAnsi="仿宋" w:eastAsia="仿宋" w:cs="仿宋"/>
          <w:highlight w:val="none"/>
        </w:rPr>
        <w:t>的</w:t>
      </w:r>
      <w:r>
        <w:rPr>
          <w:rFonts w:hint="eastAsia" w:ascii="仿宋" w:hAnsi="仿宋" w:eastAsia="仿宋" w:cs="仿宋"/>
        </w:rPr>
        <w:t>规定。</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3.2 转包或分包</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本合同项下的项目禁止转包。如双方同意，乙方可以将本合同项下的</w:t>
      </w:r>
      <w:r>
        <w:rPr>
          <w:color w:val="000000"/>
          <w:u w:val="single"/>
        </w:rPr>
        <w:t> </w:t>
      </w:r>
      <w:r>
        <w:rPr>
          <w:rFonts w:hint="eastAsia"/>
          <w:color w:val="000000"/>
          <w:u w:val="single"/>
        </w:rPr>
        <w:t xml:space="preserve">    </w:t>
      </w:r>
      <w:r>
        <w:rPr>
          <w:rFonts w:hint="eastAsia" w:ascii="仿宋" w:hAnsi="仿宋" w:eastAsia="仿宋" w:cs="仿宋"/>
        </w:rPr>
        <w:t>（项目名称）等非主体项目分包给具有相应资质的第三方实施。违反本条规定的，乙方应依据本合同的相关规定承担违约责任，并赔偿由此给甲方造成的一切直接或间接损失。</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3.3 项目管理（供选择）</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合同各方指派代表组成本信息系统开发管理小组，管理本软件的开发。管理小组成员名单和通讯方式见附件</w:t>
      </w:r>
      <w:r>
        <w:rPr>
          <w:rFonts w:hint="eastAsia" w:ascii="仿宋" w:hAnsi="仿宋" w:eastAsia="仿宋" w:cs="仿宋"/>
          <w:color w:val="000000"/>
        </w:rPr>
        <w:t>四</w:t>
      </w:r>
      <w:r>
        <w:rPr>
          <w:rFonts w:hint="eastAsia" w:ascii="仿宋" w:hAnsi="仿宋" w:eastAsia="仿宋" w:cs="仿宋"/>
        </w:rPr>
        <w:t>。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3.4 信息与资料</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3.5 需求与需求分析</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3.5.1 乙方将根据合同项下中的业务开发软件及其所需功能的描述和甲方所提供的资料与信息共同制作需求分析。乙方在编写需求说明、资料和信息时，可以就其中所涉及的软件功能、目标、需求构成及相关技术问题向甲方咨询或征求意见，甲方应当及时予以解释和答复。</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3.5.2 乙方在获取上述需求信息和资料后，应及时完成需求分析书。该需求分析书经甲方认可，并由甲、乙双方签字后作为本合同的附件。</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3.6 需求说明书、概要设计说明书和详细设计说明书</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3.6.1 乙方在取得了甲方提供的必要的信息和资料后，将依据本合同所约定的软件的功能、目标与需求分析书，在</w:t>
      </w:r>
      <w:r>
        <w:rPr>
          <w:color w:val="000000"/>
          <w:u w:val="single"/>
        </w:rPr>
        <w:t> </w:t>
      </w:r>
      <w:r>
        <w:rPr>
          <w:rFonts w:hint="eastAsia" w:ascii="仿宋" w:hAnsi="仿宋" w:eastAsia="仿宋" w:cs="仿宋"/>
        </w:rPr>
        <w:t>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日之前完成需求说明书，在</w:t>
      </w:r>
      <w:r>
        <w:rPr>
          <w:color w:val="000000"/>
          <w:u w:val="single"/>
        </w:rPr>
        <w:t> </w:t>
      </w:r>
      <w:r>
        <w:rPr>
          <w:rFonts w:hint="eastAsia" w:ascii="仿宋" w:hAnsi="仿宋" w:eastAsia="仿宋" w:cs="仿宋"/>
        </w:rPr>
        <w:t>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日之前完成概要设计说明书，在 </w:t>
      </w:r>
      <w:r>
        <w:rPr>
          <w:color w:val="000000"/>
          <w:u w:val="single"/>
        </w:rPr>
        <w:t> </w:t>
      </w:r>
      <w:r>
        <w:rPr>
          <w:rFonts w:hint="eastAsia" w:ascii="仿宋" w:hAnsi="仿宋" w:eastAsia="仿宋" w:cs="仿宋"/>
        </w:rPr>
        <w:t>年</w:t>
      </w:r>
      <w:r>
        <w:rPr>
          <w:color w:val="000000"/>
          <w:u w:val="single"/>
        </w:rPr>
        <w:t> </w:t>
      </w:r>
      <w:r>
        <w:rPr>
          <w:rFonts w:hint="eastAsia" w:ascii="仿宋" w:hAnsi="仿宋" w:eastAsia="仿宋" w:cs="仿宋"/>
        </w:rPr>
        <w:t>月</w:t>
      </w:r>
      <w:r>
        <w:rPr>
          <w:color w:val="000000"/>
          <w:u w:val="single"/>
        </w:rPr>
        <w:t> </w:t>
      </w:r>
      <w:r>
        <w:rPr>
          <w:rFonts w:hint="eastAsia" w:ascii="仿宋" w:hAnsi="仿宋" w:eastAsia="仿宋" w:cs="仿宋"/>
        </w:rPr>
        <w:t>日之前完成详细设计说明书。以上三项完成后，均应提交甲方审核。甲方在收到上述文件后，对其中所描述软件的适用性、需求性和应用性等进行审核。甲方在收到上述说明书后</w:t>
      </w:r>
      <w:r>
        <w:rPr>
          <w:color w:val="000000"/>
          <w:u w:val="single"/>
        </w:rPr>
        <w:t> </w:t>
      </w:r>
      <w:r>
        <w:rPr>
          <w:rFonts w:hint="eastAsia" w:ascii="仿宋" w:hAnsi="仿宋" w:eastAsia="仿宋" w:cs="仿宋"/>
        </w:rPr>
        <w:t>工作日内完成审核。如甲方认可上述文件后的，则在上述文件中签字。如有异议，乙方应在3个工作日内完成修改并再次提交甲方审核，直至双方一致认可签字。</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3.6.2 甲方对上述说明书的签字认可，并不对说明书中的技术问题进行审核。如说明书中出现任何与乙方设计相关的技术问题或技术调整，仍由乙方承担责任。</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3.6.3 如甲方未在约定的时间内完成本条款所规定的义务，乙方则可以相应顺延交付时间。</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3.6.4 上述需求说明书、概要设计说明书和详细设计说明书经双方签字后，作为本合同的附件，与本合同具有同等效力。</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3.7 进度报告</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乙方应于每</w:t>
      </w:r>
      <w:r>
        <w:rPr>
          <w:rFonts w:hint="eastAsia" w:ascii="仿宋" w:hAnsi="仿宋" w:eastAsia="仿宋" w:cs="仿宋"/>
          <w:color w:val="FF0000"/>
        </w:rPr>
        <w:sym w:font="Wingdings 2" w:char="00A3"/>
      </w:r>
      <w:r>
        <w:rPr>
          <w:rFonts w:hint="eastAsia" w:ascii="仿宋" w:hAnsi="仿宋" w:eastAsia="仿宋" w:cs="仿宋"/>
          <w:color w:val="FF0000"/>
        </w:rPr>
        <w:t>周</w:t>
      </w:r>
      <w:r>
        <w:rPr>
          <w:rFonts w:hint="eastAsia" w:ascii="仿宋" w:hAnsi="仿宋" w:eastAsia="仿宋" w:cs="仿宋"/>
          <w:color w:val="FF0000"/>
        </w:rPr>
        <w:sym w:font="Wingdings 2" w:char="00A3"/>
      </w:r>
      <w:r>
        <w:rPr>
          <w:rFonts w:hint="eastAsia" w:ascii="仿宋" w:hAnsi="仿宋" w:eastAsia="仿宋" w:cs="仿宋"/>
          <w:color w:val="FF0000"/>
        </w:rPr>
        <w:t>月</w:t>
      </w:r>
      <w:r>
        <w:rPr>
          <w:rFonts w:hint="eastAsia" w:ascii="仿宋" w:hAnsi="仿宋" w:eastAsia="仿宋" w:cs="仿宋"/>
          <w:color w:val="FF0000"/>
        </w:rPr>
        <w:sym w:font="Wingdings 2" w:char="00A3"/>
      </w:r>
      <w:r>
        <w:rPr>
          <w:rFonts w:hint="eastAsia" w:ascii="仿宋" w:hAnsi="仿宋" w:eastAsia="仿宋" w:cs="仿宋"/>
          <w:color w:val="FF0000"/>
        </w:rPr>
        <w:t>季度</w:t>
      </w:r>
      <w:r>
        <w:rPr>
          <w:rFonts w:hint="eastAsia" w:ascii="仿宋" w:hAnsi="仿宋" w:eastAsia="仿宋" w:cs="仿宋"/>
        </w:rPr>
        <w:t>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w:t>
      </w:r>
      <w:r>
        <w:rPr>
          <w:rFonts w:hint="eastAsia" w:ascii="仿宋" w:hAnsi="仿宋" w:eastAsia="仿宋" w:cs="仿宋"/>
          <w:color w:val="FF0000"/>
        </w:rPr>
        <w:sym w:font="Wingdings 2" w:char="00A3"/>
      </w:r>
      <w:r>
        <w:rPr>
          <w:rFonts w:hint="eastAsia" w:ascii="仿宋" w:hAnsi="仿宋" w:eastAsia="仿宋" w:cs="仿宋"/>
          <w:color w:val="FF0000"/>
        </w:rPr>
        <w:t>1/</w:t>
      </w:r>
      <w:r>
        <w:rPr>
          <w:rFonts w:hint="eastAsia" w:ascii="仿宋" w:hAnsi="仿宋" w:eastAsia="仿宋" w:cs="仿宋"/>
          <w:color w:val="FF0000"/>
        </w:rPr>
        <w:sym w:font="Wingdings 2" w:char="00A3"/>
      </w:r>
      <w:r>
        <w:rPr>
          <w:rFonts w:hint="eastAsia" w:ascii="仿宋" w:hAnsi="仿宋" w:eastAsia="仿宋" w:cs="仿宋"/>
          <w:color w:val="FF0000"/>
        </w:rPr>
        <w:t>3/</w:t>
      </w:r>
      <w:r>
        <w:rPr>
          <w:rFonts w:hint="eastAsia" w:ascii="仿宋" w:hAnsi="仿宋" w:eastAsia="仿宋" w:cs="仿宋"/>
          <w:color w:val="FF0000"/>
        </w:rPr>
        <w:sym w:font="Wingdings 2" w:char="00A3"/>
      </w:r>
      <w:r>
        <w:rPr>
          <w:rFonts w:hint="eastAsia" w:ascii="仿宋" w:hAnsi="仿宋" w:eastAsia="仿宋" w:cs="仿宋"/>
          <w:color w:val="FF0000"/>
        </w:rPr>
        <w:t>7</w:t>
      </w:r>
      <w:r>
        <w:rPr>
          <w:rFonts w:hint="eastAsia" w:ascii="仿宋" w:hAnsi="仿宋" w:eastAsia="仿宋" w:cs="仿宋"/>
        </w:rPr>
        <w:t>个工作日内向甲方做出书面报告。乙方也应当在</w:t>
      </w:r>
      <w:r>
        <w:rPr>
          <w:rFonts w:hint="eastAsia" w:ascii="仿宋" w:hAnsi="仿宋" w:eastAsia="仿宋" w:cs="仿宋"/>
          <w:color w:val="FF0000"/>
        </w:rPr>
        <w:sym w:font="Wingdings 2" w:char="00A3"/>
      </w:r>
      <w:r>
        <w:rPr>
          <w:rFonts w:hint="eastAsia" w:ascii="仿宋" w:hAnsi="仿宋" w:eastAsia="仿宋" w:cs="仿宋"/>
          <w:color w:val="FF0000"/>
        </w:rPr>
        <w:t>1/</w:t>
      </w:r>
      <w:r>
        <w:rPr>
          <w:rFonts w:hint="eastAsia" w:ascii="仿宋" w:hAnsi="仿宋" w:eastAsia="仿宋" w:cs="仿宋"/>
          <w:color w:val="FF0000"/>
        </w:rPr>
        <w:sym w:font="Wingdings 2" w:char="00A3"/>
      </w:r>
      <w:r>
        <w:rPr>
          <w:rFonts w:hint="eastAsia" w:ascii="仿宋" w:hAnsi="仿宋" w:eastAsia="仿宋" w:cs="仿宋"/>
          <w:color w:val="FF0000"/>
        </w:rPr>
        <w:t>3/</w:t>
      </w:r>
      <w:r>
        <w:rPr>
          <w:rFonts w:hint="eastAsia" w:ascii="仿宋" w:hAnsi="仿宋" w:eastAsia="仿宋" w:cs="仿宋"/>
          <w:color w:val="FF0000"/>
        </w:rPr>
        <w:sym w:font="Wingdings 2" w:char="00A3"/>
      </w:r>
      <w:r>
        <w:rPr>
          <w:rFonts w:hint="eastAsia" w:ascii="仿宋" w:hAnsi="仿宋" w:eastAsia="仿宋" w:cs="仿宋"/>
          <w:color w:val="FF0000"/>
        </w:rPr>
        <w:t>7</w:t>
      </w:r>
      <w:r>
        <w:rPr>
          <w:rFonts w:hint="eastAsia" w:ascii="仿宋" w:hAnsi="仿宋" w:eastAsia="仿宋" w:cs="仿宋"/>
        </w:rPr>
        <w:t>个工作日内回复甲方在其它时间内提出的与本项目相关的询问。如乙方违反本条的规定，应该承担由此而引起的项目迟延和甲方不能及时付款或配合项目进行的后果。甲方在收到乙方的书面报告后，应当在</w:t>
      </w:r>
      <w:r>
        <w:rPr>
          <w:rFonts w:hint="eastAsia" w:ascii="仿宋" w:hAnsi="仿宋" w:eastAsia="仿宋" w:cs="仿宋"/>
          <w:color w:val="FF0000"/>
        </w:rPr>
        <w:sym w:font="Wingdings 2" w:char="00A3"/>
      </w:r>
      <w:r>
        <w:rPr>
          <w:rFonts w:hint="eastAsia" w:ascii="仿宋" w:hAnsi="仿宋" w:eastAsia="仿宋" w:cs="仿宋"/>
          <w:color w:val="FF0000"/>
        </w:rPr>
        <w:t>1/</w:t>
      </w:r>
      <w:r>
        <w:rPr>
          <w:rFonts w:hint="eastAsia" w:ascii="仿宋" w:hAnsi="仿宋" w:eastAsia="仿宋" w:cs="仿宋"/>
          <w:color w:val="FF0000"/>
        </w:rPr>
        <w:sym w:font="Wingdings 2" w:char="00A3"/>
      </w:r>
      <w:r>
        <w:rPr>
          <w:rFonts w:hint="eastAsia" w:ascii="仿宋" w:hAnsi="仿宋" w:eastAsia="仿宋" w:cs="仿宋"/>
          <w:color w:val="FF0000"/>
        </w:rPr>
        <w:t>3/</w:t>
      </w:r>
      <w:r>
        <w:rPr>
          <w:rFonts w:hint="eastAsia" w:ascii="仿宋" w:hAnsi="仿宋" w:eastAsia="仿宋" w:cs="仿宋"/>
          <w:color w:val="FF0000"/>
        </w:rPr>
        <w:sym w:font="Wingdings 2" w:char="00A3"/>
      </w:r>
      <w:r>
        <w:rPr>
          <w:rFonts w:hint="eastAsia" w:ascii="仿宋" w:hAnsi="仿宋" w:eastAsia="仿宋" w:cs="仿宋"/>
          <w:color w:val="FF0000"/>
        </w:rPr>
        <w:t>7</w:t>
      </w:r>
      <w:r>
        <w:rPr>
          <w:rFonts w:hint="eastAsia" w:ascii="仿宋" w:hAnsi="仿宋" w:eastAsia="仿宋" w:cs="仿宋"/>
        </w:rPr>
        <w:t>个工作日内回复乙方。</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3.8 第三方监理</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第4条 项目变更</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4.1 若甲方提出部分项目的变更建议，甲方应该将变更请求以书面形式提交给乙方。乙方应当在</w:t>
      </w:r>
      <w:r>
        <w:rPr>
          <w:color w:val="000000"/>
          <w:u w:val="single"/>
        </w:rPr>
        <w:t>    </w:t>
      </w:r>
      <w:r>
        <w:rPr>
          <w:rFonts w:hint="eastAsia" w:ascii="仿宋" w:hAnsi="仿宋" w:eastAsia="仿宋" w:cs="仿宋"/>
        </w:rPr>
        <w:t>个工作日内对此作出书面回复，其内容包括该变更对合同价格、项目交付日期、软件的系统性能、项目技术参数的影响和变化以及对合同条款的影响等；</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4.2 甲方在收到乙方的上述回复后，应在</w:t>
      </w:r>
      <w:r>
        <w:rPr>
          <w:color w:val="000000"/>
          <w:u w:val="single"/>
        </w:rPr>
        <w:t>    </w:t>
      </w:r>
      <w:r>
        <w:rPr>
          <w:rFonts w:hint="eastAsia" w:ascii="仿宋" w:hAnsi="仿宋" w:eastAsia="仿宋" w:cs="仿宋"/>
        </w:rPr>
        <w:t>工作日内以书面方式通知乙方是否接受上述回复。如果甲方接受乙方的上述回复，则双方应对此变更以书面形式确认，并按变更后的约定履行本合同。</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4.3 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乙方应按照甲方的书面通知要求执行。</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4.4 如乙方提出部分项目的变更建议，乙方应同时详细阐明该变更对合同价格、项目交付日期、软件性能、项目技术参数的影响以及对合同条款的影响等情况。</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4.5 甲方在收到乙方的上述变更建议后，应在</w:t>
      </w:r>
      <w:r>
        <w:rPr>
          <w:color w:val="000000"/>
          <w:u w:val="single"/>
        </w:rPr>
        <w:t>    </w:t>
      </w:r>
      <w:r>
        <w:rPr>
          <w:rFonts w:hint="eastAsia" w:ascii="仿宋" w:hAnsi="仿宋" w:eastAsia="仿宋" w:cs="仿宋"/>
        </w:rPr>
        <w:t>工作日内以书面形式通知乙方是否同意和接受乙方的上述变更建议。如果甲方同意乙方提出的变更建议，则双方对此变更建议以书面形式确认，双方按变更后的约定履行本合同。如甲方不同意乙方的上述建议，双方仍按原合同执行。</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第5条 交付、领受与验收</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5.1 交付</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5.1.1 乙方应在进行每项交付前</w:t>
      </w:r>
      <w:r>
        <w:rPr>
          <w:rFonts w:hint="eastAsia" w:ascii="仿宋" w:hAnsi="仿宋" w:eastAsia="仿宋" w:cs="仿宋"/>
          <w:color w:val="FF0000"/>
        </w:rPr>
        <w:sym w:font="Wingdings 2" w:char="00A3"/>
      </w:r>
      <w:r>
        <w:rPr>
          <w:rFonts w:hint="eastAsia" w:ascii="仿宋" w:hAnsi="仿宋" w:eastAsia="仿宋" w:cs="仿宋"/>
          <w:color w:val="FF0000"/>
        </w:rPr>
        <w:t>1/</w:t>
      </w:r>
      <w:r>
        <w:rPr>
          <w:rFonts w:hint="eastAsia" w:ascii="仿宋" w:hAnsi="仿宋" w:eastAsia="仿宋" w:cs="仿宋"/>
          <w:color w:val="FF0000"/>
        </w:rPr>
        <w:sym w:font="Wingdings 2" w:char="00A3"/>
      </w:r>
      <w:r>
        <w:rPr>
          <w:rFonts w:hint="eastAsia" w:ascii="仿宋" w:hAnsi="仿宋" w:eastAsia="仿宋" w:cs="仿宋"/>
          <w:color w:val="FF0000"/>
        </w:rPr>
        <w:t>3/</w:t>
      </w:r>
      <w:r>
        <w:rPr>
          <w:rFonts w:hint="eastAsia" w:ascii="仿宋" w:hAnsi="仿宋" w:eastAsia="仿宋" w:cs="仿宋"/>
          <w:color w:val="FF0000"/>
        </w:rPr>
        <w:sym w:font="Wingdings 2" w:char="00A3"/>
      </w:r>
      <w:r>
        <w:rPr>
          <w:rFonts w:hint="eastAsia" w:ascii="仿宋" w:hAnsi="仿宋" w:eastAsia="仿宋" w:cs="仿宋"/>
          <w:color w:val="FF0000"/>
        </w:rPr>
        <w:t>7</w:t>
      </w:r>
      <w:r>
        <w:rPr>
          <w:rFonts w:hint="eastAsia" w:ascii="仿宋" w:hAnsi="仿宋" w:eastAsia="仿宋" w:cs="仿宋"/>
        </w:rPr>
        <w:t>个工作日内，以书面方式通知甲方。甲方应当在接到通知后的</w:t>
      </w:r>
      <w:r>
        <w:rPr>
          <w:rFonts w:hint="eastAsia" w:ascii="仿宋" w:hAnsi="仿宋" w:eastAsia="仿宋" w:cs="仿宋"/>
          <w:color w:val="FF0000"/>
        </w:rPr>
        <w:sym w:font="Wingdings 2" w:char="00A3"/>
      </w:r>
      <w:r>
        <w:rPr>
          <w:rFonts w:hint="eastAsia" w:ascii="仿宋" w:hAnsi="仿宋" w:eastAsia="仿宋" w:cs="仿宋"/>
          <w:color w:val="FF0000"/>
        </w:rPr>
        <w:t>1/</w:t>
      </w:r>
      <w:r>
        <w:rPr>
          <w:rFonts w:hint="eastAsia" w:ascii="仿宋" w:hAnsi="仿宋" w:eastAsia="仿宋" w:cs="仿宋"/>
          <w:color w:val="FF0000"/>
        </w:rPr>
        <w:sym w:font="Wingdings 2" w:char="00A3"/>
      </w:r>
      <w:r>
        <w:rPr>
          <w:rFonts w:hint="eastAsia" w:ascii="仿宋" w:hAnsi="仿宋" w:eastAsia="仿宋" w:cs="仿宋"/>
          <w:color w:val="FF0000"/>
        </w:rPr>
        <w:t>3/</w:t>
      </w:r>
      <w:r>
        <w:rPr>
          <w:rFonts w:hint="eastAsia" w:ascii="仿宋" w:hAnsi="仿宋" w:eastAsia="仿宋" w:cs="仿宋"/>
          <w:color w:val="FF0000"/>
        </w:rPr>
        <w:sym w:font="Wingdings 2" w:char="00A3"/>
      </w:r>
      <w:r>
        <w:rPr>
          <w:rFonts w:hint="eastAsia" w:ascii="仿宋" w:hAnsi="仿宋" w:eastAsia="仿宋" w:cs="仿宋"/>
          <w:color w:val="FF0000"/>
        </w:rPr>
        <w:t>7</w:t>
      </w:r>
      <w:r>
        <w:rPr>
          <w:rFonts w:hint="eastAsia" w:ascii="仿宋" w:hAnsi="仿宋" w:eastAsia="仿宋" w:cs="仿宋"/>
        </w:rPr>
        <w:t>个工作日内安排接受交付。乙方在交付前应根据本合同所列的检测标准对该交付件进行测试，以确认其符合本合同的规定。</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5.1.2 如由于甲方的原因而导致交付不能按照规定的时间进行，乙方将按延期时间顺延交付。</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5.2 交付内容</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5.2.1 乙方应按照合同及其附件所约定的内容进行交付，所交付的文档与文件应当是电子版式和可供人阅读的。具体交</w:t>
      </w:r>
      <w:r>
        <w:rPr>
          <w:rFonts w:hint="eastAsia" w:ascii="仿宋" w:hAnsi="仿宋" w:eastAsia="仿宋" w:cs="仿宋"/>
          <w:color w:val="auto"/>
        </w:rPr>
        <w:t>付内容见</w:t>
      </w:r>
      <w:r>
        <w:rPr>
          <w:rFonts w:hint="eastAsia" w:ascii="仿宋" w:hAnsi="仿宋" w:eastAsia="仿宋" w:cs="仿宋"/>
          <w:color w:val="auto"/>
          <w:highlight w:val="yellow"/>
        </w:rPr>
        <w:t>附件一</w:t>
      </w:r>
      <w:r>
        <w:rPr>
          <w:rFonts w:hint="eastAsia" w:ascii="仿宋" w:hAnsi="仿宋" w:eastAsia="仿宋" w:cs="仿宋"/>
          <w:color w:val="auto"/>
        </w:rPr>
        <w:t>。</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5.2.2 如乙方所交付项目存在故障或问题，经甲方要求，乙方应在</w:t>
      </w:r>
      <w:r>
        <w:rPr>
          <w:rFonts w:hint="eastAsia" w:ascii="仿宋" w:hAnsi="仿宋" w:eastAsia="仿宋" w:cs="仿宋"/>
          <w:color w:val="FF0000"/>
        </w:rPr>
        <w:sym w:font="Wingdings 2" w:char="00A3"/>
      </w:r>
      <w:r>
        <w:rPr>
          <w:rFonts w:hint="eastAsia" w:ascii="仿宋" w:hAnsi="仿宋" w:eastAsia="仿宋" w:cs="仿宋"/>
          <w:color w:val="FF0000"/>
        </w:rPr>
        <w:t>1/</w:t>
      </w:r>
      <w:r>
        <w:rPr>
          <w:rFonts w:hint="eastAsia" w:ascii="仿宋" w:hAnsi="仿宋" w:eastAsia="仿宋" w:cs="仿宋"/>
          <w:color w:val="FF0000"/>
        </w:rPr>
        <w:sym w:font="Wingdings 2" w:char="00A3"/>
      </w:r>
      <w:r>
        <w:rPr>
          <w:rFonts w:hint="eastAsia" w:ascii="仿宋" w:hAnsi="仿宋" w:eastAsia="仿宋" w:cs="仿宋"/>
          <w:color w:val="FF0000"/>
        </w:rPr>
        <w:t>3</w:t>
      </w:r>
      <w:r>
        <w:rPr>
          <w:rFonts w:hint="eastAsia" w:ascii="仿宋" w:hAnsi="仿宋" w:eastAsia="仿宋" w:cs="仿宋"/>
        </w:rPr>
        <w:t>个工作日内帮助处理此项故障或问题，由此而发生的费用由乙方承担。</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5.3 领受</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甲方在领受了上述交付件后，应立即对该交付件进行测试和评估，以确认其是否符合开发软件的功能和规格。如有缺陷，乙方应立即纠正该缺陷，并再次进行测试和评估。甲、乙双方将重复此项程序直至甲方领受，或由甲方依法或依约终止本合同为止。</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5.4 软件系统试运行</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5.4.1 自软件交付通过之日起，甲方拥有</w:t>
      </w:r>
      <w:r>
        <w:rPr>
          <w:color w:val="FF0000"/>
        </w:rPr>
        <w:sym w:font="Wingdings 2" w:char="00A3"/>
      </w:r>
      <w:r>
        <w:rPr>
          <w:rFonts w:hint="eastAsia"/>
          <w:color w:val="FF0000"/>
        </w:rPr>
        <w:t>1/</w:t>
      </w:r>
      <w:r>
        <w:rPr>
          <w:color w:val="FF0000"/>
        </w:rPr>
        <w:sym w:font="Wingdings 2" w:char="00A3"/>
      </w:r>
      <w:r>
        <w:rPr>
          <w:rFonts w:hint="eastAsia"/>
          <w:color w:val="FF0000"/>
        </w:rPr>
        <w:t>3/</w:t>
      </w:r>
      <w:r>
        <w:rPr>
          <w:color w:val="FF0000"/>
        </w:rPr>
        <w:sym w:font="Wingdings 2" w:char="00A3"/>
      </w:r>
      <w:r>
        <w:rPr>
          <w:rFonts w:hint="eastAsia"/>
          <w:color w:val="FF0000"/>
        </w:rPr>
        <w:t>6</w:t>
      </w:r>
      <w:r>
        <w:rPr>
          <w:rFonts w:hint="eastAsia" w:ascii="仿宋" w:hAnsi="仿宋" w:eastAsia="仿宋" w:cs="仿宋"/>
        </w:rPr>
        <w:t>个月试运行权利。</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5.4.2 如由于乙方原因，软件在试运行期间出现故障或问题，乙方应及时排除该方面的故障或问题，所引起的相关费用由乙方承担。</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5.4.3 乙方应在合理的期限内排除故障或处理问题。如以上故障或问题影响软件基本功能和目标的实现，且排除故障或处理问题的时间超过</w:t>
      </w:r>
      <w:r>
        <w:rPr>
          <w:color w:val="000000"/>
          <w:u w:val="single"/>
        </w:rPr>
        <w:t>    </w:t>
      </w:r>
      <w:r>
        <w:rPr>
          <w:rFonts w:hint="eastAsia" w:ascii="仿宋" w:hAnsi="仿宋" w:eastAsia="仿宋" w:cs="仿宋"/>
        </w:rPr>
        <w:t>个工作日（自收到甲方通知之日起计），则视为乙方交付违约。</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5.5 系统验收</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5.5.1 软件试运行完成后，甲方应及时按规定对该软件进行系统验收。乙方应以书面形式向甲方递交验收申请书，甲方在收到验收申请书的</w:t>
      </w:r>
      <w:r>
        <w:rPr>
          <w:rFonts w:hint="eastAsia" w:ascii="仿宋" w:hAnsi="仿宋" w:eastAsia="仿宋" w:cs="仿宋"/>
          <w:color w:val="FF0000"/>
        </w:rPr>
        <w:sym w:font="Wingdings 2" w:char="00A3"/>
      </w:r>
      <w:r>
        <w:rPr>
          <w:rFonts w:hint="eastAsia" w:ascii="仿宋" w:hAnsi="仿宋" w:eastAsia="仿宋" w:cs="仿宋"/>
          <w:color w:val="FF0000"/>
        </w:rPr>
        <w:t>1/</w:t>
      </w:r>
      <w:r>
        <w:rPr>
          <w:rFonts w:hint="eastAsia" w:ascii="仿宋" w:hAnsi="仿宋" w:eastAsia="仿宋" w:cs="仿宋"/>
          <w:color w:val="FF0000"/>
        </w:rPr>
        <w:sym w:font="Wingdings 2" w:char="00A3"/>
      </w:r>
      <w:r>
        <w:rPr>
          <w:rFonts w:hint="eastAsia" w:ascii="仿宋" w:hAnsi="仿宋" w:eastAsia="仿宋" w:cs="仿宋"/>
          <w:color w:val="FF0000"/>
        </w:rPr>
        <w:t>3/</w:t>
      </w:r>
      <w:r>
        <w:rPr>
          <w:rFonts w:hint="eastAsia" w:ascii="仿宋" w:hAnsi="仿宋" w:eastAsia="仿宋" w:cs="仿宋"/>
          <w:color w:val="FF0000"/>
        </w:rPr>
        <w:sym w:font="Wingdings 2" w:char="00A3"/>
      </w:r>
      <w:r>
        <w:rPr>
          <w:rFonts w:hint="eastAsia" w:ascii="仿宋" w:hAnsi="仿宋" w:eastAsia="仿宋" w:cs="仿宋"/>
          <w:color w:val="FF0000"/>
        </w:rPr>
        <w:t>7</w:t>
      </w:r>
      <w:r>
        <w:rPr>
          <w:rFonts w:hint="eastAsia" w:ascii="仿宋" w:hAnsi="仿宋" w:eastAsia="仿宋" w:cs="仿宋"/>
        </w:rPr>
        <w:t>个工作日内，安排具体日期，由甲、乙双方按照本合同的规定完成软件系统验收。</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5.5.2 如属于乙方原因致使软件未通过系统验收，乙方应排除故障，并承担相关费用，</w:t>
      </w:r>
      <w:r>
        <w:rPr>
          <w:rFonts w:hint="eastAsia" w:ascii="仿宋" w:hAnsi="仿宋" w:eastAsia="仿宋" w:cs="仿宋"/>
          <w:color w:val="FF0000"/>
        </w:rPr>
        <w:sym w:font="Wingdings 2" w:char="00A3"/>
      </w:r>
      <w:r>
        <w:rPr>
          <w:rFonts w:hint="eastAsia" w:ascii="仿宋" w:hAnsi="仿宋" w:eastAsia="仿宋" w:cs="仿宋"/>
        </w:rPr>
        <w:t>重新计算运行期限/</w:t>
      </w:r>
      <w:r>
        <w:rPr>
          <w:rFonts w:hint="eastAsia" w:ascii="仿宋" w:hAnsi="仿宋" w:eastAsia="仿宋" w:cs="仿宋"/>
          <w:color w:val="FF0000"/>
        </w:rPr>
        <w:sym w:font="Wingdings 2" w:char="00A3"/>
      </w:r>
      <w:r>
        <w:rPr>
          <w:rFonts w:hint="eastAsia" w:ascii="仿宋" w:hAnsi="仿宋" w:eastAsia="仿宋" w:cs="仿宋"/>
        </w:rPr>
        <w:t>同时延长试运行期限</w:t>
      </w:r>
      <w:r>
        <w:rPr>
          <w:color w:val="000000"/>
          <w:u w:val="single"/>
        </w:rPr>
        <w:t>    </w:t>
      </w:r>
      <w:r>
        <w:rPr>
          <w:rFonts w:hint="eastAsia" w:ascii="仿宋" w:hAnsi="仿宋" w:eastAsia="仿宋" w:cs="仿宋"/>
        </w:rPr>
        <w:t> 个工作日，直至软件系统完全符合验收标准。</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5.5.3 如属于甲方原因致使软件未通过系统验收，如属甲方原有计算机系统故障原因，甲方应在合理时间内排除故障，再进行验收。</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第6条 知识产权和使用权</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6.1 知识产权</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甲方拥有开发软件的知识产权。乙方非经对方同意，不得以任何方式向第三方披露、转让和许可有关的技术成果、计算机软件、技术诀窍、秘密信息、技术资料和文件。除本研发工作需要之外，未得到甲方的书面许可，乙方不得以任何方式商业性地利用上述资料和技术。如乙方违反本条的规定，除立即停止违约行为外，还应支付合同总金额的20%的违约金以及赔偿甲方的损失。</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6.2 乙方在使用甲方提供的属于第三方软件时，应当依照甲方与第三方对该软件使用的约定进行，否则乙方需承担因其违约使用而导致甲方需承担的全部违约责任及损失赔偿责任。</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6.3 乙方在领受甲方提供的软件后，应严格遵守相关的知识产权及软件版权保护的法律、法规，并在本合同所规定的范围内使用本软件。乙方因非经授权而实施的商业性复制行为构成违约或侵权责任造成甲方损失的，由其承担相关责任。</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6.4 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第7条 维护和培训</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7.1 软件的维护和支持</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乙方同意在本合同规定的期限内按照</w:t>
      </w:r>
      <w:r>
        <w:rPr>
          <w:rFonts w:hint="eastAsia" w:ascii="仿宋" w:hAnsi="仿宋" w:eastAsia="仿宋" w:cs="仿宋"/>
          <w:highlight w:val="yellow"/>
        </w:rPr>
        <w:t>附件五</w:t>
      </w:r>
      <w:r>
        <w:rPr>
          <w:rFonts w:hint="eastAsia" w:ascii="仿宋" w:hAnsi="仿宋" w:eastAsia="仿宋" w:cs="仿宋"/>
        </w:rPr>
        <w:t>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另行签订维护和支持协议，维护和支持服务期为自</w:t>
      </w:r>
      <w:r>
        <w:rPr>
          <w:rFonts w:hint="eastAsia" w:ascii="仿宋" w:hAnsi="仿宋" w:eastAsia="仿宋" w:cs="仿宋"/>
          <w:u w:val="single"/>
        </w:rPr>
        <w:t xml:space="preserve">           </w:t>
      </w:r>
      <w:r>
        <w:rPr>
          <w:rFonts w:hint="eastAsia" w:ascii="仿宋" w:hAnsi="仿宋" w:eastAsia="仿宋" w:cs="仿宋"/>
        </w:rPr>
        <w:t>之日起至</w:t>
      </w:r>
      <w:r>
        <w:rPr>
          <w:rFonts w:hint="eastAsia" w:ascii="仿宋" w:hAnsi="仿宋" w:eastAsia="仿宋" w:cs="仿宋"/>
          <w:u w:val="single"/>
        </w:rPr>
        <w:t xml:space="preserve">                 </w:t>
      </w:r>
      <w:r>
        <w:rPr>
          <w:rFonts w:hint="eastAsia" w:ascii="仿宋" w:hAnsi="仿宋" w:eastAsia="仿宋" w:cs="仿宋"/>
        </w:rPr>
        <w:t>之日止。</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7.2 项目培训</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乙方应及时对甲方的相关人员和最终用户进行培训，培训目标为受训者能够独立、熟练地完成操作，实现依据本合同所规定的软件的目标和功能。</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培训计划详见</w:t>
      </w:r>
      <w:r>
        <w:rPr>
          <w:rFonts w:hint="eastAsia" w:ascii="仿宋" w:hAnsi="仿宋" w:eastAsia="仿宋" w:cs="仿宋"/>
          <w:highlight w:val="yellow"/>
        </w:rPr>
        <w:t>附件五</w:t>
      </w:r>
      <w:r>
        <w:rPr>
          <w:rFonts w:hint="eastAsia" w:ascii="仿宋" w:hAnsi="仿宋" w:eastAsia="仿宋" w:cs="仿宋"/>
        </w:rPr>
        <w:t>。</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第8条 价格与付款方式</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8.1 价格</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8.1.1 合同含税总价款为为￥</w:t>
      </w:r>
      <w:r>
        <w:rPr>
          <w:color w:val="000000"/>
          <w:u w:val="single"/>
        </w:rPr>
        <w:t> </w:t>
      </w:r>
      <w:r>
        <w:rPr>
          <w:rFonts w:hint="eastAsia"/>
          <w:color w:val="000000"/>
          <w:u w:val="single"/>
        </w:rPr>
        <w:t xml:space="preserve"> </w:t>
      </w:r>
      <w:r>
        <w:rPr>
          <w:rFonts w:hint="eastAsia" w:ascii="仿宋" w:hAnsi="仿宋" w:eastAsia="仿宋" w:cs="仿宋"/>
        </w:rPr>
        <w:t>元（大写：人民币</w:t>
      </w:r>
      <w:r>
        <w:rPr>
          <w:color w:val="000000"/>
          <w:u w:val="single"/>
        </w:rPr>
        <w:t> </w:t>
      </w:r>
      <w:r>
        <w:rPr>
          <w:rFonts w:hint="eastAsia"/>
          <w:color w:val="000000"/>
          <w:u w:val="single"/>
        </w:rPr>
        <w:t xml:space="preserve"> </w:t>
      </w:r>
      <w:r>
        <w:rPr>
          <w:rFonts w:hint="eastAsia" w:ascii="仿宋" w:hAnsi="仿宋" w:eastAsia="仿宋" w:cs="仿宋"/>
        </w:rPr>
        <w:t>），其中不含税金额为￥</w:t>
      </w:r>
      <w:r>
        <w:rPr>
          <w:color w:val="000000"/>
          <w:u w:val="single"/>
        </w:rPr>
        <w:t> </w:t>
      </w:r>
      <w:r>
        <w:rPr>
          <w:rFonts w:hint="eastAsia"/>
          <w:color w:val="000000"/>
          <w:u w:val="single"/>
        </w:rPr>
        <w:t xml:space="preserve"> </w:t>
      </w:r>
      <w:r>
        <w:rPr>
          <w:rFonts w:hint="eastAsia" w:ascii="仿宋" w:hAnsi="仿宋" w:eastAsia="仿宋" w:cs="仿宋"/>
        </w:rPr>
        <w:t>元（大写：人民币</w:t>
      </w:r>
      <w:r>
        <w:rPr>
          <w:color w:val="000000"/>
          <w:u w:val="single"/>
        </w:rPr>
        <w:t> </w:t>
      </w:r>
      <w:r>
        <w:rPr>
          <w:rFonts w:hint="eastAsia"/>
          <w:color w:val="000000"/>
          <w:u w:val="single"/>
        </w:rPr>
        <w:t xml:space="preserve"> </w:t>
      </w:r>
      <w:r>
        <w:rPr>
          <w:rFonts w:hint="eastAsia" w:ascii="仿宋" w:hAnsi="仿宋" w:eastAsia="仿宋" w:cs="仿宋"/>
        </w:rPr>
        <w:t>），税金为￥</w:t>
      </w:r>
      <w:r>
        <w:rPr>
          <w:color w:val="000000"/>
          <w:u w:val="single"/>
        </w:rPr>
        <w:t> </w:t>
      </w:r>
      <w:r>
        <w:rPr>
          <w:rFonts w:hint="eastAsia"/>
          <w:color w:val="000000"/>
          <w:u w:val="single"/>
        </w:rPr>
        <w:t xml:space="preserve"> </w:t>
      </w:r>
      <w:r>
        <w:rPr>
          <w:rFonts w:hint="eastAsia" w:ascii="仿宋" w:hAnsi="仿宋" w:eastAsia="仿宋" w:cs="仿宋"/>
        </w:rPr>
        <w:t>元（大写：人民币</w:t>
      </w:r>
      <w:r>
        <w:rPr>
          <w:color w:val="000000"/>
          <w:u w:val="single"/>
        </w:rPr>
        <w:t> </w:t>
      </w:r>
      <w:r>
        <w:rPr>
          <w:rFonts w:hint="eastAsia"/>
          <w:color w:val="000000"/>
          <w:u w:val="single"/>
        </w:rPr>
        <w:t xml:space="preserve"> </w:t>
      </w:r>
      <w:r>
        <w:rPr>
          <w:rFonts w:hint="eastAsia" w:ascii="仿宋" w:hAnsi="仿宋" w:eastAsia="仿宋" w:cs="仿宋"/>
        </w:rPr>
        <w:t>），税率为</w:t>
      </w:r>
      <w:r>
        <w:rPr>
          <w:color w:val="000000"/>
          <w:u w:val="single"/>
        </w:rPr>
        <w:t> </w:t>
      </w:r>
      <w:r>
        <w:rPr>
          <w:rFonts w:hint="eastAsia"/>
          <w:color w:val="000000"/>
          <w:u w:val="single"/>
        </w:rPr>
        <w:t xml:space="preserve"> </w:t>
      </w:r>
      <w:r>
        <w:rPr>
          <w:rFonts w:hint="eastAsia" w:ascii="仿宋" w:hAnsi="仿宋" w:eastAsia="仿宋" w:cs="仿宋"/>
        </w:rPr>
        <w:t xml:space="preserve">%的增值税专用发票。在合同执行过程中，如因国家税务政策调整，当增值税税率提高，本合同含税总价不变；当增值税税率降低，本合同不含税总价不变，并相应减少增值税金额。  </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8.2付款方式</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8.2.1乙方同意甲方每次向乙方支付的合同款的前提条件是本合同项下的相应软件系统验收合格。</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8.2.2 合同项下所有款额甲方向乙方在本合同中所约定的银行账户以人民币支付。</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8.2.3 本合同分</w:t>
      </w:r>
      <w:r>
        <w:rPr>
          <w:color w:val="000000"/>
          <w:u w:val="single"/>
        </w:rPr>
        <w:t> </w:t>
      </w:r>
      <w:r>
        <w:rPr>
          <w:rFonts w:hint="eastAsia"/>
          <w:color w:val="000000"/>
          <w:u w:val="single"/>
        </w:rPr>
        <w:t xml:space="preserve"> </w:t>
      </w:r>
      <w:r>
        <w:rPr>
          <w:rFonts w:hint="eastAsia" w:ascii="仿宋" w:hAnsi="仿宋" w:eastAsia="仿宋" w:cs="仿宋"/>
          <w:color w:val="000000"/>
        </w:rPr>
        <w:t>次支付，</w:t>
      </w:r>
      <w:r>
        <w:rPr>
          <w:rFonts w:hint="eastAsia" w:ascii="仿宋" w:hAnsi="仿宋" w:eastAsia="仿宋" w:cs="仿宋"/>
        </w:rPr>
        <w:t>甲方向乙方以如下方式及比例支付：</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（A） 第一笔付款：即合同总价的</w:t>
      </w:r>
      <w:r>
        <w:rPr>
          <w:color w:val="000000"/>
          <w:u w:val="single"/>
        </w:rPr>
        <w:t>    </w:t>
      </w:r>
      <w:r>
        <w:rPr>
          <w:rFonts w:hint="eastAsia" w:ascii="仿宋" w:hAnsi="仿宋" w:eastAsia="仿宋" w:cs="仿宋"/>
        </w:rPr>
        <w:t>％，计人民币</w:t>
      </w:r>
      <w:r>
        <w:rPr>
          <w:color w:val="000000"/>
          <w:u w:val="single"/>
        </w:rPr>
        <w:t>    </w:t>
      </w:r>
      <w:r>
        <w:rPr>
          <w:rFonts w:hint="eastAsia" w:ascii="仿宋" w:hAnsi="仿宋" w:eastAsia="仿宋" w:cs="仿宋"/>
        </w:rPr>
        <w:t>元（大写：</w:t>
      </w:r>
      <w:r>
        <w:rPr>
          <w:color w:val="000000"/>
          <w:u w:val="single"/>
        </w:rPr>
        <w:t>    </w:t>
      </w:r>
      <w:r>
        <w:rPr>
          <w:rFonts w:hint="eastAsia" w:ascii="仿宋" w:hAnsi="仿宋" w:eastAsia="仿宋" w:cs="仿宋"/>
        </w:rPr>
        <w:t>），在乙方完成里程碑1工作后15个工作日内，甲方向乙方支付；</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（B） 第二笔付款：即合同总价的</w:t>
      </w:r>
      <w:r>
        <w:rPr>
          <w:color w:val="000000"/>
          <w:u w:val="single"/>
        </w:rPr>
        <w:t>    </w:t>
      </w:r>
      <w:r>
        <w:rPr>
          <w:rFonts w:hint="eastAsia" w:ascii="仿宋" w:hAnsi="仿宋" w:eastAsia="仿宋" w:cs="仿宋"/>
        </w:rPr>
        <w:t>％，计人民币</w:t>
      </w:r>
      <w:r>
        <w:rPr>
          <w:color w:val="000000"/>
          <w:u w:val="single"/>
        </w:rPr>
        <w:t>    </w:t>
      </w:r>
      <w:r>
        <w:rPr>
          <w:rFonts w:hint="eastAsia" w:ascii="仿宋" w:hAnsi="仿宋" w:eastAsia="仿宋" w:cs="仿宋"/>
        </w:rPr>
        <w:t>元（大写：</w:t>
      </w:r>
      <w:r>
        <w:rPr>
          <w:color w:val="000000"/>
          <w:u w:val="single"/>
        </w:rPr>
        <w:t>    </w:t>
      </w:r>
      <w:r>
        <w:rPr>
          <w:rFonts w:hint="eastAsia" w:ascii="仿宋" w:hAnsi="仿宋" w:eastAsia="仿宋" w:cs="仿宋"/>
        </w:rPr>
        <w:t>），在乙方完成里程碑2工作后15个工作日内，甲方向乙方支付；</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（C） 第三笔付款：即合同总价的</w:t>
      </w:r>
      <w:r>
        <w:rPr>
          <w:color w:val="000000"/>
          <w:u w:val="single"/>
        </w:rPr>
        <w:t>    </w:t>
      </w:r>
      <w:r>
        <w:rPr>
          <w:rFonts w:hint="eastAsia" w:ascii="仿宋" w:hAnsi="仿宋" w:eastAsia="仿宋" w:cs="仿宋"/>
        </w:rPr>
        <w:t xml:space="preserve"> ％，计人民币</w:t>
      </w:r>
      <w:r>
        <w:rPr>
          <w:color w:val="000000"/>
          <w:u w:val="single"/>
        </w:rPr>
        <w:t>    </w:t>
      </w:r>
      <w:r>
        <w:rPr>
          <w:rFonts w:hint="eastAsia" w:ascii="仿宋" w:hAnsi="仿宋" w:eastAsia="仿宋" w:cs="仿宋"/>
        </w:rPr>
        <w:t>元（大写：</w:t>
      </w:r>
      <w:r>
        <w:rPr>
          <w:color w:val="000000"/>
          <w:u w:val="single"/>
        </w:rPr>
        <w:t>    </w:t>
      </w:r>
      <w:r>
        <w:rPr>
          <w:rFonts w:hint="eastAsia" w:ascii="仿宋" w:hAnsi="仿宋" w:eastAsia="仿宋" w:cs="仿宋"/>
        </w:rPr>
        <w:t>），在乙方完成里程碑3工作后15个工作日内，甲方向乙方支付；</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（D） 第四笔付款：即合同总价的</w:t>
      </w:r>
      <w:r>
        <w:rPr>
          <w:color w:val="000000"/>
          <w:u w:val="single"/>
        </w:rPr>
        <w:t>    </w:t>
      </w:r>
      <w:r>
        <w:rPr>
          <w:rFonts w:hint="eastAsia" w:ascii="仿宋" w:hAnsi="仿宋" w:eastAsia="仿宋" w:cs="仿宋"/>
        </w:rPr>
        <w:t xml:space="preserve"> ％，计人民币</w:t>
      </w:r>
      <w:r>
        <w:rPr>
          <w:color w:val="000000"/>
          <w:u w:val="single"/>
        </w:rPr>
        <w:t>    </w:t>
      </w:r>
      <w:r>
        <w:rPr>
          <w:rFonts w:hint="eastAsia" w:ascii="仿宋" w:hAnsi="仿宋" w:eastAsia="仿宋" w:cs="仿宋"/>
        </w:rPr>
        <w:t>元（大写：</w:t>
      </w:r>
      <w:r>
        <w:rPr>
          <w:color w:val="000000"/>
          <w:u w:val="single"/>
        </w:rPr>
        <w:t>    </w:t>
      </w:r>
      <w:r>
        <w:rPr>
          <w:rFonts w:hint="eastAsia" w:ascii="仿宋" w:hAnsi="仿宋" w:eastAsia="仿宋" w:cs="仿宋"/>
        </w:rPr>
        <w:t>），在乙方完成里程碑4工作后15个工作日内，甲方向乙方支付；</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（E）第</w:t>
      </w:r>
      <w:r>
        <w:rPr>
          <w:color w:val="000000"/>
          <w:u w:val="single"/>
        </w:rPr>
        <w:t> </w:t>
      </w:r>
      <w:r>
        <w:rPr>
          <w:rFonts w:hint="eastAsia" w:ascii="仿宋" w:hAnsi="仿宋" w:eastAsia="仿宋" w:cs="仿宋"/>
        </w:rPr>
        <w:t>笔付款：即合同总价的</w:t>
      </w:r>
      <w:r>
        <w:rPr>
          <w:color w:val="000000"/>
          <w:u w:val="single"/>
        </w:rPr>
        <w:t>    </w:t>
      </w:r>
      <w:r>
        <w:rPr>
          <w:rFonts w:hint="eastAsia" w:ascii="仿宋" w:hAnsi="仿宋" w:eastAsia="仿宋" w:cs="仿宋"/>
        </w:rPr>
        <w:t>％，计人民币</w:t>
      </w:r>
      <w:r>
        <w:rPr>
          <w:color w:val="000000"/>
          <w:u w:val="single"/>
        </w:rPr>
        <w:t>    </w:t>
      </w:r>
      <w:r>
        <w:rPr>
          <w:rFonts w:hint="eastAsia" w:ascii="仿宋" w:hAnsi="仿宋" w:eastAsia="仿宋" w:cs="仿宋"/>
        </w:rPr>
        <w:t>元（大写：</w:t>
      </w:r>
      <w:r>
        <w:rPr>
          <w:color w:val="000000"/>
          <w:u w:val="single"/>
        </w:rPr>
        <w:t>    </w:t>
      </w:r>
      <w:r>
        <w:rPr>
          <w:rFonts w:hint="eastAsia" w:ascii="仿宋" w:hAnsi="仿宋" w:eastAsia="仿宋" w:cs="仿宋"/>
        </w:rPr>
        <w:t>），保修期满后</w:t>
      </w:r>
      <w:r>
        <w:rPr>
          <w:rFonts w:hint="eastAsia" w:eastAsia="仿宋"/>
          <w:color w:val="000000"/>
        </w:rPr>
        <w:t>30个工作日内</w:t>
      </w:r>
      <w:r>
        <w:rPr>
          <w:rFonts w:hint="eastAsia" w:ascii="仿宋" w:hAnsi="仿宋" w:eastAsia="仿宋" w:cs="仿宋"/>
        </w:rPr>
        <w:t>由甲方扣除应由乙方承担的</w:t>
      </w:r>
      <w:r>
        <w:rPr>
          <w:rFonts w:hint="eastAsia" w:ascii="仿宋" w:hAnsi="仿宋" w:eastAsia="仿宋" w:cs="仿宋"/>
          <w:color w:val="FF0000"/>
        </w:rPr>
        <w:t>保修费用和/或赔偿费用后</w:t>
      </w:r>
      <w:r>
        <w:rPr>
          <w:rFonts w:hint="eastAsia" w:ascii="仿宋" w:hAnsi="仿宋" w:eastAsia="仿宋" w:cs="仿宋"/>
        </w:rPr>
        <w:t>无息支付给乙方。</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8.3 根据本合同的规定，如果乙方有</w:t>
      </w:r>
      <w:r>
        <w:rPr>
          <w:rFonts w:hint="eastAsia" w:ascii="仿宋" w:hAnsi="仿宋" w:eastAsia="仿宋" w:cs="仿宋"/>
          <w:color w:val="FF0000"/>
        </w:rPr>
        <w:t>赔偿和/或支付违约金</w:t>
      </w:r>
      <w:r>
        <w:rPr>
          <w:rFonts w:hint="eastAsia" w:ascii="仿宋" w:hAnsi="仿宋" w:eastAsia="仿宋" w:cs="仿宋"/>
        </w:rPr>
        <w:t>的责任，则甲方有权从上述任何一笔付款中扣除相应金额。</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8.4 乙方结算账号：</w:t>
      </w:r>
    </w:p>
    <w:tbl>
      <w:tblPr>
        <w:tblStyle w:val="43"/>
        <w:tblW w:w="8322" w:type="dxa"/>
        <w:jc w:val="center"/>
        <w:tblLayout w:type="fixed"/>
        <w:tblCellMar>
          <w:top w:w="0" w:type="dxa"/>
          <w:left w:w="108" w:type="dxa"/>
          <w:bottom w:w="0" w:type="dxa"/>
          <w:right w:w="108" w:type="dxa"/>
        </w:tblCellMar>
      </w:tblPr>
      <w:tblGrid>
        <w:gridCol w:w="1705"/>
        <w:gridCol w:w="6617"/>
      </w:tblGrid>
      <w:tr>
        <w:trPr>
          <w:trHeight w:val="353" w:hRule="atLeast"/>
          <w:jc w:val="center"/>
        </w:trPr>
        <w:tc>
          <w:tcPr>
            <w:tcW w:w="1705" w:type="dxa"/>
            <w:tcBorders>
              <w:top w:val="single" w:color="auto" w:sz="6" w:space="0"/>
              <w:left w:val="single" w:color="auto" w:sz="6" w:space="0"/>
              <w:bottom w:val="single" w:color="auto" w:sz="6" w:space="0"/>
              <w:right w:val="single" w:color="auto" w:sz="6" w:space="0"/>
            </w:tcBorders>
            <w:vAlign w:val="center"/>
          </w:tcPr>
          <w:p>
            <w:pPr>
              <w:tabs>
                <w:tab w:val="left" w:pos="40"/>
              </w:tabs>
              <w:ind w:firstLine="38" w:firstLineChars="16"/>
              <w:jc w:val="center"/>
              <w:rPr>
                <w:rFonts w:ascii="仿宋" w:hAnsi="仿宋" w:eastAsia="仿宋" w:cs="仿宋"/>
                <w:kern w:val="0"/>
                <w:sz w:val="24"/>
              </w:rPr>
            </w:pPr>
            <w:r>
              <w:rPr>
                <w:rFonts w:hint="eastAsia" w:ascii="仿宋" w:hAnsi="仿宋" w:eastAsia="仿宋" w:cs="仿宋"/>
                <w:kern w:val="0"/>
                <w:sz w:val="24"/>
              </w:rPr>
              <w:t>开户银行</w:t>
            </w:r>
          </w:p>
        </w:tc>
        <w:tc>
          <w:tcPr>
            <w:tcW w:w="6617" w:type="dxa"/>
            <w:tcBorders>
              <w:top w:val="single" w:color="auto" w:sz="6" w:space="0"/>
              <w:left w:val="single" w:color="auto" w:sz="6" w:space="0"/>
              <w:bottom w:val="single" w:color="auto" w:sz="6" w:space="0"/>
              <w:right w:val="single" w:color="auto" w:sz="6" w:space="0"/>
            </w:tcBorders>
            <w:vAlign w:val="center"/>
          </w:tcPr>
          <w:p>
            <w:pPr>
              <w:widowControl/>
              <w:tabs>
                <w:tab w:val="left" w:pos="410"/>
              </w:tabs>
              <w:autoSpaceDE w:val="0"/>
              <w:autoSpaceDN w:val="0"/>
              <w:ind w:firstLine="480" w:firstLineChars="200"/>
              <w:jc w:val="left"/>
              <w:textAlignment w:val="bottom"/>
              <w:outlineLvl w:val="0"/>
              <w:rPr>
                <w:rFonts w:ascii="仿宋" w:hAnsi="仿宋" w:eastAsia="仿宋" w:cs="仿宋"/>
                <w:kern w:val="0"/>
                <w:sz w:val="24"/>
              </w:rPr>
            </w:pPr>
          </w:p>
        </w:tc>
      </w:tr>
      <w:tr>
        <w:tblPrEx>
          <w:tblCellMar>
            <w:top w:w="0" w:type="dxa"/>
            <w:left w:w="108" w:type="dxa"/>
            <w:bottom w:w="0" w:type="dxa"/>
            <w:right w:w="108" w:type="dxa"/>
          </w:tblCellMar>
        </w:tblPrEx>
        <w:trPr>
          <w:trHeight w:val="368" w:hRule="atLeast"/>
          <w:jc w:val="center"/>
        </w:trPr>
        <w:tc>
          <w:tcPr>
            <w:tcW w:w="1705" w:type="dxa"/>
            <w:tcBorders>
              <w:top w:val="single" w:color="auto" w:sz="6" w:space="0"/>
              <w:left w:val="single" w:color="auto" w:sz="6" w:space="0"/>
              <w:bottom w:val="single" w:color="auto" w:sz="6" w:space="0"/>
              <w:right w:val="single" w:color="auto" w:sz="6" w:space="0"/>
            </w:tcBorders>
            <w:vAlign w:val="center"/>
          </w:tcPr>
          <w:p>
            <w:pPr>
              <w:tabs>
                <w:tab w:val="left" w:pos="40"/>
              </w:tabs>
              <w:ind w:firstLine="38" w:firstLineChars="16"/>
              <w:jc w:val="center"/>
              <w:rPr>
                <w:rFonts w:ascii="仿宋" w:hAnsi="仿宋" w:eastAsia="仿宋" w:cs="仿宋"/>
                <w:kern w:val="0"/>
                <w:sz w:val="24"/>
              </w:rPr>
            </w:pPr>
            <w:r>
              <w:rPr>
                <w:rFonts w:hint="eastAsia" w:ascii="仿宋" w:hAnsi="仿宋" w:eastAsia="仿宋" w:cs="仿宋"/>
                <w:kern w:val="0"/>
                <w:sz w:val="24"/>
              </w:rPr>
              <w:t>银行账号</w:t>
            </w:r>
          </w:p>
        </w:tc>
        <w:tc>
          <w:tcPr>
            <w:tcW w:w="6617" w:type="dxa"/>
            <w:tcBorders>
              <w:top w:val="single" w:color="auto" w:sz="6" w:space="0"/>
              <w:left w:val="single" w:color="auto" w:sz="6" w:space="0"/>
              <w:bottom w:val="single" w:color="auto" w:sz="6" w:space="0"/>
              <w:right w:val="single" w:color="auto" w:sz="6" w:space="0"/>
            </w:tcBorders>
            <w:vAlign w:val="center"/>
          </w:tcPr>
          <w:p>
            <w:pPr>
              <w:widowControl/>
              <w:tabs>
                <w:tab w:val="left" w:pos="410"/>
              </w:tabs>
              <w:autoSpaceDE w:val="0"/>
              <w:autoSpaceDN w:val="0"/>
              <w:ind w:firstLine="480" w:firstLineChars="200"/>
              <w:jc w:val="left"/>
              <w:textAlignment w:val="bottom"/>
              <w:outlineLvl w:val="0"/>
              <w:rPr>
                <w:rFonts w:ascii="仿宋" w:hAnsi="仿宋" w:eastAsia="仿宋" w:cs="仿宋"/>
                <w:kern w:val="0"/>
                <w:sz w:val="24"/>
              </w:rPr>
            </w:pPr>
          </w:p>
        </w:tc>
      </w:tr>
    </w:tbl>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乙方如需改变上述账户，应提前十日以书面通知甲方。</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8.5乙方在每次支付</w:t>
      </w:r>
      <w:r>
        <w:rPr>
          <w:color w:val="000000"/>
          <w:u w:val="single"/>
        </w:rPr>
        <w:t xml:space="preserve">  </w:t>
      </w:r>
      <w:r>
        <w:rPr>
          <w:rFonts w:hint="eastAsia" w:ascii="仿宋" w:hAnsi="仿宋" w:eastAsia="仿宋" w:cs="仿宋"/>
        </w:rPr>
        <w:t>天前申请向甲方开具支付款等额合法有效增值税专用发票（发票金额包含用于抵扣乙方赔偿金、违约金的金额等），经甲方认可后，乙方于每次支付     日前向甲方提供合法有效的发票。因乙方未及时申请或开票造成甲方逾期付款的，甲方无需承担任何逾期付款责任。因乙方开具的发票不规范、不合法或涉嫌虚开发票引起税务问题的，乙方需依法向甲方重新开具发票，并向甲方承担赔偿责任，包括但不限于税款、滞纳金、罚款及相关损失等；因乙方未及时开具发票造成甲方无法及时认证、抵扣发票等情形的，乙方需向甲方承担赔偿责任，包括但不限于税款、滞纳金、罚款及相关损失等。</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8.6 项目增减定价</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在本项目进展过程中，甲、乙双方依据本合同对项目作出任何变更或经双方同意的功能变化或软件模块的增减等，一方或双方将以上述规定的价格为原则，商定变更后的具体价格。</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第9条 保证与免责</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9.1乙方保证</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9.1.1 乙方签署和履行本合同或与本合同相关的文件将不会</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（1）与乙方的章程或其他适用于乙方的法律法规或判决相冲突；</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（2）与乙方同第三人所签署的任何法律文件如保证协议、承诺、合同等规定的义务相冲突或导致任何违约，或使乙方的权利受到约束。</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9.1.2 乙方保证：乙方履行本合同项下的义务，授予甲方的许可权没有受到任何第三方的约束或限制，也没有承担任何约束或限制性义务。</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9.1.3乙方保证：所提供的合同设备是全新、完整、未使用过的，且具有合法、完备的进出口手续，质量是优良的；所提供设备软件是标准的、规范的、成熟稳定并可用的；所提供的技术文件是最新的、完备的、清晰的、正确的。</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9.1.4乙方保证：乙方所开发的软件必须符合国家有关软件产品方面的规定和软件标准规范以及甲方现行的相关体制标准的产品；如无前述体制标准，则保证其符合相关国际标准；如无国际标准，则保证其符合行业惯常标准。</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9.1.5乙方承诺：在本合同软件被其它软件替换的情况下，乙方应免费配合甲方将合同软件系统中全部用户数据置换为通用的可识别的文件。此种情况下，乙方应免费进行合同软件的改造及相关配合工作，以满足甲方的要求。</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9.1.6乙方承诺：在甲方要求时免费配合、提供并完成与甲方其它应用系统间的互通性测试，在甲方及相关开发方与乙方签订保密协议并承担保密义务的情形下免费开放相关的接口协议，包括但不限于通信协议、协议的原语、协议中使用的消息集、由协议所交换的数据格式、系统所支持的信息模型、管理目标定义、数据库结构及其他必要的技术文件，上述文件应满足甲方能够自行开发或委托第三方开发与合同系统有关的应用软件的要求。乙方进行软件版本升级时应提前1个月提供上述技术文件的修改部分，并在需要时按照买方的技术规范免费修改合同设备、软件以满足与甲方其它应用系统互通的要求。</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9.1.7 侵权与被诉</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乙方保证本软件或其授予的权利不会侵犯任何第三人的知识产权或其他权利，也没有其他针对乙方拥有本软件权利的未决诉讼，或甲方行使乙方所授予的软件权利不会侵犯任何第三人的合法权利。</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9.1.8 在乙方所交付的软件系统中，不含任何可以自动终止或妨碍系统运作的软件。</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9.1.9如乙方所交付和许可甲方使用的软件需经国家有关部门登记、备案、审批或许可的，乙方应保证所提供的软件已完成了上述手续。</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9.2 侵权赔偿</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9.2.1 乙方同意，如有第三方声称甲方或甲方所分许可的顾客使用本软件侵犯了第三方的知识产权或其它财产权利，乙方将对由此而引起的任何诉讼或法律请求进行抗辩。乙方同意支付有关判决或和解所确定的赔偿金额（包括但不限于诉讼费、仲裁费、保全费、违约金、赔偿金等）。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乙方除违约金外，还应赔偿由此给甲方造成的一切直接或间接损失。但乙方对甲方由于使用了相关的非法软件系统，或在本软件中使用了非乙方提供的软件，或该软件中非乙方对本软件的修改而导致的侵权不承担责任。</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9.3 甲方保证</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甲方签署和履行本合同或与本合同相关的文件将不会产生冲突：</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（1）与甲方的章程或其他适用于甲方的法律法规或判决等相冲突；</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（2）与甲方同第三人所签署的任何法律文件如保证协议、承诺、合同等中的义务相冲突或导致任何违约，或使乙方的权利受到约束。</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第10条 保密</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10.1 信息传递</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在本合同的履行期内，任何一方可以获得与本项目相关的对方的商业秘密，对此双方皆应谨慎地进行披露和接受。</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10.2 保密</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关联公司。</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10.3 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雇员做出至少与本合同保密义务一样严格的保密承诺等，以防止该雇员为个人利益使用保密信息或向任何第三方做出未经授权的任何披露。</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10.4 接受方的律师、会计师、承包商和顾问为提供专业协助而需要了解保密信息时，接受方可向其披露保密信息，但是，其应要求上述人员签订保密协议和按照有关职业道德标准履行保密义务。</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10.5 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合理的努力确保该等被披露的信息获得有关政府机关或机构的保密待遇。</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10.6 本条所规定的保密义务永久持续有效。</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10.7 非竞争</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甲、乙双方同意，在本合同实施过程中以及本合同履行完毕后的</w:t>
      </w:r>
      <w:r>
        <w:rPr>
          <w:highlight w:val="yellow"/>
          <w:u w:val="single"/>
        </w:rPr>
        <w:t>    </w:t>
      </w:r>
      <w:r>
        <w:rPr>
          <w:rFonts w:hint="eastAsia" w:ascii="仿宋" w:hAnsi="仿宋" w:eastAsia="仿宋" w:cs="仿宋"/>
        </w:rPr>
        <w:t>年内，双方均不得使用在履行本项目过程中得到的对方商业秘密，从事与对方有竞争性的业务，也不得采取任何方式聘用本开发项目中的对方相关技术或管理人员。</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10.8 上述保密义务不适用以下情况</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10.8.1在一方披露时，已经是公众所知的信息，或者在披露后，并非由于接受方或其雇员、律师、会计师、承包商、顾问或者其他人员的过失而成为公众所知的信息；</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10.8.2有书面证据证明在披露时已经由接受方掌握的信息，而且信息并非直接或间接来自提供方；</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10.8.3 获取该信息一方可以通过合法渠道获取该信息；</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10.8.4获取该信息一方从第三人处合法获取，并且不承担保密义务；</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10.8.5 向第三人披露过的，且第三人不承担保密义务；</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10.8.6 独立开发或获取的信息；</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10.8.7 法律强制披露；</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10.8.8 经披露方书面许可。</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10.9 信息安全</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甲、乙双方同意采取相应的安全措施以遵守和履行上述条款所规定的义务。经一方的合理请求，该方可以检查对方所采取的安全措施是否符合上述规定的义务。</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10.10当本合同解除或终止时，接受方应立即停止使用且不得许可第三方使用提供方的保密信息，同时，接受方应按照提供方的书面要求，将提供方提供的保密信息退还提供方或予以删除或销毁。</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第11条 违约与赔偿责任</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11.1 交付违约</w:t>
      </w:r>
    </w:p>
    <w:p>
      <w:pPr>
        <w:pStyle w:val="37"/>
        <w:spacing w:before="0" w:beforeAutospacing="0" w:after="0" w:afterAutospacing="0" w:line="400" w:lineRule="exact"/>
        <w:ind w:firstLine="480" w:firstLineChars="200"/>
        <w:jc w:val="both"/>
        <w:rPr>
          <w:color w:val="000000"/>
          <w:u w:val="single"/>
        </w:rPr>
      </w:pPr>
      <w:r>
        <w:rPr>
          <w:rFonts w:hint="eastAsia" w:ascii="仿宋" w:hAnsi="仿宋" w:eastAsia="仿宋" w:cs="仿宋"/>
        </w:rPr>
        <w:t>乙方应在合同所规定的时间内完成和交付本合同规定的项目。如开发工作延时，甲方同意给予乙方</w:t>
      </w:r>
      <w:r>
        <w:rPr>
          <w:color w:val="000000"/>
          <w:u w:val="single"/>
        </w:rPr>
        <w:t>    </w:t>
      </w:r>
      <w:r>
        <w:rPr>
          <w:rFonts w:hint="eastAsia" w:ascii="仿宋" w:hAnsi="仿宋" w:eastAsia="仿宋" w:cs="仿宋"/>
        </w:rPr>
        <w:t>日的宽限期，宽限期内不追究乙方的违约责任。如乙方在宽限期内仍未依据本合同的规定完成和交付本合同所规定的项目，除依约支付违约金人民币</w:t>
      </w:r>
      <w:r>
        <w:rPr>
          <w:color w:val="000000"/>
          <w:u w:val="single"/>
        </w:rPr>
        <w:t>    </w:t>
      </w:r>
      <w:r>
        <w:rPr>
          <w:rFonts w:hint="eastAsia" w:ascii="仿宋" w:hAnsi="仿宋" w:eastAsia="仿宋" w:cs="仿宋"/>
        </w:rPr>
        <w:t>元外，甲方有权要求乙方作出补偿和采取补救措施，并继续履行本合同所规定的义务。违约金的具体确定方式为：</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11.1.1 每延期</w:t>
      </w:r>
      <w:r>
        <w:rPr>
          <w:color w:val="000000"/>
          <w:u w:val="single"/>
        </w:rPr>
        <w:t>  </w:t>
      </w:r>
      <w:r>
        <w:rPr>
          <w:rFonts w:hint="eastAsia" w:ascii="仿宋" w:hAnsi="仿宋" w:eastAsia="仿宋" w:cs="仿宋"/>
        </w:rPr>
        <w:t>天，乙方应向甲方支付合同总价</w:t>
      </w:r>
      <w:r>
        <w:rPr>
          <w:color w:val="000000"/>
          <w:u w:val="single"/>
        </w:rPr>
        <w:t>  </w:t>
      </w:r>
      <w:r>
        <w:rPr>
          <w:rFonts w:hint="eastAsia" w:ascii="仿宋" w:hAnsi="仿宋" w:eastAsia="仿宋" w:cs="仿宋"/>
        </w:rPr>
        <w:t>%的违约金，但违约金的总数不超过合同总价的</w:t>
      </w:r>
      <w:r>
        <w:rPr>
          <w:rFonts w:hint="eastAsia" w:eastAsia="仿宋"/>
          <w:color w:val="000000"/>
          <w:highlight w:val="yellow"/>
          <w:u w:val="single"/>
        </w:rPr>
        <w:t>20%</w:t>
      </w:r>
      <w:r>
        <w:rPr>
          <w:rFonts w:hint="eastAsia" w:ascii="仿宋" w:hAnsi="仿宋" w:eastAsia="仿宋" w:cs="仿宋"/>
        </w:rPr>
        <w:t>；</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11.1.2 如延期时间超过</w:t>
      </w:r>
      <w:r>
        <w:rPr>
          <w:color w:val="000000"/>
          <w:u w:val="single"/>
        </w:rPr>
        <w:t xml:space="preserve">   </w:t>
      </w:r>
      <w:r>
        <w:rPr>
          <w:rFonts w:hint="eastAsia" w:ascii="仿宋" w:hAnsi="仿宋" w:eastAsia="仿宋" w:cs="仿宋"/>
        </w:rPr>
        <w:t>天，甲方有权单方解除本合同，除前款所约定的违约金外，并要求乙方支付合同总价的</w:t>
      </w:r>
      <w:r>
        <w:rPr>
          <w:color w:val="000000"/>
          <w:u w:val="single"/>
        </w:rPr>
        <w:t>  </w:t>
      </w:r>
      <w:r>
        <w:rPr>
          <w:rFonts w:hint="eastAsia"/>
          <w:color w:val="000000"/>
          <w:u w:val="single"/>
        </w:rPr>
        <w:t xml:space="preserve"> </w:t>
      </w:r>
      <w:r>
        <w:rPr>
          <w:rFonts w:hint="eastAsia" w:ascii="仿宋" w:hAnsi="仿宋" w:eastAsia="仿宋" w:cs="仿宋"/>
        </w:rPr>
        <w:t> %作为对甲方的赔偿。</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11.2由于乙方原因致使初验、终验、保修、技术服务等不能按合同规定完成，乙方应以如下方式向甲方支付逾期初验或终验违约金：</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（1）每逾期一天或发生一次，支付合同总价款的</w:t>
      </w:r>
      <w:r>
        <w:rPr>
          <w:color w:val="000000"/>
          <w:u w:val="single"/>
        </w:rPr>
        <w:t>  </w:t>
      </w:r>
      <w:r>
        <w:rPr>
          <w:rFonts w:hint="eastAsia" w:ascii="仿宋" w:hAnsi="仿宋" w:eastAsia="仿宋" w:cs="仿宋"/>
        </w:rPr>
        <w:t xml:space="preserve">%的违约金； </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（2）上述逾期违约金的支付不免除卖方按合同规定履行义务；</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（3）逾期超过</w:t>
      </w:r>
      <w:r>
        <w:rPr>
          <w:color w:val="000000"/>
          <w:u w:val="single"/>
        </w:rPr>
        <w:t xml:space="preserve">   </w:t>
      </w:r>
      <w:r>
        <w:rPr>
          <w:rFonts w:hint="eastAsia" w:ascii="仿宋" w:hAnsi="仿宋" w:eastAsia="仿宋" w:cs="仿宋"/>
        </w:rPr>
        <w:t>天或违约累计超过</w:t>
      </w:r>
      <w:r>
        <w:rPr>
          <w:color w:val="000000"/>
          <w:u w:val="single"/>
        </w:rPr>
        <w:t xml:space="preserve">   </w:t>
      </w:r>
      <w:r>
        <w:rPr>
          <w:rFonts w:hint="eastAsia" w:ascii="仿宋" w:hAnsi="仿宋" w:eastAsia="仿宋" w:cs="仿宋"/>
        </w:rPr>
        <w:t>次的，甲方有权单方解除本合同。乙方应向甲方支付合同总价</w:t>
      </w:r>
      <w:r>
        <w:rPr>
          <w:color w:val="000000"/>
          <w:u w:val="single"/>
        </w:rPr>
        <w:t xml:space="preserve">   </w:t>
      </w:r>
      <w:r>
        <w:rPr>
          <w:rFonts w:hint="eastAsia" w:ascii="仿宋" w:hAnsi="仿宋" w:eastAsia="仿宋" w:cs="仿宋"/>
        </w:rPr>
        <w:t>的违约金。违约金不足以弥补买方的全部损失的，卖方还应予以赔偿。</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甲方依据上述条款解除本合同后，乙方在承担相应违约责任同时，应在甲方解除合同的书面通知送达之日起 7日内全额退还甲方已支付的款额及相应的利息，计息时间从甲方支付日期开始到卖方退还日期为止，利率以归还上述款额时中国人民银行公布的同期一年期贷款利率为准。逾期退还的，按日需支付应退款额 5 %的违约金。乙方应依甲方的指示：负责退还或销毁所有的基础性文件和原始资料，负责拆卸、卸载或删除已安装在现场的合同软件、设备、相关技术文件和合同软件介质，并赔偿甲方由此而引起的直接和间接损失。相关拆卸、卸载、运输和投保费用均由乙方负责，甲方对此时间内发生的毁损和灭失不承担任何责任。</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11.3 付款违约</w:t>
      </w:r>
    </w:p>
    <w:p>
      <w:pPr>
        <w:pStyle w:val="37"/>
        <w:spacing w:before="0" w:beforeAutospacing="0" w:after="0" w:afterAutospacing="0" w:line="400" w:lineRule="exact"/>
        <w:ind w:firstLine="480" w:firstLineChars="200"/>
        <w:jc w:val="both"/>
        <w:rPr>
          <w:rFonts w:ascii="仿宋" w:hAnsi="仿宋" w:eastAsia="仿宋" w:cs="仿宋"/>
          <w:u w:val="single"/>
        </w:rPr>
      </w:pPr>
      <w:r>
        <w:rPr>
          <w:rFonts w:hint="eastAsia" w:ascii="仿宋" w:hAnsi="仿宋" w:eastAsia="仿宋" w:cs="仿宋"/>
        </w:rPr>
        <w:t>甲方无正当理由未按合同规定逾期付款应支付给乙方违约金，每延迟一周支付合同总金额的</w:t>
      </w:r>
      <w:r>
        <w:rPr>
          <w:rFonts w:hint="eastAsia" w:ascii="仿宋" w:hAnsi="仿宋" w:eastAsia="仿宋" w:cs="仿宋"/>
          <w:u w:val="single"/>
        </w:rPr>
        <w:t>0.1%</w:t>
      </w:r>
      <w:r>
        <w:rPr>
          <w:rFonts w:hint="eastAsia" w:ascii="仿宋" w:hAnsi="仿宋" w:eastAsia="仿宋" w:cs="仿宋"/>
        </w:rPr>
        <w:t>的违约金，不足一周按一周计，但最多不超过合同总金额的</w:t>
      </w:r>
      <w:r>
        <w:rPr>
          <w:rFonts w:hint="eastAsia" w:ascii="仿宋" w:hAnsi="仿宋" w:eastAsia="仿宋" w:cs="仿宋"/>
          <w:u w:val="single"/>
        </w:rPr>
        <w:t>5%。</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11.4由于甲方原因导致工作进度推迟，则本合同履行期限相应顺延。合同各方应按顺延后的日期履行本合同，顺延日期以甲方的书面通知为准。</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11.5 保密违约</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合同任何一方违反保密约定，故意、过错或过失泄密的，除应立即采取措施停止泄密行为，减小泄密造成的损失外，还应向保密信息拥有方支付不低于合同总价5%的违约金。上述违约金不足以弥补保密信息拥有方所受损失的，泄密方还应予以赔偿。同时，保密信息拥有方还有权根据泄密造成损失的大小，单方解除本合同。</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11.6</w:t>
      </w:r>
      <w:r>
        <w:rPr>
          <w:rFonts w:hint="eastAsia" w:ascii="仿宋" w:hAnsi="仿宋" w:eastAsia="仿宋" w:cs="仿宋"/>
          <w:color w:val="FF0000"/>
        </w:rPr>
        <w:t xml:space="preserve"> </w:t>
      </w:r>
      <w:r>
        <w:rPr>
          <w:rFonts w:hint="eastAsia" w:ascii="仿宋" w:hAnsi="仿宋" w:eastAsia="仿宋" w:cs="仿宋"/>
        </w:rPr>
        <w:t>质保期为自</w:t>
      </w:r>
      <w:r>
        <w:rPr>
          <w:rFonts w:hint="eastAsia" w:ascii="仿宋" w:hAnsi="仿宋" w:eastAsia="仿宋" w:cs="仿宋"/>
          <w:u w:val="single"/>
        </w:rPr>
        <w:t xml:space="preserve">           </w:t>
      </w:r>
      <w:r>
        <w:rPr>
          <w:rFonts w:hint="eastAsia" w:ascii="仿宋" w:hAnsi="仿宋" w:eastAsia="仿宋" w:cs="仿宋"/>
        </w:rPr>
        <w:t>之日起至</w:t>
      </w:r>
      <w:r>
        <w:rPr>
          <w:rFonts w:hint="eastAsia" w:ascii="仿宋" w:hAnsi="仿宋" w:eastAsia="仿宋" w:cs="仿宋"/>
          <w:u w:val="single"/>
        </w:rPr>
        <w:t xml:space="preserve">            </w:t>
      </w:r>
      <w:r>
        <w:rPr>
          <w:rFonts w:hint="eastAsia" w:ascii="仿宋" w:hAnsi="仿宋" w:eastAsia="仿宋" w:cs="仿宋"/>
        </w:rPr>
        <w:t>之日止。质保期满后若软件在正常使用期限内，因产品自身缺陷而造成甲方或第三方人身财产损失的，乙方应依法承担产品责任。</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11.7 其它条款违约</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任何一方违反本合同所规定的义务，除本合同另有规定外，违约方应按合同总价</w:t>
      </w:r>
      <w:r>
        <w:rPr>
          <w:color w:val="000000"/>
          <w:u w:val="single"/>
        </w:rPr>
        <w:t>    </w:t>
      </w:r>
      <w:r>
        <w:rPr>
          <w:rFonts w:hint="eastAsia" w:ascii="仿宋" w:hAnsi="仿宋" w:eastAsia="仿宋" w:cs="仿宋"/>
        </w:rPr>
        <w:t>%的金额向对方支付违约金。</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11.8 如发生违约事件，守约方要求违约方支付违约金时，应以书面方式通知违约方，内容包括违约事件、违约金、支付时间和方式等。违约方在收到上述通知后，应于</w:t>
      </w:r>
      <w:r>
        <w:rPr>
          <w:color w:val="000000"/>
          <w:u w:val="single"/>
        </w:rPr>
        <w:t>    </w:t>
      </w:r>
      <w:r>
        <w:rPr>
          <w:rFonts w:hint="eastAsia" w:ascii="仿宋" w:hAnsi="仿宋" w:eastAsia="仿宋" w:cs="仿宋"/>
        </w:rPr>
        <w:t>天内答复对方，并支付违约金。如双方不能就此达成一致意见，将按照本合同所规定的争议解决条款解决双方的纠纷，但任何一方不得采取非法手段或以损害本项目的方式实现违约金。</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第12条 综合条款</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12.1 如本合同附件中的条款或本合同签署之前所签署的任何文件与本合同的条款相冲突或不一致，以本合同为准。</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12.2 任何一方可以根据其经营需要对外披露本合同的存在或其性质，但本合同的具体条款属于保密范围，未经对方的同意，不得向第三方披露。但以下情况除外</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12.2.1 法院或政府有关部门的要求；</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12.2.2 法律规定；</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12.2.3 —方向为自己服务的法律顾问披露；</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12.2.4 —方向为自己服务的会计、银行、其他的金融机构及其顾问（采取保密措施）披露；</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12.2.5 当事人实施收购、兼并或相类似的行为（采取保密措施）。</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12.3 不可抗力</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12.3.1 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12.3.2 受到不可抗力影响的一方，应尽可能地采取合理的行为和适当的措施减轻不可抗力对本合同的履行所造成的影响。没有采取适当措施致使损失扩大的，该方不得就扩大损失的部分要求免责或赔偿。</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第13条 争议解决</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13.1 如果合同双方在履行本合同过程中发生争议，双方应首先采取友好协商的方式解决该争议。如协商不成，双方同意按下列方式予以解决：_______</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（1）向重庆仲裁委员会提起仲裁，并按其仲裁规则进行仲裁；</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（2）双方当事人另有选择，则划去前款，具体约定如下： ______________。</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13.2 如对任何争议进行仲裁或向人民法院提起诉讼，除争议事项或争议事项所涉及的条款外，双方应继续履行本合同项下的其它义务。</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第14条 通知</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14.1甲方确认其送达地址为：___________________，受送达人为：_________，联系方式为：__________________________。</w:t>
      </w:r>
    </w:p>
    <w:p>
      <w:pPr>
        <w:pStyle w:val="37"/>
        <w:spacing w:before="0" w:beforeAutospacing="0" w:after="0" w:afterAutospacing="0" w:line="400" w:lineRule="exact"/>
        <w:ind w:firstLine="480" w:firstLineChars="200"/>
        <w:jc w:val="both"/>
        <w:rPr>
          <w:rFonts w:ascii="仿宋" w:hAnsi="仿宋" w:eastAsia="仿宋" w:cs="仿宋"/>
        </w:rPr>
      </w:pP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乙方确认其送达地址为：____________________________，受送达人为：_________，联系方式为：__________________________。</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（若联系地址未填写，则以身份证载明的住址或工商登记的住所地为送达地址）</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 xml:space="preserve">14.2以上送达地址适用范围包括但不限于各类告知书、通知书、工作联系单、协议文件、诉讼或仲裁文书，送达主体可以是合同各方、人民法院、仲裁委员会及各行政机关。                         </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14.3送达主体按照上述送达地址进行送达，视为有效送达；采用邮寄送达的，以文书签收之日或退回之日视为送达之日；直接送达的，送达人当场在送达回证上记明情况之日视为送达之日。</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14.4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第15条 合同的生效、变更与终止</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15.1 本合同经双方盖章后生效。</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15.2 如发生以下情况，任何一方有权终止合同，但须以书面方式通知对方：</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15.2.1 —方进入破产、撤销或已进入清算阶段，或被解散、被依法关闭；</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15.2.2 —方财务状况严重恶化，不能支付到期债务；</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15.2.3 出现了合同规定的或法定解除事由。</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除本合同和法律法规另有规定外，任何一方发生上述情况，将被视作违约，另一方有权依照本合同的规定，追究该方的违约责任。</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15.3 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如本合同在履行过程中有任何补充或修改，双方应另行签订书面协议。</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15.4 本合同一式</w:t>
      </w:r>
      <w:r>
        <w:rPr>
          <w:rFonts w:hint="eastAsia" w:ascii="仿宋" w:hAnsi="仿宋" w:eastAsia="仿宋" w:cs="仿宋"/>
          <w:u w:val="single"/>
        </w:rPr>
        <w:t xml:space="preserve">      </w:t>
      </w:r>
      <w:r>
        <w:rPr>
          <w:rFonts w:hint="eastAsia" w:ascii="仿宋" w:hAnsi="仿宋" w:eastAsia="仿宋" w:cs="仿宋"/>
        </w:rPr>
        <w:t>份，甲方执肆份，乙方执</w:t>
      </w:r>
      <w:r>
        <w:rPr>
          <w:rFonts w:hint="eastAsia" w:ascii="仿宋" w:hAnsi="仿宋" w:eastAsia="仿宋" w:cs="仿宋"/>
          <w:u w:val="single"/>
        </w:rPr>
        <w:t xml:space="preserve">       </w:t>
      </w:r>
      <w:r>
        <w:rPr>
          <w:rFonts w:hint="eastAsia" w:ascii="仿宋" w:hAnsi="仿宋" w:eastAsia="仿宋" w:cs="仿宋"/>
        </w:rPr>
        <w:t>份。</w:t>
      </w:r>
    </w:p>
    <w:p>
      <w:pPr>
        <w:tabs>
          <w:tab w:val="left" w:pos="2880"/>
          <w:tab w:val="left" w:pos="7020"/>
        </w:tabs>
        <w:spacing w:line="360" w:lineRule="auto"/>
        <w:ind w:right="178" w:rightChars="85" w:firstLine="482"/>
        <w:rPr>
          <w:rFonts w:ascii="仿宋" w:hAnsi="仿宋" w:eastAsia="仿宋" w:cs="仿宋"/>
          <w:b/>
          <w:bCs/>
          <w:kern w:val="0"/>
          <w:sz w:val="24"/>
        </w:rPr>
      </w:pPr>
      <w:r>
        <w:rPr>
          <w:rFonts w:hint="eastAsia" w:ascii="仿宋" w:hAnsi="仿宋" w:eastAsia="仿宋" w:cs="仿宋"/>
          <w:b/>
          <w:bCs/>
          <w:kern w:val="0"/>
          <w:sz w:val="24"/>
        </w:rPr>
        <w:t>第16条 信用</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16.1 本合同任何一方可以要求对方提供其信用报告。</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16.2 如合同双方在履行本合同过程中发生争议，并进入司法等争端解决程序，任何一方可以将生效判决提交给本市的联合征信机构。</w:t>
      </w:r>
    </w:p>
    <w:p>
      <w:pPr>
        <w:pStyle w:val="37"/>
        <w:spacing w:before="0" w:beforeAutospacing="0" w:after="0" w:afterAutospacing="0" w:line="440" w:lineRule="exact"/>
        <w:rPr>
          <w:rFonts w:ascii="仿宋" w:hAnsi="仿宋" w:eastAsia="仿宋" w:cs="仿宋"/>
          <w:color w:val="000000"/>
          <w:kern w:val="2"/>
        </w:rPr>
      </w:pPr>
      <w:r>
        <w:rPr>
          <w:rFonts w:hint="eastAsia" w:ascii="仿宋" w:hAnsi="仿宋" w:eastAsia="仿宋" w:cs="仿宋"/>
          <w:color w:val="000000"/>
          <w:kern w:val="2"/>
        </w:rPr>
        <w:t>（</w:t>
      </w:r>
      <w:r>
        <w:rPr>
          <w:rFonts w:hint="eastAsia" w:ascii="仿宋" w:hAnsi="仿宋" w:eastAsia="仿宋" w:cs="仿宋"/>
          <w:kern w:val="2"/>
        </w:rPr>
        <w:t>以下</w:t>
      </w:r>
      <w:r>
        <w:rPr>
          <w:rFonts w:hint="eastAsia" w:ascii="仿宋" w:hAnsi="仿宋" w:eastAsia="仿宋" w:cs="仿宋"/>
          <w:color w:val="000000"/>
          <w:kern w:val="2"/>
        </w:rPr>
        <w:t>无合同正文）</w:t>
      </w:r>
    </w:p>
    <w:tbl>
      <w:tblPr>
        <w:tblStyle w:val="43"/>
        <w:tblW w:w="0" w:type="auto"/>
        <w:tblInd w:w="0" w:type="dxa"/>
        <w:tblLayout w:type="fixed"/>
        <w:tblCellMar>
          <w:top w:w="0" w:type="dxa"/>
          <w:left w:w="108" w:type="dxa"/>
          <w:bottom w:w="0" w:type="dxa"/>
          <w:right w:w="108" w:type="dxa"/>
        </w:tblCellMar>
      </w:tblPr>
      <w:tblGrid>
        <w:gridCol w:w="4896"/>
        <w:gridCol w:w="4583"/>
      </w:tblGrid>
      <w:tr>
        <w:trPr>
          <w:trHeight w:val="572" w:hRule="atLeast"/>
        </w:trPr>
        <w:tc>
          <w:tcPr>
            <w:tcW w:w="4896" w:type="dxa"/>
          </w:tcPr>
          <w:p>
            <w:pPr>
              <w:spacing w:line="400" w:lineRule="exact"/>
              <w:jc w:val="left"/>
              <w:rPr>
                <w:rFonts w:ascii="仿宋" w:hAnsi="仿宋" w:eastAsia="仿宋" w:cs="仿宋"/>
                <w:sz w:val="24"/>
              </w:rPr>
            </w:pPr>
            <w:r>
              <w:rPr>
                <w:rFonts w:hint="eastAsia" w:ascii="仿宋" w:hAnsi="仿宋" w:eastAsia="仿宋" w:cs="仿宋"/>
                <w:color w:val="000000"/>
                <w:sz w:val="24"/>
              </w:rPr>
              <w:t>甲方名称：</w:t>
            </w:r>
            <w:r>
              <w:rPr>
                <w:rFonts w:hint="eastAsia" w:ascii="仿宋" w:hAnsi="仿宋" w:eastAsia="仿宋" w:cs="仿宋"/>
                <w:sz w:val="24"/>
              </w:rPr>
              <w:t>重庆首讯科技股份有限公司（章）</w:t>
            </w:r>
          </w:p>
          <w:p>
            <w:pPr>
              <w:spacing w:line="400" w:lineRule="exact"/>
              <w:jc w:val="left"/>
              <w:rPr>
                <w:rFonts w:ascii="仿宋" w:hAnsi="仿宋" w:eastAsia="仿宋" w:cs="仿宋"/>
                <w:color w:val="000000"/>
                <w:sz w:val="24"/>
              </w:rPr>
            </w:pPr>
          </w:p>
        </w:tc>
        <w:tc>
          <w:tcPr>
            <w:tcW w:w="4583" w:type="dxa"/>
          </w:tcPr>
          <w:p>
            <w:pPr>
              <w:spacing w:line="400" w:lineRule="exact"/>
              <w:rPr>
                <w:rFonts w:ascii="仿宋" w:hAnsi="仿宋" w:eastAsia="仿宋" w:cs="仿宋"/>
                <w:color w:val="000000"/>
                <w:sz w:val="24"/>
              </w:rPr>
            </w:pPr>
            <w:r>
              <w:rPr>
                <w:rFonts w:hint="eastAsia" w:ascii="仿宋" w:hAnsi="仿宋" w:eastAsia="仿宋" w:cs="仿宋"/>
                <w:color w:val="000000"/>
                <w:sz w:val="24"/>
              </w:rPr>
              <w:t>乙方名称：                公司（章）</w:t>
            </w:r>
          </w:p>
          <w:p>
            <w:pPr>
              <w:spacing w:line="400" w:lineRule="exact"/>
              <w:rPr>
                <w:rFonts w:ascii="仿宋" w:hAnsi="仿宋" w:eastAsia="仿宋" w:cs="仿宋"/>
                <w:color w:val="000000"/>
                <w:sz w:val="24"/>
              </w:rPr>
            </w:pPr>
          </w:p>
        </w:tc>
      </w:tr>
      <w:tr>
        <w:tblPrEx>
          <w:tblCellMar>
            <w:top w:w="0" w:type="dxa"/>
            <w:left w:w="108" w:type="dxa"/>
            <w:bottom w:w="0" w:type="dxa"/>
            <w:right w:w="108" w:type="dxa"/>
          </w:tblCellMar>
        </w:tblPrEx>
        <w:trPr>
          <w:trHeight w:val="572" w:hRule="atLeast"/>
        </w:trPr>
        <w:tc>
          <w:tcPr>
            <w:tcW w:w="4896" w:type="dxa"/>
          </w:tcPr>
          <w:p>
            <w:pPr>
              <w:spacing w:line="400" w:lineRule="exact"/>
              <w:jc w:val="left"/>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sz w:val="24"/>
              </w:rPr>
              <w:t>重庆市渝北区余松西路155号1幢7-5</w:t>
            </w:r>
          </w:p>
        </w:tc>
        <w:tc>
          <w:tcPr>
            <w:tcW w:w="4583" w:type="dxa"/>
          </w:tcPr>
          <w:p>
            <w:pPr>
              <w:spacing w:line="400" w:lineRule="exact"/>
              <w:jc w:val="left"/>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color w:val="FF0000"/>
                <w:sz w:val="24"/>
              </w:rPr>
              <w:t xml:space="preserve">                             </w:t>
            </w:r>
          </w:p>
        </w:tc>
      </w:tr>
      <w:tr>
        <w:tblPrEx>
          <w:tblCellMar>
            <w:top w:w="0" w:type="dxa"/>
            <w:left w:w="108" w:type="dxa"/>
            <w:bottom w:w="0" w:type="dxa"/>
            <w:right w:w="108" w:type="dxa"/>
          </w:tblCellMar>
        </w:tblPrEx>
        <w:trPr>
          <w:trHeight w:val="572" w:hRule="atLeast"/>
        </w:trPr>
        <w:tc>
          <w:tcPr>
            <w:tcW w:w="4896" w:type="dxa"/>
          </w:tcPr>
          <w:p>
            <w:pPr>
              <w:spacing w:line="400" w:lineRule="exact"/>
              <w:rPr>
                <w:rFonts w:ascii="仿宋" w:hAnsi="仿宋" w:eastAsia="仿宋" w:cs="仿宋"/>
                <w:sz w:val="24"/>
              </w:rPr>
            </w:pPr>
            <w:r>
              <w:rPr>
                <w:rFonts w:hint="eastAsia" w:ascii="仿宋" w:hAnsi="仿宋" w:eastAsia="仿宋" w:cs="仿宋"/>
                <w:sz w:val="24"/>
              </w:rPr>
              <w:t>法定代表人或委托代理人：</w:t>
            </w:r>
          </w:p>
          <w:p>
            <w:pPr>
              <w:spacing w:line="400" w:lineRule="exact"/>
              <w:rPr>
                <w:rFonts w:ascii="仿宋" w:hAnsi="仿宋" w:eastAsia="仿宋" w:cs="仿宋"/>
                <w:sz w:val="24"/>
              </w:rPr>
            </w:pPr>
          </w:p>
          <w:p>
            <w:pPr>
              <w:spacing w:line="400" w:lineRule="exact"/>
              <w:rPr>
                <w:rFonts w:ascii="仿宋" w:hAnsi="仿宋" w:eastAsia="仿宋" w:cs="仿宋"/>
                <w:sz w:val="24"/>
              </w:rPr>
            </w:pPr>
          </w:p>
        </w:tc>
        <w:tc>
          <w:tcPr>
            <w:tcW w:w="4583" w:type="dxa"/>
          </w:tcPr>
          <w:p>
            <w:pPr>
              <w:spacing w:line="400" w:lineRule="exact"/>
              <w:rPr>
                <w:rFonts w:ascii="仿宋" w:hAnsi="仿宋" w:eastAsia="仿宋" w:cs="仿宋"/>
                <w:sz w:val="24"/>
              </w:rPr>
            </w:pPr>
            <w:r>
              <w:rPr>
                <w:rFonts w:hint="eastAsia" w:ascii="仿宋" w:hAnsi="仿宋" w:eastAsia="仿宋" w:cs="仿宋"/>
                <w:sz w:val="24"/>
              </w:rPr>
              <w:t>法定代表人或委托代理人：</w:t>
            </w:r>
          </w:p>
          <w:p>
            <w:pPr>
              <w:spacing w:line="40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286" w:hRule="atLeast"/>
        </w:trPr>
        <w:tc>
          <w:tcPr>
            <w:tcW w:w="4896" w:type="dxa"/>
          </w:tcPr>
          <w:p>
            <w:pPr>
              <w:spacing w:line="400" w:lineRule="exact"/>
              <w:jc w:val="left"/>
              <w:rPr>
                <w:rFonts w:ascii="仿宋" w:hAnsi="仿宋" w:eastAsia="仿宋" w:cs="仿宋"/>
                <w:color w:val="000000"/>
                <w:sz w:val="24"/>
              </w:rPr>
            </w:pPr>
            <w:r>
              <w:rPr>
                <w:rFonts w:hint="eastAsia" w:ascii="仿宋" w:hAnsi="仿宋" w:eastAsia="仿宋" w:cs="仿宋"/>
                <w:sz w:val="24"/>
              </w:rPr>
              <w:t>经办人</w:t>
            </w:r>
            <w:r>
              <w:rPr>
                <w:rFonts w:hint="eastAsia" w:ascii="仿宋" w:hAnsi="仿宋" w:eastAsia="仿宋" w:cs="仿宋"/>
                <w:color w:val="000000"/>
                <w:sz w:val="24"/>
              </w:rPr>
              <w:t>：</w:t>
            </w:r>
          </w:p>
        </w:tc>
        <w:tc>
          <w:tcPr>
            <w:tcW w:w="4583" w:type="dxa"/>
          </w:tcPr>
          <w:p>
            <w:pPr>
              <w:spacing w:line="400" w:lineRule="exact"/>
              <w:jc w:val="left"/>
              <w:rPr>
                <w:rFonts w:ascii="仿宋" w:hAnsi="仿宋" w:eastAsia="仿宋" w:cs="仿宋"/>
                <w:color w:val="000000"/>
                <w:sz w:val="24"/>
              </w:rPr>
            </w:pPr>
            <w:r>
              <w:rPr>
                <w:rFonts w:hint="eastAsia" w:ascii="仿宋" w:hAnsi="仿宋" w:eastAsia="仿宋" w:cs="仿宋"/>
                <w:sz w:val="24"/>
              </w:rPr>
              <w:t>经办人</w:t>
            </w:r>
            <w:r>
              <w:rPr>
                <w:rFonts w:hint="eastAsia" w:ascii="仿宋" w:hAnsi="仿宋" w:eastAsia="仿宋" w:cs="仿宋"/>
                <w:color w:val="000000"/>
                <w:sz w:val="24"/>
              </w:rPr>
              <w:t>：</w:t>
            </w:r>
          </w:p>
        </w:tc>
      </w:tr>
      <w:tr>
        <w:tblPrEx>
          <w:tblCellMar>
            <w:top w:w="0" w:type="dxa"/>
            <w:left w:w="108" w:type="dxa"/>
            <w:bottom w:w="0" w:type="dxa"/>
            <w:right w:w="108" w:type="dxa"/>
          </w:tblCellMar>
        </w:tblPrEx>
        <w:trPr>
          <w:trHeight w:val="286" w:hRule="atLeast"/>
        </w:trPr>
        <w:tc>
          <w:tcPr>
            <w:tcW w:w="4896" w:type="dxa"/>
          </w:tcPr>
          <w:p>
            <w:pPr>
              <w:spacing w:line="400" w:lineRule="exact"/>
              <w:jc w:val="left"/>
              <w:rPr>
                <w:rFonts w:ascii="仿宋" w:hAnsi="仿宋" w:eastAsia="仿宋" w:cs="仿宋"/>
                <w:color w:val="000000"/>
                <w:sz w:val="24"/>
              </w:rPr>
            </w:pPr>
            <w:r>
              <w:rPr>
                <w:rFonts w:hint="eastAsia" w:ascii="仿宋" w:hAnsi="仿宋" w:eastAsia="仿宋" w:cs="仿宋"/>
                <w:sz w:val="24"/>
              </w:rPr>
              <w:t>公司电话：</w:t>
            </w:r>
            <w:r>
              <w:rPr>
                <w:rFonts w:hint="eastAsia" w:ascii="仿宋" w:hAnsi="仿宋" w:eastAsia="仿宋" w:cs="仿宋"/>
              </w:rPr>
              <w:t xml:space="preserve">023-86917860 </w:t>
            </w:r>
          </w:p>
        </w:tc>
        <w:tc>
          <w:tcPr>
            <w:tcW w:w="4583" w:type="dxa"/>
          </w:tcPr>
          <w:p>
            <w:pPr>
              <w:widowControl/>
              <w:spacing w:line="400" w:lineRule="exact"/>
              <w:jc w:val="left"/>
              <w:rPr>
                <w:rFonts w:ascii="仿宋" w:hAnsi="仿宋" w:eastAsia="仿宋" w:cs="仿宋"/>
                <w:sz w:val="24"/>
              </w:rPr>
            </w:pPr>
            <w:r>
              <w:rPr>
                <w:rFonts w:hint="eastAsia" w:ascii="仿宋" w:hAnsi="仿宋" w:eastAsia="仿宋" w:cs="仿宋"/>
                <w:sz w:val="24"/>
              </w:rPr>
              <w:t>公司电话：</w:t>
            </w:r>
          </w:p>
        </w:tc>
      </w:tr>
      <w:tr>
        <w:tblPrEx>
          <w:tblCellMar>
            <w:top w:w="0" w:type="dxa"/>
            <w:left w:w="108" w:type="dxa"/>
            <w:bottom w:w="0" w:type="dxa"/>
            <w:right w:w="108" w:type="dxa"/>
          </w:tblCellMar>
        </w:tblPrEx>
        <w:trPr>
          <w:trHeight w:val="527" w:hRule="atLeast"/>
        </w:trPr>
        <w:tc>
          <w:tcPr>
            <w:tcW w:w="4896" w:type="dxa"/>
          </w:tcPr>
          <w:p>
            <w:pPr>
              <w:spacing w:line="400" w:lineRule="exact"/>
              <w:jc w:val="left"/>
              <w:rPr>
                <w:rFonts w:ascii="仿宋" w:hAnsi="仿宋" w:eastAsia="仿宋" w:cs="仿宋"/>
                <w:color w:val="000000"/>
                <w:sz w:val="24"/>
              </w:rPr>
            </w:pPr>
            <w:r>
              <w:rPr>
                <w:rFonts w:hint="eastAsia" w:ascii="仿宋" w:hAnsi="仿宋" w:eastAsia="仿宋" w:cs="仿宋"/>
                <w:sz w:val="24"/>
              </w:rPr>
              <w:t>开户银行：中国光大银行股份有限公司重庆冉家坝支行</w:t>
            </w:r>
          </w:p>
        </w:tc>
        <w:tc>
          <w:tcPr>
            <w:tcW w:w="4583" w:type="dxa"/>
          </w:tcPr>
          <w:p>
            <w:pPr>
              <w:widowControl/>
              <w:spacing w:line="400" w:lineRule="exact"/>
              <w:jc w:val="left"/>
              <w:rPr>
                <w:rFonts w:ascii="仿宋" w:hAnsi="仿宋" w:eastAsia="仿宋" w:cs="仿宋"/>
                <w:color w:val="000000"/>
                <w:sz w:val="24"/>
              </w:rPr>
            </w:pPr>
            <w:r>
              <w:rPr>
                <w:rFonts w:hint="eastAsia" w:ascii="仿宋" w:hAnsi="仿宋" w:eastAsia="仿宋" w:cs="仿宋"/>
                <w:sz w:val="24"/>
              </w:rPr>
              <w:t>开户银行：</w:t>
            </w:r>
            <w:r>
              <w:rPr>
                <w:rFonts w:hint="eastAsia" w:ascii="仿宋" w:hAnsi="仿宋" w:eastAsia="仿宋" w:cs="仿宋"/>
                <w:color w:val="FF0000"/>
                <w:sz w:val="24"/>
              </w:rPr>
              <w:t xml:space="preserve">                           </w:t>
            </w:r>
          </w:p>
        </w:tc>
      </w:tr>
      <w:tr>
        <w:tblPrEx>
          <w:tblCellMar>
            <w:top w:w="0" w:type="dxa"/>
            <w:left w:w="108" w:type="dxa"/>
            <w:bottom w:w="0" w:type="dxa"/>
            <w:right w:w="108" w:type="dxa"/>
          </w:tblCellMar>
        </w:tblPrEx>
        <w:trPr>
          <w:trHeight w:val="527" w:hRule="atLeast"/>
        </w:trPr>
        <w:tc>
          <w:tcPr>
            <w:tcW w:w="4896" w:type="dxa"/>
          </w:tcPr>
          <w:p>
            <w:pPr>
              <w:spacing w:line="400" w:lineRule="exact"/>
              <w:jc w:val="left"/>
              <w:rPr>
                <w:rFonts w:ascii="仿宋" w:hAnsi="仿宋" w:eastAsia="仿宋" w:cs="仿宋"/>
                <w:color w:val="000000"/>
                <w:sz w:val="24"/>
              </w:rPr>
            </w:pPr>
            <w:r>
              <w:rPr>
                <w:rFonts w:hint="eastAsia" w:ascii="仿宋" w:hAnsi="仿宋" w:eastAsia="仿宋" w:cs="仿宋"/>
                <w:sz w:val="24"/>
              </w:rPr>
              <w:t>银行账号：39530188000016968</w:t>
            </w:r>
          </w:p>
        </w:tc>
        <w:tc>
          <w:tcPr>
            <w:tcW w:w="4583" w:type="dxa"/>
          </w:tcPr>
          <w:p>
            <w:pPr>
              <w:widowControl/>
              <w:spacing w:line="400" w:lineRule="exact"/>
              <w:jc w:val="left"/>
              <w:rPr>
                <w:rFonts w:ascii="仿宋" w:hAnsi="仿宋" w:eastAsia="仿宋" w:cs="仿宋"/>
                <w:color w:val="000000"/>
                <w:sz w:val="24"/>
              </w:rPr>
            </w:pPr>
            <w:r>
              <w:rPr>
                <w:rFonts w:hint="eastAsia" w:ascii="仿宋" w:hAnsi="仿宋" w:eastAsia="仿宋" w:cs="仿宋"/>
                <w:sz w:val="24"/>
              </w:rPr>
              <w:t xml:space="preserve">银行帐号：                            </w:t>
            </w:r>
          </w:p>
        </w:tc>
      </w:tr>
      <w:tr>
        <w:tblPrEx>
          <w:tblCellMar>
            <w:top w:w="0" w:type="dxa"/>
            <w:left w:w="108" w:type="dxa"/>
            <w:bottom w:w="0" w:type="dxa"/>
            <w:right w:w="108" w:type="dxa"/>
          </w:tblCellMar>
        </w:tblPrEx>
        <w:trPr>
          <w:trHeight w:val="527" w:hRule="atLeast"/>
        </w:trPr>
        <w:tc>
          <w:tcPr>
            <w:tcW w:w="4896" w:type="dxa"/>
            <w:vAlign w:val="center"/>
          </w:tcPr>
          <w:p>
            <w:pPr>
              <w:spacing w:line="400" w:lineRule="exact"/>
              <w:jc w:val="left"/>
              <w:rPr>
                <w:rFonts w:ascii="仿宋" w:hAnsi="仿宋" w:eastAsia="仿宋" w:cs="仿宋"/>
                <w:sz w:val="24"/>
              </w:rPr>
            </w:pPr>
            <w:r>
              <w:rPr>
                <w:rFonts w:hint="eastAsia" w:ascii="仿宋" w:hAnsi="仿宋" w:eastAsia="仿宋" w:cs="仿宋"/>
                <w:sz w:val="24"/>
              </w:rPr>
              <w:t>日期：     年     月     日</w:t>
            </w:r>
          </w:p>
        </w:tc>
        <w:tc>
          <w:tcPr>
            <w:tcW w:w="4583" w:type="dxa"/>
          </w:tcPr>
          <w:p>
            <w:pPr>
              <w:spacing w:line="400" w:lineRule="exact"/>
              <w:jc w:val="left"/>
              <w:rPr>
                <w:rFonts w:ascii="仿宋" w:hAnsi="仿宋" w:eastAsia="仿宋" w:cs="仿宋"/>
                <w:sz w:val="24"/>
              </w:rPr>
            </w:pPr>
            <w:r>
              <w:rPr>
                <w:rFonts w:hint="eastAsia" w:ascii="仿宋" w:hAnsi="仿宋" w:eastAsia="仿宋" w:cs="仿宋"/>
                <w:sz w:val="24"/>
              </w:rPr>
              <w:t>日期：     年     月     日</w:t>
            </w:r>
          </w:p>
        </w:tc>
      </w:tr>
    </w:tbl>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 </w:t>
      </w:r>
    </w:p>
    <w:p>
      <w:pPr>
        <w:jc w:val="center"/>
        <w:rPr>
          <w:rFonts w:ascii="仿宋" w:hAnsi="仿宋" w:eastAsia="仿宋" w:cs="仿宋"/>
          <w:b/>
          <w:kern w:val="0"/>
          <w:sz w:val="32"/>
          <w:szCs w:val="32"/>
        </w:rPr>
      </w:pPr>
      <w:r>
        <w:rPr>
          <w:rFonts w:hint="eastAsia" w:ascii="仿宋" w:hAnsi="仿宋" w:eastAsia="仿宋" w:cs="仿宋"/>
          <w:b/>
          <w:kern w:val="0"/>
          <w:sz w:val="32"/>
          <w:szCs w:val="32"/>
        </w:rPr>
        <w:t>附件一：软件功能及性能描述</w:t>
      </w:r>
    </w:p>
    <w:p>
      <w:pPr>
        <w:ind w:firstLine="2570" w:firstLineChars="800"/>
        <w:rPr>
          <w:rFonts w:ascii="仿宋" w:hAnsi="仿宋" w:eastAsia="仿宋" w:cs="仿宋"/>
          <w:b/>
          <w:kern w:val="0"/>
          <w:sz w:val="32"/>
          <w:szCs w:val="32"/>
        </w:rPr>
      </w:pPr>
      <w:r>
        <w:rPr>
          <w:rFonts w:hint="eastAsia" w:ascii="仿宋" w:hAnsi="仿宋" w:eastAsia="仿宋" w:cs="仿宋"/>
          <w:b/>
          <w:kern w:val="0"/>
          <w:sz w:val="32"/>
          <w:szCs w:val="32"/>
        </w:rPr>
        <w:t>附件二：具体价格清单</w:t>
      </w:r>
    </w:p>
    <w:p>
      <w:pPr>
        <w:ind w:firstLine="2570" w:firstLineChars="800"/>
        <w:rPr>
          <w:rFonts w:ascii="仿宋" w:hAnsi="仿宋" w:eastAsia="仿宋" w:cs="仿宋"/>
          <w:b/>
          <w:kern w:val="0"/>
          <w:sz w:val="32"/>
          <w:szCs w:val="32"/>
        </w:rPr>
      </w:pPr>
      <w:r>
        <w:rPr>
          <w:rFonts w:hint="eastAsia" w:ascii="仿宋" w:hAnsi="仿宋" w:eastAsia="仿宋" w:cs="仿宋"/>
          <w:b/>
          <w:kern w:val="0"/>
          <w:sz w:val="32"/>
          <w:szCs w:val="32"/>
        </w:rPr>
        <w:t>附件三：里程碑工程进度</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里程碑阶段项目：名称内容规格、完成时间检测标准备注</w:t>
      </w:r>
    </w:p>
    <w:p>
      <w:pPr>
        <w:pStyle w:val="37"/>
        <w:spacing w:before="0" w:beforeAutospacing="0" w:after="0" w:afterAutospacing="0" w:line="400" w:lineRule="exact"/>
        <w:ind w:firstLine="482" w:firstLineChars="200"/>
        <w:jc w:val="both"/>
        <w:rPr>
          <w:rFonts w:ascii="仿宋" w:hAnsi="仿宋" w:eastAsia="仿宋" w:cs="仿宋"/>
          <w:b/>
          <w:bCs/>
        </w:rPr>
      </w:pPr>
    </w:p>
    <w:p>
      <w:pPr>
        <w:pStyle w:val="37"/>
        <w:spacing w:before="0" w:beforeAutospacing="0" w:after="0" w:afterAutospacing="0" w:line="400" w:lineRule="exact"/>
        <w:ind w:firstLine="482" w:firstLineChars="200"/>
        <w:jc w:val="both"/>
        <w:rPr>
          <w:rFonts w:ascii="仿宋" w:hAnsi="仿宋" w:eastAsia="仿宋" w:cs="仿宋"/>
          <w:b/>
          <w:bCs/>
        </w:rPr>
      </w:pPr>
      <w:r>
        <w:rPr>
          <w:rFonts w:hint="eastAsia" w:ascii="仿宋" w:hAnsi="仿宋" w:eastAsia="仿宋" w:cs="仿宋"/>
          <w:b/>
          <w:bCs/>
        </w:rPr>
        <w:t>里程碑1：</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交付时间：</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交付地点：</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交付内容：（关键事件与目标边界一里程碑）总体详细设计说明书、需求分析、系统设计书、系统与子系统检测标准书：构成本合同的附件。检测标准不得低于本行业的标准。）</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阶段性检查的方式与方法：</w:t>
      </w:r>
    </w:p>
    <w:p>
      <w:pPr>
        <w:pStyle w:val="37"/>
        <w:spacing w:before="0" w:beforeAutospacing="0" w:after="0" w:afterAutospacing="0" w:line="400" w:lineRule="exact"/>
        <w:ind w:firstLine="480" w:firstLineChars="200"/>
        <w:jc w:val="both"/>
        <w:rPr>
          <w:rFonts w:ascii="仿宋" w:hAnsi="仿宋" w:eastAsia="仿宋" w:cs="仿宋"/>
        </w:rPr>
      </w:pPr>
    </w:p>
    <w:p>
      <w:pPr>
        <w:pStyle w:val="37"/>
        <w:spacing w:before="0" w:beforeAutospacing="0" w:after="0" w:afterAutospacing="0" w:line="400" w:lineRule="exact"/>
        <w:ind w:firstLine="482" w:firstLineChars="200"/>
        <w:jc w:val="both"/>
        <w:rPr>
          <w:rFonts w:ascii="仿宋" w:hAnsi="仿宋" w:eastAsia="仿宋" w:cs="仿宋"/>
          <w:b/>
          <w:bCs/>
        </w:rPr>
      </w:pPr>
      <w:r>
        <w:rPr>
          <w:rFonts w:hint="eastAsia" w:ascii="仿宋" w:hAnsi="仿宋" w:eastAsia="仿宋" w:cs="仿宋"/>
          <w:b/>
          <w:bCs/>
        </w:rPr>
        <w:t>里程碑2：</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交付时间：</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交付地点：</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交付内容：（测试和测试用例阶段性交付：业务流程方案，系统设计书、系统与子系统检测标准书，软件产品评审文件，项目计划，软件需求分析文件，软件设计文件，软件实现和单元测试文件，系统测试文件，双方对上述文件进行评审和调试和调整。）</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阶段性检查的方式与方法：</w:t>
      </w:r>
    </w:p>
    <w:p>
      <w:pPr>
        <w:pStyle w:val="37"/>
        <w:spacing w:before="0" w:beforeAutospacing="0" w:after="0" w:afterAutospacing="0" w:line="400" w:lineRule="exact"/>
        <w:ind w:firstLine="480" w:firstLineChars="200"/>
        <w:jc w:val="both"/>
        <w:rPr>
          <w:rFonts w:ascii="仿宋" w:hAnsi="仿宋" w:eastAsia="仿宋" w:cs="仿宋"/>
        </w:rPr>
      </w:pPr>
    </w:p>
    <w:p>
      <w:pPr>
        <w:pStyle w:val="37"/>
        <w:spacing w:before="0" w:beforeAutospacing="0" w:after="0" w:afterAutospacing="0" w:line="400" w:lineRule="exact"/>
        <w:ind w:firstLine="482" w:firstLineChars="200"/>
        <w:jc w:val="both"/>
        <w:rPr>
          <w:rFonts w:ascii="仿宋" w:hAnsi="仿宋" w:eastAsia="仿宋" w:cs="仿宋"/>
        </w:rPr>
      </w:pPr>
      <w:r>
        <w:rPr>
          <w:rFonts w:hint="eastAsia" w:ascii="仿宋" w:hAnsi="仿宋" w:eastAsia="仿宋" w:cs="仿宋"/>
          <w:b/>
          <w:bCs/>
        </w:rPr>
        <w:t>里程碑3：</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交付时间：</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交付地点：</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交付内容：</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阶段性检查的方式与方法：</w:t>
      </w:r>
    </w:p>
    <w:p>
      <w:pPr>
        <w:pStyle w:val="37"/>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w:t>
      </w:r>
    </w:p>
    <w:p>
      <w:pPr>
        <w:pStyle w:val="37"/>
        <w:spacing w:before="0" w:beforeAutospacing="0" w:after="0" w:afterAutospacing="0" w:line="400" w:lineRule="exact"/>
        <w:ind w:firstLine="480" w:firstLineChars="200"/>
        <w:jc w:val="both"/>
        <w:rPr>
          <w:rFonts w:ascii="仿宋" w:hAnsi="仿宋" w:eastAsia="仿宋" w:cs="仿宋"/>
        </w:rPr>
      </w:pPr>
    </w:p>
    <w:p>
      <w:pPr>
        <w:pStyle w:val="37"/>
        <w:spacing w:before="0" w:beforeAutospacing="0" w:after="0" w:afterAutospacing="0" w:line="400" w:lineRule="exact"/>
        <w:ind w:firstLine="480" w:firstLineChars="200"/>
        <w:jc w:val="both"/>
        <w:rPr>
          <w:rFonts w:ascii="仿宋" w:hAnsi="仿宋" w:eastAsia="仿宋" w:cs="仿宋"/>
        </w:rPr>
      </w:pPr>
    </w:p>
    <w:p>
      <w:pPr>
        <w:pStyle w:val="37"/>
        <w:spacing w:before="0" w:beforeAutospacing="0" w:after="0" w:afterAutospacing="0" w:line="400" w:lineRule="exact"/>
        <w:ind w:firstLine="480" w:firstLineChars="200"/>
        <w:jc w:val="both"/>
        <w:rPr>
          <w:rFonts w:ascii="仿宋" w:hAnsi="仿宋" w:eastAsia="仿宋" w:cs="仿宋"/>
        </w:rPr>
      </w:pPr>
    </w:p>
    <w:p>
      <w:pPr>
        <w:pStyle w:val="37"/>
        <w:spacing w:before="0" w:beforeAutospacing="0" w:after="0" w:afterAutospacing="0" w:line="400" w:lineRule="exact"/>
        <w:ind w:firstLine="480" w:firstLineChars="200"/>
        <w:jc w:val="both"/>
        <w:rPr>
          <w:rFonts w:ascii="仿宋" w:hAnsi="仿宋" w:eastAsia="仿宋" w:cs="仿宋"/>
        </w:rPr>
      </w:pPr>
    </w:p>
    <w:p>
      <w:pPr>
        <w:pStyle w:val="37"/>
        <w:spacing w:before="0" w:beforeAutospacing="0" w:after="0" w:afterAutospacing="0" w:line="400" w:lineRule="exact"/>
        <w:ind w:firstLine="480" w:firstLineChars="200"/>
        <w:jc w:val="both"/>
        <w:rPr>
          <w:rFonts w:ascii="仿宋" w:hAnsi="仿宋" w:eastAsia="仿宋" w:cs="仿宋"/>
        </w:rPr>
      </w:pPr>
    </w:p>
    <w:p>
      <w:pPr>
        <w:pStyle w:val="37"/>
        <w:spacing w:before="0" w:beforeAutospacing="0" w:after="0" w:afterAutospacing="0" w:line="400" w:lineRule="exact"/>
        <w:ind w:firstLine="480" w:firstLineChars="200"/>
        <w:jc w:val="both"/>
        <w:rPr>
          <w:rFonts w:ascii="仿宋" w:hAnsi="仿宋" w:eastAsia="仿宋" w:cs="仿宋"/>
        </w:rPr>
      </w:pPr>
    </w:p>
    <w:p>
      <w:pPr>
        <w:pStyle w:val="37"/>
        <w:spacing w:before="0" w:beforeAutospacing="0" w:after="0" w:afterAutospacing="0" w:line="400" w:lineRule="exact"/>
        <w:ind w:firstLine="480" w:firstLineChars="200"/>
        <w:jc w:val="both"/>
        <w:rPr>
          <w:rFonts w:ascii="仿宋" w:hAnsi="仿宋" w:eastAsia="仿宋" w:cs="仿宋"/>
        </w:rPr>
      </w:pPr>
    </w:p>
    <w:p>
      <w:pPr>
        <w:jc w:val="center"/>
        <w:rPr>
          <w:rFonts w:ascii="仿宋" w:hAnsi="仿宋" w:eastAsia="仿宋" w:cs="仿宋"/>
          <w:b/>
          <w:kern w:val="0"/>
          <w:sz w:val="32"/>
          <w:szCs w:val="32"/>
        </w:rPr>
      </w:pPr>
      <w:r>
        <w:rPr>
          <w:rFonts w:hint="eastAsia" w:ascii="仿宋" w:hAnsi="仿宋" w:eastAsia="仿宋" w:cs="仿宋"/>
          <w:b/>
          <w:kern w:val="0"/>
          <w:sz w:val="32"/>
          <w:szCs w:val="32"/>
        </w:rPr>
        <w:t>附件四</w:t>
      </w:r>
    </w:p>
    <w:tbl>
      <w:tblPr>
        <w:tblStyle w:val="43"/>
        <w:tblW w:w="497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38"/>
        <w:gridCol w:w="1264"/>
        <w:gridCol w:w="1278"/>
        <w:gridCol w:w="3439"/>
        <w:gridCol w:w="232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9174" w:type="dxa"/>
            <w:gridSpan w:val="5"/>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center"/>
              <w:rPr>
                <w:rFonts w:ascii="仿宋" w:hAnsi="仿宋" w:eastAsia="仿宋" w:cs="仿宋"/>
                <w:color w:val="000000"/>
              </w:rPr>
            </w:pPr>
            <w:r>
              <w:rPr>
                <w:rFonts w:hint="eastAsia" w:ascii="仿宋" w:hAnsi="仿宋" w:eastAsia="仿宋" w:cs="仿宋"/>
                <w:color w:val="000000"/>
              </w:rPr>
              <w:t>项目小组成员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41"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jc w:val="both"/>
              <w:rPr>
                <w:rFonts w:ascii="仿宋" w:hAnsi="仿宋" w:eastAsia="仿宋" w:cs="仿宋"/>
                <w:color w:val="000000"/>
              </w:rPr>
            </w:pPr>
            <w:r>
              <w:rPr>
                <w:rFonts w:hint="eastAsia" w:ascii="仿宋" w:hAnsi="仿宋" w:eastAsia="仿宋" w:cs="仿宋"/>
                <w:color w:val="000000"/>
              </w:rPr>
              <w:t>序号</w:t>
            </w:r>
          </w:p>
        </w:tc>
        <w:tc>
          <w:tcPr>
            <w:tcW w:w="128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r>
              <w:rPr>
                <w:rFonts w:hint="eastAsia" w:ascii="仿宋" w:hAnsi="仿宋" w:eastAsia="仿宋" w:cs="仿宋"/>
                <w:color w:val="000000"/>
              </w:rPr>
              <w:t>姓名</w:t>
            </w:r>
          </w:p>
        </w:tc>
        <w:tc>
          <w:tcPr>
            <w:tcW w:w="1293"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r>
              <w:rPr>
                <w:rFonts w:hint="eastAsia" w:ascii="仿宋" w:hAnsi="仿宋" w:eastAsia="仿宋" w:cs="仿宋"/>
                <w:color w:val="000000"/>
              </w:rPr>
              <w:t>职务</w:t>
            </w:r>
          </w:p>
        </w:tc>
        <w:tc>
          <w:tcPr>
            <w:tcW w:w="350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r>
              <w:rPr>
                <w:rFonts w:hint="eastAsia" w:ascii="仿宋" w:hAnsi="仿宋" w:eastAsia="仿宋" w:cs="仿宋"/>
                <w:color w:val="000000"/>
              </w:rPr>
              <w:t>工作内容</w:t>
            </w:r>
          </w:p>
        </w:tc>
        <w:tc>
          <w:tcPr>
            <w:tcW w:w="236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r>
              <w:rPr>
                <w:rFonts w:hint="eastAsia" w:ascii="仿宋" w:hAnsi="仿宋" w:eastAsia="仿宋" w:cs="仿宋"/>
                <w:color w:val="000000"/>
              </w:rPr>
              <w:t>联系方式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41"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8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1293"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350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c>
          <w:tcPr>
            <w:tcW w:w="2360" w:type="dxa"/>
            <w:tcBorders>
              <w:top w:val="single" w:color="000000" w:sz="6" w:space="0"/>
              <w:left w:val="single" w:color="000000" w:sz="6" w:space="0"/>
              <w:bottom w:val="single" w:color="000000" w:sz="6" w:space="0"/>
              <w:right w:val="single" w:color="000000" w:sz="6" w:space="0"/>
            </w:tcBorders>
          </w:tcPr>
          <w:p>
            <w:pPr>
              <w:pStyle w:val="37"/>
              <w:spacing w:before="0" w:beforeAutospacing="0" w:after="0" w:afterAutospacing="0" w:line="400" w:lineRule="exact"/>
              <w:ind w:firstLine="480" w:firstLineChars="200"/>
              <w:jc w:val="both"/>
              <w:rPr>
                <w:rFonts w:ascii="仿宋" w:hAnsi="仿宋" w:eastAsia="仿宋" w:cs="仿宋"/>
                <w:color w:val="000000"/>
              </w:rPr>
            </w:pPr>
          </w:p>
        </w:tc>
      </w:tr>
    </w:tbl>
    <w:p>
      <w:pPr>
        <w:pStyle w:val="37"/>
        <w:spacing w:before="0" w:beforeAutospacing="0" w:after="0" w:afterAutospacing="0" w:line="440" w:lineRule="exact"/>
        <w:rPr>
          <w:rFonts w:ascii="仿宋" w:hAnsi="仿宋" w:eastAsia="仿宋" w:cs="仿宋"/>
          <w:color w:val="000000"/>
          <w:kern w:val="2"/>
        </w:rPr>
      </w:pPr>
    </w:p>
    <w:p>
      <w:pPr>
        <w:pStyle w:val="37"/>
        <w:spacing w:before="0" w:beforeAutospacing="0" w:after="0" w:afterAutospacing="0" w:line="440" w:lineRule="exact"/>
        <w:rPr>
          <w:rFonts w:ascii="仿宋" w:hAnsi="仿宋" w:eastAsia="仿宋" w:cs="仿宋"/>
          <w:color w:val="000000"/>
          <w:kern w:val="2"/>
        </w:rPr>
      </w:pPr>
    </w:p>
    <w:p>
      <w:pPr>
        <w:spacing w:line="400" w:lineRule="exact"/>
        <w:rPr>
          <w:rFonts w:ascii="仿宋" w:hAnsi="仿宋" w:eastAsia="仿宋" w:cs="仿宋"/>
          <w:sz w:val="24"/>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rPr>
          <w:rFonts w:ascii="仿宋" w:hAnsi="仿宋" w:eastAsia="仿宋" w:cs="仿宋"/>
          <w:b/>
          <w:kern w:val="0"/>
          <w:sz w:val="32"/>
          <w:szCs w:val="32"/>
        </w:rPr>
      </w:pPr>
    </w:p>
    <w:p>
      <w:pPr>
        <w:widowControl/>
        <w:jc w:val="center"/>
        <w:rPr>
          <w:rFonts w:ascii="仿宋" w:hAnsi="仿宋" w:eastAsia="仿宋" w:cs="仿宋"/>
          <w:b/>
          <w:kern w:val="0"/>
          <w:sz w:val="32"/>
          <w:szCs w:val="32"/>
        </w:rPr>
      </w:pPr>
    </w:p>
    <w:p>
      <w:pPr>
        <w:pStyle w:val="6"/>
        <w:rPr>
          <w:rFonts w:ascii="仿宋" w:hAnsi="仿宋" w:eastAsia="仿宋" w:cs="仿宋"/>
          <w:sz w:val="32"/>
          <w:szCs w:val="32"/>
        </w:rPr>
      </w:pPr>
    </w:p>
    <w:p>
      <w:pPr>
        <w:rPr>
          <w:rFonts w:ascii="仿宋" w:hAnsi="仿宋" w:eastAsia="仿宋" w:cs="仿宋"/>
          <w:b/>
          <w:kern w:val="0"/>
          <w:sz w:val="32"/>
          <w:szCs w:val="32"/>
        </w:rPr>
      </w:pPr>
    </w:p>
    <w:p>
      <w:pPr>
        <w:pStyle w:val="6"/>
        <w:rPr>
          <w:rFonts w:ascii="仿宋" w:hAnsi="仿宋" w:eastAsia="仿宋" w:cs="仿宋"/>
          <w:sz w:val="32"/>
          <w:szCs w:val="32"/>
        </w:rPr>
      </w:pPr>
    </w:p>
    <w:p>
      <w:pPr>
        <w:pStyle w:val="6"/>
        <w:rPr>
          <w:rFonts w:hint="eastAsia" w:eastAsia="黑体"/>
          <w:lang w:eastAsia="zh-CN"/>
        </w:rPr>
      </w:pPr>
    </w:p>
    <w:p>
      <w:pPr>
        <w:rPr>
          <w:rFonts w:hint="eastAsia"/>
          <w:lang w:eastAsia="zh-CN"/>
        </w:rPr>
      </w:pPr>
    </w:p>
    <w:p>
      <w:pPr>
        <w:widowControl/>
        <w:jc w:val="center"/>
        <w:rPr>
          <w:rFonts w:ascii="仿宋" w:hAnsi="仿宋" w:eastAsia="仿宋" w:cs="仿宋"/>
          <w:b/>
          <w:kern w:val="0"/>
          <w:sz w:val="32"/>
          <w:szCs w:val="32"/>
        </w:rPr>
      </w:pPr>
      <w:r>
        <w:rPr>
          <w:rFonts w:hint="eastAsia" w:ascii="仿宋" w:hAnsi="仿宋" w:eastAsia="仿宋" w:cs="仿宋"/>
          <w:b/>
          <w:kern w:val="0"/>
          <w:sz w:val="32"/>
          <w:szCs w:val="32"/>
        </w:rPr>
        <w:t>附件五：维护和培训</w:t>
      </w:r>
    </w:p>
    <w:p>
      <w:pPr>
        <w:pStyle w:val="6"/>
        <w:rPr>
          <w:rFonts w:eastAsia="仿宋"/>
        </w:rPr>
      </w:pPr>
      <w:r>
        <w:rPr>
          <w:rFonts w:hint="eastAsia" w:ascii="仿宋" w:hAnsi="仿宋" w:eastAsia="仿宋" w:cs="仿宋"/>
          <w:sz w:val="32"/>
          <w:szCs w:val="32"/>
        </w:rPr>
        <w:t>一、维护要求：</w:t>
      </w:r>
    </w:p>
    <w:p>
      <w:pPr>
        <w:pStyle w:val="6"/>
        <w:rPr>
          <w:rFonts w:ascii="仿宋" w:hAnsi="仿宋" w:eastAsia="仿宋" w:cs="仿宋"/>
          <w:color w:val="000000"/>
        </w:rPr>
      </w:pPr>
      <w:r>
        <w:rPr>
          <w:rFonts w:hint="eastAsia" w:ascii="仿宋" w:hAnsi="仿宋" w:eastAsia="仿宋" w:cs="仿宋"/>
          <w:sz w:val="32"/>
          <w:szCs w:val="32"/>
        </w:rPr>
        <w:t>二、培训：</w:t>
      </w:r>
    </w:p>
    <w:p>
      <w:pPr>
        <w:pStyle w:val="37"/>
        <w:rPr>
          <w:rFonts w:ascii="仿宋" w:hAnsi="仿宋" w:eastAsia="仿宋" w:cs="仿宋"/>
          <w:color w:val="000000"/>
        </w:rPr>
      </w:pPr>
      <w:r>
        <w:rPr>
          <w:rFonts w:hint="eastAsia" w:ascii="仿宋" w:hAnsi="仿宋" w:eastAsia="仿宋" w:cs="仿宋"/>
          <w:color w:val="000000"/>
        </w:rPr>
        <w:t>培训项目</w:t>
      </w:r>
    </w:p>
    <w:p>
      <w:pPr>
        <w:pStyle w:val="37"/>
        <w:rPr>
          <w:rFonts w:ascii="仿宋" w:hAnsi="仿宋" w:eastAsia="仿宋" w:cs="仿宋"/>
          <w:color w:val="000000"/>
        </w:rPr>
      </w:pPr>
      <w:r>
        <w:rPr>
          <w:rFonts w:hint="eastAsia" w:ascii="仿宋" w:hAnsi="仿宋" w:eastAsia="仿宋" w:cs="仿宋"/>
          <w:color w:val="000000"/>
        </w:rPr>
        <w:t>培训科目   </w:t>
      </w:r>
    </w:p>
    <w:p>
      <w:pPr>
        <w:pStyle w:val="37"/>
        <w:jc w:val="center"/>
        <w:rPr>
          <w:rFonts w:ascii="仿宋" w:hAnsi="仿宋" w:eastAsia="仿宋" w:cs="仿宋"/>
          <w:color w:val="000000"/>
        </w:rPr>
      </w:pPr>
      <w:r>
        <w:rPr>
          <w:rFonts w:hint="eastAsia" w:ascii="仿宋" w:hAnsi="仿宋" w:eastAsia="仿宋" w:cs="仿宋"/>
          <w:color w:val="000000"/>
        </w:rPr>
        <w:t>合同编号：</w:t>
      </w:r>
      <w:r>
        <w:rPr>
          <w:rFonts w:hint="eastAsia" w:ascii="仿宋" w:hAnsi="仿宋" w:eastAsia="仿宋" w:cs="仿宋"/>
          <w:color w:val="000000"/>
          <w:u w:val="single"/>
        </w:rPr>
        <w:t xml:space="preserve">                      </w:t>
      </w:r>
    </w:p>
    <w:p>
      <w:pPr>
        <w:pStyle w:val="37"/>
        <w:rPr>
          <w:rFonts w:ascii="仿宋" w:hAnsi="仿宋" w:eastAsia="仿宋" w:cs="仿宋"/>
          <w:color w:val="000000"/>
        </w:rPr>
      </w:pPr>
      <w:r>
        <w:rPr>
          <w:rFonts w:hint="eastAsia" w:ascii="仿宋" w:hAnsi="仿宋" w:eastAsia="仿宋" w:cs="仿宋"/>
          <w:color w:val="000000"/>
        </w:rPr>
        <w:t>培训对象与人数</w:t>
      </w:r>
    </w:p>
    <w:p>
      <w:pPr>
        <w:pStyle w:val="37"/>
        <w:rPr>
          <w:rFonts w:ascii="仿宋" w:hAnsi="仿宋" w:eastAsia="仿宋" w:cs="仿宋"/>
          <w:color w:val="000000"/>
        </w:rPr>
      </w:pPr>
      <w:r>
        <w:rPr>
          <w:rFonts w:hint="eastAsia" w:ascii="仿宋" w:hAnsi="仿宋" w:eastAsia="仿宋" w:cs="仿宋"/>
          <w:color w:val="000000"/>
        </w:rPr>
        <w:t>培训时间</w:t>
      </w:r>
    </w:p>
    <w:p>
      <w:pPr>
        <w:pStyle w:val="37"/>
        <w:rPr>
          <w:rFonts w:ascii="仿宋" w:hAnsi="仿宋" w:eastAsia="仿宋" w:cs="仿宋"/>
          <w:color w:val="000000"/>
        </w:rPr>
      </w:pPr>
      <w:r>
        <w:rPr>
          <w:rFonts w:hint="eastAsia" w:ascii="仿宋" w:hAnsi="仿宋" w:eastAsia="仿宋" w:cs="仿宋"/>
          <w:color w:val="000000"/>
        </w:rPr>
        <w:t>备注</w:t>
      </w:r>
    </w:p>
    <w:p>
      <w:pPr>
        <w:pStyle w:val="37"/>
        <w:rPr>
          <w:rFonts w:ascii="仿宋" w:hAnsi="仿宋" w:eastAsia="仿宋" w:cs="仿宋"/>
          <w:color w:val="000000"/>
        </w:rPr>
      </w:pPr>
      <w:r>
        <w:rPr>
          <w:rFonts w:hint="eastAsia" w:ascii="仿宋" w:hAnsi="仿宋" w:eastAsia="仿宋" w:cs="仿宋"/>
          <w:color w:val="000000"/>
        </w:rPr>
        <w:t>培训所达到的目标：</w:t>
      </w:r>
    </w:p>
    <w:p>
      <w:pPr>
        <w:pStyle w:val="6"/>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pStyle w:val="6"/>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宋体" w:hAnsi="宋体"/>
        </w:rPr>
      </w:pPr>
      <w:r>
        <w:rPr>
          <w:rFonts w:ascii="仿宋" w:hAnsi="仿宋" w:eastAsia="仿宋" w:cs="仿宋"/>
          <w:b/>
          <w:kern w:val="0"/>
          <w:sz w:val="32"/>
          <w:szCs w:val="32"/>
        </w:rPr>
        <w:t>附件</w:t>
      </w:r>
      <w:r>
        <w:rPr>
          <w:rFonts w:hint="eastAsia" w:ascii="仿宋" w:hAnsi="仿宋" w:eastAsia="仿宋" w:cs="仿宋"/>
          <w:b/>
          <w:kern w:val="0"/>
          <w:sz w:val="32"/>
          <w:szCs w:val="32"/>
        </w:rPr>
        <w:t>六</w:t>
      </w:r>
      <w:r>
        <w:rPr>
          <w:rFonts w:ascii="仿宋" w:hAnsi="仿宋" w:eastAsia="仿宋" w:cs="仿宋"/>
          <w:b/>
          <w:kern w:val="0"/>
          <w:sz w:val="32"/>
          <w:szCs w:val="32"/>
        </w:rPr>
        <w:t>：代理人授权委托书原件</w:t>
      </w:r>
    </w:p>
    <w:p>
      <w:pPr>
        <w:widowControl/>
        <w:jc w:val="left"/>
      </w:pPr>
    </w:p>
    <w:p>
      <w:pPr>
        <w:pStyle w:val="16"/>
      </w:pPr>
    </w:p>
    <w:p>
      <w:pPr>
        <w:snapToGrid w:val="0"/>
        <w:spacing w:before="159" w:beforeLines="50" w:line="480" w:lineRule="auto"/>
        <w:jc w:val="center"/>
        <w:rPr>
          <w:b/>
          <w:bCs/>
          <w:sz w:val="36"/>
          <w:szCs w:val="36"/>
        </w:rPr>
      </w:pPr>
      <w:bookmarkStart w:id="810" w:name="_Toc60522875"/>
      <w:r>
        <w:rPr>
          <w:b/>
          <w:bCs/>
          <w:sz w:val="36"/>
          <w:szCs w:val="36"/>
        </w:rPr>
        <w:t>法定代表人授权委托书</w:t>
      </w:r>
      <w:bookmarkEnd w:id="810"/>
    </w:p>
    <w:p>
      <w:pPr>
        <w:snapToGrid w:val="0"/>
        <w:spacing w:before="159" w:beforeLines="50" w:line="480" w:lineRule="auto"/>
        <w:ind w:firstLine="504"/>
        <w:rPr>
          <w:rFonts w:ascii="仿宋" w:hAnsi="仿宋" w:eastAsia="仿宋" w:cs="仿宋"/>
          <w:color w:val="000000"/>
          <w:kern w:val="0"/>
          <w:sz w:val="24"/>
        </w:rPr>
      </w:pPr>
      <w:r>
        <w:rPr>
          <w:rFonts w:hint="eastAsia" w:ascii="仿宋" w:hAnsi="仿宋" w:eastAsia="仿宋" w:cs="仿宋"/>
          <w:color w:val="000000"/>
          <w:kern w:val="0"/>
          <w:sz w:val="24"/>
        </w:rPr>
        <w:t>致：重庆首讯科技股份有限公司</w:t>
      </w:r>
    </w:p>
    <w:p>
      <w:pPr>
        <w:ind w:firstLine="1092" w:firstLineChars="455"/>
        <w:rPr>
          <w:rFonts w:ascii="仿宋" w:hAnsi="仿宋" w:eastAsia="仿宋" w:cs="仿宋"/>
          <w:color w:val="000000"/>
          <w:kern w:val="0"/>
          <w:sz w:val="24"/>
        </w:rPr>
      </w:pPr>
      <w:r>
        <w:rPr>
          <w:rFonts w:hint="eastAsia" w:ascii="仿宋" w:hAnsi="仿宋" w:eastAsia="仿宋" w:cs="仿宋"/>
          <w:color w:val="000000"/>
          <w:kern w:val="0"/>
          <w:sz w:val="24"/>
        </w:rPr>
        <w:t>本授权书宣告：</w:t>
      </w:r>
      <w:r>
        <w:rPr>
          <w:u w:val="single"/>
        </w:rPr>
        <w:t xml:space="preserve">          </w:t>
      </w:r>
      <w:r>
        <w:rPr>
          <w:rFonts w:hint="eastAsia" w:ascii="仿宋" w:hAnsi="仿宋" w:eastAsia="仿宋" w:cs="仿宋"/>
          <w:color w:val="000000"/>
          <w:kern w:val="0"/>
          <w:sz w:val="24"/>
        </w:rPr>
        <w:t>公司法定代表人</w:t>
      </w:r>
      <w:r>
        <w:rPr>
          <w:u w:val="single"/>
        </w:rPr>
        <w:t xml:space="preserve">          </w:t>
      </w:r>
      <w:r>
        <w:rPr>
          <w:rFonts w:hint="eastAsia" w:ascii="仿宋" w:hAnsi="仿宋" w:eastAsia="仿宋" w:cs="仿宋"/>
          <w:color w:val="000000"/>
          <w:kern w:val="0"/>
          <w:sz w:val="24"/>
        </w:rPr>
        <w:t>合法地代表我单位，授权</w:t>
      </w:r>
      <w:r>
        <w:rPr>
          <w:u w:val="single"/>
        </w:rPr>
        <w:t xml:space="preserve">          </w:t>
      </w:r>
      <w:r>
        <w:rPr>
          <w:rFonts w:hint="eastAsia" w:ascii="仿宋" w:hAnsi="仿宋" w:eastAsia="仿宋" w:cs="仿宋"/>
          <w:color w:val="000000"/>
          <w:kern w:val="0"/>
          <w:sz w:val="24"/>
        </w:rPr>
        <w:t>公司的</w:t>
      </w:r>
      <w:r>
        <w:rPr>
          <w:u w:val="single"/>
        </w:rPr>
        <w:t xml:space="preserve">          </w:t>
      </w:r>
      <w:r>
        <w:rPr>
          <w:rFonts w:hint="eastAsia"/>
          <w:u w:val="single"/>
        </w:rPr>
        <w:t xml:space="preserve">    （身份证号：）</w:t>
      </w:r>
      <w:r>
        <w:rPr>
          <w:rFonts w:hint="eastAsia" w:ascii="仿宋" w:hAnsi="仿宋" w:eastAsia="仿宋" w:cs="仿宋"/>
          <w:color w:val="000000"/>
          <w:kern w:val="0"/>
          <w:sz w:val="24"/>
        </w:rPr>
        <w:t>为我单位代理人，该代理人有权代表我单位与你们进行</w:t>
      </w:r>
      <w:r>
        <w:rPr>
          <w:u w:val="single"/>
        </w:rPr>
        <w:t xml:space="preserve">  </w:t>
      </w:r>
      <w:r>
        <w:rPr>
          <w:rFonts w:hint="eastAsia"/>
          <w:u w:val="single"/>
        </w:rPr>
        <w:t xml:space="preserve">               </w:t>
      </w:r>
      <w:r>
        <w:rPr>
          <w:rFonts w:hint="eastAsia" w:ascii="仿宋" w:hAnsi="仿宋" w:eastAsia="仿宋" w:cs="仿宋"/>
          <w:color w:val="000000"/>
          <w:kern w:val="0"/>
          <w:sz w:val="24"/>
        </w:rPr>
        <w:t>的相关合同签订、签署文件和处理一切与该项目有关的事务。</w:t>
      </w:r>
    </w:p>
    <w:p>
      <w:pPr>
        <w:snapToGrid w:val="0"/>
        <w:spacing w:before="159" w:beforeLines="50" w:line="480" w:lineRule="auto"/>
        <w:ind w:firstLine="504"/>
        <w:rPr>
          <w:rFonts w:ascii="仿宋" w:hAnsi="仿宋" w:eastAsia="仿宋" w:cs="仿宋"/>
          <w:color w:val="000000"/>
          <w:kern w:val="0"/>
          <w:sz w:val="24"/>
        </w:rPr>
      </w:pPr>
      <w:r>
        <w:rPr>
          <w:rFonts w:hint="eastAsia" w:ascii="仿宋" w:hAnsi="仿宋" w:eastAsia="仿宋" w:cs="仿宋"/>
          <w:color w:val="000000"/>
          <w:kern w:val="0"/>
          <w:sz w:val="24"/>
        </w:rPr>
        <w:t>在整个过程中，该代理人的一切行为均代表本单位，与本单位的行为具有同等法律效力。本单位将承担该代理人行为的全部法律责任和后果。</w:t>
      </w:r>
    </w:p>
    <w:p>
      <w:pPr>
        <w:snapToGrid w:val="0"/>
        <w:spacing w:before="159" w:beforeLines="50" w:line="480" w:lineRule="auto"/>
        <w:ind w:firstLine="504"/>
        <w:rPr>
          <w:rFonts w:ascii="仿宋" w:hAnsi="仿宋" w:eastAsia="仿宋" w:cs="仿宋"/>
          <w:color w:val="000000"/>
          <w:kern w:val="0"/>
          <w:sz w:val="24"/>
        </w:rPr>
      </w:pPr>
      <w:r>
        <w:rPr>
          <w:rFonts w:hint="eastAsia" w:ascii="仿宋" w:hAnsi="仿宋" w:eastAsia="仿宋" w:cs="仿宋"/>
          <w:color w:val="000000"/>
          <w:kern w:val="0"/>
          <w:sz w:val="24"/>
        </w:rPr>
        <w:t xml:space="preserve">委托期限：  自出具之日起生效至此项目缺陷责任期结束 。 </w:t>
      </w:r>
    </w:p>
    <w:p>
      <w:pPr>
        <w:snapToGrid w:val="0"/>
        <w:spacing w:before="159" w:beforeLines="50" w:line="480" w:lineRule="auto"/>
        <w:ind w:firstLine="504"/>
        <w:rPr>
          <w:rFonts w:ascii="仿宋" w:hAnsi="仿宋" w:eastAsia="仿宋" w:cs="仿宋"/>
          <w:color w:val="000000"/>
          <w:kern w:val="0"/>
          <w:sz w:val="24"/>
        </w:rPr>
      </w:pPr>
      <w:r>
        <w:rPr>
          <w:rFonts w:hint="eastAsia" w:ascii="仿宋" w:hAnsi="仿宋" w:eastAsia="仿宋" w:cs="仿宋"/>
          <w:color w:val="000000"/>
          <w:kern w:val="0"/>
          <w:sz w:val="24"/>
        </w:rPr>
        <w:t>代理人无权转换代理权。特此委托。</w:t>
      </w:r>
    </w:p>
    <w:p>
      <w:pPr>
        <w:ind w:firstLine="504"/>
      </w:pPr>
    </w:p>
    <w:p>
      <w:pPr>
        <w:ind w:firstLine="504"/>
      </w:pPr>
    </w:p>
    <w:p>
      <w:pPr>
        <w:ind w:firstLine="504"/>
      </w:pPr>
    </w:p>
    <w:p>
      <w:pPr>
        <w:spacing w:line="480" w:lineRule="auto"/>
        <w:jc w:val="right"/>
      </w:pPr>
      <w:r>
        <w:rPr>
          <w:rFonts w:hint="eastAsia"/>
        </w:rPr>
        <w:t xml:space="preserve"> </w:t>
      </w:r>
      <w:r>
        <w:t xml:space="preserve"> </w:t>
      </w:r>
      <w:r>
        <w:rPr>
          <w:rFonts w:hint="eastAsia"/>
        </w:rPr>
        <w:t xml:space="preserve">  单位名称</w:t>
      </w:r>
      <w:r>
        <w:t>：</w:t>
      </w:r>
      <w:r>
        <w:rPr>
          <w:u w:val="single"/>
        </w:rPr>
        <w:t xml:space="preserve">           </w:t>
      </w:r>
      <w:r>
        <w:rPr>
          <w:rFonts w:hint="eastAsia"/>
          <w:u w:val="single"/>
        </w:rPr>
        <w:t xml:space="preserve">               </w:t>
      </w:r>
      <w:r>
        <w:rPr>
          <w:u w:val="single"/>
        </w:rPr>
        <w:t>（盖章）</w:t>
      </w:r>
    </w:p>
    <w:p>
      <w:pPr>
        <w:spacing w:line="480" w:lineRule="auto"/>
        <w:ind w:firstLine="365" w:firstLineChars="174"/>
        <w:jc w:val="right"/>
      </w:pPr>
      <w:r>
        <w:t>授权人：</w:t>
      </w:r>
      <w:r>
        <w:rPr>
          <w:u w:val="single"/>
        </w:rPr>
        <w:t xml:space="preserve">                    （签字或盖章）</w:t>
      </w:r>
    </w:p>
    <w:p>
      <w:pPr>
        <w:spacing w:line="480" w:lineRule="auto"/>
        <w:jc w:val="right"/>
      </w:pPr>
      <w:r>
        <w:t>被授权的代理人：</w:t>
      </w:r>
      <w:r>
        <w:rPr>
          <w:u w:val="single"/>
        </w:rPr>
        <w:t xml:space="preserve">                  （签字）</w:t>
      </w:r>
    </w:p>
    <w:p>
      <w:pPr>
        <w:spacing w:line="480" w:lineRule="auto"/>
        <w:ind w:right="1920" w:firstLine="365" w:firstLineChars="174"/>
        <w:jc w:val="center"/>
      </w:pPr>
      <w:r>
        <w:rPr>
          <w:rFonts w:hint="eastAsia"/>
        </w:rPr>
        <w:t xml:space="preserve"> </w:t>
      </w:r>
      <w:r>
        <w:t xml:space="preserve">                     </w:t>
      </w:r>
      <w:r>
        <w:rPr>
          <w:rFonts w:hint="eastAsia"/>
        </w:rPr>
        <w:t xml:space="preserve">                 </w:t>
      </w:r>
      <w:r>
        <w:t xml:space="preserve"> 日    期：</w:t>
      </w:r>
      <w:r>
        <w:rPr>
          <w:rFonts w:hint="eastAsia"/>
        </w:rPr>
        <w:t xml:space="preserve">   </w:t>
      </w:r>
      <w:r>
        <w:t>年</w:t>
      </w:r>
      <w:r>
        <w:rPr>
          <w:rFonts w:hint="eastAsia"/>
        </w:rPr>
        <w:t xml:space="preserve">   </w:t>
      </w:r>
      <w:r>
        <w:t>月</w:t>
      </w:r>
      <w:r>
        <w:rPr>
          <w:rFonts w:hint="eastAsia"/>
        </w:rPr>
        <w:t xml:space="preserve">  </w:t>
      </w:r>
      <w:r>
        <w:t>日</w:t>
      </w: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pStyle w:val="2"/>
        <w:rPr>
          <w:rFonts w:ascii="仿宋" w:hAnsi="仿宋" w:eastAsia="仿宋" w:cs="仿宋"/>
          <w:b/>
          <w:kern w:val="0"/>
          <w:sz w:val="32"/>
          <w:szCs w:val="32"/>
        </w:rPr>
      </w:pPr>
    </w:p>
    <w:p/>
    <w:p>
      <w:pPr>
        <w:widowControl/>
        <w:jc w:val="left"/>
        <w:rPr>
          <w:rFonts w:ascii="仿宋" w:hAnsi="仿宋" w:eastAsia="仿宋" w:cs="仿宋"/>
          <w:b/>
          <w:kern w:val="0"/>
          <w:sz w:val="32"/>
          <w:szCs w:val="32"/>
        </w:rPr>
      </w:pPr>
      <w:r>
        <w:rPr>
          <w:rFonts w:ascii="仿宋" w:hAnsi="仿宋" w:eastAsia="仿宋" w:cs="仿宋"/>
          <w:b/>
          <w:kern w:val="0"/>
          <w:sz w:val="32"/>
          <w:szCs w:val="32"/>
        </w:rPr>
        <w:t>附件</w:t>
      </w:r>
      <w:r>
        <w:rPr>
          <w:rFonts w:hint="eastAsia" w:ascii="仿宋" w:hAnsi="仿宋" w:eastAsia="仿宋" w:cs="仿宋"/>
          <w:b/>
          <w:kern w:val="0"/>
          <w:sz w:val="32"/>
          <w:szCs w:val="32"/>
        </w:rPr>
        <w:t>七</w:t>
      </w:r>
      <w:r>
        <w:rPr>
          <w:rFonts w:ascii="仿宋" w:hAnsi="仿宋" w:eastAsia="仿宋" w:cs="仿宋"/>
          <w:b/>
          <w:kern w:val="0"/>
          <w:sz w:val="32"/>
          <w:szCs w:val="32"/>
        </w:rPr>
        <w:t>：乙方（供方）营业执照复印件（盖乙方公章）</w:t>
      </w: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widowControl/>
        <w:jc w:val="left"/>
        <w:rPr>
          <w:rFonts w:ascii="仿宋" w:hAnsi="仿宋" w:eastAsia="仿宋" w:cs="仿宋"/>
          <w:b/>
          <w:kern w:val="0"/>
          <w:sz w:val="32"/>
          <w:szCs w:val="32"/>
        </w:rPr>
      </w:pPr>
    </w:p>
    <w:p>
      <w:pPr>
        <w:pStyle w:val="6"/>
      </w:pPr>
    </w:p>
    <w:p/>
    <w:p>
      <w:pPr>
        <w:widowControl/>
        <w:jc w:val="left"/>
        <w:rPr>
          <w:rFonts w:ascii="仿宋" w:hAnsi="仿宋" w:eastAsia="仿宋" w:cs="仿宋"/>
          <w:b/>
          <w:kern w:val="0"/>
          <w:sz w:val="32"/>
          <w:szCs w:val="32"/>
        </w:rPr>
      </w:pPr>
      <w:r>
        <w:rPr>
          <w:rFonts w:ascii="仿宋" w:hAnsi="仿宋" w:eastAsia="仿宋" w:cs="仿宋"/>
          <w:b/>
          <w:kern w:val="0"/>
          <w:sz w:val="32"/>
          <w:szCs w:val="32"/>
        </w:rPr>
        <w:t>附件</w:t>
      </w:r>
      <w:r>
        <w:rPr>
          <w:rFonts w:hint="eastAsia" w:ascii="仿宋" w:hAnsi="仿宋" w:eastAsia="仿宋" w:cs="仿宋"/>
          <w:b/>
          <w:kern w:val="0"/>
          <w:sz w:val="32"/>
          <w:szCs w:val="32"/>
        </w:rPr>
        <w:t>八</w:t>
      </w:r>
      <w:r>
        <w:rPr>
          <w:rFonts w:ascii="仿宋" w:hAnsi="仿宋" w:eastAsia="仿宋" w:cs="仿宋"/>
          <w:b/>
          <w:kern w:val="0"/>
          <w:sz w:val="32"/>
          <w:szCs w:val="32"/>
        </w:rPr>
        <w:t>：廉政合同</w:t>
      </w:r>
    </w:p>
    <w:p>
      <w:pPr>
        <w:pStyle w:val="37"/>
        <w:spacing w:line="500" w:lineRule="exact"/>
        <w:jc w:val="center"/>
        <w:rPr>
          <w:rFonts w:ascii="仿宋" w:hAnsi="仿宋" w:eastAsia="仿宋" w:cs="仿宋"/>
          <w:b/>
          <w:sz w:val="32"/>
          <w:szCs w:val="32"/>
        </w:rPr>
      </w:pPr>
      <w:r>
        <w:rPr>
          <w:rFonts w:hint="eastAsia" w:ascii="仿宋" w:hAnsi="仿宋" w:eastAsia="仿宋" w:cs="仿宋"/>
          <w:b/>
          <w:sz w:val="32"/>
          <w:szCs w:val="32"/>
        </w:rPr>
        <w:t>廉政合同</w:t>
      </w:r>
    </w:p>
    <w:p>
      <w:pPr>
        <w:widowControl/>
        <w:spacing w:line="400" w:lineRule="exact"/>
        <w:jc w:val="left"/>
        <w:rPr>
          <w:rFonts w:ascii="仿宋" w:hAnsi="仿宋" w:eastAsia="仿宋" w:cs="仿宋"/>
          <w:sz w:val="24"/>
        </w:rPr>
      </w:pPr>
      <w:r>
        <w:rPr>
          <w:rFonts w:hint="eastAsia" w:ascii="仿宋" w:hAnsi="仿宋" w:eastAsia="仿宋" w:cs="仿宋"/>
          <w:sz w:val="24"/>
        </w:rPr>
        <w:t>甲方：重庆首讯科技股份有限公司</w:t>
      </w:r>
    </w:p>
    <w:p>
      <w:pPr>
        <w:widowControl/>
        <w:tabs>
          <w:tab w:val="left" w:pos="3936"/>
        </w:tabs>
        <w:spacing w:line="400" w:lineRule="exact"/>
        <w:jc w:val="left"/>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rPr>
        <w:t>公司</w:t>
      </w:r>
    </w:p>
    <w:p>
      <w:pPr>
        <w:spacing w:line="400" w:lineRule="exact"/>
        <w:ind w:firstLine="480" w:firstLineChars="200"/>
        <w:rPr>
          <w:rFonts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仿宋" w:hAnsi="仿宋" w:eastAsia="仿宋" w:cs="仿宋"/>
          <w:color w:val="FF0000"/>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公司（以下称乙方），特订立如下合同。</w:t>
      </w:r>
    </w:p>
    <w:p>
      <w:pPr>
        <w:spacing w:line="360" w:lineRule="auto"/>
        <w:rPr>
          <w:rFonts w:ascii="仿宋" w:hAnsi="仿宋" w:eastAsia="仿宋" w:cs="仿宋"/>
          <w:b/>
          <w:bCs/>
          <w:sz w:val="24"/>
        </w:rPr>
      </w:pPr>
      <w:r>
        <w:rPr>
          <w:rFonts w:hint="eastAsia" w:ascii="仿宋" w:hAnsi="仿宋" w:eastAsia="仿宋" w:cs="仿宋"/>
          <w:b/>
          <w:bCs/>
          <w:sz w:val="24"/>
        </w:rPr>
        <w:t>一、甲乙双方的权利和义务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rPr>
        <w:t>二、甲方的义务</w:t>
      </w:r>
    </w:p>
    <w:p>
      <w:pPr>
        <w:widowControl/>
        <w:tabs>
          <w:tab w:val="left" w:pos="3936"/>
        </w:tabs>
        <w:spacing w:line="400" w:lineRule="exact"/>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rPr>
        <w:t>三、乙方义务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项目的优先邀请投标权。</w:t>
      </w:r>
    </w:p>
    <w:p>
      <w:pPr>
        <w:spacing w:line="360" w:lineRule="auto"/>
        <w:rPr>
          <w:rFonts w:ascii="仿宋" w:hAnsi="仿宋" w:eastAsia="仿宋" w:cs="仿宋"/>
          <w:b/>
          <w:bCs/>
          <w:sz w:val="24"/>
        </w:rPr>
      </w:pPr>
      <w:r>
        <w:rPr>
          <w:rFonts w:hint="eastAsia" w:ascii="仿宋" w:hAnsi="仿宋" w:eastAsia="仿宋" w:cs="仿宋"/>
          <w:b/>
          <w:bCs/>
          <w:sz w:val="24"/>
        </w:rPr>
        <w:t>四、违约责任</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sz w:val="24"/>
        </w:rPr>
      </w:pPr>
      <w:r>
        <w:rPr>
          <w:rFonts w:hint="eastAsia" w:ascii="仿宋" w:hAnsi="仿宋" w:eastAsia="仿宋" w:cs="仿宋"/>
          <w:b/>
          <w:bCs/>
          <w:sz w:val="24"/>
        </w:rPr>
        <w:t>五、双方约定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sz w:val="24"/>
        </w:rPr>
      </w:pPr>
      <w:r>
        <w:rPr>
          <w:rFonts w:hint="eastAsia" w:ascii="仿宋" w:hAnsi="仿宋" w:eastAsia="仿宋" w:cs="仿宋"/>
          <w:b/>
          <w:bCs/>
          <w:sz w:val="24"/>
        </w:rPr>
        <w:t>六、</w:t>
      </w:r>
      <w:r>
        <w:rPr>
          <w:rFonts w:hint="eastAsia" w:ascii="仿宋" w:hAnsi="仿宋" w:eastAsia="仿宋" w:cs="仿宋"/>
          <w:sz w:val="24"/>
        </w:rPr>
        <w:t>本合同有效期为甲乙双方签署之日起至双方履行完毕全部合同约定义务之日止。</w:t>
      </w:r>
    </w:p>
    <w:p>
      <w:pPr>
        <w:widowControl/>
        <w:spacing w:line="400" w:lineRule="exact"/>
        <w:jc w:val="left"/>
        <w:rPr>
          <w:rFonts w:ascii="仿宋" w:hAnsi="仿宋" w:eastAsia="仿宋" w:cs="仿宋"/>
          <w:szCs w:val="21"/>
        </w:rPr>
      </w:pPr>
      <w:r>
        <w:rPr>
          <w:rFonts w:hint="eastAsia" w:ascii="仿宋" w:hAnsi="仿宋" w:eastAsia="仿宋" w:cs="仿宋"/>
          <w:b/>
          <w:bCs/>
          <w:sz w:val="24"/>
        </w:rPr>
        <w:t>七、</w:t>
      </w:r>
      <w:r>
        <w:rPr>
          <w:rFonts w:hint="eastAsia" w:ascii="仿宋" w:hAnsi="仿宋" w:eastAsia="仿宋" w:cs="仿宋"/>
          <w:sz w:val="24"/>
        </w:rPr>
        <w:t>本合同一式两份，甲、乙双方各执一份。</w:t>
      </w:r>
    </w:p>
    <w:p>
      <w:pPr>
        <w:widowControl/>
        <w:spacing w:line="400" w:lineRule="exact"/>
        <w:jc w:val="left"/>
        <w:rPr>
          <w:rFonts w:ascii="仿宋" w:hAnsi="仿宋" w:eastAsia="仿宋" w:cs="仿宋"/>
          <w:sz w:val="24"/>
        </w:rPr>
      </w:pPr>
    </w:p>
    <w:p>
      <w:pPr>
        <w:widowControl/>
        <w:spacing w:line="400" w:lineRule="exact"/>
        <w:jc w:val="left"/>
        <w:rPr>
          <w:rFonts w:ascii="仿宋" w:hAnsi="仿宋" w:eastAsia="仿宋" w:cs="仿宋"/>
          <w:sz w:val="24"/>
        </w:rPr>
      </w:pPr>
    </w:p>
    <w:p>
      <w:pPr>
        <w:widowControl/>
        <w:spacing w:line="400" w:lineRule="exact"/>
        <w:jc w:val="left"/>
        <w:rPr>
          <w:rFonts w:ascii="仿宋" w:hAnsi="仿宋" w:eastAsia="仿宋" w:cs="仿宋"/>
          <w:sz w:val="24"/>
        </w:rPr>
      </w:pPr>
    </w:p>
    <w:p>
      <w:pPr>
        <w:widowControl/>
        <w:spacing w:line="400" w:lineRule="exact"/>
        <w:jc w:val="left"/>
        <w:rPr>
          <w:rFonts w:ascii="仿宋" w:hAnsi="仿宋" w:eastAsia="仿宋" w:cs="仿宋"/>
          <w:sz w:val="24"/>
        </w:rPr>
      </w:pPr>
    </w:p>
    <w:p>
      <w:pPr>
        <w:widowControl/>
        <w:spacing w:line="400" w:lineRule="exact"/>
        <w:jc w:val="left"/>
        <w:rPr>
          <w:rFonts w:ascii="仿宋" w:hAnsi="仿宋" w:eastAsia="仿宋" w:cs="仿宋"/>
          <w:sz w:val="24"/>
        </w:rPr>
      </w:pPr>
    </w:p>
    <w:p>
      <w:pPr>
        <w:widowControl/>
        <w:spacing w:line="400" w:lineRule="exact"/>
        <w:jc w:val="left"/>
        <w:rPr>
          <w:rFonts w:ascii="仿宋" w:hAnsi="仿宋" w:eastAsia="仿宋" w:cs="仿宋"/>
          <w:color w:val="FF0000"/>
          <w:sz w:val="24"/>
        </w:rPr>
      </w:pPr>
      <w:r>
        <w:rPr>
          <w:rFonts w:hint="eastAsia" w:ascii="仿宋" w:hAnsi="仿宋" w:eastAsia="仿宋" w:cs="仿宋"/>
          <w:sz w:val="24"/>
        </w:rPr>
        <w:t>甲方：重庆首讯科技股份有限公司            乙方：</w:t>
      </w:r>
      <w:r>
        <w:rPr>
          <w:rFonts w:hint="eastAsia" w:ascii="仿宋" w:hAnsi="仿宋" w:eastAsia="仿宋" w:cs="仿宋"/>
          <w:sz w:val="24"/>
          <w:u w:val="single"/>
        </w:rPr>
        <w:t xml:space="preserve">                   </w:t>
      </w:r>
    </w:p>
    <w:p>
      <w:pPr>
        <w:widowControl/>
        <w:spacing w:line="360" w:lineRule="auto"/>
        <w:jc w:val="left"/>
        <w:rPr>
          <w:rFonts w:ascii="仿宋" w:hAnsi="仿宋" w:eastAsia="仿宋" w:cs="仿宋"/>
          <w:sz w:val="24"/>
        </w:rPr>
      </w:pPr>
    </w:p>
    <w:p>
      <w:pPr>
        <w:widowControl/>
        <w:spacing w:line="360" w:lineRule="auto"/>
        <w:jc w:val="left"/>
        <w:rPr>
          <w:rFonts w:ascii="仿宋" w:hAnsi="仿宋" w:eastAsia="仿宋" w:cs="仿宋"/>
          <w:sz w:val="24"/>
        </w:rPr>
      </w:pPr>
      <w:r>
        <w:rPr>
          <w:rFonts w:hint="eastAsia" w:ascii="仿宋" w:hAnsi="仿宋" w:eastAsia="仿宋" w:cs="仿宋"/>
          <w:sz w:val="24"/>
        </w:rPr>
        <w:t>公司负责人或授权代理人：                   公司负责人或授权代理人：</w:t>
      </w:r>
    </w:p>
    <w:p>
      <w:pPr>
        <w:widowControl/>
        <w:spacing w:line="360" w:lineRule="auto"/>
        <w:jc w:val="left"/>
        <w:rPr>
          <w:rFonts w:ascii="仿宋" w:hAnsi="仿宋" w:eastAsia="仿宋" w:cs="仿宋"/>
          <w:sz w:val="24"/>
        </w:rPr>
      </w:pPr>
    </w:p>
    <w:p>
      <w:pPr>
        <w:widowControl/>
        <w:spacing w:line="360" w:lineRule="auto"/>
        <w:jc w:val="left"/>
        <w:rPr>
          <w:rFonts w:ascii="仿宋" w:hAnsi="仿宋" w:eastAsia="仿宋" w:cs="仿宋"/>
          <w:sz w:val="24"/>
        </w:rPr>
      </w:pPr>
      <w:r>
        <w:rPr>
          <w:rFonts w:hint="eastAsia" w:ascii="仿宋" w:hAnsi="仿宋" w:eastAsia="仿宋" w:cs="仿宋"/>
          <w:sz w:val="24"/>
        </w:rPr>
        <w:t>项目经理：</w:t>
      </w:r>
      <w:r>
        <w:rPr>
          <w:rFonts w:hint="eastAsia" w:ascii="仿宋" w:hAnsi="仿宋" w:eastAsia="仿宋" w:cs="仿宋"/>
          <w:sz w:val="24"/>
        </w:rPr>
        <w:tab/>
      </w:r>
      <w:r>
        <w:rPr>
          <w:rFonts w:hint="eastAsia" w:ascii="仿宋" w:hAnsi="仿宋" w:eastAsia="仿宋" w:cs="仿宋"/>
          <w:sz w:val="24"/>
        </w:rPr>
        <w:t xml:space="preserve">                                 项目经理：</w:t>
      </w:r>
    </w:p>
    <w:p>
      <w:pPr>
        <w:widowControl/>
        <w:spacing w:line="360" w:lineRule="auto"/>
        <w:jc w:val="left"/>
        <w:rPr>
          <w:rFonts w:ascii="仿宋" w:hAnsi="仿宋" w:eastAsia="仿宋" w:cs="仿宋"/>
          <w:sz w:val="24"/>
        </w:rPr>
      </w:pPr>
    </w:p>
    <w:p>
      <w:pPr>
        <w:widowControl/>
        <w:spacing w:line="360" w:lineRule="auto"/>
        <w:jc w:val="left"/>
        <w:rPr>
          <w:rFonts w:ascii="仿宋" w:hAnsi="仿宋" w:eastAsia="仿宋" w:cs="仿宋"/>
          <w:sz w:val="24"/>
        </w:rPr>
      </w:pPr>
      <w:r>
        <w:rPr>
          <w:rFonts w:hint="eastAsia" w:ascii="仿宋" w:hAnsi="仿宋" w:eastAsia="仿宋" w:cs="仿宋"/>
          <w:sz w:val="24"/>
        </w:rPr>
        <w:t>经办人：                                    经办人：</w:t>
      </w:r>
    </w:p>
    <w:p>
      <w:pPr>
        <w:widowControl/>
        <w:spacing w:line="360" w:lineRule="auto"/>
        <w:jc w:val="left"/>
        <w:rPr>
          <w:rFonts w:ascii="仿宋" w:hAnsi="仿宋" w:eastAsia="仿宋" w:cs="仿宋"/>
          <w:sz w:val="24"/>
        </w:rPr>
      </w:pPr>
    </w:p>
    <w:p>
      <w:pPr>
        <w:spacing w:line="440" w:lineRule="exact"/>
        <w:rPr>
          <w:rFonts w:eastAsia="仿宋_GB2312"/>
          <w:color w:val="000000"/>
          <w:sz w:val="30"/>
          <w:szCs w:val="30"/>
        </w:rPr>
      </w:pPr>
      <w:r>
        <w:rPr>
          <w:rFonts w:hint="eastAsia" w:ascii="仿宋" w:hAnsi="仿宋" w:eastAsia="仿宋" w:cs="仿宋"/>
          <w:sz w:val="24"/>
        </w:rPr>
        <w:t xml:space="preserve">日期: </w:t>
      </w:r>
      <w:r>
        <w:rPr>
          <w:rFonts w:hint="eastAsia" w:ascii="仿宋" w:hAnsi="仿宋" w:eastAsia="仿宋" w:cs="仿宋"/>
          <w:sz w:val="24"/>
        </w:rPr>
        <w:tab/>
      </w:r>
      <w:r>
        <w:rPr>
          <w:rFonts w:hint="eastAsia" w:ascii="仿宋" w:hAnsi="仿宋" w:eastAsia="仿宋" w:cs="仿宋"/>
          <w:sz w:val="24"/>
        </w:rPr>
        <w:t xml:space="preserve">                                     日期:</w:t>
      </w:r>
    </w:p>
    <w:p>
      <w:pPr>
        <w:spacing w:line="360" w:lineRule="exact"/>
        <w:ind w:firstLine="420" w:firstLineChars="200"/>
        <w:rPr>
          <w:rFonts w:ascii="宋体" w:hAnsi="宋体" w:cs="宋体"/>
          <w:snapToGrid w:val="0"/>
          <w:kern w:val="0"/>
        </w:rPr>
      </w:pPr>
    </w:p>
    <w:p>
      <w:pPr>
        <w:spacing w:line="360" w:lineRule="exact"/>
        <w:ind w:firstLine="420" w:firstLineChars="200"/>
        <w:rPr>
          <w:rFonts w:ascii="宋体" w:hAnsi="宋体" w:cs="宋体"/>
          <w:snapToGrid w:val="0"/>
          <w:kern w:val="0"/>
        </w:rPr>
      </w:pPr>
    </w:p>
    <w:p>
      <w:pPr>
        <w:pStyle w:val="28"/>
        <w:rPr>
          <w:rFonts w:ascii="宋体" w:hAnsi="宋体" w:cs="宋体"/>
          <w:snapToGrid w:val="0"/>
          <w:kern w:val="0"/>
        </w:rPr>
      </w:pPr>
    </w:p>
    <w:p>
      <w:pPr>
        <w:rPr>
          <w:rFonts w:ascii="宋体" w:hAnsi="宋体" w:cs="宋体"/>
          <w:snapToGrid w:val="0"/>
          <w:kern w:val="0"/>
        </w:rPr>
      </w:pPr>
    </w:p>
    <w:p>
      <w:pPr>
        <w:pStyle w:val="28"/>
      </w:pPr>
    </w:p>
    <w:p>
      <w:pPr>
        <w:rPr>
          <w:rFonts w:ascii="宋体" w:hAnsi="宋体" w:cs="宋体"/>
        </w:rPr>
      </w:pPr>
    </w:p>
    <w:p>
      <w:pPr>
        <w:pStyle w:val="6"/>
        <w:rPr>
          <w:rFonts w:ascii="宋体" w:hAnsi="宋体" w:cs="宋体"/>
        </w:rPr>
      </w:pPr>
    </w:p>
    <w:p>
      <w:pPr>
        <w:rPr>
          <w:rFonts w:ascii="宋体" w:hAnsi="宋体" w:cs="宋体"/>
        </w:rPr>
      </w:pPr>
    </w:p>
    <w:p>
      <w:pPr>
        <w:pStyle w:val="6"/>
        <w:rPr>
          <w:rFonts w:ascii="宋体" w:hAnsi="宋体" w:cs="宋体"/>
        </w:rPr>
      </w:pPr>
    </w:p>
    <w:p>
      <w:pPr>
        <w:rPr>
          <w:rFonts w:ascii="宋体" w:hAnsi="宋体" w:cs="宋体"/>
        </w:rPr>
      </w:pPr>
    </w:p>
    <w:p>
      <w:pPr>
        <w:pStyle w:val="6"/>
        <w:rPr>
          <w:rFonts w:ascii="宋体" w:hAnsi="宋体" w:cs="宋体"/>
        </w:rPr>
      </w:pPr>
    </w:p>
    <w:p>
      <w:pPr>
        <w:rPr>
          <w:rFonts w:ascii="宋体" w:hAnsi="宋体" w:cs="宋体"/>
        </w:rPr>
      </w:pPr>
    </w:p>
    <w:p>
      <w:pPr>
        <w:pStyle w:val="6"/>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
      <w:bookmarkStart w:id="811" w:name="_Toc513633965"/>
    </w:p>
    <w:p>
      <w:pPr>
        <w:pStyle w:val="3"/>
        <w:numPr>
          <w:ilvl w:val="0"/>
          <w:numId w:val="3"/>
        </w:numPr>
        <w:spacing w:before="0" w:after="0" w:line="360" w:lineRule="auto"/>
        <w:jc w:val="center"/>
        <w:rPr>
          <w:rFonts w:ascii="宋体" w:hAnsi="宋体" w:cs="宋体"/>
        </w:rPr>
      </w:pPr>
      <w:bookmarkStart w:id="812" w:name="_Toc16020"/>
      <w:bookmarkStart w:id="813" w:name="_Toc2000413"/>
      <w:bookmarkStart w:id="814" w:name="_Toc514858709"/>
      <w:r>
        <w:rPr>
          <w:rFonts w:hint="eastAsia" w:ascii="宋体" w:hAnsi="宋体" w:cs="宋体"/>
        </w:rPr>
        <w:t>竞争性比选响应文件格式</w:t>
      </w:r>
      <w:bookmarkEnd w:id="811"/>
      <w:bookmarkEnd w:id="812"/>
      <w:bookmarkEnd w:id="813"/>
      <w:bookmarkEnd w:id="814"/>
    </w:p>
    <w:p>
      <w:pPr>
        <w:rPr>
          <w:rFonts w:ascii="宋体" w:hAnsi="宋体" w:cs="宋体"/>
        </w:rPr>
      </w:pPr>
    </w:p>
    <w:p>
      <w:pPr>
        <w:rPr>
          <w:rFonts w:ascii="宋体" w:hAnsi="宋体" w:cs="宋体"/>
        </w:rPr>
        <w:sectPr>
          <w:pgSz w:w="11906" w:h="16838"/>
          <w:pgMar w:top="1440" w:right="1576" w:bottom="1440" w:left="1463" w:header="851" w:footer="992" w:gutter="0"/>
          <w:cols w:space="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815" w:name="_Toc513646738"/>
      <w:bookmarkStart w:id="816" w:name="_Toc513633967"/>
      <w:bookmarkStart w:id="817" w:name="_Toc514858710"/>
      <w:bookmarkStart w:id="818" w:name="_Toc503951046"/>
      <w:bookmarkStart w:id="819" w:name="_Toc503971829"/>
      <w:r>
        <w:rPr>
          <w:rFonts w:hint="eastAsia" w:ascii="宋体" w:hAnsi="宋体" w:cs="宋体"/>
          <w:u w:val="single"/>
        </w:rPr>
        <w:t xml:space="preserve">                           </w:t>
      </w:r>
      <w:r>
        <w:rPr>
          <w:rFonts w:hint="eastAsia" w:ascii="宋体" w:hAnsi="宋体" w:cs="宋体"/>
          <w:sz w:val="52"/>
          <w:szCs w:val="52"/>
          <w:u w:val="single"/>
        </w:rPr>
        <w:t>（项目名称）</w:t>
      </w:r>
      <w:bookmarkEnd w:id="815"/>
      <w:bookmarkEnd w:id="816"/>
      <w:bookmarkEnd w:id="817"/>
      <w:bookmarkEnd w:id="818"/>
      <w:bookmarkEnd w:id="819"/>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jc w:val="center"/>
        <w:rPr>
          <w:rFonts w:ascii="宋体" w:hAnsi="宋体" w:eastAsia="宋体" w:cs="宋体"/>
        </w:rPr>
      </w:pPr>
      <w:bookmarkStart w:id="820" w:name="_Toc5459"/>
      <w:bookmarkStart w:id="821" w:name="_Toc11329273"/>
      <w:bookmarkStart w:id="822" w:name="_Toc28780"/>
      <w:bookmarkStart w:id="823" w:name="_Toc19387"/>
      <w:bookmarkStart w:id="824" w:name="_Toc1368"/>
      <w:bookmarkStart w:id="825" w:name="_Toc26420"/>
      <w:r>
        <w:rPr>
          <w:rFonts w:hint="eastAsia" w:ascii="宋体" w:hAnsi="宋体" w:eastAsia="宋体" w:cs="宋体"/>
        </w:rPr>
        <w:t>目    录</w:t>
      </w:r>
      <w:bookmarkEnd w:id="802"/>
      <w:bookmarkEnd w:id="803"/>
      <w:bookmarkEnd w:id="804"/>
      <w:bookmarkEnd w:id="805"/>
      <w:bookmarkEnd w:id="806"/>
      <w:bookmarkEnd w:id="807"/>
      <w:bookmarkEnd w:id="808"/>
      <w:bookmarkEnd w:id="809"/>
      <w:bookmarkEnd w:id="820"/>
      <w:bookmarkEnd w:id="821"/>
      <w:bookmarkEnd w:id="822"/>
      <w:bookmarkEnd w:id="823"/>
      <w:bookmarkEnd w:id="824"/>
      <w:bookmarkEnd w:id="825"/>
    </w:p>
    <w:p>
      <w:pPr>
        <w:numPr>
          <w:ilvl w:val="0"/>
          <w:numId w:val="19"/>
        </w:numPr>
        <w:spacing w:line="400" w:lineRule="exact"/>
        <w:rPr>
          <w:rFonts w:ascii="宋体" w:hAnsi="宋体" w:cs="宋体"/>
        </w:rPr>
      </w:pPr>
      <w:r>
        <w:rPr>
          <w:rFonts w:hint="eastAsia" w:ascii="宋体" w:hAnsi="宋体" w:cs="宋体"/>
        </w:rPr>
        <w:t>竞争性响应声明书</w:t>
      </w:r>
    </w:p>
    <w:p>
      <w:pPr>
        <w:numPr>
          <w:ilvl w:val="0"/>
          <w:numId w:val="19"/>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报价人承诺</w:t>
      </w:r>
    </w:p>
    <w:p>
      <w:pPr>
        <w:spacing w:line="400" w:lineRule="exact"/>
        <w:rPr>
          <w:rFonts w:ascii="宋体" w:hAnsi="宋体" w:cs="宋体"/>
        </w:rPr>
      </w:pPr>
      <w:r>
        <w:rPr>
          <w:rFonts w:hint="eastAsia" w:ascii="宋体" w:hAnsi="宋体" w:cs="宋体"/>
        </w:rPr>
        <w:t>六、报价人提供的其他资料（如有）</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numPr>
          <w:ilvl w:val="0"/>
          <w:numId w:val="20"/>
        </w:numPr>
        <w:spacing w:before="0" w:after="0" w:line="360" w:lineRule="auto"/>
        <w:jc w:val="center"/>
        <w:rPr>
          <w:rFonts w:ascii="宋体" w:hAnsi="宋体" w:eastAsia="宋体" w:cs="宋体"/>
          <w:sz w:val="28"/>
        </w:rPr>
      </w:pPr>
      <w:bookmarkStart w:id="826" w:name="_Toc28976"/>
      <w:bookmarkStart w:id="827" w:name="_Toc25874"/>
      <w:bookmarkStart w:id="828" w:name="_Toc15863"/>
      <w:bookmarkStart w:id="829" w:name="_Toc29547"/>
      <w:bookmarkStart w:id="830" w:name="_Toc3269"/>
      <w:bookmarkStart w:id="831" w:name="_Toc447827053"/>
      <w:bookmarkStart w:id="832" w:name="_Toc503951048"/>
      <w:bookmarkStart w:id="833" w:name="_Toc513633969"/>
      <w:r>
        <w:rPr>
          <w:rFonts w:hint="eastAsia" w:ascii="宋体" w:hAnsi="宋体" w:eastAsia="宋体" w:cs="宋体"/>
          <w:sz w:val="28"/>
        </w:rPr>
        <w:t>竞争比选响应声明书</w:t>
      </w:r>
      <w:bookmarkEnd w:id="826"/>
      <w:bookmarkEnd w:id="827"/>
      <w:bookmarkEnd w:id="828"/>
      <w:bookmarkEnd w:id="829"/>
      <w:bookmarkEnd w:id="830"/>
    </w:p>
    <w:p>
      <w:pPr>
        <w:tabs>
          <w:tab w:val="left" w:pos="900"/>
        </w:tabs>
        <w:spacing w:line="300" w:lineRule="auto"/>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480" w:lineRule="auto"/>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w:t>
      </w:r>
      <w:r>
        <w:rPr>
          <w:rFonts w:hint="eastAsia" w:ascii="Arial" w:hAnsi="Arial" w:cs="Arial"/>
          <w:sz w:val="24"/>
          <w:u w:val="single"/>
        </w:rPr>
        <w:t>为XXXXX项目</w:t>
      </w:r>
      <w:r>
        <w:rPr>
          <w:rFonts w:hint="eastAsia" w:ascii="Arial" w:hAnsi="Arial" w:cs="Arial"/>
          <w:sz w:val="24"/>
        </w:rPr>
        <w:t>竞争比选项目</w:t>
      </w:r>
      <w:r>
        <w:rPr>
          <w:rFonts w:hint="eastAsia" w:ascii="Arial" w:hAnsi="Arial" w:cs="Arial"/>
          <w:color w:val="000000"/>
          <w:sz w:val="24"/>
        </w:rPr>
        <w:t>的竞争比选公告，签字代表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480" w:lineRule="auto"/>
        <w:ind w:firstLine="480" w:firstLineChars="200"/>
        <w:rPr>
          <w:rFonts w:ascii="Arial" w:hAnsi="Arial" w:cs="Arial"/>
          <w:color w:val="000000"/>
          <w:sz w:val="24"/>
        </w:rPr>
      </w:pPr>
      <w:r>
        <w:rPr>
          <w:rFonts w:hint="eastAsia" w:ascii="Arial" w:hAnsi="Arial" w:cs="Arial"/>
          <w:color w:val="000000"/>
          <w:sz w:val="24"/>
          <w:u w:val="single"/>
        </w:rPr>
        <w:t>我方愿以：           （大写：）的报价按照竞争比选文件的要求，提供本次竞争比选文件要求的超融合软件。</w:t>
      </w:r>
    </w:p>
    <w:p>
      <w:pPr>
        <w:tabs>
          <w:tab w:val="left" w:pos="540"/>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480" w:lineRule="auto"/>
        <w:ind w:firstLine="480" w:firstLineChars="200"/>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480" w:lineRule="auto"/>
        <w:ind w:firstLine="480" w:firstLineChars="200"/>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pStyle w:val="4"/>
        <w:numPr>
          <w:ilvl w:val="0"/>
          <w:numId w:val="20"/>
        </w:numPr>
        <w:spacing w:before="0" w:after="0" w:line="360" w:lineRule="auto"/>
        <w:jc w:val="center"/>
        <w:rPr>
          <w:rFonts w:ascii="宋体" w:hAnsi="宋体" w:eastAsia="宋体" w:cs="宋体"/>
          <w:sz w:val="28"/>
        </w:rPr>
      </w:pPr>
      <w:bookmarkStart w:id="834" w:name="_Toc7450"/>
      <w:bookmarkStart w:id="835" w:name="_Toc16435"/>
      <w:bookmarkStart w:id="836" w:name="_Toc27815"/>
      <w:bookmarkStart w:id="837" w:name="_Toc491883232"/>
      <w:r>
        <w:rPr>
          <w:rFonts w:hint="eastAsia" w:ascii="宋体" w:hAnsi="宋体" w:eastAsia="宋体" w:cs="宋体"/>
          <w:sz w:val="28"/>
        </w:rPr>
        <w:t>法定代表人身份证明或法定代表人授权委托书</w:t>
      </w:r>
      <w:bookmarkEnd w:id="834"/>
      <w:bookmarkEnd w:id="835"/>
      <w:bookmarkEnd w:id="836"/>
    </w:p>
    <w:p>
      <w:pPr>
        <w:pStyle w:val="4"/>
        <w:spacing w:line="480" w:lineRule="auto"/>
        <w:jc w:val="center"/>
        <w:rPr>
          <w:rFonts w:ascii="宋体" w:hAnsi="宋体" w:eastAsia="宋体" w:cs="宋体"/>
          <w:sz w:val="24"/>
          <w:szCs w:val="24"/>
        </w:rPr>
      </w:pPr>
      <w:bookmarkStart w:id="838" w:name="_Toc20985"/>
      <w:bookmarkStart w:id="839" w:name="_Toc14141"/>
      <w:bookmarkStart w:id="840" w:name="_Toc2796"/>
      <w:r>
        <w:rPr>
          <w:rFonts w:hint="eastAsia" w:ascii="宋体" w:hAnsi="宋体" w:eastAsia="宋体" w:cs="宋体"/>
          <w:sz w:val="24"/>
          <w:szCs w:val="24"/>
        </w:rPr>
        <w:t>（一）法定代表人身份证明</w:t>
      </w:r>
      <w:bookmarkEnd w:id="837"/>
      <w:bookmarkEnd w:id="838"/>
      <w:bookmarkEnd w:id="839"/>
      <w:bookmarkEnd w:id="840"/>
    </w:p>
    <w:p>
      <w:pPr>
        <w:spacing w:line="480" w:lineRule="auto"/>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80" w:lineRule="auto"/>
        <w:rPr>
          <w:rFonts w:ascii="宋体" w:hAnsi="宋体"/>
        </w:rPr>
      </w:pPr>
      <w:r>
        <w:rPr>
          <w:rFonts w:ascii="宋体" w:hAnsi="宋体"/>
        </w:rPr>
        <w:t>姓名：</w:t>
      </w:r>
      <w:r>
        <w:rPr>
          <w:rFonts w:ascii="宋体" w:hAnsi="宋体"/>
          <w:u w:val="single"/>
        </w:rPr>
        <w:t xml:space="preserve">                </w:t>
      </w:r>
      <w:r>
        <w:rPr>
          <w:rFonts w:ascii="宋体" w:hAnsi="宋体"/>
        </w:rPr>
        <w:t>性别：</w:t>
      </w:r>
      <w:bookmarkStart w:id="841" w:name="_Toc352691662"/>
      <w:bookmarkStart w:id="842" w:name="_Toc27897"/>
      <w:bookmarkStart w:id="843" w:name="_Toc369531698"/>
      <w:r>
        <w:rPr>
          <w:rFonts w:ascii="宋体" w:hAnsi="宋体"/>
          <w:u w:val="single"/>
        </w:rPr>
        <w:t xml:space="preserve">        </w:t>
      </w:r>
      <w:r>
        <w:rPr>
          <w:rFonts w:ascii="宋体" w:hAnsi="宋体"/>
        </w:rPr>
        <w:t>年</w:t>
      </w:r>
      <w:bookmarkEnd w:id="841"/>
      <w:bookmarkEnd w:id="842"/>
      <w:bookmarkEnd w:id="843"/>
      <w:r>
        <w:rPr>
          <w:rFonts w:ascii="宋体" w:hAnsi="宋体"/>
        </w:rPr>
        <w:t>龄</w:t>
      </w:r>
      <w:bookmarkStart w:id="844" w:name="_Toc352691663"/>
      <w:bookmarkStart w:id="845" w:name="_Toc300835211"/>
      <w:bookmarkStart w:id="846" w:name="_Toc144974858"/>
      <w:bookmarkStart w:id="847" w:name="_Toc152045789"/>
      <w:bookmarkStart w:id="848" w:name="_Toc15573"/>
      <w:bookmarkStart w:id="849" w:name="_Toc247514248"/>
      <w:bookmarkStart w:id="850" w:name="_Toc152042578"/>
      <w:bookmarkStart w:id="851" w:name="_Toc361508754"/>
      <w:bookmarkStart w:id="852" w:name="_Toc384308377"/>
      <w:bookmarkStart w:id="853" w:name="_Toc247527829"/>
      <w:bookmarkStart w:id="854" w:name="_Toc369531699"/>
      <w:r>
        <w:rPr>
          <w:rFonts w:ascii="宋体" w:hAnsi="宋体"/>
        </w:rPr>
        <w:t>：</w:t>
      </w:r>
      <w:bookmarkEnd w:id="844"/>
      <w:bookmarkEnd w:id="845"/>
      <w:bookmarkEnd w:id="846"/>
      <w:bookmarkEnd w:id="847"/>
      <w:bookmarkEnd w:id="848"/>
      <w:bookmarkEnd w:id="849"/>
      <w:bookmarkEnd w:id="850"/>
      <w:bookmarkEnd w:id="851"/>
      <w:bookmarkEnd w:id="852"/>
      <w:bookmarkEnd w:id="853"/>
      <w:bookmarkEnd w:id="854"/>
      <w:r>
        <w:rPr>
          <w:rFonts w:ascii="宋体" w:hAnsi="宋体"/>
          <w:u w:val="single"/>
        </w:rPr>
        <w:t xml:space="preserve">        </w:t>
      </w:r>
      <w:r>
        <w:rPr>
          <w:rFonts w:ascii="宋体" w:hAnsi="宋体"/>
        </w:rPr>
        <w:t>职务：</w:t>
      </w:r>
      <w:r>
        <w:rPr>
          <w:rFonts w:ascii="宋体" w:hAnsi="宋体"/>
          <w:u w:val="single"/>
        </w:rPr>
        <w:t xml:space="preserve">        </w:t>
      </w:r>
    </w:p>
    <w:p>
      <w:pPr>
        <w:spacing w:line="480" w:lineRule="auto"/>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80" w:lineRule="auto"/>
        <w:ind w:firstLine="420" w:firstLineChars="200"/>
        <w:rPr>
          <w:rFonts w:ascii="宋体" w:hAnsi="宋体"/>
        </w:rPr>
      </w:pPr>
      <w:r>
        <w:rPr>
          <w:rFonts w:ascii="宋体" w:hAnsi="宋体"/>
        </w:rPr>
        <w:t>特此证明。</w:t>
      </w:r>
    </w:p>
    <w:p>
      <w:pPr>
        <w:spacing w:line="480" w:lineRule="auto"/>
        <w:rPr>
          <w:rFonts w:ascii="宋体" w:hAnsi="宋体"/>
        </w:rPr>
      </w:pPr>
    </w:p>
    <w:p>
      <w:pPr>
        <w:spacing w:line="480" w:lineRule="auto"/>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spacing w:line="480" w:lineRule="auto"/>
        <w:jc w:val="center"/>
        <w:rPr>
          <w:rFonts w:ascii="宋体" w:hAnsi="宋体"/>
          <w:sz w:val="28"/>
          <w:szCs w:val="28"/>
        </w:rPr>
      </w:pPr>
      <w:bookmarkStart w:id="855" w:name="_Toc491883233"/>
      <w:bookmarkStart w:id="856" w:name="_Toc22895"/>
      <w:bookmarkStart w:id="857" w:name="_Toc3882"/>
      <w:bookmarkStart w:id="858" w:name="_Toc58"/>
      <w:r>
        <w:rPr>
          <w:rFonts w:hint="eastAsia" w:ascii="宋体" w:hAnsi="宋体" w:eastAsia="宋体" w:cs="宋体"/>
          <w:sz w:val="24"/>
          <w:szCs w:val="24"/>
        </w:rPr>
        <w:t>（二）</w:t>
      </w:r>
      <w:bookmarkEnd w:id="855"/>
      <w:r>
        <w:rPr>
          <w:rFonts w:hint="eastAsia" w:ascii="宋体" w:hAnsi="宋体" w:eastAsia="宋体" w:cs="宋体"/>
          <w:sz w:val="24"/>
          <w:szCs w:val="24"/>
        </w:rPr>
        <w:t>法定代表人授权委托书</w:t>
      </w:r>
      <w:bookmarkEnd w:id="856"/>
      <w:bookmarkEnd w:id="857"/>
      <w:bookmarkEnd w:id="858"/>
    </w:p>
    <w:p>
      <w:pPr>
        <w:topLinePunct/>
        <w:spacing w:line="480" w:lineRule="auto"/>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80" w:lineRule="auto"/>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80" w:lineRule="auto"/>
        <w:ind w:firstLine="420" w:firstLineChars="200"/>
        <w:rPr>
          <w:rFonts w:ascii="宋体" w:hAnsi="宋体"/>
        </w:rPr>
      </w:pPr>
      <w:r>
        <w:rPr>
          <w:rFonts w:ascii="宋体" w:hAnsi="宋体"/>
        </w:rPr>
        <w:t>代理人无转委托权。</w:t>
      </w:r>
    </w:p>
    <w:p>
      <w:pPr>
        <w:spacing w:line="480" w:lineRule="auto"/>
        <w:ind w:firstLine="420" w:firstLineChars="200"/>
        <w:rPr>
          <w:rFonts w:ascii="宋体" w:hAnsi="宋体"/>
        </w:rPr>
      </w:pPr>
    </w:p>
    <w:p>
      <w:pPr>
        <w:spacing w:line="480" w:lineRule="auto"/>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cs="宋体"/>
          <w:sz w:val="28"/>
        </w:rPr>
        <w:sectPr>
          <w:footerReference r:id="rId11" w:type="first"/>
          <w:footerReference r:id="rId10" w:type="default"/>
          <w:pgSz w:w="11906" w:h="16838"/>
          <w:pgMar w:top="1440" w:right="1576" w:bottom="1440" w:left="1463" w:header="851" w:footer="992" w:gutter="0"/>
          <w:cols w:space="0" w:num="1"/>
          <w:titlePg/>
          <w:docGrid w:type="lines" w:linePitch="319" w:charSpace="0"/>
        </w:sect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w:t>
      </w:r>
      <w:bookmarkStart w:id="859" w:name="_Toc11329275"/>
      <w:bookmarkStart w:id="860" w:name="_Toc29500"/>
    </w:p>
    <w:bookmarkEnd w:id="831"/>
    <w:bookmarkEnd w:id="832"/>
    <w:bookmarkEnd w:id="833"/>
    <w:bookmarkEnd w:id="859"/>
    <w:p>
      <w:pPr>
        <w:pStyle w:val="4"/>
        <w:numPr>
          <w:ilvl w:val="0"/>
          <w:numId w:val="20"/>
        </w:numPr>
        <w:spacing w:before="0" w:after="0" w:line="360" w:lineRule="auto"/>
        <w:jc w:val="center"/>
        <w:rPr>
          <w:rFonts w:ascii="宋体" w:hAnsi="宋体" w:eastAsia="宋体" w:cs="宋体"/>
          <w:sz w:val="28"/>
        </w:rPr>
      </w:pPr>
      <w:bookmarkStart w:id="861" w:name="_Toc2219"/>
      <w:r>
        <w:rPr>
          <w:rFonts w:hint="eastAsia" w:ascii="宋体" w:hAnsi="宋体" w:eastAsia="宋体" w:cs="宋体"/>
          <w:sz w:val="28"/>
        </w:rPr>
        <w:t>报价一览表</w:t>
      </w:r>
      <w:bookmarkEnd w:id="860"/>
      <w:bookmarkEnd w:id="861"/>
    </w:p>
    <w:p>
      <w:pPr>
        <w:pStyle w:val="38"/>
        <w:spacing w:line="480" w:lineRule="auto"/>
        <w:jc w:val="both"/>
        <w:rPr>
          <w:rFonts w:hAnsi="宋体"/>
        </w:rPr>
      </w:pPr>
      <w:r>
        <w:rPr>
          <w:rFonts w:hint="eastAsia" w:hAnsi="宋体"/>
        </w:rPr>
        <w:t>重庆首讯科技股份有限公司：</w:t>
      </w:r>
    </w:p>
    <w:p>
      <w:pPr>
        <w:spacing w:line="48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rPr>
        <w:t>XXX项目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tbl>
      <w:tblPr>
        <w:tblStyle w:val="43"/>
        <w:tblpPr w:leftFromText="180" w:rightFromText="180" w:vertAnchor="text" w:horzAnchor="page" w:tblpX="1429" w:tblpY="368"/>
        <w:tblOverlap w:val="never"/>
        <w:tblW w:w="8816" w:type="dxa"/>
        <w:tblInd w:w="0" w:type="dxa"/>
        <w:tblLayout w:type="fixed"/>
        <w:tblCellMar>
          <w:top w:w="0" w:type="dxa"/>
          <w:left w:w="108" w:type="dxa"/>
          <w:bottom w:w="0" w:type="dxa"/>
          <w:right w:w="108" w:type="dxa"/>
        </w:tblCellMar>
      </w:tblPr>
      <w:tblGrid>
        <w:gridCol w:w="481"/>
        <w:gridCol w:w="1323"/>
        <w:gridCol w:w="3159"/>
        <w:gridCol w:w="555"/>
        <w:gridCol w:w="645"/>
        <w:gridCol w:w="930"/>
        <w:gridCol w:w="750"/>
        <w:gridCol w:w="973"/>
      </w:tblGrid>
      <w:tr>
        <w:tblPrEx>
          <w:tblCellMar>
            <w:top w:w="0" w:type="dxa"/>
            <w:left w:w="108" w:type="dxa"/>
            <w:bottom w:w="0" w:type="dxa"/>
            <w:right w:w="108" w:type="dxa"/>
          </w:tblCellMar>
        </w:tblPrEx>
        <w:trPr>
          <w:trHeight w:val="724"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服务名称</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服务内容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含税单价（元）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税率（%）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小计（元）</w:t>
            </w:r>
          </w:p>
        </w:tc>
      </w:tr>
      <w:tr>
        <w:tblPrEx>
          <w:tblCellMar>
            <w:top w:w="0" w:type="dxa"/>
            <w:left w:w="108" w:type="dxa"/>
            <w:bottom w:w="0" w:type="dxa"/>
            <w:right w:w="108" w:type="dxa"/>
          </w:tblCellMar>
        </w:tblPrEx>
        <w:trPr>
          <w:trHeight w:val="1515" w:hRule="atLeast"/>
        </w:trPr>
        <w:tc>
          <w:tcPr>
            <w:tcW w:w="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办公系统国产软件适配升级</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1.原系统升级，原办公系统基础上完成升级、改造、代码合并等工作内容；</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2.实施开发，对业主提供得国产数据库、国产服务器、国产中间件适配、安装调试、实施开发、培训等；</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 完成历史数据迁移，确保数据完整性和数据平滑迁移可用性等。</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11" w:hRule="atLeast"/>
        </w:trPr>
        <w:tc>
          <w:tcPr>
            <w:tcW w:w="784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总价（元）</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p>
        </w:tc>
      </w:tr>
    </w:tbl>
    <w:p>
      <w:pPr>
        <w:pStyle w:val="2"/>
      </w:pPr>
    </w:p>
    <w:p>
      <w:pPr>
        <w:pStyle w:val="28"/>
        <w:rPr>
          <w:rFonts w:ascii="宋体" w:hAnsi="宋体" w:cs="宋体"/>
          <w:kern w:val="0"/>
          <w:szCs w:val="21"/>
        </w:rPr>
      </w:pPr>
    </w:p>
    <w:p>
      <w:pPr>
        <w:rPr>
          <w:rFonts w:ascii="宋体" w:hAnsi="宋体" w:cs="宋体"/>
          <w:kern w:val="0"/>
          <w:szCs w:val="21"/>
        </w:rPr>
      </w:pPr>
    </w:p>
    <w:p>
      <w:pPr>
        <w:pStyle w:val="28"/>
        <w:sectPr>
          <w:pgSz w:w="11906" w:h="16838"/>
          <w:pgMar w:top="1440" w:right="1576" w:bottom="1440" w:left="1463" w:header="851" w:footer="992" w:gutter="0"/>
          <w:cols w:space="0" w:num="1"/>
          <w:titlePg/>
          <w:docGrid w:type="lines" w:linePitch="328" w:charSpace="0"/>
        </w:sectPr>
      </w:pPr>
    </w:p>
    <w:p>
      <w:pPr>
        <w:pStyle w:val="4"/>
        <w:numPr>
          <w:ilvl w:val="0"/>
          <w:numId w:val="20"/>
        </w:numPr>
        <w:spacing w:before="0" w:after="0" w:line="360" w:lineRule="auto"/>
        <w:jc w:val="center"/>
        <w:rPr>
          <w:rFonts w:ascii="宋体" w:hAnsi="宋体" w:eastAsia="宋体" w:cs="宋体"/>
          <w:sz w:val="28"/>
        </w:rPr>
      </w:pPr>
      <w:bookmarkStart w:id="862" w:name="_Toc11961"/>
      <w:bookmarkStart w:id="863" w:name="_Toc503951050"/>
      <w:bookmarkStart w:id="864" w:name="_Toc12910"/>
      <w:bookmarkStart w:id="865" w:name="_Toc23170"/>
      <w:bookmarkStart w:id="866" w:name="_Toc18757"/>
      <w:bookmarkStart w:id="867" w:name="_Toc17048"/>
      <w:bookmarkStart w:id="868" w:name="_Toc513633971"/>
      <w:bookmarkStart w:id="869" w:name="_Toc11329278"/>
      <w:bookmarkStart w:id="870" w:name="_Toc246997112"/>
      <w:bookmarkStart w:id="871" w:name="_Toc447827058"/>
      <w:bookmarkStart w:id="872" w:name="_Toc179632823"/>
      <w:bookmarkStart w:id="873" w:name="_Toc247085887"/>
      <w:bookmarkStart w:id="874" w:name="_Toc144974871"/>
      <w:bookmarkStart w:id="875" w:name="_Toc152045803"/>
      <w:bookmarkStart w:id="876" w:name="_Toc246996369"/>
      <w:bookmarkStart w:id="877" w:name="_Toc152042592"/>
      <w:r>
        <w:rPr>
          <w:rFonts w:hint="eastAsia" w:ascii="宋体" w:hAnsi="宋体" w:eastAsia="宋体" w:cs="宋体"/>
          <w:sz w:val="28"/>
        </w:rPr>
        <w:t>审查资料</w:t>
      </w:r>
      <w:bookmarkEnd w:id="862"/>
      <w:bookmarkEnd w:id="863"/>
      <w:bookmarkEnd w:id="864"/>
      <w:bookmarkEnd w:id="865"/>
      <w:bookmarkEnd w:id="866"/>
      <w:bookmarkEnd w:id="867"/>
      <w:bookmarkEnd w:id="868"/>
      <w:bookmarkEnd w:id="869"/>
    </w:p>
    <w:p>
      <w:pPr>
        <w:spacing w:line="360" w:lineRule="auto"/>
        <w:jc w:val="center"/>
        <w:outlineLvl w:val="1"/>
        <w:rPr>
          <w:rFonts w:ascii="宋体" w:hAnsi="宋体" w:cs="宋体"/>
          <w:b/>
          <w:bCs/>
          <w:kern w:val="0"/>
          <w:sz w:val="28"/>
          <w:szCs w:val="32"/>
        </w:rPr>
      </w:pPr>
      <w:bookmarkStart w:id="878" w:name="_Toc13858"/>
      <w:r>
        <w:rPr>
          <w:rFonts w:hint="eastAsia" w:ascii="宋体" w:hAnsi="宋体" w:cs="宋体"/>
          <w:b/>
          <w:bCs/>
          <w:kern w:val="0"/>
          <w:sz w:val="28"/>
          <w:szCs w:val="32"/>
        </w:rPr>
        <w:t>（一）资格审查资料</w:t>
      </w:r>
      <w:bookmarkEnd w:id="870"/>
      <w:bookmarkEnd w:id="871"/>
      <w:bookmarkEnd w:id="872"/>
      <w:bookmarkEnd w:id="873"/>
      <w:bookmarkEnd w:id="874"/>
      <w:bookmarkEnd w:id="875"/>
      <w:bookmarkEnd w:id="876"/>
      <w:bookmarkEnd w:id="877"/>
      <w:bookmarkEnd w:id="878"/>
      <w:bookmarkStart w:id="879" w:name="_Toc503951058"/>
      <w:bookmarkStart w:id="880" w:name="_Toc513633974"/>
      <w:r>
        <w:rPr>
          <w:rFonts w:hint="eastAsia" w:ascii="宋体" w:hAnsi="宋体" w:cs="宋体"/>
          <w:b/>
          <w:bCs/>
          <w:kern w:val="0"/>
          <w:sz w:val="28"/>
          <w:szCs w:val="32"/>
        </w:rPr>
        <w:t xml:space="preserve"> </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具有独立法人资格，具有有效的营业执照营业执照营业范围需含类似软件开发、计算机软、硬件技术等相关内容。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rPr>
              <w:t>具有有效的CMMI（软件能力成熟度模型集成）三级及以上（四级或五级均高于三级）认证证书。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2020年1月1日至竞争性比选函发出之日,参与完成至少1项单个项目合同金额不低于35万元的办公类综合软件开发或者软件升级或者软件维护等相关业绩。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主要管理人员要求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1名，拟派技术负责人应是投标单位在职员工，具有项目管理专业人士资格认证证书（PMP证书)。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
      <w:pPr>
        <w:spacing w:line="400" w:lineRule="exact"/>
        <w:jc w:val="left"/>
        <w:rPr>
          <w:rFonts w:hAnsi="宋体"/>
          <w:kern w:val="0"/>
          <w:szCs w:val="21"/>
        </w:rPr>
      </w:pPr>
      <w:r>
        <w:rPr>
          <w:rFonts w:hint="eastAsia" w:hAnsi="宋体"/>
          <w:kern w:val="0"/>
          <w:szCs w:val="21"/>
        </w:rPr>
        <w:t xml:space="preserve"> 注：  1.提供报价人营业执照复印件，并加盖报价人鲜章。</w:t>
      </w:r>
    </w:p>
    <w:p>
      <w:pPr>
        <w:numPr>
          <w:ilvl w:val="0"/>
          <w:numId w:val="21"/>
        </w:numPr>
      </w:pPr>
      <w:r>
        <w:rPr>
          <w:rFonts w:hint="eastAsia" w:hAnsi="宋体"/>
          <w:kern w:val="0"/>
          <w:szCs w:val="21"/>
        </w:rPr>
        <w:t>提供报价人</w:t>
      </w:r>
      <w:r>
        <w:rPr>
          <w:rFonts w:hint="eastAsia"/>
        </w:rPr>
        <w:t>CMMI（软件能力成熟度模型集成）认证证书，</w:t>
      </w:r>
      <w:r>
        <w:rPr>
          <w:rFonts w:hint="eastAsia" w:hAnsi="宋体"/>
          <w:kern w:val="0"/>
          <w:szCs w:val="21"/>
        </w:rPr>
        <w:t>并加盖报价人鲜章。</w:t>
      </w:r>
    </w:p>
    <w:p>
      <w:pPr>
        <w:numPr>
          <w:ilvl w:val="0"/>
          <w:numId w:val="21"/>
        </w:numPr>
      </w:pPr>
      <w:r>
        <w:t>提供合同（合同需清晰反映上述业绩要求的主要内容，包括但不限于合同签订时间、合同金额及合同内容）复印件或扫描件</w:t>
      </w:r>
      <w:r>
        <w:rPr>
          <w:rFonts w:hint="eastAsia"/>
        </w:rPr>
        <w:t>，</w:t>
      </w:r>
      <w:r>
        <w:rPr>
          <w:rFonts w:hint="eastAsia" w:hAnsi="宋体"/>
          <w:kern w:val="0"/>
          <w:szCs w:val="21"/>
        </w:rPr>
        <w:t>盖报价人鲜章。</w:t>
      </w:r>
    </w:p>
    <w:p>
      <w:pPr>
        <w:numPr>
          <w:ilvl w:val="0"/>
          <w:numId w:val="21"/>
        </w:numPr>
      </w:pPr>
      <w:r>
        <w:rPr>
          <w:rFonts w:hint="eastAsia"/>
        </w:rPr>
        <w:t>提供主要管理人员身份证、资格证书，加盖投标单位鲜章。</w:t>
      </w:r>
    </w:p>
    <w:p>
      <w:pPr>
        <w:numPr>
          <w:ilvl w:val="0"/>
          <w:numId w:val="21"/>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rPr>
          <w:rFonts w:ascii="宋体" w:hAnsi="宋体" w:cs="宋体"/>
          <w:sz w:val="28"/>
        </w:rPr>
      </w:pPr>
    </w:p>
    <w:p>
      <w:pPr>
        <w:pStyle w:val="16"/>
        <w:rPr>
          <w:rFonts w:ascii="宋体" w:hAnsi="宋体" w:cs="宋体"/>
          <w:sz w:val="28"/>
        </w:rPr>
      </w:pPr>
    </w:p>
    <w:p>
      <w:pPr>
        <w:rPr>
          <w:rFonts w:ascii="宋体" w:hAnsi="宋体" w:cs="宋体"/>
          <w:sz w:val="28"/>
        </w:rPr>
      </w:pPr>
    </w:p>
    <w:p>
      <w:pPr>
        <w:pStyle w:val="16"/>
        <w:rPr>
          <w:rFonts w:ascii="宋体" w:hAnsi="宋体" w:cs="宋体"/>
          <w:sz w:val="28"/>
        </w:rPr>
      </w:pPr>
    </w:p>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881" w:name="_Toc20231"/>
      <w:bookmarkStart w:id="882" w:name="_Toc8299"/>
      <w:r>
        <w:rPr>
          <w:rFonts w:hint="eastAsia" w:ascii="宋体" w:hAnsi="宋体" w:cs="宋体"/>
          <w:b/>
          <w:bCs/>
          <w:kern w:val="0"/>
          <w:sz w:val="28"/>
          <w:szCs w:val="32"/>
        </w:rPr>
        <w:t>（二）商务评分资料</w:t>
      </w:r>
      <w:bookmarkEnd w:id="881"/>
      <w:bookmarkEnd w:id="882"/>
    </w:p>
    <w:p>
      <w:pPr>
        <w:pStyle w:val="171"/>
        <w:ind w:firstLine="480"/>
        <w:jc w:val="center"/>
        <w:rPr>
          <w:b/>
        </w:rPr>
      </w:pPr>
      <w:bookmarkStart w:id="883" w:name="OLE_LINK34"/>
      <w:r>
        <w:rPr>
          <w:rFonts w:hint="eastAsia"/>
        </w:rPr>
        <w:t>商务及技术部分</w:t>
      </w:r>
      <w:bookmarkEnd w:id="883"/>
      <w:r>
        <w:rPr>
          <w:rFonts w:hint="eastAsia"/>
        </w:rPr>
        <w:t>资料目录</w:t>
      </w:r>
    </w:p>
    <w:tbl>
      <w:tblPr>
        <w:tblStyle w:val="43"/>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72"/>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435" w:type="dxa"/>
            <w:vAlign w:val="center"/>
          </w:tcPr>
          <w:p>
            <w:pPr>
              <w:pStyle w:val="172"/>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172"/>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172"/>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172"/>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应加分数</w:t>
            </w:r>
          </w:p>
        </w:tc>
        <w:tc>
          <w:tcPr>
            <w:tcW w:w="1052" w:type="dxa"/>
            <w:vAlign w:val="center"/>
          </w:tcPr>
          <w:p>
            <w:pPr>
              <w:pStyle w:val="172"/>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172"/>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435" w:type="dxa"/>
          </w:tcPr>
          <w:p>
            <w:pPr>
              <w:spacing w:line="360" w:lineRule="auto"/>
              <w:jc w:val="center"/>
              <w:rPr>
                <w:rFonts w:asciiTheme="minorEastAsia" w:hAnsiTheme="minorEastAsia" w:eastAsiaTheme="minorEastAsia" w:cstheme="minorEastAsia"/>
                <w:b/>
                <w:sz w:val="18"/>
                <w:szCs w:val="18"/>
              </w:rPr>
            </w:pPr>
          </w:p>
        </w:tc>
        <w:tc>
          <w:tcPr>
            <w:tcW w:w="2492" w:type="dxa"/>
          </w:tcPr>
          <w:p>
            <w:pPr>
              <w:spacing w:line="360" w:lineRule="auto"/>
              <w:jc w:val="center"/>
              <w:rPr>
                <w:rFonts w:asciiTheme="minorEastAsia" w:hAnsiTheme="minorEastAsia" w:eastAsiaTheme="minorEastAsia" w:cstheme="minorEastAsia"/>
                <w:b/>
                <w:sz w:val="18"/>
                <w:szCs w:val="18"/>
              </w:rPr>
            </w:pPr>
          </w:p>
        </w:tc>
        <w:tc>
          <w:tcPr>
            <w:tcW w:w="1736" w:type="dxa"/>
          </w:tcPr>
          <w:p>
            <w:pPr>
              <w:spacing w:line="360" w:lineRule="auto"/>
              <w:jc w:val="center"/>
              <w:rPr>
                <w:rFonts w:asciiTheme="minorEastAsia" w:hAnsiTheme="minorEastAsia" w:eastAsiaTheme="minorEastAsia" w:cstheme="minorEastAsia"/>
                <w:b/>
                <w:sz w:val="18"/>
                <w:szCs w:val="18"/>
              </w:rPr>
            </w:pPr>
          </w:p>
        </w:tc>
        <w:tc>
          <w:tcPr>
            <w:tcW w:w="1395" w:type="dxa"/>
          </w:tcPr>
          <w:p>
            <w:pPr>
              <w:spacing w:line="360" w:lineRule="auto"/>
              <w:jc w:val="center"/>
              <w:rPr>
                <w:rFonts w:asciiTheme="minorEastAsia" w:hAnsiTheme="minorEastAsia" w:eastAsiaTheme="minorEastAsia" w:cstheme="minorEastAsia"/>
                <w:b/>
                <w:sz w:val="18"/>
                <w:szCs w:val="18"/>
              </w:rPr>
            </w:pPr>
          </w:p>
        </w:tc>
        <w:tc>
          <w:tcPr>
            <w:tcW w:w="1052" w:type="dxa"/>
          </w:tcPr>
          <w:p>
            <w:pPr>
              <w:spacing w:line="360" w:lineRule="auto"/>
              <w:jc w:val="center"/>
              <w:rPr>
                <w:rFonts w:asciiTheme="minorEastAsia" w:hAnsiTheme="minorEastAsia" w:eastAsiaTheme="minorEastAsia" w:cstheme="minorEastAsia"/>
                <w:b/>
                <w:sz w:val="18"/>
                <w:szCs w:val="18"/>
              </w:rPr>
            </w:pPr>
          </w:p>
        </w:tc>
        <w:tc>
          <w:tcPr>
            <w:tcW w:w="998" w:type="dxa"/>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35" w:type="dxa"/>
            <w:vAlign w:val="center"/>
          </w:tcPr>
          <w:p>
            <w:pPr>
              <w:snapToGrid w:val="0"/>
              <w:spacing w:line="400" w:lineRule="exact"/>
              <w:jc w:val="center"/>
              <w:rPr>
                <w:rFonts w:asciiTheme="minorEastAsia" w:hAnsiTheme="minorEastAsia" w:eastAsiaTheme="minorEastAsia" w:cstheme="minorEastAsia"/>
                <w:b/>
                <w:sz w:val="18"/>
                <w:szCs w:val="18"/>
              </w:rPr>
            </w:pPr>
          </w:p>
        </w:tc>
        <w:tc>
          <w:tcPr>
            <w:tcW w:w="2492"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spacing w:line="360" w:lineRule="auto"/>
              <w:jc w:val="center"/>
              <w:rPr>
                <w:b/>
                <w:sz w:val="28"/>
                <w:szCs w:val="28"/>
              </w:rPr>
            </w:pPr>
          </w:p>
        </w:tc>
        <w:tc>
          <w:tcPr>
            <w:tcW w:w="1435" w:type="dxa"/>
          </w:tcPr>
          <w:p>
            <w:pPr>
              <w:spacing w:line="360" w:lineRule="auto"/>
              <w:jc w:val="center"/>
              <w:rPr>
                <w:b/>
                <w:sz w:val="28"/>
                <w:szCs w:val="28"/>
              </w:rPr>
            </w:pP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spacing w:line="360" w:lineRule="auto"/>
              <w:jc w:val="center"/>
              <w:rPr>
                <w:b/>
                <w:sz w:val="28"/>
                <w:szCs w:val="28"/>
              </w:rPr>
            </w:pPr>
          </w:p>
        </w:tc>
        <w:tc>
          <w:tcPr>
            <w:tcW w:w="1435" w:type="dxa"/>
          </w:tcPr>
          <w:p>
            <w:pPr>
              <w:spacing w:line="360" w:lineRule="auto"/>
              <w:jc w:val="center"/>
              <w:rPr>
                <w:b/>
                <w:sz w:val="28"/>
                <w:szCs w:val="28"/>
              </w:rPr>
            </w:pP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spacing w:line="360" w:lineRule="auto"/>
              <w:jc w:val="center"/>
              <w:rPr>
                <w:b/>
                <w:sz w:val="28"/>
                <w:szCs w:val="28"/>
              </w:rPr>
            </w:pPr>
          </w:p>
        </w:tc>
        <w:tc>
          <w:tcPr>
            <w:tcW w:w="1435" w:type="dxa"/>
          </w:tcPr>
          <w:p>
            <w:pPr>
              <w:spacing w:line="360" w:lineRule="auto"/>
              <w:jc w:val="center"/>
              <w:rPr>
                <w:b/>
                <w:sz w:val="28"/>
                <w:szCs w:val="28"/>
              </w:rPr>
            </w:pP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spacing w:line="360" w:lineRule="auto"/>
              <w:jc w:val="center"/>
              <w:rPr>
                <w:b/>
                <w:sz w:val="28"/>
                <w:szCs w:val="28"/>
              </w:rPr>
            </w:pPr>
          </w:p>
        </w:tc>
        <w:tc>
          <w:tcPr>
            <w:tcW w:w="1435" w:type="dxa"/>
          </w:tcPr>
          <w:p>
            <w:pPr>
              <w:spacing w:line="360" w:lineRule="auto"/>
              <w:jc w:val="center"/>
              <w:rPr>
                <w:b/>
                <w:sz w:val="28"/>
                <w:szCs w:val="28"/>
              </w:rPr>
            </w:pP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spacing w:line="360" w:lineRule="auto"/>
              <w:jc w:val="center"/>
              <w:rPr>
                <w:b/>
                <w:sz w:val="28"/>
                <w:szCs w:val="28"/>
              </w:rPr>
            </w:pPr>
          </w:p>
        </w:tc>
        <w:tc>
          <w:tcPr>
            <w:tcW w:w="1435" w:type="dxa"/>
          </w:tcPr>
          <w:p>
            <w:pPr>
              <w:spacing w:line="360" w:lineRule="auto"/>
              <w:jc w:val="center"/>
              <w:rPr>
                <w:b/>
                <w:sz w:val="28"/>
                <w:szCs w:val="28"/>
              </w:rPr>
            </w:pP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spacing w:line="360" w:lineRule="auto"/>
              <w:jc w:val="center"/>
              <w:rPr>
                <w:b/>
                <w:sz w:val="28"/>
                <w:szCs w:val="28"/>
              </w:rPr>
            </w:pPr>
          </w:p>
        </w:tc>
        <w:tc>
          <w:tcPr>
            <w:tcW w:w="1435" w:type="dxa"/>
          </w:tcPr>
          <w:p>
            <w:pPr>
              <w:spacing w:line="360" w:lineRule="auto"/>
              <w:jc w:val="center"/>
              <w:rPr>
                <w:b/>
                <w:sz w:val="28"/>
                <w:szCs w:val="28"/>
              </w:rPr>
            </w:pP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spacing w:line="360" w:lineRule="auto"/>
              <w:jc w:val="center"/>
              <w:rPr>
                <w:b/>
                <w:sz w:val="28"/>
                <w:szCs w:val="28"/>
              </w:rPr>
            </w:pPr>
          </w:p>
        </w:tc>
        <w:tc>
          <w:tcPr>
            <w:tcW w:w="1435" w:type="dxa"/>
          </w:tcPr>
          <w:p>
            <w:pPr>
              <w:spacing w:line="360" w:lineRule="auto"/>
              <w:jc w:val="center"/>
              <w:rPr>
                <w:b/>
                <w:sz w:val="28"/>
                <w:szCs w:val="28"/>
              </w:rPr>
            </w:pP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spacing w:line="360" w:lineRule="auto"/>
              <w:jc w:val="center"/>
              <w:rPr>
                <w:b/>
                <w:sz w:val="28"/>
                <w:szCs w:val="28"/>
              </w:rPr>
            </w:pPr>
          </w:p>
        </w:tc>
        <w:tc>
          <w:tcPr>
            <w:tcW w:w="1435" w:type="dxa"/>
          </w:tcPr>
          <w:p>
            <w:pPr>
              <w:spacing w:line="360" w:lineRule="auto"/>
              <w:jc w:val="center"/>
              <w:rPr>
                <w:b/>
                <w:sz w:val="28"/>
                <w:szCs w:val="28"/>
              </w:rPr>
            </w:pP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spacing w:line="360" w:lineRule="auto"/>
              <w:jc w:val="center"/>
              <w:rPr>
                <w:b/>
                <w:sz w:val="28"/>
                <w:szCs w:val="28"/>
              </w:rPr>
            </w:pPr>
          </w:p>
        </w:tc>
        <w:tc>
          <w:tcPr>
            <w:tcW w:w="1435" w:type="dxa"/>
          </w:tcPr>
          <w:p>
            <w:pPr>
              <w:spacing w:line="360" w:lineRule="auto"/>
              <w:jc w:val="center"/>
              <w:rPr>
                <w:b/>
                <w:sz w:val="28"/>
                <w:szCs w:val="28"/>
              </w:rPr>
            </w:pP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spacing w:line="360" w:lineRule="auto"/>
              <w:jc w:val="center"/>
              <w:rPr>
                <w:b/>
                <w:sz w:val="28"/>
                <w:szCs w:val="28"/>
              </w:rPr>
            </w:pPr>
          </w:p>
        </w:tc>
        <w:tc>
          <w:tcPr>
            <w:tcW w:w="1435" w:type="dxa"/>
          </w:tcPr>
          <w:p>
            <w:pPr>
              <w:spacing w:line="360" w:lineRule="auto"/>
              <w:jc w:val="center"/>
              <w:rPr>
                <w:b/>
                <w:sz w:val="28"/>
                <w:szCs w:val="28"/>
              </w:rPr>
            </w:pP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tcPr>
          <w:p>
            <w:pPr>
              <w:spacing w:line="360" w:lineRule="auto"/>
              <w:jc w:val="center"/>
              <w:rPr>
                <w:b/>
                <w:sz w:val="28"/>
                <w:szCs w:val="28"/>
              </w:rPr>
            </w:pPr>
          </w:p>
        </w:tc>
        <w:tc>
          <w:tcPr>
            <w:tcW w:w="1435" w:type="dxa"/>
          </w:tcPr>
          <w:p>
            <w:pPr>
              <w:spacing w:line="360" w:lineRule="auto"/>
              <w:jc w:val="center"/>
              <w:rPr>
                <w:b/>
                <w:sz w:val="28"/>
                <w:szCs w:val="28"/>
              </w:rPr>
            </w:pP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bl>
    <w:p/>
    <w:p>
      <w:pPr>
        <w:rPr>
          <w:rFonts w:ascii="宋体" w:hAnsi="宋体" w:cs="宋体"/>
          <w:sz w:val="28"/>
        </w:rPr>
      </w:pPr>
    </w:p>
    <w:p>
      <w:pPr>
        <w:pStyle w:val="16"/>
        <w:rPr>
          <w:rFonts w:ascii="宋体" w:hAnsi="宋体" w:cs="宋体"/>
          <w:sz w:val="28"/>
        </w:rPr>
      </w:pPr>
    </w:p>
    <w:p>
      <w:pPr>
        <w:spacing w:line="360" w:lineRule="auto"/>
        <w:jc w:val="center"/>
        <w:outlineLvl w:val="1"/>
        <w:rPr>
          <w:rFonts w:ascii="宋体" w:hAnsi="宋体" w:cs="宋体"/>
          <w:b/>
          <w:bCs/>
          <w:kern w:val="0"/>
          <w:sz w:val="28"/>
          <w:szCs w:val="32"/>
        </w:rPr>
      </w:pPr>
      <w:bookmarkStart w:id="884" w:name="_Toc30447"/>
    </w:p>
    <w:p>
      <w:pPr>
        <w:pStyle w:val="16"/>
      </w:pPr>
    </w:p>
    <w:p>
      <w:pPr>
        <w:spacing w:line="360" w:lineRule="auto"/>
        <w:jc w:val="center"/>
        <w:outlineLvl w:val="1"/>
        <w:rPr>
          <w:rFonts w:ascii="宋体" w:hAnsi="宋体" w:cs="宋体"/>
          <w:b/>
          <w:bCs/>
          <w:kern w:val="0"/>
          <w:sz w:val="28"/>
          <w:szCs w:val="32"/>
        </w:rPr>
      </w:pPr>
      <w:bookmarkStart w:id="885" w:name="_Toc25471"/>
      <w:r>
        <w:rPr>
          <w:rFonts w:hint="eastAsia" w:ascii="宋体" w:hAnsi="宋体" w:cs="宋体"/>
          <w:b/>
          <w:bCs/>
          <w:kern w:val="0"/>
          <w:sz w:val="28"/>
          <w:szCs w:val="32"/>
        </w:rPr>
        <w:t>（三）技术方案</w:t>
      </w:r>
      <w:bookmarkEnd w:id="885"/>
    </w:p>
    <w:p>
      <w:pPr>
        <w:pStyle w:val="4"/>
        <w:spacing w:before="0" w:after="0" w:line="360" w:lineRule="auto"/>
        <w:jc w:val="center"/>
        <w:rPr>
          <w:rFonts w:ascii="宋体" w:hAnsi="宋体" w:eastAsia="宋体" w:cs="宋体"/>
          <w:sz w:val="28"/>
        </w:rPr>
      </w:pPr>
    </w:p>
    <w:p/>
    <w:p>
      <w:pPr>
        <w:pStyle w:val="4"/>
        <w:numPr>
          <w:ilvl w:val="0"/>
          <w:numId w:val="20"/>
        </w:numPr>
        <w:spacing w:before="0" w:after="0" w:line="360" w:lineRule="auto"/>
        <w:jc w:val="center"/>
        <w:rPr>
          <w:rFonts w:ascii="宋体" w:hAnsi="宋体" w:eastAsia="宋体" w:cs="宋体"/>
          <w:sz w:val="28"/>
        </w:rPr>
      </w:pPr>
      <w:bookmarkStart w:id="886" w:name="_Toc7055"/>
      <w:r>
        <w:rPr>
          <w:rFonts w:hint="eastAsia" w:ascii="宋体" w:hAnsi="宋体" w:eastAsia="宋体" w:cs="宋体"/>
          <w:sz w:val="28"/>
        </w:rPr>
        <w:t>报价人承诺</w:t>
      </w:r>
      <w:bookmarkEnd w:id="884"/>
      <w:bookmarkEnd w:id="886"/>
    </w:p>
    <w:p>
      <w:pPr>
        <w:pStyle w:val="16"/>
      </w:pPr>
    </w:p>
    <w:p>
      <w:pPr>
        <w:pStyle w:val="38"/>
        <w:spacing w:line="480" w:lineRule="auto"/>
        <w:jc w:val="both"/>
        <w:rPr>
          <w:rFonts w:hAnsi="宋体"/>
        </w:rPr>
      </w:pPr>
      <w:r>
        <w:rPr>
          <w:rFonts w:hint="eastAsia" w:hAnsi="宋体"/>
        </w:rPr>
        <w:t>致：</w:t>
      </w:r>
      <w:r>
        <w:rPr>
          <w:rFonts w:hint="eastAsia" w:hAnsi="宋体"/>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color w:val="000000"/>
          <w:sz w:val="24"/>
        </w:rPr>
      </w:pPr>
      <w:r>
        <w:rPr>
          <w:rFonts w:hint="eastAsia" w:ascii="宋体" w:hAnsi="宋体"/>
          <w:color w:val="000000"/>
          <w:sz w:val="24"/>
        </w:rPr>
        <w:t>在研究XXXX   项目竞争比选文件后，在此郑重承诺我司满足本项目一切报价内容、报价、服务期限及质量标准等相关要求</w:t>
      </w:r>
      <w:r>
        <w:rPr>
          <w:rFonts w:hint="eastAsia" w:ascii="宋体" w:hAnsi="宋体"/>
          <w:color w:val="000000"/>
          <w:sz w:val="24"/>
          <w:lang w:eastAsia="zh-CN"/>
        </w:rPr>
        <w:t>，</w:t>
      </w:r>
      <w:r>
        <w:rPr>
          <w:rFonts w:hint="eastAsia" w:ascii="宋体" w:hAnsi="宋体"/>
          <w:color w:val="000000"/>
          <w:sz w:val="24"/>
          <w:lang w:val="en-US" w:eastAsia="zh-CN"/>
        </w:rPr>
        <w:t>项目主要管理人员为我公司自有员工</w:t>
      </w:r>
      <w:r>
        <w:rPr>
          <w:rFonts w:hint="eastAsia" w:ascii="宋体" w:hAnsi="宋体"/>
          <w:color w:val="000000"/>
          <w:sz w:val="24"/>
        </w:rPr>
        <w:t>，响应比选函的一切内容，同时申明将按照自行给出的商务、技术方案组建服务团队、履行服务义务。若我司中标本项目且无法满足业主相关需求，我司愿承担由此给采购人造成的一切损失。</w:t>
      </w:r>
    </w:p>
    <w:p>
      <w:pPr>
        <w:pStyle w:val="16"/>
        <w:spacing w:line="480" w:lineRule="auto"/>
        <w:rPr>
          <w:rFonts w:ascii="宋体" w:hAnsi="宋体"/>
          <w:color w:val="000000"/>
          <w:sz w:val="24"/>
        </w:rPr>
      </w:pPr>
    </w:p>
    <w:p>
      <w:pPr>
        <w:spacing w:line="480" w:lineRule="auto"/>
        <w:rPr>
          <w:rFonts w:ascii="宋体" w:hAnsi="宋体"/>
          <w:color w:val="000000"/>
          <w:sz w:val="24"/>
        </w:rPr>
      </w:pPr>
      <w:r>
        <w:rPr>
          <w:rFonts w:hint="eastAsia" w:ascii="宋体" w:hAnsi="宋体"/>
          <w:color w:val="000000"/>
          <w:sz w:val="24"/>
        </w:rPr>
        <w:t xml:space="preserve">                                        承诺人：XX公司</w:t>
      </w:r>
    </w:p>
    <w:p>
      <w:pPr>
        <w:pStyle w:val="16"/>
        <w:spacing w:line="480" w:lineRule="auto"/>
      </w:pPr>
      <w:r>
        <w:rPr>
          <w:rFonts w:hint="eastAsia" w:ascii="宋体" w:hAnsi="宋体"/>
          <w:color w:val="000000"/>
          <w:sz w:val="24"/>
        </w:rPr>
        <w:t xml:space="preserve">                                        日期：</w:t>
      </w:r>
    </w:p>
    <w:p>
      <w:pPr>
        <w:pStyle w:val="16"/>
        <w:rPr>
          <w:rFonts w:ascii="宋体" w:hAnsi="宋体"/>
          <w:color w:val="000000"/>
          <w:sz w:val="24"/>
        </w:rPr>
      </w:pPr>
    </w:p>
    <w:p>
      <w:pPr>
        <w:rPr>
          <w:rFonts w:ascii="宋体" w:hAnsi="宋体"/>
          <w:color w:val="000000"/>
          <w:sz w:val="24"/>
        </w:rPr>
      </w:pPr>
    </w:p>
    <w:p>
      <w:pPr>
        <w:pStyle w:val="42"/>
      </w:pPr>
    </w:p>
    <w:p>
      <w:pPr>
        <w:pStyle w:val="4"/>
        <w:numPr>
          <w:ilvl w:val="0"/>
          <w:numId w:val="20"/>
        </w:numPr>
        <w:spacing w:before="0" w:after="0" w:line="360" w:lineRule="auto"/>
        <w:jc w:val="center"/>
        <w:rPr>
          <w:rFonts w:ascii="宋体" w:hAnsi="宋体" w:eastAsia="宋体" w:cs="宋体"/>
          <w:sz w:val="28"/>
        </w:rPr>
      </w:pPr>
      <w:bookmarkStart w:id="887" w:name="_Toc6695"/>
      <w:r>
        <w:rPr>
          <w:rFonts w:hint="eastAsia" w:ascii="宋体" w:hAnsi="宋体" w:eastAsia="宋体" w:cs="宋体"/>
          <w:sz w:val="28"/>
        </w:rPr>
        <w:t>报价人提供的其他资料（如有）</w:t>
      </w:r>
      <w:bookmarkEnd w:id="887"/>
    </w:p>
    <w:p>
      <w:pPr>
        <w:pStyle w:val="16"/>
        <w:rPr>
          <w:rFonts w:ascii="宋体" w:hAnsi="宋体"/>
          <w:color w:val="000000"/>
          <w:sz w:val="24"/>
        </w:rPr>
      </w:pPr>
    </w:p>
    <w:p>
      <w:pPr>
        <w:rPr>
          <w:rFonts w:ascii="宋体" w:hAnsi="宋体"/>
          <w:color w:val="000000"/>
          <w:sz w:val="24"/>
        </w:rPr>
      </w:pPr>
    </w:p>
    <w:p>
      <w:pPr>
        <w:pStyle w:val="16"/>
        <w:rPr>
          <w:rFonts w:ascii="宋体" w:hAnsi="宋体"/>
          <w:color w:val="000000"/>
          <w:sz w:val="24"/>
        </w:rPr>
      </w:pPr>
    </w:p>
    <w:p>
      <w:pPr>
        <w:rPr>
          <w:rFonts w:ascii="宋体" w:hAnsi="宋体"/>
          <w:color w:val="000000"/>
          <w:sz w:val="24"/>
        </w:rPr>
      </w:pPr>
    </w:p>
    <w:bookmarkEnd w:id="879"/>
    <w:bookmarkEnd w:id="880"/>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B0CF668-B779-4FDA-AFFC-26FD91865926}"/>
  </w:font>
  <w:font w:name="黑体">
    <w:panose1 w:val="02010609060101010101"/>
    <w:charset w:val="86"/>
    <w:family w:val="auto"/>
    <w:pitch w:val="default"/>
    <w:sig w:usb0="800002BF" w:usb1="38CF7CFA" w:usb2="00000016" w:usb3="00000000" w:csb0="00040001" w:csb1="00000000"/>
    <w:embedRegular r:id="rId2" w:fontKey="{3DC4C839-906E-42C3-9CED-C061D13193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254D34D-D31E-4AD4-A480-9674C2F06E3A}"/>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4" w:fontKey="{26C3DA31-5C1B-46BB-8125-461E288BF395}"/>
  </w:font>
  <w:font w:name="仿宋">
    <w:panose1 w:val="02010609060101010101"/>
    <w:charset w:val="86"/>
    <w:family w:val="auto"/>
    <w:pitch w:val="default"/>
    <w:sig w:usb0="800002BF" w:usb1="38CF7CFA" w:usb2="00000016" w:usb3="00000000" w:csb0="00040001" w:csb1="00000000"/>
    <w:embedRegular r:id="rId5" w:fontKey="{7D7B2C1C-9036-47A6-B509-0A7FA84F068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6" w:fontKey="{A5CE2846-CF0E-47A6-B145-B32C0FF66828}"/>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embedRegular r:id="rId7" w:fontKey="{5470C016-97D2-4F48-80AD-0AF10B252E7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D4359F83"/>
    <w:multiLevelType w:val="singleLevel"/>
    <w:tmpl w:val="D4359F83"/>
    <w:lvl w:ilvl="0" w:tentative="0">
      <w:start w:val="2"/>
      <w:numFmt w:val="decimal"/>
      <w:lvlText w:val="%1."/>
      <w:lvlJc w:val="left"/>
      <w:pPr>
        <w:tabs>
          <w:tab w:val="left" w:pos="312"/>
        </w:tabs>
        <w:ind w:left="735" w:firstLine="0"/>
      </w:pPr>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AA38CF7"/>
    <w:multiLevelType w:val="singleLevel"/>
    <w:tmpl w:val="0AA38CF7"/>
    <w:lvl w:ilvl="0" w:tentative="0">
      <w:start w:val="2"/>
      <w:numFmt w:val="decimal"/>
      <w:lvlText w:val="%1."/>
      <w:lvlJc w:val="left"/>
      <w:pPr>
        <w:tabs>
          <w:tab w:val="left" w:pos="312"/>
        </w:tabs>
        <w:ind w:left="735" w:firstLine="0"/>
      </w:pPr>
    </w:lvl>
  </w:abstractNum>
  <w:abstractNum w:abstractNumId="5">
    <w:nsid w:val="0B84696B"/>
    <w:multiLevelType w:val="multilevel"/>
    <w:tmpl w:val="0B84696B"/>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C000F61"/>
    <w:multiLevelType w:val="multilevel"/>
    <w:tmpl w:val="0C000F61"/>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E9062DD"/>
    <w:multiLevelType w:val="multilevel"/>
    <w:tmpl w:val="0E9062DD"/>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1FAC4043"/>
    <w:multiLevelType w:val="multilevel"/>
    <w:tmpl w:val="1FAC4043"/>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3F701C2"/>
    <w:multiLevelType w:val="multilevel"/>
    <w:tmpl w:val="23F701C2"/>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CDE08F5"/>
    <w:multiLevelType w:val="multilevel"/>
    <w:tmpl w:val="2CDE08F5"/>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871CE1D"/>
    <w:multiLevelType w:val="singleLevel"/>
    <w:tmpl w:val="3871CE1D"/>
    <w:lvl w:ilvl="0" w:tentative="0">
      <w:start w:val="1"/>
      <w:numFmt w:val="chineseCounting"/>
      <w:suff w:val="nothing"/>
      <w:lvlText w:val="%1、"/>
      <w:lvlJc w:val="left"/>
      <w:rPr>
        <w:rFonts w:hint="eastAsia"/>
      </w:rPr>
    </w:lvl>
  </w:abstractNum>
  <w:abstractNum w:abstractNumId="12">
    <w:nsid w:val="49464FD2"/>
    <w:multiLevelType w:val="multilevel"/>
    <w:tmpl w:val="49464FD2"/>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9170728"/>
    <w:multiLevelType w:val="multilevel"/>
    <w:tmpl w:val="59170728"/>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9DF5196"/>
    <w:multiLevelType w:val="multilevel"/>
    <w:tmpl w:val="59DF5196"/>
    <w:lvl w:ilvl="0" w:tentative="0">
      <w:start w:val="6"/>
      <w:numFmt w:val="decimal"/>
      <w:lvlText w:val="%1"/>
      <w:lvlJc w:val="left"/>
      <w:pPr>
        <w:ind w:left="450" w:hanging="450"/>
      </w:pPr>
      <w:rPr>
        <w:rFonts w:hint="default" w:ascii="宋体" w:hAnsi="宋体" w:eastAsia="宋体" w:cs="宋体"/>
      </w:rPr>
    </w:lvl>
    <w:lvl w:ilvl="1" w:tentative="0">
      <w:start w:val="1"/>
      <w:numFmt w:val="decimal"/>
      <w:lvlText w:val="%1.%2"/>
      <w:lvlJc w:val="left"/>
      <w:pPr>
        <w:ind w:left="720" w:hanging="720"/>
      </w:pPr>
      <w:rPr>
        <w:rFonts w:hint="default" w:ascii="宋体" w:hAnsi="宋体" w:eastAsia="宋体" w:cs="宋体"/>
      </w:rPr>
    </w:lvl>
    <w:lvl w:ilvl="2" w:tentative="0">
      <w:start w:val="1"/>
      <w:numFmt w:val="decimal"/>
      <w:lvlText w:val="%1.%2.%3"/>
      <w:lvlJc w:val="left"/>
      <w:pPr>
        <w:ind w:left="1080" w:hanging="1080"/>
      </w:pPr>
      <w:rPr>
        <w:rFonts w:hint="default" w:ascii="宋体" w:hAnsi="宋体" w:eastAsia="宋体" w:cs="宋体"/>
      </w:rPr>
    </w:lvl>
    <w:lvl w:ilvl="3" w:tentative="0">
      <w:start w:val="1"/>
      <w:numFmt w:val="decimal"/>
      <w:lvlText w:val="%1.%2.%3.%4"/>
      <w:lvlJc w:val="left"/>
      <w:pPr>
        <w:ind w:left="1080" w:hanging="1080"/>
      </w:pPr>
      <w:rPr>
        <w:rFonts w:hint="default" w:ascii="宋体" w:hAnsi="宋体" w:eastAsia="宋体" w:cs="宋体"/>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5">
    <w:nsid w:val="697B6C58"/>
    <w:multiLevelType w:val="multilevel"/>
    <w:tmpl w:val="697B6C58"/>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E422B24"/>
    <w:multiLevelType w:val="multilevel"/>
    <w:tmpl w:val="6E422B24"/>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F4B4D56"/>
    <w:multiLevelType w:val="multilevel"/>
    <w:tmpl w:val="6F4B4D56"/>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48B5AC5"/>
    <w:multiLevelType w:val="multilevel"/>
    <w:tmpl w:val="748B5AC5"/>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4F23167"/>
    <w:multiLevelType w:val="multilevel"/>
    <w:tmpl w:val="74F23167"/>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B571C5F"/>
    <w:multiLevelType w:val="multilevel"/>
    <w:tmpl w:val="7B571C5F"/>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
  </w:num>
  <w:num w:numId="4">
    <w:abstractNumId w:val="14"/>
  </w:num>
  <w:num w:numId="5">
    <w:abstractNumId w:val="7"/>
  </w:num>
  <w:num w:numId="6">
    <w:abstractNumId w:val="19"/>
  </w:num>
  <w:num w:numId="7">
    <w:abstractNumId w:val="9"/>
  </w:num>
  <w:num w:numId="8">
    <w:abstractNumId w:val="5"/>
  </w:num>
  <w:num w:numId="9">
    <w:abstractNumId w:val="13"/>
  </w:num>
  <w:num w:numId="10">
    <w:abstractNumId w:val="15"/>
  </w:num>
  <w:num w:numId="11">
    <w:abstractNumId w:val="8"/>
  </w:num>
  <w:num w:numId="12">
    <w:abstractNumId w:val="18"/>
  </w:num>
  <w:num w:numId="13">
    <w:abstractNumId w:val="17"/>
  </w:num>
  <w:num w:numId="14">
    <w:abstractNumId w:val="10"/>
  </w:num>
  <w:num w:numId="15">
    <w:abstractNumId w:val="6"/>
  </w:num>
  <w:num w:numId="16">
    <w:abstractNumId w:val="20"/>
  </w:num>
  <w:num w:numId="17">
    <w:abstractNumId w:val="12"/>
  </w:num>
  <w:num w:numId="18">
    <w:abstractNumId w:val="16"/>
  </w:num>
  <w:num w:numId="19">
    <w:abstractNumId w:val="11"/>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0"/>
  <w:drawingGridVerticalSpacing w:val="16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074EC0"/>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8F02DD"/>
    <w:rsid w:val="06AE2ABA"/>
    <w:rsid w:val="06C75368"/>
    <w:rsid w:val="06C75DF5"/>
    <w:rsid w:val="06DD02BB"/>
    <w:rsid w:val="06E71F51"/>
    <w:rsid w:val="06F965AD"/>
    <w:rsid w:val="07050666"/>
    <w:rsid w:val="071C4DB7"/>
    <w:rsid w:val="07362674"/>
    <w:rsid w:val="073B54B2"/>
    <w:rsid w:val="07537EF9"/>
    <w:rsid w:val="07815EE7"/>
    <w:rsid w:val="081748AE"/>
    <w:rsid w:val="08635851"/>
    <w:rsid w:val="08B62FD9"/>
    <w:rsid w:val="08C2359B"/>
    <w:rsid w:val="09030534"/>
    <w:rsid w:val="09041814"/>
    <w:rsid w:val="090B017D"/>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C97D4A"/>
    <w:rsid w:val="11D435DD"/>
    <w:rsid w:val="11DA3C43"/>
    <w:rsid w:val="1220326C"/>
    <w:rsid w:val="123A67B6"/>
    <w:rsid w:val="125670E6"/>
    <w:rsid w:val="125C6A25"/>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8EF6999"/>
    <w:rsid w:val="19193365"/>
    <w:rsid w:val="19261639"/>
    <w:rsid w:val="195D5C0E"/>
    <w:rsid w:val="19B64CC2"/>
    <w:rsid w:val="19BA69A5"/>
    <w:rsid w:val="19DF6D3F"/>
    <w:rsid w:val="19E24459"/>
    <w:rsid w:val="1A305FF4"/>
    <w:rsid w:val="1A3D7EBE"/>
    <w:rsid w:val="1A4353A0"/>
    <w:rsid w:val="1A557489"/>
    <w:rsid w:val="1AB63184"/>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065BE"/>
    <w:rsid w:val="1E7A14A8"/>
    <w:rsid w:val="1E7F32B0"/>
    <w:rsid w:val="1EBA058B"/>
    <w:rsid w:val="1EBB622E"/>
    <w:rsid w:val="1EC34807"/>
    <w:rsid w:val="1EEA13A6"/>
    <w:rsid w:val="1EFE64E9"/>
    <w:rsid w:val="1F6207D0"/>
    <w:rsid w:val="1F7D0570"/>
    <w:rsid w:val="1F9041EC"/>
    <w:rsid w:val="1FA015EC"/>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357F9F"/>
    <w:rsid w:val="27552E6C"/>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6E25C1"/>
    <w:rsid w:val="2D766528"/>
    <w:rsid w:val="2E19339D"/>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A055AF"/>
    <w:rsid w:val="33A51E80"/>
    <w:rsid w:val="33EE589E"/>
    <w:rsid w:val="340329A9"/>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925427"/>
    <w:rsid w:val="379E0F7A"/>
    <w:rsid w:val="37A55DCC"/>
    <w:rsid w:val="37CA04FF"/>
    <w:rsid w:val="37D30771"/>
    <w:rsid w:val="37EC0BB8"/>
    <w:rsid w:val="38995839"/>
    <w:rsid w:val="392E03A9"/>
    <w:rsid w:val="394C68A5"/>
    <w:rsid w:val="395E479A"/>
    <w:rsid w:val="39675804"/>
    <w:rsid w:val="39A36C2D"/>
    <w:rsid w:val="39AA29B9"/>
    <w:rsid w:val="39E71AEC"/>
    <w:rsid w:val="39F60058"/>
    <w:rsid w:val="3A0E533A"/>
    <w:rsid w:val="3A104089"/>
    <w:rsid w:val="3A8217DE"/>
    <w:rsid w:val="3A822B01"/>
    <w:rsid w:val="3A9F4998"/>
    <w:rsid w:val="3AB8426E"/>
    <w:rsid w:val="3ACF765C"/>
    <w:rsid w:val="3AD278CD"/>
    <w:rsid w:val="3AFA4BE5"/>
    <w:rsid w:val="3B2A44B8"/>
    <w:rsid w:val="3B2B6476"/>
    <w:rsid w:val="3BBC038E"/>
    <w:rsid w:val="3BFE3F02"/>
    <w:rsid w:val="3C2972FD"/>
    <w:rsid w:val="3C5B4444"/>
    <w:rsid w:val="3C852047"/>
    <w:rsid w:val="3CA13116"/>
    <w:rsid w:val="3CA925AE"/>
    <w:rsid w:val="3CF877AB"/>
    <w:rsid w:val="3D0B5F9E"/>
    <w:rsid w:val="3D306CB2"/>
    <w:rsid w:val="3D32729D"/>
    <w:rsid w:val="3D485E54"/>
    <w:rsid w:val="3D667959"/>
    <w:rsid w:val="3D8230F2"/>
    <w:rsid w:val="3D886E2C"/>
    <w:rsid w:val="3DAA5519"/>
    <w:rsid w:val="3DC413E8"/>
    <w:rsid w:val="3DCA34BB"/>
    <w:rsid w:val="3DD83D60"/>
    <w:rsid w:val="3E044CAE"/>
    <w:rsid w:val="3E0B01E0"/>
    <w:rsid w:val="3E12201C"/>
    <w:rsid w:val="3E427218"/>
    <w:rsid w:val="3E520ECC"/>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313EDF"/>
    <w:rsid w:val="416C142E"/>
    <w:rsid w:val="41B66342"/>
    <w:rsid w:val="41FD121E"/>
    <w:rsid w:val="421A7627"/>
    <w:rsid w:val="42267403"/>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4D750ED"/>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C96620"/>
    <w:rsid w:val="46EE3897"/>
    <w:rsid w:val="471B3499"/>
    <w:rsid w:val="4730142A"/>
    <w:rsid w:val="478E4BD2"/>
    <w:rsid w:val="479B6AEC"/>
    <w:rsid w:val="47DD756D"/>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703A4"/>
    <w:rsid w:val="4B305E1B"/>
    <w:rsid w:val="4B3D6070"/>
    <w:rsid w:val="4BB92D8E"/>
    <w:rsid w:val="4BD07B58"/>
    <w:rsid w:val="4BE87BA5"/>
    <w:rsid w:val="4C3176AB"/>
    <w:rsid w:val="4C415DC1"/>
    <w:rsid w:val="4C6E278E"/>
    <w:rsid w:val="4C9837DA"/>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8A3F09"/>
    <w:rsid w:val="50D13748"/>
    <w:rsid w:val="51442498"/>
    <w:rsid w:val="516A440A"/>
    <w:rsid w:val="51BA5A6F"/>
    <w:rsid w:val="51C42E16"/>
    <w:rsid w:val="521115A1"/>
    <w:rsid w:val="52430B2E"/>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6C6DB9"/>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55073B"/>
    <w:rsid w:val="59815208"/>
    <w:rsid w:val="59F001A4"/>
    <w:rsid w:val="5A1E2DE7"/>
    <w:rsid w:val="5A20427A"/>
    <w:rsid w:val="5A395FB6"/>
    <w:rsid w:val="5A436A2D"/>
    <w:rsid w:val="5AA179C0"/>
    <w:rsid w:val="5AFB2D6E"/>
    <w:rsid w:val="5B0A066E"/>
    <w:rsid w:val="5B123FA7"/>
    <w:rsid w:val="5B5E18A4"/>
    <w:rsid w:val="5B613C0E"/>
    <w:rsid w:val="5B6B0E16"/>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62B27"/>
    <w:rsid w:val="5EBC3C1E"/>
    <w:rsid w:val="5F2E00CC"/>
    <w:rsid w:val="5F3815EE"/>
    <w:rsid w:val="5F5C32D6"/>
    <w:rsid w:val="5FA92D9F"/>
    <w:rsid w:val="5FAC2DE4"/>
    <w:rsid w:val="5FB10E83"/>
    <w:rsid w:val="600E788A"/>
    <w:rsid w:val="6011673F"/>
    <w:rsid w:val="604130CF"/>
    <w:rsid w:val="60663C94"/>
    <w:rsid w:val="60794FD4"/>
    <w:rsid w:val="60814FEF"/>
    <w:rsid w:val="60AE4E89"/>
    <w:rsid w:val="60C85843"/>
    <w:rsid w:val="60D32F5A"/>
    <w:rsid w:val="610E2B4C"/>
    <w:rsid w:val="61846CDE"/>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ED34AD"/>
    <w:rsid w:val="65F66C79"/>
    <w:rsid w:val="660447CA"/>
    <w:rsid w:val="66112B8D"/>
    <w:rsid w:val="665622BC"/>
    <w:rsid w:val="6660772E"/>
    <w:rsid w:val="66653739"/>
    <w:rsid w:val="666C4EE6"/>
    <w:rsid w:val="66792487"/>
    <w:rsid w:val="66FB0FDC"/>
    <w:rsid w:val="66FC5AFF"/>
    <w:rsid w:val="6709462E"/>
    <w:rsid w:val="673B4133"/>
    <w:rsid w:val="6777196F"/>
    <w:rsid w:val="678A1ED0"/>
    <w:rsid w:val="67AB61F8"/>
    <w:rsid w:val="67BA7741"/>
    <w:rsid w:val="67E6170C"/>
    <w:rsid w:val="680D0CA5"/>
    <w:rsid w:val="687B6403"/>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AF7061A"/>
    <w:rsid w:val="6B0B374F"/>
    <w:rsid w:val="6B0E6D92"/>
    <w:rsid w:val="6B17074E"/>
    <w:rsid w:val="6B1F0CCB"/>
    <w:rsid w:val="6B6234E5"/>
    <w:rsid w:val="6BA44561"/>
    <w:rsid w:val="6BBD11F5"/>
    <w:rsid w:val="6BCE1834"/>
    <w:rsid w:val="6BD12800"/>
    <w:rsid w:val="6BE17EE8"/>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32328B"/>
    <w:rsid w:val="7250588C"/>
    <w:rsid w:val="726F5278"/>
    <w:rsid w:val="727E786A"/>
    <w:rsid w:val="72887FD4"/>
    <w:rsid w:val="72BD0544"/>
    <w:rsid w:val="72BD0B0E"/>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646D93"/>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4376FF"/>
    <w:rsid w:val="78701D9C"/>
    <w:rsid w:val="78AD5F33"/>
    <w:rsid w:val="78CD19BA"/>
    <w:rsid w:val="78FA0671"/>
    <w:rsid w:val="793A634F"/>
    <w:rsid w:val="798635EB"/>
    <w:rsid w:val="79A5750A"/>
    <w:rsid w:val="79FC3172"/>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A67E97"/>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8"/>
    <w:qFormat/>
    <w:uiPriority w:val="0"/>
    <w:pPr>
      <w:ind w:firstLine="420" w:firstLineChars="200"/>
    </w:pPr>
  </w:style>
  <w:style w:type="paragraph" w:styleId="13">
    <w:name w:val="Document Map"/>
    <w:basedOn w:val="1"/>
    <w:link w:val="75"/>
    <w:qFormat/>
    <w:uiPriority w:val="0"/>
    <w:pPr>
      <w:shd w:val="clear" w:color="auto" w:fill="000080"/>
    </w:pPr>
    <w:rPr>
      <w:kern w:val="0"/>
      <w:sz w:val="20"/>
    </w:rPr>
  </w:style>
  <w:style w:type="paragraph" w:styleId="14">
    <w:name w:val="annotation text"/>
    <w:basedOn w:val="1"/>
    <w:link w:val="57"/>
    <w:unhideWhenUsed/>
    <w:qFormat/>
    <w:uiPriority w:val="99"/>
    <w:pPr>
      <w:jc w:val="left"/>
    </w:pPr>
    <w:rPr>
      <w:kern w:val="0"/>
      <w:sz w:val="20"/>
    </w:rPr>
  </w:style>
  <w:style w:type="paragraph" w:styleId="15">
    <w:name w:val="Body Text 3"/>
    <w:basedOn w:val="1"/>
    <w:link w:val="61"/>
    <w:qFormat/>
    <w:uiPriority w:val="0"/>
    <w:rPr>
      <w:rFonts w:ascii="宋体"/>
      <w:kern w:val="0"/>
      <w:sz w:val="24"/>
      <w:szCs w:val="20"/>
    </w:rPr>
  </w:style>
  <w:style w:type="paragraph" w:styleId="16">
    <w:name w:val="Body Text"/>
    <w:basedOn w:val="1"/>
    <w:next w:val="1"/>
    <w:link w:val="64"/>
    <w:qFormat/>
    <w:uiPriority w:val="0"/>
    <w:pPr>
      <w:spacing w:after="120"/>
    </w:pPr>
    <w:rPr>
      <w:kern w:val="0"/>
      <w:sz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7"/>
    <w:qFormat/>
    <w:uiPriority w:val="0"/>
    <w:rPr>
      <w:b/>
      <w:bCs/>
    </w:rPr>
  </w:style>
  <w:style w:type="paragraph" w:styleId="41">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4"/>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5"/>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6"/>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2"/>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3"/>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6760</Words>
  <Characters>38532</Characters>
  <Lines>321</Lines>
  <Paragraphs>90</Paragraphs>
  <TotalTime>112</TotalTime>
  <ScaleCrop>false</ScaleCrop>
  <LinksUpToDate>false</LinksUpToDate>
  <CharactersWithSpaces>45202</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乌拉乌拉</cp:lastModifiedBy>
  <cp:lastPrinted>2022-06-07T02:51:00Z</cp:lastPrinted>
  <dcterms:modified xsi:type="dcterms:W3CDTF">2023-06-15T02:49:28Z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7736CDDCC314442B9B0B954DA6B7E062</vt:lpwstr>
  </property>
</Properties>
</file>