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OLE_LINK1"/>
      <w:r>
        <w:rPr>
          <w:rFonts w:hint="eastAsia" w:ascii="宋体" w:hAnsi="宋体" w:eastAsia="宋体" w:cs="宋体"/>
          <w:sz w:val="32"/>
          <w:szCs w:val="32"/>
        </w:rPr>
        <w:t>渝蓉高速围龙服务区（南、北）LNG加气站设备采购项目</w:t>
      </w:r>
    </w:p>
    <w:p>
      <w:pPr>
        <w:jc w:val="center"/>
        <w:rPr>
          <w:rFonts w:hint="eastAsia" w:ascii="宋体" w:hAnsi="宋体" w:eastAsia="宋体" w:cs="宋体"/>
          <w:sz w:val="32"/>
          <w:szCs w:val="32"/>
          <w:lang w:eastAsia="zh-CN"/>
        </w:rPr>
      </w:pPr>
      <w:r>
        <w:rPr>
          <w:rFonts w:hint="eastAsia" w:ascii="宋体" w:hAnsi="宋体" w:eastAsia="宋体" w:cs="宋体"/>
          <w:sz w:val="32"/>
          <w:szCs w:val="32"/>
        </w:rPr>
        <w:t>中标候选人公示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复核</w:t>
      </w:r>
      <w:r>
        <w:rPr>
          <w:rFonts w:hint="eastAsia" w:ascii="宋体" w:hAnsi="宋体" w:eastAsia="宋体" w:cs="宋体"/>
          <w:sz w:val="32"/>
          <w:szCs w:val="32"/>
          <w:lang w:eastAsia="zh-CN"/>
        </w:rPr>
        <w:t>）</w:t>
      </w:r>
    </w:p>
    <w:p>
      <w:pPr>
        <w:jc w:val="center"/>
        <w:rPr>
          <w:rFonts w:hint="eastAsia" w:ascii="宋体" w:hAnsi="宋体" w:eastAsia="宋体" w:cs="宋体"/>
          <w:sz w:val="30"/>
          <w:szCs w:val="30"/>
        </w:rPr>
      </w:pPr>
      <w:r>
        <w:rPr>
          <w:rFonts w:hint="eastAsia" w:ascii="宋体" w:hAnsi="宋体" w:eastAsia="宋体" w:cs="宋体"/>
          <w:sz w:val="30"/>
          <w:szCs w:val="30"/>
        </w:rPr>
        <w:t>（公示期：202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19</w:t>
      </w:r>
      <w:r>
        <w:rPr>
          <w:rFonts w:hint="eastAsia" w:ascii="宋体" w:hAnsi="宋体" w:eastAsia="宋体" w:cs="宋体"/>
          <w:sz w:val="30"/>
          <w:szCs w:val="30"/>
        </w:rPr>
        <w:t>日至202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21</w:t>
      </w:r>
      <w:r>
        <w:rPr>
          <w:rFonts w:hint="eastAsia" w:ascii="宋体" w:hAnsi="宋体" w:eastAsia="宋体" w:cs="宋体"/>
          <w:sz w:val="30"/>
          <w:szCs w:val="30"/>
        </w:rPr>
        <w:t>日）</w:t>
      </w:r>
    </w:p>
    <w:tbl>
      <w:tblPr>
        <w:tblStyle w:val="6"/>
        <w:tblW w:w="10160" w:type="dxa"/>
        <w:jc w:val="center"/>
        <w:tblLayout w:type="fixed"/>
        <w:tblCellMar>
          <w:top w:w="0" w:type="dxa"/>
          <w:left w:w="108" w:type="dxa"/>
          <w:bottom w:w="0" w:type="dxa"/>
          <w:right w:w="108" w:type="dxa"/>
        </w:tblCellMar>
      </w:tblPr>
      <w:tblGrid>
        <w:gridCol w:w="1574"/>
        <w:gridCol w:w="1657"/>
        <w:gridCol w:w="1438"/>
        <w:gridCol w:w="438"/>
        <w:gridCol w:w="487"/>
        <w:gridCol w:w="886"/>
        <w:gridCol w:w="1053"/>
        <w:gridCol w:w="998"/>
        <w:gridCol w:w="515"/>
        <w:gridCol w:w="1114"/>
      </w:tblGrid>
      <w:tr>
        <w:tblPrEx>
          <w:tblCellMar>
            <w:top w:w="0" w:type="dxa"/>
            <w:left w:w="108" w:type="dxa"/>
            <w:bottom w:w="0" w:type="dxa"/>
            <w:right w:w="108" w:type="dxa"/>
          </w:tblCellMar>
        </w:tblPrEx>
        <w:trPr>
          <w:trHeight w:val="42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项目标段名称</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渝蓉高速围龙服务区（南、北）LNG加气站设备采购项目</w:t>
            </w:r>
          </w:p>
        </w:tc>
        <w:tc>
          <w:tcPr>
            <w:tcW w:w="2051" w:type="dxa"/>
            <w:gridSpan w:val="2"/>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最高限价（或招标控制价）（元）</w:t>
            </w:r>
          </w:p>
        </w:tc>
        <w:tc>
          <w:tcPr>
            <w:tcW w:w="1629" w:type="dxa"/>
            <w:gridSpan w:val="2"/>
            <w:vMerge w:val="restart"/>
            <w:tcBorders>
              <w:top w:val="single" w:color="auto" w:sz="4" w:space="0"/>
              <w:left w:val="nil"/>
              <w:right w:val="single" w:color="000000"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3854400.00 </w:t>
            </w:r>
          </w:p>
        </w:tc>
      </w:tr>
      <w:tr>
        <w:tblPrEx>
          <w:tblCellMar>
            <w:top w:w="0" w:type="dxa"/>
            <w:left w:w="108" w:type="dxa"/>
            <w:bottom w:w="0" w:type="dxa"/>
            <w:right w:w="108" w:type="dxa"/>
          </w:tblCellMar>
        </w:tblPrEx>
        <w:trPr>
          <w:trHeight w:val="42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项目编码</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50000120230519025040101</w:t>
            </w:r>
          </w:p>
        </w:tc>
        <w:tc>
          <w:tcPr>
            <w:tcW w:w="2051" w:type="dxa"/>
            <w:gridSpan w:val="2"/>
            <w:vMerge w:val="continue"/>
            <w:tcBorders>
              <w:left w:val="nil"/>
              <w:right w:val="single" w:color="auto" w:sz="4" w:space="0"/>
            </w:tcBorders>
            <w:shd w:val="clear" w:color="auto" w:fill="auto"/>
            <w:vAlign w:val="center"/>
          </w:tcPr>
          <w:p>
            <w:pPr>
              <w:widowControl/>
              <w:jc w:val="center"/>
              <w:rPr>
                <w:rFonts w:hint="eastAsia" w:ascii="宋体" w:hAnsi="宋体" w:eastAsia="宋体" w:cs="宋体"/>
                <w:sz w:val="21"/>
                <w:szCs w:val="21"/>
              </w:rPr>
            </w:pPr>
          </w:p>
        </w:tc>
        <w:tc>
          <w:tcPr>
            <w:tcW w:w="1629" w:type="dxa"/>
            <w:gridSpan w:val="2"/>
            <w:vMerge w:val="continue"/>
            <w:tcBorders>
              <w:left w:val="nil"/>
              <w:right w:val="single" w:color="000000" w:sz="4" w:space="0"/>
            </w:tcBorders>
            <w:shd w:val="clear" w:color="auto" w:fill="auto"/>
            <w:vAlign w:val="center"/>
          </w:tcPr>
          <w:p>
            <w:pPr>
              <w:widowControl/>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24"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招标公告编号</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w:t>
            </w:r>
          </w:p>
        </w:tc>
        <w:tc>
          <w:tcPr>
            <w:tcW w:w="205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629"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67"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重庆渝蓉高速中油能源发展有限公司</w:t>
            </w:r>
          </w:p>
        </w:tc>
        <w:tc>
          <w:tcPr>
            <w:tcW w:w="20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招标人联系电话</w:t>
            </w:r>
          </w:p>
        </w:tc>
        <w:tc>
          <w:tcPr>
            <w:tcW w:w="16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023-81398897</w:t>
            </w:r>
          </w:p>
        </w:tc>
      </w:tr>
      <w:tr>
        <w:tblPrEx>
          <w:tblCellMar>
            <w:top w:w="0" w:type="dxa"/>
            <w:left w:w="108" w:type="dxa"/>
            <w:bottom w:w="0" w:type="dxa"/>
            <w:right w:w="108" w:type="dxa"/>
          </w:tblCellMar>
        </w:tblPrEx>
        <w:trPr>
          <w:trHeight w:val="47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重庆市投资咨询有限公司</w:t>
            </w:r>
          </w:p>
        </w:tc>
        <w:tc>
          <w:tcPr>
            <w:tcW w:w="20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招标代理机构联系电话</w:t>
            </w:r>
          </w:p>
        </w:tc>
        <w:tc>
          <w:tcPr>
            <w:tcW w:w="16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13983603174</w:t>
            </w:r>
          </w:p>
        </w:tc>
      </w:tr>
      <w:tr>
        <w:tblPrEx>
          <w:tblCellMar>
            <w:top w:w="0" w:type="dxa"/>
            <w:left w:w="108" w:type="dxa"/>
            <w:bottom w:w="0" w:type="dxa"/>
            <w:right w:w="108" w:type="dxa"/>
          </w:tblCellMar>
        </w:tblPrEx>
        <w:trPr>
          <w:trHeight w:val="289" w:hRule="atLeast"/>
          <w:jc w:val="center"/>
        </w:trPr>
        <w:tc>
          <w:tcPr>
            <w:tcW w:w="15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排序</w:t>
            </w:r>
          </w:p>
        </w:tc>
        <w:tc>
          <w:tcPr>
            <w:tcW w:w="1657"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14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投标报价（元）</w:t>
            </w:r>
          </w:p>
        </w:tc>
        <w:tc>
          <w:tcPr>
            <w:tcW w:w="925"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交货期</w:t>
            </w:r>
          </w:p>
        </w:tc>
        <w:tc>
          <w:tcPr>
            <w:tcW w:w="88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质量保证期</w:t>
            </w:r>
          </w:p>
        </w:tc>
        <w:tc>
          <w:tcPr>
            <w:tcW w:w="3680"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拟任</w:t>
            </w:r>
            <w:r>
              <w:rPr>
                <w:rFonts w:hint="eastAsia" w:ascii="宋体" w:hAnsi="宋体" w:eastAsia="宋体" w:cs="宋体"/>
                <w:color w:val="000000"/>
                <w:kern w:val="0"/>
                <w:sz w:val="21"/>
                <w:szCs w:val="21"/>
                <w:lang w:val="en-US" w:eastAsia="zh-CN"/>
              </w:rPr>
              <w:t>项目</w:t>
            </w:r>
            <w:r>
              <w:rPr>
                <w:rFonts w:hint="eastAsia" w:ascii="宋体" w:hAnsi="宋体" w:eastAsia="宋体" w:cs="宋体"/>
                <w:color w:val="000000"/>
                <w:kern w:val="0"/>
                <w:sz w:val="21"/>
                <w:szCs w:val="21"/>
              </w:rPr>
              <w:t>经理</w:t>
            </w:r>
          </w:p>
        </w:tc>
      </w:tr>
      <w:tr>
        <w:tblPrEx>
          <w:tblCellMar>
            <w:top w:w="0" w:type="dxa"/>
            <w:left w:w="108" w:type="dxa"/>
            <w:bottom w:w="0" w:type="dxa"/>
            <w:right w:w="108" w:type="dxa"/>
          </w:tblCellMar>
        </w:tblPrEx>
        <w:trPr>
          <w:trHeight w:val="226"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657" w:type="dxa"/>
            <w:vMerge w:val="continue"/>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4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92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88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15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证书名称</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证书编号</w:t>
            </w:r>
          </w:p>
        </w:tc>
      </w:tr>
      <w:tr>
        <w:tblPrEx>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第一名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成都渝能能源设备有限公司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3690000.00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r>
      <w:tr>
        <w:tblPrEx>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第二名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三盈联合科技股份有限公司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3766000.00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r>
      <w:tr>
        <w:tblPrEx>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第三名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天津佰焰科技股份有限公司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3690000.00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r>
      <w:tr>
        <w:tblPrEx>
          <w:tblCellMar>
            <w:top w:w="0" w:type="dxa"/>
            <w:left w:w="108" w:type="dxa"/>
            <w:bottom w:w="0" w:type="dxa"/>
            <w:right w:w="108" w:type="dxa"/>
          </w:tblCellMar>
        </w:tblPrEx>
        <w:trPr>
          <w:trHeight w:val="808"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中标候选人响应招标文件要求的资格能力条件</w:t>
            </w:r>
          </w:p>
        </w:tc>
        <w:tc>
          <w:tcPr>
            <w:tcW w:w="8586" w:type="dxa"/>
            <w:gridSpan w:val="9"/>
            <w:tcBorders>
              <w:top w:val="single" w:color="auto" w:sz="4" w:space="0"/>
              <w:left w:val="nil"/>
              <w:bottom w:val="single" w:color="auto" w:sz="4" w:space="0"/>
              <w:right w:val="single" w:color="000000" w:sz="4" w:space="0"/>
            </w:tcBorders>
            <w:shd w:val="clear" w:color="auto" w:fill="auto"/>
          </w:tcPr>
          <w:p>
            <w:pPr>
              <w:widowControl/>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第一中标候选人：成都渝能能源设备有限公司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投标资质：特种设备安装、改造、维修许可证（压力管道）GC2</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成都中油能源有限公司青白江同旺LNG加气站设备、永昌东大山综合服务有限公司加气站及配套设施建设项目、永昌水泉子综合服务有限公司加气站及配套设施建设项目、鄯善宝暄商贸有限公司LNG加气站成套设备项目、广西贺州八步区古柏园区加油加气站、汶川县成杰旅游LNG加气站、格尔木昆仑物流园区加油站、加气站项目</w:t>
            </w:r>
          </w:p>
          <w:p>
            <w:pPr>
              <w:widowControl/>
              <w:jc w:val="left"/>
              <w:rPr>
                <w:rFonts w:hint="default" w:ascii="宋体" w:hAnsi="宋体" w:eastAsia="宋体" w:cs="宋体"/>
                <w:sz w:val="21"/>
                <w:szCs w:val="21"/>
                <w:lang w:val="en-US" w:eastAsia="zh-CN"/>
              </w:rPr>
            </w:pPr>
          </w:p>
          <w:p>
            <w:pPr>
              <w:widowControl/>
              <w:jc w:val="both"/>
              <w:rPr>
                <w:rFonts w:hint="eastAsia" w:ascii="宋体" w:hAnsi="宋体" w:eastAsia="宋体" w:cs="宋体"/>
                <w:sz w:val="21"/>
                <w:szCs w:val="21"/>
                <w:lang w:val="en-US" w:eastAsia="zh-CN"/>
              </w:rPr>
            </w:pPr>
          </w:p>
          <w:p>
            <w:pPr>
              <w:widowControl/>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第二中标候选人：三盈联合科技股份有限公司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投标资质：特种设备安装、改造、维修许可证（压力管道）GC2</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山西石油分公司怀仁草地加气设备项目、中国石化销售股份有限公司海南石油分公司开源加气站、中国石化销售股份有限公司海南石油分公司东成加气站、河南商丘石油分公司虞城镇里固加气站项目、天津石油分公司潘庄第六加气站项目、中国石化销售股份有限公司海南石油分公司腾洋加气站、中国石化国际事业有限公司第二期（2021-2022年度）加气设备及配件采购项目</w:t>
            </w:r>
          </w:p>
          <w:p>
            <w:pPr>
              <w:widowControl/>
              <w:jc w:val="left"/>
              <w:rPr>
                <w:rFonts w:hint="eastAsia" w:ascii="宋体" w:hAnsi="宋体" w:eastAsia="宋体" w:cs="宋体"/>
                <w:sz w:val="21"/>
                <w:szCs w:val="21"/>
                <w:lang w:val="en-US" w:eastAsia="zh-CN"/>
              </w:rPr>
            </w:pP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第三中标候选人：天津佰焰科技股份有限公司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投标资质：特种设备安装、改造、维修许可证（压力管道）GC2</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重庆大方向清洁能源有限公司汽车加气站设备项目、甘肃供能新能源有限责任公司汽车加气站设备项目、盐池县兴盐建设开发有限公司汽车加气站设备项目、高速汝州服务区LNG加气站一体撬、津滨新能源项目LNG加气站一体撬、宁夏大孚项目LNG加气站一体撬、铜川强德仓储物流项目LNG加气站一体撬、唐山丰南唐津项目LNG加气站一体撬、唐山丰田区田庄项目LNG加气站一体撬</w:t>
            </w:r>
          </w:p>
        </w:tc>
      </w:tr>
      <w:tr>
        <w:tblPrEx>
          <w:tblCellMar>
            <w:top w:w="0" w:type="dxa"/>
            <w:left w:w="108" w:type="dxa"/>
            <w:bottom w:w="0" w:type="dxa"/>
            <w:right w:w="108" w:type="dxa"/>
          </w:tblCellMar>
        </w:tblPrEx>
        <w:trPr>
          <w:trHeight w:val="1013"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招标文件规定应公示的其他内容</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否决投标情况及理由：</w:t>
            </w:r>
            <w:bookmarkStart w:id="1" w:name="_GoBack"/>
            <w:bookmarkEnd w:id="1"/>
            <w:r>
              <w:rPr>
                <w:rFonts w:hint="eastAsia" w:ascii="宋体" w:hAnsi="宋体" w:eastAsia="宋体" w:cs="宋体"/>
                <w:sz w:val="21"/>
                <w:szCs w:val="21"/>
                <w:lang w:val="en-US" w:eastAsia="zh-CN"/>
              </w:rPr>
              <w:t>重庆耐德能源装备集成有限公司确属未提供2020年财务审计报告，2020年的财务审计报告内容是复制的2021年的财务审计报告，不满足招标文件第二章投标人须知1.4.1财务要求。根据招标文件否决一览表要求，</w:t>
            </w:r>
            <w:r>
              <w:rPr>
                <w:rFonts w:hint="eastAsia" w:ascii="新宋体" w:hAnsi="新宋体" w:eastAsia="新宋体" w:cs="新宋体"/>
                <w:color w:val="auto"/>
                <w:szCs w:val="21"/>
                <w:highlight w:val="none"/>
              </w:rPr>
              <w:t>投标人的财务须满足投标人须知前附表第1.4.1项的要求，否则由评标委员会作否决投标处理</w:t>
            </w:r>
            <w:r>
              <w:rPr>
                <w:rFonts w:hint="eastAsia" w:ascii="新宋体" w:hAnsi="新宋体" w:eastAsia="新宋体" w:cs="新宋体"/>
                <w:color w:val="auto"/>
                <w:szCs w:val="21"/>
                <w:highlight w:val="none"/>
                <w:lang w:eastAsia="zh-CN"/>
              </w:rPr>
              <w:t>，</w:t>
            </w:r>
            <w:r>
              <w:rPr>
                <w:rFonts w:hint="eastAsia" w:ascii="宋体" w:hAnsi="宋体" w:eastAsia="宋体" w:cs="宋体"/>
                <w:sz w:val="21"/>
                <w:szCs w:val="21"/>
                <w:lang w:val="en-US" w:eastAsia="zh-CN"/>
              </w:rPr>
              <w:t>资格评审不合格。</w:t>
            </w:r>
          </w:p>
        </w:tc>
      </w:tr>
      <w:tr>
        <w:tblPrEx>
          <w:tblCellMar>
            <w:top w:w="0" w:type="dxa"/>
            <w:left w:w="108" w:type="dxa"/>
            <w:bottom w:w="0" w:type="dxa"/>
            <w:right w:w="108" w:type="dxa"/>
          </w:tblCellMar>
        </w:tblPrEx>
        <w:trPr>
          <w:trHeight w:val="93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中标候选人评标情况</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中标候选人符合性审查（形式评审、资格评审、响应性评审、投标函部分及经济部分评审）均合格。</w:t>
            </w:r>
          </w:p>
        </w:tc>
      </w:tr>
      <w:tr>
        <w:tblPrEx>
          <w:tblCellMar>
            <w:top w:w="0" w:type="dxa"/>
            <w:left w:w="108" w:type="dxa"/>
            <w:bottom w:w="0" w:type="dxa"/>
            <w:right w:w="108" w:type="dxa"/>
          </w:tblCellMar>
        </w:tblPrEx>
        <w:trPr>
          <w:trHeight w:val="115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提出异议的渠道和方式</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投标人或者其他利害关系人对评标结果有异议的，应在中标候选人公示期内以书面形式向招标人：</w:t>
            </w:r>
            <w:r>
              <w:rPr>
                <w:rFonts w:hint="eastAsia" w:ascii="宋体" w:hAnsi="宋体" w:eastAsia="宋体" w:cs="宋体"/>
                <w:sz w:val="21"/>
                <w:szCs w:val="21"/>
              </w:rPr>
              <w:t>重庆渝蓉高速中油能源发展有限公司</w:t>
            </w: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lang w:val="en-US" w:eastAsia="zh-CN"/>
              </w:rPr>
              <w:t>夏</w:t>
            </w:r>
            <w:r>
              <w:rPr>
                <w:rFonts w:hint="eastAsia" w:ascii="宋体" w:hAnsi="宋体" w:eastAsia="宋体" w:cs="宋体"/>
                <w:color w:val="000000"/>
                <w:kern w:val="0"/>
                <w:sz w:val="21"/>
                <w:szCs w:val="21"/>
              </w:rPr>
              <w:t>老师，联系电话：023-81398897）提出异议。</w:t>
            </w:r>
          </w:p>
        </w:tc>
      </w:tr>
      <w:tr>
        <w:tblPrEx>
          <w:tblCellMar>
            <w:top w:w="0" w:type="dxa"/>
            <w:left w:w="108" w:type="dxa"/>
            <w:bottom w:w="0" w:type="dxa"/>
            <w:right w:w="108" w:type="dxa"/>
          </w:tblCellMar>
        </w:tblPrEx>
        <w:trPr>
          <w:trHeight w:val="2428" w:hRule="atLeast"/>
          <w:jc w:val="center"/>
        </w:trPr>
        <w:tc>
          <w:tcPr>
            <w:tcW w:w="5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招标人（盖章）: 重庆渝蓉高速中油能源发展有公司</w:t>
            </w: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2023年6月19日</w:t>
            </w:r>
            <w:r>
              <w:rPr>
                <w:rFonts w:hint="eastAsia" w:ascii="宋体" w:hAnsi="宋体" w:eastAsia="宋体" w:cs="宋体"/>
                <w:color w:val="000000"/>
                <w:kern w:val="0"/>
                <w:sz w:val="21"/>
                <w:szCs w:val="21"/>
              </w:rPr>
              <w:t xml:space="preserve">           </w:t>
            </w:r>
          </w:p>
        </w:tc>
        <w:tc>
          <w:tcPr>
            <w:tcW w:w="505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招标代理机构（盖章）：</w:t>
            </w:r>
            <w:r>
              <w:rPr>
                <w:rFonts w:hint="eastAsia" w:ascii="宋体" w:hAnsi="宋体" w:eastAsia="宋体" w:cs="宋体"/>
                <w:sz w:val="21"/>
                <w:szCs w:val="21"/>
              </w:rPr>
              <w:t>重庆市投资咨询有限公司</w:t>
            </w: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 xml:space="preserve">                            2023年6月19日</w:t>
            </w:r>
          </w:p>
        </w:tc>
      </w:tr>
    </w:tbl>
    <w:p>
      <w:pPr>
        <w:jc w:val="left"/>
        <w:rPr>
          <w:rFonts w:ascii="宋体" w:hAnsi="宋体" w:eastAsia="宋体" w:cs="宋体"/>
          <w:szCs w:val="21"/>
        </w:rPr>
      </w:pPr>
      <w:r>
        <w:rPr>
          <w:rFonts w:hint="eastAsia" w:ascii="宋体" w:hAnsi="宋体" w:eastAsia="宋体" w:cs="宋体"/>
          <w:color w:val="000000"/>
          <w:kern w:val="0"/>
          <w:szCs w:val="21"/>
        </w:rPr>
        <w:t>注：1.招标人及其委托的招标代理机对填写的中标候选人公示内容的真实性、准确性和一致性负责</w:t>
      </w:r>
      <w:r>
        <w:rPr>
          <w:rFonts w:hint="eastAsia" w:ascii="宋体" w:hAnsi="宋体" w:eastAsia="宋体" w:cs="宋体"/>
          <w:szCs w:val="21"/>
        </w:rPr>
        <w:t>。</w:t>
      </w:r>
    </w:p>
    <w:p>
      <w:pPr>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2.发布媒介和电子招标交易平台应当对所发布的公示信息的及时性、完整性负责。</w:t>
      </w:r>
    </w:p>
    <w:p>
      <w:pPr>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1A5136"/>
    <w:rsid w:val="001B5F0B"/>
    <w:rsid w:val="002552ED"/>
    <w:rsid w:val="003443E4"/>
    <w:rsid w:val="00425063"/>
    <w:rsid w:val="00433B14"/>
    <w:rsid w:val="00450EBE"/>
    <w:rsid w:val="004A5574"/>
    <w:rsid w:val="004C79E1"/>
    <w:rsid w:val="0055752E"/>
    <w:rsid w:val="005B49F7"/>
    <w:rsid w:val="005F7769"/>
    <w:rsid w:val="006A71D4"/>
    <w:rsid w:val="00773F2C"/>
    <w:rsid w:val="007C4F8D"/>
    <w:rsid w:val="0080436D"/>
    <w:rsid w:val="008C6542"/>
    <w:rsid w:val="00A82F3F"/>
    <w:rsid w:val="00B14D54"/>
    <w:rsid w:val="00B24437"/>
    <w:rsid w:val="00B94438"/>
    <w:rsid w:val="00BF39A8"/>
    <w:rsid w:val="00C51321"/>
    <w:rsid w:val="00DD6558"/>
    <w:rsid w:val="00E6776B"/>
    <w:rsid w:val="00F820F1"/>
    <w:rsid w:val="022805E2"/>
    <w:rsid w:val="02325F30"/>
    <w:rsid w:val="02A841A4"/>
    <w:rsid w:val="07C0550D"/>
    <w:rsid w:val="08627BEE"/>
    <w:rsid w:val="0A2B3C97"/>
    <w:rsid w:val="0E8205C8"/>
    <w:rsid w:val="0EF13862"/>
    <w:rsid w:val="170F5537"/>
    <w:rsid w:val="19384759"/>
    <w:rsid w:val="1A181D5D"/>
    <w:rsid w:val="1A4964C6"/>
    <w:rsid w:val="1B895CD5"/>
    <w:rsid w:val="1B944A99"/>
    <w:rsid w:val="1D38741D"/>
    <w:rsid w:val="1D3E52D8"/>
    <w:rsid w:val="1D7874B6"/>
    <w:rsid w:val="1E65390B"/>
    <w:rsid w:val="1F581386"/>
    <w:rsid w:val="1FB04D59"/>
    <w:rsid w:val="20F068FE"/>
    <w:rsid w:val="2D7029F8"/>
    <w:rsid w:val="2E27562C"/>
    <w:rsid w:val="2F0C7756"/>
    <w:rsid w:val="32963D68"/>
    <w:rsid w:val="352811BE"/>
    <w:rsid w:val="355035B7"/>
    <w:rsid w:val="372F24CB"/>
    <w:rsid w:val="3A680F30"/>
    <w:rsid w:val="3F405321"/>
    <w:rsid w:val="449F4C45"/>
    <w:rsid w:val="48DD072C"/>
    <w:rsid w:val="4D845EB2"/>
    <w:rsid w:val="50516F84"/>
    <w:rsid w:val="51AF29D4"/>
    <w:rsid w:val="551A1136"/>
    <w:rsid w:val="55BE31C7"/>
    <w:rsid w:val="56914E15"/>
    <w:rsid w:val="57911BE6"/>
    <w:rsid w:val="59BA5A3B"/>
    <w:rsid w:val="59F8799C"/>
    <w:rsid w:val="5C13778B"/>
    <w:rsid w:val="5FD36722"/>
    <w:rsid w:val="640535C6"/>
    <w:rsid w:val="642775C6"/>
    <w:rsid w:val="65DB1F71"/>
    <w:rsid w:val="6A420783"/>
    <w:rsid w:val="6E67004F"/>
    <w:rsid w:val="70AF6DB3"/>
    <w:rsid w:val="716B06FE"/>
    <w:rsid w:val="73AF1980"/>
    <w:rsid w:val="75C20D75"/>
    <w:rsid w:val="77D4033E"/>
    <w:rsid w:val="790915F9"/>
    <w:rsid w:val="7FFE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45"/>
    <w:unhideWhenUsed/>
    <w:qFormat/>
    <w:uiPriority w:val="99"/>
    <w:pPr>
      <w:tabs>
        <w:tab w:val="center" w:pos="4153"/>
        <w:tab w:val="right" w:pos="8306"/>
      </w:tabs>
      <w:snapToGrid w:val="0"/>
      <w:jc w:val="left"/>
    </w:pPr>
    <w:rPr>
      <w:sz w:val="18"/>
      <w:szCs w:val="18"/>
    </w:rPr>
  </w:style>
  <w:style w:type="paragraph" w:styleId="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8">
    <w:name w:val="Strong"/>
    <w:basedOn w:val="7"/>
    <w:qFormat/>
    <w:uiPriority w:val="22"/>
  </w:style>
  <w:style w:type="character" w:styleId="9">
    <w:name w:val="FollowedHyperlink"/>
    <w:basedOn w:val="7"/>
    <w:unhideWhenUsed/>
    <w:qFormat/>
    <w:uiPriority w:val="99"/>
    <w:rPr>
      <w:color w:val="800080"/>
      <w:u w:val="none"/>
    </w:rPr>
  </w:style>
  <w:style w:type="character" w:styleId="10">
    <w:name w:val="Emphasis"/>
    <w:basedOn w:val="7"/>
    <w:qFormat/>
    <w:uiPriority w:val="20"/>
    <w:rPr>
      <w:b/>
    </w:rPr>
  </w:style>
  <w:style w:type="character" w:styleId="11">
    <w:name w:val="HTML Definition"/>
    <w:basedOn w:val="7"/>
    <w:unhideWhenUsed/>
    <w:qFormat/>
    <w:uiPriority w:val="99"/>
  </w:style>
  <w:style w:type="character" w:styleId="12">
    <w:name w:val="HTML Typewriter"/>
    <w:basedOn w:val="7"/>
    <w:unhideWhenUsed/>
    <w:qFormat/>
    <w:uiPriority w:val="99"/>
    <w:rPr>
      <w:rFonts w:ascii="monospace" w:hAnsi="monospace" w:eastAsia="monospace" w:cs="monospace"/>
      <w:sz w:val="20"/>
    </w:rPr>
  </w:style>
  <w:style w:type="character" w:styleId="13">
    <w:name w:val="HTML Acronym"/>
    <w:basedOn w:val="7"/>
    <w:unhideWhenUsed/>
    <w:qFormat/>
    <w:uiPriority w:val="99"/>
    <w:rPr>
      <w:bdr w:val="single" w:color="D6D6D6" w:sz="2" w:space="0"/>
      <w:shd w:val="clear" w:fill="FFFFFF"/>
    </w:rPr>
  </w:style>
  <w:style w:type="character" w:styleId="14">
    <w:name w:val="HTML Variable"/>
    <w:basedOn w:val="7"/>
    <w:unhideWhenUsed/>
    <w:qFormat/>
    <w:uiPriority w:val="99"/>
  </w:style>
  <w:style w:type="character" w:styleId="15">
    <w:name w:val="Hyperlink"/>
    <w:basedOn w:val="7"/>
    <w:unhideWhenUsed/>
    <w:qFormat/>
    <w:uiPriority w:val="99"/>
    <w:rPr>
      <w:color w:val="0000FF"/>
      <w:u w:val="none"/>
    </w:rPr>
  </w:style>
  <w:style w:type="character" w:styleId="16">
    <w:name w:val="HTML Code"/>
    <w:basedOn w:val="7"/>
    <w:unhideWhenUsed/>
    <w:qFormat/>
    <w:uiPriority w:val="99"/>
    <w:rPr>
      <w:rFonts w:hint="default" w:ascii="monospace" w:hAnsi="monospace" w:eastAsia="monospace" w:cs="monospace"/>
      <w:sz w:val="0"/>
      <w:szCs w:val="0"/>
      <w:bdr w:val="single" w:color="auto" w:sz="2" w:space="0"/>
    </w:rPr>
  </w:style>
  <w:style w:type="character" w:styleId="17">
    <w:name w:val="HTML Cite"/>
    <w:basedOn w:val="7"/>
    <w:unhideWhenUsed/>
    <w:qFormat/>
    <w:uiPriority w:val="99"/>
  </w:style>
  <w:style w:type="character" w:styleId="18">
    <w:name w:val="HTML Keyboard"/>
    <w:basedOn w:val="7"/>
    <w:unhideWhenUsed/>
    <w:qFormat/>
    <w:uiPriority w:val="99"/>
    <w:rPr>
      <w:rFonts w:hint="default" w:ascii="monospace" w:hAnsi="monospace" w:eastAsia="monospace" w:cs="monospace"/>
      <w:sz w:val="20"/>
    </w:rPr>
  </w:style>
  <w:style w:type="character" w:styleId="19">
    <w:name w:val="HTML Sample"/>
    <w:basedOn w:val="7"/>
    <w:unhideWhenUsed/>
    <w:qFormat/>
    <w:uiPriority w:val="99"/>
    <w:rPr>
      <w:rFonts w:hint="default" w:ascii="monospace" w:hAnsi="monospace" w:eastAsia="monospace" w:cs="monospace"/>
    </w:rPr>
  </w:style>
  <w:style w:type="character" w:customStyle="1" w:styleId="20">
    <w:name w:val="lab_sshy"/>
    <w:basedOn w:val="7"/>
    <w:qFormat/>
    <w:uiPriority w:val="0"/>
  </w:style>
  <w:style w:type="character" w:customStyle="1" w:styleId="21">
    <w:name w:val="lab_fbrq"/>
    <w:basedOn w:val="7"/>
    <w:qFormat/>
    <w:uiPriority w:val="0"/>
  </w:style>
  <w:style w:type="character" w:customStyle="1" w:styleId="22">
    <w:name w:val="lab_sshy_yd7"/>
    <w:basedOn w:val="7"/>
    <w:qFormat/>
    <w:uiPriority w:val="0"/>
  </w:style>
  <w:style w:type="character" w:customStyle="1" w:styleId="23">
    <w:name w:val="lab_ssqx"/>
    <w:basedOn w:val="7"/>
    <w:qFormat/>
    <w:uiPriority w:val="0"/>
  </w:style>
  <w:style w:type="character" w:customStyle="1" w:styleId="24">
    <w:name w:val="lab_wf2"/>
    <w:basedOn w:val="7"/>
    <w:qFormat/>
    <w:uiPriority w:val="0"/>
  </w:style>
  <w:style w:type="character" w:customStyle="1" w:styleId="25">
    <w:name w:val="lab_wf4"/>
    <w:basedOn w:val="7"/>
    <w:qFormat/>
    <w:uiPriority w:val="0"/>
    <w:rPr>
      <w:color w:val="FF0000"/>
    </w:rPr>
  </w:style>
  <w:style w:type="character" w:customStyle="1" w:styleId="26">
    <w:name w:val="lab_jydd"/>
    <w:basedOn w:val="7"/>
    <w:qFormat/>
    <w:uiPriority w:val="0"/>
  </w:style>
  <w:style w:type="character" w:customStyle="1" w:styleId="27">
    <w:name w:val="lab_zblb_yd6"/>
    <w:basedOn w:val="7"/>
    <w:qFormat/>
    <w:uiPriority w:val="0"/>
  </w:style>
  <w:style w:type="character" w:customStyle="1" w:styleId="28">
    <w:name w:val="zb_zblb"/>
    <w:basedOn w:val="7"/>
    <w:qFormat/>
    <w:uiPriority w:val="0"/>
  </w:style>
  <w:style w:type="character" w:customStyle="1" w:styleId="29">
    <w:name w:val="lab_zblb"/>
    <w:basedOn w:val="7"/>
    <w:qFormat/>
    <w:uiPriority w:val="0"/>
  </w:style>
  <w:style w:type="character" w:customStyle="1" w:styleId="30">
    <w:name w:val="lab_xmbh_yd2"/>
    <w:basedOn w:val="7"/>
    <w:qFormat/>
    <w:uiPriority w:val="0"/>
  </w:style>
  <w:style w:type="character" w:customStyle="1" w:styleId="31">
    <w:name w:val="lab_xmbh"/>
    <w:basedOn w:val="7"/>
    <w:qFormat/>
    <w:uiPriority w:val="0"/>
  </w:style>
  <w:style w:type="character" w:customStyle="1" w:styleId="32">
    <w:name w:val="lab_xmmc"/>
    <w:basedOn w:val="7"/>
    <w:qFormat/>
    <w:uiPriority w:val="0"/>
  </w:style>
  <w:style w:type="character" w:customStyle="1" w:styleId="33">
    <w:name w:val="lab_xmmc_yd1"/>
    <w:basedOn w:val="7"/>
    <w:qFormat/>
    <w:uiPriority w:val="0"/>
  </w:style>
  <w:style w:type="character" w:customStyle="1" w:styleId="34">
    <w:name w:val="lab_dlgs"/>
    <w:basedOn w:val="7"/>
    <w:qFormat/>
    <w:uiPriority w:val="0"/>
  </w:style>
  <w:style w:type="character" w:customStyle="1" w:styleId="35">
    <w:name w:val="lab_ssqx_yd9"/>
    <w:basedOn w:val="7"/>
    <w:qFormat/>
    <w:uiPriority w:val="0"/>
  </w:style>
  <w:style w:type="character" w:customStyle="1" w:styleId="36">
    <w:name w:val="lab_ssqx_yd8"/>
    <w:basedOn w:val="7"/>
    <w:qFormat/>
    <w:uiPriority w:val="0"/>
  </w:style>
  <w:style w:type="character" w:customStyle="1" w:styleId="37">
    <w:name w:val="lab_fbrq_yd3"/>
    <w:basedOn w:val="7"/>
    <w:qFormat/>
    <w:uiPriority w:val="0"/>
  </w:style>
  <w:style w:type="character" w:customStyle="1" w:styleId="38">
    <w:name w:val="lab_dlgs_yd8"/>
    <w:basedOn w:val="7"/>
    <w:qFormat/>
    <w:uiPriority w:val="0"/>
  </w:style>
  <w:style w:type="character" w:customStyle="1" w:styleId="39">
    <w:name w:val="lab_wf6"/>
    <w:basedOn w:val="7"/>
    <w:qFormat/>
    <w:uiPriority w:val="0"/>
  </w:style>
  <w:style w:type="character" w:customStyle="1" w:styleId="40">
    <w:name w:val="lab_wf1"/>
    <w:basedOn w:val="7"/>
    <w:qFormat/>
    <w:uiPriority w:val="0"/>
  </w:style>
  <w:style w:type="character" w:customStyle="1" w:styleId="41">
    <w:name w:val="lab_wf3"/>
    <w:basedOn w:val="7"/>
    <w:qFormat/>
    <w:uiPriority w:val="0"/>
    <w:rPr>
      <w:color w:val="FF0000"/>
    </w:rPr>
  </w:style>
  <w:style w:type="character" w:customStyle="1" w:styleId="42">
    <w:name w:val="lab_wf5"/>
    <w:basedOn w:val="7"/>
    <w:qFormat/>
    <w:uiPriority w:val="0"/>
  </w:style>
  <w:style w:type="character" w:customStyle="1" w:styleId="43">
    <w:name w:val="lab_wf7"/>
    <w:basedOn w:val="7"/>
    <w:qFormat/>
    <w:uiPriority w:val="0"/>
  </w:style>
  <w:style w:type="character" w:customStyle="1" w:styleId="44">
    <w:name w:val="页眉 字符"/>
    <w:basedOn w:val="7"/>
    <w:link w:val="4"/>
    <w:qFormat/>
    <w:uiPriority w:val="99"/>
    <w:rPr>
      <w:kern w:val="2"/>
      <w:sz w:val="18"/>
      <w:szCs w:val="18"/>
    </w:rPr>
  </w:style>
  <w:style w:type="character" w:customStyle="1" w:styleId="45">
    <w:name w:val="页脚 字符"/>
    <w:basedOn w:val="7"/>
    <w:link w:val="3"/>
    <w:qFormat/>
    <w:uiPriority w:val="99"/>
    <w:rPr>
      <w:kern w:val="2"/>
      <w:sz w:val="18"/>
      <w:szCs w:val="18"/>
    </w:rPr>
  </w:style>
  <w:style w:type="character" w:customStyle="1" w:styleId="46">
    <w:name w:val="mini-outputtext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234</Words>
  <Characters>1338</Characters>
  <Lines>11</Lines>
  <Paragraphs>3</Paragraphs>
  <TotalTime>0</TotalTime>
  <ScaleCrop>false</ScaleCrop>
  <LinksUpToDate>false</LinksUpToDate>
  <CharactersWithSpaces>1569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投资咨询公司</cp:lastModifiedBy>
  <cp:lastPrinted>2020-04-29T08:41:00Z</cp:lastPrinted>
  <dcterms:modified xsi:type="dcterms:W3CDTF">2023-06-16T07:14:14Z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