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0"/>
        </w:tabs>
        <w:ind w:left="1324" w:leftChars="210" w:hanging="883" w:hangingChars="200"/>
        <w:jc w:val="center"/>
        <w:rPr>
          <w:rFonts w:hint="eastAsia" w:ascii="方正小标宋_GBK" w:hAnsi="方正小标宋_GBK" w:eastAsia="方正小标宋_GBK" w:cs="方正小标宋_GBK"/>
          <w:b/>
          <w:bCs/>
          <w:sz w:val="44"/>
          <w:szCs w:val="44"/>
          <w:lang w:val="en-US" w:eastAsia="zh-CN"/>
        </w:rPr>
      </w:pPr>
      <w:bookmarkStart w:id="0" w:name="_GoBack"/>
      <w:bookmarkEnd w:id="0"/>
      <w:r>
        <w:rPr>
          <w:rFonts w:hint="eastAsia" w:ascii="方正小标宋_GBK" w:hAnsi="方正小标宋_GBK" w:eastAsia="方正小标宋_GBK" w:cs="方正小标宋_GBK"/>
          <w:b/>
          <w:bCs/>
          <w:sz w:val="44"/>
          <w:szCs w:val="44"/>
          <w:lang w:val="en-US" w:eastAsia="zh-CN"/>
        </w:rPr>
        <w:t>2023-2025年G85两江收费站内</w:t>
      </w:r>
    </w:p>
    <w:p>
      <w:pPr>
        <w:tabs>
          <w:tab w:val="left" w:pos="0"/>
        </w:tabs>
        <w:ind w:left="1324" w:leftChars="210" w:hanging="883" w:hangingChars="20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电梯维保</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eastAsia="方正小标宋_GBK"/>
          <w:b/>
          <w:bCs/>
          <w:sz w:val="84"/>
          <w:szCs w:val="84"/>
        </w:rPr>
      </w:pPr>
      <w:r>
        <w:rPr>
          <w:rFonts w:hint="eastAsia" w:ascii="方正小标宋_GBK" w:hAnsi="方正小标宋_GBK" w:eastAsia="方正小标宋_GBK" w:cs="方正小标宋_GBK"/>
          <w:b/>
          <w:bCs/>
          <w:sz w:val="84"/>
          <w:szCs w:val="84"/>
        </w:rPr>
        <w:t>询 价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adjustRightInd w:val="0"/>
        <w:spacing w:line="315" w:lineRule="atLeast"/>
        <w:jc w:val="center"/>
        <w:textAlignment w:val="baseline"/>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重庆渝广梁忠高速公路有限公司</w:t>
      </w:r>
    </w:p>
    <w:p>
      <w:pPr>
        <w:jc w:val="center"/>
        <w:rPr>
          <w:sz w:val="32"/>
          <w:szCs w:val="32"/>
        </w:rPr>
      </w:pPr>
      <w:r>
        <w:rPr>
          <w:rFonts w:hint="eastAsia" w:ascii="方正小标宋_GBK" w:hAnsi="方正小标宋_GBK" w:eastAsia="方正小标宋_GBK" w:cs="方正小标宋_GBK"/>
          <w:b/>
          <w:bCs/>
          <w:sz w:val="36"/>
          <w:szCs w:val="36"/>
        </w:rPr>
        <w:t>202</w:t>
      </w:r>
      <w:r>
        <w:rPr>
          <w:rFonts w:hint="eastAsia" w:ascii="方正小标宋_GBK" w:hAnsi="方正小标宋_GBK" w:eastAsia="方正小标宋_GBK" w:cs="方正小标宋_GBK"/>
          <w:b/>
          <w:bCs/>
          <w:sz w:val="36"/>
          <w:szCs w:val="36"/>
          <w:lang w:val="en-US" w:eastAsia="zh-CN"/>
        </w:rPr>
        <w:t>3</w:t>
      </w:r>
      <w:r>
        <w:rPr>
          <w:rFonts w:hint="eastAsia" w:ascii="方正小标宋_GBK" w:hAnsi="方正小标宋_GBK" w:eastAsia="方正小标宋_GBK" w:cs="方正小标宋_GBK"/>
          <w:b/>
          <w:bCs/>
          <w:sz w:val="36"/>
          <w:szCs w:val="36"/>
        </w:rPr>
        <w:t>年</w:t>
      </w:r>
      <w:r>
        <w:rPr>
          <w:rFonts w:hint="eastAsia" w:ascii="方正小标宋_GBK" w:hAnsi="方正小标宋_GBK" w:eastAsia="方正小标宋_GBK" w:cs="方正小标宋_GBK"/>
          <w:b/>
          <w:bCs/>
          <w:sz w:val="36"/>
          <w:szCs w:val="36"/>
          <w:lang w:val="en-US" w:eastAsia="zh-CN"/>
        </w:rPr>
        <w:t>6</w:t>
      </w:r>
      <w:r>
        <w:rPr>
          <w:rFonts w:hint="eastAsia" w:ascii="方正小标宋_GBK" w:hAnsi="方正小标宋_GBK" w:eastAsia="方正小标宋_GBK" w:cs="方正小标宋_GBK"/>
          <w:b/>
          <w:bCs/>
          <w:sz w:val="36"/>
          <w:szCs w:val="36"/>
        </w:rPr>
        <w:t>月</w:t>
      </w:r>
    </w:p>
    <w:p>
      <w:pPr>
        <w:rPr>
          <w:rFonts w:ascii="方正小标宋_GBK" w:eastAsia="方正小标宋_GBK"/>
          <w:b/>
          <w:bCs/>
          <w:sz w:val="32"/>
          <w:szCs w:val="32"/>
        </w:rPr>
      </w:pPr>
    </w:p>
    <w:p>
      <w:pPr>
        <w:ind w:firstLine="64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渝广梁忠高速公路有限公司G85两江站内共计2台电梯，为保证年检工作及日常维保工作的正常开展，拟对电梯维保单位面向社会进行询价。现由重庆渝广梁忠高速公路有限公司（以下简称“渝广梁忠公司”）对本项目进行公开竞争性询价，敬请具有相应资质的公司参与报价。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w:t>
      </w:r>
      <w:r>
        <w:rPr>
          <w:rFonts w:hint="eastAsia" w:ascii="黑体" w:hAnsi="黑体" w:eastAsia="黑体" w:cs="黑体"/>
          <w:color w:val="000000" w:themeColor="text1"/>
          <w:sz w:val="32"/>
          <w:szCs w:val="32"/>
          <w:lang w:val="en-US" w:eastAsia="zh-CN"/>
          <w14:textFill>
            <w14:solidFill>
              <w14:schemeClr w14:val="tx1"/>
            </w14:solidFill>
          </w14:textFill>
        </w:rPr>
        <w:t>服务</w:t>
      </w:r>
      <w:r>
        <w:rPr>
          <w:rFonts w:hint="eastAsia" w:ascii="黑体" w:hAnsi="黑体" w:eastAsia="黑体" w:cs="黑体"/>
          <w:color w:val="000000" w:themeColor="text1"/>
          <w:sz w:val="32"/>
          <w:szCs w:val="32"/>
          <w14:textFill>
            <w14:solidFill>
              <w14:schemeClr w14:val="tx1"/>
            </w14:solidFill>
          </w14:textFill>
        </w:rPr>
        <w:t>内容</w:t>
      </w:r>
      <w:r>
        <w:rPr>
          <w:rFonts w:hint="eastAsia" w:ascii="黑体" w:hAnsi="黑体" w:eastAsia="黑体" w:cs="黑体"/>
          <w:color w:val="000000" w:themeColor="text1"/>
          <w:sz w:val="32"/>
          <w:szCs w:val="32"/>
          <w:lang w:val="en-US" w:eastAsia="zh-CN"/>
          <w14:textFill>
            <w14:solidFill>
              <w14:schemeClr w14:val="tx1"/>
            </w14:solidFill>
          </w14:textFill>
        </w:rPr>
        <w:t>及要求</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eastAsia="方正仿宋_GBK"/>
          <w:sz w:val="24"/>
          <w:szCs w:val="24"/>
          <w:lang w:val="en-US" w:eastAsia="zh-CN"/>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（一）电梯具体维保范围和内容：</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按照《电梯日常维修保养内容及要求》完成15日、季度、半年、年度保养项目，并做好维护保养记录，乙方维护保养按国家行业标准保养规范进行全面维护保养，确保电梯高质量安全运行，延长电梯使用寿命。</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1.必要时更新所有曳引绳和链以保持足够的安全，平衡所有曳引绳的张力，更换随动电缆和井道及机房的电线。</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2.提供对电梯机械部件的专业润滑工作。</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3.周期性检查所有安全设备，并作安全测试（限速器每贰年维修保养期间校检一次）。</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4.按要求系统性检查、调整、润滑，必要时要修理或更换以下部件，具体服务范围及要求如下：</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机器部分：曳引机，蜗杆，蜗轮，曳引轮轴承，制动线圈。制动接触器，电机和发电机的转换器，转换开关，电刷，轴承，柱塞密封环，柱塞，液压阀门及液压泵，管道和开口的液缸等。</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电气部分：控制柜，选层器和高度设备，平层设备，所有的继电器，PC板传感器，电阻，电容，功率放大器，变压器，接触器，阻尼减振器，定时器，钢带及其设备，电机线路及整流器电路的电阻等。</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安全设施部分：限速器、限速器轴承和轮的配合、安全钳等。</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井道部分：随动电缆，通风部件，导向轮或复绕轮，轿厢和配重导轨及缓冲器，上下限位开关，井道内开关，涨紧轮配合，补偿轮配合，轿厢，配重和配重导靴包括滚轮、衬板等。</w:t>
      </w:r>
    </w:p>
    <w:p>
      <w:pPr>
        <w:ind w:firstLine="560" w:firstLineChars="200"/>
        <w:jc w:val="left"/>
        <w:rPr>
          <w:rFonts w:hint="eastAsia" w:ascii="方正仿宋_GBK" w:hAnsi="方正仿宋_GBK" w:eastAsia="方正仿宋_GBK" w:cs="方正仿宋_GBK"/>
          <w:color w:val="000000" w:themeColor="text1"/>
          <w:sz w:val="28"/>
          <w:szCs w:val="28"/>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lang w:val="zh-CN"/>
          <w14:textFill>
            <w14:solidFill>
              <w14:schemeClr w14:val="tx1"/>
            </w14:solidFill>
          </w14:textFill>
        </w:rPr>
        <w:t>厅、轿门设备：轿厢和厅门机械按钮，大厅信号灯，轿厢方向指示器，门锁门吊板，门导靴和辅助关门装置。自动开门机，轿厢门吊板轿厢门触点，门小扇，称重设备，轿厢框架，轿厢安全结构和平台，轿厢照明（含应急照明）灯泡、日光灯、镇流器、换气扇及轿厢专用空调等。</w:t>
      </w:r>
    </w:p>
    <w:p>
      <w:pPr>
        <w:ind w:firstLine="560" w:firstLineChars="200"/>
        <w:jc w:val="left"/>
        <w:rPr>
          <w:rFonts w:hint="eastAsia" w:ascii="方正仿宋_GBK" w:hAnsi="方正仿宋_GBK" w:eastAsia="方正仿宋_GBK" w:cs="方正仿宋_GBK"/>
          <w:color w:val="000000" w:themeColor="text1"/>
          <w:sz w:val="28"/>
          <w:szCs w:val="28"/>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lang w:val="zh-CN"/>
          <w14:textFill>
            <w14:solidFill>
              <w14:schemeClr w14:val="tx1"/>
            </w14:solidFill>
          </w14:textFill>
        </w:rPr>
        <w:t>根据双方约定，当甲方购买的非主要零配件（包含光幕、到站钟、开关等）时，乙方有义务配合免费安装，并进行保养，保养费用已包含在本合同总额中。</w:t>
      </w:r>
    </w:p>
    <w:p>
      <w:pPr>
        <w:keepNext w:val="0"/>
        <w:keepLines w:val="0"/>
        <w:pageBreakBefore/>
        <w:widowControl w:val="0"/>
        <w:kinsoku/>
        <w:wordWrap/>
        <w:overflowPunct/>
        <w:topLinePunct w:val="0"/>
        <w:autoSpaceDE/>
        <w:autoSpaceDN/>
        <w:bidi w:val="0"/>
        <w:adjustRightInd/>
        <w:snapToGrid w:val="0"/>
        <w:spacing w:line="400" w:lineRule="exact"/>
        <w:ind w:left="0" w:leftChars="0" w:right="0" w:rightChars="0" w:firstLine="482" w:firstLineChars="200"/>
        <w:jc w:val="center"/>
        <w:textAlignment w:val="auto"/>
        <w:outlineLvl w:val="9"/>
        <w:rPr>
          <w:rFonts w:eastAsia="方正仿宋_GBK"/>
          <w:b/>
          <w:sz w:val="24"/>
          <w:szCs w:val="24"/>
        </w:rPr>
      </w:pPr>
      <w:r>
        <w:rPr>
          <w:rFonts w:hint="eastAsia" w:eastAsia="方正仿宋_GBK"/>
          <w:b/>
          <w:sz w:val="24"/>
          <w:szCs w:val="24"/>
        </w:rPr>
        <w:t xml:space="preserve"> 半月维护保养项目(内容)和要求</w:t>
      </w:r>
    </w:p>
    <w:tbl>
      <w:tblPr>
        <w:tblStyle w:val="5"/>
        <w:tblW w:w="9072" w:type="dxa"/>
        <w:tblInd w:w="142" w:type="dxa"/>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Layout w:type="fixed"/>
        <w:tblCellMar>
          <w:top w:w="0" w:type="dxa"/>
          <w:left w:w="0" w:type="dxa"/>
          <w:bottom w:w="0" w:type="dxa"/>
          <w:right w:w="0" w:type="dxa"/>
        </w:tblCellMar>
      </w:tblPr>
      <w:tblGrid>
        <w:gridCol w:w="709"/>
        <w:gridCol w:w="3969"/>
        <w:gridCol w:w="4394"/>
      </w:tblGrid>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83" w:hRule="exact"/>
        </w:trPr>
        <w:tc>
          <w:tcPr>
            <w:tcW w:w="709" w:type="dxa"/>
            <w:shd w:val="clear" w:color="auto" w:fill="FFFFFF"/>
            <w:vAlign w:val="top"/>
          </w:tcPr>
          <w:p>
            <w:pPr>
              <w:snapToGrid w:val="0"/>
              <w:spacing w:line="400" w:lineRule="exact"/>
              <w:ind w:firstLine="105" w:firstLineChars="50"/>
              <w:rPr>
                <w:rFonts w:eastAsia="方正仿宋_GBK"/>
                <w:sz w:val="21"/>
                <w:szCs w:val="21"/>
              </w:rPr>
            </w:pPr>
            <w:r>
              <w:rPr>
                <w:rFonts w:hint="eastAsia" w:eastAsia="方正仿宋_GBK"/>
                <w:sz w:val="21"/>
                <w:szCs w:val="21"/>
              </w:rPr>
              <w:t>序号</w:t>
            </w:r>
          </w:p>
        </w:tc>
        <w:tc>
          <w:tcPr>
            <w:tcW w:w="3969"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维护保养项目(内容)</w:t>
            </w:r>
          </w:p>
        </w:tc>
        <w:tc>
          <w:tcPr>
            <w:tcW w:w="4394"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维护保养基本要求</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4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机房、滑轮间环境</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清洁，门窗完好，照明正常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408"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手动紧急操作装置</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齐全，在指定位置</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3</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驱动主机</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运行时无异常振动和异常声响</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34"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4</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制动器各销轴部位</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动作灵活</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765"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5</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制动器间隙</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打开时制动衬与制动轮不应发生摩擦，间隙</w:t>
            </w:r>
          </w:p>
          <w:p>
            <w:pPr>
              <w:snapToGrid w:val="0"/>
              <w:spacing w:line="400" w:lineRule="exact"/>
              <w:ind w:firstLine="400" w:firstLineChars="200"/>
              <w:rPr>
                <w:rFonts w:eastAsia="方正仿宋_GBK"/>
                <w:sz w:val="20"/>
                <w:szCs w:val="20"/>
              </w:rPr>
            </w:pPr>
            <w:r>
              <w:rPr>
                <w:rFonts w:hint="eastAsia" w:eastAsia="方正仿宋_GBK"/>
                <w:sz w:val="20"/>
                <w:szCs w:val="20"/>
              </w:rPr>
              <w:t>值符合制造单位要求</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816"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6</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制动器作为轿厢意外移动保护</w:t>
            </w:r>
          </w:p>
          <w:p>
            <w:pPr>
              <w:snapToGrid w:val="0"/>
              <w:spacing w:line="400" w:lineRule="exact"/>
              <w:ind w:firstLine="400" w:firstLineChars="200"/>
              <w:rPr>
                <w:rFonts w:eastAsia="方正仿宋_GBK"/>
                <w:sz w:val="20"/>
                <w:szCs w:val="20"/>
              </w:rPr>
            </w:pPr>
            <w:r>
              <w:rPr>
                <w:rFonts w:hint="eastAsia" w:eastAsia="方正仿宋_GBK"/>
                <w:sz w:val="20"/>
                <w:szCs w:val="20"/>
              </w:rPr>
              <w:t>装置制停子系统时的自监测</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制动力人工方式检测符合使用维护说明书要求；制动力自监测系统有记录</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7</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编码器</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清洁，安装牢固</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8</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限速器各销轴部位</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润滑，转动灵活；电气开关正常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9</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层门和轿门旁路装置</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8"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10</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紧急电动运行</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11</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轿顶</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清洁，防护栏安全可靠</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12</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轿顶检修开关、停止装置</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13</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导靴上油杯</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吸油毛毡齐全，油量适宜，油杯无泄漏</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14</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对重/平衡重块及其压板</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对重/平衡重块无松动，压板紧固</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15</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井道照明</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齐全，正常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8"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16</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轿厢照明、风扇、应急照明</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17</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轿厢检修开关、停止装置</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56"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18</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轿内报警装置、对讲系统</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19</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轿内显示、指令按钮、IC 卡系统</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齐全，有效</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6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20</w:t>
            </w:r>
          </w:p>
        </w:tc>
        <w:tc>
          <w:tcPr>
            <w:tcW w:w="3969" w:type="dxa"/>
            <w:shd w:val="clear" w:color="auto" w:fill="FFFFFF"/>
            <w:vAlign w:val="top"/>
          </w:tcPr>
          <w:p>
            <w:pPr>
              <w:snapToGrid w:val="0"/>
              <w:spacing w:line="400" w:lineRule="exact"/>
              <w:rPr>
                <w:rFonts w:eastAsia="方正仿宋_GBK"/>
                <w:sz w:val="20"/>
                <w:szCs w:val="20"/>
              </w:rPr>
            </w:pPr>
            <w:r>
              <w:rPr>
                <w:rFonts w:hint="eastAsia" w:eastAsia="方正仿宋_GBK"/>
                <w:sz w:val="20"/>
                <w:szCs w:val="20"/>
              </w:rPr>
              <w:t>轿门防撞击保护装置( 安全触 板光幕等)</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功能有效</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21</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轿门门锁电气触点</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清洁，触点接触良好，接线可靠</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22</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轿门运行</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开启和关闭工作正常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23</w:t>
            </w:r>
          </w:p>
        </w:tc>
        <w:tc>
          <w:tcPr>
            <w:tcW w:w="3969"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轿厢平层准确度</w:t>
            </w:r>
          </w:p>
        </w:tc>
        <w:tc>
          <w:tcPr>
            <w:tcW w:w="4394" w:type="dxa"/>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符合标准值</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24</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层站召唤、层楼显示</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齐全，有效</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25</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层门地坎</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清洁</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26</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层门自动关门装置</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799"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27</w:t>
            </w:r>
          </w:p>
          <w:p>
            <w:pPr>
              <w:snapToGrid w:val="0"/>
              <w:spacing w:line="400" w:lineRule="exact"/>
              <w:ind w:firstLine="420" w:firstLineChars="200"/>
              <w:jc w:val="center"/>
              <w:rPr>
                <w:rFonts w:eastAsia="方正仿宋_GBK"/>
                <w:sz w:val="21"/>
                <w:szCs w:val="21"/>
              </w:rPr>
            </w:pPr>
            <w:r>
              <w:rPr>
                <w:rFonts w:hint="eastAsia" w:eastAsia="方正仿宋_GBK"/>
                <w:sz w:val="21"/>
                <w:szCs w:val="21"/>
              </w:rPr>
              <w:t>27</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层门门锁自动复位</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200" w:firstLineChars="100"/>
              <w:rPr>
                <w:rFonts w:eastAsia="方正仿宋_GBK"/>
                <w:sz w:val="20"/>
                <w:szCs w:val="20"/>
              </w:rPr>
            </w:pPr>
            <w:r>
              <w:rPr>
                <w:rFonts w:hint="eastAsia" w:eastAsia="方正仿宋_GBK"/>
                <w:sz w:val="20"/>
                <w:szCs w:val="20"/>
              </w:rPr>
              <w:t>用层门钥匙打开手动开锁装置释放后，层门门 锁能自动复位</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28</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层门门锁电气触点</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清洁，触点接触良好，接线可靠</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54"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29</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层门锁紧元件啮合长度</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不小于 7mm</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63"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30</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底坑环境</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清洁，无渗水、积水，照明正常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79" w:hRule="exact"/>
        </w:trPr>
        <w:tc>
          <w:tcPr>
            <w:tcW w:w="709" w:type="dxa"/>
            <w:tcBorders>
              <w:top w:val="single" w:color="000000" w:sz="6" w:space="0"/>
              <w:left w:val="single" w:color="000000" w:sz="8" w:space="0"/>
              <w:bottom w:val="single" w:color="000000" w:sz="6" w:space="0"/>
              <w:right w:val="single" w:color="000000" w:sz="6" w:space="0"/>
            </w:tcBorders>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31</w:t>
            </w:r>
          </w:p>
        </w:tc>
        <w:tc>
          <w:tcPr>
            <w:tcW w:w="3969" w:type="dxa"/>
            <w:tcBorders>
              <w:top w:val="single" w:color="000000" w:sz="6" w:space="0"/>
              <w:left w:val="single" w:color="000000" w:sz="6" w:space="0"/>
              <w:bottom w:val="single" w:color="000000" w:sz="6" w:space="0"/>
              <w:right w:val="single" w:color="000000" w:sz="6"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底坑停止装置</w:t>
            </w:r>
          </w:p>
        </w:tc>
        <w:tc>
          <w:tcPr>
            <w:tcW w:w="4394" w:type="dxa"/>
            <w:tcBorders>
              <w:top w:val="single" w:color="000000" w:sz="6" w:space="0"/>
              <w:left w:val="single" w:color="000000" w:sz="6" w:space="0"/>
              <w:bottom w:val="single" w:color="000000" w:sz="6" w:space="0"/>
              <w:right w:val="single" w:color="000000" w:sz="8" w:space="0"/>
            </w:tcBorders>
            <w:shd w:val="clear" w:color="auto" w:fill="FFFFFF"/>
            <w:vAlign w:val="top"/>
          </w:tcPr>
          <w:p>
            <w:pPr>
              <w:snapToGrid w:val="0"/>
              <w:spacing w:line="400" w:lineRule="exact"/>
              <w:ind w:firstLine="400" w:firstLineChars="200"/>
              <w:rPr>
                <w:rFonts w:eastAsia="方正仿宋_GBK"/>
                <w:sz w:val="20"/>
                <w:szCs w:val="20"/>
              </w:rPr>
            </w:pPr>
            <w:r>
              <w:rPr>
                <w:rFonts w:hint="eastAsia" w:eastAsia="方正仿宋_GBK"/>
                <w:sz w:val="20"/>
                <w:szCs w:val="20"/>
              </w:rPr>
              <w:t>工作正常</w:t>
            </w:r>
          </w:p>
        </w:tc>
      </w:tr>
    </w:tbl>
    <w:p>
      <w:pPr>
        <w:keepNext w:val="0"/>
        <w:keepLines w:val="0"/>
        <w:pageBreakBefore/>
        <w:widowControl w:val="0"/>
        <w:kinsoku/>
        <w:wordWrap/>
        <w:overflowPunct/>
        <w:topLinePunct w:val="0"/>
        <w:autoSpaceDE/>
        <w:autoSpaceDN/>
        <w:bidi w:val="0"/>
        <w:adjustRightInd/>
        <w:snapToGrid w:val="0"/>
        <w:spacing w:line="400" w:lineRule="exact"/>
        <w:ind w:right="0" w:rightChars="0"/>
        <w:jc w:val="center"/>
        <w:textAlignment w:val="auto"/>
        <w:outlineLvl w:val="9"/>
        <w:rPr>
          <w:rFonts w:eastAsia="方正仿宋_GBK"/>
          <w:sz w:val="24"/>
          <w:szCs w:val="24"/>
        </w:rPr>
      </w:pPr>
      <w:r>
        <w:rPr>
          <w:rFonts w:hint="eastAsia" w:eastAsia="方正仿宋_GBK"/>
          <w:sz w:val="24"/>
          <w:szCs w:val="24"/>
        </w:rPr>
        <w:t>季度维护保养项目(内容)和要求</w:t>
      </w:r>
    </w:p>
    <w:p>
      <w:pPr>
        <w:snapToGrid w:val="0"/>
        <w:spacing w:line="400" w:lineRule="exact"/>
        <w:ind w:firstLine="480" w:firstLineChars="200"/>
        <w:rPr>
          <w:rFonts w:eastAsia="方正仿宋_GBK"/>
          <w:sz w:val="24"/>
          <w:szCs w:val="24"/>
        </w:rPr>
      </w:pPr>
    </w:p>
    <w:tbl>
      <w:tblPr>
        <w:tblStyle w:val="5"/>
        <w:tblW w:w="9072" w:type="dxa"/>
        <w:tblInd w:w="-10" w:type="dxa"/>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Layout w:type="fixed"/>
        <w:tblCellMar>
          <w:top w:w="0" w:type="dxa"/>
          <w:left w:w="0" w:type="dxa"/>
          <w:bottom w:w="0" w:type="dxa"/>
          <w:right w:w="0" w:type="dxa"/>
        </w:tblCellMar>
      </w:tblPr>
      <w:tblGrid>
        <w:gridCol w:w="701"/>
        <w:gridCol w:w="3553"/>
        <w:gridCol w:w="4818"/>
      </w:tblGrid>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383" w:hRule="exact"/>
        </w:trPr>
        <w:tc>
          <w:tcPr>
            <w:tcW w:w="701" w:type="dxa"/>
            <w:shd w:val="clear" w:color="auto" w:fill="FFFFFF"/>
            <w:vAlign w:val="top"/>
          </w:tcPr>
          <w:p>
            <w:pPr>
              <w:snapToGrid w:val="0"/>
              <w:spacing w:line="400" w:lineRule="exact"/>
              <w:rPr>
                <w:rFonts w:eastAsia="方正仿宋_GBK"/>
                <w:sz w:val="21"/>
                <w:szCs w:val="21"/>
              </w:rPr>
            </w:pPr>
            <w:r>
              <w:rPr>
                <w:rFonts w:hint="eastAsia" w:eastAsia="方正仿宋_GBK"/>
                <w:sz w:val="21"/>
                <w:szCs w:val="21"/>
              </w:rPr>
              <w:t>序号</w:t>
            </w:r>
          </w:p>
        </w:tc>
        <w:tc>
          <w:tcPr>
            <w:tcW w:w="3553"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维护保养项目(内容)</w:t>
            </w:r>
          </w:p>
        </w:tc>
        <w:tc>
          <w:tcPr>
            <w:tcW w:w="481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维护保养基本要求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1</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减速机润滑油</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油量适宜，除蜗杆伸出端外均无渗漏</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2</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制动衬</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清洁，磨损量不超过制造单位要求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3</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编码器</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4</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选层器动静触点</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清洁，无烧蚀</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5</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曳引轮槽、悬挂装置</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清洁，钢丝绳无严重油腻，张力均匀，符合</w:t>
            </w:r>
          </w:p>
          <w:p>
            <w:pPr>
              <w:snapToGrid w:val="0"/>
              <w:spacing w:line="400" w:lineRule="exact"/>
              <w:ind w:firstLine="420" w:firstLineChars="200"/>
              <w:rPr>
                <w:rFonts w:eastAsia="方正仿宋_GBK"/>
                <w:sz w:val="21"/>
                <w:szCs w:val="21"/>
              </w:rPr>
            </w:pPr>
            <w:r>
              <w:rPr>
                <w:rFonts w:hint="eastAsia" w:eastAsia="方正仿宋_GBK"/>
                <w:sz w:val="21"/>
                <w:szCs w:val="21"/>
              </w:rPr>
              <w:t>制造单位要求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6</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限速器轮槽、限速器钢丝绳</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清洁，无严重油腻</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7</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靴衬、滚轮</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清洁，磨损量不超过制造单位要求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8</w:t>
            </w:r>
          </w:p>
        </w:tc>
        <w:tc>
          <w:tcPr>
            <w:tcW w:w="3553" w:type="dxa"/>
            <w:shd w:val="clear" w:color="auto" w:fill="FFFFFF"/>
            <w:vAlign w:val="center"/>
          </w:tcPr>
          <w:p>
            <w:pPr>
              <w:snapToGrid w:val="0"/>
              <w:spacing w:line="400" w:lineRule="exact"/>
              <w:rPr>
                <w:rFonts w:eastAsia="方正仿宋_GBK"/>
                <w:sz w:val="21"/>
                <w:szCs w:val="21"/>
              </w:rPr>
            </w:pPr>
            <w:r>
              <w:rPr>
                <w:rFonts w:hint="eastAsia" w:eastAsia="方正仿宋_GBK"/>
                <w:sz w:val="21"/>
                <w:szCs w:val="21"/>
              </w:rPr>
              <w:t>验证轿门关闭的电气安全装置</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9</w:t>
            </w:r>
          </w:p>
        </w:tc>
        <w:tc>
          <w:tcPr>
            <w:tcW w:w="3553" w:type="dxa"/>
            <w:shd w:val="clear" w:color="auto" w:fill="FFFFFF"/>
            <w:vAlign w:val="center"/>
          </w:tcPr>
          <w:p>
            <w:pPr>
              <w:snapToGrid w:val="0"/>
              <w:spacing w:line="400" w:lineRule="exact"/>
              <w:rPr>
                <w:rFonts w:eastAsia="方正仿宋_GBK"/>
                <w:sz w:val="21"/>
                <w:szCs w:val="21"/>
              </w:rPr>
            </w:pPr>
            <w:r>
              <w:rPr>
                <w:rFonts w:hint="eastAsia" w:eastAsia="方正仿宋_GBK"/>
                <w:sz w:val="21"/>
                <w:szCs w:val="21"/>
              </w:rPr>
              <w:t>层门、轿门系统中传动钢丝绳、链条、传动带</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按照制造单位要求进行清洁、调整</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10</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层门门导靴</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磨损量不超过制造单位要求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11</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消防开关</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工作正常，功能有效</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jc w:val="center"/>
              <w:rPr>
                <w:rFonts w:eastAsia="方正仿宋_GBK"/>
                <w:sz w:val="21"/>
                <w:szCs w:val="21"/>
              </w:rPr>
            </w:pPr>
            <w:r>
              <w:rPr>
                <w:rFonts w:hint="eastAsia" w:eastAsia="方正仿宋_GBK"/>
                <w:sz w:val="21"/>
                <w:szCs w:val="21"/>
              </w:rPr>
              <w:t>12</w:t>
            </w:r>
          </w:p>
        </w:tc>
        <w:tc>
          <w:tcPr>
            <w:tcW w:w="3553"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耗能缓冲器</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电气安全装置功能有效，油量适宜，柱塞无锈蚀</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75" w:hRule="atLeast"/>
        </w:trPr>
        <w:tc>
          <w:tcPr>
            <w:tcW w:w="701" w:type="dxa"/>
            <w:shd w:val="clear" w:color="auto" w:fill="FFFFFF"/>
            <w:vAlign w:val="center"/>
          </w:tcPr>
          <w:p>
            <w:pPr>
              <w:snapToGrid w:val="0"/>
              <w:spacing w:line="400" w:lineRule="exact"/>
              <w:ind w:firstLine="210"/>
              <w:jc w:val="center"/>
              <w:rPr>
                <w:rFonts w:eastAsia="方正仿宋_GBK"/>
                <w:sz w:val="21"/>
                <w:szCs w:val="21"/>
              </w:rPr>
            </w:pPr>
            <w:r>
              <w:rPr>
                <w:rFonts w:hint="eastAsia" w:eastAsia="方正仿宋_GBK"/>
                <w:sz w:val="21"/>
                <w:szCs w:val="21"/>
              </w:rPr>
              <w:t>13</w:t>
            </w:r>
          </w:p>
        </w:tc>
        <w:tc>
          <w:tcPr>
            <w:tcW w:w="3553" w:type="dxa"/>
            <w:shd w:val="clear" w:color="auto" w:fill="FFFFFF"/>
            <w:vAlign w:val="center"/>
          </w:tcPr>
          <w:p>
            <w:pPr>
              <w:snapToGrid w:val="0"/>
              <w:spacing w:line="400" w:lineRule="exact"/>
              <w:rPr>
                <w:rFonts w:eastAsia="方正仿宋_GBK"/>
                <w:sz w:val="21"/>
                <w:szCs w:val="21"/>
              </w:rPr>
            </w:pPr>
            <w:r>
              <w:rPr>
                <w:rFonts w:hint="eastAsia" w:eastAsia="方正仿宋_GBK"/>
                <w:sz w:val="21"/>
                <w:szCs w:val="21"/>
              </w:rPr>
              <w:t>限速器张紧轮装置和电气安全装置</w:t>
            </w:r>
          </w:p>
        </w:tc>
        <w:tc>
          <w:tcPr>
            <w:tcW w:w="481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bl>
    <w:p>
      <w:pPr>
        <w:snapToGrid w:val="0"/>
        <w:spacing w:line="400" w:lineRule="exact"/>
        <w:ind w:firstLine="480" w:firstLineChars="200"/>
        <w:rPr>
          <w:rFonts w:eastAsia="方正仿宋_GBK"/>
          <w:sz w:val="24"/>
          <w:szCs w:val="24"/>
        </w:rPr>
      </w:pPr>
    </w:p>
    <w:p>
      <w:pPr>
        <w:snapToGrid w:val="0"/>
        <w:spacing w:line="400" w:lineRule="exact"/>
        <w:ind w:firstLine="480" w:firstLineChars="200"/>
        <w:rPr>
          <w:rFonts w:eastAsia="方正仿宋_GBK"/>
          <w:sz w:val="24"/>
          <w:szCs w:val="24"/>
        </w:rPr>
      </w:pPr>
      <w:r>
        <w:rPr>
          <w:rFonts w:hint="eastAsia" w:eastAsia="方正仿宋_GBK"/>
          <w:sz w:val="24"/>
          <w:szCs w:val="24"/>
        </w:rPr>
        <w:tab/>
      </w:r>
    </w:p>
    <w:p>
      <w:pPr>
        <w:snapToGrid w:val="0"/>
        <w:spacing w:line="400" w:lineRule="exact"/>
        <w:ind w:firstLine="480" w:firstLineChars="200"/>
        <w:rPr>
          <w:rFonts w:eastAsia="方正仿宋_GBK"/>
          <w:sz w:val="24"/>
          <w:szCs w:val="24"/>
        </w:rPr>
      </w:pPr>
    </w:p>
    <w:p>
      <w:pPr>
        <w:snapToGrid w:val="0"/>
        <w:spacing w:line="400" w:lineRule="exact"/>
        <w:rPr>
          <w:rFonts w:eastAsia="方正仿宋_GBK"/>
          <w:sz w:val="24"/>
          <w:szCs w:val="24"/>
        </w:rPr>
      </w:pPr>
    </w:p>
    <w:p>
      <w:pPr>
        <w:keepNext w:val="0"/>
        <w:keepLines w:val="0"/>
        <w:pageBreakBefore/>
        <w:widowControl w:val="0"/>
        <w:kinsoku/>
        <w:wordWrap/>
        <w:overflowPunct/>
        <w:topLinePunct w:val="0"/>
        <w:autoSpaceDE/>
        <w:autoSpaceDN/>
        <w:bidi w:val="0"/>
        <w:adjustRightInd/>
        <w:snapToGrid w:val="0"/>
        <w:spacing w:line="400" w:lineRule="exact"/>
        <w:ind w:left="0" w:leftChars="0" w:right="0" w:rightChars="0" w:firstLine="480" w:firstLineChars="200"/>
        <w:jc w:val="center"/>
        <w:textAlignment w:val="auto"/>
        <w:outlineLvl w:val="9"/>
        <w:rPr>
          <w:rFonts w:eastAsia="方正仿宋_GBK"/>
          <w:sz w:val="24"/>
          <w:szCs w:val="24"/>
        </w:rPr>
      </w:pPr>
      <w:r>
        <w:rPr>
          <w:rFonts w:hint="eastAsia" w:eastAsia="方正仿宋_GBK"/>
          <w:sz w:val="24"/>
          <w:szCs w:val="24"/>
        </w:rPr>
        <w:t>半年维护保养项目(内容)和要求</w:t>
      </w:r>
    </w:p>
    <w:p>
      <w:pPr>
        <w:snapToGrid w:val="0"/>
        <w:spacing w:line="400" w:lineRule="exact"/>
        <w:ind w:firstLine="480" w:firstLineChars="200"/>
        <w:rPr>
          <w:rFonts w:eastAsia="方正仿宋_GBK"/>
          <w:sz w:val="24"/>
          <w:szCs w:val="24"/>
        </w:rPr>
      </w:pPr>
    </w:p>
    <w:tbl>
      <w:tblPr>
        <w:tblStyle w:val="5"/>
        <w:tblW w:w="9072" w:type="dxa"/>
        <w:tblInd w:w="116" w:type="dxa"/>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Layout w:type="fixed"/>
        <w:tblCellMar>
          <w:top w:w="0" w:type="dxa"/>
          <w:left w:w="0" w:type="dxa"/>
          <w:bottom w:w="0" w:type="dxa"/>
          <w:right w:w="0" w:type="dxa"/>
        </w:tblCellMar>
      </w:tblPr>
      <w:tblGrid>
        <w:gridCol w:w="714"/>
        <w:gridCol w:w="3281"/>
        <w:gridCol w:w="5077"/>
      </w:tblGrid>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411" w:hRule="exact"/>
        </w:trPr>
        <w:tc>
          <w:tcPr>
            <w:tcW w:w="714" w:type="dxa"/>
            <w:shd w:val="clear" w:color="auto" w:fill="FFFFFF"/>
            <w:vAlign w:val="top"/>
          </w:tcPr>
          <w:p>
            <w:pPr>
              <w:snapToGrid w:val="0"/>
              <w:spacing w:line="400" w:lineRule="exact"/>
              <w:rPr>
                <w:rFonts w:eastAsia="方正仿宋_GBK"/>
                <w:sz w:val="21"/>
                <w:szCs w:val="21"/>
              </w:rPr>
            </w:pPr>
            <w:r>
              <w:rPr>
                <w:rFonts w:hint="eastAsia" w:eastAsia="方正仿宋_GBK"/>
                <w:sz w:val="21"/>
                <w:szCs w:val="21"/>
              </w:rPr>
              <w:t>序号</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维护保养项目(内容)</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维护保养基本要求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44"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电动机与减速机联轴器</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连接无松动，弹性元件外观良好，无老化等现象</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24"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驱动轮、导向轮轴承部</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无异常声响，无振动，润滑良好</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18"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3</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曳引轮槽</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磨损量不超过制造单位要求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26"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4</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制动器动作状态监测装置</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工作正常，制动器动作可靠</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05"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5</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控制柜内各接线端子</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各接线紧固、整齐，线号齐全清晰</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41"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6</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控制柜各仪表</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显示正常</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763"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7</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井道、对重、轿顶各反绳轮</w:t>
            </w:r>
          </w:p>
          <w:p>
            <w:pPr>
              <w:snapToGrid w:val="0"/>
              <w:spacing w:line="400" w:lineRule="exact"/>
              <w:ind w:firstLine="420" w:firstLineChars="200"/>
              <w:rPr>
                <w:rFonts w:eastAsia="方正仿宋_GBK"/>
                <w:sz w:val="21"/>
                <w:szCs w:val="21"/>
              </w:rPr>
            </w:pPr>
            <w:r>
              <w:rPr>
                <w:rFonts w:hint="eastAsia" w:eastAsia="方正仿宋_GBK"/>
                <w:sz w:val="21"/>
                <w:szCs w:val="21"/>
              </w:rPr>
              <w:t>轴承部</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无异常声响，无振动，润滑良好</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32"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8</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悬挂装置、补偿绳</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磨损量、断丝数不超过要求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26"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9</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绳头组合</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螺母无松动</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06"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10</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限速器钢丝绳</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磨损量、断丝数不超过制造单位要求</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42"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11</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层门、轿门门扇</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门扇各相关间隙符合标准值</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08"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12</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轿门开门限制装置</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15"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13</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对重缓冲距离</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符合标准值</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779"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14</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补偿链(绳)与轿厢、对重接</w:t>
            </w:r>
          </w:p>
          <w:p>
            <w:pPr>
              <w:snapToGrid w:val="0"/>
              <w:spacing w:line="400" w:lineRule="exact"/>
              <w:ind w:firstLine="420" w:firstLineChars="200"/>
              <w:rPr>
                <w:rFonts w:eastAsia="方正仿宋_GBK"/>
                <w:sz w:val="21"/>
                <w:szCs w:val="21"/>
              </w:rPr>
            </w:pPr>
            <w:r>
              <w:rPr>
                <w:rFonts w:hint="eastAsia" w:eastAsia="方正仿宋_GBK"/>
                <w:sz w:val="21"/>
                <w:szCs w:val="21"/>
              </w:rPr>
              <w:t>合处</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固定，无松动</w:t>
            </w:r>
          </w:p>
        </w:tc>
      </w:tr>
      <w:tr>
        <w:tblPrEx>
          <w:tblBorders>
            <w:top w:val="single" w:color="000000" w:sz="12"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714"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15</w:t>
            </w:r>
          </w:p>
        </w:tc>
        <w:tc>
          <w:tcPr>
            <w:tcW w:w="3281"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上、下极限开关</w:t>
            </w:r>
          </w:p>
        </w:tc>
        <w:tc>
          <w:tcPr>
            <w:tcW w:w="5077"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bl>
    <w:p>
      <w:pPr>
        <w:snapToGrid w:val="0"/>
        <w:spacing w:line="400" w:lineRule="exact"/>
        <w:ind w:firstLine="480" w:firstLineChars="200"/>
        <w:rPr>
          <w:rFonts w:eastAsia="方正仿宋_GBK"/>
          <w:sz w:val="24"/>
          <w:szCs w:val="24"/>
        </w:rPr>
      </w:pPr>
    </w:p>
    <w:p>
      <w:pPr>
        <w:snapToGrid w:val="0"/>
        <w:spacing w:line="400" w:lineRule="exact"/>
        <w:ind w:firstLine="480" w:firstLineChars="200"/>
        <w:rPr>
          <w:rFonts w:eastAsia="方正仿宋_GBK"/>
          <w:sz w:val="24"/>
          <w:szCs w:val="24"/>
        </w:rPr>
      </w:pPr>
    </w:p>
    <w:p>
      <w:pPr>
        <w:snapToGrid w:val="0"/>
        <w:spacing w:line="400" w:lineRule="exact"/>
        <w:ind w:firstLine="480" w:firstLineChars="200"/>
        <w:rPr>
          <w:rFonts w:hint="eastAsia" w:eastAsia="方正仿宋_GBK"/>
          <w:sz w:val="24"/>
          <w:szCs w:val="24"/>
        </w:rPr>
      </w:pPr>
    </w:p>
    <w:p>
      <w:pPr>
        <w:snapToGrid w:val="0"/>
        <w:spacing w:line="400" w:lineRule="exact"/>
        <w:ind w:firstLine="480" w:firstLineChars="200"/>
        <w:rPr>
          <w:rFonts w:hint="eastAsia" w:eastAsia="方正仿宋_GBK"/>
          <w:sz w:val="24"/>
          <w:szCs w:val="24"/>
        </w:rPr>
      </w:pPr>
    </w:p>
    <w:p>
      <w:pPr>
        <w:snapToGrid w:val="0"/>
        <w:spacing w:line="400" w:lineRule="exact"/>
        <w:ind w:firstLine="480" w:firstLineChars="200"/>
        <w:rPr>
          <w:rFonts w:hint="eastAsia" w:eastAsia="方正仿宋_GBK"/>
          <w:sz w:val="24"/>
          <w:szCs w:val="24"/>
        </w:rPr>
      </w:pPr>
    </w:p>
    <w:p>
      <w:pPr>
        <w:snapToGrid w:val="0"/>
        <w:spacing w:line="400" w:lineRule="exact"/>
        <w:ind w:firstLine="480" w:firstLineChars="200"/>
        <w:rPr>
          <w:rFonts w:eastAsia="方正仿宋_GBK"/>
          <w:sz w:val="24"/>
          <w:szCs w:val="24"/>
        </w:rPr>
      </w:pPr>
    </w:p>
    <w:p>
      <w:pPr>
        <w:snapToGrid w:val="0"/>
        <w:spacing w:line="400" w:lineRule="exact"/>
        <w:rPr>
          <w:rFonts w:eastAsia="方正仿宋_GBK"/>
          <w:sz w:val="24"/>
          <w:szCs w:val="24"/>
        </w:rPr>
      </w:pPr>
    </w:p>
    <w:p>
      <w:pPr>
        <w:keepNext w:val="0"/>
        <w:keepLines w:val="0"/>
        <w:pageBreakBefore/>
        <w:widowControl w:val="0"/>
        <w:kinsoku/>
        <w:wordWrap/>
        <w:overflowPunct/>
        <w:topLinePunct w:val="0"/>
        <w:autoSpaceDE/>
        <w:autoSpaceDN/>
        <w:bidi w:val="0"/>
        <w:adjustRightInd/>
        <w:snapToGrid w:val="0"/>
        <w:spacing w:line="400" w:lineRule="exact"/>
        <w:ind w:left="0" w:leftChars="0" w:right="0" w:rightChars="0" w:firstLine="480" w:firstLineChars="200"/>
        <w:jc w:val="center"/>
        <w:textAlignment w:val="auto"/>
        <w:outlineLvl w:val="9"/>
        <w:rPr>
          <w:rFonts w:eastAsia="方正仿宋_GBK"/>
          <w:sz w:val="24"/>
          <w:szCs w:val="24"/>
        </w:rPr>
      </w:pPr>
      <w:r>
        <w:rPr>
          <w:rFonts w:hint="eastAsia" w:eastAsia="方正仿宋_GBK"/>
          <w:sz w:val="24"/>
          <w:szCs w:val="24"/>
        </w:rPr>
        <w:t>年度维护保养项目(内容)和要求</w:t>
      </w:r>
    </w:p>
    <w:tbl>
      <w:tblPr>
        <w:tblStyle w:val="5"/>
        <w:tblW w:w="9072" w:type="dxa"/>
        <w:tblInd w:w="142" w:type="dxa"/>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Layout w:type="fixed"/>
        <w:tblCellMar>
          <w:top w:w="0" w:type="dxa"/>
          <w:left w:w="0" w:type="dxa"/>
          <w:bottom w:w="0" w:type="dxa"/>
          <w:right w:w="0" w:type="dxa"/>
        </w:tblCellMar>
      </w:tblPr>
      <w:tblGrid>
        <w:gridCol w:w="709"/>
        <w:gridCol w:w="3685"/>
        <w:gridCol w:w="4678"/>
      </w:tblGrid>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86" w:hRule="exact"/>
        </w:trPr>
        <w:tc>
          <w:tcPr>
            <w:tcW w:w="709" w:type="dxa"/>
            <w:shd w:val="clear" w:color="auto" w:fill="FFFFFF"/>
            <w:vAlign w:val="top"/>
          </w:tcPr>
          <w:p>
            <w:pPr>
              <w:snapToGrid w:val="0"/>
              <w:spacing w:line="400" w:lineRule="exact"/>
              <w:rPr>
                <w:rFonts w:eastAsia="方正仿宋_GBK"/>
                <w:sz w:val="21"/>
                <w:szCs w:val="21"/>
              </w:rPr>
            </w:pPr>
            <w:r>
              <w:rPr>
                <w:rFonts w:hint="eastAsia" w:eastAsia="方正仿宋_GBK"/>
                <w:sz w:val="21"/>
                <w:szCs w:val="21"/>
              </w:rPr>
              <w:t>序号</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维护保养项目(内容)</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维护保养基本要求</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785"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减速机润滑油</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按照制造单位要求适时更换，保证油质符合</w:t>
            </w:r>
          </w:p>
          <w:p>
            <w:pPr>
              <w:snapToGrid w:val="0"/>
              <w:spacing w:line="400" w:lineRule="exact"/>
              <w:ind w:firstLine="420" w:firstLineChars="200"/>
              <w:rPr>
                <w:rFonts w:eastAsia="方正仿宋_GBK"/>
                <w:sz w:val="21"/>
                <w:szCs w:val="21"/>
              </w:rPr>
            </w:pPr>
            <w:r>
              <w:rPr>
                <w:rFonts w:hint="eastAsia" w:eastAsia="方正仿宋_GBK"/>
                <w:sz w:val="21"/>
                <w:szCs w:val="21"/>
              </w:rPr>
              <w:t>要求</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82"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2</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控制柜接触器、继电器触点</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接触良好</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71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3</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制动器铁芯(柱塞)</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进行清洁、润滑、检查，磨损量不超过制造</w:t>
            </w:r>
          </w:p>
          <w:p>
            <w:pPr>
              <w:snapToGrid w:val="0"/>
              <w:spacing w:line="400" w:lineRule="exact"/>
              <w:ind w:firstLine="420" w:firstLineChars="200"/>
              <w:rPr>
                <w:rFonts w:eastAsia="方正仿宋_GBK"/>
                <w:sz w:val="21"/>
                <w:szCs w:val="21"/>
              </w:rPr>
            </w:pPr>
            <w:r>
              <w:rPr>
                <w:rFonts w:hint="eastAsia" w:eastAsia="方正仿宋_GBK"/>
                <w:sz w:val="21"/>
                <w:szCs w:val="21"/>
              </w:rPr>
              <w:t>单位要求</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785"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4</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制动器制动能力</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符合制造单位要求，保持有足够的制动力，</w:t>
            </w:r>
          </w:p>
          <w:p>
            <w:pPr>
              <w:snapToGrid w:val="0"/>
              <w:spacing w:line="400" w:lineRule="exact"/>
              <w:ind w:firstLine="420" w:firstLineChars="200"/>
              <w:rPr>
                <w:rFonts w:eastAsia="方正仿宋_GBK"/>
                <w:sz w:val="21"/>
                <w:szCs w:val="21"/>
              </w:rPr>
            </w:pPr>
            <w:r>
              <w:rPr>
                <w:rFonts w:hint="eastAsia" w:eastAsia="方正仿宋_GBK"/>
                <w:sz w:val="21"/>
                <w:szCs w:val="21"/>
              </w:rPr>
              <w:t>必要时进行轿厢装载 125%额定载重量的制 动试验</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5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5</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导电回路绝缘性能测试</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符合标准</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129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6</w:t>
            </w:r>
          </w:p>
        </w:tc>
        <w:tc>
          <w:tcPr>
            <w:tcW w:w="3685" w:type="dxa"/>
            <w:shd w:val="clear" w:color="auto" w:fill="FFFFFF"/>
            <w:vAlign w:val="top"/>
          </w:tcPr>
          <w:p>
            <w:pPr>
              <w:snapToGrid w:val="0"/>
              <w:spacing w:line="400" w:lineRule="exact"/>
              <w:rPr>
                <w:rFonts w:eastAsia="方正仿宋_GBK"/>
                <w:sz w:val="21"/>
                <w:szCs w:val="21"/>
              </w:rPr>
            </w:pPr>
            <w:r>
              <w:rPr>
                <w:rFonts w:hint="eastAsia" w:eastAsia="方正仿宋_GBK"/>
                <w:sz w:val="21"/>
                <w:szCs w:val="21"/>
              </w:rPr>
              <w:t>限速器安全钳联动试验(对于使用年限不超过 15 年的限速器，每2年进行一次限速器动作速度校</w:t>
            </w:r>
          </w:p>
          <w:p>
            <w:pPr>
              <w:snapToGrid w:val="0"/>
              <w:spacing w:line="400" w:lineRule="exact"/>
              <w:ind w:firstLine="420" w:firstLineChars="200"/>
              <w:rPr>
                <w:rFonts w:eastAsia="方正仿宋_GBK"/>
                <w:sz w:val="21"/>
                <w:szCs w:val="21"/>
              </w:rPr>
            </w:pPr>
            <w:r>
              <w:rPr>
                <w:rFonts w:hint="eastAsia" w:eastAsia="方正仿宋_GBK"/>
                <w:sz w:val="21"/>
                <w:szCs w:val="21"/>
              </w:rPr>
              <w:t>验；对于使用年限超过 15 年的限 速器，每年进行一次限速器动作 速度校验)</w:t>
            </w:r>
          </w:p>
        </w:tc>
        <w:tc>
          <w:tcPr>
            <w:tcW w:w="4678" w:type="dxa"/>
            <w:shd w:val="clear" w:color="auto" w:fill="FFFFFF"/>
            <w:vAlign w:val="center"/>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5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7</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上行超速保护装置动作试验</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5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8</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轿厢意外移动保护装置动作试验</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工作正常</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875"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9</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轿顶、轿厢架、轿门及其附件安</w:t>
            </w:r>
          </w:p>
          <w:p>
            <w:pPr>
              <w:snapToGrid w:val="0"/>
              <w:spacing w:line="400" w:lineRule="exact"/>
              <w:ind w:firstLine="420" w:firstLineChars="200"/>
              <w:rPr>
                <w:rFonts w:eastAsia="方正仿宋_GBK"/>
                <w:sz w:val="21"/>
                <w:szCs w:val="21"/>
              </w:rPr>
            </w:pPr>
            <w:r>
              <w:rPr>
                <w:rFonts w:hint="eastAsia" w:eastAsia="方正仿宋_GBK"/>
                <w:sz w:val="21"/>
                <w:szCs w:val="21"/>
              </w:rPr>
              <w:t>装螺栓</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紧固</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515"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10</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轿厢和对重/平衡重的导轨支架</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固定，无松动</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47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11</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轿厢和对重/平衡重的导轨</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清洁，压板牢固</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485"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12</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随行电缆</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无损伤</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429"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13</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层门装置和地坎</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无影响正常使用的变形，各安装螺栓紧固</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50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14</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轿厢称重装置</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准确有效</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50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15</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安全钳钳座</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固定，无松动</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53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16</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轿底各安装螺栓</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紧固</w:t>
            </w:r>
          </w:p>
        </w:tc>
      </w:tr>
      <w:tr>
        <w:tblPrEx>
          <w:tblBorders>
            <w:top w:val="single" w:color="000000" w:sz="12" w:space="0"/>
            <w:left w:val="single" w:color="000000" w:sz="8" w:space="0"/>
            <w:bottom w:val="single" w:color="000000" w:sz="6" w:space="0"/>
            <w:right w:val="single" w:color="000000" w:sz="8" w:space="0"/>
            <w:insideH w:val="single" w:color="000000" w:sz="6" w:space="0"/>
            <w:insideV w:val="single" w:color="000000" w:sz="6" w:space="0"/>
          </w:tblBorders>
          <w:shd w:val="clear" w:color="auto" w:fill="FFFFFF"/>
          <w:tblCellMar>
            <w:top w:w="0" w:type="dxa"/>
            <w:left w:w="0" w:type="dxa"/>
            <w:bottom w:w="0" w:type="dxa"/>
            <w:right w:w="0" w:type="dxa"/>
          </w:tblCellMar>
        </w:tblPrEx>
        <w:trPr>
          <w:trHeight w:val="650" w:hRule="exact"/>
        </w:trPr>
        <w:tc>
          <w:tcPr>
            <w:tcW w:w="709" w:type="dxa"/>
            <w:shd w:val="clear" w:color="auto" w:fill="FFFFFF"/>
            <w:vAlign w:val="top"/>
          </w:tcPr>
          <w:p>
            <w:pPr>
              <w:snapToGrid w:val="0"/>
              <w:spacing w:line="400" w:lineRule="exact"/>
              <w:jc w:val="center"/>
              <w:rPr>
                <w:rFonts w:eastAsia="方正仿宋_GBK"/>
                <w:sz w:val="21"/>
                <w:szCs w:val="21"/>
              </w:rPr>
            </w:pPr>
            <w:r>
              <w:rPr>
                <w:rFonts w:hint="eastAsia" w:eastAsia="方正仿宋_GBK"/>
                <w:sz w:val="21"/>
                <w:szCs w:val="21"/>
              </w:rPr>
              <w:t>17</w:t>
            </w:r>
          </w:p>
        </w:tc>
        <w:tc>
          <w:tcPr>
            <w:tcW w:w="3685"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缓冲器</w:t>
            </w:r>
          </w:p>
        </w:tc>
        <w:tc>
          <w:tcPr>
            <w:tcW w:w="4678" w:type="dxa"/>
            <w:shd w:val="clear" w:color="auto" w:fill="FFFFFF"/>
            <w:vAlign w:val="top"/>
          </w:tcPr>
          <w:p>
            <w:pPr>
              <w:snapToGrid w:val="0"/>
              <w:spacing w:line="400" w:lineRule="exact"/>
              <w:ind w:firstLine="420" w:firstLineChars="200"/>
              <w:rPr>
                <w:rFonts w:eastAsia="方正仿宋_GBK"/>
                <w:sz w:val="21"/>
                <w:szCs w:val="21"/>
              </w:rPr>
            </w:pPr>
            <w:r>
              <w:rPr>
                <w:rFonts w:hint="eastAsia" w:eastAsia="方正仿宋_GBK"/>
                <w:sz w:val="21"/>
                <w:szCs w:val="21"/>
              </w:rPr>
              <w:t>固定，无松动</w:t>
            </w:r>
          </w:p>
        </w:tc>
      </w:tr>
    </w:tbl>
    <w:p>
      <w:pPr>
        <w:ind w:firstLine="560" w:firstLineChars="200"/>
        <w:jc w:val="left"/>
        <w:rPr>
          <w:rFonts w:hint="eastAsia" w:ascii="方正仿宋_GBK" w:hAnsi="方正仿宋_GBK" w:eastAsia="方正仿宋_GBK" w:cs="方正仿宋_GBK"/>
          <w:color w:val="000000" w:themeColor="text1"/>
          <w:sz w:val="28"/>
          <w:szCs w:val="28"/>
          <w:highlight w:val="none"/>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lang w:val="zh-CN"/>
          <w14:textFill>
            <w14:solidFill>
              <w14:schemeClr w14:val="tx1"/>
            </w14:solidFill>
          </w14:textFill>
        </w:rPr>
        <w:t>.因保养不当停梯，若在七日内未能恢复运行的，采购人将免付该台设备一个月的保养费，在十五日内未能恢复运行的，采购人将免付该台设备服务期限内的保养费。</w:t>
      </w:r>
    </w:p>
    <w:p>
      <w:pPr>
        <w:ind w:firstLine="560" w:firstLineChars="200"/>
        <w:jc w:val="left"/>
        <w:rPr>
          <w:rFonts w:hint="eastAsia" w:ascii="方正仿宋_GBK" w:hAnsi="方正仿宋_GBK" w:eastAsia="方正仿宋_GBK" w:cs="方正仿宋_GBK"/>
          <w:color w:val="000000" w:themeColor="text1"/>
          <w:sz w:val="28"/>
          <w:szCs w:val="28"/>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.维修完毕后，应清理干净现场，并认真填写维修记录表，由采购人签字认可并交采购人一份。</w:t>
      </w:r>
    </w:p>
    <w:p>
      <w:pPr>
        <w:ind w:firstLine="560" w:firstLineChars="200"/>
        <w:jc w:val="left"/>
        <w:rPr>
          <w:rFonts w:hint="eastAsia" w:ascii="方正仿宋_GBK" w:hAnsi="方正仿宋_GBK" w:eastAsia="方正仿宋_GBK" w:cs="方正仿宋_GBK"/>
          <w:color w:val="000000" w:themeColor="text1"/>
          <w:sz w:val="28"/>
          <w:szCs w:val="28"/>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.采购人有重大活动时，中标供应商应按采购人要求增派人员至现场对电梯进行维护。</w:t>
      </w:r>
    </w:p>
    <w:p>
      <w:pPr>
        <w:ind w:firstLine="560" w:firstLineChars="200"/>
        <w:jc w:val="left"/>
        <w:rPr>
          <w:rFonts w:hint="eastAsia" w:ascii="方正仿宋_GBK" w:hAnsi="方正仿宋_GBK" w:eastAsia="方正仿宋_GBK" w:cs="方正仿宋_GBK"/>
          <w:color w:val="000000" w:themeColor="text1"/>
          <w:sz w:val="28"/>
          <w:szCs w:val="28"/>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.更换配件应为本型号梯原装配件，需详细列出零配件的种类、生产厂家及价格。</w:t>
      </w:r>
    </w:p>
    <w:p>
      <w:pPr>
        <w:ind w:firstLine="560" w:firstLineChars="200"/>
        <w:jc w:val="left"/>
        <w:rPr>
          <w:rFonts w:hint="eastAsia" w:ascii="方正仿宋_GBK" w:hAnsi="方正仿宋_GBK" w:eastAsia="方正仿宋_GBK" w:cs="方正仿宋_GBK"/>
          <w:color w:val="000000" w:themeColor="text1"/>
          <w:sz w:val="28"/>
          <w:szCs w:val="28"/>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.中标供应商保养的电梯能通过年检并取得使用许可证。如果因中标供应商责任未能通安全检测，中标供应商应无偿为采购人整改，直至年检合格为止，造成的复检等费用由中标供应商承担。</w:t>
      </w:r>
    </w:p>
    <w:p>
      <w:pPr>
        <w:ind w:firstLine="560" w:firstLineChars="200"/>
        <w:jc w:val="left"/>
        <w:rPr>
          <w:rFonts w:hint="eastAsia" w:ascii="方正仿宋_GBK" w:hAnsi="方正仿宋_GBK" w:eastAsia="方正仿宋_GBK" w:cs="方正仿宋_GBK"/>
          <w:color w:val="000000" w:themeColor="text1"/>
          <w:sz w:val="28"/>
          <w:szCs w:val="28"/>
          <w:highlight w:val="none"/>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lang w:val="zh-CN"/>
          <w14:textFill>
            <w14:solidFill>
              <w14:schemeClr w14:val="tx1"/>
            </w14:solidFill>
          </w14:textFill>
        </w:rPr>
        <w:t>半包维保中更换零部件300元以内的易损件，由乙方免费提供。</w:t>
      </w:r>
    </w:p>
    <w:p>
      <w:pPr>
        <w:pStyle w:val="9"/>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（二）服务期限及地点</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本次招标的电梯维保服务期从合同签订之日起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年，服务期内服务标准和价格保持不变。</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地点在</w:t>
      </w:r>
      <w:r>
        <w:rPr>
          <w:rFonts w:hint="eastAsia" w:ascii="方正仿宋_GBK" w:hAnsi="方正仿宋_GBK" w:eastAsia="方正仿宋_GBK" w:cs="方正仿宋_GBK"/>
          <w:color w:val="000000" w:themeColor="text1"/>
          <w:sz w:val="28"/>
          <w:szCs w:val="28"/>
          <w14:textFill>
            <w14:solidFill>
              <w14:schemeClr w14:val="tx1"/>
            </w14:solidFill>
          </w14:textFill>
        </w:rPr>
        <w:t>G85渝广高速两江收费站（渝广梁忠公司）</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结算方式：按</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年度</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支</w:t>
      </w:r>
      <w:r>
        <w:rPr>
          <w:rFonts w:hint="eastAsia" w:ascii="方正仿宋_GBK" w:hAnsi="方正仿宋_GBK" w:eastAsia="方正仿宋_GBK" w:cs="方正仿宋_GBK"/>
          <w:color w:val="000000" w:themeColor="text1"/>
          <w:sz w:val="28"/>
          <w:szCs w:val="28"/>
          <w14:textFill>
            <w14:solidFill>
              <w14:schemeClr w14:val="tx1"/>
            </w14:solidFill>
          </w14:textFill>
        </w:rPr>
        <w:t>付维保费用，每</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年</w:t>
      </w:r>
      <w:r>
        <w:rPr>
          <w:rFonts w:hint="eastAsia" w:ascii="方正仿宋_GBK" w:hAnsi="方正仿宋_GBK" w:eastAsia="方正仿宋_GBK" w:cs="方正仿宋_GBK"/>
          <w:color w:val="000000" w:themeColor="text1"/>
          <w:sz w:val="28"/>
          <w:szCs w:val="28"/>
          <w14:textFill>
            <w14:solidFill>
              <w14:schemeClr w14:val="tx1"/>
            </w14:solidFill>
          </w14:textFill>
        </w:rPr>
        <w:t>维保工作结束后的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第二年</w:t>
      </w:r>
      <w:r>
        <w:rPr>
          <w:rFonts w:hint="eastAsia" w:ascii="方正仿宋_GBK" w:hAnsi="方正仿宋_GBK" w:eastAsia="方正仿宋_GBK" w:cs="方正仿宋_GBK"/>
          <w:color w:val="000000" w:themeColor="text1"/>
          <w:sz w:val="28"/>
          <w:szCs w:val="28"/>
          <w14:textFill>
            <w14:solidFill>
              <w14:schemeClr w14:val="tx1"/>
            </w14:solidFill>
          </w14:textFill>
        </w:rPr>
        <w:t>次月支付上</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年</w:t>
      </w:r>
      <w:r>
        <w:rPr>
          <w:rFonts w:hint="eastAsia" w:ascii="方正仿宋_GBK" w:hAnsi="方正仿宋_GBK" w:eastAsia="方正仿宋_GBK" w:cs="方正仿宋_GBK"/>
          <w:color w:val="000000" w:themeColor="text1"/>
          <w:sz w:val="28"/>
          <w:szCs w:val="28"/>
          <w14:textFill>
            <w14:solidFill>
              <w14:schemeClr w14:val="tx1"/>
            </w14:solidFill>
          </w14:textFill>
        </w:rPr>
        <w:t>的保养费。</w:t>
      </w:r>
    </w:p>
    <w:p>
      <w:pPr>
        <w:ind w:firstLine="640" w:firstLineChars="200"/>
        <w:jc w:val="left"/>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三、报价人资质</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（一）满足《中华人民共和国政府采购法》第二十二条规定；</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（二）落实政府采购政策需满足的资格要求：</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（三）本项目的特定资格要求：</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1.响应供应商具有行政主管部门颁发的《中华人民共和国特种设备生产许可证》，其中许可项目为电梯制造（含安装、修理、改造）或电梯安装（含修理）B级（不含B级）以上资质,许可参数：额定速度＞2.5m/s。</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.响应供应商拥有的特种设备作业人员</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人（含</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人）及以上（需提供作业人员</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特种设备作业</w:t>
      </w:r>
      <w:r>
        <w:rPr>
          <w:rFonts w:hint="eastAsia" w:ascii="方正仿宋_GBK" w:hAnsi="方正仿宋_GBK" w:eastAsia="方正仿宋_GBK" w:cs="方正仿宋_GBK"/>
          <w:color w:val="000000" w:themeColor="text1"/>
          <w:sz w:val="28"/>
          <w:szCs w:val="28"/>
          <w14:textFill>
            <w14:solidFill>
              <w14:schemeClr w14:val="tx1"/>
            </w14:solidFill>
          </w14:textFill>
        </w:rPr>
        <w:t>证及供应商为其缴纳的2022年</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14:textFill>
            <w14:solidFill>
              <w14:schemeClr w14:val="tx1"/>
            </w14:solidFill>
          </w14:textFill>
        </w:rPr>
        <w:t>月至2022年</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8"/>
          <w:szCs w:val="28"/>
          <w14:textFill>
            <w14:solidFill>
              <w14:schemeClr w14:val="tx1"/>
            </w14:solidFill>
          </w14:textFill>
        </w:rPr>
        <w:t>月的连续社保证明）</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14:textFill>
            <w14:solidFill>
              <w14:schemeClr w14:val="tx1"/>
            </w14:solidFill>
          </w14:textFill>
        </w:rPr>
        <w:t>人不得出现经营管理信誉受限或上公开平台信誉黑名单情形。</w:t>
      </w:r>
    </w:p>
    <w:p>
      <w:pPr>
        <w:pStyle w:val="16"/>
        <w:ind w:left="640" w:firstLine="0" w:firstLineChars="0"/>
        <w:jc w:val="left"/>
        <w:rPr>
          <w:rFonts w:hint="eastAsia" w:ascii="方正仿宋_GBK" w:hAnsi="方正仿宋_GBK" w:eastAsia="黑体" w:cs="方正仿宋_GBK"/>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四、最高限价及报价</w:t>
      </w:r>
      <w:r>
        <w:rPr>
          <w:rFonts w:hint="eastAsia" w:ascii="黑体" w:hAnsi="黑体" w:eastAsia="黑体" w:cs="黑体"/>
          <w:color w:val="000000" w:themeColor="text1"/>
          <w:sz w:val="32"/>
          <w:szCs w:val="32"/>
          <w:lang w:val="en-US" w:eastAsia="zh-CN"/>
          <w14:textFill>
            <w14:solidFill>
              <w14:schemeClr w14:val="tx1"/>
            </w14:solidFill>
          </w14:textFill>
        </w:rPr>
        <w:t>要求</w:t>
      </w:r>
    </w:p>
    <w:p>
      <w:pPr>
        <w:ind w:firstLine="280" w:firstLineChars="100"/>
        <w:jc w:val="left"/>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 xml:space="preserve">  （一）本项目</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限价：41880元。</w:t>
      </w:r>
    </w:p>
    <w:p>
      <w:pPr>
        <w:ind w:firstLine="560" w:firstLineChars="200"/>
        <w:jc w:val="left"/>
        <w:rPr>
          <w:rFonts w:hint="eastAsia" w:hAnsi="宋体" w:eastAsia="宋体"/>
          <w:color w:val="000000" w:themeColor="text1"/>
          <w:kern w:val="2"/>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kern w:val="2"/>
          <w:sz w:val="28"/>
          <w:szCs w:val="28"/>
          <w14:textFill>
            <w14:solidFill>
              <w14:schemeClr w14:val="tx1"/>
            </w14:solidFill>
          </w14:textFill>
        </w:rPr>
        <w:t>（</w:t>
      </w:r>
      <w:r>
        <w:rPr>
          <w:rFonts w:hint="eastAsia" w:hAnsi="宋体" w:eastAsia="宋体"/>
          <w:color w:val="000000" w:themeColor="text1"/>
          <w:kern w:val="2"/>
          <w:sz w:val="28"/>
          <w:szCs w:val="28"/>
          <w14:textFill>
            <w14:solidFill>
              <w14:schemeClr w14:val="tx1"/>
            </w14:solidFill>
          </w14:textFill>
        </w:rPr>
        <w:t>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报价要求</w:t>
      </w:r>
      <w:r>
        <w:rPr>
          <w:rFonts w:hint="eastAsia" w:hAnsi="宋体" w:eastAsia="宋体"/>
          <w:color w:val="000000" w:themeColor="text1"/>
          <w:kern w:val="2"/>
          <w:sz w:val="28"/>
          <w:szCs w:val="28"/>
          <w:lang w:val="en-US" w:eastAsia="zh-CN"/>
          <w14:textFill>
            <w14:solidFill>
              <w14:schemeClr w14:val="tx1"/>
            </w14:solidFill>
          </w14:textFill>
        </w:rPr>
        <w:t>：</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hAnsi="宋体" w:eastAsia="宋体"/>
          <w:color w:val="000000" w:themeColor="text1"/>
          <w:kern w:val="2"/>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本次报价为电梯全包维保费收费，含派驻人员的费用。含员工工资、五险费、福利费、餐费、加班费、维保维修材料费，维保维修人工费、管理费、税费、合理利润等所有费用。</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2.投标方需注明每台电梯每月的维修保养价格，并最后报出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年的总价；</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3.投标人需列出电梯维保的全部材料价格，并注明材料的生产厂家和品牌；</w:t>
      </w:r>
    </w:p>
    <w:p>
      <w:pPr>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4.报价包含重庆市技术监督局收取的每年检测费及其它费用。</w:t>
      </w: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本次询价采用最低价法中标进行评审。</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（一）报价文件包含内容如下：</w:t>
      </w:r>
      <w:r>
        <w:rPr>
          <w:rFonts w:hint="eastAsia" w:ascii="方正仿宋_GBK" w:hAnsi="方正仿宋_GBK" w:eastAsia="方正仿宋_GBK" w:cs="方正仿宋_GBK"/>
          <w:sz w:val="28"/>
          <w:szCs w:val="28"/>
        </w:rPr>
        <w:t>（需加盖报价人单位公章）</w:t>
      </w:r>
    </w:p>
    <w:p>
      <w:pPr>
        <w:tabs>
          <w:tab w:val="left" w:pos="630"/>
          <w:tab w:val="left" w:pos="840"/>
        </w:tabs>
        <w:ind w:left="979" w:leftChars="333" w:hanging="280" w:hangingChars="1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报价函</w:t>
      </w:r>
    </w:p>
    <w:p>
      <w:pPr>
        <w:tabs>
          <w:tab w:val="left" w:pos="630"/>
          <w:tab w:val="left" w:pos="840"/>
        </w:tabs>
        <w:ind w:left="979" w:leftChars="333" w:hanging="280" w:hangingChars="1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法定代表人身份证明及法定代表人身份证复印件</w:t>
      </w:r>
    </w:p>
    <w:p>
      <w:pPr>
        <w:tabs>
          <w:tab w:val="left" w:pos="630"/>
          <w:tab w:val="left" w:pos="840"/>
        </w:tabs>
        <w:ind w:left="979" w:leftChars="333" w:hanging="280" w:hangingChars="1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3</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授权委托书（若有）</w:t>
      </w:r>
    </w:p>
    <w:p>
      <w:pPr>
        <w:tabs>
          <w:tab w:val="left" w:pos="630"/>
          <w:tab w:val="left" w:pos="840"/>
        </w:tabs>
        <w:ind w:left="979" w:leftChars="333" w:hanging="280" w:hangingChars="1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资格审查资料</w:t>
      </w:r>
    </w:p>
    <w:p>
      <w:pPr>
        <w:tabs>
          <w:tab w:val="left" w:pos="630"/>
          <w:tab w:val="left" w:pos="840"/>
        </w:tabs>
        <w:ind w:left="979" w:leftChars="333" w:hanging="280" w:hangingChars="100"/>
        <w:jc w:val="left"/>
        <w:rPr>
          <w:rFonts w:hint="default"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.报价清单</w:t>
      </w:r>
    </w:p>
    <w:p>
      <w:pPr>
        <w:tabs>
          <w:tab w:val="left" w:pos="630"/>
          <w:tab w:val="left" w:pos="840"/>
        </w:tabs>
        <w:ind w:left="979" w:leftChars="333" w:hanging="280" w:hangingChars="1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（二）报价文件的签署及密封</w:t>
      </w:r>
    </w:p>
    <w:p>
      <w:pPr>
        <w:ind w:left="0" w:leftChars="0" w:firstLine="638" w:firstLineChars="228"/>
        <w:rPr>
          <w:rFonts w:hint="default" w:eastAsia="方正仿宋_GBK"/>
          <w:lang w:val="en-US" w:eastAsia="zh-CN"/>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14:textFill>
            <w14:solidFill>
              <w14:schemeClr w14:val="tx1"/>
            </w14:solidFill>
          </w14:textFill>
        </w:rPr>
        <w:t>文件一式贰份，其中正本</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壹</w:t>
      </w:r>
      <w:r>
        <w:rPr>
          <w:rFonts w:hint="eastAsia" w:ascii="方正仿宋_GBK" w:hAnsi="方正仿宋_GBK" w:eastAsia="方正仿宋_GBK" w:cs="方正仿宋_GBK"/>
          <w:color w:val="000000" w:themeColor="text1"/>
          <w:sz w:val="28"/>
          <w:szCs w:val="28"/>
          <w14:textFill>
            <w14:solidFill>
              <w14:schemeClr w14:val="tx1"/>
            </w14:solidFill>
          </w14:textFill>
        </w:rPr>
        <w:t>份，副本</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壹</w:t>
      </w:r>
      <w:r>
        <w:rPr>
          <w:rFonts w:hint="eastAsia" w:ascii="方正仿宋_GBK" w:hAnsi="方正仿宋_GBK" w:eastAsia="方正仿宋_GBK" w:cs="方正仿宋_GBK"/>
          <w:color w:val="000000" w:themeColor="text1"/>
          <w:sz w:val="28"/>
          <w:szCs w:val="28"/>
          <w14:textFill>
            <w14:solidFill>
              <w14:schemeClr w14:val="tx1"/>
            </w14:solidFill>
          </w14:textFill>
        </w:rPr>
        <w:t>份。每套</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14:textFill>
            <w14:solidFill>
              <w14:schemeClr w14:val="tx1"/>
            </w14:solidFill>
          </w14:textFill>
        </w:rPr>
        <w:t>文件须在封面清楚地标明“正本”、“副本”，副本可为正本的完整复印件，副本与正本不一致时以正本为准。</w:t>
      </w:r>
    </w:p>
    <w:p>
      <w:pPr>
        <w:ind w:left="0" w:leftChars="0"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编制完整的报价文件，用不褪色的材料书写或打印，报价文件中的任何改动之处应加盖单位章或由报价人的法定代表人或其授权代理人签字确认,否则按废标处理。</w:t>
      </w:r>
    </w:p>
    <w:p>
      <w:pPr>
        <w:ind w:left="0" w:leftChars="0" w:firstLine="638" w:firstLineChars="228"/>
        <w:rPr>
          <w:rFonts w:hint="default" w:eastAsia="方正仿宋_GBK"/>
          <w:lang w:val="en-US" w:eastAsia="zh-CN"/>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报价人将上述报价文件按要求填写和装订后，统一装入一个封套密封，包装外应注明报价单位，并在封套的封口处加盖申请人单位章。</w:t>
      </w:r>
    </w:p>
    <w:p>
      <w:pPr>
        <w:ind w:left="0" w:leftChars="0" w:firstLine="640" w:firstLineChars="200"/>
        <w:rPr>
          <w:rFonts w:ascii="方正仿宋_GBK" w:hAnsi="方正仿宋_GBK" w:eastAsia="方正仿宋_GBK" w:cs="方正仿宋_GBK"/>
          <w:color w:val="000000" w:themeColor="text1"/>
          <w:sz w:val="28"/>
          <w:szCs w:val="28"/>
          <w:highlight w:val="yellow"/>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报价文件递交的时间为202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上午10:00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(北京时间)，报价文件递交至G85渝广高速两江收费站（渝广梁忠公司211会议室）</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并现场开标</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tabs>
          <w:tab w:val="left" w:pos="640"/>
        </w:tabs>
        <w:ind w:left="-18" w:leftChars="-94" w:hanging="179" w:hangingChars="64"/>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八、发布媒介</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本次竞争性询价函将在重庆高速公路集团有限公司官网（http://www.cegc.com.cn/gw）及重庆高速公路集团有限公司招投标管理平台同时发布。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九、联系方式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询价人：重庆渝广梁忠高速公路有限公司</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地  址：G85渝广高速两江收费站（渝广梁忠公司205室）</w:t>
      </w:r>
    </w:p>
    <w:p>
      <w:pPr>
        <w:tabs>
          <w:tab w:val="left" w:pos="420"/>
        </w:tabs>
        <w:ind w:left="-199" w:leftChars="-95"/>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联系人：</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王</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女士</w:t>
      </w:r>
    </w:p>
    <w:p>
      <w:pPr>
        <w:tabs>
          <w:tab w:val="left" w:pos="420"/>
        </w:tabs>
        <w:ind w:left="-199" w:leftChars="-95"/>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电</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话：023-6831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5680</w:t>
      </w:r>
    </w:p>
    <w:p>
      <w:pPr>
        <w:pStyle w:val="9"/>
        <w:numPr>
          <w:ilvl w:val="0"/>
          <w:numId w:val="1"/>
        </w:numPr>
        <w:ind w:left="800" w:leftChars="0" w:firstLine="0" w:firstLineChars="0"/>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比选人廉政约定</w:t>
      </w:r>
    </w:p>
    <w:p>
      <w:pPr>
        <w:tabs>
          <w:tab w:val="left" w:pos="640"/>
        </w:tabs>
        <w:ind w:left="7" w:leftChars="-94" w:hanging="204" w:hangingChars="64"/>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为杜绝商业贿赂现象，共同营造公平、公正的竞争环境，敬请各竞标人在参与竞标报价过程中，将竞争性比选人明示或暗示要求宴请、招待，或索取礼金、礼品、礼券、其他利益，或故意刁难、显失公平现象，向我司纪检检查人员进行举报。具体举报渠道告知如下：</w:t>
      </w:r>
    </w:p>
    <w:p>
      <w:pPr>
        <w:tabs>
          <w:tab w:val="left" w:pos="640"/>
        </w:tabs>
        <w:ind w:left="82" w:leftChars="39" w:firstLine="380" w:firstLineChars="136"/>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举报联系人：殷女士    举报电话：023-68315675</w:t>
      </w:r>
    </w:p>
    <w:p>
      <w:pPr>
        <w:tabs>
          <w:tab w:val="left" w:pos="640"/>
        </w:tabs>
        <w:ind w:firstLine="560" w:firstLineChars="200"/>
        <w:rPr>
          <w:rFonts w:hint="default"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我司承诺：对所有举报信息及时调查处理，对举报来源严格保守秘密，对举报单位因举报所可能遭受的利益损害采取特别措施予以保护。</w:t>
      </w:r>
    </w:p>
    <w:p>
      <w:pPr>
        <w:pStyle w:val="2"/>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附件1 ：报价文件格式</w:t>
      </w:r>
    </w:p>
    <w:p>
      <w:pPr>
        <w:tabs>
          <w:tab w:val="left" w:pos="0"/>
        </w:tabs>
        <w:ind w:left="1324" w:leftChars="210" w:hanging="883" w:hangingChars="20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2023-2025年G85两江收费站内</w:t>
      </w:r>
    </w:p>
    <w:p>
      <w:pPr>
        <w:tabs>
          <w:tab w:val="left" w:pos="0"/>
        </w:tabs>
        <w:ind w:left="1324" w:leftChars="210" w:hanging="883" w:hangingChars="200"/>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电梯维保</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ascii="方正小标宋_GBK" w:hAnsi="方正小标宋_GBK" w:eastAsia="方正小标宋_GBK" w:cs="方正小标宋_GBK"/>
          <w:b/>
          <w:bCs/>
          <w:color w:val="000000" w:themeColor="text1"/>
          <w:sz w:val="84"/>
          <w:szCs w:val="84"/>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报 价 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9"/>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重庆渝广梁忠高速公路有限公司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numPr>
          <w:ilvl w:val="0"/>
          <w:numId w:val="3"/>
        </w:numPr>
        <w:spacing w:line="360" w:lineRule="auto"/>
        <w:ind w:left="560" w:leftChars="0"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（项目名称）          </w:t>
      </w:r>
      <w:r>
        <w:rPr>
          <w:rFonts w:hint="eastAsia" w:ascii="方正仿宋_GBK" w:hAnsi="方正仿宋_GBK" w:eastAsia="方正仿宋_GBK" w:cs="方正仿宋_GBK"/>
          <w:color w:val="000000" w:themeColor="text1"/>
          <w:sz w:val="28"/>
          <w:szCs w:val="28"/>
          <w14:textFill>
            <w14:solidFill>
              <w14:schemeClr w14:val="tx1"/>
            </w14:solidFill>
          </w14:textFill>
        </w:rPr>
        <w:t>询价函的全部内容，定参加该询价项目的报价</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愿意按照询价通知书中的一切要求，提供本项目的电梯维保服务，项目报价（总价）为人民币大写：      元整；人民币小写：    元。以我公司报价为准。</w:t>
      </w:r>
    </w:p>
    <w:p>
      <w:pPr>
        <w:numPr>
          <w:ilvl w:val="0"/>
          <w:numId w:val="3"/>
        </w:numPr>
        <w:spacing w:line="360" w:lineRule="auto"/>
        <w:ind w:left="560" w:leftChars="0"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我方承诺在投标有效期内不修改、撤销本次报价的全部内容。</w:t>
      </w:r>
    </w:p>
    <w:p>
      <w:pPr>
        <w:numPr>
          <w:ilvl w:val="0"/>
          <w:numId w:val="0"/>
        </w:numPr>
        <w:spacing w:line="360" w:lineRule="auto"/>
        <w:ind w:left="560" w:left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eastAsia="黑体"/>
          <w:b/>
          <w:color w:val="000000" w:themeColor="text1"/>
          <w:sz w:val="48"/>
          <w:szCs w:val="48"/>
          <w14:textFill>
            <w14:solidFill>
              <w14:schemeClr w14:val="tx1"/>
            </w14:solidFill>
          </w14:textFill>
        </w:rPr>
      </w:pPr>
    </w:p>
    <w:p>
      <w:pPr>
        <w:spacing w:line="360" w:lineRule="auto"/>
        <w:rPr>
          <w:rFonts w:eastAsia="黑体"/>
          <w:b/>
          <w:color w:val="000000" w:themeColor="text1"/>
          <w:sz w:val="48"/>
          <w:szCs w:val="48"/>
          <w14:textFill>
            <w14:solidFill>
              <w14:schemeClr w14:val="tx1"/>
            </w14:solidFill>
          </w14:textFill>
        </w:rPr>
      </w:pPr>
    </w:p>
    <w:p>
      <w:pPr>
        <w:spacing w:line="360" w:lineRule="auto"/>
        <w:ind w:firstLine="1446" w:firstLineChars="300"/>
        <w:rPr>
          <w:rFonts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644" w:leftChars="0" w:hanging="644" w:hangingChars="229"/>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hint="eastAsia" w:ascii="方正仿宋_GBK" w:hAnsi="方正仿宋_GBK" w:eastAsia="方正仿宋_GBK" w:cs="方正仿宋_GBK"/>
          <w:b/>
          <w:sz w:val="28"/>
          <w:szCs w:val="28"/>
          <w:lang w:eastAsia="zh-CN"/>
        </w:rPr>
      </w:pPr>
      <w:r>
        <w:rPr>
          <w:rFonts w:hint="eastAsia" w:ascii="方正仿宋_GBK" w:hAnsi="方正仿宋_GBK" w:eastAsia="方正仿宋_GBK" w:cs="方正仿宋_GBK"/>
          <w:b/>
          <w:sz w:val="28"/>
          <w:szCs w:val="28"/>
        </w:rPr>
        <w:t xml:space="preserve"> 2.需附上法定代表人身份证复印件</w:t>
      </w:r>
      <w:r>
        <w:rPr>
          <w:rFonts w:hint="eastAsia" w:ascii="方正仿宋_GBK" w:hAnsi="方正仿宋_GBK" w:eastAsia="方正仿宋_GBK" w:cs="方正仿宋_GBK"/>
          <w:b/>
          <w:sz w:val="28"/>
          <w:szCs w:val="28"/>
          <w:lang w:eastAsia="zh-CN"/>
        </w:rPr>
        <w:t>。</w:t>
      </w:r>
    </w:p>
    <w:p>
      <w:pPr>
        <w:spacing w:line="360" w:lineRule="auto"/>
        <w:ind w:left="736" w:leftChars="200" w:hanging="316" w:hangingChars="150"/>
        <w:rPr>
          <w:rFonts w:hint="eastAsia" w:ascii="宋体" w:hAnsi="宋体"/>
          <w:b/>
          <w:szCs w:val="21"/>
        </w:rPr>
      </w:pPr>
      <w:r>
        <w:rPr>
          <w:rFonts w:hint="eastAsia" w:ascii="宋体" w:hAnsi="宋体"/>
          <w:b/>
          <w:szCs w:val="21"/>
        </w:rPr>
        <w:br w:type="page"/>
      </w:r>
    </w:p>
    <w:p>
      <w:pPr>
        <w:spacing w:line="360" w:lineRule="auto"/>
        <w:ind w:left="736" w:leftChars="200" w:hanging="316" w:hangingChars="150"/>
        <w:rPr>
          <w:rFonts w:hint="eastAsia" w:ascii="宋体" w:hAnsi="宋体"/>
          <w:b/>
          <w:szCs w:val="21"/>
        </w:rPr>
      </w:pPr>
    </w:p>
    <w:p>
      <w:pPr>
        <w:spacing w:line="360" w:lineRule="auto"/>
        <w:ind w:left="736" w:leftChars="200" w:hanging="316" w:hangingChars="150"/>
        <w:rPr>
          <w:rFonts w:ascii="宋体" w:hAnsi="宋体"/>
          <w:b/>
          <w:szCs w:val="21"/>
        </w:rPr>
      </w:pPr>
      <w:r>
        <w:rPr>
          <w:rFonts w:hint="eastAsia" w:ascii="宋体" w:hAnsi="宋体"/>
          <w:b/>
          <w:szCs w:val="21"/>
        </w:rPr>
        <w:t xml:space="preserve">          </w:t>
      </w:r>
    </w:p>
    <w:p>
      <w:pPr>
        <w:spacing w:line="360" w:lineRule="auto"/>
        <w:ind w:firstLine="2409" w:firstLineChars="500"/>
        <w:jc w:val="both"/>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sz w:val="28"/>
          <w:szCs w:val="28"/>
          <w:u w:val="single"/>
          <w:lang w:val="en-US" w:eastAsia="zh-CN"/>
        </w:rPr>
        <w:t>2023-2025年G85两江收费站内电梯维保</w:t>
      </w:r>
      <w:r>
        <w:rPr>
          <w:rFonts w:hint="eastAsia" w:ascii="方正仿宋_GBK" w:hAnsi="方正仿宋_GBK" w:eastAsia="方正仿宋_GBK" w:cs="方正仿宋_GBK"/>
          <w:sz w:val="28"/>
          <w:szCs w:val="28"/>
        </w:rPr>
        <w:t>相关报价资料、编制合同和处理有关事宜，其法律后果由我方承担。</w:t>
      </w: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委托期限：本项目报价有效期内。</w:t>
      </w: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 w:val="28"/>
          <w:szCs w:val="28"/>
        </w:rPr>
      </w:pPr>
    </w:p>
    <w:p>
      <w:pPr>
        <w:spacing w:line="360" w:lineRule="auto"/>
        <w:ind w:left="843" w:hanging="843" w:hangingChars="300"/>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注：</w:t>
      </w:r>
      <w:r>
        <w:rPr>
          <w:rFonts w:hint="eastAsia" w:ascii="方正仿宋_GBK" w:hAnsi="方正仿宋_GBK" w:eastAsia="方正仿宋_GBK" w:cs="方正仿宋_GBK"/>
          <w:b/>
          <w:sz w:val="28"/>
          <w:szCs w:val="28"/>
          <w:lang w:val="en-US" w:eastAsia="zh-CN"/>
        </w:rPr>
        <w:t>1.</w:t>
      </w:r>
      <w:r>
        <w:rPr>
          <w:rFonts w:hint="eastAsia" w:ascii="方正仿宋_GBK" w:hAnsi="方正仿宋_GBK" w:eastAsia="方正仿宋_GBK" w:cs="方正仿宋_GBK"/>
          <w:b/>
          <w:sz w:val="28"/>
          <w:szCs w:val="28"/>
        </w:rPr>
        <w:t>授权人和被授权人的签字必须是亲笔签名，不得用印章、签名章或其他电子制版签名。</w:t>
      </w:r>
    </w:p>
    <w:p>
      <w:pPr>
        <w:spacing w:line="360" w:lineRule="auto"/>
        <w:ind w:firstLine="562" w:firstLineChars="200"/>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lang w:val="en-US" w:eastAsia="zh-CN"/>
        </w:rPr>
        <w:t>2.</w:t>
      </w:r>
      <w:r>
        <w:rPr>
          <w:rFonts w:hint="eastAsia" w:ascii="方正仿宋_GBK" w:hAnsi="方正仿宋_GBK" w:eastAsia="方正仿宋_GBK" w:cs="方正仿宋_GBK"/>
          <w:b/>
          <w:sz w:val="28"/>
          <w:szCs w:val="28"/>
        </w:rPr>
        <w:t>报价申请人还需附上授权人和被授权人的身份证复印件。</w:t>
      </w:r>
    </w:p>
    <w:p>
      <w:pPr>
        <w:keepNext/>
        <w:spacing w:before="312" w:beforeLines="100" w:line="360" w:lineRule="auto"/>
        <w:jc w:val="center"/>
        <w:outlineLvl w:val="1"/>
        <w:rPr>
          <w:rFonts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pStyle w:val="9"/>
        <w:rPr>
          <w:rFonts w:eastAsia="方正仿宋_GBK"/>
        </w:rPr>
      </w:pPr>
      <w:r>
        <w:rPr>
          <w:rFonts w:hint="eastAsia" w:ascii="方正仿宋_GBK" w:hAnsi="方正仿宋_GBK" w:eastAsia="方正仿宋_GBK" w:cs="方正仿宋_GBK"/>
          <w:sz w:val="28"/>
          <w:szCs w:val="28"/>
        </w:rPr>
        <w:t xml:space="preserve">    </w:t>
      </w:r>
    </w:p>
    <w:p>
      <w:pPr>
        <w:spacing w:line="360" w:lineRule="auto"/>
        <w:rPr>
          <w:rFonts w:ascii="方正仿宋_GBK" w:hAnsi="方正仿宋_GBK" w:eastAsia="方正仿宋_GBK" w:cs="方正仿宋_GBK"/>
          <w:sz w:val="28"/>
          <w:szCs w:val="28"/>
        </w:rPr>
      </w:pPr>
    </w:p>
    <w:p>
      <w:pPr>
        <w:spacing w:line="360" w:lineRule="auto"/>
        <w:ind w:left="637" w:leftChars="267" w:hanging="76" w:hangingChars="27"/>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注： 1</w:t>
      </w:r>
      <w:r>
        <w:rPr>
          <w:rFonts w:hint="eastAsia" w:ascii="方正仿宋_GBK" w:hAnsi="方正仿宋_GBK" w:eastAsia="方正仿宋_GBK" w:cs="方正仿宋_GBK"/>
          <w:b/>
          <w:sz w:val="28"/>
          <w:szCs w:val="28"/>
          <w:lang w:val="en-US" w:eastAsia="zh-CN"/>
        </w:rPr>
        <w:t>.</w:t>
      </w:r>
      <w:r>
        <w:rPr>
          <w:rFonts w:hint="eastAsia" w:ascii="方正仿宋_GBK" w:hAnsi="方正仿宋_GBK" w:eastAsia="方正仿宋_GBK" w:cs="方正仿宋_GBK"/>
          <w:b/>
          <w:sz w:val="28"/>
          <w:szCs w:val="28"/>
        </w:rPr>
        <w:t>报价人应提供有效的企业营业执照副本</w:t>
      </w:r>
      <w:r>
        <w:rPr>
          <w:rFonts w:hint="eastAsia" w:ascii="方正仿宋_GBK" w:hAnsi="方正仿宋_GBK" w:eastAsia="方正仿宋_GBK" w:cs="方正仿宋_GBK"/>
          <w:b/>
          <w:sz w:val="28"/>
          <w:szCs w:val="28"/>
          <w:lang w:eastAsia="zh-CN"/>
        </w:rPr>
        <w:t>、</w:t>
      </w:r>
      <w:r>
        <w:rPr>
          <w:rFonts w:hint="eastAsia" w:ascii="方正仿宋_GBK" w:hAnsi="方正仿宋_GBK" w:eastAsia="方正仿宋_GBK" w:cs="方正仿宋_GBK"/>
          <w:b/>
          <w:sz w:val="28"/>
          <w:szCs w:val="28"/>
        </w:rPr>
        <w:t>响应供应商拥有的特种设备作业人员</w:t>
      </w:r>
      <w:r>
        <w:rPr>
          <w:rFonts w:hint="eastAsia" w:ascii="方正仿宋_GBK" w:hAnsi="方正仿宋_GBK" w:eastAsia="方正仿宋_GBK" w:cs="方正仿宋_GBK"/>
          <w:b/>
          <w:sz w:val="28"/>
          <w:szCs w:val="28"/>
          <w:lang w:val="en-US" w:eastAsia="zh-CN"/>
        </w:rPr>
        <w:t>1</w:t>
      </w:r>
      <w:r>
        <w:rPr>
          <w:rFonts w:hint="eastAsia" w:ascii="方正仿宋_GBK" w:hAnsi="方正仿宋_GBK" w:eastAsia="方正仿宋_GBK" w:cs="方正仿宋_GBK"/>
          <w:b/>
          <w:sz w:val="28"/>
          <w:szCs w:val="28"/>
        </w:rPr>
        <w:t>人（含</w:t>
      </w:r>
      <w:r>
        <w:rPr>
          <w:rFonts w:hint="eastAsia" w:ascii="方正仿宋_GBK" w:hAnsi="方正仿宋_GBK" w:eastAsia="方正仿宋_GBK" w:cs="方正仿宋_GBK"/>
          <w:b/>
          <w:sz w:val="28"/>
          <w:szCs w:val="28"/>
          <w:lang w:val="en-US" w:eastAsia="zh-CN"/>
        </w:rPr>
        <w:t>1</w:t>
      </w:r>
      <w:r>
        <w:rPr>
          <w:rFonts w:hint="eastAsia" w:ascii="方正仿宋_GBK" w:hAnsi="方正仿宋_GBK" w:eastAsia="方正仿宋_GBK" w:cs="方正仿宋_GBK"/>
          <w:b/>
          <w:sz w:val="28"/>
          <w:szCs w:val="28"/>
        </w:rPr>
        <w:t>人）及以上</w:t>
      </w:r>
      <w:r>
        <w:rPr>
          <w:rFonts w:hint="eastAsia" w:ascii="方正仿宋_GBK" w:hAnsi="方正仿宋_GBK" w:eastAsia="方正仿宋_GBK" w:cs="方正仿宋_GBK"/>
          <w:b/>
          <w:sz w:val="28"/>
          <w:szCs w:val="28"/>
          <w:lang w:eastAsia="zh-CN"/>
        </w:rPr>
        <w:t>的特种设备作业</w:t>
      </w:r>
      <w:r>
        <w:rPr>
          <w:rFonts w:hint="eastAsia" w:ascii="方正仿宋_GBK" w:hAnsi="方正仿宋_GBK" w:eastAsia="方正仿宋_GBK" w:cs="方正仿宋_GBK"/>
          <w:b/>
          <w:sz w:val="28"/>
          <w:szCs w:val="28"/>
        </w:rPr>
        <w:t>证及供应商为其缴纳的2022年</w:t>
      </w:r>
      <w:r>
        <w:rPr>
          <w:rFonts w:hint="eastAsia" w:ascii="方正仿宋_GBK" w:hAnsi="方正仿宋_GBK" w:eastAsia="方正仿宋_GBK" w:cs="方正仿宋_GBK"/>
          <w:b/>
          <w:sz w:val="28"/>
          <w:szCs w:val="28"/>
          <w:lang w:val="en-US" w:eastAsia="zh-CN"/>
        </w:rPr>
        <w:t>7</w:t>
      </w:r>
      <w:r>
        <w:rPr>
          <w:rFonts w:hint="eastAsia" w:ascii="方正仿宋_GBK" w:hAnsi="方正仿宋_GBK" w:eastAsia="方正仿宋_GBK" w:cs="方正仿宋_GBK"/>
          <w:b/>
          <w:sz w:val="28"/>
          <w:szCs w:val="28"/>
        </w:rPr>
        <w:t>月至2022年</w:t>
      </w:r>
      <w:r>
        <w:rPr>
          <w:rFonts w:hint="eastAsia" w:ascii="方正仿宋_GBK" w:hAnsi="方正仿宋_GBK" w:eastAsia="方正仿宋_GBK" w:cs="方正仿宋_GBK"/>
          <w:b/>
          <w:sz w:val="28"/>
          <w:szCs w:val="28"/>
          <w:lang w:val="en-US" w:eastAsia="zh-CN"/>
        </w:rPr>
        <w:t>12</w:t>
      </w:r>
      <w:r>
        <w:rPr>
          <w:rFonts w:hint="eastAsia" w:ascii="方正仿宋_GBK" w:hAnsi="方正仿宋_GBK" w:eastAsia="方正仿宋_GBK" w:cs="方正仿宋_GBK"/>
          <w:b/>
          <w:sz w:val="28"/>
          <w:szCs w:val="28"/>
        </w:rPr>
        <w:t>月的连续社保证明</w:t>
      </w:r>
      <w:r>
        <w:rPr>
          <w:rFonts w:hint="eastAsia" w:ascii="方正仿宋_GBK" w:hAnsi="方正仿宋_GBK" w:eastAsia="方正仿宋_GBK" w:cs="方正仿宋_GBK"/>
          <w:b/>
          <w:sz w:val="28"/>
          <w:szCs w:val="28"/>
          <w:lang w:eastAsia="zh-CN"/>
        </w:rPr>
        <w:t>。</w:t>
      </w:r>
    </w:p>
    <w:p>
      <w:pPr>
        <w:spacing w:line="360" w:lineRule="auto"/>
        <w:ind w:left="644" w:leftChars="0" w:hanging="644" w:hangingChars="229"/>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lang w:val="en-US" w:eastAsia="zh-CN"/>
        </w:rPr>
        <w:t xml:space="preserve">    </w:t>
      </w:r>
      <w:r>
        <w:rPr>
          <w:rFonts w:hint="eastAsia" w:ascii="方正仿宋_GBK" w:hAnsi="方正仿宋_GBK" w:eastAsia="方正仿宋_GBK" w:cs="方正仿宋_GBK"/>
          <w:b/>
          <w:sz w:val="28"/>
          <w:szCs w:val="28"/>
        </w:rPr>
        <w:t>2</w:t>
      </w:r>
      <w:r>
        <w:rPr>
          <w:rFonts w:hint="eastAsia" w:ascii="方正仿宋_GBK" w:hAnsi="方正仿宋_GBK" w:eastAsia="方正仿宋_GBK" w:cs="方正仿宋_GBK"/>
          <w:b/>
          <w:sz w:val="28"/>
          <w:szCs w:val="28"/>
          <w:lang w:val="en-US" w:eastAsia="zh-CN"/>
        </w:rPr>
        <w:t>.</w:t>
      </w:r>
      <w:r>
        <w:rPr>
          <w:rFonts w:hint="eastAsia" w:ascii="方正仿宋_GBK" w:hAnsi="方正仿宋_GBK" w:eastAsia="方正仿宋_GBK" w:cs="方正仿宋_GBK"/>
          <w:b/>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keepNext/>
        <w:spacing w:before="312" w:beforeLines="100" w:line="360" w:lineRule="auto"/>
        <w:outlineLvl w:val="1"/>
        <w:rPr>
          <w:rFonts w:ascii="宋体" w:hAnsi="宋体"/>
          <w:sz w:val="24"/>
        </w:rPr>
      </w:pPr>
    </w:p>
    <w:p>
      <w:pPr>
        <w:keepNext/>
        <w:spacing w:before="312" w:beforeLines="100" w:line="360" w:lineRule="auto"/>
        <w:jc w:val="center"/>
        <w:outlineLvl w:val="1"/>
        <w:rPr>
          <w:rFonts w:hint="eastAsia" w:eastAsia="黑体"/>
          <w:b/>
          <w:sz w:val="48"/>
          <w:szCs w:val="48"/>
        </w:rPr>
      </w:pPr>
      <w:r>
        <w:rPr>
          <w:rFonts w:hint="eastAsia" w:eastAsia="黑体"/>
          <w:b/>
          <w:sz w:val="48"/>
          <w:szCs w:val="48"/>
        </w:rPr>
        <w:t>五、</w:t>
      </w:r>
      <w:r>
        <w:rPr>
          <w:rFonts w:hint="eastAsia" w:eastAsia="黑体"/>
          <w:b/>
          <w:sz w:val="48"/>
          <w:szCs w:val="48"/>
          <w:lang w:eastAsia="zh-CN"/>
        </w:rPr>
        <w:t>报价</w:t>
      </w:r>
      <w:r>
        <w:rPr>
          <w:rFonts w:hint="eastAsia" w:eastAsia="黑体"/>
          <w:b/>
          <w:sz w:val="48"/>
          <w:szCs w:val="48"/>
          <w:lang w:val="en-US" w:eastAsia="zh-CN"/>
        </w:rPr>
        <w:t>清单</w:t>
      </w:r>
    </w:p>
    <w:p>
      <w:pPr>
        <w:spacing w:line="360" w:lineRule="auto"/>
        <w:rPr>
          <w:rFonts w:ascii="宋体" w:hAnsi="宋体"/>
          <w:b/>
          <w:sz w:val="28"/>
          <w:szCs w:val="28"/>
        </w:rPr>
      </w:pPr>
    </w:p>
    <w:p>
      <w:pPr>
        <w:spacing w:line="360" w:lineRule="auto"/>
        <w:rPr>
          <w:rFonts w:ascii="宋体" w:hAnsi="宋体"/>
          <w:b/>
          <w:sz w:val="28"/>
          <w:szCs w:val="28"/>
        </w:rPr>
      </w:pPr>
    </w:p>
    <w:tbl>
      <w:tblPr>
        <w:tblStyle w:val="5"/>
        <w:tblpPr w:leftFromText="180" w:rightFromText="180" w:vertAnchor="text" w:horzAnchor="page" w:tblpX="9" w:tblpY="193"/>
        <w:tblOverlap w:val="never"/>
        <w:tblW w:w="11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40"/>
        <w:gridCol w:w="1041"/>
        <w:gridCol w:w="903"/>
        <w:gridCol w:w="1177"/>
        <w:gridCol w:w="1106"/>
        <w:gridCol w:w="1388"/>
        <w:gridCol w:w="1194"/>
        <w:gridCol w:w="1272"/>
        <w:gridCol w:w="24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64" w:hRule="atLeast"/>
        </w:trPr>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c>
          <w:tcPr>
            <w:tcW w:w="367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上限价</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报价（单价）</w:t>
            </w:r>
          </w:p>
        </w:tc>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报价总价</w:t>
            </w:r>
          </w:p>
        </w:tc>
        <w:tc>
          <w:tcPr>
            <w:tcW w:w="2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631" w:hRule="atLeast"/>
        </w:trPr>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频次</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上限单价（元）</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上限合价（元）</w:t>
            </w: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64"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日常维保</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38880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电梯数量2台、</w:t>
            </w:r>
          </w:p>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型号：MTP  电梯名称：曼隆蒂森克虏伯电梯  时间：3年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8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电梯年检</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500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3000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时间：3年  每年1一次  检测台数：2台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8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合计</w:t>
            </w:r>
          </w:p>
        </w:tc>
        <w:tc>
          <w:tcPr>
            <w:tcW w:w="808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报价总价之和</w:t>
            </w:r>
          </w:p>
        </w:tc>
      </w:tr>
    </w:tbl>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6D8812-0B2E-48CA-A2FA-29AD2EBAD11C}"/>
  </w:font>
  <w:font w:name="Arial">
    <w:panose1 w:val="020B0604020202020204"/>
    <w:charset w:val="01"/>
    <w:family w:val="swiss"/>
    <w:pitch w:val="default"/>
    <w:sig w:usb0="E0002EFF" w:usb1="C000785B" w:usb2="00000009" w:usb3="00000000" w:csb0="400001FF" w:csb1="FFFF0000"/>
    <w:embedRegular r:id="rId2" w:fontKey="{5BE21B54-117B-4801-B98C-7B553063BE22}"/>
  </w:font>
  <w:font w:name="黑体">
    <w:panose1 w:val="02010609060101010101"/>
    <w:charset w:val="86"/>
    <w:family w:val="auto"/>
    <w:pitch w:val="default"/>
    <w:sig w:usb0="800002BF" w:usb1="38CF7CFA" w:usb2="00000016" w:usb3="00000000" w:csb0="00040001" w:csb1="00000000"/>
    <w:embedRegular r:id="rId3" w:fontKey="{0622C887-300A-4453-AE84-2C7AC0A654C7}"/>
  </w:font>
  <w:font w:name="Courier New">
    <w:panose1 w:val="02070309020205020404"/>
    <w:charset w:val="01"/>
    <w:family w:val="modern"/>
    <w:pitch w:val="default"/>
    <w:sig w:usb0="E0002EFF" w:usb1="C0007843" w:usb2="00000009" w:usb3="00000000" w:csb0="400001FF" w:csb1="FFFF0000"/>
    <w:embedRegular r:id="rId4" w:fontKey="{835516EE-2F26-425A-9443-D620885CB767}"/>
  </w:font>
  <w:font w:name="Symbol">
    <w:panose1 w:val="05050102010706020507"/>
    <w:charset w:val="02"/>
    <w:family w:val="roman"/>
    <w:pitch w:val="default"/>
    <w:sig w:usb0="00000000" w:usb1="00000000" w:usb2="00000000" w:usb3="00000000" w:csb0="80000000" w:csb1="00000000"/>
    <w:embedRegular r:id="rId5" w:fontKey="{341C2B32-3FE9-4B1B-8A32-97E9E879695E}"/>
  </w:font>
  <w:font w:name="Calibri">
    <w:panose1 w:val="020F0502020204030204"/>
    <w:charset w:val="00"/>
    <w:family w:val="swiss"/>
    <w:pitch w:val="default"/>
    <w:sig w:usb0="E4002EFF" w:usb1="C000247B" w:usb2="00000009" w:usb3="00000000" w:csb0="200001FF" w:csb1="00000000"/>
    <w:embedRegular r:id="rId6" w:fontKey="{B7339516-BBC5-4228-957B-C12567CC8209}"/>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Arial"/>
    <w:panose1 w:val="020B0604020202020204"/>
    <w:charset w:val="00"/>
    <w:family w:val="roman"/>
    <w:pitch w:val="default"/>
    <w:sig w:usb0="00000000" w:usb1="00000000" w:usb2="00000000" w:usb3="00000000" w:csb0="00000001" w:csb1="00000000"/>
  </w:font>
  <w:font w:name="方正小标宋_GBK">
    <w:panose1 w:val="03000509000000000000"/>
    <w:charset w:val="86"/>
    <w:family w:val="script"/>
    <w:pitch w:val="default"/>
    <w:sig w:usb0="00000001" w:usb1="080E0000" w:usb2="00000000" w:usb3="00000000" w:csb0="00040000" w:csb1="00000000"/>
    <w:embedRegular r:id="rId7" w:fontKey="{D706B32A-2213-4F13-A5EF-C19CFFE49E2F}"/>
  </w:font>
  <w:font w:name="方正仿宋_GBK">
    <w:panose1 w:val="03000509000000000000"/>
    <w:charset w:val="86"/>
    <w:family w:val="script"/>
    <w:pitch w:val="default"/>
    <w:sig w:usb0="00000001" w:usb1="080E0000" w:usb2="00000000" w:usb3="00000000" w:csb0="00040000" w:csb1="00000000"/>
    <w:embedRegular r:id="rId8" w:fontKey="{238DB08D-7D1E-47C4-B433-F490DDDC6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Style w:val="8"/>
                              <w:rFonts w:eastAsia="宋体"/>
                            </w:rPr>
                          </w:pPr>
                        </w:p>
                      </w:txbxContent>
                    </wps:txbx>
                    <wps:bodyPr vert="horz" wrap="none" lIns="0" tIns="0" rIns="0" bIns="0" anchor="t">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NlJO8NwBAACxAwAADgAAAAAAAAAB&#10;ACAAAAAeAQAAZHJzL2Uyb0RvYy54bWxQSwUGAAAAAAYABgBZAQAAbAUAAAAA&#10;">
              <v:fill on="f" focussize="0,0"/>
              <v:stroke on="f"/>
              <v:imagedata o:title=""/>
              <o:lock v:ext="edit" aspectratio="f"/>
              <v:textbox inset="0mm,0mm,0mm,0mm" style="mso-fit-shape-to-text:t;">
                <w:txbxContent>
                  <w:p>
                    <w:pPr>
                      <w:pStyle w:val="3"/>
                      <w:rPr>
                        <w:rStyle w:val="8"/>
                        <w:rFonts w:eastAsia="宋体"/>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A6A5BA"/>
    <w:multiLevelType w:val="singleLevel"/>
    <w:tmpl w:val="BCA6A5BA"/>
    <w:lvl w:ilvl="0" w:tentative="0">
      <w:start w:val="10"/>
      <w:numFmt w:val="chineseCounting"/>
      <w:suff w:val="nothing"/>
      <w:lvlText w:val="%1、"/>
      <w:lvlJc w:val="left"/>
      <w:pPr>
        <w:ind w:left="800" w:leftChars="0" w:firstLine="0" w:firstLineChars="0"/>
      </w:pPr>
      <w:rPr>
        <w:rFonts w:hint="eastAsia"/>
      </w:rPr>
    </w:lvl>
  </w:abstractNum>
  <w:abstractNum w:abstractNumId="1">
    <w:nsid w:val="E2061149"/>
    <w:multiLevelType w:val="singleLevel"/>
    <w:tmpl w:val="E2061149"/>
    <w:lvl w:ilvl="0" w:tentative="0">
      <w:start w:val="1"/>
      <w:numFmt w:val="decimal"/>
      <w:lvlText w:val="%1."/>
      <w:lvlJc w:val="left"/>
      <w:pPr>
        <w:tabs>
          <w:tab w:val="left" w:pos="312"/>
        </w:tabs>
        <w:ind w:left="560" w:leftChars="0" w:firstLine="0" w:firstLineChars="0"/>
      </w:pPr>
    </w:lvl>
  </w:abstractNum>
  <w:abstractNum w:abstractNumId="2">
    <w:nsid w:val="5F338AD1"/>
    <w:multiLevelType w:val="singleLevel"/>
    <w:tmpl w:val="5F338AD1"/>
    <w:lvl w:ilvl="0" w:tentative="0">
      <w:start w:val="1"/>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FmN2VmMTI4Y2Y1OTI2NmEwZDMzNjY1MDY4NGM1MGIifQ=="/>
  </w:docVars>
  <w:rsids>
    <w:rsidRoot w:val="00C725A3"/>
    <w:rsid w:val="0003574D"/>
    <w:rsid w:val="00046C66"/>
    <w:rsid w:val="00075F03"/>
    <w:rsid w:val="000C787D"/>
    <w:rsid w:val="00100CD4"/>
    <w:rsid w:val="001426BE"/>
    <w:rsid w:val="00146DBB"/>
    <w:rsid w:val="001967DC"/>
    <w:rsid w:val="001A0371"/>
    <w:rsid w:val="001A3589"/>
    <w:rsid w:val="00201D31"/>
    <w:rsid w:val="002040AC"/>
    <w:rsid w:val="002053B9"/>
    <w:rsid w:val="00221034"/>
    <w:rsid w:val="002A1FAA"/>
    <w:rsid w:val="002F6BDF"/>
    <w:rsid w:val="00304875"/>
    <w:rsid w:val="00312689"/>
    <w:rsid w:val="00375A3E"/>
    <w:rsid w:val="00377B5A"/>
    <w:rsid w:val="003A71CB"/>
    <w:rsid w:val="003C4F48"/>
    <w:rsid w:val="004077A6"/>
    <w:rsid w:val="004447D5"/>
    <w:rsid w:val="00447AAB"/>
    <w:rsid w:val="00454B24"/>
    <w:rsid w:val="00472BB4"/>
    <w:rsid w:val="00473031"/>
    <w:rsid w:val="00477D5C"/>
    <w:rsid w:val="00484B30"/>
    <w:rsid w:val="00492C11"/>
    <w:rsid w:val="004B07FE"/>
    <w:rsid w:val="004E7811"/>
    <w:rsid w:val="00570960"/>
    <w:rsid w:val="005B1DCB"/>
    <w:rsid w:val="005C771A"/>
    <w:rsid w:val="005E02A5"/>
    <w:rsid w:val="005E74C9"/>
    <w:rsid w:val="00616DB0"/>
    <w:rsid w:val="00636886"/>
    <w:rsid w:val="00645709"/>
    <w:rsid w:val="00661F16"/>
    <w:rsid w:val="00672AC0"/>
    <w:rsid w:val="00685BA0"/>
    <w:rsid w:val="006E1F4E"/>
    <w:rsid w:val="006F7834"/>
    <w:rsid w:val="0072271F"/>
    <w:rsid w:val="0080453B"/>
    <w:rsid w:val="00826161"/>
    <w:rsid w:val="00877FBF"/>
    <w:rsid w:val="00897AA4"/>
    <w:rsid w:val="008D721E"/>
    <w:rsid w:val="008E1F05"/>
    <w:rsid w:val="008E4106"/>
    <w:rsid w:val="00927426"/>
    <w:rsid w:val="00935604"/>
    <w:rsid w:val="00937FC0"/>
    <w:rsid w:val="009500C8"/>
    <w:rsid w:val="009770DF"/>
    <w:rsid w:val="00996AD1"/>
    <w:rsid w:val="009B7AFA"/>
    <w:rsid w:val="009F56E0"/>
    <w:rsid w:val="009F7F51"/>
    <w:rsid w:val="00A02D6C"/>
    <w:rsid w:val="00A26027"/>
    <w:rsid w:val="00A7413C"/>
    <w:rsid w:val="00AA6ABC"/>
    <w:rsid w:val="00AF5EC5"/>
    <w:rsid w:val="00B13E92"/>
    <w:rsid w:val="00B2720A"/>
    <w:rsid w:val="00B644A7"/>
    <w:rsid w:val="00B970D9"/>
    <w:rsid w:val="00BB20C6"/>
    <w:rsid w:val="00BE49E5"/>
    <w:rsid w:val="00BF003C"/>
    <w:rsid w:val="00C16CE6"/>
    <w:rsid w:val="00C17492"/>
    <w:rsid w:val="00C2540D"/>
    <w:rsid w:val="00C51D69"/>
    <w:rsid w:val="00C725A3"/>
    <w:rsid w:val="00C875D3"/>
    <w:rsid w:val="00CC135B"/>
    <w:rsid w:val="00CC42C7"/>
    <w:rsid w:val="00CD401D"/>
    <w:rsid w:val="00CE5BA8"/>
    <w:rsid w:val="00D03F8E"/>
    <w:rsid w:val="00D37ADA"/>
    <w:rsid w:val="00D50FB6"/>
    <w:rsid w:val="00D576E2"/>
    <w:rsid w:val="00D675F1"/>
    <w:rsid w:val="00D7405C"/>
    <w:rsid w:val="00D85933"/>
    <w:rsid w:val="00D86628"/>
    <w:rsid w:val="00DC133B"/>
    <w:rsid w:val="00E05CB6"/>
    <w:rsid w:val="00E40BC2"/>
    <w:rsid w:val="00E6516E"/>
    <w:rsid w:val="00EA6C93"/>
    <w:rsid w:val="00EC2060"/>
    <w:rsid w:val="00EC6CB1"/>
    <w:rsid w:val="00F0483E"/>
    <w:rsid w:val="00F23FAC"/>
    <w:rsid w:val="00F44185"/>
    <w:rsid w:val="00F83B6F"/>
    <w:rsid w:val="00F84869"/>
    <w:rsid w:val="00FB29C6"/>
    <w:rsid w:val="00FB6EBF"/>
    <w:rsid w:val="00FC3C69"/>
    <w:rsid w:val="00FC6391"/>
    <w:rsid w:val="00FE59F7"/>
    <w:rsid w:val="00FF4685"/>
    <w:rsid w:val="017336A8"/>
    <w:rsid w:val="018D14CD"/>
    <w:rsid w:val="03683667"/>
    <w:rsid w:val="038542B2"/>
    <w:rsid w:val="0386634E"/>
    <w:rsid w:val="03873C23"/>
    <w:rsid w:val="03B57FE6"/>
    <w:rsid w:val="04A14C29"/>
    <w:rsid w:val="04BF763E"/>
    <w:rsid w:val="05117F2B"/>
    <w:rsid w:val="06337D0E"/>
    <w:rsid w:val="06BB6FFE"/>
    <w:rsid w:val="06EC048E"/>
    <w:rsid w:val="07D32BC4"/>
    <w:rsid w:val="08594039"/>
    <w:rsid w:val="08BD37F7"/>
    <w:rsid w:val="08D22927"/>
    <w:rsid w:val="08F77520"/>
    <w:rsid w:val="094B54D1"/>
    <w:rsid w:val="0AB169E2"/>
    <w:rsid w:val="0ADC2701"/>
    <w:rsid w:val="0AFB44F8"/>
    <w:rsid w:val="0C0D15D3"/>
    <w:rsid w:val="0CBA3508"/>
    <w:rsid w:val="0E1C218E"/>
    <w:rsid w:val="0E5908DA"/>
    <w:rsid w:val="0E767161"/>
    <w:rsid w:val="0EBD18B7"/>
    <w:rsid w:val="0F82477C"/>
    <w:rsid w:val="100F3206"/>
    <w:rsid w:val="113F2789"/>
    <w:rsid w:val="12491FD1"/>
    <w:rsid w:val="1262584B"/>
    <w:rsid w:val="13086525"/>
    <w:rsid w:val="13500DD3"/>
    <w:rsid w:val="13DC6162"/>
    <w:rsid w:val="14783269"/>
    <w:rsid w:val="164362D4"/>
    <w:rsid w:val="16E44C4A"/>
    <w:rsid w:val="17140FD0"/>
    <w:rsid w:val="172329DA"/>
    <w:rsid w:val="17C67A93"/>
    <w:rsid w:val="181B57DD"/>
    <w:rsid w:val="18510369"/>
    <w:rsid w:val="186D01BB"/>
    <w:rsid w:val="193840F4"/>
    <w:rsid w:val="1A98018A"/>
    <w:rsid w:val="1C464ACA"/>
    <w:rsid w:val="1D591CD5"/>
    <w:rsid w:val="1D980AE6"/>
    <w:rsid w:val="1E7370CF"/>
    <w:rsid w:val="1E8F40C9"/>
    <w:rsid w:val="1EBE27AD"/>
    <w:rsid w:val="1EC00A02"/>
    <w:rsid w:val="1F5C21FD"/>
    <w:rsid w:val="20AA656D"/>
    <w:rsid w:val="20C52024"/>
    <w:rsid w:val="217975A3"/>
    <w:rsid w:val="221F13C5"/>
    <w:rsid w:val="22EA23FA"/>
    <w:rsid w:val="23AB72AF"/>
    <w:rsid w:val="23D06D16"/>
    <w:rsid w:val="242A3C7B"/>
    <w:rsid w:val="24B267E1"/>
    <w:rsid w:val="25193CA0"/>
    <w:rsid w:val="258B0DDA"/>
    <w:rsid w:val="25AD5BE9"/>
    <w:rsid w:val="25F032DF"/>
    <w:rsid w:val="273618D1"/>
    <w:rsid w:val="274041B2"/>
    <w:rsid w:val="274E10B4"/>
    <w:rsid w:val="27A300CB"/>
    <w:rsid w:val="27F67495"/>
    <w:rsid w:val="283E0D6B"/>
    <w:rsid w:val="28465AAE"/>
    <w:rsid w:val="289854C1"/>
    <w:rsid w:val="28DC76B4"/>
    <w:rsid w:val="293F1650"/>
    <w:rsid w:val="29675987"/>
    <w:rsid w:val="2AA04C95"/>
    <w:rsid w:val="2AC207FF"/>
    <w:rsid w:val="2B19129F"/>
    <w:rsid w:val="2B855014"/>
    <w:rsid w:val="2BA10BE4"/>
    <w:rsid w:val="2BAE77C2"/>
    <w:rsid w:val="2BE40C1A"/>
    <w:rsid w:val="2CD92CCB"/>
    <w:rsid w:val="2CF241A1"/>
    <w:rsid w:val="2D6E1295"/>
    <w:rsid w:val="2D824B44"/>
    <w:rsid w:val="2D9B688F"/>
    <w:rsid w:val="2EA90F58"/>
    <w:rsid w:val="2F030DBB"/>
    <w:rsid w:val="2F6D50D0"/>
    <w:rsid w:val="3039510C"/>
    <w:rsid w:val="305F09C2"/>
    <w:rsid w:val="308F55C6"/>
    <w:rsid w:val="30B139AA"/>
    <w:rsid w:val="30E043EF"/>
    <w:rsid w:val="312E1520"/>
    <w:rsid w:val="318C78EE"/>
    <w:rsid w:val="33483B2E"/>
    <w:rsid w:val="344863A2"/>
    <w:rsid w:val="34DB0B97"/>
    <w:rsid w:val="34DE074D"/>
    <w:rsid w:val="34FD4B0C"/>
    <w:rsid w:val="353A4F22"/>
    <w:rsid w:val="359C2EFC"/>
    <w:rsid w:val="36C24352"/>
    <w:rsid w:val="381E00B1"/>
    <w:rsid w:val="3838013F"/>
    <w:rsid w:val="3845294B"/>
    <w:rsid w:val="38F50D55"/>
    <w:rsid w:val="397B6683"/>
    <w:rsid w:val="39B12CEE"/>
    <w:rsid w:val="3A0C01AC"/>
    <w:rsid w:val="3A4C5BCA"/>
    <w:rsid w:val="3A8F78FD"/>
    <w:rsid w:val="3B0C73DE"/>
    <w:rsid w:val="3B8C3A12"/>
    <w:rsid w:val="3BA96B71"/>
    <w:rsid w:val="3D4F4BE5"/>
    <w:rsid w:val="3D595233"/>
    <w:rsid w:val="3D9218F2"/>
    <w:rsid w:val="3F514D57"/>
    <w:rsid w:val="3F843D74"/>
    <w:rsid w:val="3F99463B"/>
    <w:rsid w:val="400929BB"/>
    <w:rsid w:val="407A0D48"/>
    <w:rsid w:val="40C61775"/>
    <w:rsid w:val="40D33591"/>
    <w:rsid w:val="412D60B5"/>
    <w:rsid w:val="412D66E3"/>
    <w:rsid w:val="424D3EFC"/>
    <w:rsid w:val="42A05736"/>
    <w:rsid w:val="42E40CD7"/>
    <w:rsid w:val="431D2901"/>
    <w:rsid w:val="4320104E"/>
    <w:rsid w:val="4340794E"/>
    <w:rsid w:val="43F25625"/>
    <w:rsid w:val="4410138C"/>
    <w:rsid w:val="443D7E58"/>
    <w:rsid w:val="4454604C"/>
    <w:rsid w:val="449038EA"/>
    <w:rsid w:val="455C018C"/>
    <w:rsid w:val="456D5245"/>
    <w:rsid w:val="46477875"/>
    <w:rsid w:val="472D5097"/>
    <w:rsid w:val="474A22AA"/>
    <w:rsid w:val="4885555B"/>
    <w:rsid w:val="48D91FC6"/>
    <w:rsid w:val="4979686E"/>
    <w:rsid w:val="4A0B36E5"/>
    <w:rsid w:val="4A9C4C08"/>
    <w:rsid w:val="4B01317C"/>
    <w:rsid w:val="4B307F16"/>
    <w:rsid w:val="4C067F73"/>
    <w:rsid w:val="4CE70474"/>
    <w:rsid w:val="4D227D33"/>
    <w:rsid w:val="4D7A5F15"/>
    <w:rsid w:val="4DA72C08"/>
    <w:rsid w:val="4E853ADA"/>
    <w:rsid w:val="4EB96475"/>
    <w:rsid w:val="4F863124"/>
    <w:rsid w:val="501A1195"/>
    <w:rsid w:val="51142088"/>
    <w:rsid w:val="514968E8"/>
    <w:rsid w:val="515D24E6"/>
    <w:rsid w:val="51990C58"/>
    <w:rsid w:val="51BB586A"/>
    <w:rsid w:val="520403F8"/>
    <w:rsid w:val="5251102E"/>
    <w:rsid w:val="53393728"/>
    <w:rsid w:val="54403007"/>
    <w:rsid w:val="5491550A"/>
    <w:rsid w:val="54B5324B"/>
    <w:rsid w:val="54C81BCD"/>
    <w:rsid w:val="55205E9B"/>
    <w:rsid w:val="552E4249"/>
    <w:rsid w:val="55314447"/>
    <w:rsid w:val="554C5F8B"/>
    <w:rsid w:val="557E3C49"/>
    <w:rsid w:val="55EF17C1"/>
    <w:rsid w:val="5716672D"/>
    <w:rsid w:val="578E2C34"/>
    <w:rsid w:val="57F73D37"/>
    <w:rsid w:val="58A7345A"/>
    <w:rsid w:val="58D75E75"/>
    <w:rsid w:val="58DB1907"/>
    <w:rsid w:val="59244668"/>
    <w:rsid w:val="5A2C53BA"/>
    <w:rsid w:val="5A436F6E"/>
    <w:rsid w:val="5AF41747"/>
    <w:rsid w:val="5B3B235D"/>
    <w:rsid w:val="5BCE6A5B"/>
    <w:rsid w:val="5CBA2CF4"/>
    <w:rsid w:val="5DFC6AED"/>
    <w:rsid w:val="5E006D75"/>
    <w:rsid w:val="5E1E2272"/>
    <w:rsid w:val="5F2819C3"/>
    <w:rsid w:val="604F1611"/>
    <w:rsid w:val="60637D59"/>
    <w:rsid w:val="60D40475"/>
    <w:rsid w:val="61C85A65"/>
    <w:rsid w:val="61D2356C"/>
    <w:rsid w:val="624D05E8"/>
    <w:rsid w:val="634E224D"/>
    <w:rsid w:val="63895F27"/>
    <w:rsid w:val="638F25B0"/>
    <w:rsid w:val="642463EC"/>
    <w:rsid w:val="645E0594"/>
    <w:rsid w:val="648C1839"/>
    <w:rsid w:val="64A127F2"/>
    <w:rsid w:val="65587BEB"/>
    <w:rsid w:val="65861A1B"/>
    <w:rsid w:val="6621617C"/>
    <w:rsid w:val="667948C9"/>
    <w:rsid w:val="66BF635A"/>
    <w:rsid w:val="67314315"/>
    <w:rsid w:val="67AA29A7"/>
    <w:rsid w:val="67E9500C"/>
    <w:rsid w:val="68921EE1"/>
    <w:rsid w:val="68CD4B9F"/>
    <w:rsid w:val="68D50FFC"/>
    <w:rsid w:val="68E817CF"/>
    <w:rsid w:val="693E4708"/>
    <w:rsid w:val="696041A7"/>
    <w:rsid w:val="699D6C67"/>
    <w:rsid w:val="69B24661"/>
    <w:rsid w:val="69DC2066"/>
    <w:rsid w:val="6B8B7D01"/>
    <w:rsid w:val="6C6C4F6D"/>
    <w:rsid w:val="6D332F2B"/>
    <w:rsid w:val="6D6036B1"/>
    <w:rsid w:val="6DFD0188"/>
    <w:rsid w:val="6E080A13"/>
    <w:rsid w:val="6E16536F"/>
    <w:rsid w:val="6E1F2AB3"/>
    <w:rsid w:val="6E540EFF"/>
    <w:rsid w:val="6EF72976"/>
    <w:rsid w:val="6F815BA8"/>
    <w:rsid w:val="6F9968EE"/>
    <w:rsid w:val="700B73C3"/>
    <w:rsid w:val="70375433"/>
    <w:rsid w:val="70E46520"/>
    <w:rsid w:val="7128074E"/>
    <w:rsid w:val="71C22961"/>
    <w:rsid w:val="71E44ADA"/>
    <w:rsid w:val="720A252E"/>
    <w:rsid w:val="729130E1"/>
    <w:rsid w:val="72B92FFB"/>
    <w:rsid w:val="732F481C"/>
    <w:rsid w:val="739568E2"/>
    <w:rsid w:val="74035919"/>
    <w:rsid w:val="751F3BC7"/>
    <w:rsid w:val="75873CAC"/>
    <w:rsid w:val="77013454"/>
    <w:rsid w:val="771E29E7"/>
    <w:rsid w:val="77D632A2"/>
    <w:rsid w:val="77D81542"/>
    <w:rsid w:val="78676D3C"/>
    <w:rsid w:val="78767001"/>
    <w:rsid w:val="789B62FC"/>
    <w:rsid w:val="795D06F8"/>
    <w:rsid w:val="797D682C"/>
    <w:rsid w:val="7A056666"/>
    <w:rsid w:val="7A754902"/>
    <w:rsid w:val="7B1F4326"/>
    <w:rsid w:val="7C9C2538"/>
    <w:rsid w:val="7CA60623"/>
    <w:rsid w:val="7CBB6479"/>
    <w:rsid w:val="7D3A3095"/>
    <w:rsid w:val="7EB22CD3"/>
    <w:rsid w:val="7ED56104"/>
    <w:rsid w:val="7F1321F9"/>
    <w:rsid w:val="7F1D01D6"/>
    <w:rsid w:val="7F2D1F8D"/>
    <w:rsid w:val="7F8A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0"/>
    <w:rPr>
      <w:b/>
    </w:rPr>
  </w:style>
  <w:style w:type="character" w:styleId="8">
    <w:name w:val="page number"/>
    <w:basedOn w:val="6"/>
    <w:qFormat/>
    <w:uiPriority w:val="0"/>
  </w:style>
  <w:style w:type="paragraph" w:customStyle="1" w:styleId="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0">
    <w:name w:val="页眉 字符"/>
    <w:basedOn w:val="6"/>
    <w:link w:val="4"/>
    <w:semiHidden/>
    <w:qFormat/>
    <w:uiPriority w:val="99"/>
    <w:rPr>
      <w:kern w:val="2"/>
      <w:sz w:val="18"/>
      <w:szCs w:val="18"/>
    </w:rPr>
  </w:style>
  <w:style w:type="character" w:customStyle="1" w:styleId="11">
    <w:name w:val="页脚 字符"/>
    <w:basedOn w:val="6"/>
    <w:link w:val="3"/>
    <w:semiHidden/>
    <w:qFormat/>
    <w:uiPriority w:val="99"/>
    <w:rPr>
      <w:kern w:val="2"/>
      <w:sz w:val="18"/>
      <w:szCs w:val="18"/>
    </w:rPr>
  </w:style>
  <w:style w:type="paragraph" w:customStyle="1" w:styleId="12">
    <w:name w:val="_Style 1"/>
    <w:basedOn w:val="1"/>
    <w:qFormat/>
    <w:uiPriority w:val="34"/>
    <w:pPr>
      <w:ind w:firstLine="420" w:firstLineChars="200"/>
    </w:pPr>
  </w:style>
  <w:style w:type="character" w:customStyle="1" w:styleId="13">
    <w:name w:val="awspan1"/>
    <w:basedOn w:val="6"/>
    <w:qFormat/>
    <w:uiPriority w:val="0"/>
    <w:rPr>
      <w:color w:val="000000"/>
      <w:sz w:val="24"/>
      <w:szCs w:val="24"/>
    </w:rPr>
  </w:style>
  <w:style w:type="paragraph" w:customStyle="1" w:styleId="14">
    <w:name w:val="Body text|1"/>
    <w:basedOn w:val="1"/>
    <w:qFormat/>
    <w:uiPriority w:val="0"/>
    <w:pPr>
      <w:spacing w:after="200"/>
    </w:pPr>
    <w:rPr>
      <w:rFonts w:ascii="MingLiU" w:hAnsi="MingLiU" w:eastAsia="MingLiU" w:cs="MingLiU"/>
      <w:sz w:val="18"/>
      <w:szCs w:val="18"/>
      <w:lang w:val="zh-TW" w:eastAsia="zh-TW" w:bidi="zh-TW"/>
    </w:rPr>
  </w:style>
  <w:style w:type="paragraph" w:customStyle="1" w:styleId="15">
    <w:name w:val="正文 A"/>
    <w:qFormat/>
    <w:uiPriority w:val="99"/>
    <w:pPr>
      <w:framePr w:wrap="around" w:vAnchor="margin" w:hAnchor="text" w:y="1"/>
      <w:widowControl w:val="0"/>
      <w:jc w:val="both"/>
    </w:pPr>
    <w:rPr>
      <w:rFonts w:ascii="Arial Unicode MS" w:hAnsi="Arial Unicode MS" w:eastAsia="宋体" w:cs="Arial Unicode MS"/>
      <w:color w:val="000000"/>
      <w:kern w:val="2"/>
      <w:sz w:val="21"/>
      <w:szCs w:val="21"/>
      <w:lang w:val="en-US" w:eastAsia="zh-CN" w:bidi="ar-SA"/>
    </w:rPr>
  </w:style>
  <w:style w:type="paragraph" w:customStyle="1" w:styleId="16">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E627-8F58-494C-89F7-56BB7F001FA1}">
  <ds:schemaRefs/>
</ds:datastoreItem>
</file>

<file path=docProps/app.xml><?xml version="1.0" encoding="utf-8"?>
<Properties xmlns="http://schemas.openxmlformats.org/officeDocument/2006/extended-properties" xmlns:vt="http://schemas.openxmlformats.org/officeDocument/2006/docPropsVTypes">
  <Template>Normal</Template>
  <Pages>12</Pages>
  <Words>2801</Words>
  <Characters>2924</Characters>
  <Lines>28</Lines>
  <Paragraphs>8</Paragraphs>
  <TotalTime>96</TotalTime>
  <ScaleCrop>false</ScaleCrop>
  <LinksUpToDate>false</LinksUpToDate>
  <CharactersWithSpaces>3807</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2022-05-05T06:47:00Z</dcterms:created>
  <dc:creator>郑可静</dc:creator>
  <cp:lastModifiedBy>小星星心小星小小星</cp:lastModifiedBy>
  <cp:lastPrinted>2022-05-18T07:23:00Z</cp:lastPrinted>
  <dcterms:modified xsi:type="dcterms:W3CDTF">2023-06-19T04:58:40Z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KSOSaveFontToCloudKey">
    <vt:lpwstr>776691762_embed</vt:lpwstr>
  </property>
  <property fmtid="{D5CDD505-2E9C-101B-9397-08002B2CF9AE}" pid="4" name="ICV">
    <vt:lpwstr>0C9FF32D65DC452AAC68D97BD12C743E</vt:lpwstr>
  </property>
</Properties>
</file>