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2"/>
          <w:szCs w:val="32"/>
        </w:rPr>
      </w:pPr>
      <w:bookmarkStart w:id="0" w:name="OLE_LINK1"/>
      <w:r>
        <w:rPr>
          <w:rFonts w:hint="eastAsia" w:ascii="宋体" w:hAnsi="宋体" w:eastAsia="宋体" w:cs="宋体"/>
          <w:b/>
          <w:bCs/>
          <w:sz w:val="32"/>
          <w:szCs w:val="32"/>
        </w:rPr>
        <w:t>G85银昆高速、G93 成渝地区环线高速重庆高新区至荣昌区(川渝界)段改扩建、重庆市垫江至丰都至武隆高速公路工程建设用地勘测定界项目</w:t>
      </w:r>
      <w:r>
        <w:rPr>
          <w:rFonts w:hint="eastAsia" w:ascii="宋体" w:hAnsi="宋体" w:eastAsia="宋体" w:cs="宋体"/>
          <w:b/>
          <w:bCs/>
          <w:sz w:val="32"/>
          <w:szCs w:val="32"/>
          <w:lang w:eastAsia="zh-CN"/>
        </w:rPr>
        <w:t>三</w:t>
      </w:r>
      <w:r>
        <w:rPr>
          <w:rFonts w:hint="eastAsia" w:ascii="宋体" w:hAnsi="宋体" w:eastAsia="宋体" w:cs="宋体"/>
          <w:b/>
          <w:bCs/>
          <w:sz w:val="32"/>
          <w:szCs w:val="32"/>
        </w:rPr>
        <w:t>标段中标候选人公示</w:t>
      </w:r>
    </w:p>
    <w:p>
      <w:pPr>
        <w:jc w:val="center"/>
        <w:rPr>
          <w:rFonts w:ascii="宋体" w:hAnsi="宋体" w:eastAsia="宋体" w:cs="宋体"/>
          <w:sz w:val="24"/>
          <w:szCs w:val="24"/>
        </w:rPr>
      </w:pPr>
      <w:r>
        <w:rPr>
          <w:rFonts w:hint="eastAsia" w:ascii="宋体" w:hAnsi="宋体" w:eastAsia="宋体" w:cs="宋体"/>
          <w:sz w:val="24"/>
          <w:szCs w:val="24"/>
        </w:rPr>
        <w:t>（公示期：202</w:t>
      </w:r>
      <w:r>
        <w:rPr>
          <w:rFonts w:ascii="宋体" w:hAnsi="宋体" w:eastAsia="宋体" w:cs="宋体"/>
          <w:sz w:val="24"/>
          <w:szCs w:val="24"/>
        </w:rPr>
        <w:t>3</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21</w:t>
      </w:r>
      <w:r>
        <w:rPr>
          <w:rFonts w:hint="eastAsia" w:ascii="宋体" w:hAnsi="宋体" w:eastAsia="宋体" w:cs="宋体"/>
          <w:sz w:val="24"/>
          <w:szCs w:val="24"/>
        </w:rPr>
        <w:t>日至 202</w:t>
      </w:r>
      <w:r>
        <w:rPr>
          <w:rFonts w:ascii="宋体" w:hAnsi="宋体" w:eastAsia="宋体" w:cs="宋体"/>
          <w:sz w:val="24"/>
          <w:szCs w:val="24"/>
        </w:rPr>
        <w:t>3</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月2</w:t>
      </w:r>
      <w:r>
        <w:rPr>
          <w:rFonts w:hint="eastAsia" w:ascii="宋体" w:hAnsi="宋体" w:eastAsia="宋体" w:cs="宋体"/>
          <w:sz w:val="24"/>
          <w:szCs w:val="24"/>
          <w:lang w:val="en-US" w:eastAsia="zh-CN"/>
        </w:rPr>
        <w:t>5</w:t>
      </w:r>
      <w:r>
        <w:rPr>
          <w:rFonts w:hint="eastAsia" w:ascii="宋体" w:hAnsi="宋体" w:eastAsia="宋体" w:cs="宋体"/>
          <w:sz w:val="24"/>
          <w:szCs w:val="24"/>
        </w:rPr>
        <w:t>日）</w:t>
      </w:r>
    </w:p>
    <w:tbl>
      <w:tblPr>
        <w:tblStyle w:val="9"/>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585"/>
        <w:gridCol w:w="1423"/>
        <w:gridCol w:w="709"/>
        <w:gridCol w:w="628"/>
        <w:gridCol w:w="1205"/>
        <w:gridCol w:w="950"/>
        <w:gridCol w:w="490"/>
        <w:gridCol w:w="60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2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项目标段名称</w:t>
            </w:r>
          </w:p>
        </w:tc>
        <w:tc>
          <w:tcPr>
            <w:tcW w:w="5550" w:type="dxa"/>
            <w:gridSpan w:val="5"/>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G85银昆高速、G93 成渝地区环线高速重庆高新区至荣昌区(川渝界)段改扩建、重庆市垫江至丰都至武隆高速公路工程建设用地勘测定界项目</w:t>
            </w:r>
            <w:r>
              <w:rPr>
                <w:rFonts w:hint="eastAsia" w:ascii="宋体" w:hAnsi="宋体" w:eastAsia="宋体" w:cs="宋体"/>
                <w:color w:val="000000"/>
                <w:kern w:val="0"/>
                <w:szCs w:val="21"/>
                <w:lang w:eastAsia="zh-CN"/>
              </w:rPr>
              <w:t>三</w:t>
            </w:r>
            <w:r>
              <w:rPr>
                <w:rFonts w:hint="eastAsia" w:ascii="宋体" w:hAnsi="宋体" w:eastAsia="宋体" w:cs="宋体"/>
                <w:color w:val="000000"/>
                <w:kern w:val="0"/>
                <w:szCs w:val="21"/>
              </w:rPr>
              <w:t>标段</w:t>
            </w:r>
          </w:p>
        </w:tc>
        <w:tc>
          <w:tcPr>
            <w:tcW w:w="1440" w:type="dxa"/>
            <w:gridSpan w:val="2"/>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最高限价（或招标控制价）（元）</w:t>
            </w:r>
          </w:p>
        </w:tc>
        <w:tc>
          <w:tcPr>
            <w:tcW w:w="1780" w:type="dxa"/>
            <w:gridSpan w:val="2"/>
            <w:vMerge w:val="restart"/>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1155000.00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2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项目编码</w:t>
            </w:r>
          </w:p>
        </w:tc>
        <w:tc>
          <w:tcPr>
            <w:tcW w:w="5550" w:type="dxa"/>
            <w:gridSpan w:val="5"/>
            <w:shd w:val="clear" w:color="auto" w:fill="auto"/>
            <w:vAlign w:val="center"/>
          </w:tcPr>
          <w:p>
            <w:pPr>
              <w:widowControl/>
              <w:jc w:val="center"/>
              <w:rPr>
                <w:rFonts w:hint="eastAsia" w:ascii="宋体" w:hAnsi="宋体" w:eastAsia="宋体" w:cs="宋体"/>
                <w:color w:val="000000"/>
                <w:kern w:val="0"/>
                <w:szCs w:val="21"/>
                <w:lang w:eastAsia="zh-CN"/>
              </w:rPr>
            </w:pPr>
            <w:bookmarkStart w:id="1" w:name="_Hlk138142101"/>
            <w:r>
              <w:rPr>
                <w:rFonts w:ascii="宋体" w:hAnsi="宋体" w:eastAsia="宋体" w:cs="宋体"/>
                <w:color w:val="000000"/>
                <w:kern w:val="0"/>
                <w:szCs w:val="21"/>
              </w:rPr>
              <w:t>5000012023052002501010</w:t>
            </w:r>
            <w:bookmarkEnd w:id="1"/>
            <w:r>
              <w:rPr>
                <w:rFonts w:hint="eastAsia" w:ascii="宋体" w:hAnsi="宋体" w:eastAsia="宋体" w:cs="宋体"/>
                <w:color w:val="000000"/>
                <w:kern w:val="0"/>
                <w:szCs w:val="21"/>
                <w:lang w:val="en-US" w:eastAsia="zh-CN"/>
              </w:rPr>
              <w:t>3</w:t>
            </w:r>
          </w:p>
        </w:tc>
        <w:tc>
          <w:tcPr>
            <w:tcW w:w="1440" w:type="dxa"/>
            <w:gridSpan w:val="2"/>
            <w:vMerge w:val="continue"/>
            <w:shd w:val="clear" w:color="auto" w:fill="auto"/>
            <w:vAlign w:val="center"/>
          </w:tcPr>
          <w:p>
            <w:pPr>
              <w:widowControl/>
              <w:jc w:val="center"/>
              <w:rPr>
                <w:rFonts w:ascii="宋体" w:hAnsi="宋体" w:eastAsia="宋体" w:cs="宋体"/>
                <w:color w:val="000000"/>
                <w:kern w:val="0"/>
                <w:szCs w:val="21"/>
              </w:rPr>
            </w:pPr>
          </w:p>
        </w:tc>
        <w:tc>
          <w:tcPr>
            <w:tcW w:w="1780" w:type="dxa"/>
            <w:gridSpan w:val="2"/>
            <w:vMerge w:val="continue"/>
            <w:shd w:val="clear" w:color="auto" w:fill="auto"/>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2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招标公告编号</w:t>
            </w:r>
          </w:p>
        </w:tc>
        <w:tc>
          <w:tcPr>
            <w:tcW w:w="5550" w:type="dxa"/>
            <w:gridSpan w:val="5"/>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1440" w:type="dxa"/>
            <w:gridSpan w:val="2"/>
            <w:vMerge w:val="continue"/>
            <w:shd w:val="clear" w:color="auto" w:fill="auto"/>
            <w:vAlign w:val="center"/>
          </w:tcPr>
          <w:p>
            <w:pPr>
              <w:widowControl/>
              <w:jc w:val="center"/>
              <w:rPr>
                <w:rFonts w:ascii="宋体" w:hAnsi="宋体" w:eastAsia="宋体" w:cs="宋体"/>
                <w:color w:val="000000"/>
                <w:kern w:val="0"/>
                <w:szCs w:val="21"/>
              </w:rPr>
            </w:pPr>
          </w:p>
        </w:tc>
        <w:tc>
          <w:tcPr>
            <w:tcW w:w="1780" w:type="dxa"/>
            <w:gridSpan w:val="2"/>
            <w:vMerge w:val="continue"/>
            <w:shd w:val="clear" w:color="auto" w:fill="auto"/>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22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招标人</w:t>
            </w:r>
          </w:p>
        </w:tc>
        <w:tc>
          <w:tcPr>
            <w:tcW w:w="5550" w:type="dxa"/>
            <w:gridSpan w:val="5"/>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重庆成渝垫丰武高速公路有限公司</w:t>
            </w:r>
          </w:p>
        </w:tc>
        <w:tc>
          <w:tcPr>
            <w:tcW w:w="1440" w:type="dxa"/>
            <w:gridSpan w:val="2"/>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招标人联系电话</w:t>
            </w:r>
          </w:p>
        </w:tc>
        <w:tc>
          <w:tcPr>
            <w:tcW w:w="1780" w:type="dxa"/>
            <w:gridSpan w:val="2"/>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13667646766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2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招标代理机构</w:t>
            </w:r>
          </w:p>
        </w:tc>
        <w:tc>
          <w:tcPr>
            <w:tcW w:w="5550" w:type="dxa"/>
            <w:gridSpan w:val="5"/>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重庆国际投资咨询集团有限公司</w:t>
            </w:r>
          </w:p>
        </w:tc>
        <w:tc>
          <w:tcPr>
            <w:tcW w:w="1440" w:type="dxa"/>
            <w:gridSpan w:val="2"/>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招标代理机构联系电话</w:t>
            </w:r>
          </w:p>
        </w:tc>
        <w:tc>
          <w:tcPr>
            <w:tcW w:w="1780" w:type="dxa"/>
            <w:gridSpan w:val="2"/>
            <w:shd w:val="clear" w:color="auto" w:fill="auto"/>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023-67107374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20"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中标候选人排序</w:t>
            </w:r>
          </w:p>
        </w:tc>
        <w:tc>
          <w:tcPr>
            <w:tcW w:w="1585"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名称</w:t>
            </w:r>
          </w:p>
        </w:tc>
        <w:tc>
          <w:tcPr>
            <w:tcW w:w="1423"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投标报价（元）</w:t>
            </w:r>
          </w:p>
        </w:tc>
        <w:tc>
          <w:tcPr>
            <w:tcW w:w="1337" w:type="dxa"/>
            <w:gridSpan w:val="2"/>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工期</w:t>
            </w:r>
          </w:p>
        </w:tc>
        <w:tc>
          <w:tcPr>
            <w:tcW w:w="1205"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质量</w:t>
            </w:r>
          </w:p>
        </w:tc>
        <w:tc>
          <w:tcPr>
            <w:tcW w:w="3220" w:type="dxa"/>
            <w:gridSpan w:val="4"/>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拟任项目负责人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20" w:type="dxa"/>
            <w:vMerge w:val="continue"/>
            <w:vAlign w:val="center"/>
          </w:tcPr>
          <w:p>
            <w:pPr>
              <w:widowControl/>
              <w:jc w:val="left"/>
              <w:rPr>
                <w:rFonts w:ascii="宋体" w:hAnsi="宋体" w:eastAsia="宋体" w:cs="宋体"/>
                <w:color w:val="000000"/>
                <w:kern w:val="0"/>
                <w:szCs w:val="21"/>
              </w:rPr>
            </w:pPr>
          </w:p>
        </w:tc>
        <w:tc>
          <w:tcPr>
            <w:tcW w:w="1585" w:type="dxa"/>
            <w:vMerge w:val="continue"/>
            <w:vAlign w:val="center"/>
          </w:tcPr>
          <w:p>
            <w:pPr>
              <w:widowControl/>
              <w:jc w:val="left"/>
              <w:rPr>
                <w:rFonts w:ascii="宋体" w:hAnsi="宋体" w:eastAsia="宋体" w:cs="宋体"/>
                <w:color w:val="000000"/>
                <w:kern w:val="0"/>
                <w:szCs w:val="21"/>
              </w:rPr>
            </w:pPr>
          </w:p>
        </w:tc>
        <w:tc>
          <w:tcPr>
            <w:tcW w:w="1423" w:type="dxa"/>
            <w:vMerge w:val="continue"/>
            <w:vAlign w:val="center"/>
          </w:tcPr>
          <w:p>
            <w:pPr>
              <w:widowControl/>
              <w:jc w:val="left"/>
              <w:rPr>
                <w:rFonts w:ascii="宋体" w:hAnsi="宋体" w:eastAsia="宋体" w:cs="宋体"/>
                <w:color w:val="000000"/>
                <w:kern w:val="0"/>
                <w:szCs w:val="21"/>
              </w:rPr>
            </w:pPr>
          </w:p>
        </w:tc>
        <w:tc>
          <w:tcPr>
            <w:tcW w:w="1337" w:type="dxa"/>
            <w:gridSpan w:val="2"/>
            <w:vMerge w:val="continue"/>
            <w:tcBorders>
              <w:bottom w:val="single" w:color="000000" w:sz="4" w:space="0"/>
            </w:tcBorders>
            <w:vAlign w:val="center"/>
          </w:tcPr>
          <w:p>
            <w:pPr>
              <w:widowControl/>
              <w:jc w:val="left"/>
              <w:rPr>
                <w:rFonts w:ascii="宋体" w:hAnsi="宋体" w:eastAsia="宋体" w:cs="宋体"/>
                <w:color w:val="000000"/>
                <w:kern w:val="0"/>
                <w:szCs w:val="21"/>
              </w:rPr>
            </w:pPr>
          </w:p>
        </w:tc>
        <w:tc>
          <w:tcPr>
            <w:tcW w:w="1205" w:type="dxa"/>
            <w:vMerge w:val="continue"/>
            <w:tcBorders>
              <w:bottom w:val="single" w:color="000000" w:sz="4" w:space="0"/>
            </w:tcBorders>
            <w:vAlign w:val="center"/>
          </w:tcPr>
          <w:p>
            <w:pPr>
              <w:widowControl/>
              <w:jc w:val="left"/>
              <w:rPr>
                <w:rFonts w:ascii="宋体" w:hAnsi="宋体" w:eastAsia="宋体" w:cs="宋体"/>
                <w:color w:val="000000"/>
                <w:kern w:val="0"/>
                <w:szCs w:val="21"/>
              </w:rPr>
            </w:pPr>
          </w:p>
        </w:tc>
        <w:tc>
          <w:tcPr>
            <w:tcW w:w="95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姓名</w:t>
            </w:r>
          </w:p>
        </w:tc>
        <w:tc>
          <w:tcPr>
            <w:tcW w:w="1090" w:type="dxa"/>
            <w:gridSpan w:val="2"/>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证书名称</w:t>
            </w:r>
          </w:p>
        </w:tc>
        <w:tc>
          <w:tcPr>
            <w:tcW w:w="118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220" w:type="dxa"/>
            <w:shd w:val="clear" w:color="auto" w:fill="auto"/>
            <w:vAlign w:val="center"/>
          </w:tcPr>
          <w:p>
            <w:pPr>
              <w:widowControl/>
              <w:jc w:val="center"/>
              <w:rPr>
                <w:rFonts w:ascii="宋体" w:hAnsi="宋体" w:eastAsia="宋体" w:cs="宋体"/>
                <w:color w:val="000000"/>
                <w:kern w:val="0"/>
                <w:szCs w:val="21"/>
              </w:rPr>
            </w:pPr>
            <w:bookmarkStart w:id="2" w:name="_GoBack" w:colFirst="6" w:colLast="7"/>
            <w:r>
              <w:rPr>
                <w:rFonts w:hint="eastAsia" w:ascii="宋体" w:hAnsi="宋体" w:eastAsia="宋体" w:cs="宋体"/>
                <w:color w:val="000000"/>
                <w:kern w:val="0"/>
                <w:szCs w:val="21"/>
              </w:rPr>
              <w:t>第一名</w:t>
            </w:r>
          </w:p>
        </w:tc>
        <w:tc>
          <w:tcPr>
            <w:tcW w:w="1585" w:type="dxa"/>
            <w:shd w:val="clear" w:color="auto" w:fill="auto"/>
            <w:vAlign w:val="center"/>
          </w:tcPr>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重庆金地勘测规划设计有限公司</w:t>
            </w:r>
          </w:p>
        </w:tc>
        <w:tc>
          <w:tcPr>
            <w:tcW w:w="1423" w:type="dxa"/>
            <w:shd w:val="clear" w:color="auto" w:fill="auto"/>
            <w:vAlign w:val="center"/>
          </w:tcPr>
          <w:p>
            <w:pPr>
              <w:jc w:val="center"/>
              <w:rPr>
                <w:rFonts w:hint="eastAsia" w:ascii="宋体" w:hAnsi="宋体" w:eastAsia="宋体" w:cs="宋体"/>
                <w:color w:val="000000"/>
                <w:kern w:val="0"/>
                <w:sz w:val="21"/>
                <w:szCs w:val="21"/>
              </w:rPr>
            </w:pPr>
            <w:r>
              <w:rPr>
                <w:rFonts w:hint="eastAsia" w:ascii="宋体" w:hAnsi="宋体" w:eastAsia="宋体" w:cs="宋体"/>
                <w:sz w:val="21"/>
                <w:szCs w:val="21"/>
              </w:rPr>
              <w:t>1120350.00</w:t>
            </w:r>
          </w:p>
        </w:tc>
        <w:tc>
          <w:tcPr>
            <w:tcW w:w="1337" w:type="dxa"/>
            <w:gridSpan w:val="2"/>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符合招标文件要求</w:t>
            </w:r>
          </w:p>
        </w:tc>
        <w:tc>
          <w:tcPr>
            <w:tcW w:w="1205" w:type="dxa"/>
            <w:tcBorders>
              <w:bottom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符合招标文件要求</w:t>
            </w:r>
          </w:p>
        </w:tc>
        <w:tc>
          <w:tcPr>
            <w:tcW w:w="95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殷建良</w:t>
            </w:r>
          </w:p>
        </w:tc>
        <w:tc>
          <w:tcPr>
            <w:tcW w:w="1090" w:type="dxa"/>
            <w:gridSpan w:val="2"/>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职称证书</w:t>
            </w:r>
          </w:p>
        </w:tc>
        <w:tc>
          <w:tcPr>
            <w:tcW w:w="1180" w:type="dxa"/>
            <w:shd w:val="clear" w:color="auto" w:fill="auto"/>
            <w:vAlign w:val="center"/>
          </w:tcPr>
          <w:p>
            <w:pPr>
              <w:widowControl/>
              <w:jc w:val="center"/>
              <w:rPr>
                <w:sz w:val="21"/>
                <w:szCs w:val="21"/>
              </w:rPr>
            </w:pPr>
            <w:r>
              <w:rPr>
                <w:rFonts w:hint="eastAsia" w:ascii="宋体" w:hAnsi="宋体" w:eastAsia="宋体" w:cs="宋体"/>
                <w:color w:val="000000"/>
                <w:kern w:val="0"/>
                <w:szCs w:val="21"/>
              </w:rPr>
              <w:t>202309171973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22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第二名</w:t>
            </w:r>
          </w:p>
        </w:tc>
        <w:tc>
          <w:tcPr>
            <w:tcW w:w="1585" w:type="dxa"/>
            <w:shd w:val="clear" w:color="auto" w:fill="auto"/>
            <w:vAlign w:val="center"/>
          </w:tcPr>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中建材西南勘测设计有限公司</w:t>
            </w:r>
          </w:p>
        </w:tc>
        <w:tc>
          <w:tcPr>
            <w:tcW w:w="1423" w:type="dxa"/>
            <w:shd w:val="clear" w:color="auto" w:fill="auto"/>
            <w:vAlign w:val="center"/>
          </w:tcPr>
          <w:p>
            <w:pPr>
              <w:jc w:val="center"/>
              <w:rPr>
                <w:rFonts w:hint="eastAsia" w:ascii="宋体" w:hAnsi="宋体" w:eastAsia="宋体" w:cs="宋体"/>
                <w:color w:val="000000"/>
                <w:kern w:val="0"/>
                <w:sz w:val="21"/>
                <w:szCs w:val="21"/>
              </w:rPr>
            </w:pPr>
            <w:r>
              <w:rPr>
                <w:rFonts w:hint="eastAsia" w:ascii="宋体" w:hAnsi="宋体" w:eastAsia="宋体" w:cs="宋体"/>
                <w:sz w:val="21"/>
                <w:szCs w:val="21"/>
              </w:rPr>
              <w:t>1074150.00</w:t>
            </w:r>
          </w:p>
        </w:tc>
        <w:tc>
          <w:tcPr>
            <w:tcW w:w="1337" w:type="dxa"/>
            <w:gridSpan w:val="2"/>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35日历天；后期持续服务至到项目竣工验收，暂定6年。</w:t>
            </w:r>
          </w:p>
        </w:tc>
        <w:tc>
          <w:tcPr>
            <w:tcW w:w="1205" w:type="dxa"/>
            <w:tcBorders>
              <w:bottom w:val="single" w:color="000000"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满足国家和行业现行有关要</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求，并达到合格要求。</w:t>
            </w:r>
          </w:p>
        </w:tc>
        <w:tc>
          <w:tcPr>
            <w:tcW w:w="95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孙铁钢</w:t>
            </w:r>
          </w:p>
        </w:tc>
        <w:tc>
          <w:tcPr>
            <w:tcW w:w="1090" w:type="dxa"/>
            <w:gridSpan w:val="2"/>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职称证书</w:t>
            </w:r>
          </w:p>
        </w:tc>
        <w:tc>
          <w:tcPr>
            <w:tcW w:w="1180" w:type="dxa"/>
            <w:shd w:val="clear" w:color="auto" w:fill="auto"/>
            <w:vAlign w:val="center"/>
          </w:tcPr>
          <w:p>
            <w:pPr>
              <w:widowControl/>
              <w:jc w:val="center"/>
              <w:rPr>
                <w:sz w:val="21"/>
                <w:szCs w:val="21"/>
              </w:rPr>
            </w:pPr>
            <w:r>
              <w:rPr>
                <w:rFonts w:hint="eastAsia" w:ascii="宋体" w:hAnsi="宋体" w:eastAsia="宋体" w:cs="宋体"/>
                <w:color w:val="000000"/>
                <w:kern w:val="0"/>
                <w:szCs w:val="21"/>
              </w:rPr>
              <w:t xml:space="preserve">PEn2011076 </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22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第三名</w:t>
            </w:r>
          </w:p>
        </w:tc>
        <w:tc>
          <w:tcPr>
            <w:tcW w:w="1585" w:type="dxa"/>
            <w:shd w:val="clear" w:color="auto" w:fill="auto"/>
            <w:vAlign w:val="center"/>
          </w:tcPr>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贵州天地通科技有限公司</w:t>
            </w:r>
          </w:p>
        </w:tc>
        <w:tc>
          <w:tcPr>
            <w:tcW w:w="1423" w:type="dxa"/>
            <w:shd w:val="clear" w:color="auto" w:fill="auto"/>
            <w:vAlign w:val="center"/>
          </w:tcPr>
          <w:p>
            <w:pPr>
              <w:jc w:val="center"/>
              <w:rPr>
                <w:rFonts w:hint="eastAsia" w:ascii="宋体" w:hAnsi="宋体" w:eastAsia="宋体" w:cs="宋体"/>
                <w:color w:val="000000"/>
                <w:kern w:val="0"/>
                <w:sz w:val="21"/>
                <w:szCs w:val="21"/>
              </w:rPr>
            </w:pPr>
            <w:r>
              <w:rPr>
                <w:rFonts w:hint="eastAsia" w:ascii="宋体" w:hAnsi="宋体" w:eastAsia="宋体" w:cs="宋体"/>
                <w:sz w:val="21"/>
                <w:szCs w:val="21"/>
              </w:rPr>
              <w:t>1144605.00</w:t>
            </w:r>
          </w:p>
        </w:tc>
        <w:tc>
          <w:tcPr>
            <w:tcW w:w="1337" w:type="dxa"/>
            <w:gridSpan w:val="2"/>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符合招标文件要求</w:t>
            </w:r>
          </w:p>
        </w:tc>
        <w:tc>
          <w:tcPr>
            <w:tcW w:w="1205" w:type="dxa"/>
            <w:tcBorders>
              <w:top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符合招标文件要求</w:t>
            </w:r>
          </w:p>
        </w:tc>
        <w:tc>
          <w:tcPr>
            <w:tcW w:w="95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陈柱</w:t>
            </w:r>
          </w:p>
        </w:tc>
        <w:tc>
          <w:tcPr>
            <w:tcW w:w="1090" w:type="dxa"/>
            <w:gridSpan w:val="2"/>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职称证书</w:t>
            </w:r>
          </w:p>
        </w:tc>
        <w:tc>
          <w:tcPr>
            <w:tcW w:w="118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黔高20110422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22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中标候选人响应招标文件要求的资格能力条件</w:t>
            </w:r>
          </w:p>
        </w:tc>
        <w:tc>
          <w:tcPr>
            <w:tcW w:w="8770" w:type="dxa"/>
            <w:gridSpan w:val="9"/>
            <w:shd w:val="clear" w:color="auto" w:fill="auto"/>
            <w:vAlign w:val="center"/>
          </w:tcPr>
          <w:p>
            <w:pPr>
              <w:widowControl/>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经评标专家评审，中标候选人均满足招标文件第二章投标人须知前附表1.4.1条要求。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122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招标文件规定应公示的其他内容</w:t>
            </w:r>
          </w:p>
        </w:tc>
        <w:tc>
          <w:tcPr>
            <w:tcW w:w="8770" w:type="dxa"/>
            <w:gridSpan w:val="9"/>
            <w:shd w:val="clear" w:color="auto" w:fill="auto"/>
            <w:vAlign w:val="center"/>
          </w:tcPr>
          <w:p>
            <w:pPr>
              <w:widowControl/>
              <w:ind w:firstLine="422" w:firstLineChars="200"/>
              <w:jc w:val="left"/>
              <w:rPr>
                <w:rFonts w:ascii="宋体" w:hAnsi="宋体" w:eastAsia="宋体" w:cs="宋体"/>
                <w:b/>
                <w:bCs/>
                <w:szCs w:val="21"/>
              </w:rPr>
            </w:pPr>
            <w:r>
              <w:rPr>
                <w:rFonts w:hint="eastAsia" w:ascii="宋体" w:hAnsi="宋体" w:eastAsia="宋体" w:cs="宋体"/>
                <w:b/>
                <w:bCs/>
                <w:szCs w:val="21"/>
              </w:rPr>
              <w:t>一、否决投标情况：无</w:t>
            </w:r>
          </w:p>
          <w:p>
            <w:pPr>
              <w:widowControl/>
              <w:ind w:firstLine="422" w:firstLineChars="200"/>
              <w:jc w:val="left"/>
              <w:rPr>
                <w:rFonts w:ascii="宋体" w:hAnsi="宋体" w:eastAsia="宋体" w:cs="宋体"/>
                <w:b/>
                <w:bCs/>
                <w:szCs w:val="21"/>
              </w:rPr>
            </w:pPr>
            <w:r>
              <w:rPr>
                <w:rFonts w:hint="eastAsia" w:ascii="宋体" w:hAnsi="宋体" w:eastAsia="宋体" w:cs="宋体"/>
                <w:b/>
                <w:bCs/>
                <w:szCs w:val="21"/>
              </w:rPr>
              <w:t>二、业绩</w:t>
            </w:r>
          </w:p>
          <w:p>
            <w:pPr>
              <w:pStyle w:val="2"/>
              <w:spacing w:after="0"/>
              <w:ind w:firstLineChars="200"/>
              <w:rPr>
                <w:rFonts w:ascii="宋体" w:hAnsi="宋体" w:eastAsia="宋体" w:cs="宋体"/>
                <w:color w:val="000000"/>
                <w:kern w:val="0"/>
                <w:szCs w:val="21"/>
              </w:rPr>
            </w:pPr>
            <w:r>
              <w:rPr>
                <w:rFonts w:hint="eastAsia"/>
                <w:lang w:eastAsia="zh-CN"/>
              </w:rPr>
              <w:t>（一）</w:t>
            </w:r>
            <w:r>
              <w:rPr>
                <w:rFonts w:hint="eastAsia"/>
              </w:rPr>
              <w:t>第一中标候选人：</w:t>
            </w:r>
            <w:r>
              <w:rPr>
                <w:rFonts w:hint="eastAsia" w:asciiTheme="minorEastAsia" w:hAnsiTheme="minorEastAsia" w:eastAsiaTheme="minorEastAsia" w:cstheme="minorEastAsia"/>
                <w:sz w:val="21"/>
                <w:szCs w:val="21"/>
              </w:rPr>
              <w:t>重庆金地勘测规划设计有限公司</w:t>
            </w:r>
          </w:p>
          <w:p>
            <w:pPr>
              <w:pStyle w:val="2"/>
              <w:spacing w:after="0"/>
              <w:ind w:firstLineChars="200"/>
              <w:rPr>
                <w:rFonts w:hint="eastAsia"/>
                <w:lang w:eastAsia="zh-CN"/>
              </w:rPr>
            </w:pPr>
            <w:r>
              <w:rPr>
                <w:rFonts w:hint="eastAsia"/>
                <w:lang w:val="en-US" w:eastAsia="zh-CN"/>
              </w:rPr>
              <w:t>1、</w:t>
            </w:r>
            <w:r>
              <w:rPr>
                <w:rFonts w:hint="eastAsia"/>
                <w:lang w:eastAsia="zh-CN"/>
              </w:rPr>
              <w:t>企业业绩：（</w:t>
            </w:r>
            <w:r>
              <w:rPr>
                <w:rFonts w:hint="eastAsia"/>
                <w:lang w:val="en-US" w:eastAsia="zh-CN"/>
              </w:rPr>
              <w:t>1</w:t>
            </w:r>
            <w:r>
              <w:rPr>
                <w:rFonts w:hint="eastAsia"/>
                <w:lang w:eastAsia="zh-CN"/>
              </w:rPr>
              <w:t>）恩施至广元国家高速公路重庆高峰至新田段工程建设项目测绘服务；（</w:t>
            </w:r>
            <w:r>
              <w:rPr>
                <w:rFonts w:hint="eastAsia"/>
                <w:lang w:val="en-US" w:eastAsia="zh-CN"/>
              </w:rPr>
              <w:t>2</w:t>
            </w:r>
            <w:r>
              <w:rPr>
                <w:rFonts w:hint="eastAsia"/>
                <w:lang w:eastAsia="zh-CN"/>
              </w:rPr>
              <w:t>）双钱高速公路用地勘测定界技术服务；（</w:t>
            </w:r>
            <w:r>
              <w:rPr>
                <w:rFonts w:hint="eastAsia"/>
                <w:lang w:val="en-US" w:eastAsia="zh-CN"/>
              </w:rPr>
              <w:t>3</w:t>
            </w:r>
            <w:r>
              <w:rPr>
                <w:rFonts w:hint="eastAsia"/>
                <w:lang w:eastAsia="zh-CN"/>
              </w:rPr>
              <w:t>）安康至来凤国家高速公路重庆奉节至巫山（渝鄂界）段工程建设用地勘测定界、土地利用总体规划调整、占用基本农田踏勘论证与补划方案编制工作技术服务；</w:t>
            </w:r>
          </w:p>
          <w:p>
            <w:pPr>
              <w:pStyle w:val="2"/>
              <w:spacing w:after="0"/>
              <w:ind w:firstLineChars="200"/>
              <w:rPr>
                <w:rFonts w:hint="eastAsia"/>
              </w:rPr>
            </w:pPr>
            <w:r>
              <w:rPr>
                <w:rFonts w:hint="eastAsia"/>
                <w:lang w:val="en-US" w:eastAsia="zh-CN"/>
              </w:rPr>
              <w:t>2、</w:t>
            </w:r>
            <w:r>
              <w:rPr>
                <w:rFonts w:hint="eastAsia"/>
                <w:lang w:eastAsia="zh-CN"/>
              </w:rPr>
              <w:t>项目负责人业绩：（</w:t>
            </w:r>
            <w:r>
              <w:rPr>
                <w:rFonts w:hint="eastAsia"/>
                <w:lang w:val="en-US" w:eastAsia="zh-CN"/>
              </w:rPr>
              <w:t>1</w:t>
            </w:r>
            <w:r>
              <w:rPr>
                <w:rFonts w:hint="eastAsia"/>
                <w:lang w:eastAsia="zh-CN"/>
              </w:rPr>
              <w:t>）双钱高速公路用地勘测定界技术服务；（</w:t>
            </w:r>
            <w:r>
              <w:rPr>
                <w:rFonts w:hint="eastAsia"/>
                <w:lang w:val="en-US" w:eastAsia="zh-CN"/>
              </w:rPr>
              <w:t>2</w:t>
            </w:r>
            <w:r>
              <w:rPr>
                <w:rFonts w:hint="eastAsia"/>
                <w:lang w:eastAsia="zh-CN"/>
              </w:rPr>
              <w:t>）恩施至广元国家高速公路重庆高峰至新田段工程建设项目测绘服务；</w:t>
            </w:r>
          </w:p>
          <w:p>
            <w:pPr>
              <w:pStyle w:val="2"/>
              <w:spacing w:after="0"/>
              <w:ind w:firstLineChars="200"/>
              <w:rPr>
                <w:rFonts w:ascii="宋体" w:hAnsi="宋体" w:eastAsia="宋体" w:cs="宋体"/>
                <w:color w:val="000000"/>
                <w:kern w:val="0"/>
                <w:szCs w:val="21"/>
              </w:rPr>
            </w:pPr>
            <w:r>
              <w:rPr>
                <w:rFonts w:hint="eastAsia"/>
                <w:lang w:eastAsia="zh-CN"/>
              </w:rPr>
              <w:t>（二）</w:t>
            </w:r>
            <w:r>
              <w:rPr>
                <w:rFonts w:hint="eastAsia"/>
              </w:rPr>
              <w:t>第二中标候选人：</w:t>
            </w:r>
            <w:r>
              <w:rPr>
                <w:rFonts w:hint="eastAsia" w:asciiTheme="minorEastAsia" w:hAnsiTheme="minorEastAsia" w:eastAsiaTheme="minorEastAsia" w:cstheme="minorEastAsia"/>
                <w:sz w:val="21"/>
                <w:szCs w:val="21"/>
              </w:rPr>
              <w:t>中建材西南勘测设计有限公司</w:t>
            </w:r>
          </w:p>
          <w:p>
            <w:pPr>
              <w:pStyle w:val="2"/>
              <w:spacing w:after="0"/>
              <w:ind w:firstLineChars="200"/>
              <w:rPr>
                <w:rFonts w:hint="eastAsia"/>
                <w:lang w:eastAsia="zh-CN"/>
              </w:rPr>
            </w:pPr>
            <w:r>
              <w:rPr>
                <w:rFonts w:hint="eastAsia"/>
                <w:lang w:val="en-US" w:eastAsia="zh-CN"/>
              </w:rPr>
              <w:t>1、</w:t>
            </w:r>
            <w:r>
              <w:rPr>
                <w:rFonts w:hint="eastAsia"/>
                <w:lang w:eastAsia="zh-CN"/>
              </w:rPr>
              <w:t>企业业绩：（</w:t>
            </w:r>
            <w:r>
              <w:rPr>
                <w:rFonts w:hint="eastAsia"/>
                <w:lang w:val="en-US" w:eastAsia="zh-CN"/>
              </w:rPr>
              <w:t>1</w:t>
            </w:r>
            <w:r>
              <w:rPr>
                <w:rFonts w:hint="eastAsia"/>
                <w:lang w:eastAsia="zh-CN"/>
              </w:rPr>
              <w:t>）广元至平武高速公路土地勘测定界、放线；（</w:t>
            </w:r>
            <w:r>
              <w:rPr>
                <w:rFonts w:hint="eastAsia"/>
                <w:lang w:val="en-US" w:eastAsia="zh-CN"/>
              </w:rPr>
              <w:t>2</w:t>
            </w:r>
            <w:r>
              <w:rPr>
                <w:rFonts w:hint="eastAsia"/>
                <w:lang w:eastAsia="zh-CN"/>
              </w:rPr>
              <w:t>）G4216线屏山新市至金阳段高速公路土地勘测定界；（</w:t>
            </w:r>
            <w:r>
              <w:rPr>
                <w:rFonts w:hint="eastAsia"/>
                <w:lang w:val="en-US" w:eastAsia="zh-CN"/>
              </w:rPr>
              <w:t>3</w:t>
            </w:r>
            <w:r>
              <w:rPr>
                <w:rFonts w:hint="eastAsia"/>
                <w:lang w:eastAsia="zh-CN"/>
              </w:rPr>
              <w:t>）G4216线金阳至宁南段高速公路土地勘测定界；</w:t>
            </w:r>
          </w:p>
          <w:p>
            <w:pPr>
              <w:pStyle w:val="2"/>
              <w:spacing w:after="0"/>
              <w:ind w:firstLineChars="200"/>
            </w:pPr>
            <w:r>
              <w:rPr>
                <w:rFonts w:hint="eastAsia"/>
                <w:lang w:val="en-US" w:eastAsia="zh-CN"/>
              </w:rPr>
              <w:t>2、</w:t>
            </w:r>
            <w:r>
              <w:rPr>
                <w:rFonts w:hint="eastAsia"/>
                <w:lang w:eastAsia="zh-CN"/>
              </w:rPr>
              <w:t>项目负责人业绩：（</w:t>
            </w:r>
            <w:r>
              <w:rPr>
                <w:rFonts w:hint="eastAsia"/>
                <w:lang w:val="en-US" w:eastAsia="zh-CN"/>
              </w:rPr>
              <w:t>1</w:t>
            </w:r>
            <w:r>
              <w:rPr>
                <w:rFonts w:hint="eastAsia"/>
                <w:lang w:eastAsia="zh-CN"/>
              </w:rPr>
              <w:t>）G4216线屏山新市至金阳段高速公路土地勘测定界；（三）</w:t>
            </w:r>
            <w:r>
              <w:rPr>
                <w:rFonts w:hint="eastAsia"/>
              </w:rPr>
              <w:t>第三中标候选人：</w:t>
            </w:r>
            <w:r>
              <w:rPr>
                <w:rFonts w:hint="eastAsia" w:asciiTheme="minorEastAsia" w:hAnsiTheme="minorEastAsia" w:eastAsiaTheme="minorEastAsia" w:cstheme="minorEastAsia"/>
                <w:sz w:val="21"/>
                <w:szCs w:val="21"/>
              </w:rPr>
              <w:t>贵州天地通科技有限公司</w:t>
            </w:r>
          </w:p>
          <w:p>
            <w:pPr>
              <w:pStyle w:val="2"/>
              <w:spacing w:after="0"/>
              <w:ind w:firstLineChars="200"/>
              <w:rPr>
                <w:rFonts w:hint="eastAsia"/>
                <w:lang w:eastAsia="zh-CN"/>
              </w:rPr>
            </w:pPr>
            <w:r>
              <w:rPr>
                <w:rFonts w:hint="eastAsia"/>
                <w:lang w:val="en-US" w:eastAsia="zh-CN"/>
              </w:rPr>
              <w:t>1、</w:t>
            </w:r>
            <w:r>
              <w:rPr>
                <w:rFonts w:hint="eastAsia"/>
                <w:lang w:eastAsia="zh-CN"/>
              </w:rPr>
              <w:t>企业业绩：（</w:t>
            </w:r>
            <w:r>
              <w:rPr>
                <w:rFonts w:hint="eastAsia"/>
                <w:lang w:val="en-US" w:eastAsia="zh-CN"/>
              </w:rPr>
              <w:t>1</w:t>
            </w:r>
            <w:r>
              <w:rPr>
                <w:rFonts w:hint="eastAsia"/>
                <w:lang w:eastAsia="zh-CN"/>
              </w:rPr>
              <w:t>）成都至遵义国家高速公路（贵州境）仁怀至遵义段勘测定界和土地复垦方案报告编制及报批服务；（</w:t>
            </w:r>
            <w:r>
              <w:rPr>
                <w:rFonts w:hint="eastAsia"/>
                <w:lang w:val="en-US" w:eastAsia="zh-CN"/>
              </w:rPr>
              <w:t>2</w:t>
            </w:r>
            <w:r>
              <w:rPr>
                <w:rFonts w:hint="eastAsia"/>
                <w:lang w:eastAsia="zh-CN"/>
              </w:rPr>
              <w:t>）浦北至北流高速公路政府与社会资本合作（PPP）项目勘测定界图编制及权属调查、用地红线拔地定桩、征地面积测绘及权属统计项目PBKC-2标；</w:t>
            </w:r>
          </w:p>
          <w:p>
            <w:pPr>
              <w:pStyle w:val="2"/>
              <w:spacing w:after="0"/>
              <w:ind w:firstLineChars="200"/>
            </w:pPr>
            <w:r>
              <w:rPr>
                <w:rFonts w:hint="eastAsia"/>
                <w:lang w:val="en-US" w:eastAsia="zh-CN"/>
              </w:rPr>
              <w:t>2、</w:t>
            </w:r>
            <w:r>
              <w:rPr>
                <w:rFonts w:hint="eastAsia"/>
                <w:lang w:eastAsia="zh-CN"/>
              </w:rPr>
              <w:t>项目负责人业绩：（</w:t>
            </w:r>
            <w:r>
              <w:rPr>
                <w:rFonts w:hint="eastAsia"/>
                <w:lang w:val="en-US" w:eastAsia="zh-CN"/>
              </w:rPr>
              <w:t>1</w:t>
            </w:r>
            <w:r>
              <w:rPr>
                <w:rFonts w:hint="eastAsia"/>
                <w:lang w:eastAsia="zh-CN"/>
              </w:rPr>
              <w:t>）成都至遵义国家高速公路（贵州境）仁怀至遵义段勘测定界和土地复垦方案报告编制及报批服务；（</w:t>
            </w:r>
            <w:r>
              <w:rPr>
                <w:rFonts w:hint="eastAsia"/>
                <w:lang w:val="en-US" w:eastAsia="zh-CN"/>
              </w:rPr>
              <w:t>2</w:t>
            </w:r>
            <w:r>
              <w:rPr>
                <w:rFonts w:hint="eastAsia"/>
                <w:lang w:eastAsia="zh-CN"/>
              </w:rPr>
              <w:t>）浦北至北流高速公路政府与社会资本合作（PPP）项目勘测定界图编制及权属调查、用地红线拔地定桩、征地面积测绘及权属统计项目PBKC-2标；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122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中标候选人评标情况</w:t>
            </w:r>
          </w:p>
        </w:tc>
        <w:tc>
          <w:tcPr>
            <w:tcW w:w="8770" w:type="dxa"/>
            <w:gridSpan w:val="9"/>
            <w:shd w:val="clear" w:color="auto" w:fill="auto"/>
            <w:vAlign w:val="center"/>
          </w:tcPr>
          <w:p>
            <w:pPr>
              <w:widowControl/>
              <w:ind w:firstLine="420" w:firstLineChars="200"/>
              <w:rPr>
                <w:rFonts w:ascii="宋体" w:hAnsi="宋体" w:eastAsia="宋体" w:cs="宋体"/>
                <w:b/>
                <w:bCs/>
                <w:color w:val="000000"/>
                <w:kern w:val="0"/>
                <w:szCs w:val="21"/>
              </w:rPr>
            </w:pPr>
            <w:r>
              <w:rPr>
                <w:rFonts w:hint="eastAsia" w:ascii="宋体" w:hAnsi="宋体" w:eastAsia="宋体" w:cs="宋体"/>
                <w:color w:val="000000"/>
                <w:kern w:val="0"/>
                <w:szCs w:val="21"/>
              </w:rPr>
              <w:t>中标候选人均通过形式评审、资格评审、响应性评审。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22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提出异议的渠道和方式</w:t>
            </w:r>
          </w:p>
        </w:tc>
        <w:tc>
          <w:tcPr>
            <w:tcW w:w="8770" w:type="dxa"/>
            <w:gridSpan w:val="9"/>
            <w:shd w:val="clear" w:color="auto" w:fill="auto"/>
            <w:vAlign w:val="center"/>
          </w:tcPr>
          <w:p>
            <w:pPr>
              <w:widowControl/>
              <w:ind w:firstLine="420" w:firstLineChars="200"/>
              <w:rPr>
                <w:rFonts w:ascii="宋体" w:hAnsi="宋体" w:eastAsia="宋体" w:cs="宋体"/>
                <w:color w:val="000000"/>
                <w:kern w:val="0"/>
                <w:szCs w:val="21"/>
                <w:u w:val="single"/>
              </w:rPr>
            </w:pPr>
            <w:r>
              <w:rPr>
                <w:rFonts w:hint="eastAsia" w:ascii="宋体" w:hAnsi="宋体" w:eastAsia="宋体" w:cs="宋体"/>
                <w:kern w:val="0"/>
                <w:szCs w:val="21"/>
              </w:rPr>
              <w:t>投标人或者其他利害关系人对评标结果有异议的，应在中标候选人公示期内以书面形式向</w:t>
            </w:r>
            <w:r>
              <w:rPr>
                <w:rFonts w:hint="eastAsia" w:ascii="宋体" w:hAnsi="宋体" w:eastAsia="宋体" w:cs="宋体"/>
                <w:szCs w:val="21"/>
                <w:lang w:eastAsia="zh-CN"/>
              </w:rPr>
              <w:t>重庆成渝垫丰武高速公路有限公司</w:t>
            </w:r>
            <w:r>
              <w:rPr>
                <w:rFonts w:hint="eastAsia" w:ascii="宋体" w:hAnsi="宋体" w:eastAsia="宋体" w:cs="宋体"/>
                <w:kern w:val="0"/>
                <w:szCs w:val="21"/>
              </w:rPr>
              <w:t>(联系人：</w:t>
            </w:r>
            <w:r>
              <w:rPr>
                <w:rFonts w:hint="eastAsia" w:ascii="宋体" w:hAnsi="宋体" w:eastAsia="宋体" w:cs="宋体"/>
                <w:kern w:val="0"/>
                <w:szCs w:val="21"/>
                <w:lang w:eastAsia="zh-CN"/>
              </w:rPr>
              <w:t>周</w:t>
            </w:r>
            <w:r>
              <w:rPr>
                <w:rFonts w:hint="eastAsia" w:ascii="宋体" w:hAnsi="宋体" w:eastAsia="宋体" w:cs="宋体"/>
                <w:kern w:val="0"/>
                <w:szCs w:val="21"/>
              </w:rPr>
              <w:t>老师，联系电话：023-89138619）提出异议。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4937" w:type="dxa"/>
            <w:gridSpan w:val="4"/>
            <w:shd w:val="clear" w:color="auto" w:fill="auto"/>
            <w:vAlign w:val="center"/>
          </w:tcPr>
          <w:p>
            <w:pPr>
              <w:widowControl/>
              <w:ind w:right="440"/>
              <w:rPr>
                <w:rFonts w:ascii="宋体" w:hAnsi="宋体" w:eastAsia="宋体" w:cs="宋体"/>
                <w:color w:val="000000"/>
                <w:kern w:val="0"/>
                <w:szCs w:val="21"/>
              </w:rPr>
            </w:pPr>
            <w:r>
              <w:rPr>
                <w:rFonts w:hint="eastAsia" w:ascii="宋体" w:hAnsi="宋体" w:eastAsia="宋体" w:cs="宋体"/>
                <w:color w:val="000000"/>
                <w:kern w:val="0"/>
                <w:szCs w:val="21"/>
              </w:rPr>
              <w:t>招标人（盖章）:</w:t>
            </w:r>
          </w:p>
          <w:p>
            <w:pPr>
              <w:widowControl/>
              <w:ind w:right="440"/>
              <w:rPr>
                <w:rFonts w:ascii="宋体" w:hAnsi="宋体" w:eastAsia="宋体" w:cs="宋体"/>
                <w:color w:val="000000"/>
                <w:kern w:val="0"/>
                <w:szCs w:val="21"/>
              </w:rPr>
            </w:pPr>
          </w:p>
          <w:p>
            <w:pPr>
              <w:widowControl/>
              <w:ind w:right="440"/>
              <w:rPr>
                <w:rFonts w:ascii="宋体" w:hAnsi="宋体" w:eastAsia="宋体" w:cs="宋体"/>
                <w:szCs w:val="21"/>
              </w:rPr>
            </w:pPr>
            <w:r>
              <w:rPr>
                <w:rFonts w:hint="eastAsia" w:ascii="宋体" w:hAnsi="宋体" w:eastAsia="宋体" w:cs="宋体"/>
                <w:szCs w:val="21"/>
                <w:lang w:eastAsia="zh-CN"/>
              </w:rPr>
              <w:t>重庆成渝垫丰武高速公路有限公司</w:t>
            </w:r>
            <w:r>
              <w:rPr>
                <w:rFonts w:hint="eastAsia" w:ascii="宋体" w:hAnsi="宋体" w:eastAsia="宋体" w:cs="宋体"/>
                <w:szCs w:val="21"/>
              </w:rPr>
              <w:t xml:space="preserve"> </w:t>
            </w:r>
          </w:p>
          <w:p>
            <w:pPr>
              <w:pStyle w:val="2"/>
              <w:ind w:firstLine="210"/>
            </w:pPr>
          </w:p>
          <w:p>
            <w:pPr>
              <w:widowControl/>
              <w:ind w:right="440"/>
              <w:rPr>
                <w:rFonts w:ascii="宋体" w:hAnsi="宋体" w:eastAsia="宋体" w:cs="宋体"/>
                <w:color w:val="000000"/>
                <w:kern w:val="0"/>
                <w:szCs w:val="21"/>
              </w:rPr>
            </w:pPr>
            <w:r>
              <w:rPr>
                <w:rFonts w:hint="eastAsia" w:ascii="宋体" w:hAnsi="宋体" w:eastAsia="宋体" w:cs="宋体"/>
                <w:color w:val="000000"/>
                <w:kern w:val="0"/>
                <w:szCs w:val="21"/>
              </w:rPr>
              <w:t xml:space="preserve">                         202</w:t>
            </w:r>
            <w:r>
              <w:rPr>
                <w:rFonts w:ascii="宋体" w:hAnsi="宋体" w:eastAsia="宋体" w:cs="宋体"/>
                <w:color w:val="000000"/>
                <w:kern w:val="0"/>
                <w:szCs w:val="21"/>
              </w:rPr>
              <w:t>3</w:t>
            </w:r>
            <w:r>
              <w:rPr>
                <w:rFonts w:hint="eastAsia" w:ascii="宋体" w:hAnsi="宋体" w:eastAsia="宋体" w:cs="宋体"/>
                <w:color w:val="000000"/>
                <w:kern w:val="0"/>
                <w:szCs w:val="21"/>
              </w:rPr>
              <w:t>年</w:t>
            </w:r>
            <w:r>
              <w:rPr>
                <w:rFonts w:hint="eastAsia" w:ascii="宋体" w:hAnsi="宋体" w:eastAsia="宋体" w:cs="宋体"/>
                <w:color w:val="000000"/>
                <w:kern w:val="0"/>
                <w:szCs w:val="21"/>
                <w:lang w:val="en-US" w:eastAsia="zh-CN"/>
              </w:rPr>
              <w:t>6</w:t>
            </w:r>
            <w:r>
              <w:rPr>
                <w:rFonts w:hint="eastAsia" w:ascii="宋体" w:hAnsi="宋体" w:eastAsia="宋体" w:cs="宋体"/>
                <w:color w:val="000000"/>
                <w:kern w:val="0"/>
                <w:szCs w:val="21"/>
              </w:rPr>
              <w:t>月</w:t>
            </w:r>
            <w:r>
              <w:rPr>
                <w:rFonts w:ascii="宋体" w:hAnsi="宋体" w:eastAsia="宋体" w:cs="宋体"/>
                <w:color w:val="000000"/>
                <w:kern w:val="0"/>
                <w:szCs w:val="21"/>
              </w:rPr>
              <w:t>2</w:t>
            </w: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日</w:t>
            </w:r>
          </w:p>
        </w:tc>
        <w:tc>
          <w:tcPr>
            <w:tcW w:w="5053" w:type="dxa"/>
            <w:gridSpan w:val="6"/>
            <w:shd w:val="clear" w:color="auto" w:fill="auto"/>
            <w:vAlign w:val="center"/>
          </w:tcPr>
          <w:p>
            <w:pPr>
              <w:widowControl/>
              <w:ind w:right="440"/>
              <w:rPr>
                <w:rFonts w:ascii="宋体" w:hAnsi="宋体" w:eastAsia="宋体" w:cs="宋体"/>
                <w:color w:val="000000"/>
                <w:kern w:val="0"/>
                <w:szCs w:val="21"/>
              </w:rPr>
            </w:pPr>
            <w:r>
              <w:rPr>
                <w:rFonts w:hint="eastAsia" w:ascii="宋体" w:hAnsi="宋体" w:eastAsia="宋体" w:cs="宋体"/>
                <w:color w:val="000000"/>
                <w:kern w:val="0"/>
                <w:szCs w:val="21"/>
              </w:rPr>
              <w:t>招标代理机构（盖章）：</w:t>
            </w:r>
          </w:p>
          <w:p>
            <w:pPr>
              <w:widowControl/>
              <w:ind w:right="440"/>
              <w:rPr>
                <w:rFonts w:ascii="宋体" w:hAnsi="宋体" w:eastAsia="宋体" w:cs="宋体"/>
                <w:szCs w:val="21"/>
              </w:rPr>
            </w:pPr>
          </w:p>
          <w:p>
            <w:pPr>
              <w:widowControl/>
              <w:ind w:right="440"/>
              <w:rPr>
                <w:rFonts w:ascii="宋体" w:hAnsi="宋体" w:eastAsia="宋体" w:cs="宋体"/>
                <w:szCs w:val="21"/>
              </w:rPr>
            </w:pPr>
            <w:r>
              <w:rPr>
                <w:rFonts w:hint="eastAsia" w:ascii="宋体" w:hAnsi="宋体" w:eastAsia="宋体" w:cs="宋体"/>
                <w:color w:val="000000"/>
                <w:kern w:val="0"/>
                <w:szCs w:val="21"/>
              </w:rPr>
              <w:t>重庆国际投资咨询集团有限公司</w:t>
            </w:r>
          </w:p>
          <w:p>
            <w:pPr>
              <w:widowControl/>
              <w:ind w:right="440"/>
              <w:rPr>
                <w:rFonts w:ascii="宋体" w:hAnsi="宋体" w:eastAsia="宋体" w:cs="宋体"/>
                <w:szCs w:val="21"/>
              </w:rPr>
            </w:pP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202</w:t>
            </w:r>
            <w:r>
              <w:rPr>
                <w:rFonts w:ascii="宋体" w:hAnsi="宋体" w:eastAsia="宋体" w:cs="宋体"/>
                <w:color w:val="000000"/>
                <w:kern w:val="0"/>
                <w:szCs w:val="21"/>
              </w:rPr>
              <w:t>3</w:t>
            </w:r>
            <w:r>
              <w:rPr>
                <w:rFonts w:hint="eastAsia" w:ascii="宋体" w:hAnsi="宋体" w:eastAsia="宋体" w:cs="宋体"/>
                <w:color w:val="000000"/>
                <w:kern w:val="0"/>
                <w:szCs w:val="21"/>
              </w:rPr>
              <w:t>年</w:t>
            </w:r>
            <w:r>
              <w:rPr>
                <w:rFonts w:hint="eastAsia" w:ascii="宋体" w:hAnsi="宋体" w:eastAsia="宋体" w:cs="宋体"/>
                <w:color w:val="000000"/>
                <w:kern w:val="0"/>
                <w:szCs w:val="21"/>
                <w:lang w:val="en-US" w:eastAsia="zh-CN"/>
              </w:rPr>
              <w:t>6</w:t>
            </w:r>
            <w:r>
              <w:rPr>
                <w:rFonts w:hint="eastAsia" w:ascii="宋体" w:hAnsi="宋体" w:eastAsia="宋体" w:cs="宋体"/>
                <w:color w:val="000000"/>
                <w:kern w:val="0"/>
                <w:szCs w:val="21"/>
              </w:rPr>
              <w:t>月2</w:t>
            </w: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日</w:t>
            </w:r>
          </w:p>
        </w:tc>
      </w:tr>
    </w:tbl>
    <w:p>
      <w:pPr>
        <w:jc w:val="left"/>
        <w:rPr>
          <w:rFonts w:ascii="宋体" w:hAnsi="宋体" w:eastAsia="宋体" w:cs="宋体"/>
          <w:sz w:val="30"/>
          <w:szCs w:val="30"/>
        </w:rPr>
      </w:pPr>
      <w:r>
        <w:rPr>
          <w:rFonts w:hint="eastAsia" w:ascii="宋体" w:hAnsi="宋体" w:eastAsia="宋体" w:cs="宋体"/>
          <w:color w:val="000000"/>
          <w:kern w:val="0"/>
          <w:sz w:val="22"/>
        </w:rPr>
        <w:t>注：1.招标人及其委托的招标代理机构对填写的中标候选人公示内容的真实性、准确性和一致性负责</w:t>
      </w:r>
      <w:r>
        <w:rPr>
          <w:rFonts w:hint="eastAsia" w:ascii="宋体" w:hAnsi="宋体" w:eastAsia="宋体" w:cs="宋体"/>
          <w:sz w:val="30"/>
          <w:szCs w:val="30"/>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3.中标候选人公示纸质文本须加盖单位公章，多页还应加盖骑缝章。</w:t>
      </w:r>
      <w:bookmarkEnd w:id="0"/>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769"/>
    <w:rsid w:val="00016954"/>
    <w:rsid w:val="0002321C"/>
    <w:rsid w:val="00025C78"/>
    <w:rsid w:val="00045E24"/>
    <w:rsid w:val="00060CD0"/>
    <w:rsid w:val="0007262A"/>
    <w:rsid w:val="000935E0"/>
    <w:rsid w:val="00097005"/>
    <w:rsid w:val="00097B30"/>
    <w:rsid w:val="000A4470"/>
    <w:rsid w:val="000B0BEF"/>
    <w:rsid w:val="000C196D"/>
    <w:rsid w:val="000C2AB3"/>
    <w:rsid w:val="000C480C"/>
    <w:rsid w:val="000D19B1"/>
    <w:rsid w:val="000D33BD"/>
    <w:rsid w:val="000F37C3"/>
    <w:rsid w:val="00111AC5"/>
    <w:rsid w:val="00121D39"/>
    <w:rsid w:val="00130CDC"/>
    <w:rsid w:val="001400BD"/>
    <w:rsid w:val="00140AD1"/>
    <w:rsid w:val="0014166A"/>
    <w:rsid w:val="00142C64"/>
    <w:rsid w:val="00152E33"/>
    <w:rsid w:val="001542F2"/>
    <w:rsid w:val="001557A7"/>
    <w:rsid w:val="001606AA"/>
    <w:rsid w:val="00197768"/>
    <w:rsid w:val="00197AF1"/>
    <w:rsid w:val="001C0B9F"/>
    <w:rsid w:val="001E641F"/>
    <w:rsid w:val="00200E70"/>
    <w:rsid w:val="0020386D"/>
    <w:rsid w:val="002510EF"/>
    <w:rsid w:val="0025727D"/>
    <w:rsid w:val="00275116"/>
    <w:rsid w:val="0027697F"/>
    <w:rsid w:val="00276DAB"/>
    <w:rsid w:val="002A4878"/>
    <w:rsid w:val="002B5EF1"/>
    <w:rsid w:val="002C3DB5"/>
    <w:rsid w:val="00303935"/>
    <w:rsid w:val="00311347"/>
    <w:rsid w:val="0034751D"/>
    <w:rsid w:val="0035205C"/>
    <w:rsid w:val="00355274"/>
    <w:rsid w:val="00357AFE"/>
    <w:rsid w:val="0036350E"/>
    <w:rsid w:val="00384805"/>
    <w:rsid w:val="003C06AF"/>
    <w:rsid w:val="003D1E45"/>
    <w:rsid w:val="003D2025"/>
    <w:rsid w:val="00424336"/>
    <w:rsid w:val="004402FA"/>
    <w:rsid w:val="00447B3F"/>
    <w:rsid w:val="00470346"/>
    <w:rsid w:val="00472CFE"/>
    <w:rsid w:val="004800B2"/>
    <w:rsid w:val="00486E19"/>
    <w:rsid w:val="0049311A"/>
    <w:rsid w:val="004A4D53"/>
    <w:rsid w:val="004C0C1C"/>
    <w:rsid w:val="004D5DAD"/>
    <w:rsid w:val="00515749"/>
    <w:rsid w:val="00527DC5"/>
    <w:rsid w:val="00530A0E"/>
    <w:rsid w:val="00545BE0"/>
    <w:rsid w:val="0055752E"/>
    <w:rsid w:val="00574FE8"/>
    <w:rsid w:val="00584B3B"/>
    <w:rsid w:val="00592039"/>
    <w:rsid w:val="00592EBF"/>
    <w:rsid w:val="005D3AA2"/>
    <w:rsid w:val="005E5399"/>
    <w:rsid w:val="005F3A0F"/>
    <w:rsid w:val="005F7769"/>
    <w:rsid w:val="006139D3"/>
    <w:rsid w:val="006156BA"/>
    <w:rsid w:val="00635D42"/>
    <w:rsid w:val="00652E57"/>
    <w:rsid w:val="006531AE"/>
    <w:rsid w:val="00671E9A"/>
    <w:rsid w:val="00674073"/>
    <w:rsid w:val="0068610F"/>
    <w:rsid w:val="006A117A"/>
    <w:rsid w:val="006A71D4"/>
    <w:rsid w:val="006B7907"/>
    <w:rsid w:val="006F0B6C"/>
    <w:rsid w:val="006F798E"/>
    <w:rsid w:val="00714D93"/>
    <w:rsid w:val="00734D3C"/>
    <w:rsid w:val="00746107"/>
    <w:rsid w:val="00753D86"/>
    <w:rsid w:val="007556D1"/>
    <w:rsid w:val="00761EC2"/>
    <w:rsid w:val="007B0476"/>
    <w:rsid w:val="007B61AE"/>
    <w:rsid w:val="007B7173"/>
    <w:rsid w:val="007C2463"/>
    <w:rsid w:val="007C4F8D"/>
    <w:rsid w:val="007E391B"/>
    <w:rsid w:val="007E52F0"/>
    <w:rsid w:val="007E6C3E"/>
    <w:rsid w:val="0083597E"/>
    <w:rsid w:val="00842646"/>
    <w:rsid w:val="00842A8D"/>
    <w:rsid w:val="00847139"/>
    <w:rsid w:val="008B5C33"/>
    <w:rsid w:val="008D1205"/>
    <w:rsid w:val="008D2F11"/>
    <w:rsid w:val="00915AAB"/>
    <w:rsid w:val="00921814"/>
    <w:rsid w:val="009353B9"/>
    <w:rsid w:val="0094601E"/>
    <w:rsid w:val="009724AD"/>
    <w:rsid w:val="009876CE"/>
    <w:rsid w:val="00992FBC"/>
    <w:rsid w:val="00A10172"/>
    <w:rsid w:val="00A244C1"/>
    <w:rsid w:val="00A25924"/>
    <w:rsid w:val="00A32478"/>
    <w:rsid w:val="00A336CE"/>
    <w:rsid w:val="00A75BA4"/>
    <w:rsid w:val="00A769A2"/>
    <w:rsid w:val="00AB3108"/>
    <w:rsid w:val="00AC4E96"/>
    <w:rsid w:val="00AC5EA2"/>
    <w:rsid w:val="00AD0F18"/>
    <w:rsid w:val="00AD5B9D"/>
    <w:rsid w:val="00AF0590"/>
    <w:rsid w:val="00B2007A"/>
    <w:rsid w:val="00B3562F"/>
    <w:rsid w:val="00B41CEB"/>
    <w:rsid w:val="00B7098C"/>
    <w:rsid w:val="00B7219C"/>
    <w:rsid w:val="00B74133"/>
    <w:rsid w:val="00B83271"/>
    <w:rsid w:val="00BA34F3"/>
    <w:rsid w:val="00BA3D04"/>
    <w:rsid w:val="00BB230C"/>
    <w:rsid w:val="00BE0377"/>
    <w:rsid w:val="00BE2C8D"/>
    <w:rsid w:val="00C10F95"/>
    <w:rsid w:val="00C47BC6"/>
    <w:rsid w:val="00C60C69"/>
    <w:rsid w:val="00C8563D"/>
    <w:rsid w:val="00CC37C9"/>
    <w:rsid w:val="00CE2D60"/>
    <w:rsid w:val="00D00C2E"/>
    <w:rsid w:val="00D024F6"/>
    <w:rsid w:val="00D05FFD"/>
    <w:rsid w:val="00D21AED"/>
    <w:rsid w:val="00D60327"/>
    <w:rsid w:val="00D61F1A"/>
    <w:rsid w:val="00D7518E"/>
    <w:rsid w:val="00D83F41"/>
    <w:rsid w:val="00D94702"/>
    <w:rsid w:val="00DB67DE"/>
    <w:rsid w:val="00DC49BF"/>
    <w:rsid w:val="00DC4B33"/>
    <w:rsid w:val="00DD64D7"/>
    <w:rsid w:val="00DF452F"/>
    <w:rsid w:val="00E02AF1"/>
    <w:rsid w:val="00E06970"/>
    <w:rsid w:val="00E10F26"/>
    <w:rsid w:val="00E12830"/>
    <w:rsid w:val="00E2022E"/>
    <w:rsid w:val="00E262F3"/>
    <w:rsid w:val="00E348AC"/>
    <w:rsid w:val="00E43D05"/>
    <w:rsid w:val="00E504B3"/>
    <w:rsid w:val="00E60402"/>
    <w:rsid w:val="00E66234"/>
    <w:rsid w:val="00E66CBA"/>
    <w:rsid w:val="00E755E8"/>
    <w:rsid w:val="00E864E2"/>
    <w:rsid w:val="00ED1AAC"/>
    <w:rsid w:val="00EE3140"/>
    <w:rsid w:val="00F3019E"/>
    <w:rsid w:val="00F57942"/>
    <w:rsid w:val="00F83723"/>
    <w:rsid w:val="00F90E30"/>
    <w:rsid w:val="00F94BF6"/>
    <w:rsid w:val="00FA2572"/>
    <w:rsid w:val="00FA70B9"/>
    <w:rsid w:val="00FB17A9"/>
    <w:rsid w:val="00FB4D7C"/>
    <w:rsid w:val="00FC5182"/>
    <w:rsid w:val="00FE2FB0"/>
    <w:rsid w:val="00FE58BF"/>
    <w:rsid w:val="00FF49A3"/>
    <w:rsid w:val="00FF54F4"/>
    <w:rsid w:val="012F0A3B"/>
    <w:rsid w:val="01C826AD"/>
    <w:rsid w:val="01EF47DE"/>
    <w:rsid w:val="01F30C3D"/>
    <w:rsid w:val="022805E2"/>
    <w:rsid w:val="02B47ABB"/>
    <w:rsid w:val="031C79E9"/>
    <w:rsid w:val="03904291"/>
    <w:rsid w:val="03C76FCC"/>
    <w:rsid w:val="03D004C8"/>
    <w:rsid w:val="040246F2"/>
    <w:rsid w:val="04101F86"/>
    <w:rsid w:val="04D8788F"/>
    <w:rsid w:val="052E68D2"/>
    <w:rsid w:val="058613C5"/>
    <w:rsid w:val="06517F41"/>
    <w:rsid w:val="066D465F"/>
    <w:rsid w:val="069E55AE"/>
    <w:rsid w:val="079F4273"/>
    <w:rsid w:val="07CB737D"/>
    <w:rsid w:val="07E020D6"/>
    <w:rsid w:val="096D145F"/>
    <w:rsid w:val="09D65898"/>
    <w:rsid w:val="0A1D1B7F"/>
    <w:rsid w:val="0ACD103F"/>
    <w:rsid w:val="0BB44A56"/>
    <w:rsid w:val="0BC816BB"/>
    <w:rsid w:val="0CAE2A7A"/>
    <w:rsid w:val="0CB9696A"/>
    <w:rsid w:val="0CD01B29"/>
    <w:rsid w:val="0CE416B3"/>
    <w:rsid w:val="0CFF25FC"/>
    <w:rsid w:val="0DE72D7F"/>
    <w:rsid w:val="0DF404F2"/>
    <w:rsid w:val="0E8205C8"/>
    <w:rsid w:val="0F793CB1"/>
    <w:rsid w:val="0FFC0C8F"/>
    <w:rsid w:val="10B627F1"/>
    <w:rsid w:val="112175BD"/>
    <w:rsid w:val="11320BDD"/>
    <w:rsid w:val="11A80985"/>
    <w:rsid w:val="12AB471C"/>
    <w:rsid w:val="14095425"/>
    <w:rsid w:val="14137C91"/>
    <w:rsid w:val="14420F6A"/>
    <w:rsid w:val="145D0625"/>
    <w:rsid w:val="169A4EF5"/>
    <w:rsid w:val="176769AB"/>
    <w:rsid w:val="17BB0CB4"/>
    <w:rsid w:val="185B2121"/>
    <w:rsid w:val="18B4699D"/>
    <w:rsid w:val="19384759"/>
    <w:rsid w:val="1B277D73"/>
    <w:rsid w:val="1B8902E4"/>
    <w:rsid w:val="1BF34215"/>
    <w:rsid w:val="1C861FDE"/>
    <w:rsid w:val="1DE63533"/>
    <w:rsid w:val="1DFB1B8F"/>
    <w:rsid w:val="1DFF7FB6"/>
    <w:rsid w:val="1EE7224B"/>
    <w:rsid w:val="1EF57312"/>
    <w:rsid w:val="1F30748C"/>
    <w:rsid w:val="1F3A0E58"/>
    <w:rsid w:val="20A860DE"/>
    <w:rsid w:val="215920A4"/>
    <w:rsid w:val="215E6324"/>
    <w:rsid w:val="219E053F"/>
    <w:rsid w:val="220E453A"/>
    <w:rsid w:val="220E529F"/>
    <w:rsid w:val="23236E31"/>
    <w:rsid w:val="235D67F9"/>
    <w:rsid w:val="2503759B"/>
    <w:rsid w:val="254F2D3F"/>
    <w:rsid w:val="256E344C"/>
    <w:rsid w:val="25D24ADB"/>
    <w:rsid w:val="26464F96"/>
    <w:rsid w:val="26712036"/>
    <w:rsid w:val="26D61190"/>
    <w:rsid w:val="27084938"/>
    <w:rsid w:val="27285B13"/>
    <w:rsid w:val="275D1DD9"/>
    <w:rsid w:val="27AE6223"/>
    <w:rsid w:val="281A5DDA"/>
    <w:rsid w:val="2891185B"/>
    <w:rsid w:val="2A6F4EEB"/>
    <w:rsid w:val="2A956C23"/>
    <w:rsid w:val="2B700F38"/>
    <w:rsid w:val="2B7A6338"/>
    <w:rsid w:val="2BAE28B6"/>
    <w:rsid w:val="2BB50879"/>
    <w:rsid w:val="2C065BA6"/>
    <w:rsid w:val="2C0B774A"/>
    <w:rsid w:val="2CE7614E"/>
    <w:rsid w:val="2CF8563E"/>
    <w:rsid w:val="2DBE0A3F"/>
    <w:rsid w:val="2E4219E8"/>
    <w:rsid w:val="2E5C00E2"/>
    <w:rsid w:val="2ED40F97"/>
    <w:rsid w:val="2FBA3040"/>
    <w:rsid w:val="3025063D"/>
    <w:rsid w:val="318D480D"/>
    <w:rsid w:val="31D6664A"/>
    <w:rsid w:val="33267C4B"/>
    <w:rsid w:val="333C358C"/>
    <w:rsid w:val="339B2A1D"/>
    <w:rsid w:val="34404B38"/>
    <w:rsid w:val="3583319E"/>
    <w:rsid w:val="360E4083"/>
    <w:rsid w:val="366A2698"/>
    <w:rsid w:val="36BD5B0E"/>
    <w:rsid w:val="37472363"/>
    <w:rsid w:val="37557F3E"/>
    <w:rsid w:val="37A5115B"/>
    <w:rsid w:val="37ED1F86"/>
    <w:rsid w:val="38830F4C"/>
    <w:rsid w:val="3915683E"/>
    <w:rsid w:val="392665D9"/>
    <w:rsid w:val="39B20532"/>
    <w:rsid w:val="3A24512B"/>
    <w:rsid w:val="3A343EF0"/>
    <w:rsid w:val="3C136F65"/>
    <w:rsid w:val="3C4443A0"/>
    <w:rsid w:val="3C51371B"/>
    <w:rsid w:val="3CD07449"/>
    <w:rsid w:val="3DC55B2A"/>
    <w:rsid w:val="3DD411A8"/>
    <w:rsid w:val="3EEE56EC"/>
    <w:rsid w:val="3F7F4661"/>
    <w:rsid w:val="3FEE4204"/>
    <w:rsid w:val="40C84C71"/>
    <w:rsid w:val="42EF0054"/>
    <w:rsid w:val="430072A4"/>
    <w:rsid w:val="431253FC"/>
    <w:rsid w:val="43555406"/>
    <w:rsid w:val="43606D84"/>
    <w:rsid w:val="44E63A7A"/>
    <w:rsid w:val="455A5D44"/>
    <w:rsid w:val="463E1BCA"/>
    <w:rsid w:val="48BA7DE8"/>
    <w:rsid w:val="48E867E9"/>
    <w:rsid w:val="498A0A2B"/>
    <w:rsid w:val="49B26D1B"/>
    <w:rsid w:val="4B3E2CB3"/>
    <w:rsid w:val="4B8612DE"/>
    <w:rsid w:val="4CBA23F5"/>
    <w:rsid w:val="4CC44DF2"/>
    <w:rsid w:val="4E112593"/>
    <w:rsid w:val="4EFF6821"/>
    <w:rsid w:val="4F000A74"/>
    <w:rsid w:val="4F214E00"/>
    <w:rsid w:val="4FA141B5"/>
    <w:rsid w:val="4FAC552A"/>
    <w:rsid w:val="509F768C"/>
    <w:rsid w:val="51842CE2"/>
    <w:rsid w:val="51ED3FF0"/>
    <w:rsid w:val="53DD2500"/>
    <w:rsid w:val="54FA4C13"/>
    <w:rsid w:val="550905BC"/>
    <w:rsid w:val="5603083E"/>
    <w:rsid w:val="56603974"/>
    <w:rsid w:val="571A55AA"/>
    <w:rsid w:val="572A610E"/>
    <w:rsid w:val="57B118DC"/>
    <w:rsid w:val="5846588B"/>
    <w:rsid w:val="590E61D1"/>
    <w:rsid w:val="5AB75F9B"/>
    <w:rsid w:val="5BA1749D"/>
    <w:rsid w:val="5C840B4C"/>
    <w:rsid w:val="5C9A5ABA"/>
    <w:rsid w:val="5E1A7FC5"/>
    <w:rsid w:val="5E1C2268"/>
    <w:rsid w:val="5E201CFE"/>
    <w:rsid w:val="5E460650"/>
    <w:rsid w:val="5ECE427C"/>
    <w:rsid w:val="5F4B33DD"/>
    <w:rsid w:val="603E3B47"/>
    <w:rsid w:val="61086113"/>
    <w:rsid w:val="61841EAC"/>
    <w:rsid w:val="61BC44E8"/>
    <w:rsid w:val="626869D3"/>
    <w:rsid w:val="62D367E9"/>
    <w:rsid w:val="62E464A6"/>
    <w:rsid w:val="62FC2B1E"/>
    <w:rsid w:val="630E6CD9"/>
    <w:rsid w:val="63B31E6F"/>
    <w:rsid w:val="63FA4BD1"/>
    <w:rsid w:val="64CA0B48"/>
    <w:rsid w:val="65546849"/>
    <w:rsid w:val="65C17F63"/>
    <w:rsid w:val="6622123E"/>
    <w:rsid w:val="67563263"/>
    <w:rsid w:val="67E41B93"/>
    <w:rsid w:val="69A27013"/>
    <w:rsid w:val="6AA32D14"/>
    <w:rsid w:val="6BB23E9F"/>
    <w:rsid w:val="6C586B74"/>
    <w:rsid w:val="6E31559E"/>
    <w:rsid w:val="6E7109A8"/>
    <w:rsid w:val="6F760A3B"/>
    <w:rsid w:val="701E4BEC"/>
    <w:rsid w:val="70FF1151"/>
    <w:rsid w:val="711A16CA"/>
    <w:rsid w:val="716E7698"/>
    <w:rsid w:val="723800FD"/>
    <w:rsid w:val="72BB669E"/>
    <w:rsid w:val="732307DC"/>
    <w:rsid w:val="73466C0F"/>
    <w:rsid w:val="734852BD"/>
    <w:rsid w:val="73F520F8"/>
    <w:rsid w:val="74136DE1"/>
    <w:rsid w:val="7555782A"/>
    <w:rsid w:val="757A409B"/>
    <w:rsid w:val="75955D41"/>
    <w:rsid w:val="761056E0"/>
    <w:rsid w:val="76851D82"/>
    <w:rsid w:val="776D01E2"/>
    <w:rsid w:val="7864215A"/>
    <w:rsid w:val="78643AAF"/>
    <w:rsid w:val="7A30719C"/>
    <w:rsid w:val="7A3D5EDD"/>
    <w:rsid w:val="7A983AC6"/>
    <w:rsid w:val="7AFB14AF"/>
    <w:rsid w:val="7C59064B"/>
    <w:rsid w:val="7D5C4898"/>
    <w:rsid w:val="7D8A5A38"/>
    <w:rsid w:val="7E69591C"/>
    <w:rsid w:val="7EAE4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5"/>
    <w:qFormat/>
    <w:uiPriority w:val="0"/>
    <w:pPr>
      <w:tabs>
        <w:tab w:val="left" w:leader="dot" w:pos="0"/>
      </w:tabs>
      <w:autoSpaceDE w:val="0"/>
      <w:autoSpaceDN w:val="0"/>
      <w:adjustRightInd w:val="0"/>
      <w:snapToGrid w:val="0"/>
      <w:spacing w:line="360" w:lineRule="auto"/>
      <w:outlineLvl w:val="2"/>
    </w:pPr>
    <w:rPr>
      <w:rFonts w:cs="宋体"/>
      <w:color w:val="000000"/>
      <w:sz w:val="24"/>
    </w:rPr>
  </w:style>
  <w:style w:type="paragraph" w:styleId="6">
    <w:name w:val="heading 4"/>
    <w:basedOn w:val="1"/>
    <w:next w:val="1"/>
    <w:unhideWhenUsed/>
    <w:qFormat/>
    <w:uiPriority w:val="9"/>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ascii="Times New Roman" w:hAnsi="Times New Roman" w:cs="Times New Roman"/>
      <w:szCs w:val="24"/>
    </w:rPr>
  </w:style>
  <w:style w:type="paragraph" w:styleId="3">
    <w:name w:val="Body Text"/>
    <w:basedOn w:val="1"/>
    <w:qFormat/>
    <w:uiPriority w:val="1"/>
    <w:rPr>
      <w:szCs w:val="21"/>
    </w:rPr>
  </w:style>
  <w:style w:type="paragraph" w:styleId="5">
    <w:name w:val="Normal Indent"/>
    <w:basedOn w:val="1"/>
    <w:qFormat/>
    <w:uiPriority w:val="0"/>
    <w:pPr>
      <w:adjustRightInd w:val="0"/>
      <w:spacing w:line="360" w:lineRule="atLeast"/>
      <w:ind w:firstLine="420"/>
      <w:jc w:val="left"/>
      <w:textAlignment w:val="baseline"/>
    </w:pPr>
    <w:rPr>
      <w:kern w:val="0"/>
      <w:sz w:val="24"/>
    </w:rPr>
  </w:style>
  <w:style w:type="paragraph" w:styleId="7">
    <w:name w:val="footer"/>
    <w:basedOn w:val="1"/>
    <w:link w:val="24"/>
    <w:unhideWhenUsed/>
    <w:qFormat/>
    <w:uiPriority w:val="99"/>
    <w:pPr>
      <w:tabs>
        <w:tab w:val="center" w:pos="4153"/>
        <w:tab w:val="right" w:pos="8306"/>
      </w:tabs>
      <w:snapToGrid w:val="0"/>
      <w:jc w:val="left"/>
    </w:pPr>
    <w:rPr>
      <w:sz w:val="18"/>
      <w:szCs w:val="18"/>
    </w:rPr>
  </w:style>
  <w:style w:type="paragraph" w:styleId="8">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Strong"/>
    <w:basedOn w:val="10"/>
    <w:qFormat/>
    <w:uiPriority w:val="22"/>
  </w:style>
  <w:style w:type="character" w:styleId="12">
    <w:name w:val="FollowedHyperlink"/>
    <w:basedOn w:val="10"/>
    <w:unhideWhenUsed/>
    <w:qFormat/>
    <w:uiPriority w:val="99"/>
    <w:rPr>
      <w:color w:val="800080"/>
      <w:u w:val="none"/>
    </w:rPr>
  </w:style>
  <w:style w:type="character" w:styleId="13">
    <w:name w:val="Emphasis"/>
    <w:basedOn w:val="10"/>
    <w:qFormat/>
    <w:uiPriority w:val="20"/>
  </w:style>
  <w:style w:type="character" w:styleId="14">
    <w:name w:val="HTML Definition"/>
    <w:basedOn w:val="10"/>
    <w:unhideWhenUsed/>
    <w:qFormat/>
    <w:uiPriority w:val="99"/>
  </w:style>
  <w:style w:type="character" w:styleId="15">
    <w:name w:val="HTML Typewriter"/>
    <w:basedOn w:val="10"/>
    <w:unhideWhenUsed/>
    <w:qFormat/>
    <w:uiPriority w:val="99"/>
    <w:rPr>
      <w:rFonts w:hint="default" w:ascii="monospace" w:hAnsi="monospace" w:eastAsia="monospace" w:cs="monospace"/>
      <w:sz w:val="20"/>
    </w:rPr>
  </w:style>
  <w:style w:type="character" w:styleId="16">
    <w:name w:val="HTML Acronym"/>
    <w:basedOn w:val="10"/>
    <w:unhideWhenUsed/>
    <w:qFormat/>
    <w:uiPriority w:val="99"/>
  </w:style>
  <w:style w:type="character" w:styleId="17">
    <w:name w:val="HTML Variable"/>
    <w:basedOn w:val="10"/>
    <w:unhideWhenUsed/>
    <w:qFormat/>
    <w:uiPriority w:val="99"/>
  </w:style>
  <w:style w:type="character" w:styleId="18">
    <w:name w:val="Hyperlink"/>
    <w:basedOn w:val="10"/>
    <w:unhideWhenUsed/>
    <w:qFormat/>
    <w:uiPriority w:val="99"/>
    <w:rPr>
      <w:color w:val="0000FF"/>
      <w:u w:val="none"/>
    </w:rPr>
  </w:style>
  <w:style w:type="character" w:styleId="19">
    <w:name w:val="HTML Code"/>
    <w:basedOn w:val="10"/>
    <w:unhideWhenUsed/>
    <w:qFormat/>
    <w:uiPriority w:val="99"/>
    <w:rPr>
      <w:rFonts w:ascii="monospace" w:hAnsi="monospace" w:eastAsia="monospace" w:cs="monospace"/>
      <w:sz w:val="20"/>
    </w:rPr>
  </w:style>
  <w:style w:type="character" w:styleId="20">
    <w:name w:val="HTML Cite"/>
    <w:basedOn w:val="10"/>
    <w:unhideWhenUsed/>
    <w:qFormat/>
    <w:uiPriority w:val="99"/>
  </w:style>
  <w:style w:type="character" w:styleId="21">
    <w:name w:val="HTML Keyboard"/>
    <w:basedOn w:val="10"/>
    <w:unhideWhenUsed/>
    <w:qFormat/>
    <w:uiPriority w:val="99"/>
    <w:rPr>
      <w:rFonts w:hint="default" w:ascii="monospace" w:hAnsi="monospace" w:eastAsia="monospace" w:cs="monospace"/>
      <w:sz w:val="20"/>
    </w:rPr>
  </w:style>
  <w:style w:type="character" w:styleId="22">
    <w:name w:val="HTML Sample"/>
    <w:basedOn w:val="10"/>
    <w:unhideWhenUsed/>
    <w:qFormat/>
    <w:uiPriority w:val="99"/>
    <w:rPr>
      <w:rFonts w:hint="default" w:ascii="monospace" w:hAnsi="monospace" w:eastAsia="monospace" w:cs="monospace"/>
    </w:rPr>
  </w:style>
  <w:style w:type="character" w:customStyle="1" w:styleId="23">
    <w:name w:val="页眉 字符"/>
    <w:basedOn w:val="10"/>
    <w:link w:val="8"/>
    <w:semiHidden/>
    <w:qFormat/>
    <w:uiPriority w:val="99"/>
    <w:rPr>
      <w:rFonts w:asciiTheme="minorHAnsi" w:hAnsiTheme="minorHAnsi" w:eastAsiaTheme="minorEastAsia" w:cstheme="minorBidi"/>
      <w:kern w:val="2"/>
      <w:sz w:val="18"/>
      <w:szCs w:val="18"/>
    </w:rPr>
  </w:style>
  <w:style w:type="character" w:customStyle="1" w:styleId="24">
    <w:name w:val="页脚 字符"/>
    <w:basedOn w:val="10"/>
    <w:link w:val="7"/>
    <w:semiHidden/>
    <w:qFormat/>
    <w:uiPriority w:val="99"/>
    <w:rPr>
      <w:rFonts w:asciiTheme="minorHAnsi" w:hAnsiTheme="minorHAnsi" w:eastAsiaTheme="minorEastAsia" w:cstheme="minorBidi"/>
      <w:kern w:val="2"/>
      <w:sz w:val="18"/>
      <w:szCs w:val="18"/>
    </w:rPr>
  </w:style>
  <w:style w:type="character" w:customStyle="1" w:styleId="25">
    <w:name w:val="mini-outputtext1"/>
    <w:basedOn w:val="10"/>
    <w:qFormat/>
    <w:uiPriority w:val="0"/>
  </w:style>
  <w:style w:type="paragraph" w:customStyle="1" w:styleId="26">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cqmzj</Company>
  <Pages>3</Pages>
  <Words>234</Words>
  <Characters>1335</Characters>
  <Lines>11</Lines>
  <Paragraphs>3</Paragraphs>
  <TotalTime>0</TotalTime>
  <ScaleCrop>false</ScaleCrop>
  <LinksUpToDate>false</LinksUpToDate>
  <CharactersWithSpaces>1566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2023-02-22T02:06:00Z</dcterms:created>
  <dc:creator>Administrator</dc:creator>
  <cp:lastModifiedBy>刘道红</cp:lastModifiedBy>
  <cp:lastPrinted>2022-05-24T07:10:00Z</cp:lastPrinted>
  <dcterms:modified xsi:type="dcterms:W3CDTF">2023-06-21T02:07:53Z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3A6B717EEDAA41E5ACADD13C6B637EAD</vt:lpwstr>
  </property>
</Properties>
</file>