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项目名称：</w:t>
      </w:r>
      <w:r>
        <w:rPr>
          <w:rFonts w:hint="eastAsia" w:ascii="宋体" w:hAnsi="宋体" w:cs="宋体"/>
          <w:b/>
          <w:bCs/>
          <w:sz w:val="32"/>
          <w:szCs w:val="32"/>
          <w:lang w:eastAsia="zh-CN"/>
        </w:rPr>
        <w:t>2023年渝蓉高速大足石刻服务区机电工程电线电缆采购（第二次）</w:t>
      </w:r>
    </w:p>
    <w:p>
      <w:pPr>
        <w:rPr>
          <w:rFonts w:ascii="宋体" w:hAnsi="宋体" w:cs="宋体"/>
          <w:sz w:val="28"/>
          <w:szCs w:val="28"/>
        </w:rPr>
      </w:pPr>
    </w:p>
    <w:p>
      <w:pPr>
        <w:jc w:val="center"/>
        <w:rPr>
          <w:rFonts w:ascii="宋体" w:hAnsi="宋体" w:cs="宋体"/>
          <w:b/>
          <w:sz w:val="48"/>
          <w:szCs w:val="48"/>
        </w:rPr>
      </w:pPr>
      <w:r>
        <w:rPr>
          <w:rFonts w:hint="eastAsia" w:ascii="宋体" w:hAnsi="宋体" w:cs="宋体"/>
          <w:b/>
          <w:sz w:val="48"/>
          <w:szCs w:val="48"/>
        </w:rPr>
        <w:t>竞</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争</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性</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比</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选</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文</w:t>
      </w:r>
    </w:p>
    <w:p>
      <w:pPr>
        <w:jc w:val="center"/>
        <w:rPr>
          <w:rFonts w:ascii="宋体" w:hAnsi="宋体" w:cs="宋体"/>
          <w:b/>
          <w:sz w:val="48"/>
          <w:szCs w:val="48"/>
        </w:rPr>
      </w:pPr>
    </w:p>
    <w:p>
      <w:pPr>
        <w:jc w:val="center"/>
        <w:rPr>
          <w:rFonts w:ascii="宋体" w:hAnsi="宋体" w:cs="宋体"/>
          <w:b/>
          <w:sz w:val="96"/>
          <w:szCs w:val="72"/>
        </w:rPr>
      </w:pPr>
      <w:r>
        <w:rPr>
          <w:rFonts w:hint="eastAsia" w:ascii="宋体" w:hAnsi="宋体" w:cs="宋体"/>
          <w:b/>
          <w:sz w:val="48"/>
          <w:szCs w:val="48"/>
        </w:rPr>
        <w:t>件</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
    <w:p>
      <w:pPr>
        <w:jc w:val="center"/>
        <w:rPr>
          <w:rFonts w:ascii="宋体" w:hAnsi="宋体" w:cs="宋体"/>
          <w:b/>
          <w:sz w:val="28"/>
          <w:szCs w:val="28"/>
        </w:rPr>
      </w:pPr>
      <w:r>
        <w:rPr>
          <w:rFonts w:hint="eastAsia" w:ascii="宋体" w:hAnsi="宋体" w:cs="宋体"/>
          <w:b/>
          <w:sz w:val="28"/>
          <w:szCs w:val="28"/>
        </w:rPr>
        <w:t>采购人：重庆首讯科技股份有限公司</w:t>
      </w:r>
    </w:p>
    <w:p>
      <w:pPr>
        <w:jc w:val="center"/>
        <w:rPr>
          <w:rFonts w:ascii="宋体" w:hAnsi="宋体" w:cs="宋体"/>
          <w:b/>
          <w:sz w:val="28"/>
          <w:szCs w:val="28"/>
        </w:rPr>
      </w:pPr>
      <w:r>
        <w:rPr>
          <w:rFonts w:hint="eastAsia" w:ascii="宋体" w:hAnsi="宋体" w:cs="宋体"/>
          <w:b/>
          <w:sz w:val="28"/>
          <w:szCs w:val="28"/>
          <w:u w:val="single"/>
        </w:rPr>
        <w:t>202</w:t>
      </w:r>
      <w:r>
        <w:rPr>
          <w:rFonts w:hint="eastAsia" w:ascii="宋体" w:hAnsi="宋体" w:cs="宋体"/>
          <w:b/>
          <w:sz w:val="28"/>
          <w:szCs w:val="28"/>
          <w:u w:val="single"/>
          <w:lang w:val="en-US" w:eastAsia="zh-CN"/>
        </w:rPr>
        <w:t>3</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6</w:t>
      </w:r>
      <w:r>
        <w:rPr>
          <w:rFonts w:hint="eastAsia" w:ascii="宋体" w:hAnsi="宋体" w:cs="宋体"/>
          <w:b/>
          <w:sz w:val="28"/>
          <w:szCs w:val="28"/>
          <w:u w:val="single"/>
        </w:rPr>
        <w:t xml:space="preserve"> </w:t>
      </w:r>
      <w:r>
        <w:rPr>
          <w:rFonts w:hint="eastAsia" w:ascii="宋体" w:hAnsi="宋体" w:cs="宋体"/>
          <w:b/>
          <w:sz w:val="28"/>
          <w:szCs w:val="28"/>
        </w:rPr>
        <w:t>月</w:t>
      </w:r>
    </w:p>
    <w:p>
      <w:pPr>
        <w:pStyle w:val="29"/>
        <w:jc w:val="center"/>
        <w:rPr>
          <w:rFonts w:ascii="宋体" w:hAnsi="宋体" w:cs="宋体"/>
          <w:szCs w:val="21"/>
        </w:rPr>
      </w:pPr>
      <w:r>
        <w:br w:type="page"/>
      </w:r>
      <w:bookmarkStart w:id="0" w:name="_Toc507319889"/>
      <w:bookmarkStart w:id="1" w:name="_Toc507428442"/>
      <w:bookmarkStart w:id="2" w:name="_Toc296602400"/>
      <w:bookmarkStart w:id="3" w:name="_Toc246996898"/>
      <w:bookmarkStart w:id="4" w:name="_Toc247085669"/>
      <w:r>
        <w:rPr>
          <w:rFonts w:hint="eastAsia" w:ascii="宋体" w:hAnsi="宋体" w:cs="宋体"/>
          <w:b w:val="0"/>
          <w:sz w:val="32"/>
        </w:rPr>
        <w:t>目   录</w:t>
      </w:r>
      <w:bookmarkEnd w:id="0"/>
      <w:bookmarkEnd w:id="1"/>
      <w:bookmarkEnd w:id="2"/>
      <w:bookmarkEnd w:id="3"/>
      <w:bookmarkEnd w:id="4"/>
    </w:p>
    <w:p>
      <w:pPr>
        <w:pStyle w:val="29"/>
        <w:tabs>
          <w:tab w:val="right" w:leader="dot" w:pos="9638"/>
        </w:tabs>
      </w:pPr>
      <w:r>
        <w:rPr>
          <w:rFonts w:hint="eastAsia" w:ascii="宋体" w:hAnsi="宋体" w:cs="宋体"/>
          <w:b w:val="0"/>
          <w:bCs w:val="0"/>
          <w:caps w:val="0"/>
        </w:rPr>
        <w:fldChar w:fldCharType="begin"/>
      </w:r>
      <w:r>
        <w:rPr>
          <w:rFonts w:hint="eastAsia" w:ascii="宋体" w:hAnsi="宋体" w:cs="宋体"/>
          <w:b w:val="0"/>
          <w:bCs w:val="0"/>
          <w:caps w:val="0"/>
        </w:rPr>
        <w:instrText xml:space="preserve"> TOC \o "1-2" \h \z \u </w:instrText>
      </w:r>
      <w:r>
        <w:rPr>
          <w:rFonts w:hint="eastAsia" w:ascii="宋体" w:hAnsi="宋体" w:cs="宋体"/>
          <w:b w:val="0"/>
          <w:bCs w:val="0"/>
          <w:caps w:val="0"/>
        </w:rPr>
        <w:fldChar w:fldCharType="separate"/>
      </w:r>
      <w:r>
        <w:fldChar w:fldCharType="begin"/>
      </w:r>
      <w:r>
        <w:instrText xml:space="preserve"> HYPERLINK \l "_Toc10533" </w:instrText>
      </w:r>
      <w:r>
        <w:fldChar w:fldCharType="separate"/>
      </w:r>
      <w:r>
        <w:rPr>
          <w:rFonts w:hint="eastAsia" w:ascii="宋体" w:hAnsi="宋体" w:cs="宋体"/>
        </w:rPr>
        <w:t>第一章 比选公告</w:t>
      </w:r>
      <w:r>
        <w:tab/>
      </w:r>
      <w:r>
        <w:fldChar w:fldCharType="end"/>
      </w:r>
    </w:p>
    <w:p>
      <w:pPr>
        <w:pStyle w:val="29"/>
        <w:tabs>
          <w:tab w:val="right" w:leader="dot" w:pos="9638"/>
        </w:tabs>
      </w:pPr>
      <w:r>
        <w:fldChar w:fldCharType="begin"/>
      </w:r>
      <w:r>
        <w:instrText xml:space="preserve"> HYPERLINK \l "_Toc21719" </w:instrText>
      </w:r>
      <w:r>
        <w:fldChar w:fldCharType="separate"/>
      </w:r>
      <w:r>
        <w:rPr>
          <w:rFonts w:hint="eastAsia" w:ascii="宋体" w:hAnsi="宋体" w:cs="宋体"/>
        </w:rPr>
        <w:t>第二章 报价人须知</w:t>
      </w:r>
      <w:r>
        <w:tab/>
      </w:r>
      <w:r>
        <w:fldChar w:fldCharType="end"/>
      </w:r>
    </w:p>
    <w:p>
      <w:pPr>
        <w:pStyle w:val="29"/>
        <w:tabs>
          <w:tab w:val="right" w:leader="dot" w:pos="9638"/>
        </w:tabs>
      </w:pPr>
      <w:r>
        <w:fldChar w:fldCharType="begin"/>
      </w:r>
      <w:r>
        <w:instrText xml:space="preserve"> HYPERLINK \l "_Toc7682" </w:instrText>
      </w:r>
      <w:r>
        <w:fldChar w:fldCharType="separate"/>
      </w:r>
      <w:r>
        <w:rPr>
          <w:rFonts w:hint="eastAsia" w:ascii="宋体" w:hAnsi="宋体" w:cs="宋体"/>
        </w:rPr>
        <w:t>第三章 评标办法（经评审的最低投标价法）</w:t>
      </w:r>
      <w:r>
        <w:tab/>
      </w:r>
      <w:r>
        <w:fldChar w:fldCharType="end"/>
      </w:r>
    </w:p>
    <w:p>
      <w:pPr>
        <w:pStyle w:val="29"/>
        <w:tabs>
          <w:tab w:val="right" w:leader="dot" w:pos="9638"/>
        </w:tabs>
      </w:pPr>
      <w:r>
        <w:fldChar w:fldCharType="begin"/>
      </w:r>
      <w:r>
        <w:instrText xml:space="preserve"> HYPERLINK \l "_Toc13787" </w:instrText>
      </w:r>
      <w:r>
        <w:fldChar w:fldCharType="separate"/>
      </w:r>
      <w:r>
        <w:rPr>
          <w:rFonts w:hint="eastAsia"/>
        </w:rPr>
        <w:t>第四章 报价说明</w:t>
      </w:r>
      <w:r>
        <w:tab/>
      </w:r>
      <w:r>
        <w:fldChar w:fldCharType="end"/>
      </w:r>
    </w:p>
    <w:p>
      <w:pPr>
        <w:pStyle w:val="29"/>
        <w:tabs>
          <w:tab w:val="right" w:leader="dot" w:pos="9638"/>
        </w:tabs>
      </w:pPr>
      <w:r>
        <w:fldChar w:fldCharType="begin"/>
      </w:r>
      <w:r>
        <w:instrText xml:space="preserve"> HYPERLINK \l "_Toc24503" </w:instrText>
      </w:r>
      <w:r>
        <w:fldChar w:fldCharType="separate"/>
      </w:r>
      <w:r>
        <w:rPr>
          <w:rFonts w:hint="eastAsia" w:ascii="宋体" w:hAnsi="宋体" w:cs="宋体"/>
        </w:rPr>
        <w:t>第五章  工程量清单及计量规则</w:t>
      </w:r>
      <w:r>
        <w:tab/>
      </w:r>
      <w:r>
        <w:fldChar w:fldCharType="end"/>
      </w:r>
    </w:p>
    <w:p>
      <w:pPr>
        <w:pStyle w:val="29"/>
        <w:tabs>
          <w:tab w:val="right" w:leader="dot" w:pos="9638"/>
        </w:tabs>
      </w:pPr>
      <w:r>
        <w:fldChar w:fldCharType="begin"/>
      </w:r>
      <w:r>
        <w:instrText xml:space="preserve"> HYPERLINK \l "_Toc12440" </w:instrText>
      </w:r>
      <w:r>
        <w:fldChar w:fldCharType="separate"/>
      </w:r>
      <w:r>
        <w:rPr>
          <w:rFonts w:hint="eastAsia" w:ascii="宋体" w:hAnsi="宋体" w:cs="宋体"/>
        </w:rPr>
        <w:t>第六章  图  纸</w:t>
      </w:r>
      <w:r>
        <w:tab/>
      </w:r>
      <w:r>
        <w:fldChar w:fldCharType="end"/>
      </w:r>
    </w:p>
    <w:p>
      <w:pPr>
        <w:pStyle w:val="29"/>
        <w:tabs>
          <w:tab w:val="right" w:leader="dot" w:pos="9638"/>
        </w:tabs>
      </w:pPr>
      <w:r>
        <w:fldChar w:fldCharType="begin"/>
      </w:r>
      <w:r>
        <w:instrText xml:space="preserve"> HYPERLINK \l "_Toc10887" </w:instrText>
      </w:r>
      <w:r>
        <w:fldChar w:fldCharType="separate"/>
      </w:r>
      <w:r>
        <w:rPr>
          <w:rFonts w:hint="eastAsia" w:ascii="宋体" w:hAnsi="宋体" w:cs="宋体"/>
        </w:rPr>
        <w:t>第七章  技术标准和工作要求</w:t>
      </w:r>
      <w:r>
        <w:tab/>
      </w:r>
      <w:r>
        <w:fldChar w:fldCharType="end"/>
      </w:r>
    </w:p>
    <w:p>
      <w:pPr>
        <w:pStyle w:val="29"/>
        <w:tabs>
          <w:tab w:val="right" w:leader="dot" w:pos="9638"/>
        </w:tabs>
        <w:rPr>
          <w:rFonts w:ascii="宋体" w:hAnsi="宋体" w:cs="宋体"/>
        </w:rPr>
      </w:pPr>
      <w:r>
        <w:fldChar w:fldCharType="begin"/>
      </w:r>
      <w:r>
        <w:instrText xml:space="preserve"> HYPERLINK \l "_Toc24853" </w:instrText>
      </w:r>
      <w:r>
        <w:fldChar w:fldCharType="separate"/>
      </w:r>
      <w:r>
        <w:rPr>
          <w:rFonts w:hint="eastAsia" w:ascii="宋体" w:hAnsi="宋体" w:cs="宋体"/>
        </w:rPr>
        <w:t>第</w:t>
      </w:r>
      <w:r>
        <w:rPr>
          <w:rFonts w:hint="default" w:ascii="宋体" w:hAnsi="宋体" w:cs="宋体"/>
        </w:rPr>
        <w:t>八</w:t>
      </w:r>
      <w:r>
        <w:rPr>
          <w:rFonts w:hint="eastAsia" w:ascii="宋体" w:hAnsi="宋体" w:cs="宋体"/>
        </w:rPr>
        <w:t>章  竞争性比选响应文件格式</w:t>
      </w:r>
      <w:r>
        <w:tab/>
      </w:r>
      <w:r>
        <w:fldChar w:fldCharType="end"/>
      </w:r>
    </w:p>
    <w:p/>
    <w:p>
      <w:pPr>
        <w:pStyle w:val="35"/>
        <w:tabs>
          <w:tab w:val="right" w:leader="dot" w:pos="9628"/>
        </w:tabs>
        <w:ind w:left="0"/>
        <w:rPr>
          <w:rFonts w:ascii="宋体" w:hAnsi="宋体" w:cs="宋体"/>
          <w:b/>
          <w:bCs/>
          <w:caps/>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rPr>
        <w:fldChar w:fldCharType="end"/>
      </w:r>
    </w:p>
    <w:p>
      <w:pPr>
        <w:pStyle w:val="4"/>
        <w:spacing w:before="0" w:after="0" w:line="360" w:lineRule="auto"/>
        <w:jc w:val="center"/>
        <w:rPr>
          <w:rFonts w:ascii="宋体" w:hAnsi="宋体" w:cs="宋体"/>
        </w:rPr>
      </w:pPr>
      <w:bookmarkStart w:id="5" w:name="_Toc152042287"/>
      <w:bookmarkStart w:id="6" w:name="_Toc247085671"/>
      <w:bookmarkStart w:id="7" w:name="_Toc2000404"/>
      <w:bookmarkStart w:id="8" w:name="_Toc152045511"/>
      <w:bookmarkStart w:id="9" w:name="_Toc246996157"/>
      <w:bookmarkStart w:id="10" w:name="_Toc246996900"/>
      <w:bookmarkStart w:id="11" w:name="_Toc507319890"/>
      <w:bookmarkStart w:id="12" w:name="_Toc144974479"/>
      <w:bookmarkStart w:id="13" w:name="_Toc179632527"/>
      <w:bookmarkStart w:id="14" w:name="_Toc247096243"/>
      <w:bookmarkStart w:id="15" w:name="_Toc10533"/>
      <w:r>
        <w:rPr>
          <w:rFonts w:hint="eastAsia" w:ascii="宋体" w:hAnsi="宋体" w:cs="宋体"/>
        </w:rPr>
        <w:t xml:space="preserve">第一章 </w:t>
      </w:r>
      <w:bookmarkEnd w:id="5"/>
      <w:bookmarkEnd w:id="6"/>
      <w:bookmarkEnd w:id="7"/>
      <w:bookmarkEnd w:id="8"/>
      <w:bookmarkEnd w:id="9"/>
      <w:bookmarkEnd w:id="10"/>
      <w:bookmarkEnd w:id="11"/>
      <w:bookmarkEnd w:id="12"/>
      <w:bookmarkEnd w:id="13"/>
      <w:bookmarkEnd w:id="14"/>
      <w:r>
        <w:rPr>
          <w:rFonts w:hint="eastAsia" w:ascii="宋体" w:hAnsi="宋体" w:cs="宋体"/>
        </w:rPr>
        <w:t>比选公告</w:t>
      </w:r>
      <w:bookmarkEnd w:id="15"/>
    </w:p>
    <w:p>
      <w:pPr>
        <w:spacing w:line="440" w:lineRule="exact"/>
        <w:jc w:val="center"/>
        <w:rPr>
          <w:rFonts w:ascii="宋体" w:hAnsi="宋体" w:cs="宋体"/>
          <w:b/>
          <w:sz w:val="28"/>
          <w:szCs w:val="28"/>
        </w:rPr>
      </w:pPr>
      <w:bookmarkStart w:id="16" w:name="OLE_LINK2"/>
      <w:bookmarkStart w:id="17" w:name="OLE_LINK3"/>
    </w:p>
    <w:p>
      <w:pPr>
        <w:pStyle w:val="5"/>
        <w:spacing w:before="0" w:after="0" w:line="360" w:lineRule="auto"/>
        <w:rPr>
          <w:rFonts w:ascii="宋体" w:hAnsi="宋体" w:eastAsia="宋体" w:cs="宋体"/>
        </w:rPr>
      </w:pPr>
      <w:bookmarkStart w:id="18" w:name="_Toc246996158"/>
      <w:bookmarkStart w:id="19" w:name="_Toc246996901"/>
      <w:bookmarkStart w:id="20" w:name="_Toc179632528"/>
      <w:bookmarkStart w:id="21" w:name="_Toc507319891"/>
      <w:bookmarkStart w:id="22" w:name="_Toc10076"/>
      <w:bookmarkStart w:id="23" w:name="_Toc247085672"/>
      <w:bookmarkStart w:id="24" w:name="_Toc144974480"/>
      <w:bookmarkStart w:id="25" w:name="_Toc11329213"/>
      <w:bookmarkStart w:id="26" w:name="_Toc6549"/>
      <w:bookmarkStart w:id="27" w:name="_Toc24874"/>
      <w:bookmarkStart w:id="28" w:name="_Toc152045512"/>
      <w:bookmarkStart w:id="29" w:name="_Toc152042288"/>
      <w:r>
        <w:rPr>
          <w:rFonts w:hint="eastAsia" w:ascii="宋体" w:hAnsi="宋体" w:eastAsia="宋体" w:cs="宋体"/>
        </w:rPr>
        <w:t>1. 比选条件</w:t>
      </w:r>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ascii="宋体" w:hAnsi="宋体" w:cs="宋体"/>
          <w:szCs w:val="21"/>
        </w:rPr>
      </w:pPr>
      <w:r>
        <w:rPr>
          <w:rFonts w:hint="eastAsia" w:ascii="宋体" w:hAnsi="宋体" w:cs="宋体"/>
          <w:szCs w:val="21"/>
        </w:rPr>
        <w:t>　　本竞争性比选项目</w:t>
      </w:r>
      <w:r>
        <w:rPr>
          <w:rFonts w:hint="eastAsia" w:ascii="宋体" w:hAnsi="宋体" w:cs="宋体"/>
          <w:szCs w:val="21"/>
          <w:u w:val="single"/>
          <w:lang w:eastAsia="zh-CN"/>
        </w:rPr>
        <w:t>2023年渝蓉高速大足石刻服务区机电工程电线电缆采购（第二次）</w:t>
      </w:r>
      <w:r>
        <w:rPr>
          <w:rFonts w:hint="eastAsia" w:ascii="宋体" w:hAnsi="宋体" w:cs="宋体"/>
          <w:szCs w:val="21"/>
        </w:rPr>
        <w:t>，采购人为</w:t>
      </w:r>
      <w:r>
        <w:rPr>
          <w:rFonts w:hint="eastAsia" w:ascii="宋体" w:hAnsi="宋体" w:cs="宋体"/>
          <w:szCs w:val="21"/>
          <w:u w:val="single"/>
        </w:rPr>
        <w:t xml:space="preserve"> 重庆首讯科技股份有限公司</w:t>
      </w:r>
      <w:r>
        <w:rPr>
          <w:rFonts w:hint="eastAsia" w:ascii="宋体" w:hAnsi="宋体" w:cs="宋体"/>
          <w:szCs w:val="21"/>
        </w:rPr>
        <w:t>，该项目已具备比选条件，现对该项目进行竞争性比选。</w:t>
      </w:r>
    </w:p>
    <w:p>
      <w:pPr>
        <w:pStyle w:val="5"/>
        <w:spacing w:before="120" w:after="0" w:line="360" w:lineRule="auto"/>
        <w:rPr>
          <w:rFonts w:ascii="宋体" w:hAnsi="宋体" w:eastAsia="宋体" w:cs="宋体"/>
        </w:rPr>
      </w:pPr>
      <w:bookmarkStart w:id="30" w:name="_Toc11329214"/>
      <w:bookmarkStart w:id="31" w:name="_Toc247085673"/>
      <w:bookmarkStart w:id="32" w:name="_Toc144974481"/>
      <w:bookmarkStart w:id="33" w:name="_Toc246996159"/>
      <w:bookmarkStart w:id="34" w:name="_Toc152045513"/>
      <w:bookmarkStart w:id="35" w:name="_Toc246996902"/>
      <w:bookmarkStart w:id="36" w:name="_Toc10952"/>
      <w:bookmarkStart w:id="37" w:name="_Toc179632529"/>
      <w:bookmarkStart w:id="38" w:name="_Toc21343"/>
      <w:bookmarkStart w:id="39" w:name="_Toc507319892"/>
      <w:bookmarkStart w:id="40" w:name="_Toc18109"/>
      <w:bookmarkStart w:id="41" w:name="_Toc152042289"/>
      <w:r>
        <w:rPr>
          <w:rFonts w:hint="eastAsia" w:ascii="宋体" w:hAnsi="宋体" w:eastAsia="宋体" w:cs="宋体"/>
        </w:rPr>
        <w:t>2. 项目概况与比选范围</w:t>
      </w:r>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20" w:firstLineChars="200"/>
        <w:rPr>
          <w:rFonts w:ascii="宋体" w:hAnsi="宋体" w:cs="宋体"/>
        </w:rPr>
      </w:pPr>
      <w:bookmarkStart w:id="42" w:name="_Toc446247226"/>
      <w:r>
        <w:rPr>
          <w:rFonts w:hint="eastAsia" w:ascii="宋体" w:hAnsi="宋体" w:cs="宋体"/>
        </w:rPr>
        <w:t>2.1 项目地点：</w:t>
      </w:r>
      <w:bookmarkEnd w:id="42"/>
      <w:r>
        <w:rPr>
          <w:rFonts w:hint="eastAsia" w:ascii="宋体" w:hAnsi="宋体" w:cs="宋体"/>
          <w:szCs w:val="21"/>
          <w:u w:val="single"/>
          <w:lang w:eastAsia="zh-CN"/>
        </w:rPr>
        <w:t>渝蓉高速大足石刻服务区</w:t>
      </w:r>
      <w:r>
        <w:rPr>
          <w:rFonts w:hint="eastAsia" w:ascii="宋体" w:hAnsi="宋体" w:cs="宋体"/>
        </w:rPr>
        <w:t>。</w:t>
      </w:r>
    </w:p>
    <w:p>
      <w:pPr>
        <w:spacing w:line="400" w:lineRule="exact"/>
        <w:ind w:firstLine="420" w:firstLineChars="200"/>
        <w:jc w:val="left"/>
        <w:rPr>
          <w:rFonts w:ascii="宋体" w:hAnsi="宋体" w:cs="宋体"/>
        </w:rPr>
      </w:pPr>
      <w:r>
        <w:rPr>
          <w:rFonts w:hint="eastAsia" w:ascii="宋体" w:hAnsi="宋体" w:cs="宋体"/>
          <w:szCs w:val="21"/>
        </w:rPr>
        <w:t>2.2 项目概况：</w:t>
      </w:r>
      <w:r>
        <w:rPr>
          <w:rFonts w:hint="eastAsia" w:ascii="宋体" w:hAnsi="宋体" w:cs="宋体"/>
          <w:szCs w:val="21"/>
          <w:lang w:val="en-US" w:eastAsia="zh-CN"/>
        </w:rPr>
        <w:t>本项目为采购2023年渝蓉高速大足石刻服务区机电工程</w:t>
      </w:r>
      <w:r>
        <w:rPr>
          <w:rFonts w:hint="default" w:ascii="宋体" w:hAnsi="宋体" w:cs="宋体"/>
          <w:szCs w:val="21"/>
          <w:lang w:eastAsia="zh-CN"/>
        </w:rPr>
        <w:t>中使用的</w:t>
      </w:r>
      <w:r>
        <w:rPr>
          <w:rFonts w:hint="eastAsia" w:ascii="宋体" w:hAnsi="宋体" w:cs="宋体"/>
          <w:szCs w:val="21"/>
          <w:lang w:val="en-US" w:eastAsia="zh-CN"/>
        </w:rPr>
        <w:t>电线电缆</w:t>
      </w:r>
      <w:r>
        <w:rPr>
          <w:rFonts w:hint="eastAsia" w:hAnsi="宋体"/>
          <w:color w:val="auto"/>
          <w:kern w:val="2"/>
          <w:sz w:val="21"/>
          <w:szCs w:val="21"/>
          <w:lang w:eastAsia="zh-CN"/>
        </w:rPr>
        <w:t>。</w:t>
      </w:r>
    </w:p>
    <w:p>
      <w:pPr>
        <w:pStyle w:val="14"/>
        <w:adjustRightInd w:val="0"/>
        <w:spacing w:line="400" w:lineRule="exact"/>
        <w:rPr>
          <w:rFonts w:ascii="宋体" w:hAnsi="宋体" w:cs="宋体"/>
          <w:szCs w:val="21"/>
        </w:rPr>
      </w:pPr>
      <w:r>
        <w:rPr>
          <w:rFonts w:hint="eastAsia" w:ascii="宋体" w:hAnsi="宋体" w:cs="宋体"/>
        </w:rPr>
        <w:t>2.3 比选范围：渝蓉高速大足石刻服务区机电工程电线电缆采购，包括（但不限于）设备材料的设计、制造、试验、装配、包装、运输、交货、验收、保险、现场培训以及售后服务等。具体要求以用户需求和图纸为准</w:t>
      </w:r>
      <w:r>
        <w:rPr>
          <w:rFonts w:hint="eastAsia" w:ascii="宋体" w:hAnsi="宋体" w:cs="宋体"/>
          <w:szCs w:val="21"/>
        </w:rPr>
        <w:t xml:space="preserve">。 </w:t>
      </w:r>
    </w:p>
    <w:p>
      <w:pPr>
        <w:spacing w:line="400" w:lineRule="exact"/>
        <w:ind w:firstLine="420" w:firstLineChars="200"/>
        <w:rPr>
          <w:rFonts w:hint="eastAsia" w:eastAsia="宋体"/>
          <w:b/>
          <w:bCs/>
          <w:lang w:val="en-US" w:eastAsia="zh-CN"/>
        </w:rPr>
      </w:pPr>
      <w:r>
        <w:rPr>
          <w:rFonts w:hint="eastAsia" w:ascii="宋体" w:hAnsi="宋体" w:cs="宋体"/>
        </w:rPr>
        <w:t>2.4</w:t>
      </w:r>
      <w:r>
        <w:rPr>
          <w:rFonts w:hint="eastAsia" w:ascii="宋体" w:hAnsi="宋体" w:cs="宋体"/>
          <w:lang w:val="en-US" w:eastAsia="zh-CN"/>
        </w:rPr>
        <w:t xml:space="preserve"> </w:t>
      </w:r>
      <w:r>
        <w:rPr>
          <w:rFonts w:hint="eastAsia" w:ascii="宋体" w:hAnsi="宋体" w:cs="宋体"/>
        </w:rPr>
        <w:t>工期要求：</w:t>
      </w:r>
      <w:r>
        <w:rPr>
          <w:rFonts w:hint="eastAsia" w:ascii="宋体" w:hAnsi="宋体" w:cs="宋体"/>
          <w:lang w:val="en-US" w:eastAsia="zh-CN"/>
        </w:rPr>
        <w:t>供货周期80天，</w:t>
      </w:r>
      <w:r>
        <w:rPr>
          <w:rFonts w:hint="eastAsia" w:ascii="宋体" w:hAnsi="宋体" w:cs="宋体"/>
        </w:rPr>
        <w:t>收到甲方下达的订单后5天内开始供货，具体时间以甲方通知为准。</w:t>
      </w:r>
    </w:p>
    <w:p>
      <w:pPr>
        <w:pStyle w:val="5"/>
        <w:spacing w:before="120" w:after="0" w:line="360" w:lineRule="auto"/>
        <w:rPr>
          <w:rFonts w:ascii="宋体" w:hAnsi="宋体" w:eastAsia="宋体" w:cs="宋体"/>
        </w:rPr>
      </w:pPr>
      <w:bookmarkStart w:id="43" w:name="_Toc11329215"/>
      <w:bookmarkStart w:id="44" w:name="_Toc247085674"/>
      <w:bookmarkStart w:id="45" w:name="_Toc152045514"/>
      <w:bookmarkStart w:id="46" w:name="_Toc179632530"/>
      <w:bookmarkStart w:id="47" w:name="_Toc30356"/>
      <w:bookmarkStart w:id="48" w:name="_Toc152042290"/>
      <w:bookmarkStart w:id="49" w:name="_Toc10171"/>
      <w:bookmarkStart w:id="50" w:name="_Toc507319893"/>
      <w:bookmarkStart w:id="51" w:name="_Toc246996903"/>
      <w:bookmarkStart w:id="52" w:name="_Toc246996160"/>
      <w:bookmarkStart w:id="53" w:name="_Toc7065"/>
      <w:bookmarkStart w:id="54" w:name="_Toc144974482"/>
      <w:r>
        <w:rPr>
          <w:rFonts w:hint="eastAsia" w:ascii="宋体" w:hAnsi="宋体" w:eastAsia="宋体" w:cs="宋体"/>
        </w:rPr>
        <w:t>3. 报价人资格要求</w:t>
      </w:r>
      <w:bookmarkEnd w:id="43"/>
      <w:bookmarkEnd w:id="44"/>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ascii="宋体" w:hAnsi="宋体" w:cs="宋体"/>
          <w:szCs w:val="21"/>
          <w:shd w:val="clear" w:color="auto" w:fill="FFFFFF"/>
        </w:rPr>
      </w:pPr>
      <w:bookmarkStart w:id="55" w:name="_Toc144974483"/>
      <w:bookmarkStart w:id="56" w:name="_Toc152042291"/>
      <w:bookmarkStart w:id="57" w:name="_Toc246996161"/>
      <w:bookmarkStart w:id="58" w:name="_Toc246996904"/>
      <w:bookmarkStart w:id="59" w:name="_Toc152045515"/>
      <w:bookmarkStart w:id="60" w:name="_Toc247085675"/>
      <w:bookmarkStart w:id="61" w:name="_Toc179632531"/>
      <w:r>
        <w:rPr>
          <w:rFonts w:hint="eastAsia" w:ascii="宋体" w:hAnsi="宋体" w:cs="宋体"/>
          <w:szCs w:val="21"/>
          <w:shd w:val="clear" w:color="auto" w:fill="FFFFFF"/>
        </w:rPr>
        <w:t>3.1 资质要求：</w:t>
      </w:r>
    </w:p>
    <w:p>
      <w:pPr>
        <w:spacing w:line="400" w:lineRule="exact"/>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rPr>
        <w:t>（1）报价人具有独立法人资格和有效的营业执照；</w:t>
      </w:r>
    </w:p>
    <w:p>
      <w:pPr>
        <w:keepNext w:val="0"/>
        <w:keepLines w:val="0"/>
        <w:widowControl/>
        <w:suppressLineNumbers w:val="0"/>
        <w:kinsoku w:val="0"/>
        <w:autoSpaceDE w:val="0"/>
        <w:autoSpaceDN w:val="0"/>
        <w:adjustRightInd w:val="0"/>
        <w:snapToGrid w:val="0"/>
        <w:spacing w:before="0" w:beforeAutospacing="0" w:after="0" w:afterAutospacing="0" w:line="400" w:lineRule="exact"/>
        <w:ind w:left="0" w:right="0" w:firstLine="420" w:firstLineChars="200"/>
        <w:jc w:val="left"/>
        <w:textAlignment w:val="baseline"/>
        <w:rPr>
          <w:rFonts w:hint="eastAsia"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（2）须为电线电缆制造商或代理商（如果为代理商则需提供制造商的项目授权书</w:t>
      </w:r>
      <w:r>
        <w:rPr>
          <w:rFonts w:hint="default" w:ascii="宋体" w:hAnsi="宋体" w:cs="宋体"/>
          <w:szCs w:val="21"/>
          <w:shd w:val="clear" w:color="auto" w:fill="FFFFFF"/>
          <w:lang w:eastAsia="zh-CN"/>
        </w:rPr>
        <w:t>，且一个制造商对同一品牌同一型号的货物，仅能委托1个代理商参加投标</w:t>
      </w:r>
      <w:r>
        <w:rPr>
          <w:rFonts w:hint="eastAsia" w:ascii="宋体" w:hAnsi="宋体" w:cs="宋体"/>
          <w:szCs w:val="21"/>
          <w:shd w:val="clear" w:color="auto" w:fill="FFFFFF"/>
          <w:lang w:val="en-US" w:eastAsia="zh-CN"/>
        </w:rPr>
        <w:t>）；</w:t>
      </w:r>
    </w:p>
    <w:p>
      <w:pPr>
        <w:spacing w:line="400" w:lineRule="exact"/>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3</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投标产品须提供国家认可的检测机构出具</w:t>
      </w:r>
      <w:r>
        <w:rPr>
          <w:rFonts w:hint="eastAsia" w:ascii="宋体" w:hAnsi="宋体" w:cs="宋体"/>
          <w:szCs w:val="21"/>
          <w:shd w:val="clear" w:color="auto" w:fill="FFFFFF"/>
          <w:lang w:val="en-US" w:eastAsia="zh-CN"/>
        </w:rPr>
        <w:t>的</w:t>
      </w:r>
      <w:r>
        <w:rPr>
          <w:rFonts w:hint="eastAsia" w:ascii="宋体" w:hAnsi="宋体" w:cs="宋体"/>
          <w:szCs w:val="21"/>
          <w:shd w:val="clear" w:color="auto" w:fill="FFFFFF"/>
        </w:rPr>
        <w:t>有效型式试验报告；</w:t>
      </w:r>
    </w:p>
    <w:p>
      <w:pPr>
        <w:spacing w:line="400" w:lineRule="exact"/>
        <w:ind w:firstLine="420" w:firstLineChars="200"/>
        <w:rPr>
          <w:rFonts w:hint="eastAsia"/>
        </w:rPr>
      </w:pPr>
      <w:r>
        <w:rPr>
          <w:rFonts w:hint="eastAsia" w:ascii="宋体" w:hAnsi="宋体" w:cs="宋体"/>
          <w:szCs w:val="21"/>
          <w:shd w:val="clear" w:color="auto" w:fill="FFFFFF"/>
        </w:rPr>
        <w:t>3.2 业绩要求</w:t>
      </w:r>
      <w:r>
        <w:rPr>
          <w:rFonts w:hint="eastAsia" w:ascii="宋体" w:hAnsi="宋体" w:cs="宋体"/>
          <w:szCs w:val="21"/>
          <w:shd w:val="clear" w:color="auto" w:fill="FFFFFF"/>
          <w:lang w:val="en-US" w:eastAsia="zh-CN"/>
        </w:rPr>
        <w:t>：2020年1月1日至报价截止日期（以合同签订时间为准）至少承担一项180万及以上电线电缆供货业绩（提供合同扫描件）</w:t>
      </w:r>
      <w:r>
        <w:rPr>
          <w:rFonts w:hint="eastAsia"/>
        </w:rPr>
        <w:t>。</w:t>
      </w:r>
    </w:p>
    <w:p>
      <w:pPr>
        <w:pStyle w:val="2"/>
        <w:ind w:left="0" w:leftChars="0" w:firstLine="420" w:firstLineChars="200"/>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3.3</w:t>
      </w:r>
      <w:r>
        <w:rPr>
          <w:rFonts w:hint="eastAsia" w:ascii="宋体" w:hAnsi="宋体" w:cs="宋体"/>
          <w:kern w:val="2"/>
          <w:sz w:val="21"/>
          <w:szCs w:val="21"/>
          <w:shd w:val="clear" w:color="auto" w:fill="FFFFFF"/>
          <w:lang w:val="en-US" w:eastAsia="zh-CN" w:bidi="ar-SA"/>
        </w:rPr>
        <w:t xml:space="preserve"> </w:t>
      </w:r>
      <w:r>
        <w:rPr>
          <w:rFonts w:hint="eastAsia" w:ascii="宋体" w:hAnsi="宋体" w:eastAsia="宋体" w:cs="宋体"/>
          <w:kern w:val="2"/>
          <w:sz w:val="21"/>
          <w:szCs w:val="21"/>
          <w:shd w:val="clear" w:color="auto" w:fill="FFFFFF"/>
          <w:lang w:val="en-US" w:eastAsia="zh-CN" w:bidi="ar-SA"/>
        </w:rPr>
        <w:t>财务要求：2020年1月1日至今至少两年度财务状况不亏损。提供经会计师事务所或审计机构出具的合法有效的财务审计报告及财务报表，财务报表至少包括现金流量表、资产负债表、利润表。</w:t>
      </w:r>
    </w:p>
    <w:p>
      <w:pPr>
        <w:spacing w:line="400" w:lineRule="exact"/>
        <w:ind w:firstLine="420" w:firstLineChars="200"/>
        <w:rPr>
          <w:rFonts w:ascii="宋体" w:hAnsi="宋体" w:cs="宋体"/>
          <w:szCs w:val="21"/>
          <w:shd w:val="clear" w:color="auto" w:fill="FFFFFF"/>
        </w:rPr>
      </w:pPr>
      <w:r>
        <w:rPr>
          <w:rFonts w:hint="eastAsia" w:ascii="宋体" w:hAnsi="宋体" w:eastAsia="宋体" w:cs="宋体"/>
          <w:kern w:val="2"/>
          <w:sz w:val="21"/>
          <w:szCs w:val="21"/>
          <w:shd w:val="clear" w:color="auto" w:fill="FFFFFF"/>
          <w:lang w:val="en-US" w:eastAsia="zh-CN" w:bidi="ar-SA"/>
        </w:rPr>
        <w:t>3.4 信誉要求：报价人在国家企业信用</w:t>
      </w:r>
      <w:r>
        <w:rPr>
          <w:rFonts w:hint="eastAsia" w:ascii="宋体" w:hAnsi="宋体" w:cs="宋体"/>
          <w:szCs w:val="21"/>
          <w:shd w:val="clear" w:color="auto" w:fill="FFFFFF"/>
        </w:rPr>
        <w:t>信息公示系统（http://www.gsxt.gov.cn/）中未被列入严重违法失信企业名单（黑名单）信息；在“信用中国”网站（http://www.creditchina.gov.cn/）中未被列入失信惩戒执行人名单。</w:t>
      </w:r>
    </w:p>
    <w:p>
      <w:pPr>
        <w:spacing w:line="4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3.</w:t>
      </w: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 xml:space="preserve"> 报价人须提供采购人要求的所有资质要求、业绩要求、</w:t>
      </w:r>
      <w:r>
        <w:rPr>
          <w:rFonts w:hint="eastAsia" w:ascii="宋体" w:hAnsi="宋体" w:cs="宋体"/>
          <w:szCs w:val="21"/>
          <w:shd w:val="clear" w:color="auto" w:fill="FFFFFF"/>
          <w:lang w:val="en-US" w:eastAsia="zh-CN"/>
        </w:rPr>
        <w:t>财务要求、</w:t>
      </w:r>
      <w:r>
        <w:rPr>
          <w:rFonts w:hint="eastAsia" w:ascii="宋体" w:hAnsi="宋体" w:cs="宋体"/>
          <w:szCs w:val="21"/>
          <w:shd w:val="clear" w:color="auto" w:fill="FFFFFF"/>
        </w:rPr>
        <w:t>信誉要求的复印件并加盖单位鲜公章。</w:t>
      </w:r>
    </w:p>
    <w:p>
      <w:pPr>
        <w:spacing w:line="4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3.</w:t>
      </w: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 xml:space="preserve"> 本次比选不接受联合体报价。</w:t>
      </w:r>
    </w:p>
    <w:p>
      <w:pPr>
        <w:pStyle w:val="5"/>
        <w:spacing w:before="120" w:after="0" w:line="400" w:lineRule="exact"/>
        <w:rPr>
          <w:rFonts w:ascii="宋体" w:hAnsi="宋体" w:eastAsia="宋体" w:cs="宋体"/>
        </w:rPr>
      </w:pPr>
      <w:bookmarkStart w:id="62" w:name="_Toc507319894"/>
      <w:bookmarkStart w:id="63" w:name="_Toc11329216"/>
      <w:bookmarkStart w:id="64" w:name="_Toc12460"/>
      <w:bookmarkStart w:id="65" w:name="_Toc14361"/>
      <w:bookmarkStart w:id="66" w:name="_Toc25619"/>
      <w:r>
        <w:rPr>
          <w:rFonts w:hint="eastAsia" w:ascii="宋体" w:hAnsi="宋体" w:eastAsia="宋体" w:cs="宋体"/>
        </w:rPr>
        <w:t>4. 比选文件的获取</w:t>
      </w:r>
      <w:bookmarkEnd w:id="55"/>
      <w:bookmarkEnd w:id="56"/>
      <w:bookmarkEnd w:id="57"/>
      <w:bookmarkEnd w:id="58"/>
      <w:bookmarkEnd w:id="59"/>
      <w:bookmarkEnd w:id="60"/>
      <w:bookmarkEnd w:id="61"/>
      <w:bookmarkEnd w:id="62"/>
      <w:bookmarkEnd w:id="63"/>
      <w:bookmarkEnd w:id="64"/>
      <w:bookmarkEnd w:id="65"/>
      <w:bookmarkEnd w:id="66"/>
    </w:p>
    <w:p>
      <w:pPr>
        <w:spacing w:line="360" w:lineRule="auto"/>
        <w:ind w:firstLine="420" w:firstLineChars="200"/>
        <w:rPr>
          <w:rFonts w:hint="eastAsia" w:ascii="宋体" w:hAnsi="宋体"/>
          <w:szCs w:val="21"/>
          <w:highlight w:val="none"/>
        </w:rPr>
      </w:pPr>
      <w:bookmarkStart w:id="67" w:name="_Toc507319895"/>
      <w:bookmarkStart w:id="68" w:name="_Toc247085676"/>
      <w:bookmarkStart w:id="69" w:name="_Toc246996162"/>
      <w:bookmarkStart w:id="70" w:name="_Toc246996905"/>
      <w:bookmarkStart w:id="71" w:name="_Toc144974484"/>
      <w:bookmarkStart w:id="72" w:name="_Toc179632532"/>
      <w:bookmarkStart w:id="73" w:name="_Toc152042292"/>
      <w:bookmarkStart w:id="74" w:name="_Toc152045516"/>
      <w:bookmarkStart w:id="75" w:name="_Toc11329217"/>
      <w:bookmarkStart w:id="76" w:name="_Toc9131"/>
      <w:bookmarkStart w:id="77" w:name="_Toc16686"/>
      <w:bookmarkStart w:id="78" w:name="_Toc31493"/>
      <w:r>
        <w:rPr>
          <w:rFonts w:hint="eastAsia" w:ascii="宋体" w:hAnsi="宋体"/>
          <w:szCs w:val="21"/>
          <w:highlight w:val="none"/>
        </w:rPr>
        <w:t>凡愿意参加的潜在报价人</w:t>
      </w:r>
      <w:r>
        <w:rPr>
          <w:rFonts w:hint="eastAsia" w:ascii="宋体" w:hAnsi="宋体"/>
          <w:szCs w:val="21"/>
          <w:highlight w:val="none"/>
          <w:lang w:eastAsia="zh-CN"/>
        </w:rPr>
        <w:t>，</w:t>
      </w:r>
      <w:r>
        <w:rPr>
          <w:rFonts w:hint="eastAsia" w:ascii="宋体" w:hAnsi="宋体"/>
          <w:szCs w:val="21"/>
          <w:highlight w:val="none"/>
        </w:rPr>
        <w:t>在</w:t>
      </w:r>
      <w:r>
        <w:rPr>
          <w:rFonts w:hint="eastAsia" w:ascii="宋体" w:hAnsi="宋体"/>
          <w:szCs w:val="21"/>
          <w:highlight w:val="none"/>
          <w:lang w:val="en-US" w:eastAsia="zh-CN"/>
        </w:rPr>
        <w:t>重庆高速集团官网（http://www.cegc.com.cn/gw）或重庆高速集团物资采购平台（http://wzcg.cegc.com.cn:8099/merchants/login?redirect=%2F）</w:t>
      </w:r>
      <w:r>
        <w:rPr>
          <w:rFonts w:hint="eastAsia" w:ascii="宋体" w:hAnsi="宋体"/>
          <w:szCs w:val="21"/>
          <w:highlight w:val="none"/>
        </w:rPr>
        <w:t>获取</w:t>
      </w:r>
      <w:r>
        <w:rPr>
          <w:rFonts w:hint="eastAsia" w:ascii="宋体" w:hAnsi="宋体"/>
          <w:szCs w:val="21"/>
          <w:highlight w:val="none"/>
          <w:lang w:val="en-US" w:eastAsia="zh-CN"/>
        </w:rPr>
        <w:t>比选文件</w:t>
      </w:r>
      <w:r>
        <w:rPr>
          <w:rFonts w:hint="eastAsia" w:ascii="宋体" w:hAnsi="宋体"/>
          <w:szCs w:val="21"/>
          <w:highlight w:val="none"/>
        </w:rPr>
        <w:t>，各报价人应随时关注网上发布的竞争性比选文件答疑、补遗、澄清等文件内容，不管报价人是否下载，均视为已知晓竞争性比选文件的全部内容和有关事宜。</w:t>
      </w:r>
    </w:p>
    <w:p>
      <w:pPr>
        <w:pStyle w:val="5"/>
        <w:spacing w:before="120" w:after="0" w:line="400" w:lineRule="exact"/>
        <w:rPr>
          <w:rFonts w:ascii="宋体" w:hAnsi="宋体" w:eastAsia="宋体" w:cs="宋体"/>
          <w:highlight w:val="none"/>
        </w:rPr>
      </w:pPr>
      <w:r>
        <w:rPr>
          <w:rFonts w:hint="eastAsia" w:ascii="宋体" w:hAnsi="宋体" w:eastAsia="宋体" w:cs="宋体"/>
          <w:highlight w:val="none"/>
        </w:rPr>
        <w:t>5.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highlight w:val="none"/>
        </w:rPr>
        <w:t>及相关事宜</w:t>
      </w:r>
      <w:bookmarkEnd w:id="76"/>
      <w:bookmarkEnd w:id="77"/>
      <w:bookmarkEnd w:id="78"/>
    </w:p>
    <w:p>
      <w:pPr>
        <w:tabs>
          <w:tab w:val="left" w:pos="360"/>
        </w:tabs>
        <w:spacing w:line="400" w:lineRule="exact"/>
        <w:ind w:firstLine="420" w:firstLineChars="200"/>
        <w:rPr>
          <w:rFonts w:ascii="宋体" w:hAnsi="宋体" w:cs="宋体"/>
          <w:szCs w:val="21"/>
          <w:highlight w:val="none"/>
        </w:rPr>
      </w:pPr>
      <w:r>
        <w:rPr>
          <w:rFonts w:hint="eastAsia" w:ascii="宋体" w:hAnsi="宋体" w:cs="宋体"/>
          <w:szCs w:val="21"/>
          <w:highlight w:val="none"/>
        </w:rPr>
        <w:t>5.1报价截止时间和开标时间：</w:t>
      </w:r>
      <w:r>
        <w:rPr>
          <w:rFonts w:hint="eastAsia" w:ascii="宋体" w:hAnsi="宋体"/>
          <w:szCs w:val="21"/>
          <w:highlight w:val="none"/>
          <w:u w:val="single"/>
        </w:rPr>
        <w:t>202</w:t>
      </w:r>
      <w:r>
        <w:rPr>
          <w:rFonts w:hint="eastAsia" w:ascii="宋体" w:hAnsi="宋体"/>
          <w:szCs w:val="21"/>
          <w:highlight w:val="none"/>
          <w:u w:val="single"/>
          <w:lang w:val="en-US" w:eastAsia="zh-CN"/>
        </w:rPr>
        <w:t>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7 </w:t>
      </w:r>
      <w:r>
        <w:rPr>
          <w:rFonts w:hint="eastAsia" w:ascii="宋体" w:hAnsi="宋体"/>
          <w:szCs w:val="21"/>
          <w:highlight w:val="none"/>
        </w:rPr>
        <w:t>月</w:t>
      </w:r>
      <w:r>
        <w:rPr>
          <w:rFonts w:hint="eastAsia" w:ascii="宋体" w:hAnsi="宋体"/>
          <w:szCs w:val="21"/>
          <w:highlight w:val="none"/>
          <w:u w:val="single"/>
          <w:lang w:val="en-US" w:eastAsia="zh-CN"/>
        </w:rPr>
        <w:t xml:space="preserve">  3   </w:t>
      </w:r>
      <w:r>
        <w:rPr>
          <w:rFonts w:hint="eastAsia" w:ascii="宋体" w:hAnsi="宋体"/>
          <w:szCs w:val="21"/>
          <w:highlight w:val="none"/>
        </w:rPr>
        <w:t>日</w:t>
      </w:r>
      <w:r>
        <w:rPr>
          <w:rFonts w:hint="eastAsia" w:ascii="宋体" w:hAnsi="宋体"/>
          <w:szCs w:val="21"/>
          <w:highlight w:val="none"/>
          <w:lang w:val="en-US" w:eastAsia="zh-CN"/>
        </w:rPr>
        <w:t>下</w:t>
      </w:r>
      <w:r>
        <w:rPr>
          <w:rFonts w:hint="eastAsia" w:ascii="宋体" w:hAnsi="宋体"/>
          <w:szCs w:val="21"/>
          <w:highlight w:val="none"/>
        </w:rPr>
        <w:t>午</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00 </w:t>
      </w:r>
      <w:r>
        <w:rPr>
          <w:rFonts w:hint="eastAsia" w:ascii="宋体" w:hAnsi="宋体" w:cs="宋体"/>
          <w:szCs w:val="21"/>
          <w:highlight w:val="none"/>
        </w:rPr>
        <w:t>分（北京时间）。</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5.2报价的递交：报价文件于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7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3  </w:t>
      </w:r>
      <w:r>
        <w:rPr>
          <w:rFonts w:hint="eastAsia" w:ascii="宋体" w:hAnsi="宋体" w:cs="宋体"/>
          <w:szCs w:val="21"/>
          <w:highlight w:val="none"/>
        </w:rPr>
        <w:t>日</w:t>
      </w:r>
      <w:r>
        <w:rPr>
          <w:rFonts w:hint="eastAsia" w:ascii="宋体" w:hAnsi="宋体" w:cs="宋体"/>
          <w:szCs w:val="21"/>
          <w:highlight w:val="none"/>
          <w:lang w:val="en-US" w:eastAsia="zh-CN"/>
        </w:rPr>
        <w:t>下午</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：00</w:t>
      </w:r>
      <w:r>
        <w:rPr>
          <w:rFonts w:hint="eastAsia" w:ascii="宋体" w:hAnsi="宋体" w:cs="宋体"/>
          <w:szCs w:val="21"/>
          <w:highlight w:val="none"/>
        </w:rPr>
        <w:t>提交至</w:t>
      </w:r>
      <w:r>
        <w:rPr>
          <w:rFonts w:hint="eastAsia" w:ascii="宋体" w:hAnsi="宋体" w:cs="宋体"/>
          <w:szCs w:val="21"/>
          <w:highlight w:val="none"/>
          <w:lang w:eastAsia="zh-CN"/>
        </w:rPr>
        <w:t>重庆市渝北区龙溪街道新南路52号东界龙湖三楼</w:t>
      </w:r>
      <w:r>
        <w:rPr>
          <w:rFonts w:hint="eastAsia" w:ascii="宋体" w:hAnsi="宋体" w:cs="宋体"/>
          <w:szCs w:val="21"/>
          <w:highlight w:val="none"/>
        </w:rPr>
        <w:t>。</w:t>
      </w:r>
    </w:p>
    <w:p>
      <w:pPr>
        <w:tabs>
          <w:tab w:val="left" w:pos="360"/>
        </w:tabs>
        <w:spacing w:line="400" w:lineRule="exact"/>
        <w:ind w:firstLine="420" w:firstLineChars="200"/>
        <w:rPr>
          <w:rFonts w:ascii="宋体" w:hAnsi="宋体" w:cs="宋体"/>
          <w:szCs w:val="21"/>
          <w:highlight w:val="none"/>
        </w:rPr>
      </w:pPr>
      <w:r>
        <w:rPr>
          <w:rFonts w:hint="eastAsia" w:ascii="宋体" w:hAnsi="宋体" w:cs="宋体"/>
          <w:szCs w:val="21"/>
          <w:highlight w:val="none"/>
        </w:rPr>
        <w:t>5.3</w:t>
      </w:r>
      <w:r>
        <w:rPr>
          <w:rFonts w:ascii="宋体" w:hAnsi="宋体" w:cs="宋体"/>
          <w:szCs w:val="21"/>
          <w:highlight w:val="none"/>
        </w:rPr>
        <w:t>采购人不组织工程现场踏勘，不召开报价预备会。</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5.4竞争性比选响应文件提交</w:t>
      </w:r>
      <w:r>
        <w:rPr>
          <w:rFonts w:hint="eastAsia" w:ascii="宋体" w:hAnsi="宋体" w:cs="宋体"/>
          <w:b/>
          <w:bCs/>
          <w:szCs w:val="21"/>
          <w:highlight w:val="none"/>
        </w:rPr>
        <w:t>正本1份</w:t>
      </w:r>
      <w:r>
        <w:rPr>
          <w:rFonts w:hint="eastAsia" w:ascii="宋体" w:hAnsi="宋体" w:cs="宋体"/>
          <w:szCs w:val="21"/>
          <w:highlight w:val="none"/>
        </w:rPr>
        <w:t>，</w:t>
      </w:r>
      <w:r>
        <w:rPr>
          <w:rFonts w:hint="eastAsia" w:ascii="宋体" w:hAnsi="宋体" w:cs="宋体"/>
          <w:b/>
          <w:bCs/>
          <w:szCs w:val="21"/>
          <w:highlight w:val="none"/>
        </w:rPr>
        <w:t>副本1份</w:t>
      </w:r>
      <w:r>
        <w:rPr>
          <w:rFonts w:hint="eastAsia" w:ascii="宋体" w:hAnsi="宋体" w:cs="宋体"/>
          <w:szCs w:val="21"/>
          <w:highlight w:val="none"/>
        </w:rPr>
        <w:t>，副本可为正本的复印件，竞争性比选响应文件需</w:t>
      </w:r>
      <w:r>
        <w:rPr>
          <w:rFonts w:hint="eastAsia" w:ascii="宋体" w:hAnsi="宋体" w:cs="宋体"/>
          <w:b/>
          <w:bCs/>
          <w:szCs w:val="21"/>
          <w:highlight w:val="none"/>
        </w:rPr>
        <w:t>装订成册</w:t>
      </w:r>
      <w:r>
        <w:rPr>
          <w:rFonts w:hint="eastAsia" w:ascii="宋体" w:hAnsi="宋体" w:cs="宋体"/>
          <w:szCs w:val="21"/>
          <w:highlight w:val="none"/>
        </w:rPr>
        <w:t>；报价人应提供竞争性比选响应文件</w:t>
      </w:r>
      <w:r>
        <w:rPr>
          <w:rFonts w:hint="eastAsia" w:ascii="宋体" w:hAnsi="宋体" w:cs="宋体"/>
          <w:b/>
          <w:bCs/>
          <w:szCs w:val="21"/>
          <w:highlight w:val="none"/>
        </w:rPr>
        <w:t>电子文件1份</w:t>
      </w:r>
      <w:r>
        <w:rPr>
          <w:rFonts w:hint="eastAsia" w:ascii="宋体" w:hAnsi="宋体" w:cs="宋体"/>
          <w:szCs w:val="21"/>
          <w:highlight w:val="none"/>
        </w:rPr>
        <w:t>（U盘1份，电子文件内容须包括竞争性比选响应文件全部内容）。当电子文件与纸质版竞争性比选响应文件不一致时，以纸质版竞争性比选响应文件为准，当正本与副本不一致时，以正本为准。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5.5本次竞争性比选响应文件的组成：竞争性比选响应声明书、法定代表人身份证明或法定代表人授权委托书、报价一览表、资格审查资料、报价人须知前附表规定要求的资料、报价人基本信息及其他材料</w:t>
      </w:r>
      <w:r>
        <w:rPr>
          <w:rFonts w:hint="eastAsia" w:ascii="宋体" w:hAnsi="宋体" w:cs="宋体"/>
          <w:szCs w:val="21"/>
          <w:highlight w:val="none"/>
          <w:lang w:eastAsia="zh-CN"/>
        </w:rPr>
        <w:t>、低价风险担保提交承诺书、</w:t>
      </w:r>
      <w:r>
        <w:rPr>
          <w:rFonts w:hint="eastAsia" w:ascii="宋体" w:hAnsi="宋体" w:cs="宋体"/>
          <w:szCs w:val="21"/>
          <w:highlight w:val="none"/>
        </w:rPr>
        <w:t>报价人认为需要提供的其他相关文件（注：以上所有文件均须加盖报价人的公章）。</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5.6密封要求：竞争性比选响应文件密封到一个封袋中，在封套上写明：</w:t>
      </w:r>
      <w:r>
        <w:rPr>
          <w:rFonts w:hint="eastAsia" w:ascii="宋体" w:hAnsi="宋体" w:cs="宋体"/>
          <w:b/>
          <w:bCs/>
          <w:szCs w:val="21"/>
          <w:highlight w:val="none"/>
          <w:u w:val="single"/>
          <w:lang w:eastAsia="zh-CN"/>
        </w:rPr>
        <w:t>2023年渝蓉高速大足石刻服务区机电工程电线电缆采购（第二次）</w:t>
      </w:r>
      <w:r>
        <w:rPr>
          <w:rFonts w:hint="eastAsia" w:ascii="宋体" w:hAnsi="宋体" w:cs="宋体"/>
          <w:b/>
          <w:bCs/>
          <w:szCs w:val="21"/>
          <w:highlight w:val="none"/>
          <w:u w:val="single"/>
        </w:rPr>
        <w:t>竞争性比选响应文件，在202</w:t>
      </w:r>
      <w:r>
        <w:rPr>
          <w:rFonts w:hint="eastAsia" w:ascii="宋体" w:hAnsi="宋体" w:cs="宋体"/>
          <w:b/>
          <w:bCs/>
          <w:szCs w:val="21"/>
          <w:highlight w:val="none"/>
          <w:u w:val="single"/>
          <w:lang w:val="en-US" w:eastAsia="zh-CN"/>
        </w:rPr>
        <w:t>3</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 xml:space="preserve"> 7 </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 xml:space="preserve"> 3 </w:t>
      </w:r>
      <w:r>
        <w:rPr>
          <w:rFonts w:hint="eastAsia" w:ascii="宋体" w:hAnsi="宋体" w:cs="宋体"/>
          <w:b/>
          <w:bCs/>
          <w:szCs w:val="21"/>
          <w:highlight w:val="none"/>
          <w:u w:val="single"/>
        </w:rPr>
        <w:t>日1</w:t>
      </w:r>
      <w:r>
        <w:rPr>
          <w:rFonts w:hint="eastAsia" w:ascii="宋体" w:hAnsi="宋体" w:cs="宋体"/>
          <w:b/>
          <w:bCs/>
          <w:szCs w:val="21"/>
          <w:highlight w:val="none"/>
          <w:u w:val="single"/>
          <w:lang w:val="en-US" w:eastAsia="zh-CN"/>
        </w:rPr>
        <w:t>4</w:t>
      </w:r>
      <w:r>
        <w:rPr>
          <w:rFonts w:hint="eastAsia" w:ascii="宋体" w:hAnsi="宋体" w:cs="宋体"/>
          <w:b/>
          <w:bCs/>
          <w:szCs w:val="21"/>
          <w:highlight w:val="none"/>
          <w:u w:val="single"/>
        </w:rPr>
        <w:t>：00时前不得开启</w:t>
      </w:r>
      <w:r>
        <w:rPr>
          <w:rFonts w:hint="eastAsia" w:ascii="宋体" w:hAnsi="宋体" w:cs="宋体"/>
          <w:b/>
          <w:bCs/>
          <w:szCs w:val="21"/>
          <w:highlight w:val="none"/>
        </w:rPr>
        <w:t>。</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5.7逾期送达</w:t>
      </w:r>
      <w:r>
        <w:rPr>
          <w:rFonts w:hint="eastAsia" w:ascii="宋体" w:hAnsi="宋体" w:cs="宋体"/>
          <w:szCs w:val="21"/>
          <w:highlight w:val="none"/>
          <w:lang w:eastAsia="zh-CN"/>
        </w:rPr>
        <w:t>，</w:t>
      </w:r>
      <w:r>
        <w:rPr>
          <w:rFonts w:hint="eastAsia" w:ascii="宋体" w:hAnsi="宋体" w:cs="宋体"/>
          <w:szCs w:val="21"/>
          <w:highlight w:val="none"/>
        </w:rPr>
        <w:t>或未送达指定地点，或未密封的竞争性比选响应文件，采购人不予受理。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5.8递交方式：现场递交或邮寄，若采用现场递交方式需在投标截止当天将文件</w:t>
      </w:r>
      <w:bookmarkStart w:id="275" w:name="_GoBack"/>
      <w:bookmarkEnd w:id="275"/>
      <w:r>
        <w:rPr>
          <w:rFonts w:hint="eastAsia" w:ascii="宋体" w:hAnsi="宋体" w:cs="宋体"/>
          <w:szCs w:val="21"/>
          <w:highlight w:val="none"/>
        </w:rPr>
        <w:t>送达并参与现场开标；若采用邮寄方式需用顺丰等快递公司邮寄至重庆首讯科技股份有限公司（重庆市渝北区龙溪街道新南路52号东界龙湖三楼），否则采购人有权拒收，采用邮寄方式的报价人默认认可采购人的开标结果，不得由此提出任何质疑。</w:t>
      </w:r>
    </w:p>
    <w:p>
      <w:pPr>
        <w:pStyle w:val="5"/>
        <w:spacing w:before="120" w:after="0" w:line="400" w:lineRule="exact"/>
        <w:rPr>
          <w:rFonts w:ascii="宋体" w:hAnsi="宋体" w:eastAsia="宋体" w:cs="宋体"/>
        </w:rPr>
      </w:pPr>
      <w:bookmarkStart w:id="79" w:name="_Toc179632534"/>
      <w:bookmarkStart w:id="80" w:name="_Toc144974485"/>
      <w:bookmarkStart w:id="81" w:name="_Toc507319897"/>
      <w:bookmarkStart w:id="82" w:name="_Toc393"/>
      <w:bookmarkStart w:id="83" w:name="_Toc152042293"/>
      <w:bookmarkStart w:id="84" w:name="_Toc247085678"/>
      <w:bookmarkStart w:id="85" w:name="_Toc246996164"/>
      <w:bookmarkStart w:id="86" w:name="_Toc18402"/>
      <w:bookmarkStart w:id="87" w:name="_Toc246996907"/>
      <w:bookmarkStart w:id="88" w:name="_Toc152045517"/>
      <w:bookmarkStart w:id="89" w:name="_Toc11329219"/>
      <w:bookmarkStart w:id="90" w:name="_Toc21615"/>
      <w:r>
        <w:rPr>
          <w:rFonts w:hint="eastAsia" w:ascii="宋体" w:hAnsi="宋体" w:eastAsia="宋体" w:cs="宋体"/>
        </w:rPr>
        <w:t>6. 联系方式</w:t>
      </w:r>
      <w:bookmarkEnd w:id="79"/>
      <w:bookmarkEnd w:id="80"/>
      <w:bookmarkEnd w:id="81"/>
      <w:bookmarkEnd w:id="82"/>
      <w:bookmarkEnd w:id="83"/>
      <w:bookmarkEnd w:id="84"/>
      <w:bookmarkEnd w:id="85"/>
      <w:bookmarkEnd w:id="86"/>
      <w:bookmarkEnd w:id="87"/>
      <w:bookmarkEnd w:id="88"/>
      <w:bookmarkEnd w:id="89"/>
      <w:bookmarkEnd w:id="90"/>
    </w:p>
    <w:tbl>
      <w:tblPr>
        <w:tblStyle w:val="43"/>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tcBorders>
              <w:top w:val="single" w:color="auto" w:sz="4" w:space="0"/>
              <w:left w:val="single" w:color="auto" w:sz="4" w:space="0"/>
              <w:bottom w:val="single" w:color="auto" w:sz="4" w:space="0"/>
              <w:right w:val="single" w:color="auto" w:sz="4" w:space="0"/>
            </w:tcBorders>
            <w:vAlign w:val="center"/>
          </w:tcPr>
          <w:p>
            <w:pPr>
              <w:pStyle w:val="102"/>
              <w:spacing w:before="0" w:beforeAutospacing="0" w:after="0" w:afterAutospacing="0" w:line="400" w:lineRule="exact"/>
              <w:ind w:firstLine="420" w:firstLineChars="200"/>
              <w:jc w:val="both"/>
              <w:rPr>
                <w:rFonts w:ascii="宋体" w:hAnsi="宋体" w:cs="宋体"/>
                <w:kern w:val="2"/>
                <w:sz w:val="21"/>
                <w:szCs w:val="21"/>
              </w:rPr>
            </w:pPr>
            <w:r>
              <w:rPr>
                <w:rFonts w:hint="eastAsia" w:ascii="宋体" w:hAnsi="宋体" w:cs="宋体"/>
                <w:kern w:val="2"/>
                <w:sz w:val="21"/>
                <w:szCs w:val="21"/>
              </w:rPr>
              <w:t>采购人：重庆首讯科技股份有限公司</w:t>
            </w:r>
          </w:p>
        </w:tc>
        <w:tc>
          <w:tcPr>
            <w:tcW w:w="1415" w:type="dxa"/>
            <w:tcBorders>
              <w:left w:val="single" w:color="auto" w:sz="4" w:space="0"/>
            </w:tcBorders>
            <w:vAlign w:val="center"/>
          </w:tcPr>
          <w:p>
            <w:pPr>
              <w:pStyle w:val="102"/>
              <w:spacing w:before="0" w:beforeAutospacing="0" w:after="0" w:afterAutospacing="0" w:line="400" w:lineRule="exact"/>
              <w:ind w:firstLine="420" w:firstLineChars="200"/>
              <w:jc w:val="both"/>
              <w:rPr>
                <w:rFonts w:ascii="宋体" w:hAnsi="宋体" w:cs="宋体"/>
                <w:kern w:val="2"/>
                <w:sz w:val="21"/>
                <w:szCs w:val="21"/>
              </w:rPr>
            </w:pPr>
          </w:p>
        </w:tc>
      </w:tr>
      <w:tr>
        <w:tblPrEx>
          <w:tblCellMar>
            <w:top w:w="0" w:type="dxa"/>
            <w:left w:w="108" w:type="dxa"/>
            <w:bottom w:w="0" w:type="dxa"/>
            <w:right w:w="108" w:type="dxa"/>
          </w:tblCellMar>
        </w:tblPrEx>
        <w:trPr>
          <w:trHeight w:val="461"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1050" w:leftChars="200" w:hanging="630" w:hangingChars="300"/>
              <w:rPr>
                <w:rFonts w:ascii="宋体" w:hAnsi="宋体" w:cs="宋体"/>
                <w:szCs w:val="21"/>
              </w:rPr>
            </w:pPr>
            <w:r>
              <w:rPr>
                <w:rFonts w:hint="eastAsia" w:ascii="宋体" w:hAnsi="宋体" w:cs="宋体"/>
                <w:szCs w:val="21"/>
              </w:rPr>
              <w:t>地址：重庆市渝北区龙溪街道新南路52号东界龙湖三楼</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r>
        <w:tblPrEx>
          <w:tblCellMar>
            <w:top w:w="0" w:type="dxa"/>
            <w:left w:w="108" w:type="dxa"/>
            <w:bottom w:w="0" w:type="dxa"/>
            <w:right w:w="108" w:type="dxa"/>
          </w:tblCellMar>
        </w:tblPrEx>
        <w:trPr>
          <w:trHeight w:val="470"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420" w:firstLineChars="200"/>
              <w:rPr>
                <w:rFonts w:ascii="宋体" w:hAnsi="宋体" w:cs="宋体"/>
                <w:szCs w:val="21"/>
              </w:rPr>
            </w:pPr>
            <w:r>
              <w:rPr>
                <w:rFonts w:hint="eastAsia" w:ascii="宋体" w:hAnsi="宋体" w:cs="宋体"/>
                <w:szCs w:val="21"/>
              </w:rPr>
              <w:t>技术联系人：</w:t>
            </w:r>
            <w:r>
              <w:rPr>
                <w:rFonts w:hint="eastAsia" w:ascii="宋体" w:hAnsi="宋体" w:cs="宋体"/>
                <w:szCs w:val="21"/>
                <w:lang w:val="en-US" w:eastAsia="zh-CN"/>
              </w:rPr>
              <w:t>邵</w:t>
            </w:r>
            <w:r>
              <w:rPr>
                <w:rFonts w:hint="eastAsia" w:ascii="宋体" w:hAnsi="宋体" w:cs="宋体"/>
                <w:szCs w:val="21"/>
              </w:rPr>
              <w:t>老师  电 话：13527396256</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r>
        <w:tblPrEx>
          <w:tblCellMar>
            <w:top w:w="0" w:type="dxa"/>
            <w:left w:w="108" w:type="dxa"/>
            <w:bottom w:w="0" w:type="dxa"/>
            <w:right w:w="108" w:type="dxa"/>
          </w:tblCellMar>
        </w:tblPrEx>
        <w:trPr>
          <w:trHeight w:val="405"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20" w:lineRule="exact"/>
              <w:ind w:firstLine="420" w:firstLineChars="200"/>
              <w:rPr>
                <w:rFonts w:hint="default" w:eastAsia="宋体"/>
                <w:lang w:val="en-US" w:eastAsia="zh-CN"/>
              </w:rPr>
            </w:pPr>
            <w:r>
              <w:rPr>
                <w:rFonts w:hint="eastAsia" w:ascii="宋体" w:hAnsi="宋体" w:cs="宋体"/>
                <w:szCs w:val="21"/>
              </w:rPr>
              <w:t>商务联系人：</w:t>
            </w:r>
            <w:r>
              <w:rPr>
                <w:rFonts w:hint="eastAsia" w:ascii="宋体" w:hAnsi="宋体" w:cs="宋体"/>
                <w:szCs w:val="21"/>
                <w:lang w:val="en-US" w:eastAsia="zh-CN"/>
              </w:rPr>
              <w:t>毕</w:t>
            </w:r>
            <w:r>
              <w:rPr>
                <w:rFonts w:hint="eastAsia" w:ascii="宋体" w:hAnsi="宋体" w:cs="宋体"/>
                <w:szCs w:val="21"/>
              </w:rPr>
              <w:t>老师  电 话：</w:t>
            </w:r>
            <w:r>
              <w:rPr>
                <w:rFonts w:hint="eastAsia" w:ascii="宋体" w:hAnsi="宋体" w:cs="宋体"/>
                <w:szCs w:val="21"/>
                <w:lang w:val="en-US" w:eastAsia="zh-CN"/>
              </w:rPr>
              <w:t>18223189022</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bl>
    <w:p/>
    <w:p>
      <w:pPr>
        <w:pStyle w:val="29"/>
      </w:pPr>
    </w:p>
    <w:p/>
    <w:p>
      <w:pPr>
        <w:pStyle w:val="29"/>
      </w:pPr>
    </w:p>
    <w:p>
      <w:pPr>
        <w:pStyle w:val="29"/>
      </w:pPr>
    </w:p>
    <w:bookmarkEnd w:id="16"/>
    <w:bookmarkEnd w:id="17"/>
    <w:p>
      <w:pPr>
        <w:pStyle w:val="4"/>
        <w:spacing w:before="0" w:after="0" w:line="360" w:lineRule="auto"/>
        <w:jc w:val="center"/>
        <w:rPr>
          <w:rFonts w:ascii="宋体" w:hAnsi="宋体" w:cs="宋体"/>
        </w:rPr>
      </w:pPr>
      <w:bookmarkStart w:id="91" w:name="_Toc21719"/>
      <w:bookmarkStart w:id="92" w:name="_Toc144974495"/>
      <w:bookmarkStart w:id="93" w:name="_Toc2000405"/>
      <w:bookmarkStart w:id="94" w:name="_Toc507319898"/>
      <w:bookmarkStart w:id="95" w:name="_Toc246996916"/>
      <w:bookmarkStart w:id="96" w:name="_Toc152042303"/>
      <w:bookmarkStart w:id="97" w:name="_Toc246996173"/>
      <w:bookmarkStart w:id="98" w:name="_Toc247085687"/>
      <w:bookmarkStart w:id="99" w:name="_Toc179632544"/>
      <w:bookmarkStart w:id="100" w:name="_Toc152045527"/>
      <w:r>
        <w:rPr>
          <w:rFonts w:hint="eastAsia" w:ascii="宋体" w:hAnsi="宋体" w:cs="宋体"/>
        </w:rPr>
        <w:br w:type="page"/>
      </w:r>
      <w:r>
        <w:rPr>
          <w:rFonts w:hint="eastAsia" w:ascii="宋体" w:hAnsi="宋体" w:cs="宋体"/>
        </w:rPr>
        <w:t>第二章 报价人须知</w:t>
      </w:r>
      <w:bookmarkEnd w:id="91"/>
      <w:bookmarkEnd w:id="92"/>
      <w:bookmarkEnd w:id="93"/>
      <w:bookmarkEnd w:id="94"/>
      <w:bookmarkEnd w:id="95"/>
      <w:bookmarkEnd w:id="96"/>
      <w:bookmarkEnd w:id="97"/>
      <w:bookmarkEnd w:id="98"/>
      <w:bookmarkEnd w:id="99"/>
      <w:bookmarkEnd w:id="100"/>
    </w:p>
    <w:p/>
    <w:tbl>
      <w:tblPr>
        <w:tblStyle w:val="4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pPr>
              <w:spacing w:line="400" w:lineRule="exact"/>
              <w:jc w:val="center"/>
              <w:rPr>
                <w:rFonts w:ascii="宋体" w:hAnsi="宋体" w:cs="宋体"/>
                <w:b/>
                <w:kern w:val="0"/>
                <w:szCs w:val="21"/>
              </w:rPr>
            </w:pPr>
            <w:bookmarkStart w:id="101" w:name="_Toc326760840"/>
            <w:r>
              <w:rPr>
                <w:rFonts w:hint="eastAsia" w:ascii="宋体" w:hAnsi="宋体" w:cs="宋体"/>
                <w:b/>
                <w:kern w:val="0"/>
                <w:szCs w:val="21"/>
              </w:rPr>
              <w:t>序号</w:t>
            </w:r>
          </w:p>
        </w:tc>
        <w:tc>
          <w:tcPr>
            <w:tcW w:w="2106" w:type="dxa"/>
            <w:vAlign w:val="center"/>
          </w:tcPr>
          <w:p>
            <w:pPr>
              <w:spacing w:line="400" w:lineRule="exact"/>
              <w:jc w:val="center"/>
              <w:rPr>
                <w:rFonts w:ascii="宋体" w:hAnsi="宋体" w:cs="宋体"/>
                <w:b/>
                <w:kern w:val="0"/>
                <w:szCs w:val="21"/>
              </w:rPr>
            </w:pPr>
            <w:r>
              <w:rPr>
                <w:rFonts w:hint="eastAsia" w:ascii="宋体" w:hAnsi="宋体" w:cs="宋体"/>
                <w:b/>
                <w:kern w:val="0"/>
                <w:szCs w:val="21"/>
              </w:rPr>
              <w:t>条款名称</w:t>
            </w:r>
          </w:p>
        </w:tc>
        <w:tc>
          <w:tcPr>
            <w:tcW w:w="7104" w:type="dxa"/>
            <w:vAlign w:val="center"/>
          </w:tcPr>
          <w:p>
            <w:pPr>
              <w:spacing w:line="400" w:lineRule="exact"/>
              <w:ind w:firstLine="422" w:firstLineChars="200"/>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采购人</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采购人：重庆首讯科技股份有限公司</w:t>
            </w:r>
          </w:p>
          <w:p>
            <w:pPr>
              <w:spacing w:line="400" w:lineRule="exact"/>
              <w:ind w:firstLine="420" w:firstLineChars="200"/>
              <w:rPr>
                <w:rFonts w:ascii="宋体" w:hAnsi="宋体" w:cs="宋体"/>
                <w:szCs w:val="21"/>
              </w:rPr>
            </w:pPr>
            <w:r>
              <w:rPr>
                <w:rFonts w:hint="eastAsia" w:ascii="宋体" w:hAnsi="宋体" w:cs="宋体"/>
                <w:szCs w:val="21"/>
              </w:rPr>
              <w:t>地  址：重庆市渝北区龙溪街道新南路52号东界龙湖三楼</w:t>
            </w:r>
          </w:p>
          <w:p>
            <w:pPr>
              <w:spacing w:line="400" w:lineRule="exact"/>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毕</w:t>
            </w:r>
            <w:r>
              <w:rPr>
                <w:rFonts w:hint="eastAsia" w:ascii="宋体" w:hAnsi="宋体" w:cs="宋体"/>
                <w:szCs w:val="21"/>
              </w:rPr>
              <w:t>老师</w:t>
            </w:r>
          </w:p>
          <w:p>
            <w:pPr>
              <w:topLinePunct/>
              <w:spacing w:line="420" w:lineRule="exact"/>
              <w:ind w:firstLine="420" w:firstLineChars="200"/>
              <w:rPr>
                <w:rFonts w:hint="default" w:eastAsia="宋体"/>
                <w:lang w:val="en-US" w:eastAsia="zh-CN"/>
              </w:rPr>
            </w:pPr>
            <w:r>
              <w:rPr>
                <w:rFonts w:hint="eastAsia" w:ascii="宋体" w:hAnsi="宋体" w:cs="宋体"/>
                <w:szCs w:val="21"/>
              </w:rPr>
              <w:t>电  话：</w:t>
            </w:r>
            <w:r>
              <w:rPr>
                <w:rFonts w:hint="eastAsia" w:ascii="宋体" w:hAnsi="宋体" w:cs="宋体"/>
                <w:szCs w:val="21"/>
                <w:lang w:val="en-US" w:eastAsia="zh-CN"/>
              </w:rPr>
              <w:t>18223189022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项目名称</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lang w:eastAsia="zh-CN"/>
              </w:rPr>
              <w:t>2023年渝蓉高速大足石刻服务区机电工程电线电缆采购（第二次）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3</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项目地点</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4</w:t>
            </w:r>
          </w:p>
        </w:tc>
        <w:tc>
          <w:tcPr>
            <w:tcW w:w="2106" w:type="dxa"/>
            <w:vAlign w:val="center"/>
          </w:tcPr>
          <w:p>
            <w:pPr>
              <w:spacing w:line="400" w:lineRule="exact"/>
              <w:jc w:val="center"/>
              <w:rPr>
                <w:rFonts w:ascii="宋体" w:hAnsi="宋体" w:cs="宋体"/>
                <w:szCs w:val="21"/>
              </w:rPr>
            </w:pPr>
            <w:r>
              <w:rPr>
                <w:rFonts w:hint="eastAsia" w:ascii="宋体" w:hAnsi="宋体" w:cs="宋体"/>
                <w:szCs w:val="21"/>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szCs w:val="21"/>
              </w:rPr>
            </w:pPr>
            <w:r>
              <w:rPr>
                <w:rFonts w:hint="eastAsia" w:ascii="宋体" w:hAnsi="宋体" w:cs="宋体"/>
                <w:kern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2106" w:type="dxa"/>
            <w:vAlign w:val="center"/>
          </w:tcPr>
          <w:p>
            <w:pPr>
              <w:spacing w:line="400" w:lineRule="exact"/>
              <w:jc w:val="center"/>
              <w:rPr>
                <w:rFonts w:ascii="宋体" w:hAnsi="宋体" w:cs="宋体"/>
                <w:szCs w:val="21"/>
              </w:rPr>
            </w:pPr>
            <w:r>
              <w:rPr>
                <w:rFonts w:hint="eastAsia" w:ascii="宋体" w:hAnsi="宋体" w:cs="宋体"/>
                <w:kern w:val="0"/>
                <w:szCs w:val="21"/>
              </w:rPr>
              <w:t>工期要求</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kern w:val="10"/>
                <w:szCs w:val="21"/>
              </w:rPr>
            </w:pPr>
            <w:r>
              <w:rPr>
                <w:rFonts w:hint="eastAsia" w:ascii="宋体" w:hAnsi="宋体" w:cs="宋体"/>
                <w:kern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6</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质量要求</w:t>
            </w:r>
          </w:p>
        </w:tc>
        <w:tc>
          <w:tcPr>
            <w:tcW w:w="7104" w:type="dxa"/>
          </w:tcPr>
          <w:p>
            <w:pPr>
              <w:spacing w:line="400" w:lineRule="exact"/>
              <w:ind w:firstLine="420" w:firstLineChars="200"/>
              <w:rPr>
                <w:rFonts w:ascii="宋体" w:hAnsi="宋体" w:cs="宋体"/>
                <w:kern w:val="0"/>
                <w:szCs w:val="21"/>
              </w:rPr>
            </w:pPr>
            <w:r>
              <w:rPr>
                <w:rFonts w:hint="eastAsia" w:ascii="宋体" w:hAnsi="宋体" w:cs="宋体"/>
                <w:szCs w:val="21"/>
              </w:rPr>
              <w:t>达到国家和地方现行有关质量标准和比选文件第七章技术标准和工作要求。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7</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安全目标</w:t>
            </w:r>
          </w:p>
        </w:tc>
        <w:tc>
          <w:tcPr>
            <w:tcW w:w="7104" w:type="dxa"/>
          </w:tcPr>
          <w:p>
            <w:pPr>
              <w:spacing w:line="400" w:lineRule="exact"/>
              <w:ind w:firstLine="420" w:firstLineChars="200"/>
              <w:rPr>
                <w:rFonts w:ascii="宋体" w:hAnsi="宋体" w:cs="宋体"/>
                <w:szCs w:val="21"/>
              </w:rPr>
            </w:pPr>
            <w:r>
              <w:rPr>
                <w:rFonts w:hint="eastAsia" w:ascii="宋体" w:hAnsi="宋体" w:cs="宋体"/>
                <w:szCs w:val="21"/>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8</w:t>
            </w:r>
          </w:p>
        </w:tc>
        <w:tc>
          <w:tcPr>
            <w:tcW w:w="2106" w:type="dxa"/>
            <w:vAlign w:val="center"/>
          </w:tcPr>
          <w:p>
            <w:pPr>
              <w:spacing w:line="400" w:lineRule="exact"/>
              <w:jc w:val="center"/>
              <w:rPr>
                <w:rFonts w:ascii="宋体" w:hAnsi="宋体" w:cs="宋体"/>
                <w:kern w:val="0"/>
                <w:szCs w:val="21"/>
              </w:rPr>
            </w:pPr>
            <w:r>
              <w:rPr>
                <w:rFonts w:hint="eastAsia" w:ascii="宋体" w:hAnsi="宋体" w:cs="宋体"/>
                <w:szCs w:val="21"/>
              </w:rPr>
              <w:t>报价人资质条件、能力与信誉</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（1）资质条件：见比选公告3.1</w:t>
            </w:r>
          </w:p>
          <w:p>
            <w:pPr>
              <w:spacing w:line="400" w:lineRule="exact"/>
              <w:ind w:firstLine="420" w:firstLineChars="200"/>
              <w:rPr>
                <w:rFonts w:hint="eastAsia" w:ascii="宋体" w:hAnsi="宋体" w:cs="宋体"/>
                <w:szCs w:val="21"/>
              </w:rPr>
            </w:pPr>
            <w:r>
              <w:rPr>
                <w:rFonts w:hint="eastAsia" w:ascii="宋体" w:hAnsi="宋体" w:cs="宋体"/>
                <w:szCs w:val="21"/>
              </w:rPr>
              <w:t>（2）业绩要求：见比选公告3.2</w:t>
            </w:r>
          </w:p>
          <w:p>
            <w:pPr>
              <w:spacing w:line="400" w:lineRule="exact"/>
              <w:ind w:firstLine="420" w:firstLineChars="200"/>
              <w:rPr>
                <w:rFonts w:hint="eastAsia" w:eastAsia="宋体"/>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lang w:val="en-US" w:eastAsia="zh-CN"/>
              </w:rPr>
              <w:t>财务要求：</w:t>
            </w:r>
            <w:r>
              <w:rPr>
                <w:rFonts w:hint="eastAsia" w:ascii="宋体" w:hAnsi="宋体" w:cs="宋体"/>
                <w:szCs w:val="21"/>
              </w:rPr>
              <w:t>见比选公告3.3</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）信誉要求：见比选公告3.</w:t>
            </w:r>
            <w:r>
              <w:rPr>
                <w:rFonts w:hint="eastAsia" w:ascii="宋体" w:hAnsi="宋体" w:cs="宋体"/>
                <w:szCs w:val="21"/>
                <w:lang w:val="en-US" w:eastAsia="zh-CN"/>
              </w:rPr>
              <w:t>4</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）项目主要人员要求：见附录</w:t>
            </w:r>
            <w:r>
              <w:rPr>
                <w:rFonts w:hint="eastAsia" w:ascii="宋体" w:hAnsi="宋体" w:cs="宋体"/>
                <w:szCs w:val="21"/>
                <w:lang w:val="en-US" w:eastAsia="zh-CN"/>
              </w:rPr>
              <w:t>5</w:t>
            </w:r>
          </w:p>
          <w:p>
            <w:pPr>
              <w:spacing w:line="400" w:lineRule="exact"/>
              <w:ind w:firstLine="420" w:firstLineChars="200"/>
              <w:rPr>
                <w:rFonts w:hint="eastAsia" w:ascii="宋体" w:hAnsi="宋体" w:eastAsia="宋体" w:cs="宋体"/>
                <w:b/>
                <w:bCs/>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）其他要求：见附录</w:t>
            </w:r>
            <w:r>
              <w:rPr>
                <w:rFonts w:hint="eastAsia" w:ascii="宋体" w:hAnsi="宋体" w:cs="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9</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是否接受</w:t>
            </w:r>
          </w:p>
          <w:p>
            <w:pPr>
              <w:spacing w:line="400" w:lineRule="exact"/>
              <w:jc w:val="center"/>
              <w:rPr>
                <w:rFonts w:ascii="宋体" w:hAnsi="宋体" w:cs="宋体"/>
                <w:kern w:val="0"/>
                <w:szCs w:val="21"/>
              </w:rPr>
            </w:pPr>
            <w:r>
              <w:rPr>
                <w:rFonts w:hint="eastAsia" w:ascii="宋体" w:hAnsi="宋体" w:cs="宋体"/>
                <w:kern w:val="0"/>
                <w:szCs w:val="21"/>
              </w:rPr>
              <w:t>联合体报价</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10</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踏勘现场</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11</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分包</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12</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偏差</w:t>
            </w:r>
          </w:p>
        </w:tc>
        <w:tc>
          <w:tcPr>
            <w:tcW w:w="7104" w:type="dxa"/>
            <w:vAlign w:val="center"/>
          </w:tcPr>
          <w:p>
            <w:pPr>
              <w:spacing w:line="400" w:lineRule="exact"/>
              <w:ind w:firstLine="422" w:firstLineChars="200"/>
              <w:rPr>
                <w:rFonts w:ascii="宋体" w:hAnsi="宋体" w:cs="宋体"/>
                <w:kern w:val="0"/>
                <w:szCs w:val="21"/>
              </w:rPr>
            </w:pPr>
            <w:r>
              <w:rPr>
                <w:rFonts w:hint="eastAsia" w:ascii="宋体" w:hAnsi="宋体" w:cs="宋体"/>
                <w:b/>
                <w:kern w:val="0"/>
                <w:szCs w:val="21"/>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13</w:t>
            </w:r>
          </w:p>
        </w:tc>
        <w:tc>
          <w:tcPr>
            <w:tcW w:w="2106" w:type="dxa"/>
            <w:vAlign w:val="center"/>
          </w:tcPr>
          <w:p>
            <w:pPr>
              <w:spacing w:line="440" w:lineRule="exact"/>
              <w:jc w:val="center"/>
              <w:rPr>
                <w:rFonts w:ascii="宋体" w:hAnsi="宋体" w:cs="宋体"/>
                <w:kern w:val="0"/>
                <w:szCs w:val="21"/>
              </w:rPr>
            </w:pPr>
            <w:r>
              <w:rPr>
                <w:rFonts w:hint="eastAsia" w:ascii="宋体" w:hAnsi="宋体" w:cs="宋体"/>
                <w:bCs/>
                <w:szCs w:val="21"/>
              </w:rPr>
              <w:t>构成比选文件的其他材料</w:t>
            </w:r>
          </w:p>
        </w:tc>
        <w:tc>
          <w:tcPr>
            <w:tcW w:w="7104" w:type="dxa"/>
            <w:vAlign w:val="center"/>
          </w:tcPr>
          <w:p>
            <w:pPr>
              <w:spacing w:line="440" w:lineRule="exact"/>
              <w:ind w:firstLine="420" w:firstLineChars="200"/>
              <w:rPr>
                <w:rFonts w:ascii="宋体" w:hAnsi="宋体" w:cs="宋体"/>
                <w:szCs w:val="21"/>
              </w:rPr>
            </w:pPr>
            <w:r>
              <w:rPr>
                <w:rFonts w:hint="eastAsia" w:ascii="宋体" w:hAnsi="宋体" w:cs="宋体"/>
                <w:szCs w:val="21"/>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kern w:val="0"/>
                <w:szCs w:val="21"/>
              </w:rPr>
            </w:pPr>
            <w:bookmarkStart w:id="102" w:name="_Hlt227984024"/>
            <w:bookmarkEnd w:id="102"/>
            <w:r>
              <w:rPr>
                <w:rFonts w:hint="eastAsia" w:ascii="宋体" w:hAnsi="宋体" w:cs="宋体"/>
                <w:kern w:val="0"/>
                <w:szCs w:val="21"/>
              </w:rPr>
              <w:t>14</w:t>
            </w:r>
          </w:p>
        </w:tc>
        <w:tc>
          <w:tcPr>
            <w:tcW w:w="2106" w:type="dxa"/>
            <w:vAlign w:val="center"/>
          </w:tcPr>
          <w:p>
            <w:pPr>
              <w:spacing w:line="400" w:lineRule="exact"/>
              <w:jc w:val="center"/>
              <w:rPr>
                <w:rFonts w:ascii="宋体" w:hAnsi="宋体" w:cs="宋体"/>
                <w:szCs w:val="21"/>
              </w:rPr>
            </w:pPr>
            <w:r>
              <w:rPr>
                <w:rFonts w:hint="eastAsia" w:ascii="宋体" w:hAnsi="宋体" w:cs="宋体"/>
                <w:szCs w:val="21"/>
              </w:rPr>
              <w:t>构成竞争性比选响应文件的其他材料</w:t>
            </w:r>
          </w:p>
        </w:tc>
        <w:tc>
          <w:tcPr>
            <w:tcW w:w="7104" w:type="dxa"/>
            <w:vAlign w:val="center"/>
          </w:tcPr>
          <w:p>
            <w:pPr>
              <w:pStyle w:val="149"/>
              <w:spacing w:before="72" w:line="400" w:lineRule="exact"/>
              <w:ind w:firstLine="420" w:firstLineChars="200"/>
              <w:jc w:val="both"/>
              <w:rPr>
                <w:rFonts w:hAnsi="宋体"/>
                <w:color w:val="auto"/>
                <w:sz w:val="21"/>
                <w:szCs w:val="21"/>
              </w:rPr>
            </w:pPr>
            <w:r>
              <w:rPr>
                <w:rFonts w:hint="eastAsia" w:hAnsi="宋体"/>
                <w:color w:val="auto"/>
                <w:sz w:val="21"/>
                <w:szCs w:val="21"/>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15</w:t>
            </w:r>
          </w:p>
        </w:tc>
        <w:tc>
          <w:tcPr>
            <w:tcW w:w="2106" w:type="dxa"/>
            <w:tcBorders>
              <w:bottom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工程量清单的填写方式</w:t>
            </w:r>
          </w:p>
        </w:tc>
        <w:tc>
          <w:tcPr>
            <w:tcW w:w="7104" w:type="dxa"/>
            <w:tcBorders>
              <w:bottom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rPr>
              <w:t>报价人按照采购人提供的工程量清单填写工程量清单</w:t>
            </w:r>
          </w:p>
          <w:p>
            <w:pPr>
              <w:spacing w:line="400" w:lineRule="exact"/>
              <w:ind w:firstLine="422" w:firstLineChars="200"/>
              <w:rPr>
                <w:rFonts w:ascii="宋体" w:hAnsi="宋体" w:cs="宋体"/>
                <w:b/>
                <w:szCs w:val="21"/>
              </w:rPr>
            </w:pPr>
            <w:r>
              <w:rPr>
                <w:rFonts w:hint="eastAsia" w:ascii="宋体" w:hAnsi="宋体" w:cs="宋体"/>
                <w:b/>
                <w:szCs w:val="21"/>
              </w:rPr>
              <w:t>综合单价取小数点后两位，小数点后第三位四舍五入。</w:t>
            </w:r>
          </w:p>
          <w:p>
            <w:pPr>
              <w:spacing w:line="400" w:lineRule="exact"/>
              <w:ind w:firstLine="422" w:firstLineChars="200"/>
              <w:rPr>
                <w:rFonts w:ascii="宋体" w:hAnsi="宋体" w:cs="宋体"/>
                <w:szCs w:val="21"/>
              </w:rPr>
            </w:pPr>
            <w:r>
              <w:rPr>
                <w:rFonts w:hint="eastAsia" w:ascii="宋体" w:hAnsi="宋体" w:cs="宋体"/>
                <w:b/>
                <w:bCs/>
                <w:szCs w:val="21"/>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最高投标限价</w:t>
            </w:r>
          </w:p>
        </w:tc>
        <w:tc>
          <w:tcPr>
            <w:tcW w:w="7104" w:type="dxa"/>
            <w:tcBorders>
              <w:bottom w:val="single" w:color="auto" w:sz="4" w:space="0"/>
            </w:tcBorders>
          </w:tcPr>
          <w:p>
            <w:pPr>
              <w:spacing w:line="400" w:lineRule="exact"/>
              <w:ind w:firstLine="422" w:firstLineChars="200"/>
              <w:rPr>
                <w:rFonts w:hint="eastAsia" w:ascii="宋体" w:hAnsi="宋体" w:eastAsia="宋体"/>
                <w:szCs w:val="21"/>
                <w:lang w:val="en-US" w:eastAsia="zh-CN"/>
              </w:rPr>
            </w:pPr>
            <w:r>
              <w:rPr>
                <w:rFonts w:hint="eastAsia" w:ascii="宋体" w:hAnsi="宋体"/>
                <w:b/>
                <w:bCs/>
                <w:szCs w:val="21"/>
                <w:lang w:eastAsia="zh-CN"/>
              </w:rPr>
              <w:t>2023年渝蓉高速大足石刻服务区机电工程电线电缆采购（第二次）</w:t>
            </w:r>
            <w:r>
              <w:rPr>
                <w:rFonts w:hint="eastAsia" w:ascii="宋体" w:hAnsi="宋体"/>
                <w:b/>
                <w:bCs/>
                <w:szCs w:val="21"/>
              </w:rPr>
              <w:t>最高限价</w:t>
            </w:r>
            <w:r>
              <w:rPr>
                <w:rFonts w:hint="eastAsia" w:ascii="宋体" w:hAnsi="宋体"/>
                <w:b/>
                <w:bCs/>
                <w:szCs w:val="21"/>
                <w:u w:val="single"/>
                <w:lang w:val="en-US" w:eastAsia="zh-CN"/>
              </w:rPr>
              <w:t>2739862.26</w:t>
            </w:r>
            <w:r>
              <w:rPr>
                <w:rFonts w:hint="eastAsia" w:ascii="宋体" w:hAnsi="宋体"/>
                <w:b/>
                <w:bCs/>
                <w:szCs w:val="21"/>
              </w:rPr>
              <w:t>元。</w:t>
            </w:r>
          </w:p>
          <w:p>
            <w:pPr>
              <w:spacing w:line="400" w:lineRule="exact"/>
              <w:ind w:firstLine="422" w:firstLineChars="200"/>
              <w:rPr>
                <w:rFonts w:ascii="宋体" w:hAnsi="宋体" w:cs="宋体"/>
                <w:b/>
                <w:bCs/>
                <w:kern w:val="0"/>
                <w:szCs w:val="21"/>
              </w:rPr>
            </w:pPr>
            <w:r>
              <w:rPr>
                <w:rFonts w:hint="eastAsia" w:ascii="宋体" w:hAnsi="宋体" w:cs="宋体"/>
                <w:b/>
                <w:szCs w:val="21"/>
              </w:rPr>
              <w:t>报价人报价不得高于采购人发布的</w:t>
            </w:r>
            <w:r>
              <w:rPr>
                <w:rFonts w:hint="eastAsia" w:ascii="宋体" w:hAnsi="宋体" w:cs="宋体"/>
                <w:b/>
                <w:szCs w:val="21"/>
                <w:highlight w:val="none"/>
                <w:lang w:val="en-US" w:eastAsia="zh-CN"/>
              </w:rPr>
              <w:t>单项限价</w:t>
            </w:r>
            <w:r>
              <w:rPr>
                <w:rFonts w:hint="eastAsia" w:ascii="宋体" w:hAnsi="宋体" w:cs="宋体"/>
                <w:b/>
                <w:szCs w:val="21"/>
                <w:lang w:val="en-US" w:eastAsia="zh-CN"/>
              </w:rPr>
              <w:t>以及项目</w:t>
            </w:r>
            <w:r>
              <w:rPr>
                <w:rFonts w:hint="eastAsia" w:ascii="宋体" w:hAnsi="宋体" w:cs="宋体"/>
                <w:b/>
                <w:szCs w:val="21"/>
              </w:rPr>
              <w:t>最高</w:t>
            </w:r>
            <w:r>
              <w:rPr>
                <w:rFonts w:hint="eastAsia" w:ascii="宋体" w:hAnsi="宋体" w:cs="宋体"/>
                <w:b/>
                <w:szCs w:val="21"/>
                <w:lang w:val="en-US" w:eastAsia="zh-CN"/>
              </w:rPr>
              <w:t>总</w:t>
            </w:r>
            <w:r>
              <w:rPr>
                <w:rFonts w:hint="eastAsia" w:ascii="宋体" w:hAnsi="宋体" w:cs="宋体"/>
                <w:b/>
                <w:szCs w:val="21"/>
              </w:rPr>
              <w:t>限价，否则其竞争性比选响应文件视为重大偏差，竞争性比选响应文件将按否决报价处理</w:t>
            </w:r>
            <w:r>
              <w:rPr>
                <w:rFonts w:hint="eastAsia" w:ascii="宋体" w:hAnsi="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17</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合同支付办法</w:t>
            </w:r>
          </w:p>
        </w:tc>
        <w:tc>
          <w:tcPr>
            <w:tcW w:w="7104" w:type="dxa"/>
            <w:tcBorders>
              <w:bottom w:val="single" w:color="auto" w:sz="4" w:space="0"/>
            </w:tcBorders>
          </w:tcPr>
          <w:p>
            <w:pPr>
              <w:spacing w:line="400" w:lineRule="exact"/>
              <w:ind w:firstLine="420" w:firstLineChars="200"/>
              <w:rPr>
                <w:rFonts w:hint="eastAsia" w:eastAsia="宋体" w:cs="Times New Roman"/>
                <w:lang w:val="en-US" w:eastAsia="zh-CN"/>
              </w:rPr>
            </w:pPr>
            <w:r>
              <w:rPr>
                <w:rFonts w:hint="eastAsia" w:eastAsia="宋体" w:cs="Times New Roman"/>
                <w:lang w:val="en-US" w:eastAsia="zh-CN"/>
              </w:rPr>
              <w:t>1）乙方每次供货并验收合格后，支付到货金额的80%。</w:t>
            </w:r>
          </w:p>
          <w:p>
            <w:pPr>
              <w:spacing w:line="400" w:lineRule="exact"/>
              <w:ind w:firstLine="420" w:firstLineChars="200"/>
            </w:pPr>
            <w:r>
              <w:rPr>
                <w:rFonts w:hint="eastAsia" w:eastAsia="宋体" w:cs="Times New Roman"/>
                <w:lang w:val="en-US" w:eastAsia="zh-CN"/>
              </w:rPr>
              <w:t>2）工程整体交工验收完成，乙方应提交书面支付申请并提交相关资料后30日内支付支付至合同金额的100 %。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18</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szCs w:val="21"/>
              </w:rPr>
              <w:t>乙方违约的处理</w:t>
            </w:r>
          </w:p>
        </w:tc>
        <w:tc>
          <w:tcPr>
            <w:tcW w:w="7104" w:type="dxa"/>
            <w:tcBorders>
              <w:bottom w:val="single" w:color="auto" w:sz="4" w:space="0"/>
            </w:tcBorders>
          </w:tcPr>
          <w:p>
            <w:pPr>
              <w:spacing w:line="400" w:lineRule="exact"/>
              <w:ind w:firstLine="420" w:firstLineChars="200"/>
            </w:pPr>
            <w:r>
              <w:rPr>
                <w:rFonts w:hint="eastAsia"/>
                <w:highlight w:val="none"/>
              </w:rPr>
              <w:t>乙方未能按合同进度计划及时完成合同约定的工作，已造成或预期造成工期延误，甲方有权终止乙方不能按合同约定或预期不能按时完成的剩余工程，并由甲方另行选择单位实施，且因此产生的费用由乙方承担。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pPr>
              <w:spacing w:line="400" w:lineRule="exact"/>
              <w:jc w:val="center"/>
              <w:rPr>
                <w:rFonts w:ascii="宋体" w:hAnsi="宋体" w:cs="宋体"/>
                <w:szCs w:val="21"/>
              </w:rPr>
            </w:pPr>
            <w:r>
              <w:rPr>
                <w:rFonts w:hint="eastAsia" w:ascii="宋体" w:hAnsi="宋体" w:cs="宋体"/>
                <w:szCs w:val="21"/>
              </w:rPr>
              <w:t>19</w:t>
            </w:r>
          </w:p>
        </w:tc>
        <w:tc>
          <w:tcPr>
            <w:tcW w:w="2106" w:type="dxa"/>
          </w:tcPr>
          <w:p>
            <w:pPr>
              <w:spacing w:line="400" w:lineRule="exact"/>
              <w:jc w:val="center"/>
              <w:rPr>
                <w:rFonts w:ascii="宋体" w:hAnsi="宋体" w:cs="宋体"/>
                <w:szCs w:val="21"/>
              </w:rPr>
            </w:pPr>
            <w:r>
              <w:rPr>
                <w:rFonts w:hint="eastAsia" w:ascii="宋体" w:hAnsi="宋体" w:cs="宋体"/>
                <w:szCs w:val="21"/>
              </w:rPr>
              <w:t>中标候选人的人数</w:t>
            </w:r>
          </w:p>
        </w:tc>
        <w:tc>
          <w:tcPr>
            <w:tcW w:w="7104" w:type="dxa"/>
            <w:vAlign w:val="center"/>
          </w:tcPr>
          <w:p>
            <w:pPr>
              <w:spacing w:line="400" w:lineRule="exact"/>
              <w:ind w:firstLine="420" w:firstLineChars="200"/>
              <w:rPr>
                <w:rFonts w:ascii="宋体" w:hAnsi="宋体" w:cs="宋体"/>
              </w:rPr>
            </w:pPr>
            <w:r>
              <w:rPr>
                <w:rFonts w:hint="eastAsia" w:ascii="宋体" w:hAnsi="宋体" w:cs="宋体"/>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20</w:t>
            </w:r>
          </w:p>
        </w:tc>
        <w:tc>
          <w:tcPr>
            <w:tcW w:w="2106"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保证金</w:t>
            </w:r>
          </w:p>
        </w:tc>
        <w:tc>
          <w:tcPr>
            <w:tcW w:w="7104" w:type="dxa"/>
            <w:vAlign w:val="center"/>
          </w:tcPr>
          <w:p>
            <w:pPr>
              <w:snapToGrid w:val="0"/>
              <w:spacing w:line="400" w:lineRule="exact"/>
              <w:ind w:firstLine="420" w:firstLineChars="200"/>
              <w:rPr>
                <w:rFonts w:ascii="宋体" w:hAnsi="宋体" w:cs="宋体"/>
              </w:rPr>
            </w:pPr>
            <w:r>
              <w:rPr>
                <w:rFonts w:hint="eastAsia" w:ascii="宋体" w:hAnsi="宋体" w:cs="宋体"/>
              </w:rPr>
              <w:t>一、投标保证金</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1、报价人须缴纳投标保证金</w:t>
            </w:r>
            <w:r>
              <w:rPr>
                <w:rFonts w:hint="eastAsia" w:hAnsi="宋体"/>
                <w:b/>
                <w:bCs/>
                <w:color w:val="auto"/>
                <w:kern w:val="2"/>
                <w:sz w:val="21"/>
                <w:szCs w:val="21"/>
                <w:lang w:val="en-US" w:eastAsia="zh-CN"/>
              </w:rPr>
              <w:t>4</w:t>
            </w:r>
            <w:r>
              <w:rPr>
                <w:rFonts w:hint="eastAsia" w:hAnsi="宋体"/>
                <w:b/>
                <w:bCs/>
                <w:color w:val="auto"/>
                <w:kern w:val="2"/>
                <w:sz w:val="21"/>
                <w:szCs w:val="21"/>
              </w:rPr>
              <w:t>万元</w:t>
            </w:r>
            <w:r>
              <w:rPr>
                <w:rFonts w:hint="eastAsia" w:hAnsi="宋体"/>
                <w:color w:val="auto"/>
                <w:kern w:val="2"/>
                <w:sz w:val="21"/>
                <w:szCs w:val="21"/>
              </w:rPr>
              <w:t>，由报价人从公司基本账户将投标保证金汇至以下指定账户：</w:t>
            </w:r>
          </w:p>
          <w:p>
            <w:pPr>
              <w:pStyle w:val="149"/>
              <w:spacing w:line="400" w:lineRule="exact"/>
              <w:ind w:firstLine="420" w:firstLineChars="200"/>
              <w:rPr>
                <w:rFonts w:hAnsi="宋体"/>
                <w:color w:val="auto"/>
                <w:kern w:val="2"/>
                <w:sz w:val="21"/>
                <w:szCs w:val="21"/>
                <w:highlight w:val="none"/>
              </w:rPr>
            </w:pPr>
            <w:r>
              <w:rPr>
                <w:rFonts w:hAnsi="宋体"/>
                <w:color w:val="auto"/>
                <w:kern w:val="2"/>
                <w:sz w:val="21"/>
                <w:szCs w:val="21"/>
              </w:rPr>
              <w:t>保证金到账截止时间：</w:t>
            </w:r>
            <w:r>
              <w:rPr>
                <w:rFonts w:hAnsi="宋体"/>
                <w:color w:val="auto"/>
                <w:kern w:val="2"/>
                <w:sz w:val="21"/>
                <w:szCs w:val="21"/>
                <w:highlight w:val="none"/>
              </w:rPr>
              <w:t>202</w:t>
            </w:r>
            <w:r>
              <w:rPr>
                <w:rFonts w:hint="eastAsia" w:hAnsi="宋体"/>
                <w:color w:val="auto"/>
                <w:kern w:val="2"/>
                <w:sz w:val="21"/>
                <w:szCs w:val="21"/>
                <w:highlight w:val="none"/>
                <w:lang w:val="en-US" w:eastAsia="zh-CN"/>
              </w:rPr>
              <w:t>3</w:t>
            </w:r>
            <w:r>
              <w:rPr>
                <w:rFonts w:hAnsi="宋体"/>
                <w:color w:val="auto"/>
                <w:kern w:val="2"/>
                <w:sz w:val="21"/>
                <w:szCs w:val="21"/>
                <w:highlight w:val="none"/>
              </w:rPr>
              <w:t>年</w:t>
            </w:r>
            <w:r>
              <w:rPr>
                <w:rFonts w:hint="eastAsia" w:hAnsi="宋体"/>
                <w:color w:val="auto"/>
                <w:kern w:val="2"/>
                <w:sz w:val="21"/>
                <w:szCs w:val="21"/>
                <w:highlight w:val="none"/>
                <w:lang w:val="en-US" w:eastAsia="zh-CN"/>
              </w:rPr>
              <w:t>6</w:t>
            </w:r>
            <w:r>
              <w:rPr>
                <w:rFonts w:hAnsi="宋体"/>
                <w:color w:val="auto"/>
                <w:kern w:val="2"/>
                <w:sz w:val="21"/>
                <w:szCs w:val="21"/>
                <w:highlight w:val="none"/>
              </w:rPr>
              <w:t>月</w:t>
            </w:r>
            <w:r>
              <w:rPr>
                <w:rFonts w:hint="eastAsia" w:hAnsi="宋体"/>
                <w:color w:val="auto"/>
                <w:kern w:val="2"/>
                <w:sz w:val="21"/>
                <w:szCs w:val="21"/>
                <w:highlight w:val="none"/>
                <w:lang w:val="en-US" w:eastAsia="zh-CN"/>
              </w:rPr>
              <w:t>25</w:t>
            </w:r>
            <w:r>
              <w:rPr>
                <w:rFonts w:hAnsi="宋体"/>
                <w:color w:val="auto"/>
                <w:kern w:val="2"/>
                <w:sz w:val="21"/>
                <w:szCs w:val="21"/>
                <w:highlight w:val="none"/>
              </w:rPr>
              <w:t>日</w:t>
            </w:r>
            <w:r>
              <w:rPr>
                <w:rFonts w:hint="eastAsia" w:hAnsi="宋体"/>
                <w:color w:val="auto"/>
                <w:kern w:val="2"/>
                <w:sz w:val="21"/>
                <w:szCs w:val="21"/>
                <w:highlight w:val="none"/>
                <w:lang w:val="en-US" w:eastAsia="zh-CN"/>
              </w:rPr>
              <w:t>14</w:t>
            </w:r>
            <w:r>
              <w:rPr>
                <w:rFonts w:hAnsi="宋体"/>
                <w:color w:val="auto"/>
                <w:kern w:val="2"/>
                <w:sz w:val="21"/>
                <w:szCs w:val="21"/>
                <w:highlight w:val="none"/>
              </w:rPr>
              <w:t>时00分前；</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若竞争性比选响应文件内无投标保证金缴纳凭证，采购人有权作废标处理，若投标保证金存在虚假不实情况，采购人有权作废标处理。</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2、</w:t>
            </w:r>
            <w:r>
              <w:rPr>
                <w:rFonts w:hAnsi="宋体"/>
                <w:color w:val="auto"/>
                <w:kern w:val="2"/>
                <w:sz w:val="21"/>
                <w:szCs w:val="21"/>
              </w:rPr>
              <w:t>投标保证金退还方式</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为便于及时退还，</w:t>
            </w:r>
            <w:r>
              <w:rPr>
                <w:rFonts w:hint="eastAsia" w:hAnsi="宋体"/>
                <w:color w:val="auto"/>
                <w:kern w:val="2"/>
                <w:sz w:val="21"/>
                <w:szCs w:val="21"/>
              </w:rPr>
              <w:t>报价人</w:t>
            </w:r>
            <w:r>
              <w:rPr>
                <w:rFonts w:hAnsi="宋体"/>
                <w:color w:val="auto"/>
                <w:kern w:val="2"/>
                <w:sz w:val="21"/>
                <w:szCs w:val="21"/>
              </w:rPr>
              <w:t>在递交响应文件的同时，递交本项目保证金银行回单和公司的开户许可证复印件。</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未</w:t>
            </w:r>
            <w:r>
              <w:rPr>
                <w:rFonts w:hint="eastAsia" w:hAnsi="宋体"/>
                <w:color w:val="auto"/>
                <w:kern w:val="2"/>
                <w:sz w:val="21"/>
                <w:szCs w:val="21"/>
              </w:rPr>
              <w:t>中标报价人</w:t>
            </w:r>
            <w:r>
              <w:rPr>
                <w:rFonts w:hAnsi="宋体"/>
                <w:color w:val="auto"/>
                <w:kern w:val="2"/>
                <w:sz w:val="21"/>
                <w:szCs w:val="21"/>
              </w:rPr>
              <w:t>的投标保证金，于该项目结果公示期结束后15个工作日内无息退还至</w:t>
            </w:r>
            <w:r>
              <w:rPr>
                <w:rFonts w:hint="eastAsia" w:hAnsi="宋体"/>
                <w:color w:val="auto"/>
                <w:kern w:val="2"/>
                <w:sz w:val="21"/>
                <w:szCs w:val="21"/>
              </w:rPr>
              <w:t>报价人</w:t>
            </w:r>
            <w:r>
              <w:rPr>
                <w:rFonts w:hAnsi="宋体"/>
                <w:color w:val="auto"/>
                <w:kern w:val="2"/>
                <w:sz w:val="21"/>
                <w:szCs w:val="21"/>
              </w:rPr>
              <w:t>基本账户。</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中标人的投标保证金，自合同签订后15个工作日内无息退还至中标人基本账户。</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二、履约保证金</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1、</w:t>
            </w:r>
            <w:r>
              <w:rPr>
                <w:rFonts w:hAnsi="宋体"/>
                <w:color w:val="auto"/>
                <w:kern w:val="2"/>
                <w:sz w:val="21"/>
                <w:szCs w:val="21"/>
              </w:rPr>
              <w:t>履约担保作为本</w:t>
            </w:r>
            <w:r>
              <w:rPr>
                <w:rFonts w:hint="eastAsia" w:hAnsi="宋体"/>
                <w:color w:val="auto"/>
                <w:kern w:val="2"/>
                <w:sz w:val="21"/>
                <w:szCs w:val="21"/>
              </w:rPr>
              <w:t>项目</w:t>
            </w:r>
            <w:r>
              <w:rPr>
                <w:rFonts w:hAnsi="宋体"/>
                <w:color w:val="auto"/>
                <w:kern w:val="2"/>
                <w:sz w:val="21"/>
                <w:szCs w:val="21"/>
              </w:rPr>
              <w:t>合同附件</w:t>
            </w:r>
            <w:r>
              <w:rPr>
                <w:rFonts w:hint="eastAsia"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2、履约保证金的金额：</w:t>
            </w:r>
            <w:r>
              <w:rPr>
                <w:rFonts w:hint="eastAsia" w:hAnsi="宋体"/>
                <w:b/>
                <w:bCs/>
                <w:color w:val="auto"/>
                <w:kern w:val="2"/>
                <w:sz w:val="21"/>
                <w:szCs w:val="21"/>
                <w:lang w:val="en-US" w:eastAsia="zh-CN"/>
              </w:rPr>
              <w:t>中标</w:t>
            </w:r>
            <w:r>
              <w:rPr>
                <w:rFonts w:hint="eastAsia" w:hAnsi="宋体"/>
                <w:b/>
                <w:bCs/>
                <w:color w:val="auto"/>
                <w:kern w:val="2"/>
                <w:sz w:val="21"/>
                <w:szCs w:val="21"/>
              </w:rPr>
              <w:t>金额的1</w:t>
            </w:r>
            <w:r>
              <w:rPr>
                <w:rFonts w:hAnsi="宋体"/>
                <w:b/>
                <w:bCs/>
                <w:color w:val="auto"/>
                <w:kern w:val="2"/>
                <w:sz w:val="21"/>
                <w:szCs w:val="21"/>
              </w:rPr>
              <w:t>0%</w:t>
            </w:r>
            <w:r>
              <w:rPr>
                <w:rFonts w:hint="eastAsia"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3、履约保证金有效期：自双方签订的合同文件生效之日起，至合同约定时间或暂定金额使用完成为止。</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4、履约保证金的提交及退还：在甲方发出中标通知书后5个工作日内，中标人向采购人提供履约保证金</w:t>
            </w:r>
            <w:r>
              <w:rPr>
                <w:rFonts w:hAnsi="宋体"/>
                <w:color w:val="auto"/>
                <w:kern w:val="2"/>
                <w:sz w:val="21"/>
                <w:szCs w:val="21"/>
              </w:rPr>
              <w:t>缴纳凭证</w:t>
            </w:r>
            <w:r>
              <w:rPr>
                <w:rFonts w:hint="eastAsia" w:hAnsi="宋体"/>
                <w:color w:val="auto"/>
                <w:kern w:val="2"/>
                <w:sz w:val="21"/>
                <w:szCs w:val="21"/>
              </w:rPr>
              <w:t>。履约保证金在完成合同约定的全部工作内容后由中标人提出申请，28天后无息退还剩余部分。</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三、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r>
              <w:rPr>
                <w:rFonts w:hAnsi="宋体"/>
                <w:color w:val="auto"/>
                <w:kern w:val="2"/>
                <w:sz w:val="21"/>
                <w:szCs w:val="21"/>
              </w:rPr>
              <w:t>转款备注：</w:t>
            </w:r>
            <w:r>
              <w:rPr>
                <w:rFonts w:hint="eastAsia" w:hAnsi="宋体"/>
                <w:color w:val="auto"/>
                <w:kern w:val="2"/>
                <w:sz w:val="21"/>
                <w:szCs w:val="21"/>
                <w:lang w:eastAsia="zh-CN"/>
              </w:rPr>
              <w:t>2023年渝蓉高速大足石刻服务区机电工程电线电缆采购（第二次）</w:t>
            </w:r>
            <w:r>
              <w:rPr>
                <w:rFonts w:hint="eastAsia" w:hAnsi="宋体"/>
                <w:color w:val="auto"/>
                <w:kern w:val="2"/>
                <w:sz w:val="21"/>
                <w:szCs w:val="21"/>
                <w:lang w:val="en-US" w:eastAsia="zh-CN"/>
              </w:rPr>
              <w:t>投标</w:t>
            </w:r>
            <w:r>
              <w:rPr>
                <w:rFonts w:hint="eastAsia" w:hAnsi="宋体"/>
                <w:color w:val="auto"/>
                <w:kern w:val="2"/>
                <w:sz w:val="21"/>
                <w:szCs w:val="21"/>
              </w:rPr>
              <w:t>保证金</w:t>
            </w:r>
            <w:r>
              <w:rPr>
                <w:rFonts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四、采购人指定的开户银行及账号如下：</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账户名称：重庆首讯科技股份有限公司</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开户银行：兴业银行重庆分行营业部</w:t>
            </w:r>
          </w:p>
          <w:p>
            <w:pPr>
              <w:pStyle w:val="149"/>
              <w:spacing w:line="400" w:lineRule="exact"/>
              <w:ind w:firstLine="420" w:firstLineChars="200"/>
              <w:rPr>
                <w:rFonts w:hint="default" w:hAnsi="宋体" w:eastAsia="宋体"/>
                <w:color w:val="auto"/>
                <w:kern w:val="2"/>
                <w:sz w:val="21"/>
                <w:szCs w:val="21"/>
                <w:lang w:val="en-US" w:eastAsia="zh-CN"/>
              </w:rPr>
            </w:pPr>
            <w:r>
              <w:rPr>
                <w:rFonts w:hint="eastAsia" w:hAnsi="宋体"/>
                <w:color w:val="auto"/>
                <w:kern w:val="2"/>
                <w:sz w:val="21"/>
                <w:szCs w:val="21"/>
              </w:rPr>
              <w:t>帐    号：3460 1010 0100 4791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97" w:type="dxa"/>
            <w:vAlign w:val="center"/>
          </w:tcPr>
          <w:p>
            <w:pPr>
              <w:pStyle w:val="149"/>
              <w:spacing w:line="400" w:lineRule="exact"/>
              <w:jc w:val="center"/>
              <w:rPr>
                <w:rFonts w:hAnsi="宋体"/>
                <w:color w:val="auto"/>
                <w:sz w:val="21"/>
                <w:szCs w:val="21"/>
              </w:rPr>
            </w:pPr>
            <w:r>
              <w:rPr>
                <w:rFonts w:hint="eastAsia" w:hAnsi="宋体"/>
                <w:color w:val="auto"/>
                <w:sz w:val="21"/>
                <w:szCs w:val="21"/>
              </w:rPr>
              <w:t>21</w:t>
            </w:r>
          </w:p>
        </w:tc>
        <w:tc>
          <w:tcPr>
            <w:tcW w:w="2106" w:type="dxa"/>
            <w:vAlign w:val="center"/>
          </w:tcPr>
          <w:p>
            <w:pPr>
              <w:pStyle w:val="149"/>
              <w:spacing w:line="400" w:lineRule="exact"/>
              <w:jc w:val="center"/>
              <w:rPr>
                <w:rFonts w:hAnsi="宋体"/>
                <w:color w:val="auto"/>
                <w:sz w:val="21"/>
                <w:szCs w:val="21"/>
              </w:rPr>
            </w:pPr>
            <w:r>
              <w:rPr>
                <w:rFonts w:hint="eastAsia" w:hAnsi="宋体"/>
                <w:color w:val="auto"/>
                <w:kern w:val="2"/>
                <w:sz w:val="21"/>
                <w:szCs w:val="21"/>
              </w:rPr>
              <w:t>监督部门</w:t>
            </w:r>
          </w:p>
        </w:tc>
        <w:tc>
          <w:tcPr>
            <w:tcW w:w="7104" w:type="dxa"/>
            <w:vAlign w:val="center"/>
          </w:tcPr>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监督部门：重庆首讯科技股份有限公司合规监管部</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地    址：重庆市渝北区龙溪街道新南路52号东界龙湖三楼</w:t>
            </w:r>
          </w:p>
          <w:p>
            <w:pPr>
              <w:pStyle w:val="149"/>
              <w:spacing w:line="400" w:lineRule="exact"/>
              <w:ind w:firstLine="420" w:firstLineChars="200"/>
              <w:rPr>
                <w:rFonts w:hAnsi="宋体"/>
                <w:color w:val="auto"/>
                <w:sz w:val="21"/>
                <w:szCs w:val="21"/>
              </w:rPr>
            </w:pPr>
            <w:r>
              <w:rPr>
                <w:rFonts w:hint="eastAsia" w:hAnsi="宋体"/>
                <w:color w:val="auto"/>
                <w:kern w:val="2"/>
                <w:sz w:val="21"/>
                <w:szCs w:val="21"/>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22</w:t>
            </w:r>
          </w:p>
        </w:tc>
        <w:tc>
          <w:tcPr>
            <w:tcW w:w="9210" w:type="dxa"/>
            <w:gridSpan w:val="2"/>
            <w:vAlign w:val="center"/>
          </w:tcPr>
          <w:p>
            <w:pPr>
              <w:pStyle w:val="149"/>
              <w:spacing w:line="400" w:lineRule="exact"/>
              <w:ind w:firstLine="482" w:firstLineChars="200"/>
              <w:jc w:val="center"/>
              <w:rPr>
                <w:rFonts w:hAnsi="宋体"/>
                <w:color w:val="auto"/>
                <w:kern w:val="2"/>
                <w:sz w:val="21"/>
                <w:szCs w:val="21"/>
              </w:rPr>
            </w:pPr>
            <w:r>
              <w:rPr>
                <w:rFonts w:hAnsi="宋体"/>
                <w:b/>
                <w:bCs/>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22.1</w:t>
            </w:r>
          </w:p>
        </w:tc>
        <w:tc>
          <w:tcPr>
            <w:tcW w:w="9210" w:type="dxa"/>
            <w:gridSpan w:val="2"/>
            <w:vAlign w:val="center"/>
          </w:tcPr>
          <w:p>
            <w:pPr>
              <w:pStyle w:val="149"/>
              <w:spacing w:line="400" w:lineRule="exact"/>
              <w:ind w:firstLine="420" w:firstLineChars="200"/>
              <w:rPr>
                <w:rFonts w:hAnsi="宋体"/>
                <w:b/>
                <w:bCs/>
                <w:szCs w:val="21"/>
              </w:rPr>
            </w:pPr>
            <w:r>
              <w:rPr>
                <w:rFonts w:hint="eastAsia" w:hAnsi="宋体"/>
                <w:sz w:val="21"/>
                <w:szCs w:val="21"/>
              </w:rPr>
              <w:t>截止竞争性比选响应文件递交时间，递交竞争性比选响应文件不足3家的不得开启竞争性比选文件。重新招标后报价人仍少于3个，按法定程序开标和评标，确定中标人。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int="default" w:hAnsi="宋体" w:eastAsia="宋体"/>
                <w:color w:val="auto"/>
                <w:kern w:val="2"/>
                <w:sz w:val="21"/>
                <w:szCs w:val="21"/>
                <w:lang w:val="en-US" w:eastAsia="zh-CN"/>
              </w:rPr>
            </w:pPr>
            <w:r>
              <w:rPr>
                <w:rFonts w:hint="eastAsia" w:hAnsi="宋体"/>
                <w:color w:val="auto"/>
                <w:kern w:val="2"/>
                <w:sz w:val="21"/>
                <w:szCs w:val="21"/>
                <w:lang w:val="en-US" w:eastAsia="zh-CN"/>
              </w:rPr>
              <w:t>22.2</w:t>
            </w:r>
          </w:p>
        </w:tc>
        <w:tc>
          <w:tcPr>
            <w:tcW w:w="9210" w:type="dxa"/>
            <w:gridSpan w:val="2"/>
            <w:vAlign w:val="center"/>
          </w:tcPr>
          <w:p>
            <w:pPr>
              <w:pStyle w:val="149"/>
              <w:spacing w:line="400" w:lineRule="exact"/>
              <w:ind w:firstLine="420" w:firstLineChars="200"/>
              <w:rPr>
                <w:rFonts w:hint="default" w:hAnsi="宋体" w:eastAsia="宋体"/>
                <w:sz w:val="21"/>
                <w:szCs w:val="21"/>
                <w:lang w:val="en-US" w:eastAsia="zh-CN"/>
              </w:rPr>
            </w:pPr>
            <w:r>
              <w:rPr>
                <w:rFonts w:hint="eastAsia" w:hAnsi="宋体"/>
                <w:sz w:val="21"/>
                <w:szCs w:val="21"/>
                <w:lang w:val="en-US" w:eastAsia="zh-CN"/>
              </w:rPr>
              <w:t>中标人需配合项目业主及监理进行厂验，需按采购人要求对电线电缆进行第三方检测，并出具检测报告（费用由中标人承担），若不合格，将以退货处理，并按约定扣除履约保证金。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int="eastAsia" w:hAnsi="宋体"/>
                <w:color w:val="auto"/>
                <w:kern w:val="2"/>
                <w:sz w:val="21"/>
                <w:szCs w:val="21"/>
              </w:rPr>
            </w:pPr>
            <w:r>
              <w:rPr>
                <w:rFonts w:hint="eastAsia" w:hAnsi="宋体"/>
                <w:color w:val="auto"/>
                <w:kern w:val="2"/>
                <w:sz w:val="21"/>
                <w:szCs w:val="21"/>
                <w:lang w:val="en-US" w:eastAsia="zh-CN"/>
              </w:rPr>
              <w:t>22.3</w:t>
            </w:r>
          </w:p>
        </w:tc>
        <w:tc>
          <w:tcPr>
            <w:tcW w:w="9210" w:type="dxa"/>
            <w:gridSpan w:val="2"/>
            <w:vAlign w:val="center"/>
          </w:tcPr>
          <w:p>
            <w:pPr>
              <w:pStyle w:val="149"/>
              <w:spacing w:line="400" w:lineRule="exact"/>
              <w:ind w:firstLine="420" w:firstLineChars="200"/>
              <w:rPr>
                <w:rFonts w:hint="eastAsia" w:hAnsi="宋体"/>
                <w:sz w:val="21"/>
                <w:szCs w:val="21"/>
              </w:rPr>
            </w:pPr>
            <w:r>
              <w:rPr>
                <w:rFonts w:hint="eastAsia" w:hAnsi="宋体"/>
                <w:sz w:val="21"/>
                <w:szCs w:val="21"/>
              </w:rPr>
              <w:t>1.计价规则</w:t>
            </w:r>
          </w:p>
          <w:p>
            <w:pPr>
              <w:pStyle w:val="149"/>
              <w:spacing w:line="400" w:lineRule="exact"/>
              <w:ind w:firstLine="420" w:firstLineChars="200"/>
              <w:rPr>
                <w:rFonts w:hint="eastAsia" w:hAnsi="宋体"/>
                <w:sz w:val="21"/>
                <w:szCs w:val="21"/>
              </w:rPr>
            </w:pPr>
            <w:r>
              <w:rPr>
                <w:rFonts w:hint="eastAsia" w:hAnsi="宋体"/>
                <w:sz w:val="21"/>
                <w:szCs w:val="21"/>
              </w:rPr>
              <w:t>1.1术语与定义：（1）基准铜价A：以2023年6月2</w:t>
            </w:r>
            <w:r>
              <w:rPr>
                <w:rFonts w:hint="eastAsia" w:hAnsi="宋体"/>
                <w:sz w:val="21"/>
                <w:szCs w:val="21"/>
                <w:lang w:val="en-US" w:eastAsia="zh-CN"/>
              </w:rPr>
              <w:t>7</w:t>
            </w:r>
            <w:r>
              <w:rPr>
                <w:rFonts w:hint="eastAsia" w:hAnsi="宋体"/>
                <w:sz w:val="21"/>
                <w:szCs w:val="21"/>
              </w:rPr>
              <w:t>日长江有色金属网（www.ccmn.cn)1#铜发布平均价68830元/吨作为基准铜价。</w:t>
            </w:r>
          </w:p>
          <w:p>
            <w:pPr>
              <w:pStyle w:val="149"/>
              <w:spacing w:line="400" w:lineRule="exact"/>
              <w:ind w:firstLine="420" w:firstLineChars="200"/>
              <w:rPr>
                <w:rFonts w:hint="eastAsia" w:hAnsi="宋体"/>
                <w:sz w:val="21"/>
                <w:szCs w:val="21"/>
              </w:rPr>
            </w:pPr>
            <w:r>
              <w:rPr>
                <w:rFonts w:hint="eastAsia" w:hAnsi="宋体"/>
                <w:sz w:val="21"/>
                <w:szCs w:val="21"/>
              </w:rPr>
              <w:t>（2）订单日铜价B：为采购人项目部实际下单采购之日的长江有色金属网（www.ccmn.cn)1#铜当日现货均价（如下单日期为非工作日，则以下一个工作日现货均价为准），需双方签字盖章确认。</w:t>
            </w:r>
          </w:p>
          <w:p>
            <w:pPr>
              <w:pStyle w:val="149"/>
              <w:spacing w:line="400" w:lineRule="exact"/>
              <w:ind w:firstLine="420" w:firstLineChars="200"/>
              <w:rPr>
                <w:rFonts w:hint="eastAsia" w:hAnsi="宋体"/>
                <w:sz w:val="21"/>
                <w:szCs w:val="21"/>
              </w:rPr>
            </w:pPr>
            <w:r>
              <w:rPr>
                <w:rFonts w:hint="eastAsia" w:hAnsi="宋体"/>
                <w:sz w:val="21"/>
                <w:szCs w:val="21"/>
              </w:rPr>
              <w:t>（3）电缆基准单价C：以基准铜价A为报价基准确定的电缆基准单价。</w:t>
            </w:r>
          </w:p>
          <w:p>
            <w:pPr>
              <w:pStyle w:val="149"/>
              <w:spacing w:line="400" w:lineRule="exact"/>
              <w:ind w:firstLine="420" w:firstLineChars="200"/>
              <w:rPr>
                <w:rFonts w:hint="eastAsia" w:hAnsi="宋体"/>
                <w:sz w:val="21"/>
                <w:szCs w:val="21"/>
              </w:rPr>
            </w:pPr>
            <w:r>
              <w:rPr>
                <w:rFonts w:hint="eastAsia" w:hAnsi="宋体"/>
                <w:sz w:val="21"/>
                <w:szCs w:val="21"/>
              </w:rPr>
              <w:t>（4）电缆结算单价D：根据订单日铜价B及1.2条的调价规则确定的当批次电缆结算单价。</w:t>
            </w:r>
          </w:p>
          <w:p>
            <w:pPr>
              <w:pStyle w:val="149"/>
              <w:spacing w:line="400" w:lineRule="exact"/>
              <w:ind w:firstLine="420" w:firstLineChars="200"/>
              <w:rPr>
                <w:rFonts w:hint="eastAsia" w:hAnsi="宋体"/>
                <w:sz w:val="21"/>
                <w:szCs w:val="21"/>
              </w:rPr>
            </w:pPr>
            <w:r>
              <w:rPr>
                <w:rFonts w:hint="eastAsia" w:hAnsi="宋体"/>
                <w:sz w:val="21"/>
                <w:szCs w:val="21"/>
              </w:rPr>
              <w:t>（5）下浮率E%=1.25％。</w:t>
            </w:r>
          </w:p>
          <w:p>
            <w:pPr>
              <w:pStyle w:val="149"/>
              <w:spacing w:line="400" w:lineRule="exact"/>
              <w:ind w:firstLine="420" w:firstLineChars="200"/>
              <w:rPr>
                <w:rFonts w:hint="eastAsia" w:hAnsi="宋体"/>
                <w:sz w:val="21"/>
                <w:szCs w:val="21"/>
              </w:rPr>
            </w:pPr>
            <w:r>
              <w:rPr>
                <w:rFonts w:hint="eastAsia" w:hAnsi="宋体"/>
                <w:sz w:val="21"/>
                <w:szCs w:val="21"/>
              </w:rPr>
              <w:t>1.2调价原则：本项目电缆规格型号、数量以招标清单约定的为准，电缆单价为浮动单价，根据铜价的波动而变化。具体调整原则如下。</w:t>
            </w:r>
          </w:p>
          <w:p>
            <w:pPr>
              <w:pStyle w:val="149"/>
              <w:spacing w:line="400" w:lineRule="exact"/>
              <w:ind w:firstLine="420" w:firstLineChars="200"/>
              <w:rPr>
                <w:rFonts w:hint="eastAsia" w:hAnsi="宋体"/>
                <w:sz w:val="21"/>
                <w:szCs w:val="21"/>
              </w:rPr>
            </w:pPr>
            <w:r>
              <w:rPr>
                <w:rFonts w:hint="eastAsia" w:hAnsi="宋体"/>
                <w:sz w:val="21"/>
                <w:szCs w:val="21"/>
              </w:rPr>
              <w:t>1.2.1铜价上涨时，电缆单价调整原则：</w:t>
            </w:r>
          </w:p>
          <w:p>
            <w:pPr>
              <w:pStyle w:val="149"/>
              <w:spacing w:line="400" w:lineRule="exact"/>
              <w:ind w:firstLine="420" w:firstLineChars="200"/>
              <w:rPr>
                <w:rFonts w:hint="eastAsia" w:hAnsi="宋体"/>
                <w:sz w:val="21"/>
                <w:szCs w:val="21"/>
              </w:rPr>
            </w:pPr>
            <w:r>
              <w:rPr>
                <w:rFonts w:hint="eastAsia" w:hAnsi="宋体"/>
                <w:sz w:val="21"/>
                <w:szCs w:val="21"/>
              </w:rPr>
              <w:t>（1）订单日铜价B在基准铜价A的基础上上涨在3000元/吨以内（含3000元/吨）时，电缆结算单价原则不上调，即0元/吨＜订单日铜价B-基准铜价A≤3000元/吨时，电缆结算单价D按电缆基准单价C执行，不作调整；</w:t>
            </w:r>
          </w:p>
          <w:p>
            <w:pPr>
              <w:pStyle w:val="149"/>
              <w:spacing w:line="400" w:lineRule="exact"/>
              <w:ind w:firstLine="420" w:firstLineChars="200"/>
              <w:rPr>
                <w:rFonts w:hint="eastAsia" w:hAnsi="宋体"/>
                <w:sz w:val="21"/>
                <w:szCs w:val="21"/>
              </w:rPr>
            </w:pPr>
            <w:r>
              <w:rPr>
                <w:rFonts w:hint="eastAsia" w:hAnsi="宋体"/>
                <w:sz w:val="21"/>
                <w:szCs w:val="21"/>
              </w:rPr>
              <w:t>（2）订单日铜价B在基准铜价A的基础上上涨超过3000元/吨但不超过5000元/吨时，即3000元/吨＜订单日铜价B-基准铜价A≤5000元/吨时，订单日铜价B在（A+3000）元/吨的基础上每上涨1000元/吨（不足1000元的按比例计算），相应电缆结算单价D上调(E%/2)，以此类推。电缆结算单价D计算公式如下：</w:t>
            </w:r>
          </w:p>
          <w:p>
            <w:pPr>
              <w:pStyle w:val="149"/>
              <w:spacing w:line="400" w:lineRule="exact"/>
              <w:ind w:firstLine="420" w:firstLineChars="200"/>
              <w:rPr>
                <w:rFonts w:hint="eastAsia" w:hAnsi="宋体"/>
                <w:sz w:val="21"/>
                <w:szCs w:val="21"/>
              </w:rPr>
            </w:pPr>
            <w:r>
              <w:rPr>
                <w:rFonts w:hint="eastAsia" w:hAnsi="宋体"/>
                <w:sz w:val="21"/>
                <w:szCs w:val="21"/>
              </w:rPr>
              <w:t>电缆结算单价D=C*(1+（(B-(A+3000)）/1000*E%/2)，电缆结算单价均按四舍五入保留两位小数。</w:t>
            </w:r>
          </w:p>
          <w:p>
            <w:pPr>
              <w:pStyle w:val="149"/>
              <w:spacing w:line="400" w:lineRule="exact"/>
              <w:ind w:firstLine="420" w:firstLineChars="200"/>
              <w:rPr>
                <w:rFonts w:hint="eastAsia" w:hAnsi="宋体"/>
                <w:sz w:val="21"/>
                <w:szCs w:val="21"/>
              </w:rPr>
            </w:pPr>
            <w:r>
              <w:rPr>
                <w:rFonts w:hint="eastAsia" w:hAnsi="宋体"/>
                <w:sz w:val="21"/>
                <w:szCs w:val="21"/>
              </w:rPr>
              <w:t>举例：如基准铜价A为70000元/吨，订单日铜价B为74000元/吨时，下浮率E%为1.1%，则电缆结算单价D=C*（1+（（74000-（70000+3000））/1000*1.1%/2））=1.0055C。</w:t>
            </w:r>
          </w:p>
          <w:p>
            <w:pPr>
              <w:pStyle w:val="149"/>
              <w:spacing w:line="400" w:lineRule="exact"/>
              <w:ind w:firstLine="420" w:firstLineChars="200"/>
              <w:rPr>
                <w:rFonts w:hint="eastAsia" w:hAnsi="宋体"/>
                <w:sz w:val="21"/>
                <w:szCs w:val="21"/>
              </w:rPr>
            </w:pPr>
            <w:r>
              <w:rPr>
                <w:rFonts w:hint="eastAsia" w:hAnsi="宋体"/>
                <w:sz w:val="21"/>
                <w:szCs w:val="21"/>
              </w:rPr>
              <w:t>（3）订单日铜价B在基准铜价A的基础上上涨超过5000元/吨时,电缆结算单价按照上涨5000元/吨原则进行调整，电缆结算单价D计算公式如下：</w:t>
            </w:r>
          </w:p>
          <w:p>
            <w:pPr>
              <w:pStyle w:val="149"/>
              <w:spacing w:line="400" w:lineRule="exact"/>
              <w:ind w:firstLine="420" w:firstLineChars="200"/>
              <w:rPr>
                <w:rFonts w:hint="eastAsia" w:hAnsi="宋体"/>
                <w:sz w:val="21"/>
                <w:szCs w:val="21"/>
              </w:rPr>
            </w:pPr>
            <w:r>
              <w:rPr>
                <w:rFonts w:hint="eastAsia" w:hAnsi="宋体"/>
                <w:sz w:val="21"/>
                <w:szCs w:val="21"/>
              </w:rPr>
              <w:t>电缆结算单价D=电缆基准单价C*(1+E%)，电缆结算单价均按四舍五入保留两位小数。</w:t>
            </w:r>
          </w:p>
          <w:p>
            <w:pPr>
              <w:pStyle w:val="149"/>
              <w:spacing w:line="400" w:lineRule="exact"/>
              <w:ind w:firstLine="420" w:firstLineChars="200"/>
              <w:rPr>
                <w:rFonts w:hint="eastAsia" w:hAnsi="宋体"/>
                <w:sz w:val="21"/>
                <w:szCs w:val="21"/>
              </w:rPr>
            </w:pPr>
            <w:r>
              <w:rPr>
                <w:rFonts w:hint="eastAsia" w:hAnsi="宋体"/>
                <w:sz w:val="21"/>
                <w:szCs w:val="21"/>
              </w:rPr>
              <w:t>举例：如基准铜价A为70000元/吨，订单日铜价B为80000元/吨时，下浮率E%为1.1%，则电缆结算单价D=C（1+1.1%）=1.011C</w:t>
            </w:r>
          </w:p>
          <w:p>
            <w:pPr>
              <w:pStyle w:val="149"/>
              <w:spacing w:line="400" w:lineRule="exact"/>
              <w:ind w:firstLine="420" w:firstLineChars="200"/>
              <w:rPr>
                <w:rFonts w:hint="eastAsia" w:hAnsi="宋体"/>
                <w:sz w:val="21"/>
                <w:szCs w:val="21"/>
              </w:rPr>
            </w:pPr>
            <w:r>
              <w:rPr>
                <w:rFonts w:hint="eastAsia" w:hAnsi="宋体"/>
                <w:sz w:val="21"/>
                <w:szCs w:val="21"/>
              </w:rPr>
              <w:t>1.2.2铜价下跌时，电缆单价调整原则：</w:t>
            </w:r>
          </w:p>
          <w:p>
            <w:pPr>
              <w:pStyle w:val="149"/>
              <w:spacing w:line="400" w:lineRule="exact"/>
              <w:ind w:firstLine="420" w:firstLineChars="200"/>
              <w:rPr>
                <w:rFonts w:hint="eastAsia" w:hAnsi="宋体"/>
                <w:sz w:val="21"/>
                <w:szCs w:val="21"/>
              </w:rPr>
            </w:pPr>
            <w:r>
              <w:rPr>
                <w:rFonts w:hint="eastAsia" w:hAnsi="宋体"/>
                <w:sz w:val="21"/>
                <w:szCs w:val="21"/>
              </w:rPr>
              <w:t>（1）订单日铜价B在基准铜价A的基础上下跌1500元/吨以内（含1500元/吨），电缆结算单价按电缆基准单价C执行，不作调整；</w:t>
            </w:r>
          </w:p>
          <w:p>
            <w:pPr>
              <w:pStyle w:val="149"/>
              <w:spacing w:line="400" w:lineRule="exact"/>
              <w:ind w:firstLine="420" w:firstLineChars="200"/>
              <w:rPr>
                <w:rFonts w:hint="eastAsia" w:hAnsi="宋体"/>
                <w:sz w:val="21"/>
                <w:szCs w:val="21"/>
              </w:rPr>
            </w:pPr>
            <w:r>
              <w:rPr>
                <w:rFonts w:hint="eastAsia" w:hAnsi="宋体"/>
                <w:sz w:val="21"/>
                <w:szCs w:val="21"/>
              </w:rPr>
              <w:t>（2）订单日铜价B低于（A-1500）元/吨时，按订单日铜价B在（A-1500）元的基础上每下跌1000元（不足1000元的按比例计算），相应电缆结算单价D下调E%，以此类推。电缆结算单价D计算公式如下：</w:t>
            </w:r>
          </w:p>
          <w:p>
            <w:pPr>
              <w:pStyle w:val="149"/>
              <w:spacing w:line="400" w:lineRule="exact"/>
              <w:ind w:firstLine="420" w:firstLineChars="200"/>
              <w:rPr>
                <w:rFonts w:hint="eastAsia" w:hAnsi="宋体"/>
                <w:sz w:val="21"/>
                <w:szCs w:val="21"/>
              </w:rPr>
            </w:pPr>
            <w:r>
              <w:rPr>
                <w:rFonts w:hint="eastAsia" w:hAnsi="宋体"/>
                <w:sz w:val="21"/>
                <w:szCs w:val="21"/>
              </w:rPr>
              <w:t>电缆结算单价D=C*(1-（(A-1500)-B)/1000*E%)，电缆结算单价均按四舍五入保留两位小数。</w:t>
            </w:r>
          </w:p>
          <w:p>
            <w:pPr>
              <w:pStyle w:val="149"/>
              <w:spacing w:line="400" w:lineRule="exact"/>
              <w:ind w:firstLine="420" w:firstLineChars="200"/>
              <w:rPr>
                <w:rFonts w:hint="eastAsia" w:hAnsi="宋体"/>
                <w:sz w:val="21"/>
                <w:szCs w:val="21"/>
              </w:rPr>
            </w:pPr>
            <w:r>
              <w:rPr>
                <w:rFonts w:hint="eastAsia" w:hAnsi="宋体"/>
                <w:sz w:val="21"/>
                <w:szCs w:val="21"/>
              </w:rPr>
              <w:t>举例：如基准铜价A为70000元/吨，订单日铜价B为65500元/吨，下浮率E%为1.1%，则电缆结算单价D=C*(1-（(70000-1500)-65500)/1000*1.1%)=0.967C。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int="default" w:hAnsi="宋体" w:eastAsia="宋体"/>
                <w:color w:val="auto"/>
                <w:kern w:val="2"/>
                <w:sz w:val="21"/>
                <w:szCs w:val="21"/>
                <w:lang w:val="en-US" w:eastAsia="zh-CN"/>
              </w:rPr>
            </w:pPr>
            <w:r>
              <w:rPr>
                <w:rFonts w:hint="eastAsia" w:hAnsi="宋体"/>
                <w:color w:val="auto"/>
                <w:kern w:val="2"/>
                <w:sz w:val="21"/>
                <w:szCs w:val="21"/>
                <w:lang w:val="en-US" w:eastAsia="zh-CN"/>
              </w:rPr>
              <w:t>22.3</w:t>
            </w:r>
          </w:p>
        </w:tc>
        <w:tc>
          <w:tcPr>
            <w:tcW w:w="9210" w:type="dxa"/>
            <w:gridSpan w:val="2"/>
            <w:vAlign w:val="center"/>
          </w:tcPr>
          <w:p>
            <w:pPr>
              <w:pStyle w:val="149"/>
              <w:spacing w:line="400" w:lineRule="exact"/>
              <w:ind w:firstLine="420" w:firstLineChars="200"/>
              <w:rPr>
                <w:rFonts w:hint="eastAsia" w:hAnsi="宋体"/>
                <w:sz w:val="21"/>
                <w:szCs w:val="21"/>
              </w:rPr>
            </w:pPr>
            <w:r>
              <w:rPr>
                <w:rFonts w:hint="eastAsia" w:hAnsi="宋体"/>
                <w:sz w:val="21"/>
                <w:szCs w:val="21"/>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w:t>
            </w:r>
          </w:p>
          <w:p>
            <w:pPr>
              <w:pStyle w:val="149"/>
              <w:spacing w:line="400" w:lineRule="exact"/>
              <w:ind w:firstLine="420" w:firstLineChars="200"/>
              <w:rPr>
                <w:rFonts w:hint="eastAsia" w:hAnsi="宋体"/>
                <w:sz w:val="21"/>
                <w:szCs w:val="21"/>
              </w:rPr>
            </w:pPr>
            <w:r>
              <w:rPr>
                <w:rFonts w:hint="eastAsia" w:hAnsi="宋体"/>
                <w:sz w:val="21"/>
                <w:szCs w:val="21"/>
              </w:rPr>
              <w:t>2、中标人提供低价风险担保的形式、金额及期限：</w:t>
            </w:r>
          </w:p>
          <w:p>
            <w:pPr>
              <w:pStyle w:val="149"/>
              <w:spacing w:line="400" w:lineRule="exact"/>
              <w:ind w:firstLine="420" w:firstLineChars="200"/>
              <w:rPr>
                <w:rFonts w:hint="eastAsia" w:hAnsi="宋体"/>
                <w:sz w:val="21"/>
                <w:szCs w:val="21"/>
              </w:rPr>
            </w:pPr>
            <w:r>
              <w:rPr>
                <w:rFonts w:hint="eastAsia" w:hAnsi="宋体"/>
                <w:sz w:val="21"/>
                <w:szCs w:val="21"/>
              </w:rPr>
              <w:t>（1）低价风险担保的形式：现金或银行保函；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p>
          <w:p>
            <w:pPr>
              <w:pStyle w:val="149"/>
              <w:spacing w:line="400" w:lineRule="exact"/>
              <w:ind w:firstLine="420" w:firstLineChars="200"/>
              <w:rPr>
                <w:rFonts w:hint="eastAsia" w:hAnsi="宋体"/>
                <w:sz w:val="21"/>
                <w:szCs w:val="21"/>
              </w:rPr>
            </w:pPr>
            <w:r>
              <w:rPr>
                <w:rFonts w:hint="eastAsia" w:hAnsi="宋体"/>
                <w:sz w:val="21"/>
                <w:szCs w:val="21"/>
              </w:rPr>
              <w:t>（2）低价风险担保的金额：（最高限价×85%-中标价）×3，且最高不超过最高限价的85%。</w:t>
            </w:r>
          </w:p>
          <w:p>
            <w:pPr>
              <w:pStyle w:val="149"/>
              <w:spacing w:line="400" w:lineRule="exact"/>
              <w:ind w:firstLine="420" w:firstLineChars="200"/>
              <w:rPr>
                <w:rFonts w:hint="eastAsia" w:hAnsi="宋体"/>
                <w:sz w:val="21"/>
                <w:szCs w:val="21"/>
              </w:rPr>
            </w:pPr>
            <w:r>
              <w:rPr>
                <w:rFonts w:hint="eastAsia" w:hAnsi="宋体"/>
                <w:sz w:val="21"/>
                <w:szCs w:val="21"/>
              </w:rPr>
              <w:t>（3）低价风险担保送达招标人的时间：双方合同签订前；</w:t>
            </w:r>
          </w:p>
          <w:p>
            <w:pPr>
              <w:pStyle w:val="149"/>
              <w:spacing w:line="400" w:lineRule="exact"/>
              <w:ind w:firstLine="420" w:firstLineChars="200"/>
              <w:rPr>
                <w:rFonts w:hint="eastAsia" w:hAnsi="宋体"/>
                <w:sz w:val="21"/>
                <w:szCs w:val="21"/>
              </w:rPr>
            </w:pPr>
            <w:r>
              <w:rPr>
                <w:rFonts w:hint="eastAsia" w:hAnsi="宋体"/>
                <w:sz w:val="21"/>
                <w:szCs w:val="21"/>
              </w:rPr>
              <w:t>（4）中标人因自身原因未按中标通知书规定的时限与招标人签订合同的，招标人有权扣除其低价风险担保并取消中标资格。</w:t>
            </w:r>
          </w:p>
          <w:p>
            <w:pPr>
              <w:pStyle w:val="149"/>
              <w:spacing w:line="400" w:lineRule="exact"/>
              <w:ind w:firstLine="420" w:firstLineChars="200"/>
              <w:rPr>
                <w:rFonts w:hint="eastAsia" w:hAnsi="宋体"/>
                <w:sz w:val="21"/>
                <w:szCs w:val="21"/>
              </w:rPr>
            </w:pPr>
            <w:r>
              <w:rPr>
                <w:rFonts w:hint="eastAsia" w:hAnsi="宋体"/>
                <w:sz w:val="21"/>
                <w:szCs w:val="21"/>
              </w:rPr>
              <w:t>（5）低价风险担保的期限：自低价风险担保生效之日起至招标人验收合格之日止。</w:t>
            </w:r>
          </w:p>
          <w:p>
            <w:pPr>
              <w:pStyle w:val="149"/>
              <w:spacing w:line="400" w:lineRule="exact"/>
              <w:ind w:firstLine="420" w:firstLineChars="200"/>
              <w:rPr>
                <w:rFonts w:hint="eastAsia" w:hAnsi="宋体"/>
                <w:sz w:val="21"/>
                <w:szCs w:val="21"/>
              </w:rPr>
            </w:pPr>
            <w:r>
              <w:rPr>
                <w:rFonts w:hint="eastAsia" w:hAnsi="宋体"/>
                <w:sz w:val="21"/>
                <w:szCs w:val="21"/>
              </w:rPr>
              <w:t>3、低价风险担保的退还时间：采用现金担保的，招标人交工验收通过后14个工作日内退还，合同履行期间允许承包人用符合要求的银行保函进行置换；采用银行保函的，招标人交工验收通过后28个工作日内退还。</w:t>
            </w:r>
          </w:p>
          <w:p>
            <w:pPr>
              <w:pStyle w:val="149"/>
              <w:spacing w:line="400" w:lineRule="exact"/>
              <w:ind w:firstLine="420" w:firstLineChars="200"/>
              <w:rPr>
                <w:rFonts w:hint="eastAsia" w:hAnsi="宋体"/>
                <w:sz w:val="21"/>
                <w:szCs w:val="21"/>
              </w:rPr>
            </w:pPr>
            <w:r>
              <w:rPr>
                <w:rFonts w:hint="eastAsia" w:hAnsi="宋体"/>
                <w:sz w:val="21"/>
                <w:szCs w:val="21"/>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pStyle w:val="149"/>
              <w:spacing w:line="400" w:lineRule="exact"/>
              <w:ind w:firstLine="420" w:firstLineChars="200"/>
              <w:rPr>
                <w:rFonts w:hint="eastAsia" w:hAnsi="宋体"/>
                <w:sz w:val="21"/>
                <w:szCs w:val="21"/>
              </w:rPr>
            </w:pPr>
            <w:r>
              <w:rPr>
                <w:rFonts w:hint="eastAsia" w:hAnsi="宋体"/>
                <w:sz w:val="21"/>
                <w:szCs w:val="21"/>
              </w:rPr>
              <w:t>备注：当中标人或拟中标人未按时提交低价风险担保，且属于可以延长低价风险担保提交期限的特殊情形时，经招标人同意，可适当延长低价风险担保的提交期限。</w:t>
            </w:r>
          </w:p>
          <w:p>
            <w:pPr>
              <w:pStyle w:val="149"/>
              <w:spacing w:line="400" w:lineRule="exact"/>
              <w:ind w:firstLine="420" w:firstLineChars="200"/>
              <w:rPr>
                <w:rFonts w:hint="eastAsia" w:hAnsi="宋体"/>
                <w:sz w:val="21"/>
                <w:szCs w:val="21"/>
              </w:rPr>
            </w:pPr>
            <w:r>
              <w:rPr>
                <w:rFonts w:hint="eastAsia" w:hAnsi="宋体"/>
                <w:sz w:val="21"/>
                <w:szCs w:val="21"/>
              </w:rPr>
              <w:t>5、投标总报价低于最高限价85%的，投标人应在编制投标文件时，在投标文件中递交低价风险担保提交承诺书。</w:t>
            </w:r>
            <w:r>
              <w:rPr>
                <w:rFonts w:hint="eastAsia" w:hAnsi="宋体"/>
                <w:sz w:val="21"/>
                <w:szCs w:val="21"/>
                <w:highlight w:val="none"/>
              </w:rPr>
              <w:t>承诺书格式详见第</w:t>
            </w:r>
            <w:r>
              <w:rPr>
                <w:rFonts w:hint="default" w:hAnsi="宋体"/>
                <w:sz w:val="21"/>
                <w:szCs w:val="21"/>
                <w:highlight w:val="none"/>
              </w:rPr>
              <w:t>八</w:t>
            </w:r>
            <w:r>
              <w:rPr>
                <w:rFonts w:hint="eastAsia" w:hAnsi="宋体"/>
                <w:sz w:val="21"/>
                <w:szCs w:val="21"/>
                <w:highlight w:val="none"/>
              </w:rPr>
              <w:t>章投标文件格式。</w:t>
            </w:r>
          </w:p>
        </w:tc>
      </w:tr>
      <w:bookmarkEnd w:id="101"/>
    </w:tbl>
    <w:p>
      <w:pPr>
        <w:spacing w:line="360" w:lineRule="auto"/>
        <w:jc w:val="center"/>
        <w:rPr>
          <w:rFonts w:ascii="宋体" w:hAnsi="宋体" w:cs="宋体"/>
          <w:b/>
          <w:sz w:val="28"/>
          <w:szCs w:val="28"/>
        </w:rPr>
        <w:sectPr>
          <w:footerReference r:id="rId7" w:type="default"/>
          <w:pgSz w:w="11906" w:h="16838"/>
          <w:pgMar w:top="1418" w:right="1134" w:bottom="1418" w:left="1134" w:header="851" w:footer="992" w:gutter="0"/>
          <w:pgNumType w:start="1"/>
          <w:cols w:space="720" w:num="1"/>
          <w:docGrid w:type="lines" w:linePitch="312" w:charSpace="0"/>
        </w:sectPr>
      </w:pPr>
    </w:p>
    <w:p>
      <w:pPr>
        <w:pStyle w:val="5"/>
        <w:jc w:val="center"/>
        <w:rPr>
          <w:rFonts w:ascii="宋体" w:hAnsi="宋体" w:eastAsia="宋体" w:cs="宋体"/>
          <w:sz w:val="30"/>
          <w:szCs w:val="30"/>
          <w:highlight w:val="none"/>
        </w:rPr>
      </w:pPr>
      <w:bookmarkStart w:id="103" w:name="_Toc11329222"/>
      <w:bookmarkStart w:id="104" w:name="_Toc17532"/>
      <w:bookmarkStart w:id="105" w:name="_Toc11284"/>
      <w:bookmarkStart w:id="106" w:name="_Toc30198"/>
      <w:bookmarkStart w:id="107" w:name="_Toc17399"/>
      <w:r>
        <w:rPr>
          <w:rFonts w:hint="eastAsia" w:ascii="宋体" w:hAnsi="宋体" w:eastAsia="宋体" w:cs="宋体"/>
          <w:sz w:val="28"/>
          <w:szCs w:val="28"/>
          <w:highlight w:val="none"/>
        </w:rPr>
        <w:t>附录1  资格审查条件（资质最低要求）</w:t>
      </w:r>
      <w:bookmarkEnd w:id="103"/>
      <w:bookmarkEnd w:id="104"/>
      <w:bookmarkEnd w:id="105"/>
      <w:bookmarkEnd w:id="106"/>
      <w:bookmarkEnd w:id="107"/>
    </w:p>
    <w:tbl>
      <w:tblPr>
        <w:tblStyle w:val="4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108"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企业资质要求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108" w:type="dxa"/>
          </w:tcPr>
          <w:p>
            <w:pPr>
              <w:tabs>
                <w:tab w:val="left" w:pos="1035"/>
              </w:tabs>
              <w:spacing w:line="240" w:lineRule="auto"/>
              <w:ind w:firstLine="420" w:firstLineChars="200"/>
              <w:jc w:val="left"/>
              <w:rPr>
                <w:rFonts w:hint="eastAsia"/>
                <w:lang w:val="en-US" w:eastAsia="zh-CN"/>
              </w:rPr>
            </w:pPr>
            <w:r>
              <w:rPr>
                <w:rFonts w:hint="eastAsia"/>
                <w:lang w:val="en-US" w:eastAsia="zh-CN"/>
              </w:rPr>
              <w:t>1、具有独立法人资格；</w:t>
            </w:r>
          </w:p>
          <w:p>
            <w:pPr>
              <w:tabs>
                <w:tab w:val="left" w:pos="1035"/>
              </w:tabs>
              <w:spacing w:line="240" w:lineRule="auto"/>
              <w:ind w:firstLine="420" w:firstLineChars="200"/>
              <w:jc w:val="left"/>
              <w:rPr>
                <w:rFonts w:hint="eastAsia"/>
                <w:lang w:val="en-US" w:eastAsia="zh-CN"/>
              </w:rPr>
            </w:pPr>
            <w:r>
              <w:rPr>
                <w:rFonts w:hint="eastAsia"/>
                <w:lang w:val="en-US" w:eastAsia="zh-CN"/>
              </w:rPr>
              <w:t>2、具有有效的营业执照；</w:t>
            </w:r>
          </w:p>
          <w:p>
            <w:pPr>
              <w:tabs>
                <w:tab w:val="left" w:pos="1035"/>
              </w:tabs>
              <w:spacing w:line="240" w:lineRule="auto"/>
              <w:ind w:firstLine="420" w:firstLineChars="200"/>
              <w:jc w:val="left"/>
              <w:rPr>
                <w:rFonts w:hint="eastAsia"/>
                <w:lang w:val="en-US" w:eastAsia="zh-CN"/>
              </w:rPr>
            </w:pPr>
            <w:r>
              <w:rPr>
                <w:rFonts w:hint="eastAsia"/>
                <w:lang w:val="en-US" w:eastAsia="zh-CN"/>
              </w:rPr>
              <w:t>3、须为电线电缆制造商或代理商（如果为代理商则需提供制造商的项目授权书，且一个制造商对同一品牌同一型号的货物，仅能委托1个代理商参加投标）；</w:t>
            </w:r>
          </w:p>
          <w:p>
            <w:pPr>
              <w:tabs>
                <w:tab w:val="left" w:pos="1035"/>
              </w:tabs>
              <w:spacing w:line="240" w:lineRule="auto"/>
              <w:ind w:firstLine="420" w:firstLineChars="200"/>
              <w:jc w:val="left"/>
              <w:rPr>
                <w:rFonts w:hint="default"/>
                <w:lang w:val="en-US" w:eastAsia="zh-CN"/>
              </w:rPr>
            </w:pPr>
            <w:r>
              <w:rPr>
                <w:rFonts w:hint="eastAsia"/>
                <w:lang w:val="en-US" w:eastAsia="zh-CN"/>
              </w:rPr>
              <w:t>4、</w:t>
            </w:r>
            <w:r>
              <w:rPr>
                <w:rFonts w:hint="default"/>
                <w:lang w:val="en-US" w:eastAsia="zh-CN"/>
              </w:rPr>
              <w:t>投标产品须提供国家认可的检测机构出具有效的型式试验报告；</w:t>
            </w:r>
          </w:p>
        </w:tc>
      </w:tr>
    </w:tbl>
    <w:p>
      <w:pPr>
        <w:spacing w:line="440" w:lineRule="exact"/>
        <w:ind w:firstLine="420" w:firstLineChars="200"/>
        <w:rPr>
          <w:rFonts w:ascii="宋体" w:hAnsi="宋体" w:cs="宋体"/>
          <w:b/>
          <w:sz w:val="28"/>
          <w:szCs w:val="28"/>
          <w:highlight w:val="none"/>
        </w:rPr>
      </w:pPr>
      <w:r>
        <w:rPr>
          <w:rFonts w:hint="eastAsia" w:ascii="宋体" w:hAnsi="宋体" w:cs="宋体"/>
          <w:highlight w:val="none"/>
        </w:rPr>
        <w:t>注：须提供报价人营业执照、</w:t>
      </w:r>
      <w:r>
        <w:rPr>
          <w:rFonts w:hint="eastAsia" w:ascii="宋体" w:hAnsi="宋体" w:cs="宋体"/>
          <w:highlight w:val="none"/>
          <w:lang w:val="en-US" w:eastAsia="zh-CN"/>
        </w:rPr>
        <w:t>授权书、</w:t>
      </w:r>
      <w:r>
        <w:rPr>
          <w:rFonts w:hint="eastAsia" w:ascii="宋体" w:hAnsi="宋体" w:cs="宋体"/>
          <w:highlight w:val="none"/>
        </w:rPr>
        <w:t>资质证书等复印件</w:t>
      </w:r>
      <w:r>
        <w:rPr>
          <w:rFonts w:hint="eastAsia" w:ascii="宋体" w:hAnsi="宋体" w:cs="宋体"/>
          <w:highlight w:val="none"/>
          <w:lang w:val="en-US" w:eastAsia="zh-CN"/>
        </w:rPr>
        <w:t>,</w:t>
      </w:r>
      <w:r>
        <w:rPr>
          <w:rFonts w:hint="eastAsia" w:ascii="宋体" w:hAnsi="宋体" w:cs="宋体"/>
          <w:highlight w:val="none"/>
        </w:rPr>
        <w:t>并加盖单位鲜公章。</w:t>
      </w:r>
    </w:p>
    <w:p>
      <w:pPr>
        <w:pStyle w:val="5"/>
        <w:jc w:val="center"/>
        <w:rPr>
          <w:rFonts w:ascii="宋体" w:hAnsi="宋体" w:eastAsia="宋体" w:cs="宋体"/>
          <w:bCs w:val="0"/>
          <w:highlight w:val="none"/>
        </w:rPr>
      </w:pPr>
      <w:bookmarkStart w:id="108" w:name="_Toc17235"/>
      <w:bookmarkStart w:id="109" w:name="_Toc30363"/>
      <w:bookmarkStart w:id="110" w:name="_Toc1778"/>
      <w:bookmarkStart w:id="111" w:name="_Toc11329223"/>
      <w:bookmarkStart w:id="112" w:name="_Toc30995"/>
      <w:r>
        <w:rPr>
          <w:rFonts w:hint="eastAsia" w:ascii="宋体" w:hAnsi="宋体" w:eastAsia="宋体" w:cs="宋体"/>
          <w:bCs w:val="0"/>
          <w:sz w:val="28"/>
          <w:szCs w:val="28"/>
          <w:highlight w:val="none"/>
        </w:rPr>
        <w:t>附录2  资格审查条件（财务最低要求）</w:t>
      </w:r>
      <w:bookmarkEnd w:id="108"/>
      <w:bookmarkEnd w:id="109"/>
      <w:bookmarkEnd w:id="110"/>
      <w:bookmarkEnd w:id="111"/>
      <w:bookmarkEnd w:id="112"/>
    </w:p>
    <w:tbl>
      <w:tblPr>
        <w:tblStyle w:val="4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484"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484" w:type="dxa"/>
          </w:tcPr>
          <w:p>
            <w:pPr>
              <w:spacing w:line="400" w:lineRule="exact"/>
              <w:ind w:firstLine="420" w:firstLineChars="200"/>
              <w:rPr>
                <w:highlight w:val="none"/>
              </w:rPr>
            </w:pPr>
            <w:r>
              <w:rPr>
                <w:rFonts w:hint="eastAsia"/>
                <w:highlight w:val="none"/>
              </w:rPr>
              <w:t>2020年1月1日至今至少两年度财务状况不亏损。提供经会计师事务所或审计机构出具的合法有效的财务审计报告及财务报表，财务报表至少包括现金流量表、资产负债表、利润表。</w:t>
            </w:r>
          </w:p>
        </w:tc>
      </w:tr>
    </w:tbl>
    <w:p>
      <w:pPr>
        <w:pStyle w:val="5"/>
        <w:ind w:firstLine="420" w:firstLineChars="200"/>
        <w:jc w:val="both"/>
        <w:rPr>
          <w:rFonts w:hint="eastAsia" w:ascii="宋体" w:hAnsi="宋体" w:eastAsia="宋体" w:cs="宋体"/>
          <w:b w:val="0"/>
          <w:bCs w:val="0"/>
          <w:kern w:val="2"/>
          <w:sz w:val="21"/>
          <w:szCs w:val="24"/>
          <w:highlight w:val="none"/>
          <w:lang w:val="en-US" w:eastAsia="zh-CN" w:bidi="ar-SA"/>
        </w:rPr>
      </w:pPr>
      <w:bookmarkStart w:id="113" w:name="_Toc16638"/>
      <w:bookmarkStart w:id="114" w:name="_Toc6263"/>
      <w:bookmarkStart w:id="115" w:name="_Toc28315"/>
      <w:bookmarkStart w:id="116" w:name="_Toc19507"/>
      <w:bookmarkStart w:id="117" w:name="_Toc11329224"/>
      <w:r>
        <w:rPr>
          <w:rFonts w:hint="eastAsia" w:ascii="宋体" w:hAnsi="宋体" w:eastAsia="宋体" w:cs="宋体"/>
          <w:b w:val="0"/>
          <w:bCs w:val="0"/>
          <w:kern w:val="2"/>
          <w:sz w:val="21"/>
          <w:szCs w:val="24"/>
          <w:highlight w:val="none"/>
          <w:lang w:val="en-US" w:eastAsia="zh-CN" w:bidi="ar-SA"/>
        </w:rPr>
        <w:t>注：须按要求提供相应资料,并加盖单位鲜公章。</w:t>
      </w:r>
    </w:p>
    <w:p>
      <w:pPr>
        <w:pStyle w:val="5"/>
        <w:jc w:val="center"/>
        <w:rPr>
          <w:rFonts w:ascii="宋体" w:hAnsi="宋体" w:eastAsia="宋体" w:cs="宋体"/>
          <w:bCs w:val="0"/>
          <w:sz w:val="28"/>
          <w:szCs w:val="28"/>
          <w:highlight w:val="none"/>
        </w:rPr>
      </w:pPr>
      <w:r>
        <w:rPr>
          <w:rFonts w:hint="eastAsia" w:ascii="宋体" w:hAnsi="宋体" w:eastAsia="宋体" w:cs="宋体"/>
          <w:bCs w:val="0"/>
          <w:sz w:val="28"/>
          <w:szCs w:val="28"/>
          <w:highlight w:val="none"/>
        </w:rPr>
        <w:t>附录3  资格审查条件（业绩最低要求）</w:t>
      </w:r>
      <w:bookmarkEnd w:id="113"/>
      <w:bookmarkEnd w:id="114"/>
      <w:bookmarkEnd w:id="115"/>
      <w:bookmarkEnd w:id="116"/>
      <w:bookmarkEnd w:id="117"/>
    </w:p>
    <w:tbl>
      <w:tblPr>
        <w:tblStyle w:val="4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2" w:type="dxa"/>
          </w:tcPr>
          <w:p>
            <w:pPr>
              <w:spacing w:line="400" w:lineRule="exact"/>
              <w:ind w:firstLine="420" w:firstLineChars="200"/>
              <w:rPr>
                <w:rFonts w:hint="default"/>
                <w:highlight w:val="none"/>
                <w:lang w:val="en-US"/>
              </w:rPr>
            </w:pPr>
            <w:r>
              <w:rPr>
                <w:rFonts w:hint="eastAsia" w:ascii="Calibri" w:hAnsi="Calibri" w:eastAsia="宋体" w:cs="Times New Roman"/>
                <w:b w:val="0"/>
                <w:bCs w:val="0"/>
                <w:caps/>
                <w:kern w:val="2"/>
                <w:sz w:val="21"/>
                <w:szCs w:val="21"/>
                <w:highlight w:val="none"/>
                <w:lang w:val="en-US" w:eastAsia="zh-CN" w:bidi="ar-SA"/>
              </w:rPr>
              <w:t>2020年1月1日至报价截止日期（以合同签订时间为准）至少承担一项180万及以上电线电缆供货合同业绩（提供合同扫描件）。</w:t>
            </w:r>
          </w:p>
        </w:tc>
      </w:tr>
    </w:tbl>
    <w:p>
      <w:pPr>
        <w:pStyle w:val="5"/>
        <w:ind w:firstLine="420" w:firstLineChars="200"/>
        <w:jc w:val="both"/>
        <w:rPr>
          <w:rFonts w:hint="eastAsia" w:ascii="宋体" w:hAnsi="宋体" w:eastAsia="宋体" w:cs="宋体"/>
          <w:b w:val="0"/>
          <w:bCs w:val="0"/>
          <w:kern w:val="2"/>
          <w:sz w:val="21"/>
          <w:szCs w:val="24"/>
          <w:highlight w:val="none"/>
          <w:lang w:val="en-US" w:eastAsia="zh-CN" w:bidi="ar-SA"/>
        </w:rPr>
      </w:pPr>
      <w:bookmarkStart w:id="118" w:name="_Toc11329225"/>
      <w:r>
        <w:rPr>
          <w:rFonts w:hint="eastAsia" w:ascii="宋体" w:hAnsi="宋体" w:eastAsia="宋体" w:cs="宋体"/>
          <w:b w:val="0"/>
          <w:bCs w:val="0"/>
          <w:kern w:val="2"/>
          <w:sz w:val="21"/>
          <w:szCs w:val="24"/>
          <w:highlight w:val="none"/>
          <w:lang w:val="en-US" w:eastAsia="zh-CN" w:bidi="ar-SA"/>
        </w:rPr>
        <w:t>注：须提供合同复印件,合同内容至少应包括货物名称、品牌、数量、合同签订日期、合同签订方名称、总金额等内容。合同中涉及商业机密的部分可隐去</w:t>
      </w:r>
      <w:r>
        <w:rPr>
          <w:rFonts w:hint="eastAsia" w:ascii="Times New Roman" w:hAnsi="宋体"/>
          <w:sz w:val="21"/>
          <w:szCs w:val="21"/>
          <w:highlight w:val="none"/>
        </w:rPr>
        <w:t>,</w:t>
      </w:r>
      <w:r>
        <w:rPr>
          <w:rFonts w:hint="eastAsia" w:ascii="宋体" w:hAnsi="宋体" w:eastAsia="宋体" w:cs="宋体"/>
          <w:b w:val="0"/>
          <w:bCs w:val="0"/>
          <w:kern w:val="2"/>
          <w:sz w:val="21"/>
          <w:szCs w:val="24"/>
          <w:highlight w:val="none"/>
          <w:lang w:val="en-US" w:eastAsia="zh-CN" w:bidi="ar-SA"/>
        </w:rPr>
        <w:t>并加盖单位鲜公章。</w:t>
      </w:r>
    </w:p>
    <w:p>
      <w:pPr>
        <w:pStyle w:val="5"/>
        <w:jc w:val="center"/>
        <w:rPr>
          <w:rFonts w:ascii="宋体" w:hAnsi="宋体" w:cs="宋体"/>
          <w:b w:val="0"/>
          <w:sz w:val="28"/>
          <w:szCs w:val="28"/>
          <w:highlight w:val="none"/>
        </w:rPr>
      </w:pPr>
      <w:bookmarkStart w:id="119" w:name="_Toc12296"/>
      <w:bookmarkStart w:id="120" w:name="_Toc26749"/>
      <w:bookmarkStart w:id="121" w:name="_Toc10083"/>
      <w:bookmarkStart w:id="122" w:name="_Toc2830"/>
      <w:r>
        <w:rPr>
          <w:rFonts w:hint="eastAsia" w:ascii="宋体" w:hAnsi="宋体" w:eastAsia="宋体" w:cs="宋体"/>
          <w:bCs w:val="0"/>
          <w:sz w:val="28"/>
          <w:szCs w:val="28"/>
          <w:highlight w:val="none"/>
        </w:rPr>
        <w:t>附录4 资格审查条件（信誉最低要求）</w:t>
      </w:r>
      <w:bookmarkEnd w:id="118"/>
      <w:bookmarkEnd w:id="119"/>
      <w:bookmarkEnd w:id="120"/>
      <w:bookmarkEnd w:id="121"/>
      <w:bookmarkEnd w:id="122"/>
    </w:p>
    <w:tbl>
      <w:tblPr>
        <w:tblStyle w:val="43"/>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13" w:type="dxa"/>
          </w:tcPr>
          <w:p>
            <w:pPr>
              <w:spacing w:line="400" w:lineRule="exact"/>
              <w:jc w:val="center"/>
              <w:rPr>
                <w:rFonts w:ascii="宋体" w:hAnsi="宋体" w:cs="宋体"/>
                <w:szCs w:val="21"/>
                <w:highlight w:val="none"/>
              </w:rPr>
            </w:pPr>
            <w:r>
              <w:rPr>
                <w:rFonts w:hint="eastAsia" w:ascii="宋体" w:hAnsi="宋体" w:cs="宋体"/>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213" w:type="dxa"/>
          </w:tcPr>
          <w:p>
            <w:pPr>
              <w:spacing w:line="400" w:lineRule="exact"/>
              <w:ind w:firstLine="420" w:firstLineChars="200"/>
              <w:rPr>
                <w:rFonts w:ascii="宋体" w:hAnsi="宋体" w:cs="宋体"/>
                <w:szCs w:val="21"/>
                <w:highlight w:val="none"/>
                <w:shd w:val="clear" w:color="auto" w:fill="FFFFFF"/>
              </w:rPr>
            </w:pPr>
            <w:r>
              <w:rPr>
                <w:rFonts w:hint="eastAsia" w:ascii="宋体" w:hAnsi="宋体" w:cs="宋体"/>
                <w:szCs w:val="21"/>
                <w:highlight w:val="none"/>
              </w:rPr>
              <w:t>信誉良好：在国家企业信用信息公示系统（http://www.gsxt.gov.cn/）中未被列入严重违法失信企业名单（黑名单）信息；在“信用中国”网站（http://www.creditchina.gov.cn/）中未被列入失信惩戒执行人名单。</w:t>
            </w:r>
          </w:p>
        </w:tc>
      </w:tr>
    </w:tbl>
    <w:p>
      <w:pPr>
        <w:pStyle w:val="29"/>
        <w:ind w:firstLine="420" w:firstLineChars="200"/>
        <w:rPr>
          <w:rFonts w:hint="eastAsia" w:ascii="宋体" w:hAnsi="宋体" w:eastAsia="宋体" w:cs="宋体"/>
          <w:b w:val="0"/>
          <w:bCs w:val="0"/>
          <w:caps w:val="0"/>
          <w:kern w:val="2"/>
          <w:sz w:val="21"/>
          <w:szCs w:val="24"/>
          <w:highlight w:val="none"/>
          <w:lang w:val="en-US" w:eastAsia="zh-CN" w:bidi="ar-SA"/>
        </w:rPr>
      </w:pPr>
      <w:r>
        <w:rPr>
          <w:rFonts w:hint="eastAsia" w:ascii="宋体" w:hAnsi="宋体" w:eastAsia="宋体" w:cs="宋体"/>
          <w:b w:val="0"/>
          <w:bCs w:val="0"/>
          <w:caps w:val="0"/>
          <w:kern w:val="2"/>
          <w:sz w:val="21"/>
          <w:szCs w:val="24"/>
          <w:highlight w:val="none"/>
          <w:lang w:val="en-US" w:eastAsia="zh-CN" w:bidi="ar-SA"/>
        </w:rPr>
        <w:t>注：须提供信誉网站查询结果截图,并加盖单位鲜公章。</w:t>
      </w:r>
    </w:p>
    <w:p>
      <w:pPr>
        <w:pStyle w:val="5"/>
        <w:jc w:val="center"/>
        <w:rPr>
          <w:rFonts w:hint="eastAsia" w:ascii="宋体" w:hAnsi="宋体" w:eastAsia="宋体" w:cs="宋体"/>
          <w:bCs w:val="0"/>
          <w:sz w:val="28"/>
          <w:szCs w:val="28"/>
          <w:highlight w:val="none"/>
        </w:rPr>
      </w:pPr>
      <w:bookmarkStart w:id="123" w:name="_Toc27096"/>
      <w:bookmarkStart w:id="124" w:name="_Toc11329226"/>
      <w:bookmarkStart w:id="125" w:name="_Toc12773"/>
      <w:bookmarkStart w:id="126" w:name="_Toc25591"/>
      <w:bookmarkStart w:id="127" w:name="_Toc14083"/>
    </w:p>
    <w:p>
      <w:pPr>
        <w:pStyle w:val="5"/>
        <w:jc w:val="center"/>
        <w:rPr>
          <w:rFonts w:ascii="宋体" w:hAnsi="宋体" w:eastAsia="宋体" w:cs="宋体"/>
          <w:bCs w:val="0"/>
          <w:sz w:val="28"/>
          <w:szCs w:val="28"/>
          <w:highlight w:val="none"/>
        </w:rPr>
      </w:pPr>
      <w:r>
        <w:rPr>
          <w:rFonts w:hint="eastAsia" w:ascii="宋体" w:hAnsi="宋体" w:eastAsia="宋体" w:cs="宋体"/>
          <w:bCs w:val="0"/>
          <w:sz w:val="28"/>
          <w:szCs w:val="28"/>
          <w:highlight w:val="none"/>
        </w:rPr>
        <w:t>附录5 资格审查文件（项目主要管理人员最低要求）</w:t>
      </w:r>
      <w:bookmarkEnd w:id="123"/>
      <w:bookmarkEnd w:id="124"/>
      <w:bookmarkEnd w:id="125"/>
      <w:bookmarkEnd w:id="126"/>
      <w:bookmarkEnd w:id="127"/>
    </w:p>
    <w:p>
      <w:pPr>
        <w:spacing w:line="400" w:lineRule="exact"/>
        <w:jc w:val="center"/>
        <w:rPr>
          <w:highlight w:val="none"/>
        </w:rPr>
      </w:pPr>
      <w:r>
        <w:rPr>
          <w:rFonts w:hint="eastAsia" w:ascii="宋体" w:hAnsi="宋体" w:cs="宋体"/>
          <w:b/>
          <w:szCs w:val="21"/>
          <w:highlight w:val="none"/>
        </w:rPr>
        <w:t>主要管理人员最低要求</w:t>
      </w:r>
    </w:p>
    <w:tbl>
      <w:tblPr>
        <w:tblStyle w:val="43"/>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733"/>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highlight w:val="none"/>
              </w:rPr>
            </w:pPr>
            <w:bookmarkStart w:id="128" w:name="_Toc387234996"/>
            <w:bookmarkStart w:id="129" w:name="_Toc388534043"/>
            <w:r>
              <w:rPr>
                <w:rFonts w:hint="eastAsia" w:ascii="宋体" w:hAnsi="宋体" w:cs="宋体"/>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人  员</w:t>
            </w:r>
          </w:p>
        </w:tc>
        <w:tc>
          <w:tcPr>
            <w:tcW w:w="7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数量</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highlight w:val="none"/>
              </w:rPr>
            </w:pPr>
            <w:r>
              <w:rPr>
                <w:rFonts w:hint="eastAsia" w:ascii="宋体" w:hAnsi="宋体" w:cs="宋体"/>
                <w:szCs w:val="21"/>
                <w:highlight w:val="none"/>
                <w:lang w:eastAsia="zh-CN"/>
              </w:rPr>
              <w:t>项目</w:t>
            </w:r>
            <w:r>
              <w:rPr>
                <w:rFonts w:hint="eastAsia" w:ascii="宋体" w:hAnsi="宋体" w:cs="宋体"/>
                <w:szCs w:val="21"/>
                <w:highlight w:val="none"/>
              </w:rPr>
              <w:t>负责人</w:t>
            </w:r>
          </w:p>
        </w:tc>
        <w:tc>
          <w:tcPr>
            <w:tcW w:w="7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szCs w:val="21"/>
                <w:highlight w:val="none"/>
              </w:rPr>
            </w:pPr>
            <w:r>
              <w:rPr>
                <w:rFonts w:hint="eastAsia" w:ascii="宋体" w:hAnsi="宋体" w:cs="宋体"/>
                <w:szCs w:val="21"/>
                <w:highlight w:val="none"/>
              </w:rPr>
              <w:t>无</w:t>
            </w:r>
            <w:r>
              <w:rPr>
                <w:rFonts w:hint="eastAsia" w:ascii="宋体" w:hAnsi="宋体" w:cs="宋体"/>
                <w:szCs w:val="21"/>
                <w:highlight w:val="none"/>
                <w:lang w:val="en-US" w:eastAsia="zh-CN"/>
              </w:rPr>
              <w:t>要求</w:t>
            </w:r>
            <w:r>
              <w:rPr>
                <w:rFonts w:hint="eastAsia" w:ascii="宋体" w:hAnsi="宋体" w:cs="宋体"/>
                <w:szCs w:val="21"/>
                <w:highlight w:val="none"/>
              </w:rPr>
              <w:t xml:space="preserve">。 </w:t>
            </w:r>
          </w:p>
        </w:tc>
      </w:tr>
    </w:tbl>
    <w:p>
      <w:pPr>
        <w:spacing w:line="400" w:lineRule="exact"/>
        <w:ind w:firstLine="420" w:firstLineChars="200"/>
        <w:jc w:val="left"/>
        <w:rPr>
          <w:rFonts w:ascii="宋体" w:hAnsi="宋体" w:cs="宋体"/>
          <w:szCs w:val="21"/>
          <w:highlight w:val="none"/>
        </w:rPr>
      </w:pPr>
    </w:p>
    <w:p>
      <w:pPr>
        <w:pStyle w:val="29"/>
        <w:rPr>
          <w:highlight w:val="none"/>
        </w:rPr>
      </w:pPr>
    </w:p>
    <w:p>
      <w:pPr>
        <w:outlineLvl w:val="1"/>
        <w:rPr>
          <w:rFonts w:ascii="宋体" w:hAnsi="宋体" w:cs="宋体"/>
          <w:b/>
          <w:sz w:val="28"/>
          <w:szCs w:val="28"/>
          <w:highlight w:val="none"/>
        </w:rPr>
        <w:sectPr>
          <w:pgSz w:w="11906" w:h="16838"/>
          <w:pgMar w:top="1418" w:right="1134" w:bottom="1418" w:left="1134" w:header="851" w:footer="992" w:gutter="0"/>
          <w:cols w:space="720" w:num="1"/>
          <w:docGrid w:type="lines" w:linePitch="312" w:charSpace="0"/>
        </w:sectPr>
      </w:pPr>
    </w:p>
    <w:p>
      <w:pPr>
        <w:pStyle w:val="5"/>
        <w:rPr>
          <w:rFonts w:hAnsi="宋体"/>
          <w:b w:val="0"/>
          <w:sz w:val="28"/>
          <w:szCs w:val="28"/>
          <w:highlight w:val="none"/>
        </w:rPr>
      </w:pPr>
      <w:bookmarkStart w:id="130" w:name="_Toc6096"/>
      <w:bookmarkStart w:id="131" w:name="_Toc4169"/>
      <w:bookmarkStart w:id="132" w:name="_Toc17216"/>
      <w:bookmarkStart w:id="133" w:name="_Toc17384"/>
      <w:r>
        <w:rPr>
          <w:rFonts w:hint="eastAsia" w:ascii="宋体" w:hAnsi="宋体" w:cs="宋体"/>
          <w:b w:val="0"/>
          <w:sz w:val="28"/>
          <w:szCs w:val="28"/>
          <w:highlight w:val="none"/>
        </w:rPr>
        <w:t>附录</w:t>
      </w:r>
      <w:r>
        <w:rPr>
          <w:rFonts w:hint="eastAsia" w:ascii="宋体" w:hAnsi="宋体" w:cs="宋体"/>
          <w:b w:val="0"/>
          <w:sz w:val="28"/>
          <w:szCs w:val="28"/>
          <w:highlight w:val="none"/>
          <w:lang w:val="en-US" w:eastAsia="zh-CN"/>
        </w:rPr>
        <w:t>6</w:t>
      </w:r>
      <w:r>
        <w:rPr>
          <w:rFonts w:hint="eastAsia" w:ascii="宋体" w:hAnsi="宋体" w:cs="宋体"/>
          <w:b w:val="0"/>
          <w:sz w:val="28"/>
          <w:szCs w:val="28"/>
          <w:highlight w:val="none"/>
        </w:rPr>
        <w:t xml:space="preserve"> 资格审查文件（主要机械设备和试验检测设备最低要求）</w:t>
      </w:r>
      <w:bookmarkEnd w:id="130"/>
      <w:bookmarkEnd w:id="131"/>
      <w:bookmarkEnd w:id="132"/>
      <w:bookmarkEnd w:id="133"/>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主要机械设备和试验检测设备最低要求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ind w:firstLine="420" w:firstLineChars="200"/>
              <w:rPr>
                <w:highlight w:val="none"/>
              </w:rPr>
            </w:pPr>
            <w:r>
              <w:rPr>
                <w:rFonts w:hint="eastAsia" w:ascii="宋体" w:hAnsi="宋体" w:cs="宋体"/>
                <w:caps/>
                <w:szCs w:val="21"/>
                <w:highlight w:val="none"/>
              </w:rPr>
              <w:t>无</w:t>
            </w:r>
            <w:r>
              <w:rPr>
                <w:rFonts w:hint="eastAsia" w:ascii="宋体" w:hAnsi="宋体" w:cs="宋体"/>
                <w:caps/>
                <w:szCs w:val="21"/>
                <w:highlight w:val="none"/>
                <w:lang w:val="en-US" w:eastAsia="zh-CN"/>
              </w:rPr>
              <w:t>要求</w:t>
            </w:r>
            <w:r>
              <w:rPr>
                <w:rFonts w:hint="eastAsia" w:ascii="宋体" w:hAnsi="宋体" w:cs="宋体"/>
                <w:caps/>
                <w:szCs w:val="21"/>
                <w:highlight w:val="none"/>
              </w:rPr>
              <w:t xml:space="preserve">。 </w:t>
            </w:r>
          </w:p>
        </w:tc>
      </w:tr>
    </w:tbl>
    <w:p>
      <w:pPr>
        <w:pStyle w:val="149"/>
        <w:adjustRightInd/>
        <w:spacing w:line="400" w:lineRule="exact"/>
        <w:ind w:firstLine="420" w:firstLineChars="200"/>
        <w:jc w:val="both"/>
        <w:rPr>
          <w:rFonts w:hAnsi="宋体"/>
          <w:bCs/>
          <w:color w:val="auto"/>
          <w:sz w:val="21"/>
          <w:szCs w:val="21"/>
          <w:highlight w:val="none"/>
        </w:rPr>
      </w:pPr>
    </w:p>
    <w:p>
      <w:pPr>
        <w:pStyle w:val="149"/>
        <w:adjustRightInd/>
        <w:spacing w:line="360" w:lineRule="auto"/>
        <w:jc w:val="both"/>
        <w:rPr>
          <w:rFonts w:hAnsi="宋体"/>
          <w:bCs/>
          <w:color w:val="auto"/>
          <w:sz w:val="21"/>
          <w:szCs w:val="21"/>
          <w:highlight w:val="none"/>
        </w:rPr>
      </w:pPr>
    </w:p>
    <w:bookmarkEnd w:id="128"/>
    <w:bookmarkEnd w:id="129"/>
    <w:p>
      <w:pPr>
        <w:spacing w:line="440" w:lineRule="exact"/>
        <w:rPr>
          <w:rFonts w:ascii="宋体" w:hAnsi="宋体" w:cs="宋体"/>
          <w:szCs w:val="21"/>
        </w:rPr>
        <w:sectPr>
          <w:footerReference r:id="rId8" w:type="default"/>
          <w:pgSz w:w="11906" w:h="16838"/>
          <w:pgMar w:top="1440" w:right="1800" w:bottom="1440" w:left="1800" w:header="851" w:footer="992" w:gutter="0"/>
          <w:cols w:space="720" w:num="1"/>
          <w:titlePg/>
          <w:docGrid w:type="lines" w:linePitch="312" w:charSpace="0"/>
        </w:sectPr>
      </w:pPr>
    </w:p>
    <w:p>
      <w:pPr>
        <w:spacing w:line="440" w:lineRule="exact"/>
        <w:ind w:firstLine="210" w:firstLineChars="100"/>
        <w:rPr>
          <w:rFonts w:ascii="宋体" w:hAnsi="宋体" w:cs="宋体"/>
        </w:rPr>
      </w:pPr>
    </w:p>
    <w:p>
      <w:pPr>
        <w:pStyle w:val="4"/>
        <w:spacing w:before="0" w:after="0" w:line="360" w:lineRule="auto"/>
        <w:jc w:val="center"/>
        <w:rPr>
          <w:rFonts w:ascii="宋体" w:hAnsi="宋体" w:cs="宋体"/>
        </w:rPr>
      </w:pPr>
      <w:bookmarkStart w:id="134" w:name="_Toc246996230"/>
      <w:bookmarkStart w:id="135" w:name="_Toc2000406"/>
      <w:bookmarkStart w:id="136" w:name="_Toc144974554"/>
      <w:bookmarkStart w:id="137" w:name="_Toc152042364"/>
      <w:bookmarkStart w:id="138" w:name="_Toc247085745"/>
      <w:bookmarkStart w:id="139" w:name="_Toc179632605"/>
      <w:bookmarkStart w:id="140" w:name="_Toc246996973"/>
      <w:bookmarkStart w:id="141" w:name="_Toc507319957"/>
      <w:bookmarkStart w:id="142" w:name="_Toc7682"/>
      <w:bookmarkStart w:id="143" w:name="_Toc152045587"/>
      <w:r>
        <w:rPr>
          <w:rFonts w:hint="eastAsia" w:ascii="宋体" w:hAnsi="宋体" w:cs="宋体"/>
        </w:rPr>
        <w:t>第三章 评标办法（经评审的最低投标价法）</w:t>
      </w:r>
      <w:bookmarkEnd w:id="134"/>
      <w:bookmarkEnd w:id="135"/>
      <w:bookmarkEnd w:id="136"/>
      <w:bookmarkEnd w:id="137"/>
      <w:bookmarkEnd w:id="138"/>
      <w:bookmarkEnd w:id="139"/>
      <w:bookmarkEnd w:id="140"/>
      <w:bookmarkEnd w:id="141"/>
      <w:bookmarkEnd w:id="142"/>
      <w:bookmarkEnd w:id="143"/>
    </w:p>
    <w:tbl>
      <w:tblPr>
        <w:tblStyle w:val="43"/>
        <w:tblpPr w:leftFromText="180" w:rightFromText="180" w:vertAnchor="text" w:horzAnchor="page" w:tblpX="1500" w:tblpY="284"/>
        <w:tblOverlap w:val="never"/>
        <w:tblW w:w="91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rPr>
            </w:pPr>
            <w:r>
              <w:rPr>
                <w:b/>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rPr>
            </w:pPr>
            <w:r>
              <w:rPr>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right w:val="single" w:color="auto" w:sz="4" w:space="0"/>
            </w:tcBorders>
            <w:vAlign w:val="center"/>
          </w:tcPr>
          <w:p>
            <w:pPr>
              <w:spacing w:line="400" w:lineRule="exact"/>
              <w:jc w:val="center"/>
            </w:pPr>
            <w:r>
              <w:t>1</w:t>
            </w:r>
          </w:p>
        </w:tc>
        <w:tc>
          <w:tcPr>
            <w:tcW w:w="1124" w:type="dxa"/>
            <w:tcBorders>
              <w:top w:val="single" w:color="auto" w:sz="4" w:space="0"/>
              <w:left w:val="single" w:color="auto" w:sz="4" w:space="0"/>
              <w:right w:val="single" w:color="auto" w:sz="4" w:space="0"/>
            </w:tcBorders>
            <w:vAlign w:val="center"/>
          </w:tcPr>
          <w:p>
            <w:pPr>
              <w:spacing w:line="400" w:lineRule="exact"/>
              <w:jc w:val="center"/>
            </w:pPr>
            <w: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中标候选人排序方法</w:t>
            </w:r>
          </w:p>
        </w:tc>
        <w:tc>
          <w:tcPr>
            <w:tcW w:w="5004" w:type="dxa"/>
            <w:tcBorders>
              <w:top w:val="single" w:color="auto" w:sz="4" w:space="0"/>
              <w:left w:val="single" w:color="auto" w:sz="4" w:space="0"/>
              <w:bottom w:val="single" w:color="auto" w:sz="4" w:space="0"/>
            </w:tcBorders>
          </w:tcPr>
          <w:p>
            <w:pPr>
              <w:spacing w:line="360" w:lineRule="auto"/>
            </w:pPr>
            <w:r>
              <w:t>如出现报价相等时，评审小组按以下原则确定第一中标候选人：</w:t>
            </w:r>
          </w:p>
          <w:p>
            <w:pPr>
              <w:spacing w:line="360" w:lineRule="auto"/>
              <w:ind w:firstLine="210" w:firstLineChars="100"/>
            </w:pPr>
            <w:r>
              <w:rPr>
                <w:rFonts w:hint="eastAsia"/>
              </w:rPr>
              <w:t>以最早提交报价文件的投标人为第一中标候选人</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spacing w:line="400" w:lineRule="exact"/>
              <w:jc w:val="center"/>
            </w:pPr>
            <w:r>
              <w:rPr>
                <w:rFonts w:hint="eastAsia"/>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pPr>
            <w: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报价</w:t>
            </w:r>
            <w:r>
              <w:t>人名称</w:t>
            </w:r>
          </w:p>
        </w:tc>
        <w:tc>
          <w:tcPr>
            <w:tcW w:w="5004" w:type="dxa"/>
            <w:tcBorders>
              <w:top w:val="single" w:color="auto" w:sz="4" w:space="0"/>
              <w:left w:val="single" w:color="auto" w:sz="4" w:space="0"/>
              <w:bottom w:val="single" w:color="auto" w:sz="4" w:space="0"/>
            </w:tcBorders>
            <w:vAlign w:val="center"/>
          </w:tcPr>
          <w:p>
            <w:pPr>
              <w:spacing w:line="400" w:lineRule="exact"/>
            </w:pPr>
            <w: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报价</w:t>
            </w:r>
            <w:r>
              <w:t>函签字盖章</w:t>
            </w:r>
          </w:p>
        </w:tc>
        <w:tc>
          <w:tcPr>
            <w:tcW w:w="5004" w:type="dxa"/>
            <w:tcBorders>
              <w:top w:val="single" w:color="auto" w:sz="4" w:space="0"/>
              <w:left w:val="single" w:color="auto" w:sz="4" w:space="0"/>
              <w:bottom w:val="single" w:color="auto" w:sz="4" w:space="0"/>
            </w:tcBorders>
            <w:vAlign w:val="center"/>
          </w:tcPr>
          <w:p>
            <w:pPr>
              <w:spacing w:line="400" w:lineRule="exact"/>
            </w:pPr>
            <w: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竞争性</w:t>
            </w:r>
            <w:r>
              <w:t>比选响应文件格式</w:t>
            </w:r>
          </w:p>
        </w:tc>
        <w:tc>
          <w:tcPr>
            <w:tcW w:w="5004" w:type="dxa"/>
            <w:tcBorders>
              <w:top w:val="single" w:color="auto" w:sz="4" w:space="0"/>
              <w:left w:val="single" w:color="auto" w:sz="4" w:space="0"/>
              <w:bottom w:val="single" w:color="auto" w:sz="4" w:space="0"/>
            </w:tcBorders>
            <w:vAlign w:val="center"/>
          </w:tcPr>
          <w:p>
            <w:pPr>
              <w:spacing w:line="400" w:lineRule="exact"/>
            </w:pPr>
            <w:r>
              <w:t>符合第</w:t>
            </w:r>
            <w:r>
              <w:rPr>
                <w:rFonts w:hint="eastAsia"/>
              </w:rPr>
              <w:t>八</w:t>
            </w:r>
            <w:r>
              <w:t>章“</w:t>
            </w:r>
            <w:r>
              <w:rPr>
                <w:rFonts w:hint="eastAsia"/>
              </w:rPr>
              <w:t>竞争性</w:t>
            </w:r>
            <w:r>
              <w:t>比选响应文件格式”的要求，字迹</w:t>
            </w:r>
            <w:r>
              <w:rPr>
                <w:rFonts w:hint="eastAsia"/>
              </w:rPr>
              <w:t>及相关证件扫描件</w:t>
            </w:r>
            <w:r>
              <w:t>清晰可辨。</w:t>
            </w:r>
          </w:p>
          <w:p>
            <w:pPr>
              <w:spacing w:line="400" w:lineRule="exact"/>
            </w:pPr>
            <w:r>
              <w:t>1.</w:t>
            </w:r>
            <w:r>
              <w:rPr>
                <w:rFonts w:hint="eastAsia"/>
              </w:rPr>
              <w:t>报价</w:t>
            </w:r>
            <w:r>
              <w:t>函的所有数据均符合</w:t>
            </w:r>
            <w:r>
              <w:rPr>
                <w:rFonts w:hint="eastAsia"/>
              </w:rPr>
              <w:t>比选</w:t>
            </w:r>
            <w:r>
              <w:t>文件的规定；</w:t>
            </w:r>
          </w:p>
          <w:p>
            <w:pPr>
              <w:spacing w:line="400" w:lineRule="exact"/>
            </w:pPr>
            <w:r>
              <w:t>2.</w:t>
            </w:r>
            <w:r>
              <w:rPr>
                <w:rFonts w:hint="eastAsia"/>
              </w:rPr>
              <w:t>竞争性</w:t>
            </w:r>
            <w: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t>已标价工程量清单</w:t>
            </w:r>
          </w:p>
        </w:tc>
        <w:tc>
          <w:tcPr>
            <w:tcW w:w="5004" w:type="dxa"/>
            <w:tcBorders>
              <w:top w:val="single" w:color="auto" w:sz="4" w:space="0"/>
              <w:left w:val="single" w:color="auto" w:sz="4" w:space="0"/>
              <w:bottom w:val="single" w:color="auto" w:sz="4" w:space="0"/>
            </w:tcBorders>
            <w:vAlign w:val="center"/>
          </w:tcPr>
          <w:p>
            <w:pPr>
              <w:spacing w:line="440" w:lineRule="exact"/>
            </w:pPr>
            <w:r>
              <w:t>符合第五章“工程量清单”给出的范围及数量</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t>报价其它要求</w:t>
            </w:r>
          </w:p>
        </w:tc>
        <w:tc>
          <w:tcPr>
            <w:tcW w:w="5004" w:type="dxa"/>
            <w:tcBorders>
              <w:top w:val="single" w:color="auto" w:sz="4" w:space="0"/>
              <w:left w:val="single" w:color="auto" w:sz="4" w:space="0"/>
              <w:bottom w:val="single" w:color="auto" w:sz="4" w:space="0"/>
            </w:tcBorders>
            <w:vAlign w:val="center"/>
          </w:tcPr>
          <w:p>
            <w:pPr>
              <w:spacing w:line="440" w:lineRule="exact"/>
            </w:pPr>
            <w:r>
              <w:rPr>
                <w:rFonts w:hint="eastAsia"/>
              </w:rPr>
              <w:t>竞争性</w:t>
            </w:r>
            <w:r>
              <w:t>比选响应文件报价表中的报价与</w:t>
            </w:r>
            <w:r>
              <w:rPr>
                <w:rFonts w:hint="eastAsia"/>
              </w:rPr>
              <w:t>报价</w:t>
            </w:r>
            <w: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right w:val="single" w:color="auto" w:sz="4" w:space="0"/>
            </w:tcBorders>
            <w:vAlign w:val="center"/>
          </w:tcPr>
          <w:p>
            <w:pPr>
              <w:spacing w:line="400" w:lineRule="exact"/>
              <w:jc w:val="center"/>
            </w:pPr>
            <w:r>
              <w:rPr>
                <w:rFonts w:hint="eastAsia"/>
              </w:rPr>
              <w:t>竞争性</w:t>
            </w:r>
            <w: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pPr>
            <w:r>
              <w:rPr>
                <w:rFonts w:hint="eastAsia"/>
              </w:rPr>
              <w:t>竞争性</w:t>
            </w:r>
            <w:r>
              <w:t>比选响应文件正本中法定代表人或授权代理人签署姓名齐全，符合</w:t>
            </w:r>
            <w:r>
              <w:rPr>
                <w:rFonts w:hint="eastAsia"/>
              </w:rPr>
              <w:t>比选</w:t>
            </w:r>
            <w: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right w:val="single" w:color="auto" w:sz="4" w:space="0"/>
            </w:tcBorders>
            <w:vAlign w:val="center"/>
          </w:tcPr>
          <w:p>
            <w:pPr>
              <w:spacing w:line="400" w:lineRule="exact"/>
              <w:jc w:val="center"/>
            </w:pPr>
            <w:r>
              <w:t>其它材料</w:t>
            </w:r>
          </w:p>
        </w:tc>
        <w:tc>
          <w:tcPr>
            <w:tcW w:w="5004" w:type="dxa"/>
            <w:tcBorders>
              <w:top w:val="single" w:color="auto" w:sz="4" w:space="0"/>
              <w:left w:val="single" w:color="auto" w:sz="4" w:space="0"/>
            </w:tcBorders>
            <w:vAlign w:val="center"/>
          </w:tcPr>
          <w:p>
            <w:pPr>
              <w:spacing w:line="400" w:lineRule="exact"/>
            </w:pPr>
            <w:r>
              <w:t>单位负责人为同一人或者存在控股、管理关系的不同单位，不得同时参加</w:t>
            </w:r>
            <w:r>
              <w:rPr>
                <w:rFonts w:hint="eastAsia"/>
              </w:rPr>
              <w:t>报价</w:t>
            </w:r>
            <w:r>
              <w:t>，否则相关</w:t>
            </w:r>
            <w:r>
              <w:rPr>
                <w:rFonts w:hint="eastAsia"/>
              </w:rPr>
              <w:t>报价</w:t>
            </w:r>
            <w:r>
              <w:t>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pPr>
            <w:r>
              <w:rPr>
                <w:rFonts w:hint="eastAsia"/>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营业执照</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资质要求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财务要求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业绩要求</w:t>
            </w:r>
          </w:p>
        </w:tc>
        <w:tc>
          <w:tcPr>
            <w:tcW w:w="5004" w:type="dxa"/>
            <w:tcBorders>
              <w:top w:val="single" w:color="auto" w:sz="4" w:space="0"/>
              <w:left w:val="single" w:color="auto" w:sz="4" w:space="0"/>
              <w:bottom w:val="single" w:color="auto" w:sz="4" w:space="0"/>
            </w:tcBorders>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信誉要求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cs="宋体"/>
                <w:szCs w:val="21"/>
              </w:rPr>
              <w:t>项目主要管理人员</w:t>
            </w:r>
            <w:r>
              <w:t>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w:t>
            </w:r>
            <w:r>
              <w:rPr>
                <w:rFonts w:hint="eastAsia"/>
                <w:lang w:val="en-US" w:eastAsia="zh-CN"/>
              </w:rPr>
              <w:t>5</w:t>
            </w:r>
            <w: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1"/>
              </w:rPr>
            </w:pPr>
            <w:r>
              <w:rPr>
                <w:kern w:val="1"/>
              </w:rPr>
              <w:t>主要机械设备和试验检测设备最低要求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w:t>
            </w:r>
            <w:r>
              <w:rPr>
                <w:rFonts w:hint="eastAsia"/>
                <w:lang w:val="en-US" w:eastAsia="zh-CN"/>
              </w:rPr>
              <w:t>6</w:t>
            </w:r>
            <w: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pPr>
            <w:r>
              <w:rPr>
                <w:rFonts w:hint="eastAsia"/>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投标内容</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4</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报价</w:t>
            </w:r>
          </w:p>
        </w:tc>
        <w:tc>
          <w:tcPr>
            <w:tcW w:w="5004" w:type="dxa"/>
            <w:tcBorders>
              <w:top w:val="single" w:color="auto" w:sz="4" w:space="0"/>
              <w:left w:val="single" w:color="auto" w:sz="4" w:space="0"/>
              <w:bottom w:val="single" w:color="auto" w:sz="4" w:space="0"/>
            </w:tcBorders>
            <w:vAlign w:val="center"/>
          </w:tcPr>
          <w:p>
            <w:pPr>
              <w:spacing w:line="400" w:lineRule="exact"/>
            </w:pPr>
            <w:r>
              <w:t>符合比选文件给出的范围及数量，且报价不得超过</w:t>
            </w:r>
            <w:r>
              <w:rPr>
                <w:rFonts w:hint="eastAsia"/>
              </w:rPr>
              <w:t>采购人</w:t>
            </w:r>
            <w:r>
              <w:t>公布的最高限价，但也不得低于</w:t>
            </w:r>
            <w:r>
              <w:rPr>
                <w:rFonts w:hint="eastAsia"/>
              </w:rPr>
              <w:t>报价</w:t>
            </w:r>
            <w: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工期</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5</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施工地点</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3</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质量标准</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6</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安全目标</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7</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tcBorders>
              <w:top w:val="single" w:color="auto" w:sz="4" w:space="0"/>
              <w:bottom w:val="single" w:color="auto" w:sz="4" w:space="0"/>
              <w:right w:val="single" w:color="auto" w:sz="4" w:space="0"/>
            </w:tcBorders>
            <w:vAlign w:val="center"/>
          </w:tcPr>
          <w:p>
            <w:pPr>
              <w:spacing w:line="400" w:lineRule="exact"/>
              <w:jc w:val="center"/>
            </w:pPr>
            <w:r>
              <w:rPr>
                <w:rFonts w:hint="eastAsia"/>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评标结果</w:t>
            </w:r>
          </w:p>
        </w:tc>
        <w:tc>
          <w:tcPr>
            <w:tcW w:w="7121" w:type="dxa"/>
            <w:gridSpan w:val="2"/>
            <w:tcBorders>
              <w:top w:val="single" w:color="auto" w:sz="4" w:space="0"/>
              <w:left w:val="single" w:color="auto" w:sz="4" w:space="0"/>
              <w:bottom w:val="single" w:color="auto" w:sz="4" w:space="0"/>
            </w:tcBorders>
          </w:tcPr>
          <w:p>
            <w:pPr>
              <w:spacing w:line="400" w:lineRule="exact"/>
              <w:ind w:firstLine="420"/>
            </w:pPr>
            <w:r>
              <w:t>补充细化：</w:t>
            </w:r>
          </w:p>
          <w:p>
            <w:pPr>
              <w:spacing w:line="400" w:lineRule="exact"/>
              <w:ind w:firstLine="420" w:firstLineChars="200"/>
            </w:pPr>
            <w:r>
              <w:t>本项目评标采用经评审的</w:t>
            </w:r>
            <w:r>
              <w:rPr>
                <w:rFonts w:hint="eastAsia"/>
              </w:rPr>
              <w:t>最低投标价</w:t>
            </w:r>
            <w:r>
              <w:t>法，对通过初步评审、详细评审的</w:t>
            </w:r>
            <w:r>
              <w:rPr>
                <w:rFonts w:hint="eastAsia"/>
              </w:rPr>
              <w:t>报价</w:t>
            </w:r>
            <w:r>
              <w:t>人按照</w:t>
            </w:r>
            <w:r>
              <w:rPr>
                <w:rFonts w:hint="eastAsia"/>
              </w:rPr>
              <w:t>报</w:t>
            </w:r>
            <w:r>
              <w:t>价从低到高的先后顺序，推荐</w:t>
            </w:r>
            <w:r>
              <w:rPr>
                <w:rFonts w:hint="eastAsia"/>
              </w:rPr>
              <w:t>2</w:t>
            </w:r>
            <w:r>
              <w:t>名中标候选人。</w:t>
            </w:r>
          </w:p>
        </w:tc>
      </w:tr>
    </w:tbl>
    <w:p>
      <w:pPr>
        <w:pStyle w:val="4"/>
        <w:spacing w:before="0" w:after="0" w:line="360" w:lineRule="auto"/>
        <w:jc w:val="center"/>
        <w:rPr>
          <w:rFonts w:ascii="宋体" w:hAnsi="宋体" w:cs="宋体"/>
        </w:rPr>
      </w:pPr>
    </w:p>
    <w:p/>
    <w:p>
      <w:pPr>
        <w:rPr>
          <w:rFonts w:ascii="宋体" w:hAnsi="宋体" w:cs="宋体"/>
        </w:rPr>
      </w:pPr>
    </w:p>
    <w:p>
      <w:pPr>
        <w:pStyle w:val="29"/>
        <w:jc w:val="center"/>
      </w:pPr>
      <w:r>
        <w:rPr>
          <w:rFonts w:hint="eastAsia"/>
        </w:rPr>
        <w:br w:type="page"/>
      </w:r>
      <w:bookmarkStart w:id="144" w:name="_Toc13787"/>
      <w:r>
        <w:rPr>
          <w:rStyle w:val="82"/>
          <w:rFonts w:hint="eastAsia"/>
          <w:b/>
          <w:bCs/>
        </w:rPr>
        <w:t>第四章 报价说明</w:t>
      </w:r>
      <w:bookmarkEnd w:id="144"/>
    </w:p>
    <w:p>
      <w:pPr>
        <w:pStyle w:val="29"/>
        <w:spacing w:line="380" w:lineRule="exact"/>
        <w:ind w:firstLine="420" w:firstLineChars="200"/>
        <w:rPr>
          <w:rFonts w:hint="eastAsia" w:ascii="宋体" w:hAnsi="宋体" w:cs="宋体"/>
          <w:b w:val="0"/>
          <w:bCs w:val="0"/>
          <w:sz w:val="21"/>
          <w:szCs w:val="21"/>
        </w:rPr>
      </w:pPr>
    </w:p>
    <w:p>
      <w:pPr>
        <w:pStyle w:val="29"/>
        <w:spacing w:line="380" w:lineRule="exact"/>
        <w:ind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rPr>
        <w:t>（1）本次报价须为人民币报价，包含但不限于完成本项目所需的</w:t>
      </w:r>
      <w:r>
        <w:rPr>
          <w:rFonts w:hint="default" w:ascii="宋体" w:hAnsi="宋体" w:cs="宋体"/>
          <w:b w:val="0"/>
          <w:bCs w:val="0"/>
          <w:sz w:val="21"/>
          <w:szCs w:val="21"/>
        </w:rPr>
        <w:t>材料费、</w:t>
      </w:r>
      <w:r>
        <w:rPr>
          <w:rFonts w:hint="eastAsia" w:ascii="宋体" w:hAnsi="宋体" w:cs="宋体"/>
          <w:b w:val="0"/>
          <w:bCs w:val="0"/>
          <w:sz w:val="21"/>
          <w:szCs w:val="21"/>
        </w:rPr>
        <w:t>员工工资、社会保险（五险）、劳保福利、税费、加班费、配送费、交通费、节假日慰问费等一切费用（报价人若有漏项，则被认为此项费用已包含在总报价中）。因中标人自身原因造成漏报、少报皆由其自行承担责任，招标人不再补偿</w:t>
      </w:r>
      <w:r>
        <w:rPr>
          <w:rFonts w:hint="eastAsia" w:ascii="宋体" w:hAnsi="宋体" w:cs="宋体"/>
          <w:b w:val="0"/>
          <w:bCs w:val="0"/>
          <w:sz w:val="21"/>
          <w:szCs w:val="21"/>
          <w:lang w:eastAsia="zh-CN"/>
        </w:rPr>
        <w:t>。</w:t>
      </w:r>
    </w:p>
    <w:p>
      <w:pPr>
        <w:pStyle w:val="29"/>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（2）报价人在报价表中填报的综合单价承包到现场所产生的路费、差旅费等。</w:t>
      </w:r>
    </w:p>
    <w:p>
      <w:pPr>
        <w:pStyle w:val="29"/>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（3）报价有算术错误的，按以下原则对报价进行修正，修正的价格经报价人书面确认后具有约束力。报价人不接受修正价格的，其报价应当予以否决。</w:t>
      </w:r>
    </w:p>
    <w:p>
      <w:pPr>
        <w:pStyle w:val="29"/>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①竞争性比选响应文件中的大写金额与小写金额不一致的，以大写金额为准；</w:t>
      </w:r>
    </w:p>
    <w:p>
      <w:pPr>
        <w:pStyle w:val="29"/>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②总价金额与依据单价计算出的结果不一致的，以单价金额为准修正总价，但单价金额小数点有明显错误的除外。</w:t>
      </w:r>
    </w:p>
    <w:p>
      <w:pPr>
        <w:pStyle w:val="29"/>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（4）实际采购数量以采购人最终需求数量为准，报价清单中单价在合同执行过程中</w:t>
      </w:r>
      <w:r>
        <w:rPr>
          <w:rFonts w:hint="eastAsia" w:ascii="宋体" w:hAnsi="宋体" w:cs="宋体"/>
          <w:b w:val="0"/>
          <w:bCs w:val="0"/>
          <w:sz w:val="21"/>
          <w:szCs w:val="21"/>
          <w:lang w:val="en-US" w:eastAsia="zh-CN"/>
        </w:rPr>
        <w:t>按照报价清单中计价规则计算</w:t>
      </w:r>
      <w:r>
        <w:rPr>
          <w:rFonts w:hint="eastAsia" w:ascii="宋体" w:hAnsi="宋体" w:cs="宋体"/>
          <w:b w:val="0"/>
          <w:bCs w:val="0"/>
          <w:sz w:val="21"/>
          <w:szCs w:val="21"/>
        </w:rPr>
        <w:t>，报价人不得以</w:t>
      </w:r>
      <w:r>
        <w:rPr>
          <w:rFonts w:hint="eastAsia" w:ascii="宋体" w:hAnsi="宋体" w:cs="宋体"/>
          <w:b w:val="0"/>
          <w:bCs w:val="0"/>
          <w:sz w:val="21"/>
          <w:szCs w:val="21"/>
          <w:lang w:val="en-US" w:eastAsia="zh-CN"/>
        </w:rPr>
        <w:t>其它原因</w:t>
      </w:r>
      <w:r>
        <w:rPr>
          <w:rFonts w:hint="eastAsia" w:ascii="宋体" w:hAnsi="宋体" w:cs="宋体"/>
          <w:b w:val="0"/>
          <w:bCs w:val="0"/>
          <w:sz w:val="21"/>
          <w:szCs w:val="21"/>
        </w:rPr>
        <w:t>提出调整合同单价。</w:t>
      </w:r>
    </w:p>
    <w:p>
      <w:pPr>
        <w:pStyle w:val="29"/>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（5）报价清单中各项金额均以人民币（元）结算。</w:t>
      </w:r>
    </w:p>
    <w:p>
      <w:pPr>
        <w:pStyle w:val="29"/>
        <w:spacing w:line="380" w:lineRule="exact"/>
        <w:ind w:firstLine="420" w:firstLineChars="200"/>
        <w:sectPr>
          <w:footerReference r:id="rId9" w:type="default"/>
          <w:pgSz w:w="11906" w:h="16838"/>
          <w:pgMar w:top="1440" w:right="1800" w:bottom="1440" w:left="1800" w:header="851" w:footer="992" w:gutter="0"/>
          <w:cols w:space="720" w:num="1"/>
          <w:titlePg/>
          <w:docGrid w:type="lines" w:linePitch="312" w:charSpace="0"/>
        </w:sectPr>
      </w:pPr>
      <w:r>
        <w:rPr>
          <w:rFonts w:hint="eastAsia" w:ascii="宋体" w:hAnsi="宋体" w:cs="宋体"/>
          <w:b w:val="0"/>
          <w:bCs w:val="0"/>
          <w:sz w:val="21"/>
          <w:szCs w:val="21"/>
        </w:rPr>
        <w:t>（6）需缴纳的一切税费均由报价单位承担，所有税费均由报价单位自行缴纳。</w:t>
      </w:r>
    </w:p>
    <w:p>
      <w:pPr>
        <w:spacing w:line="400" w:lineRule="exact"/>
        <w:rPr>
          <w:rFonts w:ascii="宋体" w:hAnsi="宋体" w:cs="宋体"/>
          <w:szCs w:val="21"/>
          <w:highlight w:val="yellow"/>
        </w:rPr>
      </w:pPr>
      <w:bookmarkStart w:id="145" w:name="_Toc246996354"/>
      <w:bookmarkStart w:id="146" w:name="_Toc144974855"/>
      <w:bookmarkStart w:id="147" w:name="_Toc246997097"/>
      <w:bookmarkStart w:id="148" w:name="_Toc152042575"/>
      <w:bookmarkStart w:id="149" w:name="_Toc247085872"/>
      <w:bookmarkStart w:id="150" w:name="_Toc179632806"/>
      <w:bookmarkStart w:id="151" w:name="_Toc152045786"/>
    </w:p>
    <w:p>
      <w:pPr>
        <w:pStyle w:val="4"/>
        <w:spacing w:before="0" w:after="0" w:line="360" w:lineRule="auto"/>
        <w:jc w:val="center"/>
        <w:rPr>
          <w:rFonts w:hint="default" w:ascii="宋体" w:hAnsi="宋体" w:eastAsia="宋体" w:cs="宋体"/>
          <w:lang w:val="en-US" w:eastAsia="zh-CN"/>
        </w:rPr>
      </w:pPr>
      <w:bookmarkStart w:id="152" w:name="_Toc152042554"/>
      <w:bookmarkStart w:id="153" w:name="_Toc246996340"/>
      <w:bookmarkStart w:id="154" w:name="_Toc24503"/>
      <w:bookmarkStart w:id="155" w:name="_Toc246997083"/>
      <w:bookmarkStart w:id="156" w:name="_Toc152045772"/>
      <w:bookmarkStart w:id="157" w:name="_Toc247085855"/>
      <w:bookmarkStart w:id="158" w:name="_Toc514858705"/>
      <w:bookmarkStart w:id="159" w:name="_Toc179632789"/>
      <w:bookmarkStart w:id="160" w:name="_Toc144974834"/>
      <w:bookmarkStart w:id="161" w:name="_Toc2000409"/>
      <w:r>
        <w:rPr>
          <w:rFonts w:hint="eastAsia" w:ascii="宋体" w:hAnsi="宋体" w:cs="宋体"/>
        </w:rPr>
        <w:t>第五章  工程量清单</w:t>
      </w:r>
      <w:bookmarkEnd w:id="152"/>
      <w:bookmarkEnd w:id="153"/>
      <w:bookmarkEnd w:id="154"/>
      <w:bookmarkEnd w:id="155"/>
      <w:bookmarkEnd w:id="156"/>
      <w:bookmarkEnd w:id="157"/>
      <w:bookmarkEnd w:id="158"/>
      <w:bookmarkEnd w:id="159"/>
      <w:bookmarkEnd w:id="160"/>
      <w:bookmarkEnd w:id="161"/>
      <w:r>
        <w:rPr>
          <w:rFonts w:hint="eastAsia" w:ascii="宋体" w:hAnsi="宋体" w:cs="宋体"/>
          <w:lang w:val="en-US" w:eastAsia="zh-CN"/>
        </w:rPr>
        <w:t>及计量规则</w:t>
      </w:r>
    </w:p>
    <w:p>
      <w:pPr>
        <w:ind w:firstLine="420"/>
        <w:jc w:val="left"/>
        <w:rPr>
          <w:rFonts w:ascii="宋体" w:hAnsi="宋体" w:cs="宋体"/>
          <w:b/>
          <w:highlight w:val="yellow"/>
        </w:rPr>
      </w:pPr>
      <w:bookmarkStart w:id="162" w:name="_Toc246997093"/>
      <w:bookmarkStart w:id="163" w:name="_Toc247085866"/>
      <w:bookmarkStart w:id="164" w:name="_Toc152045782"/>
      <w:bookmarkStart w:id="165" w:name="_Toc246996350"/>
      <w:bookmarkStart w:id="166" w:name="_Toc144974851"/>
      <w:bookmarkStart w:id="167" w:name="_Toc152042571"/>
      <w:bookmarkStart w:id="168" w:name="_Toc179632800"/>
      <w:bookmarkStart w:id="169" w:name="_Toc247096438"/>
    </w:p>
    <w:p>
      <w:pPr>
        <w:jc w:val="center"/>
        <w:rPr>
          <w:rFonts w:ascii="宋体" w:hAnsi="宋体" w:cs="宋体"/>
          <w:b/>
        </w:rPr>
      </w:pPr>
      <w:r>
        <w:rPr>
          <w:rFonts w:hint="eastAsia" w:ascii="宋体" w:hAnsi="宋体" w:cs="宋体"/>
          <w:b/>
          <w:kern w:val="0"/>
          <w:sz w:val="24"/>
          <w:lang w:val="en-US" w:eastAsia="zh-CN"/>
        </w:rPr>
        <w:t>详见附件</w:t>
      </w:r>
      <w:r>
        <w:rPr>
          <w:rFonts w:hint="eastAsia" w:ascii="宋体" w:hAnsi="宋体" w:cs="宋体"/>
          <w:b/>
          <w:kern w:val="0"/>
          <w:sz w:val="24"/>
        </w:rPr>
        <w:t>。</w:t>
      </w:r>
    </w:p>
    <w:p>
      <w:pPr>
        <w:jc w:val="left"/>
        <w:rPr>
          <w:rFonts w:ascii="宋体" w:hAnsi="宋体" w:cs="宋体"/>
          <w:szCs w:val="21"/>
        </w:rPr>
      </w:pPr>
    </w:p>
    <w:p>
      <w:pPr>
        <w:pStyle w:val="29"/>
        <w:spacing w:line="380" w:lineRule="exact"/>
        <w:ind w:firstLine="420" w:firstLineChars="200"/>
        <w:rPr>
          <w:rFonts w:ascii="宋体" w:hAnsi="宋体" w:cs="宋体"/>
          <w:b w:val="0"/>
          <w:bCs w:val="0"/>
          <w:sz w:val="21"/>
          <w:szCs w:val="21"/>
        </w:rPr>
      </w:pPr>
    </w:p>
    <w:p>
      <w:pPr>
        <w:jc w:val="center"/>
        <w:rPr>
          <w:rFonts w:ascii="宋体" w:hAnsi="宋体" w:cs="宋体"/>
          <w:b/>
        </w:rPr>
      </w:pPr>
    </w:p>
    <w:p>
      <w:pPr>
        <w:jc w:val="center"/>
        <w:rPr>
          <w:rFonts w:ascii="宋体" w:hAnsi="宋体" w:cs="宋体"/>
          <w:b/>
        </w:rPr>
      </w:pPr>
    </w:p>
    <w:p>
      <w:pPr>
        <w:jc w:val="center"/>
        <w:rPr>
          <w:rFonts w:ascii="宋体" w:hAnsi="宋体" w:cs="宋体"/>
          <w:b/>
        </w:rPr>
      </w:pPr>
    </w:p>
    <w:p>
      <w:pPr>
        <w:jc w:val="both"/>
        <w:rPr>
          <w:rFonts w:ascii="宋体" w:hAnsi="宋体" w:cs="宋体"/>
          <w:b/>
        </w:rPr>
      </w:pPr>
    </w:p>
    <w:p>
      <w:pPr>
        <w:rPr>
          <w:rFonts w:ascii="宋体" w:hAnsi="宋体" w:cs="宋体"/>
          <w:b/>
        </w:rPr>
        <w:sectPr>
          <w:pgSz w:w="11906" w:h="16838"/>
          <w:pgMar w:top="1440" w:right="1800" w:bottom="1440" w:left="1800" w:header="851" w:footer="992" w:gutter="0"/>
          <w:cols w:space="720" w:num="1"/>
          <w:titlePg/>
          <w:docGrid w:type="lines" w:linePitch="312" w:charSpace="0"/>
        </w:sectPr>
      </w:pPr>
    </w:p>
    <w:p>
      <w:pPr>
        <w:rPr>
          <w:rFonts w:ascii="宋体" w:hAnsi="宋体" w:cs="宋体"/>
          <w:b/>
        </w:rPr>
      </w:pPr>
    </w:p>
    <w:p>
      <w:pPr>
        <w:jc w:val="center"/>
        <w:rPr>
          <w:rFonts w:ascii="宋体" w:hAnsi="宋体" w:cs="宋体"/>
          <w:b/>
        </w:rPr>
      </w:pPr>
    </w:p>
    <w:p>
      <w:pPr>
        <w:pStyle w:val="4"/>
        <w:spacing w:before="0" w:after="0" w:line="360" w:lineRule="auto"/>
        <w:jc w:val="center"/>
        <w:rPr>
          <w:rFonts w:ascii="宋体" w:hAnsi="宋体" w:cs="宋体"/>
        </w:rPr>
      </w:pPr>
      <w:bookmarkStart w:id="170" w:name="_Toc503951042"/>
      <w:bookmarkStart w:id="171" w:name="_Toc513633963"/>
      <w:bookmarkStart w:id="172" w:name="_Toc514858706"/>
      <w:bookmarkStart w:id="173" w:name="_Toc12440"/>
      <w:bookmarkStart w:id="174" w:name="_Toc2000410"/>
      <w:bookmarkStart w:id="175" w:name="_Toc447827048"/>
      <w:r>
        <w:rPr>
          <w:rFonts w:hint="eastAsia" w:ascii="宋体" w:hAnsi="宋体" w:cs="宋体"/>
        </w:rPr>
        <w:t>第六章  图  纸</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400" w:lineRule="exact"/>
        <w:jc w:val="center"/>
        <w:rPr>
          <w:rFonts w:ascii="宋体" w:hAnsi="宋体" w:cs="宋体"/>
          <w:highlight w:val="yellow"/>
        </w:rPr>
      </w:pPr>
      <w:r>
        <w:rPr>
          <w:rFonts w:hint="eastAsia" w:ascii="宋体" w:hAnsi="宋体" w:cs="宋体"/>
          <w:b/>
          <w:kern w:val="0"/>
          <w:sz w:val="24"/>
          <w:highlight w:val="none"/>
          <w:lang w:val="en-US" w:eastAsia="zh-CN"/>
        </w:rPr>
        <w:t>无。</w:t>
      </w:r>
      <w:r>
        <w:rPr>
          <w:rFonts w:hint="eastAsia" w:ascii="宋体" w:hAnsi="宋体" w:cs="宋体"/>
          <w:highlight w:val="yellow"/>
        </w:rPr>
        <w:br w:type="page"/>
      </w:r>
      <w:bookmarkStart w:id="176" w:name="_Toc152042574"/>
      <w:bookmarkStart w:id="177" w:name="_Toc144974854"/>
      <w:bookmarkStart w:id="178" w:name="_Toc152045785"/>
    </w:p>
    <w:p>
      <w:pPr>
        <w:pStyle w:val="4"/>
        <w:spacing w:before="0" w:after="0" w:line="360" w:lineRule="auto"/>
        <w:jc w:val="center"/>
        <w:rPr>
          <w:rFonts w:ascii="宋体" w:hAnsi="宋体" w:cs="宋体"/>
        </w:rPr>
      </w:pPr>
      <w:bookmarkStart w:id="179" w:name="_Toc247085870"/>
      <w:bookmarkStart w:id="180" w:name="_Toc514858707"/>
      <w:bookmarkStart w:id="181" w:name="_Toc246997096"/>
      <w:bookmarkStart w:id="182" w:name="_Toc447827049"/>
      <w:bookmarkStart w:id="183" w:name="_Toc513633964"/>
      <w:bookmarkStart w:id="184" w:name="_Toc246996353"/>
      <w:bookmarkStart w:id="185" w:name="_Toc2000411"/>
      <w:bookmarkStart w:id="186" w:name="_Toc10887"/>
      <w:bookmarkStart w:id="187" w:name="_Toc179632804"/>
      <w:bookmarkStart w:id="188" w:name="_Toc503951043"/>
      <w:r>
        <w:rPr>
          <w:rFonts w:hint="eastAsia" w:ascii="宋体" w:hAnsi="宋体" w:cs="宋体"/>
        </w:rPr>
        <w:t>第七章  技术标准和工作要求</w:t>
      </w:r>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45"/>
    <w:bookmarkEnd w:id="146"/>
    <w:bookmarkEnd w:id="147"/>
    <w:bookmarkEnd w:id="148"/>
    <w:bookmarkEnd w:id="149"/>
    <w:bookmarkEnd w:id="150"/>
    <w:bookmarkEnd w:id="151"/>
    <w:p>
      <w:pPr>
        <w:spacing w:line="400" w:lineRule="exact"/>
        <w:ind w:firstLine="480" w:firstLineChars="200"/>
        <w:rPr>
          <w:rFonts w:hint="eastAsia"/>
          <w:sz w:val="24"/>
        </w:rPr>
      </w:pPr>
      <w:bookmarkStart w:id="189" w:name="_Toc2000412"/>
      <w:bookmarkStart w:id="190" w:name="_Toc514430114"/>
      <w:bookmarkStart w:id="191" w:name="_Toc12089"/>
      <w:bookmarkStart w:id="192" w:name="_Toc514858708"/>
      <w:bookmarkStart w:id="193" w:name="_Toc247085873"/>
      <w:bookmarkStart w:id="194" w:name="_Toc246997098"/>
      <w:bookmarkStart w:id="195" w:name="_Toc152042576"/>
      <w:bookmarkStart w:id="196" w:name="_Toc246996355"/>
      <w:bookmarkStart w:id="197" w:name="_Toc152045787"/>
      <w:bookmarkStart w:id="198" w:name="_Toc179632807"/>
      <w:bookmarkStart w:id="199" w:name="_Toc144974856"/>
      <w:bookmarkStart w:id="200" w:name="_Toc507320039"/>
    </w:p>
    <w:p>
      <w:pPr>
        <w:numPr>
          <w:ilvl w:val="0"/>
          <w:numId w:val="0"/>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应满足以下规范：凡是注日期的引用文件，仅所注日期的版本适用于本文件。凡是不注日期的引用文件，其最新版本（包括所有的修改单）适用于本文件。</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2951 电缆和光缆绝缘和护套材料通用试验方法</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2952 电缆外护层</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3048.9电线电缆电性能试验方法第9部分：绝缘线芯火花试验</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3956 电缆的导体</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6995 电线电缆识别标志方法</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12706.1 额定电压 1kV（Um=1.2kV）到 35kV（Um=40.5kV）挤包绝缘电力电缆及附件第 1 部分</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额定电压 1kV（Um=1.2kV）和 3kV（Um=3.6kV）电缆</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17650 取自电缆或光缆的材料燃烧时释出气体的试验方法</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17651 电缆或光缆在特定条件下燃烧的烟密度测定</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18380 电缆和光缆在火焰条件下的燃烧试验</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19001 质量管理体系要求</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GB/T 19666 阻燃和耐火电线电缆通则</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JB/T 8137 电线电缆交货盘</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Q/GDW 13001 高海拔外绝缘配置技术规范</w:t>
      </w:r>
    </w:p>
    <w:p>
      <w:pPr>
        <w:numPr>
          <w:ilvl w:val="0"/>
          <w:numId w:val="2"/>
        </w:numPr>
        <w:spacing w:line="400" w:lineRule="exact"/>
        <w:ind w:firstLine="420" w:firstLineChars="200"/>
        <w:jc w:val="left"/>
        <w:rPr>
          <w:rFonts w:hint="eastAsia" w:ascii="宋体" w:hAnsi="宋体" w:eastAsia="宋体" w:cs="宋体"/>
          <w:b w:val="0"/>
          <w:bCs w:val="0"/>
          <w:caps/>
          <w:kern w:val="2"/>
          <w:sz w:val="21"/>
          <w:szCs w:val="21"/>
          <w:lang w:val="en-US" w:eastAsia="zh-CN" w:bidi="ar-SA"/>
        </w:rPr>
      </w:pPr>
      <w:r>
        <w:rPr>
          <w:rFonts w:hint="eastAsia" w:ascii="宋体" w:hAnsi="宋体" w:eastAsia="宋体" w:cs="宋体"/>
          <w:b w:val="0"/>
          <w:bCs w:val="0"/>
          <w:caps/>
          <w:kern w:val="2"/>
          <w:sz w:val="21"/>
          <w:szCs w:val="21"/>
          <w:lang w:val="en-US" w:eastAsia="zh-CN" w:bidi="ar-SA"/>
        </w:rPr>
        <w:t>Q/GDW 13244.1 0.6/1kV 挤包绝缘电力电缆采购标准（第一部分：通用技术规范）</w:t>
      </w:r>
    </w:p>
    <w:p>
      <w:pPr>
        <w:numPr>
          <w:ilvl w:val="0"/>
          <w:numId w:val="2"/>
        </w:numPr>
        <w:spacing w:line="40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b w:val="0"/>
          <w:bCs w:val="0"/>
          <w:caps/>
          <w:kern w:val="2"/>
          <w:sz w:val="21"/>
          <w:szCs w:val="21"/>
          <w:lang w:val="en-US" w:eastAsia="zh-CN" w:bidi="ar-SA"/>
        </w:rPr>
        <w:t>Q/GDW 13244.2 0.6/1kV 挤包绝缘电力电缆采购标准（第二部分：专用技术规范）</w:t>
      </w:r>
      <w:r>
        <w:rPr>
          <w:rFonts w:hint="eastAsia" w:ascii="宋体" w:hAnsi="宋体" w:eastAsia="宋体" w:cs="宋体"/>
          <w:szCs w:val="21"/>
          <w:highlight w:val="none"/>
          <w:lang w:val="en-US" w:eastAsia="zh-CN"/>
        </w:rPr>
        <w:br w:type="page"/>
      </w:r>
      <w:bookmarkEnd w:id="189"/>
      <w:bookmarkEnd w:id="190"/>
      <w:bookmarkEnd w:id="191"/>
      <w:bookmarkEnd w:id="192"/>
      <w:bookmarkStart w:id="201" w:name="_Toc513633965"/>
    </w:p>
    <w:p>
      <w:pPr>
        <w:spacing w:line="400" w:lineRule="exact"/>
        <w:ind w:firstLine="420" w:firstLineChars="200"/>
        <w:rPr>
          <w:rFonts w:ascii="宋体" w:hAnsi="宋体" w:cs="宋体"/>
        </w:rPr>
      </w:pPr>
    </w:p>
    <w:p>
      <w:pPr>
        <w:pStyle w:val="4"/>
        <w:spacing w:before="0" w:after="0" w:line="360" w:lineRule="auto"/>
        <w:jc w:val="center"/>
        <w:rPr>
          <w:rFonts w:ascii="宋体" w:hAnsi="宋体" w:cs="宋体"/>
        </w:rPr>
      </w:pPr>
      <w:bookmarkStart w:id="202" w:name="_Toc2000413"/>
      <w:bookmarkStart w:id="203" w:name="_Toc514858709"/>
      <w:bookmarkStart w:id="204" w:name="_Toc24853"/>
      <w:r>
        <w:rPr>
          <w:rFonts w:hint="eastAsia" w:ascii="宋体" w:hAnsi="宋体" w:cs="宋体"/>
        </w:rPr>
        <w:t>第八章  竞争性比选响应文件格式</w:t>
      </w:r>
      <w:bookmarkEnd w:id="201"/>
      <w:bookmarkEnd w:id="202"/>
      <w:bookmarkEnd w:id="203"/>
      <w:bookmarkEnd w:id="204"/>
    </w:p>
    <w:p>
      <w:pPr>
        <w:rPr>
          <w:rFonts w:ascii="宋体" w:hAnsi="宋体" w:cs="宋体"/>
        </w:rPr>
      </w:pPr>
    </w:p>
    <w:p>
      <w:pPr>
        <w:rPr>
          <w:rFonts w:ascii="宋体" w:hAnsi="宋体" w:cs="宋体"/>
        </w:rPr>
        <w:sectPr>
          <w:pgSz w:w="11906" w:h="16838"/>
          <w:pgMar w:top="1440" w:right="1803" w:bottom="1440" w:left="1803" w:header="851" w:footer="992" w:gutter="0"/>
          <w:cols w:space="720" w:num="1"/>
          <w:titlePg/>
          <w:docGrid w:type="lines" w:linePitch="319" w:charSpace="0"/>
        </w:sectPr>
      </w:pPr>
    </w:p>
    <w:p>
      <w:pPr>
        <w:rPr>
          <w:rFonts w:ascii="宋体" w:hAnsi="宋体" w:cs="宋体"/>
        </w:rPr>
      </w:pPr>
    </w:p>
    <w:p>
      <w:pPr>
        <w:jc w:val="center"/>
        <w:rPr>
          <w:rFonts w:ascii="宋体" w:hAnsi="宋体" w:cs="宋体"/>
          <w:sz w:val="52"/>
          <w:szCs w:val="52"/>
          <w:u w:val="single"/>
        </w:rPr>
      </w:pPr>
      <w:bookmarkStart w:id="205" w:name="_Toc513633967"/>
      <w:bookmarkStart w:id="206" w:name="_Toc513646738"/>
      <w:bookmarkStart w:id="207" w:name="_Toc514858710"/>
      <w:bookmarkStart w:id="208" w:name="_Toc503951046"/>
      <w:bookmarkStart w:id="209" w:name="_Toc503971829"/>
      <w:r>
        <w:rPr>
          <w:rFonts w:hint="eastAsia" w:ascii="宋体" w:hAnsi="宋体" w:cs="宋体"/>
          <w:u w:val="single"/>
        </w:rPr>
        <w:t xml:space="preserve">                           </w:t>
      </w:r>
      <w:r>
        <w:rPr>
          <w:rFonts w:hint="eastAsia" w:ascii="宋体" w:hAnsi="宋体" w:cs="宋体"/>
          <w:sz w:val="52"/>
          <w:szCs w:val="52"/>
          <w:u w:val="single"/>
        </w:rPr>
        <w:t>（项目名称）</w:t>
      </w:r>
      <w:bookmarkEnd w:id="205"/>
      <w:bookmarkEnd w:id="206"/>
      <w:bookmarkEnd w:id="207"/>
      <w:bookmarkEnd w:id="208"/>
      <w:bookmarkEnd w:id="209"/>
      <w:r>
        <w:rPr>
          <w:rFonts w:hint="eastAsia" w:ascii="宋体" w:hAnsi="宋体" w:cs="宋体"/>
          <w:sz w:val="52"/>
          <w:szCs w:val="52"/>
          <w:u w:val="single"/>
        </w:rPr>
        <w:t xml:space="preserve"> </w:t>
      </w:r>
    </w:p>
    <w:p>
      <w:pPr>
        <w:rPr>
          <w:rFonts w:ascii="宋体" w:hAnsi="宋体" w:cs="宋体"/>
          <w:sz w:val="20"/>
          <w:szCs w:val="20"/>
        </w:rPr>
      </w:pPr>
    </w:p>
    <w:p>
      <w:pPr>
        <w:jc w:val="center"/>
        <w:rPr>
          <w:rFonts w:ascii="宋体" w:hAnsi="宋体" w:cs="宋体"/>
          <w:sz w:val="44"/>
          <w:szCs w:val="44"/>
        </w:rPr>
      </w:pPr>
      <w:r>
        <w:rPr>
          <w:rFonts w:hint="eastAsia" w:ascii="宋体" w:hAnsi="宋体" w:cs="宋体"/>
          <w:sz w:val="44"/>
          <w:szCs w:val="44"/>
        </w:rPr>
        <w:t xml:space="preserve"> </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b/>
          <w:sz w:val="72"/>
          <w:szCs w:val="44"/>
        </w:rPr>
      </w:pPr>
      <w:r>
        <w:rPr>
          <w:rFonts w:hint="eastAsia" w:ascii="宋体" w:hAnsi="宋体" w:cs="宋体"/>
          <w:b/>
          <w:sz w:val="72"/>
          <w:szCs w:val="44"/>
        </w:rPr>
        <w:t>竞争性比选响应文件</w:t>
      </w:r>
    </w:p>
    <w:p>
      <w:pPr>
        <w:jc w:val="center"/>
        <w:rPr>
          <w:rFonts w:ascii="宋体" w:hAnsi="宋体" w:cs="宋体"/>
          <w:b/>
          <w:sz w:val="32"/>
          <w:szCs w:val="32"/>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29"/>
      </w:pPr>
    </w:p>
    <w:p/>
    <w:p>
      <w:pPr>
        <w:pStyle w:val="29"/>
      </w:pPr>
    </w:p>
    <w:p/>
    <w:p>
      <w:pPr>
        <w:pStyle w:val="29"/>
      </w:pPr>
    </w:p>
    <w:p>
      <w:pPr>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hint="eastAsia" w:ascii="宋体" w:hAnsi="宋体" w:cs="宋体"/>
          <w:sz w:val="28"/>
          <w:szCs w:val="28"/>
        </w:rPr>
        <w:t>（盖单位鲜公章）</w:t>
      </w:r>
    </w:p>
    <w:p>
      <w:pPr>
        <w:jc w:val="center"/>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w:t>
      </w:r>
    </w:p>
    <w:p>
      <w:pPr>
        <w:jc w:val="center"/>
        <w:rPr>
          <w:rFonts w:ascii="宋体" w:hAnsi="宋体" w:cs="宋体"/>
          <w:sz w:val="20"/>
          <w:szCs w:val="20"/>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jc w:val="center"/>
        <w:rPr>
          <w:rFonts w:ascii="宋体" w:hAnsi="宋体" w:eastAsia="宋体" w:cs="宋体"/>
        </w:rPr>
      </w:pPr>
      <w:bookmarkStart w:id="210" w:name="_Toc5459"/>
      <w:bookmarkStart w:id="211" w:name="_Toc28780"/>
      <w:bookmarkStart w:id="212" w:name="_Toc11329273"/>
      <w:bookmarkStart w:id="213" w:name="_Toc1368"/>
      <w:r>
        <w:rPr>
          <w:rFonts w:hint="eastAsia" w:ascii="宋体" w:hAnsi="宋体" w:eastAsia="宋体" w:cs="宋体"/>
        </w:rPr>
        <w:t>目    录</w:t>
      </w:r>
      <w:bookmarkEnd w:id="193"/>
      <w:bookmarkEnd w:id="194"/>
      <w:bookmarkEnd w:id="195"/>
      <w:bookmarkEnd w:id="196"/>
      <w:bookmarkEnd w:id="197"/>
      <w:bookmarkEnd w:id="198"/>
      <w:bookmarkEnd w:id="199"/>
      <w:bookmarkEnd w:id="200"/>
      <w:bookmarkEnd w:id="210"/>
      <w:bookmarkEnd w:id="211"/>
      <w:bookmarkEnd w:id="212"/>
      <w:bookmarkEnd w:id="213"/>
    </w:p>
    <w:p>
      <w:pPr>
        <w:numPr>
          <w:ilvl w:val="0"/>
          <w:numId w:val="3"/>
        </w:numPr>
        <w:spacing w:line="400" w:lineRule="exact"/>
        <w:rPr>
          <w:rFonts w:ascii="宋体" w:hAnsi="宋体" w:cs="宋体"/>
        </w:rPr>
      </w:pPr>
      <w:r>
        <w:rPr>
          <w:rFonts w:hint="eastAsia" w:ascii="宋体" w:hAnsi="宋体" w:cs="宋体"/>
        </w:rPr>
        <w:t>竞争比选响应声明书</w:t>
      </w:r>
    </w:p>
    <w:p>
      <w:pPr>
        <w:numPr>
          <w:ilvl w:val="0"/>
          <w:numId w:val="3"/>
        </w:numPr>
        <w:spacing w:line="400" w:lineRule="exact"/>
        <w:rPr>
          <w:rFonts w:ascii="宋体" w:hAnsi="宋体" w:cs="宋体"/>
        </w:rPr>
      </w:pPr>
      <w:r>
        <w:rPr>
          <w:rFonts w:ascii="宋体" w:hAnsi="宋体" w:cs="宋体"/>
        </w:rPr>
        <w:t>法定代表人身份证明或法定代表人授权委托书</w:t>
      </w:r>
    </w:p>
    <w:p>
      <w:pPr>
        <w:spacing w:line="400" w:lineRule="exact"/>
        <w:rPr>
          <w:rFonts w:ascii="宋体" w:hAnsi="宋体" w:cs="宋体"/>
        </w:rPr>
      </w:pPr>
      <w:r>
        <w:rPr>
          <w:rFonts w:hint="eastAsia" w:ascii="宋体" w:hAnsi="宋体" w:cs="宋体"/>
        </w:rPr>
        <w:t>三、报价一览表</w:t>
      </w:r>
    </w:p>
    <w:p>
      <w:pPr>
        <w:spacing w:line="400" w:lineRule="exact"/>
        <w:rPr>
          <w:rFonts w:ascii="宋体" w:hAnsi="宋体" w:cs="宋体"/>
        </w:rPr>
      </w:pPr>
      <w:r>
        <w:rPr>
          <w:rFonts w:hint="eastAsia" w:ascii="宋体" w:hAnsi="宋体" w:cs="宋体"/>
        </w:rPr>
        <w:t>四、资格审查资料</w:t>
      </w:r>
    </w:p>
    <w:p>
      <w:pPr>
        <w:spacing w:line="400" w:lineRule="exact"/>
        <w:rPr>
          <w:rFonts w:ascii="宋体" w:hAnsi="宋体" w:cs="宋体"/>
          <w:szCs w:val="21"/>
        </w:rPr>
      </w:pPr>
      <w:r>
        <w:rPr>
          <w:rFonts w:hint="eastAsia" w:ascii="宋体" w:hAnsi="宋体" w:cs="宋体"/>
        </w:rPr>
        <w:t>五、</w:t>
      </w:r>
      <w:r>
        <w:rPr>
          <w:rFonts w:hint="eastAsia" w:ascii="宋体" w:hAnsi="宋体" w:cs="宋体"/>
          <w:szCs w:val="21"/>
        </w:rPr>
        <w:t>报价人须知前附表规定要求的资料</w:t>
      </w:r>
    </w:p>
    <w:p>
      <w:pPr>
        <w:spacing w:line="400" w:lineRule="exact"/>
        <w:rPr>
          <w:rFonts w:hint="eastAsia" w:ascii="宋体" w:hAnsi="宋体" w:cs="宋体"/>
          <w:szCs w:val="21"/>
        </w:rPr>
      </w:pPr>
      <w:r>
        <w:rPr>
          <w:rFonts w:hint="eastAsia" w:ascii="宋体" w:hAnsi="宋体" w:cs="宋体"/>
          <w:szCs w:val="21"/>
        </w:rPr>
        <w:t>六、报价人基本信息及其他材料</w:t>
      </w:r>
    </w:p>
    <w:p>
      <w:pPr>
        <w:spacing w:line="400" w:lineRule="exact"/>
        <w:rPr>
          <w:rFonts w:ascii="宋体" w:hAnsi="宋体" w:cs="宋体"/>
        </w:rPr>
      </w:pPr>
      <w:r>
        <w:rPr>
          <w:rFonts w:hint="eastAsia" w:ascii="宋体" w:hAnsi="宋体" w:cs="宋体"/>
          <w:szCs w:val="21"/>
          <w:lang w:val="en-US" w:eastAsia="zh-CN"/>
        </w:rPr>
        <w:t>七、</w:t>
      </w:r>
      <w:r>
        <w:rPr>
          <w:rFonts w:hint="eastAsia" w:ascii="宋体" w:hAnsi="宋体" w:cs="宋体"/>
        </w:rPr>
        <w:t>低价风险担保提交承诺书</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r>
        <w:rPr>
          <w:rFonts w:ascii="宋体" w:hAnsi="宋体" w:cs="宋体"/>
        </w:rPr>
        <w:br w:type="page"/>
      </w:r>
    </w:p>
    <w:p>
      <w:pPr>
        <w:pStyle w:val="5"/>
        <w:spacing w:before="0" w:after="0" w:line="360" w:lineRule="auto"/>
        <w:jc w:val="center"/>
        <w:rPr>
          <w:rFonts w:ascii="宋体" w:hAnsi="宋体" w:eastAsia="宋体" w:cs="宋体"/>
          <w:sz w:val="28"/>
        </w:rPr>
      </w:pPr>
      <w:bookmarkStart w:id="214" w:name="_Toc8870"/>
      <w:bookmarkStart w:id="215" w:name="_Toc11329274"/>
      <w:bookmarkStart w:id="216" w:name="_Toc15863"/>
      <w:bookmarkStart w:id="217" w:name="_Toc25874"/>
      <w:bookmarkStart w:id="218" w:name="_Toc29547"/>
      <w:bookmarkStart w:id="219" w:name="_Toc503951048"/>
      <w:bookmarkStart w:id="220" w:name="_Toc447827053"/>
      <w:bookmarkStart w:id="221" w:name="_Toc513633969"/>
      <w:r>
        <w:rPr>
          <w:rFonts w:hint="eastAsia" w:ascii="宋体" w:hAnsi="宋体" w:eastAsia="宋体" w:cs="宋体"/>
          <w:sz w:val="28"/>
        </w:rPr>
        <w:t>一、</w:t>
      </w:r>
      <w:bookmarkEnd w:id="214"/>
      <w:bookmarkEnd w:id="215"/>
      <w:r>
        <w:rPr>
          <w:rFonts w:hint="eastAsia" w:ascii="宋体" w:hAnsi="宋体" w:eastAsia="宋体" w:cs="宋体"/>
          <w:sz w:val="28"/>
        </w:rPr>
        <w:t>竞争比选响应声明书</w:t>
      </w:r>
      <w:bookmarkEnd w:id="216"/>
      <w:bookmarkEnd w:id="217"/>
      <w:bookmarkEnd w:id="218"/>
    </w:p>
    <w:p>
      <w:pPr>
        <w:tabs>
          <w:tab w:val="left" w:pos="900"/>
        </w:tabs>
        <w:spacing w:line="300" w:lineRule="auto"/>
        <w:rPr>
          <w:rFonts w:ascii="Arial" w:hAnsi="Arial" w:cs="Arial"/>
          <w:color w:val="000000"/>
          <w:sz w:val="24"/>
        </w:rPr>
      </w:pPr>
      <w:r>
        <w:rPr>
          <w:rFonts w:ascii="Arial" w:hAnsi="Arial" w:cs="Arial"/>
          <w:color w:val="000000"/>
          <w:sz w:val="24"/>
        </w:rPr>
        <w:t xml:space="preserve"> </w:t>
      </w:r>
      <w:r>
        <w:rPr>
          <w:rFonts w:hint="eastAsia" w:ascii="Arial" w:hAnsi="Arial" w:cs="Arial"/>
          <w:b/>
          <w:color w:val="000000"/>
          <w:sz w:val="24"/>
        </w:rPr>
        <w:t>致：</w:t>
      </w:r>
      <w:r>
        <w:rPr>
          <w:rFonts w:hint="eastAsia" w:ascii="Arial" w:hAnsi="Arial" w:cs="Arial"/>
          <w:b/>
          <w:bCs/>
          <w:color w:val="000000"/>
          <w:sz w:val="24"/>
          <w:u w:val="single"/>
        </w:rPr>
        <w:t>重庆首讯科技股份有限公司</w:t>
      </w:r>
    </w:p>
    <w:p>
      <w:pPr>
        <w:spacing w:line="700" w:lineRule="atLeast"/>
        <w:ind w:firstLine="480" w:firstLineChars="200"/>
        <w:rPr>
          <w:rFonts w:ascii="Arial" w:hAnsi="Arial" w:cs="Arial"/>
          <w:color w:val="000000"/>
          <w:sz w:val="24"/>
        </w:rPr>
      </w:pPr>
      <w:r>
        <w:rPr>
          <w:rFonts w:hint="eastAsia" w:ascii="Arial" w:hAnsi="Arial" w:cs="Arial"/>
          <w:color w:val="000000"/>
          <w:sz w:val="24"/>
        </w:rPr>
        <w:t>根据贵</w:t>
      </w:r>
      <w:r>
        <w:rPr>
          <w:rFonts w:hint="eastAsia" w:ascii="Arial" w:hAnsi="Arial" w:cs="Arial"/>
          <w:sz w:val="24"/>
        </w:rPr>
        <w:t>方为</w:t>
      </w:r>
      <w:r>
        <w:rPr>
          <w:rFonts w:hint="eastAsia" w:ascii="Arial" w:hAnsi="Arial" w:cs="Arial"/>
          <w:sz w:val="24"/>
          <w:u w:val="single"/>
          <w:lang w:eastAsia="zh-CN"/>
        </w:rPr>
        <w:t>2023年渝蓉高速大足石刻服务区机电工程电线电缆采购（第二次）</w:t>
      </w:r>
      <w:r>
        <w:rPr>
          <w:rFonts w:hint="eastAsia" w:ascii="Arial" w:hAnsi="Arial" w:cs="Arial"/>
          <w:sz w:val="24"/>
        </w:rPr>
        <w:t>竞争比选项目及服</w:t>
      </w:r>
      <w:r>
        <w:rPr>
          <w:rFonts w:hint="eastAsia" w:ascii="Arial" w:hAnsi="Arial" w:cs="Arial"/>
          <w:color w:val="000000"/>
          <w:sz w:val="24"/>
        </w:rPr>
        <w:t>务的竞争比选邀请，签字代表</w:t>
      </w:r>
      <w:r>
        <w:rPr>
          <w:rFonts w:ascii="Arial" w:hAnsi="Arial" w:cs="Arial"/>
          <w:color w:val="000000"/>
          <w:sz w:val="24"/>
          <w:u w:val="single"/>
        </w:rPr>
        <w:t xml:space="preserve">          </w:t>
      </w:r>
      <w:r>
        <w:rPr>
          <w:rFonts w:hint="eastAsia" w:ascii="Arial" w:hAnsi="Arial" w:cs="Arial"/>
          <w:color w:val="000000"/>
          <w:sz w:val="24"/>
          <w:u w:val="single"/>
        </w:rPr>
        <w:t>（全名、职务）</w:t>
      </w:r>
      <w:r>
        <w:rPr>
          <w:rFonts w:hint="eastAsia" w:ascii="Arial" w:hAnsi="Arial" w:cs="Arial"/>
          <w:color w:val="000000"/>
          <w:sz w:val="24"/>
        </w:rPr>
        <w:t>经正式授权并代表竞争比选响应单位</w:t>
      </w:r>
      <w:r>
        <w:rPr>
          <w:rFonts w:hint="eastAsia" w:ascii="Arial" w:hAnsi="Arial" w:cs="Arial"/>
          <w:color w:val="000000"/>
          <w:sz w:val="24"/>
          <w:u w:val="single"/>
        </w:rPr>
        <w:t>（竞争比选响应单位名称）</w:t>
      </w:r>
      <w:r>
        <w:rPr>
          <w:rFonts w:ascii="Arial" w:hAnsi="Arial" w:cs="Arial"/>
          <w:color w:val="000000"/>
          <w:sz w:val="24"/>
          <w:u w:val="single"/>
        </w:rPr>
        <w:t xml:space="preserve"> </w:t>
      </w:r>
      <w:r>
        <w:rPr>
          <w:rFonts w:hint="eastAsia" w:ascii="Arial" w:hAnsi="Arial" w:cs="Arial"/>
          <w:color w:val="000000"/>
          <w:sz w:val="24"/>
        </w:rPr>
        <w:t>提交报价文件。</w:t>
      </w:r>
    </w:p>
    <w:p>
      <w:pPr>
        <w:spacing w:line="700" w:lineRule="atLeast"/>
        <w:ind w:firstLine="480" w:firstLineChars="200"/>
        <w:rPr>
          <w:rFonts w:ascii="Arial" w:hAnsi="Arial" w:cs="Arial"/>
          <w:color w:val="000000"/>
          <w:sz w:val="24"/>
          <w:u w:val="single"/>
        </w:rPr>
      </w:pPr>
      <w:r>
        <w:rPr>
          <w:rFonts w:hint="eastAsia" w:ascii="Arial" w:hAnsi="Arial" w:cs="Arial"/>
          <w:color w:val="000000"/>
          <w:sz w:val="24"/>
          <w:u w:val="single"/>
        </w:rPr>
        <w:t>我方愿以人民币：              元（大写              元）的报价总价按照竞争比选文件的要求，承担本次竞争比选文件要求的</w:t>
      </w:r>
      <w:r>
        <w:rPr>
          <w:rFonts w:hint="eastAsia" w:ascii="Arial" w:hAnsi="Arial" w:cs="Arial"/>
          <w:color w:val="000000"/>
          <w:sz w:val="24"/>
          <w:u w:val="single"/>
          <w:lang w:val="en-US" w:eastAsia="zh-CN"/>
        </w:rPr>
        <w:t>电线电缆供货</w:t>
      </w:r>
      <w:r>
        <w:rPr>
          <w:rFonts w:hint="eastAsia" w:ascii="Arial" w:hAnsi="Arial" w:cs="Arial"/>
          <w:color w:val="000000"/>
          <w:sz w:val="24"/>
          <w:u w:val="single"/>
        </w:rPr>
        <w:t>工作。</w:t>
      </w:r>
    </w:p>
    <w:p>
      <w:pPr>
        <w:tabs>
          <w:tab w:val="left" w:pos="540"/>
          <w:tab w:val="left" w:pos="900"/>
        </w:tabs>
        <w:spacing w:line="300" w:lineRule="auto"/>
        <w:rPr>
          <w:rFonts w:ascii="Arial" w:hAnsi="Arial" w:cs="Arial"/>
          <w:color w:val="000000"/>
          <w:sz w:val="24"/>
        </w:rPr>
      </w:pPr>
      <w:r>
        <w:rPr>
          <w:rFonts w:ascii="Arial" w:hAnsi="Arial" w:cs="Arial"/>
          <w:color w:val="000000"/>
          <w:sz w:val="24"/>
        </w:rPr>
        <w:t xml:space="preserve">    </w:t>
      </w:r>
    </w:p>
    <w:p>
      <w:pPr>
        <w:tabs>
          <w:tab w:val="left" w:pos="540"/>
          <w:tab w:val="left" w:pos="900"/>
        </w:tabs>
        <w:spacing w:line="300" w:lineRule="auto"/>
        <w:rPr>
          <w:rFonts w:ascii="Arial" w:hAnsi="Arial" w:cs="Arial"/>
          <w:color w:val="000000"/>
          <w:sz w:val="24"/>
        </w:rPr>
      </w:pPr>
      <w:r>
        <w:rPr>
          <w:rFonts w:hint="eastAsia" w:ascii="Arial" w:hAnsi="Arial" w:cs="Arial"/>
          <w:color w:val="000000"/>
          <w:sz w:val="24"/>
        </w:rPr>
        <w:t>据此函，签字代表宣布同意如下：</w:t>
      </w:r>
    </w:p>
    <w:p>
      <w:pPr>
        <w:tabs>
          <w:tab w:val="left" w:pos="540"/>
          <w:tab w:val="left" w:pos="900"/>
        </w:tabs>
        <w:spacing w:line="300" w:lineRule="auto"/>
        <w:rPr>
          <w:rFonts w:ascii="Arial" w:hAnsi="Arial" w:cs="Arial"/>
          <w:color w:val="000000"/>
          <w:sz w:val="24"/>
        </w:rPr>
      </w:pPr>
      <w:r>
        <w:rPr>
          <w:rFonts w:ascii="Arial" w:hAnsi="Arial" w:cs="Arial"/>
          <w:color w:val="000000"/>
          <w:sz w:val="24"/>
        </w:rPr>
        <w:t>1</w:t>
      </w:r>
      <w:r>
        <w:rPr>
          <w:rFonts w:hint="eastAsia" w:ascii="Arial" w:hAnsi="Arial" w:cs="Arial"/>
          <w:color w:val="000000"/>
          <w:sz w:val="24"/>
        </w:rPr>
        <w:t>、竞争比选响应单位将按竞争比选文件规定履行合同责任和义务。</w:t>
      </w:r>
    </w:p>
    <w:p>
      <w:pPr>
        <w:tabs>
          <w:tab w:val="left" w:pos="900"/>
        </w:tabs>
        <w:spacing w:line="300" w:lineRule="auto"/>
        <w:rPr>
          <w:rFonts w:ascii="Arial" w:hAnsi="Arial" w:cs="Arial"/>
          <w:b/>
          <w:color w:val="000000"/>
          <w:sz w:val="24"/>
        </w:rPr>
      </w:pPr>
      <w:r>
        <w:rPr>
          <w:rFonts w:ascii="Arial" w:hAnsi="Arial" w:cs="Arial"/>
          <w:color w:val="000000"/>
          <w:sz w:val="24"/>
        </w:rPr>
        <w:t>2</w:t>
      </w:r>
      <w:r>
        <w:rPr>
          <w:rFonts w:hint="eastAsia" w:ascii="Arial" w:hAnsi="Arial" w:cs="Arial"/>
          <w:color w:val="000000"/>
          <w:sz w:val="24"/>
        </w:rPr>
        <w:t>、竞争比选响应单位已详细审查全部竞争比选文件，包括修改文件（如有的话）以及全部参考资料和相关附件。我们完全理解并同意放弃对这方面有不明及误解的权利。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sz w:val="24"/>
        </w:rPr>
      </w:pPr>
      <w:r>
        <w:rPr>
          <w:rFonts w:hint="eastAsia" w:ascii="Arial" w:hAnsi="Arial" w:cs="Arial"/>
          <w:color w:val="000000"/>
          <w:sz w:val="24"/>
        </w:rPr>
        <w:t>3、竞争比选响应单位同意提供采购人可能要求的与其竞争比选响应文件有关的一切数据或资料，完全理解采购人不一定要接受最低报价的竞争比选响应或收到的任何报价。</w:t>
      </w:r>
    </w:p>
    <w:p>
      <w:pPr>
        <w:tabs>
          <w:tab w:val="left" w:pos="900"/>
        </w:tabs>
        <w:spacing w:line="300" w:lineRule="auto"/>
        <w:rPr>
          <w:rFonts w:ascii="Arial" w:hAnsi="Arial" w:cs="Arial"/>
          <w:b/>
          <w:color w:val="000000"/>
          <w:sz w:val="24"/>
        </w:rPr>
      </w:pPr>
      <w:r>
        <w:rPr>
          <w:rFonts w:hint="eastAsia" w:ascii="Arial" w:hAnsi="Arial" w:cs="Arial"/>
          <w:color w:val="000000"/>
          <w:sz w:val="24"/>
        </w:rPr>
        <w:t>4、与本竞争比选响应有关的一切正式往来通讯请寄：</w:t>
      </w:r>
    </w:p>
    <w:p>
      <w:pPr>
        <w:tabs>
          <w:tab w:val="left" w:pos="900"/>
        </w:tabs>
        <w:spacing w:line="300" w:lineRule="auto"/>
        <w:rPr>
          <w:rFonts w:ascii="Arial" w:hAnsi="Arial" w:cs="Arial"/>
          <w:b/>
          <w:color w:val="000000"/>
          <w:sz w:val="24"/>
        </w:rPr>
      </w:pPr>
      <w:r>
        <w:rPr>
          <w:rFonts w:hint="eastAsia" w:ascii="Arial" w:hAnsi="Arial" w:cs="Arial"/>
          <w:color w:val="000000"/>
          <w:sz w:val="24"/>
        </w:rPr>
        <w:t>地址：</w:t>
      </w:r>
      <w:r>
        <w:rPr>
          <w:rFonts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邮编：</w:t>
      </w:r>
      <w:r>
        <w:rPr>
          <w:rFonts w:ascii="Arial" w:hAnsi="Arial" w:cs="Arial"/>
          <w:color w:val="000000"/>
          <w:sz w:val="24"/>
          <w:u w:val="single"/>
        </w:rPr>
        <w:t xml:space="preserve">            </w:t>
      </w:r>
      <w:r>
        <w:rPr>
          <w:rFonts w:ascii="Arial" w:hAnsi="Arial" w:cs="Arial"/>
          <w:b/>
          <w:color w:val="000000"/>
          <w:sz w:val="24"/>
        </w:rPr>
        <w:t xml:space="preserve">  </w:t>
      </w:r>
    </w:p>
    <w:p>
      <w:pPr>
        <w:tabs>
          <w:tab w:val="left" w:pos="900"/>
        </w:tabs>
        <w:spacing w:line="300" w:lineRule="auto"/>
        <w:rPr>
          <w:rFonts w:ascii="Arial" w:hAnsi="Arial" w:cs="Arial"/>
          <w:color w:val="000000"/>
          <w:sz w:val="24"/>
          <w:u w:val="single"/>
        </w:rPr>
      </w:pPr>
      <w:r>
        <w:rPr>
          <w:rFonts w:hint="eastAsia" w:ascii="Arial" w:hAnsi="Arial" w:cs="Arial"/>
          <w:color w:val="000000"/>
          <w:sz w:val="24"/>
        </w:rPr>
        <w:t>电话：</w:t>
      </w:r>
      <w:r>
        <w:rPr>
          <w:rFonts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传真：</w:t>
      </w:r>
      <w:r>
        <w:rPr>
          <w:rFonts w:ascii="Arial" w:hAnsi="Arial" w:cs="Arial"/>
          <w:color w:val="000000"/>
          <w:sz w:val="24"/>
          <w:u w:val="single"/>
        </w:rPr>
        <w:t xml:space="preserve">            </w:t>
      </w:r>
    </w:p>
    <w:p>
      <w:pPr>
        <w:tabs>
          <w:tab w:val="left" w:pos="900"/>
        </w:tabs>
        <w:spacing w:line="300" w:lineRule="auto"/>
        <w:rPr>
          <w:rFonts w:ascii="Arial" w:hAnsi="Arial" w:cs="Arial"/>
          <w:sz w:val="24"/>
        </w:rPr>
      </w:pPr>
      <w:r>
        <w:rPr>
          <w:rFonts w:hint="eastAsia" w:ascii="Arial" w:hAnsi="Arial" w:cs="Arial"/>
          <w:sz w:val="24"/>
        </w:rPr>
        <w:t>竞争比选响应单位法定代表人或授权代表人（签字）：</w:t>
      </w:r>
      <w:r>
        <w:rPr>
          <w:rFonts w:ascii="Arial" w:hAnsi="Arial" w:cs="Arial"/>
          <w:sz w:val="24"/>
          <w:u w:val="single"/>
        </w:rPr>
        <w:t xml:space="preserve">             </w:t>
      </w:r>
      <w:r>
        <w:rPr>
          <w:rFonts w:ascii="Arial" w:hAnsi="Arial" w:cs="Arial"/>
          <w:sz w:val="24"/>
        </w:rPr>
        <w:t xml:space="preserve">  </w:t>
      </w:r>
    </w:p>
    <w:p>
      <w:pPr>
        <w:tabs>
          <w:tab w:val="left" w:pos="900"/>
        </w:tabs>
        <w:spacing w:line="300" w:lineRule="auto"/>
        <w:rPr>
          <w:rFonts w:ascii="Arial" w:hAnsi="Arial" w:cs="Arial"/>
          <w:sz w:val="24"/>
        </w:rPr>
      </w:pPr>
      <w:r>
        <w:rPr>
          <w:rFonts w:hint="eastAsia" w:ascii="Arial" w:hAnsi="Arial" w:cs="Arial"/>
          <w:sz w:val="24"/>
        </w:rPr>
        <w:t>竞争比选响应单位法定代表人或授权代表人职务：</w:t>
      </w:r>
      <w:r>
        <w:rPr>
          <w:rFonts w:ascii="Arial" w:hAnsi="Arial" w:cs="Arial"/>
          <w:sz w:val="24"/>
          <w:u w:val="single"/>
        </w:rPr>
        <w:t xml:space="preserve">             </w:t>
      </w:r>
      <w:r>
        <w:rPr>
          <w:rFonts w:ascii="Arial" w:hAnsi="Arial" w:cs="Arial"/>
          <w:sz w:val="24"/>
        </w:rPr>
        <w:t xml:space="preserve">               </w:t>
      </w:r>
    </w:p>
    <w:p>
      <w:pPr>
        <w:tabs>
          <w:tab w:val="left" w:pos="900"/>
        </w:tabs>
        <w:spacing w:line="300" w:lineRule="auto"/>
        <w:rPr>
          <w:rFonts w:ascii="Arial" w:hAnsi="Arial" w:cs="Arial"/>
          <w:color w:val="000000"/>
          <w:sz w:val="24"/>
        </w:rPr>
      </w:pPr>
      <w:r>
        <w:rPr>
          <w:rFonts w:hint="eastAsia" w:ascii="Arial" w:hAnsi="Arial" w:cs="Arial"/>
          <w:sz w:val="24"/>
        </w:rPr>
        <w:t>竞争比选响应单位名称（加盖公章）：</w:t>
      </w:r>
      <w:r>
        <w:rPr>
          <w:rFonts w:ascii="Arial" w:hAnsi="Arial" w:cs="Arial"/>
          <w:sz w:val="24"/>
          <w:u w:val="single"/>
        </w:rPr>
        <w:t xml:space="preserve">               </w:t>
      </w:r>
      <w:r>
        <w:rPr>
          <w:rFonts w:ascii="Arial" w:hAnsi="Arial" w:cs="Arial"/>
          <w:color w:val="000000"/>
          <w:sz w:val="24"/>
          <w:u w:val="single"/>
        </w:rPr>
        <w:t xml:space="preserve">                  </w:t>
      </w:r>
    </w:p>
    <w:p>
      <w:pPr>
        <w:tabs>
          <w:tab w:val="left" w:pos="900"/>
        </w:tabs>
        <w:spacing w:line="300" w:lineRule="auto"/>
        <w:rPr>
          <w:rFonts w:ascii="Arial" w:hAnsi="Arial" w:cs="Arial"/>
          <w:color w:val="000000"/>
          <w:sz w:val="24"/>
        </w:rPr>
      </w:pPr>
      <w:r>
        <w:rPr>
          <w:rFonts w:hint="eastAsia" w:ascii="Arial" w:hAnsi="Arial" w:cs="Arial"/>
          <w:color w:val="000000"/>
          <w:sz w:val="24"/>
        </w:rPr>
        <w:t>日期：</w:t>
      </w:r>
      <w:r>
        <w:rPr>
          <w:rFonts w:hint="eastAsia" w:ascii="Arial" w:hAnsi="Arial" w:cs="Arial"/>
          <w:color w:val="000000"/>
          <w:sz w:val="24"/>
          <w:u w:val="single"/>
        </w:rPr>
        <w:t xml:space="preserve">     </w:t>
      </w:r>
      <w:r>
        <w:rPr>
          <w:rFonts w:hint="eastAsia" w:ascii="Arial" w:hAnsi="Arial" w:cs="Arial"/>
          <w:color w:val="000000"/>
          <w:sz w:val="24"/>
        </w:rPr>
        <w:t>年</w:t>
      </w:r>
      <w:r>
        <w:rPr>
          <w:rFonts w:ascii="Arial" w:hAnsi="Arial" w:cs="Arial"/>
          <w:color w:val="000000"/>
          <w:sz w:val="24"/>
          <w:u w:val="single"/>
        </w:rPr>
        <w:t xml:space="preserve">      </w:t>
      </w:r>
      <w:r>
        <w:rPr>
          <w:rFonts w:hint="eastAsia" w:ascii="Arial" w:hAnsi="Arial" w:cs="Arial"/>
          <w:color w:val="000000"/>
          <w:sz w:val="24"/>
        </w:rPr>
        <w:t>月</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hint="eastAsia" w:ascii="Arial" w:hAnsi="Arial" w:cs="Arial"/>
          <w:color w:val="000000"/>
          <w:sz w:val="24"/>
        </w:rPr>
        <w:t>日</w:t>
      </w:r>
      <w:r>
        <w:rPr>
          <w:rFonts w:ascii="Arial" w:hAnsi="Arial" w:cs="Arial"/>
          <w:color w:val="000000"/>
          <w:sz w:val="24"/>
        </w:rPr>
        <w:t xml:space="preserve"> </w:t>
      </w:r>
    </w:p>
    <w:p>
      <w:pPr>
        <w:outlineLvl w:val="0"/>
        <w:rPr>
          <w:b/>
          <w:sz w:val="24"/>
        </w:rPr>
      </w:pPr>
    </w:p>
    <w:p>
      <w:pPr>
        <w:outlineLvl w:val="0"/>
        <w:rPr>
          <w:b/>
          <w:sz w:val="24"/>
        </w:rPr>
      </w:pPr>
    </w:p>
    <w:p>
      <w:pPr>
        <w:outlineLvl w:val="0"/>
        <w:rPr>
          <w:b/>
          <w:sz w:val="24"/>
        </w:rPr>
      </w:pPr>
    </w:p>
    <w:p>
      <w:pPr>
        <w:pStyle w:val="5"/>
        <w:jc w:val="center"/>
        <w:rPr>
          <w:rFonts w:ascii="宋体" w:hAnsi="宋体" w:eastAsia="宋体" w:cs="宋体"/>
          <w:sz w:val="28"/>
          <w:szCs w:val="28"/>
        </w:rPr>
      </w:pPr>
      <w:bookmarkStart w:id="222" w:name="_Toc27815"/>
      <w:bookmarkStart w:id="223" w:name="_Toc491883232"/>
      <w:r>
        <w:rPr>
          <w:rFonts w:hint="eastAsia" w:ascii="宋体" w:hAnsi="宋体" w:eastAsia="宋体" w:cs="宋体"/>
          <w:sz w:val="28"/>
          <w:szCs w:val="28"/>
        </w:rPr>
        <w:t>二、法定代表人身份证明或法定代表人授权委托书</w:t>
      </w:r>
      <w:bookmarkEnd w:id="222"/>
    </w:p>
    <w:p>
      <w:pPr>
        <w:pStyle w:val="5"/>
        <w:jc w:val="center"/>
        <w:rPr>
          <w:rFonts w:ascii="宋体" w:hAnsi="宋体" w:eastAsia="宋体" w:cs="宋体"/>
          <w:sz w:val="24"/>
          <w:szCs w:val="24"/>
        </w:rPr>
      </w:pPr>
      <w:bookmarkStart w:id="224" w:name="_Toc14141"/>
      <w:r>
        <w:rPr>
          <w:rFonts w:hint="eastAsia" w:ascii="宋体" w:hAnsi="宋体" w:eastAsia="宋体" w:cs="宋体"/>
          <w:sz w:val="24"/>
          <w:szCs w:val="24"/>
        </w:rPr>
        <w:t>（一）法定代表人身份证明</w:t>
      </w:r>
      <w:bookmarkEnd w:id="223"/>
      <w:bookmarkEnd w:id="224"/>
    </w:p>
    <w:p>
      <w:pPr>
        <w:spacing w:line="440" w:lineRule="exact"/>
        <w:rPr>
          <w:rFonts w:ascii="宋体" w:hAnsi="宋体"/>
        </w:rPr>
      </w:pPr>
      <w:r>
        <w:rPr>
          <w:rFonts w:hint="eastAsia" w:ascii="宋体" w:hAnsi="宋体"/>
        </w:rPr>
        <w:t>报价人</w:t>
      </w:r>
      <w:r>
        <w:rPr>
          <w:rFonts w:ascii="宋体" w:hAnsi="宋体"/>
        </w:rPr>
        <w:t>名称：</w:t>
      </w:r>
      <w:r>
        <w:rPr>
          <w:rFonts w:ascii="宋体" w:hAnsi="宋体"/>
          <w:u w:val="single"/>
        </w:rPr>
        <w:t xml:space="preserve">                        </w:t>
      </w:r>
    </w:p>
    <w:p>
      <w:pPr>
        <w:spacing w:line="440" w:lineRule="exact"/>
        <w:rPr>
          <w:rFonts w:ascii="宋体" w:hAnsi="宋体"/>
        </w:rPr>
      </w:pPr>
      <w:r>
        <w:rPr>
          <w:rFonts w:ascii="宋体" w:hAnsi="宋体"/>
        </w:rPr>
        <w:t>姓名：</w:t>
      </w:r>
      <w:r>
        <w:rPr>
          <w:rFonts w:ascii="宋体" w:hAnsi="宋体"/>
          <w:u w:val="single"/>
        </w:rPr>
        <w:t xml:space="preserve">                </w:t>
      </w:r>
      <w:r>
        <w:rPr>
          <w:rFonts w:ascii="宋体" w:hAnsi="宋体"/>
        </w:rPr>
        <w:t>性别：</w:t>
      </w:r>
      <w:bookmarkStart w:id="225" w:name="_Toc369531698"/>
      <w:bookmarkStart w:id="226" w:name="_Toc352691662"/>
      <w:bookmarkStart w:id="227" w:name="_Toc27897"/>
      <w:r>
        <w:rPr>
          <w:rFonts w:ascii="宋体" w:hAnsi="宋体"/>
          <w:u w:val="single"/>
        </w:rPr>
        <w:t xml:space="preserve">        </w:t>
      </w:r>
      <w:r>
        <w:rPr>
          <w:rFonts w:ascii="宋体" w:hAnsi="宋体"/>
        </w:rPr>
        <w:t>年</w:t>
      </w:r>
      <w:bookmarkEnd w:id="225"/>
      <w:bookmarkEnd w:id="226"/>
      <w:bookmarkEnd w:id="227"/>
      <w:r>
        <w:rPr>
          <w:rFonts w:ascii="宋体" w:hAnsi="宋体"/>
        </w:rPr>
        <w:t>龄</w:t>
      </w:r>
      <w:bookmarkStart w:id="228" w:name="_Toc247527829"/>
      <w:bookmarkStart w:id="229" w:name="_Toc352691663"/>
      <w:bookmarkStart w:id="230" w:name="_Toc300835211"/>
      <w:bookmarkStart w:id="231" w:name="_Toc384308377"/>
      <w:bookmarkStart w:id="232" w:name="_Toc144974858"/>
      <w:bookmarkStart w:id="233" w:name="_Toc361508754"/>
      <w:bookmarkStart w:id="234" w:name="_Toc15573"/>
      <w:bookmarkStart w:id="235" w:name="_Toc152042578"/>
      <w:bookmarkStart w:id="236" w:name="_Toc152045789"/>
      <w:bookmarkStart w:id="237" w:name="_Toc247514248"/>
      <w:bookmarkStart w:id="238" w:name="_Toc369531699"/>
      <w:r>
        <w:rPr>
          <w:rFonts w:ascii="宋体" w:hAnsi="宋体"/>
        </w:rPr>
        <w:t>：</w:t>
      </w:r>
      <w:bookmarkEnd w:id="228"/>
      <w:bookmarkEnd w:id="229"/>
      <w:bookmarkEnd w:id="230"/>
      <w:bookmarkEnd w:id="231"/>
      <w:bookmarkEnd w:id="232"/>
      <w:bookmarkEnd w:id="233"/>
      <w:bookmarkEnd w:id="234"/>
      <w:bookmarkEnd w:id="235"/>
      <w:bookmarkEnd w:id="236"/>
      <w:bookmarkEnd w:id="237"/>
      <w:bookmarkEnd w:id="238"/>
      <w:r>
        <w:rPr>
          <w:rFonts w:ascii="宋体" w:hAnsi="宋体"/>
          <w:u w:val="single"/>
        </w:rPr>
        <w:t xml:space="preserve">        </w:t>
      </w:r>
      <w:r>
        <w:rPr>
          <w:rFonts w:ascii="宋体" w:hAnsi="宋体"/>
        </w:rPr>
        <w:t>职务：</w:t>
      </w:r>
      <w:r>
        <w:rPr>
          <w:rFonts w:ascii="宋体" w:hAnsi="宋体"/>
          <w:u w:val="single"/>
        </w:rPr>
        <w:t xml:space="preserve">        </w:t>
      </w:r>
    </w:p>
    <w:p>
      <w:pPr>
        <w:spacing w:line="440" w:lineRule="exact"/>
        <w:rPr>
          <w:rFonts w:ascii="宋体" w:hAnsi="宋体"/>
        </w:rPr>
      </w:pPr>
      <w:r>
        <w:rPr>
          <w:rFonts w:ascii="宋体" w:hAnsi="宋体"/>
        </w:rPr>
        <w:t>系</w:t>
      </w:r>
      <w:r>
        <w:rPr>
          <w:rFonts w:ascii="宋体" w:hAnsi="宋体"/>
          <w:u w:val="single"/>
        </w:rPr>
        <w:t xml:space="preserve">                        </w:t>
      </w:r>
      <w:r>
        <w:rPr>
          <w:rFonts w:ascii="宋体" w:hAnsi="宋体"/>
        </w:rPr>
        <w:t>（</w:t>
      </w:r>
      <w:r>
        <w:rPr>
          <w:rFonts w:hint="eastAsia" w:ascii="宋体" w:hAnsi="宋体"/>
        </w:rPr>
        <w:t>报价人</w:t>
      </w:r>
      <w:r>
        <w:rPr>
          <w:rFonts w:ascii="宋体" w:hAnsi="宋体"/>
        </w:rPr>
        <w:t>名称）的法定代表人。</w:t>
      </w:r>
    </w:p>
    <w:p>
      <w:pPr>
        <w:spacing w:line="440" w:lineRule="exact"/>
        <w:ind w:firstLine="420" w:firstLineChars="200"/>
        <w:rPr>
          <w:rFonts w:ascii="宋体" w:hAnsi="宋体"/>
        </w:rPr>
      </w:pPr>
      <w:r>
        <w:rPr>
          <w:rFonts w:ascii="宋体" w:hAnsi="宋体"/>
        </w:rPr>
        <w:t>特此证明。</w:t>
      </w:r>
    </w:p>
    <w:p>
      <w:pPr>
        <w:spacing w:line="440" w:lineRule="exact"/>
        <w:rPr>
          <w:rFonts w:ascii="宋体" w:hAnsi="宋体"/>
        </w:rPr>
      </w:pPr>
    </w:p>
    <w:p>
      <w:pPr>
        <w:spacing w:line="440" w:lineRule="exact"/>
        <w:rPr>
          <w:rFonts w:ascii="宋体" w:hAnsi="宋体"/>
        </w:rPr>
      </w:pPr>
      <w:r>
        <w:rPr>
          <w:rFonts w:ascii="宋体" w:hAnsi="宋体"/>
        </w:rPr>
        <w:t>附：法定代表人身份证复印件</w:t>
      </w:r>
      <w:r>
        <w:rPr>
          <w:rFonts w:hint="eastAsia" w:ascii="宋体" w:hAnsi="宋体"/>
        </w:rPr>
        <w:t>（正、反面）</w:t>
      </w:r>
      <w:r>
        <w:rPr>
          <w:rFonts w:ascii="宋体" w:hAnsi="宋体"/>
        </w:rPr>
        <w:t>。</w: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jc w:val="center"/>
        <w:rPr>
          <w:rFonts w:ascii="宋体" w:hAnsi="宋体"/>
        </w:rPr>
      </w:pPr>
      <w:r>
        <w:rPr>
          <w:rFonts w:ascii="宋体" w:hAnsi="宋体"/>
        </w:rPr>
        <w:t xml:space="preserve">                              </w:t>
      </w:r>
      <w:r>
        <w:rPr>
          <w:rFonts w:hint="eastAsia" w:ascii="宋体" w:hAnsi="宋体"/>
        </w:rPr>
        <w:t>报价人</w:t>
      </w:r>
      <w:r>
        <w:rPr>
          <w:rFonts w:ascii="宋体" w:hAnsi="宋体"/>
        </w:rPr>
        <w:t>：</w:t>
      </w:r>
      <w:r>
        <w:rPr>
          <w:rFonts w:ascii="宋体" w:hAnsi="宋体"/>
          <w:szCs w:val="21"/>
          <w:u w:val="single"/>
        </w:rPr>
        <w:t xml:space="preserve">          </w:t>
      </w:r>
      <w:r>
        <w:rPr>
          <w:rFonts w:ascii="宋体" w:hAnsi="宋体"/>
          <w:szCs w:val="21"/>
          <w:u w:val="single"/>
        </w:rPr>
        <w:tab/>
      </w:r>
      <w:r>
        <w:rPr>
          <w:rFonts w:ascii="宋体" w:hAnsi="宋体"/>
        </w:rPr>
        <w:t>（</w:t>
      </w:r>
      <w:r>
        <w:rPr>
          <w:rFonts w:hint="eastAsia" w:ascii="宋体" w:hAnsi="宋体"/>
        </w:rPr>
        <w:t>盖</w:t>
      </w:r>
      <w:r>
        <w:rPr>
          <w:rFonts w:ascii="宋体" w:hAnsi="宋体"/>
        </w:rPr>
        <w:t>单位</w:t>
      </w:r>
      <w:r>
        <w:rPr>
          <w:rFonts w:hint="eastAsia" w:ascii="宋体" w:hAnsi="宋体"/>
        </w:rPr>
        <w:t>公章</w:t>
      </w:r>
      <w:r>
        <w:rPr>
          <w:rFonts w:ascii="宋体" w:hAnsi="宋体"/>
        </w:rPr>
        <w:t>）</w:t>
      </w:r>
    </w:p>
    <w:p>
      <w:pPr>
        <w:spacing w:line="440" w:lineRule="exact"/>
        <w:rPr>
          <w:rFonts w:ascii="宋体" w:hAnsi="宋体"/>
        </w:rPr>
      </w:pPr>
    </w:p>
    <w:p>
      <w:pPr>
        <w:spacing w:line="440" w:lineRule="exact"/>
        <w:ind w:firstLine="4620" w:firstLineChars="2200"/>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rPr>
          <w:rFonts w:ascii="宋体" w:hAnsi="宋体"/>
        </w:rPr>
      </w:pPr>
    </w:p>
    <w:p>
      <w:pPr>
        <w:rPr>
          <w:rFonts w:ascii="宋体" w:hAnsi="宋体"/>
        </w:rPr>
      </w:pPr>
    </w:p>
    <w:p>
      <w:pPr>
        <w:spacing w:line="440" w:lineRule="exact"/>
        <w:rPr>
          <w:rFonts w:ascii="宋体" w:hAnsi="宋体"/>
        </w:rPr>
      </w:pPr>
      <w:r>
        <w:rPr>
          <w:rFonts w:ascii="宋体" w:hAnsi="宋体"/>
        </w:rPr>
        <w:t>注：本身份证明需由</w:t>
      </w:r>
      <w:r>
        <w:rPr>
          <w:rFonts w:hint="eastAsia" w:ascii="宋体" w:hAnsi="宋体"/>
        </w:rPr>
        <w:t>报价人</w:t>
      </w:r>
      <w:r>
        <w:rPr>
          <w:rFonts w:ascii="宋体" w:hAnsi="宋体"/>
        </w:rPr>
        <w:t>加盖单位</w:t>
      </w:r>
      <w:r>
        <w:rPr>
          <w:rFonts w:hint="eastAsia" w:ascii="宋体" w:hAnsi="宋体"/>
        </w:rPr>
        <w:t>公章</w:t>
      </w:r>
      <w:r>
        <w:rPr>
          <w:rFonts w:ascii="宋体" w:hAnsi="宋体"/>
        </w:rPr>
        <w:t>。</w:t>
      </w:r>
    </w:p>
    <w:p>
      <w:pPr>
        <w:spacing w:line="440" w:lineRule="exact"/>
        <w:rPr>
          <w:rFonts w:ascii="宋体" w:hAnsi="宋体"/>
          <w:sz w:val="20"/>
        </w:rPr>
      </w:pPr>
    </w:p>
    <w:p>
      <w:pPr>
        <w:spacing w:line="20" w:lineRule="exact"/>
        <w:jc w:val="center"/>
        <w:rPr>
          <w:rFonts w:ascii="宋体" w:hAnsi="宋体"/>
          <w:sz w:val="20"/>
        </w:rPr>
      </w:pPr>
      <w:r>
        <w:rPr>
          <w:rFonts w:ascii="宋体" w:hAnsi="宋体"/>
          <w:sz w:val="20"/>
        </w:rPr>
        <w:br w:type="page"/>
      </w:r>
    </w:p>
    <w:p>
      <w:pPr>
        <w:pStyle w:val="5"/>
        <w:jc w:val="center"/>
        <w:rPr>
          <w:rFonts w:ascii="宋体" w:hAnsi="宋体"/>
          <w:sz w:val="28"/>
          <w:szCs w:val="28"/>
        </w:rPr>
      </w:pPr>
      <w:bookmarkStart w:id="239" w:name="_Toc491883233"/>
      <w:bookmarkStart w:id="240" w:name="_Toc58"/>
      <w:r>
        <w:rPr>
          <w:rFonts w:hint="eastAsia" w:ascii="宋体" w:hAnsi="宋体" w:eastAsia="宋体" w:cs="宋体"/>
          <w:sz w:val="24"/>
          <w:szCs w:val="24"/>
        </w:rPr>
        <w:t>（二）</w:t>
      </w:r>
      <w:bookmarkEnd w:id="239"/>
      <w:r>
        <w:rPr>
          <w:rFonts w:hint="eastAsia" w:ascii="宋体" w:hAnsi="宋体" w:eastAsia="宋体" w:cs="宋体"/>
          <w:sz w:val="24"/>
          <w:szCs w:val="24"/>
        </w:rPr>
        <w:t>法定代表人授权委托书</w:t>
      </w:r>
      <w:bookmarkEnd w:id="240"/>
    </w:p>
    <w:p>
      <w:pPr>
        <w:topLinePunct/>
        <w:spacing w:line="440" w:lineRule="exact"/>
        <w:ind w:firstLine="420" w:firstLineChars="200"/>
        <w:rPr>
          <w:rFonts w:ascii="宋体" w:hAnsi="宋体"/>
        </w:rPr>
      </w:pPr>
      <w:r>
        <w:rPr>
          <w:rFonts w:ascii="宋体" w:hAnsi="宋体"/>
        </w:rPr>
        <w:t>本人</w:t>
      </w:r>
      <w:r>
        <w:rPr>
          <w:rFonts w:ascii="宋体" w:hAnsi="宋体"/>
          <w:u w:val="single"/>
        </w:rPr>
        <w:t xml:space="preserve">              </w:t>
      </w:r>
      <w:r>
        <w:rPr>
          <w:rFonts w:ascii="宋体" w:hAnsi="宋体"/>
        </w:rPr>
        <w:t>（姓名）系</w:t>
      </w:r>
      <w:r>
        <w:rPr>
          <w:rFonts w:ascii="宋体" w:hAnsi="宋体"/>
          <w:u w:val="single"/>
        </w:rPr>
        <w:t xml:space="preserve">                    </w:t>
      </w:r>
      <w:r>
        <w:rPr>
          <w:rFonts w:ascii="宋体" w:hAnsi="宋体"/>
        </w:rPr>
        <w:t>（</w:t>
      </w:r>
      <w:r>
        <w:rPr>
          <w:rFonts w:hint="eastAsia" w:ascii="宋体" w:hAnsi="宋体"/>
        </w:rPr>
        <w:t>报价人</w:t>
      </w:r>
      <w:r>
        <w:rPr>
          <w:rFonts w:ascii="宋体" w:hAnsi="宋体"/>
        </w:rPr>
        <w:t>名称）的法定代表人，现委托</w:t>
      </w:r>
      <w:r>
        <w:rPr>
          <w:rFonts w:ascii="宋体" w:hAnsi="宋体"/>
          <w:u w:val="single"/>
        </w:rPr>
        <w:t xml:space="preserve">            </w:t>
      </w:r>
      <w:r>
        <w:rPr>
          <w:rFonts w:ascii="宋体" w:hAnsi="宋体"/>
        </w:rPr>
        <w:t>（姓名）为我方代理人。代理人根据授权，以我方名义签署、澄清确认、递交、撤回、修改招标项目</w:t>
      </w:r>
      <w:r>
        <w:rPr>
          <w:rFonts w:hint="eastAsia" w:ascii="宋体" w:hAnsi="宋体"/>
        </w:rPr>
        <w:t>比选</w:t>
      </w:r>
      <w:r>
        <w:rPr>
          <w:rFonts w:ascii="宋体" w:hAnsi="宋体"/>
        </w:rPr>
        <w:t>文件、签订合同和处理有关事宜，其法律后果由我方承担。</w:t>
      </w:r>
    </w:p>
    <w:p>
      <w:pPr>
        <w:spacing w:line="440" w:lineRule="exact"/>
        <w:rPr>
          <w:rFonts w:ascii="宋体" w:hAnsi="宋体"/>
        </w:rPr>
      </w:pPr>
      <w:r>
        <w:rPr>
          <w:rFonts w:ascii="宋体" w:hAnsi="宋体"/>
        </w:rPr>
        <w:t>委托期限：</w:t>
      </w:r>
      <w:r>
        <w:rPr>
          <w:rFonts w:ascii="宋体" w:hAnsi="宋体"/>
          <w:u w:val="single"/>
        </w:rPr>
        <w:t xml:space="preserve">                       </w:t>
      </w:r>
      <w:r>
        <w:rPr>
          <w:rFonts w:ascii="宋体" w:hAnsi="宋体"/>
        </w:rPr>
        <w:t>。</w:t>
      </w:r>
    </w:p>
    <w:p>
      <w:pPr>
        <w:spacing w:line="440" w:lineRule="exact"/>
        <w:ind w:firstLine="420" w:firstLineChars="200"/>
        <w:rPr>
          <w:rFonts w:ascii="宋体" w:hAnsi="宋体"/>
        </w:rPr>
      </w:pPr>
      <w:r>
        <w:rPr>
          <w:rFonts w:ascii="宋体" w:hAnsi="宋体"/>
        </w:rPr>
        <w:t>代理人无转委托权。</w:t>
      </w:r>
    </w:p>
    <w:p>
      <w:pPr>
        <w:spacing w:line="440" w:lineRule="exact"/>
        <w:ind w:firstLine="420" w:firstLineChars="200"/>
        <w:rPr>
          <w:rFonts w:ascii="宋体" w:hAnsi="宋体"/>
        </w:rPr>
      </w:pPr>
    </w:p>
    <w:p>
      <w:pPr>
        <w:spacing w:line="440" w:lineRule="exact"/>
        <w:rPr>
          <w:rFonts w:ascii="宋体" w:hAnsi="宋体"/>
        </w:rPr>
      </w:pPr>
      <w:r>
        <w:rPr>
          <w:rFonts w:ascii="宋体" w:hAnsi="宋体"/>
        </w:rPr>
        <w:t>附：法定代表人身份证复印件</w:t>
      </w:r>
      <w:r>
        <w:rPr>
          <w:rFonts w:ascii="宋体" w:hAnsi="宋体"/>
          <w:b w:val="0"/>
          <w:bCs w:val="0"/>
        </w:rPr>
        <w:t>及</w:t>
      </w:r>
      <w:r>
        <w:rPr>
          <w:rFonts w:ascii="宋体" w:hAnsi="宋体"/>
        </w:rPr>
        <w:t>委托代理人身份证复印件</w:t>
      </w:r>
      <w:r>
        <w:rPr>
          <w:rFonts w:hint="eastAsia" w:ascii="宋体" w:hAnsi="宋体"/>
        </w:rPr>
        <w:t>（正、反面）</w: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ind w:firstLine="2692" w:firstLineChars="1282"/>
        <w:rPr>
          <w:rFonts w:ascii="宋体" w:hAnsi="宋体"/>
        </w:rPr>
      </w:pPr>
      <w:r>
        <w:rPr>
          <w:rFonts w:hint="eastAsia" w:ascii="宋体" w:hAnsi="宋体"/>
        </w:rPr>
        <w:t>报  价  人</w:t>
      </w:r>
      <w:r>
        <w:rPr>
          <w:rFonts w:ascii="宋体" w:hAnsi="宋体"/>
        </w:rPr>
        <w:t>：</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w:t>
      </w:r>
      <w:r>
        <w:rPr>
          <w:rFonts w:hint="eastAsia" w:ascii="宋体" w:hAnsi="宋体"/>
        </w:rPr>
        <w:t>盖</w:t>
      </w:r>
      <w:r>
        <w:rPr>
          <w:rFonts w:ascii="宋体" w:hAnsi="宋体"/>
        </w:rPr>
        <w:t>单位</w:t>
      </w:r>
      <w:r>
        <w:rPr>
          <w:rFonts w:hint="eastAsia" w:ascii="宋体" w:hAnsi="宋体"/>
        </w:rPr>
        <w:t>公章</w:t>
      </w:r>
      <w:r>
        <w:rPr>
          <w:rFonts w:ascii="宋体" w:hAnsi="宋体"/>
        </w:rPr>
        <w:t>）</w:t>
      </w:r>
    </w:p>
    <w:p>
      <w:pPr>
        <w:spacing w:line="440" w:lineRule="exact"/>
        <w:ind w:firstLine="2690" w:firstLineChars="1281"/>
        <w:jc w:val="left"/>
        <w:rPr>
          <w:rFonts w:ascii="宋体" w:hAnsi="宋体"/>
        </w:rPr>
      </w:pPr>
      <w:r>
        <w:rPr>
          <w:rFonts w:ascii="宋体" w:hAnsi="宋体"/>
        </w:rPr>
        <w:t>法定代表人：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ab/>
      </w:r>
      <w:r>
        <w:rPr>
          <w:rFonts w:ascii="宋体" w:hAnsi="宋体"/>
        </w:rPr>
        <w:t>（签字</w:t>
      </w:r>
      <w:r>
        <w:rPr>
          <w:rFonts w:hint="eastAsia" w:ascii="宋体" w:hAnsi="宋体"/>
        </w:rPr>
        <w:t xml:space="preserve"> </w:t>
      </w:r>
      <w:r>
        <w:rPr>
          <w:rFonts w:ascii="宋体" w:hAnsi="宋体"/>
        </w:rPr>
        <w:t>）</w:t>
      </w:r>
    </w:p>
    <w:p>
      <w:pPr>
        <w:spacing w:line="440" w:lineRule="exact"/>
        <w:ind w:firstLine="2692" w:firstLineChars="128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pPr>
        <w:spacing w:line="440" w:lineRule="exact"/>
        <w:ind w:firstLine="2692" w:firstLineChars="1282"/>
        <w:rPr>
          <w:rFonts w:ascii="宋体" w:hAnsi="宋体"/>
        </w:rPr>
      </w:pPr>
      <w:r>
        <w:rPr>
          <w:rFonts w:ascii="宋体" w:hAnsi="宋体"/>
        </w:rPr>
        <w:t>委托代理人：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（签字）</w:t>
      </w:r>
    </w:p>
    <w:p>
      <w:pPr>
        <w:spacing w:line="440" w:lineRule="exact"/>
        <w:ind w:firstLine="2692" w:firstLineChars="128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pPr>
        <w:spacing w:line="440" w:lineRule="exact"/>
        <w:ind w:firstLine="2692" w:firstLineChars="1282"/>
        <w:rPr>
          <w:rFonts w:ascii="宋体" w:hAnsi="宋体"/>
        </w:rPr>
      </w:pPr>
    </w:p>
    <w:p>
      <w:pPr>
        <w:spacing w:line="440" w:lineRule="exact"/>
        <w:ind w:firstLine="4057" w:firstLineChars="1932"/>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rPr>
          <w:rFonts w:ascii="宋体" w:hAnsi="宋体"/>
        </w:rPr>
      </w:pPr>
    </w:p>
    <w:p>
      <w:pPr>
        <w:rPr>
          <w:rFonts w:ascii="宋体" w:hAnsi="宋体"/>
        </w:rPr>
      </w:pPr>
    </w:p>
    <w:p>
      <w:pPr>
        <w:spacing w:line="440" w:lineRule="exact"/>
        <w:rPr>
          <w:rFonts w:ascii="宋体" w:hAnsi="宋体"/>
        </w:rPr>
      </w:pPr>
      <w:r>
        <w:rPr>
          <w:rFonts w:ascii="宋体" w:hAnsi="宋体"/>
        </w:rPr>
        <w:t>注：本授权委托书需由</w:t>
      </w:r>
      <w:r>
        <w:rPr>
          <w:rFonts w:hint="eastAsia" w:ascii="宋体" w:hAnsi="宋体"/>
        </w:rPr>
        <w:t>报价人</w:t>
      </w:r>
      <w:r>
        <w:rPr>
          <w:rFonts w:ascii="宋体" w:hAnsi="宋体"/>
        </w:rPr>
        <w:t>加盖单位</w:t>
      </w:r>
      <w:r>
        <w:rPr>
          <w:rFonts w:hint="eastAsia" w:ascii="宋体" w:hAnsi="宋体"/>
        </w:rPr>
        <w:t>公章</w:t>
      </w:r>
      <w:r>
        <w:rPr>
          <w:rFonts w:ascii="宋体" w:hAnsi="宋体"/>
        </w:rPr>
        <w:t>并由其法定代表人和委托代理人签字。</w:t>
      </w:r>
    </w:p>
    <w:p>
      <w:pPr>
        <w:pStyle w:val="29"/>
        <w:sectPr>
          <w:pgSz w:w="11906" w:h="16838"/>
          <w:pgMar w:top="1440" w:right="1803" w:bottom="1440" w:left="1803" w:header="851" w:footer="992" w:gutter="0"/>
          <w:cols w:space="720" w:num="1"/>
          <w:titlePg/>
          <w:docGrid w:type="lines" w:linePitch="319" w:charSpace="0"/>
        </w:sectPr>
      </w:pPr>
    </w:p>
    <w:p>
      <w:pPr>
        <w:rPr>
          <w:rFonts w:ascii="宋体" w:hAnsi="宋体" w:cs="宋体"/>
          <w:snapToGrid w:val="0"/>
          <w:kern w:val="0"/>
          <w:szCs w:val="21"/>
        </w:rPr>
      </w:pPr>
    </w:p>
    <w:p>
      <w:pPr>
        <w:jc w:val="center"/>
        <w:rPr>
          <w:rFonts w:ascii="宋体" w:hAnsi="宋体" w:cs="宋体"/>
          <w:b/>
        </w:rPr>
      </w:pPr>
      <w:bookmarkStart w:id="241" w:name="_Toc11329275"/>
      <w:r>
        <w:rPr>
          <w:rFonts w:hint="eastAsia" w:ascii="宋体" w:hAnsi="宋体" w:cs="宋体"/>
          <w:b/>
          <w:bCs/>
          <w:kern w:val="0"/>
          <w:sz w:val="28"/>
          <w:szCs w:val="32"/>
        </w:rPr>
        <w:t>三、</w:t>
      </w:r>
      <w:bookmarkEnd w:id="219"/>
      <w:bookmarkEnd w:id="220"/>
      <w:bookmarkEnd w:id="221"/>
      <w:bookmarkEnd w:id="241"/>
      <w:r>
        <w:rPr>
          <w:rFonts w:hint="eastAsia" w:ascii="宋体" w:hAnsi="宋体" w:cs="宋体"/>
          <w:b/>
          <w:bCs/>
          <w:kern w:val="0"/>
          <w:sz w:val="28"/>
          <w:szCs w:val="32"/>
        </w:rPr>
        <w:t>报价一览表</w:t>
      </w:r>
    </w:p>
    <w:p>
      <w:pPr>
        <w:ind w:left="765"/>
        <w:jc w:val="center"/>
        <w:rPr>
          <w:rFonts w:ascii="宋体" w:hAnsi="宋体" w:cs="宋体"/>
          <w:szCs w:val="21"/>
        </w:rPr>
      </w:pPr>
    </w:p>
    <w:p>
      <w:pPr>
        <w:pStyle w:val="39"/>
        <w:jc w:val="both"/>
        <w:rPr>
          <w:rFonts w:hAnsi="宋体"/>
        </w:rPr>
      </w:pPr>
      <w:r>
        <w:rPr>
          <w:rFonts w:hint="eastAsia" w:hAnsi="宋体"/>
        </w:rPr>
        <w:t>重庆首讯科技股份有限公司：</w:t>
      </w:r>
    </w:p>
    <w:p>
      <w:pPr>
        <w:spacing w:line="360" w:lineRule="auto"/>
        <w:ind w:firstLine="480" w:firstLineChars="200"/>
        <w:jc w:val="left"/>
        <w:rPr>
          <w:rFonts w:ascii="宋体" w:hAnsi="宋体"/>
          <w:b/>
          <w:color w:val="000000"/>
          <w:sz w:val="24"/>
        </w:rPr>
      </w:pPr>
      <w:r>
        <w:rPr>
          <w:rFonts w:hint="eastAsia" w:ascii="宋体" w:hAnsi="宋体"/>
          <w:color w:val="000000"/>
          <w:sz w:val="24"/>
        </w:rPr>
        <w:t>在研究了竞争比选文件中所有文件后，我司对</w:t>
      </w:r>
      <w:r>
        <w:rPr>
          <w:rFonts w:hint="eastAsia" w:ascii="宋体" w:hAnsi="宋体"/>
          <w:color w:val="000000"/>
          <w:sz w:val="24"/>
          <w:u w:val="single"/>
          <w:lang w:eastAsia="zh-CN"/>
        </w:rPr>
        <w:t>2023年渝蓉高速大足石刻服务区机电工程电线电缆采购（第二次）</w:t>
      </w:r>
      <w:r>
        <w:rPr>
          <w:rFonts w:hint="eastAsia" w:ascii="宋体" w:hAnsi="宋体"/>
          <w:color w:val="000000"/>
          <w:sz w:val="24"/>
        </w:rPr>
        <w:t>竞</w:t>
      </w:r>
      <w:r>
        <w:rPr>
          <w:rFonts w:hint="eastAsia" w:ascii="Arial" w:hAnsi="Arial" w:cs="Arial"/>
          <w:color w:val="000000"/>
          <w:sz w:val="24"/>
        </w:rPr>
        <w:t>争比选响应</w:t>
      </w:r>
      <w:r>
        <w:rPr>
          <w:rFonts w:hint="eastAsia" w:ascii="宋体" w:hAnsi="宋体"/>
          <w:color w:val="000000"/>
          <w:sz w:val="24"/>
        </w:rPr>
        <w:t>报价如下：</w:t>
      </w:r>
      <w:r>
        <w:rPr>
          <w:rFonts w:hint="eastAsia" w:ascii="宋体" w:hAnsi="宋体"/>
          <w:b/>
          <w:color w:val="000000"/>
          <w:sz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82" w:firstLineChars="200"/>
        <w:rPr>
          <w:rFonts w:ascii="宋体" w:hAnsi="宋体" w:cs="宋体"/>
          <w:b/>
          <w:kern w:val="0"/>
          <w:sz w:val="28"/>
          <w:szCs w:val="28"/>
        </w:rPr>
      </w:pPr>
      <w:r>
        <w:rPr>
          <w:rFonts w:hint="eastAsia" w:ascii="宋体" w:hAnsi="宋体"/>
          <w:b/>
          <w:bCs/>
          <w:color w:val="000000"/>
          <w:sz w:val="24"/>
        </w:rPr>
        <w:t>报价采用表格形式，见“工程量清单”。</w:t>
      </w:r>
      <w:r>
        <w:rPr>
          <w:rFonts w:hint="eastAsia" w:ascii="宋体" w:hAnsi="宋体" w:cs="宋体"/>
          <w:b/>
          <w:kern w:val="0"/>
          <w:sz w:val="28"/>
          <w:szCs w:val="28"/>
        </w:rPr>
        <w:t xml:space="preserve"> </w:t>
      </w:r>
    </w:p>
    <w:p>
      <w:pPr>
        <w:spacing w:line="400" w:lineRule="exact"/>
        <w:rPr>
          <w:rFonts w:ascii="宋体" w:hAnsi="宋体" w:cs="宋体"/>
          <w:kern w:val="0"/>
          <w:szCs w:val="21"/>
        </w:rPr>
      </w:pPr>
    </w:p>
    <w:p>
      <w:pPr>
        <w:pStyle w:val="5"/>
        <w:spacing w:before="0" w:after="0" w:line="360" w:lineRule="auto"/>
        <w:jc w:val="center"/>
        <w:rPr>
          <w:rFonts w:ascii="宋体" w:hAnsi="宋体" w:eastAsia="宋体" w:cs="宋体"/>
          <w:sz w:val="28"/>
        </w:rPr>
      </w:pPr>
      <w:bookmarkStart w:id="242" w:name="_Toc513633971"/>
      <w:bookmarkStart w:id="243" w:name="_Toc503951050"/>
      <w:bookmarkStart w:id="244" w:name="_Toc11329278"/>
      <w:bookmarkStart w:id="245" w:name="_Toc152045803"/>
      <w:bookmarkStart w:id="246" w:name="_Toc246997112"/>
      <w:bookmarkStart w:id="247" w:name="_Toc447827058"/>
      <w:bookmarkStart w:id="248" w:name="_Toc144974871"/>
      <w:bookmarkStart w:id="249" w:name="_Toc246996369"/>
      <w:bookmarkStart w:id="250" w:name="_Toc152042592"/>
      <w:bookmarkStart w:id="251" w:name="_Toc247085887"/>
      <w:bookmarkStart w:id="252" w:name="_Toc179632823"/>
      <w:r>
        <w:rPr>
          <w:rFonts w:hint="eastAsia" w:ascii="宋体" w:hAnsi="宋体" w:eastAsia="宋体" w:cs="宋体"/>
          <w:sz w:val="28"/>
        </w:rPr>
        <w:br w:type="page"/>
      </w:r>
      <w:bookmarkStart w:id="253" w:name="_Toc18757"/>
      <w:bookmarkStart w:id="254" w:name="_Toc11961"/>
      <w:bookmarkStart w:id="255" w:name="_Toc12910"/>
      <w:r>
        <w:rPr>
          <w:rFonts w:hint="eastAsia" w:ascii="宋体" w:hAnsi="宋体" w:eastAsia="宋体" w:cs="宋体"/>
          <w:sz w:val="28"/>
        </w:rPr>
        <w:t>四、资格审查资料</w:t>
      </w:r>
      <w:bookmarkEnd w:id="242"/>
      <w:bookmarkEnd w:id="243"/>
      <w:bookmarkEnd w:id="244"/>
      <w:bookmarkEnd w:id="253"/>
      <w:bookmarkEnd w:id="254"/>
      <w:bookmarkEnd w:id="255"/>
    </w:p>
    <w:p>
      <w:pPr>
        <w:pStyle w:val="5"/>
        <w:spacing w:before="0" w:after="0" w:line="360" w:lineRule="auto"/>
        <w:jc w:val="center"/>
        <w:rPr>
          <w:rFonts w:hint="eastAsia" w:ascii="宋体" w:hAnsi="宋体" w:eastAsia="宋体" w:cs="宋体"/>
          <w:sz w:val="28"/>
        </w:rPr>
      </w:pPr>
      <w:bookmarkStart w:id="256" w:name="_Toc32456"/>
      <w:bookmarkStart w:id="257" w:name="_Toc22003"/>
      <w:bookmarkStart w:id="258" w:name="_Toc17915"/>
      <w:r>
        <w:rPr>
          <w:rFonts w:hint="eastAsia" w:ascii="宋体" w:hAnsi="宋体" w:eastAsia="宋体" w:cs="宋体"/>
          <w:sz w:val="28"/>
        </w:rPr>
        <w:t>（营业执照</w:t>
      </w:r>
      <w:r>
        <w:rPr>
          <w:rFonts w:hint="eastAsia" w:ascii="宋体" w:hAnsi="宋体" w:eastAsia="宋体" w:cs="宋体"/>
          <w:sz w:val="28"/>
          <w:lang w:eastAsia="zh-CN"/>
        </w:rPr>
        <w:t>、</w:t>
      </w:r>
      <w:r>
        <w:rPr>
          <w:rFonts w:hint="eastAsia" w:ascii="宋体" w:hAnsi="宋体" w:eastAsia="宋体" w:cs="宋体"/>
          <w:sz w:val="28"/>
          <w:lang w:val="en-US" w:eastAsia="zh-CN"/>
        </w:rPr>
        <w:t>项目授权书</w:t>
      </w:r>
      <w:r>
        <w:rPr>
          <w:rFonts w:hint="eastAsia" w:ascii="宋体" w:hAnsi="宋体" w:eastAsia="宋体" w:cs="宋体"/>
          <w:sz w:val="28"/>
        </w:rPr>
        <w:t>等）</w:t>
      </w:r>
      <w:bookmarkEnd w:id="245"/>
      <w:bookmarkEnd w:id="246"/>
      <w:bookmarkEnd w:id="247"/>
      <w:bookmarkEnd w:id="248"/>
      <w:bookmarkEnd w:id="249"/>
      <w:bookmarkEnd w:id="250"/>
      <w:bookmarkEnd w:id="251"/>
      <w:bookmarkEnd w:id="252"/>
      <w:bookmarkEnd w:id="256"/>
      <w:bookmarkEnd w:id="257"/>
      <w:bookmarkEnd w:id="258"/>
      <w:bookmarkStart w:id="259" w:name="_Toc503951055"/>
      <w:bookmarkStart w:id="260" w:name="_Toc513633973"/>
      <w:bookmarkStart w:id="261" w:name="_Toc447827068"/>
      <w:bookmarkStart w:id="262" w:name="_Toc11329281"/>
      <w:bookmarkStart w:id="263" w:name="_Toc11672"/>
    </w:p>
    <w:p>
      <w:pPr>
        <w:pStyle w:val="5"/>
        <w:numPr>
          <w:ilvl w:val="0"/>
          <w:numId w:val="0"/>
        </w:numPr>
        <w:spacing w:before="0" w:after="0" w:line="360" w:lineRule="auto"/>
        <w:jc w:val="both"/>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（1）营业执照</w:t>
      </w:r>
    </w:p>
    <w:p>
      <w:pPr>
        <w:widowControl w:val="0"/>
        <w:numPr>
          <w:ilvl w:val="0"/>
          <w:numId w:val="0"/>
        </w:numPr>
        <w:jc w:val="both"/>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ascii="宋体" w:hAnsi="宋体" w:cs="宋体"/>
          <w:kern w:val="0"/>
          <w:szCs w:val="21"/>
          <w:lang w:val="en-US" w:eastAsia="zh-CN"/>
        </w:rPr>
      </w:pPr>
    </w:p>
    <w:p>
      <w:pPr>
        <w:pStyle w:val="18"/>
        <w:rPr>
          <w:rFonts w:hint="eastAsia" w:ascii="宋体" w:hAnsi="宋体" w:cs="宋体"/>
          <w:kern w:val="0"/>
          <w:szCs w:val="21"/>
          <w:lang w:val="en-US" w:eastAsia="zh-CN"/>
        </w:rPr>
      </w:pPr>
    </w:p>
    <w:p>
      <w:pPr>
        <w:pStyle w:val="18"/>
        <w:rPr>
          <w:rFonts w:hint="eastAsia" w:ascii="宋体" w:hAnsi="宋体" w:cs="宋体"/>
          <w:kern w:val="0"/>
          <w:szCs w:val="21"/>
          <w:lang w:val="en-US" w:eastAsia="zh-CN"/>
        </w:rPr>
      </w:pPr>
    </w:p>
    <w:p>
      <w:pPr>
        <w:pStyle w:val="18"/>
        <w:rPr>
          <w:rFonts w:hint="eastAsia" w:ascii="宋体" w:hAnsi="宋体" w:cs="宋体"/>
          <w:kern w:val="0"/>
          <w:szCs w:val="21"/>
          <w:lang w:val="en-US" w:eastAsia="zh-CN"/>
        </w:rPr>
      </w:pPr>
    </w:p>
    <w:p>
      <w:pPr>
        <w:pStyle w:val="18"/>
        <w:rPr>
          <w:rFonts w:hint="eastAsia" w:ascii="宋体" w:hAnsi="宋体" w:eastAsia="宋体" w:cs="宋体"/>
          <w:b w:val="0"/>
          <w:bCs w:val="0"/>
          <w:kern w:val="0"/>
          <w:sz w:val="20"/>
          <w:szCs w:val="21"/>
          <w:lang w:val="en-US" w:eastAsia="zh-CN" w:bidi="ar-SA"/>
        </w:rPr>
      </w:pPr>
      <w:r>
        <w:rPr>
          <w:rFonts w:hint="eastAsia" w:ascii="宋体" w:hAnsi="宋体" w:cs="宋体"/>
          <w:kern w:val="0"/>
          <w:szCs w:val="21"/>
          <w:lang w:val="en-US" w:eastAsia="zh-CN"/>
        </w:rPr>
        <w:t>注：</w:t>
      </w:r>
      <w:r>
        <w:rPr>
          <w:rFonts w:hint="eastAsia" w:ascii="宋体" w:hAnsi="宋体" w:cs="宋体"/>
          <w:kern w:val="0"/>
          <w:szCs w:val="21"/>
        </w:rPr>
        <w:t>需提供有关资料，并加盖单位鲜公章</w:t>
      </w:r>
      <w:r>
        <w:rPr>
          <w:rFonts w:hint="eastAsia" w:ascii="宋体" w:hAnsi="宋体" w:cs="宋体"/>
          <w:kern w:val="0"/>
          <w:szCs w:val="21"/>
          <w:lang w:eastAsia="zh-CN"/>
        </w:rPr>
        <w:t>。</w:t>
      </w:r>
    </w:p>
    <w:p>
      <w:pPr>
        <w:pStyle w:val="18"/>
        <w:rPr>
          <w:rFonts w:hint="eastAsia" w:ascii="宋体" w:hAnsi="宋体" w:cs="Arial"/>
          <w:b/>
          <w:bCs w:val="0"/>
          <w:color w:val="000000"/>
          <w:kern w:val="2"/>
          <w:sz w:val="24"/>
          <w:szCs w:val="24"/>
          <w:lang w:val="en-US" w:eastAsia="zh-CN" w:bidi="ar-SA"/>
        </w:rPr>
      </w:pPr>
    </w:p>
    <w:p>
      <w:pPr>
        <w:pStyle w:val="18"/>
        <w:rPr>
          <w:rFonts w:hint="default" w:ascii="宋体" w:hAnsi="宋体" w:eastAsia="宋体" w:cs="Arial"/>
          <w:b/>
          <w:bCs w:val="0"/>
          <w:color w:val="000000"/>
          <w:kern w:val="2"/>
          <w:sz w:val="24"/>
          <w:szCs w:val="24"/>
          <w:lang w:val="en-US" w:eastAsia="zh-CN" w:bidi="ar-SA"/>
        </w:rPr>
      </w:pPr>
      <w:r>
        <w:rPr>
          <w:rFonts w:hint="eastAsia" w:ascii="宋体" w:hAnsi="宋体" w:cs="Arial"/>
          <w:b/>
          <w:bCs w:val="0"/>
          <w:color w:val="000000"/>
          <w:kern w:val="2"/>
          <w:sz w:val="24"/>
          <w:szCs w:val="24"/>
          <w:lang w:val="en-US" w:eastAsia="zh-CN" w:bidi="ar-SA"/>
        </w:rPr>
        <w:t>（2）代理商项目授权书（制造商无需提供）</w:t>
      </w: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r>
        <w:rPr>
          <w:rFonts w:hint="eastAsia" w:ascii="宋体" w:hAnsi="宋体" w:cs="宋体"/>
          <w:kern w:val="0"/>
          <w:szCs w:val="21"/>
          <w:lang w:val="en-US" w:eastAsia="zh-CN"/>
        </w:rPr>
        <w:t>注：</w:t>
      </w:r>
      <w:r>
        <w:rPr>
          <w:rFonts w:hint="eastAsia" w:ascii="宋体" w:hAnsi="宋体" w:cs="宋体"/>
          <w:kern w:val="0"/>
          <w:szCs w:val="21"/>
        </w:rPr>
        <w:t>需提供有关资料，并加盖单位鲜公章</w:t>
      </w:r>
      <w:r>
        <w:rPr>
          <w:rFonts w:hint="eastAsia" w:ascii="宋体" w:hAnsi="宋体" w:cs="宋体"/>
          <w:kern w:val="0"/>
          <w:szCs w:val="21"/>
          <w:lang w:eastAsia="zh-CN"/>
        </w:rPr>
        <w:t>。</w:t>
      </w:r>
    </w:p>
    <w:p>
      <w:pPr>
        <w:rPr>
          <w:rFonts w:hint="eastAsia" w:ascii="宋体" w:hAnsi="宋体" w:eastAsia="宋体" w:cs="Arial"/>
          <w:b/>
          <w:bCs w:val="0"/>
          <w:color w:val="000000"/>
          <w:kern w:val="2"/>
          <w:sz w:val="24"/>
          <w:szCs w:val="24"/>
          <w:lang w:val="en-US" w:eastAsia="zh-CN" w:bidi="ar-SA"/>
        </w:rPr>
      </w:pPr>
    </w:p>
    <w:p>
      <w:pPr>
        <w:pStyle w:val="18"/>
        <w:rPr>
          <w:rFonts w:hint="eastAsia" w:ascii="宋体" w:hAnsi="宋体" w:eastAsia="宋体" w:cs="Arial"/>
          <w:b/>
          <w:bCs w:val="0"/>
          <w:color w:val="000000"/>
          <w:kern w:val="2"/>
          <w:sz w:val="24"/>
          <w:szCs w:val="24"/>
          <w:lang w:val="en-US" w:eastAsia="zh-CN" w:bidi="ar-SA"/>
        </w:rPr>
      </w:pPr>
    </w:p>
    <w:p>
      <w:pPr>
        <w:rPr>
          <w:rFonts w:hint="eastAsia" w:ascii="宋体" w:hAnsi="宋体" w:eastAsia="宋体" w:cs="Arial"/>
          <w:b/>
          <w:bCs w:val="0"/>
          <w:color w:val="000000"/>
          <w:kern w:val="2"/>
          <w:sz w:val="24"/>
          <w:szCs w:val="24"/>
          <w:lang w:val="en-US" w:eastAsia="zh-CN" w:bidi="ar-SA"/>
        </w:rPr>
      </w:pPr>
    </w:p>
    <w:p>
      <w:pPr>
        <w:pStyle w:val="18"/>
        <w:rPr>
          <w:rFonts w:hint="eastAsia" w:ascii="宋体" w:hAnsi="宋体" w:eastAsia="宋体" w:cs="Arial"/>
          <w:b/>
          <w:bCs w:val="0"/>
          <w:color w:val="000000"/>
          <w:kern w:val="2"/>
          <w:sz w:val="24"/>
          <w:szCs w:val="24"/>
          <w:lang w:val="en-US" w:eastAsia="zh-CN" w:bidi="ar-SA"/>
        </w:rPr>
      </w:pPr>
    </w:p>
    <w:p>
      <w:pPr>
        <w:rPr>
          <w:rFonts w:hint="eastAsia" w:ascii="宋体" w:hAnsi="宋体" w:eastAsia="宋体" w:cs="Arial"/>
          <w:b/>
          <w:bCs w:val="0"/>
          <w:color w:val="000000"/>
          <w:kern w:val="2"/>
          <w:sz w:val="24"/>
          <w:szCs w:val="24"/>
          <w:lang w:val="en-US" w:eastAsia="zh-CN" w:bidi="ar-SA"/>
        </w:rPr>
      </w:pPr>
    </w:p>
    <w:p>
      <w:pPr>
        <w:pStyle w:val="18"/>
        <w:rPr>
          <w:rFonts w:hint="eastAsia" w:ascii="宋体" w:hAnsi="宋体" w:eastAsia="宋体" w:cs="Arial"/>
          <w:b/>
          <w:bCs w:val="0"/>
          <w:color w:val="000000"/>
          <w:kern w:val="2"/>
          <w:sz w:val="24"/>
          <w:szCs w:val="24"/>
          <w:lang w:val="en-US" w:eastAsia="zh-CN" w:bidi="ar-SA"/>
        </w:rPr>
      </w:pPr>
    </w:p>
    <w:p>
      <w:pPr>
        <w:rPr>
          <w:rFonts w:hint="eastAsia" w:ascii="宋体" w:hAnsi="宋体" w:eastAsia="宋体" w:cs="Arial"/>
          <w:b/>
          <w:bCs w:val="0"/>
          <w:color w:val="000000"/>
          <w:kern w:val="2"/>
          <w:sz w:val="24"/>
          <w:szCs w:val="24"/>
          <w:lang w:val="en-US" w:eastAsia="zh-CN" w:bidi="ar-SA"/>
        </w:rPr>
      </w:pPr>
    </w:p>
    <w:p>
      <w:pPr>
        <w:pStyle w:val="18"/>
        <w:rPr>
          <w:rFonts w:hint="eastAsia" w:ascii="宋体" w:hAnsi="宋体" w:eastAsia="宋体" w:cs="Arial"/>
          <w:b/>
          <w:bCs w:val="0"/>
          <w:color w:val="000000"/>
          <w:kern w:val="2"/>
          <w:sz w:val="24"/>
          <w:szCs w:val="24"/>
          <w:lang w:val="en-US" w:eastAsia="zh-CN" w:bidi="ar-SA"/>
        </w:rPr>
      </w:pPr>
    </w:p>
    <w:p>
      <w:pPr>
        <w:rPr>
          <w:rFonts w:hint="eastAsia" w:ascii="宋体" w:hAnsi="宋体" w:eastAsia="宋体" w:cs="Arial"/>
          <w:b/>
          <w:bCs w:val="0"/>
          <w:color w:val="000000"/>
          <w:kern w:val="2"/>
          <w:sz w:val="24"/>
          <w:szCs w:val="24"/>
          <w:lang w:val="en-US" w:eastAsia="zh-CN" w:bidi="ar-SA"/>
        </w:rPr>
      </w:pPr>
    </w:p>
    <w:p>
      <w:pPr>
        <w:pStyle w:val="18"/>
        <w:rPr>
          <w:rFonts w:hint="eastAsia" w:ascii="宋体" w:hAnsi="宋体" w:eastAsia="宋体" w:cs="Arial"/>
          <w:b/>
          <w:bCs w:val="0"/>
          <w:color w:val="000000"/>
          <w:kern w:val="2"/>
          <w:sz w:val="24"/>
          <w:szCs w:val="24"/>
          <w:lang w:val="en-US" w:eastAsia="zh-CN" w:bidi="ar-SA"/>
        </w:rPr>
      </w:pPr>
    </w:p>
    <w:p>
      <w:pPr>
        <w:rPr>
          <w:rFonts w:hint="eastAsia" w:ascii="宋体" w:hAnsi="宋体" w:eastAsia="宋体" w:cs="Arial"/>
          <w:b/>
          <w:bCs w:val="0"/>
          <w:color w:val="000000"/>
          <w:kern w:val="2"/>
          <w:sz w:val="24"/>
          <w:szCs w:val="24"/>
          <w:lang w:val="en-US" w:eastAsia="zh-CN" w:bidi="ar-SA"/>
        </w:rPr>
      </w:pPr>
    </w:p>
    <w:p>
      <w:pPr>
        <w:pStyle w:val="18"/>
        <w:rPr>
          <w:rFonts w:hint="eastAsia"/>
          <w:lang w:val="en-US" w:eastAsia="zh-CN"/>
        </w:rPr>
      </w:pPr>
    </w:p>
    <w:p>
      <w:pPr>
        <w:pStyle w:val="18"/>
        <w:rPr>
          <w:rFonts w:hint="default"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（3）</w:t>
      </w:r>
      <w:r>
        <w:rPr>
          <w:rFonts w:hint="eastAsia" w:ascii="宋体" w:hAnsi="宋体" w:cs="Arial"/>
          <w:b/>
          <w:bCs w:val="0"/>
          <w:color w:val="000000"/>
          <w:kern w:val="2"/>
          <w:sz w:val="24"/>
          <w:szCs w:val="24"/>
          <w:lang w:val="en-US" w:eastAsia="zh-CN" w:bidi="ar-SA"/>
        </w:rPr>
        <w:t>型式试验报告</w:t>
      </w: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r>
        <w:rPr>
          <w:rFonts w:hint="eastAsia" w:ascii="宋体" w:hAnsi="宋体" w:cs="宋体"/>
          <w:kern w:val="0"/>
          <w:szCs w:val="21"/>
          <w:lang w:val="en-US" w:eastAsia="zh-CN"/>
        </w:rPr>
        <w:t>注：</w:t>
      </w:r>
      <w:r>
        <w:rPr>
          <w:rFonts w:hint="eastAsia" w:ascii="宋体" w:hAnsi="宋体" w:cs="宋体"/>
          <w:kern w:val="0"/>
          <w:szCs w:val="21"/>
        </w:rPr>
        <w:t>需提供有关资料，并加盖单位鲜公章</w:t>
      </w:r>
      <w:r>
        <w:rPr>
          <w:rFonts w:hint="eastAsia" w:ascii="宋体" w:hAnsi="宋体" w:cs="宋体"/>
          <w:kern w:val="0"/>
          <w:szCs w:val="21"/>
          <w:lang w:eastAsia="zh-CN"/>
        </w:rPr>
        <w:t>。</w:t>
      </w:r>
    </w:p>
    <w:p>
      <w:pPr>
        <w:pStyle w:val="5"/>
        <w:numPr>
          <w:ilvl w:val="0"/>
          <w:numId w:val="0"/>
        </w:numPr>
        <w:spacing w:before="0" w:after="0" w:line="360" w:lineRule="auto"/>
        <w:jc w:val="both"/>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（4）业绩证明资料</w:t>
      </w:r>
    </w:p>
    <w:p>
      <w:pPr>
        <w:pStyle w:val="5"/>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5"/>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18"/>
        <w:rPr>
          <w:rFonts w:hint="eastAsia" w:ascii="宋体" w:hAnsi="宋体" w:eastAsia="宋体" w:cs="宋体"/>
          <w:b w:val="0"/>
          <w:bCs w:val="0"/>
          <w:kern w:val="0"/>
          <w:sz w:val="20"/>
          <w:szCs w:val="21"/>
          <w:lang w:val="en-US" w:eastAsia="zh-CN" w:bidi="ar-SA"/>
        </w:rPr>
      </w:pPr>
    </w:p>
    <w:p>
      <w:pPr>
        <w:rPr>
          <w:rFonts w:hint="eastAsia"/>
          <w:lang w:val="en-US" w:eastAsia="zh-CN"/>
        </w:rPr>
      </w:pPr>
    </w:p>
    <w:p>
      <w:pPr>
        <w:rPr>
          <w:rFonts w:hint="eastAsia"/>
          <w:lang w:val="en-US" w:eastAsia="zh-CN"/>
        </w:rPr>
      </w:pPr>
    </w:p>
    <w:p>
      <w:pPr>
        <w:pStyle w:val="5"/>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r>
        <w:rPr>
          <w:rFonts w:hint="eastAsia" w:ascii="宋体" w:hAnsi="宋体" w:eastAsia="宋体" w:cs="宋体"/>
          <w:b w:val="0"/>
          <w:bCs w:val="0"/>
          <w:kern w:val="0"/>
          <w:sz w:val="20"/>
          <w:szCs w:val="21"/>
          <w:lang w:val="en-US" w:eastAsia="zh-CN" w:bidi="ar-SA"/>
        </w:rPr>
        <w:t>注：2020年1月1日至报价截止日期（以合同签订时间为准）至少承担一项180万及以上电线电缆供货合同业绩（提供合同扫描件），并加盖单位鲜公章。</w:t>
      </w:r>
    </w:p>
    <w:p>
      <w:pPr>
        <w:rPr>
          <w:rFonts w:hint="eastAsia" w:ascii="宋体" w:hAnsi="宋体" w:eastAsia="宋体" w:cs="宋体"/>
          <w:b w:val="0"/>
          <w:bCs w:val="0"/>
          <w:kern w:val="0"/>
          <w:sz w:val="20"/>
          <w:szCs w:val="21"/>
          <w:lang w:val="en-US" w:eastAsia="zh-CN" w:bidi="ar-SA"/>
        </w:rPr>
      </w:pPr>
    </w:p>
    <w:p>
      <w:pPr>
        <w:pStyle w:val="18"/>
        <w:rPr>
          <w:rFonts w:hint="default" w:ascii="宋体" w:hAnsi="宋体" w:eastAsia="宋体" w:cs="宋体"/>
          <w:b w:val="0"/>
          <w:bCs w:val="0"/>
          <w:kern w:val="0"/>
          <w:sz w:val="20"/>
          <w:szCs w:val="21"/>
          <w:lang w:val="en-US" w:eastAsia="zh-CN" w:bidi="ar-SA"/>
        </w:rPr>
      </w:pPr>
      <w:r>
        <w:rPr>
          <w:rFonts w:hint="eastAsia" w:ascii="宋体" w:hAnsi="宋体" w:eastAsia="宋体" w:cs="Arial"/>
          <w:b/>
          <w:bCs w:val="0"/>
          <w:color w:val="000000"/>
          <w:kern w:val="2"/>
          <w:sz w:val="24"/>
          <w:szCs w:val="24"/>
          <w:lang w:val="en-US" w:eastAsia="zh-CN" w:bidi="ar-SA"/>
        </w:rPr>
        <w:t>（</w:t>
      </w:r>
      <w:r>
        <w:rPr>
          <w:rFonts w:hint="eastAsia" w:ascii="宋体" w:hAnsi="宋体" w:cs="Arial"/>
          <w:b/>
          <w:bCs w:val="0"/>
          <w:color w:val="000000"/>
          <w:kern w:val="2"/>
          <w:sz w:val="24"/>
          <w:szCs w:val="24"/>
          <w:lang w:val="en-US" w:eastAsia="zh-CN" w:bidi="ar-SA"/>
        </w:rPr>
        <w:t>5</w:t>
      </w:r>
      <w:r>
        <w:rPr>
          <w:rFonts w:hint="eastAsia" w:ascii="宋体" w:hAnsi="宋体" w:eastAsia="宋体" w:cs="Arial"/>
          <w:b/>
          <w:bCs w:val="0"/>
          <w:color w:val="000000"/>
          <w:kern w:val="2"/>
          <w:sz w:val="24"/>
          <w:szCs w:val="24"/>
          <w:lang w:val="en-US" w:eastAsia="zh-CN" w:bidi="ar-SA"/>
        </w:rPr>
        <w:t>）</w:t>
      </w:r>
      <w:r>
        <w:rPr>
          <w:rFonts w:hint="eastAsia" w:ascii="宋体" w:hAnsi="宋体" w:cs="Arial"/>
          <w:b/>
          <w:bCs w:val="0"/>
          <w:color w:val="000000"/>
          <w:kern w:val="2"/>
          <w:sz w:val="24"/>
          <w:szCs w:val="24"/>
          <w:lang w:val="en-US" w:eastAsia="zh-CN" w:bidi="ar-SA"/>
        </w:rPr>
        <w:t>财务要求</w:t>
      </w: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eastAsia"/>
          <w:lang w:val="en-US" w:eastAsia="zh-CN"/>
        </w:rPr>
      </w:pPr>
      <w:r>
        <w:rPr>
          <w:rFonts w:hint="eastAsia"/>
          <w:highlight w:val="none"/>
          <w:lang w:val="en-US" w:eastAsia="zh-CN"/>
        </w:rPr>
        <w:t>注：</w:t>
      </w:r>
      <w:r>
        <w:rPr>
          <w:rFonts w:hint="eastAsia"/>
          <w:highlight w:val="none"/>
        </w:rPr>
        <w:t>2020年1月1日至今至少两年度财务状况不亏损。提供经会计师事务所或审计机构出具的合法有效的财务审计报告及财务报表，财务报表至少包括现金流量表、资产负债表、利润表</w:t>
      </w:r>
      <w:r>
        <w:rPr>
          <w:rFonts w:hint="eastAsia" w:ascii="宋体" w:hAnsi="宋体" w:eastAsia="宋体" w:cs="宋体"/>
          <w:b w:val="0"/>
          <w:bCs w:val="0"/>
          <w:kern w:val="0"/>
          <w:sz w:val="20"/>
          <w:szCs w:val="21"/>
          <w:lang w:val="en-US" w:eastAsia="zh-CN" w:bidi="ar-SA"/>
        </w:rPr>
        <w:t>，并加盖单位鲜公章</w:t>
      </w:r>
      <w:r>
        <w:rPr>
          <w:rFonts w:hint="eastAsia"/>
          <w:highlight w:val="none"/>
        </w:rPr>
        <w:t>。</w:t>
      </w:r>
    </w:p>
    <w:p>
      <w:pPr>
        <w:pStyle w:val="5"/>
        <w:numPr>
          <w:ilvl w:val="0"/>
          <w:numId w:val="0"/>
        </w:numPr>
        <w:spacing w:before="0" w:after="0" w:line="360" w:lineRule="auto"/>
        <w:jc w:val="left"/>
        <w:rPr>
          <w:rFonts w:hint="eastAsia" w:ascii="宋体" w:hAnsi="宋体" w:eastAsia="宋体" w:cs="Arial"/>
          <w:b/>
          <w:bCs w:val="0"/>
          <w:color w:val="000000"/>
          <w:kern w:val="2"/>
          <w:sz w:val="24"/>
          <w:szCs w:val="24"/>
          <w:lang w:val="en-US" w:eastAsia="zh-CN" w:bidi="ar-SA"/>
        </w:rPr>
      </w:pPr>
    </w:p>
    <w:p>
      <w:pPr>
        <w:pStyle w:val="5"/>
        <w:numPr>
          <w:ilvl w:val="0"/>
          <w:numId w:val="0"/>
        </w:numPr>
        <w:spacing w:before="0" w:after="0" w:line="360" w:lineRule="auto"/>
        <w:jc w:val="left"/>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（6）信誉要求</w:t>
      </w:r>
    </w:p>
    <w:p>
      <w:pPr>
        <w:rPr>
          <w:rFonts w:hint="eastAsia" w:ascii="宋体" w:hAnsi="宋体" w:eastAsia="宋体" w:cs="Arial"/>
          <w:b/>
          <w:bCs w:val="0"/>
          <w:color w:val="000000"/>
          <w:kern w:val="2"/>
          <w:sz w:val="24"/>
          <w:szCs w:val="24"/>
          <w:lang w:val="en-US" w:eastAsia="zh-CN" w:bidi="ar-SA"/>
        </w:rPr>
      </w:pPr>
    </w:p>
    <w:p>
      <w:pPr>
        <w:pStyle w:val="18"/>
        <w:rPr>
          <w:rFonts w:hint="eastAsia"/>
          <w:lang w:val="en-US" w:eastAsia="zh-CN"/>
        </w:rPr>
      </w:pPr>
    </w:p>
    <w:p>
      <w:pPr>
        <w:pStyle w:val="18"/>
        <w:rPr>
          <w:rFonts w:hint="eastAsia"/>
          <w:lang w:val="en-US" w:eastAsia="zh-CN"/>
        </w:rPr>
      </w:pPr>
    </w:p>
    <w:p>
      <w:pPr>
        <w:pStyle w:val="18"/>
        <w:rPr>
          <w:rFonts w:hint="eastAsia" w:ascii="宋体" w:hAnsi="宋体" w:eastAsia="宋体" w:cs="宋体"/>
          <w:b w:val="0"/>
          <w:bCs w:val="0"/>
          <w:kern w:val="0"/>
          <w:sz w:val="20"/>
          <w:szCs w:val="21"/>
          <w:lang w:val="en-US" w:eastAsia="zh-CN" w:bidi="ar-SA"/>
        </w:rPr>
      </w:pPr>
      <w:r>
        <w:rPr>
          <w:rFonts w:hint="eastAsia" w:ascii="宋体" w:hAnsi="宋体" w:cs="宋体"/>
          <w:b w:val="0"/>
          <w:bCs w:val="0"/>
          <w:kern w:val="0"/>
          <w:sz w:val="20"/>
          <w:szCs w:val="21"/>
          <w:lang w:val="en-US" w:eastAsia="zh-CN" w:bidi="ar-SA"/>
        </w:rPr>
        <w:t>注：</w:t>
      </w:r>
      <w:r>
        <w:rPr>
          <w:rFonts w:hint="eastAsia" w:ascii="宋体" w:hAnsi="宋体" w:eastAsia="宋体" w:cs="宋体"/>
          <w:b w:val="0"/>
          <w:bCs w:val="0"/>
          <w:kern w:val="0"/>
          <w:sz w:val="20"/>
          <w:szCs w:val="21"/>
          <w:lang w:val="en-US" w:eastAsia="zh-CN" w:bidi="ar-SA"/>
        </w:rPr>
        <w:t>国家企业信用信息公示系统（http://www.gsxt.gov.cn/）中未被列入严重违法失信企业名单（黑名单）信息</w:t>
      </w:r>
      <w:r>
        <w:rPr>
          <w:rFonts w:hint="eastAsia" w:ascii="宋体" w:hAnsi="宋体" w:cs="宋体"/>
          <w:b w:val="0"/>
          <w:bCs w:val="0"/>
          <w:kern w:val="0"/>
          <w:sz w:val="20"/>
          <w:szCs w:val="21"/>
          <w:lang w:val="en-US" w:eastAsia="zh-CN" w:bidi="ar-SA"/>
        </w:rPr>
        <w:t>截图</w:t>
      </w:r>
      <w:r>
        <w:rPr>
          <w:rFonts w:hint="eastAsia" w:ascii="宋体" w:hAnsi="宋体" w:eastAsia="宋体" w:cs="宋体"/>
          <w:b w:val="0"/>
          <w:bCs w:val="0"/>
          <w:kern w:val="0"/>
          <w:sz w:val="20"/>
          <w:szCs w:val="21"/>
          <w:lang w:val="en-US" w:eastAsia="zh-CN" w:bidi="ar-SA"/>
        </w:rPr>
        <w:t>；在“信用中国”网站（http://www.creditchina.gov.cn/）中未被列入失信惩戒执行人名单</w:t>
      </w:r>
      <w:r>
        <w:rPr>
          <w:rFonts w:hint="eastAsia" w:ascii="宋体" w:hAnsi="宋体" w:cs="宋体"/>
          <w:b w:val="0"/>
          <w:bCs w:val="0"/>
          <w:kern w:val="0"/>
          <w:sz w:val="20"/>
          <w:szCs w:val="21"/>
          <w:lang w:val="en-US" w:eastAsia="zh-CN" w:bidi="ar-SA"/>
        </w:rPr>
        <w:t>截图，</w:t>
      </w:r>
      <w:r>
        <w:rPr>
          <w:rFonts w:hint="eastAsia" w:ascii="宋体" w:hAnsi="宋体" w:eastAsia="宋体" w:cs="宋体"/>
          <w:b w:val="0"/>
          <w:bCs w:val="0"/>
          <w:kern w:val="0"/>
          <w:sz w:val="20"/>
          <w:szCs w:val="21"/>
          <w:lang w:val="en-US" w:eastAsia="zh-CN" w:bidi="ar-SA"/>
        </w:rPr>
        <w:t>并加盖单位鲜公章</w:t>
      </w:r>
      <w:r>
        <w:rPr>
          <w:rFonts w:hint="eastAsia" w:ascii="宋体" w:hAnsi="宋体" w:cs="宋体"/>
          <w:b w:val="0"/>
          <w:bCs w:val="0"/>
          <w:kern w:val="0"/>
          <w:sz w:val="20"/>
          <w:szCs w:val="21"/>
          <w:lang w:val="en-US" w:eastAsia="zh-CN" w:bidi="ar-SA"/>
        </w:rPr>
        <w:t>。</w:t>
      </w:r>
    </w:p>
    <w:p>
      <w:pPr>
        <w:pStyle w:val="5"/>
        <w:numPr>
          <w:ilvl w:val="0"/>
          <w:numId w:val="0"/>
        </w:numPr>
        <w:spacing w:before="0" w:after="0" w:line="360" w:lineRule="auto"/>
        <w:jc w:val="center"/>
        <w:rPr>
          <w:rFonts w:hAnsi="宋体"/>
          <w:sz w:val="28"/>
        </w:rPr>
      </w:pPr>
      <w:r>
        <w:rPr>
          <w:rFonts w:hint="eastAsia" w:ascii="宋体" w:hAnsi="宋体" w:eastAsia="宋体" w:cs="Arial"/>
          <w:b/>
          <w:bCs w:val="0"/>
          <w:color w:val="000000"/>
          <w:kern w:val="2"/>
          <w:sz w:val="24"/>
          <w:szCs w:val="24"/>
          <w:lang w:val="en-US" w:eastAsia="zh-CN" w:bidi="ar-SA"/>
        </w:rPr>
        <w:br w:type="page"/>
      </w:r>
      <w:bookmarkStart w:id="264" w:name="_Toc29559"/>
      <w:bookmarkStart w:id="265" w:name="_Toc11243"/>
      <w:r>
        <w:rPr>
          <w:rFonts w:hint="eastAsia" w:hAnsi="宋体"/>
          <w:sz w:val="28"/>
        </w:rPr>
        <w:t>五、</w:t>
      </w:r>
      <w:bookmarkEnd w:id="259"/>
      <w:bookmarkEnd w:id="260"/>
      <w:bookmarkEnd w:id="261"/>
      <w:r>
        <w:rPr>
          <w:rFonts w:hint="eastAsia" w:hAnsi="宋体"/>
          <w:sz w:val="28"/>
        </w:rPr>
        <w:t>报价人须知前附表规定的材料</w:t>
      </w:r>
      <w:bookmarkEnd w:id="262"/>
      <w:bookmarkEnd w:id="263"/>
      <w:bookmarkEnd w:id="264"/>
      <w:bookmarkEnd w:id="265"/>
    </w:p>
    <w:p>
      <w:pPr>
        <w:pStyle w:val="6"/>
        <w:jc w:val="center"/>
        <w:rPr>
          <w:rFonts w:ascii="宋体" w:hAnsi="宋体" w:cs="宋体"/>
          <w:sz w:val="28"/>
        </w:rPr>
      </w:pPr>
      <w:bookmarkStart w:id="266" w:name="bookmark81"/>
      <w:bookmarkStart w:id="267" w:name="_Toc513633974"/>
      <w:bookmarkStart w:id="268" w:name="_Toc503951058"/>
      <w:r>
        <w:rPr>
          <w:rFonts w:hint="eastAsia" w:ascii="宋体" w:hAnsi="宋体" w:cs="宋体"/>
          <w:sz w:val="28"/>
        </w:rPr>
        <w:t>（一）</w:t>
      </w:r>
      <w:bookmarkEnd w:id="266"/>
      <w:bookmarkStart w:id="269" w:name="_Toc507681488"/>
      <w:bookmarkStart w:id="270" w:name="_Toc507681700"/>
      <w:bookmarkStart w:id="271" w:name="_Toc504639215"/>
      <w:r>
        <w:rPr>
          <w:rFonts w:hint="eastAsia" w:ascii="宋体" w:hAnsi="宋体" w:cs="宋体"/>
          <w:sz w:val="28"/>
        </w:rPr>
        <w:t>报价人自行承诺部分</w:t>
      </w:r>
      <w:bookmarkEnd w:id="269"/>
      <w:bookmarkEnd w:id="270"/>
      <w:bookmarkEnd w:id="271"/>
    </w:p>
    <w:p>
      <w:pPr>
        <w:spacing w:line="360" w:lineRule="auto"/>
        <w:ind w:firstLine="420" w:firstLineChars="200"/>
        <w:jc w:val="left"/>
        <w:rPr>
          <w:rFonts w:ascii="宋体" w:hAnsi="宋体" w:cs="宋体"/>
          <w:kern w:val="0"/>
          <w:szCs w:val="21"/>
        </w:rPr>
      </w:pPr>
      <w:r>
        <w:rPr>
          <w:rFonts w:hint="eastAsia" w:ascii="宋体" w:hAnsi="宋体" w:cs="宋体"/>
          <w:kern w:val="0"/>
          <w:szCs w:val="21"/>
        </w:rPr>
        <w:t>比选文件中要求报价人自行承诺的，由报价人按比选文件要求内容承诺，格式自拟</w:t>
      </w:r>
      <w:r>
        <w:rPr>
          <w:rFonts w:hint="eastAsia" w:ascii="宋体" w:hAnsi="宋体" w:cs="宋体"/>
          <w:kern w:val="0"/>
          <w:szCs w:val="21"/>
          <w:lang w:eastAsia="zh-CN"/>
        </w:rPr>
        <w:t>（</w:t>
      </w:r>
      <w:r>
        <w:rPr>
          <w:rFonts w:hint="eastAsia" w:ascii="宋体" w:hAnsi="宋体" w:cs="宋体"/>
          <w:kern w:val="0"/>
          <w:szCs w:val="21"/>
          <w:lang w:val="en-US" w:eastAsia="zh-CN"/>
        </w:rPr>
        <w:t>需承诺内容如下</w:t>
      </w:r>
      <w:r>
        <w:rPr>
          <w:rFonts w:hint="eastAsia" w:ascii="宋体" w:hAnsi="宋体" w:cs="宋体"/>
          <w:kern w:val="0"/>
          <w:szCs w:val="21"/>
          <w:lang w:eastAsia="zh-CN"/>
        </w:rPr>
        <w:t>）：</w:t>
      </w:r>
    </w:p>
    <w:p>
      <w:pPr>
        <w:numPr>
          <w:ilvl w:val="0"/>
          <w:numId w:val="0"/>
        </w:numPr>
        <w:ind w:firstLine="420" w:firstLineChars="200"/>
        <w:rPr>
          <w:rFonts w:hint="eastAsia"/>
          <w:lang w:val="en-US" w:eastAsia="zh-CN"/>
        </w:rPr>
      </w:pPr>
      <w:r>
        <w:rPr>
          <w:rFonts w:hint="eastAsia" w:ascii="宋体" w:hAnsi="宋体" w:cs="宋体"/>
          <w:b w:val="0"/>
          <w:bCs w:val="0"/>
          <w:kern w:val="0"/>
          <w:sz w:val="21"/>
          <w:szCs w:val="21"/>
          <w:lang w:val="en-US" w:eastAsia="zh-CN" w:bidi="ar-SA"/>
        </w:rPr>
        <w:t>（1）工期承诺：</w:t>
      </w:r>
    </w:p>
    <w:p>
      <w:pPr>
        <w:numPr>
          <w:ilvl w:val="0"/>
          <w:numId w:val="0"/>
        </w:numPr>
        <w:ind w:firstLine="420" w:firstLineChars="200"/>
        <w:rPr>
          <w:rFonts w:hint="default"/>
          <w:lang w:val="en-US" w:eastAsia="zh-CN"/>
        </w:rPr>
      </w:pPr>
      <w:r>
        <w:rPr>
          <w:rFonts w:hint="eastAsia"/>
          <w:lang w:val="en-US" w:eastAsia="zh-CN"/>
        </w:rPr>
        <w:t>（2）质量</w:t>
      </w:r>
      <w:r>
        <w:rPr>
          <w:rFonts w:hint="eastAsia" w:ascii="宋体" w:hAnsi="宋体" w:cs="宋体"/>
          <w:b w:val="0"/>
          <w:bCs w:val="0"/>
          <w:kern w:val="0"/>
          <w:sz w:val="21"/>
          <w:szCs w:val="21"/>
          <w:lang w:val="en-US" w:eastAsia="zh-CN" w:bidi="ar-SA"/>
        </w:rPr>
        <w:t>承诺：</w:t>
      </w:r>
    </w:p>
    <w:p>
      <w:pPr>
        <w:numPr>
          <w:ilvl w:val="0"/>
          <w:numId w:val="0"/>
        </w:numPr>
        <w:ind w:firstLine="420" w:firstLineChars="200"/>
        <w:rPr>
          <w:rFonts w:hint="eastAsia"/>
          <w:lang w:val="en-US" w:eastAsia="zh-CN"/>
        </w:rPr>
      </w:pPr>
      <w:r>
        <w:rPr>
          <w:rFonts w:hint="eastAsia"/>
          <w:lang w:val="en-US" w:eastAsia="zh-CN"/>
        </w:rPr>
        <w:t>（3）</w:t>
      </w:r>
      <w:r>
        <w:rPr>
          <w:rFonts w:hint="eastAsia" w:ascii="宋体" w:hAnsi="宋体" w:cs="宋体"/>
          <w:b w:val="0"/>
          <w:bCs w:val="0"/>
          <w:kern w:val="0"/>
          <w:sz w:val="21"/>
          <w:szCs w:val="21"/>
          <w:lang w:val="en-US" w:eastAsia="zh-CN" w:bidi="ar-SA"/>
        </w:rPr>
        <w:t>安全承诺：</w:t>
      </w:r>
    </w:p>
    <w:p>
      <w:pPr>
        <w:numPr>
          <w:ilvl w:val="0"/>
          <w:numId w:val="0"/>
        </w:numPr>
        <w:ind w:firstLine="420" w:firstLineChars="200"/>
        <w:rPr>
          <w:rFonts w:hint="default"/>
          <w:lang w:val="en-US" w:eastAsia="zh-CN"/>
        </w:rPr>
      </w:pPr>
      <w:r>
        <w:rPr>
          <w:rFonts w:hint="eastAsia"/>
          <w:lang w:val="en-US" w:eastAsia="zh-CN"/>
        </w:rPr>
        <w:t>（4）（</w:t>
      </w:r>
      <w:r>
        <w:rPr>
          <w:rFonts w:hint="eastAsia" w:ascii="宋体" w:hAnsi="宋体" w:cs="宋体"/>
          <w:b w:val="0"/>
          <w:bCs w:val="0"/>
          <w:kern w:val="0"/>
          <w:sz w:val="21"/>
          <w:szCs w:val="21"/>
          <w:lang w:val="en-US" w:eastAsia="zh-CN" w:bidi="ar-SA"/>
        </w:rPr>
        <w:t>其余承诺</w:t>
      </w:r>
      <w:r>
        <w:rPr>
          <w:rFonts w:hint="eastAsia"/>
          <w:lang w:val="en-US" w:eastAsia="zh-CN"/>
        </w:rPr>
        <w:t>）：</w:t>
      </w:r>
    </w:p>
    <w:p>
      <w:pPr>
        <w:pStyle w:val="18"/>
        <w:rPr>
          <w:rFonts w:hint="default"/>
          <w:lang w:val="en-US" w:eastAsia="zh-CN"/>
        </w:rPr>
      </w:pPr>
    </w:p>
    <w:p>
      <w:pPr>
        <w:rPr>
          <w:rFonts w:hint="eastAsia"/>
          <w:lang w:val="en-US" w:eastAsia="zh-CN"/>
        </w:rPr>
      </w:pPr>
    </w:p>
    <w:p>
      <w:pPr>
        <w:pStyle w:val="6"/>
        <w:jc w:val="center"/>
        <w:rPr>
          <w:rFonts w:ascii="宋体" w:hAnsi="宋体" w:cs="宋体"/>
          <w:sz w:val="28"/>
        </w:rPr>
      </w:pPr>
    </w:p>
    <w:p>
      <w:pPr>
        <w:rPr>
          <w:rFonts w:ascii="宋体" w:hAnsi="宋体" w:cs="宋体"/>
          <w:sz w:val="28"/>
        </w:rPr>
      </w:pPr>
    </w:p>
    <w:p>
      <w:pPr>
        <w:pStyle w:val="18"/>
      </w:pPr>
    </w:p>
    <w:p>
      <w:pPr>
        <w:pStyle w:val="5"/>
        <w:spacing w:before="0" w:after="0" w:line="360" w:lineRule="auto"/>
        <w:jc w:val="center"/>
        <w:rPr>
          <w:rFonts w:hint="eastAsia" w:ascii="宋体" w:hAnsi="宋体" w:cs="宋体"/>
          <w:sz w:val="28"/>
          <w:lang w:val="en-US" w:eastAsia="zh-CN"/>
        </w:rPr>
      </w:pPr>
      <w:r>
        <w:rPr>
          <w:rFonts w:hint="eastAsia" w:ascii="宋体" w:hAnsi="宋体" w:cs="宋体"/>
          <w:sz w:val="28"/>
          <w:lang w:val="en-US" w:eastAsia="zh-CN"/>
        </w:rPr>
        <w:t xml:space="preserve">   法人或授权委托人签字：</w:t>
      </w:r>
    </w:p>
    <w:p>
      <w:pPr>
        <w:pStyle w:val="5"/>
        <w:spacing w:before="0" w:after="0" w:line="360" w:lineRule="auto"/>
        <w:ind w:firstLine="2811" w:firstLineChars="1000"/>
        <w:jc w:val="center"/>
        <w:rPr>
          <w:rFonts w:ascii="宋体" w:hAnsi="宋体" w:eastAsia="宋体" w:cs="宋体"/>
          <w:sz w:val="28"/>
        </w:rPr>
      </w:pPr>
      <w:r>
        <w:rPr>
          <w:rFonts w:hint="eastAsia" w:ascii="宋体" w:hAnsi="宋体" w:cs="宋体"/>
          <w:sz w:val="28"/>
          <w:lang w:val="en-US" w:eastAsia="zh-CN"/>
        </w:rPr>
        <w:t>盖章：</w:t>
      </w:r>
      <w:r>
        <w:rPr>
          <w:rFonts w:hint="eastAsia" w:ascii="宋体" w:hAnsi="宋体" w:cs="宋体"/>
          <w:sz w:val="28"/>
        </w:rPr>
        <w:br w:type="page"/>
      </w:r>
      <w:r>
        <w:rPr>
          <w:rFonts w:hint="eastAsia" w:ascii="宋体" w:hAnsi="宋体" w:eastAsia="宋体" w:cs="宋体"/>
          <w:sz w:val="28"/>
        </w:rPr>
        <w:t>六、报价人基本信息及其他材料</w:t>
      </w:r>
    </w:p>
    <w:p>
      <w:pPr>
        <w:pStyle w:val="6"/>
        <w:spacing w:before="0" w:after="0" w:line="360" w:lineRule="auto"/>
        <w:jc w:val="center"/>
        <w:rPr>
          <w:sz w:val="28"/>
          <w:szCs w:val="28"/>
        </w:rPr>
      </w:pPr>
      <w:bookmarkStart w:id="272" w:name="_Toc4375"/>
      <w:bookmarkStart w:id="273" w:name="_Toc452107137"/>
      <w:bookmarkStart w:id="274" w:name="_Toc508110857"/>
      <w:r>
        <w:rPr>
          <w:rFonts w:hint="eastAsia"/>
          <w:sz w:val="28"/>
          <w:szCs w:val="28"/>
        </w:rPr>
        <w:t>（一）报价人基本信息表</w:t>
      </w:r>
      <w:bookmarkEnd w:id="272"/>
      <w:bookmarkEnd w:id="273"/>
      <w:bookmarkEnd w:id="274"/>
    </w:p>
    <w:p>
      <w:pPr>
        <w:pStyle w:val="27"/>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报价人</w:t>
            </w:r>
          </w:p>
          <w:p>
            <w:pPr>
              <w:topLinePunct/>
              <w:spacing w:line="440" w:lineRule="exact"/>
              <w:jc w:val="center"/>
              <w:rPr>
                <w:rFonts w:ascii="宋体" w:hAnsi="宋体" w:cs="宋体"/>
                <w:color w:val="000000"/>
                <w:szCs w:val="21"/>
              </w:rPr>
            </w:pPr>
            <w:r>
              <w:rPr>
                <w:rFonts w:hint="eastAsia" w:ascii="宋体" w:hAnsi="宋体" w:cs="宋体"/>
                <w:color w:val="000000"/>
                <w:szCs w:val="21"/>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color w:val="000000"/>
                <w:szCs w:val="21"/>
              </w:rPr>
            </w:pPr>
            <w:r>
              <w:rPr>
                <w:rFonts w:hint="eastAsia" w:ascii="宋体" w:hAnsi="宋体" w:cs="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rPr>
            </w:pPr>
            <w:r>
              <w:rPr>
                <w:rFonts w:hint="eastAsia" w:ascii="宋体" w:hAnsi="宋体" w:cs="宋体"/>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ascii="宋体" w:hAnsi="宋体" w:cs="宋体"/>
                <w:color w:val="000000"/>
                <w:szCs w:val="21"/>
              </w:rPr>
            </w:pPr>
            <w:r>
              <w:rPr>
                <w:rFonts w:hint="eastAsia" w:ascii="宋体" w:hAnsi="宋体" w:cs="宋体"/>
                <w:color w:val="000000"/>
                <w:szCs w:val="21"/>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cs="宋体"/>
                <w:color w:val="000000"/>
                <w:szCs w:val="21"/>
              </w:rPr>
            </w:pPr>
            <w:r>
              <w:rPr>
                <w:rFonts w:hint="eastAsia" w:ascii="宋体" w:hAnsi="宋体" w:cs="宋体"/>
                <w:color w:val="00000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pStyle w:val="6"/>
        <w:numPr>
          <w:ilvl w:val="0"/>
          <w:numId w:val="0"/>
        </w:numPr>
        <w:jc w:val="center"/>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二</w:t>
      </w:r>
      <w:r>
        <w:rPr>
          <w:rFonts w:hint="eastAsia" w:ascii="宋体" w:hAnsi="宋体" w:cs="宋体"/>
          <w:sz w:val="28"/>
          <w:lang w:eastAsia="zh-CN"/>
        </w:rPr>
        <w:t>）</w:t>
      </w:r>
      <w:r>
        <w:rPr>
          <w:rFonts w:hint="eastAsia" w:ascii="宋体" w:hAnsi="宋体" w:cs="宋体"/>
          <w:sz w:val="28"/>
        </w:rPr>
        <w:t>其他材料</w:t>
      </w:r>
    </w:p>
    <w:p>
      <w:pPr>
        <w:pStyle w:val="5"/>
        <w:numPr>
          <w:ilvl w:val="0"/>
          <w:numId w:val="0"/>
        </w:numPr>
        <w:spacing w:before="0" w:after="0" w:line="360" w:lineRule="auto"/>
        <w:jc w:val="left"/>
        <w:rPr>
          <w:rFonts w:hint="default"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（1）投标保证金缴纳凭证</w:t>
      </w:r>
    </w:p>
    <w:p>
      <w:pPr>
        <w:rPr>
          <w:rFonts w:hint="eastAsia" w:ascii="宋体" w:hAnsi="宋体" w:eastAsia="宋体" w:cs="Arial"/>
          <w:b/>
          <w:bCs w:val="0"/>
          <w:color w:val="000000"/>
          <w:kern w:val="2"/>
          <w:sz w:val="24"/>
          <w:szCs w:val="24"/>
          <w:lang w:val="en-US" w:eastAsia="zh-CN" w:bidi="ar-SA"/>
        </w:rPr>
      </w:pPr>
    </w:p>
    <w:p>
      <w:pPr>
        <w:pStyle w:val="18"/>
        <w:rPr>
          <w:rFonts w:hint="eastAsia"/>
          <w:lang w:val="en-US" w:eastAsia="zh-CN"/>
        </w:rPr>
      </w:pPr>
    </w:p>
    <w:p>
      <w:pPr>
        <w:rPr>
          <w:rFonts w:hint="eastAsia"/>
          <w:lang w:val="en-US" w:eastAsia="zh-CN"/>
        </w:rPr>
      </w:pPr>
    </w:p>
    <w:p>
      <w:pPr>
        <w:pStyle w:val="7"/>
        <w:rPr>
          <w:rFonts w:hint="eastAsia"/>
          <w:lang w:val="en-US" w:eastAsia="zh-CN"/>
        </w:rPr>
      </w:pPr>
    </w:p>
    <w:p>
      <w:pPr>
        <w:pStyle w:val="18"/>
        <w:rPr>
          <w:rFonts w:hint="eastAsia"/>
          <w:lang w:val="en-US" w:eastAsia="zh-CN"/>
        </w:rPr>
      </w:pPr>
    </w:p>
    <w:p>
      <w:pPr>
        <w:pStyle w:val="18"/>
        <w:rPr>
          <w:rFonts w:hint="eastAsia" w:ascii="宋体" w:hAnsi="宋体" w:eastAsia="宋体" w:cs="宋体"/>
          <w:b w:val="0"/>
          <w:bCs w:val="0"/>
          <w:kern w:val="0"/>
          <w:sz w:val="20"/>
          <w:szCs w:val="21"/>
          <w:lang w:val="en-US" w:eastAsia="zh-CN" w:bidi="ar-SA"/>
        </w:rPr>
      </w:pPr>
      <w:r>
        <w:rPr>
          <w:rFonts w:hint="eastAsia" w:ascii="宋体" w:hAnsi="宋体" w:cs="宋体"/>
          <w:b w:val="0"/>
          <w:bCs w:val="0"/>
          <w:kern w:val="0"/>
          <w:sz w:val="20"/>
          <w:szCs w:val="21"/>
          <w:lang w:val="en-US" w:eastAsia="zh-CN" w:bidi="ar-SA"/>
        </w:rPr>
        <w:t>注：须按要求提供相应资料</w:t>
      </w:r>
      <w:r>
        <w:rPr>
          <w:rFonts w:hint="eastAsia" w:ascii="宋体" w:hAnsi="宋体" w:eastAsia="宋体" w:cs="宋体"/>
          <w:b w:val="0"/>
          <w:bCs w:val="0"/>
          <w:kern w:val="0"/>
          <w:sz w:val="20"/>
          <w:szCs w:val="21"/>
          <w:lang w:val="en-US" w:eastAsia="zh-CN" w:bidi="ar-SA"/>
        </w:rPr>
        <w:t>，并加盖单位鲜公章</w:t>
      </w:r>
      <w:r>
        <w:rPr>
          <w:rFonts w:hint="eastAsia" w:ascii="宋体" w:hAnsi="宋体" w:cs="宋体"/>
          <w:b w:val="0"/>
          <w:bCs w:val="0"/>
          <w:kern w:val="0"/>
          <w:sz w:val="20"/>
          <w:szCs w:val="21"/>
          <w:lang w:val="en-US" w:eastAsia="zh-CN" w:bidi="ar-SA"/>
        </w:rPr>
        <w:t>。</w:t>
      </w:r>
    </w:p>
    <w:p>
      <w:pPr>
        <w:autoSpaceDE w:val="0"/>
        <w:autoSpaceDN w:val="0"/>
        <w:adjustRightInd w:val="0"/>
        <w:snapToGrid w:val="0"/>
        <w:spacing w:line="360" w:lineRule="auto"/>
        <w:jc w:val="center"/>
        <w:rPr>
          <w:rFonts w:hint="eastAsia" w:ascii="Times New Roman" w:hAnsi="Times New Roman"/>
          <w:color w:val="auto"/>
          <w:sz w:val="32"/>
          <w:szCs w:val="32"/>
          <w:highlight w:val="none"/>
          <w:lang w:val="en-US" w:eastAsia="zh-CN"/>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宋体" w:hAnsi="宋体" w:eastAsia="宋体" w:cs="宋体"/>
          <w:b/>
          <w:bCs/>
          <w:kern w:val="0"/>
          <w:sz w:val="28"/>
          <w:szCs w:val="32"/>
          <w:lang w:val="en-US" w:eastAsia="zh-CN" w:bidi="ar-SA"/>
        </w:rPr>
      </w:pPr>
    </w:p>
    <w:p>
      <w:pPr>
        <w:autoSpaceDE w:val="0"/>
        <w:autoSpaceDN w:val="0"/>
        <w:adjustRightInd w:val="0"/>
        <w:snapToGrid w:val="0"/>
        <w:spacing w:line="360" w:lineRule="auto"/>
        <w:jc w:val="center"/>
        <w:rPr>
          <w:rFonts w:hint="eastAsia" w:ascii="Times New Roman" w:hAnsi="Times New Roman"/>
          <w:b/>
          <w:bCs/>
          <w:caps/>
          <w:color w:val="auto"/>
          <w:sz w:val="32"/>
          <w:szCs w:val="32"/>
          <w:highlight w:val="none"/>
        </w:rPr>
      </w:pPr>
      <w:r>
        <w:rPr>
          <w:rFonts w:hint="eastAsia" w:ascii="宋体" w:hAnsi="宋体" w:eastAsia="宋体" w:cs="宋体"/>
          <w:b/>
          <w:bCs/>
          <w:kern w:val="0"/>
          <w:sz w:val="28"/>
          <w:szCs w:val="32"/>
          <w:lang w:val="en-US" w:eastAsia="zh-CN" w:bidi="ar-SA"/>
        </w:rPr>
        <w:t>七、低价风险担保提交承诺书（如有）</w:t>
      </w:r>
    </w:p>
    <w:p>
      <w:pPr>
        <w:pStyle w:val="29"/>
        <w:jc w:val="center"/>
        <w:rPr>
          <w:rFonts w:hint="eastAsia" w:ascii="Times New Roman" w:hAnsi="Times New Roman"/>
          <w:b w:val="0"/>
          <w:bCs w:val="0"/>
          <w:caps w:val="0"/>
          <w:color w:val="auto"/>
          <w:sz w:val="32"/>
          <w:szCs w:val="32"/>
          <w:highlight w:val="none"/>
        </w:rPr>
      </w:pPr>
    </w:p>
    <w:p>
      <w:pPr>
        <w:pStyle w:val="18"/>
        <w:rPr>
          <w:rFonts w:hint="eastAsia"/>
          <w:color w:val="auto"/>
          <w:highlight w:val="none"/>
        </w:rPr>
      </w:pPr>
    </w:p>
    <w:p>
      <w:pPr>
        <w:rPr>
          <w:color w:val="auto"/>
          <w:highlight w:val="none"/>
        </w:rPr>
      </w:pPr>
    </w:p>
    <w:p>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（招标人名称）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（投标人名称）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highlight w:val="none"/>
        </w:rPr>
      </w:pPr>
    </w:p>
    <w:p>
      <w:pPr>
        <w:jc w:val="right"/>
        <w:rPr>
          <w:rFonts w:hint="eastAsia"/>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rPr>
          <w:color w:val="auto"/>
          <w:highlight w:val="none"/>
        </w:rPr>
      </w:pPr>
    </w:p>
    <w:p>
      <w:pPr>
        <w:numPr>
          <w:ilvl w:val="0"/>
          <w:numId w:val="0"/>
        </w:numPr>
        <w:rPr>
          <w:rFonts w:hint="eastAsia"/>
          <w:lang w:eastAsia="zh-CN"/>
        </w:rPr>
      </w:pPr>
    </w:p>
    <w:bookmarkEnd w:id="267"/>
    <w:bookmarkEnd w:id="268"/>
    <w:p>
      <w:pPr>
        <w:pStyle w:val="29"/>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31B1A5-1038-4813-BB25-44896506A1D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D3F4AD-D00F-429C-98F3-4E18D0FF10FD}"/>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79</w:t>
    </w:r>
    <w:r>
      <w:fldChar w:fldCharType="end"/>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35</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73</w:t>
    </w:r>
    <w:r>
      <w:fldChar w:fldCharType="end"/>
    </w:r>
  </w:p>
  <w:p>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pPr>
      <w:pStyle w:val="27"/>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7"/>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3871CE1D"/>
    <w:multiLevelType w:val="singleLevel"/>
    <w:tmpl w:val="3871CE1D"/>
    <w:lvl w:ilvl="0" w:tentative="0">
      <w:start w:val="1"/>
      <w:numFmt w:val="chineseCounting"/>
      <w:suff w:val="nothing"/>
      <w:lvlText w:val="%1、"/>
      <w:lvlJc w:val="left"/>
      <w:rPr>
        <w:rFonts w:hint="eastAsia"/>
      </w:rPr>
    </w:lvl>
  </w:abstractNum>
  <w:abstractNum w:abstractNumId="2">
    <w:nsid w:val="3A65F09B"/>
    <w:multiLevelType w:val="singleLevel"/>
    <w:tmpl w:val="3A65F09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2MzMmY4ZjlhZjg2YzY5MDlhM2RhYjY2NWE4ZmIifQ=="/>
  </w:docVars>
  <w:rsids>
    <w:rsidRoot w:val="00F1787C"/>
    <w:rsid w:val="00002283"/>
    <w:rsid w:val="0000322E"/>
    <w:rsid w:val="00003524"/>
    <w:rsid w:val="00006DC2"/>
    <w:rsid w:val="000107C0"/>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5069"/>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B48CF"/>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DF5"/>
    <w:rsid w:val="005216B1"/>
    <w:rsid w:val="005230E8"/>
    <w:rsid w:val="005248B7"/>
    <w:rsid w:val="00524AAD"/>
    <w:rsid w:val="00527DED"/>
    <w:rsid w:val="00533989"/>
    <w:rsid w:val="0053576A"/>
    <w:rsid w:val="0053749E"/>
    <w:rsid w:val="0053783C"/>
    <w:rsid w:val="00540A63"/>
    <w:rsid w:val="00541EAD"/>
    <w:rsid w:val="00543B84"/>
    <w:rsid w:val="00551444"/>
    <w:rsid w:val="005516BA"/>
    <w:rsid w:val="00554CE3"/>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6F7869"/>
    <w:rsid w:val="00702554"/>
    <w:rsid w:val="0070267A"/>
    <w:rsid w:val="00702BE4"/>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63E7"/>
    <w:rsid w:val="008D73C7"/>
    <w:rsid w:val="008E0572"/>
    <w:rsid w:val="008E1519"/>
    <w:rsid w:val="008E287D"/>
    <w:rsid w:val="008E45A7"/>
    <w:rsid w:val="008F6686"/>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2E22"/>
    <w:rsid w:val="00A95AFB"/>
    <w:rsid w:val="00AA1ED7"/>
    <w:rsid w:val="00AA2125"/>
    <w:rsid w:val="00AA7B39"/>
    <w:rsid w:val="00AB291E"/>
    <w:rsid w:val="00AB3079"/>
    <w:rsid w:val="00AB454C"/>
    <w:rsid w:val="00AB6852"/>
    <w:rsid w:val="00AB7314"/>
    <w:rsid w:val="00AC0B60"/>
    <w:rsid w:val="00AC35C8"/>
    <w:rsid w:val="00AC5579"/>
    <w:rsid w:val="00AC77D9"/>
    <w:rsid w:val="00AD254C"/>
    <w:rsid w:val="00AD3F91"/>
    <w:rsid w:val="00AD5063"/>
    <w:rsid w:val="00AE0656"/>
    <w:rsid w:val="00AE0F5B"/>
    <w:rsid w:val="00AE17FA"/>
    <w:rsid w:val="00AE3AEB"/>
    <w:rsid w:val="00AE7FF3"/>
    <w:rsid w:val="00AF1302"/>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B6F41"/>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7B2A"/>
    <w:rsid w:val="00C11F6E"/>
    <w:rsid w:val="00C13F63"/>
    <w:rsid w:val="00C15831"/>
    <w:rsid w:val="00C168B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9514E"/>
    <w:rsid w:val="00EA168E"/>
    <w:rsid w:val="00EA2585"/>
    <w:rsid w:val="00EA416E"/>
    <w:rsid w:val="00EA6533"/>
    <w:rsid w:val="00EA7196"/>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18A4"/>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1B6997"/>
    <w:rsid w:val="01232ED2"/>
    <w:rsid w:val="015D18DC"/>
    <w:rsid w:val="0184380B"/>
    <w:rsid w:val="01852BD3"/>
    <w:rsid w:val="018A6C3C"/>
    <w:rsid w:val="01A8609A"/>
    <w:rsid w:val="01A93FA3"/>
    <w:rsid w:val="01E05F01"/>
    <w:rsid w:val="01E34573"/>
    <w:rsid w:val="020C0D2B"/>
    <w:rsid w:val="02195A53"/>
    <w:rsid w:val="022831DB"/>
    <w:rsid w:val="02375428"/>
    <w:rsid w:val="029D41FE"/>
    <w:rsid w:val="02A800C5"/>
    <w:rsid w:val="02B53517"/>
    <w:rsid w:val="02C6499B"/>
    <w:rsid w:val="02C91CAA"/>
    <w:rsid w:val="02D0709E"/>
    <w:rsid w:val="02D3400F"/>
    <w:rsid w:val="02F1546E"/>
    <w:rsid w:val="031A4A2D"/>
    <w:rsid w:val="0322475B"/>
    <w:rsid w:val="037D0CD2"/>
    <w:rsid w:val="038B3366"/>
    <w:rsid w:val="038D291F"/>
    <w:rsid w:val="03981B5E"/>
    <w:rsid w:val="03996EAD"/>
    <w:rsid w:val="03EE5067"/>
    <w:rsid w:val="03F60BFA"/>
    <w:rsid w:val="04023CC8"/>
    <w:rsid w:val="042674F4"/>
    <w:rsid w:val="042D3C13"/>
    <w:rsid w:val="04510321"/>
    <w:rsid w:val="04722D72"/>
    <w:rsid w:val="04767696"/>
    <w:rsid w:val="047A0BBC"/>
    <w:rsid w:val="047D7CD3"/>
    <w:rsid w:val="04933E65"/>
    <w:rsid w:val="04B27760"/>
    <w:rsid w:val="04C12ED8"/>
    <w:rsid w:val="04DC5749"/>
    <w:rsid w:val="04E26FED"/>
    <w:rsid w:val="04E41F94"/>
    <w:rsid w:val="04FD6633"/>
    <w:rsid w:val="052E2B3B"/>
    <w:rsid w:val="0543026B"/>
    <w:rsid w:val="054416D2"/>
    <w:rsid w:val="05507F0F"/>
    <w:rsid w:val="055A4D20"/>
    <w:rsid w:val="056F275C"/>
    <w:rsid w:val="05735FEA"/>
    <w:rsid w:val="05871A0A"/>
    <w:rsid w:val="05A42E7B"/>
    <w:rsid w:val="05A70EA9"/>
    <w:rsid w:val="05D55D36"/>
    <w:rsid w:val="05FF3206"/>
    <w:rsid w:val="060C2525"/>
    <w:rsid w:val="062756FD"/>
    <w:rsid w:val="06465A4B"/>
    <w:rsid w:val="065F7A31"/>
    <w:rsid w:val="067C53E7"/>
    <w:rsid w:val="06820F5E"/>
    <w:rsid w:val="06977B53"/>
    <w:rsid w:val="06A7180A"/>
    <w:rsid w:val="06AE2ABA"/>
    <w:rsid w:val="06B74DC7"/>
    <w:rsid w:val="06BA1001"/>
    <w:rsid w:val="06C75DF5"/>
    <w:rsid w:val="06D86A45"/>
    <w:rsid w:val="06DD02BB"/>
    <w:rsid w:val="06DD649D"/>
    <w:rsid w:val="06E71F51"/>
    <w:rsid w:val="06F8769D"/>
    <w:rsid w:val="06F965AD"/>
    <w:rsid w:val="07050666"/>
    <w:rsid w:val="071A6392"/>
    <w:rsid w:val="071C4DB7"/>
    <w:rsid w:val="07362674"/>
    <w:rsid w:val="073B54B2"/>
    <w:rsid w:val="07410810"/>
    <w:rsid w:val="07537EF9"/>
    <w:rsid w:val="07815EE7"/>
    <w:rsid w:val="0784155A"/>
    <w:rsid w:val="07943BA6"/>
    <w:rsid w:val="07CC63DA"/>
    <w:rsid w:val="07CD6512"/>
    <w:rsid w:val="081748AE"/>
    <w:rsid w:val="08635851"/>
    <w:rsid w:val="08A30341"/>
    <w:rsid w:val="08A564ED"/>
    <w:rsid w:val="08AD3841"/>
    <w:rsid w:val="08C2359B"/>
    <w:rsid w:val="08F34502"/>
    <w:rsid w:val="08F52304"/>
    <w:rsid w:val="09041814"/>
    <w:rsid w:val="092D7BDC"/>
    <w:rsid w:val="09332D2B"/>
    <w:rsid w:val="093D1475"/>
    <w:rsid w:val="093E2D64"/>
    <w:rsid w:val="09455F12"/>
    <w:rsid w:val="09472203"/>
    <w:rsid w:val="09513E3D"/>
    <w:rsid w:val="098B1DA7"/>
    <w:rsid w:val="09907951"/>
    <w:rsid w:val="099F43E4"/>
    <w:rsid w:val="09A31A61"/>
    <w:rsid w:val="09BA7A85"/>
    <w:rsid w:val="09DE1094"/>
    <w:rsid w:val="09E2475B"/>
    <w:rsid w:val="09E4577A"/>
    <w:rsid w:val="0A183EA3"/>
    <w:rsid w:val="0A207013"/>
    <w:rsid w:val="0A3D61EC"/>
    <w:rsid w:val="0A3F34B7"/>
    <w:rsid w:val="0A4B11BE"/>
    <w:rsid w:val="0A51661E"/>
    <w:rsid w:val="0A717628"/>
    <w:rsid w:val="0A7B4003"/>
    <w:rsid w:val="0A7D7D7B"/>
    <w:rsid w:val="0A8E5B8D"/>
    <w:rsid w:val="0AA240FA"/>
    <w:rsid w:val="0AAC0CBB"/>
    <w:rsid w:val="0AD84BD3"/>
    <w:rsid w:val="0AE941D3"/>
    <w:rsid w:val="0AFA761E"/>
    <w:rsid w:val="0B1061C6"/>
    <w:rsid w:val="0B2B08D5"/>
    <w:rsid w:val="0B370FF6"/>
    <w:rsid w:val="0B3A2110"/>
    <w:rsid w:val="0B444D3D"/>
    <w:rsid w:val="0B840496"/>
    <w:rsid w:val="0B9874FD"/>
    <w:rsid w:val="0BA35012"/>
    <w:rsid w:val="0BA53868"/>
    <w:rsid w:val="0BB825ED"/>
    <w:rsid w:val="0BC0647C"/>
    <w:rsid w:val="0BD7624B"/>
    <w:rsid w:val="0BF26817"/>
    <w:rsid w:val="0BFB3BB6"/>
    <w:rsid w:val="0C14470F"/>
    <w:rsid w:val="0C22464A"/>
    <w:rsid w:val="0C2B72AE"/>
    <w:rsid w:val="0C486A95"/>
    <w:rsid w:val="0C517E31"/>
    <w:rsid w:val="0C623EAC"/>
    <w:rsid w:val="0C946488"/>
    <w:rsid w:val="0CAB3827"/>
    <w:rsid w:val="0CAD24AF"/>
    <w:rsid w:val="0CB27F34"/>
    <w:rsid w:val="0CD91B3C"/>
    <w:rsid w:val="0CDD10A1"/>
    <w:rsid w:val="0CEA5470"/>
    <w:rsid w:val="0CF90255"/>
    <w:rsid w:val="0D0D3F93"/>
    <w:rsid w:val="0D12389F"/>
    <w:rsid w:val="0D1E5A2E"/>
    <w:rsid w:val="0D2820B7"/>
    <w:rsid w:val="0D2B5BA2"/>
    <w:rsid w:val="0D2F6875"/>
    <w:rsid w:val="0D33523D"/>
    <w:rsid w:val="0D662EE5"/>
    <w:rsid w:val="0D6A3AE7"/>
    <w:rsid w:val="0D6A7339"/>
    <w:rsid w:val="0D860EC5"/>
    <w:rsid w:val="0D9339BE"/>
    <w:rsid w:val="0D991370"/>
    <w:rsid w:val="0D9E6A67"/>
    <w:rsid w:val="0D9F0DC4"/>
    <w:rsid w:val="0DA07FC9"/>
    <w:rsid w:val="0DC02AA1"/>
    <w:rsid w:val="0DDE695A"/>
    <w:rsid w:val="0DF73A5B"/>
    <w:rsid w:val="0DF94EC9"/>
    <w:rsid w:val="0E164CA8"/>
    <w:rsid w:val="0E231949"/>
    <w:rsid w:val="0E2D072E"/>
    <w:rsid w:val="0E3B295D"/>
    <w:rsid w:val="0E47249B"/>
    <w:rsid w:val="0E551882"/>
    <w:rsid w:val="0E7306EC"/>
    <w:rsid w:val="0E843F8C"/>
    <w:rsid w:val="0E963048"/>
    <w:rsid w:val="0EAD7E50"/>
    <w:rsid w:val="0EB254B2"/>
    <w:rsid w:val="0ED91C40"/>
    <w:rsid w:val="0EE235F9"/>
    <w:rsid w:val="0EFB3F5D"/>
    <w:rsid w:val="0F041CC7"/>
    <w:rsid w:val="0F042317"/>
    <w:rsid w:val="0F1209F8"/>
    <w:rsid w:val="0F4C19DA"/>
    <w:rsid w:val="0F4C7D05"/>
    <w:rsid w:val="0F4F31AF"/>
    <w:rsid w:val="0F5F17BD"/>
    <w:rsid w:val="0F6B0BDE"/>
    <w:rsid w:val="0F7E014D"/>
    <w:rsid w:val="0F90531D"/>
    <w:rsid w:val="0FAD64B5"/>
    <w:rsid w:val="0FB21FD4"/>
    <w:rsid w:val="0FFF5930"/>
    <w:rsid w:val="1018536D"/>
    <w:rsid w:val="108862E1"/>
    <w:rsid w:val="108E33C3"/>
    <w:rsid w:val="10A265EF"/>
    <w:rsid w:val="10B464C1"/>
    <w:rsid w:val="10C3028B"/>
    <w:rsid w:val="10EC4A0F"/>
    <w:rsid w:val="10FB7C4C"/>
    <w:rsid w:val="11156FC6"/>
    <w:rsid w:val="11485B0D"/>
    <w:rsid w:val="114C7209"/>
    <w:rsid w:val="1154158B"/>
    <w:rsid w:val="11677BA5"/>
    <w:rsid w:val="117076B2"/>
    <w:rsid w:val="119E6579"/>
    <w:rsid w:val="11A72EAF"/>
    <w:rsid w:val="11C22850"/>
    <w:rsid w:val="11CD2769"/>
    <w:rsid w:val="11D435DD"/>
    <w:rsid w:val="11DA3C43"/>
    <w:rsid w:val="11E15B8A"/>
    <w:rsid w:val="120D3000"/>
    <w:rsid w:val="1220326C"/>
    <w:rsid w:val="122D1D91"/>
    <w:rsid w:val="123A67B6"/>
    <w:rsid w:val="125515DD"/>
    <w:rsid w:val="125670E6"/>
    <w:rsid w:val="125E1A9C"/>
    <w:rsid w:val="12714AC1"/>
    <w:rsid w:val="1276289F"/>
    <w:rsid w:val="1288522D"/>
    <w:rsid w:val="129D6A95"/>
    <w:rsid w:val="12AA1D9F"/>
    <w:rsid w:val="12AF4046"/>
    <w:rsid w:val="12C54E79"/>
    <w:rsid w:val="12CE506D"/>
    <w:rsid w:val="12D036D1"/>
    <w:rsid w:val="12E23CE3"/>
    <w:rsid w:val="12F65490"/>
    <w:rsid w:val="12F73D2A"/>
    <w:rsid w:val="12F76E05"/>
    <w:rsid w:val="12F9698E"/>
    <w:rsid w:val="13112273"/>
    <w:rsid w:val="131C7C5D"/>
    <w:rsid w:val="133F0EDC"/>
    <w:rsid w:val="13511DF6"/>
    <w:rsid w:val="135530FF"/>
    <w:rsid w:val="1359610F"/>
    <w:rsid w:val="138B4634"/>
    <w:rsid w:val="138F1214"/>
    <w:rsid w:val="13957657"/>
    <w:rsid w:val="13BF412F"/>
    <w:rsid w:val="13C00A21"/>
    <w:rsid w:val="13D101C7"/>
    <w:rsid w:val="1400440E"/>
    <w:rsid w:val="142669A3"/>
    <w:rsid w:val="14301CC2"/>
    <w:rsid w:val="143805F9"/>
    <w:rsid w:val="1439536E"/>
    <w:rsid w:val="144729D8"/>
    <w:rsid w:val="14514366"/>
    <w:rsid w:val="147C265E"/>
    <w:rsid w:val="148530C5"/>
    <w:rsid w:val="148E78CB"/>
    <w:rsid w:val="149F4D92"/>
    <w:rsid w:val="14A13E6D"/>
    <w:rsid w:val="14AB614D"/>
    <w:rsid w:val="14B96C2B"/>
    <w:rsid w:val="15067DFC"/>
    <w:rsid w:val="15181495"/>
    <w:rsid w:val="152817C5"/>
    <w:rsid w:val="153870BF"/>
    <w:rsid w:val="15436E45"/>
    <w:rsid w:val="15507C7E"/>
    <w:rsid w:val="15664AEF"/>
    <w:rsid w:val="15696B21"/>
    <w:rsid w:val="156E6267"/>
    <w:rsid w:val="15796998"/>
    <w:rsid w:val="158E23E1"/>
    <w:rsid w:val="15910B7E"/>
    <w:rsid w:val="159D7EA6"/>
    <w:rsid w:val="159F1BF9"/>
    <w:rsid w:val="15B71B1D"/>
    <w:rsid w:val="15BC3979"/>
    <w:rsid w:val="15E63361"/>
    <w:rsid w:val="160B0227"/>
    <w:rsid w:val="163254FA"/>
    <w:rsid w:val="16602DF6"/>
    <w:rsid w:val="16847FFC"/>
    <w:rsid w:val="16864176"/>
    <w:rsid w:val="16C03193"/>
    <w:rsid w:val="16D84968"/>
    <w:rsid w:val="16E04880"/>
    <w:rsid w:val="16E120CA"/>
    <w:rsid w:val="16F86032"/>
    <w:rsid w:val="17081A7A"/>
    <w:rsid w:val="17092996"/>
    <w:rsid w:val="171A6A86"/>
    <w:rsid w:val="17292C0C"/>
    <w:rsid w:val="176F50FE"/>
    <w:rsid w:val="17D10049"/>
    <w:rsid w:val="17DD0B49"/>
    <w:rsid w:val="17E74083"/>
    <w:rsid w:val="17F1563C"/>
    <w:rsid w:val="17F23C73"/>
    <w:rsid w:val="17F84EE5"/>
    <w:rsid w:val="18083490"/>
    <w:rsid w:val="180F3B80"/>
    <w:rsid w:val="18133ACD"/>
    <w:rsid w:val="18174416"/>
    <w:rsid w:val="181B1411"/>
    <w:rsid w:val="181C1400"/>
    <w:rsid w:val="18223BBF"/>
    <w:rsid w:val="18406E44"/>
    <w:rsid w:val="184175DD"/>
    <w:rsid w:val="185C1918"/>
    <w:rsid w:val="1880349D"/>
    <w:rsid w:val="18A361F8"/>
    <w:rsid w:val="18AD238B"/>
    <w:rsid w:val="18B427A7"/>
    <w:rsid w:val="18D435BC"/>
    <w:rsid w:val="18E261BC"/>
    <w:rsid w:val="18E6320F"/>
    <w:rsid w:val="18E71F88"/>
    <w:rsid w:val="19193365"/>
    <w:rsid w:val="19261639"/>
    <w:rsid w:val="195D5C0E"/>
    <w:rsid w:val="19B116AD"/>
    <w:rsid w:val="19B64CC2"/>
    <w:rsid w:val="19BA69A5"/>
    <w:rsid w:val="19CC487B"/>
    <w:rsid w:val="19DF6D3F"/>
    <w:rsid w:val="19E24459"/>
    <w:rsid w:val="19EF2451"/>
    <w:rsid w:val="1A194A1B"/>
    <w:rsid w:val="1A2226ED"/>
    <w:rsid w:val="1A305FF4"/>
    <w:rsid w:val="1A3D7EBE"/>
    <w:rsid w:val="1A4353A0"/>
    <w:rsid w:val="1A557489"/>
    <w:rsid w:val="1A836C58"/>
    <w:rsid w:val="1AF45443"/>
    <w:rsid w:val="1AF82A54"/>
    <w:rsid w:val="1B075A0C"/>
    <w:rsid w:val="1B67066F"/>
    <w:rsid w:val="1B7229E4"/>
    <w:rsid w:val="1B7A5EC7"/>
    <w:rsid w:val="1B8E5EC0"/>
    <w:rsid w:val="1B9F706E"/>
    <w:rsid w:val="1BB05D66"/>
    <w:rsid w:val="1BBE47DE"/>
    <w:rsid w:val="1BC10D01"/>
    <w:rsid w:val="1BD06299"/>
    <w:rsid w:val="1C2613A8"/>
    <w:rsid w:val="1C477E44"/>
    <w:rsid w:val="1C9B22E2"/>
    <w:rsid w:val="1CA53B30"/>
    <w:rsid w:val="1CB33990"/>
    <w:rsid w:val="1CBE72D2"/>
    <w:rsid w:val="1CBF2475"/>
    <w:rsid w:val="1CE12BB5"/>
    <w:rsid w:val="1CF6260F"/>
    <w:rsid w:val="1CF83AEA"/>
    <w:rsid w:val="1CF911FC"/>
    <w:rsid w:val="1CFC5477"/>
    <w:rsid w:val="1D1A3B4F"/>
    <w:rsid w:val="1D34223E"/>
    <w:rsid w:val="1D5C153F"/>
    <w:rsid w:val="1D5C173A"/>
    <w:rsid w:val="1D6914D5"/>
    <w:rsid w:val="1D7C7A22"/>
    <w:rsid w:val="1D7E09CF"/>
    <w:rsid w:val="1D9C562C"/>
    <w:rsid w:val="1D9F1A69"/>
    <w:rsid w:val="1DAC5C38"/>
    <w:rsid w:val="1DB50BD0"/>
    <w:rsid w:val="1DE41480"/>
    <w:rsid w:val="1DF44267"/>
    <w:rsid w:val="1E1329F3"/>
    <w:rsid w:val="1E1D3D89"/>
    <w:rsid w:val="1E2139B7"/>
    <w:rsid w:val="1E4F15D7"/>
    <w:rsid w:val="1E7A14A8"/>
    <w:rsid w:val="1E7F32B0"/>
    <w:rsid w:val="1EBA058B"/>
    <w:rsid w:val="1EBB622E"/>
    <w:rsid w:val="1EDD751C"/>
    <w:rsid w:val="1EE170B7"/>
    <w:rsid w:val="1EEA13A6"/>
    <w:rsid w:val="1EEA64FD"/>
    <w:rsid w:val="1EEB392A"/>
    <w:rsid w:val="1EF501D6"/>
    <w:rsid w:val="1EFE64E9"/>
    <w:rsid w:val="1F022AED"/>
    <w:rsid w:val="1F493322"/>
    <w:rsid w:val="1F6207D0"/>
    <w:rsid w:val="1F953961"/>
    <w:rsid w:val="1FCA360B"/>
    <w:rsid w:val="1FE1627D"/>
    <w:rsid w:val="1FE45D5A"/>
    <w:rsid w:val="1FE67D19"/>
    <w:rsid w:val="1FEA603B"/>
    <w:rsid w:val="20133D98"/>
    <w:rsid w:val="201778B8"/>
    <w:rsid w:val="201C34BC"/>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1641D5"/>
    <w:rsid w:val="212B522B"/>
    <w:rsid w:val="21736537"/>
    <w:rsid w:val="21977807"/>
    <w:rsid w:val="219A6D4B"/>
    <w:rsid w:val="21B30D9B"/>
    <w:rsid w:val="21B32189"/>
    <w:rsid w:val="21B756DD"/>
    <w:rsid w:val="21BB2C48"/>
    <w:rsid w:val="21C2735E"/>
    <w:rsid w:val="21E57FA3"/>
    <w:rsid w:val="21FB5A74"/>
    <w:rsid w:val="226054E6"/>
    <w:rsid w:val="226827C0"/>
    <w:rsid w:val="227B31BE"/>
    <w:rsid w:val="227C6EFF"/>
    <w:rsid w:val="228A7172"/>
    <w:rsid w:val="22942795"/>
    <w:rsid w:val="22A10D06"/>
    <w:rsid w:val="22B665A5"/>
    <w:rsid w:val="22C925E0"/>
    <w:rsid w:val="22D84291"/>
    <w:rsid w:val="22E46F4A"/>
    <w:rsid w:val="22E82DE7"/>
    <w:rsid w:val="22F20159"/>
    <w:rsid w:val="23005537"/>
    <w:rsid w:val="232C54A8"/>
    <w:rsid w:val="233C2C53"/>
    <w:rsid w:val="23486890"/>
    <w:rsid w:val="23646D54"/>
    <w:rsid w:val="236F1F61"/>
    <w:rsid w:val="23977AD9"/>
    <w:rsid w:val="23AB4CDF"/>
    <w:rsid w:val="23AC477C"/>
    <w:rsid w:val="23C37A75"/>
    <w:rsid w:val="240404D0"/>
    <w:rsid w:val="24220F3E"/>
    <w:rsid w:val="2423604B"/>
    <w:rsid w:val="243A3F7E"/>
    <w:rsid w:val="24436391"/>
    <w:rsid w:val="244A36EC"/>
    <w:rsid w:val="2450121E"/>
    <w:rsid w:val="247A4C56"/>
    <w:rsid w:val="2487622C"/>
    <w:rsid w:val="24973094"/>
    <w:rsid w:val="24AD6D9A"/>
    <w:rsid w:val="24B74B71"/>
    <w:rsid w:val="24DD5B8E"/>
    <w:rsid w:val="24E52AD8"/>
    <w:rsid w:val="24E85B0E"/>
    <w:rsid w:val="251418FC"/>
    <w:rsid w:val="251B0F81"/>
    <w:rsid w:val="254925FD"/>
    <w:rsid w:val="255249D2"/>
    <w:rsid w:val="256C0CC0"/>
    <w:rsid w:val="25712B23"/>
    <w:rsid w:val="25A845B3"/>
    <w:rsid w:val="25C94365"/>
    <w:rsid w:val="25EB71B7"/>
    <w:rsid w:val="26154215"/>
    <w:rsid w:val="261A0BE6"/>
    <w:rsid w:val="26385E8A"/>
    <w:rsid w:val="263C7691"/>
    <w:rsid w:val="26500F80"/>
    <w:rsid w:val="265E2776"/>
    <w:rsid w:val="26666FDC"/>
    <w:rsid w:val="26770056"/>
    <w:rsid w:val="267D1DF8"/>
    <w:rsid w:val="26963D4E"/>
    <w:rsid w:val="26AA5F44"/>
    <w:rsid w:val="26AB763C"/>
    <w:rsid w:val="26B267E7"/>
    <w:rsid w:val="26D794B7"/>
    <w:rsid w:val="26F131DC"/>
    <w:rsid w:val="26F61BE2"/>
    <w:rsid w:val="26F65310"/>
    <w:rsid w:val="26FD61CB"/>
    <w:rsid w:val="27052D05"/>
    <w:rsid w:val="27082804"/>
    <w:rsid w:val="270832AE"/>
    <w:rsid w:val="2718139A"/>
    <w:rsid w:val="27357F9F"/>
    <w:rsid w:val="27561209"/>
    <w:rsid w:val="275A646F"/>
    <w:rsid w:val="275E35BF"/>
    <w:rsid w:val="2768316A"/>
    <w:rsid w:val="27751362"/>
    <w:rsid w:val="27A4553F"/>
    <w:rsid w:val="27BE0742"/>
    <w:rsid w:val="27D35135"/>
    <w:rsid w:val="27DD1D93"/>
    <w:rsid w:val="27EF1935"/>
    <w:rsid w:val="280A1B75"/>
    <w:rsid w:val="28257458"/>
    <w:rsid w:val="283962F8"/>
    <w:rsid w:val="287A36F4"/>
    <w:rsid w:val="288458E7"/>
    <w:rsid w:val="28A33A20"/>
    <w:rsid w:val="28A47F17"/>
    <w:rsid w:val="28A95D87"/>
    <w:rsid w:val="28B9421C"/>
    <w:rsid w:val="28FE6071"/>
    <w:rsid w:val="290212C1"/>
    <w:rsid w:val="290D5ED8"/>
    <w:rsid w:val="294E49AE"/>
    <w:rsid w:val="295369C8"/>
    <w:rsid w:val="29656DCE"/>
    <w:rsid w:val="29722140"/>
    <w:rsid w:val="298B4B23"/>
    <w:rsid w:val="29963748"/>
    <w:rsid w:val="299D30D3"/>
    <w:rsid w:val="29AD63FD"/>
    <w:rsid w:val="29B547FE"/>
    <w:rsid w:val="29B71FDB"/>
    <w:rsid w:val="29CF18DD"/>
    <w:rsid w:val="29D65D23"/>
    <w:rsid w:val="29D875FE"/>
    <w:rsid w:val="2A194E5D"/>
    <w:rsid w:val="2A21554B"/>
    <w:rsid w:val="2A544E00"/>
    <w:rsid w:val="2A594BC2"/>
    <w:rsid w:val="2A864FF8"/>
    <w:rsid w:val="2A9F7561"/>
    <w:rsid w:val="2AA90FA0"/>
    <w:rsid w:val="2AB103DC"/>
    <w:rsid w:val="2AB31CE2"/>
    <w:rsid w:val="2AB55266"/>
    <w:rsid w:val="2ABB5AA9"/>
    <w:rsid w:val="2AC554AE"/>
    <w:rsid w:val="2AF000D8"/>
    <w:rsid w:val="2B487382"/>
    <w:rsid w:val="2B552F60"/>
    <w:rsid w:val="2B5D3585"/>
    <w:rsid w:val="2B6371BC"/>
    <w:rsid w:val="2B7841A6"/>
    <w:rsid w:val="2B960521"/>
    <w:rsid w:val="2BB367B9"/>
    <w:rsid w:val="2C13380B"/>
    <w:rsid w:val="2C184D47"/>
    <w:rsid w:val="2C521827"/>
    <w:rsid w:val="2C796A89"/>
    <w:rsid w:val="2CB73169"/>
    <w:rsid w:val="2CBD3A96"/>
    <w:rsid w:val="2CC74339"/>
    <w:rsid w:val="2CCC23F7"/>
    <w:rsid w:val="2CCE1414"/>
    <w:rsid w:val="2CDE6947"/>
    <w:rsid w:val="2CF93ABF"/>
    <w:rsid w:val="2D087972"/>
    <w:rsid w:val="2D1E27A3"/>
    <w:rsid w:val="2D1E560F"/>
    <w:rsid w:val="2D394FF5"/>
    <w:rsid w:val="2D766528"/>
    <w:rsid w:val="2DF50B51"/>
    <w:rsid w:val="2E271459"/>
    <w:rsid w:val="2E402CEA"/>
    <w:rsid w:val="2E6111A5"/>
    <w:rsid w:val="2E671D49"/>
    <w:rsid w:val="2E6A704D"/>
    <w:rsid w:val="2E8A6255"/>
    <w:rsid w:val="2EB8596B"/>
    <w:rsid w:val="2EC8145A"/>
    <w:rsid w:val="2F02672D"/>
    <w:rsid w:val="2F0B1048"/>
    <w:rsid w:val="2F132DA3"/>
    <w:rsid w:val="2F141AAA"/>
    <w:rsid w:val="2FCA4353"/>
    <w:rsid w:val="2FE55D75"/>
    <w:rsid w:val="2FEF5D95"/>
    <w:rsid w:val="2FF23F99"/>
    <w:rsid w:val="2FFF3277"/>
    <w:rsid w:val="30236367"/>
    <w:rsid w:val="30331BC6"/>
    <w:rsid w:val="303E7E03"/>
    <w:rsid w:val="30405AEB"/>
    <w:rsid w:val="304A182B"/>
    <w:rsid w:val="30700C52"/>
    <w:rsid w:val="30757C00"/>
    <w:rsid w:val="30782C0F"/>
    <w:rsid w:val="307D5D65"/>
    <w:rsid w:val="30B34CE3"/>
    <w:rsid w:val="30CB1C83"/>
    <w:rsid w:val="30E97669"/>
    <w:rsid w:val="30ED2830"/>
    <w:rsid w:val="3112096E"/>
    <w:rsid w:val="31633AA7"/>
    <w:rsid w:val="316B2857"/>
    <w:rsid w:val="3173117E"/>
    <w:rsid w:val="31832D29"/>
    <w:rsid w:val="319D5339"/>
    <w:rsid w:val="319F2F47"/>
    <w:rsid w:val="31B2277E"/>
    <w:rsid w:val="31BA26C7"/>
    <w:rsid w:val="31D20CDE"/>
    <w:rsid w:val="31F37E23"/>
    <w:rsid w:val="31FE689A"/>
    <w:rsid w:val="32223DC6"/>
    <w:rsid w:val="325A02A1"/>
    <w:rsid w:val="32846028"/>
    <w:rsid w:val="329032EF"/>
    <w:rsid w:val="329970EF"/>
    <w:rsid w:val="32AE0B6A"/>
    <w:rsid w:val="32B35AAA"/>
    <w:rsid w:val="32E84303"/>
    <w:rsid w:val="330F3777"/>
    <w:rsid w:val="33135210"/>
    <w:rsid w:val="3326373F"/>
    <w:rsid w:val="333F4524"/>
    <w:rsid w:val="334459AC"/>
    <w:rsid w:val="33616C57"/>
    <w:rsid w:val="33705A64"/>
    <w:rsid w:val="338E32D5"/>
    <w:rsid w:val="33A055AF"/>
    <w:rsid w:val="33A51E80"/>
    <w:rsid w:val="33CC4821"/>
    <w:rsid w:val="33EE589E"/>
    <w:rsid w:val="340329A9"/>
    <w:rsid w:val="3404708F"/>
    <w:rsid w:val="342645AD"/>
    <w:rsid w:val="342B057B"/>
    <w:rsid w:val="34335C8F"/>
    <w:rsid w:val="344219DC"/>
    <w:rsid w:val="34617CD8"/>
    <w:rsid w:val="346317C9"/>
    <w:rsid w:val="34753860"/>
    <w:rsid w:val="34A61339"/>
    <w:rsid w:val="34AF4725"/>
    <w:rsid w:val="34CC3006"/>
    <w:rsid w:val="34E56399"/>
    <w:rsid w:val="34F3793E"/>
    <w:rsid w:val="34FA09EA"/>
    <w:rsid w:val="350D601C"/>
    <w:rsid w:val="3531449E"/>
    <w:rsid w:val="354B5D9D"/>
    <w:rsid w:val="35574E9C"/>
    <w:rsid w:val="356D77B9"/>
    <w:rsid w:val="35712E34"/>
    <w:rsid w:val="359305B1"/>
    <w:rsid w:val="35966E67"/>
    <w:rsid w:val="359834CB"/>
    <w:rsid w:val="35E84393"/>
    <w:rsid w:val="35ED793B"/>
    <w:rsid w:val="35F0158C"/>
    <w:rsid w:val="35F06F52"/>
    <w:rsid w:val="35F84740"/>
    <w:rsid w:val="36100ABF"/>
    <w:rsid w:val="361A6E50"/>
    <w:rsid w:val="36383125"/>
    <w:rsid w:val="366C082D"/>
    <w:rsid w:val="36766616"/>
    <w:rsid w:val="368C388A"/>
    <w:rsid w:val="36A46DB4"/>
    <w:rsid w:val="36C90DD1"/>
    <w:rsid w:val="36EF2646"/>
    <w:rsid w:val="36F275DD"/>
    <w:rsid w:val="36F55D23"/>
    <w:rsid w:val="374634AB"/>
    <w:rsid w:val="37543CF6"/>
    <w:rsid w:val="37704489"/>
    <w:rsid w:val="37710026"/>
    <w:rsid w:val="37925427"/>
    <w:rsid w:val="37A01319"/>
    <w:rsid w:val="37A55DCC"/>
    <w:rsid w:val="37CA04FF"/>
    <w:rsid w:val="37CE5784"/>
    <w:rsid w:val="37D30771"/>
    <w:rsid w:val="37E3512E"/>
    <w:rsid w:val="37EC0BB8"/>
    <w:rsid w:val="37FA18DB"/>
    <w:rsid w:val="38194E02"/>
    <w:rsid w:val="382F75E3"/>
    <w:rsid w:val="38371ACC"/>
    <w:rsid w:val="384F44DE"/>
    <w:rsid w:val="385C7AF5"/>
    <w:rsid w:val="38A748FD"/>
    <w:rsid w:val="38FF39F5"/>
    <w:rsid w:val="394C68A5"/>
    <w:rsid w:val="3952462B"/>
    <w:rsid w:val="395E479A"/>
    <w:rsid w:val="39675804"/>
    <w:rsid w:val="398A60A0"/>
    <w:rsid w:val="39A36C2D"/>
    <w:rsid w:val="39AA29B9"/>
    <w:rsid w:val="39AE63D1"/>
    <w:rsid w:val="39BC3645"/>
    <w:rsid w:val="39D7D99B"/>
    <w:rsid w:val="39E71AEC"/>
    <w:rsid w:val="39F60058"/>
    <w:rsid w:val="39FB00A4"/>
    <w:rsid w:val="3A104089"/>
    <w:rsid w:val="3A190FBF"/>
    <w:rsid w:val="3A1A692D"/>
    <w:rsid w:val="3A255BB6"/>
    <w:rsid w:val="3A4A7EAF"/>
    <w:rsid w:val="3A7C039E"/>
    <w:rsid w:val="3A8217DE"/>
    <w:rsid w:val="3A822B01"/>
    <w:rsid w:val="3AB8426E"/>
    <w:rsid w:val="3ACF765C"/>
    <w:rsid w:val="3AD278CD"/>
    <w:rsid w:val="3AE2573F"/>
    <w:rsid w:val="3AFA4BE5"/>
    <w:rsid w:val="3B2A44B8"/>
    <w:rsid w:val="3B2B6476"/>
    <w:rsid w:val="3B387B37"/>
    <w:rsid w:val="3BAF3CA2"/>
    <w:rsid w:val="3BBC038E"/>
    <w:rsid w:val="3BCE2040"/>
    <w:rsid w:val="3BFE3F02"/>
    <w:rsid w:val="3C111056"/>
    <w:rsid w:val="3C2972FD"/>
    <w:rsid w:val="3C4D1A67"/>
    <w:rsid w:val="3C5B4444"/>
    <w:rsid w:val="3C852047"/>
    <w:rsid w:val="3C9506A5"/>
    <w:rsid w:val="3CA13116"/>
    <w:rsid w:val="3CA925AE"/>
    <w:rsid w:val="3CCF4FA4"/>
    <w:rsid w:val="3CE53DCB"/>
    <w:rsid w:val="3CF877AB"/>
    <w:rsid w:val="3D1703D7"/>
    <w:rsid w:val="3D306CB2"/>
    <w:rsid w:val="3D32729D"/>
    <w:rsid w:val="3D485E54"/>
    <w:rsid w:val="3D5642D8"/>
    <w:rsid w:val="3D62504C"/>
    <w:rsid w:val="3D667959"/>
    <w:rsid w:val="3D8230F2"/>
    <w:rsid w:val="3D886E2C"/>
    <w:rsid w:val="3D9A6B04"/>
    <w:rsid w:val="3DAA5519"/>
    <w:rsid w:val="3DC413E8"/>
    <w:rsid w:val="3DCA34BB"/>
    <w:rsid w:val="3DD83D60"/>
    <w:rsid w:val="3DEE7764"/>
    <w:rsid w:val="3DF375C5"/>
    <w:rsid w:val="3DFD1C5E"/>
    <w:rsid w:val="3E044CAE"/>
    <w:rsid w:val="3E12201C"/>
    <w:rsid w:val="3E235F81"/>
    <w:rsid w:val="3E427218"/>
    <w:rsid w:val="3E460E59"/>
    <w:rsid w:val="3E491747"/>
    <w:rsid w:val="3E522CF1"/>
    <w:rsid w:val="3E6C3502"/>
    <w:rsid w:val="3E822B0F"/>
    <w:rsid w:val="3E8F30B5"/>
    <w:rsid w:val="3E9D9EE9"/>
    <w:rsid w:val="3EA27573"/>
    <w:rsid w:val="3EA72ABE"/>
    <w:rsid w:val="3EAD4174"/>
    <w:rsid w:val="3EAD7F9C"/>
    <w:rsid w:val="3EB32892"/>
    <w:rsid w:val="3EBC3336"/>
    <w:rsid w:val="3ED84B73"/>
    <w:rsid w:val="3EDE79C6"/>
    <w:rsid w:val="3EF34099"/>
    <w:rsid w:val="3EF60080"/>
    <w:rsid w:val="3EF65530"/>
    <w:rsid w:val="3EF717DC"/>
    <w:rsid w:val="3EFEC654"/>
    <w:rsid w:val="3F064AE9"/>
    <w:rsid w:val="3F3B0C43"/>
    <w:rsid w:val="3F422B55"/>
    <w:rsid w:val="3F4C62B0"/>
    <w:rsid w:val="3F6A4BE4"/>
    <w:rsid w:val="3F7279F0"/>
    <w:rsid w:val="3F7C65CA"/>
    <w:rsid w:val="3F7F0FB6"/>
    <w:rsid w:val="3F935FEE"/>
    <w:rsid w:val="3F9717D1"/>
    <w:rsid w:val="3FB2485B"/>
    <w:rsid w:val="3FBD3AE8"/>
    <w:rsid w:val="3FDF3CD8"/>
    <w:rsid w:val="400C70A8"/>
    <w:rsid w:val="402A34B8"/>
    <w:rsid w:val="40360CD1"/>
    <w:rsid w:val="40361D66"/>
    <w:rsid w:val="404C1EBB"/>
    <w:rsid w:val="405214DD"/>
    <w:rsid w:val="406060C3"/>
    <w:rsid w:val="40613E30"/>
    <w:rsid w:val="40736573"/>
    <w:rsid w:val="407D7357"/>
    <w:rsid w:val="408D0A8F"/>
    <w:rsid w:val="409B4A07"/>
    <w:rsid w:val="40A92A60"/>
    <w:rsid w:val="40BF6E39"/>
    <w:rsid w:val="40C25B7F"/>
    <w:rsid w:val="40F66678"/>
    <w:rsid w:val="40FA12EB"/>
    <w:rsid w:val="410A16AB"/>
    <w:rsid w:val="410E1C56"/>
    <w:rsid w:val="4120577A"/>
    <w:rsid w:val="41282D76"/>
    <w:rsid w:val="416C142E"/>
    <w:rsid w:val="41B94E35"/>
    <w:rsid w:val="41E677EA"/>
    <w:rsid w:val="41FD121E"/>
    <w:rsid w:val="42117A10"/>
    <w:rsid w:val="421A7627"/>
    <w:rsid w:val="42260731"/>
    <w:rsid w:val="422875BA"/>
    <w:rsid w:val="4233112B"/>
    <w:rsid w:val="42401E98"/>
    <w:rsid w:val="42474F8A"/>
    <w:rsid w:val="42635F66"/>
    <w:rsid w:val="42872311"/>
    <w:rsid w:val="428B5762"/>
    <w:rsid w:val="429F3B64"/>
    <w:rsid w:val="42B64F1C"/>
    <w:rsid w:val="42D47C2B"/>
    <w:rsid w:val="42DA32B5"/>
    <w:rsid w:val="42FB45E4"/>
    <w:rsid w:val="42FC7797"/>
    <w:rsid w:val="4307713D"/>
    <w:rsid w:val="431C567C"/>
    <w:rsid w:val="4326087F"/>
    <w:rsid w:val="433543AC"/>
    <w:rsid w:val="43420FE8"/>
    <w:rsid w:val="434513F0"/>
    <w:rsid w:val="4351587E"/>
    <w:rsid w:val="435624D6"/>
    <w:rsid w:val="43606D1A"/>
    <w:rsid w:val="43702851"/>
    <w:rsid w:val="437269BA"/>
    <w:rsid w:val="437F3C65"/>
    <w:rsid w:val="43CA4F48"/>
    <w:rsid w:val="43FE3539"/>
    <w:rsid w:val="43FE78B1"/>
    <w:rsid w:val="440A7CA0"/>
    <w:rsid w:val="44136A7F"/>
    <w:rsid w:val="4424604A"/>
    <w:rsid w:val="442967DE"/>
    <w:rsid w:val="442C42E7"/>
    <w:rsid w:val="445014AB"/>
    <w:rsid w:val="44C935E1"/>
    <w:rsid w:val="44CE660D"/>
    <w:rsid w:val="44F06B53"/>
    <w:rsid w:val="454F0B76"/>
    <w:rsid w:val="45795008"/>
    <w:rsid w:val="4579514B"/>
    <w:rsid w:val="457E2BBE"/>
    <w:rsid w:val="457F72E8"/>
    <w:rsid w:val="45A56FE6"/>
    <w:rsid w:val="45B41298"/>
    <w:rsid w:val="45DE083B"/>
    <w:rsid w:val="45E076C0"/>
    <w:rsid w:val="45F36067"/>
    <w:rsid w:val="460C0745"/>
    <w:rsid w:val="463122D8"/>
    <w:rsid w:val="4632053D"/>
    <w:rsid w:val="46521A6E"/>
    <w:rsid w:val="46577675"/>
    <w:rsid w:val="4662415A"/>
    <w:rsid w:val="4662498C"/>
    <w:rsid w:val="466277F0"/>
    <w:rsid w:val="466E26B2"/>
    <w:rsid w:val="468425B0"/>
    <w:rsid w:val="46A022D9"/>
    <w:rsid w:val="46A9554B"/>
    <w:rsid w:val="46B21457"/>
    <w:rsid w:val="46BE1A6C"/>
    <w:rsid w:val="46BE6647"/>
    <w:rsid w:val="46D0431B"/>
    <w:rsid w:val="46EE3897"/>
    <w:rsid w:val="47056F93"/>
    <w:rsid w:val="471A69C9"/>
    <w:rsid w:val="471B3499"/>
    <w:rsid w:val="4730142A"/>
    <w:rsid w:val="475A025C"/>
    <w:rsid w:val="478E4BD2"/>
    <w:rsid w:val="47AB6B38"/>
    <w:rsid w:val="47C848F5"/>
    <w:rsid w:val="47D27E79"/>
    <w:rsid w:val="47D84DCE"/>
    <w:rsid w:val="47DD756D"/>
    <w:rsid w:val="48037A8A"/>
    <w:rsid w:val="48057880"/>
    <w:rsid w:val="48150BC3"/>
    <w:rsid w:val="48377D23"/>
    <w:rsid w:val="48432BB4"/>
    <w:rsid w:val="486634EE"/>
    <w:rsid w:val="48684EBF"/>
    <w:rsid w:val="48807890"/>
    <w:rsid w:val="48A64B98"/>
    <w:rsid w:val="48A71804"/>
    <w:rsid w:val="48B30830"/>
    <w:rsid w:val="48BC156D"/>
    <w:rsid w:val="48DF62C3"/>
    <w:rsid w:val="48F765BE"/>
    <w:rsid w:val="490445F2"/>
    <w:rsid w:val="49137521"/>
    <w:rsid w:val="49320F23"/>
    <w:rsid w:val="49577150"/>
    <w:rsid w:val="498579B5"/>
    <w:rsid w:val="49A10911"/>
    <w:rsid w:val="49DD73AE"/>
    <w:rsid w:val="49EF6290"/>
    <w:rsid w:val="49F95BD6"/>
    <w:rsid w:val="4A097F6A"/>
    <w:rsid w:val="4A0C7375"/>
    <w:rsid w:val="4A1906B0"/>
    <w:rsid w:val="4A194AA5"/>
    <w:rsid w:val="4A2710F3"/>
    <w:rsid w:val="4A4934DE"/>
    <w:rsid w:val="4A5E47CC"/>
    <w:rsid w:val="4A7D2EA4"/>
    <w:rsid w:val="4A8B7E5D"/>
    <w:rsid w:val="4A9106FD"/>
    <w:rsid w:val="4AA73240"/>
    <w:rsid w:val="4AB72272"/>
    <w:rsid w:val="4AD703A4"/>
    <w:rsid w:val="4AFF1B0B"/>
    <w:rsid w:val="4B2621A1"/>
    <w:rsid w:val="4B305E1B"/>
    <w:rsid w:val="4B5D2E40"/>
    <w:rsid w:val="4B602D44"/>
    <w:rsid w:val="4B6F0573"/>
    <w:rsid w:val="4B8146F0"/>
    <w:rsid w:val="4BB92D8E"/>
    <w:rsid w:val="4BBB7216"/>
    <w:rsid w:val="4BD07B58"/>
    <w:rsid w:val="4BE87BA5"/>
    <w:rsid w:val="4BEE7C6E"/>
    <w:rsid w:val="4C076A44"/>
    <w:rsid w:val="4C155F10"/>
    <w:rsid w:val="4C3176AB"/>
    <w:rsid w:val="4C324162"/>
    <w:rsid w:val="4C3C12ED"/>
    <w:rsid w:val="4C415DC1"/>
    <w:rsid w:val="4C571AC7"/>
    <w:rsid w:val="4C6E278E"/>
    <w:rsid w:val="4C87625C"/>
    <w:rsid w:val="4CA95F3B"/>
    <w:rsid w:val="4CB456F9"/>
    <w:rsid w:val="4CC77460"/>
    <w:rsid w:val="4CE45067"/>
    <w:rsid w:val="4CFF538B"/>
    <w:rsid w:val="4D2A4B22"/>
    <w:rsid w:val="4D471EEE"/>
    <w:rsid w:val="4D4B515F"/>
    <w:rsid w:val="4D4D7800"/>
    <w:rsid w:val="4D7251FF"/>
    <w:rsid w:val="4D7629FC"/>
    <w:rsid w:val="4DDB4948"/>
    <w:rsid w:val="4DE50C0B"/>
    <w:rsid w:val="4DF831B6"/>
    <w:rsid w:val="4E11105D"/>
    <w:rsid w:val="4E16225A"/>
    <w:rsid w:val="4E253AB8"/>
    <w:rsid w:val="4E3F66C2"/>
    <w:rsid w:val="4E472C92"/>
    <w:rsid w:val="4E78746D"/>
    <w:rsid w:val="4E824D97"/>
    <w:rsid w:val="4E9D5C2D"/>
    <w:rsid w:val="4EA97FF6"/>
    <w:rsid w:val="4EBA57C1"/>
    <w:rsid w:val="4EC8768D"/>
    <w:rsid w:val="4EEB58EF"/>
    <w:rsid w:val="4EFE6975"/>
    <w:rsid w:val="4F047E0A"/>
    <w:rsid w:val="4F477F24"/>
    <w:rsid w:val="4FA113E3"/>
    <w:rsid w:val="4FA91AAC"/>
    <w:rsid w:val="4FBD0FF5"/>
    <w:rsid w:val="4FC854D7"/>
    <w:rsid w:val="50142DE1"/>
    <w:rsid w:val="5015687B"/>
    <w:rsid w:val="501926CA"/>
    <w:rsid w:val="50213118"/>
    <w:rsid w:val="503109FF"/>
    <w:rsid w:val="50397C5E"/>
    <w:rsid w:val="503E4E84"/>
    <w:rsid w:val="503E7F87"/>
    <w:rsid w:val="504544C8"/>
    <w:rsid w:val="504B4026"/>
    <w:rsid w:val="505E3D68"/>
    <w:rsid w:val="505F5918"/>
    <w:rsid w:val="506F5953"/>
    <w:rsid w:val="50C2531E"/>
    <w:rsid w:val="50CE7F89"/>
    <w:rsid w:val="50D13748"/>
    <w:rsid w:val="50D43A3A"/>
    <w:rsid w:val="512A18AC"/>
    <w:rsid w:val="516A440A"/>
    <w:rsid w:val="51B053DC"/>
    <w:rsid w:val="51BA5A6F"/>
    <w:rsid w:val="51C42E16"/>
    <w:rsid w:val="51E179B6"/>
    <w:rsid w:val="51E5538B"/>
    <w:rsid w:val="520D6221"/>
    <w:rsid w:val="52187956"/>
    <w:rsid w:val="525351F4"/>
    <w:rsid w:val="525A6FBC"/>
    <w:rsid w:val="525D2164"/>
    <w:rsid w:val="526C0997"/>
    <w:rsid w:val="52855A65"/>
    <w:rsid w:val="52E44E05"/>
    <w:rsid w:val="53227978"/>
    <w:rsid w:val="53311AB3"/>
    <w:rsid w:val="53317F44"/>
    <w:rsid w:val="533D33D1"/>
    <w:rsid w:val="53511F1B"/>
    <w:rsid w:val="5353295D"/>
    <w:rsid w:val="53670B33"/>
    <w:rsid w:val="537735FB"/>
    <w:rsid w:val="53775B6A"/>
    <w:rsid w:val="538F5737"/>
    <w:rsid w:val="539B619F"/>
    <w:rsid w:val="53CD7B39"/>
    <w:rsid w:val="53D43855"/>
    <w:rsid w:val="53D6214F"/>
    <w:rsid w:val="53E804B6"/>
    <w:rsid w:val="53EE1101"/>
    <w:rsid w:val="53FC4E8E"/>
    <w:rsid w:val="541717DC"/>
    <w:rsid w:val="54271D5C"/>
    <w:rsid w:val="544E58B1"/>
    <w:rsid w:val="54976AA9"/>
    <w:rsid w:val="549A3F89"/>
    <w:rsid w:val="54A022DD"/>
    <w:rsid w:val="54AC14F8"/>
    <w:rsid w:val="54DE0134"/>
    <w:rsid w:val="551B5793"/>
    <w:rsid w:val="553C46BA"/>
    <w:rsid w:val="554871E5"/>
    <w:rsid w:val="55494082"/>
    <w:rsid w:val="5555015C"/>
    <w:rsid w:val="555F54CC"/>
    <w:rsid w:val="557D5B60"/>
    <w:rsid w:val="55834A19"/>
    <w:rsid w:val="559D43FA"/>
    <w:rsid w:val="55CF743F"/>
    <w:rsid w:val="55E67F7B"/>
    <w:rsid w:val="55F27046"/>
    <w:rsid w:val="55F526C6"/>
    <w:rsid w:val="56066DC9"/>
    <w:rsid w:val="560B2337"/>
    <w:rsid w:val="561A7CC7"/>
    <w:rsid w:val="563D3B5A"/>
    <w:rsid w:val="564E1228"/>
    <w:rsid w:val="56852156"/>
    <w:rsid w:val="569D042A"/>
    <w:rsid w:val="56A6131D"/>
    <w:rsid w:val="56A82B00"/>
    <w:rsid w:val="56BC5AD0"/>
    <w:rsid w:val="56D00C68"/>
    <w:rsid w:val="56EB60FD"/>
    <w:rsid w:val="57022BD1"/>
    <w:rsid w:val="570E6B52"/>
    <w:rsid w:val="57212B27"/>
    <w:rsid w:val="572809C2"/>
    <w:rsid w:val="57480C4D"/>
    <w:rsid w:val="574C27F3"/>
    <w:rsid w:val="57863EF6"/>
    <w:rsid w:val="57895A45"/>
    <w:rsid w:val="579D6934"/>
    <w:rsid w:val="57A16858"/>
    <w:rsid w:val="57B30CDA"/>
    <w:rsid w:val="57C5313B"/>
    <w:rsid w:val="57C97313"/>
    <w:rsid w:val="57D807D4"/>
    <w:rsid w:val="57EA7969"/>
    <w:rsid w:val="57F740F4"/>
    <w:rsid w:val="57FA3D86"/>
    <w:rsid w:val="582D52F7"/>
    <w:rsid w:val="58532CF6"/>
    <w:rsid w:val="58750691"/>
    <w:rsid w:val="58975E5A"/>
    <w:rsid w:val="589A626B"/>
    <w:rsid w:val="58AB575D"/>
    <w:rsid w:val="58BC728D"/>
    <w:rsid w:val="58DD0763"/>
    <w:rsid w:val="58DD46F2"/>
    <w:rsid w:val="58EA22FF"/>
    <w:rsid w:val="58EB59C1"/>
    <w:rsid w:val="59445F91"/>
    <w:rsid w:val="59815208"/>
    <w:rsid w:val="5993057B"/>
    <w:rsid w:val="59A64B68"/>
    <w:rsid w:val="59F001A4"/>
    <w:rsid w:val="59FD6581"/>
    <w:rsid w:val="5A1E2DE7"/>
    <w:rsid w:val="5A20427A"/>
    <w:rsid w:val="5A2F4103"/>
    <w:rsid w:val="5A331DE9"/>
    <w:rsid w:val="5A395FB6"/>
    <w:rsid w:val="5A436A2D"/>
    <w:rsid w:val="5A6439D8"/>
    <w:rsid w:val="5A7F145F"/>
    <w:rsid w:val="5A9833A8"/>
    <w:rsid w:val="5AAC047B"/>
    <w:rsid w:val="5AF55530"/>
    <w:rsid w:val="5B0A066E"/>
    <w:rsid w:val="5B123FA7"/>
    <w:rsid w:val="5B2630E4"/>
    <w:rsid w:val="5B53012E"/>
    <w:rsid w:val="5B5E18A4"/>
    <w:rsid w:val="5B613C0E"/>
    <w:rsid w:val="5B616C6A"/>
    <w:rsid w:val="5B755A94"/>
    <w:rsid w:val="5B7E4A2B"/>
    <w:rsid w:val="5B955E96"/>
    <w:rsid w:val="5B9B3675"/>
    <w:rsid w:val="5BA26571"/>
    <w:rsid w:val="5BCA6564"/>
    <w:rsid w:val="5BCD355F"/>
    <w:rsid w:val="5BD66D67"/>
    <w:rsid w:val="5BED76D7"/>
    <w:rsid w:val="5BFE7E52"/>
    <w:rsid w:val="5C107D40"/>
    <w:rsid w:val="5C1E3775"/>
    <w:rsid w:val="5C381264"/>
    <w:rsid w:val="5C3B0D6A"/>
    <w:rsid w:val="5C3B764F"/>
    <w:rsid w:val="5C4B4D7A"/>
    <w:rsid w:val="5C672644"/>
    <w:rsid w:val="5C8132C7"/>
    <w:rsid w:val="5CA23A25"/>
    <w:rsid w:val="5CC26330"/>
    <w:rsid w:val="5CD67F41"/>
    <w:rsid w:val="5CDF760E"/>
    <w:rsid w:val="5D017C51"/>
    <w:rsid w:val="5D3C274B"/>
    <w:rsid w:val="5D4165A3"/>
    <w:rsid w:val="5D463591"/>
    <w:rsid w:val="5D4F2A78"/>
    <w:rsid w:val="5D570A59"/>
    <w:rsid w:val="5D614912"/>
    <w:rsid w:val="5D792AE4"/>
    <w:rsid w:val="5DAC778D"/>
    <w:rsid w:val="5DC25C67"/>
    <w:rsid w:val="5DD97571"/>
    <w:rsid w:val="5E101ABB"/>
    <w:rsid w:val="5E2F58D3"/>
    <w:rsid w:val="5E5A06FD"/>
    <w:rsid w:val="5E7F5A64"/>
    <w:rsid w:val="5E8425FB"/>
    <w:rsid w:val="5E9342EC"/>
    <w:rsid w:val="5EA27CF7"/>
    <w:rsid w:val="5EBC3C1E"/>
    <w:rsid w:val="5EC47248"/>
    <w:rsid w:val="5F3815EE"/>
    <w:rsid w:val="5F3B2D6A"/>
    <w:rsid w:val="5F5C32D6"/>
    <w:rsid w:val="5F744CAA"/>
    <w:rsid w:val="5F904FD0"/>
    <w:rsid w:val="5FB10E83"/>
    <w:rsid w:val="5FCF6A24"/>
    <w:rsid w:val="5FDC6467"/>
    <w:rsid w:val="5FFD96AC"/>
    <w:rsid w:val="60084BEC"/>
    <w:rsid w:val="600E788A"/>
    <w:rsid w:val="60173C67"/>
    <w:rsid w:val="601849F0"/>
    <w:rsid w:val="60206354"/>
    <w:rsid w:val="603911C4"/>
    <w:rsid w:val="60391874"/>
    <w:rsid w:val="604130CF"/>
    <w:rsid w:val="60572C99"/>
    <w:rsid w:val="60663C94"/>
    <w:rsid w:val="60794FD4"/>
    <w:rsid w:val="60814FEF"/>
    <w:rsid w:val="608A5EC3"/>
    <w:rsid w:val="60946411"/>
    <w:rsid w:val="60A05F91"/>
    <w:rsid w:val="60AE4E89"/>
    <w:rsid w:val="60CD4AC4"/>
    <w:rsid w:val="60D32F5A"/>
    <w:rsid w:val="610E2B4C"/>
    <w:rsid w:val="61296084"/>
    <w:rsid w:val="613E3956"/>
    <w:rsid w:val="617F50B5"/>
    <w:rsid w:val="61856288"/>
    <w:rsid w:val="619945D7"/>
    <w:rsid w:val="61C210E3"/>
    <w:rsid w:val="61C24BFD"/>
    <w:rsid w:val="61DE43D4"/>
    <w:rsid w:val="61E06967"/>
    <w:rsid w:val="61ED083B"/>
    <w:rsid w:val="61FC2F88"/>
    <w:rsid w:val="624216A0"/>
    <w:rsid w:val="626343A0"/>
    <w:rsid w:val="626736F9"/>
    <w:rsid w:val="62683FE2"/>
    <w:rsid w:val="626B4082"/>
    <w:rsid w:val="626B6B00"/>
    <w:rsid w:val="628E1BE9"/>
    <w:rsid w:val="62C126EC"/>
    <w:rsid w:val="62CF1703"/>
    <w:rsid w:val="62D06FF9"/>
    <w:rsid w:val="62D358FF"/>
    <w:rsid w:val="62D765EB"/>
    <w:rsid w:val="6329057B"/>
    <w:rsid w:val="636B22CC"/>
    <w:rsid w:val="636C198B"/>
    <w:rsid w:val="63966DA4"/>
    <w:rsid w:val="63B65AC7"/>
    <w:rsid w:val="63D7428B"/>
    <w:rsid w:val="63E540E9"/>
    <w:rsid w:val="64002DAD"/>
    <w:rsid w:val="640C4C0D"/>
    <w:rsid w:val="643B5584"/>
    <w:rsid w:val="645830D7"/>
    <w:rsid w:val="64675414"/>
    <w:rsid w:val="646D58E0"/>
    <w:rsid w:val="647258C3"/>
    <w:rsid w:val="64763CBE"/>
    <w:rsid w:val="648D31A2"/>
    <w:rsid w:val="64947D16"/>
    <w:rsid w:val="64AA2E73"/>
    <w:rsid w:val="64B8434A"/>
    <w:rsid w:val="64C5008F"/>
    <w:rsid w:val="64E8446E"/>
    <w:rsid w:val="64E959FD"/>
    <w:rsid w:val="64F36490"/>
    <w:rsid w:val="64F9CCE6"/>
    <w:rsid w:val="65073BFF"/>
    <w:rsid w:val="651B5828"/>
    <w:rsid w:val="65376B47"/>
    <w:rsid w:val="654042F5"/>
    <w:rsid w:val="65461EEE"/>
    <w:rsid w:val="65E44DFA"/>
    <w:rsid w:val="65F66C79"/>
    <w:rsid w:val="660447CA"/>
    <w:rsid w:val="662841B4"/>
    <w:rsid w:val="665622BC"/>
    <w:rsid w:val="66653739"/>
    <w:rsid w:val="666C4EE6"/>
    <w:rsid w:val="66792487"/>
    <w:rsid w:val="66A5640D"/>
    <w:rsid w:val="66B86EDC"/>
    <w:rsid w:val="66FB0FDC"/>
    <w:rsid w:val="66FC5AFF"/>
    <w:rsid w:val="6709462E"/>
    <w:rsid w:val="67127912"/>
    <w:rsid w:val="671E1113"/>
    <w:rsid w:val="6743341C"/>
    <w:rsid w:val="6777196F"/>
    <w:rsid w:val="678A1ED0"/>
    <w:rsid w:val="679C7788"/>
    <w:rsid w:val="67AB61F8"/>
    <w:rsid w:val="67BA7741"/>
    <w:rsid w:val="67E6170C"/>
    <w:rsid w:val="67ED1A09"/>
    <w:rsid w:val="67ED1BBE"/>
    <w:rsid w:val="680D0CA5"/>
    <w:rsid w:val="681770D1"/>
    <w:rsid w:val="686C7F9F"/>
    <w:rsid w:val="686E4E9E"/>
    <w:rsid w:val="689B1739"/>
    <w:rsid w:val="68A45648"/>
    <w:rsid w:val="68A5668C"/>
    <w:rsid w:val="68BD44C2"/>
    <w:rsid w:val="68D27297"/>
    <w:rsid w:val="6911241F"/>
    <w:rsid w:val="693A6919"/>
    <w:rsid w:val="69586B5E"/>
    <w:rsid w:val="698536CB"/>
    <w:rsid w:val="699A3DB8"/>
    <w:rsid w:val="69B55D5F"/>
    <w:rsid w:val="69B67115"/>
    <w:rsid w:val="69B82DF4"/>
    <w:rsid w:val="69CB0EF2"/>
    <w:rsid w:val="69EF53B4"/>
    <w:rsid w:val="69FB8724"/>
    <w:rsid w:val="6A126DD2"/>
    <w:rsid w:val="6A152520"/>
    <w:rsid w:val="6A420E56"/>
    <w:rsid w:val="6A5F4F63"/>
    <w:rsid w:val="6A924E32"/>
    <w:rsid w:val="6A94008C"/>
    <w:rsid w:val="6AC10AC1"/>
    <w:rsid w:val="6AC635A8"/>
    <w:rsid w:val="6AE60947"/>
    <w:rsid w:val="6AE71B98"/>
    <w:rsid w:val="6AEF6EB8"/>
    <w:rsid w:val="6AFD0629"/>
    <w:rsid w:val="6B0B374F"/>
    <w:rsid w:val="6B0E6D92"/>
    <w:rsid w:val="6B17074E"/>
    <w:rsid w:val="6B1F0CCB"/>
    <w:rsid w:val="6B4A6EF2"/>
    <w:rsid w:val="6B6234E5"/>
    <w:rsid w:val="6B642F9C"/>
    <w:rsid w:val="6BA67A32"/>
    <w:rsid w:val="6BBD11F5"/>
    <w:rsid w:val="6BC72CB2"/>
    <w:rsid w:val="6BCE1834"/>
    <w:rsid w:val="6BD12800"/>
    <w:rsid w:val="6BF30DC0"/>
    <w:rsid w:val="6C022DB1"/>
    <w:rsid w:val="6C172034"/>
    <w:rsid w:val="6C1B1096"/>
    <w:rsid w:val="6C5E02FC"/>
    <w:rsid w:val="6C721812"/>
    <w:rsid w:val="6C8B0F52"/>
    <w:rsid w:val="6CDD0DD0"/>
    <w:rsid w:val="6CE63915"/>
    <w:rsid w:val="6CFA7DB1"/>
    <w:rsid w:val="6D0127E4"/>
    <w:rsid w:val="6D135E16"/>
    <w:rsid w:val="6D1C168A"/>
    <w:rsid w:val="6D347A31"/>
    <w:rsid w:val="6D3668DD"/>
    <w:rsid w:val="6D3F131C"/>
    <w:rsid w:val="6D471CAB"/>
    <w:rsid w:val="6D70425D"/>
    <w:rsid w:val="6DAC0977"/>
    <w:rsid w:val="6DB941BD"/>
    <w:rsid w:val="6DC60F63"/>
    <w:rsid w:val="6DDA6225"/>
    <w:rsid w:val="6DF11063"/>
    <w:rsid w:val="6E146459"/>
    <w:rsid w:val="6E3B32BE"/>
    <w:rsid w:val="6E4C770B"/>
    <w:rsid w:val="6E5F1098"/>
    <w:rsid w:val="6E6F2793"/>
    <w:rsid w:val="6E703D8E"/>
    <w:rsid w:val="6E84323D"/>
    <w:rsid w:val="6E942A76"/>
    <w:rsid w:val="6EA41FA2"/>
    <w:rsid w:val="6EB060CE"/>
    <w:rsid w:val="6EB44AD4"/>
    <w:rsid w:val="6ECD4657"/>
    <w:rsid w:val="6F313FE8"/>
    <w:rsid w:val="6F381CAC"/>
    <w:rsid w:val="6F6128C1"/>
    <w:rsid w:val="6F7173E3"/>
    <w:rsid w:val="6F9C6902"/>
    <w:rsid w:val="6F9E6156"/>
    <w:rsid w:val="6FA0729C"/>
    <w:rsid w:val="6FD01F71"/>
    <w:rsid w:val="70100CA2"/>
    <w:rsid w:val="70133189"/>
    <w:rsid w:val="70393572"/>
    <w:rsid w:val="706E27A1"/>
    <w:rsid w:val="70A24D48"/>
    <w:rsid w:val="70BA64EF"/>
    <w:rsid w:val="70C42D2B"/>
    <w:rsid w:val="70C900DF"/>
    <w:rsid w:val="70DA5631"/>
    <w:rsid w:val="70F80524"/>
    <w:rsid w:val="70F839F0"/>
    <w:rsid w:val="710A2419"/>
    <w:rsid w:val="710E65A0"/>
    <w:rsid w:val="712D6B22"/>
    <w:rsid w:val="71326D32"/>
    <w:rsid w:val="71453598"/>
    <w:rsid w:val="714C2CD0"/>
    <w:rsid w:val="715A596A"/>
    <w:rsid w:val="717C247D"/>
    <w:rsid w:val="717F26E4"/>
    <w:rsid w:val="71816B8E"/>
    <w:rsid w:val="71832D29"/>
    <w:rsid w:val="71907818"/>
    <w:rsid w:val="71B252F9"/>
    <w:rsid w:val="71C13B33"/>
    <w:rsid w:val="71E95916"/>
    <w:rsid w:val="71EB1F0E"/>
    <w:rsid w:val="7203413E"/>
    <w:rsid w:val="72161DBF"/>
    <w:rsid w:val="72191ED0"/>
    <w:rsid w:val="7250588C"/>
    <w:rsid w:val="726F5278"/>
    <w:rsid w:val="727E786A"/>
    <w:rsid w:val="72887FD4"/>
    <w:rsid w:val="72BD0544"/>
    <w:rsid w:val="72C0472D"/>
    <w:rsid w:val="72D11D5C"/>
    <w:rsid w:val="72DB0ED8"/>
    <w:rsid w:val="72DC3720"/>
    <w:rsid w:val="72E4193A"/>
    <w:rsid w:val="72E85DAD"/>
    <w:rsid w:val="732303D9"/>
    <w:rsid w:val="7344428A"/>
    <w:rsid w:val="734979C3"/>
    <w:rsid w:val="734A25E8"/>
    <w:rsid w:val="73532CC9"/>
    <w:rsid w:val="73B646AF"/>
    <w:rsid w:val="73D73D11"/>
    <w:rsid w:val="73E95EE8"/>
    <w:rsid w:val="74327CB2"/>
    <w:rsid w:val="744975DD"/>
    <w:rsid w:val="74610332"/>
    <w:rsid w:val="746920A5"/>
    <w:rsid w:val="74714CD1"/>
    <w:rsid w:val="749500E2"/>
    <w:rsid w:val="74A62C0B"/>
    <w:rsid w:val="74AE06FF"/>
    <w:rsid w:val="74CB1EDB"/>
    <w:rsid w:val="74DE73F5"/>
    <w:rsid w:val="74E0439D"/>
    <w:rsid w:val="74FE62F5"/>
    <w:rsid w:val="7517095A"/>
    <w:rsid w:val="751E77AF"/>
    <w:rsid w:val="75462718"/>
    <w:rsid w:val="757A6A57"/>
    <w:rsid w:val="758E1A5F"/>
    <w:rsid w:val="75D07F8B"/>
    <w:rsid w:val="75EE25EF"/>
    <w:rsid w:val="75EE5669"/>
    <w:rsid w:val="76957051"/>
    <w:rsid w:val="76BD4232"/>
    <w:rsid w:val="76C10199"/>
    <w:rsid w:val="76C57BCB"/>
    <w:rsid w:val="76D23D36"/>
    <w:rsid w:val="76D474B3"/>
    <w:rsid w:val="76F927CD"/>
    <w:rsid w:val="772F78A5"/>
    <w:rsid w:val="77322294"/>
    <w:rsid w:val="773B2934"/>
    <w:rsid w:val="773E064E"/>
    <w:rsid w:val="774E1211"/>
    <w:rsid w:val="77745D03"/>
    <w:rsid w:val="77797E47"/>
    <w:rsid w:val="777B71D8"/>
    <w:rsid w:val="77A54D53"/>
    <w:rsid w:val="77AB25AD"/>
    <w:rsid w:val="77D5074A"/>
    <w:rsid w:val="77D75F2B"/>
    <w:rsid w:val="77FC6767"/>
    <w:rsid w:val="77FE2FC7"/>
    <w:rsid w:val="781A0BEC"/>
    <w:rsid w:val="78202415"/>
    <w:rsid w:val="78213FC9"/>
    <w:rsid w:val="78572B59"/>
    <w:rsid w:val="78576736"/>
    <w:rsid w:val="78701D9C"/>
    <w:rsid w:val="787D4729"/>
    <w:rsid w:val="78B83176"/>
    <w:rsid w:val="78C0202A"/>
    <w:rsid w:val="78F9F6D3"/>
    <w:rsid w:val="78FA0671"/>
    <w:rsid w:val="793A002E"/>
    <w:rsid w:val="793A634F"/>
    <w:rsid w:val="797A5A56"/>
    <w:rsid w:val="798635EB"/>
    <w:rsid w:val="79A5750A"/>
    <w:rsid w:val="79CF368F"/>
    <w:rsid w:val="79E310B9"/>
    <w:rsid w:val="79ED0DA8"/>
    <w:rsid w:val="7A0C1011"/>
    <w:rsid w:val="7A0E7A81"/>
    <w:rsid w:val="7A321CDB"/>
    <w:rsid w:val="7A4C3D34"/>
    <w:rsid w:val="7A567B6E"/>
    <w:rsid w:val="7A6E32C8"/>
    <w:rsid w:val="7AB0113D"/>
    <w:rsid w:val="7AC900CF"/>
    <w:rsid w:val="7B052FBD"/>
    <w:rsid w:val="7B0BB636"/>
    <w:rsid w:val="7B1C36F3"/>
    <w:rsid w:val="7B2F54B5"/>
    <w:rsid w:val="7B391D1C"/>
    <w:rsid w:val="7B4069C5"/>
    <w:rsid w:val="7B5A5A6C"/>
    <w:rsid w:val="7B5C250E"/>
    <w:rsid w:val="7B5C3BBA"/>
    <w:rsid w:val="7B6273C9"/>
    <w:rsid w:val="7B6D0F87"/>
    <w:rsid w:val="7B72691F"/>
    <w:rsid w:val="7B783FD8"/>
    <w:rsid w:val="7B945E14"/>
    <w:rsid w:val="7B9A3DB8"/>
    <w:rsid w:val="7BA113AB"/>
    <w:rsid w:val="7BC71E83"/>
    <w:rsid w:val="7BD52290"/>
    <w:rsid w:val="7BD568A0"/>
    <w:rsid w:val="7BDE0C48"/>
    <w:rsid w:val="7BDF074F"/>
    <w:rsid w:val="7BE04DA7"/>
    <w:rsid w:val="7BE22960"/>
    <w:rsid w:val="7BE81D4E"/>
    <w:rsid w:val="7BF20E1E"/>
    <w:rsid w:val="7BFF70BE"/>
    <w:rsid w:val="7C154A6C"/>
    <w:rsid w:val="7C1B29E5"/>
    <w:rsid w:val="7C3D3469"/>
    <w:rsid w:val="7C42355D"/>
    <w:rsid w:val="7C5728ED"/>
    <w:rsid w:val="7C9408F4"/>
    <w:rsid w:val="7CB83597"/>
    <w:rsid w:val="7CB90CC2"/>
    <w:rsid w:val="7CC7518F"/>
    <w:rsid w:val="7CC752E0"/>
    <w:rsid w:val="7CE04A49"/>
    <w:rsid w:val="7CFB2CE9"/>
    <w:rsid w:val="7CFB5406"/>
    <w:rsid w:val="7CFBCE9D"/>
    <w:rsid w:val="7D0C34C4"/>
    <w:rsid w:val="7D212CA5"/>
    <w:rsid w:val="7D255EE2"/>
    <w:rsid w:val="7D293184"/>
    <w:rsid w:val="7D4A1E4C"/>
    <w:rsid w:val="7D4B3EE6"/>
    <w:rsid w:val="7D6112EF"/>
    <w:rsid w:val="7D68620F"/>
    <w:rsid w:val="7D69777E"/>
    <w:rsid w:val="7D6FB106"/>
    <w:rsid w:val="7D752C5B"/>
    <w:rsid w:val="7D7C3FEC"/>
    <w:rsid w:val="7D876871"/>
    <w:rsid w:val="7D927DC0"/>
    <w:rsid w:val="7D9F66B2"/>
    <w:rsid w:val="7DA222B6"/>
    <w:rsid w:val="7DB34706"/>
    <w:rsid w:val="7E1A0A9F"/>
    <w:rsid w:val="7E3C401A"/>
    <w:rsid w:val="7E641213"/>
    <w:rsid w:val="7E8F2BCB"/>
    <w:rsid w:val="7EA7EB6C"/>
    <w:rsid w:val="7EAD3628"/>
    <w:rsid w:val="7EB859C9"/>
    <w:rsid w:val="7ECB1729"/>
    <w:rsid w:val="7ECB4935"/>
    <w:rsid w:val="7EE039E7"/>
    <w:rsid w:val="7EE33139"/>
    <w:rsid w:val="7EEBD690"/>
    <w:rsid w:val="7EF34773"/>
    <w:rsid w:val="7EF931C4"/>
    <w:rsid w:val="7F0D08DC"/>
    <w:rsid w:val="7F173D26"/>
    <w:rsid w:val="7F1A71B7"/>
    <w:rsid w:val="7F385028"/>
    <w:rsid w:val="7F457705"/>
    <w:rsid w:val="7F666017"/>
    <w:rsid w:val="7F6FBE70"/>
    <w:rsid w:val="7F714EE5"/>
    <w:rsid w:val="7F765549"/>
    <w:rsid w:val="7F7F2734"/>
    <w:rsid w:val="7FA63F96"/>
    <w:rsid w:val="7FAE2F34"/>
    <w:rsid w:val="7FB9287C"/>
    <w:rsid w:val="7FC32F20"/>
    <w:rsid w:val="7FCC47FD"/>
    <w:rsid w:val="7FD31973"/>
    <w:rsid w:val="7FE15B01"/>
    <w:rsid w:val="7FFB1B6E"/>
    <w:rsid w:val="BC2D1846"/>
    <w:rsid w:val="C6F5E4F8"/>
    <w:rsid w:val="DCE705B6"/>
    <w:rsid w:val="DE35E862"/>
    <w:rsid w:val="DF77D5E2"/>
    <w:rsid w:val="DFDF6C91"/>
    <w:rsid w:val="DFE64E7C"/>
    <w:rsid w:val="F2FF44AF"/>
    <w:rsid w:val="F3FB9CBA"/>
    <w:rsid w:val="F6F7DFC5"/>
    <w:rsid w:val="F6FBA7F7"/>
    <w:rsid w:val="F76F081C"/>
    <w:rsid w:val="F7B3F097"/>
    <w:rsid w:val="F7BF1B7E"/>
    <w:rsid w:val="F7E80245"/>
    <w:rsid w:val="FE7F0DB3"/>
    <w:rsid w:val="FED73641"/>
    <w:rsid w:val="FFBF2B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next w:val="1"/>
    <w:link w:val="74"/>
    <w:qFormat/>
    <w:uiPriority w:val="0"/>
    <w:pPr>
      <w:spacing w:after="120"/>
      <w:ind w:left="420" w:leftChars="200"/>
    </w:pPr>
    <w:rPr>
      <w:kern w:val="0"/>
      <w:sz w:val="20"/>
    </w:rPr>
  </w:style>
  <w:style w:type="paragraph" w:styleId="12">
    <w:name w:val="toc 7"/>
    <w:basedOn w:val="1"/>
    <w:next w:val="1"/>
    <w:qFormat/>
    <w:uiPriority w:val="39"/>
    <w:pPr>
      <w:ind w:left="1260"/>
      <w:jc w:val="left"/>
    </w:pPr>
    <w:rPr>
      <w:rFonts w:ascii="Calibri" w:hAnsi="Calibri"/>
      <w:sz w:val="18"/>
      <w:szCs w:val="18"/>
    </w:rPr>
  </w:style>
  <w:style w:type="paragraph" w:styleId="13">
    <w:name w:val="table of authorities"/>
    <w:basedOn w:val="1"/>
    <w:next w:val="1"/>
    <w:qFormat/>
    <w:uiPriority w:val="99"/>
    <w:pPr>
      <w:ind w:left="420" w:leftChars="200"/>
    </w:pPr>
  </w:style>
  <w:style w:type="paragraph" w:styleId="14">
    <w:name w:val="Normal Indent"/>
    <w:basedOn w:val="1"/>
    <w:link w:val="68"/>
    <w:qFormat/>
    <w:uiPriority w:val="0"/>
    <w:pPr>
      <w:ind w:firstLine="420" w:firstLineChars="200"/>
    </w:p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w:basedOn w:val="1"/>
    <w:next w:val="1"/>
    <w:link w:val="64"/>
    <w:qFormat/>
    <w:uiPriority w:val="0"/>
    <w:pPr>
      <w:spacing w:after="12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9"/>
    <w:qFormat/>
    <w:uiPriority w:val="0"/>
    <w:rPr>
      <w:kern w:val="0"/>
      <w:sz w:val="18"/>
      <w:szCs w:val="18"/>
    </w:r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5"/>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5"/>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qFormat/>
    <w:uiPriority w:val="0"/>
    <w:pPr>
      <w:spacing w:line="360" w:lineRule="auto"/>
      <w:jc w:val="center"/>
    </w:pPr>
    <w:rPr>
      <w:rFonts w:ascii="宋体" w:hAnsi="Arial" w:cs="Arial"/>
      <w:b/>
      <w:color w:val="000000"/>
      <w:sz w:val="24"/>
    </w:rPr>
  </w:style>
  <w:style w:type="paragraph" w:styleId="40">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67"/>
    <w:qFormat/>
    <w:uiPriority w:val="0"/>
    <w:rPr>
      <w:b/>
      <w:bCs/>
    </w:rPr>
  </w:style>
  <w:style w:type="paragraph" w:styleId="42">
    <w:name w:val="Body Text First Indent"/>
    <w:basedOn w:val="18"/>
    <w:qFormat/>
    <w:uiPriority w:val="0"/>
    <w:pPr>
      <w:adjustRightInd w:val="0"/>
      <w:spacing w:line="275" w:lineRule="atLeast"/>
      <w:ind w:firstLine="420"/>
      <w:textAlignment w:val="baseline"/>
    </w:pPr>
    <w:rPr>
      <w:rFonts w:ascii="宋体" w:eastAsia="楷体_GB2312"/>
      <w:sz w:val="24"/>
      <w:szCs w:val="20"/>
    </w:r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Hyperlink"/>
    <w:basedOn w:val="45"/>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56">
    <w:name w:val="标题 3 字符"/>
    <w:link w:val="6"/>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8"/>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8"/>
    <w:qFormat/>
    <w:uiPriority w:val="0"/>
    <w:rPr>
      <w:rFonts w:eastAsia="宋体"/>
      <w:szCs w:val="24"/>
    </w:rPr>
  </w:style>
  <w:style w:type="character" w:customStyle="1" w:styleId="65">
    <w:name w:val="脚注文本 字符"/>
    <w:link w:val="31"/>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1"/>
    <w:qFormat/>
    <w:uiPriority w:val="0"/>
    <w:rPr>
      <w:rFonts w:ascii="Times New Roman" w:hAnsi="Times New Roman" w:eastAsia="宋体" w:cs="Times New Roman"/>
      <w:b/>
      <w:bCs/>
      <w:szCs w:val="24"/>
    </w:rPr>
  </w:style>
  <w:style w:type="character" w:customStyle="1" w:styleId="68">
    <w:name w:val="正文缩进 字符"/>
    <w:link w:val="14"/>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1"/>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3"/>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5"/>
    <w:qFormat/>
    <w:uiPriority w:val="0"/>
    <w:rPr>
      <w:rFonts w:ascii="Arial" w:hAnsi="Arial" w:eastAsia="黑体" w:cs="Times New Roman"/>
      <w:b/>
      <w:bCs/>
      <w:sz w:val="32"/>
      <w:szCs w:val="32"/>
    </w:rPr>
  </w:style>
  <w:style w:type="character" w:customStyle="1" w:styleId="78">
    <w:name w:val="标题 字符"/>
    <w:link w:val="40"/>
    <w:qFormat/>
    <w:uiPriority w:val="0"/>
    <w:rPr>
      <w:rFonts w:ascii="Arial" w:hAnsi="Arial"/>
      <w:b/>
      <w:sz w:val="32"/>
    </w:rPr>
  </w:style>
  <w:style w:type="character" w:customStyle="1" w:styleId="79">
    <w:name w:val="批注框文本 字符"/>
    <w:link w:val="26"/>
    <w:qFormat/>
    <w:uiPriority w:val="0"/>
    <w:rPr>
      <w:rFonts w:ascii="Times New Roman" w:hAnsi="Times New Roman" w:eastAsia="宋体" w:cs="Times New Roman"/>
      <w:sz w:val="18"/>
      <w:szCs w:val="18"/>
    </w:rPr>
  </w:style>
  <w:style w:type="character" w:customStyle="1" w:styleId="80">
    <w:name w:val="标题 8 字符"/>
    <w:link w:val="10"/>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4"/>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3"/>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7"/>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7"/>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9"/>
    <w:qFormat/>
    <w:uiPriority w:val="0"/>
    <w:rPr>
      <w:rFonts w:ascii="Times New Roman" w:hAnsi="Times New Roman" w:eastAsia="宋体" w:cs="Times New Roman"/>
      <w:b/>
      <w:bCs/>
      <w:kern w:val="0"/>
      <w:sz w:val="24"/>
      <w:szCs w:val="24"/>
    </w:rPr>
  </w:style>
  <w:style w:type="paragraph" w:customStyle="1" w:styleId="99">
    <w:name w:val="样式4"/>
    <w:basedOn w:val="6"/>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6"/>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5"/>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6"/>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 w:hAnsi="MingLiU" w:eastAsia="MingLiU"/>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仿宋_GB2312" w:hAnsi="宋体" w:eastAsia="仿宋_GB2312" w:cs="Times New Roman"/>
      <w:kern w:val="2"/>
      <w:sz w:val="21"/>
      <w:szCs w:val="21"/>
      <w:lang w:val="en-US" w:eastAsia="zh-CN" w:bidi="ar-SA"/>
    </w:rPr>
  </w:style>
  <w:style w:type="paragraph" w:customStyle="1" w:styleId="158">
    <w:name w:val="样式2"/>
    <w:basedOn w:val="6"/>
    <w:qFormat/>
    <w:uiPriority w:val="0"/>
  </w:style>
  <w:style w:type="character" w:customStyle="1" w:styleId="159">
    <w:name w:val="after"/>
    <w:basedOn w:val="45"/>
    <w:qFormat/>
    <w:uiPriority w:val="0"/>
    <w:rPr>
      <w:bdr w:val="dashed" w:color="auto" w:sz="48" w:space="0"/>
    </w:rPr>
  </w:style>
  <w:style w:type="character" w:customStyle="1" w:styleId="160">
    <w:name w:val="before"/>
    <w:basedOn w:val="45"/>
    <w:qFormat/>
    <w:uiPriority w:val="0"/>
    <w:rPr>
      <w:bdr w:val="single" w:color="auto" w:sz="48" w:space="0"/>
    </w:rPr>
  </w:style>
  <w:style w:type="character" w:customStyle="1" w:styleId="161">
    <w:name w:val="hover48"/>
    <w:basedOn w:val="45"/>
    <w:qFormat/>
    <w:uiPriority w:val="0"/>
    <w:rPr>
      <w:shd w:val="clear" w:color="auto" w:fill="346AC3"/>
    </w:rPr>
  </w:style>
  <w:style w:type="character" w:customStyle="1" w:styleId="162">
    <w:name w:val="hover49"/>
    <w:basedOn w:val="45"/>
    <w:qFormat/>
    <w:uiPriority w:val="0"/>
  </w:style>
  <w:style w:type="character" w:customStyle="1" w:styleId="163">
    <w:name w:val="hover50"/>
    <w:basedOn w:val="45"/>
    <w:qFormat/>
    <w:uiPriority w:val="0"/>
    <w:rPr>
      <w:color w:val="4285F4"/>
      <w:u w:val="none"/>
    </w:rPr>
  </w:style>
  <w:style w:type="character" w:customStyle="1" w:styleId="164">
    <w:name w:val="hover51"/>
    <w:basedOn w:val="45"/>
    <w:qFormat/>
    <w:uiPriority w:val="0"/>
    <w:rPr>
      <w:color w:val="4285F4"/>
    </w:rPr>
  </w:style>
  <w:style w:type="character" w:customStyle="1" w:styleId="165">
    <w:name w:val="hover52"/>
    <w:basedOn w:val="45"/>
    <w:qFormat/>
    <w:uiPriority w:val="0"/>
    <w:rPr>
      <w:color w:val="1A85D7"/>
    </w:rPr>
  </w:style>
  <w:style w:type="character" w:customStyle="1" w:styleId="166">
    <w:name w:val="credit"/>
    <w:basedOn w:val="45"/>
    <w:qFormat/>
    <w:uiPriority w:val="0"/>
    <w:rPr>
      <w:sz w:val="18"/>
      <w:szCs w:val="18"/>
    </w:rPr>
  </w:style>
  <w:style w:type="character" w:customStyle="1" w:styleId="167">
    <w:name w:val="first-child"/>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1435</Words>
  <Characters>8180</Characters>
  <Lines>1</Lines>
  <Paragraphs>1</Paragraphs>
  <TotalTime>22</TotalTime>
  <ScaleCrop>false</ScaleCrop>
  <LinksUpToDate>false</LinksUpToDate>
  <CharactersWithSpaces>9596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2020-05-01T08:16:00Z</dcterms:created>
  <dc:creator>陈桂兰</dc:creator>
  <cp:lastModifiedBy>毕浪</cp:lastModifiedBy>
  <cp:lastPrinted>2023-06-12T08:05:00Z</cp:lastPrinted>
  <dcterms:modified xsi:type="dcterms:W3CDTF">2023-06-28T09:18:22Z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CA9229BF7F204DA08DD95BC61990121B</vt:lpwstr>
  </property>
  <property fmtid="{D5CDD505-2E9C-101B-9397-08002B2CF9AE}" pid="4" name="commondata">
    <vt:lpwstr>eyJoZGlkIjoiNmI0YzI4NGJiMjg2ZWZlN2MzZDcyYzg5ZDEwYzBhZDAifQ==</vt:lpwstr>
  </property>
</Properties>
</file>