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涪江干流梯级渠化双江航电枢纽工程右岸部分场地景观绿化设计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询价人：重庆双江航运发展有限公司</w:t>
      </w:r>
    </w:p>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发包人：重庆双江航运发展有限公司</w:t>
      </w:r>
    </w:p>
    <w:p>
      <w:pPr>
        <w:pStyle w:val="43"/>
        <w:rPr>
          <w:rFonts w:hint="default"/>
          <w:lang w:val="en-US"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6</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sz w:val="32"/>
              <w:lang w:eastAsia="zh-CN"/>
            </w:rPr>
            <w:t>合同范围</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w:t>
          </w:r>
          <w:r>
            <w:rPr>
              <w:rFonts w:hint="eastAsia" w:ascii="Times New Roman" w:hAnsi="Times New Roman" w:eastAsia="方正仿宋_GBK" w:cs="Times New Roman"/>
              <w:sz w:val="32"/>
              <w:lang w:eastAsia="zh-CN"/>
            </w:rPr>
            <w:t>合同价格与支付</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w:t>
          </w:r>
          <w:r>
            <w:rPr>
              <w:rFonts w:hint="eastAsia" w:ascii="Times New Roman" w:hAnsi="Times New Roman" w:eastAsia="方正仿宋_GBK" w:cs="Times New Roman"/>
              <w:sz w:val="32"/>
              <w:lang w:eastAsia="zh-CN"/>
            </w:rPr>
            <w:t>违约责任与处理</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涪江干流梯级渠化双江航电枢纽工程右岸部分场地</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景观绿化设计</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sz w:val="28"/>
          <w:szCs w:val="28"/>
          <w:highlight w:val="none"/>
          <w:lang w:val="en-US" w:eastAsia="zh-CN"/>
        </w:rPr>
      </w:pPr>
      <w:r>
        <w:rPr>
          <w:rFonts w:hint="eastAsia" w:ascii="Times New Roman" w:hAnsi="Times New Roman" w:eastAsia="黑体" w:cs="Times New Roman"/>
          <w:b w:val="0"/>
          <w:color w:val="auto"/>
          <w:sz w:val="28"/>
          <w:szCs w:val="28"/>
          <w:highlight w:val="none"/>
          <w:lang w:val="en-US" w:eastAsia="zh-CN"/>
        </w:rPr>
        <w:t>1.</w:t>
      </w:r>
      <w:r>
        <w:rPr>
          <w:rFonts w:hint="default" w:ascii="Times New Roman" w:hAnsi="Times New Roman" w:eastAsia="黑体" w:cs="Times New Roman"/>
          <w:b w:val="0"/>
          <w:color w:val="auto"/>
          <w:sz w:val="28"/>
          <w:szCs w:val="28"/>
          <w:highlight w:val="none"/>
          <w:lang w:val="en-US" w:eastAsia="zh-CN"/>
        </w:rPr>
        <w:t>询价条件</w:t>
      </w:r>
    </w:p>
    <w:p>
      <w:pPr>
        <w:tabs>
          <w:tab w:val="left" w:pos="3840"/>
          <w:tab w:val="left" w:pos="5300"/>
        </w:tabs>
        <w:autoSpaceDE w:val="0"/>
        <w:autoSpaceDN w:val="0"/>
        <w:adjustRightInd w:val="0"/>
        <w:snapToGrid w:val="0"/>
        <w:spacing w:line="360" w:lineRule="auto"/>
        <w:ind w:firstLine="560" w:firstLineChars="200"/>
        <w:jc w:val="left"/>
        <w:rPr>
          <w:rFonts w:hint="default" w:ascii="Times New Roman" w:hAnsi="Times New Roman" w:eastAsia="方正仿宋_GBK" w:cs="Times New Roman"/>
          <w:bCs/>
          <w:color w:val="auto"/>
          <w:sz w:val="32"/>
          <w:szCs w:val="32"/>
          <w:highlight w:val="none"/>
          <w:lang w:eastAsia="zh-CN"/>
        </w:rPr>
      </w:pPr>
      <w:r>
        <w:rPr>
          <w:rFonts w:hint="default" w:ascii="仿宋" w:hAnsi="仿宋" w:eastAsia="仿宋" w:cs="仿宋"/>
          <w:kern w:val="0"/>
          <w:sz w:val="28"/>
          <w:szCs w:val="28"/>
          <w:lang w:val="en-US" w:eastAsia="zh-CN"/>
        </w:rPr>
        <w:t>本项目</w:t>
      </w:r>
      <w:r>
        <w:rPr>
          <w:rFonts w:hint="eastAsia" w:ascii="仿宋" w:hAnsi="仿宋" w:eastAsia="仿宋" w:cs="仿宋"/>
          <w:kern w:val="0"/>
          <w:sz w:val="28"/>
          <w:szCs w:val="28"/>
          <w:u w:val="single"/>
          <w:lang w:val="en-US" w:eastAsia="zh-CN"/>
        </w:rPr>
        <w:t>涪江干流梯级渠化双江航电枢纽工程右岸部分场地景观绿化设计</w:t>
      </w:r>
      <w:r>
        <w:rPr>
          <w:rFonts w:hint="default" w:ascii="仿宋" w:hAnsi="仿宋" w:eastAsia="仿宋" w:cs="仿宋"/>
          <w:kern w:val="0"/>
          <w:sz w:val="28"/>
          <w:szCs w:val="28"/>
          <w:lang w:val="en-US" w:eastAsia="zh-CN"/>
        </w:rPr>
        <w:t>已具备</w:t>
      </w:r>
      <w:r>
        <w:rPr>
          <w:rFonts w:hint="eastAsia" w:ascii="仿宋" w:hAnsi="仿宋" w:eastAsia="仿宋" w:cs="仿宋"/>
          <w:kern w:val="0"/>
          <w:sz w:val="28"/>
          <w:szCs w:val="28"/>
          <w:lang w:val="en-US" w:eastAsia="zh-CN"/>
        </w:rPr>
        <w:t>询价</w:t>
      </w:r>
      <w:r>
        <w:rPr>
          <w:rFonts w:hint="default" w:ascii="仿宋" w:hAnsi="仿宋" w:eastAsia="仿宋" w:cs="仿宋"/>
          <w:kern w:val="0"/>
          <w:sz w:val="28"/>
          <w:szCs w:val="28"/>
          <w:lang w:val="en-US" w:eastAsia="zh-CN"/>
        </w:rPr>
        <w:t>条件，询价人为</w:t>
      </w:r>
      <w:r>
        <w:rPr>
          <w:rFonts w:hint="eastAsia" w:ascii="仿宋" w:hAnsi="仿宋" w:eastAsia="仿宋" w:cs="仿宋"/>
          <w:kern w:val="0"/>
          <w:sz w:val="28"/>
          <w:szCs w:val="28"/>
          <w:u w:val="single"/>
          <w:lang w:val="en-US" w:eastAsia="zh-CN"/>
        </w:rPr>
        <w:t>重庆双江航运发展有限公司</w:t>
      </w:r>
      <w:r>
        <w:rPr>
          <w:rFonts w:hint="default" w:ascii="仿宋" w:hAnsi="仿宋" w:eastAsia="仿宋" w:cs="仿宋"/>
          <w:kern w:val="0"/>
          <w:sz w:val="28"/>
          <w:szCs w:val="28"/>
          <w:lang w:val="en-US" w:eastAsia="zh-CN"/>
        </w:rPr>
        <w:t>。根据实际工作需要，现计划对该项目</w:t>
      </w:r>
      <w:r>
        <w:rPr>
          <w:rFonts w:hint="eastAsia" w:ascii="仿宋" w:hAnsi="仿宋" w:eastAsia="仿宋" w:cs="仿宋"/>
          <w:kern w:val="0"/>
          <w:sz w:val="28"/>
          <w:szCs w:val="28"/>
          <w:u w:val="single"/>
          <w:lang w:val="en-US" w:eastAsia="zh-CN"/>
        </w:rPr>
        <w:t>涪江干流梯级渠化双江航电枢纽工程右岸部分场地景观绿化设计</w:t>
      </w:r>
      <w:r>
        <w:rPr>
          <w:rFonts w:hint="default" w:ascii="仿宋" w:hAnsi="仿宋" w:eastAsia="仿宋" w:cs="仿宋"/>
          <w:kern w:val="0"/>
          <w:sz w:val="28"/>
          <w:szCs w:val="28"/>
          <w:lang w:val="en-US" w:eastAsia="zh-CN"/>
        </w:rPr>
        <w:t>采取</w:t>
      </w:r>
      <w:r>
        <w:rPr>
          <w:rFonts w:hint="eastAsia" w:ascii="仿宋" w:hAnsi="仿宋" w:eastAsia="仿宋" w:cs="仿宋"/>
          <w:kern w:val="0"/>
          <w:sz w:val="28"/>
          <w:szCs w:val="28"/>
          <w:lang w:val="en-US" w:eastAsia="zh-CN"/>
        </w:rPr>
        <w:t>公开询价</w:t>
      </w:r>
      <w:r>
        <w:rPr>
          <w:rFonts w:hint="default" w:ascii="仿宋" w:hAnsi="仿宋" w:eastAsia="仿宋" w:cs="仿宋"/>
          <w:kern w:val="0"/>
          <w:sz w:val="28"/>
          <w:szCs w:val="28"/>
          <w:lang w:val="en-US" w:eastAsia="zh-CN"/>
        </w:rPr>
        <w:t>方式确定服务单位。</w:t>
      </w:r>
    </w:p>
    <w:p>
      <w:pPr>
        <w:pStyle w:val="5"/>
        <w:spacing w:line="510" w:lineRule="exact"/>
        <w:rPr>
          <w:rFonts w:hint="default" w:ascii="Times New Roman" w:hAnsi="Times New Roman" w:eastAsia="黑体" w:cs="Times New Roman"/>
          <w:b w:val="0"/>
          <w:color w:val="auto"/>
          <w:sz w:val="28"/>
          <w:szCs w:val="28"/>
          <w:highlight w:val="none"/>
          <w:lang w:val="en-US" w:eastAsia="zh-CN"/>
        </w:rPr>
      </w:pPr>
      <w:bookmarkStart w:id="2" w:name="_Toc52097501"/>
      <w:bookmarkStart w:id="3" w:name="_Toc6230451"/>
      <w:bookmarkStart w:id="4" w:name="_Toc29194682"/>
      <w:bookmarkStart w:id="5" w:name="_Toc324429695"/>
      <w:bookmarkStart w:id="6" w:name="_Toc323734100"/>
      <w:bookmarkStart w:id="7" w:name="_Toc21092"/>
      <w:r>
        <w:rPr>
          <w:rFonts w:hint="default" w:ascii="Times New Roman" w:hAnsi="Times New Roman" w:eastAsia="黑体" w:cs="Times New Roman"/>
          <w:b w:val="0"/>
          <w:color w:val="auto"/>
          <w:sz w:val="28"/>
          <w:szCs w:val="28"/>
          <w:highlight w:val="none"/>
          <w:lang w:val="en-US" w:eastAsia="zh-CN"/>
        </w:rPr>
        <w:t>2.项目概况与询价工作范围</w:t>
      </w:r>
      <w:bookmarkEnd w:id="2"/>
      <w:bookmarkEnd w:id="3"/>
      <w:bookmarkEnd w:id="4"/>
    </w:p>
    <w:p>
      <w:pPr>
        <w:tabs>
          <w:tab w:val="left" w:pos="3840"/>
          <w:tab w:val="left" w:pos="5300"/>
        </w:tabs>
        <w:autoSpaceDE w:val="0"/>
        <w:autoSpaceDN w:val="0"/>
        <w:adjustRightInd w:val="0"/>
        <w:snapToGrid w:val="0"/>
        <w:spacing w:line="360" w:lineRule="auto"/>
        <w:ind w:firstLine="420" w:firstLineChars="200"/>
        <w:jc w:val="left"/>
        <w:rPr>
          <w:rFonts w:hint="default" w:ascii="仿宋" w:hAnsi="仿宋" w:eastAsia="仿宋" w:cs="仿宋"/>
          <w:kern w:val="0"/>
          <w:sz w:val="28"/>
          <w:szCs w:val="28"/>
          <w:lang w:val="en-US" w:eastAsia="zh-CN"/>
        </w:rPr>
      </w:pPr>
      <w:r>
        <w:rPr>
          <w:rFonts w:hint="default" w:ascii="Times New Roman" w:hAnsi="Times New Roman" w:cs="Times New Roman"/>
          <w:color w:val="auto"/>
          <w:sz w:val="21"/>
          <w:szCs w:val="21"/>
          <w:highlight w:val="none"/>
          <w:lang w:eastAsia="zh-CN"/>
        </w:rPr>
        <w:t xml:space="preserve">  </w:t>
      </w:r>
      <w:r>
        <w:rPr>
          <w:rFonts w:hint="default" w:ascii="仿宋" w:hAnsi="仿宋" w:eastAsia="仿宋" w:cs="仿宋"/>
          <w:kern w:val="0"/>
          <w:sz w:val="28"/>
          <w:szCs w:val="28"/>
          <w:lang w:val="en-US" w:eastAsia="zh-CN"/>
        </w:rPr>
        <w:t xml:space="preserve"> 2.1项目</w:t>
      </w:r>
      <w:r>
        <w:rPr>
          <w:rFonts w:hint="eastAsia" w:ascii="仿宋" w:hAnsi="仿宋" w:eastAsia="仿宋" w:cs="仿宋"/>
          <w:kern w:val="0"/>
          <w:sz w:val="28"/>
          <w:szCs w:val="28"/>
          <w:lang w:val="en-US" w:eastAsia="zh-CN"/>
        </w:rPr>
        <w:t>地址</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 xml:space="preserve">  </w:t>
      </w:r>
      <w:r>
        <w:rPr>
          <w:rFonts w:hint="eastAsia" w:ascii="仿宋" w:hAnsi="仿宋" w:eastAsia="仿宋" w:cs="仿宋"/>
          <w:kern w:val="0"/>
          <w:sz w:val="28"/>
          <w:szCs w:val="28"/>
          <w:lang w:val="en-US" w:eastAsia="zh-CN"/>
        </w:rPr>
        <w:t>重庆市潼南区</w:t>
      </w:r>
      <w:r>
        <w:rPr>
          <w:rFonts w:hint="default" w:ascii="仿宋" w:hAnsi="仿宋" w:eastAsia="仿宋" w:cs="仿宋"/>
          <w:kern w:val="0"/>
          <w:sz w:val="28"/>
          <w:szCs w:val="28"/>
          <w:lang w:val="en-US" w:eastAsia="zh-CN"/>
        </w:rPr>
        <w:t xml:space="preserve">                             </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 xml:space="preserve"> 2.2</w:t>
      </w:r>
      <w:r>
        <w:rPr>
          <w:rFonts w:hint="eastAsia" w:ascii="仿宋" w:hAnsi="仿宋" w:eastAsia="仿宋" w:cs="仿宋"/>
          <w:kern w:val="0"/>
          <w:sz w:val="28"/>
          <w:szCs w:val="28"/>
          <w:lang w:val="en-US" w:eastAsia="zh-CN"/>
        </w:rPr>
        <w:t>项目概况</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eastAsia="zh-CN"/>
        </w:rPr>
      </w:pPr>
      <w:r>
        <w:rPr>
          <w:rFonts w:hint="eastAsia" w:ascii="仿宋" w:hAnsi="仿宋" w:eastAsia="仿宋" w:cs="仿宋"/>
          <w:kern w:val="0"/>
          <w:sz w:val="28"/>
          <w:szCs w:val="28"/>
          <w:lang w:val="en-US" w:eastAsia="zh-CN"/>
        </w:rPr>
        <w:t>双江航电枢纽工程位于重庆市潼南区双江镇，</w:t>
      </w:r>
      <w:r>
        <w:rPr>
          <w:rFonts w:hint="eastAsia" w:ascii="仿宋" w:hAnsi="仿宋" w:eastAsia="仿宋" w:cs="仿宋"/>
          <w:kern w:val="0"/>
          <w:sz w:val="28"/>
          <w:szCs w:val="28"/>
        </w:rPr>
        <w:t>为市级重点项目，于2022年10月开工。双江航电枢纽工程水库正常蓄水位249.00m，相应库容4868万m3，总库容1.61亿m3。通航建筑物建设按内河Ⅳ级（500吨级），可通行1000吨船舶标准建设，航道等级为IV级；电站装机容量48.00MW。枢纽沿坝轴线全长514.60m、坝顶高程259.90m。对</w:t>
      </w:r>
      <w:r>
        <w:rPr>
          <w:rFonts w:hint="eastAsia" w:ascii="仿宋" w:hAnsi="仿宋" w:eastAsia="仿宋" w:cs="仿宋"/>
          <w:kern w:val="0"/>
          <w:sz w:val="28"/>
          <w:szCs w:val="28"/>
          <w:lang w:val="en-US" w:eastAsia="zh-CN"/>
        </w:rPr>
        <w:t>右岸部分场地景观绿化设计</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预计总投资为380万元</w:t>
      </w:r>
      <w:r>
        <w:rPr>
          <w:rFonts w:hint="eastAsia" w:ascii="仿宋" w:hAnsi="仿宋" w:eastAsia="仿宋" w:cs="仿宋"/>
          <w:kern w:val="0"/>
          <w:sz w:val="28"/>
          <w:szCs w:val="28"/>
        </w:rPr>
        <w:t>。</w:t>
      </w:r>
    </w:p>
    <w:p>
      <w:pPr>
        <w:autoSpaceDE w:val="0"/>
        <w:autoSpaceDN w:val="0"/>
        <w:adjustRightInd w:val="0"/>
        <w:spacing w:line="520" w:lineRule="exact"/>
        <w:ind w:firstLine="560" w:firstLineChars="200"/>
        <w:outlineLvl w:val="0"/>
        <w:rPr>
          <w:rFonts w:hint="eastAsia" w:ascii="仿宋" w:hAnsi="仿宋" w:eastAsia="仿宋" w:cs="仿宋"/>
          <w:kern w:val="0"/>
          <w:sz w:val="28"/>
          <w:szCs w:val="28"/>
          <w:lang w:val="en-US" w:eastAsia="zh-CN"/>
        </w:rPr>
      </w:pPr>
      <w:r>
        <w:rPr>
          <w:rFonts w:hint="default" w:ascii="仿宋" w:hAnsi="仿宋" w:eastAsia="仿宋" w:cs="仿宋"/>
          <w:kern w:val="0"/>
          <w:sz w:val="28"/>
          <w:szCs w:val="28"/>
          <w:lang w:eastAsia="zh-CN"/>
        </w:rPr>
        <w:t>2.3本次</w:t>
      </w:r>
      <w:r>
        <w:rPr>
          <w:rFonts w:hint="eastAsia" w:ascii="仿宋" w:hAnsi="仿宋" w:eastAsia="仿宋" w:cs="仿宋"/>
          <w:kern w:val="0"/>
          <w:sz w:val="28"/>
          <w:szCs w:val="28"/>
          <w:lang w:val="en-US" w:eastAsia="zh-CN"/>
        </w:rPr>
        <w:t>询价</w:t>
      </w:r>
      <w:r>
        <w:rPr>
          <w:rFonts w:hint="default" w:ascii="仿宋" w:hAnsi="仿宋" w:eastAsia="仿宋" w:cs="仿宋"/>
          <w:kern w:val="0"/>
          <w:sz w:val="28"/>
          <w:szCs w:val="28"/>
          <w:lang w:eastAsia="zh-CN"/>
        </w:rPr>
        <w:t>项目</w:t>
      </w:r>
      <w:r>
        <w:rPr>
          <w:rFonts w:hint="eastAsia" w:ascii="仿宋" w:hAnsi="仿宋" w:eastAsia="仿宋" w:cs="仿宋"/>
          <w:kern w:val="0"/>
          <w:sz w:val="28"/>
          <w:szCs w:val="28"/>
          <w:lang w:val="en-US" w:eastAsia="zh-CN"/>
        </w:rPr>
        <w:t>最高限价金额：14.20万</w:t>
      </w:r>
      <w:r>
        <w:rPr>
          <w:rFonts w:hint="default" w:ascii="仿宋" w:hAnsi="仿宋" w:eastAsia="仿宋" w:cs="仿宋"/>
          <w:kern w:val="0"/>
          <w:sz w:val="28"/>
          <w:szCs w:val="28"/>
          <w:lang w:eastAsia="zh-CN"/>
        </w:rPr>
        <w:t>元。</w:t>
      </w:r>
    </w:p>
    <w:p>
      <w:pPr>
        <w:spacing w:line="510" w:lineRule="exact"/>
        <w:ind w:firstLine="56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kern w:val="0"/>
          <w:sz w:val="28"/>
          <w:szCs w:val="28"/>
          <w:lang w:val="en-US" w:eastAsia="zh-CN"/>
        </w:rPr>
        <w:t>2.4</w:t>
      </w:r>
      <w:r>
        <w:rPr>
          <w:rFonts w:hint="default" w:ascii="仿宋" w:hAnsi="仿宋" w:eastAsia="仿宋" w:cs="仿宋"/>
          <w:kern w:val="0"/>
          <w:sz w:val="28"/>
          <w:szCs w:val="28"/>
          <w:lang w:val="en-US" w:eastAsia="zh-CN"/>
        </w:rPr>
        <w:t>询价范围</w:t>
      </w:r>
      <w:r>
        <w:rPr>
          <w:rFonts w:hint="default" w:ascii="Times New Roman" w:hAnsi="Times New Roman" w:eastAsia="方正仿宋_GBK" w:cs="Times New Roman"/>
          <w:bCs/>
          <w:color w:val="auto"/>
          <w:sz w:val="32"/>
          <w:szCs w:val="32"/>
          <w:highlight w:val="none"/>
          <w:lang w:eastAsia="zh-CN"/>
        </w:rPr>
        <w:t>：</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highlight w:val="none"/>
          <w:lang w:val="en-US" w:eastAsia="zh-CN"/>
        </w:rPr>
      </w:pPr>
      <w:r>
        <w:rPr>
          <w:rFonts w:hint="default"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lang w:val="en-US" w:eastAsia="zh-CN"/>
        </w:rPr>
        <w:t>双江航电枢纽工程右岸景观绿化面积约2.5万平方米。</w:t>
      </w:r>
    </w:p>
    <w:p>
      <w:pPr>
        <w:tabs>
          <w:tab w:val="left" w:pos="3840"/>
          <w:tab w:val="left" w:pos="5300"/>
        </w:tabs>
        <w:autoSpaceDE w:val="0"/>
        <w:autoSpaceDN w:val="0"/>
        <w:adjustRightInd w:val="0"/>
        <w:snapToGrid w:val="0"/>
        <w:spacing w:line="360" w:lineRule="auto"/>
        <w:ind w:firstLine="560" w:firstLineChars="200"/>
        <w:jc w:val="left"/>
        <w:rPr>
          <w:rFonts w:hint="eastAsia"/>
          <w:lang w:val="en-US" w:eastAsia="zh-CN"/>
        </w:rPr>
      </w:pPr>
      <w:r>
        <w:rPr>
          <w:rFonts w:hint="eastAsia" w:ascii="仿宋" w:hAnsi="仿宋" w:eastAsia="仿宋" w:cs="仿宋"/>
          <w:kern w:val="0"/>
          <w:sz w:val="28"/>
          <w:szCs w:val="28"/>
          <w:lang w:val="en-US" w:eastAsia="zh-CN"/>
        </w:rPr>
        <w:t>2</w:t>
      </w:r>
      <w:r>
        <w:rPr>
          <w:rFonts w:hint="default" w:ascii="仿宋" w:hAnsi="仿宋" w:eastAsia="仿宋" w:cs="仿宋"/>
          <w:kern w:val="0"/>
          <w:sz w:val="28"/>
          <w:szCs w:val="28"/>
          <w:lang w:eastAsia="zh-CN"/>
        </w:rPr>
        <w:t>.</w:t>
      </w:r>
      <w:r>
        <w:rPr>
          <w:rFonts w:hint="eastAsia" w:ascii="仿宋" w:hAnsi="仿宋" w:eastAsia="仿宋" w:cs="仿宋"/>
          <w:kern w:val="0"/>
          <w:sz w:val="28"/>
          <w:szCs w:val="28"/>
          <w:lang w:val="en-US" w:eastAsia="zh-CN"/>
        </w:rPr>
        <w:t>设计分为方案阶段（含估概算）和施工图（含预算）两个阶段。至少提供两种较优方案，每种方案效果图不少于10幅。</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eastAsia="zh-CN"/>
        </w:rPr>
      </w:pPr>
      <w:r>
        <w:rPr>
          <w:rFonts w:hint="eastAsia" w:ascii="仿宋" w:hAnsi="仿宋" w:eastAsia="仿宋" w:cs="仿宋"/>
          <w:kern w:val="0"/>
          <w:sz w:val="28"/>
          <w:szCs w:val="28"/>
          <w:lang w:val="en-US" w:eastAsia="zh-CN"/>
        </w:rPr>
        <w:t>2.5工</w:t>
      </w:r>
      <w:r>
        <w:rPr>
          <w:rFonts w:hint="default" w:ascii="仿宋" w:hAnsi="仿宋" w:eastAsia="仿宋" w:cs="仿宋"/>
          <w:kern w:val="0"/>
          <w:sz w:val="28"/>
          <w:szCs w:val="28"/>
          <w:lang w:eastAsia="zh-CN"/>
        </w:rPr>
        <w:t>期</w:t>
      </w:r>
      <w:r>
        <w:rPr>
          <w:rFonts w:hint="eastAsia" w:ascii="仿宋" w:hAnsi="仿宋" w:eastAsia="仿宋" w:cs="仿宋"/>
          <w:kern w:val="0"/>
          <w:sz w:val="28"/>
          <w:szCs w:val="28"/>
          <w:lang w:val="en-US" w:eastAsia="zh-CN"/>
        </w:rPr>
        <w:t>(交货期/服务期）</w:t>
      </w:r>
      <w:r>
        <w:rPr>
          <w:rFonts w:hint="default" w:ascii="仿宋" w:hAnsi="仿宋" w:eastAsia="仿宋" w:cs="仿宋"/>
          <w:kern w:val="0"/>
          <w:sz w:val="28"/>
          <w:szCs w:val="28"/>
          <w:lang w:eastAsia="zh-CN"/>
        </w:rPr>
        <w:t>：至202</w:t>
      </w: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lang w:eastAsia="zh-CN"/>
        </w:rPr>
        <w:t>年</w:t>
      </w:r>
      <w:r>
        <w:rPr>
          <w:rFonts w:hint="eastAsia" w:ascii="仿宋" w:hAnsi="仿宋" w:eastAsia="仿宋" w:cs="仿宋"/>
          <w:kern w:val="0"/>
          <w:sz w:val="28"/>
          <w:szCs w:val="28"/>
          <w:lang w:val="en-US" w:eastAsia="zh-CN"/>
        </w:rPr>
        <w:t>7</w:t>
      </w:r>
      <w:r>
        <w:rPr>
          <w:rFonts w:hint="default" w:ascii="仿宋" w:hAnsi="仿宋" w:eastAsia="仿宋" w:cs="仿宋"/>
          <w:kern w:val="0"/>
          <w:sz w:val="28"/>
          <w:szCs w:val="28"/>
          <w:lang w:eastAsia="zh-CN"/>
        </w:rPr>
        <w:t>月（暂定）。</w:t>
      </w:r>
    </w:p>
    <w:p>
      <w:pPr>
        <w:tabs>
          <w:tab w:val="left" w:pos="3840"/>
          <w:tab w:val="left" w:pos="5300"/>
        </w:tabs>
        <w:autoSpaceDE w:val="0"/>
        <w:autoSpaceDN w:val="0"/>
        <w:adjustRightInd w:val="0"/>
        <w:snapToGrid w:val="0"/>
        <w:spacing w:line="360" w:lineRule="auto"/>
        <w:ind w:firstLine="560" w:firstLineChars="200"/>
        <w:jc w:val="left"/>
        <w:rPr>
          <w:rFonts w:hint="default" w:ascii="Times New Roman" w:hAnsi="Times New Roman" w:eastAsia="方正仿宋_GBK" w:cs="Times New Roman"/>
          <w:bCs/>
          <w:color w:val="auto"/>
          <w:sz w:val="32"/>
          <w:szCs w:val="32"/>
          <w:highlight w:val="none"/>
          <w:lang w:eastAsia="zh-CN"/>
        </w:rPr>
      </w:pPr>
      <w:r>
        <w:rPr>
          <w:rFonts w:hint="default" w:ascii="仿宋" w:hAnsi="仿宋" w:eastAsia="仿宋" w:cs="仿宋"/>
          <w:kern w:val="0"/>
          <w:sz w:val="28"/>
          <w:szCs w:val="28"/>
          <w:lang w:eastAsia="zh-CN"/>
        </w:rPr>
        <w:t>具体进退场时间</w:t>
      </w:r>
      <w:r>
        <w:rPr>
          <w:rFonts w:hint="eastAsia" w:ascii="仿宋" w:hAnsi="仿宋" w:eastAsia="仿宋" w:cs="仿宋"/>
          <w:kern w:val="0"/>
          <w:sz w:val="28"/>
          <w:szCs w:val="28"/>
          <w:lang w:val="en-US" w:eastAsia="zh-CN"/>
        </w:rPr>
        <w:t>（交货期/服务期限</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以</w:t>
      </w:r>
      <w:r>
        <w:rPr>
          <w:rFonts w:hint="default" w:ascii="仿宋" w:hAnsi="仿宋" w:eastAsia="仿宋" w:cs="仿宋"/>
          <w:kern w:val="0"/>
          <w:sz w:val="28"/>
          <w:szCs w:val="28"/>
          <w:lang w:eastAsia="zh-CN"/>
        </w:rPr>
        <w:t>发包人通知</w:t>
      </w:r>
      <w:r>
        <w:rPr>
          <w:rFonts w:hint="eastAsia" w:ascii="仿宋" w:hAnsi="仿宋" w:eastAsia="仿宋" w:cs="仿宋"/>
          <w:kern w:val="0"/>
          <w:sz w:val="28"/>
          <w:szCs w:val="28"/>
          <w:lang w:val="en-US" w:eastAsia="zh-CN"/>
        </w:rPr>
        <w:t>为准</w:t>
      </w:r>
      <w:r>
        <w:rPr>
          <w:rFonts w:hint="default" w:ascii="仿宋" w:hAnsi="仿宋" w:eastAsia="仿宋" w:cs="仿宋"/>
          <w:kern w:val="0"/>
          <w:sz w:val="28"/>
          <w:szCs w:val="28"/>
          <w:lang w:eastAsia="zh-CN"/>
        </w:rPr>
        <w:t>。</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bookmarkStart w:id="8" w:name="_Toc6230452"/>
      <w:bookmarkStart w:id="9" w:name="_Toc29194683"/>
      <w:bookmarkStart w:id="10" w:name="_Toc52097502"/>
      <w:r>
        <w:rPr>
          <w:rFonts w:hint="default" w:ascii="仿宋" w:hAnsi="仿宋" w:eastAsia="仿宋" w:cs="仿宋"/>
          <w:kern w:val="0"/>
          <w:sz w:val="28"/>
          <w:szCs w:val="28"/>
          <w:lang w:val="en-US" w:eastAsia="zh-CN"/>
        </w:rPr>
        <w:t>3.报价人资格要求</w:t>
      </w:r>
      <w:bookmarkEnd w:id="5"/>
      <w:bookmarkEnd w:id="6"/>
      <w:bookmarkEnd w:id="7"/>
      <w:bookmarkEnd w:id="8"/>
      <w:bookmarkEnd w:id="9"/>
      <w:bookmarkEnd w:id="10"/>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3.1报价人应同时满足下列资格条件：</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（1）报价人为中国境内注册的独立法人企业。</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（2）报价人具有以下全部资质：</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①具有有效营业执照、税务登记证、组织机构代码证的单位，多证合一的需备注；</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②</w:t>
      </w:r>
      <w:r>
        <w:rPr>
          <w:rFonts w:hint="eastAsia" w:ascii="仿宋" w:hAnsi="仿宋" w:eastAsia="仿宋" w:cs="仿宋"/>
          <w:kern w:val="0"/>
          <w:sz w:val="28"/>
          <w:szCs w:val="28"/>
          <w:lang w:val="en-US" w:eastAsia="zh-CN"/>
        </w:rPr>
        <w:t>同时</w:t>
      </w:r>
      <w:r>
        <w:rPr>
          <w:rFonts w:hint="default" w:ascii="仿宋" w:hAnsi="仿宋" w:eastAsia="仿宋" w:cs="仿宋"/>
          <w:kern w:val="0"/>
          <w:sz w:val="28"/>
          <w:szCs w:val="28"/>
          <w:lang w:val="en-US" w:eastAsia="zh-CN"/>
        </w:rPr>
        <w:t>具有</w:t>
      </w:r>
      <w:r>
        <w:rPr>
          <w:rFonts w:hint="eastAsia" w:ascii="仿宋" w:hAnsi="仿宋" w:eastAsia="仿宋" w:cs="仿宋"/>
          <w:kern w:val="0"/>
          <w:sz w:val="28"/>
          <w:szCs w:val="28"/>
          <w:lang w:val="en-US" w:eastAsia="zh-CN"/>
        </w:rPr>
        <w:t>风景园林工程设计专项甲级</w:t>
      </w:r>
      <w:r>
        <w:rPr>
          <w:rFonts w:hint="default" w:ascii="仿宋" w:hAnsi="仿宋" w:eastAsia="仿宋" w:cs="仿宋"/>
          <w:kern w:val="0"/>
          <w:sz w:val="28"/>
          <w:szCs w:val="28"/>
          <w:lang w:val="en-US" w:eastAsia="zh-CN"/>
        </w:rPr>
        <w:t>资质</w:t>
      </w:r>
      <w:r>
        <w:rPr>
          <w:rFonts w:hint="eastAsia" w:ascii="仿宋" w:hAnsi="仿宋" w:eastAsia="仿宋" w:cs="仿宋"/>
          <w:kern w:val="0"/>
          <w:sz w:val="28"/>
          <w:szCs w:val="28"/>
          <w:lang w:val="en-US" w:eastAsia="zh-CN"/>
        </w:rPr>
        <w:t>，建筑行业（建筑工程）乙级及以上资质，城乡规划编制资质乙级及以上。</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报价人自</w:t>
      </w:r>
      <w:r>
        <w:rPr>
          <w:rFonts w:hint="eastAsia" w:ascii="仿宋" w:hAnsi="仿宋" w:eastAsia="仿宋" w:cs="仿宋"/>
          <w:kern w:val="0"/>
          <w:sz w:val="28"/>
          <w:szCs w:val="28"/>
          <w:lang w:val="en-US" w:eastAsia="zh-CN"/>
        </w:rPr>
        <w:t>2020</w:t>
      </w:r>
      <w:r>
        <w:rPr>
          <w:rFonts w:hint="default" w:ascii="仿宋" w:hAnsi="仿宋" w:eastAsia="仿宋" w:cs="仿宋"/>
          <w:kern w:val="0"/>
          <w:sz w:val="28"/>
          <w:szCs w:val="28"/>
          <w:lang w:val="en-US" w:eastAsia="zh-CN"/>
        </w:rPr>
        <w:t>年1月1日至报价截止日（以合同签订时间为准），至少具有</w:t>
      </w:r>
      <w:r>
        <w:rPr>
          <w:rFonts w:hint="eastAsia" w:ascii="仿宋" w:hAnsi="仿宋" w:eastAsia="仿宋" w:cs="仿宋"/>
          <w:kern w:val="0"/>
          <w:sz w:val="28"/>
          <w:szCs w:val="28"/>
          <w:lang w:val="en-US" w:eastAsia="zh-CN"/>
        </w:rPr>
        <w:t>1</w:t>
      </w:r>
      <w:r>
        <w:rPr>
          <w:rFonts w:hint="default" w:ascii="仿宋" w:hAnsi="仿宋" w:eastAsia="仿宋" w:cs="仿宋"/>
          <w:kern w:val="0"/>
          <w:sz w:val="28"/>
          <w:szCs w:val="28"/>
          <w:lang w:val="en-US" w:eastAsia="zh-CN"/>
        </w:rPr>
        <w:t>个</w:t>
      </w:r>
      <w:r>
        <w:rPr>
          <w:rFonts w:hint="eastAsia" w:ascii="仿宋" w:hAnsi="仿宋" w:eastAsia="仿宋" w:cs="仿宋"/>
          <w:kern w:val="0"/>
          <w:sz w:val="28"/>
          <w:szCs w:val="28"/>
          <w:lang w:val="en-US" w:eastAsia="zh-CN"/>
        </w:rPr>
        <w:t>工程规模超过300万元的市政景观工程设计</w:t>
      </w:r>
      <w:r>
        <w:rPr>
          <w:rFonts w:hint="default" w:ascii="仿宋" w:hAnsi="仿宋" w:eastAsia="仿宋" w:cs="仿宋"/>
          <w:kern w:val="0"/>
          <w:sz w:val="28"/>
          <w:szCs w:val="28"/>
          <w:lang w:val="en-US" w:eastAsia="zh-CN"/>
        </w:rPr>
        <w:t>的相关业绩。（以合同签订时间为准）</w:t>
      </w:r>
      <w:r>
        <w:rPr>
          <w:rFonts w:hint="eastAsia" w:ascii="仿宋" w:hAnsi="仿宋" w:eastAsia="仿宋" w:cs="仿宋"/>
          <w:kern w:val="0"/>
          <w:sz w:val="28"/>
          <w:szCs w:val="28"/>
          <w:lang w:val="en-US" w:eastAsia="zh-CN"/>
        </w:rPr>
        <w:t>。</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项目负责人：具备园林高级及以上专业职称。（提供职称证、身份证，社保证明提供复印件加盖报价人公章（鲜章））</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项目主要管理人员：具备园林中级及以上专业职称人员不少于2人，给排水、电气中级及以上专业职称人员各不少于1人。（提供职称证、身份证，社保证明提供复印件加盖报价人公章（鲜章）。</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文件中所要求的人员养老保险证明要求如下：</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①社会单位提供养老保险证明，事业单位提供养老保险证明或行政主管部门在编证明。</w:t>
      </w:r>
    </w:p>
    <w:p>
      <w:pPr>
        <w:pStyle w:val="3"/>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rPr>
        <w:t>②投标文件中对养老保险的要求为：所有人员和委托代理人的养老保险证明期限为202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月至今的连续养老保险。提供的养老保险参保证明（个人），必须包含身份证号（或社保号）和参保基本情况、参保缴费明细（养老保险），并带有社保部门公章（或有效的电子印章。</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3.2</w:t>
      </w:r>
      <w:r>
        <w:rPr>
          <w:rFonts w:hint="eastAsia" w:ascii="仿宋" w:hAnsi="仿宋" w:eastAsia="仿宋" w:cs="仿宋"/>
          <w:kern w:val="0"/>
          <w:sz w:val="28"/>
          <w:szCs w:val="28"/>
          <w:lang w:val="en-US" w:eastAsia="zh-CN"/>
        </w:rPr>
        <w:t>报价人没有被列入重庆高速公路集团有限公司黑名单。</w:t>
      </w:r>
    </w:p>
    <w:p>
      <w:pPr>
        <w:tabs>
          <w:tab w:val="left" w:pos="3840"/>
          <w:tab w:val="left" w:pos="5300"/>
        </w:tabs>
        <w:autoSpaceDE w:val="0"/>
        <w:autoSpaceDN w:val="0"/>
        <w:adjustRightInd w:val="0"/>
        <w:snapToGrid w:val="0"/>
        <w:spacing w:line="360" w:lineRule="auto"/>
        <w:ind w:firstLine="560" w:firstLineChars="200"/>
        <w:jc w:val="left"/>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kern w:val="0"/>
          <w:sz w:val="28"/>
          <w:szCs w:val="28"/>
          <w:lang w:val="en-US" w:eastAsia="zh-CN"/>
        </w:rPr>
        <w:t>3.3</w:t>
      </w:r>
      <w:r>
        <w:rPr>
          <w:rFonts w:hint="default" w:ascii="仿宋" w:hAnsi="仿宋" w:eastAsia="仿宋" w:cs="仿宋"/>
          <w:kern w:val="0"/>
          <w:sz w:val="28"/>
          <w:szCs w:val="28"/>
          <w:lang w:val="en-US" w:eastAsia="zh-CN"/>
        </w:rPr>
        <w:t>本项目</w:t>
      </w:r>
      <w:r>
        <w:rPr>
          <w:rFonts w:hint="eastAsia" w:ascii="仿宋" w:hAnsi="仿宋" w:eastAsia="仿宋" w:cs="仿宋"/>
          <w:kern w:val="0"/>
          <w:sz w:val="28"/>
          <w:szCs w:val="28"/>
          <w:lang w:val="en-US" w:eastAsia="zh-CN"/>
        </w:rPr>
        <w:t>不接受</w:t>
      </w:r>
      <w:r>
        <w:rPr>
          <w:rFonts w:hint="default" w:ascii="仿宋" w:hAnsi="仿宋" w:eastAsia="仿宋" w:cs="仿宋"/>
          <w:kern w:val="0"/>
          <w:sz w:val="28"/>
          <w:szCs w:val="28"/>
          <w:lang w:val="en-US" w:eastAsia="zh-CN"/>
        </w:rPr>
        <w:t>联合体询价。</w:t>
      </w:r>
    </w:p>
    <w:p>
      <w:pPr>
        <w:pStyle w:val="5"/>
        <w:spacing w:line="510" w:lineRule="exact"/>
        <w:rPr>
          <w:rFonts w:hint="default" w:ascii="Times New Roman" w:hAnsi="Times New Roman" w:eastAsia="黑体" w:cs="Times New Roman"/>
          <w:b w:val="0"/>
          <w:color w:val="auto"/>
          <w:sz w:val="28"/>
          <w:szCs w:val="28"/>
          <w:highlight w:val="none"/>
          <w:lang w:val="en-US" w:eastAsia="zh-CN"/>
        </w:rPr>
      </w:pPr>
      <w:bookmarkStart w:id="11" w:name="_Toc6230453"/>
      <w:bookmarkStart w:id="12" w:name="_Toc13014"/>
      <w:bookmarkStart w:id="13" w:name="_Toc323734101"/>
      <w:bookmarkStart w:id="14" w:name="_Toc29194684"/>
      <w:bookmarkStart w:id="15" w:name="_Toc324429696"/>
      <w:bookmarkStart w:id="16" w:name="_Toc52097503"/>
      <w:r>
        <w:rPr>
          <w:rFonts w:hint="default" w:ascii="Times New Roman" w:hAnsi="Times New Roman" w:eastAsia="黑体" w:cs="Times New Roman"/>
          <w:b w:val="0"/>
          <w:color w:val="auto"/>
          <w:sz w:val="28"/>
          <w:szCs w:val="28"/>
          <w:highlight w:val="none"/>
          <w:lang w:val="en-US" w:eastAsia="zh-CN"/>
        </w:rPr>
        <w:t>4. 报价文件的递交</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4.1报价文件递交地点：</w:t>
      </w:r>
      <w:r>
        <w:rPr>
          <w:rFonts w:hint="eastAsia" w:ascii="仿宋" w:hAnsi="仿宋" w:eastAsia="仿宋" w:cs="仿宋"/>
          <w:kern w:val="0"/>
          <w:sz w:val="28"/>
          <w:szCs w:val="28"/>
          <w:lang w:val="en-US" w:eastAsia="zh-CN"/>
        </w:rPr>
        <w:t>重庆市潼南区桂林街道春阳路460号（重庆双江航运发展有限公司合同管理部）</w:t>
      </w:r>
      <w:r>
        <w:rPr>
          <w:rFonts w:hint="default" w:ascii="仿宋" w:hAnsi="仿宋" w:eastAsia="仿宋" w:cs="仿宋"/>
          <w:kern w:val="0"/>
          <w:sz w:val="28"/>
          <w:szCs w:val="28"/>
          <w:lang w:val="en-US" w:eastAsia="zh-CN"/>
        </w:rPr>
        <w:t>。</w:t>
      </w:r>
    </w:p>
    <w:p>
      <w:pPr>
        <w:spacing w:line="510" w:lineRule="exact"/>
        <w:ind w:firstLine="560" w:firstLineChars="200"/>
        <w:jc w:val="both"/>
        <w:rPr>
          <w:rFonts w:ascii="Times New Roman" w:hAnsi="Times New Roman" w:eastAsia="方正仿宋_GBK" w:cs="Times New Roman"/>
          <w:bCs/>
          <w:sz w:val="32"/>
          <w:szCs w:val="32"/>
          <w:lang w:eastAsia="zh-CN"/>
        </w:rPr>
      </w:pPr>
      <w:r>
        <w:rPr>
          <w:rFonts w:hint="default" w:ascii="仿宋" w:hAnsi="仿宋" w:eastAsia="仿宋" w:cs="仿宋"/>
          <w:kern w:val="0"/>
          <w:sz w:val="28"/>
          <w:szCs w:val="28"/>
          <w:lang w:val="en-US"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val="en-US" w:eastAsia="zh-CN"/>
        </w:rPr>
        <w:t>5</w:t>
      </w:r>
      <w:r>
        <w:rPr>
          <w:rFonts w:hint="eastAsia" w:ascii="Times New Roman" w:hAnsi="Times New Roman" w:eastAsia="方正仿宋_GBK" w:cs="Times New Roman"/>
          <w:bCs/>
          <w:sz w:val="32"/>
          <w:szCs w:val="32"/>
          <w:highlight w:val="none"/>
          <w:lang w:eastAsia="zh-CN"/>
        </w:rPr>
        <w:t>日</w:t>
      </w:r>
      <w:r>
        <w:rPr>
          <w:rFonts w:hint="eastAsia" w:ascii="Times New Roman" w:hAnsi="Times New Roman" w:eastAsia="方正仿宋_GBK" w:cs="Times New Roman"/>
          <w:bCs/>
          <w:sz w:val="32"/>
          <w:szCs w:val="32"/>
          <w:highlight w:val="none"/>
          <w:lang w:val="en-US" w:eastAsia="zh-CN"/>
        </w:rPr>
        <w:t>17</w:t>
      </w:r>
      <w:r>
        <w:rPr>
          <w:rFonts w:ascii="Times New Roman" w:hAnsi="Times New Roman" w:eastAsia="方正仿宋_GBK" w:cs="Times New Roman"/>
          <w:bCs/>
          <w:sz w:val="32"/>
          <w:szCs w:val="32"/>
          <w:lang w:eastAsia="zh-CN"/>
        </w:rPr>
        <w:t xml:space="preserve">时 </w:t>
      </w:r>
      <w:r>
        <w:rPr>
          <w:rFonts w:hint="eastAsia" w:ascii="Times New Roman" w:hAnsi="Times New Roman" w:eastAsia="方正仿宋_GBK" w:cs="Times New Roman"/>
          <w:bCs/>
          <w:sz w:val="32"/>
          <w:szCs w:val="32"/>
          <w:lang w:val="en-US" w:eastAsia="zh-CN"/>
        </w:rPr>
        <w:t>00</w:t>
      </w:r>
      <w:r>
        <w:rPr>
          <w:rFonts w:ascii="Times New Roman" w:hAnsi="Times New Roman" w:eastAsia="方正仿宋_GBK" w:cs="Times New Roman"/>
          <w:bCs/>
          <w:sz w:val="32"/>
          <w:szCs w:val="32"/>
          <w:lang w:eastAsia="zh-CN"/>
        </w:rPr>
        <w:t>分为止（北京时间）。</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4.3逾期送达的、未送达指定地点的或者不按照询价文件要求密封的报价文件，将予以拒收。</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4.4采用邮寄等其他方式递交报价文件的，所有风险由报价人自行承担。</w:t>
      </w:r>
    </w:p>
    <w:p>
      <w:pPr>
        <w:pStyle w:val="5"/>
        <w:spacing w:line="510" w:lineRule="exact"/>
        <w:rPr>
          <w:rFonts w:hint="default" w:ascii="Times New Roman" w:hAnsi="Times New Roman" w:eastAsia="黑体" w:cs="Times New Roman"/>
          <w:b w:val="0"/>
          <w:color w:val="auto"/>
          <w:sz w:val="28"/>
          <w:szCs w:val="28"/>
          <w:highlight w:val="none"/>
          <w:lang w:val="en-US" w:eastAsia="zh-CN"/>
        </w:rPr>
      </w:pPr>
      <w:r>
        <w:rPr>
          <w:rFonts w:hint="default" w:ascii="Times New Roman" w:hAnsi="Times New Roman" w:eastAsia="黑体" w:cs="Times New Roman"/>
          <w:b w:val="0"/>
          <w:color w:val="auto"/>
          <w:sz w:val="28"/>
          <w:szCs w:val="28"/>
          <w:highlight w:val="none"/>
          <w:lang w:val="en-US" w:eastAsia="zh-CN"/>
        </w:rPr>
        <w:t>5.发布公告的媒介</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5.1本次询价公告及结果公示将在重庆高速公路集团官方网站（</w:t>
      </w:r>
      <w:r>
        <w:rPr>
          <w:rFonts w:ascii="Times New Roman" w:hAnsi="Times New Roman" w:eastAsia="方正仿宋_GBK" w:cs="Times New Roman"/>
          <w:bCs/>
          <w:sz w:val="32"/>
          <w:szCs w:val="32"/>
          <w:lang w:eastAsia="zh-CN"/>
        </w:rPr>
        <w:t>http://www.cegc.com.cn/gw/newsInfoMenu.html?id=42&amp;key=2</w:t>
      </w:r>
      <w:r>
        <w:rPr>
          <w:rFonts w:hint="default" w:ascii="仿宋" w:hAnsi="仿宋" w:eastAsia="仿宋" w:cs="仿宋"/>
          <w:kern w:val="0"/>
          <w:sz w:val="28"/>
          <w:szCs w:val="28"/>
          <w:lang w:val="en-US" w:eastAsia="zh-CN"/>
        </w:rPr>
        <w:t>）上发布。</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5.2凡愿意参加的</w:t>
      </w:r>
      <w:r>
        <w:rPr>
          <w:rFonts w:hint="eastAsia" w:ascii="仿宋" w:hAnsi="仿宋" w:eastAsia="仿宋" w:cs="仿宋"/>
          <w:kern w:val="0"/>
          <w:sz w:val="28"/>
          <w:szCs w:val="28"/>
          <w:lang w:val="en-US" w:eastAsia="zh-CN"/>
        </w:rPr>
        <w:t>单位</w:t>
      </w:r>
      <w:r>
        <w:rPr>
          <w:rFonts w:hint="default" w:ascii="仿宋" w:hAnsi="仿宋" w:eastAsia="仿宋" w:cs="仿宋"/>
          <w:kern w:val="0"/>
          <w:sz w:val="28"/>
          <w:szCs w:val="28"/>
          <w:lang w:val="en-US" w:eastAsia="zh-CN"/>
        </w:rPr>
        <w:t>，从公告发布之日起至报价递交截止时间前，在本项目公开询价公告中的获取方式（链接）自行下载询价文件。本项目不需要报名，直接提交报价文件。</w:t>
      </w:r>
    </w:p>
    <w:p>
      <w:pPr>
        <w:pStyle w:val="43"/>
        <w:rPr>
          <w:rFonts w:hint="default"/>
          <w:lang w:val="en-US" w:eastAsia="zh-CN"/>
        </w:rPr>
      </w:pPr>
    </w:p>
    <w:p>
      <w:pPr>
        <w:pStyle w:val="5"/>
        <w:spacing w:line="510" w:lineRule="exact"/>
        <w:rPr>
          <w:rFonts w:hint="eastAsia" w:ascii="Times New Roman" w:hAnsi="Times New Roman" w:eastAsia="黑体" w:cs="Times New Roman"/>
          <w:b w:val="0"/>
          <w:color w:val="auto"/>
          <w:sz w:val="28"/>
          <w:szCs w:val="28"/>
          <w:highlight w:val="none"/>
          <w:lang w:val="en-US" w:eastAsia="zh-CN"/>
        </w:rPr>
      </w:pPr>
      <w:r>
        <w:rPr>
          <w:rFonts w:hint="eastAsia" w:ascii="Times New Roman" w:hAnsi="Times New Roman" w:eastAsia="黑体" w:cs="Times New Roman"/>
          <w:b w:val="0"/>
          <w:color w:val="auto"/>
          <w:sz w:val="28"/>
          <w:szCs w:val="28"/>
          <w:highlight w:val="none"/>
          <w:lang w:val="en-US" w:eastAsia="zh-CN"/>
        </w:rPr>
        <w:t>6.联系方式</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询价人：重庆双江航运发展有限公司</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地  址：重庆市潼南区桂林街道春阳街460号</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联系人：单女士</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  话：</w:t>
      </w:r>
      <w:r>
        <w:rPr>
          <w:rFonts w:hint="default" w:ascii="仿宋" w:hAnsi="仿宋" w:eastAsia="仿宋" w:cs="仿宋"/>
          <w:kern w:val="0"/>
          <w:sz w:val="28"/>
          <w:szCs w:val="28"/>
          <w:lang w:val="en-US" w:eastAsia="zh-CN"/>
        </w:rPr>
        <w:t>023-87288000</w:t>
      </w:r>
    </w:p>
    <w:p>
      <w:pPr>
        <w:pStyle w:val="5"/>
        <w:spacing w:line="510" w:lineRule="exact"/>
        <w:rPr>
          <w:rFonts w:hint="eastAsia" w:ascii="Times New Roman" w:hAnsi="Times New Roman" w:eastAsia="黑体" w:cs="Times New Roman"/>
          <w:b w:val="0"/>
          <w:color w:val="auto"/>
          <w:sz w:val="28"/>
          <w:szCs w:val="28"/>
          <w:highlight w:val="none"/>
          <w:lang w:val="en-US" w:eastAsia="zh-CN"/>
        </w:rPr>
      </w:pPr>
      <w:r>
        <w:rPr>
          <w:rFonts w:hint="eastAsia" w:ascii="Times New Roman" w:hAnsi="Times New Roman" w:eastAsia="黑体" w:cs="Times New Roman"/>
          <w:b w:val="0"/>
          <w:color w:val="auto"/>
          <w:sz w:val="28"/>
          <w:szCs w:val="28"/>
          <w:highlight w:val="none"/>
          <w:lang w:val="en-US" w:eastAsia="zh-CN"/>
        </w:rPr>
        <w:t>7.监督部门</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监督部门：重庆双江航运发展有限公司</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联系电话：023-87285692</w:t>
      </w:r>
    </w:p>
    <w:p>
      <w:pPr>
        <w:widowControl/>
        <w:jc w:val="right"/>
        <w:rPr>
          <w:rFonts w:hint="default"/>
          <w:color w:val="auto"/>
          <w:highlight w:val="none"/>
          <w:lang w:val="en-US"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32"/>
          <w:szCs w:val="32"/>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tabs>
          <w:tab w:val="left" w:pos="3840"/>
          <w:tab w:val="left" w:pos="5300"/>
        </w:tabs>
        <w:autoSpaceDE w:val="0"/>
        <w:autoSpaceDN w:val="0"/>
        <w:adjustRightInd w:val="0"/>
        <w:snapToGrid w:val="0"/>
        <w:spacing w:line="360" w:lineRule="auto"/>
        <w:ind w:firstLine="560" w:firstLineChars="200"/>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1.报价文件要求</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1.1本项目总价最高限价为人民币</w:t>
      </w:r>
      <w:r>
        <w:rPr>
          <w:rFonts w:hint="eastAsia" w:ascii="仿宋" w:hAnsi="仿宋" w:eastAsia="仿宋" w:cs="仿宋"/>
          <w:kern w:val="0"/>
          <w:sz w:val="28"/>
          <w:szCs w:val="28"/>
          <w:lang w:val="en-US" w:eastAsia="zh-CN"/>
        </w:rPr>
        <w:t>142000</w:t>
      </w:r>
      <w:r>
        <w:rPr>
          <w:rFonts w:hint="default" w:ascii="仿宋" w:hAnsi="仿宋" w:eastAsia="仿宋" w:cs="仿宋"/>
          <w:kern w:val="0"/>
          <w:sz w:val="28"/>
          <w:szCs w:val="28"/>
          <w:lang w:val="en-US" w:eastAsia="zh-CN"/>
        </w:rPr>
        <w:t>元整（￥</w:t>
      </w:r>
      <w:r>
        <w:rPr>
          <w:rFonts w:hint="eastAsia" w:ascii="仿宋" w:hAnsi="仿宋" w:eastAsia="仿宋" w:cs="仿宋"/>
          <w:kern w:val="0"/>
          <w:sz w:val="28"/>
          <w:szCs w:val="28"/>
          <w:lang w:val="en-US" w:eastAsia="zh-CN"/>
        </w:rPr>
        <w:t xml:space="preserve"> 14.20</w:t>
      </w:r>
      <w:r>
        <w:rPr>
          <w:rFonts w:hint="default" w:ascii="仿宋" w:hAnsi="仿宋" w:eastAsia="仿宋" w:cs="仿宋"/>
          <w:kern w:val="0"/>
          <w:sz w:val="28"/>
          <w:szCs w:val="28"/>
          <w:lang w:val="en-US" w:eastAsia="zh-CN"/>
        </w:rPr>
        <w:t>万元）。报价人的报价不得高于最高限价，否则其报价文件将被否决。其它要求详见报价表中的报价说明。</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1.2报价文件内容格式详见第四章格式要求；装订采用A4纸幅面，不得采用活页夹等可随时拆换的方式装订，目录、页码齐全，正副本分开装订，封面注明正副本字样。否则其报价文件将被否决。</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w:t>
      </w: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lang w:val="en-US" w:eastAsia="zh-CN"/>
        </w:rPr>
        <w:t>报价文件应装入封套，密封完好并在封口处加盖报价人单位公章，否则其报价文件将被否决。封套上应注明：</w:t>
      </w:r>
      <w:r>
        <w:rPr>
          <w:rFonts w:hint="eastAsia" w:ascii="仿宋" w:hAnsi="仿宋" w:eastAsia="仿宋" w:cs="仿宋"/>
          <w:kern w:val="0"/>
          <w:sz w:val="28"/>
          <w:szCs w:val="28"/>
          <w:lang w:val="en-US" w:eastAsia="zh-CN"/>
        </w:rPr>
        <w:t>双江枢纽景观绿化项目</w:t>
      </w:r>
      <w:r>
        <w:rPr>
          <w:rFonts w:hint="default" w:ascii="仿宋" w:hAnsi="仿宋" w:eastAsia="仿宋" w:cs="仿宋"/>
          <w:kern w:val="0"/>
          <w:sz w:val="28"/>
          <w:szCs w:val="28"/>
          <w:lang w:val="en-US" w:eastAsia="zh-CN"/>
        </w:rPr>
        <w:t>。</w:t>
      </w:r>
    </w:p>
    <w:p>
      <w:pPr>
        <w:tabs>
          <w:tab w:val="left" w:pos="3840"/>
          <w:tab w:val="left" w:pos="5300"/>
        </w:tabs>
        <w:autoSpaceDE w:val="0"/>
        <w:autoSpaceDN w:val="0"/>
        <w:adjustRightInd w:val="0"/>
        <w:snapToGrid w:val="0"/>
        <w:spacing w:line="360" w:lineRule="auto"/>
        <w:ind w:firstLine="560" w:firstLineChars="200"/>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2A.评审办法</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本项目采用经评审的</w:t>
      </w:r>
      <w:r>
        <w:rPr>
          <w:rFonts w:hint="eastAsia" w:ascii="仿宋" w:hAnsi="仿宋" w:eastAsia="仿宋" w:cs="仿宋"/>
          <w:kern w:val="0"/>
          <w:sz w:val="28"/>
          <w:szCs w:val="28"/>
          <w:lang w:val="en-US" w:eastAsia="zh-CN"/>
        </w:rPr>
        <w:t>最低价法</w:t>
      </w:r>
      <w:r>
        <w:rPr>
          <w:rFonts w:hint="default" w:ascii="仿宋" w:hAnsi="仿宋" w:eastAsia="仿宋" w:cs="仿宋"/>
          <w:kern w:val="0"/>
          <w:sz w:val="28"/>
          <w:szCs w:val="28"/>
          <w:lang w:val="en-US" w:eastAsia="zh-CN"/>
        </w:rPr>
        <w:t>。</w:t>
      </w: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eastAsia" w:ascii="仿宋" w:hAnsi="仿宋" w:eastAsia="仿宋" w:cs="仿宋"/>
          <w:kern w:val="0"/>
          <w:sz w:val="32"/>
          <w:szCs w:val="32"/>
          <w:lang w:val="en-US" w:eastAsia="zh-CN"/>
        </w:rPr>
      </w:pPr>
      <w:bookmarkStart w:id="18" w:name="_Toc29194791"/>
      <w:bookmarkStart w:id="19" w:name="_Toc52097542"/>
      <w:r>
        <w:rPr>
          <w:rFonts w:hint="default" w:ascii="Times New Roman" w:hAnsi="Times New Roman" w:eastAsia="方正小标宋_GBK" w:cs="Times New Roman"/>
          <w:bCs/>
          <w:color w:val="auto"/>
          <w:sz w:val="32"/>
          <w:szCs w:val="32"/>
          <w:highlight w:val="none"/>
          <w:lang w:val="zh-CN" w:eastAsia="zh-CN"/>
        </w:rPr>
        <w:t>第三章</w:t>
      </w:r>
      <w:bookmarkEnd w:id="18"/>
      <w:bookmarkEnd w:id="19"/>
      <w:r>
        <w:rPr>
          <w:rFonts w:hint="default" w:ascii="Times New Roman" w:hAnsi="Times New Roman" w:eastAsia="方正小标宋_GBK" w:cs="Times New Roman"/>
          <w:bCs/>
          <w:color w:val="auto"/>
          <w:sz w:val="32"/>
          <w:szCs w:val="32"/>
          <w:highlight w:val="none"/>
          <w:lang w:val="zh-CN" w:eastAsia="zh-CN"/>
        </w:rPr>
        <w:t xml:space="preserve"> 合同条款</w:t>
      </w:r>
      <w:r>
        <w:rPr>
          <w:rFonts w:hint="eastAsia" w:ascii="Times New Roman" w:hAnsi="Times New Roman" w:eastAsia="方正小标宋_GBK" w:cs="Times New Roman"/>
          <w:bCs/>
          <w:color w:val="auto"/>
          <w:sz w:val="32"/>
          <w:szCs w:val="32"/>
          <w:highlight w:val="none"/>
          <w:lang w:val="en-US" w:eastAsia="zh-CN"/>
        </w:rPr>
        <w:t>与格式</w:t>
      </w:r>
    </w:p>
    <w:p>
      <w:pPr>
        <w:tabs>
          <w:tab w:val="left" w:pos="3840"/>
          <w:tab w:val="left" w:pos="5300"/>
        </w:tabs>
        <w:autoSpaceDE w:val="0"/>
        <w:autoSpaceDN w:val="0"/>
        <w:adjustRightInd w:val="0"/>
        <w:snapToGrid w:val="0"/>
        <w:spacing w:line="360" w:lineRule="auto"/>
        <w:ind w:firstLine="480" w:firstLineChars="200"/>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一、合同范围</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双江航电枢纽工程右岸景观绿化面积约2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万平方米。</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设计分为方案阶段（含估概算）和施工图（含预算）两个阶段。</w:t>
      </w:r>
      <w:r>
        <w:rPr>
          <w:rFonts w:hint="eastAsia" w:cs="宋体"/>
          <w:color w:val="auto"/>
          <w:sz w:val="24"/>
          <w:szCs w:val="24"/>
          <w:highlight w:val="none"/>
          <w:lang w:val="en-US" w:eastAsia="zh-CN"/>
        </w:rPr>
        <w:t>方案阶段</w:t>
      </w:r>
      <w:r>
        <w:rPr>
          <w:rFonts w:hint="eastAsia" w:ascii="宋体" w:hAnsi="宋体" w:eastAsia="宋体" w:cs="宋体"/>
          <w:color w:val="auto"/>
          <w:sz w:val="24"/>
          <w:szCs w:val="24"/>
          <w:highlight w:val="none"/>
          <w:lang w:val="en-US" w:eastAsia="zh-CN"/>
        </w:rPr>
        <w:t>至少提供两种较优方案，每种方案效果图不少于10幅。</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3.设计单位应提供的资料：</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（1）方案文本及估算（最终版4套，含效果图2套）。</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（2）施工图设计报告及预算（最终版，图纸6套，预算3套）。</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（3）招标工程量清单</w:t>
      </w:r>
      <w:r>
        <w:rPr>
          <w:rFonts w:hint="eastAsia" w:cs="宋体"/>
          <w:color w:val="auto"/>
          <w:sz w:val="24"/>
          <w:szCs w:val="24"/>
          <w:highlight w:val="none"/>
          <w:lang w:val="en-US" w:eastAsia="zh-CN"/>
        </w:rPr>
        <w:t>、技术要求</w:t>
      </w:r>
      <w:r>
        <w:rPr>
          <w:rFonts w:hint="eastAsia" w:ascii="宋体" w:hAnsi="宋体" w:eastAsia="宋体" w:cs="宋体"/>
          <w:color w:val="auto"/>
          <w:sz w:val="24"/>
          <w:szCs w:val="24"/>
          <w:highlight w:val="none"/>
          <w:lang w:val="en-US" w:eastAsia="zh-CN"/>
        </w:rPr>
        <w:t>等</w:t>
      </w:r>
      <w:r>
        <w:rPr>
          <w:rFonts w:hint="eastAsia" w:cs="宋体"/>
          <w:color w:val="auto"/>
          <w:sz w:val="24"/>
          <w:szCs w:val="24"/>
          <w:highlight w:val="none"/>
          <w:lang w:val="en-US" w:eastAsia="zh-CN"/>
        </w:rPr>
        <w:t>招标工作以及</w:t>
      </w:r>
      <w:r>
        <w:rPr>
          <w:rFonts w:hint="eastAsia" w:ascii="宋体" w:hAnsi="宋体" w:eastAsia="宋体" w:cs="宋体"/>
          <w:color w:val="auto"/>
          <w:sz w:val="24"/>
          <w:szCs w:val="24"/>
          <w:highlight w:val="none"/>
          <w:lang w:val="en-US" w:eastAsia="zh-CN"/>
        </w:rPr>
        <w:t>后期施工</w:t>
      </w:r>
      <w:r>
        <w:rPr>
          <w:rFonts w:hint="eastAsia" w:cs="宋体"/>
          <w:color w:val="auto"/>
          <w:sz w:val="24"/>
          <w:szCs w:val="24"/>
          <w:highlight w:val="none"/>
          <w:lang w:val="en-US" w:eastAsia="zh-CN"/>
        </w:rPr>
        <w:t>阶段技术交底、验收等相关</w:t>
      </w:r>
      <w:r>
        <w:rPr>
          <w:rFonts w:hint="eastAsia" w:ascii="宋体" w:hAnsi="宋体" w:eastAsia="宋体" w:cs="宋体"/>
          <w:color w:val="auto"/>
          <w:sz w:val="24"/>
          <w:szCs w:val="24"/>
          <w:highlight w:val="none"/>
          <w:lang w:val="en-US" w:eastAsia="zh-CN"/>
        </w:rPr>
        <w:t>工作。</w:t>
      </w:r>
    </w:p>
    <w:p>
      <w:pPr>
        <w:tabs>
          <w:tab w:val="left" w:pos="3840"/>
          <w:tab w:val="left" w:pos="5300"/>
        </w:tabs>
        <w:autoSpaceDE w:val="0"/>
        <w:autoSpaceDN w:val="0"/>
        <w:adjustRightInd w:val="0"/>
        <w:snapToGrid w:val="0"/>
        <w:spacing w:line="360" w:lineRule="auto"/>
        <w:ind w:firstLine="480" w:firstLineChars="200"/>
        <w:jc w:val="left"/>
        <w:rPr>
          <w:rFonts w:hint="default"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en-US" w:eastAsia="zh-CN"/>
        </w:rPr>
        <w:t>二、合同</w:t>
      </w:r>
      <w:r>
        <w:rPr>
          <w:rFonts w:hint="default" w:ascii="黑体" w:hAnsi="黑体" w:eastAsia="黑体" w:cs="黑体"/>
          <w:color w:val="auto"/>
          <w:sz w:val="24"/>
          <w:szCs w:val="24"/>
          <w:highlight w:val="none"/>
          <w:lang w:val="zh-CN" w:eastAsia="zh-CN"/>
        </w:rPr>
        <w:t>签订</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发包人：_________</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承包人：_________</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中标人</w:t>
      </w:r>
      <w:r>
        <w:rPr>
          <w:rFonts w:hint="default" w:ascii="宋体" w:hAnsi="宋体" w:eastAsia="宋体" w:cs="宋体"/>
          <w:color w:val="auto"/>
          <w:sz w:val="24"/>
          <w:szCs w:val="24"/>
          <w:highlight w:val="none"/>
          <w:lang w:val="zh-CN" w:eastAsia="zh-CN"/>
        </w:rPr>
        <w:t>直接与发包人（</w:t>
      </w:r>
      <w:r>
        <w:rPr>
          <w:rFonts w:hint="eastAsia" w:ascii="宋体" w:hAnsi="宋体" w:eastAsia="宋体" w:cs="宋体"/>
          <w:color w:val="auto"/>
          <w:sz w:val="24"/>
          <w:szCs w:val="24"/>
          <w:highlight w:val="none"/>
          <w:lang w:val="en-US" w:eastAsia="zh-CN"/>
        </w:rPr>
        <w:t>_____</w:t>
      </w:r>
      <w:r>
        <w:rPr>
          <w:rFonts w:hint="default" w:ascii="宋体" w:hAnsi="宋体" w:eastAsia="宋体" w:cs="宋体"/>
          <w:color w:val="auto"/>
          <w:sz w:val="24"/>
          <w:szCs w:val="24"/>
          <w:highlight w:val="none"/>
          <w:lang w:val="zh-CN" w:eastAsia="zh-CN"/>
        </w:rPr>
        <w:t>公司）签订合同。</w:t>
      </w:r>
      <w:r>
        <w:rPr>
          <w:rFonts w:hint="eastAsia" w:ascii="宋体" w:hAnsi="宋体" w:eastAsia="宋体" w:cs="宋体"/>
          <w:color w:val="auto"/>
          <w:sz w:val="24"/>
          <w:szCs w:val="24"/>
          <w:highlight w:val="none"/>
          <w:lang w:val="en-US" w:eastAsia="zh-CN"/>
        </w:rPr>
        <w:t>按照相关</w:t>
      </w:r>
      <w:r>
        <w:rPr>
          <w:rFonts w:hint="default" w:ascii="宋体" w:hAnsi="宋体" w:eastAsia="宋体" w:cs="宋体"/>
          <w:color w:val="auto"/>
          <w:sz w:val="24"/>
          <w:szCs w:val="24"/>
          <w:highlight w:val="none"/>
          <w:lang w:val="zh-CN" w:eastAsia="zh-CN"/>
        </w:rPr>
        <w:t>管理办法，须包含安全和廉政合同。若报价人中标后，无正当理由放弃中标或不按时签订合同的，报价人将被列入黑名单。</w:t>
      </w:r>
    </w:p>
    <w:p>
      <w:pPr>
        <w:tabs>
          <w:tab w:val="left" w:pos="3840"/>
          <w:tab w:val="left" w:pos="5300"/>
        </w:tabs>
        <w:autoSpaceDE w:val="0"/>
        <w:autoSpaceDN w:val="0"/>
        <w:adjustRightInd w:val="0"/>
        <w:snapToGrid w:val="0"/>
        <w:spacing w:line="360" w:lineRule="auto"/>
        <w:ind w:firstLine="480" w:firstLineChars="200"/>
        <w:jc w:val="left"/>
        <w:rPr>
          <w:rFonts w:hint="default"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en-US" w:eastAsia="zh-CN"/>
        </w:rPr>
        <w:t>三、合同价格与</w:t>
      </w:r>
      <w:r>
        <w:rPr>
          <w:rFonts w:hint="default" w:ascii="黑体" w:hAnsi="黑体" w:eastAsia="黑体" w:cs="黑体"/>
          <w:color w:val="auto"/>
          <w:sz w:val="24"/>
          <w:szCs w:val="24"/>
          <w:highlight w:val="none"/>
          <w:lang w:val="zh-CN" w:eastAsia="zh-CN"/>
        </w:rPr>
        <w:t>支付方式</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合同价格与计量</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费用实行固定总价合同。</w:t>
      </w:r>
      <w:r>
        <w:rPr>
          <w:rFonts w:hint="default"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方案设计（含估概算）</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施工图设计（含预算）等阶段的相关内容</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费用中应包含</w:t>
      </w:r>
      <w:r>
        <w:rPr>
          <w:rFonts w:hint="default" w:ascii="宋体" w:hAnsi="宋体" w:eastAsia="宋体" w:cs="宋体"/>
          <w:color w:val="auto"/>
          <w:sz w:val="24"/>
          <w:szCs w:val="24"/>
          <w:highlight w:val="none"/>
          <w:lang w:val="en-US" w:eastAsia="zh-CN"/>
        </w:rPr>
        <w:t>的评审审查</w:t>
      </w:r>
      <w:r>
        <w:rPr>
          <w:rFonts w:hint="eastAsia" w:ascii="宋体" w:hAnsi="宋体" w:eastAsia="宋体" w:cs="宋体"/>
          <w:color w:val="auto"/>
          <w:sz w:val="24"/>
          <w:szCs w:val="24"/>
          <w:highlight w:val="none"/>
          <w:lang w:val="en-US" w:eastAsia="zh-CN"/>
        </w:rPr>
        <w:t>费用</w:t>
      </w:r>
      <w:r>
        <w:rPr>
          <w:rFonts w:hint="default" w:ascii="宋体" w:hAnsi="宋体" w:eastAsia="宋体" w:cs="宋体"/>
          <w:color w:val="auto"/>
          <w:sz w:val="24"/>
          <w:szCs w:val="24"/>
          <w:highlight w:val="none"/>
          <w:lang w:val="en-US" w:eastAsia="zh-CN"/>
        </w:rPr>
        <w:t>以及后期咨询</w:t>
      </w:r>
      <w:r>
        <w:rPr>
          <w:rFonts w:hint="eastAsia" w:ascii="宋体" w:hAnsi="宋体" w:eastAsia="宋体" w:cs="宋体"/>
          <w:color w:val="auto"/>
          <w:sz w:val="24"/>
          <w:szCs w:val="24"/>
          <w:highlight w:val="none"/>
          <w:lang w:val="en-US" w:eastAsia="zh-CN"/>
        </w:rPr>
        <w:t>（如招标阶段配合工作）</w:t>
      </w:r>
      <w:r>
        <w:rPr>
          <w:rFonts w:hint="default" w:ascii="宋体" w:hAnsi="宋体" w:eastAsia="宋体" w:cs="宋体"/>
          <w:color w:val="auto"/>
          <w:sz w:val="24"/>
          <w:szCs w:val="24"/>
          <w:highlight w:val="none"/>
          <w:lang w:val="en-US" w:eastAsia="zh-CN"/>
        </w:rPr>
        <w:t>等为完成</w:t>
      </w:r>
      <w:r>
        <w:rPr>
          <w:rFonts w:hint="eastAsia" w:ascii="宋体" w:hAnsi="宋体" w:eastAsia="宋体" w:cs="宋体"/>
          <w:color w:val="auto"/>
          <w:sz w:val="24"/>
          <w:szCs w:val="24"/>
          <w:highlight w:val="none"/>
          <w:lang w:val="en-US" w:eastAsia="zh-CN"/>
        </w:rPr>
        <w:t>询价函</w:t>
      </w:r>
      <w:r>
        <w:rPr>
          <w:rFonts w:hint="default" w:ascii="宋体" w:hAnsi="宋体" w:eastAsia="宋体" w:cs="宋体"/>
          <w:color w:val="auto"/>
          <w:sz w:val="24"/>
          <w:szCs w:val="24"/>
          <w:highlight w:val="none"/>
          <w:lang w:val="en-US" w:eastAsia="zh-CN"/>
        </w:rPr>
        <w:t>所含</w:t>
      </w:r>
      <w:r>
        <w:rPr>
          <w:rFonts w:hint="eastAsia" w:ascii="宋体" w:hAnsi="宋体" w:eastAsia="宋体" w:cs="宋体"/>
          <w:color w:val="auto"/>
          <w:sz w:val="24"/>
          <w:szCs w:val="24"/>
          <w:highlight w:val="none"/>
          <w:lang w:val="en-US" w:eastAsia="zh-CN"/>
        </w:rPr>
        <w:t>工作内容</w:t>
      </w:r>
      <w:r>
        <w:rPr>
          <w:rFonts w:hint="default" w:ascii="宋体" w:hAnsi="宋体" w:eastAsia="宋体" w:cs="宋体"/>
          <w:color w:val="auto"/>
          <w:sz w:val="24"/>
          <w:szCs w:val="24"/>
          <w:highlight w:val="none"/>
          <w:lang w:val="en-US" w:eastAsia="zh-CN"/>
        </w:rPr>
        <w:t>的全部费用。</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设计单位所报总价在合同有效期内固定不变，即合同单总价不因国家和地方政策调整、物价变动等因数的影响而调整。</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合同支付</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default" w:ascii="宋体" w:hAnsi="宋体" w:eastAsia="宋体" w:cs="宋体"/>
          <w:color w:val="auto"/>
          <w:sz w:val="24"/>
          <w:szCs w:val="24"/>
          <w:highlight w:val="none"/>
          <w:lang w:val="zh-CN" w:eastAsia="zh-CN"/>
        </w:rPr>
        <w:t>发包人采用银行承兑汇票或银行转账方式支付。在达到以下支付申请的条件后，承包人可办理相应比例的支付申请</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zh-CN" w:eastAsia="zh-CN"/>
        </w:rPr>
        <w:t>将按以下方式和比例向</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zh-CN" w:eastAsia="zh-CN"/>
        </w:rPr>
        <w:t>支付合同价款：</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zh-CN" w:eastAsia="zh-CN"/>
        </w:rPr>
        <w:t>第一次支付：</w:t>
      </w:r>
      <w:r>
        <w:rPr>
          <w:rFonts w:hint="eastAsia" w:ascii="宋体" w:hAnsi="宋体" w:eastAsia="宋体" w:cs="宋体"/>
          <w:color w:val="auto"/>
          <w:sz w:val="24"/>
          <w:szCs w:val="24"/>
          <w:highlight w:val="none"/>
          <w:lang w:val="en-US" w:eastAsia="zh-CN"/>
        </w:rPr>
        <w:t>提供经审查设计方案后支付合同费用的30%。</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zh-CN" w:eastAsia="zh-CN"/>
        </w:rPr>
        <w:t>第二次支付：</w:t>
      </w:r>
      <w:r>
        <w:rPr>
          <w:rFonts w:hint="eastAsia" w:ascii="宋体" w:hAnsi="宋体" w:eastAsia="宋体" w:cs="宋体"/>
          <w:color w:val="auto"/>
          <w:sz w:val="24"/>
          <w:szCs w:val="24"/>
          <w:highlight w:val="none"/>
          <w:lang w:val="en-US" w:eastAsia="zh-CN"/>
        </w:rPr>
        <w:t>提供施工图后支付合同费用的</w:t>
      </w:r>
      <w:r>
        <w:rPr>
          <w:rFonts w:hint="eastAsia"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zh-CN" w:eastAsia="zh-CN"/>
        </w:rPr>
        <w:t>第三次支付：</w:t>
      </w:r>
      <w:r>
        <w:rPr>
          <w:rFonts w:hint="eastAsia" w:ascii="宋体" w:hAnsi="宋体" w:eastAsia="宋体" w:cs="宋体"/>
          <w:color w:val="auto"/>
          <w:sz w:val="24"/>
          <w:szCs w:val="24"/>
          <w:highlight w:val="none"/>
          <w:lang w:val="en-US" w:eastAsia="zh-CN"/>
        </w:rPr>
        <w:t>工程</w:t>
      </w:r>
      <w:r>
        <w:rPr>
          <w:rFonts w:hint="eastAsia" w:cs="宋体"/>
          <w:color w:val="auto"/>
          <w:sz w:val="24"/>
          <w:szCs w:val="24"/>
          <w:highlight w:val="none"/>
          <w:lang w:val="en-US" w:eastAsia="zh-CN"/>
        </w:rPr>
        <w:t>竣</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交</w:t>
      </w:r>
      <w:r>
        <w:rPr>
          <w:rFonts w:hint="eastAsia" w:ascii="宋体" w:hAnsi="宋体" w:eastAsia="宋体" w:cs="宋体"/>
          <w:color w:val="auto"/>
          <w:sz w:val="24"/>
          <w:szCs w:val="24"/>
          <w:highlight w:val="none"/>
          <w:lang w:val="en-US" w:eastAsia="zh-CN"/>
        </w:rPr>
        <w:t>）工后支付合同费用的</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zh-CN" w:eastAsia="zh-CN"/>
        </w:rPr>
      </w:pPr>
      <w:r>
        <w:rPr>
          <w:rFonts w:hint="default" w:ascii="宋体" w:hAnsi="宋体" w:eastAsia="宋体" w:cs="宋体"/>
          <w:color w:val="auto"/>
          <w:sz w:val="24"/>
          <w:szCs w:val="24"/>
          <w:highlight w:val="none"/>
          <w:lang w:val="zh-CN" w:eastAsia="zh-CN"/>
        </w:rPr>
        <w:t>承包人申请支付时，应提交书面支付申请表、达到合同支付条件的证明材料及符合国家税法规定的相应的增值税专用发票。</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工期要求</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中标通知书收到</w:t>
      </w:r>
      <w:r>
        <w:rPr>
          <w:rFonts w:hint="eastAsia" w:ascii="宋体" w:hAnsi="宋体" w:eastAsia="宋体" w:cs="宋体"/>
          <w:color w:val="auto"/>
          <w:sz w:val="24"/>
          <w:szCs w:val="24"/>
          <w:highlight w:val="none"/>
          <w:lang w:val="en-US" w:eastAsia="zh-Hans"/>
        </w:rPr>
        <w:t>后</w:t>
      </w:r>
      <w:r>
        <w:rPr>
          <w:rFonts w:hint="default" w:ascii="宋体" w:hAnsi="宋体" w:eastAsia="宋体" w:cs="宋体"/>
          <w:color w:val="auto"/>
          <w:sz w:val="24"/>
          <w:szCs w:val="24"/>
          <w:highlight w:val="none"/>
          <w:lang w:val="zh-CN" w:eastAsia="zh-Hans"/>
        </w:rPr>
        <w:t>，</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Hans"/>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en-US" w:eastAsia="zh-Hans"/>
        </w:rPr>
        <w:t>完成方案设计报告</w:t>
      </w:r>
      <w:r>
        <w:rPr>
          <w:rFonts w:hint="eastAsia" w:cs="宋体"/>
          <w:color w:val="auto"/>
          <w:sz w:val="24"/>
          <w:szCs w:val="24"/>
          <w:highlight w:val="none"/>
          <w:lang w:val="en-US" w:eastAsia="zh-CN"/>
        </w:rPr>
        <w:t>（含工程估算）</w:t>
      </w:r>
      <w:r>
        <w:rPr>
          <w:rFonts w:hint="eastAsia" w:ascii="宋体" w:hAnsi="宋体" w:eastAsia="宋体" w:cs="宋体"/>
          <w:color w:val="auto"/>
          <w:sz w:val="24"/>
          <w:szCs w:val="24"/>
          <w:highlight w:val="none"/>
          <w:lang w:val="en-US" w:eastAsia="zh-CN"/>
        </w:rPr>
        <w:t>。</w:t>
      </w:r>
    </w:p>
    <w:p>
      <w:pPr>
        <w:tabs>
          <w:tab w:val="left" w:pos="3840"/>
          <w:tab w:val="left" w:pos="5300"/>
        </w:tabs>
        <w:autoSpaceDE w:val="0"/>
        <w:autoSpaceDN w:val="0"/>
        <w:adjustRightInd w:val="0"/>
        <w:snapToGrid w:val="0"/>
        <w:spacing w:line="360" w:lineRule="auto"/>
        <w:ind w:firstLine="480" w:firstLineChars="200"/>
        <w:jc w:val="left"/>
        <w:rPr>
          <w:rFonts w:hint="default"/>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方案设计报告</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lang w:val="en-US" w:eastAsia="zh-Hans"/>
        </w:rPr>
        <w:t>后</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Hans"/>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en-US" w:eastAsia="zh-Hans"/>
        </w:rPr>
        <w:t>完成施工</w:t>
      </w:r>
      <w:r>
        <w:rPr>
          <w:rFonts w:hint="eastAsia" w:cs="宋体"/>
          <w:color w:val="auto"/>
          <w:sz w:val="24"/>
          <w:szCs w:val="24"/>
          <w:highlight w:val="none"/>
          <w:lang w:val="en-US" w:eastAsia="zh-CN"/>
        </w:rPr>
        <w:t>图设计</w:t>
      </w:r>
      <w:r>
        <w:rPr>
          <w:rFonts w:hint="default" w:ascii="宋体" w:hAnsi="宋体" w:eastAsia="宋体" w:cs="宋体"/>
          <w:color w:val="auto"/>
          <w:sz w:val="24"/>
          <w:szCs w:val="24"/>
          <w:highlight w:val="none"/>
          <w:lang w:val="zh-CN" w:eastAsia="zh-Hans"/>
        </w:rPr>
        <w:t>，</w:t>
      </w:r>
      <w:r>
        <w:rPr>
          <w:rFonts w:hint="eastAsia" w:ascii="宋体" w:hAnsi="宋体" w:eastAsia="宋体" w:cs="宋体"/>
          <w:color w:val="auto"/>
          <w:sz w:val="24"/>
          <w:szCs w:val="24"/>
          <w:highlight w:val="none"/>
          <w:lang w:val="en-US" w:eastAsia="zh-Hans"/>
        </w:rPr>
        <w:t>包括</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Hans"/>
        </w:rPr>
        <w:t>合同清单</w:t>
      </w:r>
      <w:r>
        <w:rPr>
          <w:rFonts w:hint="default" w:ascii="宋体" w:hAnsi="宋体" w:eastAsia="宋体" w:cs="宋体"/>
          <w:color w:val="auto"/>
          <w:sz w:val="24"/>
          <w:szCs w:val="24"/>
          <w:highlight w:val="none"/>
          <w:lang w:val="zh-CN" w:eastAsia="zh-Hans"/>
        </w:rPr>
        <w:t>、</w:t>
      </w:r>
      <w:r>
        <w:rPr>
          <w:rFonts w:hint="eastAsia" w:ascii="宋体" w:hAnsi="宋体" w:eastAsia="宋体" w:cs="宋体"/>
          <w:color w:val="auto"/>
          <w:sz w:val="24"/>
          <w:szCs w:val="24"/>
          <w:highlight w:val="none"/>
          <w:lang w:val="en-US" w:eastAsia="zh-Hans"/>
        </w:rPr>
        <w:t>施工图预算</w:t>
      </w:r>
      <w:r>
        <w:rPr>
          <w:rFonts w:hint="default" w:ascii="宋体" w:hAnsi="宋体" w:eastAsia="宋体" w:cs="宋体"/>
          <w:color w:val="auto"/>
          <w:sz w:val="24"/>
          <w:szCs w:val="24"/>
          <w:highlight w:val="none"/>
          <w:lang w:val="zh-CN" w:eastAsia="zh-Hans"/>
        </w:rPr>
        <w:t>、</w:t>
      </w:r>
      <w:r>
        <w:rPr>
          <w:rFonts w:hint="eastAsia" w:ascii="宋体" w:hAnsi="宋体" w:eastAsia="宋体" w:cs="宋体"/>
          <w:color w:val="auto"/>
          <w:sz w:val="24"/>
          <w:szCs w:val="24"/>
          <w:highlight w:val="none"/>
          <w:lang w:val="en-US" w:eastAsia="zh-Hans"/>
        </w:rPr>
        <w:t>技术条款编制</w:t>
      </w:r>
      <w:r>
        <w:rPr>
          <w:rFonts w:hint="eastAsia"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p>
    <w:p>
      <w:pPr>
        <w:tabs>
          <w:tab w:val="left" w:pos="3840"/>
          <w:tab w:val="left" w:pos="5300"/>
        </w:tabs>
        <w:autoSpaceDE w:val="0"/>
        <w:autoSpaceDN w:val="0"/>
        <w:adjustRightInd w:val="0"/>
        <w:snapToGrid w:val="0"/>
        <w:spacing w:line="360" w:lineRule="auto"/>
        <w:ind w:firstLine="480" w:firstLineChars="200"/>
        <w:jc w:val="lef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en-US" w:eastAsia="zh-CN"/>
        </w:rPr>
        <w:t>四、验收与缺陷责任（质保期服务）</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bookmarkStart w:id="20" w:name="_Toc138217242"/>
      <w:bookmarkStart w:id="21" w:name="_Toc149722390"/>
      <w:bookmarkStart w:id="22" w:name="_Toc138143945"/>
      <w:bookmarkStart w:id="23" w:name="_Toc140303421"/>
      <w:bookmarkStart w:id="24" w:name="_Toc138218378"/>
      <w:r>
        <w:rPr>
          <w:rFonts w:hint="default" w:ascii="宋体" w:hAnsi="宋体" w:eastAsia="宋体" w:cs="宋体"/>
          <w:color w:val="auto"/>
          <w:sz w:val="24"/>
          <w:szCs w:val="24"/>
          <w:highlight w:val="none"/>
          <w:lang w:val="zh-CN" w:eastAsia="zh-CN"/>
        </w:rPr>
        <w:t>1</w:t>
      </w:r>
      <w:r>
        <w:rPr>
          <w:rFonts w:hint="eastAsia" w:cs="宋体"/>
          <w:color w:val="auto"/>
          <w:sz w:val="24"/>
          <w:szCs w:val="24"/>
          <w:highlight w:val="none"/>
          <w:lang w:val="zh-CN" w:eastAsia="zh-CN"/>
        </w:rPr>
        <w:t>、</w:t>
      </w:r>
      <w:r>
        <w:rPr>
          <w:rFonts w:hint="default" w:ascii="宋体" w:hAnsi="宋体" w:eastAsia="宋体" w:cs="宋体"/>
          <w:color w:val="auto"/>
          <w:sz w:val="24"/>
          <w:szCs w:val="24"/>
          <w:highlight w:val="none"/>
          <w:lang w:val="zh-CN" w:eastAsia="zh-CN"/>
        </w:rPr>
        <w:t xml:space="preserve"> </w:t>
      </w:r>
      <w:bookmarkEnd w:id="20"/>
      <w:bookmarkEnd w:id="21"/>
      <w:bookmarkEnd w:id="22"/>
      <w:bookmarkEnd w:id="23"/>
      <w:bookmarkEnd w:id="24"/>
      <w:r>
        <w:rPr>
          <w:rFonts w:hint="eastAsia" w:ascii="宋体" w:hAnsi="宋体" w:eastAsia="宋体" w:cs="宋体"/>
          <w:color w:val="auto"/>
          <w:sz w:val="24"/>
          <w:szCs w:val="24"/>
          <w:highlight w:val="none"/>
          <w:lang w:val="en-US" w:eastAsia="zh-CN"/>
        </w:rPr>
        <w:t>验收要求</w:t>
      </w:r>
      <w:r>
        <w:rPr>
          <w:rFonts w:hint="default"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设计人应在本工程的施工期间，积极提供勘察设计配合服务，包括并不限于设计技术交底、施工现场服务、参与施工过程验收、参与工程竣（</w:t>
      </w:r>
      <w:r>
        <w:rPr>
          <w:rFonts w:hint="eastAsia" w:ascii="宋体" w:hAnsi="宋体" w:eastAsia="宋体" w:cs="宋体"/>
          <w:color w:val="auto"/>
          <w:sz w:val="24"/>
          <w:szCs w:val="24"/>
          <w:highlight w:val="none"/>
          <w:lang w:val="en-US" w:eastAsia="zh-CN"/>
        </w:rPr>
        <w:t>交</w:t>
      </w:r>
      <w:r>
        <w:rPr>
          <w:rFonts w:hint="eastAsia" w:ascii="宋体" w:hAnsi="宋体" w:eastAsia="宋体" w:cs="宋体"/>
          <w:color w:val="auto"/>
          <w:sz w:val="24"/>
          <w:szCs w:val="24"/>
          <w:highlight w:val="none"/>
          <w:lang w:val="zh-CN" w:eastAsia="zh-CN"/>
        </w:rPr>
        <w:t>）工验收等工作。</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其他：</w:t>
      </w:r>
      <w:r>
        <w:rPr>
          <w:rFonts w:hint="default" w:ascii="宋体" w:hAnsi="宋体" w:eastAsia="宋体" w:cs="宋体"/>
          <w:color w:val="auto"/>
          <w:sz w:val="24"/>
          <w:szCs w:val="24"/>
          <w:highlight w:val="none"/>
          <w:lang w:val="zh-CN" w:eastAsia="zh-CN"/>
        </w:rPr>
        <w:t>报价人承诺书有另行承诺的，按其承诺期限执行。</w:t>
      </w:r>
    </w:p>
    <w:p>
      <w:pPr>
        <w:tabs>
          <w:tab w:val="left" w:pos="3840"/>
          <w:tab w:val="left" w:pos="5300"/>
        </w:tabs>
        <w:autoSpaceDE w:val="0"/>
        <w:autoSpaceDN w:val="0"/>
        <w:adjustRightInd w:val="0"/>
        <w:snapToGrid w:val="0"/>
        <w:spacing w:line="360" w:lineRule="auto"/>
        <w:ind w:firstLine="480" w:firstLineChars="200"/>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五、违约责任</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1、设计人未按照工期要求完成工作内容每滞后1天</w:t>
      </w:r>
      <w:r>
        <w:rPr>
          <w:rFonts w:hint="eastAsia" w:ascii="宋体" w:hAnsi="宋体" w:eastAsia="宋体" w:cs="宋体"/>
          <w:color w:val="auto"/>
          <w:sz w:val="24"/>
          <w:szCs w:val="24"/>
          <w:highlight w:val="none"/>
          <w:lang w:val="zh-CN" w:eastAsia="zh-CN"/>
        </w:rPr>
        <w:t>设计人向发包人支付违约金签约合同价得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w:t>
      </w:r>
    </w:p>
    <w:p>
      <w:pPr>
        <w:spacing w:line="510" w:lineRule="exact"/>
        <w:ind w:firstLine="437" w:firstLineChars="199"/>
        <w:rPr>
          <w:rFonts w:hint="eastAsia" w:ascii="宋体" w:hAnsi="宋体" w:eastAsia="宋体" w:cs="宋体"/>
          <w:color w:val="auto"/>
          <w:sz w:val="24"/>
          <w:szCs w:val="24"/>
          <w:highlight w:val="none"/>
          <w:lang w:val="zh-CN" w:eastAsia="zh-CN"/>
        </w:rPr>
      </w:pPr>
      <w:r>
        <w:rPr>
          <w:rFonts w:hint="eastAsia"/>
          <w:lang w:val="en-US" w:eastAsia="zh-CN"/>
        </w:rPr>
        <w:t>2、</w:t>
      </w:r>
      <w:r>
        <w:rPr>
          <w:rFonts w:hint="eastAsia" w:ascii="宋体" w:hAnsi="宋体" w:eastAsia="宋体" w:cs="宋体"/>
          <w:color w:val="auto"/>
          <w:sz w:val="24"/>
          <w:szCs w:val="24"/>
          <w:highlight w:val="none"/>
          <w:lang w:val="zh-CN" w:eastAsia="zh-CN"/>
        </w:rPr>
        <w:t>设计人对提交的勘察设计成果弄虚作假、提供虚假成果资料，被查证属实：</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未造成不良后果，并限时纠正，设计人向发包人支付违约金(签约合同价的5%；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②造成不良后果，发包人有权要求撤换项目负责人，追究设计人责任，设计人向发包人支付违约金签约合同价的10%。</w:t>
      </w:r>
    </w:p>
    <w:p>
      <w:pPr>
        <w:numPr>
          <w:ilvl w:val="0"/>
          <w:numId w:val="0"/>
        </w:numPr>
        <w:spacing w:line="510" w:lineRule="exact"/>
        <w:ind w:firstLine="480" w:firstLineChars="200"/>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设计人转包、违法分包或者未经发包人同意擅自分包的。一经查实，设计人另向发包人支付签约合同价的30%违约金，同时发包人报请相关行政监管部门对设计人进行罚款、限制投标、降低资质等处罚、公开曝光，记入不良行为记录，且发包人有权单方解除合同。</w:t>
      </w:r>
    </w:p>
    <w:p>
      <w:pPr>
        <w:spacing w:line="510" w:lineRule="exact"/>
        <w:ind w:firstLine="437" w:firstLineChars="199"/>
        <w:rPr>
          <w:rFonts w:hint="eastAsia" w:ascii="宋体" w:hAnsi="宋体" w:eastAsia="宋体" w:cs="宋体"/>
          <w:color w:val="auto"/>
          <w:sz w:val="24"/>
          <w:szCs w:val="24"/>
          <w:highlight w:val="none"/>
          <w:lang w:val="zh-CN" w:eastAsia="zh-CN"/>
        </w:rPr>
      </w:pPr>
      <w:r>
        <w:rPr>
          <w:rFonts w:hint="eastAsia"/>
          <w:lang w:val="en-US" w:eastAsia="zh-CN"/>
        </w:rPr>
        <w:t>4、</w:t>
      </w:r>
      <w:r>
        <w:rPr>
          <w:rFonts w:hint="eastAsia" w:ascii="宋体" w:hAnsi="宋体" w:eastAsia="宋体" w:cs="宋体"/>
          <w:color w:val="auto"/>
          <w:sz w:val="24"/>
          <w:szCs w:val="24"/>
          <w:highlight w:val="none"/>
          <w:lang w:val="zh-CN" w:eastAsia="zh-CN"/>
        </w:rPr>
        <w:t>设计人串通或参与串通其他参建方，谋取非法利益的，由监察部门、主管部门给予处罚，构成犯罪的，移交司法机关处理。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5、设计人投标的项目负责人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项目主要管理人员</w:t>
      </w:r>
      <w:r>
        <w:rPr>
          <w:rFonts w:hint="eastAsia" w:ascii="宋体" w:hAnsi="宋体" w:eastAsia="宋体" w:cs="宋体"/>
          <w:color w:val="auto"/>
          <w:sz w:val="24"/>
          <w:szCs w:val="24"/>
          <w:highlight w:val="none"/>
          <w:lang w:val="zh-CN" w:eastAsia="zh-CN"/>
        </w:rPr>
        <w:t>承诺</w:t>
      </w:r>
      <w:r>
        <w:rPr>
          <w:rFonts w:hint="eastAsia" w:ascii="宋体" w:hAnsi="宋体" w:eastAsia="宋体" w:cs="宋体"/>
          <w:color w:val="auto"/>
          <w:sz w:val="24"/>
          <w:szCs w:val="24"/>
          <w:highlight w:val="none"/>
          <w:lang w:val="en-US" w:eastAsia="zh-CN"/>
        </w:rPr>
        <w:t>必须</w:t>
      </w:r>
      <w:r>
        <w:rPr>
          <w:rFonts w:hint="eastAsia" w:ascii="宋体" w:hAnsi="宋体" w:eastAsia="宋体" w:cs="宋体"/>
          <w:color w:val="auto"/>
          <w:sz w:val="24"/>
          <w:szCs w:val="24"/>
          <w:highlight w:val="none"/>
          <w:lang w:val="zh-CN" w:eastAsia="zh-CN"/>
        </w:rPr>
        <w:t>到场，不得随意调换，如果随意调换，</w:t>
      </w:r>
      <w:r>
        <w:rPr>
          <w:rFonts w:hint="eastAsia" w:ascii="宋体" w:hAnsi="宋体" w:eastAsia="宋体" w:cs="宋体"/>
          <w:color w:val="auto"/>
          <w:sz w:val="24"/>
          <w:szCs w:val="24"/>
          <w:highlight w:val="none"/>
          <w:lang w:val="en-US" w:eastAsia="zh-CN"/>
        </w:rPr>
        <w:t>甲方有权解除合同，乙方承担不在岗每人每天</w:t>
      </w:r>
      <w:r>
        <w:rPr>
          <w:rFonts w:hint="eastAsia" w:ascii="宋体" w:hAnsi="宋体" w:eastAsia="宋体" w:cs="宋体"/>
          <w:color w:val="auto"/>
          <w:sz w:val="24"/>
          <w:szCs w:val="24"/>
          <w:highlight w:val="none"/>
          <w:lang w:val="zh-CN" w:eastAsia="zh-CN"/>
        </w:rPr>
        <w:t>按2千元/人·天罚款。</w:t>
      </w:r>
    </w:p>
    <w:p>
      <w:pPr>
        <w:pStyle w:val="43"/>
        <w:ind w:left="0" w:leftChars="0" w:firstLine="0" w:firstLineChars="0"/>
        <w:rPr>
          <w:rFonts w:hint="default"/>
          <w:lang w:val="en-US" w:eastAsia="zh-CN"/>
        </w:rPr>
      </w:pPr>
    </w:p>
    <w:p>
      <w:pPr>
        <w:tabs>
          <w:tab w:val="left" w:pos="3840"/>
          <w:tab w:val="left" w:pos="5300"/>
        </w:tabs>
        <w:autoSpaceDE w:val="0"/>
        <w:autoSpaceDN w:val="0"/>
        <w:adjustRightInd w:val="0"/>
        <w:snapToGrid w:val="0"/>
        <w:spacing w:line="360" w:lineRule="auto"/>
        <w:ind w:firstLine="480" w:firstLineChars="200"/>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六、争议的解决</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因合同履行发生争议的，双方同意按下列第（2）种方式解决：</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（1）向（发包人所在地）仲裁委员会申请仲裁；</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（2）向</w:t>
      </w:r>
      <w:r>
        <w:rPr>
          <w:rFonts w:hint="eastAsia" w:ascii="宋体" w:hAnsi="宋体" w:eastAsia="宋体" w:cs="宋体"/>
          <w:color w:val="auto"/>
          <w:sz w:val="24"/>
          <w:szCs w:val="24"/>
          <w:highlight w:val="none"/>
          <w:lang w:val="en-US" w:eastAsia="zh-CN"/>
        </w:rPr>
        <w:t>潼南区</w:t>
      </w:r>
      <w:r>
        <w:rPr>
          <w:rFonts w:hint="eastAsia" w:ascii="宋体" w:hAnsi="宋体" w:eastAsia="宋体" w:cs="宋体"/>
          <w:color w:val="auto"/>
          <w:sz w:val="24"/>
          <w:szCs w:val="24"/>
          <w:highlight w:val="none"/>
          <w:lang w:val="zh-CN" w:eastAsia="zh-CN"/>
        </w:rPr>
        <w:t>人民法院起诉。</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附件1.安全合同</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5"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5"/>
    </w:p>
    <w:p>
      <w:pPr>
        <w:adjustRightInd w:val="0"/>
        <w:snapToGrid w:val="0"/>
        <w:spacing w:line="360" w:lineRule="auto"/>
        <w:jc w:val="center"/>
        <w:rPr>
          <w:rFonts w:ascii="Times New Roman" w:hAnsi="Times New Roman" w:eastAsia="宋体" w:cs="Times New Roman"/>
          <w:b/>
          <w:color w:val="auto"/>
          <w:szCs w:val="21"/>
          <w:highlight w:val="none"/>
        </w:rPr>
      </w:pPr>
      <w:bookmarkStart w:id="26" w:name="_Toc418517429"/>
      <w:bookmarkStart w:id="27" w:name="_Toc421798219"/>
      <w:bookmarkStart w:id="28" w:name="_Toc420995178"/>
      <w:bookmarkStart w:id="29" w:name="_Toc24117"/>
      <w:bookmarkStart w:id="30" w:name="_Toc416788188"/>
      <w:bookmarkStart w:id="31" w:name="_Toc420995074"/>
      <w:r>
        <w:rPr>
          <w:rFonts w:hint="default" w:ascii="Times New Roman" w:hAnsi="Times New Roman" w:eastAsia="宋体" w:cs="Times New Roman"/>
          <w:b/>
          <w:color w:val="auto"/>
          <w:szCs w:val="21"/>
          <w:highlight w:val="none"/>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 xml:space="preserve">                </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43"/>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1"/>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43"/>
        <w:rPr>
          <w:rFonts w:hint="eastAsia"/>
          <w:color w:val="auto"/>
          <w:highlight w:val="none"/>
          <w:lang w:val="en-US" w:eastAsia="zh-CN"/>
        </w:rPr>
      </w:pPr>
    </w:p>
    <w:p>
      <w:pPr>
        <w:pStyle w:val="43"/>
        <w:rPr>
          <w:rFonts w:hint="eastAsia"/>
          <w:color w:val="auto"/>
          <w:highlight w:val="none"/>
          <w:lang w:val="en-US" w:eastAsia="zh-CN"/>
        </w:rPr>
      </w:pP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3"/>
      <w:bookmarkStart w:id="34" w:name="bookmark292"/>
      <w:bookmarkStart w:id="35" w:name="_Toc10710824"/>
      <w:bookmarkStart w:id="36" w:name="_Toc29194793"/>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7" w:name="_Toc52097544"/>
      <w:r>
        <w:rPr>
          <w:rFonts w:hint="default" w:ascii="Times New Roman" w:hAnsi="Times New Roman" w:eastAsia="方正小标宋_GBK" w:cs="Times New Roman"/>
          <w:color w:val="auto"/>
          <w:sz w:val="44"/>
          <w:szCs w:val="44"/>
          <w:highlight w:val="none"/>
        </w:rPr>
        <w:t>二、报价函</w:t>
      </w:r>
      <w:bookmarkEnd w:id="34"/>
      <w:bookmarkEnd w:id="35"/>
      <w:bookmarkEnd w:id="36"/>
      <w:bookmarkEnd w:id="3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bookmarkStart w:id="47" w:name="_GoBack"/>
      <w:bookmarkEnd w:id="47"/>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9" w:name="_Toc52097545"/>
      <w:bookmarkStart w:id="40" w:name="_Toc10710825"/>
      <w:bookmarkStart w:id="41"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9"/>
      <w:bookmarkEnd w:id="40"/>
      <w:bookmarkEnd w:id="41"/>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2"/>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43"/>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2" w:name="_Toc148863269"/>
            <w:bookmarkStart w:id="43" w:name="_Toc150847038"/>
            <w:bookmarkStart w:id="44"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2"/>
      <w:bookmarkEnd w:id="43"/>
      <w:bookmarkEnd w:id="44"/>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5" w:name="_Toc52097546"/>
      <w:r>
        <w:rPr>
          <w:rFonts w:hint="default" w:ascii="Times New Roman" w:hAnsi="Times New Roman" w:eastAsia="方正小标宋_GBK" w:cs="Times New Roman"/>
          <w:color w:val="auto"/>
          <w:sz w:val="44"/>
          <w:szCs w:val="44"/>
          <w:highlight w:val="none"/>
        </w:rPr>
        <w:t>四、资格审查资料</w:t>
      </w:r>
      <w:bookmarkEnd w:id="45"/>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双江航运发展</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43"/>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43"/>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46"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46"/>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ksdb"/>
    <w:panose1 w:val="020F0302020204030204"/>
    <w:charset w:val="00"/>
    <w:family w:val="auto"/>
    <w:pitch w:val="default"/>
    <w:sig w:usb0="00000000" w:usb1="00000000" w:usb2="00000009" w:usb3="00000000" w:csb0="200001FF" w:csb1="00000000"/>
  </w:font>
  <w:font w:name="ksdb">
    <w:panose1 w:val="02000500000000000000"/>
    <w:charset w:val="00"/>
    <w:family w:val="auto"/>
    <w:pitch w:val="default"/>
    <w:sig w:usb0="00000001" w:usb1="00000000" w:usb2="00000000" w:usb3="00000000" w:csb0="00000001"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F1BC1"/>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B42948"/>
    <w:rsid w:val="01C94B08"/>
    <w:rsid w:val="020019E7"/>
    <w:rsid w:val="047961ED"/>
    <w:rsid w:val="048A3FA3"/>
    <w:rsid w:val="04C75BA9"/>
    <w:rsid w:val="05046843"/>
    <w:rsid w:val="0636605F"/>
    <w:rsid w:val="067A2C61"/>
    <w:rsid w:val="06823015"/>
    <w:rsid w:val="06ED263D"/>
    <w:rsid w:val="07501833"/>
    <w:rsid w:val="08651193"/>
    <w:rsid w:val="08F93D5B"/>
    <w:rsid w:val="09CD7F8F"/>
    <w:rsid w:val="0A95138C"/>
    <w:rsid w:val="0BB95CD2"/>
    <w:rsid w:val="0BFE4292"/>
    <w:rsid w:val="0C292867"/>
    <w:rsid w:val="0CD07E15"/>
    <w:rsid w:val="0CFA4A65"/>
    <w:rsid w:val="0DB004B8"/>
    <w:rsid w:val="0E914B75"/>
    <w:rsid w:val="0FB66909"/>
    <w:rsid w:val="10A81391"/>
    <w:rsid w:val="10F265C2"/>
    <w:rsid w:val="1175349A"/>
    <w:rsid w:val="117A6EEF"/>
    <w:rsid w:val="13076D7C"/>
    <w:rsid w:val="13B86C2F"/>
    <w:rsid w:val="14295DAF"/>
    <w:rsid w:val="142A7E51"/>
    <w:rsid w:val="159E24E8"/>
    <w:rsid w:val="162417DF"/>
    <w:rsid w:val="16941ADC"/>
    <w:rsid w:val="16A76DEE"/>
    <w:rsid w:val="17AC5B95"/>
    <w:rsid w:val="17F96F63"/>
    <w:rsid w:val="191E5084"/>
    <w:rsid w:val="19421CE6"/>
    <w:rsid w:val="198130EF"/>
    <w:rsid w:val="19AE416C"/>
    <w:rsid w:val="19DD43BA"/>
    <w:rsid w:val="1A02029D"/>
    <w:rsid w:val="1A4B45F5"/>
    <w:rsid w:val="1A4D795A"/>
    <w:rsid w:val="1AEB3291"/>
    <w:rsid w:val="1CEB3111"/>
    <w:rsid w:val="1D1E25DF"/>
    <w:rsid w:val="1D652848"/>
    <w:rsid w:val="1DD736C3"/>
    <w:rsid w:val="1F196E7F"/>
    <w:rsid w:val="1F457E33"/>
    <w:rsid w:val="21CC3BA7"/>
    <w:rsid w:val="21E3769E"/>
    <w:rsid w:val="22102401"/>
    <w:rsid w:val="228765EB"/>
    <w:rsid w:val="23C23673"/>
    <w:rsid w:val="241174C5"/>
    <w:rsid w:val="24304B96"/>
    <w:rsid w:val="24430E72"/>
    <w:rsid w:val="24B738C2"/>
    <w:rsid w:val="24F56947"/>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3002294D"/>
    <w:rsid w:val="316D3DD0"/>
    <w:rsid w:val="319A23E2"/>
    <w:rsid w:val="31F44502"/>
    <w:rsid w:val="328937F3"/>
    <w:rsid w:val="32F017EB"/>
    <w:rsid w:val="338C6DB6"/>
    <w:rsid w:val="33C83BC3"/>
    <w:rsid w:val="35153592"/>
    <w:rsid w:val="35276BCD"/>
    <w:rsid w:val="35996867"/>
    <w:rsid w:val="362D1DA6"/>
    <w:rsid w:val="387B5356"/>
    <w:rsid w:val="389F0583"/>
    <w:rsid w:val="3B1A0DCD"/>
    <w:rsid w:val="3B3B1938"/>
    <w:rsid w:val="3B536115"/>
    <w:rsid w:val="3B896557"/>
    <w:rsid w:val="3D12686E"/>
    <w:rsid w:val="3D18578A"/>
    <w:rsid w:val="3DA55E6C"/>
    <w:rsid w:val="3E0A4684"/>
    <w:rsid w:val="3E415AC4"/>
    <w:rsid w:val="3EC066EC"/>
    <w:rsid w:val="3ED20001"/>
    <w:rsid w:val="3EE322BE"/>
    <w:rsid w:val="3EED6A2E"/>
    <w:rsid w:val="3EF25A32"/>
    <w:rsid w:val="40062770"/>
    <w:rsid w:val="408814E1"/>
    <w:rsid w:val="418D49B0"/>
    <w:rsid w:val="41DC2462"/>
    <w:rsid w:val="42347335"/>
    <w:rsid w:val="42537C82"/>
    <w:rsid w:val="42615AA3"/>
    <w:rsid w:val="426A5D19"/>
    <w:rsid w:val="42A713D5"/>
    <w:rsid w:val="42EE0B57"/>
    <w:rsid w:val="42FC2B26"/>
    <w:rsid w:val="43E74342"/>
    <w:rsid w:val="43EF3495"/>
    <w:rsid w:val="44894F93"/>
    <w:rsid w:val="453756CC"/>
    <w:rsid w:val="455255E8"/>
    <w:rsid w:val="4577128F"/>
    <w:rsid w:val="46E4318C"/>
    <w:rsid w:val="471F4D88"/>
    <w:rsid w:val="479E3A47"/>
    <w:rsid w:val="47D87266"/>
    <w:rsid w:val="48324764"/>
    <w:rsid w:val="49222A1C"/>
    <w:rsid w:val="49516B58"/>
    <w:rsid w:val="49A2577D"/>
    <w:rsid w:val="4A321E22"/>
    <w:rsid w:val="4A3546F1"/>
    <w:rsid w:val="4B106456"/>
    <w:rsid w:val="4C6F2EDA"/>
    <w:rsid w:val="4E03626B"/>
    <w:rsid w:val="4E9A784D"/>
    <w:rsid w:val="4F7B2533"/>
    <w:rsid w:val="504C354E"/>
    <w:rsid w:val="508711A9"/>
    <w:rsid w:val="510E35CE"/>
    <w:rsid w:val="517B4EC0"/>
    <w:rsid w:val="51B322DA"/>
    <w:rsid w:val="51CC3CA7"/>
    <w:rsid w:val="51F850A8"/>
    <w:rsid w:val="52185642"/>
    <w:rsid w:val="526D2EBF"/>
    <w:rsid w:val="53366EE7"/>
    <w:rsid w:val="53755060"/>
    <w:rsid w:val="54271112"/>
    <w:rsid w:val="54523A5C"/>
    <w:rsid w:val="555C3065"/>
    <w:rsid w:val="557476A3"/>
    <w:rsid w:val="55987088"/>
    <w:rsid w:val="56A32E66"/>
    <w:rsid w:val="56EF6751"/>
    <w:rsid w:val="577747A6"/>
    <w:rsid w:val="577A27D6"/>
    <w:rsid w:val="58BF69E1"/>
    <w:rsid w:val="58D105B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63484D"/>
    <w:rsid w:val="5DA1040B"/>
    <w:rsid w:val="5DA77392"/>
    <w:rsid w:val="5DBD4136"/>
    <w:rsid w:val="5E384F22"/>
    <w:rsid w:val="5E7D7B12"/>
    <w:rsid w:val="5E96017E"/>
    <w:rsid w:val="5EB934BF"/>
    <w:rsid w:val="5EF2527F"/>
    <w:rsid w:val="5F370EEE"/>
    <w:rsid w:val="5F4768A1"/>
    <w:rsid w:val="5FA74DF5"/>
    <w:rsid w:val="5FDB5953"/>
    <w:rsid w:val="60895210"/>
    <w:rsid w:val="60DC0379"/>
    <w:rsid w:val="60F91A9B"/>
    <w:rsid w:val="61681DAA"/>
    <w:rsid w:val="62137647"/>
    <w:rsid w:val="62D81AB9"/>
    <w:rsid w:val="63E466ED"/>
    <w:rsid w:val="64761A1E"/>
    <w:rsid w:val="64A123A9"/>
    <w:rsid w:val="64FF0C2E"/>
    <w:rsid w:val="653D2227"/>
    <w:rsid w:val="65585085"/>
    <w:rsid w:val="66A31A8D"/>
    <w:rsid w:val="67015D83"/>
    <w:rsid w:val="676C3643"/>
    <w:rsid w:val="67B30A70"/>
    <w:rsid w:val="67DD5126"/>
    <w:rsid w:val="68466749"/>
    <w:rsid w:val="68562C5D"/>
    <w:rsid w:val="68706A96"/>
    <w:rsid w:val="689313CC"/>
    <w:rsid w:val="693B7234"/>
    <w:rsid w:val="69E81028"/>
    <w:rsid w:val="6D541C74"/>
    <w:rsid w:val="6DAC434B"/>
    <w:rsid w:val="6DAD722E"/>
    <w:rsid w:val="6DE06576"/>
    <w:rsid w:val="70656815"/>
    <w:rsid w:val="70833368"/>
    <w:rsid w:val="709655A9"/>
    <w:rsid w:val="70D83866"/>
    <w:rsid w:val="710D7515"/>
    <w:rsid w:val="7139605B"/>
    <w:rsid w:val="71B25E42"/>
    <w:rsid w:val="71EA6700"/>
    <w:rsid w:val="72B14FD5"/>
    <w:rsid w:val="737F3A69"/>
    <w:rsid w:val="74181201"/>
    <w:rsid w:val="743D400A"/>
    <w:rsid w:val="74590E55"/>
    <w:rsid w:val="74A62F57"/>
    <w:rsid w:val="755A6876"/>
    <w:rsid w:val="755F3CFE"/>
    <w:rsid w:val="756555F5"/>
    <w:rsid w:val="760D0BC5"/>
    <w:rsid w:val="762D6621"/>
    <w:rsid w:val="76575395"/>
    <w:rsid w:val="77AD20AE"/>
    <w:rsid w:val="78286988"/>
    <w:rsid w:val="7861167A"/>
    <w:rsid w:val="78E04108"/>
    <w:rsid w:val="7A3E4002"/>
    <w:rsid w:val="7AAF6562"/>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link w:val="55"/>
    <w:qFormat/>
    <w:uiPriority w:val="0"/>
    <w:rPr>
      <w:sz w:val="21"/>
      <w:szCs w:val="21"/>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3"/>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8043</Words>
  <Characters>8419</Characters>
  <Lines>72</Lines>
  <Paragraphs>20</Paragraphs>
  <TotalTime>14</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Sally</cp:lastModifiedBy>
  <cp:lastPrinted>2023-06-06T09:02:00Z</cp:lastPrinted>
  <dcterms:modified xsi:type="dcterms:W3CDTF">2023-06-19T10:34:37Z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1A59FD25595046DAA9FC442ACCB6E91F</vt:lpwstr>
  </property>
</Properties>
</file>