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0"/>
        </w:tabs>
        <w:spacing w:before="156" w:beforeLines="50" w:after="156" w:afterLines="50" w:line="360" w:lineRule="auto"/>
        <w:jc w:val="left"/>
        <w:outlineLvl w:val="0"/>
        <w:rPr>
          <w:rFonts w:hint="eastAsia" w:ascii="仿宋" w:hAnsi="仿宋" w:eastAsia="仿宋" w:cs="Arial"/>
          <w:b/>
          <w:kern w:val="44"/>
          <w:sz w:val="30"/>
          <w:szCs w:val="30"/>
        </w:rPr>
      </w:pPr>
      <w:bookmarkStart w:id="0" w:name="_Toc531600592"/>
      <w:bookmarkStart w:id="1" w:name="_Toc531617540"/>
      <w:r>
        <w:rPr>
          <w:rFonts w:ascii="仿宋" w:hAnsi="仿宋" w:eastAsia="仿宋" w:cs="Arial"/>
          <w:b/>
          <w:kern w:val="44"/>
          <w:sz w:val="30"/>
          <w:szCs w:val="30"/>
        </w:rPr>
        <w:t>1</w:t>
      </w:r>
      <w:r>
        <w:rPr>
          <w:rFonts w:hint="eastAsia" w:ascii="仿宋" w:hAnsi="仿宋" w:eastAsia="仿宋" w:cs="Arial"/>
          <w:b/>
          <w:kern w:val="44"/>
          <w:sz w:val="30"/>
          <w:szCs w:val="30"/>
        </w:rPr>
        <w:t xml:space="preserve"> </w:t>
      </w:r>
      <w:bookmarkEnd w:id="0"/>
      <w:bookmarkEnd w:id="1"/>
      <w:r>
        <w:rPr>
          <w:rFonts w:hint="eastAsia" w:ascii="仿宋" w:hAnsi="仿宋" w:eastAsia="仿宋" w:cs="Arial"/>
          <w:b/>
          <w:kern w:val="44"/>
          <w:sz w:val="30"/>
          <w:szCs w:val="30"/>
        </w:rPr>
        <w:t>技术要求</w:t>
      </w:r>
    </w:p>
    <w:p>
      <w:pPr>
        <w:spacing w:line="360" w:lineRule="auto"/>
        <w:ind w:firstLine="480" w:firstLineChars="200"/>
        <w:rPr>
          <w:rFonts w:hint="eastAsia" w:ascii="仿宋" w:hAnsi="仿宋" w:eastAsia="仿宋"/>
          <w:sz w:val="20"/>
          <w:szCs w:val="20"/>
        </w:rPr>
      </w:pPr>
      <w:r>
        <w:rPr>
          <w:rFonts w:hint="eastAsia" w:ascii="宋体" w:hAnsi="宋体"/>
          <w:sz w:val="24"/>
        </w:rPr>
        <w:t>通过检测风机支承结构承载能力，为后续风机安装提供基础资料，为隧道养护工作提供基础依据。</w:t>
      </w:r>
    </w:p>
    <w:p>
      <w:pPr>
        <w:keepNext/>
        <w:keepLines/>
        <w:spacing w:before="260" w:after="260"/>
        <w:outlineLvl w:val="1"/>
        <w:rPr>
          <w:rFonts w:hint="eastAsia" w:ascii="黑体" w:hAnsi="黑体" w:eastAsia="黑体"/>
          <w:bCs/>
          <w:sz w:val="24"/>
        </w:rPr>
      </w:pPr>
      <w:bookmarkStart w:id="2" w:name="_Toc531600596"/>
      <w:bookmarkStart w:id="3" w:name="_Toc389144132"/>
      <w:bookmarkStart w:id="4" w:name="_Toc531600190"/>
      <w:bookmarkStart w:id="5" w:name="_Toc359356356"/>
      <w:bookmarkStart w:id="6" w:name="_Toc531617544"/>
      <w:bookmarkStart w:id="7" w:name="_Toc359331102"/>
      <w:bookmarkStart w:id="8" w:name="_Toc359356113"/>
      <w:r>
        <w:rPr>
          <w:rFonts w:hint="eastAsia" w:ascii="黑体" w:hAnsi="黑体" w:eastAsia="黑体"/>
          <w:bCs/>
          <w:sz w:val="24"/>
          <w:lang w:val="en-US" w:eastAsia="zh-CN"/>
        </w:rPr>
        <w:t>1</w:t>
      </w:r>
      <w:r>
        <w:rPr>
          <w:rFonts w:hint="eastAsia" w:ascii="黑体" w:hAnsi="黑体" w:eastAsia="黑体"/>
          <w:bCs/>
          <w:sz w:val="24"/>
        </w:rPr>
        <w:t>.1  方法概述</w:t>
      </w:r>
      <w:bookmarkEnd w:id="2"/>
      <w:bookmarkEnd w:id="3"/>
      <w:bookmarkEnd w:id="4"/>
      <w:bookmarkEnd w:id="5"/>
      <w:bookmarkEnd w:id="6"/>
      <w:bookmarkEnd w:id="7"/>
      <w:bookmarkEnd w:id="8"/>
    </w:p>
    <w:p>
      <w:pPr>
        <w:spacing w:line="360" w:lineRule="auto"/>
        <w:ind w:firstLine="480" w:firstLineChars="200"/>
        <w:rPr>
          <w:rFonts w:hint="eastAsia" w:ascii="仿宋" w:hAnsi="仿宋" w:eastAsia="仿宋"/>
          <w:sz w:val="20"/>
          <w:szCs w:val="20"/>
        </w:rPr>
      </w:pPr>
      <w:r>
        <w:rPr>
          <w:rFonts w:hint="eastAsia" w:ascii="宋体" w:hAnsi="宋体"/>
          <w:sz w:val="24"/>
        </w:rPr>
        <w:t>根据现场风机支撑结构制作相对应的反力支架，在隧道风机预埋件与试验支架之间，通过油压千斤顶对风机底座分级施加一个拉力，以各级加载量，观测预埋件和焊接部位受力情况，测读力值，当加载达到要求荷载时，即可停止加载，持荷1min至2min，观测风机预埋件是否有滑移、变形等宏观损坏现象。观测完毕后才进行下一步操作，并及时记录相关情况及数据。</w:t>
      </w:r>
    </w:p>
    <w:p>
      <w:pPr>
        <w:keepNext/>
        <w:keepLines/>
        <w:spacing w:before="260" w:after="260"/>
        <w:outlineLvl w:val="1"/>
        <w:rPr>
          <w:rFonts w:hint="eastAsia" w:ascii="黑体" w:hAnsi="黑体" w:eastAsia="黑体"/>
          <w:bCs/>
          <w:sz w:val="24"/>
        </w:rPr>
      </w:pPr>
      <w:bookmarkStart w:id="9" w:name="_Toc359356114"/>
      <w:bookmarkStart w:id="10" w:name="_Toc531600191"/>
      <w:bookmarkStart w:id="11" w:name="_Toc531600597"/>
      <w:bookmarkStart w:id="12" w:name="_Toc359331103"/>
      <w:bookmarkStart w:id="13" w:name="_Toc389144133"/>
      <w:bookmarkStart w:id="14" w:name="_Toc359356357"/>
      <w:bookmarkStart w:id="15" w:name="_Toc531617545"/>
      <w:r>
        <w:rPr>
          <w:rFonts w:hint="eastAsia" w:ascii="黑体" w:hAnsi="黑体" w:eastAsia="黑体"/>
          <w:bCs/>
          <w:sz w:val="24"/>
          <w:lang w:val="en-US" w:eastAsia="zh-CN"/>
        </w:rPr>
        <w:t>1</w:t>
      </w:r>
      <w:r>
        <w:rPr>
          <w:rFonts w:hint="eastAsia" w:ascii="黑体" w:hAnsi="黑体" w:eastAsia="黑体"/>
          <w:bCs/>
          <w:sz w:val="24"/>
        </w:rPr>
        <w:t>.2  检测工序</w:t>
      </w:r>
      <w:bookmarkEnd w:id="9"/>
      <w:bookmarkEnd w:id="10"/>
      <w:bookmarkEnd w:id="11"/>
      <w:bookmarkEnd w:id="12"/>
      <w:bookmarkEnd w:id="13"/>
      <w:bookmarkEnd w:id="14"/>
      <w:bookmarkEnd w:id="15"/>
    </w:p>
    <w:p>
      <w:pPr>
        <w:spacing w:line="360" w:lineRule="auto"/>
        <w:ind w:firstLine="480" w:firstLineChars="200"/>
        <w:rPr>
          <w:rFonts w:hint="eastAsia" w:ascii="仿宋" w:hAnsi="仿宋" w:eastAsia="仿宋"/>
          <w:sz w:val="20"/>
          <w:szCs w:val="20"/>
        </w:rPr>
      </w:pPr>
      <w:r>
        <w:rPr>
          <w:rFonts w:hint="eastAsia" w:ascii="宋体" w:hAnsi="宋体"/>
          <w:sz w:val="24"/>
        </w:rPr>
        <w:t>台车就位→人员就位→检查支座外观→安装试验支架→安装千斤顶→安装百分表→分级加荷试验→收集试验数据→卸荷→拆卸千斤顶→拆卸试验支架。</w:t>
      </w:r>
    </w:p>
    <w:p>
      <w:pPr>
        <w:keepNext/>
        <w:keepLines/>
        <w:spacing w:before="260" w:after="260"/>
        <w:outlineLvl w:val="1"/>
        <w:rPr>
          <w:rFonts w:hint="eastAsia" w:ascii="黑体" w:hAnsi="黑体" w:eastAsia="黑体"/>
          <w:bCs/>
          <w:sz w:val="24"/>
        </w:rPr>
      </w:pPr>
      <w:bookmarkStart w:id="16" w:name="_Toc359331104"/>
      <w:bookmarkStart w:id="17" w:name="_Toc359356358"/>
      <w:bookmarkStart w:id="18" w:name="_Toc389144134"/>
      <w:bookmarkStart w:id="19" w:name="_Toc359356115"/>
      <w:bookmarkStart w:id="20" w:name="_Toc531600598"/>
      <w:bookmarkStart w:id="21" w:name="_Toc531600192"/>
      <w:bookmarkStart w:id="22" w:name="_Toc531617546"/>
      <w:r>
        <w:rPr>
          <w:rFonts w:hint="eastAsia" w:ascii="黑体" w:hAnsi="黑体" w:eastAsia="黑体"/>
          <w:bCs/>
          <w:sz w:val="24"/>
          <w:lang w:val="en-US" w:eastAsia="zh-CN"/>
        </w:rPr>
        <w:t>1</w:t>
      </w:r>
      <w:r>
        <w:rPr>
          <w:rFonts w:hint="eastAsia" w:ascii="黑体" w:hAnsi="黑体" w:eastAsia="黑体"/>
          <w:bCs/>
          <w:sz w:val="24"/>
        </w:rPr>
        <w:t xml:space="preserve">.3  </w:t>
      </w:r>
      <w:bookmarkEnd w:id="16"/>
      <w:bookmarkEnd w:id="17"/>
      <w:bookmarkEnd w:id="18"/>
      <w:bookmarkEnd w:id="19"/>
      <w:bookmarkEnd w:id="20"/>
      <w:bookmarkEnd w:id="21"/>
      <w:bookmarkEnd w:id="22"/>
      <w:r>
        <w:rPr>
          <w:rFonts w:hint="eastAsia" w:ascii="黑体" w:hAnsi="黑体" w:eastAsia="黑体"/>
          <w:bCs/>
          <w:sz w:val="24"/>
        </w:rPr>
        <w:t>试验控制荷载</w:t>
      </w:r>
    </w:p>
    <w:p>
      <w:pPr>
        <w:spacing w:line="360" w:lineRule="auto"/>
        <w:ind w:firstLine="480" w:firstLineChars="200"/>
        <w:rPr>
          <w:rFonts w:hint="eastAsia" w:ascii="仿宋" w:hAnsi="仿宋" w:eastAsia="仿宋"/>
          <w:sz w:val="20"/>
          <w:szCs w:val="20"/>
        </w:rPr>
      </w:pPr>
      <w:r>
        <w:rPr>
          <w:rFonts w:hint="eastAsia" w:ascii="宋体" w:hAnsi="宋体"/>
          <w:sz w:val="24"/>
        </w:rPr>
        <w:t>根据《公路隧道通风设计细则》（JTG/T D70/2-02-2014）要求“支承风机的结构强度应保证在实际静载荷的15倍以上</w:t>
      </w:r>
      <w:r>
        <w:rPr>
          <w:rFonts w:ascii="宋体" w:hAnsi="宋体"/>
          <w:sz w:val="24"/>
        </w:rPr>
        <w:t>”</w:t>
      </w:r>
      <w:r>
        <w:rPr>
          <w:rFonts w:hint="eastAsia" w:ascii="宋体" w:hAnsi="宋体"/>
          <w:sz w:val="24"/>
        </w:rPr>
        <w:t>的要求。在满足规范要求的情况下，设定试验控制荷载。</w:t>
      </w:r>
    </w:p>
    <w:p>
      <w:pPr>
        <w:keepNext/>
        <w:keepLines/>
        <w:spacing w:before="260" w:after="260"/>
        <w:outlineLvl w:val="1"/>
        <w:rPr>
          <w:rFonts w:hint="eastAsia" w:ascii="黑体" w:hAnsi="黑体" w:eastAsia="黑体"/>
          <w:bCs/>
          <w:sz w:val="24"/>
        </w:rPr>
      </w:pPr>
      <w:bookmarkStart w:id="23" w:name="_Toc531600193"/>
      <w:bookmarkStart w:id="24" w:name="_Toc359356116"/>
      <w:bookmarkStart w:id="25" w:name="_Toc359331105"/>
      <w:bookmarkStart w:id="26" w:name="_Toc389144135"/>
      <w:bookmarkStart w:id="27" w:name="_Toc359356359"/>
      <w:bookmarkStart w:id="28" w:name="_Toc531617547"/>
      <w:bookmarkStart w:id="29" w:name="_Toc531600599"/>
      <w:r>
        <w:rPr>
          <w:rFonts w:hint="eastAsia" w:ascii="黑体" w:hAnsi="黑体" w:eastAsia="黑体"/>
          <w:bCs/>
          <w:sz w:val="24"/>
        </w:rPr>
        <w:t>2.4  检测步骤</w:t>
      </w:r>
      <w:bookmarkEnd w:id="23"/>
      <w:bookmarkEnd w:id="24"/>
      <w:bookmarkEnd w:id="25"/>
      <w:bookmarkEnd w:id="26"/>
      <w:bookmarkEnd w:id="27"/>
      <w:bookmarkEnd w:id="28"/>
      <w:bookmarkEnd w:id="29"/>
    </w:p>
    <w:p>
      <w:pPr>
        <w:spacing w:line="360" w:lineRule="auto"/>
        <w:ind w:firstLine="480" w:firstLineChars="200"/>
        <w:rPr>
          <w:rFonts w:hint="eastAsia" w:ascii="宋体" w:hAnsi="宋体"/>
          <w:sz w:val="24"/>
        </w:rPr>
      </w:pPr>
      <w:r>
        <w:rPr>
          <w:rFonts w:hint="eastAsia" w:ascii="宋体" w:hAnsi="宋体"/>
          <w:sz w:val="24"/>
        </w:rPr>
        <w:t>①、安装支架：根据风机支承结构的几何尺寸选择适宜的试验支架结构进行对接安装，必须保证试验支承结构与预埋件紧密连接。</w:t>
      </w:r>
      <w:bookmarkStart w:id="30" w:name="_GoBack"/>
      <w:bookmarkEnd w:id="30"/>
    </w:p>
    <w:p>
      <w:pPr>
        <w:spacing w:line="360" w:lineRule="auto"/>
        <w:ind w:firstLine="480" w:firstLineChars="200"/>
        <w:rPr>
          <w:rFonts w:hint="eastAsia" w:ascii="宋体" w:hAnsi="宋体"/>
          <w:sz w:val="24"/>
        </w:rPr>
      </w:pPr>
      <w:r>
        <w:rPr>
          <w:rFonts w:hint="eastAsia" w:ascii="宋体" w:hAnsi="宋体"/>
          <w:sz w:val="24"/>
        </w:rPr>
        <w:t>②、安装千斤顶：选用千斤顶应经有资质单位检定校准，千斤顶的型号应根据试验荷载合理选择，千斤顶安装必须保证上下垫实，上顶面与隧道混凝土接触面的垫块应采用不易滑动的垫块，且禁止垫块与混凝土结构面出现脱空现象。</w:t>
      </w:r>
    </w:p>
    <w:p>
      <w:pPr>
        <w:spacing w:line="360" w:lineRule="auto"/>
        <w:ind w:firstLine="480" w:firstLineChars="200"/>
        <w:rPr>
          <w:rFonts w:hint="eastAsia" w:ascii="宋体" w:hAnsi="宋体"/>
          <w:sz w:val="24"/>
        </w:rPr>
      </w:pPr>
      <w:r>
        <w:rPr>
          <w:rFonts w:hint="eastAsia" w:ascii="宋体" w:hAnsi="宋体"/>
          <w:sz w:val="24"/>
        </w:rPr>
        <w:t>③、分级加载试验：以风机静荷载（风机自重加附件重量）的15倍作为加载的最大值，并进行理论分级，一般情况下，按最大值的约10%进行分级加载，然后以约10%荷载向上递增，以最后一级加载值≥最大理论加载值，每一级加载结束后应维持荷载1min至2min，观测风机预埋件是否有滑移等宏观损坏现象，并做好相应记录。</w:t>
      </w:r>
    </w:p>
    <w:p>
      <w:pPr>
        <w:spacing w:line="360" w:lineRule="auto"/>
        <w:ind w:firstLine="480" w:firstLineChars="200"/>
        <w:rPr>
          <w:rFonts w:ascii="宋体" w:hAnsi="宋体"/>
          <w:sz w:val="24"/>
        </w:rPr>
      </w:pPr>
      <w:r>
        <w:rPr>
          <w:rFonts w:hint="eastAsia" w:ascii="宋体" w:hAnsi="宋体"/>
          <w:sz w:val="24"/>
        </w:rPr>
        <w:t>④、观察完毕后缓缓打开手动泵回油阀使千斤顶活塞复位。</w:t>
      </w:r>
    </w:p>
    <w:p>
      <w:pPr>
        <w:spacing w:line="360" w:lineRule="auto"/>
        <w:ind w:firstLine="400" w:firstLineChars="200"/>
        <w:rPr>
          <w:rFonts w:hint="eastAsia" w:ascii="仿宋" w:hAnsi="仿宋" w:eastAsia="仿宋"/>
          <w:sz w:val="20"/>
          <w:szCs w:val="2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mNTg1MzE2MzYxNTE0OGNlMzNlYTFkYTBmYjM2NjQifQ=="/>
  </w:docVars>
  <w:rsids>
    <w:rsidRoot w:val="00B54A3E"/>
    <w:rsid w:val="001342D0"/>
    <w:rsid w:val="00B54A3E"/>
    <w:rsid w:val="00D10A65"/>
    <w:rsid w:val="69D6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3">
    <w:name w:val="header"/>
    <w:basedOn w:val="1"/>
    <w:link w:val="6"/>
    <w:unhideWhenUsed/>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826</Words>
  <Characters>905</Characters>
  <Lines>6</Lines>
  <Paragraphs>1</Paragraphs>
  <TotalTime>7</TotalTime>
  <ScaleCrop>false</ScaleCrop>
  <LinksUpToDate>false</LinksUpToDate>
  <CharactersWithSpaces>916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2023-05-26T07:09:00Z</dcterms:created>
  <dc:creator>熊 宗奇</dc:creator>
  <cp:lastModifiedBy>小方</cp:lastModifiedBy>
  <dcterms:modified xsi:type="dcterms:W3CDTF">2023-06-01T02:57:05Z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4497D00BEC984453B50FB512FAD9FCA4_13</vt:lpwstr>
  </property>
</Properties>
</file>