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r>
        <w:rPr>
          <w:rFonts w:hint="eastAsia" w:ascii="宋体" w:hAnsi="宋体" w:cs="宋体"/>
          <w:b/>
          <w:sz w:val="32"/>
          <w:szCs w:val="32"/>
        </w:rPr>
        <w:t>项目名称：重庆高速结算中心网络安全等级保护测评（202</w:t>
      </w:r>
      <w:r>
        <w:rPr>
          <w:rFonts w:ascii="宋体" w:hAnsi="宋体" w:cs="宋体"/>
          <w:b/>
          <w:sz w:val="32"/>
          <w:szCs w:val="32"/>
        </w:rPr>
        <w:t>3-2025</w:t>
      </w:r>
      <w:r>
        <w:rPr>
          <w:rFonts w:hint="eastAsia" w:ascii="宋体" w:hAnsi="宋体" w:cs="宋体"/>
          <w:b/>
          <w:sz w:val="32"/>
          <w:szCs w:val="32"/>
        </w:rPr>
        <w:t>）</w:t>
      </w:r>
    </w:p>
    <w:p>
      <w:pPr>
        <w:rPr>
          <w:rFonts w:ascii="宋体" w:hAnsi="宋体" w:cs="宋体"/>
          <w:sz w:val="28"/>
          <w:szCs w:val="2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招标人：重庆高速公路集团有限公司联网收费结算中心</w:t>
      </w:r>
    </w:p>
    <w:p>
      <w:pPr>
        <w:jc w:val="center"/>
        <w:rPr>
          <w:rFonts w:ascii="宋体" w:hAnsi="宋体" w:cs="宋体"/>
          <w:b/>
          <w:sz w:val="28"/>
          <w:szCs w:val="28"/>
        </w:rPr>
      </w:pPr>
      <w:r>
        <w:rPr>
          <w:rFonts w:hint="eastAsia" w:ascii="宋体" w:hAnsi="宋体" w:cs="宋体"/>
          <w:b/>
          <w:sz w:val="28"/>
          <w:szCs w:val="28"/>
        </w:rPr>
        <w:t>202</w:t>
      </w:r>
      <w:r>
        <w:rPr>
          <w:rFonts w:ascii="宋体" w:hAnsi="宋体" w:cs="宋体"/>
          <w:b/>
          <w:sz w:val="28"/>
          <w:szCs w:val="28"/>
        </w:rPr>
        <w:t>3</w:t>
      </w:r>
      <w:r>
        <w:rPr>
          <w:rFonts w:hint="eastAsia" w:ascii="宋体" w:hAnsi="宋体" w:cs="宋体"/>
          <w:b/>
          <w:sz w:val="28"/>
          <w:szCs w:val="28"/>
        </w:rPr>
        <w:t>年</w:t>
      </w:r>
      <w:r>
        <w:rPr>
          <w:rFonts w:ascii="宋体" w:hAnsi="宋体" w:cs="宋体"/>
          <w:b/>
          <w:sz w:val="28"/>
          <w:szCs w:val="28"/>
        </w:rPr>
        <w:t xml:space="preserve">   </w:t>
      </w:r>
      <w:r>
        <w:rPr>
          <w:rFonts w:hint="eastAsia" w:ascii="宋体" w:hAnsi="宋体" w:cs="宋体"/>
          <w:b/>
          <w:sz w:val="28"/>
          <w:szCs w:val="28"/>
        </w:rPr>
        <w:t>月</w:t>
      </w:r>
    </w:p>
    <w:p>
      <w:pPr>
        <w:pStyle w:val="35"/>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br w:type="page"/>
      </w:r>
    </w:p>
    <w:p>
      <w:pPr>
        <w:pStyle w:val="3"/>
        <w:spacing w:before="0" w:after="0" w:line="360" w:lineRule="auto"/>
        <w:jc w:val="center"/>
        <w:rPr>
          <w:rFonts w:ascii="宋体" w:hAnsi="宋体" w:cs="宋体"/>
        </w:rPr>
      </w:pPr>
      <w:bookmarkStart w:id="0" w:name="_Toc246996157"/>
      <w:bookmarkStart w:id="1" w:name="_Toc179632527"/>
      <w:bookmarkStart w:id="2" w:name="_Toc144974479"/>
      <w:bookmarkStart w:id="3" w:name="_Toc152045511"/>
      <w:bookmarkStart w:id="4" w:name="_Toc247085671"/>
      <w:bookmarkStart w:id="5" w:name="_Toc507319890"/>
      <w:bookmarkStart w:id="6" w:name="_Toc152042287"/>
      <w:bookmarkStart w:id="7" w:name="_Toc246996900"/>
      <w:bookmarkStart w:id="8" w:name="_Toc247096243"/>
      <w:bookmarkStart w:id="9" w:name="_Toc2000404"/>
      <w:bookmarkStart w:id="10" w:name="_Toc10533"/>
      <w:r>
        <w:rPr>
          <w:rFonts w:hint="eastAsia" w:ascii="宋体" w:hAnsi="宋体" w:cs="宋体"/>
        </w:rPr>
        <w:t xml:space="preserve">第一章 </w:t>
      </w:r>
      <w:bookmarkEnd w:id="0"/>
      <w:bookmarkEnd w:id="1"/>
      <w:bookmarkEnd w:id="2"/>
      <w:bookmarkEnd w:id="3"/>
      <w:bookmarkEnd w:id="4"/>
      <w:bookmarkEnd w:id="5"/>
      <w:bookmarkEnd w:id="6"/>
      <w:bookmarkEnd w:id="7"/>
      <w:bookmarkEnd w:id="8"/>
      <w:bookmarkEnd w:id="9"/>
      <w:r>
        <w:rPr>
          <w:rFonts w:hint="eastAsia" w:ascii="宋体" w:hAnsi="宋体" w:cs="宋体"/>
        </w:rPr>
        <w:t>比选公告</w:t>
      </w:r>
      <w:bookmarkEnd w:id="10"/>
    </w:p>
    <w:p>
      <w:pPr>
        <w:spacing w:line="440" w:lineRule="exact"/>
        <w:jc w:val="center"/>
        <w:rPr>
          <w:rFonts w:ascii="宋体" w:hAnsi="宋体" w:cs="宋体"/>
          <w:b/>
          <w:sz w:val="28"/>
          <w:szCs w:val="28"/>
        </w:rPr>
      </w:pPr>
      <w:bookmarkStart w:id="11" w:name="OLE_LINK2"/>
      <w:bookmarkStart w:id="12" w:name="OLE_LINK3"/>
    </w:p>
    <w:p>
      <w:pPr>
        <w:pStyle w:val="4"/>
        <w:spacing w:before="0" w:after="0" w:line="360" w:lineRule="auto"/>
        <w:rPr>
          <w:rFonts w:ascii="宋体" w:hAnsi="宋体" w:eastAsia="宋体" w:cs="宋体"/>
        </w:rPr>
      </w:pPr>
      <w:bookmarkStart w:id="13" w:name="_Toc246996901"/>
      <w:bookmarkStart w:id="14" w:name="_Toc24874"/>
      <w:bookmarkStart w:id="15" w:name="_Toc152045512"/>
      <w:bookmarkStart w:id="16" w:name="_Toc152042288"/>
      <w:bookmarkStart w:id="17" w:name="_Toc179632528"/>
      <w:bookmarkStart w:id="18" w:name="_Toc144974480"/>
      <w:bookmarkStart w:id="19" w:name="_Toc11329213"/>
      <w:bookmarkStart w:id="20" w:name="_Toc247085672"/>
      <w:bookmarkStart w:id="21" w:name="_Toc6549"/>
      <w:bookmarkStart w:id="22" w:name="_Toc10076"/>
      <w:bookmarkStart w:id="23" w:name="_Toc507319891"/>
      <w:bookmarkStart w:id="24" w:name="_Toc246996158"/>
      <w:r>
        <w:rPr>
          <w:rFonts w:hint="eastAsia" w:ascii="宋体" w:hAnsi="宋体" w:eastAsia="宋体" w:cs="宋体"/>
        </w:rPr>
        <w:t>1. 比选条件</w:t>
      </w:r>
      <w:bookmarkEnd w:id="13"/>
      <w:bookmarkEnd w:id="14"/>
      <w:bookmarkEnd w:id="15"/>
      <w:bookmarkEnd w:id="16"/>
      <w:bookmarkEnd w:id="17"/>
      <w:bookmarkEnd w:id="18"/>
      <w:bookmarkEnd w:id="19"/>
      <w:bookmarkEnd w:id="20"/>
      <w:bookmarkEnd w:id="21"/>
      <w:bookmarkEnd w:id="22"/>
      <w:bookmarkEnd w:id="23"/>
      <w:bookmarkEnd w:id="24"/>
    </w:p>
    <w:p>
      <w:pPr>
        <w:spacing w:line="400" w:lineRule="exact"/>
        <w:ind w:firstLine="420" w:firstLineChars="200"/>
        <w:rPr>
          <w:rFonts w:ascii="宋体" w:hAnsi="宋体" w:cs="宋体"/>
          <w:szCs w:val="21"/>
        </w:rPr>
      </w:pPr>
      <w:r>
        <w:rPr>
          <w:rFonts w:hint="eastAsia" w:ascii="宋体" w:hAnsi="宋体" w:cs="宋体"/>
          <w:szCs w:val="21"/>
        </w:rPr>
        <w:t>本竞争性比选项目</w:t>
      </w:r>
      <w:r>
        <w:rPr>
          <w:rFonts w:hint="eastAsia" w:ascii="宋体" w:hAnsi="宋体" w:cs="宋体"/>
          <w:szCs w:val="21"/>
          <w:u w:val="single"/>
        </w:rPr>
        <w:t>重庆高速结算中心网络安全等级保护测评（2023</w:t>
      </w:r>
      <w:r>
        <w:rPr>
          <w:rFonts w:ascii="宋体" w:hAnsi="宋体" w:cs="宋体"/>
          <w:szCs w:val="21"/>
          <w:u w:val="single"/>
        </w:rPr>
        <w:t>-2025</w:t>
      </w:r>
      <w:r>
        <w:rPr>
          <w:rFonts w:hint="eastAsia" w:ascii="宋体" w:hAnsi="宋体" w:cs="宋体"/>
          <w:szCs w:val="21"/>
          <w:u w:val="single"/>
        </w:rPr>
        <w:t>）</w:t>
      </w:r>
      <w:r>
        <w:rPr>
          <w:rFonts w:hint="eastAsia" w:ascii="宋体" w:hAnsi="宋体" w:cs="宋体"/>
          <w:szCs w:val="21"/>
        </w:rPr>
        <w:t>，招标人为</w:t>
      </w:r>
      <w:r>
        <w:rPr>
          <w:rFonts w:hint="eastAsia" w:ascii="宋体" w:hAnsi="宋体" w:cs="宋体"/>
          <w:szCs w:val="21"/>
          <w:u w:val="single"/>
        </w:rPr>
        <w:t>重庆高速公路集团有限公司联网收费结算中心</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25" w:name="_Toc10952"/>
      <w:bookmarkStart w:id="26" w:name="_Toc246996902"/>
      <w:bookmarkStart w:id="27" w:name="_Toc21343"/>
      <w:bookmarkStart w:id="28" w:name="_Toc247085673"/>
      <w:bookmarkStart w:id="29" w:name="_Toc11329214"/>
      <w:bookmarkStart w:id="30" w:name="_Toc152045513"/>
      <w:bookmarkStart w:id="31" w:name="_Toc507319892"/>
      <w:bookmarkStart w:id="32" w:name="_Toc179632529"/>
      <w:bookmarkStart w:id="33" w:name="_Toc152042289"/>
      <w:bookmarkStart w:id="34" w:name="_Toc246996159"/>
      <w:bookmarkStart w:id="35" w:name="_Toc144974481"/>
      <w:bookmarkStart w:id="36" w:name="_Toc18109"/>
      <w:r>
        <w:rPr>
          <w:rFonts w:hint="eastAsia" w:ascii="宋体" w:hAnsi="宋体" w:eastAsia="宋体" w:cs="宋体"/>
        </w:rPr>
        <w:t>2. 项目概况与比选范围</w:t>
      </w:r>
      <w:bookmarkEnd w:id="25"/>
      <w:bookmarkEnd w:id="26"/>
      <w:bookmarkEnd w:id="27"/>
      <w:bookmarkEnd w:id="28"/>
      <w:bookmarkEnd w:id="29"/>
      <w:bookmarkEnd w:id="30"/>
      <w:bookmarkEnd w:id="31"/>
      <w:bookmarkEnd w:id="32"/>
      <w:bookmarkEnd w:id="33"/>
      <w:bookmarkEnd w:id="34"/>
      <w:bookmarkEnd w:id="35"/>
      <w:bookmarkEnd w:id="36"/>
    </w:p>
    <w:p>
      <w:pPr>
        <w:spacing w:line="360" w:lineRule="auto"/>
        <w:ind w:firstLine="420" w:firstLineChars="200"/>
        <w:rPr>
          <w:rFonts w:ascii="宋体" w:hAnsi="宋体" w:cs="宋体"/>
        </w:rPr>
      </w:pPr>
      <w:bookmarkStart w:id="37" w:name="_Toc446247226"/>
      <w:r>
        <w:rPr>
          <w:rFonts w:hint="eastAsia" w:ascii="宋体" w:hAnsi="宋体" w:cs="宋体"/>
        </w:rPr>
        <w:t>2.1 项目地点：</w:t>
      </w:r>
      <w:bookmarkEnd w:id="37"/>
      <w:r>
        <w:rPr>
          <w:rFonts w:hint="eastAsia" w:ascii="宋体" w:hAnsi="宋体" w:cs="宋体"/>
          <w:szCs w:val="21"/>
          <w:u w:val="single"/>
        </w:rPr>
        <w:t>重庆高速公路集团有限公司（本部）、重庆高速公路各路段中心及收费站机房</w:t>
      </w:r>
      <w:r>
        <w:rPr>
          <w:rFonts w:hint="eastAsia" w:ascii="宋体" w:hAnsi="宋体" w:cs="宋体"/>
        </w:rPr>
        <w:t>。</w:t>
      </w:r>
    </w:p>
    <w:p>
      <w:pPr>
        <w:pStyle w:val="13"/>
        <w:adjustRightInd w:val="0"/>
        <w:spacing w:line="400" w:lineRule="exact"/>
        <w:rPr>
          <w:rFonts w:ascii="宋体" w:hAnsi="宋体" w:cs="宋体"/>
        </w:rPr>
      </w:pPr>
      <w:r>
        <w:rPr>
          <w:rFonts w:hint="eastAsia" w:ascii="宋体" w:hAnsi="宋体" w:cs="宋体"/>
          <w:szCs w:val="21"/>
        </w:rPr>
        <w:t>2.2 项目概况：为提升重庆高速公路生产和管理系统网络信息安全水平，更好地满足国家对网络信息安全等级保护三级系统及关键信息基础设施安全保障的要求，重庆高速公路集团有限公司联网收费结算中心每年开展信息系统网络安全等级保护测评工作。</w:t>
      </w:r>
    </w:p>
    <w:p>
      <w:pPr>
        <w:pStyle w:val="13"/>
        <w:adjustRightInd w:val="0"/>
        <w:spacing w:line="400" w:lineRule="exact"/>
        <w:rPr>
          <w:rFonts w:ascii="宋体" w:hAnsi="宋体" w:cs="宋体"/>
          <w:szCs w:val="21"/>
        </w:rPr>
      </w:pPr>
      <w:r>
        <w:rPr>
          <w:rFonts w:hint="eastAsia" w:ascii="宋体" w:hAnsi="宋体" w:cs="宋体"/>
        </w:rPr>
        <w:t>2.3 比选范围：本次测评范围包含联网收费系统、重庆高速公路公众服务网（ETC发行系统）、联网监控系统、重庆高速门户网站系统</w:t>
      </w:r>
      <w:r>
        <w:rPr>
          <w:rFonts w:hint="eastAsia" w:ascii="宋体" w:hAnsi="宋体" w:cs="宋体"/>
          <w:szCs w:val="21"/>
        </w:rPr>
        <w:t>。 测评按照等保⒉0要求，对各系统涉及的信息资产进行检测，并对各个路段的收费机房及相关信息设备的安全情况进行抽查。各系统情况如下：</w:t>
      </w:r>
    </w:p>
    <w:p>
      <w:pPr>
        <w:pStyle w:val="13"/>
        <w:adjustRightInd w:val="0"/>
        <w:spacing w:line="400" w:lineRule="exact"/>
        <w:rPr>
          <w:rFonts w:ascii="宋体" w:hAnsi="宋体" w:cs="宋体"/>
          <w:szCs w:val="21"/>
        </w:rPr>
      </w:pPr>
      <w:r>
        <w:rPr>
          <w:rFonts w:hint="eastAsia" w:ascii="宋体" w:hAnsi="宋体" w:cs="宋体"/>
          <w:szCs w:val="21"/>
        </w:rPr>
        <w:t>联网收费系统：承担高速公路收费业务、清分结算业务等重要生产职能。收费系统结算中心位于集团总部渝北区银杉路，机房占地约200平米，收费系统含AIX数据库服务器、1inux，windows应用服务器虚拟机等各类主机100余台；路段收费中心40余个，下辖收费站300余个，收费门架800余个，收费服务器600余台，收费车道工控机2000余台，各类门架主机1000余台。</w:t>
      </w:r>
    </w:p>
    <w:p>
      <w:pPr>
        <w:pStyle w:val="13"/>
        <w:adjustRightInd w:val="0"/>
        <w:spacing w:line="400" w:lineRule="exact"/>
        <w:rPr>
          <w:rFonts w:ascii="宋体" w:hAnsi="宋体" w:cs="宋体"/>
          <w:szCs w:val="21"/>
        </w:rPr>
      </w:pPr>
      <w:r>
        <w:rPr>
          <w:rFonts w:hint="eastAsia" w:ascii="宋体" w:hAnsi="宋体" w:cs="宋体"/>
          <w:szCs w:val="21"/>
        </w:rPr>
        <w:t>联网监控系统：提供对高速公路各隧道、路段数据监控、视频管理等功能;按照监控总中心-区域中心-路段监控站3级架构管理，监控总中心位于集团总部，各类监控、视频服务器约20台，区域中心位于万州、黔江，路段中心分布于全市42个路段，服务器84台。</w:t>
      </w:r>
    </w:p>
    <w:p>
      <w:pPr>
        <w:pStyle w:val="13"/>
        <w:adjustRightInd w:val="0"/>
        <w:spacing w:line="400" w:lineRule="exact"/>
        <w:rPr>
          <w:rFonts w:ascii="宋体" w:hAnsi="宋体" w:cs="宋体"/>
          <w:szCs w:val="21"/>
        </w:rPr>
      </w:pPr>
      <w:r>
        <w:rPr>
          <w:rFonts w:hint="eastAsia" w:ascii="宋体" w:hAnsi="宋体" w:cs="宋体"/>
        </w:rPr>
        <w:t>重庆高速公路公众服务网</w:t>
      </w:r>
      <w:r>
        <w:rPr>
          <w:rFonts w:hint="eastAsia" w:ascii="宋体" w:hAnsi="宋体" w:cs="宋体"/>
          <w:szCs w:val="21"/>
        </w:rPr>
        <w:t>:提供ETC 业务咨询办理、高速出行服务、高速服务区信息、实时路况信息等服务;核心系统位于巴南区龙洲湾移动机房，各类服务器近100台。</w:t>
      </w:r>
    </w:p>
    <w:p>
      <w:pPr>
        <w:pStyle w:val="13"/>
        <w:adjustRightInd w:val="0"/>
        <w:spacing w:line="400" w:lineRule="exact"/>
        <w:rPr>
          <w:rFonts w:ascii="宋体" w:hAnsi="宋体" w:cs="宋体"/>
          <w:szCs w:val="21"/>
        </w:rPr>
      </w:pPr>
      <w:r>
        <w:rPr>
          <w:rFonts w:hint="eastAsia" w:ascii="宋体" w:hAnsi="宋体" w:cs="宋体"/>
        </w:rPr>
        <w:t>重庆高速</w:t>
      </w:r>
      <w:r>
        <w:rPr>
          <w:rFonts w:hint="eastAsia" w:ascii="宋体" w:hAnsi="宋体" w:cs="宋体"/>
          <w:szCs w:val="21"/>
        </w:rPr>
        <w:t>门户网站：移动云托管运行。</w:t>
      </w:r>
    </w:p>
    <w:p>
      <w:pPr>
        <w:spacing w:line="400" w:lineRule="exact"/>
        <w:ind w:firstLine="420" w:firstLineChars="200"/>
        <w:rPr>
          <w:rFonts w:ascii="宋体" w:hAnsi="宋体" w:cs="宋体"/>
        </w:rPr>
      </w:pPr>
      <w:r>
        <w:rPr>
          <w:rFonts w:hint="eastAsia" w:ascii="宋体" w:hAnsi="宋体" w:cs="宋体"/>
        </w:rPr>
        <w:t>2.4 测评工期：测评时间为202</w:t>
      </w:r>
      <w:r>
        <w:rPr>
          <w:rFonts w:ascii="宋体" w:hAnsi="宋体" w:cs="宋体"/>
        </w:rPr>
        <w:t>3</w:t>
      </w:r>
      <w:r>
        <w:rPr>
          <w:rFonts w:hint="eastAsia" w:ascii="宋体" w:hAnsi="宋体" w:cs="宋体"/>
        </w:rPr>
        <w:t>年至</w:t>
      </w:r>
      <w:r>
        <w:rPr>
          <w:rFonts w:ascii="宋体" w:hAnsi="宋体" w:cs="宋体"/>
        </w:rPr>
        <w:t>2025</w:t>
      </w:r>
      <w:r>
        <w:rPr>
          <w:rFonts w:hint="eastAsia" w:ascii="宋体" w:hAnsi="宋体" w:cs="宋体"/>
        </w:rPr>
        <w:t>年，完成当年测评并提交测评报告。</w:t>
      </w:r>
    </w:p>
    <w:p>
      <w:pPr>
        <w:pStyle w:val="4"/>
        <w:spacing w:before="120" w:after="0" w:line="360" w:lineRule="auto"/>
        <w:rPr>
          <w:rFonts w:ascii="宋体" w:hAnsi="宋体" w:eastAsia="宋体" w:cs="宋体"/>
        </w:rPr>
      </w:pPr>
      <w:bookmarkStart w:id="38" w:name="_Toc152042290"/>
      <w:bookmarkStart w:id="39" w:name="_Toc30356"/>
      <w:bookmarkStart w:id="40" w:name="_Toc144974482"/>
      <w:bookmarkStart w:id="41" w:name="_Toc507319893"/>
      <w:bookmarkStart w:id="42" w:name="_Toc10171"/>
      <w:bookmarkStart w:id="43" w:name="_Toc247085674"/>
      <w:bookmarkStart w:id="44" w:name="_Toc246996903"/>
      <w:bookmarkStart w:id="45" w:name="_Toc179632530"/>
      <w:bookmarkStart w:id="46" w:name="_Toc152045514"/>
      <w:bookmarkStart w:id="47" w:name="_Toc7065"/>
      <w:bookmarkStart w:id="48" w:name="_Toc246996160"/>
      <w:bookmarkStart w:id="49" w:name="_Toc11329215"/>
      <w:r>
        <w:rPr>
          <w:rFonts w:hint="eastAsia" w:ascii="宋体" w:hAnsi="宋体" w:eastAsia="宋体" w:cs="宋体"/>
        </w:rPr>
        <w:t>3. 投标人资格要求</w:t>
      </w:r>
      <w:bookmarkEnd w:id="38"/>
      <w:bookmarkEnd w:id="39"/>
      <w:bookmarkEnd w:id="40"/>
      <w:bookmarkEnd w:id="41"/>
      <w:bookmarkEnd w:id="42"/>
      <w:bookmarkEnd w:id="43"/>
      <w:bookmarkEnd w:id="44"/>
      <w:bookmarkEnd w:id="45"/>
      <w:bookmarkEnd w:id="46"/>
      <w:bookmarkEnd w:id="47"/>
      <w:bookmarkEnd w:id="48"/>
      <w:bookmarkEnd w:id="49"/>
    </w:p>
    <w:p>
      <w:pPr>
        <w:spacing w:line="400" w:lineRule="exact"/>
        <w:ind w:firstLine="420" w:firstLineChars="200"/>
        <w:rPr>
          <w:rFonts w:ascii="宋体" w:hAnsi="宋体" w:cs="宋体"/>
          <w:szCs w:val="21"/>
          <w:shd w:val="clear" w:color="auto" w:fill="FFFFFF"/>
        </w:rPr>
      </w:pPr>
      <w:bookmarkStart w:id="50" w:name="_Toc152045515"/>
      <w:bookmarkStart w:id="51" w:name="_Toc152042291"/>
      <w:bookmarkStart w:id="52" w:name="_Toc246996904"/>
      <w:bookmarkStart w:id="53" w:name="_Toc144974483"/>
      <w:bookmarkStart w:id="54" w:name="_Toc179632531"/>
      <w:bookmarkStart w:id="55" w:name="_Toc246996161"/>
      <w:bookmarkStart w:id="56" w:name="_Toc247085675"/>
      <w:r>
        <w:rPr>
          <w:rFonts w:hint="eastAsia" w:ascii="宋体" w:hAnsi="宋体" w:cs="宋体"/>
          <w:szCs w:val="21"/>
          <w:shd w:val="clear" w:color="auto" w:fill="FFFFFF"/>
        </w:rPr>
        <w:t>3.1 资质要求：</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（1）具有有效的营业执照；</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（2）具有公安部第三研究所颁发的网络安全等级测评与检测评估机构服务认证证书；</w:t>
      </w:r>
    </w:p>
    <w:p>
      <w:pPr>
        <w:spacing w:line="400" w:lineRule="exact"/>
        <w:ind w:firstLine="420" w:firstLineChars="200"/>
        <w:rPr>
          <w:rFonts w:hint="eastAsia"/>
        </w:rPr>
      </w:pPr>
      <w:r>
        <w:rPr>
          <w:rFonts w:hint="eastAsia" w:ascii="宋体" w:hAnsi="宋体" w:cs="宋体"/>
          <w:szCs w:val="21"/>
          <w:shd w:val="clear" w:color="auto" w:fill="FFFFFF"/>
        </w:rPr>
        <w:t>（3）</w:t>
      </w:r>
      <w:r>
        <w:rPr>
          <w:rFonts w:hint="eastAsia"/>
        </w:rPr>
        <w:t>具有中国合格评定国家认可委员会颁发的检验机构认可证书（CNAS），认可的检验能力范围包含“信息系统安全等级保护”或“网络安全等级测评”。</w:t>
      </w:r>
    </w:p>
    <w:p>
      <w:pPr>
        <w:spacing w:line="400" w:lineRule="exact"/>
        <w:ind w:firstLine="420" w:firstLineChars="200"/>
        <w:rPr>
          <w:rFonts w:hint="eastAsia" w:ascii="宋体" w:hAnsi="宋体" w:eastAsia="宋体" w:cs="宋体"/>
          <w:szCs w:val="21"/>
          <w:shd w:val="clear" w:color="auto" w:fill="FFFFFF"/>
          <w:lang w:eastAsia="zh-CN"/>
        </w:rPr>
      </w:pPr>
      <w:r>
        <w:rPr>
          <w:rFonts w:hint="eastAsia" w:ascii="宋体" w:hAnsi="宋体" w:cs="宋体"/>
          <w:szCs w:val="21"/>
          <w:shd w:val="clear" w:color="auto" w:fill="FFFFFF"/>
        </w:rPr>
        <w:t>3.2 业绩要求：</w:t>
      </w:r>
      <w:r>
        <w:rPr>
          <w:rFonts w:hint="eastAsia" w:ascii="宋体" w:hAnsi="宋体" w:cs="宋体"/>
          <w:szCs w:val="21"/>
          <w:shd w:val="clear" w:color="auto" w:fill="FFFFFF"/>
          <w:lang w:eastAsia="zh-CN"/>
        </w:rPr>
        <w:t>（</w:t>
      </w:r>
      <w:r>
        <w:rPr>
          <w:rFonts w:hint="eastAsia" w:ascii="宋体" w:hAnsi="宋体" w:cs="宋体"/>
          <w:szCs w:val="21"/>
          <w:shd w:val="clear" w:color="auto" w:fill="FFFFFF"/>
          <w:lang w:val="en-US" w:eastAsia="zh-CN"/>
        </w:rPr>
        <w:t>1</w:t>
      </w:r>
      <w:r>
        <w:rPr>
          <w:rFonts w:hint="eastAsia" w:ascii="宋体" w:hAnsi="宋体" w:cs="宋体"/>
          <w:szCs w:val="21"/>
          <w:shd w:val="clear" w:color="auto" w:fill="FFFFFF"/>
          <w:lang w:eastAsia="zh-CN"/>
        </w:rPr>
        <w:t>）</w:t>
      </w:r>
      <w:r>
        <w:rPr>
          <w:rFonts w:hint="eastAsia" w:ascii="宋体" w:hAnsi="宋体" w:cs="宋体"/>
          <w:szCs w:val="21"/>
          <w:shd w:val="clear" w:color="auto" w:fill="FFFFFF"/>
        </w:rPr>
        <w:t>2020年1月1日至投标截止时间具备至少</w:t>
      </w:r>
      <w:r>
        <w:rPr>
          <w:rFonts w:ascii="宋体" w:hAnsi="宋体" w:cs="宋体"/>
          <w:szCs w:val="21"/>
          <w:shd w:val="clear" w:color="auto" w:fill="FFFFFF"/>
        </w:rPr>
        <w:t>3</w:t>
      </w:r>
      <w:r>
        <w:rPr>
          <w:rFonts w:hint="eastAsia" w:ascii="宋体" w:hAnsi="宋体" w:cs="宋体"/>
          <w:szCs w:val="21"/>
          <w:shd w:val="clear" w:color="auto" w:fill="FFFFFF"/>
        </w:rPr>
        <w:t>个等级保护测评项目业绩，合同金额不低于15万元/年。</w:t>
      </w:r>
      <w:r>
        <w:rPr>
          <w:rFonts w:hint="eastAsia" w:ascii="宋体" w:hAnsi="宋体" w:cs="宋体"/>
          <w:szCs w:val="21"/>
          <w:shd w:val="clear" w:color="auto" w:fill="FFFFFF"/>
          <w:lang w:eastAsia="zh-CN"/>
        </w:rPr>
        <w:t>（</w:t>
      </w:r>
      <w:r>
        <w:rPr>
          <w:rFonts w:hint="eastAsia" w:ascii="宋体" w:hAnsi="宋体" w:cs="宋体"/>
          <w:szCs w:val="21"/>
          <w:shd w:val="clear" w:color="auto" w:fill="FFFFFF"/>
          <w:lang w:val="en-US" w:eastAsia="zh-CN"/>
        </w:rPr>
        <w:t>2</w:t>
      </w:r>
      <w:r>
        <w:rPr>
          <w:rFonts w:hint="eastAsia" w:ascii="宋体" w:hAnsi="宋体" w:cs="宋体"/>
          <w:szCs w:val="21"/>
          <w:shd w:val="clear" w:color="auto" w:fill="FFFFFF"/>
          <w:lang w:eastAsia="zh-CN"/>
        </w:rPr>
        <w:t>）</w:t>
      </w:r>
      <w:r>
        <w:rPr>
          <w:rFonts w:hint="eastAsia" w:ascii="宋体" w:hAnsi="宋体" w:cs="宋体"/>
          <w:szCs w:val="21"/>
          <w:shd w:val="clear" w:color="auto" w:fill="FFFFFF"/>
          <w:lang w:val="en-US" w:eastAsia="zh-CN"/>
        </w:rPr>
        <w:t>提供有效的与</w:t>
      </w:r>
      <w:r>
        <w:rPr>
          <w:rFonts w:hint="eastAsia" w:ascii="宋体" w:hAnsi="宋体" w:cs="宋体"/>
          <w:szCs w:val="21"/>
          <w:shd w:val="clear" w:color="auto" w:fill="FFFFFF"/>
        </w:rPr>
        <w:t>重庆市网络与信息安全信息通报中心</w:t>
      </w:r>
      <w:r>
        <w:rPr>
          <w:rFonts w:hint="eastAsia" w:ascii="宋体" w:hAnsi="宋体" w:cs="宋体"/>
          <w:szCs w:val="21"/>
          <w:shd w:val="clear" w:color="auto" w:fill="FFFFFF"/>
          <w:lang w:val="en-US" w:eastAsia="zh-CN"/>
        </w:rPr>
        <w:t>签订</w:t>
      </w:r>
      <w:r>
        <w:rPr>
          <w:rFonts w:hint="eastAsia" w:ascii="宋体" w:hAnsi="宋体" w:cs="宋体"/>
          <w:szCs w:val="21"/>
          <w:shd w:val="clear" w:color="auto" w:fill="FFFFFF"/>
          <w:lang w:eastAsia="zh-CN"/>
        </w:rPr>
        <w:t>的《</w:t>
      </w:r>
      <w:r>
        <w:rPr>
          <w:rFonts w:hint="eastAsia" w:ascii="宋体" w:hAnsi="宋体" w:cs="宋体"/>
          <w:szCs w:val="21"/>
          <w:shd w:val="clear" w:color="auto" w:fill="FFFFFF"/>
        </w:rPr>
        <w:t>网络与信息安全通报技术支持合作协议</w:t>
      </w:r>
      <w:r>
        <w:rPr>
          <w:rFonts w:hint="eastAsia" w:ascii="宋体" w:hAnsi="宋体" w:cs="宋体"/>
          <w:szCs w:val="21"/>
          <w:shd w:val="clear" w:color="auto" w:fill="FFFFFF"/>
          <w:lang w:eastAsia="zh-CN"/>
        </w:rPr>
        <w:t>》</w:t>
      </w:r>
      <w:r>
        <w:rPr>
          <w:rFonts w:hint="eastAsia" w:ascii="宋体" w:hAnsi="宋体" w:cs="宋体"/>
          <w:szCs w:val="21"/>
          <w:shd w:val="clear" w:color="auto" w:fill="FFFFFF"/>
        </w:rPr>
        <w:t>。</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3.3 信誉要求：在国家企业信用信息公示系统（http://www.gsxt.gov.cn/）中未被列入严重违法失信企业名单（黑名单）信息；在“信用中国”网站（http://www.creditchina.gov.cn/）中未被列入失信惩戒执行人名单。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3.4 投标人须提供招标人要求的所有资质要求、业绩要求、信誉要求的证书或者证明材料复印件并加盖单位鲜公章。</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ascii="宋体" w:hAnsi="宋体" w:cs="宋体"/>
          <w:szCs w:val="21"/>
          <w:shd w:val="clear" w:color="auto" w:fill="FFFFFF"/>
        </w:rPr>
        <w:t>5</w:t>
      </w:r>
      <w:r>
        <w:rPr>
          <w:rFonts w:hint="eastAsia" w:ascii="宋体" w:hAnsi="宋体" w:cs="宋体"/>
          <w:szCs w:val="21"/>
          <w:shd w:val="clear" w:color="auto" w:fill="FFFFFF"/>
        </w:rPr>
        <w:t xml:space="preserve"> 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rPr>
      </w:pPr>
      <w:bookmarkStart w:id="57" w:name="_Toc12460"/>
      <w:bookmarkStart w:id="58" w:name="_Toc14361"/>
      <w:bookmarkStart w:id="59" w:name="_Toc25619"/>
      <w:bookmarkStart w:id="60" w:name="_Toc507319894"/>
      <w:bookmarkStart w:id="61" w:name="_Toc11329216"/>
      <w:r>
        <w:rPr>
          <w:rFonts w:hint="eastAsia" w:ascii="宋体" w:hAnsi="宋体" w:eastAsia="宋体" w:cs="宋体"/>
        </w:rPr>
        <w:t xml:space="preserve">4. </w:t>
      </w:r>
      <w:bookmarkEnd w:id="50"/>
      <w:bookmarkEnd w:id="51"/>
      <w:bookmarkEnd w:id="52"/>
      <w:bookmarkEnd w:id="53"/>
      <w:bookmarkEnd w:id="54"/>
      <w:bookmarkEnd w:id="55"/>
      <w:bookmarkEnd w:id="56"/>
      <w:bookmarkEnd w:id="57"/>
      <w:bookmarkEnd w:id="58"/>
      <w:bookmarkEnd w:id="59"/>
      <w:bookmarkEnd w:id="60"/>
      <w:bookmarkEnd w:id="61"/>
      <w:r>
        <w:rPr>
          <w:rFonts w:hint="eastAsia" w:ascii="宋体" w:hAnsi="宋体" w:eastAsia="宋体" w:cs="宋体"/>
        </w:rPr>
        <w:t>发布公告的媒介</w:t>
      </w:r>
    </w:p>
    <w:p>
      <w:pPr>
        <w:spacing w:line="360" w:lineRule="auto"/>
        <w:ind w:firstLine="420" w:firstLineChars="200"/>
        <w:rPr>
          <w:rFonts w:ascii="宋体" w:hAnsi="宋体"/>
          <w:szCs w:val="21"/>
        </w:rPr>
      </w:pPr>
      <w:bookmarkStart w:id="62" w:name="_Toc507319895"/>
      <w:bookmarkStart w:id="63" w:name="_Toc11329217"/>
      <w:bookmarkStart w:id="64" w:name="_Toc246996905"/>
      <w:bookmarkStart w:id="65" w:name="_Toc247085676"/>
      <w:bookmarkStart w:id="66" w:name="_Toc152045516"/>
      <w:bookmarkStart w:id="67" w:name="_Toc179632532"/>
      <w:bookmarkStart w:id="68" w:name="_Toc152042292"/>
      <w:bookmarkStart w:id="69" w:name="_Toc246996162"/>
      <w:bookmarkStart w:id="70" w:name="_Toc144974484"/>
      <w:r>
        <w:rPr>
          <w:rFonts w:hint="eastAsia" w:ascii="宋体" w:hAnsi="宋体"/>
          <w:szCs w:val="21"/>
        </w:rPr>
        <w:t>本次招标公告在重庆高速公路集团有限公司官网（https://www.cegc.com.cn）招标采购板块发布。</w:t>
      </w:r>
    </w:p>
    <w:p>
      <w:pPr>
        <w:pStyle w:val="4"/>
        <w:spacing w:before="120" w:after="0" w:line="400" w:lineRule="exact"/>
        <w:rPr>
          <w:rFonts w:ascii="宋体" w:hAnsi="宋体" w:eastAsia="宋体" w:cs="宋体"/>
        </w:rPr>
      </w:pPr>
      <w:bookmarkStart w:id="71" w:name="_Toc9131"/>
      <w:bookmarkStart w:id="72" w:name="_Toc16686"/>
      <w:bookmarkStart w:id="73" w:name="_Toc31493"/>
      <w:r>
        <w:rPr>
          <w:rFonts w:hint="eastAsia" w:ascii="宋体" w:hAnsi="宋体" w:eastAsia="宋体" w:cs="宋体"/>
        </w:rPr>
        <w:t>5. 竞争性比选响应文件的递交</w:t>
      </w:r>
      <w:bookmarkEnd w:id="62"/>
      <w:bookmarkEnd w:id="63"/>
      <w:bookmarkEnd w:id="64"/>
      <w:bookmarkEnd w:id="65"/>
      <w:bookmarkEnd w:id="66"/>
      <w:bookmarkEnd w:id="67"/>
      <w:bookmarkEnd w:id="68"/>
      <w:bookmarkEnd w:id="69"/>
      <w:bookmarkEnd w:id="70"/>
      <w:r>
        <w:rPr>
          <w:rFonts w:hint="eastAsia" w:ascii="宋体" w:hAnsi="宋体" w:eastAsia="宋体" w:cs="宋体"/>
        </w:rPr>
        <w:t>及相关事宜</w:t>
      </w:r>
      <w:bookmarkEnd w:id="71"/>
      <w:bookmarkEnd w:id="72"/>
      <w:bookmarkEnd w:id="73"/>
    </w:p>
    <w:p>
      <w:pPr>
        <w:tabs>
          <w:tab w:val="left" w:pos="360"/>
        </w:tabs>
        <w:spacing w:line="400" w:lineRule="exact"/>
        <w:ind w:firstLine="420" w:firstLineChars="200"/>
        <w:rPr>
          <w:rFonts w:ascii="宋体" w:hAnsi="宋体" w:cs="宋体"/>
          <w:szCs w:val="21"/>
        </w:rPr>
      </w:pPr>
      <w:r>
        <w:rPr>
          <w:rFonts w:hint="eastAsia" w:ascii="宋体" w:hAnsi="宋体" w:cs="宋体"/>
          <w:szCs w:val="21"/>
        </w:rPr>
        <w:t>5.1响应截止时间：</w:t>
      </w:r>
      <w:r>
        <w:rPr>
          <w:rFonts w:hint="eastAsia" w:ascii="宋体" w:hAnsi="宋体"/>
          <w:szCs w:val="21"/>
        </w:rPr>
        <w:t>202</w:t>
      </w:r>
      <w:r>
        <w:rPr>
          <w:rFonts w:ascii="宋体" w:hAnsi="宋体"/>
          <w:szCs w:val="21"/>
        </w:rPr>
        <w:t>3</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7</w:t>
      </w:r>
      <w:r>
        <w:rPr>
          <w:rFonts w:hint="eastAsia" w:ascii="宋体" w:hAnsi="宋体"/>
          <w:szCs w:val="21"/>
        </w:rPr>
        <w:t>日下午</w:t>
      </w:r>
      <w:r>
        <w:rPr>
          <w:rFonts w:hint="eastAsia" w:ascii="宋体" w:hAnsi="宋体" w:cs="宋体"/>
          <w:szCs w:val="21"/>
        </w:rPr>
        <w:t xml:space="preserve"> 15时 00 分（北京时间）。</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5.2响应文件的递交：</w:t>
      </w:r>
      <w:r>
        <w:rPr>
          <w:rFonts w:hint="eastAsia" w:ascii="宋体" w:hAnsi="宋体"/>
          <w:szCs w:val="21"/>
        </w:rPr>
        <w:t>202</w:t>
      </w:r>
      <w:r>
        <w:rPr>
          <w:rFonts w:ascii="宋体" w:hAnsi="宋体"/>
          <w:szCs w:val="21"/>
        </w:rPr>
        <w:t>3</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7</w:t>
      </w:r>
      <w:r>
        <w:rPr>
          <w:rFonts w:hint="eastAsia" w:ascii="宋体" w:hAnsi="宋体"/>
          <w:szCs w:val="21"/>
        </w:rPr>
        <w:t>日下午15：00前将报价文件纸质密封件交到高速集团505办公室</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5.3招标人</w:t>
      </w:r>
      <w:r>
        <w:rPr>
          <w:rFonts w:ascii="宋体" w:hAnsi="宋体" w:cs="宋体"/>
          <w:szCs w:val="21"/>
        </w:rPr>
        <w:t>不组织工程现场踏勘，不召开报价预</w:t>
      </w:r>
      <w:bookmarkStart w:id="252" w:name="_GoBack"/>
      <w:bookmarkEnd w:id="252"/>
      <w:r>
        <w:rPr>
          <w:rFonts w:ascii="宋体" w:hAnsi="宋体" w:cs="宋体"/>
          <w:szCs w:val="21"/>
        </w:rPr>
        <w:t>备会。</w:t>
      </w:r>
    </w:p>
    <w:p>
      <w:pPr>
        <w:pStyle w:val="4"/>
        <w:spacing w:before="120" w:after="0" w:line="400" w:lineRule="exact"/>
        <w:rPr>
          <w:rFonts w:ascii="宋体" w:hAnsi="宋体" w:eastAsia="宋体" w:cs="宋体"/>
        </w:rPr>
      </w:pPr>
      <w:bookmarkStart w:id="74" w:name="_Toc246996907"/>
      <w:bookmarkStart w:id="75" w:name="_Toc152045517"/>
      <w:bookmarkStart w:id="76" w:name="_Toc179632534"/>
      <w:bookmarkStart w:id="77" w:name="_Toc21615"/>
      <w:bookmarkStart w:id="78" w:name="_Toc152042293"/>
      <w:bookmarkStart w:id="79" w:name="_Toc18402"/>
      <w:bookmarkStart w:id="80" w:name="_Toc393"/>
      <w:bookmarkStart w:id="81" w:name="_Toc507319897"/>
      <w:bookmarkStart w:id="82" w:name="_Toc247085678"/>
      <w:bookmarkStart w:id="83" w:name="_Toc144974485"/>
      <w:bookmarkStart w:id="84" w:name="_Toc246996164"/>
      <w:bookmarkStart w:id="85" w:name="_Toc11329219"/>
      <w:r>
        <w:rPr>
          <w:rFonts w:hint="eastAsia" w:ascii="宋体" w:hAnsi="宋体" w:eastAsia="宋体" w:cs="宋体"/>
        </w:rPr>
        <w:t>6. 联系方式</w:t>
      </w:r>
      <w:bookmarkEnd w:id="74"/>
      <w:bookmarkEnd w:id="75"/>
      <w:bookmarkEnd w:id="76"/>
      <w:bookmarkEnd w:id="77"/>
      <w:bookmarkEnd w:id="78"/>
      <w:bookmarkEnd w:id="79"/>
      <w:bookmarkEnd w:id="80"/>
      <w:bookmarkEnd w:id="81"/>
      <w:bookmarkEnd w:id="82"/>
      <w:bookmarkEnd w:id="83"/>
      <w:bookmarkEnd w:id="84"/>
      <w:bookmarkEnd w:id="85"/>
    </w:p>
    <w:tbl>
      <w:tblPr>
        <w:tblStyle w:val="44"/>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招标人：重庆高速公路集团有限公司联网收费结算中心</w:t>
            </w:r>
          </w:p>
        </w:tc>
        <w:tc>
          <w:tcPr>
            <w:tcW w:w="1415" w:type="dxa"/>
            <w:vAlign w:val="center"/>
          </w:tcPr>
          <w:p>
            <w:pPr>
              <w:pStyle w:val="103"/>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vAlign w:val="center"/>
          </w:tcPr>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地址：重庆市银杉路重庆高速集团505办公室</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70" w:hRule="atLeast"/>
        </w:trPr>
        <w:tc>
          <w:tcPr>
            <w:tcW w:w="8213" w:type="dxa"/>
            <w:vAlign w:val="center"/>
          </w:tcPr>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联系人：罗隐</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80" w:hRule="atLeast"/>
        </w:trPr>
        <w:tc>
          <w:tcPr>
            <w:tcW w:w="8213" w:type="dxa"/>
            <w:vAlign w:val="center"/>
          </w:tcPr>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电 话： 15736069342</w:t>
            </w:r>
          </w:p>
        </w:tc>
        <w:tc>
          <w:tcPr>
            <w:tcW w:w="1415" w:type="dxa"/>
            <w:vAlign w:val="center"/>
          </w:tcPr>
          <w:p>
            <w:pPr>
              <w:spacing w:line="400" w:lineRule="exact"/>
              <w:ind w:firstLine="420" w:firstLineChars="200"/>
              <w:rPr>
                <w:rFonts w:ascii="宋体" w:hAnsi="宋体" w:cs="宋体"/>
                <w:szCs w:val="21"/>
              </w:rPr>
            </w:pPr>
          </w:p>
        </w:tc>
      </w:tr>
    </w:tbl>
    <w:p/>
    <w:p>
      <w:pPr>
        <w:pStyle w:val="2"/>
      </w:pPr>
    </w:p>
    <w:p/>
    <w:p>
      <w:pPr>
        <w:pStyle w:val="2"/>
      </w:pPr>
    </w:p>
    <w:p/>
    <w:p>
      <w:pPr>
        <w:pStyle w:val="2"/>
      </w:pPr>
    </w:p>
    <w:p/>
    <w:p>
      <w:pPr>
        <w:pStyle w:val="2"/>
        <w:rPr>
          <w:rFonts w:hint="eastAsia"/>
        </w:rPr>
      </w:pPr>
    </w:p>
    <w:bookmarkEnd w:id="11"/>
    <w:bookmarkEnd w:id="12"/>
    <w:p>
      <w:pPr>
        <w:rPr>
          <w:rFonts w:ascii="宋体" w:hAnsi="宋体" w:cs="宋体"/>
        </w:rPr>
      </w:pPr>
      <w:bookmarkStart w:id="86" w:name="_Toc507319898"/>
      <w:bookmarkStart w:id="87" w:name="_Toc144974495"/>
      <w:bookmarkStart w:id="88" w:name="_Toc179632544"/>
      <w:bookmarkStart w:id="89" w:name="_Toc247085687"/>
      <w:bookmarkStart w:id="90" w:name="_Toc246996173"/>
      <w:bookmarkStart w:id="91" w:name="_Toc2000405"/>
      <w:bookmarkStart w:id="92" w:name="_Toc152045527"/>
      <w:bookmarkStart w:id="93" w:name="_Toc21719"/>
      <w:bookmarkStart w:id="94" w:name="_Toc152042303"/>
      <w:bookmarkStart w:id="95" w:name="_Toc246996916"/>
    </w:p>
    <w:p>
      <w:pPr>
        <w:pStyle w:val="2"/>
      </w:pPr>
    </w:p>
    <w:p/>
    <w:p>
      <w:pPr>
        <w:pStyle w:val="2"/>
        <w:rPr>
          <w:rFonts w:hint="eastAsia"/>
        </w:rPr>
      </w:pPr>
    </w:p>
    <w:p>
      <w:pPr>
        <w:pStyle w:val="3"/>
        <w:spacing w:before="0" w:after="0" w:line="360" w:lineRule="auto"/>
        <w:jc w:val="center"/>
        <w:rPr>
          <w:rFonts w:ascii="宋体" w:hAnsi="宋体" w:cs="宋体"/>
        </w:rPr>
      </w:pPr>
      <w:r>
        <w:rPr>
          <w:rFonts w:hint="eastAsia" w:ascii="宋体" w:hAnsi="宋体" w:cs="宋体"/>
        </w:rPr>
        <w:t>第二章 投标人须知</w:t>
      </w:r>
      <w:bookmarkEnd w:id="86"/>
      <w:bookmarkEnd w:id="87"/>
      <w:bookmarkEnd w:id="88"/>
      <w:bookmarkEnd w:id="89"/>
      <w:bookmarkEnd w:id="90"/>
      <w:bookmarkEnd w:id="91"/>
      <w:bookmarkEnd w:id="92"/>
      <w:bookmarkEnd w:id="93"/>
      <w:bookmarkEnd w:id="94"/>
      <w:bookmarkEnd w:id="95"/>
    </w:p>
    <w:p/>
    <w:tbl>
      <w:tblPr>
        <w:tblStyle w:val="44"/>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96"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招标人</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招标人：重庆高速公路集团有限公司联网收费结算中心</w:t>
            </w:r>
          </w:p>
          <w:p>
            <w:pPr>
              <w:spacing w:line="400" w:lineRule="exact"/>
              <w:ind w:firstLine="420" w:firstLineChars="200"/>
              <w:rPr>
                <w:rFonts w:ascii="宋体" w:hAnsi="宋体" w:cs="宋体"/>
                <w:szCs w:val="21"/>
              </w:rPr>
            </w:pPr>
            <w:r>
              <w:rPr>
                <w:rFonts w:hint="eastAsia" w:ascii="宋体" w:hAnsi="宋体" w:cs="宋体"/>
                <w:szCs w:val="21"/>
              </w:rPr>
              <w:t>地  址：重庆市银杉路重庆高速集团</w:t>
            </w:r>
          </w:p>
          <w:p>
            <w:pPr>
              <w:spacing w:line="400" w:lineRule="exact"/>
              <w:ind w:firstLine="420" w:firstLineChars="200"/>
              <w:rPr>
                <w:rFonts w:ascii="宋体" w:hAnsi="宋体" w:cs="宋体"/>
                <w:szCs w:val="21"/>
              </w:rPr>
            </w:pPr>
            <w:r>
              <w:rPr>
                <w:rFonts w:hint="eastAsia" w:ascii="宋体" w:hAnsi="宋体" w:cs="宋体"/>
                <w:szCs w:val="21"/>
              </w:rPr>
              <w:t>联系人：罗老师</w:t>
            </w:r>
          </w:p>
          <w:p>
            <w:pPr>
              <w:topLinePunct/>
              <w:spacing w:line="420" w:lineRule="exact"/>
              <w:ind w:firstLine="420" w:firstLineChars="200"/>
            </w:pPr>
            <w:r>
              <w:rPr>
                <w:rFonts w:hint="eastAsia" w:ascii="宋体" w:hAnsi="宋体" w:cs="宋体"/>
                <w:szCs w:val="21"/>
              </w:rPr>
              <w:t>电  话：15736069342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u w:val="single"/>
              </w:rPr>
              <w:t>重庆高速结算中心网络安全等级保护测评（2023</w:t>
            </w:r>
            <w:r>
              <w:rPr>
                <w:rFonts w:ascii="宋体" w:hAnsi="宋体" w:cs="宋体"/>
                <w:szCs w:val="21"/>
                <w:u w:val="single"/>
              </w:rPr>
              <w:t>-2025</w:t>
            </w:r>
            <w:r>
              <w:rPr>
                <w:rFonts w:hint="eastAsia" w:ascii="宋体" w:hAnsi="宋体" w:cs="宋体"/>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项目地点</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见第一章比选公告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w:t>
            </w:r>
            <w:r>
              <w:rPr>
                <w:rFonts w:hint="eastAsia" w:ascii="宋体" w:hAnsi="宋体" w:cs="宋体"/>
                <w:szCs w:val="21"/>
              </w:rPr>
              <w:t>第一章</w:t>
            </w:r>
            <w:r>
              <w:rPr>
                <w:rFonts w:hint="eastAsia" w:ascii="宋体" w:hAnsi="宋体" w:cs="宋体"/>
                <w:kern w:val="0"/>
                <w:szCs w:val="21"/>
              </w:rPr>
              <w:t>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ascii="宋体" w:hAnsi="宋体" w:cs="宋体"/>
                <w:szCs w:val="21"/>
              </w:rPr>
            </w:pPr>
            <w:r>
              <w:rPr>
                <w:rFonts w:hint="eastAsia" w:ascii="宋体" w:hAnsi="宋体" w:cs="宋体"/>
                <w:kern w:val="0"/>
                <w:szCs w:val="21"/>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w:t>
            </w:r>
            <w:r>
              <w:rPr>
                <w:rFonts w:hint="eastAsia" w:ascii="宋体" w:hAnsi="宋体" w:cs="宋体"/>
                <w:szCs w:val="21"/>
              </w:rPr>
              <w:t>第一章</w:t>
            </w:r>
            <w:r>
              <w:rPr>
                <w:rFonts w:hint="eastAsia" w:ascii="宋体" w:hAnsi="宋体" w:cs="宋体"/>
                <w:kern w:val="0"/>
                <w:szCs w:val="21"/>
              </w:rPr>
              <w:t>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质量要求</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达到国家和地方现行有关质量标准和比选文件第六章工作和质量要求。</w:t>
            </w:r>
            <w:r>
              <w:rPr>
                <w:rFonts w:hint="eastAsia"/>
              </w:rPr>
              <w:t>该项提供承诺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安全目标</w:t>
            </w:r>
          </w:p>
        </w:tc>
        <w:tc>
          <w:tcPr>
            <w:tcW w:w="7104" w:type="dxa"/>
          </w:tcPr>
          <w:p>
            <w:pPr>
              <w:spacing w:line="400" w:lineRule="exact"/>
              <w:ind w:firstLine="420" w:firstLineChars="200"/>
              <w:rPr>
                <w:rFonts w:ascii="宋体" w:hAnsi="宋体" w:cs="宋体"/>
                <w:szCs w:val="21"/>
              </w:rPr>
            </w:pPr>
            <w:r>
              <w:rPr>
                <w:rFonts w:hint="eastAsia" w:ascii="宋体" w:hAnsi="宋体" w:cs="宋体"/>
                <w:szCs w:val="21"/>
              </w:rPr>
              <w:t>无安全生产责任事故。</w:t>
            </w:r>
            <w:r>
              <w:rPr>
                <w:rFonts w:hint="eastAsia"/>
              </w:rPr>
              <w:t>该项提供承诺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投标人资质条件、能力与信誉</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（1）资质条件：见比选公告3.1</w:t>
            </w:r>
          </w:p>
          <w:p>
            <w:pPr>
              <w:spacing w:line="400" w:lineRule="exact"/>
              <w:ind w:firstLine="420" w:firstLineChars="200"/>
              <w:rPr>
                <w:rFonts w:ascii="宋体" w:hAnsi="宋体" w:cs="宋体"/>
                <w:szCs w:val="21"/>
              </w:rPr>
            </w:pPr>
            <w:r>
              <w:rPr>
                <w:rFonts w:hint="eastAsia" w:ascii="宋体" w:hAnsi="宋体" w:cs="宋体"/>
                <w:szCs w:val="21"/>
              </w:rPr>
              <w:t>（2）业绩要求：见比选公告3.2</w:t>
            </w:r>
          </w:p>
          <w:p>
            <w:pPr>
              <w:spacing w:line="400" w:lineRule="exact"/>
              <w:ind w:firstLine="420" w:firstLineChars="200"/>
              <w:rPr>
                <w:rFonts w:ascii="宋体" w:hAnsi="宋体" w:cs="宋体"/>
                <w:szCs w:val="21"/>
              </w:rPr>
            </w:pPr>
            <w:r>
              <w:rPr>
                <w:rFonts w:hint="eastAsia" w:ascii="宋体" w:hAnsi="宋体" w:cs="宋体"/>
                <w:szCs w:val="21"/>
              </w:rPr>
              <w:t>（3）信誉要求：见比选公告3.3</w:t>
            </w:r>
          </w:p>
          <w:p>
            <w:pPr>
              <w:spacing w:line="400" w:lineRule="exact"/>
              <w:ind w:firstLine="420" w:firstLineChars="200"/>
              <w:rPr>
                <w:rFonts w:ascii="宋体" w:hAnsi="宋体" w:cs="宋体"/>
                <w:szCs w:val="21"/>
              </w:rPr>
            </w:pPr>
            <w:r>
              <w:rPr>
                <w:rFonts w:hint="eastAsia" w:ascii="宋体" w:hAnsi="宋体" w:cs="宋体"/>
                <w:szCs w:val="21"/>
              </w:rPr>
              <w:t>（4）项目主要人员要求：见附录1</w:t>
            </w:r>
          </w:p>
          <w:p>
            <w:pPr>
              <w:spacing w:line="400" w:lineRule="exact"/>
              <w:ind w:firstLine="420" w:firstLineChars="200"/>
              <w:rPr>
                <w:rFonts w:ascii="宋体" w:hAnsi="宋体" w:cs="宋体"/>
                <w:szCs w:val="21"/>
              </w:rPr>
            </w:pPr>
            <w:r>
              <w:rPr>
                <w:rFonts w:hint="eastAsia" w:ascii="宋体" w:hAnsi="宋体" w:cs="宋体"/>
                <w:szCs w:val="21"/>
              </w:rPr>
              <w:t>（5）其他要求：见附录2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不组织，由各投标人根据需要自行完成现场踏勘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szCs w:val="21"/>
              </w:rPr>
            </w:pPr>
            <w:r>
              <w:rPr>
                <w:rFonts w:hint="eastAsia" w:ascii="宋体" w:hAnsi="宋体" w:cs="宋体"/>
                <w:szCs w:val="21"/>
              </w:rPr>
              <w:t>招标人发布的需求、补遗书、答疑、澄清、最高限价通知等附件。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97" w:name="_Hlt227984024"/>
            <w:bookmarkEnd w:id="97"/>
            <w:r>
              <w:rPr>
                <w:rFonts w:hint="eastAsia" w:ascii="宋体" w:hAnsi="宋体" w:cs="宋体"/>
                <w:kern w:val="0"/>
                <w:szCs w:val="21"/>
              </w:rPr>
              <w:t>14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构成竞争性比选响应文件的其他材料</w:t>
            </w:r>
          </w:p>
        </w:tc>
        <w:tc>
          <w:tcPr>
            <w:tcW w:w="7104" w:type="dxa"/>
            <w:vAlign w:val="center"/>
          </w:tcPr>
          <w:p>
            <w:pPr>
              <w:pStyle w:val="150"/>
              <w:spacing w:before="72" w:line="400" w:lineRule="exact"/>
              <w:ind w:firstLine="420" w:firstLineChars="200"/>
              <w:jc w:val="both"/>
              <w:rPr>
                <w:rFonts w:hAnsi="宋体"/>
                <w:color w:val="auto"/>
                <w:sz w:val="21"/>
                <w:szCs w:val="21"/>
              </w:rPr>
            </w:pPr>
            <w:r>
              <w:rPr>
                <w:rFonts w:hint="eastAsia" w:hAnsi="宋体"/>
                <w:color w:val="auto"/>
                <w:sz w:val="21"/>
                <w:szCs w:val="21"/>
              </w:rPr>
              <w:t>投标人书面澄清或补正，但不得改变竞争性比选响应文件实质。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报价清单的填写方式</w:t>
            </w:r>
          </w:p>
        </w:tc>
        <w:tc>
          <w:tcPr>
            <w:tcW w:w="7104" w:type="dxa"/>
            <w:tcBorders>
              <w:bottom w:val="single" w:color="auto" w:sz="4" w:space="0"/>
            </w:tcBorders>
            <w:vAlign w:val="center"/>
          </w:tcPr>
          <w:p>
            <w:pPr>
              <w:spacing w:line="400" w:lineRule="exact"/>
              <w:ind w:firstLine="420" w:firstLineChars="200"/>
              <w:jc w:val="center"/>
              <w:rPr>
                <w:rFonts w:ascii="宋体" w:hAnsi="宋体" w:cs="宋体"/>
                <w:szCs w:val="21"/>
              </w:rPr>
            </w:pPr>
            <w:r>
              <w:rPr>
                <w:rFonts w:hint="eastAsia" w:ascii="宋体" w:hAnsi="宋体" w:cs="宋体"/>
              </w:rPr>
              <w:t>投标人按照招标人提供的要求填写报价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ascii="宋体" w:hAnsi="宋体"/>
                <w:szCs w:val="21"/>
              </w:rPr>
            </w:pPr>
            <w:r>
              <w:rPr>
                <w:rFonts w:hint="eastAsia" w:ascii="宋体" w:hAnsi="宋体"/>
                <w:b/>
                <w:bCs/>
                <w:szCs w:val="21"/>
              </w:rPr>
              <w:t>重庆高速结算中心网络安全等级保护测评（2023-2025）最高限价84.24万元。</w:t>
            </w:r>
          </w:p>
          <w:p>
            <w:pPr>
              <w:spacing w:line="400" w:lineRule="exact"/>
              <w:ind w:firstLine="422" w:firstLineChars="200"/>
              <w:rPr>
                <w:rFonts w:ascii="宋体" w:hAnsi="宋体" w:cs="宋体"/>
                <w:b/>
                <w:bCs/>
                <w:kern w:val="0"/>
                <w:szCs w:val="21"/>
              </w:rPr>
            </w:pPr>
            <w:r>
              <w:rPr>
                <w:rFonts w:hint="eastAsia" w:ascii="宋体" w:hAnsi="宋体" w:cs="宋体"/>
                <w:b/>
                <w:szCs w:val="21"/>
              </w:rPr>
              <w:t>投标人报价不得高于招标人发布的最高限价，否则其竞争性比选响应文件视为重大偏差，竞争性比选响应文件将按否决报价处理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17</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spacing w:line="400" w:lineRule="exact"/>
              <w:ind w:firstLine="420" w:firstLineChars="200"/>
            </w:pPr>
            <w:r>
              <w:rPr>
                <w:rFonts w:hint="eastAsia"/>
              </w:rPr>
              <w:t>（1）乙方按合同每年约定完成测评要求，提交测评报告经甲方验收合格且甲方在收到乙方开具的增值税专票15个工作日内，第一年支付合同金额3</w:t>
            </w:r>
            <w:r>
              <w:t>3%</w:t>
            </w:r>
            <w:r>
              <w:rPr>
                <w:rFonts w:hint="eastAsia"/>
              </w:rPr>
              <w:t>；第二年支付当合同金额3</w:t>
            </w:r>
            <w:r>
              <w:t>3%</w:t>
            </w:r>
            <w:r>
              <w:rPr>
                <w:rFonts w:hint="eastAsia"/>
              </w:rPr>
              <w:t>；第三年支付当合同金额3</w:t>
            </w:r>
            <w:r>
              <w:t>4%</w:t>
            </w:r>
            <w:r>
              <w:rPr>
                <w:rFonts w:hint="eastAsia"/>
              </w:rPr>
              <w:t>。</w:t>
            </w:r>
          </w:p>
          <w:p>
            <w:pPr>
              <w:spacing w:line="400" w:lineRule="exact"/>
              <w:ind w:firstLine="420" w:firstLineChars="200"/>
            </w:pPr>
            <w:r>
              <w:rPr>
                <w:rFonts w:hint="eastAsia"/>
              </w:rPr>
              <w:t>（2）乙方应于甲方每次付款（预付款除外）前提供等额增值税专用发票给甲方。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18</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szCs w:val="21"/>
              </w:rPr>
              <w:t>乙方违约的处理</w:t>
            </w:r>
          </w:p>
        </w:tc>
        <w:tc>
          <w:tcPr>
            <w:tcW w:w="7104" w:type="dxa"/>
            <w:tcBorders>
              <w:bottom w:val="single" w:color="auto" w:sz="4" w:space="0"/>
            </w:tcBorders>
          </w:tcPr>
          <w:p>
            <w:pPr>
              <w:spacing w:line="400" w:lineRule="exact"/>
              <w:ind w:left="-76" w:leftChars="-36" w:firstLine="420" w:firstLineChars="200"/>
            </w:pPr>
            <w:r>
              <w:t>1.</w:t>
            </w:r>
            <w:r>
              <w:rPr>
                <w:rFonts w:hint="eastAsia"/>
              </w:rPr>
              <w:t>乙方工作完成延迟</w:t>
            </w:r>
          </w:p>
          <w:p>
            <w:pPr>
              <w:spacing w:line="400" w:lineRule="exact"/>
              <w:ind w:left="-76" w:leftChars="-36" w:firstLine="420" w:firstLineChars="200"/>
            </w:pPr>
            <w:r>
              <w:rPr>
                <w:rFonts w:hint="eastAsia"/>
              </w:rPr>
              <w:t>由于乙方单方原因造成的，乙方工作比照双方约定的完成且项目验收通过时间延误的，则每延误一天（不足一天的，按一天计算），乙方应当向甲方支付费用总额</w:t>
            </w:r>
            <w:r>
              <w:t>2</w:t>
            </w:r>
            <w:r>
              <w:rPr>
                <w:rFonts w:hint="eastAsia"/>
              </w:rPr>
              <w:t>‰的违约金并赔偿由此给甲方造成的全部损失。</w:t>
            </w:r>
          </w:p>
          <w:p>
            <w:pPr>
              <w:spacing w:line="400" w:lineRule="exact"/>
              <w:ind w:left="-76" w:leftChars="-36" w:firstLine="420" w:firstLineChars="200"/>
            </w:pPr>
            <w:r>
              <w:t>2.</w:t>
            </w:r>
            <w:r>
              <w:rPr>
                <w:rFonts w:hint="eastAsia"/>
              </w:rPr>
              <w:t>乙方如出现以下任一情形时，乙方除应承担本合同其他条款约定的违约责任（若有）外，甲方有权要求乙方支付费用总额的</w:t>
            </w:r>
            <w:r>
              <w:t>10%</w:t>
            </w:r>
            <w:r>
              <w:rPr>
                <w:rFonts w:hint="eastAsia"/>
              </w:rPr>
              <w:t>的违约金并赔偿甲方的全部损失，具体赔偿金额由甲方根据违约严重程度确定，同时甲方有权单方解除本合同：</w:t>
            </w:r>
          </w:p>
          <w:p>
            <w:pPr>
              <w:spacing w:line="400" w:lineRule="exact"/>
              <w:ind w:left="-76" w:leftChars="-36" w:firstLine="420" w:firstLineChars="200"/>
            </w:pPr>
            <w:r>
              <w:rPr>
                <w:rFonts w:hint="eastAsia"/>
              </w:rPr>
              <w:t>（</w:t>
            </w:r>
            <w:r>
              <w:t>1</w:t>
            </w:r>
            <w:r>
              <w:rPr>
                <w:rFonts w:hint="eastAsia"/>
              </w:rPr>
              <w:t>）乙方拒不履行合同义务或所提供的服务不符合合同约定或不能满足甲方要求的；</w:t>
            </w:r>
          </w:p>
          <w:p>
            <w:pPr>
              <w:spacing w:line="400" w:lineRule="exact"/>
              <w:ind w:left="-76" w:leftChars="-36" w:firstLine="420" w:firstLineChars="200"/>
            </w:pPr>
            <w:r>
              <w:rPr>
                <w:rFonts w:hint="eastAsia"/>
              </w:rPr>
              <w:t>（</w:t>
            </w:r>
            <w:r>
              <w:t>2</w:t>
            </w:r>
            <w:r>
              <w:rPr>
                <w:rFonts w:hint="eastAsia"/>
              </w:rPr>
              <w:t>）乙方所提供的工作人力在数量上、技术能力上未达合同约定标准及甲方要求，且影响或可能影响到甲方正常工作进展的，或乙方工作人员未能遵守甲方工作安排和相关管理规定的，对甲方或甲方客户造成影响或损害的；</w:t>
            </w:r>
          </w:p>
          <w:p>
            <w:pPr>
              <w:spacing w:line="400" w:lineRule="exact"/>
              <w:ind w:left="-76" w:leftChars="-36" w:firstLine="420" w:firstLineChars="200"/>
            </w:pPr>
            <w:r>
              <w:rPr>
                <w:rFonts w:hint="eastAsia"/>
              </w:rPr>
              <w:t>（</w:t>
            </w:r>
            <w:r>
              <w:t>3</w:t>
            </w:r>
            <w:r>
              <w:rPr>
                <w:rFonts w:hint="eastAsia"/>
              </w:rPr>
              <w:t>）乙方提供给甲方的相关公司资质信息造假；乙方不配合甲方检查或配合甲方接受银行业监管机构的相关审查或在审查中提供虚假信息；乙方隐瞒公司重大不良事件或对合同执行有影响的公司重大变动信息；出现合同项下工作的转包或分包。</w:t>
            </w:r>
          </w:p>
          <w:p>
            <w:pPr>
              <w:spacing w:line="400" w:lineRule="exact"/>
              <w:ind w:left="-76" w:leftChars="-36" w:firstLine="420" w:firstLineChars="200"/>
            </w:pPr>
            <w:r>
              <w:rPr>
                <w:rFonts w:hint="eastAsia"/>
              </w:rPr>
              <w:t>（</w:t>
            </w:r>
            <w:r>
              <w:t>4</w:t>
            </w:r>
            <w:r>
              <w:rPr>
                <w:rFonts w:hint="eastAsia"/>
              </w:rPr>
              <w:t>）故意在程序中设置恶意代码或后门；未经甲方许可直接在生产环境操作并接触敏感的生产数据；</w:t>
            </w:r>
          </w:p>
          <w:p>
            <w:pPr>
              <w:spacing w:line="400" w:lineRule="exact"/>
              <w:ind w:left="-76" w:leftChars="-36" w:firstLine="420" w:firstLineChars="200"/>
            </w:pPr>
            <w:r>
              <w:rPr>
                <w:rFonts w:hint="eastAsia"/>
              </w:rPr>
              <w:t>（</w:t>
            </w:r>
            <w:r>
              <w:t>5</w:t>
            </w:r>
            <w:r>
              <w:rPr>
                <w:rFonts w:hint="eastAsia"/>
              </w:rPr>
              <w:t>）侵犯甲方知识产权；侵犯第三方知识产权；违反保密协议要求；乙方派出人员未遵守甲方相关规定，造成事故发生或保密信息外泄。</w:t>
            </w:r>
          </w:p>
          <w:p>
            <w:pPr>
              <w:spacing w:line="400" w:lineRule="exact"/>
              <w:ind w:left="-76" w:leftChars="-36" w:firstLine="420" w:firstLineChars="200"/>
            </w:pPr>
            <w:r>
              <w:rPr>
                <w:rFonts w:hint="eastAsia"/>
              </w:rPr>
              <w:t>（</w:t>
            </w:r>
            <w:r>
              <w:t>6</w:t>
            </w:r>
            <w:r>
              <w:rPr>
                <w:rFonts w:hint="eastAsia"/>
              </w:rPr>
              <w:t>）乙方将本合同约定之专业服务或部分服务再行委托给第三方的；</w:t>
            </w:r>
          </w:p>
          <w:p>
            <w:pPr>
              <w:spacing w:line="400" w:lineRule="exact"/>
              <w:ind w:left="-76" w:leftChars="-36" w:firstLine="420" w:firstLineChars="200"/>
            </w:pPr>
            <w:r>
              <w:rPr>
                <w:rFonts w:hint="eastAsia"/>
              </w:rPr>
              <w:t>（</w:t>
            </w:r>
            <w:r>
              <w:t>7</w:t>
            </w:r>
            <w:r>
              <w:rPr>
                <w:rFonts w:hint="eastAsia"/>
              </w:rPr>
              <w:t>）乙方出现违反本合同约定的其他情形。</w:t>
            </w:r>
          </w:p>
          <w:p>
            <w:pPr>
              <w:spacing w:line="400" w:lineRule="exact"/>
              <w:ind w:left="-76" w:leftChars="-36" w:firstLine="420" w:firstLineChars="200"/>
            </w:pPr>
            <w:r>
              <w:t>3</w:t>
            </w:r>
            <w:r>
              <w:rPr>
                <w:rFonts w:hint="eastAsia"/>
              </w:rPr>
              <w:t>、因乙方违约导致甲方单方解除本合同的，则乙方除应承担本合同其他条款所约定的违约责任外，甲方同时有权拒绝付款，乙方应向甲方退还已收取的款项（若有），并赔偿甲方的全部损失，损失无法确定的按不少于已支付费用总额</w:t>
            </w:r>
            <w:r>
              <w:t>30%</w:t>
            </w:r>
            <w:r>
              <w:rPr>
                <w:rFonts w:hint="eastAsia"/>
              </w:rPr>
              <w:t>计算。甲方行使单方解除权的，解除通知自甲方发出之日起三日后即视为送达。</w:t>
            </w:r>
          </w:p>
          <w:p>
            <w:pPr>
              <w:spacing w:line="400" w:lineRule="exact"/>
              <w:ind w:left="-76" w:leftChars="-36" w:firstLine="420" w:firstLineChars="200"/>
            </w:pPr>
            <w:r>
              <w:t>4</w:t>
            </w:r>
            <w:r>
              <w:rPr>
                <w:rFonts w:hint="eastAsia"/>
              </w:rPr>
              <w:t>、本合同所约定的乙方应赔偿的甲方损失，包括但不限于损害赔偿金、预期利益损失、诉讼费、保全费、律师费等一切实现债权的费用。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19</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rPr>
                <w:rFonts w:ascii="宋体" w:hAnsi="宋体" w:cs="宋体"/>
              </w:rPr>
            </w:pPr>
            <w:r>
              <w:rPr>
                <w:rFonts w:hint="eastAsia" w:ascii="宋体" w:hAnsi="宋体" w:cs="宋体"/>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50"/>
              <w:spacing w:line="400" w:lineRule="exact"/>
              <w:jc w:val="center"/>
              <w:rPr>
                <w:rFonts w:hAnsi="宋体"/>
                <w:color w:val="auto"/>
                <w:kern w:val="2"/>
                <w:sz w:val="21"/>
                <w:szCs w:val="21"/>
              </w:rPr>
            </w:pPr>
            <w:r>
              <w:rPr>
                <w:rFonts w:hint="eastAsia" w:hAnsi="宋体"/>
                <w:color w:val="auto"/>
                <w:kern w:val="2"/>
                <w:sz w:val="21"/>
                <w:szCs w:val="21"/>
              </w:rPr>
              <w:t>20</w:t>
            </w:r>
          </w:p>
        </w:tc>
        <w:tc>
          <w:tcPr>
            <w:tcW w:w="2106" w:type="dxa"/>
            <w:vAlign w:val="center"/>
          </w:tcPr>
          <w:p>
            <w:pPr>
              <w:pStyle w:val="150"/>
              <w:spacing w:line="400" w:lineRule="exact"/>
              <w:jc w:val="center"/>
              <w:rPr>
                <w:rFonts w:hAnsi="宋体"/>
                <w:color w:val="auto"/>
                <w:kern w:val="2"/>
                <w:sz w:val="21"/>
                <w:szCs w:val="21"/>
              </w:rPr>
            </w:pPr>
            <w:r>
              <w:rPr>
                <w:rFonts w:hint="eastAsia" w:hAnsi="宋体"/>
                <w:color w:val="auto"/>
                <w:kern w:val="2"/>
                <w:sz w:val="21"/>
                <w:szCs w:val="21"/>
              </w:rPr>
              <w:t>保证金</w:t>
            </w:r>
          </w:p>
        </w:tc>
        <w:tc>
          <w:tcPr>
            <w:tcW w:w="7104" w:type="dxa"/>
            <w:vAlign w:val="center"/>
          </w:tcPr>
          <w:p>
            <w:pPr>
              <w:pStyle w:val="150"/>
              <w:spacing w:line="400" w:lineRule="exact"/>
              <w:ind w:firstLine="420" w:firstLineChars="200"/>
              <w:rPr>
                <w:rFonts w:hAnsi="宋体"/>
                <w:color w:val="auto"/>
                <w:kern w:val="2"/>
                <w:sz w:val="21"/>
              </w:rPr>
            </w:pPr>
            <w:r>
              <w:rPr>
                <w:rFonts w:hint="eastAsia" w:hAnsi="宋体"/>
                <w:color w:val="auto"/>
                <w:kern w:val="2"/>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50"/>
              <w:spacing w:line="400" w:lineRule="exact"/>
              <w:jc w:val="center"/>
              <w:rPr>
                <w:rFonts w:hAnsi="宋体"/>
                <w:color w:val="auto"/>
                <w:sz w:val="21"/>
                <w:szCs w:val="21"/>
              </w:rPr>
            </w:pPr>
            <w:r>
              <w:rPr>
                <w:rFonts w:hint="eastAsia" w:hAnsi="宋体"/>
                <w:color w:val="auto"/>
                <w:sz w:val="21"/>
                <w:szCs w:val="21"/>
              </w:rPr>
              <w:t>21</w:t>
            </w:r>
          </w:p>
        </w:tc>
        <w:tc>
          <w:tcPr>
            <w:tcW w:w="2106" w:type="dxa"/>
            <w:vAlign w:val="center"/>
          </w:tcPr>
          <w:p>
            <w:pPr>
              <w:pStyle w:val="150"/>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50"/>
              <w:spacing w:line="400" w:lineRule="exact"/>
              <w:ind w:firstLine="420" w:firstLineChars="200"/>
              <w:rPr>
                <w:rFonts w:hAnsi="宋体"/>
                <w:color w:val="auto"/>
                <w:kern w:val="2"/>
                <w:sz w:val="21"/>
                <w:szCs w:val="21"/>
              </w:rPr>
            </w:pPr>
            <w:r>
              <w:rPr>
                <w:rFonts w:hAnsi="宋体"/>
                <w:color w:val="auto"/>
                <w:kern w:val="2"/>
                <w:sz w:val="21"/>
                <w:szCs w:val="21"/>
              </w:rPr>
              <w:t>监督部门：重庆高速公路集团有限公司联网收费结算中心</w:t>
            </w:r>
          </w:p>
          <w:p>
            <w:pPr>
              <w:pStyle w:val="150"/>
              <w:spacing w:line="400" w:lineRule="exact"/>
              <w:ind w:firstLine="420" w:firstLineChars="200"/>
              <w:rPr>
                <w:rFonts w:hAnsi="宋体"/>
                <w:color w:val="auto"/>
                <w:kern w:val="2"/>
                <w:sz w:val="21"/>
                <w:szCs w:val="21"/>
              </w:rPr>
            </w:pPr>
            <w:r>
              <w:rPr>
                <w:rFonts w:hAnsi="宋体"/>
                <w:color w:val="auto"/>
                <w:kern w:val="2"/>
                <w:sz w:val="21"/>
                <w:szCs w:val="21"/>
              </w:rPr>
              <w:t>地    址：</w:t>
            </w:r>
            <w:r>
              <w:rPr>
                <w:rFonts w:hint="eastAsia" w:hAnsi="宋体"/>
                <w:color w:val="auto"/>
                <w:kern w:val="2"/>
                <w:sz w:val="21"/>
                <w:szCs w:val="21"/>
              </w:rPr>
              <w:t>重庆渝北区银杉路66号</w:t>
            </w:r>
          </w:p>
          <w:p>
            <w:pPr>
              <w:pStyle w:val="150"/>
              <w:spacing w:line="400" w:lineRule="exact"/>
              <w:ind w:firstLine="420" w:firstLineChars="200"/>
              <w:rPr>
                <w:rFonts w:hAnsi="宋体"/>
                <w:color w:val="auto"/>
                <w:sz w:val="21"/>
                <w:szCs w:val="21"/>
              </w:rPr>
            </w:pPr>
            <w:r>
              <w:rPr>
                <w:rFonts w:hAnsi="宋体"/>
                <w:color w:val="auto"/>
                <w:kern w:val="2"/>
                <w:sz w:val="21"/>
                <w:szCs w:val="21"/>
              </w:rPr>
              <w:t>电    话：</w:t>
            </w:r>
            <w:r>
              <w:rPr>
                <w:rFonts w:hint="eastAsia" w:hAnsi="宋体"/>
                <w:color w:val="auto"/>
                <w:kern w:val="2"/>
                <w:sz w:val="21"/>
                <w:szCs w:val="21"/>
              </w:rPr>
              <w:t>02389138575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50"/>
              <w:spacing w:line="400" w:lineRule="exact"/>
              <w:jc w:val="center"/>
              <w:rPr>
                <w:rFonts w:hAnsi="宋体"/>
                <w:color w:val="auto"/>
                <w:kern w:val="2"/>
                <w:sz w:val="21"/>
                <w:szCs w:val="21"/>
              </w:rPr>
            </w:pPr>
            <w:r>
              <w:rPr>
                <w:rFonts w:hint="eastAsia" w:hAnsi="宋体"/>
                <w:color w:val="auto"/>
                <w:kern w:val="2"/>
                <w:sz w:val="21"/>
                <w:szCs w:val="21"/>
              </w:rPr>
              <w:t>22</w:t>
            </w:r>
          </w:p>
        </w:tc>
        <w:tc>
          <w:tcPr>
            <w:tcW w:w="9210" w:type="dxa"/>
            <w:gridSpan w:val="2"/>
            <w:vAlign w:val="center"/>
          </w:tcPr>
          <w:p>
            <w:pPr>
              <w:pStyle w:val="150"/>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50"/>
              <w:spacing w:line="400" w:lineRule="exact"/>
              <w:jc w:val="center"/>
              <w:rPr>
                <w:rFonts w:hAnsi="宋体"/>
                <w:color w:val="auto"/>
                <w:kern w:val="2"/>
                <w:sz w:val="21"/>
                <w:szCs w:val="21"/>
              </w:rPr>
            </w:pPr>
            <w:r>
              <w:rPr>
                <w:rFonts w:hint="eastAsia" w:hAnsi="宋体"/>
                <w:color w:val="auto"/>
                <w:kern w:val="2"/>
                <w:sz w:val="21"/>
                <w:szCs w:val="21"/>
              </w:rPr>
              <w:t>22.1</w:t>
            </w:r>
          </w:p>
        </w:tc>
        <w:tc>
          <w:tcPr>
            <w:tcW w:w="9210" w:type="dxa"/>
            <w:gridSpan w:val="2"/>
            <w:vAlign w:val="center"/>
          </w:tcPr>
          <w:p>
            <w:pPr>
              <w:pStyle w:val="150"/>
              <w:spacing w:line="400" w:lineRule="exact"/>
              <w:ind w:firstLine="420" w:firstLineChars="200"/>
              <w:rPr>
                <w:rFonts w:hAnsi="宋体"/>
                <w:b/>
                <w:bCs/>
                <w:szCs w:val="21"/>
              </w:rPr>
            </w:pPr>
            <w:r>
              <w:rPr>
                <w:rFonts w:hint="eastAsia" w:hAnsi="宋体"/>
                <w:sz w:val="21"/>
                <w:szCs w:val="21"/>
              </w:rPr>
              <w:t>截止竞争性比选响应文件递交时间，递交竞争性比选响应文件不足3家的不得开启竞争性比选文件。重新招标后投标人仍少于3个，按法定程序开标和评标，确定中标人。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50"/>
              <w:spacing w:line="400" w:lineRule="exact"/>
              <w:jc w:val="center"/>
              <w:rPr>
                <w:rFonts w:hAnsi="宋体"/>
                <w:color w:val="auto"/>
                <w:kern w:val="2"/>
                <w:sz w:val="21"/>
                <w:szCs w:val="21"/>
              </w:rPr>
            </w:pPr>
            <w:r>
              <w:rPr>
                <w:rFonts w:hint="eastAsia" w:hAnsi="宋体"/>
                <w:color w:val="auto"/>
                <w:kern w:val="2"/>
                <w:sz w:val="21"/>
                <w:szCs w:val="21"/>
              </w:rPr>
              <w:t>22.2</w:t>
            </w:r>
          </w:p>
        </w:tc>
        <w:tc>
          <w:tcPr>
            <w:tcW w:w="9210" w:type="dxa"/>
            <w:gridSpan w:val="2"/>
            <w:vAlign w:val="center"/>
          </w:tcPr>
          <w:p>
            <w:pPr>
              <w:pStyle w:val="150"/>
              <w:spacing w:line="400" w:lineRule="exact"/>
              <w:ind w:firstLine="420" w:firstLineChars="200"/>
              <w:rPr>
                <w:rFonts w:hAnsi="宋体"/>
                <w:sz w:val="21"/>
                <w:szCs w:val="21"/>
              </w:rPr>
            </w:pPr>
            <w:r>
              <w:rPr>
                <w:rFonts w:hint="eastAsia" w:hAnsi="宋体"/>
                <w:sz w:val="21"/>
                <w:szCs w:val="21"/>
              </w:rPr>
              <w:t>无</w:t>
            </w:r>
          </w:p>
        </w:tc>
      </w:tr>
      <w:bookmarkEnd w:id="96"/>
    </w:tbl>
    <w:p>
      <w:pPr>
        <w:spacing w:line="360" w:lineRule="auto"/>
        <w:jc w:val="center"/>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bCs w:val="0"/>
          <w:sz w:val="28"/>
          <w:szCs w:val="28"/>
        </w:rPr>
      </w:pPr>
      <w:bookmarkStart w:id="98" w:name="_Toc11284"/>
      <w:bookmarkStart w:id="99" w:name="_Toc30198"/>
      <w:bookmarkStart w:id="100" w:name="_Toc11329222"/>
      <w:bookmarkStart w:id="101" w:name="_Toc17532"/>
      <w:r>
        <w:rPr>
          <w:rFonts w:hint="eastAsia" w:ascii="宋体" w:hAnsi="宋体" w:eastAsia="宋体" w:cs="宋体"/>
          <w:sz w:val="28"/>
          <w:szCs w:val="28"/>
        </w:rPr>
        <w:t xml:space="preserve">附录1 </w:t>
      </w:r>
      <w:bookmarkEnd w:id="98"/>
      <w:bookmarkEnd w:id="99"/>
      <w:bookmarkEnd w:id="100"/>
      <w:bookmarkEnd w:id="101"/>
      <w:bookmarkStart w:id="102" w:name="_Toc27096"/>
      <w:bookmarkStart w:id="103" w:name="_Toc25591"/>
      <w:bookmarkStart w:id="104" w:name="_Toc11329226"/>
      <w:bookmarkStart w:id="105" w:name="_Toc12773"/>
      <w:r>
        <w:rPr>
          <w:rFonts w:hint="eastAsia" w:ascii="宋体" w:hAnsi="宋体" w:eastAsia="宋体" w:cs="宋体"/>
          <w:bCs w:val="0"/>
          <w:sz w:val="28"/>
          <w:szCs w:val="28"/>
        </w:rPr>
        <w:t>资格审查文件（项目主要人员最低要求）</w:t>
      </w:r>
      <w:bookmarkEnd w:id="102"/>
      <w:bookmarkEnd w:id="103"/>
      <w:bookmarkEnd w:id="104"/>
      <w:bookmarkEnd w:id="105"/>
    </w:p>
    <w:p>
      <w:pPr>
        <w:spacing w:line="400" w:lineRule="exact"/>
        <w:jc w:val="center"/>
      </w:pPr>
      <w:r>
        <w:rPr>
          <w:rFonts w:hint="eastAsia" w:ascii="宋体" w:hAnsi="宋体" w:cs="宋体"/>
          <w:b/>
          <w:szCs w:val="21"/>
        </w:rPr>
        <w:t>主要管理人员最低要求</w:t>
      </w:r>
    </w:p>
    <w:tbl>
      <w:tblPr>
        <w:tblStyle w:val="44"/>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bookmarkStart w:id="106" w:name="_Toc387234996"/>
            <w:bookmarkStart w:id="107" w:name="_Toc388534043"/>
            <w:r>
              <w:rPr>
                <w:rFonts w:hint="eastAsia" w:ascii="宋体" w:hAnsi="宋体" w:cs="宋体"/>
                <w:szCs w:val="21"/>
                <w:lang w:bidi="ar"/>
              </w:rPr>
              <w:t>序号</w:t>
            </w:r>
          </w:p>
        </w:tc>
        <w:tc>
          <w:tcPr>
            <w:tcW w:w="146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人  员</w:t>
            </w:r>
          </w:p>
        </w:tc>
        <w:tc>
          <w:tcPr>
            <w:tcW w:w="73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数量</w:t>
            </w:r>
          </w:p>
        </w:tc>
        <w:tc>
          <w:tcPr>
            <w:tcW w:w="6784"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1</w:t>
            </w:r>
          </w:p>
        </w:tc>
        <w:tc>
          <w:tcPr>
            <w:tcW w:w="146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项目经理</w:t>
            </w:r>
          </w:p>
        </w:tc>
        <w:tc>
          <w:tcPr>
            <w:tcW w:w="73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1</w:t>
            </w:r>
          </w:p>
        </w:tc>
        <w:tc>
          <w:tcPr>
            <w:tcW w:w="6784"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具备网络安全等级测评师高级证书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 w:hRule="atLeast"/>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2</w:t>
            </w:r>
          </w:p>
        </w:tc>
        <w:tc>
          <w:tcPr>
            <w:tcW w:w="146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测评负责人</w:t>
            </w:r>
          </w:p>
        </w:tc>
        <w:tc>
          <w:tcPr>
            <w:tcW w:w="73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1</w:t>
            </w:r>
          </w:p>
        </w:tc>
        <w:tc>
          <w:tcPr>
            <w:tcW w:w="6784"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具备网络安全等级测评师中级证书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3</w:t>
            </w:r>
          </w:p>
        </w:tc>
        <w:tc>
          <w:tcPr>
            <w:tcW w:w="146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rPr>
              <w:t>测评人员</w:t>
            </w:r>
          </w:p>
        </w:tc>
        <w:tc>
          <w:tcPr>
            <w:tcW w:w="73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ascii="宋体" w:hAnsi="宋体" w:cs="宋体"/>
                <w:szCs w:val="21"/>
              </w:rPr>
              <w:t>5</w:t>
            </w:r>
          </w:p>
        </w:tc>
        <w:tc>
          <w:tcPr>
            <w:tcW w:w="6784"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具备网络安全等级测评师初级证书</w:t>
            </w:r>
          </w:p>
        </w:tc>
      </w:tr>
    </w:tbl>
    <w:p>
      <w:pPr>
        <w:spacing w:line="400" w:lineRule="exact"/>
        <w:ind w:firstLine="420"/>
        <w:rPr>
          <w:rFonts w:ascii="宋体" w:hAnsi="宋体" w:cs="宋体"/>
          <w:szCs w:val="21"/>
          <w:lang w:bidi="ar"/>
        </w:rPr>
      </w:pPr>
      <w:r>
        <w:rPr>
          <w:rFonts w:hint="eastAsia" w:ascii="宋体" w:hAnsi="宋体" w:cs="宋体"/>
          <w:szCs w:val="21"/>
          <w:lang w:bidi="ar"/>
        </w:rPr>
        <w:t>注：需提供项目人员名单（表格形式），以上人员相关资质证件、身份证复印件及由社保局出具的投标人为以上人员缴纳近三个月的养老保险证明（带有社保部门公章或社保部门的有效电子印章），并加盖单位鲜公章。</w:t>
      </w:r>
    </w:p>
    <w:p>
      <w:pPr>
        <w:pStyle w:val="150"/>
        <w:adjustRightInd/>
        <w:spacing w:line="400" w:lineRule="exact"/>
        <w:ind w:firstLine="422" w:firstLineChars="200"/>
        <w:jc w:val="both"/>
        <w:rPr>
          <w:rFonts w:hAnsi="宋体"/>
          <w:bCs/>
          <w:color w:val="auto"/>
          <w:sz w:val="21"/>
          <w:szCs w:val="21"/>
        </w:rPr>
      </w:pPr>
      <w:r>
        <w:rPr>
          <w:rFonts w:hint="eastAsia" w:hAnsi="宋体"/>
          <w:b/>
          <w:bCs/>
          <w:color w:val="auto"/>
          <w:sz w:val="21"/>
          <w:szCs w:val="21"/>
        </w:rPr>
        <w:t>附录1的要求为强制性条件，其中任何一条不满足要求，则按否决报价处理。</w:t>
      </w:r>
    </w:p>
    <w:p>
      <w:pPr>
        <w:pStyle w:val="2"/>
        <w:ind w:firstLine="420"/>
      </w:pPr>
    </w:p>
    <w:p>
      <w:pPr>
        <w:pStyle w:val="2"/>
      </w:pPr>
    </w:p>
    <w:p>
      <w:pPr>
        <w:outlineLvl w:val="1"/>
        <w:rPr>
          <w:rFonts w:ascii="宋体" w:hAnsi="宋体" w:cs="宋体"/>
          <w:b/>
          <w:sz w:val="28"/>
          <w:szCs w:val="28"/>
        </w:rPr>
        <w:sectPr>
          <w:pgSz w:w="11906" w:h="16838"/>
          <w:pgMar w:top="1418" w:right="1134" w:bottom="1418" w:left="1134" w:header="851" w:footer="992" w:gutter="0"/>
          <w:cols w:space="720" w:num="1"/>
          <w:docGrid w:type="lines" w:linePitch="312" w:charSpace="0"/>
        </w:sectPr>
      </w:pPr>
    </w:p>
    <w:p>
      <w:pPr>
        <w:pStyle w:val="4"/>
        <w:rPr>
          <w:rFonts w:hAnsi="宋体"/>
          <w:b w:val="0"/>
          <w:sz w:val="28"/>
          <w:szCs w:val="28"/>
        </w:rPr>
      </w:pPr>
      <w:bookmarkStart w:id="108" w:name="_Toc4169"/>
      <w:bookmarkStart w:id="109" w:name="_Toc6096"/>
      <w:bookmarkStart w:id="110" w:name="_Toc17384"/>
      <w:r>
        <w:rPr>
          <w:rFonts w:hint="eastAsia" w:ascii="宋体" w:hAnsi="宋体" w:eastAsia="宋体" w:cs="宋体"/>
          <w:bCs w:val="0"/>
          <w:sz w:val="28"/>
          <w:szCs w:val="28"/>
        </w:rPr>
        <w:t>附录</w:t>
      </w:r>
      <w:r>
        <w:rPr>
          <w:rFonts w:ascii="宋体" w:hAnsi="宋体" w:eastAsia="宋体" w:cs="宋体"/>
          <w:bCs w:val="0"/>
          <w:sz w:val="28"/>
          <w:szCs w:val="28"/>
        </w:rPr>
        <w:t>2</w:t>
      </w:r>
      <w:r>
        <w:rPr>
          <w:rFonts w:hint="eastAsia" w:ascii="宋体" w:hAnsi="宋体" w:eastAsia="宋体" w:cs="宋体"/>
          <w:bCs w:val="0"/>
          <w:sz w:val="28"/>
          <w:szCs w:val="28"/>
        </w:rPr>
        <w:t xml:space="preserve"> 资格审查文件（测试和检测设备要求）</w:t>
      </w:r>
      <w:bookmarkEnd w:id="108"/>
      <w:bookmarkEnd w:id="109"/>
      <w:bookmarkEnd w:id="110"/>
    </w:p>
    <w:tbl>
      <w:tblPr>
        <w:tblStyle w:val="44"/>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rPr>
            </w:pPr>
            <w:r>
              <w:rPr>
                <w:rFonts w:hint="eastAsia" w:ascii="宋体" w:hAnsi="宋体" w:cs="宋体"/>
                <w:szCs w:val="21"/>
              </w:rPr>
              <w:t>主要试验检测设备要求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pPr>
            <w:r>
              <w:rPr>
                <w:rFonts w:hint="eastAsia" w:ascii="宋体" w:hAnsi="宋体" w:cs="宋体"/>
                <w:caps/>
                <w:szCs w:val="21"/>
              </w:rPr>
              <w:t xml:space="preserve">需根据项目要求自备测试和检测设备，以推进项目顺利实施。 </w:t>
            </w:r>
          </w:p>
        </w:tc>
      </w:tr>
    </w:tbl>
    <w:p>
      <w:pPr>
        <w:spacing w:line="400" w:lineRule="exact"/>
        <w:ind w:firstLine="420"/>
        <w:rPr>
          <w:rFonts w:ascii="宋体" w:hAnsi="宋体" w:cs="宋体"/>
          <w:kern w:val="0"/>
          <w:szCs w:val="21"/>
        </w:rPr>
      </w:pPr>
      <w:r>
        <w:rPr>
          <w:rFonts w:hint="eastAsia" w:ascii="宋体" w:hAnsi="宋体" w:cs="宋体"/>
          <w:bCs/>
          <w:kern w:val="0"/>
          <w:szCs w:val="21"/>
        </w:rPr>
        <w:t>注：以上</w:t>
      </w:r>
      <w:r>
        <w:rPr>
          <w:rFonts w:hint="eastAsia" w:ascii="宋体" w:hAnsi="宋体" w:cs="宋体"/>
          <w:kern w:val="0"/>
        </w:rPr>
        <w:t>由投标人</w:t>
      </w:r>
      <w:r>
        <w:rPr>
          <w:rFonts w:hint="eastAsia" w:ascii="宋体" w:hAnsi="宋体" w:cs="宋体"/>
          <w:b/>
          <w:kern w:val="0"/>
        </w:rPr>
        <w:t>自行承诺</w:t>
      </w:r>
      <w:r>
        <w:rPr>
          <w:rFonts w:hint="eastAsia" w:ascii="宋体" w:hAnsi="宋体" w:cs="宋体"/>
          <w:kern w:val="0"/>
        </w:rPr>
        <w:t>，</w:t>
      </w:r>
      <w:r>
        <w:rPr>
          <w:rFonts w:hint="eastAsia" w:ascii="宋体" w:hAnsi="宋体" w:cs="宋体"/>
          <w:kern w:val="0"/>
          <w:szCs w:val="21"/>
        </w:rPr>
        <w:t>无需提供有关证明资料，并加盖单位鲜公章。</w:t>
      </w:r>
    </w:p>
    <w:p>
      <w:pPr>
        <w:pStyle w:val="150"/>
        <w:adjustRightInd/>
        <w:spacing w:line="360" w:lineRule="auto"/>
        <w:jc w:val="both"/>
        <w:rPr>
          <w:rFonts w:hAnsi="宋体"/>
          <w:bCs/>
          <w:color w:val="auto"/>
          <w:sz w:val="21"/>
          <w:szCs w:val="21"/>
        </w:rPr>
      </w:pPr>
    </w:p>
    <w:bookmarkEnd w:id="106"/>
    <w:bookmarkEnd w:id="107"/>
    <w:p>
      <w:pPr>
        <w:spacing w:line="440" w:lineRule="exact"/>
        <w:rPr>
          <w:rFonts w:ascii="宋体" w:hAnsi="宋体" w:cs="宋体"/>
          <w:szCs w:val="21"/>
        </w:rPr>
        <w:sectPr>
          <w:footerReference r:id="rId8" w:type="default"/>
          <w:pgSz w:w="11906" w:h="16838"/>
          <w:pgMar w:top="1440" w:right="1800" w:bottom="1440" w:left="1800" w:header="851" w:footer="992" w:gutter="0"/>
          <w:cols w:space="720" w:num="1"/>
          <w:titlePg/>
          <w:docGrid w:type="lines" w:linePitch="312" w:charSpace="0"/>
        </w:sectPr>
      </w:pPr>
    </w:p>
    <w:p>
      <w:pPr>
        <w:rPr>
          <w:rFonts w:ascii="宋体" w:hAnsi="宋体" w:cs="宋体"/>
        </w:rPr>
      </w:pPr>
      <w:bookmarkStart w:id="111" w:name="_Toc246996973"/>
      <w:bookmarkStart w:id="112" w:name="_Toc152045587"/>
      <w:bookmarkStart w:id="113" w:name="_Toc246996230"/>
      <w:bookmarkStart w:id="114" w:name="_Toc2000406"/>
      <w:bookmarkStart w:id="115" w:name="_Toc7682"/>
      <w:bookmarkStart w:id="116" w:name="_Toc144974554"/>
      <w:bookmarkStart w:id="117" w:name="_Toc247085745"/>
      <w:bookmarkStart w:id="118" w:name="_Toc152042364"/>
      <w:bookmarkStart w:id="119" w:name="_Toc507319957"/>
      <w:bookmarkStart w:id="120" w:name="_Toc179632605"/>
      <w:r>
        <w:rPr>
          <w:rFonts w:hint="eastAsia" w:ascii="宋体" w:hAnsi="宋体" w:cs="宋体"/>
        </w:rPr>
        <w:br w:type="page"/>
      </w:r>
    </w:p>
    <w:p>
      <w:pPr>
        <w:pStyle w:val="3"/>
        <w:spacing w:before="0" w:after="0" w:line="360" w:lineRule="auto"/>
        <w:jc w:val="center"/>
        <w:rPr>
          <w:rFonts w:ascii="宋体" w:hAnsi="宋体" w:cs="宋体"/>
        </w:rPr>
      </w:pPr>
      <w:r>
        <w:rPr>
          <w:rFonts w:hint="eastAsia" w:ascii="宋体" w:hAnsi="宋体" w:cs="宋体"/>
        </w:rPr>
        <w:t>第三章 评标办法（经评审的最低投标价法）</w:t>
      </w:r>
      <w:bookmarkEnd w:id="111"/>
      <w:bookmarkEnd w:id="112"/>
      <w:bookmarkEnd w:id="113"/>
      <w:bookmarkEnd w:id="114"/>
      <w:bookmarkEnd w:id="115"/>
      <w:bookmarkEnd w:id="116"/>
      <w:bookmarkEnd w:id="117"/>
      <w:bookmarkEnd w:id="118"/>
      <w:bookmarkEnd w:id="119"/>
      <w:bookmarkEnd w:id="120"/>
    </w:p>
    <w:p/>
    <w:tbl>
      <w:tblPr>
        <w:tblStyle w:val="44"/>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rPr>
            </w:pPr>
            <w:r>
              <w:rPr>
                <w:b/>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rPr>
            </w:pPr>
            <w:r>
              <w:rPr>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pPr>
            <w:r>
              <w:t>1</w:t>
            </w:r>
          </w:p>
        </w:tc>
        <w:tc>
          <w:tcPr>
            <w:tcW w:w="1124" w:type="dxa"/>
            <w:tcBorders>
              <w:top w:val="single" w:color="auto" w:sz="4" w:space="0"/>
              <w:left w:val="single" w:color="auto" w:sz="4" w:space="0"/>
              <w:right w:val="single" w:color="auto" w:sz="4" w:space="0"/>
            </w:tcBorders>
            <w:vAlign w:val="center"/>
          </w:tcPr>
          <w:p>
            <w:pPr>
              <w:spacing w:line="400" w:lineRule="exact"/>
              <w:jc w:val="center"/>
            </w:pPr>
            <w: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中标候选人排序方法</w:t>
            </w:r>
          </w:p>
        </w:tc>
        <w:tc>
          <w:tcPr>
            <w:tcW w:w="5004" w:type="dxa"/>
            <w:tcBorders>
              <w:top w:val="single" w:color="auto" w:sz="4" w:space="0"/>
              <w:left w:val="single" w:color="auto" w:sz="4" w:space="0"/>
              <w:bottom w:val="single" w:color="auto" w:sz="4" w:space="0"/>
            </w:tcBorders>
          </w:tcPr>
          <w:p>
            <w:pPr>
              <w:spacing w:line="360" w:lineRule="auto"/>
            </w:pPr>
            <w:r>
              <w:t>如出现报价相等时，评审小组按以下原则确定第一中标候选人：</w:t>
            </w:r>
          </w:p>
          <w:p>
            <w:pPr>
              <w:spacing w:line="360" w:lineRule="auto"/>
              <w:ind w:firstLine="210" w:firstLineChars="100"/>
            </w:pPr>
            <w:r>
              <w:rPr>
                <w:rFonts w:hint="eastAsia"/>
              </w:rPr>
              <w:t>评标小组投票推荐的投标人为第一中标候选人</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pPr>
            <w:r>
              <w:rPr>
                <w:rFonts w:hint="eastAsia"/>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pPr>
            <w: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投标人</w:t>
            </w:r>
            <w:r>
              <w:t>名称</w:t>
            </w:r>
          </w:p>
        </w:tc>
        <w:tc>
          <w:tcPr>
            <w:tcW w:w="5004" w:type="dxa"/>
            <w:tcBorders>
              <w:top w:val="single" w:color="auto" w:sz="4" w:space="0"/>
              <w:left w:val="single" w:color="auto" w:sz="4" w:space="0"/>
              <w:bottom w:val="single" w:color="auto" w:sz="4" w:space="0"/>
            </w:tcBorders>
            <w:vAlign w:val="center"/>
          </w:tcPr>
          <w:p>
            <w:pPr>
              <w:spacing w:line="400" w:lineRule="exact"/>
            </w:pPr>
            <w: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函签字盖章</w:t>
            </w:r>
          </w:p>
        </w:tc>
        <w:tc>
          <w:tcPr>
            <w:tcW w:w="5004" w:type="dxa"/>
            <w:tcBorders>
              <w:top w:val="single" w:color="auto" w:sz="4" w:space="0"/>
              <w:left w:val="single" w:color="auto" w:sz="4" w:space="0"/>
              <w:bottom w:val="single" w:color="auto" w:sz="4" w:space="0"/>
            </w:tcBorders>
            <w:vAlign w:val="center"/>
          </w:tcPr>
          <w:p>
            <w:pPr>
              <w:spacing w:line="400" w:lineRule="exact"/>
            </w:pPr>
            <w: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竞争性</w:t>
            </w:r>
            <w: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pPr>
            <w:r>
              <w:t>符合第</w:t>
            </w:r>
            <w:r>
              <w:rPr>
                <w:rFonts w:hint="eastAsia"/>
              </w:rPr>
              <w:t>七</w:t>
            </w:r>
            <w:r>
              <w:t>章“</w:t>
            </w:r>
            <w:r>
              <w:rPr>
                <w:rFonts w:hint="eastAsia"/>
              </w:rPr>
              <w:t>竞争性</w:t>
            </w:r>
            <w:r>
              <w:t>比选响应文件格式”的要求，字迹清晰可辨。</w:t>
            </w:r>
          </w:p>
          <w:p>
            <w:pPr>
              <w:spacing w:line="400" w:lineRule="exact"/>
            </w:pPr>
            <w:r>
              <w:t>1.</w:t>
            </w:r>
            <w:r>
              <w:rPr>
                <w:rFonts w:hint="eastAsia"/>
              </w:rPr>
              <w:t>报价</w:t>
            </w:r>
            <w:r>
              <w:t>函的所有数据均符合</w:t>
            </w:r>
            <w:r>
              <w:rPr>
                <w:rFonts w:hint="eastAsia"/>
              </w:rPr>
              <w:t>比选</w:t>
            </w:r>
            <w:r>
              <w:t>文件的规定；</w:t>
            </w:r>
          </w:p>
          <w:p>
            <w:pPr>
              <w:spacing w:line="400" w:lineRule="exact"/>
            </w:pPr>
            <w:r>
              <w:t>2.</w:t>
            </w:r>
            <w:r>
              <w:rPr>
                <w:rFonts w:hint="eastAsia"/>
              </w:rPr>
              <w:t>竞争性</w:t>
            </w:r>
            <w: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rPr>
                <w:rFonts w:hint="eastAsia"/>
              </w:rPr>
              <w:t>项目需求</w:t>
            </w:r>
          </w:p>
        </w:tc>
        <w:tc>
          <w:tcPr>
            <w:tcW w:w="5004" w:type="dxa"/>
            <w:tcBorders>
              <w:top w:val="single" w:color="auto" w:sz="4" w:space="0"/>
              <w:left w:val="single" w:color="auto" w:sz="4" w:space="0"/>
              <w:bottom w:val="single" w:color="auto" w:sz="4" w:space="0"/>
            </w:tcBorders>
            <w:vAlign w:val="center"/>
          </w:tcPr>
          <w:p>
            <w:pPr>
              <w:spacing w:line="440" w:lineRule="exact"/>
            </w:pPr>
            <w:r>
              <w:t>符合第五章“</w:t>
            </w:r>
            <w:r>
              <w:rPr>
                <w:rFonts w:hint="eastAsia"/>
              </w:rPr>
              <w:t>项目技术需求</w:t>
            </w:r>
            <w:r>
              <w:t>”</w:t>
            </w:r>
            <w:r>
              <w:rPr>
                <w:rFonts w:hint="eastAsia"/>
              </w:rPr>
              <w:t>的相关要求。该项提供承诺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报价其它要求</w:t>
            </w:r>
          </w:p>
        </w:tc>
        <w:tc>
          <w:tcPr>
            <w:tcW w:w="5004" w:type="dxa"/>
            <w:tcBorders>
              <w:top w:val="single" w:color="auto" w:sz="4" w:space="0"/>
              <w:left w:val="single" w:color="auto" w:sz="4" w:space="0"/>
              <w:bottom w:val="single" w:color="auto" w:sz="4" w:space="0"/>
            </w:tcBorders>
            <w:vAlign w:val="center"/>
          </w:tcPr>
          <w:p>
            <w:pPr>
              <w:spacing w:line="440" w:lineRule="exact"/>
            </w:pPr>
            <w:r>
              <w:rPr>
                <w:rFonts w:hint="eastAsia"/>
              </w:rPr>
              <w:t>竞争性</w:t>
            </w:r>
            <w:r>
              <w:t>比选响应文件报价表中的报价与</w:t>
            </w:r>
            <w:r>
              <w:rPr>
                <w:rFonts w:hint="eastAsia"/>
              </w:rPr>
              <w:t>报价</w:t>
            </w:r>
            <w: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rPr>
                <w:rFonts w:hint="eastAsia"/>
              </w:rPr>
              <w:t>竞争性</w:t>
            </w:r>
            <w: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pPr>
            <w:r>
              <w:rPr>
                <w:rFonts w:hint="eastAsia"/>
              </w:rPr>
              <w:t>竞争性</w:t>
            </w:r>
            <w:r>
              <w:t>比选响应文件正本中法定代表人或授权代理人签署姓名齐全，符合</w:t>
            </w:r>
            <w:r>
              <w:rPr>
                <w:rFonts w:hint="eastAsia"/>
              </w:rPr>
              <w:t>比选</w:t>
            </w:r>
            <w: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t>其它材料</w:t>
            </w:r>
          </w:p>
        </w:tc>
        <w:tc>
          <w:tcPr>
            <w:tcW w:w="5004" w:type="dxa"/>
            <w:tcBorders>
              <w:top w:val="single" w:color="auto" w:sz="4" w:space="0"/>
              <w:left w:val="single" w:color="auto" w:sz="4" w:space="0"/>
            </w:tcBorders>
            <w:vAlign w:val="center"/>
          </w:tcPr>
          <w:p>
            <w:pPr>
              <w:spacing w:line="400" w:lineRule="exact"/>
            </w:pPr>
            <w:r>
              <w:t>与</w:t>
            </w:r>
            <w:r>
              <w:rPr>
                <w:rFonts w:hint="eastAsia"/>
              </w:rPr>
              <w:t>招标人</w:t>
            </w:r>
            <w:r>
              <w:t>存在利害关系可能影响</w:t>
            </w:r>
            <w:r>
              <w:rPr>
                <w:rFonts w:hint="eastAsia"/>
              </w:rPr>
              <w:t>比选</w:t>
            </w:r>
            <w:r>
              <w:t>公正性的法人、其他组织或者个人，不得参加</w:t>
            </w:r>
            <w:r>
              <w:rPr>
                <w:rFonts w:hint="eastAsia"/>
              </w:rPr>
              <w:t>报价</w:t>
            </w:r>
            <w:r>
              <w:t>；单位负责人为同一人或者存在控股、管理关系的不同单位，不得同时参加</w:t>
            </w:r>
            <w:r>
              <w:rPr>
                <w:rFonts w:hint="eastAsia"/>
              </w:rPr>
              <w:t>报价</w:t>
            </w:r>
            <w:r>
              <w:t>，否则相关</w:t>
            </w:r>
            <w:r>
              <w:rPr>
                <w:rFonts w:hint="eastAsia"/>
              </w:rPr>
              <w:t>报价</w:t>
            </w:r>
            <w: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资质要求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w:t>
            </w:r>
            <w:r>
              <w:rPr>
                <w:rFonts w:hint="eastAsia"/>
              </w:rPr>
              <w:t>二</w:t>
            </w:r>
            <w:r>
              <w:t>章“</w:t>
            </w:r>
            <w:r>
              <w:rPr>
                <w:rFonts w:hint="eastAsia"/>
              </w:rPr>
              <w:t>投标人</w:t>
            </w:r>
            <w:r>
              <w:t>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业绩要求</w:t>
            </w:r>
          </w:p>
        </w:tc>
        <w:tc>
          <w:tcPr>
            <w:tcW w:w="5004" w:type="dxa"/>
            <w:tcBorders>
              <w:top w:val="single" w:color="auto" w:sz="4" w:space="0"/>
              <w:left w:val="single" w:color="auto" w:sz="4" w:space="0"/>
              <w:bottom w:val="single" w:color="auto" w:sz="4" w:space="0"/>
            </w:tcBorders>
          </w:tcPr>
          <w:p>
            <w:pPr>
              <w:spacing w:line="400" w:lineRule="exact"/>
            </w:pPr>
            <w:r>
              <w:t>符合第二章“</w:t>
            </w:r>
            <w:r>
              <w:rPr>
                <w:rFonts w:hint="eastAsia"/>
              </w:rPr>
              <w:t>投标人</w:t>
            </w:r>
            <w:r>
              <w:t>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信誉要求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投标人</w:t>
            </w:r>
            <w:r>
              <w:t>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项目主要管理人员</w:t>
            </w:r>
            <w:r>
              <w:t>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投标人</w:t>
            </w:r>
            <w:r>
              <w:t>须知”前附表附录</w:t>
            </w:r>
            <w:r>
              <w:rPr>
                <w:rFonts w:hint="eastAsia"/>
              </w:rPr>
              <w:t>1</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rPr>
            </w:pPr>
            <w:r>
              <w:rPr>
                <w:rFonts w:hint="eastAsia"/>
                <w:kern w:val="1"/>
              </w:rPr>
              <w:t>测试和检测设备要求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投标人</w:t>
            </w:r>
            <w:r>
              <w:t>须知”前附表附录2的规定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投标内容</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投标人</w:t>
            </w:r>
            <w:r>
              <w:t>须知”第</w:t>
            </w:r>
            <w:r>
              <w:rPr>
                <w:rFonts w:hint="eastAsia"/>
              </w:rPr>
              <w:t>4</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报价</w:t>
            </w:r>
          </w:p>
        </w:tc>
        <w:tc>
          <w:tcPr>
            <w:tcW w:w="5004" w:type="dxa"/>
            <w:tcBorders>
              <w:top w:val="single" w:color="auto" w:sz="4" w:space="0"/>
              <w:left w:val="single" w:color="auto" w:sz="4" w:space="0"/>
              <w:bottom w:val="single" w:color="auto" w:sz="4" w:space="0"/>
            </w:tcBorders>
            <w:vAlign w:val="center"/>
          </w:tcPr>
          <w:p>
            <w:pPr>
              <w:spacing w:line="400" w:lineRule="exact"/>
            </w:pPr>
            <w:r>
              <w:t>符合比选文件给出的范围及数量，且报价不得超过</w:t>
            </w:r>
            <w:r>
              <w:rPr>
                <w:rFonts w:hint="eastAsia"/>
              </w:rPr>
              <w:t>招标人</w:t>
            </w:r>
            <w:r>
              <w:t>公布的最高限价，但也不得低于</w:t>
            </w:r>
            <w:r>
              <w:rPr>
                <w:rFonts w:hint="eastAsia"/>
              </w:rPr>
              <w:t>投标人</w:t>
            </w:r>
            <w:r>
              <w:t>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工期</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投标人</w:t>
            </w:r>
            <w:r>
              <w:t>须知”第</w:t>
            </w:r>
            <w:r>
              <w:rPr>
                <w:rFonts w:hint="eastAsia"/>
              </w:rPr>
              <w:t>5</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质量标准</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投标人</w:t>
            </w:r>
            <w:r>
              <w:t>须知”第</w:t>
            </w:r>
            <w:r>
              <w:rPr>
                <w:rFonts w:hint="eastAsia"/>
              </w:rPr>
              <w:t>6</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安全目标</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投标人</w:t>
            </w:r>
            <w:r>
              <w:t>须知”第</w:t>
            </w:r>
            <w:r>
              <w:rPr>
                <w:rFonts w:hint="eastAsia"/>
              </w:rPr>
              <w:t>7</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pPr>
            <w:r>
              <w:rPr>
                <w:rFonts w:hint="eastAsia"/>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pPr>
            <w:r>
              <w:t>补充细化：</w:t>
            </w:r>
          </w:p>
          <w:p>
            <w:pPr>
              <w:spacing w:line="400" w:lineRule="exact"/>
              <w:ind w:firstLine="420" w:firstLineChars="200"/>
            </w:pPr>
            <w:r>
              <w:t>本项目评标采用经评审的最低投标价法，对通过初步评审、详细评审的</w:t>
            </w:r>
            <w:r>
              <w:rPr>
                <w:rFonts w:hint="eastAsia"/>
              </w:rPr>
              <w:t>投标人</w:t>
            </w:r>
            <w:r>
              <w:t>按照</w:t>
            </w:r>
            <w:r>
              <w:rPr>
                <w:rFonts w:hint="eastAsia"/>
              </w:rPr>
              <w:t>报</w:t>
            </w:r>
            <w:r>
              <w:t>价从低到高的先后顺序，推荐</w:t>
            </w:r>
            <w:r>
              <w:rPr>
                <w:rFonts w:hint="eastAsia"/>
              </w:rPr>
              <w:t>1</w:t>
            </w:r>
            <w:r>
              <w:t>名中标候选人。</w:t>
            </w:r>
          </w:p>
        </w:tc>
      </w:tr>
    </w:tbl>
    <w:p>
      <w:pPr>
        <w:spacing w:line="440" w:lineRule="exact"/>
        <w:ind w:firstLine="210" w:firstLineChars="100"/>
        <w:rPr>
          <w:rFonts w:ascii="宋体" w:hAnsi="宋体" w:cs="宋体"/>
        </w:rPr>
      </w:pPr>
    </w:p>
    <w:p>
      <w:pPr>
        <w:pStyle w:val="12"/>
        <w:rPr>
          <w:rFonts w:ascii="宋体" w:hAnsi="宋体" w:cs="宋体"/>
        </w:rPr>
      </w:pPr>
    </w:p>
    <w:p>
      <w:pPr>
        <w:rPr>
          <w:rFonts w:ascii="宋体" w:hAnsi="宋体" w:cs="宋体"/>
        </w:rPr>
      </w:pPr>
    </w:p>
    <w:p>
      <w:pPr>
        <w:pStyle w:val="12"/>
        <w:rPr>
          <w:rFonts w:ascii="宋体" w:hAnsi="宋体" w:cs="宋体"/>
        </w:rPr>
      </w:pPr>
    </w:p>
    <w:p>
      <w:pPr>
        <w:rPr>
          <w:rFonts w:ascii="宋体" w:hAnsi="宋体" w:cs="宋体"/>
        </w:rPr>
      </w:pPr>
    </w:p>
    <w:p>
      <w:pPr>
        <w:pStyle w:val="12"/>
        <w:rPr>
          <w:rFonts w:ascii="宋体" w:hAnsi="宋体" w:cs="宋体"/>
        </w:rPr>
      </w:pPr>
    </w:p>
    <w:p>
      <w:pPr>
        <w:rPr>
          <w:rFonts w:ascii="宋体" w:hAnsi="宋体" w:cs="宋体"/>
        </w:rPr>
      </w:pPr>
    </w:p>
    <w:p>
      <w:pPr>
        <w:pStyle w:val="12"/>
        <w:rPr>
          <w:rFonts w:ascii="宋体" w:hAnsi="宋体" w:cs="宋体"/>
        </w:rPr>
      </w:pPr>
    </w:p>
    <w:p>
      <w:pPr>
        <w:rPr>
          <w:rFonts w:ascii="宋体" w:hAnsi="宋体" w:cs="宋体"/>
        </w:rPr>
      </w:pPr>
    </w:p>
    <w:p>
      <w:pPr>
        <w:pStyle w:val="12"/>
        <w:rPr>
          <w:rFonts w:ascii="宋体" w:hAnsi="宋体" w:cs="宋体"/>
        </w:rPr>
      </w:pPr>
    </w:p>
    <w:p>
      <w:pPr>
        <w:rPr>
          <w:rFonts w:ascii="宋体" w:hAnsi="宋体" w:cs="宋体"/>
        </w:rPr>
      </w:pPr>
    </w:p>
    <w:p>
      <w:pPr>
        <w:pStyle w:val="12"/>
        <w:rPr>
          <w:rFonts w:ascii="宋体" w:hAnsi="宋体" w:cs="宋体"/>
        </w:rPr>
      </w:pPr>
    </w:p>
    <w:p>
      <w:pPr>
        <w:rPr>
          <w:rFonts w:ascii="宋体" w:hAnsi="宋体" w:cs="宋体"/>
        </w:rPr>
      </w:pPr>
    </w:p>
    <w:p>
      <w:pPr>
        <w:pStyle w:val="12"/>
        <w:rPr>
          <w:rFonts w:ascii="宋体" w:hAnsi="宋体" w:cs="宋体"/>
        </w:rPr>
      </w:pPr>
    </w:p>
    <w:p>
      <w:pPr>
        <w:rPr>
          <w:rFonts w:ascii="宋体" w:hAnsi="宋体" w:cs="宋体"/>
        </w:rPr>
      </w:pPr>
    </w:p>
    <w:p>
      <w:pPr>
        <w:pStyle w:val="12"/>
        <w:rPr>
          <w:rFonts w:ascii="宋体" w:hAnsi="宋体" w:cs="宋体"/>
        </w:rPr>
      </w:pPr>
    </w:p>
    <w:p>
      <w:pPr>
        <w:rPr>
          <w:rFonts w:ascii="宋体" w:hAnsi="宋体" w:cs="宋体"/>
        </w:rPr>
      </w:pPr>
    </w:p>
    <w:p>
      <w:pPr>
        <w:pStyle w:val="12"/>
        <w:rPr>
          <w:rFonts w:ascii="宋体" w:hAnsi="宋体" w:cs="宋体"/>
        </w:rPr>
      </w:pPr>
    </w:p>
    <w:p>
      <w:pPr>
        <w:rPr>
          <w:rFonts w:ascii="宋体" w:hAnsi="宋体" w:cs="宋体"/>
        </w:rPr>
      </w:pPr>
    </w:p>
    <w:p>
      <w:pPr>
        <w:pStyle w:val="12"/>
        <w:rPr>
          <w:rFonts w:ascii="宋体" w:hAnsi="宋体" w:cs="宋体"/>
        </w:rPr>
      </w:pPr>
    </w:p>
    <w:p>
      <w:pPr>
        <w:rPr>
          <w:rFonts w:ascii="宋体" w:hAnsi="宋体" w:cs="宋体"/>
        </w:rPr>
      </w:pPr>
    </w:p>
    <w:p>
      <w:pPr>
        <w:pStyle w:val="12"/>
        <w:rPr>
          <w:rFonts w:ascii="宋体" w:hAnsi="宋体" w:cs="宋体"/>
        </w:rPr>
      </w:pPr>
    </w:p>
    <w:p>
      <w:pPr>
        <w:rPr>
          <w:rFonts w:ascii="宋体" w:hAnsi="宋体" w:cs="宋体"/>
        </w:rPr>
      </w:pPr>
    </w:p>
    <w:p>
      <w:pPr>
        <w:pStyle w:val="12"/>
        <w:rPr>
          <w:rFonts w:ascii="宋体" w:hAnsi="宋体" w:cs="宋体"/>
        </w:rPr>
      </w:pPr>
    </w:p>
    <w:p>
      <w:pPr>
        <w:rPr>
          <w:rFonts w:ascii="宋体" w:hAnsi="宋体" w:cs="宋体"/>
        </w:rPr>
      </w:pPr>
    </w:p>
    <w:p>
      <w:pPr>
        <w:pStyle w:val="12"/>
        <w:rPr>
          <w:rFonts w:ascii="宋体" w:hAnsi="宋体" w:cs="宋体"/>
        </w:rPr>
      </w:pPr>
    </w:p>
    <w:p>
      <w:pPr>
        <w:rPr>
          <w:rFonts w:ascii="宋体" w:hAnsi="宋体" w:cs="宋体"/>
        </w:rPr>
      </w:pPr>
    </w:p>
    <w:p>
      <w:pPr>
        <w:pStyle w:val="12"/>
        <w:rPr>
          <w:rFonts w:ascii="宋体" w:hAnsi="宋体" w:cs="宋体"/>
        </w:rPr>
      </w:pPr>
    </w:p>
    <w:p/>
    <w:p>
      <w:pPr>
        <w:pStyle w:val="2"/>
        <w:jc w:val="center"/>
        <w:rPr>
          <w:rStyle w:val="83"/>
          <w:b/>
          <w:bCs/>
        </w:rPr>
      </w:pPr>
      <w:bookmarkStart w:id="121" w:name="_Toc13787"/>
    </w:p>
    <w:p>
      <w:pPr>
        <w:pStyle w:val="3"/>
        <w:spacing w:before="0" w:after="0" w:line="360" w:lineRule="auto"/>
        <w:jc w:val="center"/>
        <w:rPr>
          <w:rFonts w:ascii="宋体" w:hAnsi="宋体" w:cs="宋体"/>
        </w:rPr>
      </w:pPr>
      <w:r>
        <w:rPr>
          <w:rFonts w:hint="eastAsia" w:ascii="宋体" w:hAnsi="宋体" w:cs="宋体"/>
        </w:rPr>
        <w:t>第四章 报价说明</w:t>
      </w:r>
      <w:bookmarkEnd w:id="121"/>
    </w:p>
    <w:p>
      <w:pPr>
        <w:pStyle w:val="2"/>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本次报价为人民币报价，包含：包含人工、搬运、吊装、拆卸、安装调试、检测费、税费等直至交付使用的所有费用。因投标人自身原因造成漏报、少报皆由其自行承担责任，招标人不再补偿。</w:t>
      </w:r>
    </w:p>
    <w:p>
      <w:pPr>
        <w:ind w:firstLine="420" w:firstLineChars="200"/>
        <w:rPr>
          <w:rFonts w:hint="default" w:eastAsia="宋体"/>
          <w:lang w:val="en-US" w:eastAsia="zh-CN"/>
        </w:rPr>
      </w:pPr>
      <w:r>
        <w:rPr>
          <w:rFonts w:hint="eastAsia" w:ascii="宋体" w:hAnsi="宋体" w:cs="宋体"/>
          <w:b w:val="0"/>
          <w:bCs w:val="0"/>
          <w:sz w:val="21"/>
          <w:szCs w:val="21"/>
          <w:lang w:val="en-US" w:eastAsia="zh-CN"/>
        </w:rPr>
        <w:t>报价表详见第七章报价一览表。</w:t>
      </w:r>
    </w:p>
    <w:p/>
    <w:p>
      <w:pPr>
        <w:rPr>
          <w:rFonts w:ascii="宋体" w:hAnsi="宋体" w:cs="宋体"/>
        </w:rPr>
      </w:pPr>
      <w:bookmarkStart w:id="122" w:name="_Toc246996340"/>
      <w:bookmarkStart w:id="123" w:name="_Toc152045772"/>
      <w:bookmarkStart w:id="124" w:name="_Toc24503"/>
      <w:bookmarkStart w:id="125" w:name="_Toc179632789"/>
      <w:bookmarkStart w:id="126" w:name="_Toc144974834"/>
      <w:bookmarkStart w:id="127" w:name="_Toc246997083"/>
      <w:bookmarkStart w:id="128" w:name="_Toc2000409"/>
      <w:bookmarkStart w:id="129" w:name="_Toc247085855"/>
      <w:bookmarkStart w:id="130" w:name="_Toc514858705"/>
      <w:bookmarkStart w:id="131" w:name="_Toc152042554"/>
      <w:bookmarkStart w:id="132" w:name="_Toc246996354"/>
      <w:bookmarkStart w:id="133" w:name="_Toc247085872"/>
      <w:bookmarkStart w:id="134" w:name="_Toc152042575"/>
      <w:bookmarkStart w:id="135" w:name="_Toc144974855"/>
      <w:bookmarkStart w:id="136" w:name="_Toc179632806"/>
      <w:bookmarkStart w:id="137" w:name="_Toc246997097"/>
      <w:bookmarkStart w:id="138" w:name="_Toc152045786"/>
      <w:r>
        <w:rPr>
          <w:rFonts w:hint="eastAsia" w:ascii="宋体" w:hAnsi="宋体" w:cs="宋体"/>
        </w:rPr>
        <w:br w:type="page"/>
      </w:r>
    </w:p>
    <w:p>
      <w:pPr>
        <w:pStyle w:val="3"/>
        <w:spacing w:before="0" w:after="0" w:line="360" w:lineRule="auto"/>
        <w:jc w:val="center"/>
        <w:rPr>
          <w:rFonts w:ascii="宋体" w:hAnsi="宋体" w:cs="宋体"/>
        </w:rPr>
      </w:pPr>
      <w:r>
        <w:rPr>
          <w:rFonts w:hint="eastAsia" w:ascii="宋体" w:hAnsi="宋体" w:cs="宋体"/>
        </w:rPr>
        <w:t xml:space="preserve">第五章 </w:t>
      </w:r>
      <w:bookmarkEnd w:id="122"/>
      <w:bookmarkEnd w:id="123"/>
      <w:bookmarkEnd w:id="124"/>
      <w:bookmarkEnd w:id="125"/>
      <w:bookmarkEnd w:id="126"/>
      <w:bookmarkEnd w:id="127"/>
      <w:bookmarkEnd w:id="128"/>
      <w:bookmarkEnd w:id="129"/>
      <w:bookmarkEnd w:id="130"/>
      <w:bookmarkEnd w:id="131"/>
      <w:r>
        <w:rPr>
          <w:rFonts w:hint="eastAsia" w:ascii="宋体" w:hAnsi="宋体" w:cs="宋体"/>
        </w:rPr>
        <w:t>项目技术需求</w:t>
      </w:r>
    </w:p>
    <w:p>
      <w:pPr>
        <w:ind w:firstLine="420"/>
        <w:jc w:val="left"/>
        <w:rPr>
          <w:rFonts w:ascii="宋体" w:hAnsi="宋体" w:cs="宋体"/>
          <w:b/>
        </w:rPr>
      </w:pPr>
      <w:bookmarkStart w:id="139" w:name="_Toc247085866"/>
      <w:bookmarkStart w:id="140" w:name="_Toc247096438"/>
      <w:bookmarkStart w:id="141" w:name="_Toc152045782"/>
      <w:bookmarkStart w:id="142" w:name="_Toc152042571"/>
      <w:bookmarkStart w:id="143" w:name="_Toc246997093"/>
      <w:bookmarkStart w:id="144" w:name="_Toc144974851"/>
      <w:bookmarkStart w:id="145" w:name="_Toc179632800"/>
      <w:bookmarkStart w:id="146" w:name="_Toc246996350"/>
    </w:p>
    <w:p>
      <w:pPr>
        <w:bidi w:val="0"/>
      </w:pPr>
    </w:p>
    <w:p>
      <w:pPr>
        <w:pStyle w:val="127"/>
      </w:pPr>
      <w:r>
        <w:rPr>
          <w:rFonts w:hint="eastAsia"/>
        </w:rPr>
        <w:t>一、网络安全等级保护测评服务要求</w:t>
      </w:r>
    </w:p>
    <w:p>
      <w:pPr>
        <w:ind w:firstLine="420" w:firstLineChars="200"/>
        <w:jc w:val="left"/>
        <w:rPr>
          <w:rFonts w:asciiTheme="minorEastAsia" w:hAnsiTheme="minorEastAsia" w:eastAsiaTheme="minorEastAsia"/>
          <w:bCs/>
          <w:szCs w:val="21"/>
        </w:rPr>
      </w:pPr>
      <w:bookmarkStart w:id="147" w:name="_Toc50371525"/>
      <w:bookmarkStart w:id="148" w:name="_Toc470099669"/>
      <w:r>
        <w:rPr>
          <w:rFonts w:hint="eastAsia" w:asciiTheme="minorEastAsia" w:hAnsiTheme="minorEastAsia" w:eastAsiaTheme="minorEastAsia"/>
          <w:bCs/>
          <w:szCs w:val="21"/>
        </w:rPr>
        <w:t>1、服务内容</w:t>
      </w:r>
      <w:bookmarkEnd w:id="147"/>
      <w:bookmarkEnd w:id="148"/>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为了提升系统的安全保护能力，加强信息安全管理，根据《网络安全法》、《信息安全等级保护管理办法》、</w:t>
      </w:r>
      <w:r>
        <w:rPr>
          <w:rFonts w:asciiTheme="minorEastAsia" w:hAnsiTheme="minorEastAsia" w:eastAsiaTheme="minorEastAsia"/>
          <w:szCs w:val="21"/>
        </w:rPr>
        <w:t>GB/T 22239-2019</w:t>
      </w:r>
      <w:r>
        <w:rPr>
          <w:rFonts w:hint="eastAsia" w:asciiTheme="minorEastAsia" w:hAnsiTheme="minorEastAsia" w:eastAsiaTheme="minorEastAsia"/>
          <w:szCs w:val="21"/>
        </w:rPr>
        <w:t>《网络安全等级保护基本要求》，需要对重庆高速公路集团有限公司联网收费结算中心定级备案的</w:t>
      </w:r>
      <w:r>
        <w:rPr>
          <w:rFonts w:hint="eastAsia" w:ascii="宋体" w:hAnsi="宋体" w:cs="宋体"/>
          <w:szCs w:val="21"/>
        </w:rPr>
        <w:t>联网收费系统、重庆高速公路公众服务网（ETC发行系统）、联网监控系统、门户网站系统</w:t>
      </w:r>
      <w:r>
        <w:rPr>
          <w:rFonts w:hint="eastAsia" w:asciiTheme="minorEastAsia" w:hAnsiTheme="minorEastAsia" w:eastAsiaTheme="minorEastAsia"/>
          <w:szCs w:val="21"/>
        </w:rPr>
        <w:t>进行网络安全三级等级保护测评。通过测评，准确反映待测信息系统的安全防护能力现状，对发现的问题进行深入分析，提出安全整改建议，最终出具信息系统等级保护测评报告。</w:t>
      </w:r>
    </w:p>
    <w:p>
      <w:pPr>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2、项目测评依据</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项目依据国家《中华人民共和国计算机信息系统安全保护条例》（国务院</w:t>
      </w:r>
      <w:r>
        <w:rPr>
          <w:rFonts w:asciiTheme="minorEastAsia" w:hAnsiTheme="minorEastAsia" w:eastAsiaTheme="minorEastAsia"/>
          <w:szCs w:val="21"/>
        </w:rPr>
        <w:t>147</w:t>
      </w:r>
      <w:r>
        <w:rPr>
          <w:rFonts w:hint="eastAsia" w:asciiTheme="minorEastAsia" w:hAnsiTheme="minorEastAsia" w:eastAsiaTheme="minorEastAsia"/>
          <w:szCs w:val="21"/>
        </w:rPr>
        <w:t>号令）、《信息安全等级保护管理办法》（公通字</w:t>
      </w:r>
      <w:r>
        <w:rPr>
          <w:rFonts w:asciiTheme="minorEastAsia" w:hAnsiTheme="minorEastAsia" w:eastAsiaTheme="minorEastAsia"/>
          <w:szCs w:val="21"/>
        </w:rPr>
        <w:t>[2007]43</w:t>
      </w:r>
      <w:r>
        <w:rPr>
          <w:rFonts w:hint="eastAsia" w:asciiTheme="minorEastAsia" w:hAnsiTheme="minorEastAsia" w:eastAsiaTheme="minorEastAsia"/>
          <w:szCs w:val="21"/>
        </w:rPr>
        <w:t>号）、《中华人民共和国国家标准</w:t>
      </w:r>
      <w:r>
        <w:rPr>
          <w:rFonts w:asciiTheme="minorEastAsia" w:hAnsiTheme="minorEastAsia" w:eastAsiaTheme="minorEastAsia"/>
          <w:szCs w:val="21"/>
        </w:rPr>
        <w:t xml:space="preserve"> GB/T 22239-2019</w:t>
      </w:r>
      <w:r>
        <w:rPr>
          <w:rFonts w:hint="eastAsia" w:asciiTheme="minorEastAsia" w:hAnsiTheme="minorEastAsia" w:eastAsiaTheme="minorEastAsia"/>
          <w:szCs w:val="21"/>
        </w:rPr>
        <w:t>网络安全等级保护基本要求》、《中华人民共和国国家标准</w:t>
      </w:r>
      <w:r>
        <w:rPr>
          <w:rFonts w:asciiTheme="minorEastAsia" w:hAnsiTheme="minorEastAsia" w:eastAsiaTheme="minorEastAsia"/>
          <w:szCs w:val="21"/>
        </w:rPr>
        <w:t xml:space="preserve"> GB/T 28449-2018 </w:t>
      </w:r>
      <w:r>
        <w:rPr>
          <w:rFonts w:hint="eastAsia" w:asciiTheme="minorEastAsia" w:hAnsiTheme="minorEastAsia" w:eastAsiaTheme="minorEastAsia"/>
          <w:szCs w:val="21"/>
        </w:rPr>
        <w:t>信息系统安全等级保护测评过程指南》、《中华人民共和国国家标准</w:t>
      </w:r>
      <w:r>
        <w:rPr>
          <w:rFonts w:asciiTheme="minorEastAsia" w:hAnsiTheme="minorEastAsia" w:eastAsiaTheme="minorEastAsia"/>
          <w:szCs w:val="21"/>
        </w:rPr>
        <w:t xml:space="preserve"> GB/T 20984-2007</w:t>
      </w:r>
      <w:r>
        <w:rPr>
          <w:rFonts w:hint="eastAsia" w:asciiTheme="minorEastAsia" w:hAnsiTheme="minorEastAsia" w:eastAsiaTheme="minorEastAsia"/>
          <w:szCs w:val="21"/>
        </w:rPr>
        <w:t>信息安全风险评估规范》等法规要求进行信息系统安全等级测评。</w:t>
      </w:r>
    </w:p>
    <w:p>
      <w:pPr>
        <w:ind w:firstLine="420" w:firstLineChars="200"/>
        <w:jc w:val="left"/>
        <w:rPr>
          <w:rFonts w:asciiTheme="minorEastAsia" w:hAnsiTheme="minorEastAsia" w:eastAsiaTheme="minorEastAsia"/>
          <w:bCs/>
          <w:szCs w:val="21"/>
        </w:rPr>
      </w:pPr>
      <w:bookmarkStart w:id="149" w:name="_Toc50371534"/>
      <w:r>
        <w:rPr>
          <w:rFonts w:hint="eastAsia" w:asciiTheme="minorEastAsia" w:hAnsiTheme="minorEastAsia" w:eastAsiaTheme="minorEastAsia"/>
          <w:bCs/>
          <w:szCs w:val="21"/>
        </w:rPr>
        <w:t>3、项目测评内容</w:t>
      </w:r>
      <w:bookmarkEnd w:id="149"/>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本次需要测评的系统包括被测系统运行密不可分的物理环境、网络区域环境、安全计算环境、安全管理中心及安全管理制度等。</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）工具扫描</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使用专业的安全分析工具（至少包含专业的主机网络安全分析、应用系统安全析工具）对待测系统进行安全分析。在与我方深入沟通的基础上，对系统进行渗透，对过程进行记录并最终形成工具扫描、渗透报告。</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）等级测评</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项目信息安全等级保护测评目的和测评内容，必须与信息安全等级保护要求的基本安全控制要求相一致。本项目测评人员应依据测评目的和测评内容，选取、实施特定测评操作的方式方法。测评主要包括以下几个方面的内容：</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技术测评：</w:t>
      </w:r>
    </w:p>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）安全物理环境测评（物理位置的选择、物理访问控制、防盗窃和防破坏、防雷击、防火、防水和防潮、防静电、温湿度控制、电力供应、电磁防护）；</w:t>
      </w:r>
    </w:p>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）安全通信网络测评（网络架构、通信传输、可信验证）；</w:t>
      </w:r>
    </w:p>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）安全区域边界测评（边界防护、访问控制、入侵防范、恶意代码防范、安全审计、可信验证）；</w:t>
      </w:r>
    </w:p>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）安全计算环境（身份鉴别、访问控制、安全审计、入侵防范、恶意代码防范、可信验证、数据完整性、数据保密性、数据备份恢复、剩余信息保护、个人信息保护）；</w:t>
      </w:r>
    </w:p>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）安全管理中心测评（系统管理、审计管理、安全管理）。</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管理测评：</w:t>
      </w:r>
    </w:p>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）安全管理制度测评（管理制度、制定和发布、评审和修订）；</w:t>
      </w:r>
    </w:p>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）安全管理人员测评（人员录用、人员离岗、人员考核、安全意识教育和培训、外部人员访问管理）；</w:t>
      </w:r>
      <w:r>
        <w:rPr>
          <w:rFonts w:asciiTheme="minorEastAsia" w:hAnsiTheme="minorEastAsia" w:eastAsiaTheme="minorEastAsia"/>
          <w:szCs w:val="21"/>
        </w:rPr>
        <w:t xml:space="preserve"> </w:t>
      </w:r>
    </w:p>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）安全管理机构测评（岗位设置、人员配备、授权和审批、沟通和合作、审核和检查）；</w:t>
      </w:r>
    </w:p>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）安全建设管理测评（系统定级、安全方案设计、产品采购和使用、自行软件开发、外包软件开发、工程实施、测试验收、系统交付、系统交付、安全服务商选择）；</w:t>
      </w:r>
    </w:p>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）安全运维管理测评（环境管理、资产管理、介质管理、设备管理、网络安全管理、系统安全管理、恶意代码防范管理、密码管理、变更管理、备份与恢复管理、安全事件处置、应急预案管理）。</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）项目成果</w:t>
      </w:r>
    </w:p>
    <w:p>
      <w:pPr>
        <w:spacing w:line="48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项目需要形成针对被测评系统的网络安全等级保护测评报告等。主要包括系统测评记录、工具扫描及渗透测试报告、系统风险分析，系统等级测评报告等，并根据测评结果和风险分析结果，提供详细的整改方案。</w:t>
      </w:r>
    </w:p>
    <w:p>
      <w:pPr>
        <w:spacing w:line="480" w:lineRule="auto"/>
        <w:rPr>
          <w:rFonts w:hint="eastAsia" w:asciiTheme="minorEastAsia" w:hAnsiTheme="minorEastAsia" w:eastAsiaTheme="minorEastAsia"/>
          <w:color w:val="FF0000"/>
          <w:szCs w:val="21"/>
        </w:rPr>
      </w:pPr>
      <w:r>
        <w:rPr>
          <w:rFonts w:hint="eastAsia" w:asciiTheme="minorEastAsia" w:hAnsiTheme="minorEastAsia" w:eastAsiaTheme="minorEastAsia"/>
          <w:color w:val="FF0000"/>
          <w:szCs w:val="21"/>
        </w:rPr>
        <w:t>二、网络安全应急响应</w:t>
      </w:r>
    </w:p>
    <w:p>
      <w:pPr>
        <w:spacing w:line="480" w:lineRule="auto"/>
        <w:ind w:firstLine="42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1.服务期内(自合同签订之日至整个项目实施完成)，供应商应成立网络安全应急响应服务团队为采购人提供网络应急安全相应服务。团队成员必须为供应商单位正式员工（提供项目团队名单及社保证明）并具备网络安全等级测评师资质，供应商应严格按照团队人员名单实施应急响应服务工作。发生紧急网络安全事件时，服务团队应在两小时内到达用户现场，协助用户解决相关问题。</w:t>
      </w:r>
    </w:p>
    <w:p>
      <w:pPr>
        <w:spacing w:line="480" w:lineRule="auto"/>
        <w:rPr>
          <w:rFonts w:hint="eastAsia" w:asciiTheme="minorEastAsia" w:hAnsiTheme="minorEastAsia" w:eastAsiaTheme="minorEastAsia"/>
          <w:color w:val="FF0000"/>
          <w:szCs w:val="21"/>
        </w:rPr>
      </w:pPr>
      <w:r>
        <w:rPr>
          <w:rFonts w:hint="eastAsia"/>
          <w:color w:val="FF0000"/>
        </w:rPr>
        <w:t>三、</w:t>
      </w:r>
      <w:r>
        <w:rPr>
          <w:rFonts w:hint="eastAsia" w:asciiTheme="minorEastAsia" w:hAnsiTheme="minorEastAsia" w:eastAsiaTheme="minorEastAsia"/>
          <w:color w:val="FF0000"/>
          <w:szCs w:val="21"/>
        </w:rPr>
        <w:t>网络安全应急处置通报服务</w:t>
      </w:r>
    </w:p>
    <w:p>
      <w:pPr>
        <w:spacing w:line="480" w:lineRule="auto"/>
        <w:ind w:firstLine="420" w:firstLineChars="200"/>
        <w:rPr>
          <w:rFonts w:hint="eastAsia" w:asciiTheme="minorEastAsia" w:hAnsiTheme="minorEastAsia" w:eastAsiaTheme="minorEastAsia"/>
          <w:color w:val="FF0000"/>
          <w:szCs w:val="21"/>
        </w:rPr>
      </w:pPr>
      <w:r>
        <w:rPr>
          <w:rFonts w:hint="eastAsia" w:asciiTheme="minorEastAsia" w:hAnsiTheme="minorEastAsia" w:eastAsiaTheme="minorEastAsia"/>
          <w:color w:val="FF0000"/>
          <w:szCs w:val="21"/>
        </w:rPr>
        <w:t>当采购人遭受网络病毒、木马、黑客入侵、DOS攻击以及其他网络安全事件时，供应商进行现场排查处理安全事件，保障网络及系统的连续性，阻止和减小安全事件带来的负面影响，落实本单位的网络安全应急处置通报工作。</w:t>
      </w:r>
    </w:p>
    <w:p>
      <w:pPr>
        <w:spacing w:line="480" w:lineRule="auto"/>
        <w:rPr>
          <w:rFonts w:hint="eastAsia" w:asciiTheme="minorEastAsia" w:hAnsiTheme="minorEastAsia" w:eastAsiaTheme="minorEastAsia"/>
          <w:color w:val="FF0000"/>
          <w:szCs w:val="21"/>
        </w:rPr>
      </w:pPr>
      <w:r>
        <w:rPr>
          <w:rFonts w:hint="eastAsia" w:asciiTheme="minorEastAsia" w:hAnsiTheme="minorEastAsia" w:eastAsiaTheme="minorEastAsia"/>
          <w:color w:val="FF0000"/>
          <w:szCs w:val="21"/>
        </w:rPr>
        <w:t xml:space="preserve">  </w:t>
      </w:r>
    </w:p>
    <w:p>
      <w:pPr>
        <w:rPr>
          <w:rFonts w:ascii="宋体" w:hAnsi="宋体" w:cs="宋体"/>
          <w:b/>
        </w:rPr>
      </w:pPr>
    </w:p>
    <w:p>
      <w:pPr>
        <w:jc w:val="center"/>
        <w:rPr>
          <w:rFonts w:ascii="宋体" w:hAnsi="宋体" w:cs="宋体"/>
          <w:b/>
        </w:rPr>
      </w:pPr>
    </w:p>
    <w:p>
      <w:pPr>
        <w:jc w:val="left"/>
        <w:rPr>
          <w:rFonts w:ascii="宋体" w:hAnsi="宋体" w:cs="宋体"/>
          <w:szCs w:val="21"/>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bookmarkEnd w:id="139"/>
    <w:bookmarkEnd w:id="140"/>
    <w:bookmarkEnd w:id="141"/>
    <w:bookmarkEnd w:id="142"/>
    <w:bookmarkEnd w:id="143"/>
    <w:bookmarkEnd w:id="144"/>
    <w:bookmarkEnd w:id="145"/>
    <w:bookmarkEnd w:id="146"/>
    <w:p>
      <w:pPr>
        <w:rPr>
          <w:rFonts w:ascii="宋体" w:hAnsi="宋体" w:cs="宋体"/>
        </w:rPr>
      </w:pPr>
      <w:bookmarkStart w:id="150" w:name="_Toc10887"/>
      <w:bookmarkStart w:id="151" w:name="_Toc152045785"/>
      <w:bookmarkStart w:id="152" w:name="_Toc179632804"/>
      <w:bookmarkStart w:id="153" w:name="_Toc514858707"/>
      <w:bookmarkStart w:id="154" w:name="_Toc503951043"/>
      <w:bookmarkStart w:id="155" w:name="_Toc246997096"/>
      <w:bookmarkStart w:id="156" w:name="_Toc144974854"/>
      <w:bookmarkStart w:id="157" w:name="_Toc152042574"/>
      <w:bookmarkStart w:id="158" w:name="_Toc513633964"/>
      <w:bookmarkStart w:id="159" w:name="_Toc246996353"/>
      <w:bookmarkStart w:id="160" w:name="_Toc447827049"/>
      <w:bookmarkStart w:id="161" w:name="_Toc2000411"/>
      <w:bookmarkStart w:id="162" w:name="_Toc247085870"/>
      <w:r>
        <w:rPr>
          <w:rFonts w:hint="eastAsia" w:ascii="宋体" w:hAnsi="宋体" w:cs="宋体"/>
        </w:rPr>
        <w:br w:type="page"/>
      </w:r>
    </w:p>
    <w:p>
      <w:pPr>
        <w:rPr>
          <w:rFonts w:hint="eastAsia" w:ascii="宋体" w:hAnsi="宋体" w:cs="宋体"/>
        </w:rPr>
      </w:pPr>
      <w:r>
        <w:rPr>
          <w:rFonts w:hint="eastAsia" w:ascii="宋体" w:hAnsi="宋体" w:cs="宋体"/>
        </w:rPr>
        <w:br w:type="page"/>
      </w:r>
    </w:p>
    <w:p>
      <w:pPr>
        <w:pStyle w:val="3"/>
        <w:spacing w:before="0" w:after="0" w:line="360" w:lineRule="auto"/>
        <w:jc w:val="center"/>
        <w:rPr>
          <w:rFonts w:ascii="宋体" w:hAnsi="宋体" w:cs="宋体"/>
        </w:rPr>
      </w:pPr>
      <w:r>
        <w:rPr>
          <w:rFonts w:hint="eastAsia" w:ascii="宋体" w:hAnsi="宋体" w:cs="宋体"/>
        </w:rPr>
        <w:t>第六章 工作和质量要求</w:t>
      </w:r>
      <w:bookmarkEnd w:id="150"/>
      <w:bookmarkEnd w:id="151"/>
      <w:bookmarkEnd w:id="152"/>
      <w:bookmarkEnd w:id="153"/>
      <w:bookmarkEnd w:id="154"/>
      <w:bookmarkEnd w:id="155"/>
      <w:bookmarkEnd w:id="156"/>
      <w:bookmarkEnd w:id="157"/>
      <w:bookmarkEnd w:id="158"/>
      <w:bookmarkEnd w:id="159"/>
      <w:bookmarkEnd w:id="160"/>
      <w:bookmarkEnd w:id="161"/>
      <w:bookmarkEnd w:id="162"/>
    </w:p>
    <w:p/>
    <w:p>
      <w:pPr>
        <w:ind w:firstLine="560" w:firstLineChars="200"/>
        <w:jc w:val="left"/>
        <w:rPr>
          <w:rFonts w:asciiTheme="minorEastAsia" w:hAnsiTheme="minorEastAsia" w:eastAsiaTheme="minorEastAsia"/>
          <w:bCs/>
          <w:sz w:val="28"/>
          <w:szCs w:val="21"/>
        </w:rPr>
      </w:pPr>
      <w:bookmarkStart w:id="163" w:name="_Toc50371535"/>
      <w:r>
        <w:rPr>
          <w:rFonts w:hint="eastAsia" w:asciiTheme="minorEastAsia" w:hAnsiTheme="minorEastAsia" w:eastAsiaTheme="minorEastAsia"/>
          <w:bCs/>
          <w:sz w:val="28"/>
          <w:szCs w:val="21"/>
        </w:rPr>
        <w:t>一、项目质量保证</w:t>
      </w:r>
      <w:bookmarkEnd w:id="163"/>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测评中应严格按照</w:t>
      </w:r>
      <w:r>
        <w:rPr>
          <w:rFonts w:asciiTheme="minorEastAsia" w:hAnsiTheme="minorEastAsia" w:eastAsiaTheme="minorEastAsia"/>
          <w:szCs w:val="21"/>
        </w:rPr>
        <w:t xml:space="preserve">GB/T 28449-2018 </w:t>
      </w:r>
      <w:r>
        <w:rPr>
          <w:rFonts w:hint="eastAsia" w:asciiTheme="minorEastAsia" w:hAnsiTheme="minorEastAsia" w:eastAsiaTheme="minorEastAsia"/>
          <w:szCs w:val="21"/>
        </w:rPr>
        <w:t>《信息系统安全等级保护测评过程指南》标准的要求实施，加强质量监督和复查，保证测评工作质量。</w:t>
      </w:r>
    </w:p>
    <w:p>
      <w:pPr>
        <w:ind w:firstLine="560" w:firstLineChars="200"/>
        <w:jc w:val="left"/>
        <w:rPr>
          <w:rFonts w:asciiTheme="minorEastAsia" w:hAnsiTheme="minorEastAsia" w:eastAsiaTheme="minorEastAsia"/>
          <w:bCs/>
          <w:sz w:val="28"/>
          <w:szCs w:val="21"/>
        </w:rPr>
      </w:pPr>
      <w:bookmarkStart w:id="164" w:name="_Toc50371536"/>
      <w:r>
        <w:rPr>
          <w:rFonts w:hint="eastAsia" w:asciiTheme="minorEastAsia" w:hAnsiTheme="minorEastAsia" w:eastAsiaTheme="minorEastAsia"/>
          <w:bCs/>
          <w:sz w:val="28"/>
          <w:szCs w:val="21"/>
        </w:rPr>
        <w:t>二、测试技术要求</w:t>
      </w:r>
      <w:bookmarkEnd w:id="164"/>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测评过程中，应针对关键设备、重点网段和高危漏洞进行渗透测试，形成相应的实施和分析报告。</w:t>
      </w:r>
    </w:p>
    <w:p>
      <w:pPr>
        <w:spacing w:line="360" w:lineRule="auto"/>
        <w:ind w:firstLine="560" w:firstLineChars="200"/>
        <w:jc w:val="left"/>
        <w:rPr>
          <w:rFonts w:asciiTheme="minorEastAsia" w:hAnsiTheme="minorEastAsia" w:eastAsiaTheme="minorEastAsia"/>
          <w:bCs/>
          <w:sz w:val="28"/>
          <w:szCs w:val="21"/>
        </w:rPr>
      </w:pPr>
      <w:bookmarkStart w:id="165" w:name="_Toc50371537"/>
      <w:r>
        <w:rPr>
          <w:rFonts w:hint="eastAsia" w:asciiTheme="minorEastAsia" w:hAnsiTheme="minorEastAsia" w:eastAsiaTheme="minorEastAsia"/>
          <w:bCs/>
          <w:sz w:val="28"/>
          <w:szCs w:val="21"/>
        </w:rPr>
        <w:t>三、项目成果</w:t>
      </w:r>
      <w:bookmarkEnd w:id="165"/>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项目需要形成针对待测评系统的网络安全等级保护测评报告等。主要包括系统测评记录、工具扫描及渗透测试报告、系统风险分析，系统等级测评报告等，并根据测评结果和风险分析结果，提供详细的整改方案。</w:t>
      </w:r>
    </w:p>
    <w:p>
      <w:pPr>
        <w:ind w:firstLine="560" w:firstLineChars="200"/>
        <w:jc w:val="left"/>
        <w:rPr>
          <w:rFonts w:asciiTheme="minorEastAsia" w:hAnsiTheme="minorEastAsia" w:eastAsiaTheme="minorEastAsia"/>
          <w:bCs/>
          <w:sz w:val="28"/>
          <w:szCs w:val="21"/>
        </w:rPr>
      </w:pPr>
      <w:r>
        <w:rPr>
          <w:rFonts w:hint="eastAsia" w:asciiTheme="minorEastAsia" w:hAnsiTheme="minorEastAsia" w:eastAsiaTheme="minorEastAsia"/>
          <w:bCs/>
          <w:sz w:val="28"/>
          <w:szCs w:val="21"/>
        </w:rPr>
        <w:t>四、售后服务</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投标人需要有本地服务团队，当发生突发网络安全公共事件时，投标人为招标人提供信息安全规划、方针、策略和管理制度体系咨询服务，配合招标人为被测信息系统安全整改和加固提供咨询和技术服务。</w:t>
      </w:r>
    </w:p>
    <w:p>
      <w:pPr>
        <w:pStyle w:val="2"/>
      </w:pPr>
    </w:p>
    <w:bookmarkEnd w:id="132"/>
    <w:bookmarkEnd w:id="133"/>
    <w:bookmarkEnd w:id="134"/>
    <w:bookmarkEnd w:id="135"/>
    <w:bookmarkEnd w:id="136"/>
    <w:bookmarkEnd w:id="137"/>
    <w:bookmarkEnd w:id="138"/>
    <w:p>
      <w:pPr>
        <w:spacing w:line="400" w:lineRule="exact"/>
        <w:ind w:firstLine="420" w:firstLineChars="200"/>
        <w:rPr>
          <w:rFonts w:ascii="宋体" w:hAnsi="宋体" w:cs="宋体"/>
        </w:rPr>
      </w:pPr>
      <w:bookmarkStart w:id="166" w:name="_Toc514430114"/>
      <w:bookmarkStart w:id="167" w:name="_Toc2000412"/>
      <w:bookmarkStart w:id="168" w:name="_Toc514858708"/>
      <w:bookmarkStart w:id="169" w:name="_Toc12089"/>
      <w:bookmarkStart w:id="170" w:name="_Toc152042576"/>
      <w:bookmarkStart w:id="171" w:name="_Toc247085873"/>
      <w:bookmarkStart w:id="172" w:name="_Toc179632807"/>
      <w:bookmarkStart w:id="173" w:name="_Toc507320039"/>
      <w:bookmarkStart w:id="174" w:name="_Toc246997098"/>
      <w:bookmarkStart w:id="175" w:name="_Toc152045787"/>
      <w:bookmarkStart w:id="176" w:name="_Toc144974856"/>
      <w:bookmarkStart w:id="177" w:name="_Toc246996355"/>
      <w:r>
        <w:rPr>
          <w:rFonts w:hint="eastAsia" w:ascii="宋体" w:hAnsi="宋体" w:cs="宋体"/>
        </w:rPr>
        <w:br w:type="page"/>
      </w:r>
      <w:bookmarkEnd w:id="166"/>
      <w:bookmarkEnd w:id="167"/>
      <w:bookmarkEnd w:id="168"/>
      <w:bookmarkEnd w:id="169"/>
      <w:bookmarkStart w:id="178" w:name="_Toc513633965"/>
    </w:p>
    <w:p>
      <w:pPr>
        <w:rPr>
          <w:rFonts w:ascii="宋体" w:hAnsi="宋体" w:cs="宋体"/>
        </w:rPr>
      </w:pPr>
      <w:bookmarkStart w:id="179" w:name="_Toc514858709"/>
      <w:bookmarkStart w:id="180" w:name="_Toc2000413"/>
      <w:bookmarkStart w:id="181" w:name="_Toc24853"/>
      <w:r>
        <w:rPr>
          <w:rFonts w:hint="eastAsia" w:ascii="宋体" w:hAnsi="宋体" w:cs="宋体"/>
        </w:rPr>
        <w:br w:type="page"/>
      </w:r>
    </w:p>
    <w:p>
      <w:pPr>
        <w:pStyle w:val="3"/>
        <w:spacing w:before="0" w:after="0" w:line="360" w:lineRule="auto"/>
        <w:jc w:val="center"/>
        <w:rPr>
          <w:rFonts w:ascii="宋体" w:hAnsi="宋体" w:cs="宋体"/>
        </w:rPr>
      </w:pPr>
      <w:r>
        <w:rPr>
          <w:rFonts w:hint="eastAsia" w:ascii="宋体" w:hAnsi="宋体" w:cs="宋体"/>
        </w:rPr>
        <w:t>第七章  竞争性比选响应文件格式</w:t>
      </w:r>
      <w:bookmarkEnd w:id="178"/>
      <w:bookmarkEnd w:id="179"/>
      <w:bookmarkEnd w:id="180"/>
      <w:bookmarkEnd w:id="181"/>
    </w:p>
    <w:p>
      <w:pPr>
        <w:rPr>
          <w:rFonts w:ascii="宋体" w:hAnsi="宋体" w:cs="宋体"/>
        </w:rPr>
      </w:pPr>
    </w:p>
    <w:p>
      <w:pPr>
        <w:rPr>
          <w:rFonts w:ascii="宋体" w:hAnsi="宋体" w:cs="宋体"/>
        </w:rPr>
      </w:pPr>
    </w:p>
    <w:p>
      <w:pPr>
        <w:jc w:val="center"/>
        <w:rPr>
          <w:rFonts w:ascii="宋体" w:hAnsi="宋体" w:cs="宋体"/>
          <w:sz w:val="52"/>
          <w:szCs w:val="52"/>
          <w:u w:val="single"/>
        </w:rPr>
      </w:pPr>
      <w:bookmarkStart w:id="182" w:name="_Toc514858710"/>
      <w:bookmarkStart w:id="183" w:name="_Toc513633967"/>
      <w:bookmarkStart w:id="184" w:name="_Toc513646738"/>
      <w:bookmarkStart w:id="185" w:name="_Toc503971829"/>
      <w:bookmarkStart w:id="186" w:name="_Toc503951046"/>
      <w:r>
        <w:rPr>
          <w:rFonts w:hint="eastAsia" w:ascii="宋体" w:hAnsi="宋体" w:cs="宋体"/>
          <w:u w:val="single"/>
        </w:rPr>
        <w:t xml:space="preserve">                           </w:t>
      </w:r>
      <w:r>
        <w:rPr>
          <w:rFonts w:hint="eastAsia" w:ascii="宋体" w:hAnsi="宋体" w:cs="宋体"/>
          <w:sz w:val="52"/>
          <w:szCs w:val="52"/>
          <w:u w:val="single"/>
        </w:rPr>
        <w:t>（项目名称）</w:t>
      </w:r>
      <w:bookmarkEnd w:id="182"/>
      <w:bookmarkEnd w:id="183"/>
      <w:bookmarkEnd w:id="184"/>
      <w:bookmarkEnd w:id="185"/>
      <w:bookmarkEnd w:id="186"/>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pStyle w:val="2"/>
      </w:pPr>
    </w:p>
    <w:p/>
    <w:p>
      <w:pPr>
        <w:pStyle w:val="2"/>
      </w:pPr>
    </w:p>
    <w:p/>
    <w:p>
      <w:pPr>
        <w:pStyle w:val="2"/>
      </w:pPr>
    </w:p>
    <w:p>
      <w:pPr>
        <w:jc w:val="center"/>
        <w:rPr>
          <w:rFonts w:ascii="宋体" w:hAnsi="宋体" w:cs="宋体"/>
          <w:sz w:val="28"/>
          <w:szCs w:val="28"/>
          <w:u w:val="single"/>
        </w:rPr>
      </w:pPr>
      <w:r>
        <w:rPr>
          <w:rFonts w:hint="eastAsia" w:ascii="宋体" w:hAnsi="宋体" w:cs="宋体"/>
          <w:sz w:val="28"/>
          <w:szCs w:val="28"/>
        </w:rPr>
        <w:t>投标人：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jc w:val="center"/>
        <w:rPr>
          <w:rFonts w:ascii="宋体" w:hAnsi="宋体" w:eastAsia="宋体" w:cs="宋体"/>
        </w:rPr>
      </w:pPr>
      <w:bookmarkStart w:id="187" w:name="_Toc1368"/>
      <w:bookmarkStart w:id="188" w:name="_Toc28780"/>
      <w:bookmarkStart w:id="189" w:name="_Toc5459"/>
      <w:bookmarkStart w:id="190" w:name="_Toc11329273"/>
      <w:r>
        <w:rPr>
          <w:rFonts w:hint="eastAsia" w:ascii="宋体" w:hAnsi="宋体" w:eastAsia="宋体" w:cs="宋体"/>
        </w:rPr>
        <w:t>目    录</w:t>
      </w:r>
      <w:bookmarkEnd w:id="170"/>
      <w:bookmarkEnd w:id="171"/>
      <w:bookmarkEnd w:id="172"/>
      <w:bookmarkEnd w:id="173"/>
      <w:bookmarkEnd w:id="174"/>
      <w:bookmarkEnd w:id="175"/>
      <w:bookmarkEnd w:id="176"/>
      <w:bookmarkEnd w:id="177"/>
      <w:bookmarkEnd w:id="187"/>
      <w:bookmarkEnd w:id="188"/>
      <w:bookmarkEnd w:id="189"/>
      <w:bookmarkEnd w:id="190"/>
    </w:p>
    <w:p>
      <w:pPr>
        <w:numPr>
          <w:ilvl w:val="0"/>
          <w:numId w:val="2"/>
        </w:numPr>
        <w:spacing w:line="400" w:lineRule="exact"/>
        <w:rPr>
          <w:rFonts w:ascii="宋体" w:hAnsi="宋体" w:cs="宋体"/>
        </w:rPr>
      </w:pPr>
      <w:r>
        <w:rPr>
          <w:rFonts w:hint="eastAsia" w:ascii="宋体" w:hAnsi="宋体" w:cs="宋体"/>
        </w:rPr>
        <w:t>竞争性响应声明书</w:t>
      </w:r>
    </w:p>
    <w:p>
      <w:pPr>
        <w:numPr>
          <w:ilvl w:val="0"/>
          <w:numId w:val="2"/>
        </w:numPr>
        <w:spacing w:line="400" w:lineRule="exact"/>
        <w:rPr>
          <w:rFonts w:ascii="宋体" w:hAnsi="宋体" w:cs="宋体"/>
        </w:rPr>
      </w:pPr>
      <w:r>
        <w:rPr>
          <w:rFonts w:ascii="宋体" w:hAnsi="宋体" w:cs="宋体"/>
        </w:rPr>
        <w:t>法定代表人身份证明或法定代表人授权委托书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四、资格审查资料</w:t>
      </w:r>
    </w:p>
    <w:p>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投标人须知前附表规定要求的资料</w:t>
      </w:r>
    </w:p>
    <w:p>
      <w:pPr>
        <w:spacing w:line="400" w:lineRule="exact"/>
        <w:rPr>
          <w:rFonts w:ascii="宋体" w:hAnsi="宋体" w:cs="宋体"/>
          <w:szCs w:val="21"/>
        </w:rPr>
      </w:pPr>
      <w:r>
        <w:rPr>
          <w:rFonts w:hint="eastAsia" w:ascii="宋体" w:hAnsi="宋体" w:cs="宋体"/>
          <w:szCs w:val="21"/>
        </w:rPr>
        <w:t>六、投标人基本信息</w:t>
      </w:r>
    </w:p>
    <w:p>
      <w:pPr>
        <w:spacing w:line="400" w:lineRule="exact"/>
        <w:rPr>
          <w:rFonts w:ascii="宋体" w:hAnsi="宋体" w:cs="宋体"/>
          <w:szCs w:val="21"/>
        </w:rPr>
      </w:pPr>
      <w:r>
        <w:rPr>
          <w:rFonts w:hint="eastAsia" w:ascii="宋体" w:hAnsi="宋体" w:cs="宋体"/>
          <w:szCs w:val="21"/>
        </w:rPr>
        <w:t>七、其他材料</w:t>
      </w:r>
    </w:p>
    <w:p>
      <w:pPr>
        <w:spacing w:line="400" w:lineRule="exact"/>
        <w:rPr>
          <w:rFonts w:ascii="宋体" w:hAnsi="宋体" w:cs="宋体"/>
        </w:rPr>
      </w:pPr>
      <w:r>
        <w:rPr>
          <w:rFonts w:hint="eastAsia" w:ascii="宋体" w:hAnsi="宋体" w:cs="宋体"/>
        </w:rPr>
        <w:t xml:space="preserve"> </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spacing w:before="0" w:after="0" w:line="360" w:lineRule="auto"/>
        <w:jc w:val="center"/>
        <w:rPr>
          <w:rFonts w:ascii="宋体" w:hAnsi="宋体" w:eastAsia="宋体" w:cs="宋体"/>
          <w:sz w:val="28"/>
        </w:rPr>
      </w:pPr>
      <w:bookmarkStart w:id="191" w:name="_Toc11329274"/>
      <w:bookmarkStart w:id="192" w:name="_Toc8870"/>
      <w:bookmarkStart w:id="193" w:name="_Toc29547"/>
      <w:bookmarkStart w:id="194" w:name="_Toc25874"/>
      <w:bookmarkStart w:id="195" w:name="_Toc15863"/>
      <w:bookmarkStart w:id="196" w:name="_Toc513633969"/>
      <w:bookmarkStart w:id="197" w:name="_Toc447827053"/>
      <w:bookmarkStart w:id="198" w:name="_Toc503951048"/>
      <w:r>
        <w:rPr>
          <w:rFonts w:hint="eastAsia" w:ascii="宋体" w:hAnsi="宋体" w:eastAsia="宋体" w:cs="宋体"/>
          <w:sz w:val="28"/>
        </w:rPr>
        <w:t>一、</w:t>
      </w:r>
      <w:bookmarkEnd w:id="191"/>
      <w:bookmarkEnd w:id="192"/>
      <w:r>
        <w:rPr>
          <w:rFonts w:hint="eastAsia" w:ascii="宋体" w:hAnsi="宋体" w:eastAsia="宋体" w:cs="宋体"/>
          <w:sz w:val="28"/>
        </w:rPr>
        <w:t>竞争比选响应声明书</w:t>
      </w:r>
      <w:bookmarkEnd w:id="193"/>
      <w:bookmarkEnd w:id="194"/>
      <w:bookmarkEnd w:id="195"/>
    </w:p>
    <w:p>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重庆高速公路集团有限公司联网收费结算中心</w:t>
      </w:r>
    </w:p>
    <w:p>
      <w:pPr>
        <w:spacing w:line="700" w:lineRule="atLeast"/>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方为</w:t>
      </w:r>
      <w:r>
        <w:rPr>
          <w:rFonts w:hint="eastAsia" w:ascii="Arial" w:hAnsi="Arial" w:cs="Arial"/>
          <w:color w:val="000000"/>
          <w:sz w:val="24"/>
          <w:u w:val="single"/>
        </w:rPr>
        <w:t>重庆高速结算中心网络安全等级保护测评（2023-2025）</w:t>
      </w:r>
      <w:r>
        <w:rPr>
          <w:rFonts w:hint="eastAsia" w:ascii="Arial" w:hAnsi="Arial" w:cs="Arial"/>
          <w:sz w:val="24"/>
        </w:rPr>
        <w:t>竞争比选项目及服</w:t>
      </w:r>
      <w:r>
        <w:rPr>
          <w:rFonts w:hint="eastAsia" w:ascii="Arial" w:hAnsi="Arial" w:cs="Arial"/>
          <w:color w:val="000000"/>
          <w:sz w:val="24"/>
        </w:rPr>
        <w:t>务的竞争比选邀请，签字代表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ascii="Arial" w:hAnsi="Arial" w:cs="Arial"/>
          <w:color w:val="000000"/>
          <w:sz w:val="24"/>
          <w:u w:val="single"/>
        </w:rPr>
        <w:t xml:space="preserve"> </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700" w:lineRule="atLeast"/>
        <w:ind w:firstLine="480" w:firstLineChars="200"/>
        <w:rPr>
          <w:rFonts w:ascii="Arial" w:hAnsi="Arial" w:cs="Arial"/>
          <w:color w:val="000000"/>
          <w:sz w:val="24"/>
          <w:u w:val="single"/>
        </w:rPr>
      </w:pPr>
      <w:r>
        <w:rPr>
          <w:rFonts w:hint="eastAsia" w:ascii="Arial" w:hAnsi="Arial" w:cs="Arial"/>
          <w:color w:val="000000"/>
          <w:sz w:val="24"/>
          <w:u w:val="single"/>
        </w:rPr>
        <w:t>我方愿以人民币：              元（大写              元）的报价总价按照竞争比选文件的要求，承担本次竞争比选文件要求的测评项目。</w:t>
      </w:r>
    </w:p>
    <w:p>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3、竞争比选响应单位同意提供招标人可能要求的与其竞争比选响应文件有关的一切数据或资料，完全理解招标人不一定要接受最低报价的竞争比选响应或收到的任何报价。</w:t>
      </w:r>
    </w:p>
    <w:p>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bookmarkStart w:id="199" w:name="_Toc27815"/>
      <w:bookmarkStart w:id="200" w:name="_Toc491883232"/>
    </w:p>
    <w:p>
      <w:pPr>
        <w:pStyle w:val="2"/>
      </w:pPr>
    </w:p>
    <w:p>
      <w:pPr>
        <w:pStyle w:val="4"/>
        <w:jc w:val="center"/>
        <w:rPr>
          <w:rFonts w:ascii="宋体" w:hAnsi="宋体" w:eastAsia="宋体" w:cs="宋体"/>
          <w:sz w:val="28"/>
          <w:szCs w:val="28"/>
        </w:rPr>
      </w:pPr>
      <w:r>
        <w:rPr>
          <w:rFonts w:hint="eastAsia" w:ascii="宋体" w:hAnsi="宋体" w:eastAsia="宋体" w:cs="宋体"/>
          <w:sz w:val="28"/>
          <w:szCs w:val="28"/>
        </w:rPr>
        <w:t>二、法定代表人身份证明或法定代表人授权委托书</w:t>
      </w:r>
      <w:bookmarkEnd w:id="199"/>
    </w:p>
    <w:p>
      <w:pPr>
        <w:pStyle w:val="4"/>
        <w:jc w:val="center"/>
        <w:rPr>
          <w:rFonts w:ascii="宋体" w:hAnsi="宋体" w:eastAsia="宋体" w:cs="宋体"/>
          <w:sz w:val="24"/>
          <w:szCs w:val="24"/>
        </w:rPr>
      </w:pPr>
      <w:bookmarkStart w:id="201" w:name="_Toc14141"/>
      <w:r>
        <w:rPr>
          <w:rFonts w:hint="eastAsia" w:ascii="宋体" w:hAnsi="宋体" w:eastAsia="宋体" w:cs="宋体"/>
          <w:sz w:val="24"/>
          <w:szCs w:val="24"/>
        </w:rPr>
        <w:t>（一）法定代表人身份证明</w:t>
      </w:r>
      <w:bookmarkEnd w:id="200"/>
      <w:bookmarkEnd w:id="201"/>
    </w:p>
    <w:p>
      <w:pPr>
        <w:spacing w:line="440" w:lineRule="exact"/>
        <w:rPr>
          <w:rFonts w:ascii="宋体" w:hAnsi="宋体"/>
        </w:rPr>
      </w:pPr>
      <w:r>
        <w:rPr>
          <w:rFonts w:hint="eastAsia" w:ascii="宋体" w:hAnsi="宋体"/>
        </w:rPr>
        <w:t>投标人</w:t>
      </w:r>
      <w:r>
        <w:rPr>
          <w:rFonts w:ascii="宋体" w:hAnsi="宋体"/>
        </w:rPr>
        <w:t>名称：</w:t>
      </w:r>
      <w:r>
        <w:rPr>
          <w:rFonts w:ascii="宋体" w:hAnsi="宋体"/>
          <w:u w:val="single"/>
        </w:rPr>
        <w:t xml:space="preserve">                        </w:t>
      </w:r>
    </w:p>
    <w:p>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202" w:name="_Toc352691662"/>
      <w:bookmarkStart w:id="203" w:name="_Toc27897"/>
      <w:bookmarkStart w:id="204" w:name="_Toc369531698"/>
      <w:r>
        <w:rPr>
          <w:rFonts w:ascii="宋体" w:hAnsi="宋体"/>
          <w:u w:val="single"/>
        </w:rPr>
        <w:t xml:space="preserve">        </w:t>
      </w:r>
      <w:r>
        <w:rPr>
          <w:rFonts w:ascii="宋体" w:hAnsi="宋体"/>
        </w:rPr>
        <w:t>年</w:t>
      </w:r>
      <w:bookmarkEnd w:id="202"/>
      <w:bookmarkEnd w:id="203"/>
      <w:bookmarkEnd w:id="204"/>
      <w:r>
        <w:rPr>
          <w:rFonts w:ascii="宋体" w:hAnsi="宋体"/>
        </w:rPr>
        <w:t>龄</w:t>
      </w:r>
      <w:bookmarkStart w:id="205" w:name="_Toc144974858"/>
      <w:bookmarkStart w:id="206" w:name="_Toc352691663"/>
      <w:bookmarkStart w:id="207" w:name="_Toc384308377"/>
      <w:bookmarkStart w:id="208" w:name="_Toc15573"/>
      <w:bookmarkStart w:id="209" w:name="_Toc361508754"/>
      <w:bookmarkStart w:id="210" w:name="_Toc247527829"/>
      <w:bookmarkStart w:id="211" w:name="_Toc152042578"/>
      <w:bookmarkStart w:id="212" w:name="_Toc247514248"/>
      <w:bookmarkStart w:id="213" w:name="_Toc369531699"/>
      <w:bookmarkStart w:id="214" w:name="_Toc300835211"/>
      <w:bookmarkStart w:id="215" w:name="_Toc152045789"/>
      <w:r>
        <w:rPr>
          <w:rFonts w:ascii="宋体" w:hAnsi="宋体"/>
        </w:rPr>
        <w:t>：</w:t>
      </w:r>
      <w:bookmarkEnd w:id="205"/>
      <w:bookmarkEnd w:id="206"/>
      <w:bookmarkEnd w:id="207"/>
      <w:bookmarkEnd w:id="208"/>
      <w:bookmarkEnd w:id="209"/>
      <w:bookmarkEnd w:id="210"/>
      <w:bookmarkEnd w:id="211"/>
      <w:bookmarkEnd w:id="212"/>
      <w:bookmarkEnd w:id="213"/>
      <w:bookmarkEnd w:id="214"/>
      <w:bookmarkEnd w:id="215"/>
      <w:r>
        <w:rPr>
          <w:rFonts w:ascii="宋体" w:hAnsi="宋体"/>
          <w:u w:val="single"/>
        </w:rPr>
        <w:t xml:space="preserve">        </w:t>
      </w:r>
      <w:r>
        <w:rPr>
          <w:rFonts w:ascii="宋体" w:hAnsi="宋体"/>
        </w:rPr>
        <w:t>职务：</w:t>
      </w:r>
      <w:r>
        <w:rPr>
          <w:rFonts w:ascii="宋体" w:hAnsi="宋体"/>
          <w:u w:val="single"/>
        </w:rPr>
        <w:t xml:space="preserve">        </w:t>
      </w:r>
    </w:p>
    <w:p>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投标人</w:t>
      </w:r>
      <w:r>
        <w:rPr>
          <w:rFonts w:ascii="宋体" w:hAnsi="宋体"/>
        </w:rPr>
        <w:t>名称）的法定代表人。</w:t>
      </w:r>
    </w:p>
    <w:p>
      <w:pPr>
        <w:spacing w:line="440" w:lineRule="exact"/>
        <w:ind w:firstLine="420" w:firstLineChars="200"/>
        <w:rPr>
          <w:rFonts w:ascii="宋体" w:hAnsi="宋体"/>
        </w:rPr>
      </w:pPr>
      <w:r>
        <w:rPr>
          <w:rFonts w:ascii="宋体" w:hAnsi="宋体"/>
        </w:rPr>
        <w:t>特此证明。</w:t>
      </w:r>
    </w:p>
    <w:p>
      <w:pPr>
        <w:spacing w:line="440" w:lineRule="exact"/>
        <w:rPr>
          <w:rFonts w:ascii="宋体" w:hAnsi="宋体"/>
        </w:rPr>
      </w:pPr>
    </w:p>
    <w:p>
      <w:pPr>
        <w:spacing w:line="440" w:lineRule="exact"/>
        <w:rPr>
          <w:rFonts w:ascii="宋体" w:hAnsi="宋体"/>
        </w:rPr>
      </w:pPr>
      <w:r>
        <w:rPr>
          <w:rFonts w:ascii="宋体" w:hAnsi="宋体"/>
        </w:rPr>
        <w:t>附：法定代表人身份证复印件</w:t>
      </w:r>
      <w:r>
        <w:rPr>
          <w:rFonts w:hint="eastAsia" w:ascii="宋体" w:hAnsi="宋体"/>
        </w:rPr>
        <w:t>（正、反面）</w:t>
      </w:r>
      <w:r>
        <w:rPr>
          <w:rFonts w:ascii="宋体" w:hAnsi="宋体"/>
        </w:rPr>
        <w:t>。</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jc w:val="center"/>
        <w:rPr>
          <w:rFonts w:ascii="宋体" w:hAnsi="宋体"/>
        </w:rPr>
      </w:pPr>
      <w:r>
        <w:rPr>
          <w:rFonts w:ascii="宋体" w:hAnsi="宋体"/>
        </w:rPr>
        <w:t xml:space="preserve">                              </w:t>
      </w:r>
      <w:r>
        <w:rPr>
          <w:rFonts w:hint="eastAsia" w:ascii="宋体" w:hAnsi="宋体"/>
        </w:rPr>
        <w:t>投标人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注：本身份证明需由</w:t>
      </w:r>
      <w:r>
        <w:rPr>
          <w:rFonts w:hint="eastAsia" w:ascii="宋体" w:hAnsi="宋体"/>
        </w:rPr>
        <w:t>投标人</w:t>
      </w:r>
      <w:r>
        <w:rPr>
          <w:rFonts w:ascii="宋体" w:hAnsi="宋体"/>
        </w:rPr>
        <w:t>加盖单位</w:t>
      </w:r>
      <w:r>
        <w:rPr>
          <w:rFonts w:hint="eastAsia" w:ascii="宋体" w:hAnsi="宋体"/>
        </w:rPr>
        <w:t>公章</w:t>
      </w:r>
      <w:r>
        <w:rPr>
          <w:rFonts w:ascii="宋体" w:hAnsi="宋体"/>
        </w:rPr>
        <w:t>。</w:t>
      </w:r>
    </w:p>
    <w:p>
      <w:pPr>
        <w:spacing w:line="440" w:lineRule="exact"/>
        <w:rPr>
          <w:rFonts w:ascii="宋体" w:hAnsi="宋体"/>
          <w:sz w:val="20"/>
        </w:rPr>
      </w:pPr>
    </w:p>
    <w:p>
      <w:pPr>
        <w:spacing w:line="20" w:lineRule="exact"/>
        <w:jc w:val="center"/>
        <w:rPr>
          <w:rFonts w:ascii="宋体" w:hAnsi="宋体"/>
          <w:sz w:val="20"/>
        </w:rPr>
      </w:pPr>
      <w:r>
        <w:rPr>
          <w:rFonts w:ascii="宋体" w:hAnsi="宋体"/>
          <w:sz w:val="20"/>
        </w:rPr>
        <w:br w:type="page"/>
      </w:r>
    </w:p>
    <w:p>
      <w:pPr>
        <w:pStyle w:val="4"/>
        <w:jc w:val="center"/>
        <w:rPr>
          <w:rFonts w:ascii="宋体" w:hAnsi="宋体"/>
          <w:sz w:val="28"/>
          <w:szCs w:val="28"/>
        </w:rPr>
      </w:pPr>
      <w:bookmarkStart w:id="216" w:name="_Toc491883233"/>
      <w:bookmarkStart w:id="217" w:name="_Toc58"/>
      <w:r>
        <w:rPr>
          <w:rFonts w:hint="eastAsia" w:ascii="宋体" w:hAnsi="宋体" w:eastAsia="宋体" w:cs="宋体"/>
          <w:sz w:val="24"/>
          <w:szCs w:val="24"/>
        </w:rPr>
        <w:t>（二）</w:t>
      </w:r>
      <w:bookmarkEnd w:id="216"/>
      <w:r>
        <w:rPr>
          <w:rFonts w:hint="eastAsia" w:ascii="宋体" w:hAnsi="宋体" w:eastAsia="宋体" w:cs="宋体"/>
          <w:sz w:val="24"/>
          <w:szCs w:val="24"/>
        </w:rPr>
        <w:t>法定代表人授权委托书</w:t>
      </w:r>
      <w:bookmarkEnd w:id="217"/>
    </w:p>
    <w:p>
      <w:pPr>
        <w:topLinePunct/>
        <w:spacing w:line="440" w:lineRule="exact"/>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投标人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比选</w:t>
      </w:r>
      <w:r>
        <w:rPr>
          <w:rFonts w:ascii="宋体" w:hAnsi="宋体"/>
        </w:rPr>
        <w:t>文件、签订合同和处理有关事宜，其法律后果由我方承担。</w:t>
      </w:r>
    </w:p>
    <w:p>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pPr>
        <w:spacing w:line="440" w:lineRule="exact"/>
        <w:ind w:firstLine="420" w:firstLineChars="200"/>
        <w:rPr>
          <w:rFonts w:ascii="宋体" w:hAnsi="宋体"/>
        </w:rPr>
      </w:pPr>
      <w:r>
        <w:rPr>
          <w:rFonts w:ascii="宋体" w:hAnsi="宋体"/>
        </w:rPr>
        <w:t>代理人无转委托权。</w:t>
      </w:r>
    </w:p>
    <w:p>
      <w:pPr>
        <w:spacing w:line="440" w:lineRule="exact"/>
        <w:ind w:firstLine="420" w:firstLineChars="200"/>
        <w:rPr>
          <w:rFonts w:ascii="宋体" w:hAnsi="宋体"/>
        </w:rPr>
      </w:pPr>
    </w:p>
    <w:p>
      <w:pPr>
        <w:spacing w:line="440" w:lineRule="exact"/>
        <w:rPr>
          <w:rFonts w:ascii="宋体" w:hAnsi="宋体"/>
        </w:rPr>
      </w:pPr>
      <w:r>
        <w:rPr>
          <w:rFonts w:ascii="宋体" w:hAnsi="宋体"/>
        </w:rPr>
        <w:t>附：法定代表人身份证复印件及委托代理人身份证复印件</w:t>
      </w:r>
      <w:r>
        <w:rPr>
          <w:rFonts w:hint="eastAsia" w:ascii="宋体" w:hAnsi="宋体"/>
        </w:rPr>
        <w:t>（正、反面）</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ind w:firstLine="2690" w:firstLineChars="1281"/>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ab/>
      </w:r>
      <w:r>
        <w:rPr>
          <w:rFonts w:ascii="宋体" w:hAnsi="宋体"/>
        </w:rPr>
        <w:t>（签字</w:t>
      </w:r>
      <w:r>
        <w:rPr>
          <w:rFonts w:hint="eastAsia" w:ascii="宋体" w:hAnsi="宋体"/>
        </w:rPr>
        <w:t xml:space="preserve"> </w:t>
      </w:r>
      <w:r>
        <w:rPr>
          <w:rFonts w:ascii="宋体" w:hAnsi="宋体"/>
        </w:rPr>
        <w:t>）</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（签字）</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注：本授权委托书需由</w:t>
      </w:r>
      <w:r>
        <w:rPr>
          <w:rFonts w:hint="eastAsia" w:ascii="宋体" w:hAnsi="宋体"/>
        </w:rPr>
        <w:t>投标人</w:t>
      </w:r>
      <w:r>
        <w:rPr>
          <w:rFonts w:ascii="宋体" w:hAnsi="宋体"/>
        </w:rPr>
        <w:t>加盖单位</w:t>
      </w:r>
      <w:r>
        <w:rPr>
          <w:rFonts w:hint="eastAsia" w:ascii="宋体" w:hAnsi="宋体"/>
        </w:rPr>
        <w:t>公章</w:t>
      </w:r>
      <w:r>
        <w:rPr>
          <w:rFonts w:ascii="宋体" w:hAnsi="宋体"/>
        </w:rPr>
        <w:t>并由其法定代表人和委托代理人签字。</w:t>
      </w:r>
    </w:p>
    <w:p>
      <w:pPr>
        <w:pStyle w:val="2"/>
        <w:sectPr>
          <w:footerReference r:id="rId9" w:type="default"/>
          <w:pgSz w:w="11906" w:h="16838"/>
          <w:pgMar w:top="1440" w:right="1803" w:bottom="1440" w:left="1803" w:header="851" w:footer="992" w:gutter="0"/>
          <w:cols w:space="720" w:num="1"/>
          <w:titlePg/>
          <w:docGrid w:type="lines" w:linePitch="319" w:charSpace="0"/>
        </w:sectPr>
      </w:pPr>
    </w:p>
    <w:p>
      <w:pPr>
        <w:rPr>
          <w:rFonts w:ascii="宋体" w:hAnsi="宋体" w:cs="宋体"/>
          <w:snapToGrid w:val="0"/>
          <w:kern w:val="0"/>
          <w:szCs w:val="21"/>
        </w:rPr>
      </w:pPr>
    </w:p>
    <w:p>
      <w:pPr>
        <w:pStyle w:val="4"/>
        <w:jc w:val="center"/>
      </w:pPr>
      <w:bookmarkStart w:id="218" w:name="_Toc11329275"/>
      <w:r>
        <w:rPr>
          <w:rFonts w:hint="eastAsia"/>
        </w:rPr>
        <w:t>三、</w:t>
      </w:r>
      <w:bookmarkEnd w:id="196"/>
      <w:bookmarkEnd w:id="197"/>
      <w:bookmarkEnd w:id="198"/>
      <w:bookmarkEnd w:id="218"/>
      <w:r>
        <w:rPr>
          <w:rFonts w:hint="eastAsia"/>
        </w:rPr>
        <w:t>报价一览表</w:t>
      </w:r>
    </w:p>
    <w:p>
      <w:pPr>
        <w:ind w:left="765"/>
        <w:jc w:val="center"/>
        <w:rPr>
          <w:rFonts w:ascii="宋体" w:hAnsi="宋体" w:cs="宋体"/>
          <w:szCs w:val="21"/>
        </w:rPr>
      </w:pPr>
    </w:p>
    <w:p>
      <w:pPr>
        <w:pStyle w:val="39"/>
        <w:jc w:val="both"/>
        <w:rPr>
          <w:rFonts w:hAnsi="宋体"/>
        </w:rPr>
      </w:pPr>
      <w:r>
        <w:rPr>
          <w:rFonts w:hint="eastAsia" w:hAnsi="宋体"/>
        </w:rPr>
        <w:t>重庆高速公路集团有限公司联网收费结算中心：</w:t>
      </w:r>
    </w:p>
    <w:p>
      <w:pPr>
        <w:spacing w:line="360" w:lineRule="auto"/>
        <w:ind w:firstLine="480" w:firstLineChars="200"/>
        <w:jc w:val="left"/>
        <w:rPr>
          <w:rFonts w:ascii="宋体" w:hAnsi="宋体"/>
          <w:b/>
          <w:color w:val="000000"/>
          <w:sz w:val="24"/>
        </w:rPr>
      </w:pPr>
      <w:r>
        <w:rPr>
          <w:rFonts w:hint="eastAsia" w:ascii="宋体" w:hAnsi="宋体"/>
          <w:color w:val="000000"/>
          <w:sz w:val="24"/>
        </w:rPr>
        <w:t>在研究了竞争比选文件中所有文件后，我司对</w:t>
      </w:r>
      <w:r>
        <w:rPr>
          <w:rFonts w:hint="eastAsia" w:ascii="Arial" w:hAnsi="Arial" w:cs="Arial"/>
          <w:color w:val="000000"/>
          <w:sz w:val="24"/>
          <w:u w:val="single"/>
        </w:rPr>
        <w:t>重庆高速结算中心网络安全等级保护测评（2023-2025）</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r>
        <w:rPr>
          <w:rFonts w:hint="eastAsia" w:ascii="宋体" w:hAnsi="宋体"/>
          <w:b/>
          <w:color w:val="000000"/>
          <w:sz w:val="24"/>
        </w:rPr>
        <w:t xml:space="preserve"> </w:t>
      </w:r>
    </w:p>
    <w:p>
      <w:pPr>
        <w:spacing w:line="400" w:lineRule="exact"/>
        <w:ind w:firstLine="480" w:firstLineChars="200"/>
        <w:rPr>
          <w:rFonts w:asciiTheme="minorEastAsia" w:hAnsiTheme="minorEastAsia" w:eastAsiaTheme="minorEastAsia"/>
          <w:sz w:val="24"/>
        </w:rPr>
      </w:pP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项目名称：</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2220"/>
        <w:gridCol w:w="913"/>
        <w:gridCol w:w="1881"/>
        <w:gridCol w:w="1002"/>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718" w:type="pct"/>
            <w:vAlign w:val="center"/>
          </w:tcPr>
          <w:p>
            <w:pPr>
              <w:spacing w:line="500" w:lineRule="exact"/>
              <w:jc w:val="center"/>
              <w:rPr>
                <w:rFonts w:ascii="宋体" w:hAnsi="宋体" w:cs="仿宋"/>
                <w:szCs w:val="28"/>
              </w:rPr>
            </w:pPr>
            <w:r>
              <w:rPr>
                <w:rFonts w:hint="eastAsia" w:ascii="宋体" w:hAnsi="宋体" w:cs="仿宋"/>
                <w:szCs w:val="28"/>
              </w:rPr>
              <w:t>序号</w:t>
            </w:r>
          </w:p>
        </w:tc>
        <w:tc>
          <w:tcPr>
            <w:tcW w:w="1303" w:type="pct"/>
            <w:vAlign w:val="center"/>
          </w:tcPr>
          <w:p>
            <w:pPr>
              <w:spacing w:line="500" w:lineRule="exact"/>
              <w:jc w:val="center"/>
              <w:rPr>
                <w:rFonts w:ascii="宋体" w:hAnsi="宋体" w:cs="仿宋"/>
                <w:szCs w:val="28"/>
              </w:rPr>
            </w:pPr>
            <w:r>
              <w:rPr>
                <w:rFonts w:hint="eastAsia" w:ascii="宋体" w:hAnsi="宋体" w:cs="仿宋"/>
                <w:szCs w:val="28"/>
              </w:rPr>
              <w:t>项目名称</w:t>
            </w:r>
          </w:p>
        </w:tc>
        <w:tc>
          <w:tcPr>
            <w:tcW w:w="536" w:type="pct"/>
            <w:vAlign w:val="center"/>
          </w:tcPr>
          <w:p>
            <w:pPr>
              <w:spacing w:line="500" w:lineRule="exact"/>
              <w:jc w:val="center"/>
              <w:rPr>
                <w:rFonts w:ascii="宋体" w:hAnsi="宋体" w:cs="仿宋"/>
                <w:szCs w:val="28"/>
              </w:rPr>
            </w:pPr>
            <w:r>
              <w:rPr>
                <w:rFonts w:hint="eastAsia" w:ascii="宋体" w:hAnsi="宋体" w:cs="仿宋"/>
                <w:szCs w:val="28"/>
              </w:rPr>
              <w:t>数量</w:t>
            </w:r>
          </w:p>
        </w:tc>
        <w:tc>
          <w:tcPr>
            <w:tcW w:w="1104" w:type="pct"/>
            <w:vAlign w:val="center"/>
          </w:tcPr>
          <w:p>
            <w:pPr>
              <w:snapToGrid w:val="0"/>
              <w:spacing w:line="240" w:lineRule="atLeast"/>
              <w:rPr>
                <w:rFonts w:ascii="宋体" w:hAnsi="宋体" w:cs="仿宋"/>
                <w:szCs w:val="28"/>
              </w:rPr>
            </w:pPr>
            <w:r>
              <w:rPr>
                <w:rFonts w:hint="eastAsia" w:ascii="宋体" w:hAnsi="宋体" w:cs="仿宋"/>
                <w:szCs w:val="28"/>
              </w:rPr>
              <w:t>竞标报价（小写）</w:t>
            </w:r>
          </w:p>
        </w:tc>
        <w:tc>
          <w:tcPr>
            <w:tcW w:w="588" w:type="pct"/>
            <w:vAlign w:val="center"/>
          </w:tcPr>
          <w:p>
            <w:pPr>
              <w:spacing w:line="500" w:lineRule="exact"/>
              <w:jc w:val="center"/>
              <w:rPr>
                <w:rFonts w:ascii="宋体" w:hAnsi="宋体" w:cs="仿宋"/>
                <w:szCs w:val="28"/>
              </w:rPr>
            </w:pPr>
            <w:r>
              <w:rPr>
                <w:rFonts w:hint="eastAsia" w:ascii="宋体" w:hAnsi="宋体" w:cs="仿宋"/>
                <w:szCs w:val="28"/>
              </w:rPr>
              <w:t>服务时间</w:t>
            </w:r>
          </w:p>
        </w:tc>
        <w:tc>
          <w:tcPr>
            <w:tcW w:w="748" w:type="pct"/>
            <w:vAlign w:val="center"/>
          </w:tcPr>
          <w:p>
            <w:pPr>
              <w:spacing w:line="500" w:lineRule="exact"/>
              <w:jc w:val="center"/>
              <w:rPr>
                <w:rFonts w:ascii="宋体" w:hAnsi="宋体" w:cs="仿宋"/>
                <w:szCs w:val="28"/>
              </w:rPr>
            </w:pPr>
            <w:r>
              <w:rPr>
                <w:rFonts w:hint="eastAsia" w:ascii="宋体" w:hAnsi="宋体" w:cs="仿宋"/>
                <w:szCs w:val="28"/>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718" w:type="pct"/>
            <w:tcBorders>
              <w:bottom w:val="single" w:color="auto" w:sz="4" w:space="0"/>
            </w:tcBorders>
            <w:vAlign w:val="center"/>
          </w:tcPr>
          <w:p>
            <w:pPr>
              <w:spacing w:line="500" w:lineRule="exact"/>
              <w:jc w:val="center"/>
              <w:rPr>
                <w:rFonts w:ascii="宋体" w:hAnsi="宋体" w:cs="仿宋"/>
                <w:szCs w:val="28"/>
              </w:rPr>
            </w:pPr>
          </w:p>
        </w:tc>
        <w:tc>
          <w:tcPr>
            <w:tcW w:w="1303" w:type="pct"/>
            <w:tcBorders>
              <w:bottom w:val="single" w:color="auto" w:sz="4" w:space="0"/>
            </w:tcBorders>
          </w:tcPr>
          <w:p>
            <w:pPr>
              <w:spacing w:line="500" w:lineRule="exact"/>
              <w:rPr>
                <w:rFonts w:ascii="宋体" w:hAnsi="宋体" w:cs="仿宋"/>
                <w:szCs w:val="28"/>
              </w:rPr>
            </w:pPr>
          </w:p>
        </w:tc>
        <w:tc>
          <w:tcPr>
            <w:tcW w:w="536" w:type="pct"/>
            <w:tcBorders>
              <w:bottom w:val="single" w:color="auto" w:sz="4" w:space="0"/>
            </w:tcBorders>
          </w:tcPr>
          <w:p>
            <w:pPr>
              <w:spacing w:line="500" w:lineRule="exact"/>
              <w:rPr>
                <w:rFonts w:ascii="宋体" w:hAnsi="宋体" w:cs="仿宋"/>
                <w:szCs w:val="28"/>
              </w:rPr>
            </w:pPr>
          </w:p>
        </w:tc>
        <w:tc>
          <w:tcPr>
            <w:tcW w:w="1104" w:type="pct"/>
            <w:tcBorders>
              <w:bottom w:val="single" w:color="auto" w:sz="4" w:space="0"/>
            </w:tcBorders>
          </w:tcPr>
          <w:p>
            <w:pPr>
              <w:spacing w:line="500" w:lineRule="exact"/>
              <w:rPr>
                <w:rFonts w:ascii="宋体" w:hAnsi="宋体" w:cs="仿宋"/>
                <w:szCs w:val="28"/>
              </w:rPr>
            </w:pPr>
          </w:p>
        </w:tc>
        <w:tc>
          <w:tcPr>
            <w:tcW w:w="588" w:type="pct"/>
            <w:tcBorders>
              <w:bottom w:val="single" w:color="auto" w:sz="4" w:space="0"/>
            </w:tcBorders>
          </w:tcPr>
          <w:p>
            <w:pPr>
              <w:spacing w:line="500" w:lineRule="exact"/>
              <w:rPr>
                <w:rFonts w:ascii="宋体" w:hAnsi="宋体" w:cs="仿宋"/>
                <w:szCs w:val="28"/>
              </w:rPr>
            </w:pPr>
          </w:p>
        </w:tc>
        <w:tc>
          <w:tcPr>
            <w:tcW w:w="748" w:type="pct"/>
            <w:tcBorders>
              <w:bottom w:val="single" w:color="auto" w:sz="4" w:space="0"/>
            </w:tcBorders>
          </w:tcPr>
          <w:p>
            <w:pPr>
              <w:spacing w:line="500" w:lineRule="exact"/>
              <w:rPr>
                <w:rFonts w:ascii="宋体" w:hAnsi="宋体"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5000" w:type="pct"/>
            <w:gridSpan w:val="6"/>
            <w:tcBorders>
              <w:bottom w:val="single" w:color="auto" w:sz="4" w:space="0"/>
            </w:tcBorders>
            <w:vAlign w:val="center"/>
          </w:tcPr>
          <w:p>
            <w:pPr>
              <w:spacing w:line="560" w:lineRule="exact"/>
              <w:rPr>
                <w:rFonts w:ascii="宋体" w:hAnsi="宋体" w:cs="仿宋"/>
                <w:szCs w:val="28"/>
              </w:rPr>
            </w:pPr>
            <w:r>
              <w:rPr>
                <w:rFonts w:hint="eastAsia" w:ascii="宋体" w:hAnsi="宋体" w:cs="仿宋"/>
                <w:szCs w:val="28"/>
              </w:rPr>
              <w:t xml:space="preserve">竞标报价（大写）：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5000" w:type="pct"/>
            <w:gridSpan w:val="6"/>
            <w:vAlign w:val="center"/>
          </w:tcPr>
          <w:p>
            <w:pPr>
              <w:pStyle w:val="25"/>
              <w:spacing w:line="500" w:lineRule="exact"/>
              <w:rPr>
                <w:rFonts w:ascii="宋体" w:hAnsi="宋体" w:cs="仿宋"/>
                <w:sz w:val="21"/>
                <w:szCs w:val="28"/>
              </w:rPr>
            </w:pPr>
            <w:r>
              <w:rPr>
                <w:rFonts w:hint="eastAsia" w:ascii="宋体" w:hAnsi="宋体" w:cs="仿宋"/>
                <w:sz w:val="21"/>
                <w:szCs w:val="28"/>
              </w:rPr>
              <w:t xml:space="preserve">备注： </w:t>
            </w:r>
          </w:p>
        </w:tc>
      </w:tr>
    </w:tbl>
    <w:p>
      <w:pPr>
        <w:pStyle w:val="25"/>
        <w:spacing w:line="500" w:lineRule="exact"/>
        <w:rPr>
          <w:rFonts w:ascii="宋体" w:hAnsi="宋体" w:cs="仿宋"/>
          <w:szCs w:val="28"/>
        </w:rPr>
      </w:pPr>
    </w:p>
    <w:p>
      <w:pPr>
        <w:rPr>
          <w:rFonts w:ascii="宋体" w:hAnsi="宋体" w:cs="仿宋"/>
        </w:rPr>
      </w:pPr>
    </w:p>
    <w:p>
      <w:pPr>
        <w:spacing w:line="500" w:lineRule="exact"/>
        <w:rPr>
          <w:rFonts w:ascii="宋体" w:hAnsi="宋体" w:cs="仿宋"/>
          <w:sz w:val="24"/>
          <w:szCs w:val="28"/>
        </w:rPr>
      </w:pPr>
    </w:p>
    <w:p>
      <w:pPr>
        <w:spacing w:line="500" w:lineRule="exact"/>
        <w:rPr>
          <w:rFonts w:ascii="宋体" w:hAnsi="宋体" w:cs="仿宋"/>
          <w:sz w:val="24"/>
          <w:szCs w:val="28"/>
        </w:rPr>
      </w:pPr>
      <w:r>
        <w:rPr>
          <w:rFonts w:hint="eastAsia" w:ascii="宋体" w:hAnsi="宋体" w:cs="仿宋"/>
          <w:sz w:val="24"/>
          <w:szCs w:val="28"/>
        </w:rPr>
        <w:t>投标人：</w:t>
      </w:r>
      <w:r>
        <w:rPr>
          <w:rFonts w:ascii="宋体" w:hAnsi="宋体" w:cs="仿宋"/>
          <w:sz w:val="24"/>
          <w:szCs w:val="28"/>
        </w:rPr>
        <w:t xml:space="preserve">           </w:t>
      </w:r>
      <w:r>
        <w:rPr>
          <w:rFonts w:hint="eastAsia" w:ascii="宋体" w:hAnsi="宋体" w:cs="仿宋"/>
          <w:sz w:val="24"/>
          <w:szCs w:val="28"/>
        </w:rPr>
        <w:t xml:space="preserve">                    法定代表人或法定代表人授权代表：</w:t>
      </w:r>
    </w:p>
    <w:p>
      <w:pPr>
        <w:spacing w:line="500" w:lineRule="exact"/>
        <w:rPr>
          <w:rFonts w:ascii="宋体" w:hAnsi="宋体" w:cs="仿宋"/>
          <w:sz w:val="24"/>
          <w:szCs w:val="28"/>
        </w:rPr>
      </w:pPr>
      <w:r>
        <w:rPr>
          <w:rFonts w:hint="eastAsia" w:ascii="宋体" w:hAnsi="宋体" w:cs="仿宋"/>
          <w:sz w:val="24"/>
          <w:szCs w:val="28"/>
        </w:rPr>
        <w:t>（投标人公章）                               （签字或盖章）</w:t>
      </w:r>
    </w:p>
    <w:p>
      <w:pPr>
        <w:spacing w:line="500" w:lineRule="exact"/>
        <w:rPr>
          <w:rFonts w:ascii="宋体" w:hAnsi="宋体" w:cs="仿宋"/>
          <w:sz w:val="24"/>
          <w:szCs w:val="28"/>
        </w:rPr>
      </w:pPr>
    </w:p>
    <w:p>
      <w:pPr>
        <w:spacing w:line="500" w:lineRule="exact"/>
        <w:rPr>
          <w:rFonts w:ascii="宋体" w:hAnsi="宋体" w:cs="仿宋"/>
          <w:sz w:val="24"/>
          <w:szCs w:val="28"/>
        </w:rPr>
      </w:pPr>
    </w:p>
    <w:p>
      <w:pPr>
        <w:spacing w:line="500" w:lineRule="exact"/>
        <w:rPr>
          <w:rFonts w:ascii="宋体" w:hAnsi="宋体" w:cs="仿宋"/>
          <w:sz w:val="24"/>
          <w:szCs w:val="28"/>
        </w:rPr>
      </w:pPr>
      <w:r>
        <w:rPr>
          <w:rFonts w:hint="eastAsia" w:ascii="宋体" w:hAnsi="宋体" w:cs="仿宋"/>
          <w:sz w:val="24"/>
          <w:szCs w:val="28"/>
        </w:rPr>
        <w:t xml:space="preserve">                                            年     月     日</w:t>
      </w:r>
    </w:p>
    <w:p>
      <w:pPr>
        <w:snapToGrid w:val="0"/>
        <w:spacing w:line="500" w:lineRule="exact"/>
        <w:rPr>
          <w:rFonts w:ascii="方正仿宋_GBK" w:hAnsi="宋体" w:eastAsia="方正仿宋_GBK"/>
          <w:sz w:val="24"/>
          <w:szCs w:val="28"/>
        </w:rPr>
      </w:pPr>
    </w:p>
    <w:p>
      <w:pPr>
        <w:adjustRightInd w:val="0"/>
        <w:snapToGrid w:val="0"/>
        <w:spacing w:line="500" w:lineRule="exact"/>
        <w:ind w:firstLine="480"/>
        <w:rPr>
          <w:rFonts w:ascii="方正仿宋_GBK" w:hAnsi="方正仿宋_GBK" w:eastAsia="方正仿宋_GBK" w:cs="方正仿宋_GBK"/>
          <w:sz w:val="24"/>
        </w:rPr>
      </w:pPr>
      <w:r>
        <w:rPr>
          <w:rFonts w:hint="eastAsia" w:asciiTheme="minorEastAsia" w:hAnsiTheme="minorEastAsia" w:eastAsiaTheme="minorEastAsia"/>
          <w:sz w:val="24"/>
          <w:szCs w:val="28"/>
        </w:rPr>
        <w:t>注：</w:t>
      </w:r>
      <w:r>
        <w:rPr>
          <w:rFonts w:hint="eastAsia" w:ascii="方正仿宋_GBK" w:hAnsi="方正仿宋_GBK" w:eastAsia="方正仿宋_GBK" w:cs="方正仿宋_GBK"/>
          <w:sz w:val="24"/>
        </w:rPr>
        <w:t>1.请投标人完整填写本表；</w:t>
      </w:r>
    </w:p>
    <w:p>
      <w:pPr>
        <w:snapToGrid w:val="0"/>
        <w:spacing w:line="500" w:lineRule="exact"/>
        <w:ind w:firstLine="720" w:firstLineChars="300"/>
        <w:rPr>
          <w:rFonts w:asciiTheme="minorEastAsia" w:hAnsiTheme="minorEastAsia" w:eastAsiaTheme="minorEastAsia"/>
          <w:sz w:val="24"/>
          <w:szCs w:val="28"/>
        </w:rPr>
      </w:pPr>
      <w:r>
        <w:rPr>
          <w:rFonts w:hint="eastAsia" w:ascii="方正仿宋_GBK" w:hAnsi="方正仿宋_GBK" w:eastAsia="方正仿宋_GBK" w:cs="方正仿宋_GBK"/>
          <w:sz w:val="24"/>
        </w:rPr>
        <w:t>2.该表可扩展，并逐页签字或加盖单位公章。</w:t>
      </w:r>
    </w:p>
    <w:p>
      <w:pPr>
        <w:snapToGrid w:val="0"/>
        <w:spacing w:line="500" w:lineRule="exact"/>
        <w:rPr>
          <w:rFonts w:asciiTheme="minorEastAsia" w:hAnsiTheme="minorEastAsia" w:eastAsiaTheme="minorEastAsia"/>
          <w:sz w:val="24"/>
        </w:rPr>
      </w:pPr>
      <w:r>
        <w:rPr>
          <w:rFonts w:asciiTheme="minorEastAsia" w:hAnsiTheme="minorEastAsia" w:eastAsiaTheme="minorEastAsia"/>
          <w:sz w:val="24"/>
          <w:szCs w:val="28"/>
        </w:rPr>
        <w:t xml:space="preserve">       </w:t>
      </w:r>
      <w:r>
        <w:rPr>
          <w:rFonts w:asciiTheme="minorEastAsia" w:hAnsiTheme="minorEastAsia" w:eastAsiaTheme="minorEastAsia"/>
          <w:sz w:val="24"/>
        </w:rPr>
        <w:t xml:space="preserve">                                              </w:t>
      </w:r>
    </w:p>
    <w:p>
      <w:pPr>
        <w:spacing w:line="400" w:lineRule="exact"/>
        <w:rPr>
          <w:rFonts w:ascii="宋体" w:hAnsi="宋体" w:cs="宋体"/>
          <w:kern w:val="0"/>
          <w:szCs w:val="21"/>
        </w:rPr>
      </w:pPr>
    </w:p>
    <w:p>
      <w:pPr>
        <w:pStyle w:val="4"/>
        <w:spacing w:before="0" w:after="0" w:line="360" w:lineRule="auto"/>
        <w:jc w:val="center"/>
        <w:rPr>
          <w:rFonts w:ascii="宋体" w:hAnsi="宋体" w:eastAsia="宋体" w:cs="宋体"/>
          <w:sz w:val="28"/>
        </w:rPr>
      </w:pPr>
      <w:bookmarkStart w:id="219" w:name="_Toc503951050"/>
      <w:bookmarkStart w:id="220" w:name="_Toc513633971"/>
      <w:bookmarkStart w:id="221" w:name="_Toc11329278"/>
      <w:bookmarkStart w:id="222" w:name="_Toc246997112"/>
      <w:bookmarkStart w:id="223" w:name="_Toc246996369"/>
      <w:bookmarkStart w:id="224" w:name="_Toc152045803"/>
      <w:bookmarkStart w:id="225" w:name="_Toc247085887"/>
      <w:bookmarkStart w:id="226" w:name="_Toc447827058"/>
      <w:bookmarkStart w:id="227" w:name="_Toc179632823"/>
      <w:bookmarkStart w:id="228" w:name="_Toc144974871"/>
      <w:bookmarkStart w:id="229" w:name="_Toc152042592"/>
      <w:r>
        <w:rPr>
          <w:rFonts w:hint="eastAsia" w:ascii="宋体" w:hAnsi="宋体" w:eastAsia="宋体" w:cs="宋体"/>
          <w:sz w:val="28"/>
        </w:rPr>
        <w:br w:type="page"/>
      </w:r>
      <w:bookmarkStart w:id="230" w:name="_Toc18757"/>
      <w:bookmarkStart w:id="231" w:name="_Toc12910"/>
      <w:bookmarkStart w:id="232" w:name="_Toc11961"/>
      <w:r>
        <w:rPr>
          <w:rStyle w:val="78"/>
          <w:rFonts w:hint="eastAsia"/>
          <w:b/>
          <w:bCs/>
        </w:rPr>
        <w:t>四、资格审查资料</w:t>
      </w:r>
      <w:bookmarkEnd w:id="219"/>
      <w:bookmarkEnd w:id="220"/>
      <w:bookmarkEnd w:id="221"/>
      <w:bookmarkEnd w:id="230"/>
      <w:bookmarkEnd w:id="231"/>
      <w:bookmarkEnd w:id="232"/>
    </w:p>
    <w:p>
      <w:pPr>
        <w:pStyle w:val="4"/>
        <w:spacing w:before="0" w:after="0" w:line="360" w:lineRule="auto"/>
        <w:jc w:val="center"/>
        <w:rPr>
          <w:rFonts w:ascii="宋体" w:hAnsi="宋体" w:eastAsia="宋体" w:cs="宋体"/>
          <w:sz w:val="28"/>
        </w:rPr>
      </w:pPr>
      <w:bookmarkStart w:id="233" w:name="_Toc22003"/>
      <w:bookmarkStart w:id="234" w:name="_Toc17915"/>
      <w:bookmarkStart w:id="235" w:name="_Toc32456"/>
      <w:r>
        <w:rPr>
          <w:rFonts w:hint="eastAsia" w:ascii="宋体" w:hAnsi="宋体" w:eastAsia="宋体" w:cs="宋体"/>
          <w:sz w:val="28"/>
        </w:rPr>
        <w:t>（营业执照、资质证书、项目人员资料等）</w:t>
      </w:r>
      <w:bookmarkEnd w:id="233"/>
      <w:bookmarkEnd w:id="234"/>
      <w:bookmarkEnd w:id="235"/>
    </w:p>
    <w:p>
      <w:pPr>
        <w:jc w:val="center"/>
        <w:rPr>
          <w:rFonts w:ascii="宋体" w:hAnsi="宋体" w:cs="宋体"/>
          <w:b/>
          <w:szCs w:val="21"/>
        </w:rPr>
      </w:pPr>
    </w:p>
    <w:p>
      <w:pPr>
        <w:jc w:val="center"/>
      </w:pPr>
      <w:r>
        <w:rPr>
          <w:rFonts w:hint="eastAsia" w:ascii="宋体" w:hAnsi="宋体" w:cs="宋体"/>
          <w:b/>
          <w:szCs w:val="21"/>
        </w:rPr>
        <w:t>项目主要人员名单</w:t>
      </w:r>
    </w:p>
    <w:bookmarkEnd w:id="222"/>
    <w:bookmarkEnd w:id="223"/>
    <w:bookmarkEnd w:id="224"/>
    <w:bookmarkEnd w:id="225"/>
    <w:bookmarkEnd w:id="226"/>
    <w:bookmarkEnd w:id="227"/>
    <w:bookmarkEnd w:id="228"/>
    <w:bookmarkEnd w:id="229"/>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458"/>
        <w:gridCol w:w="957"/>
        <w:gridCol w:w="2297"/>
        <w:gridCol w:w="2505"/>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6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236" w:name="_Toc513633973"/>
            <w:bookmarkStart w:id="237" w:name="_Toc447827068"/>
            <w:bookmarkStart w:id="238" w:name="_Toc503951055"/>
            <w:r>
              <w:rPr>
                <w:rFonts w:hint="eastAsia" w:ascii="宋体" w:hAnsi="宋体" w:cs="宋体"/>
                <w:szCs w:val="21"/>
              </w:rPr>
              <w:t>序号</w:t>
            </w:r>
          </w:p>
        </w:tc>
        <w:tc>
          <w:tcPr>
            <w:tcW w:w="87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人  员</w:t>
            </w:r>
          </w:p>
        </w:tc>
        <w:tc>
          <w:tcPr>
            <w:tcW w:w="57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姓名</w:t>
            </w:r>
          </w:p>
        </w:tc>
        <w:tc>
          <w:tcPr>
            <w:tcW w:w="136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身份证号码</w:t>
            </w:r>
          </w:p>
        </w:tc>
        <w:tc>
          <w:tcPr>
            <w:tcW w:w="148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资格证件号码</w:t>
            </w:r>
          </w:p>
        </w:tc>
        <w:tc>
          <w:tcPr>
            <w:tcW w:w="53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6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87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lang w:bidi="ar"/>
              </w:rPr>
              <w:t>项目经理</w:t>
            </w:r>
          </w:p>
        </w:tc>
        <w:tc>
          <w:tcPr>
            <w:tcW w:w="57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36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48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53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6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87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lang w:bidi="ar"/>
              </w:rPr>
              <w:t>测评负责人</w:t>
            </w:r>
          </w:p>
        </w:tc>
        <w:tc>
          <w:tcPr>
            <w:tcW w:w="57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36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48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53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6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87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测评人员</w:t>
            </w:r>
          </w:p>
        </w:tc>
        <w:tc>
          <w:tcPr>
            <w:tcW w:w="57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36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48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53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6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87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57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36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48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53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bl>
    <w:p>
      <w:pPr>
        <w:pStyle w:val="150"/>
        <w:adjustRightInd/>
        <w:spacing w:line="360" w:lineRule="auto"/>
        <w:rPr>
          <w:rFonts w:ascii="Times New Roman" w:hAnsi="宋体" w:cs="Times New Roman"/>
          <w:color w:val="auto"/>
          <w:sz w:val="21"/>
          <w:szCs w:val="21"/>
        </w:rPr>
      </w:pPr>
      <w:bookmarkStart w:id="239" w:name="_Toc11672"/>
      <w:bookmarkStart w:id="240" w:name="_Toc11329281"/>
      <w:r>
        <w:rPr>
          <w:rFonts w:hint="eastAsia" w:ascii="Times New Roman" w:hAnsi="宋体" w:cs="Times New Roman"/>
          <w:color w:val="auto"/>
          <w:sz w:val="21"/>
          <w:szCs w:val="21"/>
        </w:rPr>
        <w:t>注：需提供项目人员名单（表格形式），以上人员相关资质证件、身份证复印件及由社保局出具的投标人为以上人员缴纳近三个月的养老保险证明（带有社保部门公章或社保部门的有效电子印章），并加盖单位鲜公章。</w:t>
      </w:r>
    </w:p>
    <w:p/>
    <w:p>
      <w:pPr>
        <w:pStyle w:val="4"/>
        <w:spacing w:before="0" w:after="0" w:line="360" w:lineRule="auto"/>
        <w:jc w:val="center"/>
        <w:rPr>
          <w:rFonts w:ascii="宋体" w:hAnsi="宋体" w:eastAsia="宋体" w:cs="宋体"/>
          <w:sz w:val="28"/>
        </w:rPr>
      </w:pPr>
      <w:r>
        <w:rPr>
          <w:rFonts w:hint="eastAsia" w:ascii="宋体" w:hAnsi="宋体" w:eastAsia="宋体" w:cs="宋体"/>
          <w:sz w:val="28"/>
        </w:rPr>
        <w:br w:type="page"/>
      </w:r>
      <w:bookmarkStart w:id="241" w:name="_Toc29559"/>
      <w:bookmarkStart w:id="242" w:name="_Toc11243"/>
      <w:r>
        <w:rPr>
          <w:rFonts w:hint="eastAsia" w:ascii="宋体" w:hAnsi="宋体" w:eastAsia="宋体" w:cs="宋体"/>
          <w:sz w:val="28"/>
        </w:rPr>
        <w:t>五、</w:t>
      </w:r>
      <w:bookmarkEnd w:id="236"/>
      <w:bookmarkEnd w:id="237"/>
      <w:bookmarkEnd w:id="238"/>
      <w:r>
        <w:rPr>
          <w:rFonts w:hint="eastAsia" w:ascii="宋体" w:hAnsi="宋体" w:eastAsia="宋体" w:cs="宋体"/>
          <w:sz w:val="28"/>
        </w:rPr>
        <w:t>投标人须知前附表规定的材料</w:t>
      </w:r>
      <w:bookmarkEnd w:id="239"/>
      <w:bookmarkEnd w:id="240"/>
      <w:bookmarkEnd w:id="241"/>
      <w:bookmarkEnd w:id="242"/>
    </w:p>
    <w:p>
      <w:pPr>
        <w:pStyle w:val="5"/>
        <w:jc w:val="center"/>
        <w:rPr>
          <w:rFonts w:ascii="宋体" w:hAnsi="宋体" w:cs="宋体"/>
          <w:sz w:val="28"/>
        </w:rPr>
      </w:pPr>
      <w:bookmarkStart w:id="243" w:name="bookmark81"/>
      <w:bookmarkStart w:id="244" w:name="_Toc513633974"/>
      <w:bookmarkStart w:id="245" w:name="_Toc503951058"/>
      <w:r>
        <w:rPr>
          <w:rFonts w:hint="eastAsia" w:ascii="宋体" w:hAnsi="宋体" w:cs="宋体"/>
          <w:sz w:val="28"/>
        </w:rPr>
        <w:t>（一）</w:t>
      </w:r>
      <w:bookmarkEnd w:id="243"/>
      <w:bookmarkStart w:id="246" w:name="_Toc507681488"/>
      <w:bookmarkStart w:id="247" w:name="_Toc504639215"/>
      <w:bookmarkStart w:id="248" w:name="_Toc507681700"/>
      <w:r>
        <w:rPr>
          <w:rFonts w:hint="eastAsia" w:ascii="宋体" w:hAnsi="宋体" w:cs="宋体"/>
          <w:sz w:val="28"/>
        </w:rPr>
        <w:t>投标人自行承诺部分</w:t>
      </w:r>
      <w:bookmarkEnd w:id="246"/>
      <w:bookmarkEnd w:id="247"/>
      <w:bookmarkEnd w:id="248"/>
    </w:p>
    <w:p>
      <w:pPr>
        <w:rPr>
          <w:rFonts w:hAnsi="宋体"/>
          <w:kern w:val="0"/>
          <w:szCs w:val="21"/>
        </w:rPr>
      </w:pPr>
      <w:r>
        <w:rPr>
          <w:rFonts w:hint="eastAsia" w:hAnsi="宋体"/>
          <w:kern w:val="0"/>
          <w:szCs w:val="21"/>
        </w:rPr>
        <w:t>（招标人名称）：</w:t>
      </w:r>
    </w:p>
    <w:p>
      <w:pPr>
        <w:ind w:left="2" w:firstLine="424"/>
        <w:rPr>
          <w:rFonts w:hAnsi="宋体"/>
          <w:kern w:val="0"/>
          <w:szCs w:val="21"/>
        </w:rPr>
      </w:pPr>
      <w:r>
        <w:rPr>
          <w:rFonts w:hint="eastAsia" w:hAnsi="宋体"/>
          <w:kern w:val="0"/>
          <w:szCs w:val="21"/>
        </w:rPr>
        <w:t>我公司         （投标人名称）参加贵单位         （项目名称）的投标，自愿作出以下承诺：</w:t>
      </w:r>
    </w:p>
    <w:p>
      <w:pPr>
        <w:pStyle w:val="150"/>
        <w:adjustRightInd/>
        <w:spacing w:line="360" w:lineRule="auto"/>
        <w:rPr>
          <w:rFonts w:ascii="Times New Roman" w:hAnsi="宋体" w:cs="Times New Roman"/>
          <w:color w:val="auto"/>
          <w:sz w:val="21"/>
          <w:szCs w:val="21"/>
        </w:rPr>
      </w:pPr>
      <w:r>
        <w:rPr>
          <w:rFonts w:hint="eastAsia" w:ascii="Times New Roman" w:hAnsi="宋体" w:cs="Times New Roman"/>
          <w:color w:val="auto"/>
          <w:sz w:val="21"/>
          <w:szCs w:val="21"/>
        </w:rPr>
        <w:t>一、2018年1月1日至投标截止日止投标人需满足下列要求：</w:t>
      </w:r>
    </w:p>
    <w:p>
      <w:pPr>
        <w:pStyle w:val="150"/>
        <w:adjustRightInd/>
        <w:spacing w:line="360" w:lineRule="auto"/>
        <w:rPr>
          <w:rFonts w:ascii="Times New Roman" w:hAnsi="宋体" w:cs="Times New Roman"/>
          <w:color w:val="auto"/>
          <w:sz w:val="21"/>
          <w:szCs w:val="21"/>
        </w:rPr>
      </w:pPr>
      <w:r>
        <w:rPr>
          <w:rFonts w:hint="eastAsia" w:ascii="Times New Roman" w:hAnsi="宋体" w:cs="Times New Roman"/>
          <w:color w:val="auto"/>
          <w:sz w:val="21"/>
          <w:szCs w:val="21"/>
        </w:rPr>
        <w:t>（1）未被最高人民法院在“信用中国”网站（www.creditchina.gov.cn）列入失信被执行人名单；</w:t>
      </w:r>
    </w:p>
    <w:p>
      <w:pPr>
        <w:pStyle w:val="150"/>
        <w:adjustRightInd/>
        <w:spacing w:line="360" w:lineRule="auto"/>
        <w:rPr>
          <w:rFonts w:ascii="Times New Roman" w:hAnsi="宋体" w:cs="Times New Roman"/>
          <w:color w:val="auto"/>
          <w:sz w:val="21"/>
          <w:szCs w:val="21"/>
        </w:rPr>
      </w:pPr>
      <w:r>
        <w:rPr>
          <w:rFonts w:hint="eastAsia" w:ascii="Times New Roman" w:hAnsi="宋体" w:cs="Times New Roman"/>
          <w:color w:val="auto"/>
          <w:sz w:val="21"/>
          <w:szCs w:val="21"/>
        </w:rPr>
        <w:t>（2）没有过以他人名义投标或以其他方式弄虚作假，骗取中标行为；</w:t>
      </w:r>
    </w:p>
    <w:p>
      <w:pPr>
        <w:pStyle w:val="150"/>
        <w:adjustRightInd/>
        <w:spacing w:line="360" w:lineRule="auto"/>
        <w:rPr>
          <w:rFonts w:ascii="Times New Roman" w:hAnsi="宋体" w:cs="Times New Roman"/>
          <w:color w:val="auto"/>
          <w:sz w:val="21"/>
          <w:szCs w:val="21"/>
        </w:rPr>
      </w:pPr>
      <w:r>
        <w:rPr>
          <w:rFonts w:hint="eastAsia" w:ascii="Times New Roman" w:hAnsi="宋体" w:cs="Times New Roman"/>
          <w:color w:val="auto"/>
          <w:sz w:val="21"/>
          <w:szCs w:val="21"/>
        </w:rPr>
        <w:t>（3）未被责令停业、暂扣或吊销执照、或吊销资质证书；</w:t>
      </w:r>
    </w:p>
    <w:p>
      <w:pPr>
        <w:pStyle w:val="150"/>
        <w:adjustRightInd/>
        <w:spacing w:line="360" w:lineRule="auto"/>
        <w:rPr>
          <w:rFonts w:ascii="Times New Roman" w:hAnsi="宋体" w:cs="Times New Roman"/>
          <w:color w:val="auto"/>
          <w:sz w:val="21"/>
          <w:szCs w:val="21"/>
        </w:rPr>
      </w:pPr>
      <w:r>
        <w:rPr>
          <w:rFonts w:hint="eastAsia" w:ascii="Times New Roman" w:hAnsi="宋体" w:cs="Times New Roman"/>
          <w:color w:val="auto"/>
          <w:sz w:val="21"/>
          <w:szCs w:val="21"/>
        </w:rPr>
        <w:t>（4）未进入清算程序、或被宣告破产；</w:t>
      </w:r>
    </w:p>
    <w:p>
      <w:pPr>
        <w:pStyle w:val="150"/>
        <w:adjustRightInd/>
        <w:spacing w:line="360" w:lineRule="auto"/>
        <w:rPr>
          <w:rFonts w:ascii="Times New Roman" w:hAnsi="宋体" w:cs="Times New Roman"/>
          <w:color w:val="auto"/>
          <w:sz w:val="21"/>
          <w:szCs w:val="21"/>
        </w:rPr>
      </w:pPr>
      <w:r>
        <w:rPr>
          <w:rFonts w:hint="eastAsia" w:ascii="Times New Roman" w:hAnsi="宋体" w:cs="Times New Roman"/>
          <w:color w:val="auto"/>
          <w:sz w:val="21"/>
          <w:szCs w:val="21"/>
        </w:rPr>
        <w:t>（5）未被国家、重庆市（含市或任意区县）有关行政部门处以暂停投标资格行政处罚，且在处罚期限内；</w:t>
      </w:r>
    </w:p>
    <w:p>
      <w:pPr>
        <w:pStyle w:val="150"/>
        <w:adjustRightInd/>
        <w:spacing w:line="360" w:lineRule="auto"/>
        <w:rPr>
          <w:rFonts w:ascii="Times New Roman" w:hAnsi="宋体" w:cs="Times New Roman"/>
          <w:color w:val="auto"/>
          <w:sz w:val="21"/>
          <w:szCs w:val="21"/>
        </w:rPr>
      </w:pPr>
      <w:r>
        <w:rPr>
          <w:rFonts w:hint="eastAsia" w:ascii="Times New Roman" w:hAnsi="宋体" w:cs="Times New Roman"/>
          <w:color w:val="auto"/>
          <w:sz w:val="21"/>
          <w:szCs w:val="21"/>
        </w:rPr>
        <w:t>二、2015年1月1日至投标截止日止投标人或其法定代表人无行贿记录。</w:t>
      </w:r>
    </w:p>
    <w:p>
      <w:pPr>
        <w:pStyle w:val="150"/>
        <w:adjustRightInd/>
        <w:spacing w:line="360" w:lineRule="auto"/>
        <w:rPr>
          <w:rFonts w:ascii="Times New Roman" w:hAnsi="宋体" w:cs="Times New Roman"/>
          <w:color w:val="auto"/>
          <w:sz w:val="21"/>
          <w:szCs w:val="21"/>
        </w:rPr>
      </w:pPr>
      <w:r>
        <w:rPr>
          <w:rFonts w:hint="eastAsia" w:ascii="Times New Roman" w:hAnsi="宋体" w:cs="Times New Roman"/>
          <w:color w:val="auto"/>
          <w:sz w:val="21"/>
          <w:szCs w:val="21"/>
        </w:rPr>
        <w:t>三、我公司在资格审查部分中提供的相关证明材料真实有效，不存在弄虚作假情形。招标人在合同签订前均有权对我司提供的资料（如业绩信息等相关证明材料）进行核实，若发现弄虚作假，取消中标资格，并按相关法律法规报招标投标监督部门处理，并自愿承担被取消投标、中标资格、投标保证金不予退还、解除合同以及赔偿本项目招标人损失的后果。</w:t>
      </w:r>
    </w:p>
    <w:p>
      <w:pPr>
        <w:pStyle w:val="150"/>
        <w:adjustRightInd/>
        <w:spacing w:line="360" w:lineRule="auto"/>
        <w:rPr>
          <w:rFonts w:ascii="Times New Roman" w:hAnsi="宋体" w:cs="Times New Roman"/>
          <w:color w:val="auto"/>
          <w:sz w:val="21"/>
          <w:szCs w:val="21"/>
        </w:rPr>
      </w:pPr>
      <w:r>
        <w:rPr>
          <w:rFonts w:hint="eastAsia" w:ascii="Times New Roman" w:hAnsi="宋体" w:cs="Times New Roman"/>
          <w:color w:val="auto"/>
          <w:sz w:val="21"/>
          <w:szCs w:val="21"/>
        </w:rPr>
        <w:t>四、严格按照比选文件中的要求，提供相应测评工作，按照比选文件第五章及第六章的相关要求完成相关工作</w:t>
      </w:r>
      <w:r>
        <w:rPr>
          <w:rFonts w:hint="eastAsia" w:ascii="Times New Roman" w:hAnsi="宋体" w:cs="Times New Roman"/>
          <w:color w:val="auto"/>
          <w:sz w:val="21"/>
          <w:szCs w:val="21"/>
          <w:lang w:eastAsia="zh-CN"/>
        </w:rPr>
        <w:t>，</w:t>
      </w:r>
      <w:r>
        <w:rPr>
          <w:rFonts w:hint="eastAsia" w:ascii="Times New Roman" w:hAnsi="宋体" w:cs="Times New Roman"/>
          <w:color w:val="auto"/>
          <w:sz w:val="21"/>
          <w:szCs w:val="21"/>
        </w:rPr>
        <w:t>。</w:t>
      </w:r>
    </w:p>
    <w:p>
      <w:pPr>
        <w:pStyle w:val="150"/>
        <w:adjustRightInd/>
        <w:spacing w:line="360" w:lineRule="auto"/>
        <w:rPr>
          <w:rFonts w:ascii="Times New Roman" w:hAnsi="宋体" w:cs="Times New Roman"/>
          <w:color w:val="auto"/>
          <w:sz w:val="21"/>
          <w:szCs w:val="21"/>
        </w:rPr>
      </w:pPr>
      <w:r>
        <w:rPr>
          <w:rFonts w:hint="eastAsia" w:ascii="Times New Roman" w:hAnsi="宋体" w:cs="Times New Roman"/>
          <w:color w:val="auto"/>
          <w:sz w:val="21"/>
          <w:szCs w:val="21"/>
        </w:rPr>
        <w:t>五、我司在其他单位的等级保护测评项目中未</w:t>
      </w:r>
      <w:r>
        <w:rPr>
          <w:rFonts w:hint="eastAsia" w:ascii="Times New Roman" w:hAnsi="宋体" w:cs="Times New Roman"/>
          <w:color w:val="auto"/>
          <w:sz w:val="21"/>
          <w:szCs w:val="21"/>
          <w:lang w:val="en-US" w:eastAsia="zh-CN"/>
        </w:rPr>
        <w:t>发生</w:t>
      </w:r>
      <w:r>
        <w:rPr>
          <w:rFonts w:hint="eastAsia" w:ascii="Times New Roman" w:hAnsi="宋体" w:cs="Times New Roman"/>
          <w:color w:val="auto"/>
          <w:sz w:val="21"/>
          <w:szCs w:val="21"/>
        </w:rPr>
        <w:t>网络安全事故，并承诺在测评工作开展中严格遵守信息安全测评工作规范要求，避免发生网络安全事故。</w:t>
      </w:r>
    </w:p>
    <w:p>
      <w:pPr>
        <w:pStyle w:val="150"/>
        <w:adjustRightInd/>
        <w:spacing w:line="360" w:lineRule="auto"/>
        <w:rPr>
          <w:rFonts w:ascii="Times New Roman" w:hAnsi="宋体" w:cs="Times New Roman"/>
          <w:color w:val="auto"/>
          <w:sz w:val="21"/>
          <w:szCs w:val="21"/>
        </w:rPr>
      </w:pPr>
      <w:r>
        <w:rPr>
          <w:rFonts w:hint="eastAsia" w:ascii="Times New Roman" w:hAnsi="宋体" w:cs="Times New Roman"/>
          <w:color w:val="auto"/>
          <w:sz w:val="21"/>
          <w:szCs w:val="21"/>
        </w:rPr>
        <w:t>六、我司在重庆市有本地服务团队，当发生突发网络安全公共事件时，能在2小时内派出技术团队到达现场协助处置突发事件。</w:t>
      </w:r>
    </w:p>
    <w:p>
      <w:pPr>
        <w:spacing w:line="480" w:lineRule="auto"/>
      </w:pPr>
      <w:r>
        <w:rPr>
          <w:rFonts w:ascii="宋体" w:hAnsi="宋体"/>
        </w:rPr>
        <w:t xml:space="preserve"> </w:t>
      </w:r>
      <w:r>
        <w:rPr>
          <w:rFonts w:hint="eastAsia" w:ascii="宋体" w:hAnsi="宋体"/>
        </w:rPr>
        <w:t>特此承诺</w:t>
      </w:r>
      <w:r>
        <w:rPr>
          <w:rFonts w:hint="eastAsia"/>
        </w:rPr>
        <w:t xml:space="preserve">                      </w:t>
      </w:r>
    </w:p>
    <w:p/>
    <w:p>
      <w:r>
        <w:rPr>
          <w:rFonts w:hint="eastAsia"/>
        </w:rPr>
        <w:t>投  标  人：                               （盖单位公章）</w:t>
      </w:r>
    </w:p>
    <w:p>
      <w:r>
        <w:rPr>
          <w:rFonts w:hint="eastAsia"/>
        </w:rPr>
        <w:t>法定代表人：                               （签字或盖法人章）</w:t>
      </w:r>
    </w:p>
    <w:p>
      <w:r>
        <w:rPr>
          <w:rFonts w:hint="eastAsia"/>
        </w:rPr>
        <w:t xml:space="preserve">        </w:t>
      </w:r>
      <w:r>
        <w:t xml:space="preserve">   </w:t>
      </w:r>
    </w:p>
    <w:p>
      <w:r>
        <w:t xml:space="preserve"> </w:t>
      </w:r>
      <w:r>
        <w:rPr>
          <w:rFonts w:hint="eastAsia"/>
        </w:rPr>
        <w:t xml:space="preserve"> 年         月         日</w:t>
      </w:r>
    </w:p>
    <w:p>
      <w:pPr>
        <w:pStyle w:val="4"/>
        <w:spacing w:before="0" w:after="0" w:line="360" w:lineRule="auto"/>
        <w:jc w:val="center"/>
        <w:rPr>
          <w:rFonts w:ascii="宋体" w:hAnsi="宋体" w:eastAsia="宋体" w:cs="宋体"/>
          <w:sz w:val="28"/>
        </w:rPr>
      </w:pPr>
      <w:r>
        <w:rPr>
          <w:rFonts w:hint="eastAsia" w:ascii="宋体" w:hAnsi="宋体" w:cs="宋体"/>
          <w:sz w:val="28"/>
        </w:rPr>
        <w:br w:type="page"/>
      </w:r>
      <w:r>
        <w:rPr>
          <w:rFonts w:hint="eastAsia" w:ascii="宋体" w:hAnsi="宋体" w:eastAsia="宋体" w:cs="宋体"/>
          <w:sz w:val="28"/>
        </w:rPr>
        <w:t>六、投标人基本信息及其他材料</w:t>
      </w:r>
    </w:p>
    <w:p>
      <w:pPr>
        <w:pStyle w:val="5"/>
        <w:spacing w:before="0" w:after="0" w:line="360" w:lineRule="auto"/>
        <w:jc w:val="center"/>
        <w:rPr>
          <w:sz w:val="28"/>
          <w:szCs w:val="28"/>
        </w:rPr>
      </w:pPr>
      <w:bookmarkStart w:id="249" w:name="_Toc508110857"/>
      <w:bookmarkStart w:id="250" w:name="_Toc4375"/>
      <w:bookmarkStart w:id="251" w:name="_Toc452107137"/>
      <w:r>
        <w:rPr>
          <w:rFonts w:hint="eastAsia"/>
          <w:sz w:val="28"/>
          <w:szCs w:val="28"/>
        </w:rPr>
        <w:t>（一）投标人基本信息表</w:t>
      </w:r>
      <w:bookmarkEnd w:id="249"/>
      <w:bookmarkEnd w:id="250"/>
      <w:bookmarkEnd w:id="251"/>
    </w:p>
    <w:p>
      <w:pPr>
        <w:pStyle w:val="28"/>
      </w:pPr>
    </w:p>
    <w:tbl>
      <w:tblPr>
        <w:tblStyle w:val="44"/>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投标人名称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投标人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2"/>
        <w:rPr>
          <w:kern w:val="0"/>
          <w:szCs w:val="32"/>
        </w:rPr>
      </w:pPr>
      <w:r>
        <w:br w:type="page"/>
      </w:r>
    </w:p>
    <w:p>
      <w:pPr>
        <w:pStyle w:val="4"/>
        <w:jc w:val="center"/>
      </w:pPr>
      <w:r>
        <w:rPr>
          <w:rFonts w:hint="eastAsia"/>
        </w:rPr>
        <w:t>七、其他材料</w:t>
      </w:r>
    </w:p>
    <w:p>
      <w:pPr>
        <w:pStyle w:val="2"/>
        <w:rPr>
          <w:kern w:val="0"/>
          <w:szCs w:val="32"/>
        </w:rPr>
      </w:pPr>
      <w:r>
        <w:br w:type="page"/>
      </w:r>
    </w:p>
    <w:bookmarkEnd w:id="244"/>
    <w:bookmarkEnd w:id="245"/>
    <w:p>
      <w:pPr>
        <w:pStyle w:val="3"/>
        <w:jc w:val="center"/>
      </w:pPr>
      <w:r>
        <w:rPr>
          <w:rFonts w:hint="eastAsia"/>
        </w:rPr>
        <w:t>第八章 合同格式</w:t>
      </w:r>
    </w:p>
    <w:p>
      <w:pPr>
        <w:pStyle w:val="2"/>
      </w:pPr>
    </w:p>
    <w:p>
      <w:pPr>
        <w:jc w:val="center"/>
        <w:rPr>
          <w:rFonts w:ascii="宋体" w:hAnsi="宋体" w:cs="宋体"/>
          <w:b/>
          <w:sz w:val="48"/>
        </w:rPr>
      </w:pPr>
      <w:r>
        <w:rPr>
          <w:rFonts w:hint="eastAsia" w:ascii="宋体" w:hAnsi="宋体" w:cs="宋体"/>
          <w:b/>
          <w:sz w:val="48"/>
        </w:rPr>
        <w:t>网络安全等级保护</w:t>
      </w:r>
    </w:p>
    <w:p>
      <w:pPr>
        <w:jc w:val="center"/>
        <w:rPr>
          <w:rFonts w:ascii="宋体" w:hAnsi="宋体" w:cs="宋体"/>
          <w:b/>
          <w:sz w:val="48"/>
        </w:rPr>
      </w:pPr>
      <w:r>
        <w:rPr>
          <w:rFonts w:hint="eastAsia" w:ascii="宋体" w:hAnsi="宋体" w:cs="宋体"/>
          <w:b/>
          <w:sz w:val="48"/>
        </w:rPr>
        <w:t>委托测评合同</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ind w:left="-540" w:leftChars="-257" w:right="-334" w:rightChars="-159"/>
        <w:rPr>
          <w:rFonts w:ascii="宋体" w:hAnsi="宋体" w:cs="宋体"/>
          <w:sz w:val="28"/>
          <w:u w:val="single"/>
        </w:rPr>
      </w:pPr>
      <w:r>
        <w:rPr>
          <w:rFonts w:hint="eastAsia" w:ascii="宋体" w:hAnsi="宋体" w:cs="宋体"/>
          <w:b/>
          <w:bCs/>
          <w:sz w:val="28"/>
        </w:rPr>
        <w:t xml:space="preserve">         项目名称：</w:t>
      </w:r>
      <w:r>
        <w:rPr>
          <w:rFonts w:hint="eastAsia" w:ascii="宋体" w:hAnsi="宋体" w:cs="宋体"/>
          <w:b/>
          <w:bCs/>
          <w:sz w:val="28"/>
          <w:u w:val="single"/>
        </w:rPr>
        <w:t xml:space="preserve"> XXXXXX网络安全等级保护测评 </w:t>
      </w:r>
      <w:r>
        <w:rPr>
          <w:rFonts w:ascii="宋体" w:hAnsi="宋体" w:cs="宋体"/>
          <w:b/>
          <w:bCs/>
          <w:sz w:val="28"/>
          <w:u w:val="single"/>
        </w:rPr>
        <w:t xml:space="preserve">              </w:t>
      </w:r>
    </w:p>
    <w:p>
      <w:pPr>
        <w:tabs>
          <w:tab w:val="left" w:pos="5460"/>
        </w:tabs>
        <w:ind w:left="-540" w:leftChars="-257"/>
        <w:rPr>
          <w:rFonts w:ascii="宋体" w:hAnsi="宋体" w:cs="宋体"/>
          <w:b/>
          <w:bCs/>
          <w:sz w:val="28"/>
          <w:u w:val="single"/>
        </w:rPr>
      </w:pPr>
    </w:p>
    <w:p>
      <w:pPr>
        <w:ind w:left="-540" w:leftChars="-257"/>
        <w:rPr>
          <w:rFonts w:ascii="宋体" w:hAnsi="宋体" w:cs="宋体"/>
          <w:b/>
          <w:bCs/>
          <w:sz w:val="24"/>
        </w:rPr>
      </w:pPr>
    </w:p>
    <w:p>
      <w:pPr>
        <w:spacing w:line="0" w:lineRule="atLeast"/>
        <w:ind w:left="-540" w:leftChars="-257"/>
        <w:rPr>
          <w:rFonts w:ascii="宋体" w:hAnsi="宋体" w:cs="宋体"/>
          <w:sz w:val="28"/>
          <w:u w:val="single"/>
        </w:rPr>
      </w:pPr>
      <w:r>
        <w:rPr>
          <w:rFonts w:hint="eastAsia" w:ascii="宋体" w:hAnsi="宋体" w:cs="宋体"/>
          <w:b/>
          <w:bCs/>
          <w:sz w:val="28"/>
        </w:rPr>
        <w:t xml:space="preserve">         委 托 方：</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u w:val="single"/>
        </w:rPr>
        <w:t xml:space="preserve">    </w:t>
      </w:r>
    </w:p>
    <w:p>
      <w:pPr>
        <w:tabs>
          <w:tab w:val="center" w:pos="3883"/>
        </w:tabs>
        <w:spacing w:line="0" w:lineRule="atLeast"/>
        <w:rPr>
          <w:rFonts w:ascii="宋体" w:hAnsi="宋体" w:cs="宋体"/>
          <w:b/>
          <w:bCs/>
          <w:sz w:val="28"/>
        </w:rPr>
      </w:pPr>
      <w:r>
        <w:rPr>
          <w:rFonts w:hint="eastAsia" w:ascii="宋体" w:hAnsi="宋体" w:cs="宋体"/>
          <w:b/>
          <w:bCs/>
          <w:sz w:val="28"/>
        </w:rPr>
        <w:t xml:space="preserve">     （甲方） </w:t>
      </w:r>
    </w:p>
    <w:p>
      <w:pPr>
        <w:ind w:left="-540" w:leftChars="-257"/>
        <w:rPr>
          <w:rFonts w:ascii="宋体" w:hAnsi="宋体" w:cs="宋体"/>
          <w:b/>
          <w:bCs/>
        </w:rPr>
      </w:pPr>
    </w:p>
    <w:p>
      <w:pPr>
        <w:ind w:left="-540" w:leftChars="-257"/>
        <w:rPr>
          <w:rFonts w:ascii="宋体" w:hAnsi="宋体" w:cs="宋体"/>
          <w:b/>
          <w:bCs/>
          <w:sz w:val="24"/>
        </w:rPr>
      </w:pPr>
    </w:p>
    <w:p>
      <w:pPr>
        <w:tabs>
          <w:tab w:val="left" w:pos="1582"/>
          <w:tab w:val="left" w:pos="1610"/>
        </w:tabs>
        <w:spacing w:line="0" w:lineRule="atLeast"/>
        <w:ind w:left="-540" w:leftChars="-257"/>
        <w:rPr>
          <w:rFonts w:ascii="宋体" w:hAnsi="宋体" w:cs="宋体"/>
          <w:b/>
          <w:bCs/>
          <w:sz w:val="28"/>
        </w:rPr>
      </w:pPr>
      <w:r>
        <w:rPr>
          <w:rFonts w:hint="eastAsia" w:ascii="宋体" w:hAnsi="宋体" w:cs="宋体"/>
          <w:b/>
          <w:bCs/>
          <w:sz w:val="28"/>
        </w:rPr>
        <w:t xml:space="preserve">         受 托 方：</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u w:val="single"/>
        </w:rPr>
        <w:t xml:space="preserve">   </w:t>
      </w:r>
    </w:p>
    <w:p>
      <w:pPr>
        <w:tabs>
          <w:tab w:val="left" w:pos="5460"/>
        </w:tabs>
        <w:spacing w:line="0" w:lineRule="atLeast"/>
        <w:ind w:left="-540" w:leftChars="-257"/>
        <w:rPr>
          <w:rFonts w:ascii="宋体" w:hAnsi="宋体" w:cs="宋体"/>
          <w:b/>
          <w:bCs/>
          <w:sz w:val="28"/>
        </w:rPr>
      </w:pPr>
      <w:r>
        <w:rPr>
          <w:rFonts w:hint="eastAsia" w:ascii="宋体" w:hAnsi="宋体" w:cs="宋体"/>
          <w:b/>
          <w:bCs/>
          <w:sz w:val="28"/>
        </w:rPr>
        <w:t xml:space="preserve">         （乙方）</w:t>
      </w:r>
    </w:p>
    <w:p>
      <w:pPr>
        <w:rPr>
          <w:rFonts w:ascii="宋体" w:hAnsi="宋体" w:cs="宋体"/>
          <w:sz w:val="28"/>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spacing w:line="0" w:lineRule="atLeast"/>
        <w:rPr>
          <w:rFonts w:ascii="宋体" w:hAnsi="宋体" w:cs="宋体"/>
          <w:b/>
          <w:sz w:val="28"/>
        </w:rPr>
      </w:pPr>
      <w:r>
        <w:rPr>
          <w:rFonts w:hint="eastAsia" w:ascii="宋体" w:hAnsi="宋体" w:cs="宋体"/>
          <w:sz w:val="28"/>
        </w:rPr>
        <w:t>签订地点：</w:t>
      </w:r>
      <w:r>
        <w:rPr>
          <w:rFonts w:hint="eastAsia" w:ascii="宋体" w:hAnsi="宋体" w:cs="宋体"/>
          <w:b/>
          <w:sz w:val="28"/>
        </w:rPr>
        <w:t xml:space="preserve"> </w:t>
      </w:r>
    </w:p>
    <w:p>
      <w:pPr>
        <w:spacing w:line="0" w:lineRule="atLeast"/>
        <w:jc w:val="center"/>
        <w:rPr>
          <w:rFonts w:ascii="宋体" w:hAnsi="宋体" w:cs="宋体"/>
          <w:sz w:val="28"/>
        </w:rPr>
      </w:pPr>
    </w:p>
    <w:p>
      <w:pPr>
        <w:spacing w:line="0" w:lineRule="atLeast"/>
        <w:ind w:firstLine="1120" w:firstLineChars="400"/>
        <w:jc w:val="center"/>
        <w:rPr>
          <w:rFonts w:ascii="宋体" w:hAnsi="宋体" w:cs="宋体"/>
          <w:b/>
          <w:sz w:val="28"/>
        </w:rPr>
      </w:pPr>
      <w:r>
        <w:rPr>
          <w:rFonts w:hint="eastAsia" w:ascii="宋体" w:hAnsi="宋体" w:cs="宋体"/>
          <w:sz w:val="28"/>
        </w:rPr>
        <w:t xml:space="preserve">签订日期：     </w:t>
      </w:r>
      <w:r>
        <w:rPr>
          <w:rFonts w:hint="eastAsia" w:ascii="宋体" w:hAnsi="宋体" w:cs="宋体"/>
          <w:b/>
          <w:sz w:val="28"/>
        </w:rPr>
        <w:t>年   月   日</w:t>
      </w:r>
    </w:p>
    <w:p>
      <w:pPr>
        <w:spacing w:line="0" w:lineRule="atLeast"/>
        <w:rPr>
          <w:rFonts w:ascii="宋体" w:hAnsi="宋体" w:cs="宋体"/>
          <w:sz w:val="28"/>
        </w:rPr>
        <w:sectPr>
          <w:footerReference r:id="rId10" w:type="default"/>
          <w:footerReference r:id="rId11" w:type="even"/>
          <w:pgSz w:w="11906" w:h="16838"/>
          <w:pgMar w:top="1440" w:right="1800" w:bottom="1440" w:left="1800" w:header="851" w:footer="992" w:gutter="0"/>
          <w:cols w:space="425" w:num="1"/>
          <w:docGrid w:type="lines" w:linePitch="312" w:charSpace="0"/>
        </w:sectPr>
      </w:pPr>
    </w:p>
    <w:p>
      <w:pPr>
        <w:pStyle w:val="38"/>
        <w:spacing w:after="0" w:afterAutospacing="0"/>
        <w:jc w:val="center"/>
        <w:rPr>
          <w:b/>
          <w:bCs/>
          <w:sz w:val="36"/>
        </w:rPr>
      </w:pPr>
      <w:r>
        <w:rPr>
          <w:rFonts w:hint="eastAsia"/>
          <w:b/>
          <w:bCs/>
          <w:sz w:val="36"/>
        </w:rPr>
        <w:t>填 写 说 明</w:t>
      </w:r>
    </w:p>
    <w:p>
      <w:pPr>
        <w:pStyle w:val="38"/>
        <w:spacing w:before="156" w:beforeLines="50" w:beforeAutospacing="0" w:after="0" w:afterAutospacing="0"/>
        <w:ind w:firstLine="480" w:firstLineChars="200"/>
      </w:pPr>
      <w:r>
        <w:rPr>
          <w:rFonts w:hint="eastAsia"/>
        </w:rPr>
        <w:t>一、测评合同是指受托方依据国家政策法规、按照国家相关技术标准对委托方的信息系统进行安全等级测评所订立的合同。</w:t>
      </w:r>
    </w:p>
    <w:p>
      <w:pPr>
        <w:pStyle w:val="38"/>
        <w:spacing w:before="156" w:beforeLines="50" w:beforeAutospacing="0" w:after="0" w:afterAutospacing="0"/>
        <w:ind w:firstLine="480" w:firstLineChars="200"/>
      </w:pPr>
      <w:r>
        <w:rPr>
          <w:rFonts w:hint="eastAsia"/>
        </w:rPr>
        <w:t>二、工作内容、依据、方式和要求：</w:t>
      </w:r>
    </w:p>
    <w:p>
      <w:pPr>
        <w:pStyle w:val="38"/>
        <w:spacing w:before="156" w:beforeLines="50" w:beforeAutospacing="0" w:after="0" w:afterAutospacing="0"/>
        <w:ind w:firstLine="480" w:firstLineChars="200"/>
      </w:pPr>
      <w:r>
        <w:rPr>
          <w:rFonts w:hint="eastAsia"/>
        </w:rPr>
        <w:t>包括测评工作的定义、依据、标的范围及效益情况；特定技术问题的难度、主要技术经济指标；具体的做法、手段、程序以及交付成果的形式。</w:t>
      </w:r>
    </w:p>
    <w:p>
      <w:pPr>
        <w:pStyle w:val="38"/>
        <w:spacing w:before="156" w:beforeLines="50" w:beforeAutospacing="0" w:after="0" w:afterAutospacing="0"/>
        <w:ind w:firstLine="480" w:firstLineChars="200"/>
      </w:pPr>
      <w:r>
        <w:rPr>
          <w:rFonts w:hint="eastAsia"/>
        </w:rPr>
        <w:t>三、工作条件和协作事项：</w:t>
      </w:r>
    </w:p>
    <w:p>
      <w:pPr>
        <w:pStyle w:val="38"/>
        <w:spacing w:before="156" w:beforeLines="50" w:beforeAutospacing="0" w:after="0" w:afterAutospacing="0"/>
        <w:ind w:firstLine="480" w:firstLineChars="200"/>
      </w:pPr>
      <w:r>
        <w:rPr>
          <w:rFonts w:hint="eastAsia"/>
        </w:rPr>
        <w:t>包括甲方为乙方提供的资料、文件、人员配合及其他条件，双方协作的具体事项。</w:t>
      </w:r>
    </w:p>
    <w:p>
      <w:pPr>
        <w:pStyle w:val="38"/>
        <w:spacing w:before="156" w:beforeLines="50" w:beforeAutospacing="0" w:after="0" w:afterAutospacing="0"/>
        <w:ind w:firstLine="480" w:firstLineChars="200"/>
      </w:pPr>
      <w:r>
        <w:rPr>
          <w:rFonts w:hint="eastAsia"/>
        </w:rPr>
        <w:t>四、其他：</w:t>
      </w:r>
    </w:p>
    <w:p>
      <w:pPr>
        <w:pStyle w:val="38"/>
        <w:spacing w:before="156" w:beforeLines="50" w:beforeAutospacing="0" w:after="0" w:afterAutospacing="0"/>
        <w:ind w:firstLine="480" w:firstLineChars="200"/>
      </w:pPr>
      <w:r>
        <w:rPr>
          <w:rFonts w:hint="eastAsia"/>
        </w:rPr>
        <w:t>合同如果是通过中介机构介绍签订的，应将中介合同作为本合同的附件。如果双方当事人约定定金、财产抵押担保的，应将给付定金、财产抵押及担保手续的复印件作为本合同的附件。</w:t>
      </w:r>
    </w:p>
    <w:p>
      <w:pPr>
        <w:pStyle w:val="38"/>
        <w:spacing w:before="156" w:beforeLines="50" w:beforeAutospacing="0" w:after="0" w:afterAutospacing="0"/>
        <w:ind w:firstLine="480" w:firstLineChars="200"/>
      </w:pPr>
      <w:r>
        <w:rPr>
          <w:rFonts w:hint="eastAsia"/>
        </w:rPr>
        <w:t>五、委托代理人签订合同时，应出具委托证书。</w:t>
      </w:r>
    </w:p>
    <w:p>
      <w:pPr>
        <w:pStyle w:val="38"/>
        <w:spacing w:before="156" w:beforeLines="50" w:beforeAutospacing="0" w:after="0" w:afterAutospacing="0"/>
        <w:ind w:firstLine="480" w:firstLineChars="200"/>
      </w:pPr>
      <w:r>
        <w:rPr>
          <w:rFonts w:hint="eastAsia"/>
        </w:rPr>
        <w:t>六、本合同中，凡是当事人约定认为无需填写的条款，在该条款填写的空白处划(/)表示。</w:t>
      </w:r>
    </w:p>
    <w:p>
      <w:pPr>
        <w:rPr>
          <w:rFonts w:ascii="宋体" w:hAnsi="宋体" w:cs="宋体"/>
        </w:rPr>
      </w:pPr>
    </w:p>
    <w:p>
      <w:pPr>
        <w:pStyle w:val="38"/>
        <w:spacing w:before="0" w:beforeAutospacing="0" w:after="0" w:afterAutospacing="0" w:line="640" w:lineRule="exact"/>
      </w:pPr>
      <w:r>
        <w:rPr>
          <w:rFonts w:hint="eastAsia"/>
        </w:rPr>
        <w:t xml:space="preserve">  依据《中华人民共和国民法典》及有关法规的规定，双方就</w:t>
      </w:r>
      <w:r>
        <w:rPr>
          <w:rFonts w:hint="eastAsia"/>
          <w:b/>
          <w:u w:val="single"/>
        </w:rPr>
        <w:t>XXXX</w:t>
      </w:r>
      <w:r>
        <w:rPr>
          <w:rFonts w:hint="eastAsia"/>
          <w:b/>
          <w:bCs/>
          <w:u w:val="single"/>
        </w:rPr>
        <w:t xml:space="preserve"> </w:t>
      </w:r>
      <w:r>
        <w:rPr>
          <w:b/>
          <w:bCs/>
          <w:u w:val="single"/>
        </w:rPr>
        <w:t xml:space="preserve">   </w:t>
      </w:r>
      <w:r>
        <w:rPr>
          <w:rFonts w:hint="eastAsia"/>
          <w:b/>
          <w:u w:val="single"/>
        </w:rPr>
        <w:t xml:space="preserve"> </w:t>
      </w:r>
      <w:r>
        <w:rPr>
          <w:rFonts w:hint="eastAsia"/>
          <w:u w:val="single"/>
        </w:rPr>
        <w:t xml:space="preserve"> </w:t>
      </w:r>
      <w:r>
        <w:rPr>
          <w:rFonts w:hint="eastAsia"/>
        </w:rPr>
        <w:t>的网络安全等级保护测评工作协商一致，特签订本协议。</w:t>
      </w:r>
    </w:p>
    <w:p>
      <w:pPr>
        <w:spacing w:line="500" w:lineRule="atLeast"/>
        <w:rPr>
          <w:rFonts w:ascii="宋体" w:hAnsi="宋体" w:cs="宋体"/>
          <w:b/>
          <w:sz w:val="28"/>
        </w:rPr>
      </w:pPr>
      <w:r>
        <w:rPr>
          <w:rFonts w:hint="eastAsia" w:ascii="宋体" w:hAnsi="宋体" w:cs="宋体"/>
          <w:b/>
          <w:sz w:val="28"/>
        </w:rPr>
        <w:t>第一条、工作内容、依据、方式和要求</w:t>
      </w:r>
    </w:p>
    <w:p>
      <w:pPr>
        <w:spacing w:line="640" w:lineRule="exact"/>
        <w:ind w:firstLine="480"/>
        <w:rPr>
          <w:rFonts w:ascii="宋体" w:hAnsi="宋体" w:cs="宋体"/>
          <w:sz w:val="24"/>
        </w:rPr>
      </w:pPr>
      <w:r>
        <w:rPr>
          <w:rFonts w:hint="eastAsia" w:ascii="宋体" w:hAnsi="宋体" w:cs="宋体"/>
          <w:b/>
          <w:sz w:val="24"/>
        </w:rPr>
        <w:t>1.1 内容</w:t>
      </w:r>
      <w:r>
        <w:rPr>
          <w:rFonts w:hint="eastAsia" w:ascii="宋体" w:hAnsi="宋体" w:cs="宋体"/>
          <w:sz w:val="24"/>
        </w:rPr>
        <w:t xml:space="preserve">：乙方依据国家信息系统安全等级保护制度的规定，受甲方委托，按照有关管理规范和技术标准，检测评估被测信息系统网络安全等级保护状况是否达到相应等级的基本要求。  </w:t>
      </w:r>
    </w:p>
    <w:p>
      <w:pPr>
        <w:spacing w:line="640" w:lineRule="exact"/>
        <w:ind w:firstLine="480"/>
        <w:rPr>
          <w:rFonts w:ascii="宋体" w:hAnsi="宋体" w:cs="宋体"/>
          <w:sz w:val="24"/>
        </w:rPr>
      </w:pPr>
      <w:r>
        <w:rPr>
          <w:rFonts w:hint="eastAsia" w:ascii="宋体" w:hAnsi="宋体" w:cs="宋体"/>
          <w:b/>
          <w:sz w:val="24"/>
        </w:rPr>
        <w:t>1.2 依据</w:t>
      </w:r>
      <w:r>
        <w:rPr>
          <w:rFonts w:hint="eastAsia" w:ascii="宋体" w:hAnsi="宋体" w:cs="宋体"/>
          <w:sz w:val="24"/>
        </w:rPr>
        <w:t>：《信息安全等级保护管理办法》（公通字[2007]43号）、GB/T 22239-2019《信息安全技术—网络安全等级保护基本要求》、GB/T28448-2019《信息安全技术网络安全等级保护测评要求》、GB/T 28449-2018  《信息安全技术—网络安全等级保护测评过程指南》。</w:t>
      </w:r>
    </w:p>
    <w:p>
      <w:pPr>
        <w:spacing w:line="640" w:lineRule="exact"/>
        <w:ind w:firstLine="480"/>
        <w:rPr>
          <w:rFonts w:ascii="宋体" w:hAnsi="宋体" w:cs="宋体"/>
          <w:sz w:val="24"/>
        </w:rPr>
      </w:pPr>
      <w:r>
        <w:rPr>
          <w:rFonts w:hint="eastAsia" w:ascii="宋体" w:hAnsi="宋体" w:cs="宋体"/>
          <w:b/>
          <w:sz w:val="24"/>
        </w:rPr>
        <w:t>1.3方式</w:t>
      </w:r>
      <w:r>
        <w:rPr>
          <w:rFonts w:hint="eastAsia" w:ascii="宋体" w:hAnsi="宋体" w:cs="宋体"/>
          <w:sz w:val="24"/>
        </w:rPr>
        <w:t>：乙方对被测信息系统从技术安全要求和管理安全要求两方面进行检测评估，测评方式包括访谈、文档审查、配置检查、工具测试和实地查看等。</w:t>
      </w:r>
    </w:p>
    <w:p>
      <w:pPr>
        <w:spacing w:line="640" w:lineRule="exact"/>
        <w:ind w:firstLine="480"/>
        <w:rPr>
          <w:rFonts w:ascii="宋体" w:hAnsi="宋体" w:cs="宋体"/>
          <w:sz w:val="24"/>
        </w:rPr>
      </w:pPr>
      <w:r>
        <w:rPr>
          <w:rFonts w:hint="eastAsia" w:ascii="宋体" w:hAnsi="宋体" w:cs="宋体"/>
          <w:b/>
          <w:sz w:val="24"/>
        </w:rPr>
        <w:t>1.4 要求</w:t>
      </w:r>
      <w:r>
        <w:rPr>
          <w:rFonts w:hint="eastAsia" w:ascii="宋体" w:hAnsi="宋体" w:cs="宋体"/>
          <w:sz w:val="24"/>
        </w:rPr>
        <w:t>：</w:t>
      </w:r>
    </w:p>
    <w:p>
      <w:pPr>
        <w:spacing w:line="640" w:lineRule="exact"/>
        <w:ind w:firstLine="480"/>
        <w:rPr>
          <w:rFonts w:ascii="宋体" w:hAnsi="宋体" w:cs="宋体"/>
          <w:sz w:val="24"/>
        </w:rPr>
      </w:pPr>
      <w:r>
        <w:rPr>
          <w:rFonts w:hint="eastAsia" w:ascii="宋体" w:hAnsi="宋体" w:cs="宋体"/>
          <w:sz w:val="24"/>
        </w:rPr>
        <w:t>1.4.1 乙方应按照上述国家法规和技术标准的要求，坚持客观、公正的第三方立场进行测评工作，保持测评结果及结论的独立性和科学性。</w:t>
      </w:r>
    </w:p>
    <w:p>
      <w:pPr>
        <w:spacing w:line="640" w:lineRule="exact"/>
        <w:ind w:firstLine="480"/>
        <w:rPr>
          <w:rFonts w:ascii="宋体" w:hAnsi="宋体" w:cs="宋体"/>
          <w:sz w:val="24"/>
        </w:rPr>
      </w:pPr>
      <w:r>
        <w:rPr>
          <w:rFonts w:hint="eastAsia" w:ascii="宋体" w:hAnsi="宋体" w:cs="宋体"/>
          <w:sz w:val="24"/>
        </w:rPr>
        <w:t>1.4.2 甲方提供的信息系统应该是可测评的。</w:t>
      </w:r>
    </w:p>
    <w:p>
      <w:pPr>
        <w:spacing w:line="640" w:lineRule="exact"/>
        <w:ind w:firstLine="480"/>
        <w:rPr>
          <w:rFonts w:ascii="宋体" w:hAnsi="宋体" w:cs="宋体"/>
          <w:sz w:val="24"/>
        </w:rPr>
      </w:pPr>
      <w:r>
        <w:rPr>
          <w:rFonts w:hint="eastAsia" w:ascii="宋体" w:hAnsi="宋体" w:cs="宋体"/>
          <w:sz w:val="24"/>
        </w:rPr>
        <w:t>1.4.3 乙方应根据测评工作的具体情况编制测评项目计划和测评方案，经过甲、乙双方确认、甲方签署《现场测试授权书》后，乙方进入现场实施测评工作。</w:t>
      </w:r>
    </w:p>
    <w:p>
      <w:pPr>
        <w:spacing w:line="640" w:lineRule="exact"/>
        <w:ind w:firstLine="480"/>
        <w:rPr>
          <w:rFonts w:ascii="宋体" w:hAnsi="宋体" w:cs="宋体"/>
          <w:sz w:val="24"/>
        </w:rPr>
      </w:pPr>
      <w:r>
        <w:rPr>
          <w:rFonts w:hint="eastAsia" w:ascii="宋体" w:hAnsi="宋体" w:cs="宋体"/>
          <w:sz w:val="24"/>
        </w:rPr>
        <w:t>1.4.4 乙方应将测评工作对被测信息系统及相关业务的影响告知甲方，双方协商确定测评工作时间安排以减小对甲方正常业务和工作的影响。</w:t>
      </w:r>
    </w:p>
    <w:p>
      <w:pPr>
        <w:spacing w:line="640" w:lineRule="exact"/>
        <w:ind w:firstLine="480"/>
        <w:rPr>
          <w:rFonts w:ascii="宋体" w:hAnsi="宋体" w:cs="宋体"/>
          <w:sz w:val="24"/>
        </w:rPr>
      </w:pPr>
      <w:r>
        <w:rPr>
          <w:rFonts w:hint="eastAsia" w:ascii="宋体" w:hAnsi="宋体" w:cs="宋体"/>
          <w:sz w:val="24"/>
        </w:rPr>
        <w:t>1</w:t>
      </w:r>
      <w:r>
        <w:rPr>
          <w:rFonts w:ascii="宋体" w:hAnsi="宋体" w:cs="宋体"/>
          <w:sz w:val="24"/>
        </w:rPr>
        <w:t>.4.5</w:t>
      </w:r>
      <w:r>
        <w:rPr>
          <w:rFonts w:hint="eastAsia" w:ascii="宋体" w:hAnsi="宋体" w:cs="宋体"/>
          <w:sz w:val="24"/>
        </w:rPr>
        <w:t>在合同期限内，乙方为甲方提供一次网络安全培训，培训时间和内容由双方具体协商决定。</w:t>
      </w:r>
    </w:p>
    <w:p>
      <w:pPr>
        <w:spacing w:line="640" w:lineRule="exact"/>
        <w:ind w:firstLine="480"/>
        <w:rPr>
          <w:rFonts w:ascii="宋体" w:hAnsi="宋体" w:cs="宋体"/>
          <w:sz w:val="24"/>
        </w:rPr>
      </w:pPr>
      <w:r>
        <w:rPr>
          <w:rFonts w:hint="eastAsia" w:ascii="宋体" w:hAnsi="宋体" w:cs="宋体"/>
          <w:sz w:val="24"/>
        </w:rPr>
        <w:t>1</w:t>
      </w:r>
      <w:r>
        <w:rPr>
          <w:rFonts w:ascii="宋体" w:hAnsi="宋体" w:cs="宋体"/>
          <w:sz w:val="24"/>
        </w:rPr>
        <w:t>.4.6</w:t>
      </w:r>
      <w:r>
        <w:rPr>
          <w:rFonts w:hint="eastAsia" w:ascii="宋体" w:hAnsi="宋体" w:cs="宋体"/>
          <w:sz w:val="24"/>
        </w:rPr>
        <w:t>在合同期限内，乙方为甲方在合同期限内提供一次网络安全应急演练指导服务，服务时间和内容由双方具体协商决定。</w:t>
      </w:r>
    </w:p>
    <w:p>
      <w:pPr>
        <w:spacing w:line="640" w:lineRule="exact"/>
        <w:ind w:firstLine="480"/>
        <w:rPr>
          <w:rFonts w:ascii="宋体" w:hAnsi="宋体" w:cs="宋体"/>
          <w:sz w:val="24"/>
        </w:rPr>
      </w:pPr>
      <w:r>
        <w:rPr>
          <w:rFonts w:hint="eastAsia" w:ascii="宋体" w:hAnsi="宋体" w:cs="宋体"/>
          <w:sz w:val="24"/>
        </w:rPr>
        <w:t>1</w:t>
      </w:r>
      <w:r>
        <w:rPr>
          <w:rFonts w:ascii="宋体" w:hAnsi="宋体" w:cs="宋体"/>
          <w:sz w:val="24"/>
        </w:rPr>
        <w:t>.4.7</w:t>
      </w:r>
      <w:r>
        <w:rPr>
          <w:rFonts w:hint="eastAsia" w:ascii="宋体" w:hAnsi="宋体" w:cs="宋体"/>
          <w:sz w:val="24"/>
        </w:rPr>
        <w:t>在合同期限内，乙方为甲方提供网络安全规划、方针、策略和管理制度体系咨询服务，配合招标人，为被测信息系统安全整改和加固提供咨询和技术服务。</w:t>
      </w:r>
      <w:r>
        <w:rPr>
          <w:rFonts w:ascii="宋体" w:hAnsi="宋体" w:cs="宋体"/>
          <w:sz w:val="24"/>
        </w:rPr>
        <w:t xml:space="preserve"> </w:t>
      </w:r>
    </w:p>
    <w:p>
      <w:pPr>
        <w:spacing w:line="640" w:lineRule="exact"/>
        <w:rPr>
          <w:rFonts w:ascii="宋体" w:hAnsi="宋体" w:cs="宋体"/>
          <w:b/>
          <w:bCs/>
          <w:sz w:val="28"/>
        </w:rPr>
      </w:pPr>
      <w:r>
        <w:rPr>
          <w:rFonts w:hint="eastAsia" w:ascii="宋体" w:hAnsi="宋体" w:cs="宋体"/>
          <w:b/>
          <w:bCs/>
          <w:sz w:val="28"/>
        </w:rPr>
        <w:t>第二条、委托方的协作事项</w:t>
      </w:r>
    </w:p>
    <w:p>
      <w:pPr>
        <w:spacing w:line="640" w:lineRule="exact"/>
        <w:ind w:firstLine="480" w:firstLineChars="200"/>
        <w:rPr>
          <w:rFonts w:ascii="宋体" w:hAnsi="宋体" w:cs="宋体"/>
          <w:sz w:val="24"/>
        </w:rPr>
      </w:pPr>
      <w:r>
        <w:rPr>
          <w:rFonts w:hint="eastAsia" w:ascii="宋体" w:hAnsi="宋体" w:cs="宋体"/>
          <w:sz w:val="24"/>
        </w:rPr>
        <w:t>为保证测评工作顺利进行，甲方需向乙方提供必要的协作和配合：</w:t>
      </w:r>
    </w:p>
    <w:p>
      <w:pPr>
        <w:spacing w:line="640" w:lineRule="exact"/>
        <w:ind w:firstLine="480" w:firstLineChars="200"/>
        <w:rPr>
          <w:rFonts w:ascii="宋体" w:hAnsi="宋体" w:cs="宋体"/>
          <w:sz w:val="24"/>
        </w:rPr>
      </w:pPr>
      <w:r>
        <w:rPr>
          <w:rFonts w:hint="eastAsia" w:ascii="宋体" w:hAnsi="宋体" w:cs="宋体"/>
          <w:sz w:val="24"/>
        </w:rPr>
        <w:t>2.1 甲方应准确填写《信息系统基本情况调查表》，如实反映被测信息系统的现状。</w:t>
      </w:r>
    </w:p>
    <w:p>
      <w:pPr>
        <w:spacing w:line="640" w:lineRule="exact"/>
        <w:ind w:firstLine="480" w:firstLineChars="200"/>
        <w:rPr>
          <w:rFonts w:ascii="宋体" w:hAnsi="宋体" w:cs="宋体"/>
          <w:sz w:val="24"/>
        </w:rPr>
      </w:pPr>
      <w:r>
        <w:rPr>
          <w:rFonts w:hint="eastAsia" w:ascii="宋体" w:hAnsi="宋体" w:cs="宋体"/>
          <w:sz w:val="24"/>
        </w:rPr>
        <w:t>2.2 甲方应组织协调内部相关人员协助乙方开展测评工作，回答访谈问询，按时参加有关测评工作会议，对需要验证的内容上机进行操作，书面确认测评后设备状态等</w:t>
      </w:r>
    </w:p>
    <w:p>
      <w:pPr>
        <w:spacing w:line="640" w:lineRule="exact"/>
        <w:ind w:firstLine="480" w:firstLineChars="200"/>
        <w:rPr>
          <w:rFonts w:ascii="宋体" w:hAnsi="宋体" w:cs="宋体"/>
          <w:sz w:val="24"/>
        </w:rPr>
      </w:pPr>
      <w:r>
        <w:rPr>
          <w:rFonts w:hint="eastAsia" w:ascii="宋体" w:hAnsi="宋体" w:cs="宋体"/>
          <w:sz w:val="24"/>
        </w:rPr>
        <w:t>2.3 甲方应准备、提供测评工作所需的管理制度、规范、图纸、数据、设计文档和过程记录等相关资料，并对其正确、有效性负责。</w:t>
      </w:r>
    </w:p>
    <w:p>
      <w:pPr>
        <w:spacing w:line="640" w:lineRule="exact"/>
        <w:ind w:firstLine="480" w:firstLineChars="200"/>
        <w:rPr>
          <w:rFonts w:ascii="宋体" w:hAnsi="宋体" w:cs="宋体"/>
          <w:sz w:val="24"/>
        </w:rPr>
      </w:pPr>
      <w:r>
        <w:rPr>
          <w:rFonts w:hint="eastAsia" w:ascii="宋体" w:hAnsi="宋体" w:cs="宋体"/>
          <w:sz w:val="24"/>
        </w:rPr>
        <w:t>2.4 甲方在现场测评前应完成系统和数据备份，必要时承担相应的数据恢复工作。</w:t>
      </w:r>
    </w:p>
    <w:p>
      <w:pPr>
        <w:spacing w:line="640" w:lineRule="exact"/>
        <w:rPr>
          <w:rFonts w:ascii="宋体" w:hAnsi="宋体" w:cs="宋体"/>
          <w:b/>
          <w:bCs/>
          <w:sz w:val="28"/>
        </w:rPr>
      </w:pPr>
      <w:r>
        <w:rPr>
          <w:rFonts w:hint="eastAsia" w:ascii="宋体" w:hAnsi="宋体" w:cs="宋体"/>
          <w:b/>
          <w:bCs/>
          <w:sz w:val="28"/>
        </w:rPr>
        <w:t>第三条、知识产权和保密要求</w:t>
      </w:r>
    </w:p>
    <w:p>
      <w:pPr>
        <w:spacing w:line="640" w:lineRule="exact"/>
        <w:ind w:firstLine="480" w:firstLineChars="200"/>
        <w:rPr>
          <w:rFonts w:ascii="宋体" w:hAnsi="宋体" w:cs="宋体"/>
          <w:sz w:val="24"/>
        </w:rPr>
      </w:pPr>
      <w:r>
        <w:rPr>
          <w:rFonts w:hint="eastAsia" w:ascii="宋体" w:hAnsi="宋体" w:cs="宋体"/>
          <w:sz w:val="24"/>
        </w:rPr>
        <w:t>3.1 甲方承诺所提供的信息系统包括安全产品、软件产品如操作系统、数据库系统、应用软件等具有合法权源，没有任何侵犯他人知识产权或其他合法权益的行为。若有侵权行为，甲方承担由此而引起的一切后果。</w:t>
      </w:r>
    </w:p>
    <w:p>
      <w:pPr>
        <w:spacing w:line="640" w:lineRule="exact"/>
        <w:ind w:firstLine="480" w:firstLineChars="200"/>
        <w:rPr>
          <w:rFonts w:ascii="宋体" w:hAnsi="宋体" w:cs="宋体"/>
          <w:sz w:val="24"/>
        </w:rPr>
      </w:pPr>
      <w:r>
        <w:rPr>
          <w:rFonts w:hint="eastAsia" w:ascii="宋体" w:hAnsi="宋体" w:cs="宋体"/>
          <w:sz w:val="24"/>
        </w:rPr>
        <w:t>3.2 测评工作的成果和结论属甲方所有，乙方对其商业引用和公开应得到甲方的授权。</w:t>
      </w:r>
    </w:p>
    <w:p>
      <w:pPr>
        <w:spacing w:line="640" w:lineRule="exact"/>
        <w:ind w:firstLine="480" w:firstLineChars="200"/>
        <w:rPr>
          <w:rFonts w:ascii="宋体" w:hAnsi="宋体" w:cs="宋体"/>
          <w:sz w:val="24"/>
        </w:rPr>
      </w:pPr>
      <w:r>
        <w:rPr>
          <w:rFonts w:hint="eastAsia" w:ascii="宋体" w:hAnsi="宋体" w:cs="宋体"/>
          <w:sz w:val="24"/>
        </w:rPr>
        <w:t>3.3附件一《网络安全等级测评保密协议》为本协议不可分割的部分，对双方的保密责任和义务进行约定。</w:t>
      </w:r>
    </w:p>
    <w:p>
      <w:pPr>
        <w:spacing w:line="640" w:lineRule="exact"/>
        <w:ind w:firstLine="480" w:firstLineChars="200"/>
        <w:rPr>
          <w:rFonts w:ascii="宋体" w:hAnsi="宋体" w:cs="宋体"/>
          <w:sz w:val="24"/>
        </w:rPr>
      </w:pPr>
      <w:r>
        <w:rPr>
          <w:rFonts w:hint="eastAsia" w:ascii="宋体" w:hAnsi="宋体" w:cs="宋体"/>
          <w:sz w:val="24"/>
        </w:rPr>
        <w:t>3.4甲方如果要引用乙方出具的测评报告，必须完整引用，不得作部分内容引用。若因违背此约束而造成的不良后果，由甲方负责。</w:t>
      </w:r>
    </w:p>
    <w:p>
      <w:pPr>
        <w:spacing w:line="500" w:lineRule="atLeast"/>
        <w:rPr>
          <w:rFonts w:ascii="宋体" w:hAnsi="宋体" w:cs="宋体"/>
          <w:b/>
          <w:sz w:val="28"/>
        </w:rPr>
      </w:pPr>
      <w:r>
        <w:rPr>
          <w:rFonts w:hint="eastAsia" w:ascii="宋体" w:hAnsi="宋体" w:cs="宋体"/>
          <w:b/>
          <w:sz w:val="28"/>
        </w:rPr>
        <w:t>第四条、履行期限、地点</w:t>
      </w:r>
    </w:p>
    <w:p>
      <w:pPr>
        <w:spacing w:line="500" w:lineRule="atLeast"/>
        <w:ind w:firstLine="480" w:firstLineChars="200"/>
        <w:rPr>
          <w:rFonts w:ascii="宋体" w:hAnsi="宋体" w:cs="宋体"/>
          <w:sz w:val="24"/>
        </w:rPr>
      </w:pPr>
      <w:r>
        <w:rPr>
          <w:rFonts w:hint="eastAsia" w:ascii="宋体" w:hAnsi="宋体" w:cs="宋体"/>
          <w:sz w:val="24"/>
        </w:rPr>
        <w:t>本合同执行时间按照甲乙双方协商约定时间，在甲方指定地点履行，现场测评时间自甲方签署《现场测试授权书》后第一个工作日起</w:t>
      </w:r>
      <w:r>
        <w:rPr>
          <w:rFonts w:ascii="宋体" w:hAnsi="宋体" w:cs="宋体"/>
          <w:color w:val="FF0000"/>
          <w:sz w:val="24"/>
          <w:u w:val="single"/>
        </w:rPr>
        <w:t xml:space="preserve">    </w:t>
      </w:r>
      <w:r>
        <w:rPr>
          <w:rFonts w:hint="eastAsia" w:ascii="宋体" w:hAnsi="宋体" w:cs="宋体"/>
          <w:sz w:val="24"/>
        </w:rPr>
        <w:t>个工作日，现场测试累计时间不包括问题整改时间及非因乙方原因造成的待工时间。</w:t>
      </w:r>
    </w:p>
    <w:p>
      <w:pPr>
        <w:spacing w:line="500" w:lineRule="atLeast"/>
        <w:rPr>
          <w:rFonts w:ascii="宋体" w:hAnsi="宋体" w:cs="宋体"/>
          <w:b/>
          <w:sz w:val="28"/>
        </w:rPr>
      </w:pPr>
      <w:r>
        <w:rPr>
          <w:rFonts w:hint="eastAsia" w:ascii="宋体" w:hAnsi="宋体" w:cs="宋体"/>
          <w:b/>
          <w:sz w:val="28"/>
        </w:rPr>
        <w:t>第五条、工作验收方法</w:t>
      </w:r>
    </w:p>
    <w:p>
      <w:pPr>
        <w:spacing w:line="500" w:lineRule="atLeast"/>
        <w:ind w:firstLine="480" w:firstLineChars="200"/>
        <w:rPr>
          <w:rFonts w:ascii="宋体" w:hAnsi="宋体" w:cs="宋体"/>
          <w:sz w:val="24"/>
        </w:rPr>
      </w:pPr>
      <w:r>
        <w:rPr>
          <w:rFonts w:hint="eastAsia" w:ascii="宋体" w:hAnsi="宋体" w:cs="宋体"/>
          <w:sz w:val="24"/>
        </w:rPr>
        <w:t xml:space="preserve">测试工作达到了本合同第1.4款所列要求，采用 </w:t>
      </w:r>
      <w:r>
        <w:rPr>
          <w:rFonts w:hint="eastAsia" w:ascii="宋体" w:hAnsi="宋体" w:cs="宋体"/>
          <w:sz w:val="24"/>
          <w:u w:val="single"/>
        </w:rPr>
        <w:t>乙方出具安全等级测评报告，甲方签收</w:t>
      </w:r>
      <w:r>
        <w:rPr>
          <w:rFonts w:hint="eastAsia" w:ascii="宋体" w:hAnsi="宋体" w:cs="宋体"/>
          <w:sz w:val="24"/>
        </w:rPr>
        <w:t xml:space="preserve"> 方式验收。</w:t>
      </w:r>
    </w:p>
    <w:p>
      <w:pPr>
        <w:spacing w:line="500" w:lineRule="atLeast"/>
        <w:rPr>
          <w:rFonts w:ascii="宋体" w:hAnsi="宋体" w:cs="宋体"/>
          <w:b/>
          <w:sz w:val="28"/>
        </w:rPr>
      </w:pPr>
      <w:r>
        <w:rPr>
          <w:rFonts w:hint="eastAsia" w:ascii="宋体" w:hAnsi="宋体" w:cs="宋体"/>
          <w:b/>
          <w:sz w:val="28"/>
        </w:rPr>
        <w:t>第六条、测评费用及其支付方式</w:t>
      </w:r>
    </w:p>
    <w:p>
      <w:pPr>
        <w:spacing w:line="500" w:lineRule="atLeast"/>
        <w:ind w:firstLine="480" w:firstLineChars="200"/>
        <w:rPr>
          <w:rFonts w:ascii="宋体" w:hAnsi="宋体" w:cs="宋体"/>
          <w:sz w:val="24"/>
        </w:rPr>
      </w:pPr>
      <w:r>
        <w:rPr>
          <w:rFonts w:hint="eastAsia" w:ascii="宋体" w:hAnsi="宋体" w:cs="宋体"/>
          <w:sz w:val="24"/>
        </w:rPr>
        <w:t>（6.1）本项目测评费用：</w:t>
      </w:r>
      <w:r>
        <w:rPr>
          <w:rFonts w:hint="eastAsia" w:ascii="宋体" w:hAnsi="宋体" w:cs="宋体"/>
          <w:sz w:val="24"/>
          <w:u w:val="single"/>
        </w:rPr>
        <w:t>人民币：</w:t>
      </w:r>
      <w:r>
        <w:rPr>
          <w:rFonts w:ascii="宋体" w:hAnsi="宋体" w:cs="宋体"/>
          <w:sz w:val="24"/>
          <w:u w:val="single"/>
        </w:rPr>
        <w:t xml:space="preserve">      </w:t>
      </w:r>
      <w:r>
        <w:rPr>
          <w:rFonts w:hint="eastAsia" w:ascii="宋体" w:hAnsi="宋体" w:cs="宋体"/>
          <w:sz w:val="24"/>
          <w:u w:val="single"/>
        </w:rPr>
        <w:t xml:space="preserve"> 元（大写： </w:t>
      </w:r>
      <w:r>
        <w:rPr>
          <w:rFonts w:ascii="宋体" w:hAnsi="宋体" w:cs="宋体"/>
          <w:sz w:val="24"/>
          <w:u w:val="single"/>
        </w:rPr>
        <w:t xml:space="preserve">   </w:t>
      </w:r>
      <w:r>
        <w:rPr>
          <w:rFonts w:hint="eastAsia" w:ascii="宋体" w:hAnsi="宋体" w:cs="宋体"/>
          <w:sz w:val="24"/>
          <w:u w:val="single"/>
        </w:rPr>
        <w:t xml:space="preserve">  元整）</w:t>
      </w:r>
    </w:p>
    <w:p>
      <w:pPr>
        <w:spacing w:line="500" w:lineRule="atLeast"/>
        <w:ind w:firstLine="480" w:firstLineChars="200"/>
        <w:rPr>
          <w:rFonts w:ascii="宋体" w:hAnsi="宋体" w:cs="宋体"/>
          <w:sz w:val="24"/>
        </w:rPr>
      </w:pPr>
      <w:r>
        <w:rPr>
          <w:rFonts w:hint="eastAsia" w:ascii="宋体" w:hAnsi="宋体" w:cs="宋体"/>
          <w:sz w:val="24"/>
        </w:rPr>
        <w:t>（6.2）支付方式：</w:t>
      </w:r>
    </w:p>
    <w:p>
      <w:pPr>
        <w:spacing w:line="500" w:lineRule="atLeast"/>
        <w:rPr>
          <w:rFonts w:ascii="宋体" w:hAnsi="宋体" w:cs="宋体"/>
          <w:sz w:val="24"/>
        </w:rPr>
      </w:pPr>
      <w:r>
        <w:rPr>
          <w:rFonts w:hint="eastAsia" w:ascii="宋体" w:hAnsi="宋体" w:cs="宋体"/>
          <w:sz w:val="24"/>
        </w:rPr>
        <w:t xml:space="preserve">     </w:t>
      </w:r>
      <w:r>
        <w:rPr>
          <w:rFonts w:hint="eastAsia"/>
        </w:rPr>
        <w:t>乙方按合同每年约定完成测评要求，提交测评报告经甲方验收合格且甲方在收到乙方开具的增值税专票15个工作日内，第一年支付合同金额3</w:t>
      </w:r>
      <w:r>
        <w:t>3%</w:t>
      </w:r>
      <w:r>
        <w:rPr>
          <w:rFonts w:hint="eastAsia"/>
        </w:rPr>
        <w:t>，</w:t>
      </w:r>
      <w:r>
        <w:rPr>
          <w:rFonts w:hint="eastAsia"/>
          <w:u w:val="single"/>
        </w:rPr>
        <w:t>金额</w:t>
      </w:r>
      <w:r>
        <w:rPr>
          <w:u w:val="single"/>
        </w:rPr>
        <w:t>:XXXX</w:t>
      </w:r>
      <w:r>
        <w:rPr>
          <w:rFonts w:hint="eastAsia"/>
          <w:u w:val="single"/>
        </w:rPr>
        <w:t>元</w:t>
      </w:r>
      <w:r>
        <w:rPr>
          <w:rFonts w:hint="eastAsia"/>
        </w:rPr>
        <w:t>；第二年支付当合同金额3</w:t>
      </w:r>
      <w:r>
        <w:t>3%</w:t>
      </w:r>
      <w:r>
        <w:rPr>
          <w:rFonts w:hint="eastAsia"/>
        </w:rPr>
        <w:t>，</w:t>
      </w:r>
      <w:r>
        <w:rPr>
          <w:rFonts w:hint="eastAsia"/>
          <w:u w:val="single"/>
        </w:rPr>
        <w:t>金额</w:t>
      </w:r>
      <w:r>
        <w:rPr>
          <w:u w:val="single"/>
        </w:rPr>
        <w:t>:XXXX</w:t>
      </w:r>
      <w:r>
        <w:rPr>
          <w:rFonts w:hint="eastAsia"/>
          <w:u w:val="single"/>
        </w:rPr>
        <w:t>元</w:t>
      </w:r>
      <w:r>
        <w:rPr>
          <w:rFonts w:hint="eastAsia"/>
        </w:rPr>
        <w:t>；第三年支付当合同金额3</w:t>
      </w:r>
      <w:r>
        <w:t>4%</w:t>
      </w:r>
      <w:r>
        <w:rPr>
          <w:rFonts w:hint="eastAsia"/>
        </w:rPr>
        <w:t>，</w:t>
      </w:r>
      <w:r>
        <w:rPr>
          <w:rFonts w:hint="eastAsia"/>
          <w:u w:val="single"/>
        </w:rPr>
        <w:t>金额</w:t>
      </w:r>
      <w:r>
        <w:rPr>
          <w:u w:val="single"/>
        </w:rPr>
        <w:t>:XXXX</w:t>
      </w:r>
      <w:r>
        <w:rPr>
          <w:rFonts w:hint="eastAsia"/>
          <w:u w:val="single"/>
        </w:rPr>
        <w:t>元</w:t>
      </w:r>
      <w:r>
        <w:rPr>
          <w:rFonts w:hint="eastAsia"/>
        </w:rPr>
        <w:t>。</w:t>
      </w:r>
    </w:p>
    <w:p>
      <w:pPr>
        <w:spacing w:line="500" w:lineRule="atLeast"/>
        <w:rPr>
          <w:rFonts w:ascii="宋体" w:hAnsi="宋体" w:cs="宋体"/>
          <w:sz w:val="24"/>
        </w:rPr>
      </w:pPr>
      <w:r>
        <w:rPr>
          <w:rFonts w:hint="eastAsia" w:ascii="宋体" w:hAnsi="宋体" w:cs="宋体"/>
          <w:sz w:val="24"/>
        </w:rPr>
        <w:t xml:space="preserve">    </w:t>
      </w:r>
      <w:r>
        <w:rPr>
          <w:rFonts w:hint="eastAsia" w:ascii="宋体" w:hAnsi="宋体" w:cs="宋体"/>
          <w:b/>
          <w:sz w:val="28"/>
        </w:rPr>
        <w:t>第七条、违约金或者损失赔偿额的计算方法</w:t>
      </w:r>
    </w:p>
    <w:p>
      <w:pPr>
        <w:spacing w:line="500" w:lineRule="atLeast"/>
        <w:ind w:firstLine="480" w:firstLineChars="200"/>
        <w:rPr>
          <w:rFonts w:ascii="宋体" w:hAnsi="宋体" w:cs="宋体"/>
          <w:sz w:val="24"/>
        </w:rPr>
      </w:pPr>
      <w:r>
        <w:rPr>
          <w:rFonts w:hint="eastAsia" w:ascii="宋体" w:hAnsi="宋体" w:cs="宋体"/>
          <w:sz w:val="24"/>
        </w:rPr>
        <w:t>7.1 甲方授权乙方严格按照国家网络安全等级测评技术指标开展测评工作，并不得将测评结果作为项目验收和付款的依据。</w:t>
      </w:r>
    </w:p>
    <w:p>
      <w:pPr>
        <w:spacing w:line="500" w:lineRule="atLeast"/>
        <w:ind w:firstLine="480" w:firstLineChars="200"/>
        <w:rPr>
          <w:rFonts w:ascii="宋体" w:hAnsi="宋体" w:cs="宋体"/>
          <w:sz w:val="24"/>
        </w:rPr>
      </w:pPr>
      <w:r>
        <w:rPr>
          <w:rFonts w:hint="eastAsia" w:ascii="宋体" w:hAnsi="宋体" w:cs="宋体"/>
          <w:sz w:val="24"/>
        </w:rPr>
        <w:t>7.2 若因甲方提供的信息系统及相应协作、配合工作不符合本协议第一条、第二条的要求造成乙方测评工作无法开展，乙方应要求甲方更换产品或补充材料，因此而延误的时间乙方将在本协议规定的期限基础上顺延。</w:t>
      </w:r>
    </w:p>
    <w:p>
      <w:pPr>
        <w:spacing w:line="500" w:lineRule="atLeast"/>
        <w:ind w:firstLine="480" w:firstLineChars="200"/>
        <w:rPr>
          <w:rFonts w:ascii="宋体" w:hAnsi="宋体" w:cs="宋体"/>
          <w:sz w:val="24"/>
        </w:rPr>
      </w:pPr>
      <w:r>
        <w:rPr>
          <w:rFonts w:hint="eastAsia" w:ascii="宋体" w:hAnsi="宋体" w:cs="宋体"/>
          <w:sz w:val="24"/>
        </w:rPr>
        <w:t>7.3 如测评结果未达到国家标准要求，乙方会提出整改意见，由甲方对系统进行安全整改；如甲方在项目启动后三个月内未整改完成，乙方将按实际情况出具等保测评报告，整改时间不计入项目实施时间。</w:t>
      </w:r>
    </w:p>
    <w:p>
      <w:pPr>
        <w:spacing w:line="500" w:lineRule="atLeast"/>
        <w:ind w:firstLine="480" w:firstLineChars="200"/>
        <w:rPr>
          <w:rFonts w:ascii="宋体" w:hAnsi="宋体" w:cs="宋体"/>
          <w:sz w:val="24"/>
        </w:rPr>
      </w:pPr>
      <w:r>
        <w:rPr>
          <w:rFonts w:hint="eastAsia" w:ascii="宋体" w:hAnsi="宋体" w:cs="宋体"/>
          <w:sz w:val="24"/>
        </w:rPr>
        <w:t>7.4 测评工作进入现场实施阶段后（以甲方签署《现场测评授权书》日期为准），若甲方单方面取消服务委托，应向乙方赔付合同金额全额。</w:t>
      </w:r>
    </w:p>
    <w:p>
      <w:pPr>
        <w:spacing w:line="500" w:lineRule="atLeast"/>
        <w:ind w:firstLine="480" w:firstLineChars="200"/>
        <w:rPr>
          <w:rFonts w:ascii="宋体" w:hAnsi="宋体" w:cs="宋体"/>
          <w:sz w:val="24"/>
        </w:rPr>
      </w:pPr>
      <w:r>
        <w:rPr>
          <w:rFonts w:hint="eastAsia" w:ascii="宋体" w:hAnsi="宋体" w:cs="宋体"/>
          <w:sz w:val="24"/>
        </w:rPr>
        <w:t>7.5 若因乙方技术原因不能完成测评工作，乙方应向甲方赔付违约金，为合同金额的30%。</w:t>
      </w:r>
    </w:p>
    <w:p>
      <w:pPr>
        <w:spacing w:line="500" w:lineRule="atLeast"/>
        <w:ind w:firstLine="480" w:firstLineChars="200"/>
        <w:rPr>
          <w:rFonts w:ascii="宋体" w:hAnsi="宋体" w:cs="宋体"/>
          <w:sz w:val="24"/>
        </w:rPr>
      </w:pPr>
      <w:r>
        <w:rPr>
          <w:rFonts w:hint="eastAsia" w:ascii="宋体" w:hAnsi="宋体" w:cs="宋体"/>
          <w:sz w:val="24"/>
        </w:rPr>
        <w:t>7.6 甲方未按合同规定的付款时间准时支付合同款项时，应从最后付款日十日后的次日起，每日向乙方偿付逾期付款部分总值的万分之三的违约金。</w:t>
      </w:r>
    </w:p>
    <w:p>
      <w:pPr>
        <w:spacing w:line="500" w:lineRule="atLeast"/>
        <w:rPr>
          <w:rFonts w:ascii="宋体" w:hAnsi="宋体" w:cs="宋体"/>
          <w:b/>
          <w:bCs/>
          <w:sz w:val="28"/>
        </w:rPr>
      </w:pPr>
      <w:r>
        <w:rPr>
          <w:rFonts w:hint="eastAsia" w:ascii="宋体" w:hAnsi="宋体" w:cs="宋体"/>
          <w:b/>
          <w:bCs/>
          <w:sz w:val="28"/>
        </w:rPr>
        <w:t>第八条、争议的解决办法</w:t>
      </w:r>
    </w:p>
    <w:p>
      <w:pPr>
        <w:spacing w:line="500" w:lineRule="atLeast"/>
        <w:ind w:firstLine="480" w:firstLineChars="200"/>
        <w:rPr>
          <w:rFonts w:ascii="宋体" w:hAnsi="宋体" w:cs="宋体"/>
          <w:sz w:val="24"/>
        </w:rPr>
      </w:pPr>
      <w:r>
        <w:rPr>
          <w:rFonts w:hint="eastAsia" w:ascii="宋体" w:hAnsi="宋体" w:cs="宋体"/>
          <w:sz w:val="24"/>
        </w:rPr>
        <w:t>本合同在履行过程中发生争议，双方应本着诚意友好协商解决。若双方不愿协商、调解解决或者协商、调解不成的，双方商定，采用以下第</w:t>
      </w:r>
      <w:r>
        <w:rPr>
          <w:rFonts w:hint="eastAsia" w:ascii="宋体" w:hAnsi="宋体" w:cs="宋体"/>
          <w:sz w:val="24"/>
          <w:u w:val="single"/>
        </w:rPr>
        <w:t xml:space="preserve">  1  </w:t>
      </w:r>
      <w:r>
        <w:rPr>
          <w:rFonts w:hint="eastAsia" w:ascii="宋体" w:hAnsi="宋体" w:cs="宋体"/>
          <w:sz w:val="24"/>
        </w:rPr>
        <w:t>种方式解决。</w:t>
      </w:r>
    </w:p>
    <w:p>
      <w:pPr>
        <w:spacing w:line="500" w:lineRule="atLeast"/>
        <w:ind w:left="360"/>
        <w:rPr>
          <w:rFonts w:ascii="宋体" w:hAnsi="宋体" w:cs="宋体"/>
          <w:sz w:val="24"/>
        </w:rPr>
      </w:pPr>
      <w:r>
        <w:rPr>
          <w:rFonts w:hint="eastAsia" w:ascii="宋体" w:hAnsi="宋体" w:cs="宋体"/>
          <w:sz w:val="24"/>
        </w:rPr>
        <w:t>(1) 因本合同所发生的任何争议，申请</w:t>
      </w:r>
      <w:r>
        <w:rPr>
          <w:rFonts w:hint="eastAsia" w:ascii="宋体" w:hAnsi="宋体" w:cs="宋体"/>
          <w:sz w:val="24"/>
          <w:u w:val="single"/>
        </w:rPr>
        <w:t xml:space="preserve"> 重庆仲裁委员会 </w:t>
      </w:r>
      <w:r>
        <w:rPr>
          <w:rFonts w:hint="eastAsia" w:ascii="宋体" w:hAnsi="宋体" w:cs="宋体"/>
          <w:sz w:val="24"/>
        </w:rPr>
        <w:t>仲裁；</w:t>
      </w:r>
    </w:p>
    <w:p>
      <w:pPr>
        <w:spacing w:line="500" w:lineRule="atLeast"/>
        <w:ind w:left="360"/>
        <w:rPr>
          <w:rFonts w:ascii="宋体" w:hAnsi="宋体" w:cs="宋体"/>
          <w:sz w:val="24"/>
        </w:rPr>
      </w:pPr>
      <w:r>
        <w:rPr>
          <w:rFonts w:hint="eastAsia" w:ascii="宋体" w:hAnsi="宋体" w:cs="宋体"/>
          <w:sz w:val="24"/>
        </w:rPr>
        <w:t>(2) 诉讼方式解决争议。</w:t>
      </w:r>
    </w:p>
    <w:p>
      <w:pPr>
        <w:spacing w:line="640" w:lineRule="exact"/>
        <w:rPr>
          <w:rFonts w:ascii="宋体" w:hAnsi="宋体" w:cs="宋体"/>
          <w:b/>
          <w:bCs/>
          <w:sz w:val="28"/>
        </w:rPr>
      </w:pPr>
      <w:r>
        <w:rPr>
          <w:rFonts w:hint="eastAsia" w:ascii="宋体" w:hAnsi="宋体" w:cs="宋体"/>
          <w:b/>
          <w:bCs/>
          <w:sz w:val="28"/>
        </w:rPr>
        <w:t>第九条、其它</w:t>
      </w:r>
    </w:p>
    <w:p>
      <w:pPr>
        <w:spacing w:line="500" w:lineRule="atLeast"/>
        <w:ind w:firstLine="480" w:firstLineChars="200"/>
        <w:rPr>
          <w:rFonts w:ascii="宋体" w:hAnsi="宋体" w:cs="宋体"/>
          <w:sz w:val="24"/>
        </w:rPr>
      </w:pPr>
      <w:r>
        <w:rPr>
          <w:rFonts w:hint="eastAsia" w:ascii="宋体" w:hAnsi="宋体" w:cs="宋体"/>
          <w:sz w:val="24"/>
        </w:rPr>
        <w:t>9.1 合同在双方签字盖章后生效。未尽事宜，以附件的形式补充或修正条款，双方签字盖章后，具有同等法律效力。</w:t>
      </w:r>
    </w:p>
    <w:p>
      <w:pPr>
        <w:spacing w:line="500" w:lineRule="atLeast"/>
        <w:ind w:firstLine="480" w:firstLineChars="200"/>
        <w:rPr>
          <w:rFonts w:ascii="宋体" w:hAnsi="宋体" w:cs="宋体"/>
          <w:sz w:val="24"/>
        </w:rPr>
      </w:pPr>
      <w:r>
        <w:rPr>
          <w:rFonts w:hint="eastAsia" w:ascii="宋体" w:hAnsi="宋体" w:cs="宋体"/>
          <w:sz w:val="24"/>
        </w:rPr>
        <w:t>9.2 本合同一式四份，甲、乙双方各执两份。</w:t>
      </w:r>
    </w:p>
    <w:p>
      <w:pPr>
        <w:spacing w:line="500" w:lineRule="atLeast"/>
        <w:ind w:firstLine="480" w:firstLineChars="200"/>
        <w:rPr>
          <w:rFonts w:ascii="宋体" w:hAnsi="宋体" w:cs="宋体"/>
          <w:sz w:val="24"/>
        </w:rPr>
      </w:pPr>
      <w:r>
        <w:rPr>
          <w:rFonts w:hint="eastAsia" w:ascii="宋体" w:hAnsi="宋体" w:cs="宋体"/>
          <w:sz w:val="24"/>
        </w:rPr>
        <w:t>9.3 本协议附件为：</w:t>
      </w:r>
    </w:p>
    <w:p>
      <w:pPr>
        <w:spacing w:line="500" w:lineRule="atLeast"/>
        <w:ind w:firstLine="960" w:firstLineChars="400"/>
        <w:rPr>
          <w:rFonts w:ascii="宋体" w:hAnsi="宋体" w:cs="宋体"/>
          <w:sz w:val="24"/>
        </w:rPr>
      </w:pPr>
      <w:r>
        <w:rPr>
          <w:rFonts w:hint="eastAsia" w:ascii="宋体" w:hAnsi="宋体" w:cs="宋体"/>
          <w:sz w:val="24"/>
        </w:rPr>
        <w:t>附件一：网络安全等级测评保密协议</w:t>
      </w:r>
    </w:p>
    <w:p>
      <w:pPr>
        <w:spacing w:line="640" w:lineRule="exact"/>
        <w:ind w:firstLine="348" w:firstLineChars="145"/>
        <w:rPr>
          <w:rFonts w:ascii="宋体" w:hAnsi="宋体" w:cs="宋体"/>
          <w:sz w:val="24"/>
        </w:rPr>
      </w:pPr>
      <w:r>
        <w:rPr>
          <w:rFonts w:hint="eastAsia" w:ascii="宋体" w:hAnsi="宋体" w:cs="宋体"/>
          <w:sz w:val="24"/>
        </w:rPr>
        <w:t>本协议约定的其他条款如下：</w:t>
      </w:r>
    </w:p>
    <w:p>
      <w:pPr>
        <w:spacing w:line="560" w:lineRule="exact"/>
        <w:rPr>
          <w:rFonts w:ascii="宋体" w:hAnsi="宋体" w:cs="宋体"/>
          <w:sz w:val="24"/>
        </w:rPr>
      </w:pPr>
      <w:r>
        <w:rPr>
          <w:rFonts w:hint="eastAsia" w:ascii="宋体" w:hAnsi="宋体" w:cs="宋体"/>
          <w:sz w:val="24"/>
        </w:rPr>
        <w:t xml:space="preserve">1. </w:t>
      </w:r>
      <w:r>
        <w:rPr>
          <w:rFonts w:hint="eastAsia" w:ascii="宋体" w:hAnsi="宋体" w:cs="宋体"/>
          <w:sz w:val="24"/>
          <w:u w:val="single"/>
        </w:rPr>
        <w:t xml:space="preserve">乙方有权按上级主管部门的要求上报本项目测评的结果。                                        </w:t>
      </w:r>
    </w:p>
    <w:p>
      <w:pPr>
        <w:spacing w:line="560" w:lineRule="exact"/>
        <w:rPr>
          <w:rFonts w:ascii="宋体" w:hAnsi="宋体" w:cs="宋体"/>
          <w:sz w:val="24"/>
          <w:u w:val="single"/>
        </w:rPr>
      </w:pPr>
      <w:r>
        <w:rPr>
          <w:rFonts w:hint="eastAsia" w:ascii="宋体" w:hAnsi="宋体" w:cs="宋体"/>
          <w:sz w:val="24"/>
        </w:rPr>
        <w:t>2．</w:t>
      </w:r>
      <w:r>
        <w:rPr>
          <w:rFonts w:hint="eastAsia" w:ascii="宋体" w:hAnsi="宋体" w:cs="宋体"/>
          <w:sz w:val="24"/>
          <w:u w:val="single"/>
        </w:rPr>
        <w:t xml:space="preserve">                                                                          </w:t>
      </w:r>
    </w:p>
    <w:p>
      <w:pPr>
        <w:jc w:val="right"/>
        <w:rPr>
          <w:rFonts w:ascii="宋体" w:hAnsi="宋体" w:cs="宋体"/>
        </w:rPr>
      </w:pPr>
      <w:r>
        <w:rPr>
          <w:rFonts w:hint="eastAsia" w:ascii="宋体" w:hAnsi="宋体" w:cs="宋体"/>
          <w:sz w:val="24"/>
        </w:rPr>
        <w:t>--------------------------------此页以下无正文-----------------------------</w:t>
      </w:r>
      <w:r>
        <w:rPr>
          <w:rFonts w:hint="eastAsia" w:ascii="宋体" w:hAnsi="宋体" w:cs="宋体"/>
        </w:rPr>
        <w:br w:type="page"/>
      </w:r>
    </w:p>
    <w:p>
      <w:pPr>
        <w:jc w:val="right"/>
        <w:rPr>
          <w:rFonts w:ascii="宋体" w:hAnsi="宋体" w:cs="宋体"/>
        </w:rPr>
      </w:pPr>
    </w:p>
    <w:p>
      <w:pPr>
        <w:jc w:val="right"/>
        <w:rPr>
          <w:rFonts w:ascii="宋体" w:hAnsi="宋体" w:cs="宋体"/>
        </w:rPr>
      </w:pPr>
    </w:p>
    <w:p>
      <w:pPr>
        <w:jc w:val="right"/>
        <w:rPr>
          <w:rFonts w:ascii="宋体" w:hAnsi="宋体" w:cs="宋体"/>
        </w:rPr>
      </w:pP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993"/>
        <w:gridCol w:w="2463"/>
        <w:gridCol w:w="1130"/>
        <w:gridCol w:w="479"/>
        <w:gridCol w:w="476"/>
        <w:gridCol w:w="160"/>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247" w:type="pct"/>
            <w:vMerge w:val="restart"/>
          </w:tcPr>
          <w:p>
            <w:pPr>
              <w:spacing w:before="93" w:beforeLines="30" w:after="93" w:afterLines="30" w:line="240" w:lineRule="atLeast"/>
              <w:jc w:val="center"/>
              <w:rPr>
                <w:rFonts w:ascii="宋体" w:hAnsi="宋体" w:cs="宋体"/>
                <w:sz w:val="24"/>
              </w:rPr>
            </w:pPr>
            <w:r>
              <w:rPr>
                <w:rFonts w:hint="eastAsia" w:ascii="宋体" w:hAnsi="宋体" w:cs="宋体"/>
              </w:rPr>
              <w:br w:type="page"/>
            </w:r>
          </w:p>
          <w:p>
            <w:pPr>
              <w:spacing w:before="93" w:beforeLines="30" w:after="93" w:afterLines="30" w:line="240" w:lineRule="atLeast"/>
              <w:jc w:val="center"/>
              <w:rPr>
                <w:rFonts w:ascii="宋体" w:hAnsi="宋体" w:cs="宋体"/>
                <w:sz w:val="24"/>
              </w:rPr>
            </w:pPr>
            <w:r>
              <w:rPr>
                <w:rFonts w:hint="eastAsia" w:ascii="宋体" w:hAnsi="宋体" w:cs="宋体"/>
                <w:sz w:val="24"/>
              </w:rPr>
              <w:t>委</w:t>
            </w:r>
          </w:p>
          <w:p>
            <w:pPr>
              <w:spacing w:before="93" w:beforeLines="30" w:after="93" w:afterLines="30" w:line="240" w:lineRule="atLeast"/>
              <w:jc w:val="center"/>
              <w:rPr>
                <w:rFonts w:ascii="宋体" w:hAnsi="宋体" w:cs="宋体"/>
                <w:sz w:val="24"/>
              </w:rPr>
            </w:pPr>
            <w:r>
              <w:rPr>
                <w:rFonts w:hint="eastAsia" w:ascii="宋体" w:hAnsi="宋体" w:cs="宋体"/>
                <w:sz w:val="24"/>
              </w:rPr>
              <w:t>托</w:t>
            </w:r>
          </w:p>
          <w:p>
            <w:pPr>
              <w:spacing w:before="93" w:beforeLines="30" w:after="93" w:afterLines="30" w:line="240" w:lineRule="atLeast"/>
              <w:jc w:val="center"/>
              <w:rPr>
                <w:rFonts w:ascii="宋体" w:hAnsi="宋体" w:cs="宋体"/>
                <w:sz w:val="24"/>
              </w:rPr>
            </w:pPr>
            <w:r>
              <w:rPr>
                <w:rFonts w:hint="eastAsia" w:ascii="宋体" w:hAnsi="宋体" w:cs="宋体"/>
                <w:sz w:val="24"/>
              </w:rPr>
              <w:t>方</w:t>
            </w:r>
          </w:p>
          <w:p>
            <w:pPr>
              <w:spacing w:before="93" w:beforeLines="30" w:after="93" w:afterLines="30" w:line="240" w:lineRule="atLeast"/>
              <w:jc w:val="center"/>
              <w:rPr>
                <w:rFonts w:ascii="宋体" w:hAnsi="宋体" w:cs="宋体"/>
                <w:sz w:val="24"/>
              </w:rPr>
            </w:pPr>
          </w:p>
          <w:p>
            <w:pPr>
              <w:spacing w:before="93" w:beforeLines="30" w:after="93" w:afterLines="30" w:line="240" w:lineRule="atLeast"/>
              <w:jc w:val="center"/>
              <w:rPr>
                <w:rFonts w:ascii="宋体" w:hAnsi="宋体" w:cs="宋体"/>
                <w:sz w:val="24"/>
              </w:rPr>
            </w:pPr>
          </w:p>
          <w:p>
            <w:pPr>
              <w:spacing w:before="93" w:beforeLines="30" w:after="93" w:afterLines="30" w:line="240" w:lineRule="atLeast"/>
              <w:jc w:val="center"/>
              <w:rPr>
                <w:rFonts w:ascii="宋体" w:hAnsi="宋体" w:cs="宋体"/>
                <w:sz w:val="24"/>
              </w:rPr>
            </w:pPr>
            <w:r>
              <w:rPr>
                <w:rFonts w:hint="eastAsia" w:ascii="宋体" w:hAnsi="宋体" w:cs="宋体"/>
                <w:sz w:val="24"/>
              </w:rPr>
              <w:t>甲</w:t>
            </w:r>
          </w:p>
          <w:p>
            <w:pPr>
              <w:spacing w:before="93" w:beforeLines="30" w:after="93" w:afterLines="30" w:line="240" w:lineRule="atLeast"/>
              <w:jc w:val="center"/>
              <w:rPr>
                <w:rFonts w:ascii="宋体" w:hAnsi="宋体" w:cs="宋体"/>
                <w:sz w:val="24"/>
              </w:rPr>
            </w:pPr>
            <w:r>
              <w:rPr>
                <w:rFonts w:hint="eastAsia" w:ascii="宋体" w:hAnsi="宋体" w:cs="宋体"/>
                <w:sz w:val="24"/>
              </w:rPr>
              <w:t>方</w:t>
            </w:r>
          </w:p>
        </w:tc>
        <w:tc>
          <w:tcPr>
            <w:tcW w:w="1173" w:type="pct"/>
            <w:vAlign w:val="center"/>
          </w:tcPr>
          <w:p>
            <w:pPr>
              <w:rPr>
                <w:rFonts w:ascii="宋体" w:hAnsi="宋体" w:cs="宋体"/>
                <w:sz w:val="24"/>
              </w:rPr>
            </w:pPr>
            <w:r>
              <w:rPr>
                <w:rFonts w:hint="eastAsia" w:ascii="宋体" w:hAnsi="宋体" w:cs="宋体"/>
                <w:sz w:val="24"/>
              </w:rPr>
              <w:t xml:space="preserve">名称（或姓名）  </w:t>
            </w:r>
          </w:p>
        </w:tc>
        <w:tc>
          <w:tcPr>
            <w:tcW w:w="3579" w:type="pct"/>
            <w:gridSpan w:val="6"/>
            <w:vAlign w:val="center"/>
          </w:tcPr>
          <w:p>
            <w:pPr>
              <w:ind w:firstLine="480" w:firstLineChars="200"/>
              <w:rPr>
                <w:rFonts w:ascii="宋体" w:hAnsi="宋体" w:cs="宋体"/>
                <w:sz w:val="24"/>
              </w:rPr>
            </w:pPr>
            <w:r>
              <w:rPr>
                <w:rFonts w:hint="eastAsia" w:ascii="宋体" w:hAnsi="宋体"/>
                <w:sz w:val="24"/>
              </w:rPr>
              <w:t xml:space="preserve"> </w:t>
            </w:r>
            <w:r>
              <w:rPr>
                <w:rFonts w:ascii="宋体" w:hAnsi="宋体"/>
                <w:sz w:val="24"/>
              </w:rPr>
              <w:t xml:space="preserve">                       </w:t>
            </w:r>
            <w:r>
              <w:rPr>
                <w:rFonts w:hint="eastAsia" w:ascii="宋体" w:hAnsi="宋体" w:cs="宋体"/>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7" w:type="pct"/>
            <w:vMerge w:val="continue"/>
          </w:tcPr>
          <w:p>
            <w:pPr>
              <w:rPr>
                <w:rFonts w:ascii="宋体" w:hAnsi="宋体" w:cs="宋体"/>
              </w:rPr>
            </w:pPr>
          </w:p>
        </w:tc>
        <w:tc>
          <w:tcPr>
            <w:tcW w:w="1173" w:type="pct"/>
          </w:tcPr>
          <w:p>
            <w:pPr>
              <w:spacing w:before="93" w:beforeLines="30" w:after="93" w:afterLines="30" w:line="240" w:lineRule="atLeast"/>
              <w:jc w:val="center"/>
              <w:rPr>
                <w:rFonts w:ascii="宋体" w:hAnsi="宋体" w:cs="宋体"/>
                <w:sz w:val="24"/>
              </w:rPr>
            </w:pPr>
            <w:r>
              <w:rPr>
                <w:rFonts w:hint="eastAsia" w:ascii="宋体" w:hAnsi="宋体" w:cs="宋体"/>
                <w:sz w:val="24"/>
              </w:rPr>
              <w:t>统一社会信用代码</w:t>
            </w:r>
          </w:p>
        </w:tc>
        <w:tc>
          <w:tcPr>
            <w:tcW w:w="3579" w:type="pct"/>
            <w:gridSpan w:val="6"/>
            <w:vAlign w:val="center"/>
          </w:tcPr>
          <w:p>
            <w:pPr>
              <w:spacing w:before="93" w:beforeLines="30" w:after="93" w:afterLines="30" w:line="240" w:lineRule="atLeast"/>
              <w:jc w:val="righ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7" w:type="pct"/>
            <w:vMerge w:val="continue"/>
          </w:tcPr>
          <w:p>
            <w:pPr>
              <w:rPr>
                <w:rFonts w:ascii="宋体" w:hAnsi="宋体" w:cs="宋体"/>
              </w:rPr>
            </w:pPr>
          </w:p>
        </w:tc>
        <w:tc>
          <w:tcPr>
            <w:tcW w:w="1173" w:type="pct"/>
          </w:tcPr>
          <w:p>
            <w:pPr>
              <w:spacing w:before="93" w:beforeLines="30" w:after="93" w:afterLines="30" w:line="240" w:lineRule="atLeast"/>
              <w:jc w:val="center"/>
              <w:rPr>
                <w:rFonts w:ascii="宋体" w:hAnsi="宋体" w:cs="宋体"/>
                <w:sz w:val="24"/>
              </w:rPr>
            </w:pPr>
            <w:r>
              <w:rPr>
                <w:rFonts w:hint="eastAsia" w:ascii="宋体" w:hAnsi="宋体" w:cs="宋体"/>
                <w:sz w:val="24"/>
              </w:rPr>
              <w:t>法定代表人</w:t>
            </w:r>
          </w:p>
        </w:tc>
        <w:tc>
          <w:tcPr>
            <w:tcW w:w="1448" w:type="pct"/>
            <w:vAlign w:val="center"/>
          </w:tcPr>
          <w:p>
            <w:pPr>
              <w:spacing w:before="93" w:beforeLines="30" w:after="93" w:afterLines="30" w:line="240" w:lineRule="atLeast"/>
              <w:jc w:val="right"/>
              <w:rPr>
                <w:rFonts w:ascii="宋体" w:hAnsi="宋体" w:cs="宋体"/>
                <w:sz w:val="24"/>
              </w:rPr>
            </w:pPr>
            <w:r>
              <w:rPr>
                <w:rFonts w:hint="eastAsia" w:ascii="宋体" w:hAnsi="宋体" w:cs="宋体"/>
                <w:sz w:val="24"/>
              </w:rPr>
              <w:t>（签章）</w:t>
            </w:r>
          </w:p>
        </w:tc>
        <w:tc>
          <w:tcPr>
            <w:tcW w:w="950" w:type="pct"/>
            <w:gridSpan w:val="2"/>
            <w:vAlign w:val="center"/>
          </w:tcPr>
          <w:p>
            <w:pPr>
              <w:spacing w:before="93" w:beforeLines="30" w:after="93" w:afterLines="30" w:line="240" w:lineRule="atLeast"/>
              <w:jc w:val="center"/>
              <w:rPr>
                <w:rFonts w:ascii="宋体" w:hAnsi="宋体" w:cs="宋体"/>
                <w:sz w:val="24"/>
              </w:rPr>
            </w:pPr>
            <w:r>
              <w:rPr>
                <w:rFonts w:hint="eastAsia" w:ascii="宋体" w:hAnsi="宋体" w:cs="宋体"/>
                <w:sz w:val="24"/>
              </w:rPr>
              <w:t>委托代理人</w:t>
            </w:r>
          </w:p>
        </w:tc>
        <w:tc>
          <w:tcPr>
            <w:tcW w:w="1180" w:type="pct"/>
            <w:gridSpan w:val="3"/>
            <w:vAlign w:val="center"/>
          </w:tcPr>
          <w:p>
            <w:pPr>
              <w:spacing w:before="93" w:beforeLines="30" w:after="93" w:afterLines="30" w:line="240" w:lineRule="atLeast"/>
              <w:jc w:val="right"/>
              <w:rPr>
                <w:rFonts w:ascii="宋体" w:hAnsi="宋体" w:cs="宋体"/>
                <w:sz w:val="24"/>
              </w:rPr>
            </w:pPr>
            <w:r>
              <w:rPr>
                <w:rFonts w:hint="eastAsia" w:ascii="宋体" w:hAnsi="宋体" w:cs="宋体"/>
                <w:sz w:val="24"/>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247" w:type="pct"/>
            <w:vMerge w:val="continue"/>
          </w:tcPr>
          <w:p>
            <w:pPr>
              <w:rPr>
                <w:rFonts w:ascii="宋体" w:hAnsi="宋体" w:cs="宋体"/>
              </w:rPr>
            </w:pPr>
          </w:p>
        </w:tc>
        <w:tc>
          <w:tcPr>
            <w:tcW w:w="1173" w:type="pct"/>
            <w:vAlign w:val="center"/>
          </w:tcPr>
          <w:p>
            <w:pPr>
              <w:spacing w:before="93" w:beforeLines="30" w:after="93" w:afterLines="30" w:line="240" w:lineRule="atLeast"/>
              <w:jc w:val="center"/>
              <w:rPr>
                <w:rFonts w:ascii="宋体" w:hAnsi="宋体" w:cs="宋体"/>
                <w:sz w:val="24"/>
              </w:rPr>
            </w:pPr>
            <w:r>
              <w:rPr>
                <w:rFonts w:hint="eastAsia" w:ascii="宋体" w:hAnsi="宋体" w:cs="宋体"/>
                <w:sz w:val="24"/>
              </w:rPr>
              <w:t>通讯地址</w:t>
            </w:r>
          </w:p>
        </w:tc>
        <w:tc>
          <w:tcPr>
            <w:tcW w:w="3579" w:type="pct"/>
            <w:gridSpan w:val="6"/>
            <w:vAlign w:val="center"/>
          </w:tcPr>
          <w:p>
            <w:pPr>
              <w:pStyle w:val="14"/>
              <w:spacing w:before="0" w:after="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7" w:type="pct"/>
            <w:vMerge w:val="continue"/>
          </w:tcPr>
          <w:p>
            <w:pPr>
              <w:rPr>
                <w:rFonts w:ascii="宋体" w:hAnsi="宋体" w:cs="宋体"/>
              </w:rPr>
            </w:pPr>
          </w:p>
        </w:tc>
        <w:tc>
          <w:tcPr>
            <w:tcW w:w="1173" w:type="pct"/>
          </w:tcPr>
          <w:p>
            <w:pPr>
              <w:spacing w:before="93" w:beforeLines="30" w:after="93" w:afterLines="30" w:line="240" w:lineRule="atLeast"/>
              <w:jc w:val="center"/>
              <w:rPr>
                <w:rFonts w:ascii="宋体" w:hAnsi="宋体" w:cs="宋体"/>
                <w:sz w:val="24"/>
              </w:rPr>
            </w:pPr>
            <w:r>
              <w:rPr>
                <w:rFonts w:hint="eastAsia" w:ascii="宋体" w:hAnsi="宋体" w:cs="宋体"/>
                <w:sz w:val="24"/>
              </w:rPr>
              <w:t>联系人、联系电话</w:t>
            </w:r>
          </w:p>
        </w:tc>
        <w:tc>
          <w:tcPr>
            <w:tcW w:w="2114" w:type="pct"/>
            <w:gridSpan w:val="2"/>
            <w:vAlign w:val="center"/>
          </w:tcPr>
          <w:p>
            <w:pPr>
              <w:spacing w:before="93" w:beforeLines="30" w:after="93" w:afterLines="30" w:line="240" w:lineRule="atLeast"/>
              <w:ind w:firstLine="480" w:firstLineChars="200"/>
              <w:jc w:val="center"/>
              <w:rPr>
                <w:rFonts w:ascii="宋体" w:hAnsi="宋体" w:cs="宋体"/>
                <w:sz w:val="24"/>
              </w:rPr>
            </w:pPr>
          </w:p>
        </w:tc>
        <w:tc>
          <w:tcPr>
            <w:tcW w:w="566" w:type="pct"/>
            <w:gridSpan w:val="2"/>
            <w:vAlign w:val="center"/>
          </w:tcPr>
          <w:p>
            <w:pPr>
              <w:spacing w:before="93" w:beforeLines="30" w:after="93" w:afterLines="30" w:line="240" w:lineRule="atLeast"/>
              <w:jc w:val="center"/>
              <w:rPr>
                <w:rFonts w:ascii="宋体" w:hAnsi="宋体" w:cs="宋体"/>
                <w:sz w:val="24"/>
              </w:rPr>
            </w:pPr>
            <w:r>
              <w:rPr>
                <w:rFonts w:hint="eastAsia" w:ascii="宋体" w:hAnsi="宋体" w:cs="宋体"/>
                <w:sz w:val="24"/>
              </w:rPr>
              <w:t>传  真</w:t>
            </w:r>
          </w:p>
        </w:tc>
        <w:tc>
          <w:tcPr>
            <w:tcW w:w="899" w:type="pct"/>
            <w:gridSpan w:val="2"/>
            <w:vAlign w:val="center"/>
          </w:tcPr>
          <w:p>
            <w:pPr>
              <w:spacing w:before="93" w:beforeLines="30" w:after="93" w:afterLines="30"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7" w:type="pct"/>
            <w:vMerge w:val="continue"/>
          </w:tcPr>
          <w:p>
            <w:pPr>
              <w:rPr>
                <w:rFonts w:ascii="宋体" w:hAnsi="宋体" w:cs="宋体"/>
              </w:rPr>
            </w:pPr>
          </w:p>
        </w:tc>
        <w:tc>
          <w:tcPr>
            <w:tcW w:w="1173" w:type="pct"/>
          </w:tcPr>
          <w:p>
            <w:pPr>
              <w:spacing w:before="93" w:beforeLines="30" w:after="93" w:afterLines="30" w:line="240" w:lineRule="atLeast"/>
              <w:jc w:val="center"/>
              <w:rPr>
                <w:rFonts w:ascii="宋体" w:hAnsi="宋体" w:cs="宋体"/>
                <w:sz w:val="24"/>
              </w:rPr>
            </w:pPr>
            <w:r>
              <w:rPr>
                <w:rFonts w:hint="eastAsia" w:ascii="宋体" w:hAnsi="宋体" w:cs="宋体"/>
                <w:sz w:val="24"/>
              </w:rPr>
              <w:t>开户银行</w:t>
            </w:r>
          </w:p>
        </w:tc>
        <w:tc>
          <w:tcPr>
            <w:tcW w:w="3579" w:type="pct"/>
            <w:gridSpan w:val="6"/>
            <w:vAlign w:val="center"/>
          </w:tcPr>
          <w:p>
            <w:pPr>
              <w:spacing w:before="93" w:beforeLines="30" w:after="93" w:afterLines="30" w:line="24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7" w:type="pct"/>
            <w:vMerge w:val="continue"/>
          </w:tcPr>
          <w:p>
            <w:pPr>
              <w:rPr>
                <w:rFonts w:ascii="宋体" w:hAnsi="宋体" w:cs="宋体"/>
              </w:rPr>
            </w:pPr>
          </w:p>
        </w:tc>
        <w:tc>
          <w:tcPr>
            <w:tcW w:w="1173" w:type="pct"/>
          </w:tcPr>
          <w:p>
            <w:pPr>
              <w:spacing w:before="93" w:beforeLines="30" w:after="93" w:afterLines="30" w:line="240" w:lineRule="atLeast"/>
              <w:jc w:val="center"/>
              <w:rPr>
                <w:rFonts w:ascii="宋体" w:hAnsi="宋体" w:cs="宋体"/>
                <w:sz w:val="24"/>
              </w:rPr>
            </w:pPr>
            <w:r>
              <w:rPr>
                <w:rFonts w:hint="eastAsia" w:ascii="宋体" w:hAnsi="宋体" w:cs="宋体"/>
                <w:sz w:val="24"/>
              </w:rPr>
              <w:t>帐     号</w:t>
            </w:r>
          </w:p>
        </w:tc>
        <w:tc>
          <w:tcPr>
            <w:tcW w:w="2114" w:type="pct"/>
            <w:gridSpan w:val="2"/>
          </w:tcPr>
          <w:p>
            <w:pPr>
              <w:spacing w:before="93" w:beforeLines="30" w:after="93" w:afterLines="30" w:line="240" w:lineRule="atLeast"/>
              <w:jc w:val="left"/>
              <w:rPr>
                <w:rFonts w:ascii="宋体" w:hAnsi="宋体" w:cs="宋体"/>
                <w:sz w:val="24"/>
              </w:rPr>
            </w:pPr>
          </w:p>
        </w:tc>
        <w:tc>
          <w:tcPr>
            <w:tcW w:w="663" w:type="pct"/>
            <w:gridSpan w:val="3"/>
          </w:tcPr>
          <w:p>
            <w:pPr>
              <w:spacing w:before="93" w:beforeLines="30" w:after="93" w:afterLines="30" w:line="240" w:lineRule="atLeast"/>
              <w:jc w:val="center"/>
              <w:rPr>
                <w:rFonts w:ascii="宋体" w:hAnsi="宋体" w:cs="宋体"/>
                <w:sz w:val="24"/>
              </w:rPr>
            </w:pPr>
            <w:r>
              <w:rPr>
                <w:rFonts w:hint="eastAsia" w:ascii="宋体" w:hAnsi="宋体" w:cs="宋体"/>
                <w:sz w:val="24"/>
              </w:rPr>
              <w:t>邮政编码</w:t>
            </w:r>
          </w:p>
        </w:tc>
        <w:tc>
          <w:tcPr>
            <w:tcW w:w="802" w:type="pct"/>
          </w:tcPr>
          <w:p>
            <w:pPr>
              <w:spacing w:before="93" w:beforeLines="30" w:after="93" w:afterLines="30" w:line="24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7" w:type="pct"/>
            <w:vMerge w:val="restart"/>
          </w:tcPr>
          <w:p>
            <w:pPr>
              <w:spacing w:before="93" w:beforeLines="30" w:after="93" w:afterLines="30" w:line="240" w:lineRule="atLeast"/>
              <w:jc w:val="center"/>
              <w:rPr>
                <w:rFonts w:ascii="宋体" w:hAnsi="宋体" w:cs="宋体"/>
                <w:sz w:val="24"/>
              </w:rPr>
            </w:pPr>
          </w:p>
          <w:p>
            <w:pPr>
              <w:spacing w:before="93" w:beforeLines="30" w:after="93" w:afterLines="30" w:line="240" w:lineRule="atLeast"/>
              <w:jc w:val="center"/>
              <w:rPr>
                <w:rFonts w:ascii="宋体" w:hAnsi="宋体" w:cs="宋体"/>
                <w:sz w:val="24"/>
              </w:rPr>
            </w:pPr>
            <w:r>
              <w:rPr>
                <w:rFonts w:hint="eastAsia" w:ascii="宋体" w:hAnsi="宋体" w:cs="宋体"/>
                <w:sz w:val="24"/>
              </w:rPr>
              <w:t>受托</w:t>
            </w:r>
          </w:p>
          <w:p>
            <w:pPr>
              <w:spacing w:before="93" w:beforeLines="30" w:after="93" w:afterLines="30" w:line="240" w:lineRule="atLeast"/>
              <w:jc w:val="center"/>
              <w:rPr>
                <w:rFonts w:ascii="宋体" w:hAnsi="宋体" w:cs="宋体"/>
                <w:sz w:val="24"/>
              </w:rPr>
            </w:pPr>
            <w:r>
              <w:rPr>
                <w:rFonts w:hint="eastAsia" w:ascii="宋体" w:hAnsi="宋体" w:cs="宋体"/>
                <w:sz w:val="24"/>
              </w:rPr>
              <w:t>方</w:t>
            </w:r>
          </w:p>
          <w:p>
            <w:pPr>
              <w:spacing w:before="93" w:beforeLines="30" w:after="93" w:afterLines="30" w:line="240" w:lineRule="atLeast"/>
              <w:jc w:val="center"/>
              <w:rPr>
                <w:rFonts w:ascii="宋体" w:hAnsi="宋体" w:cs="宋体"/>
                <w:sz w:val="24"/>
              </w:rPr>
            </w:pPr>
          </w:p>
          <w:p>
            <w:pPr>
              <w:spacing w:before="93" w:beforeLines="30" w:after="93" w:afterLines="30" w:line="240" w:lineRule="atLeast"/>
              <w:jc w:val="center"/>
              <w:rPr>
                <w:rFonts w:ascii="宋体" w:hAnsi="宋体" w:cs="宋体"/>
                <w:sz w:val="24"/>
              </w:rPr>
            </w:pPr>
          </w:p>
          <w:p>
            <w:pPr>
              <w:spacing w:before="93" w:beforeLines="30" w:after="93" w:afterLines="30" w:line="240" w:lineRule="atLeast"/>
              <w:jc w:val="center"/>
              <w:rPr>
                <w:rFonts w:ascii="宋体" w:hAnsi="宋体" w:cs="宋体"/>
                <w:sz w:val="24"/>
              </w:rPr>
            </w:pPr>
            <w:r>
              <w:rPr>
                <w:rFonts w:hint="eastAsia" w:ascii="宋体" w:hAnsi="宋体" w:cs="宋体"/>
                <w:sz w:val="24"/>
              </w:rPr>
              <w:t>乙</w:t>
            </w:r>
          </w:p>
          <w:p>
            <w:pPr>
              <w:spacing w:before="93" w:beforeLines="30" w:after="93" w:afterLines="30" w:line="240" w:lineRule="atLeast"/>
              <w:jc w:val="center"/>
              <w:rPr>
                <w:rFonts w:ascii="宋体" w:hAnsi="宋体" w:cs="宋体"/>
                <w:sz w:val="24"/>
              </w:rPr>
            </w:pPr>
            <w:r>
              <w:rPr>
                <w:rFonts w:hint="eastAsia" w:ascii="宋体" w:hAnsi="宋体" w:cs="宋体"/>
                <w:sz w:val="24"/>
              </w:rPr>
              <w:t>方</w:t>
            </w:r>
          </w:p>
        </w:tc>
        <w:tc>
          <w:tcPr>
            <w:tcW w:w="1173" w:type="pct"/>
          </w:tcPr>
          <w:p>
            <w:pPr>
              <w:spacing w:before="93" w:beforeLines="30" w:after="93" w:afterLines="30" w:line="240" w:lineRule="atLeast"/>
              <w:jc w:val="center"/>
              <w:rPr>
                <w:rFonts w:ascii="宋体" w:hAnsi="宋体" w:cs="宋体"/>
                <w:sz w:val="24"/>
              </w:rPr>
            </w:pPr>
            <w:r>
              <w:rPr>
                <w:rFonts w:hint="eastAsia" w:ascii="宋体" w:hAnsi="宋体" w:cs="宋体"/>
                <w:sz w:val="24"/>
              </w:rPr>
              <w:t>名称（或姓名）</w:t>
            </w:r>
          </w:p>
        </w:tc>
        <w:tc>
          <w:tcPr>
            <w:tcW w:w="3579" w:type="pct"/>
            <w:gridSpan w:val="6"/>
          </w:tcPr>
          <w:p>
            <w:pPr>
              <w:spacing w:before="93" w:beforeLines="30" w:after="93" w:afterLines="30" w:line="240" w:lineRule="atLeast"/>
              <w:ind w:firstLine="720" w:firstLineChars="300"/>
              <w:rPr>
                <w:rFonts w:ascii="宋体" w:hAnsi="宋体" w:cs="宋体"/>
                <w:sz w:val="24"/>
              </w:rPr>
            </w:pPr>
            <w:r>
              <w:rPr>
                <w:rFonts w:hint="eastAsia" w:ascii="宋体" w:hAnsi="宋体" w:cs="宋体"/>
                <w:sz w:val="24"/>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7" w:type="pct"/>
            <w:vMerge w:val="continue"/>
          </w:tcPr>
          <w:p>
            <w:pPr>
              <w:rPr>
                <w:rFonts w:ascii="宋体" w:hAnsi="宋体" w:cs="宋体"/>
              </w:rPr>
            </w:pPr>
          </w:p>
        </w:tc>
        <w:tc>
          <w:tcPr>
            <w:tcW w:w="1173" w:type="pct"/>
          </w:tcPr>
          <w:p>
            <w:pPr>
              <w:spacing w:before="93" w:beforeLines="30" w:after="93" w:afterLines="30" w:line="240" w:lineRule="atLeast"/>
              <w:jc w:val="center"/>
              <w:rPr>
                <w:rFonts w:ascii="宋体" w:hAnsi="宋体" w:cs="宋体"/>
                <w:sz w:val="24"/>
              </w:rPr>
            </w:pPr>
            <w:r>
              <w:rPr>
                <w:rFonts w:hint="eastAsia" w:ascii="宋体" w:hAnsi="宋体" w:cs="宋体"/>
                <w:sz w:val="24"/>
              </w:rPr>
              <w:t>统一社会信用代码</w:t>
            </w:r>
          </w:p>
        </w:tc>
        <w:tc>
          <w:tcPr>
            <w:tcW w:w="3579" w:type="pct"/>
            <w:gridSpan w:val="6"/>
          </w:tcPr>
          <w:p>
            <w:pPr>
              <w:spacing w:before="93" w:beforeLines="30" w:after="93" w:afterLines="30" w:line="24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7" w:type="pct"/>
            <w:vMerge w:val="continue"/>
          </w:tcPr>
          <w:p>
            <w:pPr>
              <w:rPr>
                <w:rFonts w:ascii="宋体" w:hAnsi="宋体" w:cs="宋体"/>
              </w:rPr>
            </w:pPr>
          </w:p>
        </w:tc>
        <w:tc>
          <w:tcPr>
            <w:tcW w:w="1173" w:type="pct"/>
          </w:tcPr>
          <w:p>
            <w:pPr>
              <w:spacing w:before="93" w:beforeLines="30" w:after="93" w:afterLines="30" w:line="240" w:lineRule="atLeast"/>
              <w:jc w:val="center"/>
              <w:rPr>
                <w:rFonts w:ascii="宋体" w:hAnsi="宋体" w:cs="宋体"/>
                <w:sz w:val="24"/>
              </w:rPr>
            </w:pPr>
            <w:r>
              <w:rPr>
                <w:rFonts w:hint="eastAsia" w:ascii="宋体" w:hAnsi="宋体" w:cs="宋体"/>
                <w:sz w:val="24"/>
              </w:rPr>
              <w:t>法定代表人</w:t>
            </w:r>
          </w:p>
        </w:tc>
        <w:tc>
          <w:tcPr>
            <w:tcW w:w="1448" w:type="pct"/>
          </w:tcPr>
          <w:p>
            <w:pPr>
              <w:spacing w:before="93" w:beforeLines="30" w:after="93" w:afterLines="30" w:line="240" w:lineRule="atLeast"/>
              <w:jc w:val="right"/>
              <w:rPr>
                <w:rFonts w:ascii="宋体" w:hAnsi="宋体" w:cs="宋体"/>
                <w:sz w:val="24"/>
              </w:rPr>
            </w:pPr>
            <w:r>
              <w:rPr>
                <w:rFonts w:hint="eastAsia" w:ascii="宋体" w:hAnsi="宋体" w:cs="宋体"/>
                <w:sz w:val="24"/>
              </w:rPr>
              <w:t xml:space="preserve">        （签章）               </w:t>
            </w:r>
          </w:p>
        </w:tc>
        <w:tc>
          <w:tcPr>
            <w:tcW w:w="950" w:type="pct"/>
            <w:gridSpan w:val="2"/>
          </w:tcPr>
          <w:p>
            <w:pPr>
              <w:spacing w:before="93" w:beforeLines="30" w:after="93" w:afterLines="30" w:line="240" w:lineRule="atLeast"/>
              <w:jc w:val="center"/>
              <w:rPr>
                <w:rFonts w:ascii="宋体" w:hAnsi="宋体" w:cs="宋体"/>
                <w:sz w:val="24"/>
              </w:rPr>
            </w:pPr>
            <w:r>
              <w:rPr>
                <w:rFonts w:hint="eastAsia" w:ascii="宋体" w:hAnsi="宋体" w:cs="宋体"/>
                <w:sz w:val="24"/>
              </w:rPr>
              <w:t>委托代理人</w:t>
            </w:r>
          </w:p>
        </w:tc>
        <w:tc>
          <w:tcPr>
            <w:tcW w:w="1180" w:type="pct"/>
            <w:gridSpan w:val="3"/>
          </w:tcPr>
          <w:p>
            <w:pPr>
              <w:spacing w:before="93" w:beforeLines="30" w:after="93" w:afterLines="30" w:line="240" w:lineRule="atLeast"/>
              <w:jc w:val="center"/>
              <w:rPr>
                <w:rFonts w:ascii="宋体" w:hAnsi="宋体" w:cs="宋体"/>
                <w:sz w:val="24"/>
              </w:rPr>
            </w:pPr>
            <w:r>
              <w:rPr>
                <w:rFonts w:hint="eastAsia" w:ascii="宋体" w:hAnsi="宋体" w:cs="宋体"/>
                <w:sz w:val="24"/>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7" w:type="pct"/>
            <w:vMerge w:val="continue"/>
          </w:tcPr>
          <w:p>
            <w:pPr>
              <w:rPr>
                <w:rFonts w:ascii="宋体" w:hAnsi="宋体" w:cs="宋体"/>
              </w:rPr>
            </w:pPr>
          </w:p>
        </w:tc>
        <w:tc>
          <w:tcPr>
            <w:tcW w:w="1173" w:type="pct"/>
          </w:tcPr>
          <w:p>
            <w:pPr>
              <w:spacing w:before="93" w:beforeLines="30" w:after="93" w:afterLines="30" w:line="240" w:lineRule="atLeast"/>
              <w:jc w:val="center"/>
              <w:rPr>
                <w:rFonts w:ascii="宋体" w:hAnsi="宋体" w:cs="宋体"/>
                <w:sz w:val="24"/>
              </w:rPr>
            </w:pPr>
            <w:r>
              <w:rPr>
                <w:rFonts w:hint="eastAsia" w:ascii="宋体" w:hAnsi="宋体" w:cs="宋体"/>
                <w:sz w:val="24"/>
              </w:rPr>
              <w:t>通讯地址</w:t>
            </w:r>
          </w:p>
        </w:tc>
        <w:tc>
          <w:tcPr>
            <w:tcW w:w="3579" w:type="pct"/>
            <w:gridSpan w:val="6"/>
          </w:tcPr>
          <w:p>
            <w:pPr>
              <w:spacing w:before="93" w:beforeLines="30" w:after="93" w:afterLines="30" w:line="24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47" w:type="pct"/>
            <w:vMerge w:val="continue"/>
          </w:tcPr>
          <w:p>
            <w:pPr>
              <w:rPr>
                <w:rFonts w:ascii="宋体" w:hAnsi="宋体" w:cs="宋体"/>
              </w:rPr>
            </w:pPr>
          </w:p>
        </w:tc>
        <w:tc>
          <w:tcPr>
            <w:tcW w:w="1173" w:type="pct"/>
          </w:tcPr>
          <w:p>
            <w:pPr>
              <w:spacing w:before="93" w:beforeLines="30" w:after="93" w:afterLines="30" w:line="240" w:lineRule="atLeast"/>
              <w:rPr>
                <w:rFonts w:ascii="宋体" w:hAnsi="宋体" w:cs="宋体"/>
                <w:sz w:val="24"/>
              </w:rPr>
            </w:pPr>
            <w:r>
              <w:rPr>
                <w:rFonts w:hint="eastAsia" w:ascii="宋体" w:hAnsi="宋体" w:cs="宋体"/>
                <w:sz w:val="24"/>
              </w:rPr>
              <w:t>联系人、联系电话</w:t>
            </w:r>
          </w:p>
        </w:tc>
        <w:tc>
          <w:tcPr>
            <w:tcW w:w="2114" w:type="pct"/>
            <w:gridSpan w:val="2"/>
          </w:tcPr>
          <w:p>
            <w:pPr>
              <w:spacing w:before="93" w:beforeLines="30" w:after="93" w:afterLines="30" w:line="240" w:lineRule="atLeast"/>
              <w:rPr>
                <w:rFonts w:ascii="宋体" w:hAnsi="宋体" w:cs="宋体"/>
                <w:color w:val="FF0000"/>
                <w:sz w:val="24"/>
              </w:rPr>
            </w:pPr>
          </w:p>
        </w:tc>
        <w:tc>
          <w:tcPr>
            <w:tcW w:w="566" w:type="pct"/>
            <w:gridSpan w:val="2"/>
          </w:tcPr>
          <w:p>
            <w:pPr>
              <w:spacing w:before="93" w:beforeLines="30" w:after="93" w:afterLines="30" w:line="240" w:lineRule="atLeast"/>
              <w:jc w:val="center"/>
              <w:rPr>
                <w:rFonts w:ascii="宋体" w:hAnsi="宋体" w:cs="宋体"/>
                <w:sz w:val="24"/>
              </w:rPr>
            </w:pPr>
            <w:r>
              <w:rPr>
                <w:rFonts w:hint="eastAsia" w:ascii="宋体" w:hAnsi="宋体" w:cs="宋体"/>
                <w:sz w:val="24"/>
              </w:rPr>
              <w:t>传  真</w:t>
            </w:r>
          </w:p>
        </w:tc>
        <w:tc>
          <w:tcPr>
            <w:tcW w:w="899" w:type="pct"/>
            <w:gridSpan w:val="2"/>
          </w:tcPr>
          <w:p>
            <w:pPr>
              <w:spacing w:before="93" w:beforeLines="30" w:after="93" w:afterLines="30" w:line="24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47" w:type="pct"/>
            <w:vMerge w:val="continue"/>
          </w:tcPr>
          <w:p>
            <w:pPr>
              <w:rPr>
                <w:rFonts w:ascii="宋体" w:hAnsi="宋体" w:cs="宋体"/>
              </w:rPr>
            </w:pPr>
          </w:p>
        </w:tc>
        <w:tc>
          <w:tcPr>
            <w:tcW w:w="1173" w:type="pct"/>
          </w:tcPr>
          <w:p>
            <w:pPr>
              <w:spacing w:before="93" w:beforeLines="30" w:after="93" w:afterLines="30" w:line="240" w:lineRule="atLeast"/>
              <w:jc w:val="center"/>
              <w:rPr>
                <w:rFonts w:ascii="宋体" w:hAnsi="宋体" w:cs="宋体"/>
                <w:sz w:val="24"/>
              </w:rPr>
            </w:pPr>
            <w:r>
              <w:rPr>
                <w:rFonts w:hint="eastAsia" w:ascii="宋体" w:hAnsi="宋体" w:cs="宋体"/>
                <w:sz w:val="24"/>
              </w:rPr>
              <w:t>开户银行</w:t>
            </w:r>
          </w:p>
        </w:tc>
        <w:tc>
          <w:tcPr>
            <w:tcW w:w="3579" w:type="pct"/>
            <w:gridSpan w:val="6"/>
          </w:tcPr>
          <w:p>
            <w:pPr>
              <w:spacing w:before="93" w:beforeLines="30" w:after="93" w:afterLines="30" w:line="24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7" w:type="pct"/>
            <w:vMerge w:val="continue"/>
          </w:tcPr>
          <w:p>
            <w:pPr>
              <w:rPr>
                <w:rFonts w:ascii="宋体" w:hAnsi="宋体" w:cs="宋体"/>
              </w:rPr>
            </w:pPr>
          </w:p>
        </w:tc>
        <w:tc>
          <w:tcPr>
            <w:tcW w:w="1173" w:type="pct"/>
            <w:vAlign w:val="center"/>
          </w:tcPr>
          <w:p>
            <w:pPr>
              <w:spacing w:before="93" w:beforeLines="30" w:after="93" w:afterLines="30" w:line="240" w:lineRule="atLeast"/>
              <w:jc w:val="center"/>
              <w:rPr>
                <w:rFonts w:ascii="宋体" w:hAnsi="宋体" w:cs="宋体"/>
                <w:sz w:val="24"/>
              </w:rPr>
            </w:pPr>
            <w:r>
              <w:rPr>
                <w:rFonts w:hint="eastAsia" w:ascii="宋体" w:hAnsi="宋体" w:cs="宋体"/>
                <w:sz w:val="24"/>
              </w:rPr>
              <w:t>帐     号</w:t>
            </w:r>
          </w:p>
        </w:tc>
        <w:tc>
          <w:tcPr>
            <w:tcW w:w="2114" w:type="pct"/>
            <w:gridSpan w:val="2"/>
            <w:vAlign w:val="center"/>
          </w:tcPr>
          <w:p>
            <w:pPr>
              <w:spacing w:before="93" w:beforeLines="30" w:after="93" w:afterLines="30" w:line="240" w:lineRule="atLeast"/>
              <w:rPr>
                <w:rFonts w:ascii="宋体" w:hAnsi="宋体" w:cs="宋体"/>
                <w:sz w:val="24"/>
              </w:rPr>
            </w:pPr>
          </w:p>
        </w:tc>
        <w:tc>
          <w:tcPr>
            <w:tcW w:w="663" w:type="pct"/>
            <w:gridSpan w:val="3"/>
            <w:vAlign w:val="center"/>
          </w:tcPr>
          <w:p>
            <w:pPr>
              <w:spacing w:before="93" w:beforeLines="30" w:after="93" w:afterLines="30" w:line="240" w:lineRule="atLeast"/>
              <w:jc w:val="center"/>
              <w:rPr>
                <w:rFonts w:ascii="宋体" w:hAnsi="宋体" w:cs="宋体"/>
                <w:sz w:val="24"/>
              </w:rPr>
            </w:pPr>
            <w:r>
              <w:rPr>
                <w:rFonts w:hint="eastAsia" w:ascii="宋体" w:hAnsi="宋体" w:cs="宋体"/>
                <w:sz w:val="24"/>
              </w:rPr>
              <w:t>邮政编码</w:t>
            </w:r>
          </w:p>
        </w:tc>
        <w:tc>
          <w:tcPr>
            <w:tcW w:w="802" w:type="pct"/>
            <w:vAlign w:val="center"/>
          </w:tcPr>
          <w:p>
            <w:pPr>
              <w:spacing w:before="93" w:beforeLines="30" w:after="93" w:afterLines="30" w:line="240" w:lineRule="atLeast"/>
              <w:jc w:val="center"/>
              <w:rPr>
                <w:rFonts w:ascii="宋体" w:hAnsi="宋体" w:cs="宋体"/>
                <w:sz w:val="24"/>
              </w:rPr>
            </w:pPr>
          </w:p>
        </w:tc>
      </w:tr>
    </w:tbl>
    <w:p>
      <w:pPr>
        <w:rPr>
          <w:rFonts w:ascii="宋体" w:hAnsi="宋体" w:cs="宋体"/>
          <w:b/>
          <w:sz w:val="28"/>
        </w:rPr>
      </w:pPr>
    </w:p>
    <w:p>
      <w:pPr>
        <w:rPr>
          <w:rFonts w:ascii="宋体" w:hAnsi="宋体" w:cs="宋体"/>
          <w:b/>
          <w:sz w:val="28"/>
        </w:rPr>
      </w:pPr>
    </w:p>
    <w:p>
      <w:pPr>
        <w:rPr>
          <w:rFonts w:ascii="宋体" w:hAnsi="宋体" w:cs="宋体"/>
          <w:b/>
          <w:sz w:val="28"/>
        </w:rPr>
      </w:pPr>
      <w:r>
        <w:rPr>
          <w:rFonts w:hint="eastAsia" w:ascii="宋体" w:hAnsi="宋体" w:cs="宋体"/>
          <w:b/>
          <w:sz w:val="28"/>
        </w:rPr>
        <w:br w:type="page"/>
      </w:r>
    </w:p>
    <w:p>
      <w:pPr>
        <w:rPr>
          <w:rFonts w:ascii="宋体" w:hAnsi="宋体" w:cs="宋体"/>
          <w:b/>
          <w:sz w:val="28"/>
        </w:rPr>
      </w:pPr>
      <w:r>
        <w:rPr>
          <w:rFonts w:hint="eastAsia" w:ascii="宋体" w:hAnsi="宋体" w:cs="宋体"/>
          <w:b/>
          <w:sz w:val="28"/>
        </w:rPr>
        <w:t>附件一：网络安全等级测评保密协议</w:t>
      </w:r>
    </w:p>
    <w:p>
      <w:pPr>
        <w:rPr>
          <w:rFonts w:ascii="宋体" w:hAnsi="宋体" w:cs="宋体"/>
          <w:sz w:val="28"/>
          <w:szCs w:val="28"/>
        </w:rPr>
      </w:pP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受甲方委托，乙方对甲方的计算机信息系统进行网络安全等级测评工作，为了促进双方合作，依据《中华人民共和国民法典》及有关法律法规并经双方经友好协商，双方应采取合理措施保守对方商业秘密与技术、经营信息，妥善保管涉密信息载体并限定涉密信息的知悉范围签订如下协议（以下简称本协议）。</w:t>
      </w:r>
    </w:p>
    <w:p>
      <w:pPr>
        <w:spacing w:before="156" w:beforeLines="50" w:after="156" w:afterLines="50" w:line="360" w:lineRule="auto"/>
        <w:ind w:firstLine="200"/>
        <w:rPr>
          <w:rFonts w:ascii="宋体" w:hAnsi="宋体" w:cs="宋体"/>
          <w:sz w:val="24"/>
        </w:rPr>
      </w:pPr>
      <w:r>
        <w:rPr>
          <w:rFonts w:hint="eastAsia" w:ascii="宋体" w:hAnsi="宋体" w:cs="宋体"/>
          <w:sz w:val="24"/>
        </w:rPr>
        <w:t>1．乙方不得在测评工作中获取非甲方提供的保密信息，乙方不得将甲方的保密信息透露给任何第三方，而应尽力避免由于疏忽将保密信息披露给任何第三方。</w:t>
      </w:r>
    </w:p>
    <w:p>
      <w:pPr>
        <w:spacing w:before="156" w:beforeLines="50" w:after="156" w:afterLines="50" w:line="360" w:lineRule="auto"/>
        <w:ind w:firstLine="200"/>
        <w:rPr>
          <w:rFonts w:ascii="宋体" w:hAnsi="宋体" w:cs="宋体"/>
          <w:sz w:val="24"/>
        </w:rPr>
      </w:pPr>
      <w:r>
        <w:rPr>
          <w:rFonts w:hint="eastAsia" w:ascii="宋体" w:hAnsi="宋体" w:cs="宋体"/>
          <w:sz w:val="24"/>
        </w:rPr>
        <w:t>2．乙方不应使用甲方的保密信息也不应在自己的组织内流通，除非是为与甲方人员或授权代表商谈、讨论和协商之需或在本协议签署后经甲方书面授权的任何目的。</w:t>
      </w:r>
    </w:p>
    <w:p>
      <w:pPr>
        <w:spacing w:before="156" w:beforeLines="50" w:after="156" w:afterLines="50" w:line="360" w:lineRule="auto"/>
        <w:ind w:firstLine="200"/>
        <w:rPr>
          <w:rFonts w:ascii="宋体" w:hAnsi="宋体" w:cs="宋体"/>
          <w:sz w:val="24"/>
        </w:rPr>
      </w:pPr>
      <w:r>
        <w:rPr>
          <w:rFonts w:hint="eastAsia" w:ascii="宋体" w:hAnsi="宋体" w:cs="宋体"/>
          <w:sz w:val="24"/>
        </w:rPr>
        <w:t>3．乙方不应为除本协议规定的目的以外的自身利益或任何其他方的利益而使用任何甲方的保密信息。</w:t>
      </w:r>
    </w:p>
    <w:p>
      <w:pPr>
        <w:spacing w:before="156" w:beforeLines="50" w:after="156" w:afterLines="50" w:line="360" w:lineRule="auto"/>
        <w:ind w:firstLine="200"/>
        <w:rPr>
          <w:rFonts w:ascii="宋体" w:hAnsi="宋体" w:cs="宋体"/>
          <w:sz w:val="24"/>
        </w:rPr>
      </w:pPr>
      <w:r>
        <w:rPr>
          <w:rFonts w:hint="eastAsia" w:ascii="宋体" w:hAnsi="宋体" w:cs="宋体"/>
          <w:sz w:val="24"/>
        </w:rPr>
        <w:t>4．乙方对以下方面的信息没有保密义务：（a）在甲方向乙方告知信息时，该信息已处于公众领域中；（b）在甲方向乙方告知信息后，该信息非因乙方过错而进入公众领域；（c）在甲方向乙方告知信息时，该信息系乙方拥有且无任何保密义务的信息；（d）根据书面记录证明，该信息系由乙方独立开发，没有借助于任何保密信息；或（e）该信息被法院或政府命令要求披露，且已将规定或命令通知甲方从而使其可申请保护令或其他合适的救济。</w:t>
      </w:r>
    </w:p>
    <w:p>
      <w:pPr>
        <w:spacing w:before="156" w:beforeLines="50" w:after="156" w:afterLines="50" w:line="360" w:lineRule="auto"/>
        <w:ind w:firstLine="200"/>
        <w:rPr>
          <w:rFonts w:ascii="宋体" w:hAnsi="宋体" w:cs="宋体"/>
          <w:sz w:val="24"/>
        </w:rPr>
      </w:pPr>
      <w:r>
        <w:rPr>
          <w:rFonts w:hint="eastAsia" w:ascii="宋体" w:hAnsi="宋体" w:cs="宋体"/>
          <w:sz w:val="24"/>
        </w:rPr>
        <w:t>5．本协议或向乙方披露的保密信息均不得视为向乙方授予任何知识产权或与之有关的任何性质的权利。</w:t>
      </w:r>
    </w:p>
    <w:p>
      <w:pPr>
        <w:spacing w:before="156" w:beforeLines="50" w:after="156" w:afterLines="50" w:line="360" w:lineRule="auto"/>
        <w:ind w:firstLine="200"/>
        <w:rPr>
          <w:rFonts w:ascii="宋体" w:hAnsi="宋体" w:cs="宋体"/>
          <w:sz w:val="24"/>
        </w:rPr>
      </w:pPr>
      <w:r>
        <w:rPr>
          <w:rFonts w:hint="eastAsia" w:ascii="宋体" w:hAnsi="宋体" w:cs="宋体"/>
          <w:sz w:val="24"/>
        </w:rPr>
        <w:t>6．所有由甲方提供给乙方的材料，包括但不限于文件、设计和清单应仍为甲方的财产，且甲方要求时应立即归还原件和所有据此制作的副本。但原件归还影响合同履行的，甲方应向乙方提供或允许乙方制作并保留副本至相应工作结束。</w:t>
      </w:r>
    </w:p>
    <w:p>
      <w:pPr>
        <w:spacing w:before="156" w:beforeLines="50" w:after="156" w:afterLines="50" w:line="360" w:lineRule="auto"/>
        <w:ind w:firstLine="200"/>
        <w:rPr>
          <w:rFonts w:ascii="宋体" w:hAnsi="宋体" w:cs="宋体"/>
          <w:sz w:val="24"/>
        </w:rPr>
      </w:pPr>
      <w:r>
        <w:rPr>
          <w:rFonts w:hint="eastAsia" w:ascii="宋体" w:hAnsi="宋体" w:cs="宋体"/>
          <w:sz w:val="24"/>
        </w:rPr>
        <w:t>7．甲方不得将乙方出示的测评方案等保密信息透露给任何第三方，而应尽力避免由于疏忽将保密信息披露给任何第三方。</w:t>
      </w:r>
    </w:p>
    <w:p>
      <w:pPr>
        <w:spacing w:before="156" w:beforeLines="50" w:after="156" w:afterLines="50" w:line="360" w:lineRule="auto"/>
        <w:ind w:firstLine="200"/>
        <w:rPr>
          <w:rFonts w:ascii="宋体" w:hAnsi="宋体" w:cs="宋体"/>
          <w:sz w:val="24"/>
        </w:rPr>
      </w:pPr>
      <w:r>
        <w:rPr>
          <w:rFonts w:hint="eastAsia" w:ascii="宋体" w:hAnsi="宋体" w:cs="宋体"/>
          <w:sz w:val="24"/>
        </w:rPr>
        <w:t>8．</w:t>
      </w:r>
      <w:r>
        <w:rPr>
          <w:rFonts w:hint="eastAsia" w:ascii="宋体" w:hAnsi="宋体" w:cs="宋体"/>
          <w:color w:val="000000"/>
          <w:sz w:val="24"/>
        </w:rPr>
        <w:t>本协议自双方合同签字盖章之日起生效，对签字双方及其关联机构及其继受者均具有约束力。如保密信息因接受方之外的原因而成为公知信息，则本协议对该部分保密信息自动失效。</w:t>
      </w:r>
    </w:p>
    <w:p>
      <w:pPr>
        <w:spacing w:before="156" w:beforeLines="50" w:after="156" w:afterLines="50" w:line="360" w:lineRule="auto"/>
        <w:ind w:firstLine="200"/>
        <w:rPr>
          <w:rFonts w:ascii="宋体" w:hAnsi="宋体" w:cs="宋体"/>
          <w:sz w:val="24"/>
        </w:rPr>
      </w:pPr>
      <w:r>
        <w:rPr>
          <w:rFonts w:hint="eastAsia" w:ascii="宋体" w:hAnsi="宋体" w:cs="宋体"/>
          <w:sz w:val="24"/>
        </w:rPr>
        <w:t>9．本协议自生效之日起三年内具有效力。本协议有效期内任何时间双方可通过相互同意或向另一方发出书面通知六十天后终止协议；但提前终止本协议不应豁免乙方在本协议下就终止生效日前提供给乙方保密信息所应履行的义务。</w:t>
      </w:r>
    </w:p>
    <w:p>
      <w:pPr>
        <w:spacing w:before="156" w:beforeLines="50" w:after="156" w:afterLines="50" w:line="360" w:lineRule="auto"/>
        <w:ind w:firstLine="200"/>
        <w:rPr>
          <w:rFonts w:ascii="宋体" w:hAnsi="宋体" w:cs="宋体"/>
          <w:color w:val="000000"/>
          <w:sz w:val="24"/>
        </w:rPr>
      </w:pPr>
      <w:r>
        <w:rPr>
          <w:rFonts w:hint="eastAsia" w:ascii="宋体" w:hAnsi="宋体" w:cs="宋体"/>
          <w:sz w:val="24"/>
        </w:rPr>
        <w:t>10．</w:t>
      </w:r>
      <w:r>
        <w:rPr>
          <w:rFonts w:hint="eastAsia" w:ascii="宋体" w:hAnsi="宋体" w:cs="宋体"/>
          <w:color w:val="000000"/>
          <w:sz w:val="24"/>
        </w:rPr>
        <w:t>本协议包含双方关于此事项的全部约定。双方在此之前达成的任何口头或书面的协议或约定，如果与本协议冲突，则以本协议内容为准。本协议的任何修改须以书面方式做出并经双方签字才能生效。</w:t>
      </w:r>
    </w:p>
    <w:p/>
    <w:sectPr>
      <w:footerReference r:id="rId13" w:type="first"/>
      <w:footerReference r:id="rId12"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2D55710-7C57-4080-84C0-23E8F19D468A}"/>
  </w:font>
  <w:font w:name="黑体">
    <w:panose1 w:val="02010609060101010101"/>
    <w:charset w:val="86"/>
    <w:family w:val="auto"/>
    <w:pitch w:val="default"/>
    <w:sig w:usb0="800002BF" w:usb1="38CF7CFA" w:usb2="00000016" w:usb3="00000000" w:csb0="00040001" w:csb1="00000000"/>
    <w:embedRegular r:id="rId2" w:fontKey="{C26AEC02-A7C6-40A8-AE43-6DB92DB54D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embedRegular r:id="rId3" w:fontKey="{7F864514-1DF4-4CBF-841E-ECFE07DAB1EF}"/>
  </w:font>
  <w:font w:name="方正仿宋_GBK">
    <w:panose1 w:val="02000000000000000000"/>
    <w:charset w:val="86"/>
    <w:family w:val="script"/>
    <w:pitch w:val="default"/>
    <w:sig w:usb0="A00002BF" w:usb1="38CF7CFA" w:usb2="00082016" w:usb3="00000000" w:csb0="00040001" w:csb1="00000000"/>
    <w:embedRegular r:id="rId4" w:fontKey="{868DD488-B90D-4CF2-8481-271129BA0646}"/>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8"/>
      </w:rPr>
    </w:pPr>
    <w:r>
      <w:fldChar w:fldCharType="begin"/>
    </w:r>
    <w:r>
      <w:rPr>
        <w:rStyle w:val="48"/>
      </w:rPr>
      <w:instrText xml:space="preserve">PAGE  </w:instrTex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PAGE   \* MERGEFORMAT</w:instrText>
    </w:r>
    <w:r>
      <w:fldChar w:fldCharType="separate"/>
    </w:r>
    <w:r>
      <w:rPr>
        <w:lang w:val="zh-CN"/>
      </w:rPr>
      <w:t>13</w:t>
    </w:r>
    <w:r>
      <w:fldChar w:fldCharType="end"/>
    </w: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PAGE   \* MERGEFORMAT</w:instrText>
    </w:r>
    <w:r>
      <w:fldChar w:fldCharType="separate"/>
    </w:r>
    <w:r>
      <w:rPr>
        <w:lang w:val="zh-CN"/>
      </w:rPr>
      <w:t>2</w:t>
    </w:r>
    <w:r>
      <w:fldChar w:fldCharType="end"/>
    </w:r>
  </w:p>
  <w:p>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520" w:h="235" w:hRule="exact" w:wrap="around" w:vAnchor="text" w:hAnchor="page" w:x="6073" w:y="-2"/>
      <w:rPr>
        <w:rStyle w:val="48"/>
      </w:rPr>
    </w:pPr>
    <w:r>
      <w:fldChar w:fldCharType="begin"/>
    </w:r>
    <w:r>
      <w:rPr>
        <w:rStyle w:val="48"/>
      </w:rPr>
      <w:instrText xml:space="preserve">PAGE  </w:instrText>
    </w:r>
    <w:r>
      <w:fldChar w:fldCharType="separate"/>
    </w:r>
    <w:r>
      <w:rPr>
        <w:rStyle w:val="48"/>
      </w:rPr>
      <w:t>73</w:t>
    </w:r>
    <w:r>
      <w:fldChar w:fldCharType="end"/>
    </w:r>
  </w:p>
  <w:p>
    <w:pPr>
      <w:pStyle w:val="28"/>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520" w:h="235" w:hRule="exact" w:wrap="around" w:vAnchor="text" w:hAnchor="page" w:x="6073" w:y="-2"/>
      <w:rPr>
        <w:rStyle w:val="48"/>
      </w:rPr>
    </w:pPr>
    <w:r>
      <w:fldChar w:fldCharType="begin"/>
    </w:r>
    <w:r>
      <w:rPr>
        <w:rStyle w:val="48"/>
      </w:rPr>
      <w:instrText xml:space="preserve">PAGE  </w:instrText>
    </w:r>
    <w:r>
      <w:fldChar w:fldCharType="separate"/>
    </w:r>
    <w:r>
      <w:rPr>
        <w:rStyle w:val="48"/>
      </w:rPr>
      <w:t>19</w:t>
    </w:r>
    <w:r>
      <w:fldChar w:fldCharType="end"/>
    </w:r>
  </w:p>
  <w:p>
    <w:pPr>
      <w:pStyle w:val="28"/>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hint="eastAsia"/>
        <w:lang w:val="zh-CN"/>
      </w:rPr>
      <w:t>第</w:t>
    </w:r>
    <w:r>
      <w:fldChar w:fldCharType="begin"/>
    </w:r>
    <w:r>
      <w:instrText xml:space="preserve">PAGE  \* Arabic  \* MERGEFORMAT</w:instrText>
    </w:r>
    <w:r>
      <w:fldChar w:fldCharType="separate"/>
    </w:r>
    <w:r>
      <w:rPr>
        <w:lang w:val="zh-CN"/>
      </w:rPr>
      <w:t>28</w:t>
    </w:r>
    <w:r>
      <w:fldChar w:fldCharType="end"/>
    </w:r>
    <w:r>
      <w:rPr>
        <w:rFonts w:hint="eastAsia"/>
      </w:rPr>
      <w:t>页/</w:t>
    </w:r>
    <w:r>
      <w:rPr>
        <w:rFonts w:hint="eastAsia"/>
        <w:lang w:val="zh-CN"/>
      </w:rPr>
      <w:t>共</w:t>
    </w:r>
    <w:r>
      <w:fldChar w:fldCharType="begin"/>
    </w:r>
    <w:r>
      <w:instrText xml:space="preserve">NUMPAGES  \* Arabic  \* MERGEFORMAT</w:instrText>
    </w:r>
    <w:r>
      <w:fldChar w:fldCharType="separate"/>
    </w:r>
    <w:r>
      <w:rPr>
        <w:lang w:val="zh-CN"/>
      </w:rPr>
      <w:t>37</w:t>
    </w:r>
    <w:r>
      <w:rPr>
        <w:lang w:val="zh-CN"/>
      </w:rPr>
      <w:fldChar w:fldCharType="end"/>
    </w:r>
    <w:r>
      <w:rPr>
        <w:rFonts w:hint="eastAsia"/>
      </w:rPr>
      <w:t>页</w:t>
    </w:r>
  </w:p>
  <w:p>
    <w:pPr>
      <w:pStyle w:val="2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separate"/>
    </w:r>
    <w:r>
      <w:rPr>
        <w:rStyle w:val="48"/>
      </w:rPr>
      <w:t>1</w:t>
    </w:r>
    <w:r>
      <w:rPr>
        <w:rStyle w:val="48"/>
      </w:rPr>
      <w:fldChar w:fldCharType="end"/>
    </w:r>
  </w:p>
  <w:p>
    <w:pPr>
      <w:pStyle w:val="28"/>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rPr>
                              <w:rStyle w:val="48"/>
                            </w:rPr>
                          </w:pPr>
                          <w:r>
                            <w:fldChar w:fldCharType="begin"/>
                          </w:r>
                          <w:r>
                            <w:rPr>
                              <w:rStyle w:val="48"/>
                            </w:rPr>
                            <w:instrText xml:space="preserve">PAGE  </w:instrText>
                          </w:r>
                          <w:r>
                            <w:fldChar w:fldCharType="separate"/>
                          </w:r>
                          <w:r>
                            <w:rPr>
                              <w:rStyle w:val="48"/>
                            </w:rPr>
                            <w:t>36</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8"/>
                      <w:rPr>
                        <w:rStyle w:val="48"/>
                      </w:rPr>
                    </w:pPr>
                    <w:r>
                      <w:fldChar w:fldCharType="begin"/>
                    </w:r>
                    <w:r>
                      <w:rPr>
                        <w:rStyle w:val="48"/>
                      </w:rPr>
                      <w:instrText xml:space="preserve">PAGE  </w:instrText>
                    </w:r>
                    <w:r>
                      <w:fldChar w:fldCharType="separate"/>
                    </w:r>
                    <w:r>
                      <w:rPr>
                        <w:rStyle w:val="48"/>
                      </w:rP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871CE1D"/>
    <w:multiLevelType w:val="singleLevel"/>
    <w:tmpl w:val="3871CE1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0MGNkZmI0Y2VkOTU2ODA1ZTFlYmRhZjQ2MWQ0MWQifQ=="/>
    <w:docVar w:name="KSO_WPS_MARK_KEY" w:val="4c0e7952-a94f-4972-90af-ffc3fcf2697f"/>
  </w:docVars>
  <w:rsids>
    <w:rsidRoot w:val="00F1787C"/>
    <w:rsid w:val="00002283"/>
    <w:rsid w:val="0000322E"/>
    <w:rsid w:val="00003524"/>
    <w:rsid w:val="00006DC2"/>
    <w:rsid w:val="00014F18"/>
    <w:rsid w:val="0002191D"/>
    <w:rsid w:val="00022C81"/>
    <w:rsid w:val="000247E8"/>
    <w:rsid w:val="00025133"/>
    <w:rsid w:val="000252CD"/>
    <w:rsid w:val="00025B39"/>
    <w:rsid w:val="000274FB"/>
    <w:rsid w:val="00031B7B"/>
    <w:rsid w:val="000329B5"/>
    <w:rsid w:val="000338C1"/>
    <w:rsid w:val="000349C1"/>
    <w:rsid w:val="00035D65"/>
    <w:rsid w:val="00035FD9"/>
    <w:rsid w:val="00037178"/>
    <w:rsid w:val="00040F12"/>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4761"/>
    <w:rsid w:val="001661DF"/>
    <w:rsid w:val="00166289"/>
    <w:rsid w:val="001667BF"/>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21E1"/>
    <w:rsid w:val="002136F9"/>
    <w:rsid w:val="00213B2E"/>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87E56"/>
    <w:rsid w:val="002927AF"/>
    <w:rsid w:val="0029648C"/>
    <w:rsid w:val="002966A3"/>
    <w:rsid w:val="00296F6F"/>
    <w:rsid w:val="00297D35"/>
    <w:rsid w:val="002A0370"/>
    <w:rsid w:val="002A055F"/>
    <w:rsid w:val="002A0BD4"/>
    <w:rsid w:val="002A2803"/>
    <w:rsid w:val="002A4245"/>
    <w:rsid w:val="002B19F4"/>
    <w:rsid w:val="002B4E72"/>
    <w:rsid w:val="002B52E8"/>
    <w:rsid w:val="002B6790"/>
    <w:rsid w:val="002B6B13"/>
    <w:rsid w:val="002B6E57"/>
    <w:rsid w:val="002B72CF"/>
    <w:rsid w:val="002C1E1A"/>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2ADF"/>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66EF"/>
    <w:rsid w:val="00397134"/>
    <w:rsid w:val="003A063A"/>
    <w:rsid w:val="003A0AD5"/>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4244"/>
    <w:rsid w:val="003E68AB"/>
    <w:rsid w:val="003F098D"/>
    <w:rsid w:val="003F1C45"/>
    <w:rsid w:val="003F1F45"/>
    <w:rsid w:val="003F34F8"/>
    <w:rsid w:val="003F6AEE"/>
    <w:rsid w:val="003F7927"/>
    <w:rsid w:val="003F7A0C"/>
    <w:rsid w:val="004024F1"/>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452F5"/>
    <w:rsid w:val="004459FA"/>
    <w:rsid w:val="00451FE5"/>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29D0"/>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3AF"/>
    <w:rsid w:val="004D6EA5"/>
    <w:rsid w:val="004E536B"/>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3989"/>
    <w:rsid w:val="0053576A"/>
    <w:rsid w:val="0053749E"/>
    <w:rsid w:val="0053783C"/>
    <w:rsid w:val="00540A63"/>
    <w:rsid w:val="00541EAD"/>
    <w:rsid w:val="00543B84"/>
    <w:rsid w:val="00551444"/>
    <w:rsid w:val="005516BA"/>
    <w:rsid w:val="00554CE3"/>
    <w:rsid w:val="0056334B"/>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45F7"/>
    <w:rsid w:val="005C7304"/>
    <w:rsid w:val="005D1938"/>
    <w:rsid w:val="005D1C59"/>
    <w:rsid w:val="005D3202"/>
    <w:rsid w:val="005D48DB"/>
    <w:rsid w:val="005E25FB"/>
    <w:rsid w:val="005E3EBE"/>
    <w:rsid w:val="005E3F38"/>
    <w:rsid w:val="005E782A"/>
    <w:rsid w:val="005F18AC"/>
    <w:rsid w:val="005F2C77"/>
    <w:rsid w:val="006032B9"/>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46FD"/>
    <w:rsid w:val="00625AF6"/>
    <w:rsid w:val="00626C3A"/>
    <w:rsid w:val="00633525"/>
    <w:rsid w:val="00634491"/>
    <w:rsid w:val="00634BA4"/>
    <w:rsid w:val="00640A2B"/>
    <w:rsid w:val="006410AE"/>
    <w:rsid w:val="00641DDB"/>
    <w:rsid w:val="00645AA4"/>
    <w:rsid w:val="0064614C"/>
    <w:rsid w:val="006501D9"/>
    <w:rsid w:val="0065343F"/>
    <w:rsid w:val="00655826"/>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6F1F3F"/>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2E7E"/>
    <w:rsid w:val="007560DB"/>
    <w:rsid w:val="00756FB5"/>
    <w:rsid w:val="00756FFD"/>
    <w:rsid w:val="0075797F"/>
    <w:rsid w:val="00761FD8"/>
    <w:rsid w:val="00766052"/>
    <w:rsid w:val="00767E72"/>
    <w:rsid w:val="00770B52"/>
    <w:rsid w:val="00771915"/>
    <w:rsid w:val="00775C9B"/>
    <w:rsid w:val="00775FBE"/>
    <w:rsid w:val="00776703"/>
    <w:rsid w:val="007857ED"/>
    <w:rsid w:val="00790583"/>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E6F90"/>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52C"/>
    <w:rsid w:val="00874906"/>
    <w:rsid w:val="00874BFC"/>
    <w:rsid w:val="00876B56"/>
    <w:rsid w:val="0088161E"/>
    <w:rsid w:val="0088193E"/>
    <w:rsid w:val="00882774"/>
    <w:rsid w:val="00882B8D"/>
    <w:rsid w:val="00885AC5"/>
    <w:rsid w:val="00886F6A"/>
    <w:rsid w:val="00887D97"/>
    <w:rsid w:val="00890EBC"/>
    <w:rsid w:val="00891734"/>
    <w:rsid w:val="00892FD5"/>
    <w:rsid w:val="00895E46"/>
    <w:rsid w:val="008967CB"/>
    <w:rsid w:val="008977A4"/>
    <w:rsid w:val="008A3AA0"/>
    <w:rsid w:val="008A55D4"/>
    <w:rsid w:val="008B1019"/>
    <w:rsid w:val="008B3FC7"/>
    <w:rsid w:val="008B5DEA"/>
    <w:rsid w:val="008B6331"/>
    <w:rsid w:val="008B67BA"/>
    <w:rsid w:val="008B7405"/>
    <w:rsid w:val="008C301B"/>
    <w:rsid w:val="008C5B46"/>
    <w:rsid w:val="008C6158"/>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2CBE"/>
    <w:rsid w:val="009332B4"/>
    <w:rsid w:val="0093372E"/>
    <w:rsid w:val="00933E5E"/>
    <w:rsid w:val="00940847"/>
    <w:rsid w:val="00940FA6"/>
    <w:rsid w:val="0094101C"/>
    <w:rsid w:val="009421B0"/>
    <w:rsid w:val="00943333"/>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434"/>
    <w:rsid w:val="009A2809"/>
    <w:rsid w:val="009A2EF8"/>
    <w:rsid w:val="009A4256"/>
    <w:rsid w:val="009B2BC0"/>
    <w:rsid w:val="009B2CD6"/>
    <w:rsid w:val="009B4DAE"/>
    <w:rsid w:val="009C18D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4356"/>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9704D"/>
    <w:rsid w:val="00AA1ED7"/>
    <w:rsid w:val="00AA2125"/>
    <w:rsid w:val="00AA2698"/>
    <w:rsid w:val="00AA7B39"/>
    <w:rsid w:val="00AB1F7C"/>
    <w:rsid w:val="00AB291E"/>
    <w:rsid w:val="00AB3079"/>
    <w:rsid w:val="00AB454C"/>
    <w:rsid w:val="00AB7314"/>
    <w:rsid w:val="00AC0B60"/>
    <w:rsid w:val="00AC35C8"/>
    <w:rsid w:val="00AC5579"/>
    <w:rsid w:val="00AC77D9"/>
    <w:rsid w:val="00AD254C"/>
    <w:rsid w:val="00AD3F91"/>
    <w:rsid w:val="00AD5063"/>
    <w:rsid w:val="00AD5132"/>
    <w:rsid w:val="00AE0656"/>
    <w:rsid w:val="00AE0F5B"/>
    <w:rsid w:val="00AE17FA"/>
    <w:rsid w:val="00AE3AEB"/>
    <w:rsid w:val="00AE7FF3"/>
    <w:rsid w:val="00AF00C9"/>
    <w:rsid w:val="00AF5F1C"/>
    <w:rsid w:val="00AF69F8"/>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3F56"/>
    <w:rsid w:val="00B64A4E"/>
    <w:rsid w:val="00B64BC6"/>
    <w:rsid w:val="00B657A0"/>
    <w:rsid w:val="00B66875"/>
    <w:rsid w:val="00B71C05"/>
    <w:rsid w:val="00B73167"/>
    <w:rsid w:val="00B756D1"/>
    <w:rsid w:val="00B7661F"/>
    <w:rsid w:val="00B77958"/>
    <w:rsid w:val="00B7798B"/>
    <w:rsid w:val="00B82491"/>
    <w:rsid w:val="00B851D0"/>
    <w:rsid w:val="00B85B52"/>
    <w:rsid w:val="00B92194"/>
    <w:rsid w:val="00B94AC5"/>
    <w:rsid w:val="00B95D90"/>
    <w:rsid w:val="00B96171"/>
    <w:rsid w:val="00B97C03"/>
    <w:rsid w:val="00BA114B"/>
    <w:rsid w:val="00BA4C4A"/>
    <w:rsid w:val="00BA5453"/>
    <w:rsid w:val="00BA65F5"/>
    <w:rsid w:val="00BA7026"/>
    <w:rsid w:val="00BA718D"/>
    <w:rsid w:val="00BA7E13"/>
    <w:rsid w:val="00BB1932"/>
    <w:rsid w:val="00BB367D"/>
    <w:rsid w:val="00BB471C"/>
    <w:rsid w:val="00BB4F74"/>
    <w:rsid w:val="00BB5003"/>
    <w:rsid w:val="00BB60E7"/>
    <w:rsid w:val="00BC050E"/>
    <w:rsid w:val="00BC12EE"/>
    <w:rsid w:val="00BC1489"/>
    <w:rsid w:val="00BC203B"/>
    <w:rsid w:val="00BC33A9"/>
    <w:rsid w:val="00BD6DC6"/>
    <w:rsid w:val="00BD768B"/>
    <w:rsid w:val="00BE1BEC"/>
    <w:rsid w:val="00BE4A86"/>
    <w:rsid w:val="00BE4A91"/>
    <w:rsid w:val="00BE60A7"/>
    <w:rsid w:val="00BF28B3"/>
    <w:rsid w:val="00BF6FA8"/>
    <w:rsid w:val="00BF76B0"/>
    <w:rsid w:val="00C02712"/>
    <w:rsid w:val="00C07B2A"/>
    <w:rsid w:val="00C10776"/>
    <w:rsid w:val="00C11F6E"/>
    <w:rsid w:val="00C13F63"/>
    <w:rsid w:val="00C15831"/>
    <w:rsid w:val="00C168B7"/>
    <w:rsid w:val="00C21595"/>
    <w:rsid w:val="00C22F13"/>
    <w:rsid w:val="00C22FCC"/>
    <w:rsid w:val="00C24264"/>
    <w:rsid w:val="00C2444F"/>
    <w:rsid w:val="00C30D22"/>
    <w:rsid w:val="00C312AB"/>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6212"/>
    <w:rsid w:val="00CB7FDA"/>
    <w:rsid w:val="00CC505F"/>
    <w:rsid w:val="00CC5715"/>
    <w:rsid w:val="00CD147A"/>
    <w:rsid w:val="00CD1726"/>
    <w:rsid w:val="00CD225D"/>
    <w:rsid w:val="00CD4175"/>
    <w:rsid w:val="00CD6C71"/>
    <w:rsid w:val="00CD78E5"/>
    <w:rsid w:val="00CE076F"/>
    <w:rsid w:val="00CE0E41"/>
    <w:rsid w:val="00CE2D7F"/>
    <w:rsid w:val="00CE32CD"/>
    <w:rsid w:val="00CE44DD"/>
    <w:rsid w:val="00CF2931"/>
    <w:rsid w:val="00CF3754"/>
    <w:rsid w:val="00CF3D31"/>
    <w:rsid w:val="00CF3FE8"/>
    <w:rsid w:val="00CF5500"/>
    <w:rsid w:val="00D0363A"/>
    <w:rsid w:val="00D065C5"/>
    <w:rsid w:val="00D0782A"/>
    <w:rsid w:val="00D1077A"/>
    <w:rsid w:val="00D1446B"/>
    <w:rsid w:val="00D223B4"/>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1954"/>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A5486"/>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4F75"/>
    <w:rsid w:val="00DF5B31"/>
    <w:rsid w:val="00DF6BD6"/>
    <w:rsid w:val="00E02114"/>
    <w:rsid w:val="00E03783"/>
    <w:rsid w:val="00E06502"/>
    <w:rsid w:val="00E0716D"/>
    <w:rsid w:val="00E10E7C"/>
    <w:rsid w:val="00E13506"/>
    <w:rsid w:val="00E15007"/>
    <w:rsid w:val="00E17769"/>
    <w:rsid w:val="00E20ABC"/>
    <w:rsid w:val="00E20FA3"/>
    <w:rsid w:val="00E23505"/>
    <w:rsid w:val="00E24890"/>
    <w:rsid w:val="00E26737"/>
    <w:rsid w:val="00E26DA5"/>
    <w:rsid w:val="00E30BDB"/>
    <w:rsid w:val="00E34C6A"/>
    <w:rsid w:val="00E36724"/>
    <w:rsid w:val="00E42612"/>
    <w:rsid w:val="00E42AF9"/>
    <w:rsid w:val="00E44D3C"/>
    <w:rsid w:val="00E44E76"/>
    <w:rsid w:val="00E457A5"/>
    <w:rsid w:val="00E45EDE"/>
    <w:rsid w:val="00E516C7"/>
    <w:rsid w:val="00E52FD0"/>
    <w:rsid w:val="00E53668"/>
    <w:rsid w:val="00E562C9"/>
    <w:rsid w:val="00E57CE7"/>
    <w:rsid w:val="00E64D73"/>
    <w:rsid w:val="00E65B2B"/>
    <w:rsid w:val="00E669B0"/>
    <w:rsid w:val="00E81794"/>
    <w:rsid w:val="00E84AD3"/>
    <w:rsid w:val="00E8555A"/>
    <w:rsid w:val="00E85F6B"/>
    <w:rsid w:val="00E907D3"/>
    <w:rsid w:val="00E9117E"/>
    <w:rsid w:val="00E91C2B"/>
    <w:rsid w:val="00E9267B"/>
    <w:rsid w:val="00E9477F"/>
    <w:rsid w:val="00E94C78"/>
    <w:rsid w:val="00EA168E"/>
    <w:rsid w:val="00EA2585"/>
    <w:rsid w:val="00EA416E"/>
    <w:rsid w:val="00EA5D74"/>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3DD7"/>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2BF6"/>
    <w:rsid w:val="00FA6B3B"/>
    <w:rsid w:val="00FA6D96"/>
    <w:rsid w:val="00FA7E59"/>
    <w:rsid w:val="00FB08D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B8"/>
    <w:rsid w:val="00FE7AEA"/>
    <w:rsid w:val="00FF3180"/>
    <w:rsid w:val="00FF4C28"/>
    <w:rsid w:val="00FF4D40"/>
    <w:rsid w:val="00FF569F"/>
    <w:rsid w:val="00FF7182"/>
    <w:rsid w:val="015D18DC"/>
    <w:rsid w:val="0184380B"/>
    <w:rsid w:val="01852BD3"/>
    <w:rsid w:val="018A6C3C"/>
    <w:rsid w:val="01A8609A"/>
    <w:rsid w:val="01C23866"/>
    <w:rsid w:val="01CB0D9E"/>
    <w:rsid w:val="01CD6660"/>
    <w:rsid w:val="01E05F01"/>
    <w:rsid w:val="020C0D2B"/>
    <w:rsid w:val="02195A53"/>
    <w:rsid w:val="02375428"/>
    <w:rsid w:val="024E4B4B"/>
    <w:rsid w:val="029D41FE"/>
    <w:rsid w:val="02A800C5"/>
    <w:rsid w:val="02C6499B"/>
    <w:rsid w:val="02C91CAA"/>
    <w:rsid w:val="02D0709E"/>
    <w:rsid w:val="037D0CD2"/>
    <w:rsid w:val="038B3366"/>
    <w:rsid w:val="03981B5E"/>
    <w:rsid w:val="03996EAD"/>
    <w:rsid w:val="03B94246"/>
    <w:rsid w:val="03F60BFA"/>
    <w:rsid w:val="03F824F7"/>
    <w:rsid w:val="04023CC8"/>
    <w:rsid w:val="042674F4"/>
    <w:rsid w:val="042D3C13"/>
    <w:rsid w:val="045F34D7"/>
    <w:rsid w:val="04722D72"/>
    <w:rsid w:val="047A0BBC"/>
    <w:rsid w:val="04933E65"/>
    <w:rsid w:val="04C12ED8"/>
    <w:rsid w:val="04DC5749"/>
    <w:rsid w:val="04E26FED"/>
    <w:rsid w:val="04E41F94"/>
    <w:rsid w:val="04FD6633"/>
    <w:rsid w:val="052E2B3B"/>
    <w:rsid w:val="054416D2"/>
    <w:rsid w:val="05507F0F"/>
    <w:rsid w:val="055A4D20"/>
    <w:rsid w:val="05871A0A"/>
    <w:rsid w:val="05A42E7B"/>
    <w:rsid w:val="05A70EA9"/>
    <w:rsid w:val="05D55D36"/>
    <w:rsid w:val="060C2525"/>
    <w:rsid w:val="061418D2"/>
    <w:rsid w:val="062756FD"/>
    <w:rsid w:val="065F7A31"/>
    <w:rsid w:val="067C53E7"/>
    <w:rsid w:val="06820F5E"/>
    <w:rsid w:val="06A7180A"/>
    <w:rsid w:val="06AE2ABA"/>
    <w:rsid w:val="06BA1001"/>
    <w:rsid w:val="06C75DF5"/>
    <w:rsid w:val="06DD02BB"/>
    <w:rsid w:val="06E71F51"/>
    <w:rsid w:val="06F965AD"/>
    <w:rsid w:val="07050666"/>
    <w:rsid w:val="071C4DB7"/>
    <w:rsid w:val="07362674"/>
    <w:rsid w:val="073B54B2"/>
    <w:rsid w:val="07537EF9"/>
    <w:rsid w:val="07815EE7"/>
    <w:rsid w:val="081748AE"/>
    <w:rsid w:val="08635851"/>
    <w:rsid w:val="08C2359B"/>
    <w:rsid w:val="08E66BB1"/>
    <w:rsid w:val="09041814"/>
    <w:rsid w:val="092D7BDC"/>
    <w:rsid w:val="09332D2B"/>
    <w:rsid w:val="093E2D64"/>
    <w:rsid w:val="09455F12"/>
    <w:rsid w:val="09472203"/>
    <w:rsid w:val="098B1DA7"/>
    <w:rsid w:val="09907951"/>
    <w:rsid w:val="099F43E4"/>
    <w:rsid w:val="09A07D6B"/>
    <w:rsid w:val="09A31A61"/>
    <w:rsid w:val="09BA7A85"/>
    <w:rsid w:val="09DE1094"/>
    <w:rsid w:val="09E2475B"/>
    <w:rsid w:val="0A207013"/>
    <w:rsid w:val="0A3F34B7"/>
    <w:rsid w:val="0A4B11BE"/>
    <w:rsid w:val="0A7B4003"/>
    <w:rsid w:val="0A8E5B8D"/>
    <w:rsid w:val="0AA240FA"/>
    <w:rsid w:val="0AAC0CBB"/>
    <w:rsid w:val="0AD84BD3"/>
    <w:rsid w:val="0AE941D3"/>
    <w:rsid w:val="0AFA761E"/>
    <w:rsid w:val="0B1061C6"/>
    <w:rsid w:val="0B2B08D5"/>
    <w:rsid w:val="0B9874FD"/>
    <w:rsid w:val="0BA35012"/>
    <w:rsid w:val="0BB825ED"/>
    <w:rsid w:val="0BC0647C"/>
    <w:rsid w:val="0BD7624B"/>
    <w:rsid w:val="0BF26817"/>
    <w:rsid w:val="0C22464A"/>
    <w:rsid w:val="0C2B72AE"/>
    <w:rsid w:val="0C517E31"/>
    <w:rsid w:val="0C623EAC"/>
    <w:rsid w:val="0C946488"/>
    <w:rsid w:val="0CAB3827"/>
    <w:rsid w:val="0CAD24AF"/>
    <w:rsid w:val="0CB27F34"/>
    <w:rsid w:val="0D0D3F93"/>
    <w:rsid w:val="0D12389F"/>
    <w:rsid w:val="0D2820B7"/>
    <w:rsid w:val="0D2B5BA2"/>
    <w:rsid w:val="0D2F6875"/>
    <w:rsid w:val="0D33523D"/>
    <w:rsid w:val="0D662EE5"/>
    <w:rsid w:val="0D6A3AE7"/>
    <w:rsid w:val="0D860EC5"/>
    <w:rsid w:val="0D9339BE"/>
    <w:rsid w:val="0D9E6A67"/>
    <w:rsid w:val="0D9F0DC4"/>
    <w:rsid w:val="0DC02AA1"/>
    <w:rsid w:val="0DCA1778"/>
    <w:rsid w:val="0DDE695A"/>
    <w:rsid w:val="0DF73A5B"/>
    <w:rsid w:val="0E164CA8"/>
    <w:rsid w:val="0E231949"/>
    <w:rsid w:val="0E2D072E"/>
    <w:rsid w:val="0E3B295D"/>
    <w:rsid w:val="0E47249B"/>
    <w:rsid w:val="0E551882"/>
    <w:rsid w:val="0E7306EC"/>
    <w:rsid w:val="0E8F4C4E"/>
    <w:rsid w:val="0E963048"/>
    <w:rsid w:val="0EAD7E50"/>
    <w:rsid w:val="0EB254B2"/>
    <w:rsid w:val="0EFB3F5D"/>
    <w:rsid w:val="0F041CC7"/>
    <w:rsid w:val="0F042317"/>
    <w:rsid w:val="0F1209F8"/>
    <w:rsid w:val="0F4C19DA"/>
    <w:rsid w:val="0F4C7D05"/>
    <w:rsid w:val="0F4F31AF"/>
    <w:rsid w:val="0F5F17BD"/>
    <w:rsid w:val="0F6B0B12"/>
    <w:rsid w:val="0F6B0BDE"/>
    <w:rsid w:val="0F90531D"/>
    <w:rsid w:val="0FAD64B5"/>
    <w:rsid w:val="0FB21FD4"/>
    <w:rsid w:val="0FC045BA"/>
    <w:rsid w:val="0FFF5930"/>
    <w:rsid w:val="1074577C"/>
    <w:rsid w:val="10A265EF"/>
    <w:rsid w:val="10EC4A0F"/>
    <w:rsid w:val="11156FC6"/>
    <w:rsid w:val="11485B0D"/>
    <w:rsid w:val="114C7209"/>
    <w:rsid w:val="1154158B"/>
    <w:rsid w:val="11677BA5"/>
    <w:rsid w:val="117076B2"/>
    <w:rsid w:val="119E6579"/>
    <w:rsid w:val="11D435DD"/>
    <w:rsid w:val="11DA3C43"/>
    <w:rsid w:val="1220326C"/>
    <w:rsid w:val="123A67B6"/>
    <w:rsid w:val="125670E6"/>
    <w:rsid w:val="125E1A9C"/>
    <w:rsid w:val="1276289F"/>
    <w:rsid w:val="1288522D"/>
    <w:rsid w:val="129D6A95"/>
    <w:rsid w:val="12AF4046"/>
    <w:rsid w:val="12CE506D"/>
    <w:rsid w:val="12D036D1"/>
    <w:rsid w:val="12F65490"/>
    <w:rsid w:val="12F73D2A"/>
    <w:rsid w:val="12F9698E"/>
    <w:rsid w:val="13112273"/>
    <w:rsid w:val="131C7C5D"/>
    <w:rsid w:val="13511DF6"/>
    <w:rsid w:val="1359610F"/>
    <w:rsid w:val="138B4634"/>
    <w:rsid w:val="138F1214"/>
    <w:rsid w:val="13BF412F"/>
    <w:rsid w:val="13C00A21"/>
    <w:rsid w:val="13D101C7"/>
    <w:rsid w:val="13E5577C"/>
    <w:rsid w:val="1400440E"/>
    <w:rsid w:val="142669A3"/>
    <w:rsid w:val="14301CC2"/>
    <w:rsid w:val="143805F9"/>
    <w:rsid w:val="144729D8"/>
    <w:rsid w:val="148530C5"/>
    <w:rsid w:val="148E78CB"/>
    <w:rsid w:val="149F4D92"/>
    <w:rsid w:val="14A13E6D"/>
    <w:rsid w:val="14AB614D"/>
    <w:rsid w:val="14B96C2B"/>
    <w:rsid w:val="14D47131"/>
    <w:rsid w:val="15067DFC"/>
    <w:rsid w:val="15436E45"/>
    <w:rsid w:val="15507C7E"/>
    <w:rsid w:val="15664AEF"/>
    <w:rsid w:val="158E23E1"/>
    <w:rsid w:val="159D7EA6"/>
    <w:rsid w:val="159F1BF9"/>
    <w:rsid w:val="15B71B1D"/>
    <w:rsid w:val="15E63361"/>
    <w:rsid w:val="160B0227"/>
    <w:rsid w:val="16864176"/>
    <w:rsid w:val="16E04880"/>
    <w:rsid w:val="16F86032"/>
    <w:rsid w:val="17081A7A"/>
    <w:rsid w:val="17292C0C"/>
    <w:rsid w:val="176F50FE"/>
    <w:rsid w:val="17D10049"/>
    <w:rsid w:val="17DD0B49"/>
    <w:rsid w:val="17F1563C"/>
    <w:rsid w:val="17F23C73"/>
    <w:rsid w:val="180F3B80"/>
    <w:rsid w:val="181B1411"/>
    <w:rsid w:val="181C1400"/>
    <w:rsid w:val="18223BBF"/>
    <w:rsid w:val="18406E44"/>
    <w:rsid w:val="185C1918"/>
    <w:rsid w:val="1880349D"/>
    <w:rsid w:val="18D435BC"/>
    <w:rsid w:val="18E261BC"/>
    <w:rsid w:val="18E6320F"/>
    <w:rsid w:val="19193365"/>
    <w:rsid w:val="19261639"/>
    <w:rsid w:val="195D5C0E"/>
    <w:rsid w:val="19B116AD"/>
    <w:rsid w:val="19B64CC2"/>
    <w:rsid w:val="19BA69A5"/>
    <w:rsid w:val="19DF6D3F"/>
    <w:rsid w:val="19E24459"/>
    <w:rsid w:val="19EF2451"/>
    <w:rsid w:val="1A0F7129"/>
    <w:rsid w:val="1A194A1B"/>
    <w:rsid w:val="1A305FF4"/>
    <w:rsid w:val="1A3D7EBE"/>
    <w:rsid w:val="1A4353A0"/>
    <w:rsid w:val="1A557489"/>
    <w:rsid w:val="1AF45443"/>
    <w:rsid w:val="1B075A0C"/>
    <w:rsid w:val="1B67066F"/>
    <w:rsid w:val="1B7229E4"/>
    <w:rsid w:val="1B7A5EC7"/>
    <w:rsid w:val="1B8E5EC0"/>
    <w:rsid w:val="1BBE47DE"/>
    <w:rsid w:val="1C2613A8"/>
    <w:rsid w:val="1C477E44"/>
    <w:rsid w:val="1C8518EA"/>
    <w:rsid w:val="1C9B22E2"/>
    <w:rsid w:val="1CA53B30"/>
    <w:rsid w:val="1CB33990"/>
    <w:rsid w:val="1CF6260F"/>
    <w:rsid w:val="1CF83AEA"/>
    <w:rsid w:val="1CF911FC"/>
    <w:rsid w:val="1D34223E"/>
    <w:rsid w:val="1D3B0016"/>
    <w:rsid w:val="1D6914D5"/>
    <w:rsid w:val="1D7C7A22"/>
    <w:rsid w:val="1D7E09CF"/>
    <w:rsid w:val="1D9F1A69"/>
    <w:rsid w:val="1DB50BD0"/>
    <w:rsid w:val="1DE41480"/>
    <w:rsid w:val="1E2139B7"/>
    <w:rsid w:val="1E7A14A8"/>
    <w:rsid w:val="1E7F32B0"/>
    <w:rsid w:val="1EBA058B"/>
    <w:rsid w:val="1EBB622E"/>
    <w:rsid w:val="1EDD751C"/>
    <w:rsid w:val="1EE170B7"/>
    <w:rsid w:val="1EEA13A6"/>
    <w:rsid w:val="1EFE64E9"/>
    <w:rsid w:val="1F6207D0"/>
    <w:rsid w:val="1FCA360B"/>
    <w:rsid w:val="1FE1627D"/>
    <w:rsid w:val="1FEA603B"/>
    <w:rsid w:val="20133D98"/>
    <w:rsid w:val="20226856"/>
    <w:rsid w:val="202629DD"/>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1641D5"/>
    <w:rsid w:val="21243C34"/>
    <w:rsid w:val="212B522B"/>
    <w:rsid w:val="2147551A"/>
    <w:rsid w:val="21736537"/>
    <w:rsid w:val="21977807"/>
    <w:rsid w:val="219A6D4B"/>
    <w:rsid w:val="21B32189"/>
    <w:rsid w:val="21C2735E"/>
    <w:rsid w:val="21E57FA3"/>
    <w:rsid w:val="21FB5A74"/>
    <w:rsid w:val="226827C0"/>
    <w:rsid w:val="227C6EFF"/>
    <w:rsid w:val="22942795"/>
    <w:rsid w:val="22A10D06"/>
    <w:rsid w:val="22B665A5"/>
    <w:rsid w:val="22C925E0"/>
    <w:rsid w:val="22D84291"/>
    <w:rsid w:val="22E46F4A"/>
    <w:rsid w:val="22F20159"/>
    <w:rsid w:val="23005537"/>
    <w:rsid w:val="232C54A8"/>
    <w:rsid w:val="233C2C53"/>
    <w:rsid w:val="23486890"/>
    <w:rsid w:val="236F1F61"/>
    <w:rsid w:val="23AB4CDF"/>
    <w:rsid w:val="23C37A75"/>
    <w:rsid w:val="240404D0"/>
    <w:rsid w:val="24220F3E"/>
    <w:rsid w:val="2423604B"/>
    <w:rsid w:val="243A3F7E"/>
    <w:rsid w:val="24436391"/>
    <w:rsid w:val="2450121E"/>
    <w:rsid w:val="247A4C56"/>
    <w:rsid w:val="2487622C"/>
    <w:rsid w:val="24973094"/>
    <w:rsid w:val="24AD6D9A"/>
    <w:rsid w:val="24C86454"/>
    <w:rsid w:val="24E85B0E"/>
    <w:rsid w:val="251418FC"/>
    <w:rsid w:val="255249D2"/>
    <w:rsid w:val="256E0575"/>
    <w:rsid w:val="25712B23"/>
    <w:rsid w:val="25A845B3"/>
    <w:rsid w:val="25EB71B7"/>
    <w:rsid w:val="26154215"/>
    <w:rsid w:val="261A0BE6"/>
    <w:rsid w:val="263C7691"/>
    <w:rsid w:val="265E2776"/>
    <w:rsid w:val="26617BB7"/>
    <w:rsid w:val="26666FDC"/>
    <w:rsid w:val="26963D4E"/>
    <w:rsid w:val="26AB763C"/>
    <w:rsid w:val="26B267E7"/>
    <w:rsid w:val="26D794B7"/>
    <w:rsid w:val="26F131DC"/>
    <w:rsid w:val="26F65310"/>
    <w:rsid w:val="27052D05"/>
    <w:rsid w:val="27082804"/>
    <w:rsid w:val="270832AE"/>
    <w:rsid w:val="27357F9F"/>
    <w:rsid w:val="275E35BF"/>
    <w:rsid w:val="27A4553F"/>
    <w:rsid w:val="27D35135"/>
    <w:rsid w:val="27EF1935"/>
    <w:rsid w:val="280A1B75"/>
    <w:rsid w:val="28153274"/>
    <w:rsid w:val="28257458"/>
    <w:rsid w:val="283962F8"/>
    <w:rsid w:val="287A36F4"/>
    <w:rsid w:val="288458E7"/>
    <w:rsid w:val="28A33A20"/>
    <w:rsid w:val="28A47F17"/>
    <w:rsid w:val="28FE6071"/>
    <w:rsid w:val="290212C1"/>
    <w:rsid w:val="290D5ED8"/>
    <w:rsid w:val="295755B2"/>
    <w:rsid w:val="29656DCE"/>
    <w:rsid w:val="29722140"/>
    <w:rsid w:val="298B4B23"/>
    <w:rsid w:val="29AD63FD"/>
    <w:rsid w:val="29B71FDB"/>
    <w:rsid w:val="29CF18DD"/>
    <w:rsid w:val="29D65D23"/>
    <w:rsid w:val="29D875FE"/>
    <w:rsid w:val="2A194E5D"/>
    <w:rsid w:val="2A21554B"/>
    <w:rsid w:val="2A594BC2"/>
    <w:rsid w:val="2A6603D4"/>
    <w:rsid w:val="2A9F7561"/>
    <w:rsid w:val="2AA90FA0"/>
    <w:rsid w:val="2AB103DC"/>
    <w:rsid w:val="2AB31CE2"/>
    <w:rsid w:val="2AB55266"/>
    <w:rsid w:val="2AF000D8"/>
    <w:rsid w:val="2B487382"/>
    <w:rsid w:val="2B552F60"/>
    <w:rsid w:val="2B7841A6"/>
    <w:rsid w:val="2BA26911"/>
    <w:rsid w:val="2BB367B9"/>
    <w:rsid w:val="2BD1572D"/>
    <w:rsid w:val="2C13380B"/>
    <w:rsid w:val="2C184D47"/>
    <w:rsid w:val="2C796A89"/>
    <w:rsid w:val="2CBD3A96"/>
    <w:rsid w:val="2CC74339"/>
    <w:rsid w:val="2CCC23F7"/>
    <w:rsid w:val="2CCE1414"/>
    <w:rsid w:val="2CF93ABF"/>
    <w:rsid w:val="2D1E27A3"/>
    <w:rsid w:val="2D1E560F"/>
    <w:rsid w:val="2D394FF5"/>
    <w:rsid w:val="2D766528"/>
    <w:rsid w:val="2DF50B51"/>
    <w:rsid w:val="2E6111A5"/>
    <w:rsid w:val="2E671D49"/>
    <w:rsid w:val="2E6A704D"/>
    <w:rsid w:val="2E8A6255"/>
    <w:rsid w:val="2EB8596B"/>
    <w:rsid w:val="2EC8145A"/>
    <w:rsid w:val="2F0B1048"/>
    <w:rsid w:val="2F132DA3"/>
    <w:rsid w:val="2F141AAA"/>
    <w:rsid w:val="2FCA4353"/>
    <w:rsid w:val="2FE55D75"/>
    <w:rsid w:val="2FF23F99"/>
    <w:rsid w:val="2FFF3277"/>
    <w:rsid w:val="30236367"/>
    <w:rsid w:val="30331BC6"/>
    <w:rsid w:val="303E7E03"/>
    <w:rsid w:val="30405AEB"/>
    <w:rsid w:val="304A182B"/>
    <w:rsid w:val="30700C52"/>
    <w:rsid w:val="30757C00"/>
    <w:rsid w:val="30782C0F"/>
    <w:rsid w:val="307D5D65"/>
    <w:rsid w:val="308570DA"/>
    <w:rsid w:val="30B34CE3"/>
    <w:rsid w:val="30CB1C83"/>
    <w:rsid w:val="30ED2830"/>
    <w:rsid w:val="310A518F"/>
    <w:rsid w:val="3112096E"/>
    <w:rsid w:val="316B2857"/>
    <w:rsid w:val="31832D29"/>
    <w:rsid w:val="319D5339"/>
    <w:rsid w:val="319F2F47"/>
    <w:rsid w:val="31D20CDE"/>
    <w:rsid w:val="31F37E23"/>
    <w:rsid w:val="31FE689A"/>
    <w:rsid w:val="32223DC6"/>
    <w:rsid w:val="325A02A1"/>
    <w:rsid w:val="329032EF"/>
    <w:rsid w:val="329970EF"/>
    <w:rsid w:val="32AE0B6A"/>
    <w:rsid w:val="32B35AAA"/>
    <w:rsid w:val="33135210"/>
    <w:rsid w:val="3326373F"/>
    <w:rsid w:val="334459AC"/>
    <w:rsid w:val="33705A64"/>
    <w:rsid w:val="337A609B"/>
    <w:rsid w:val="338E32D5"/>
    <w:rsid w:val="33A055AF"/>
    <w:rsid w:val="33A51E80"/>
    <w:rsid w:val="33EE589E"/>
    <w:rsid w:val="340329A9"/>
    <w:rsid w:val="342645AD"/>
    <w:rsid w:val="342B057B"/>
    <w:rsid w:val="34335C8F"/>
    <w:rsid w:val="34617CD8"/>
    <w:rsid w:val="346317C9"/>
    <w:rsid w:val="34753860"/>
    <w:rsid w:val="34A61339"/>
    <w:rsid w:val="34CC3006"/>
    <w:rsid w:val="34DC6B56"/>
    <w:rsid w:val="34F3793E"/>
    <w:rsid w:val="34FA09EA"/>
    <w:rsid w:val="352B3CDE"/>
    <w:rsid w:val="354B5D9D"/>
    <w:rsid w:val="35574E9C"/>
    <w:rsid w:val="35712E34"/>
    <w:rsid w:val="359305B1"/>
    <w:rsid w:val="35ED793B"/>
    <w:rsid w:val="35F06F52"/>
    <w:rsid w:val="35F84740"/>
    <w:rsid w:val="36307DA3"/>
    <w:rsid w:val="36383125"/>
    <w:rsid w:val="366C082D"/>
    <w:rsid w:val="368C388A"/>
    <w:rsid w:val="36C90DD1"/>
    <w:rsid w:val="36EF2646"/>
    <w:rsid w:val="36F55D23"/>
    <w:rsid w:val="374634AB"/>
    <w:rsid w:val="37543CF6"/>
    <w:rsid w:val="37704489"/>
    <w:rsid w:val="37710026"/>
    <w:rsid w:val="378112E0"/>
    <w:rsid w:val="37925427"/>
    <w:rsid w:val="37A01319"/>
    <w:rsid w:val="37A55DCC"/>
    <w:rsid w:val="37CA04FF"/>
    <w:rsid w:val="37D30771"/>
    <w:rsid w:val="37D56B99"/>
    <w:rsid w:val="37E56DDC"/>
    <w:rsid w:val="37EC0BB8"/>
    <w:rsid w:val="38273DBA"/>
    <w:rsid w:val="38371ACC"/>
    <w:rsid w:val="38A748FD"/>
    <w:rsid w:val="38FF39F5"/>
    <w:rsid w:val="394C68A5"/>
    <w:rsid w:val="3952462B"/>
    <w:rsid w:val="395E479A"/>
    <w:rsid w:val="39675804"/>
    <w:rsid w:val="398A60A0"/>
    <w:rsid w:val="39A36C2D"/>
    <w:rsid w:val="39AA29B9"/>
    <w:rsid w:val="39AE63D1"/>
    <w:rsid w:val="39D7D99B"/>
    <w:rsid w:val="39E71AEC"/>
    <w:rsid w:val="39F60058"/>
    <w:rsid w:val="3A104089"/>
    <w:rsid w:val="3A1A692D"/>
    <w:rsid w:val="3A8217DE"/>
    <w:rsid w:val="3A822B01"/>
    <w:rsid w:val="3AB8426E"/>
    <w:rsid w:val="3ACF765C"/>
    <w:rsid w:val="3AD278CD"/>
    <w:rsid w:val="3AFA4BE5"/>
    <w:rsid w:val="3B2A44B8"/>
    <w:rsid w:val="3B2B6476"/>
    <w:rsid w:val="3BAF3CA2"/>
    <w:rsid w:val="3BBC038E"/>
    <w:rsid w:val="3BFE3F02"/>
    <w:rsid w:val="3C0637C5"/>
    <w:rsid w:val="3C2972FD"/>
    <w:rsid w:val="3C5B4444"/>
    <w:rsid w:val="3C852047"/>
    <w:rsid w:val="3CA13116"/>
    <w:rsid w:val="3CA925AE"/>
    <w:rsid w:val="3CCF4FA4"/>
    <w:rsid w:val="3CF877AB"/>
    <w:rsid w:val="3D306CB2"/>
    <w:rsid w:val="3D32729D"/>
    <w:rsid w:val="3D485E54"/>
    <w:rsid w:val="3D667959"/>
    <w:rsid w:val="3D8230F2"/>
    <w:rsid w:val="3D886E2C"/>
    <w:rsid w:val="3D9A6B04"/>
    <w:rsid w:val="3DAA5519"/>
    <w:rsid w:val="3DC413E8"/>
    <w:rsid w:val="3DCA34BB"/>
    <w:rsid w:val="3DD83D60"/>
    <w:rsid w:val="3DEE7764"/>
    <w:rsid w:val="3E044CAE"/>
    <w:rsid w:val="3E12201C"/>
    <w:rsid w:val="3E427218"/>
    <w:rsid w:val="3E460E59"/>
    <w:rsid w:val="3E596976"/>
    <w:rsid w:val="3E8F30B5"/>
    <w:rsid w:val="3E9D9EE9"/>
    <w:rsid w:val="3EA72ABE"/>
    <w:rsid w:val="3EAD4174"/>
    <w:rsid w:val="3EAD7F9C"/>
    <w:rsid w:val="3EB32892"/>
    <w:rsid w:val="3EBC3336"/>
    <w:rsid w:val="3EDE79C6"/>
    <w:rsid w:val="3EDE845B"/>
    <w:rsid w:val="3EF60080"/>
    <w:rsid w:val="3EF65530"/>
    <w:rsid w:val="3EFEC654"/>
    <w:rsid w:val="3F064AE9"/>
    <w:rsid w:val="3F3B0C43"/>
    <w:rsid w:val="3F4C62B0"/>
    <w:rsid w:val="3F6A4BE4"/>
    <w:rsid w:val="3F7279F0"/>
    <w:rsid w:val="3F7C65CA"/>
    <w:rsid w:val="3F7F0FB6"/>
    <w:rsid w:val="3F9717D1"/>
    <w:rsid w:val="3FB2485B"/>
    <w:rsid w:val="3FBD3AE8"/>
    <w:rsid w:val="402A34B8"/>
    <w:rsid w:val="40360CD1"/>
    <w:rsid w:val="40361D66"/>
    <w:rsid w:val="404C1EBB"/>
    <w:rsid w:val="405214DD"/>
    <w:rsid w:val="406060C3"/>
    <w:rsid w:val="40613E30"/>
    <w:rsid w:val="40736573"/>
    <w:rsid w:val="407D7357"/>
    <w:rsid w:val="408D0A8F"/>
    <w:rsid w:val="40952AB4"/>
    <w:rsid w:val="409B4A07"/>
    <w:rsid w:val="40BF6E39"/>
    <w:rsid w:val="40C25B7F"/>
    <w:rsid w:val="40F66678"/>
    <w:rsid w:val="40FA12EB"/>
    <w:rsid w:val="410A16AB"/>
    <w:rsid w:val="410E1C56"/>
    <w:rsid w:val="41123EC6"/>
    <w:rsid w:val="4120577A"/>
    <w:rsid w:val="41410E54"/>
    <w:rsid w:val="416C142E"/>
    <w:rsid w:val="41E677EA"/>
    <w:rsid w:val="41FD121E"/>
    <w:rsid w:val="421A7627"/>
    <w:rsid w:val="4233112B"/>
    <w:rsid w:val="42401E98"/>
    <w:rsid w:val="42474F8A"/>
    <w:rsid w:val="42872311"/>
    <w:rsid w:val="428B5762"/>
    <w:rsid w:val="429F3B64"/>
    <w:rsid w:val="42B64F1C"/>
    <w:rsid w:val="42D47C2B"/>
    <w:rsid w:val="42DA32B5"/>
    <w:rsid w:val="42FB45E4"/>
    <w:rsid w:val="433543AC"/>
    <w:rsid w:val="43420FE8"/>
    <w:rsid w:val="434513F0"/>
    <w:rsid w:val="43606D1A"/>
    <w:rsid w:val="4368505D"/>
    <w:rsid w:val="43702851"/>
    <w:rsid w:val="437269BA"/>
    <w:rsid w:val="437F3C65"/>
    <w:rsid w:val="43CA4F48"/>
    <w:rsid w:val="43FE78B1"/>
    <w:rsid w:val="440A7CA0"/>
    <w:rsid w:val="4424604A"/>
    <w:rsid w:val="442967DE"/>
    <w:rsid w:val="445014AB"/>
    <w:rsid w:val="44BC7E3D"/>
    <w:rsid w:val="44CE660D"/>
    <w:rsid w:val="454F0B76"/>
    <w:rsid w:val="45795008"/>
    <w:rsid w:val="4579514B"/>
    <w:rsid w:val="457E2BBE"/>
    <w:rsid w:val="457F72E8"/>
    <w:rsid w:val="45BB491C"/>
    <w:rsid w:val="45BC2C4E"/>
    <w:rsid w:val="45DE083B"/>
    <w:rsid w:val="45E076C0"/>
    <w:rsid w:val="45F36067"/>
    <w:rsid w:val="460C0745"/>
    <w:rsid w:val="463122D8"/>
    <w:rsid w:val="4632053D"/>
    <w:rsid w:val="46577675"/>
    <w:rsid w:val="4662415A"/>
    <w:rsid w:val="4662498C"/>
    <w:rsid w:val="466E26B2"/>
    <w:rsid w:val="46A022D9"/>
    <w:rsid w:val="46A9554B"/>
    <w:rsid w:val="46B21457"/>
    <w:rsid w:val="46BE1A6C"/>
    <w:rsid w:val="46BE6647"/>
    <w:rsid w:val="46EE3897"/>
    <w:rsid w:val="471B3499"/>
    <w:rsid w:val="4730142A"/>
    <w:rsid w:val="478E4BD2"/>
    <w:rsid w:val="47D84DCE"/>
    <w:rsid w:val="47DD756D"/>
    <w:rsid w:val="48037A8A"/>
    <w:rsid w:val="48057880"/>
    <w:rsid w:val="48150BC3"/>
    <w:rsid w:val="48377D23"/>
    <w:rsid w:val="486634EE"/>
    <w:rsid w:val="487E46E3"/>
    <w:rsid w:val="48807890"/>
    <w:rsid w:val="48A64B98"/>
    <w:rsid w:val="48A71804"/>
    <w:rsid w:val="48B30830"/>
    <w:rsid w:val="48BC156D"/>
    <w:rsid w:val="48DF62C3"/>
    <w:rsid w:val="48F765BE"/>
    <w:rsid w:val="490445F2"/>
    <w:rsid w:val="49320F23"/>
    <w:rsid w:val="49A10911"/>
    <w:rsid w:val="49DD73AE"/>
    <w:rsid w:val="49F95BD6"/>
    <w:rsid w:val="4A0C7375"/>
    <w:rsid w:val="4A194AA5"/>
    <w:rsid w:val="4A2710F3"/>
    <w:rsid w:val="4A4934DE"/>
    <w:rsid w:val="4AA73240"/>
    <w:rsid w:val="4AB72272"/>
    <w:rsid w:val="4AD703A4"/>
    <w:rsid w:val="4AF6713D"/>
    <w:rsid w:val="4B305E1B"/>
    <w:rsid w:val="4B5D2E40"/>
    <w:rsid w:val="4BA62BA7"/>
    <w:rsid w:val="4BB92D8E"/>
    <w:rsid w:val="4BBB7216"/>
    <w:rsid w:val="4BD07B58"/>
    <w:rsid w:val="4BD45833"/>
    <w:rsid w:val="4BE87BA5"/>
    <w:rsid w:val="4C3176AB"/>
    <w:rsid w:val="4C415DC1"/>
    <w:rsid w:val="4C571AC7"/>
    <w:rsid w:val="4C6E278E"/>
    <w:rsid w:val="4C917B20"/>
    <w:rsid w:val="4CE45067"/>
    <w:rsid w:val="4CFF538B"/>
    <w:rsid w:val="4D2A4B22"/>
    <w:rsid w:val="4D471EEE"/>
    <w:rsid w:val="4D4D7800"/>
    <w:rsid w:val="4D7251FF"/>
    <w:rsid w:val="4DDB4948"/>
    <w:rsid w:val="4DE50C0B"/>
    <w:rsid w:val="4DF831B6"/>
    <w:rsid w:val="4E11105D"/>
    <w:rsid w:val="4E16225A"/>
    <w:rsid w:val="4E253AB8"/>
    <w:rsid w:val="4E472C92"/>
    <w:rsid w:val="4E824D97"/>
    <w:rsid w:val="4E9D5C2D"/>
    <w:rsid w:val="4EBA57C1"/>
    <w:rsid w:val="4EC8768D"/>
    <w:rsid w:val="4EEB58EF"/>
    <w:rsid w:val="4EFE6975"/>
    <w:rsid w:val="4F047E0A"/>
    <w:rsid w:val="4F477F24"/>
    <w:rsid w:val="4FA91AAC"/>
    <w:rsid w:val="4FBD0FF5"/>
    <w:rsid w:val="4FC82B2E"/>
    <w:rsid w:val="4FC854D7"/>
    <w:rsid w:val="50142DE1"/>
    <w:rsid w:val="5015687B"/>
    <w:rsid w:val="501926CA"/>
    <w:rsid w:val="503109FF"/>
    <w:rsid w:val="503E7F87"/>
    <w:rsid w:val="504544C8"/>
    <w:rsid w:val="505E3D68"/>
    <w:rsid w:val="506F5953"/>
    <w:rsid w:val="50C2531E"/>
    <w:rsid w:val="50D13748"/>
    <w:rsid w:val="516A440A"/>
    <w:rsid w:val="51BA5A6F"/>
    <w:rsid w:val="51C42E16"/>
    <w:rsid w:val="51E5538B"/>
    <w:rsid w:val="520D6221"/>
    <w:rsid w:val="520F2153"/>
    <w:rsid w:val="52231B60"/>
    <w:rsid w:val="525351F4"/>
    <w:rsid w:val="525A6FBC"/>
    <w:rsid w:val="526C0997"/>
    <w:rsid w:val="52855A65"/>
    <w:rsid w:val="52E44E05"/>
    <w:rsid w:val="53311AB3"/>
    <w:rsid w:val="53317F44"/>
    <w:rsid w:val="533D33D1"/>
    <w:rsid w:val="53511F1B"/>
    <w:rsid w:val="5353295D"/>
    <w:rsid w:val="53670B33"/>
    <w:rsid w:val="5375359C"/>
    <w:rsid w:val="537735FB"/>
    <w:rsid w:val="53775B6A"/>
    <w:rsid w:val="538F5737"/>
    <w:rsid w:val="53D43855"/>
    <w:rsid w:val="53D6214F"/>
    <w:rsid w:val="53EE1101"/>
    <w:rsid w:val="53FC4E8E"/>
    <w:rsid w:val="54124933"/>
    <w:rsid w:val="541717DC"/>
    <w:rsid w:val="54271D5C"/>
    <w:rsid w:val="54976AA9"/>
    <w:rsid w:val="549A3F89"/>
    <w:rsid w:val="54A022DD"/>
    <w:rsid w:val="54DE0134"/>
    <w:rsid w:val="553C46BA"/>
    <w:rsid w:val="55494082"/>
    <w:rsid w:val="555F54CC"/>
    <w:rsid w:val="557D5B60"/>
    <w:rsid w:val="55834A19"/>
    <w:rsid w:val="55AC4474"/>
    <w:rsid w:val="55CF743F"/>
    <w:rsid w:val="55F27046"/>
    <w:rsid w:val="55F526C6"/>
    <w:rsid w:val="56066DC9"/>
    <w:rsid w:val="564E1228"/>
    <w:rsid w:val="56A6131D"/>
    <w:rsid w:val="56A82B00"/>
    <w:rsid w:val="56BC5AD0"/>
    <w:rsid w:val="56D00C68"/>
    <w:rsid w:val="57022BD1"/>
    <w:rsid w:val="57212B27"/>
    <w:rsid w:val="572809C2"/>
    <w:rsid w:val="57480C4D"/>
    <w:rsid w:val="574C27F3"/>
    <w:rsid w:val="57895A45"/>
    <w:rsid w:val="57B30CDA"/>
    <w:rsid w:val="57C5313B"/>
    <w:rsid w:val="57D807D4"/>
    <w:rsid w:val="57EA7969"/>
    <w:rsid w:val="57F740F4"/>
    <w:rsid w:val="57FA3D86"/>
    <w:rsid w:val="58750691"/>
    <w:rsid w:val="58AB575D"/>
    <w:rsid w:val="58BC728D"/>
    <w:rsid w:val="58DD0763"/>
    <w:rsid w:val="58EA22FF"/>
    <w:rsid w:val="58EB59C1"/>
    <w:rsid w:val="593D5DD4"/>
    <w:rsid w:val="59445F91"/>
    <w:rsid w:val="59815208"/>
    <w:rsid w:val="5993057B"/>
    <w:rsid w:val="59A64B68"/>
    <w:rsid w:val="59F001A4"/>
    <w:rsid w:val="5A172DBD"/>
    <w:rsid w:val="5A1E2DE7"/>
    <w:rsid w:val="5A20427A"/>
    <w:rsid w:val="5A331DE9"/>
    <w:rsid w:val="5A395FB6"/>
    <w:rsid w:val="5A436A2D"/>
    <w:rsid w:val="5A9833A8"/>
    <w:rsid w:val="5AA24261"/>
    <w:rsid w:val="5AAC047B"/>
    <w:rsid w:val="5AC3505E"/>
    <w:rsid w:val="5B0A066E"/>
    <w:rsid w:val="5B123FA7"/>
    <w:rsid w:val="5B5E18A4"/>
    <w:rsid w:val="5B613C0E"/>
    <w:rsid w:val="5B955E96"/>
    <w:rsid w:val="5B9B3675"/>
    <w:rsid w:val="5BA26571"/>
    <w:rsid w:val="5BCA6564"/>
    <w:rsid w:val="5BD66D67"/>
    <w:rsid w:val="5BFE7E52"/>
    <w:rsid w:val="5C107D40"/>
    <w:rsid w:val="5C1E3775"/>
    <w:rsid w:val="5C381264"/>
    <w:rsid w:val="5C672644"/>
    <w:rsid w:val="5C8132C7"/>
    <w:rsid w:val="5CA23A25"/>
    <w:rsid w:val="5CC26330"/>
    <w:rsid w:val="5CD67F41"/>
    <w:rsid w:val="5CDF760E"/>
    <w:rsid w:val="5D017C51"/>
    <w:rsid w:val="5D4165A3"/>
    <w:rsid w:val="5D463591"/>
    <w:rsid w:val="5D4F2A78"/>
    <w:rsid w:val="5D570A59"/>
    <w:rsid w:val="5D792AE4"/>
    <w:rsid w:val="5DC25C67"/>
    <w:rsid w:val="5DD97571"/>
    <w:rsid w:val="5E2F58D3"/>
    <w:rsid w:val="5E5A06FD"/>
    <w:rsid w:val="5E804715"/>
    <w:rsid w:val="5E87201D"/>
    <w:rsid w:val="5E9342EC"/>
    <w:rsid w:val="5EA27CF7"/>
    <w:rsid w:val="5EBC3C1E"/>
    <w:rsid w:val="5F3815EE"/>
    <w:rsid w:val="5F5C32D6"/>
    <w:rsid w:val="5FB10E83"/>
    <w:rsid w:val="5FBD7995"/>
    <w:rsid w:val="5FFD96AC"/>
    <w:rsid w:val="600E788A"/>
    <w:rsid w:val="60173C67"/>
    <w:rsid w:val="60206354"/>
    <w:rsid w:val="604130CF"/>
    <w:rsid w:val="60663C94"/>
    <w:rsid w:val="60794FD4"/>
    <w:rsid w:val="60814FEF"/>
    <w:rsid w:val="60946411"/>
    <w:rsid w:val="60AE4E89"/>
    <w:rsid w:val="60BA0556"/>
    <w:rsid w:val="60D32F5A"/>
    <w:rsid w:val="610E2B4C"/>
    <w:rsid w:val="613E3956"/>
    <w:rsid w:val="619945D7"/>
    <w:rsid w:val="61C210E3"/>
    <w:rsid w:val="61C24BFD"/>
    <w:rsid w:val="61DE43D4"/>
    <w:rsid w:val="61E06967"/>
    <w:rsid w:val="61ED083B"/>
    <w:rsid w:val="624216A0"/>
    <w:rsid w:val="626343A0"/>
    <w:rsid w:val="626736F9"/>
    <w:rsid w:val="626B4082"/>
    <w:rsid w:val="626B6B00"/>
    <w:rsid w:val="628E1BE9"/>
    <w:rsid w:val="62C126EC"/>
    <w:rsid w:val="62D06FF9"/>
    <w:rsid w:val="62D765EB"/>
    <w:rsid w:val="63073739"/>
    <w:rsid w:val="636B22CC"/>
    <w:rsid w:val="636C198B"/>
    <w:rsid w:val="63B514A9"/>
    <w:rsid w:val="63B65AC7"/>
    <w:rsid w:val="63D7428B"/>
    <w:rsid w:val="64002DAD"/>
    <w:rsid w:val="640C4C0D"/>
    <w:rsid w:val="643B5584"/>
    <w:rsid w:val="645830D7"/>
    <w:rsid w:val="64675414"/>
    <w:rsid w:val="647258C3"/>
    <w:rsid w:val="64763CBE"/>
    <w:rsid w:val="64AA2E73"/>
    <w:rsid w:val="64B8434A"/>
    <w:rsid w:val="64C5008F"/>
    <w:rsid w:val="64E8446E"/>
    <w:rsid w:val="64F9CCE6"/>
    <w:rsid w:val="651B5828"/>
    <w:rsid w:val="652E0568"/>
    <w:rsid w:val="65376B47"/>
    <w:rsid w:val="654042F5"/>
    <w:rsid w:val="656517ED"/>
    <w:rsid w:val="65E44DFA"/>
    <w:rsid w:val="65F66C79"/>
    <w:rsid w:val="660447CA"/>
    <w:rsid w:val="665622BC"/>
    <w:rsid w:val="66653739"/>
    <w:rsid w:val="666C4EE6"/>
    <w:rsid w:val="66792487"/>
    <w:rsid w:val="66FB0FDC"/>
    <w:rsid w:val="66FC5AFF"/>
    <w:rsid w:val="6709462E"/>
    <w:rsid w:val="6777196F"/>
    <w:rsid w:val="678A1ED0"/>
    <w:rsid w:val="67AB61F8"/>
    <w:rsid w:val="67BA7741"/>
    <w:rsid w:val="67E6170C"/>
    <w:rsid w:val="67ED1BBE"/>
    <w:rsid w:val="680D0CA5"/>
    <w:rsid w:val="681A3FD0"/>
    <w:rsid w:val="686C7F9F"/>
    <w:rsid w:val="68A45648"/>
    <w:rsid w:val="68A5668C"/>
    <w:rsid w:val="68BD44C2"/>
    <w:rsid w:val="68D27297"/>
    <w:rsid w:val="6911241F"/>
    <w:rsid w:val="69B55D5F"/>
    <w:rsid w:val="69B67115"/>
    <w:rsid w:val="69B82DF4"/>
    <w:rsid w:val="69EF53B4"/>
    <w:rsid w:val="69FB8724"/>
    <w:rsid w:val="6A126DD2"/>
    <w:rsid w:val="6A420E56"/>
    <w:rsid w:val="6A924E32"/>
    <w:rsid w:val="6A94008C"/>
    <w:rsid w:val="6AC635A8"/>
    <w:rsid w:val="6AE60947"/>
    <w:rsid w:val="6AEF6EB8"/>
    <w:rsid w:val="6AFD0629"/>
    <w:rsid w:val="6B0B374F"/>
    <w:rsid w:val="6B0E6D92"/>
    <w:rsid w:val="6B17074E"/>
    <w:rsid w:val="6B1F0CCB"/>
    <w:rsid w:val="6B5D6479"/>
    <w:rsid w:val="6B6234E5"/>
    <w:rsid w:val="6BA67A32"/>
    <w:rsid w:val="6BBD11F5"/>
    <w:rsid w:val="6BC31279"/>
    <w:rsid w:val="6BCE1834"/>
    <w:rsid w:val="6BD12800"/>
    <w:rsid w:val="6C022DB1"/>
    <w:rsid w:val="6C1B1096"/>
    <w:rsid w:val="6C5E02FC"/>
    <w:rsid w:val="6C721812"/>
    <w:rsid w:val="6C8B0F52"/>
    <w:rsid w:val="6CDD0DD0"/>
    <w:rsid w:val="6CFA7DB1"/>
    <w:rsid w:val="6D0127E4"/>
    <w:rsid w:val="6D135E16"/>
    <w:rsid w:val="6D1C168A"/>
    <w:rsid w:val="6D347A31"/>
    <w:rsid w:val="6D3668DD"/>
    <w:rsid w:val="6D471CAB"/>
    <w:rsid w:val="6D70425D"/>
    <w:rsid w:val="6DAC0977"/>
    <w:rsid w:val="6DB941BD"/>
    <w:rsid w:val="6DC60F63"/>
    <w:rsid w:val="6DF11063"/>
    <w:rsid w:val="6E4C770B"/>
    <w:rsid w:val="6E5F1098"/>
    <w:rsid w:val="6E6F2793"/>
    <w:rsid w:val="6E703D8E"/>
    <w:rsid w:val="6E84323D"/>
    <w:rsid w:val="6E942A76"/>
    <w:rsid w:val="6EA41FA2"/>
    <w:rsid w:val="6EB44AD4"/>
    <w:rsid w:val="6F313FE8"/>
    <w:rsid w:val="6F332D93"/>
    <w:rsid w:val="6F381CAC"/>
    <w:rsid w:val="6F6128C1"/>
    <w:rsid w:val="6F9C6902"/>
    <w:rsid w:val="6F9E6156"/>
    <w:rsid w:val="6FA0729C"/>
    <w:rsid w:val="70100CA2"/>
    <w:rsid w:val="70393572"/>
    <w:rsid w:val="706E27A1"/>
    <w:rsid w:val="70A24D48"/>
    <w:rsid w:val="70BA64EF"/>
    <w:rsid w:val="70C900DF"/>
    <w:rsid w:val="70F80524"/>
    <w:rsid w:val="710A2419"/>
    <w:rsid w:val="710E65A0"/>
    <w:rsid w:val="71326D32"/>
    <w:rsid w:val="714C2CD0"/>
    <w:rsid w:val="715A596A"/>
    <w:rsid w:val="717C247D"/>
    <w:rsid w:val="717F26E4"/>
    <w:rsid w:val="71816B8E"/>
    <w:rsid w:val="71832D29"/>
    <w:rsid w:val="71907818"/>
    <w:rsid w:val="71B252F9"/>
    <w:rsid w:val="71E95916"/>
    <w:rsid w:val="71FA3967"/>
    <w:rsid w:val="7203413E"/>
    <w:rsid w:val="72191ED0"/>
    <w:rsid w:val="7250588C"/>
    <w:rsid w:val="726F5278"/>
    <w:rsid w:val="727E786A"/>
    <w:rsid w:val="72887FD4"/>
    <w:rsid w:val="72A36D31"/>
    <w:rsid w:val="72BD0544"/>
    <w:rsid w:val="72C0472D"/>
    <w:rsid w:val="72D11D5C"/>
    <w:rsid w:val="72E4193A"/>
    <w:rsid w:val="72E85DAD"/>
    <w:rsid w:val="72F46935"/>
    <w:rsid w:val="732303D9"/>
    <w:rsid w:val="734979C3"/>
    <w:rsid w:val="73532CC9"/>
    <w:rsid w:val="73B928EF"/>
    <w:rsid w:val="73D73D11"/>
    <w:rsid w:val="744975DD"/>
    <w:rsid w:val="74610332"/>
    <w:rsid w:val="746920A5"/>
    <w:rsid w:val="74AE06FF"/>
    <w:rsid w:val="74CB1EDB"/>
    <w:rsid w:val="74DE73F5"/>
    <w:rsid w:val="7517095A"/>
    <w:rsid w:val="751E77AF"/>
    <w:rsid w:val="753F0678"/>
    <w:rsid w:val="757A6A57"/>
    <w:rsid w:val="75D07F8B"/>
    <w:rsid w:val="75EE5669"/>
    <w:rsid w:val="76002426"/>
    <w:rsid w:val="76957051"/>
    <w:rsid w:val="76BD4232"/>
    <w:rsid w:val="76C10199"/>
    <w:rsid w:val="76C57BCB"/>
    <w:rsid w:val="76D474B3"/>
    <w:rsid w:val="76F927CD"/>
    <w:rsid w:val="772F78A5"/>
    <w:rsid w:val="773B2934"/>
    <w:rsid w:val="773E064E"/>
    <w:rsid w:val="774E1211"/>
    <w:rsid w:val="777B71D8"/>
    <w:rsid w:val="77A460F8"/>
    <w:rsid w:val="77A54D53"/>
    <w:rsid w:val="77AB25AD"/>
    <w:rsid w:val="77D75F2B"/>
    <w:rsid w:val="77F05280"/>
    <w:rsid w:val="77FC6767"/>
    <w:rsid w:val="781A0BEC"/>
    <w:rsid w:val="78202415"/>
    <w:rsid w:val="78213FC9"/>
    <w:rsid w:val="78701D9C"/>
    <w:rsid w:val="78F531E6"/>
    <w:rsid w:val="78F9F6D3"/>
    <w:rsid w:val="78FA0671"/>
    <w:rsid w:val="793A634F"/>
    <w:rsid w:val="797A5A56"/>
    <w:rsid w:val="798635EB"/>
    <w:rsid w:val="79A50AB9"/>
    <w:rsid w:val="79A5750A"/>
    <w:rsid w:val="79ED0DA8"/>
    <w:rsid w:val="7A0C1011"/>
    <w:rsid w:val="7A0E7A81"/>
    <w:rsid w:val="7A321CDB"/>
    <w:rsid w:val="7A567B6E"/>
    <w:rsid w:val="7A6E32C8"/>
    <w:rsid w:val="7AB0113D"/>
    <w:rsid w:val="7AC900CF"/>
    <w:rsid w:val="7B052FBD"/>
    <w:rsid w:val="7B2F54B5"/>
    <w:rsid w:val="7B5A5A6C"/>
    <w:rsid w:val="7B5C250E"/>
    <w:rsid w:val="7B6D0F87"/>
    <w:rsid w:val="7B72691F"/>
    <w:rsid w:val="7B783FD8"/>
    <w:rsid w:val="7B9A3DB8"/>
    <w:rsid w:val="7BA113AB"/>
    <w:rsid w:val="7BD52290"/>
    <w:rsid w:val="7BD568A0"/>
    <w:rsid w:val="7BE22960"/>
    <w:rsid w:val="7BF20E1E"/>
    <w:rsid w:val="7BFF70BE"/>
    <w:rsid w:val="7C5728ED"/>
    <w:rsid w:val="7C9408F4"/>
    <w:rsid w:val="7CB83597"/>
    <w:rsid w:val="7CB90CC2"/>
    <w:rsid w:val="7CC752E0"/>
    <w:rsid w:val="7CFB2CE9"/>
    <w:rsid w:val="7CFBCE9D"/>
    <w:rsid w:val="7D0C34C4"/>
    <w:rsid w:val="7D212CA5"/>
    <w:rsid w:val="7D255EE2"/>
    <w:rsid w:val="7D293184"/>
    <w:rsid w:val="7D4B3EE6"/>
    <w:rsid w:val="7D6112EF"/>
    <w:rsid w:val="7D68620F"/>
    <w:rsid w:val="7D69777E"/>
    <w:rsid w:val="7D6FB106"/>
    <w:rsid w:val="7D752C5B"/>
    <w:rsid w:val="7D927DC0"/>
    <w:rsid w:val="7D932CD8"/>
    <w:rsid w:val="7DB34706"/>
    <w:rsid w:val="7E1A0A9F"/>
    <w:rsid w:val="7E3C401A"/>
    <w:rsid w:val="7E641213"/>
    <w:rsid w:val="7EA7EB6C"/>
    <w:rsid w:val="7EB859C9"/>
    <w:rsid w:val="7ECB4935"/>
    <w:rsid w:val="7EE33139"/>
    <w:rsid w:val="7EEBD690"/>
    <w:rsid w:val="7EF34773"/>
    <w:rsid w:val="7F0D08DC"/>
    <w:rsid w:val="7F173D26"/>
    <w:rsid w:val="7F666017"/>
    <w:rsid w:val="7F6FBE70"/>
    <w:rsid w:val="7F714EE5"/>
    <w:rsid w:val="7F765549"/>
    <w:rsid w:val="7F7F2734"/>
    <w:rsid w:val="7FA63F96"/>
    <w:rsid w:val="7FB6A9B1"/>
    <w:rsid w:val="7FB9287C"/>
    <w:rsid w:val="7FC32F20"/>
    <w:rsid w:val="7FCC47FD"/>
    <w:rsid w:val="7FD31973"/>
    <w:rsid w:val="7FE15B01"/>
    <w:rsid w:val="7FFB1B6E"/>
    <w:rsid w:val="9D99BE20"/>
    <w:rsid w:val="C6F5E4F8"/>
    <w:rsid w:val="DCE705B6"/>
    <w:rsid w:val="DE35E862"/>
    <w:rsid w:val="DF77D5E2"/>
    <w:rsid w:val="DFE64E7C"/>
    <w:rsid w:val="F76F081C"/>
    <w:rsid w:val="F7B3F097"/>
    <w:rsid w:val="F7BF1B7E"/>
    <w:rsid w:val="F7E80245"/>
    <w:rsid w:val="FFDF12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8"/>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7"/>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2"/>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9"/>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9"/>
    <w:qFormat/>
    <w:uiPriority w:val="99"/>
    <w:pPr>
      <w:ind w:firstLine="420" w:firstLineChars="200"/>
    </w:p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76"/>
    <w:qFormat/>
    <w:uiPriority w:val="0"/>
    <w:pPr>
      <w:shd w:val="clear" w:color="auto" w:fill="000080"/>
    </w:pPr>
    <w:rPr>
      <w:kern w:val="0"/>
      <w:sz w:val="20"/>
    </w:rPr>
  </w:style>
  <w:style w:type="paragraph" w:styleId="16">
    <w:name w:val="annotation text"/>
    <w:basedOn w:val="1"/>
    <w:link w:val="58"/>
    <w:unhideWhenUsed/>
    <w:qFormat/>
    <w:uiPriority w:val="99"/>
    <w:pPr>
      <w:jc w:val="left"/>
    </w:pPr>
    <w:rPr>
      <w:kern w:val="0"/>
      <w:sz w:val="20"/>
    </w:rPr>
  </w:style>
  <w:style w:type="paragraph" w:styleId="17">
    <w:name w:val="Body Text 3"/>
    <w:basedOn w:val="1"/>
    <w:link w:val="62"/>
    <w:qFormat/>
    <w:uiPriority w:val="0"/>
    <w:rPr>
      <w:rFonts w:ascii="宋体"/>
      <w:kern w:val="0"/>
      <w:sz w:val="24"/>
      <w:szCs w:val="20"/>
    </w:rPr>
  </w:style>
  <w:style w:type="paragraph" w:styleId="18">
    <w:name w:val="Body Text"/>
    <w:basedOn w:val="1"/>
    <w:next w:val="1"/>
    <w:link w:val="65"/>
    <w:qFormat/>
    <w:uiPriority w:val="0"/>
    <w:pPr>
      <w:spacing w:after="120"/>
    </w:pPr>
    <w:rPr>
      <w:kern w:val="0"/>
      <w:sz w:val="20"/>
    </w:rPr>
  </w:style>
  <w:style w:type="paragraph" w:styleId="19">
    <w:name w:val="Body Text Indent"/>
    <w:basedOn w:val="1"/>
    <w:next w:val="1"/>
    <w:link w:val="75"/>
    <w:qFormat/>
    <w:uiPriority w:val="0"/>
    <w:pPr>
      <w:spacing w:after="120"/>
      <w:ind w:left="420" w:leftChars="200"/>
    </w:pPr>
    <w:rPr>
      <w:kern w:val="0"/>
      <w:sz w:val="20"/>
    </w:r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toc 5"/>
    <w:basedOn w:val="1"/>
    <w:next w:val="1"/>
    <w:qFormat/>
    <w:uiPriority w:val="39"/>
    <w:pPr>
      <w:ind w:left="840"/>
      <w:jc w:val="left"/>
    </w:pPr>
    <w:rPr>
      <w:rFonts w:ascii="Calibri" w:hAnsi="Calibri"/>
      <w:sz w:val="18"/>
      <w:szCs w:val="18"/>
    </w:rPr>
  </w:style>
  <w:style w:type="paragraph" w:styleId="22">
    <w:name w:val="toc 3"/>
    <w:basedOn w:val="1"/>
    <w:next w:val="1"/>
    <w:qFormat/>
    <w:uiPriority w:val="39"/>
    <w:pPr>
      <w:ind w:left="420"/>
      <w:jc w:val="left"/>
    </w:pPr>
    <w:rPr>
      <w:rFonts w:ascii="Calibri" w:hAnsi="Calibri"/>
      <w:i/>
      <w:iCs/>
      <w:sz w:val="20"/>
      <w:szCs w:val="20"/>
    </w:rPr>
  </w:style>
  <w:style w:type="paragraph" w:styleId="23">
    <w:name w:val="Plain Text"/>
    <w:basedOn w:val="1"/>
    <w:link w:val="98"/>
    <w:qFormat/>
    <w:uiPriority w:val="99"/>
    <w:rPr>
      <w:rFonts w:ascii="Courier New" w:hAnsi="Courier New"/>
      <w:kern w:val="0"/>
      <w:sz w:val="20"/>
      <w:szCs w:val="20"/>
    </w:rPr>
  </w:style>
  <w:style w:type="paragraph" w:styleId="24">
    <w:name w:val="toc 8"/>
    <w:basedOn w:val="1"/>
    <w:next w:val="1"/>
    <w:qFormat/>
    <w:uiPriority w:val="39"/>
    <w:pPr>
      <w:ind w:left="1470"/>
      <w:jc w:val="left"/>
    </w:pPr>
    <w:rPr>
      <w:rFonts w:ascii="Calibri" w:hAnsi="Calibri"/>
      <w:sz w:val="18"/>
      <w:szCs w:val="18"/>
    </w:rPr>
  </w:style>
  <w:style w:type="paragraph" w:styleId="25">
    <w:name w:val="Date"/>
    <w:basedOn w:val="1"/>
    <w:next w:val="1"/>
    <w:link w:val="82"/>
    <w:qFormat/>
    <w:uiPriority w:val="0"/>
    <w:rPr>
      <w:kern w:val="0"/>
      <w:sz w:val="24"/>
      <w:szCs w:val="20"/>
    </w:rPr>
  </w:style>
  <w:style w:type="paragraph" w:styleId="26">
    <w:name w:val="Body Text Indent 2"/>
    <w:basedOn w:val="1"/>
    <w:qFormat/>
    <w:uiPriority w:val="0"/>
    <w:pPr>
      <w:spacing w:after="120" w:line="480" w:lineRule="auto"/>
      <w:ind w:left="420" w:leftChars="200"/>
    </w:pPr>
  </w:style>
  <w:style w:type="paragraph" w:styleId="27">
    <w:name w:val="Balloon Text"/>
    <w:basedOn w:val="1"/>
    <w:link w:val="80"/>
    <w:qFormat/>
    <w:uiPriority w:val="0"/>
    <w:rPr>
      <w:kern w:val="0"/>
      <w:sz w:val="18"/>
      <w:szCs w:val="18"/>
    </w:rPr>
  </w:style>
  <w:style w:type="paragraph" w:styleId="28">
    <w:name w:val="footer"/>
    <w:basedOn w:val="1"/>
    <w:link w:val="94"/>
    <w:qFormat/>
    <w:uiPriority w:val="99"/>
    <w:pPr>
      <w:tabs>
        <w:tab w:val="center" w:pos="4153"/>
        <w:tab w:val="right" w:pos="8306"/>
      </w:tabs>
      <w:snapToGrid w:val="0"/>
      <w:jc w:val="left"/>
    </w:pPr>
    <w:rPr>
      <w:kern w:val="0"/>
      <w:sz w:val="18"/>
      <w:szCs w:val="18"/>
    </w:rPr>
  </w:style>
  <w:style w:type="paragraph" w:styleId="29">
    <w:name w:val="header"/>
    <w:basedOn w:val="1"/>
    <w:link w:val="72"/>
    <w:qFormat/>
    <w:uiPriority w:val="0"/>
    <w:pPr>
      <w:pBdr>
        <w:bottom w:val="single" w:color="auto" w:sz="6" w:space="1"/>
      </w:pBdr>
      <w:tabs>
        <w:tab w:val="center" w:pos="4153"/>
        <w:tab w:val="right" w:pos="8306"/>
      </w:tabs>
      <w:snapToGrid w:val="0"/>
      <w:jc w:val="center"/>
    </w:pPr>
    <w:rPr>
      <w:kern w:val="0"/>
      <w:sz w:val="18"/>
      <w:szCs w:val="18"/>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6"/>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6"/>
    <w:qFormat/>
    <w:uiPriority w:val="0"/>
    <w:pPr>
      <w:spacing w:after="120"/>
      <w:ind w:left="420" w:leftChars="200"/>
    </w:pPr>
    <w:rPr>
      <w:kern w:val="0"/>
      <w:sz w:val="16"/>
      <w:szCs w:val="16"/>
    </w:rPr>
  </w:style>
  <w:style w:type="paragraph" w:styleId="34">
    <w:name w:val="table of figures"/>
    <w:basedOn w:val="1"/>
    <w:next w:val="1"/>
    <w:qFormat/>
    <w:uiPriority w:val="0"/>
    <w:pPr>
      <w:ind w:left="200"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index 1"/>
    <w:basedOn w:val="1"/>
    <w:next w:val="1"/>
    <w:semiHidden/>
    <w:qFormat/>
    <w:uiPriority w:val="0"/>
    <w:pPr>
      <w:spacing w:line="360" w:lineRule="auto"/>
      <w:jc w:val="center"/>
    </w:pPr>
    <w:rPr>
      <w:rFonts w:ascii="宋体" w:hAnsi="Arial" w:cs="Arial"/>
      <w:b/>
      <w:color w:val="000000"/>
      <w:sz w:val="24"/>
    </w:rPr>
  </w:style>
  <w:style w:type="paragraph" w:styleId="40">
    <w:name w:val="Title"/>
    <w:basedOn w:val="1"/>
    <w:link w:val="79"/>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6"/>
    <w:next w:val="16"/>
    <w:link w:val="68"/>
    <w:qFormat/>
    <w:uiPriority w:val="0"/>
    <w:rPr>
      <w:b/>
      <w:bCs/>
    </w:rPr>
  </w:style>
  <w:style w:type="paragraph" w:styleId="42">
    <w:name w:val="Body Text First Indent"/>
    <w:basedOn w:val="18"/>
    <w:qFormat/>
    <w:uiPriority w:val="0"/>
    <w:pPr>
      <w:adjustRightInd w:val="0"/>
      <w:spacing w:line="275" w:lineRule="atLeast"/>
      <w:ind w:firstLine="420"/>
      <w:textAlignment w:val="baseline"/>
    </w:pPr>
    <w:rPr>
      <w:rFonts w:ascii="宋体" w:eastAsia="楷体_GB2312"/>
      <w:sz w:val="24"/>
      <w:szCs w:val="20"/>
    </w:rPr>
  </w:style>
  <w:style w:type="paragraph" w:styleId="43">
    <w:name w:val="Body Text First Indent 2"/>
    <w:basedOn w:val="19"/>
    <w:unhideWhenUsed/>
    <w:qFormat/>
    <w:uiPriority w:val="0"/>
    <w:pPr>
      <w:ind w:firstLine="420"/>
    </w:pPr>
  </w:style>
  <w:style w:type="table" w:styleId="45">
    <w:name w:val="Table Grid"/>
    <w:basedOn w:val="44"/>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style>
  <w:style w:type="character" w:styleId="49">
    <w:name w:val="FollowedHyperlink"/>
    <w:basedOn w:val="46"/>
    <w:qFormat/>
    <w:uiPriority w:val="0"/>
    <w:rPr>
      <w:rFonts w:hint="default" w:ascii="Arial" w:hAnsi="Arial" w:eastAsia="Arial" w:cs="Arial"/>
      <w:color w:val="333333"/>
      <w:sz w:val="21"/>
      <w:szCs w:val="21"/>
      <w:u w:val="none"/>
    </w:rPr>
  </w:style>
  <w:style w:type="character" w:styleId="50">
    <w:name w:val="Hyperlink"/>
    <w:basedOn w:val="46"/>
    <w:qFormat/>
    <w:uiPriority w:val="99"/>
    <w:rPr>
      <w:rFonts w:ascii="Arial" w:hAnsi="Arial" w:eastAsia="Arial" w:cs="Arial"/>
      <w:color w:val="333333"/>
      <w:sz w:val="21"/>
      <w:szCs w:val="21"/>
      <w:u w:val="none"/>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character" w:customStyle="1" w:styleId="53">
    <w:name w:val="apple-style-span"/>
    <w:qFormat/>
    <w:uiPriority w:val="0"/>
    <w:rPr>
      <w:rFonts w:ascii="Verdana" w:hAnsi="Verdana" w:eastAsia="宋体"/>
      <w:sz w:val="21"/>
      <w:lang w:val="en-US" w:eastAsia="en-US" w:bidi="ar-SA"/>
    </w:rPr>
  </w:style>
  <w:style w:type="character" w:customStyle="1" w:styleId="54">
    <w:name w:val="正文文本 3 Char1"/>
    <w:semiHidden/>
    <w:qFormat/>
    <w:uiPriority w:val="99"/>
    <w:rPr>
      <w:rFonts w:ascii="Times New Roman" w:hAnsi="Times New Roman" w:eastAsia="宋体" w:cs="Times New Roman"/>
      <w:sz w:val="16"/>
      <w:szCs w:val="16"/>
    </w:rPr>
  </w:style>
  <w:style w:type="character" w:customStyle="1" w:styleId="55">
    <w:name w:val="样式 宋体"/>
    <w:qFormat/>
    <w:uiPriority w:val="0"/>
    <w:rPr>
      <w:rFonts w:ascii="Times New Roman" w:hAnsi="Times New Roman" w:eastAsia="宋体"/>
      <w:sz w:val="21"/>
    </w:rPr>
  </w:style>
  <w:style w:type="character" w:customStyle="1" w:styleId="56">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7">
    <w:name w:val="标题 3 字符"/>
    <w:link w:val="5"/>
    <w:qFormat/>
    <w:uiPriority w:val="0"/>
    <w:rPr>
      <w:rFonts w:ascii="Times New Roman" w:hAnsi="Times New Roman" w:eastAsia="宋体" w:cs="Times New Roman"/>
      <w:b/>
      <w:bCs/>
      <w:sz w:val="32"/>
      <w:szCs w:val="32"/>
    </w:rPr>
  </w:style>
  <w:style w:type="character" w:customStyle="1" w:styleId="58">
    <w:name w:val="批注文字 字符"/>
    <w:link w:val="16"/>
    <w:semiHidden/>
    <w:qFormat/>
    <w:uiPriority w:val="99"/>
    <w:rPr>
      <w:rFonts w:ascii="Times New Roman" w:hAnsi="Times New Roman" w:eastAsia="宋体" w:cs="Times New Roman"/>
      <w:szCs w:val="24"/>
    </w:rPr>
  </w:style>
  <w:style w:type="character" w:customStyle="1" w:styleId="59">
    <w:name w:val="标题 6 字符"/>
    <w:link w:val="7"/>
    <w:qFormat/>
    <w:uiPriority w:val="0"/>
    <w:rPr>
      <w:rFonts w:ascii="Arial" w:hAnsi="Arial" w:eastAsia="黑体" w:cs="Times New Roman"/>
      <w:b/>
      <w:bCs/>
      <w:kern w:val="0"/>
      <w:sz w:val="24"/>
      <w:szCs w:val="24"/>
    </w:rPr>
  </w:style>
  <w:style w:type="character" w:customStyle="1" w:styleId="60">
    <w:name w:val="Char Char8"/>
    <w:qFormat/>
    <w:uiPriority w:val="0"/>
    <w:rPr>
      <w:rFonts w:ascii="Arial" w:hAnsi="Arial" w:eastAsia="黑体"/>
      <w:b/>
      <w:bCs/>
      <w:kern w:val="2"/>
      <w:sz w:val="32"/>
      <w:szCs w:val="32"/>
      <w:lang w:val="en-US" w:eastAsia="zh-CN" w:bidi="ar-SA"/>
    </w:rPr>
  </w:style>
  <w:style w:type="character" w:customStyle="1" w:styleId="61">
    <w:name w:val="脚注文本 Char1"/>
    <w:semiHidden/>
    <w:qFormat/>
    <w:uiPriority w:val="99"/>
    <w:rPr>
      <w:rFonts w:ascii="Times New Roman" w:hAnsi="Times New Roman" w:eastAsia="宋体" w:cs="Times New Roman"/>
      <w:sz w:val="18"/>
      <w:szCs w:val="18"/>
    </w:rPr>
  </w:style>
  <w:style w:type="character" w:customStyle="1" w:styleId="62">
    <w:name w:val="正文文本 3 字符"/>
    <w:link w:val="17"/>
    <w:qFormat/>
    <w:uiPriority w:val="0"/>
    <w:rPr>
      <w:rFonts w:ascii="宋体"/>
      <w:sz w:val="24"/>
    </w:rPr>
  </w:style>
  <w:style w:type="character" w:customStyle="1" w:styleId="63">
    <w:name w:val="页脚 Char1"/>
    <w:semiHidden/>
    <w:qFormat/>
    <w:uiPriority w:val="99"/>
    <w:rPr>
      <w:rFonts w:ascii="Times New Roman" w:hAnsi="Times New Roman" w:eastAsia="宋体" w:cs="Times New Roman"/>
      <w:sz w:val="18"/>
      <w:szCs w:val="18"/>
    </w:rPr>
  </w:style>
  <w:style w:type="character" w:customStyle="1" w:styleId="64">
    <w:name w:val="标题 Char1"/>
    <w:qFormat/>
    <w:uiPriority w:val="10"/>
    <w:rPr>
      <w:rFonts w:ascii="Calibri Light" w:hAnsi="Calibri Light" w:eastAsia="宋体" w:cs="Times New Roman"/>
      <w:b/>
      <w:bCs/>
      <w:sz w:val="32"/>
      <w:szCs w:val="32"/>
    </w:rPr>
  </w:style>
  <w:style w:type="character" w:customStyle="1" w:styleId="65">
    <w:name w:val="正文文本 字符"/>
    <w:link w:val="18"/>
    <w:qFormat/>
    <w:uiPriority w:val="0"/>
    <w:rPr>
      <w:rFonts w:eastAsia="宋体"/>
      <w:szCs w:val="24"/>
    </w:rPr>
  </w:style>
  <w:style w:type="character" w:customStyle="1" w:styleId="66">
    <w:name w:val="脚注文本 字符"/>
    <w:link w:val="31"/>
    <w:qFormat/>
    <w:uiPriority w:val="0"/>
    <w:rPr>
      <w:rFonts w:eastAsia="宋体"/>
    </w:rPr>
  </w:style>
  <w:style w:type="character" w:customStyle="1" w:styleId="67">
    <w:name w:val="纯文本 Char1"/>
    <w:semiHidden/>
    <w:qFormat/>
    <w:uiPriority w:val="99"/>
    <w:rPr>
      <w:rFonts w:ascii="宋体" w:hAnsi="Courier New" w:eastAsia="宋体" w:cs="Courier New"/>
      <w:szCs w:val="21"/>
    </w:rPr>
  </w:style>
  <w:style w:type="character" w:customStyle="1" w:styleId="68">
    <w:name w:val="批注主题 字符"/>
    <w:link w:val="41"/>
    <w:qFormat/>
    <w:uiPriority w:val="0"/>
    <w:rPr>
      <w:rFonts w:ascii="Times New Roman" w:hAnsi="Times New Roman" w:eastAsia="宋体" w:cs="Times New Roman"/>
      <w:b/>
      <w:bCs/>
      <w:szCs w:val="24"/>
    </w:rPr>
  </w:style>
  <w:style w:type="character" w:customStyle="1" w:styleId="69">
    <w:name w:val="正文缩进 字符"/>
    <w:link w:val="13"/>
    <w:qFormat/>
    <w:locked/>
    <w:uiPriority w:val="0"/>
    <w:rPr>
      <w:kern w:val="2"/>
      <w:sz w:val="21"/>
      <w:szCs w:val="24"/>
    </w:rPr>
  </w:style>
  <w:style w:type="character" w:customStyle="1" w:styleId="70">
    <w:name w:val="font11"/>
    <w:qFormat/>
    <w:uiPriority w:val="0"/>
    <w:rPr>
      <w:rFonts w:hint="default" w:ascii="Times New Roman" w:hAnsi="Times New Roman" w:cs="Times New Roman"/>
      <w:color w:val="000000"/>
      <w:sz w:val="22"/>
      <w:szCs w:val="22"/>
      <w:u w:val="none"/>
    </w:rPr>
  </w:style>
  <w:style w:type="character" w:customStyle="1" w:styleId="71">
    <w:name w:val="font01"/>
    <w:qFormat/>
    <w:uiPriority w:val="0"/>
    <w:rPr>
      <w:rFonts w:hint="eastAsia" w:ascii="宋体" w:hAnsi="宋体" w:eastAsia="宋体" w:cs="宋体"/>
      <w:color w:val="000000"/>
      <w:sz w:val="22"/>
      <w:szCs w:val="22"/>
      <w:u w:val="none"/>
    </w:rPr>
  </w:style>
  <w:style w:type="character" w:customStyle="1" w:styleId="72">
    <w:name w:val="页眉 字符"/>
    <w:link w:val="29"/>
    <w:qFormat/>
    <w:uiPriority w:val="0"/>
    <w:rPr>
      <w:rFonts w:ascii="Times New Roman" w:hAnsi="Times New Roman" w:eastAsia="宋体" w:cs="Times New Roman"/>
      <w:sz w:val="18"/>
      <w:szCs w:val="18"/>
    </w:rPr>
  </w:style>
  <w:style w:type="character" w:customStyle="1" w:styleId="73">
    <w:name w:val="标题 9 字符"/>
    <w:link w:val="10"/>
    <w:qFormat/>
    <w:uiPriority w:val="0"/>
    <w:rPr>
      <w:rFonts w:ascii="Arial" w:hAnsi="Arial" w:eastAsia="黑体" w:cs="Times New Roman"/>
      <w:kern w:val="0"/>
      <w:szCs w:val="21"/>
    </w:rPr>
  </w:style>
  <w:style w:type="character" w:customStyle="1" w:styleId="74">
    <w:name w:val="标题 2 Char1"/>
    <w:qFormat/>
    <w:uiPriority w:val="0"/>
    <w:rPr>
      <w:rFonts w:ascii="Arial" w:hAnsi="Arial" w:eastAsia="黑体" w:cs="Times New Roman"/>
      <w:b/>
      <w:bCs/>
      <w:sz w:val="32"/>
      <w:szCs w:val="32"/>
      <w:lang w:val="en-US" w:eastAsia="en-US" w:bidi="ar-SA"/>
    </w:rPr>
  </w:style>
  <w:style w:type="character" w:customStyle="1" w:styleId="75">
    <w:name w:val="正文文本缩进 字符"/>
    <w:link w:val="19"/>
    <w:qFormat/>
    <w:uiPriority w:val="0"/>
    <w:rPr>
      <w:szCs w:val="24"/>
    </w:rPr>
  </w:style>
  <w:style w:type="character" w:customStyle="1" w:styleId="76">
    <w:name w:val="文档结构图 字符"/>
    <w:link w:val="15"/>
    <w:qFormat/>
    <w:uiPriority w:val="0"/>
    <w:rPr>
      <w:rFonts w:ascii="Times New Roman" w:hAnsi="Times New Roman" w:eastAsia="宋体" w:cs="Times New Roman"/>
      <w:szCs w:val="24"/>
      <w:shd w:val="clear" w:color="auto" w:fill="000080"/>
    </w:rPr>
  </w:style>
  <w:style w:type="character" w:customStyle="1" w:styleId="77">
    <w:name w:val="font161"/>
    <w:qFormat/>
    <w:uiPriority w:val="0"/>
    <w:rPr>
      <w:b/>
      <w:bCs/>
      <w:sz w:val="32"/>
      <w:szCs w:val="32"/>
    </w:rPr>
  </w:style>
  <w:style w:type="character" w:customStyle="1" w:styleId="78">
    <w:name w:val="标题 2 字符"/>
    <w:link w:val="4"/>
    <w:qFormat/>
    <w:uiPriority w:val="0"/>
    <w:rPr>
      <w:rFonts w:ascii="Arial" w:hAnsi="Arial" w:eastAsia="黑体" w:cs="Times New Roman"/>
      <w:b/>
      <w:bCs/>
      <w:sz w:val="32"/>
      <w:szCs w:val="32"/>
    </w:rPr>
  </w:style>
  <w:style w:type="character" w:customStyle="1" w:styleId="79">
    <w:name w:val="标题 字符"/>
    <w:link w:val="40"/>
    <w:qFormat/>
    <w:uiPriority w:val="0"/>
    <w:rPr>
      <w:rFonts w:ascii="Arial" w:hAnsi="Arial"/>
      <w:b/>
      <w:sz w:val="32"/>
    </w:rPr>
  </w:style>
  <w:style w:type="character" w:customStyle="1" w:styleId="80">
    <w:name w:val="批注框文本 字符"/>
    <w:link w:val="27"/>
    <w:qFormat/>
    <w:uiPriority w:val="0"/>
    <w:rPr>
      <w:rFonts w:ascii="Times New Roman" w:hAnsi="Times New Roman" w:eastAsia="宋体" w:cs="Times New Roman"/>
      <w:sz w:val="18"/>
      <w:szCs w:val="18"/>
    </w:rPr>
  </w:style>
  <w:style w:type="character" w:customStyle="1" w:styleId="81">
    <w:name w:val="标题 8 字符"/>
    <w:link w:val="9"/>
    <w:qFormat/>
    <w:uiPriority w:val="0"/>
    <w:rPr>
      <w:rFonts w:ascii="Arial" w:hAnsi="Arial" w:eastAsia="黑体" w:cs="Times New Roman"/>
      <w:kern w:val="0"/>
      <w:sz w:val="24"/>
      <w:szCs w:val="24"/>
    </w:rPr>
  </w:style>
  <w:style w:type="character" w:customStyle="1" w:styleId="82">
    <w:name w:val="日期 字符"/>
    <w:link w:val="25"/>
    <w:qFormat/>
    <w:uiPriority w:val="0"/>
    <w:rPr>
      <w:rFonts w:ascii="Times New Roman" w:hAnsi="Times New Roman" w:eastAsia="宋体" w:cs="Times New Roman"/>
      <w:sz w:val="24"/>
      <w:szCs w:val="20"/>
    </w:rPr>
  </w:style>
  <w:style w:type="character" w:customStyle="1" w:styleId="83">
    <w:name w:val="标题 1 字符"/>
    <w:link w:val="3"/>
    <w:qFormat/>
    <w:uiPriority w:val="0"/>
    <w:rPr>
      <w:rFonts w:ascii="Times New Roman" w:hAnsi="Times New Roman" w:eastAsia="宋体" w:cs="Times New Roman"/>
      <w:b/>
      <w:bCs/>
      <w:kern w:val="44"/>
      <w:sz w:val="44"/>
      <w:szCs w:val="44"/>
    </w:rPr>
  </w:style>
  <w:style w:type="character" w:customStyle="1" w:styleId="84">
    <w:name w:val="招标节 Char"/>
    <w:link w:val="85"/>
    <w:qFormat/>
    <w:locked/>
    <w:uiPriority w:val="0"/>
    <w:rPr>
      <w:b/>
      <w:sz w:val="24"/>
      <w:szCs w:val="24"/>
    </w:rPr>
  </w:style>
  <w:style w:type="paragraph" w:customStyle="1" w:styleId="85">
    <w:name w:val="招标节"/>
    <w:basedOn w:val="1"/>
    <w:next w:val="1"/>
    <w:link w:val="84"/>
    <w:qFormat/>
    <w:uiPriority w:val="0"/>
    <w:pPr>
      <w:spacing w:beforeLines="50" w:afterLines="50"/>
      <w:outlineLvl w:val="1"/>
    </w:pPr>
    <w:rPr>
      <w:b/>
      <w:kern w:val="0"/>
      <w:sz w:val="24"/>
    </w:rPr>
  </w:style>
  <w:style w:type="character" w:customStyle="1" w:styleId="86">
    <w:name w:val="正文文本缩进 3 字符"/>
    <w:link w:val="33"/>
    <w:qFormat/>
    <w:uiPriority w:val="0"/>
    <w:rPr>
      <w:rFonts w:ascii="Times New Roman" w:hAnsi="Times New Roman" w:eastAsia="宋体" w:cs="Times New Roman"/>
      <w:sz w:val="16"/>
      <w:szCs w:val="16"/>
    </w:rPr>
  </w:style>
  <w:style w:type="character" w:customStyle="1" w:styleId="87">
    <w:name w:val="tpc_content1"/>
    <w:qFormat/>
    <w:uiPriority w:val="0"/>
    <w:rPr>
      <w:sz w:val="20"/>
      <w:szCs w:val="20"/>
    </w:rPr>
  </w:style>
  <w:style w:type="character" w:customStyle="1" w:styleId="88">
    <w:name w:val="Char Char"/>
    <w:qFormat/>
    <w:uiPriority w:val="0"/>
    <w:rPr>
      <w:rFonts w:ascii="Arial" w:hAnsi="Arial" w:eastAsia="黑体"/>
      <w:b/>
      <w:bCs/>
      <w:kern w:val="2"/>
      <w:sz w:val="32"/>
      <w:szCs w:val="32"/>
      <w:lang w:val="en-US" w:eastAsia="zh-CN" w:bidi="ar-SA"/>
    </w:rPr>
  </w:style>
  <w:style w:type="character" w:customStyle="1" w:styleId="89">
    <w:name w:val="正文文本 Char1"/>
    <w:semiHidden/>
    <w:qFormat/>
    <w:uiPriority w:val="99"/>
    <w:rPr>
      <w:rFonts w:ascii="Times New Roman" w:hAnsi="Times New Roman" w:eastAsia="宋体" w:cs="Times New Roman"/>
      <w:szCs w:val="24"/>
    </w:rPr>
  </w:style>
  <w:style w:type="character" w:customStyle="1" w:styleId="90">
    <w:name w:val="Char Char2"/>
    <w:qFormat/>
    <w:uiPriority w:val="0"/>
    <w:rPr>
      <w:rFonts w:eastAsia="宋体"/>
      <w:kern w:val="2"/>
      <w:sz w:val="21"/>
      <w:szCs w:val="24"/>
      <w:lang w:val="en-US" w:eastAsia="zh-CN" w:bidi="ar-SA"/>
    </w:rPr>
  </w:style>
  <w:style w:type="character" w:customStyle="1" w:styleId="91">
    <w:name w:val="apple-converted-space"/>
    <w:qFormat/>
    <w:uiPriority w:val="0"/>
  </w:style>
  <w:style w:type="character" w:customStyle="1" w:styleId="92">
    <w:name w:val="标题 4 字符"/>
    <w:link w:val="6"/>
    <w:qFormat/>
    <w:uiPriority w:val="0"/>
    <w:rPr>
      <w:rFonts w:ascii="Arial" w:hAnsi="Arial" w:eastAsia="黑体" w:cs="Times New Roman"/>
      <w:b/>
      <w:bCs/>
      <w:sz w:val="28"/>
      <w:szCs w:val="28"/>
    </w:rPr>
  </w:style>
  <w:style w:type="character" w:customStyle="1" w:styleId="93">
    <w:name w:val="正文文本缩进 Char1"/>
    <w:semiHidden/>
    <w:qFormat/>
    <w:uiPriority w:val="99"/>
    <w:rPr>
      <w:rFonts w:ascii="Times New Roman" w:hAnsi="Times New Roman" w:eastAsia="宋体" w:cs="Times New Roman"/>
      <w:szCs w:val="24"/>
    </w:rPr>
  </w:style>
  <w:style w:type="character" w:customStyle="1" w:styleId="94">
    <w:name w:val="页脚 字符"/>
    <w:link w:val="28"/>
    <w:qFormat/>
    <w:uiPriority w:val="99"/>
    <w:rPr>
      <w:sz w:val="18"/>
      <w:szCs w:val="18"/>
    </w:rPr>
  </w:style>
  <w:style w:type="character" w:customStyle="1" w:styleId="95">
    <w:name w:val="Char Char7"/>
    <w:qFormat/>
    <w:uiPriority w:val="0"/>
    <w:rPr>
      <w:rFonts w:ascii="Arial" w:hAnsi="Arial" w:eastAsia="黑体"/>
      <w:b/>
      <w:bCs/>
      <w:kern w:val="2"/>
      <w:sz w:val="32"/>
      <w:szCs w:val="32"/>
      <w:lang w:val="en-US" w:eastAsia="zh-CN" w:bidi="ar-SA"/>
    </w:rPr>
  </w:style>
  <w:style w:type="character" w:customStyle="1" w:styleId="96">
    <w:name w:val="HTML 预设格式 字符"/>
    <w:link w:val="37"/>
    <w:qFormat/>
    <w:uiPriority w:val="0"/>
    <w:rPr>
      <w:rFonts w:ascii="微软雅黑" w:hAnsi="微软雅黑" w:eastAsia="微软雅黑" w:cs="Times New Roman"/>
      <w:kern w:val="0"/>
      <w:sz w:val="24"/>
      <w:szCs w:val="24"/>
    </w:rPr>
  </w:style>
  <w:style w:type="character" w:customStyle="1" w:styleId="97">
    <w:name w:val="批注文字 Char"/>
    <w:qFormat/>
    <w:uiPriority w:val="0"/>
    <w:rPr>
      <w:rFonts w:eastAsia="宋体"/>
      <w:kern w:val="2"/>
      <w:sz w:val="21"/>
      <w:szCs w:val="24"/>
      <w:lang w:val="en-US" w:eastAsia="zh-CN" w:bidi="ar-SA"/>
    </w:rPr>
  </w:style>
  <w:style w:type="character" w:customStyle="1" w:styleId="98">
    <w:name w:val="纯文本 字符"/>
    <w:link w:val="23"/>
    <w:qFormat/>
    <w:uiPriority w:val="99"/>
    <w:rPr>
      <w:rFonts w:ascii="Courier New" w:hAnsi="Courier New"/>
    </w:rPr>
  </w:style>
  <w:style w:type="character" w:customStyle="1" w:styleId="99">
    <w:name w:val="标题 7 字符"/>
    <w:link w:val="8"/>
    <w:qFormat/>
    <w:uiPriority w:val="0"/>
    <w:rPr>
      <w:rFonts w:ascii="Times New Roman" w:hAnsi="Times New Roman" w:eastAsia="宋体" w:cs="Times New Roman"/>
      <w:b/>
      <w:bCs/>
      <w:kern w:val="0"/>
      <w:sz w:val="24"/>
      <w:szCs w:val="24"/>
    </w:rPr>
  </w:style>
  <w:style w:type="paragraph" w:customStyle="1" w:styleId="100">
    <w:name w:val="样式4"/>
    <w:basedOn w:val="5"/>
    <w:qFormat/>
    <w:uiPriority w:val="0"/>
    <w:rPr>
      <w:rFonts w:eastAsia="Arial"/>
    </w:rPr>
  </w:style>
  <w:style w:type="paragraph" w:customStyle="1" w:styleId="101">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font10"/>
    <w:basedOn w:val="1"/>
    <w:qFormat/>
    <w:uiPriority w:val="0"/>
    <w:pPr>
      <w:widowControl/>
      <w:spacing w:before="100" w:beforeAutospacing="1" w:after="100" w:afterAutospacing="1"/>
      <w:jc w:val="left"/>
    </w:pPr>
    <w:rPr>
      <w:kern w:val="0"/>
      <w:sz w:val="28"/>
      <w:szCs w:val="28"/>
    </w:rPr>
  </w:style>
  <w:style w:type="paragraph" w:customStyle="1" w:styleId="104">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样式1"/>
    <w:basedOn w:val="5"/>
    <w:qFormat/>
    <w:uiPriority w:val="0"/>
    <w:rPr>
      <w:rFonts w:eastAsia="Arial"/>
    </w:rPr>
  </w:style>
  <w:style w:type="paragraph" w:customStyle="1" w:styleId="107">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Char"/>
    <w:basedOn w:val="1"/>
    <w:qFormat/>
    <w:uiPriority w:val="0"/>
    <w:pPr>
      <w:tabs>
        <w:tab w:val="left" w:pos="360"/>
      </w:tabs>
    </w:pPr>
    <w:rPr>
      <w:sz w:val="24"/>
    </w:rPr>
  </w:style>
  <w:style w:type="paragraph" w:customStyle="1" w:styleId="110">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表格"/>
    <w:basedOn w:val="1"/>
    <w:qFormat/>
    <w:uiPriority w:val="0"/>
    <w:pPr>
      <w:jc w:val="center"/>
      <w:textAlignment w:val="center"/>
    </w:pPr>
    <w:rPr>
      <w:rFonts w:ascii="华文细黑" w:hAnsi="华文细黑"/>
      <w:kern w:val="0"/>
      <w:szCs w:val="20"/>
    </w:rPr>
  </w:style>
  <w:style w:type="paragraph" w:customStyle="1" w:styleId="112">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6">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列出段落1"/>
    <w:basedOn w:val="1"/>
    <w:qFormat/>
    <w:uiPriority w:val="34"/>
    <w:pPr>
      <w:ind w:firstLine="420" w:firstLineChars="200"/>
    </w:pPr>
    <w:rPr>
      <w:rFonts w:ascii="Calibri" w:hAnsi="Calibri"/>
      <w:szCs w:val="22"/>
    </w:rPr>
  </w:style>
  <w:style w:type="paragraph" w:customStyle="1" w:styleId="12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3">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5">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6">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7">
    <w:name w:val="1"/>
    <w:basedOn w:val="1"/>
    <w:next w:val="1"/>
    <w:qFormat/>
    <w:uiPriority w:val="0"/>
  </w:style>
  <w:style w:type="paragraph" w:customStyle="1" w:styleId="128">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0">
    <w:name w:val="规范文本"/>
    <w:basedOn w:val="23"/>
    <w:qFormat/>
    <w:uiPriority w:val="0"/>
    <w:pPr>
      <w:adjustRightInd w:val="0"/>
      <w:snapToGrid w:val="0"/>
      <w:spacing w:line="360" w:lineRule="exact"/>
      <w:ind w:firstLine="420"/>
    </w:pPr>
    <w:rPr>
      <w:rFonts w:ascii="宋体"/>
      <w:snapToGrid w:val="0"/>
      <w:szCs w:val="21"/>
    </w:rPr>
  </w:style>
  <w:style w:type="paragraph" w:customStyle="1" w:styleId="131">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2">
    <w:name w:val="节"/>
    <w:basedOn w:val="23"/>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3">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样式3"/>
    <w:basedOn w:val="5"/>
    <w:qFormat/>
    <w:uiPriority w:val="0"/>
    <w:rPr>
      <w:rFonts w:eastAsia="Arial"/>
    </w:rPr>
  </w:style>
  <w:style w:type="paragraph" w:customStyle="1" w:styleId="135">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8">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40">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3">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4">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6">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8">
    <w:name w:val="第二"/>
    <w:basedOn w:val="1"/>
    <w:qFormat/>
    <w:uiPriority w:val="0"/>
    <w:pPr>
      <w:adjustRightInd w:val="0"/>
      <w:snapToGrid w:val="0"/>
      <w:spacing w:line="360" w:lineRule="auto"/>
      <w:ind w:right="-108" w:rightChars="-45" w:firstLine="482"/>
    </w:pPr>
    <w:rPr>
      <w:b/>
    </w:rPr>
  </w:style>
  <w:style w:type="paragraph" w:customStyle="1" w:styleId="14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5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1">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2">
    <w:name w:val="内容"/>
    <w:basedOn w:val="1"/>
    <w:qFormat/>
    <w:uiPriority w:val="0"/>
    <w:pPr>
      <w:spacing w:line="480" w:lineRule="exact"/>
      <w:ind w:firstLine="200" w:firstLineChars="200"/>
    </w:pPr>
  </w:style>
  <w:style w:type="paragraph" w:customStyle="1" w:styleId="153">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4">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列出段落11"/>
    <w:basedOn w:val="1"/>
    <w:qFormat/>
    <w:uiPriority w:val="99"/>
    <w:pPr>
      <w:ind w:firstLine="420" w:firstLineChars="200"/>
    </w:pPr>
  </w:style>
  <w:style w:type="paragraph" w:customStyle="1" w:styleId="156">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7">
    <w:name w:val="表格文字"/>
    <w:basedOn w:val="1"/>
    <w:qFormat/>
    <w:uiPriority w:val="0"/>
    <w:pPr>
      <w:adjustRightInd w:val="0"/>
      <w:spacing w:line="420" w:lineRule="atLeast"/>
      <w:jc w:val="left"/>
      <w:textAlignment w:val="baseline"/>
    </w:pPr>
    <w:rPr>
      <w:kern w:val="0"/>
      <w:szCs w:val="20"/>
    </w:rPr>
  </w:style>
  <w:style w:type="paragraph" w:customStyle="1" w:styleId="158">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9">
    <w:name w:val="样式2"/>
    <w:basedOn w:val="5"/>
    <w:qFormat/>
    <w:uiPriority w:val="0"/>
  </w:style>
  <w:style w:type="character" w:customStyle="1" w:styleId="160">
    <w:name w:val="after"/>
    <w:basedOn w:val="46"/>
    <w:qFormat/>
    <w:uiPriority w:val="0"/>
    <w:rPr>
      <w:bdr w:val="dashed" w:color="auto" w:sz="48" w:space="0"/>
    </w:rPr>
  </w:style>
  <w:style w:type="character" w:customStyle="1" w:styleId="161">
    <w:name w:val="before"/>
    <w:basedOn w:val="46"/>
    <w:qFormat/>
    <w:uiPriority w:val="0"/>
    <w:rPr>
      <w:bdr w:val="single" w:color="auto" w:sz="48" w:space="0"/>
    </w:rPr>
  </w:style>
  <w:style w:type="character" w:customStyle="1" w:styleId="162">
    <w:name w:val="hover48"/>
    <w:basedOn w:val="46"/>
    <w:qFormat/>
    <w:uiPriority w:val="0"/>
    <w:rPr>
      <w:shd w:val="clear" w:color="auto" w:fill="346AC3"/>
    </w:rPr>
  </w:style>
  <w:style w:type="character" w:customStyle="1" w:styleId="163">
    <w:name w:val="hover49"/>
    <w:basedOn w:val="46"/>
    <w:qFormat/>
    <w:uiPriority w:val="0"/>
  </w:style>
  <w:style w:type="character" w:customStyle="1" w:styleId="164">
    <w:name w:val="hover50"/>
    <w:basedOn w:val="46"/>
    <w:qFormat/>
    <w:uiPriority w:val="0"/>
    <w:rPr>
      <w:color w:val="4285F4"/>
      <w:u w:val="none"/>
    </w:rPr>
  </w:style>
  <w:style w:type="character" w:customStyle="1" w:styleId="165">
    <w:name w:val="hover51"/>
    <w:basedOn w:val="46"/>
    <w:qFormat/>
    <w:uiPriority w:val="0"/>
    <w:rPr>
      <w:color w:val="4285F4"/>
    </w:rPr>
  </w:style>
  <w:style w:type="character" w:customStyle="1" w:styleId="166">
    <w:name w:val="hover52"/>
    <w:basedOn w:val="46"/>
    <w:qFormat/>
    <w:uiPriority w:val="0"/>
    <w:rPr>
      <w:color w:val="1A85D7"/>
    </w:rPr>
  </w:style>
  <w:style w:type="character" w:customStyle="1" w:styleId="167">
    <w:name w:val="credit"/>
    <w:basedOn w:val="46"/>
    <w:qFormat/>
    <w:uiPriority w:val="0"/>
    <w:rPr>
      <w:sz w:val="18"/>
      <w:szCs w:val="18"/>
    </w:rPr>
  </w:style>
  <w:style w:type="character" w:customStyle="1" w:styleId="168">
    <w:name w:val="first-child"/>
    <w:basedOn w:val="4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12071</Words>
  <Characters>12688</Characters>
  <Lines>107</Lines>
  <Paragraphs>30</Paragraphs>
  <TotalTime>2</TotalTime>
  <ScaleCrop>false</ScaleCrop>
  <LinksUpToDate>false</LinksUpToDate>
  <CharactersWithSpaces>14212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2023-06-01T06:21:00Z</dcterms:created>
  <dc:creator>陈桂兰</dc:creator>
  <cp:lastModifiedBy>罗隐</cp:lastModifiedBy>
  <cp:lastPrinted>2020-05-13T15:11:00Z</cp:lastPrinted>
  <dcterms:modified xsi:type="dcterms:W3CDTF">2023-06-02T01:55:41Z</dcterms:modified>
  <dc:title>项目名称：2019年重庆市取消高速公路省界收费站项目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9F9ABE392AB24FDA832F6DC0F497CA8F</vt:lpwstr>
  </property>
  <property fmtid="{D5CDD505-2E9C-101B-9397-08002B2CF9AE}" pid="4" name="commondata">
    <vt:lpwstr>eyJoZGlkIjoiNmI0YzI4NGJiMjg2ZWZlN2MzZDcyYzg5ZDEwYzBhZDAifQ==</vt:lpwstr>
  </property>
</Properties>
</file>