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方正黑体_GBK" w:hAnsi="方正黑体_GBK" w:eastAsia="方正黑体_GBK" w:cs="方正黑体_GBK"/>
          <w:sz w:val="32"/>
          <w:szCs w:val="32"/>
          <w:lang w:val="en-US" w:eastAsia="zh-CN"/>
        </w:rPr>
      </w:pPr>
    </w:p>
    <w:p>
      <w:pPr>
        <w:jc w:val="center"/>
        <w:rPr>
          <w:rFonts w:ascii="方正仿宋_GBK" w:hAnsi="方正仿宋_GBK" w:eastAsia="方正仿宋_GBK" w:cs="方正仿宋_GBK"/>
          <w:szCs w:val="32"/>
          <w:highlight w:val="none"/>
        </w:rPr>
      </w:pPr>
    </w:p>
    <w:p>
      <w:pPr>
        <w:rPr>
          <w:rFonts w:ascii="方正仿宋_GBK" w:hAnsi="方正仿宋_GBK" w:eastAsia="方正仿宋_GBK" w:cs="方正仿宋_GBK"/>
          <w:szCs w:val="32"/>
          <w:highlight w:val="none"/>
        </w:rPr>
      </w:pPr>
    </w:p>
    <w:p>
      <w:pPr>
        <w:rPr>
          <w:rFonts w:ascii="方正仿宋_GBK" w:hAnsi="方正仿宋_GBK" w:eastAsia="方正仿宋_GBK" w:cs="方正仿宋_GBK"/>
          <w:szCs w:val="32"/>
          <w:highlight w:val="none"/>
        </w:rPr>
      </w:pPr>
    </w:p>
    <w:p>
      <w:pPr>
        <w:rPr>
          <w:rFonts w:ascii="方正仿宋_GBK" w:hAnsi="方正仿宋_GBK" w:eastAsia="方正仿宋_GBK" w:cs="方正仿宋_GBK"/>
          <w:szCs w:val="32"/>
          <w:highlight w:val="none"/>
        </w:rPr>
      </w:pPr>
    </w:p>
    <w:p>
      <w:pPr>
        <w:jc w:val="center"/>
        <w:rPr>
          <w:rFonts w:ascii="方正仿宋_GBK" w:hAnsi="方正仿宋_GBK" w:eastAsia="方正仿宋_GBK" w:cs="方正仿宋_GBK"/>
          <w:b/>
          <w:bCs/>
          <w:szCs w:val="32"/>
          <w:highlight w:val="none"/>
        </w:rPr>
      </w:pPr>
    </w:p>
    <w:p>
      <w:pPr>
        <w:pStyle w:val="20"/>
        <w:rPr>
          <w:highlight w:val="none"/>
        </w:rPr>
      </w:pPr>
    </w:p>
    <w:p>
      <w:pPr>
        <w:jc w:val="center"/>
        <w:rPr>
          <w:rFonts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竞争性比选文件</w:t>
      </w:r>
    </w:p>
    <w:p>
      <w:pPr>
        <w:ind w:firstLine="560"/>
        <w:rPr>
          <w:rFonts w:ascii="方正仿宋_GBK" w:hAnsi="方正仿宋_GBK" w:eastAsia="方正仿宋_GBK" w:cs="方正仿宋_GBK"/>
          <w:szCs w:val="32"/>
          <w:highlight w:val="none"/>
        </w:rPr>
      </w:pPr>
    </w:p>
    <w:p>
      <w:pPr>
        <w:ind w:firstLine="560"/>
        <w:rPr>
          <w:rFonts w:ascii="方正仿宋_GBK" w:hAnsi="方正仿宋_GBK" w:eastAsia="方正仿宋_GBK" w:cs="方正仿宋_GBK"/>
          <w:szCs w:val="32"/>
          <w:highlight w:val="none"/>
        </w:rPr>
      </w:pPr>
    </w:p>
    <w:p>
      <w:pPr>
        <w:ind w:firstLine="560"/>
        <w:rPr>
          <w:rFonts w:ascii="方正仿宋_GBK" w:hAnsi="方正仿宋_GBK" w:eastAsia="方正仿宋_GBK" w:cs="方正仿宋_GBK"/>
          <w:szCs w:val="32"/>
          <w:highlight w:val="none"/>
        </w:rPr>
      </w:pPr>
    </w:p>
    <w:p>
      <w:pPr>
        <w:ind w:firstLine="632" w:firstLineChars="200"/>
        <w:rPr>
          <w:rFonts w:hint="eastAsia" w:ascii="方正仿宋_GBK" w:hAnsi="方正仿宋_GBK" w:eastAsia="方正仿宋_GBK" w:cs="方正仿宋_GBK"/>
          <w:sz w:val="32"/>
          <w:szCs w:val="32"/>
          <w:highlight w:val="none"/>
          <w:lang w:val="en-US" w:eastAsia="zh-CN"/>
        </w:rPr>
      </w:pPr>
    </w:p>
    <w:p>
      <w:pPr>
        <w:ind w:firstLine="1580" w:firstLineChars="5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项目名称：</w:t>
      </w:r>
      <w:r>
        <w:rPr>
          <w:rFonts w:hint="eastAsia" w:ascii="方正仿宋_GBK" w:hAnsi="方正仿宋_GBK" w:eastAsia="方正仿宋_GBK" w:cs="方正仿宋_GBK"/>
          <w:sz w:val="32"/>
          <w:szCs w:val="32"/>
          <w:highlight w:val="none"/>
          <w:lang w:val="en-US" w:eastAsia="zh-CN"/>
        </w:rPr>
        <w:t xml:space="preserve">高速公路服务区商业管理系统采购  </w:t>
      </w:r>
    </w:p>
    <w:p>
      <w:p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采</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购</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人：重庆高速</w:t>
      </w:r>
      <w:r>
        <w:rPr>
          <w:rFonts w:hint="eastAsia" w:ascii="方正仿宋_GBK" w:hAnsi="方正仿宋_GBK" w:eastAsia="方正仿宋_GBK" w:cs="方正仿宋_GBK"/>
          <w:sz w:val="32"/>
          <w:szCs w:val="32"/>
          <w:highlight w:val="none"/>
          <w:lang w:val="en-US" w:eastAsia="zh-CN"/>
        </w:rPr>
        <w:t>资产经营管理有限公司</w:t>
      </w:r>
    </w:p>
    <w:p>
      <w:pPr>
        <w:jc w:val="center"/>
        <w:rPr>
          <w:rFonts w:hint="eastAsia" w:ascii="方正仿宋_GBK" w:hAnsi="方正仿宋_GBK" w:eastAsia="方正仿宋_GBK" w:cs="方正仿宋_GBK"/>
          <w:sz w:val="32"/>
          <w:szCs w:val="32"/>
          <w:highlight w:val="none"/>
        </w:rPr>
      </w:pPr>
    </w:p>
    <w:p>
      <w:pPr>
        <w:jc w:val="center"/>
        <w:rPr>
          <w:rFonts w:hint="eastAsia" w:ascii="方正仿宋_GBK" w:hAnsi="方正仿宋_GBK" w:eastAsia="方正仿宋_GBK" w:cs="方正仿宋_GBK"/>
          <w:sz w:val="32"/>
          <w:szCs w:val="32"/>
          <w:highlight w:val="none"/>
        </w:rPr>
      </w:pPr>
    </w:p>
    <w:p>
      <w:pPr>
        <w:pStyle w:val="20"/>
        <w:rPr>
          <w:rFonts w:hint="eastAsia" w:ascii="方正仿宋_GBK" w:hAnsi="方正仿宋_GBK" w:eastAsia="方正仿宋_GBK" w:cs="方正仿宋_GBK"/>
          <w:sz w:val="32"/>
          <w:szCs w:val="32"/>
          <w:highlight w:val="none"/>
        </w:rPr>
      </w:pPr>
    </w:p>
    <w:p>
      <w:pPr>
        <w:pStyle w:val="20"/>
        <w:rPr>
          <w:rFonts w:hint="eastAsia" w:ascii="方正仿宋_GBK" w:hAnsi="方正仿宋_GBK" w:eastAsia="方正仿宋_GBK" w:cs="方正仿宋_GBK"/>
          <w:sz w:val="32"/>
          <w:szCs w:val="32"/>
          <w:highlight w:val="none"/>
        </w:rPr>
      </w:pPr>
    </w:p>
    <w:p>
      <w:pPr>
        <w:pStyle w:val="20"/>
        <w:rPr>
          <w:rFonts w:hint="eastAsia" w:ascii="方正仿宋_GBK" w:hAnsi="方正仿宋_GBK" w:eastAsia="方正仿宋_GBK" w:cs="方正仿宋_GBK"/>
          <w:sz w:val="32"/>
          <w:szCs w:val="32"/>
          <w:highlight w:val="none"/>
        </w:rPr>
      </w:pPr>
    </w:p>
    <w:p>
      <w:pPr>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2023年</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月</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Chars="0" w:firstLine="632" w:firstLineChars="200"/>
        <w:textAlignment w:val="auto"/>
        <w:rPr>
          <w:rFonts w:hint="eastAsia" w:ascii="方正黑体_GBK" w:hAnsi="方正黑体_GBK" w:eastAsia="方正黑体_GBK" w:cs="方正黑体_GBK"/>
          <w:b w:val="0"/>
          <w:bCs/>
          <w:sz w:val="32"/>
          <w:szCs w:val="32"/>
          <w:highlight w:val="none"/>
          <w:lang w:val="en-US" w:eastAsia="zh-CN"/>
        </w:rPr>
      </w:pPr>
      <w:r>
        <w:rPr>
          <w:rFonts w:hint="eastAsia" w:ascii="方正黑体_GBK" w:hAnsi="方正黑体_GBK" w:eastAsia="方正黑体_GBK" w:cs="方正黑体_GBK"/>
          <w:b w:val="0"/>
          <w:bCs/>
          <w:sz w:val="32"/>
          <w:szCs w:val="32"/>
          <w:highlight w:val="none"/>
          <w:lang w:val="en-US" w:eastAsia="zh-CN"/>
        </w:rPr>
        <w:t>一、项目概况</w:t>
      </w:r>
    </w:p>
    <w:p>
      <w:pPr>
        <w:pStyle w:val="8"/>
        <w:pageBreakBefore w:val="0"/>
        <w:widowControl w:val="0"/>
        <w:kinsoku/>
        <w:wordWrap/>
        <w:overflowPunct/>
        <w:topLinePunct w:val="0"/>
        <w:autoSpaceDE/>
        <w:autoSpaceDN/>
        <w:bidi w:val="0"/>
        <w:adjustRightInd/>
        <w:snapToGrid w:val="0"/>
        <w:spacing w:line="520" w:lineRule="exact"/>
        <w:ind w:left="0" w:firstLine="63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通过信息化手段，</w:t>
      </w:r>
      <w:r>
        <w:rPr>
          <w:rFonts w:hint="eastAsia" w:ascii="方正仿宋_GBK" w:hAnsi="方正仿宋_GBK" w:eastAsia="方正仿宋_GBK" w:cs="方正仿宋_GBK"/>
          <w:sz w:val="32"/>
          <w:szCs w:val="32"/>
          <w:highlight w:val="none"/>
          <w:lang w:val="en-US" w:eastAsia="zh-CN"/>
        </w:rPr>
        <w:t>实现重庆高速服务区商业的全过程线上管理，满足服务区合同租约、招商、商铺管理、经营分析等急迫需求，提高服务区经营动态分析及风险管控能力，为决策提供数据支撑，以数字化赋能业务创新高质量发展。</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firstLine="316" w:firstLineChars="100"/>
        <w:textAlignment w:val="auto"/>
        <w:rPr>
          <w:rFonts w:ascii="方正仿宋_GBK" w:hAnsi="方正仿宋_GBK" w:eastAsia="方正仿宋_GBK" w:cs="方正仿宋_GBK"/>
          <w:sz w:val="32"/>
          <w:szCs w:val="32"/>
          <w:highlight w:val="none"/>
        </w:rPr>
      </w:pPr>
      <w:bookmarkStart w:id="0" w:name="_Toc551"/>
      <w:r>
        <w:rPr>
          <w:rFonts w:hint="eastAsia" w:ascii="方正仿宋_GBK" w:hAnsi="方正仿宋_GBK" w:eastAsia="方正仿宋_GBK" w:cs="方正仿宋_GBK"/>
          <w:sz w:val="32"/>
          <w:szCs w:val="32"/>
          <w:highlight w:val="none"/>
        </w:rPr>
        <w:t xml:space="preserve"> </w:t>
      </w:r>
      <w:r>
        <w:rPr>
          <w:rFonts w:hint="eastAsia" w:ascii="方正黑体_GBK" w:hAnsi="方正黑体_GBK" w:eastAsia="方正黑体_GBK" w:cs="方正黑体_GBK"/>
          <w:b w:val="0"/>
          <w:bCs/>
          <w:sz w:val="32"/>
          <w:szCs w:val="32"/>
          <w:highlight w:val="none"/>
        </w:rPr>
        <w:t xml:space="preserve">   </w:t>
      </w:r>
      <w:r>
        <w:rPr>
          <w:rFonts w:hint="eastAsia" w:ascii="方正黑体_GBK" w:hAnsi="方正黑体_GBK" w:eastAsia="方正黑体_GBK" w:cs="方正黑体_GBK"/>
          <w:b w:val="0"/>
          <w:bCs/>
          <w:sz w:val="32"/>
          <w:szCs w:val="32"/>
          <w:highlight w:val="none"/>
          <w:lang w:val="en-US" w:eastAsia="zh-CN"/>
        </w:rPr>
        <w:t>二</w:t>
      </w:r>
      <w:r>
        <w:rPr>
          <w:rFonts w:hint="eastAsia" w:ascii="方正黑体_GBK" w:hAnsi="方正黑体_GBK" w:eastAsia="方正黑体_GBK" w:cs="方正黑体_GBK"/>
          <w:b w:val="0"/>
          <w:bCs/>
          <w:sz w:val="32"/>
          <w:szCs w:val="32"/>
          <w:highlight w:val="none"/>
        </w:rPr>
        <w:t>、采购服务内容</w:t>
      </w:r>
      <w:bookmarkEnd w:id="0"/>
    </w:p>
    <w:p>
      <w:pPr>
        <w:pStyle w:val="26"/>
        <w:pageBreakBefore w:val="0"/>
        <w:widowControl w:val="0"/>
        <w:tabs>
          <w:tab w:val="left" w:pos="904"/>
        </w:tabs>
        <w:kinsoku/>
        <w:wordWrap/>
        <w:overflowPunct/>
        <w:topLinePunct w:val="0"/>
        <w:autoSpaceDE/>
        <w:autoSpaceDN/>
        <w:bidi w:val="0"/>
        <w:adjustRightInd/>
        <w:snapToGrid w:val="0"/>
        <w:spacing w:line="520" w:lineRule="exact"/>
        <w:ind w:left="0" w:firstLine="0" w:firstLineChars="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（一）项目名称</w:t>
      </w:r>
    </w:p>
    <w:p>
      <w:pPr>
        <w:pStyle w:val="8"/>
        <w:pageBreakBefore w:val="0"/>
        <w:widowControl w:val="0"/>
        <w:kinsoku/>
        <w:wordWrap/>
        <w:overflowPunct/>
        <w:topLinePunct w:val="0"/>
        <w:autoSpaceDE/>
        <w:autoSpaceDN/>
        <w:bidi w:val="0"/>
        <w:adjustRightInd/>
        <w:snapToGrid w:val="0"/>
        <w:spacing w:line="520" w:lineRule="exact"/>
        <w:ind w:left="0" w:firstLine="631"/>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高速公路</w:t>
      </w:r>
      <w:r>
        <w:rPr>
          <w:rFonts w:hint="eastAsia" w:ascii="方正仿宋_GBK" w:hAnsi="方正仿宋_GBK" w:eastAsia="方正仿宋_GBK" w:cs="方正仿宋_GBK"/>
          <w:sz w:val="32"/>
          <w:szCs w:val="32"/>
          <w:highlight w:val="none"/>
        </w:rPr>
        <w:t>服务区商业管理系统</w:t>
      </w:r>
      <w:r>
        <w:rPr>
          <w:rFonts w:hint="eastAsia" w:ascii="方正仿宋_GBK" w:hAnsi="方正仿宋_GBK" w:eastAsia="方正仿宋_GBK" w:cs="方正仿宋_GBK"/>
          <w:sz w:val="32"/>
          <w:szCs w:val="32"/>
          <w:highlight w:val="none"/>
          <w:lang w:val="en-US" w:eastAsia="zh-CN"/>
        </w:rPr>
        <w:t>采购</w:t>
      </w:r>
    </w:p>
    <w:p>
      <w:pPr>
        <w:pStyle w:val="8"/>
        <w:pageBreakBefore w:val="0"/>
        <w:widowControl w:val="0"/>
        <w:kinsoku/>
        <w:wordWrap/>
        <w:overflowPunct/>
        <w:topLinePunct w:val="0"/>
        <w:autoSpaceDE/>
        <w:autoSpaceDN/>
        <w:bidi w:val="0"/>
        <w:adjustRightInd/>
        <w:snapToGrid w:val="0"/>
        <w:spacing w:line="520" w:lineRule="exact"/>
        <w:ind w:left="0" w:firstLine="631"/>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（二）采购内容</w:t>
      </w:r>
    </w:p>
    <w:p>
      <w:pPr>
        <w:pStyle w:val="8"/>
        <w:pageBreakBefore w:val="0"/>
        <w:widowControl w:val="0"/>
        <w:kinsoku/>
        <w:wordWrap/>
        <w:overflowPunct/>
        <w:topLinePunct w:val="0"/>
        <w:autoSpaceDE/>
        <w:autoSpaceDN/>
        <w:bidi w:val="0"/>
        <w:adjustRightInd/>
        <w:snapToGrid w:val="0"/>
        <w:spacing w:line="520" w:lineRule="exact"/>
        <w:ind w:lef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高速公路服务区商业</w:t>
      </w:r>
      <w:r>
        <w:rPr>
          <w:rFonts w:hint="eastAsia" w:ascii="方正仿宋_GBK" w:hAnsi="方正仿宋_GBK" w:eastAsia="方正仿宋_GBK" w:cs="方正仿宋_GBK"/>
          <w:sz w:val="32"/>
          <w:szCs w:val="32"/>
          <w:highlight w:val="none"/>
        </w:rPr>
        <w:t>管理系统</w:t>
      </w:r>
      <w:r>
        <w:rPr>
          <w:rFonts w:hint="eastAsia" w:ascii="方正仿宋_GBK" w:hAnsi="方正仿宋_GBK" w:eastAsia="方正仿宋_GBK" w:cs="方正仿宋_GBK"/>
          <w:sz w:val="32"/>
          <w:szCs w:val="32"/>
          <w:highlight w:val="none"/>
          <w:lang w:val="en-US" w:eastAsia="zh-CN"/>
        </w:rPr>
        <w:t>采购包含系统管理、服务区基础设置、公司管控、服务区合同租约管理、服务区运营管理、财务管理、个人中心、报表中心等功能</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基本能实现服务区商业管理的数字化</w:t>
      </w:r>
      <w:r>
        <w:rPr>
          <w:rFonts w:hint="eastAsia" w:ascii="方正仿宋_GBK" w:hAnsi="方正仿宋_GBK" w:eastAsia="方正仿宋_GBK" w:cs="方正仿宋_GBK"/>
          <w:sz w:val="32"/>
          <w:szCs w:val="32"/>
          <w:highlight w:val="none"/>
        </w:rPr>
        <w:t>。详细</w:t>
      </w:r>
      <w:r>
        <w:rPr>
          <w:rFonts w:hint="eastAsia" w:ascii="方正仿宋_GBK" w:hAnsi="方正仿宋_GBK" w:eastAsia="方正仿宋_GBK" w:cs="方正仿宋_GBK"/>
          <w:sz w:val="32"/>
          <w:szCs w:val="32"/>
          <w:highlight w:val="none"/>
          <w:lang w:val="en-US" w:eastAsia="zh-CN"/>
        </w:rPr>
        <w:t>需求</w:t>
      </w:r>
      <w:r>
        <w:rPr>
          <w:rFonts w:hint="eastAsia" w:ascii="方正仿宋_GBK" w:hAnsi="方正仿宋_GBK" w:eastAsia="方正仿宋_GBK" w:cs="方正仿宋_GBK"/>
          <w:sz w:val="32"/>
          <w:szCs w:val="32"/>
          <w:highlight w:val="none"/>
        </w:rPr>
        <w:t>如下：</w:t>
      </w:r>
    </w:p>
    <w:tbl>
      <w:tblPr>
        <w:tblStyle w:val="16"/>
        <w:tblW w:w="9255" w:type="dxa"/>
        <w:tblInd w:w="93" w:type="dxa"/>
        <w:tblLayout w:type="fixed"/>
        <w:tblCellMar>
          <w:top w:w="0" w:type="dxa"/>
          <w:left w:w="108" w:type="dxa"/>
          <w:bottom w:w="0" w:type="dxa"/>
          <w:right w:w="108" w:type="dxa"/>
        </w:tblCellMar>
      </w:tblPr>
      <w:tblGrid>
        <w:gridCol w:w="728"/>
        <w:gridCol w:w="1365"/>
        <w:gridCol w:w="7162"/>
      </w:tblGrid>
      <w:tr>
        <w:tblPrEx>
          <w:tblCellMar>
            <w:top w:w="0" w:type="dxa"/>
            <w:left w:w="108" w:type="dxa"/>
            <w:bottom w:w="0" w:type="dxa"/>
            <w:right w:w="108" w:type="dxa"/>
          </w:tblCellMar>
        </w:tblPrEx>
        <w:trPr>
          <w:trHeight w:val="500" w:hRule="atLeast"/>
        </w:trPr>
        <w:tc>
          <w:tcPr>
            <w:tcW w:w="92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i w:val="0"/>
                <w:iCs w:val="0"/>
                <w:color w:val="000000"/>
                <w:sz w:val="24"/>
                <w:szCs w:val="24"/>
                <w:highlight w:val="none"/>
                <w:u w:val="none"/>
                <w:lang w:val="en-US"/>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高速公路服务区商业管理系统需求清单</w:t>
            </w:r>
          </w:p>
        </w:tc>
      </w:tr>
      <w:tr>
        <w:tblPrEx>
          <w:tblCellMar>
            <w:top w:w="0" w:type="dxa"/>
            <w:left w:w="108" w:type="dxa"/>
            <w:bottom w:w="0" w:type="dxa"/>
            <w:right w:w="108" w:type="dxa"/>
          </w:tblCellMar>
        </w:tblPrEx>
        <w:trPr>
          <w:trHeight w:val="36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名称</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功能描述</w:t>
            </w:r>
          </w:p>
        </w:tc>
      </w:tr>
      <w:tr>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一</w:t>
            </w:r>
          </w:p>
        </w:tc>
        <w:tc>
          <w:tcPr>
            <w:tcW w:w="85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软件功能点清单</w:t>
            </w:r>
          </w:p>
        </w:tc>
      </w:tr>
      <w:tr>
        <w:tblPrEx>
          <w:tblCellMar>
            <w:top w:w="0" w:type="dxa"/>
            <w:left w:w="108" w:type="dxa"/>
            <w:bottom w:w="0" w:type="dxa"/>
            <w:right w:w="108" w:type="dxa"/>
          </w:tblCellMar>
        </w:tblPrEx>
        <w:trPr>
          <w:trHeight w:val="14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系统管理</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系统应用参数配置：</w:t>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br w:type="textWrapping"/>
            </w:r>
            <w:r>
              <w:rPr>
                <w:rStyle w:val="35"/>
                <w:rFonts w:hint="eastAsia" w:ascii="方正仿宋_GBK" w:hAnsi="方正仿宋_GBK" w:eastAsia="方正仿宋_GBK" w:cs="方正仿宋_GBK"/>
                <w:sz w:val="24"/>
                <w:szCs w:val="24"/>
                <w:highlight w:val="none"/>
                <w:lang w:val="en-US" w:eastAsia="zh-CN" w:bidi="ar"/>
              </w:rPr>
              <w:t>针对不同服务区，支持对银行支付通道、违约金规则、提示预警规则(如经营预警、等)、数据填报次数、客流查询、账单收款、现金缴存、租押方式、周期算法等规则进行独立的配置。</w:t>
            </w:r>
          </w:p>
        </w:tc>
      </w:tr>
      <w:tr>
        <w:tblPrEx>
          <w:tblCellMar>
            <w:top w:w="0" w:type="dxa"/>
            <w:left w:w="108" w:type="dxa"/>
            <w:bottom w:w="0" w:type="dxa"/>
            <w:right w:w="108" w:type="dxa"/>
          </w:tblCellMar>
        </w:tblPrEx>
        <w:trPr>
          <w:trHeight w:val="122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组织架构与角色权限管理：</w:t>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 xml:space="preserve">支持自定义多级架构管理，如按公司领导、服务区管理部门、服务区负责人、服务区管理员等多层级管控； </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支持独立的数据权限管控，如按公司、区域、项目、商铺等维度，限定使用者对关联数据或敏感数据的查询、导出或删除操作</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 xml:space="preserve">支持自定义用户基本信息，可以设定用户可管理的项目、通过可管理的项目来控制不同项目的数据权限（如：经营项目、租赁合同、决策报表、业务审批等） </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支持不同的岗位拥有不同的模块权限、菜单权限和功能权限;</w:t>
            </w:r>
          </w:p>
        </w:tc>
      </w:tr>
      <w:tr>
        <w:tblPrEx>
          <w:tblCellMar>
            <w:top w:w="0" w:type="dxa"/>
            <w:left w:w="108" w:type="dxa"/>
            <w:bottom w:w="0" w:type="dxa"/>
            <w:right w:w="108" w:type="dxa"/>
          </w:tblCellMar>
        </w:tblPrEx>
        <w:trPr>
          <w:trHeight w:val="208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3</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b/>
                <w:bCs/>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审批流管理：</w:t>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支持按项目、业务，配置不同的工作审批流程，用以分层管控公司、项目等不同层级的业务审批工作、确保数据独立流转、有效隔离；</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支持流程监控，允许实时查看流程进程，统计流程耗用时间。同时，还支持对流程任务的转派、终止等业务操作。</w:t>
            </w:r>
          </w:p>
        </w:tc>
      </w:tr>
      <w:tr>
        <w:tblPrEx>
          <w:tblCellMar>
            <w:top w:w="0" w:type="dxa"/>
            <w:left w:w="108" w:type="dxa"/>
            <w:bottom w:w="0" w:type="dxa"/>
            <w:right w:w="108" w:type="dxa"/>
          </w:tblCellMar>
        </w:tblPrEx>
        <w:trPr>
          <w:trHeight w:val="13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4</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35"/>
                <w:rFonts w:hint="eastAsia" w:ascii="方正仿宋_GBK" w:hAnsi="方正仿宋_GBK" w:eastAsia="方正仿宋_GBK" w:cs="方正仿宋_GBK"/>
                <w:sz w:val="24"/>
                <w:szCs w:val="24"/>
                <w:highlight w:val="none"/>
                <w:lang w:val="en-US" w:eastAsia="zh-CN" w:bidi="ar"/>
              </w:rPr>
            </w:pPr>
            <w:r>
              <w:rPr>
                <w:rStyle w:val="35"/>
                <w:rFonts w:hint="eastAsia" w:ascii="方正仿宋_GBK" w:hAnsi="方正仿宋_GBK" w:eastAsia="方正仿宋_GBK" w:cs="方正仿宋_GBK"/>
                <w:sz w:val="24"/>
                <w:szCs w:val="24"/>
                <w:highlight w:val="none"/>
                <w:lang w:val="en-US" w:eastAsia="zh-CN" w:bidi="ar"/>
              </w:rPr>
              <w:t>接口平台：</w:t>
            </w:r>
            <w:r>
              <w:rPr>
                <w:rStyle w:val="35"/>
                <w:rFonts w:hint="eastAsia" w:ascii="方正仿宋_GBK" w:hAnsi="方正仿宋_GBK" w:eastAsia="方正仿宋_GBK" w:cs="方正仿宋_GBK"/>
                <w:sz w:val="24"/>
                <w:szCs w:val="24"/>
                <w:highlight w:val="none"/>
                <w:lang w:val="en-US" w:eastAsia="zh-CN" w:bidi="ar"/>
              </w:rPr>
              <w:br w:type="textWrapping"/>
            </w:r>
            <w:r>
              <w:rPr>
                <w:rStyle w:val="35"/>
                <w:rFonts w:hint="eastAsia" w:ascii="方正仿宋_GBK" w:hAnsi="方正仿宋_GBK" w:eastAsia="方正仿宋_GBK" w:cs="方正仿宋_GBK"/>
                <w:sz w:val="24"/>
                <w:szCs w:val="24"/>
                <w:highlight w:val="none"/>
                <w:lang w:val="en-US" w:eastAsia="zh-CN" w:bidi="ar"/>
              </w:rPr>
              <w:t>支持对链接到商业运营平台的第三方应用进行管理，包括密钥配置、分配接口、IP限制、项目限制、白名单、调用限制等应用安全管理机制；</w:t>
            </w:r>
            <w:r>
              <w:rPr>
                <w:rStyle w:val="35"/>
                <w:rFonts w:hint="eastAsia" w:ascii="方正仿宋_GBK" w:hAnsi="方正仿宋_GBK" w:eastAsia="方正仿宋_GBK" w:cs="方正仿宋_GBK"/>
                <w:sz w:val="24"/>
                <w:szCs w:val="24"/>
                <w:highlight w:val="none"/>
                <w:lang w:val="en-US" w:eastAsia="zh-CN" w:bidi="ar"/>
              </w:rPr>
              <w:br w:type="textWrapping"/>
            </w:r>
            <w:r>
              <w:rPr>
                <w:rStyle w:val="35"/>
                <w:rFonts w:hint="eastAsia" w:ascii="方正仿宋_GBK" w:hAnsi="方正仿宋_GBK" w:eastAsia="方正仿宋_GBK" w:cs="方正仿宋_GBK"/>
                <w:sz w:val="24"/>
                <w:szCs w:val="24"/>
                <w:highlight w:val="none"/>
                <w:lang w:val="en-US" w:eastAsia="zh-CN" w:bidi="ar"/>
              </w:rPr>
              <w:t>支持接口调用记录的记录和追溯；</w:t>
            </w:r>
            <w:r>
              <w:rPr>
                <w:rStyle w:val="35"/>
                <w:rFonts w:hint="eastAsia" w:ascii="方正仿宋_GBK" w:hAnsi="方正仿宋_GBK" w:eastAsia="方正仿宋_GBK" w:cs="方正仿宋_GBK"/>
                <w:sz w:val="24"/>
                <w:szCs w:val="24"/>
                <w:highlight w:val="none"/>
                <w:lang w:val="en-US" w:eastAsia="zh-CN" w:bidi="ar"/>
              </w:rPr>
              <w:br w:type="textWrapping"/>
            </w:r>
            <w:r>
              <w:rPr>
                <w:rStyle w:val="35"/>
                <w:rFonts w:hint="eastAsia" w:ascii="方正仿宋_GBK" w:hAnsi="方正仿宋_GBK" w:eastAsia="方正仿宋_GBK" w:cs="方正仿宋_GBK"/>
                <w:sz w:val="24"/>
                <w:szCs w:val="24"/>
                <w:highlight w:val="none"/>
                <w:lang w:val="en-US" w:eastAsia="zh-CN" w:bidi="ar"/>
              </w:rPr>
              <w:t>提供商业运营平台数据资源对外标准接口，包括品牌、业态、商铺、销售、审批、财务等业务领域的关键数据。</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236" w:firstLineChars="100"/>
              <w:jc w:val="left"/>
              <w:textAlignment w:val="center"/>
              <w:rPr>
                <w:rFonts w:hint="eastAsia" w:eastAsia="等线"/>
                <w:highlight w:val="none"/>
                <w:lang w:eastAsia="zh-CN"/>
              </w:rPr>
            </w:pPr>
            <w:r>
              <w:rPr>
                <w:rStyle w:val="35"/>
                <w:rFonts w:hint="eastAsia" w:ascii="方正仿宋_GBK" w:hAnsi="方正仿宋_GBK" w:eastAsia="方正仿宋_GBK" w:cs="方正仿宋_GBK"/>
                <w:sz w:val="24"/>
                <w:szCs w:val="24"/>
                <w:highlight w:val="none"/>
                <w:lang w:val="en-US" w:eastAsia="zh-CN" w:bidi="ar"/>
              </w:rPr>
              <w:t>实现与重庆高速公路集团有限公司服务区管理平台、大数据中心的全量数据对接。</w:t>
            </w:r>
          </w:p>
        </w:tc>
      </w:tr>
      <w:tr>
        <w:tblPrEx>
          <w:tblCellMar>
            <w:top w:w="0" w:type="dxa"/>
            <w:left w:w="108" w:type="dxa"/>
            <w:bottom w:w="0" w:type="dxa"/>
            <w:right w:w="108" w:type="dxa"/>
          </w:tblCellMar>
        </w:tblPrEx>
        <w:trPr>
          <w:trHeight w:val="13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5</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消息提醒、公告管理、模板设置：</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支持短信、微信、系统等消息模板的自定义配置；</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支持公告的发布、终止等业务功能。</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支持为不同服务区设置独立的账单通知、催缴等业务相关的打印模板。</w:t>
            </w:r>
          </w:p>
        </w:tc>
      </w:tr>
      <w:tr>
        <w:tblPrEx>
          <w:tblCellMar>
            <w:top w:w="0" w:type="dxa"/>
            <w:left w:w="108" w:type="dxa"/>
            <w:bottom w:w="0" w:type="dxa"/>
            <w:right w:w="108" w:type="dxa"/>
          </w:tblCellMar>
        </w:tblPrEx>
        <w:trPr>
          <w:trHeight w:val="177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6</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定时任务管理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支持为客流同步、账单计算、销售数据稽核、欠费提醒、到期预警等业务设置定时任务；</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支持对定时任务的执行周期、执行时间等关键参数进行配置；</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支持对定时任务执行手动触发、自动触发、启用、禁用、查询执行日志等业务操作。</w:t>
            </w:r>
          </w:p>
        </w:tc>
      </w:tr>
      <w:tr>
        <w:tblPrEx>
          <w:tblCellMar>
            <w:top w:w="0" w:type="dxa"/>
            <w:left w:w="108" w:type="dxa"/>
            <w:bottom w:w="0" w:type="dxa"/>
            <w:right w:w="108" w:type="dxa"/>
          </w:tblCellMar>
        </w:tblPrEx>
        <w:trPr>
          <w:trHeight w:val="200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7</w:t>
            </w:r>
          </w:p>
        </w:tc>
        <w:tc>
          <w:tcPr>
            <w:tcW w:w="136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服务区基础设置</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基础数据：</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支持对区域、项目、服务区、部门、楼栋、楼层等基础数据的维护；</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支持单元信息的维护，包括基础信息、工程条件、关联信息等。并且允许对单元进行拆分或合并操作。</w:t>
            </w:r>
          </w:p>
        </w:tc>
      </w:tr>
      <w:tr>
        <w:tblPrEx>
          <w:tblCellMar>
            <w:top w:w="0" w:type="dxa"/>
            <w:left w:w="108" w:type="dxa"/>
            <w:bottom w:w="0" w:type="dxa"/>
            <w:right w:w="108" w:type="dxa"/>
          </w:tblCellMar>
        </w:tblPrEx>
        <w:trPr>
          <w:trHeight w:val="172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8</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商铺管理：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支持自定义商铺类型， 具备商铺信息的新增、修改、合并、拆分等功能；</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支持普通商铺、广告位、场地等各种商铺类型的权限定义、价格管理；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支持商铺物业的可视化图形查询、分析和管理；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支持商铺基础资料、出租状态、出租信息的查询和管理；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支持商铺历史信息、出租记录查询和管理；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支持各类经营分析报表、付（欠）款统计报表、租户信息的关联查询；</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支持分楼层、分商铺类型进行出租率、出租效益的分析查询。</w:t>
            </w:r>
          </w:p>
        </w:tc>
      </w:tr>
      <w:tr>
        <w:tblPrEx>
          <w:tblCellMar>
            <w:top w:w="0" w:type="dxa"/>
            <w:left w:w="108" w:type="dxa"/>
            <w:bottom w:w="0" w:type="dxa"/>
            <w:right w:w="108" w:type="dxa"/>
          </w:tblCellMar>
        </w:tblPrEx>
        <w:trPr>
          <w:trHeight w:val="207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9</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商户管理：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支持品牌资源库的建立，记录品牌种类、平均价格区间、经营描述等资料信息。</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支持品牌库商家升级为商场意向租户、正式租户的操作和信息维护。</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支持正式租户详细信息、往来账务信息的查询。</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支持顾客对商户、商户对商场、商户之间投诉及表扬的记录和查询。</w:t>
            </w:r>
          </w:p>
        </w:tc>
      </w:tr>
      <w:tr>
        <w:tblPrEx>
          <w:tblCellMar>
            <w:top w:w="0" w:type="dxa"/>
            <w:left w:w="108" w:type="dxa"/>
            <w:bottom w:w="0" w:type="dxa"/>
            <w:right w:w="108" w:type="dxa"/>
          </w:tblCellMar>
        </w:tblPrEx>
        <w:trPr>
          <w:trHeight w:val="172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10</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财务数据：</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 xml:space="preserve">支持财务收费项目资料维护，类别可分为：固定租金、销售提成、固定费用、临时费用、销售额返款，可以根据项目定义税率，支持价内税、价外税； </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支持与财务系统结算科目的映射操作；</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 xml:space="preserve">支持定义财务月结算天数、费用精度设置； </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支持定义财务的收款方式以及收款行信息；</w:t>
            </w:r>
          </w:p>
        </w:tc>
      </w:tr>
      <w:tr>
        <w:tblPrEx>
          <w:tblCellMar>
            <w:top w:w="0" w:type="dxa"/>
            <w:left w:w="108" w:type="dxa"/>
            <w:bottom w:w="0" w:type="dxa"/>
            <w:right w:w="108" w:type="dxa"/>
          </w:tblCellMar>
        </w:tblPrEx>
        <w:trPr>
          <w:trHeight w:val="13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11</w:t>
            </w:r>
          </w:p>
        </w:tc>
        <w:tc>
          <w:tcPr>
            <w:tcW w:w="136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公司管控</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品牌库管理：</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支持对品牌库的分级管控，满足公司库和服务区本地库的分层应用。同时支持转库单申请、审核等业务操作。</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提供品牌合作审批。支持对品牌进行全面的信息管理并进行上级呈报，支持招商过程中的品牌合作呈报流程， 并根据不同情况分别对品牌的信息、合作条件、合作方概况、上年度合作情况进行记录和管理。</w:t>
            </w:r>
          </w:p>
        </w:tc>
      </w:tr>
      <w:tr>
        <w:tblPrEx>
          <w:tblCellMar>
            <w:top w:w="0" w:type="dxa"/>
            <w:left w:w="108" w:type="dxa"/>
            <w:bottom w:w="0" w:type="dxa"/>
            <w:right w:w="108" w:type="dxa"/>
          </w:tblCellMar>
        </w:tblPrEx>
        <w:trPr>
          <w:trHeight w:val="6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12</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Style w:val="35"/>
                <w:rFonts w:hint="eastAsia" w:ascii="方正仿宋_GBK" w:hAnsi="方正仿宋_GBK" w:eastAsia="方正仿宋_GBK" w:cs="方正仿宋_GBK"/>
                <w:sz w:val="24"/>
                <w:szCs w:val="24"/>
                <w:highlight w:val="none"/>
                <w:lang w:val="en-US" w:eastAsia="zh-CN" w:bidi="ar"/>
              </w:rPr>
              <w:t>招商政策：</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支持对各服务区的整体招商政策进行设置，包括公司库和本地库业态占比、经营业态的面积占比、楼层租金单价、各业态的租金年限、租金递增率、免租期、租押方式、租金标准单价、管理费单价等。</w:t>
            </w:r>
            <w:r>
              <w:rPr>
                <w:rStyle w:val="35"/>
                <w:rFonts w:hint="eastAsia" w:ascii="方正仿宋_GBK" w:hAnsi="方正仿宋_GBK" w:eastAsia="方正仿宋_GBK" w:cs="方正仿宋_GBK"/>
                <w:sz w:val="24"/>
                <w:szCs w:val="24"/>
                <w:highlight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r>
              <w:rPr>
                <w:rStyle w:val="35"/>
                <w:rFonts w:hint="eastAsia" w:ascii="方正仿宋_GBK" w:hAnsi="方正仿宋_GBK" w:eastAsia="方正仿宋_GBK" w:cs="方正仿宋_GBK"/>
                <w:sz w:val="24"/>
                <w:szCs w:val="24"/>
                <w:highlight w:val="none"/>
                <w:lang w:val="en-US" w:eastAsia="zh-CN" w:bidi="ar"/>
              </w:rPr>
              <w:t>支持铺位租金政策的设置，包括铺位的租金单价、业态、扣点、管理费单价、租赁年限、免租期；</w:t>
            </w:r>
          </w:p>
        </w:tc>
      </w:tr>
      <w:tr>
        <w:tblPrEx>
          <w:tblCellMar>
            <w:top w:w="0" w:type="dxa"/>
            <w:left w:w="108" w:type="dxa"/>
            <w:bottom w:w="0" w:type="dxa"/>
            <w:right w:w="108" w:type="dxa"/>
          </w:tblCellMar>
        </w:tblPrEx>
        <w:trPr>
          <w:trHeight w:val="6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13</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品牌落位：</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支持品牌落位，一铺可以落多品牌；品牌招商计划管理，跟踪品牌的招商进度；</w:t>
            </w:r>
          </w:p>
        </w:tc>
      </w:tr>
      <w:tr>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14</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租金分解：</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支持针对每一个铺位设置多个不同租金价格，从而实现不同层级对租金指标的管控要求。</w:t>
            </w:r>
          </w:p>
        </w:tc>
      </w:tr>
      <w:tr>
        <w:tblPrEx>
          <w:tblCellMar>
            <w:top w:w="0" w:type="dxa"/>
            <w:left w:w="108" w:type="dxa"/>
            <w:bottom w:w="0" w:type="dxa"/>
            <w:right w:w="108" w:type="dxa"/>
          </w:tblCellMar>
        </w:tblPrEx>
        <w:trPr>
          <w:trHeight w:val="103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15</w:t>
            </w:r>
          </w:p>
        </w:tc>
        <w:tc>
          <w:tcPr>
            <w:tcW w:w="136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开发管理（招商）：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支持记录谈判过程信息，实时查询招商进度。提供客户的看场行为进行全面信息登记， 把客户和商场关联后进行信息化管理，并对接下来的情况进行跟踪。支持客户看场之后的信息录入，包含铺位单元，拟经营的品牌、供应商等信息的管理。该单据提供保存、提交、审核功能以及客户看场意向查询。</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提供直观的招商进度报表，可按照招商人员和品牌维度进行展示。支持从人员、组别、商户等不同角度提供招商情况的可视化分析报表。</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支持根据商户的实际经营情况对比招商规划指标对租户或品牌进行调整或升级处理；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支持铺位预定管理、意向合同管理。</w:t>
            </w:r>
          </w:p>
        </w:tc>
      </w:tr>
      <w:tr>
        <w:tblPrEx>
          <w:tblCellMar>
            <w:top w:w="0" w:type="dxa"/>
            <w:left w:w="108" w:type="dxa"/>
            <w:bottom w:w="0" w:type="dxa"/>
            <w:right w:w="108" w:type="dxa"/>
          </w:tblCellMar>
        </w:tblPrEx>
        <w:trPr>
          <w:trHeight w:val="120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16</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租金测算：</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支持对于租金的年度测算、年度测算已租未租、中长期测算、中长期测算已租未租数据。通</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过租金测算可以了解到未来租金的整体收入状况。</w:t>
            </w:r>
          </w:p>
        </w:tc>
      </w:tr>
      <w:tr>
        <w:tblPrEx>
          <w:tblCellMar>
            <w:top w:w="0" w:type="dxa"/>
            <w:left w:w="108" w:type="dxa"/>
            <w:bottom w:w="0" w:type="dxa"/>
            <w:right w:w="108" w:type="dxa"/>
          </w:tblCellMar>
        </w:tblPrEx>
        <w:trPr>
          <w:trHeight w:val="207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服务区合同租约管理</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支持按联营、租赁、返租，按商铺、广告位、场地等的合同分类管理。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支持租赁费用管理，在租赁合同中各个商户每月的各种收费。要求可以支持 固定租金、按位置设置固定租金、租金加抽成、租金与扣点两者取高、周期性保底、周期结算、超额递增提成、递增提成;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支持多种面积核算坪效：建筑面积、使用面积、计租面积；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可以按合同设置账期，不同的合同可以有不同的账期；</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 xml:space="preserve">对合同的变更进行版本记录，保留历史版本，可以进行合同版本比较； </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支持常用的各种计租、提成结算方式和租金分解功能。</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支持按合同设置账期、免租期、滞纳金计算方法的个性化设置。</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支持合同管理过程中的签约、续约、变更、诉讼终止、终止、提前结束及文本维护等操作。</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支持多种收银方式：集中收银、租用收银、独用收银、商户自收银；</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支持意向合同自动转正式合同功能；</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支持临时加减扣调整；</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支持联营合同中商户是否为一般纳税人及其税率的设定与结算。</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支持合同文本及附件电子版、扫描件的上传管理。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支持合同报表管理及基于合同数据的各类经营收益预测。</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支持对合同信息的详细记录及到期预警。</w:t>
            </w:r>
          </w:p>
        </w:tc>
      </w:tr>
      <w:tr>
        <w:tblPrEx>
          <w:tblCellMar>
            <w:top w:w="0" w:type="dxa"/>
            <w:left w:w="108" w:type="dxa"/>
            <w:bottom w:w="0" w:type="dxa"/>
            <w:right w:w="108" w:type="dxa"/>
          </w:tblCellMar>
        </w:tblPrEx>
        <w:trPr>
          <w:trHeight w:val="172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18</w:t>
            </w:r>
          </w:p>
        </w:tc>
        <w:tc>
          <w:tcPr>
            <w:tcW w:w="136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服务区运营管理</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销售管理：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支持通过POS机、接口程序、文本录入或其他方式进行销售数据采集；支持按月、季度、年录入销售预算并与实际销售形成对比分析；</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支持联营商品在不同时间段、促销期的不同扣率管理；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支持联营商品的大类编码管理，具备分类统计、结算功能；</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支持自定义商品的类别分类，类别支持分级管理；</w:t>
            </w:r>
          </w:p>
        </w:tc>
      </w:tr>
      <w:tr>
        <w:tblPrEx>
          <w:tblCellMar>
            <w:top w:w="0" w:type="dxa"/>
            <w:left w:w="108" w:type="dxa"/>
            <w:bottom w:w="0" w:type="dxa"/>
            <w:right w:w="108" w:type="dxa"/>
          </w:tblCellMar>
        </w:tblPrEx>
        <w:trPr>
          <w:trHeight w:val="13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19</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交班管理：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支持收银相关的接班、交班操作；</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支持收银长短款申诉；</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支持收银长短款复核，填报复核原因，上传附件；</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支持收银长短款报表统计查询。</w:t>
            </w:r>
          </w:p>
        </w:tc>
      </w:tr>
      <w:tr>
        <w:tblPrEx>
          <w:tblCellMar>
            <w:top w:w="0" w:type="dxa"/>
            <w:left w:w="108" w:type="dxa"/>
            <w:bottom w:w="0" w:type="dxa"/>
            <w:right w:w="108" w:type="dxa"/>
          </w:tblCellMar>
        </w:tblPrEx>
        <w:trPr>
          <w:trHeight w:val="103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20</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销售稽核：</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支持现金缴款单的创建、审批；</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支持现场稽核、远程稽核等稽核任务，区域经营管理员可以通过配置需稽核的服务区、商铺等信息，在限定范围内开展销售数据稽核任务。</w:t>
            </w:r>
          </w:p>
        </w:tc>
      </w:tr>
      <w:tr>
        <w:tblPrEx>
          <w:tblCellMar>
            <w:top w:w="0" w:type="dxa"/>
            <w:left w:w="108" w:type="dxa"/>
            <w:bottom w:w="0" w:type="dxa"/>
            <w:right w:w="108" w:type="dxa"/>
          </w:tblCellMar>
        </w:tblPrEx>
        <w:trPr>
          <w:trHeight w:val="138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21</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销售核验：</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支持人工核验，允许管理员对银行到账情况、长短款数据进行冲正、校验等业务操作；</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支持自动核验，基于银行支付渠道下发的对账单，自动核验对账；</w:t>
            </w:r>
          </w:p>
        </w:tc>
      </w:tr>
      <w:tr>
        <w:tblPrEx>
          <w:tblCellMar>
            <w:top w:w="0" w:type="dxa"/>
            <w:left w:w="108" w:type="dxa"/>
            <w:bottom w:w="0" w:type="dxa"/>
            <w:right w:w="108" w:type="dxa"/>
          </w:tblCellMar>
        </w:tblPrEx>
        <w:trPr>
          <w:trHeight w:val="172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22</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商品管理：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支持对销售商品的档案设置与维护；</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支持商品调价、商品档案入库等业务审批操作。</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支持针对不同抽成类型，核算抽成金额，满足单阶、多阶等抽成规则。</w:t>
            </w:r>
          </w:p>
        </w:tc>
      </w:tr>
      <w:tr>
        <w:tblPrEx>
          <w:tblCellMar>
            <w:top w:w="0" w:type="dxa"/>
            <w:left w:w="108" w:type="dxa"/>
            <w:bottom w:w="0" w:type="dxa"/>
            <w:right w:w="108" w:type="dxa"/>
          </w:tblCellMar>
        </w:tblPrEx>
        <w:trPr>
          <w:trHeight w:val="92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23</w:t>
            </w:r>
          </w:p>
        </w:tc>
        <w:tc>
          <w:tcPr>
            <w:tcW w:w="136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财务管理</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保证金、预收款、免租期管理：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定期账单的计算、租金的收缴、保证金、定金的收缴；</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租金、保证金、定金欠款的催缴；</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租金、保证金和定金的退还；</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保证金冲抵帐单、定金冲抵帐单、定金冲抵保证金等转账操作</w:t>
            </w:r>
          </w:p>
        </w:tc>
      </w:tr>
      <w:tr>
        <w:tblPrEx>
          <w:tblCellMar>
            <w:top w:w="0" w:type="dxa"/>
            <w:left w:w="108" w:type="dxa"/>
            <w:bottom w:w="0" w:type="dxa"/>
            <w:right w:w="108" w:type="dxa"/>
          </w:tblCellMar>
        </w:tblPrEx>
        <w:trPr>
          <w:trHeight w:val="188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24</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应收、应付台账管理：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支持合同费用台账、临时费用台账、违约金费用台账、仪表费用台账，允许对应收、实收、收缴率、收缴状态、减免状态、减免原因、减免金额等各项关键数据进行查询；</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支持临时费用账单创建、审批、批量导入等业务操作。</w:t>
            </w:r>
          </w:p>
        </w:tc>
      </w:tr>
      <w:tr>
        <w:tblPrEx>
          <w:tblCellMar>
            <w:top w:w="0" w:type="dxa"/>
            <w:left w:w="108" w:type="dxa"/>
            <w:bottom w:w="0" w:type="dxa"/>
            <w:right w:w="108" w:type="dxa"/>
          </w:tblCellMar>
        </w:tblPrEx>
        <w:trPr>
          <w:trHeight w:val="238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25</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结算管理：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支持根据合同及临时费用自动生成结算单据，并实现清单的查询、导出、打印；</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支持按照商铺面积、销售扣点、联营保底等多种方式计算结算费用；</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支持不同的结算方式，自定义产生不同用途的结算报表；</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支持按商户查询、打印往来账，包含应收应付等全部明细；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支持按商户实现押金管理功能；</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支持调整结算单用以调节结算数据与实际数据的不一致；</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支持交费、欠费、账龄等往来明细分析报表的生成、查询；</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支持分合同自定义结算项目名称、滞纳金及其计算方法等；</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支持对租户预付类款项的类别自定义。</w:t>
            </w:r>
          </w:p>
        </w:tc>
      </w:tr>
      <w:tr>
        <w:tblPrEx>
          <w:tblCellMar>
            <w:top w:w="0" w:type="dxa"/>
            <w:left w:w="108" w:type="dxa"/>
            <w:bottom w:w="0" w:type="dxa"/>
            <w:right w:w="108" w:type="dxa"/>
          </w:tblCellMar>
        </w:tblPrEx>
        <w:trPr>
          <w:trHeight w:val="6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26</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账务管理：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支持根据合同、维修单、其他服务单据等定期自动生成收费通知单、欠费催缴单；</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支持各类费用明细的查询、打印管理；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支持通过接口与其他信息系统共享收费数据；</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支持各项财务收费数据的统计、分析管理；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支持银行对账单的录入、导入、核验以及对账处理；</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支持通过微信、邮件和短信渠道发送收费通知单、欠费催缴单。</w:t>
            </w:r>
          </w:p>
        </w:tc>
      </w:tr>
      <w:tr>
        <w:tblPrEx>
          <w:tblCellMar>
            <w:top w:w="0" w:type="dxa"/>
            <w:left w:w="108" w:type="dxa"/>
            <w:bottom w:w="0" w:type="dxa"/>
            <w:right w:w="108" w:type="dxa"/>
          </w:tblCellMar>
        </w:tblPrEx>
        <w:trPr>
          <w:trHeight w:val="6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27</w:t>
            </w:r>
          </w:p>
        </w:tc>
        <w:tc>
          <w:tcPr>
            <w:tcW w:w="136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个人中心</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自定义首页：</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支持自定义配置首页功能，按需调整需显示的图表、菜单、样式；</w:t>
            </w:r>
          </w:p>
        </w:tc>
      </w:tr>
      <w:tr>
        <w:tblPrEx>
          <w:tblCellMar>
            <w:top w:w="0" w:type="dxa"/>
            <w:left w:w="108" w:type="dxa"/>
            <w:bottom w:w="0" w:type="dxa"/>
            <w:right w:w="108" w:type="dxa"/>
          </w:tblCellMar>
        </w:tblPrEx>
        <w:trPr>
          <w:trHeight w:val="117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28</w:t>
            </w:r>
          </w:p>
        </w:tc>
        <w:tc>
          <w:tcPr>
            <w:tcW w:w="136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b/>
                <w:bCs/>
                <w:i w:val="0"/>
                <w:iCs w:val="0"/>
                <w:color w:val="000000"/>
                <w:sz w:val="24"/>
                <w:szCs w:val="24"/>
                <w:highlight w:val="none"/>
                <w:u w:val="none"/>
              </w:rPr>
            </w:pP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消息预警：</w:t>
            </w:r>
            <w:r>
              <w:rPr>
                <w:rFonts w:hint="eastAsia" w:ascii="方正仿宋_GBK" w:hAnsi="方正仿宋_GBK" w:eastAsia="方正仿宋_GBK" w:cs="方正仿宋_GBK"/>
                <w:i w:val="0"/>
                <w:iCs w:val="0"/>
                <w:color w:val="000000"/>
                <w:kern w:val="0"/>
                <w:sz w:val="24"/>
                <w:szCs w:val="24"/>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支持合同到期提醒、商铺经营预警、欠费预警、流程待办以及各类公告消息</w:t>
            </w:r>
          </w:p>
        </w:tc>
      </w:tr>
      <w:tr>
        <w:tblPrEx>
          <w:tblCellMar>
            <w:top w:w="0" w:type="dxa"/>
            <w:left w:w="108" w:type="dxa"/>
            <w:bottom w:w="0" w:type="dxa"/>
            <w:right w:w="108" w:type="dxa"/>
          </w:tblCellMar>
        </w:tblPrEx>
        <w:trPr>
          <w:trHeight w:val="141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w:t>
            </w:r>
          </w:p>
        </w:tc>
        <w:tc>
          <w:tcPr>
            <w:tcW w:w="1365" w:type="dxa"/>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报表中心</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方正仿宋_GBK" w:hAnsi="方正仿宋_GBK" w:eastAsia="方正仿宋_GBK" w:cs="方正仿宋_GBK"/>
                <w:i w:val="0"/>
                <w:iCs w:val="0"/>
                <w:color w:val="000000"/>
                <w:kern w:val="0"/>
                <w:sz w:val="24"/>
                <w:szCs w:val="24"/>
                <w:highlight w:val="none"/>
                <w:u w:val="none"/>
                <w:lang w:val="en-US" w:eastAsia="zh-CN" w:bidi="ar"/>
              </w:rPr>
              <w:t></w:t>
            </w:r>
            <w:r>
              <w:rPr>
                <w:rFonts w:hint="eastAsia" w:ascii="方正仿宋_GBK" w:hAnsi="方正仿宋_GBK" w:eastAsia="方正仿宋_GBK" w:cs="方正仿宋_GBK"/>
                <w:i w:val="0"/>
                <w:iCs w:val="0"/>
                <w:color w:val="000000"/>
                <w:kern w:val="0"/>
                <w:sz w:val="24"/>
                <w:szCs w:val="24"/>
                <w:highlight w:val="none"/>
                <w:u w:val="none"/>
                <w:lang w:val="en-US" w:eastAsia="zh-CN" w:bidi="ar"/>
              </w:rPr>
              <w:t>支持招商、营运、财务相关的报表，包括招商进度控制表、招商工作量统计、商铺经营日/月报、商铺销售排行、销售预算完成分析、商铺综合分析、银行对账流水、核验报表、营收汇总表、收益分析表、费用结算表、累计抽成统计、出租率统计等业务报表；</w:t>
            </w:r>
          </w:p>
        </w:tc>
      </w:tr>
      <w:tr>
        <w:tblPrEx>
          <w:tblCellMar>
            <w:top w:w="0" w:type="dxa"/>
            <w:left w:w="108" w:type="dxa"/>
            <w:bottom w:w="0" w:type="dxa"/>
            <w:right w:w="108" w:type="dxa"/>
          </w:tblCellMar>
        </w:tblPrEx>
        <w:trPr>
          <w:trHeight w:val="47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二</w:t>
            </w:r>
          </w:p>
        </w:tc>
        <w:tc>
          <w:tcPr>
            <w:tcW w:w="85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其它</w:t>
            </w:r>
          </w:p>
        </w:tc>
      </w:tr>
      <w:tr>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需求调研</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方正仿宋_GBK" w:hAnsi="方正仿宋_GBK" w:eastAsia="方正仿宋_GBK" w:cs="方正仿宋_GBK"/>
                <w:i w:val="0"/>
                <w:iCs w:val="0"/>
                <w:color w:val="000000"/>
                <w:kern w:val="0"/>
                <w:sz w:val="24"/>
                <w:szCs w:val="24"/>
                <w:highlight w:val="none"/>
                <w:u w:val="none"/>
                <w:lang w:val="en-US" w:eastAsia="zh-CN" w:bidi="ar"/>
              </w:rPr>
              <w:t>需求调研，业务流程整合，输出蓝图</w:t>
            </w:r>
          </w:p>
        </w:tc>
      </w:tr>
      <w:tr>
        <w:tblPrEx>
          <w:tblCellMar>
            <w:top w:w="0" w:type="dxa"/>
            <w:left w:w="108" w:type="dxa"/>
            <w:bottom w:w="0" w:type="dxa"/>
            <w:right w:w="108" w:type="dxa"/>
          </w:tblCellMar>
        </w:tblPrEx>
        <w:trPr>
          <w:trHeight w:val="475" w:hRule="atLeast"/>
        </w:trPr>
        <w:tc>
          <w:tcPr>
            <w:tcW w:w="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i w:val="0"/>
                <w:iCs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部署实施</w:t>
            </w:r>
          </w:p>
        </w:tc>
        <w:tc>
          <w:tcPr>
            <w:tcW w:w="7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default" w:ascii="方正仿宋_GBK" w:hAnsi="方正仿宋_GBK" w:eastAsia="方正仿宋_GBK" w:cs="方正仿宋_GBK"/>
                <w:i w:val="0"/>
                <w:iCs w:val="0"/>
                <w:color w:val="000000"/>
                <w:kern w:val="0"/>
                <w:sz w:val="24"/>
                <w:szCs w:val="24"/>
                <w:highlight w:val="none"/>
                <w:u w:val="none"/>
                <w:lang w:val="en-US" w:eastAsia="zh-CN" w:bidi="ar"/>
              </w:rPr>
              <w:t>现场部署实施</w:t>
            </w:r>
            <w:r>
              <w:rPr>
                <w:rFonts w:hint="eastAsia" w:ascii="方正仿宋_GBK" w:hAnsi="方正仿宋_GBK" w:eastAsia="方正仿宋_GBK" w:cs="方正仿宋_GBK"/>
                <w:i w:val="0"/>
                <w:iCs w:val="0"/>
                <w:color w:val="000000"/>
                <w:kern w:val="0"/>
                <w:sz w:val="24"/>
                <w:szCs w:val="24"/>
                <w:highlight w:val="none"/>
                <w:u w:val="none"/>
                <w:lang w:val="en-US" w:eastAsia="zh-CN" w:bidi="ar"/>
              </w:rPr>
              <w:t>、培训（线下培训至少2次、线上培训至少3次），同时缺陷责任期为一年（自甲方成功验收起计算）。</w:t>
            </w:r>
          </w:p>
        </w:tc>
      </w:tr>
    </w:tbl>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hint="default" w:ascii="方正楷体_GBK" w:hAnsi="方正楷体_GBK" w:eastAsia="方正楷体_GBK" w:cs="方正楷体_GBK"/>
          <w:b w:val="0"/>
          <w:bCs/>
          <w:sz w:val="32"/>
          <w:szCs w:val="32"/>
          <w:highlight w:val="none"/>
          <w:lang w:val="en-US" w:eastAsia="zh-CN"/>
        </w:rPr>
      </w:pPr>
      <w:bookmarkStart w:id="1" w:name="_bookmark9"/>
      <w:bookmarkEnd w:id="1"/>
      <w:r>
        <w:rPr>
          <w:rFonts w:hint="eastAsia" w:ascii="方正楷体_GBK" w:hAnsi="方正楷体_GBK" w:eastAsia="方正楷体_GBK" w:cs="方正楷体_GBK"/>
          <w:bCs/>
          <w:szCs w:val="32"/>
          <w:highlight w:val="none"/>
        </w:rPr>
        <w:t xml:space="preserve">  </w:t>
      </w:r>
      <w:r>
        <w:rPr>
          <w:rFonts w:hint="eastAsia"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三</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rPr>
        <w:t>服务要求</w:t>
      </w:r>
    </w:p>
    <w:p>
      <w:pPr>
        <w:keepNext w:val="0"/>
        <w:keepLines w:val="0"/>
        <w:pageBreakBefore w:val="0"/>
        <w:widowControl w:val="0"/>
        <w:kinsoku/>
        <w:wordWrap/>
        <w:overflowPunct/>
        <w:topLinePunct w:val="0"/>
        <w:autoSpaceDE/>
        <w:autoSpaceDN/>
        <w:bidi w:val="0"/>
        <w:adjustRightInd/>
        <w:spacing w:line="520" w:lineRule="exact"/>
        <w:ind w:firstLine="633"/>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1、系统部署</w:t>
      </w:r>
    </w:p>
    <w:p>
      <w:pPr>
        <w:pStyle w:val="5"/>
        <w:keepNext w:val="0"/>
        <w:keepLines w:val="0"/>
        <w:pageBreakBefore w:val="0"/>
        <w:widowControl w:val="0"/>
        <w:kinsoku/>
        <w:wordWrap/>
        <w:overflowPunct/>
        <w:topLinePunct w:val="0"/>
        <w:autoSpaceDE/>
        <w:autoSpaceDN/>
        <w:bidi w:val="0"/>
        <w:adjustRightInd/>
        <w:spacing w:line="520" w:lineRule="exact"/>
        <w:ind w:left="0" w:leftChars="0"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本项目安装部署采用“高速云”部署，由采购人提供计算资源、存储资源、操作系统、数据库等基础环境，供应商实施部署，同时供应商应保证与</w:t>
      </w:r>
      <w:r>
        <w:rPr>
          <w:rFonts w:hint="eastAsia" w:ascii="方正仿宋_GBK" w:hAnsi="方正仿宋_GBK" w:eastAsia="方正仿宋_GBK" w:cs="方正仿宋_GBK"/>
          <w:kern w:val="2"/>
          <w:sz w:val="32"/>
          <w:szCs w:val="32"/>
          <w:highlight w:val="none"/>
          <w:lang w:val="en-US" w:eastAsia="zh-Hans" w:bidi="ar-SA"/>
        </w:rPr>
        <w:t>本项目相关系统</w:t>
      </w:r>
      <w:r>
        <w:rPr>
          <w:rFonts w:hint="eastAsia" w:ascii="方正仿宋_GBK" w:hAnsi="方正仿宋_GBK" w:eastAsia="方正仿宋_GBK" w:cs="方正仿宋_GBK"/>
          <w:kern w:val="2"/>
          <w:sz w:val="32"/>
          <w:szCs w:val="32"/>
          <w:highlight w:val="none"/>
          <w:lang w:val="en-US" w:eastAsia="zh-CN" w:bidi="ar-SA"/>
        </w:rPr>
        <w:t>的数据对接。采购人提供的相关资源如下：</w:t>
      </w:r>
    </w:p>
    <w:tbl>
      <w:tblPr>
        <w:tblStyle w:val="16"/>
        <w:tblW w:w="10110" w:type="dxa"/>
        <w:jc w:val="center"/>
        <w:tblLayout w:type="autofit"/>
        <w:tblCellMar>
          <w:top w:w="0" w:type="dxa"/>
          <w:left w:w="108" w:type="dxa"/>
          <w:bottom w:w="0" w:type="dxa"/>
          <w:right w:w="108" w:type="dxa"/>
        </w:tblCellMar>
      </w:tblPr>
      <w:tblGrid>
        <w:gridCol w:w="764"/>
        <w:gridCol w:w="2332"/>
        <w:gridCol w:w="995"/>
        <w:gridCol w:w="3925"/>
        <w:gridCol w:w="1047"/>
        <w:gridCol w:w="1047"/>
      </w:tblGrid>
      <w:tr>
        <w:tblPrEx>
          <w:tblCellMar>
            <w:top w:w="0" w:type="dxa"/>
            <w:left w:w="108" w:type="dxa"/>
            <w:bottom w:w="0" w:type="dxa"/>
            <w:right w:w="108" w:type="dxa"/>
          </w:tblCellMar>
        </w:tblPrEx>
        <w:trPr>
          <w:trHeight w:val="570" w:hRule="atLeast"/>
          <w:jc w:val="center"/>
        </w:trPr>
        <w:tc>
          <w:tcPr>
            <w:tcW w:w="764"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序号</w:t>
            </w:r>
          </w:p>
        </w:tc>
        <w:tc>
          <w:tcPr>
            <w:tcW w:w="2332"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名称</w:t>
            </w:r>
          </w:p>
        </w:tc>
        <w:tc>
          <w:tcPr>
            <w:tcW w:w="995"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品牌</w:t>
            </w:r>
          </w:p>
        </w:tc>
        <w:tc>
          <w:tcPr>
            <w:tcW w:w="3925"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参数</w:t>
            </w:r>
          </w:p>
        </w:tc>
        <w:tc>
          <w:tcPr>
            <w:tcW w:w="1047"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单位</w:t>
            </w:r>
          </w:p>
        </w:tc>
        <w:tc>
          <w:tcPr>
            <w:tcW w:w="1047" w:type="dxa"/>
            <w:tcBorders>
              <w:top w:val="nil"/>
              <w:left w:val="single" w:color="000000" w:sz="4" w:space="0"/>
              <w:bottom w:val="single" w:color="000000" w:sz="4" w:space="0"/>
              <w:right w:val="single" w:color="000000" w:sz="4" w:space="0"/>
            </w:tcBorders>
            <w:shd w:val="clear" w:color="auto" w:fill="0070C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9FBFA"/>
                <w:sz w:val="24"/>
                <w:szCs w:val="24"/>
                <w:highlight w:val="none"/>
                <w:u w:val="none"/>
              </w:rPr>
            </w:pPr>
            <w:r>
              <w:rPr>
                <w:rFonts w:hint="eastAsia" w:ascii="宋体" w:hAnsi="宋体" w:eastAsia="宋体" w:cs="宋体"/>
                <w:b/>
                <w:bCs/>
                <w:i w:val="0"/>
                <w:iCs w:val="0"/>
                <w:color w:val="F9FBFA"/>
                <w:kern w:val="0"/>
                <w:sz w:val="24"/>
                <w:szCs w:val="24"/>
                <w:highlight w:val="none"/>
                <w:u w:val="none"/>
                <w:lang w:val="en-US" w:eastAsia="zh-CN" w:bidi="ar"/>
              </w:rPr>
              <w:t>数量</w:t>
            </w:r>
          </w:p>
        </w:tc>
      </w:tr>
      <w:tr>
        <w:tblPrEx>
          <w:tblCellMar>
            <w:top w:w="0" w:type="dxa"/>
            <w:left w:w="108" w:type="dxa"/>
            <w:bottom w:w="0" w:type="dxa"/>
            <w:right w:w="108" w:type="dxa"/>
          </w:tblCellMar>
        </w:tblPrEx>
        <w:trPr>
          <w:trHeight w:val="4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NGINX服务器(主)</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弹性X86云主机（4核16GB内存）,频率大于3GHz,高IO数据盘100G</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应用程序服务器(主)</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弹性X86云主机（8核32GB内存）,频率大于3GHz,系统盘100GB，高IO数据盘400G</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应用程序服务器(备)</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弹性X86云主机（8核32GB内存）,频率大于3GHz,系统盘100GB，高IO数据盘400G</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数据库服务器</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弹性X86云主机（8核32GB内存）,频率大于3GHz,系统盘100GB，高IO数据盘400G</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31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存储</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高IO块存储</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GB</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2600</w:t>
            </w:r>
          </w:p>
        </w:tc>
      </w:tr>
      <w:tr>
        <w:tblPrEx>
          <w:tblCellMar>
            <w:top w:w="0" w:type="dxa"/>
            <w:left w:w="108" w:type="dxa"/>
            <w:bottom w:w="0" w:type="dxa"/>
            <w:right w:w="108" w:type="dxa"/>
          </w:tblCellMar>
        </w:tblPrEx>
        <w:trPr>
          <w:trHeight w:val="392"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公网宽带（弹性公网IP）</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每兆带宽费用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M</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50</w:t>
            </w:r>
          </w:p>
        </w:tc>
      </w:tr>
      <w:tr>
        <w:tblPrEx>
          <w:tblCellMar>
            <w:top w:w="0" w:type="dxa"/>
            <w:left w:w="108" w:type="dxa"/>
            <w:bottom w:w="0" w:type="dxa"/>
            <w:right w:w="108" w:type="dxa"/>
          </w:tblCellMar>
        </w:tblPrEx>
        <w:trPr>
          <w:trHeight w:val="5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w:t>
            </w:r>
          </w:p>
        </w:tc>
        <w:tc>
          <w:tcPr>
            <w:tcW w:w="2332" w:type="dxa"/>
            <w:tcBorders>
              <w:top w:val="single" w:color="000000" w:sz="4" w:space="0"/>
              <w:left w:val="nil"/>
              <w:bottom w:val="single" w:color="000000" w:sz="4" w:space="0"/>
              <w:right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云备份（本地备份）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提供云主机、云硬盘的备份</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GB</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2600</w:t>
            </w:r>
          </w:p>
        </w:tc>
      </w:tr>
      <w:tr>
        <w:tblPrEx>
          <w:tblCellMar>
            <w:top w:w="0" w:type="dxa"/>
            <w:left w:w="108" w:type="dxa"/>
            <w:bottom w:w="0" w:type="dxa"/>
            <w:right w:w="108" w:type="dxa"/>
          </w:tblCellMar>
        </w:tblPrEx>
        <w:trPr>
          <w:trHeight w:val="9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软件服务</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Windows Server 64位（2016/2019 /2022等）数据中心版授权，提供租用、安装等技术支持服务</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套</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r>
      <w:tr>
        <w:tblPrEx>
          <w:tblCellMar>
            <w:top w:w="0" w:type="dxa"/>
            <w:left w:w="108" w:type="dxa"/>
            <w:bottom w:w="0" w:type="dxa"/>
            <w:right w:w="108" w:type="dxa"/>
          </w:tblCellMar>
        </w:tblPrEx>
        <w:trPr>
          <w:trHeight w:val="4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9</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云数据库服务器(主）</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弹性X86云主机（16核128GB内存）,频率大于3GHz,高IO数据盘500G</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7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云数据库服务器(备）</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高速云</w:t>
            </w:r>
          </w:p>
        </w:tc>
        <w:tc>
          <w:tcPr>
            <w:tcW w:w="3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弹性X86云主机（8核64GB内存）,频率大于3GHz,高IO数据盘500G</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r>
    </w:tbl>
    <w:p>
      <w:pPr>
        <w:pageBreakBefore w:val="0"/>
        <w:widowControl w:val="0"/>
        <w:numPr>
          <w:ilvl w:val="0"/>
          <w:numId w:val="0"/>
        </w:numPr>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供应商应在2023年6月30日前完成该系统的安装部署，并7月30日前完成3.5对服务区试运行（1-8项资源可供5对服务区正常接入使用，当接入服务区数量增加时第9、10项资源按需增加）。后期按照采购人需求完成总计35对（含一批上线的3.5对）服务区的接入工作，原则上应在采购人书面通知后一个月内完成（原则上月度完成量不低于5对服务区）。</w:t>
      </w:r>
    </w:p>
    <w:p>
      <w:pPr>
        <w:pageBreakBefore w:val="0"/>
        <w:widowControl w:val="0"/>
        <w:numPr>
          <w:ilvl w:val="0"/>
          <w:numId w:val="0"/>
        </w:numPr>
        <w:kinsoku/>
        <w:wordWrap/>
        <w:overflowPunct/>
        <w:topLinePunct w:val="0"/>
        <w:autoSpaceDE/>
        <w:autoSpaceDN/>
        <w:bidi w:val="0"/>
        <w:adjustRightInd/>
        <w:spacing w:line="520" w:lineRule="exact"/>
        <w:ind w:firstLine="632"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w:t>
      </w:r>
      <w:r>
        <w:rPr>
          <w:rFonts w:hint="default" w:ascii="方正仿宋_GBK" w:hAnsi="方正仿宋_GBK" w:eastAsia="方正仿宋_GBK" w:cs="方正仿宋_GBK"/>
          <w:color w:val="auto"/>
          <w:kern w:val="2"/>
          <w:sz w:val="32"/>
          <w:szCs w:val="32"/>
          <w:highlight w:val="none"/>
          <w:lang w:val="en-US" w:eastAsia="zh-CN" w:bidi="ar-SA"/>
        </w:rPr>
        <w:t>项目保密要求</w:t>
      </w:r>
    </w:p>
    <w:p>
      <w:pPr>
        <w:pageBreakBefore w:val="0"/>
        <w:widowControl w:val="0"/>
        <w:numPr>
          <w:ilvl w:val="0"/>
          <w:numId w:val="0"/>
        </w:numPr>
        <w:kinsoku/>
        <w:wordWrap/>
        <w:overflowPunct/>
        <w:topLinePunct w:val="0"/>
        <w:autoSpaceDE/>
        <w:autoSpaceDN/>
        <w:bidi w:val="0"/>
        <w:adjustRightInd/>
        <w:spacing w:line="520" w:lineRule="exact"/>
        <w:ind w:firstLine="632"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供应商</w:t>
      </w:r>
      <w:r>
        <w:rPr>
          <w:rFonts w:hint="default" w:ascii="方正仿宋_GBK" w:hAnsi="方正仿宋_GBK" w:eastAsia="方正仿宋_GBK" w:cs="方正仿宋_GBK"/>
          <w:color w:val="auto"/>
          <w:kern w:val="2"/>
          <w:sz w:val="32"/>
          <w:szCs w:val="32"/>
          <w:highlight w:val="none"/>
          <w:lang w:val="en-US" w:eastAsia="zh-CN" w:bidi="ar-SA"/>
        </w:rPr>
        <w:t>必须对</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default" w:ascii="方正仿宋_GBK" w:hAnsi="方正仿宋_GBK" w:eastAsia="方正仿宋_GBK" w:cs="方正仿宋_GBK"/>
          <w:color w:val="auto"/>
          <w:kern w:val="2"/>
          <w:sz w:val="32"/>
          <w:szCs w:val="32"/>
          <w:highlight w:val="none"/>
          <w:lang w:val="en-US" w:eastAsia="zh-CN" w:bidi="ar-SA"/>
        </w:rPr>
        <w:t>提供的所有资料和信息予以保密。未经</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default" w:ascii="方正仿宋_GBK" w:hAnsi="方正仿宋_GBK" w:eastAsia="方正仿宋_GBK" w:cs="方正仿宋_GBK"/>
          <w:color w:val="auto"/>
          <w:kern w:val="2"/>
          <w:sz w:val="32"/>
          <w:szCs w:val="32"/>
          <w:highlight w:val="none"/>
          <w:lang w:val="en-US" w:eastAsia="zh-CN" w:bidi="ar-SA"/>
        </w:rPr>
        <w:t>书面许可，</w:t>
      </w:r>
      <w:r>
        <w:rPr>
          <w:rFonts w:hint="eastAsia" w:ascii="方正仿宋_GBK" w:hAnsi="方正仿宋_GBK" w:eastAsia="方正仿宋_GBK" w:cs="方正仿宋_GBK"/>
          <w:color w:val="auto"/>
          <w:kern w:val="2"/>
          <w:sz w:val="32"/>
          <w:szCs w:val="32"/>
          <w:highlight w:val="none"/>
          <w:lang w:val="en-US" w:eastAsia="zh-CN" w:bidi="ar-SA"/>
        </w:rPr>
        <w:t>供应商</w:t>
      </w:r>
      <w:r>
        <w:rPr>
          <w:rFonts w:hint="default" w:ascii="方正仿宋_GBK" w:hAnsi="方正仿宋_GBK" w:eastAsia="方正仿宋_GBK" w:cs="方正仿宋_GBK"/>
          <w:color w:val="auto"/>
          <w:kern w:val="2"/>
          <w:sz w:val="32"/>
          <w:szCs w:val="32"/>
          <w:highlight w:val="none"/>
          <w:lang w:val="en-US" w:eastAsia="zh-CN" w:bidi="ar-SA"/>
        </w:rPr>
        <w:t>不得以任何形式向第三方透露本项目的任何内容。</w:t>
      </w:r>
    </w:p>
    <w:p>
      <w:pPr>
        <w:pageBreakBefore w:val="0"/>
        <w:widowControl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3、可扩充性和可移植性。系统可运行在不同的软硬件平台上，易于以后系统升级和移植；系统开发要遵循主流的标准和协议，便于系统内部各功能模块对接，满足系统扩充性的要求。</w:t>
      </w:r>
    </w:p>
    <w:p>
      <w:pPr>
        <w:pageBreakBefore w:val="0"/>
        <w:widowControl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ab/>
      </w:r>
      <w:r>
        <w:rPr>
          <w:rFonts w:hint="eastAsia" w:ascii="方正仿宋_GBK" w:hAnsi="方正仿宋_GBK" w:eastAsia="方正仿宋_GBK" w:cs="方正仿宋_GBK"/>
          <w:color w:val="auto"/>
          <w:kern w:val="2"/>
          <w:sz w:val="32"/>
          <w:szCs w:val="32"/>
          <w:highlight w:val="none"/>
          <w:lang w:val="en-US" w:eastAsia="zh-CN" w:bidi="ar-SA"/>
        </w:rPr>
        <w:t>可靠性和安全性。系统应满足向各类用户提供 7×24 小时的不间断服务的要求；系统还应提供合理有效的数据备份、恢复策略和保护机制，稳定性要求，系统应可以全年稳定连续运行，导致业务连续停止时间不超过 8 小时。一个月内不重启服务器可不间断访问系统，系统的运行效率不会明显降低。</w:t>
      </w:r>
    </w:p>
    <w:p>
      <w:pPr>
        <w:pageBreakBefore w:val="0"/>
        <w:widowControl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ab/>
      </w:r>
      <w:r>
        <w:rPr>
          <w:rFonts w:hint="eastAsia" w:ascii="方正仿宋_GBK" w:hAnsi="方正仿宋_GBK" w:eastAsia="方正仿宋_GBK" w:cs="方正仿宋_GBK"/>
          <w:color w:val="auto"/>
          <w:kern w:val="2"/>
          <w:sz w:val="32"/>
          <w:szCs w:val="32"/>
          <w:highlight w:val="none"/>
          <w:lang w:val="en-US" w:eastAsia="zh-CN" w:bidi="ar-SA"/>
        </w:rPr>
        <w:t xml:space="preserve"> 可追溯性。系统应具备完善的使用授权、监控和日志管理机制，能够对各类访问和操作进行审计。</w:t>
      </w:r>
    </w:p>
    <w:p>
      <w:pPr>
        <w:pageBreakBefore w:val="0"/>
        <w:widowControl w:val="0"/>
        <w:kinsoku/>
        <w:wordWrap/>
        <w:overflowPunct/>
        <w:topLinePunct w:val="0"/>
        <w:autoSpaceDE/>
        <w:autoSpaceDN/>
        <w:bidi w:val="0"/>
        <w:adjustRightInd/>
        <w:spacing w:line="520" w:lineRule="exact"/>
        <w:textAlignment w:val="auto"/>
        <w:rPr>
          <w:rFonts w:hint="default"/>
          <w:highlight w:val="none"/>
          <w:lang w:val="en-US" w:eastAsia="zh-CN"/>
        </w:rPr>
      </w:pPr>
      <w:r>
        <w:rPr>
          <w:rFonts w:hint="eastAsia" w:ascii="方正仿宋_GBK" w:hAnsi="方正仿宋_GBK" w:eastAsia="方正仿宋_GBK" w:cs="方正仿宋_GBK"/>
          <w:kern w:val="2"/>
          <w:sz w:val="32"/>
          <w:szCs w:val="32"/>
          <w:highlight w:val="none"/>
          <w:lang w:val="en-US" w:eastAsia="zh-CN" w:bidi="ar-SA"/>
        </w:rPr>
        <w:t xml:space="preserve">    4、项目采购原则</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（1）先进性原则。采用成熟的面向对象的软件开发技术、模块化的系统集成方案及多种成熟技术，使得整个系统符合未来的技术发展趋势，既量力而行，又适当超前，留有一定的发展余地。</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（2）安全性原则。严格遵守国家信息安全的要求，结合自身的安全体系建设，充分保证系统、网络和数据的安全。</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（3）标准化原则。支持开放的协议使得信息系统具有良好的可接入性、可移植性、可扩充性。产品选型应 该尽量符合通用的开放标准，应该有统一的技术标准。采用面向服务的体系架构使得业务和技术之间实现无障碍沟通。</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（4）可扩展原则。对信息系统的建设应着眼于发展的眼光，充分考虑到未来业务系统的发展趋势。系统设计要科学、合理，应具有良好的可扩展性。</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（5）稳定性原则。为保障系统最大限度地发挥作用，完成日常的各项功能，系统必须保障功能稳定。采用稳定可靠的成熟技术，保证系统长期稳定安全运行。</w:t>
      </w:r>
    </w:p>
    <w:p>
      <w:pPr>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（6）易用性原则。易用性体现在统一美观的界面、温馨的提示和录入的简洁等操作性方面。</w:t>
      </w:r>
    </w:p>
    <w:p>
      <w:pPr>
        <w:pStyle w:val="8"/>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ascii="方正仿宋_GBK" w:hAnsi="方正仿宋_GBK" w:eastAsia="方正仿宋_GBK" w:cs="方正仿宋_GBK"/>
          <w:sz w:val="32"/>
          <w:szCs w:val="32"/>
          <w:highlight w:val="none"/>
        </w:rPr>
      </w:pPr>
      <w:r>
        <w:rPr>
          <w:rFonts w:hint="eastAsia" w:cs="方正仿宋_GBK"/>
          <w:szCs w:val="32"/>
          <w:highlight w:val="none"/>
        </w:rPr>
        <w:t xml:space="preserve"> </w:t>
      </w:r>
      <w:r>
        <w:rPr>
          <w:rFonts w:hint="eastAsia" w:cs="方正仿宋_GBK"/>
          <w:sz w:val="32"/>
          <w:szCs w:val="32"/>
          <w:highlight w:val="none"/>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、必须满足</w:t>
      </w:r>
      <w:r>
        <w:rPr>
          <w:rFonts w:hint="eastAsia" w:ascii="方正仿宋_GBK" w:hAnsi="方正仿宋_GBK" w:eastAsia="方正仿宋_GBK" w:cs="方正仿宋_GBK"/>
          <w:sz w:val="32"/>
          <w:szCs w:val="32"/>
          <w:highlight w:val="none"/>
          <w:lang w:eastAsia="zh-CN"/>
        </w:rPr>
        <w:t>采购人</w:t>
      </w:r>
      <w:r>
        <w:rPr>
          <w:rFonts w:hint="eastAsia" w:ascii="方正仿宋_GBK" w:hAnsi="方正仿宋_GBK" w:eastAsia="方正仿宋_GBK" w:cs="方正仿宋_GBK"/>
          <w:sz w:val="32"/>
          <w:szCs w:val="32"/>
          <w:highlight w:val="none"/>
        </w:rPr>
        <w:t>质量和技术规范要求，遵守</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各项制度，并且按时完成</w:t>
      </w:r>
      <w:r>
        <w:rPr>
          <w:rFonts w:hint="eastAsia" w:ascii="方正仿宋_GBK" w:hAnsi="方正仿宋_GBK" w:eastAsia="方正仿宋_GBK" w:cs="方正仿宋_GBK"/>
          <w:sz w:val="32"/>
          <w:szCs w:val="32"/>
          <w:highlight w:val="none"/>
          <w:lang w:val="en-US" w:eastAsia="zh-CN"/>
        </w:rPr>
        <w:t>系统</w:t>
      </w:r>
      <w:r>
        <w:rPr>
          <w:rFonts w:hint="eastAsia" w:ascii="方正仿宋_GBK" w:hAnsi="方正仿宋_GBK" w:eastAsia="方正仿宋_GBK" w:cs="方正仿宋_GBK"/>
          <w:sz w:val="32"/>
          <w:szCs w:val="32"/>
          <w:highlight w:val="none"/>
        </w:rPr>
        <w:t>上线验收工作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如供应商根据功能需求新开发则该系统知识产权归属于</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lang w:val="en-US" w:eastAsia="zh-CN"/>
        </w:rPr>
        <w:t>，如供应商提供其已开发的成品系统则应按照</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lang w:val="en-US" w:eastAsia="zh-CN"/>
        </w:rPr>
        <w:t>实际需求进行定制开发，则报价为该系统永久授权（35对服务区授权）。</w:t>
      </w:r>
    </w:p>
    <w:p>
      <w:pPr>
        <w:pStyle w:val="8"/>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、如软件出现功能、性能及其他技术问题，供应商在接到通知后3小时内做出响应，如远程不能解决问题，</w:t>
      </w:r>
      <w:r>
        <w:rPr>
          <w:rFonts w:hint="eastAsia" w:ascii="方正仿宋_GBK" w:hAnsi="方正仿宋_GBK" w:eastAsia="方正仿宋_GBK" w:cs="方正仿宋_GBK"/>
          <w:sz w:val="32"/>
          <w:szCs w:val="32"/>
          <w:highlight w:val="none"/>
          <w:lang w:val="en-US" w:eastAsia="zh-CN"/>
        </w:rPr>
        <w:t>24</w:t>
      </w:r>
      <w:r>
        <w:rPr>
          <w:rFonts w:hint="eastAsia" w:ascii="方正仿宋_GBK" w:hAnsi="方正仿宋_GBK" w:eastAsia="方正仿宋_GBK" w:cs="方正仿宋_GBK"/>
          <w:sz w:val="32"/>
          <w:szCs w:val="32"/>
          <w:highlight w:val="none"/>
        </w:rPr>
        <w:t>小时内派技术人员到现场处理。</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1"/>
        <w:textAlignment w:val="auto"/>
        <w:rPr>
          <w:rFonts w:hint="eastAsia" w:ascii="方正仿宋_GBK" w:hAnsi="方正仿宋_GBK" w:eastAsia="方正仿宋_GBK" w:cs="方正仿宋_GBK"/>
          <w:sz w:val="32"/>
          <w:szCs w:val="32"/>
          <w:highlight w:val="none"/>
        </w:rPr>
      </w:pPr>
      <w:bookmarkStart w:id="2" w:name="_bookmark10"/>
      <w:bookmarkEnd w:id="2"/>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、应标单位应具有软件前后端开发的能力。项目负责人拥有丰富软件工作经验，能指导技术团队完成开发、测试和上线工作。</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0" w:leftChars="0" w:right="0" w:firstLine="632" w:firstLineChars="200"/>
        <w:textAlignment w:val="auto"/>
        <w:rPr>
          <w:rFonts w:hint="eastAsia" w:ascii="方正黑体_GBK" w:hAnsi="方正黑体_GBK" w:eastAsia="方正黑体_GBK" w:cs="方正黑体_GBK"/>
          <w:b w:val="0"/>
          <w:bCs/>
          <w:sz w:val="32"/>
          <w:szCs w:val="32"/>
          <w:highlight w:val="none"/>
        </w:rPr>
      </w:pPr>
      <w:bookmarkStart w:id="3" w:name="_Toc8451"/>
      <w:r>
        <w:rPr>
          <w:rFonts w:hint="eastAsia" w:ascii="方正黑体_GBK" w:hAnsi="方正黑体_GBK" w:eastAsia="方正黑体_GBK" w:cs="方正黑体_GBK"/>
          <w:b w:val="0"/>
          <w:bCs/>
          <w:sz w:val="32"/>
          <w:szCs w:val="32"/>
          <w:highlight w:val="none"/>
          <w:lang w:val="en-US" w:eastAsia="zh-CN"/>
        </w:rPr>
        <w:t>三、</w:t>
      </w:r>
      <w:r>
        <w:rPr>
          <w:rFonts w:hint="eastAsia" w:ascii="方正黑体_GBK" w:hAnsi="方正黑体_GBK" w:eastAsia="方正黑体_GBK" w:cs="方正黑体_GBK"/>
          <w:b w:val="0"/>
          <w:bCs/>
          <w:sz w:val="32"/>
          <w:szCs w:val="32"/>
          <w:highlight w:val="none"/>
        </w:rPr>
        <w:t>资格条件</w:t>
      </w:r>
      <w:bookmarkEnd w:id="3"/>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0" w:leftChars="0" w:right="0" w:firstLine="632" w:firstLineChars="200"/>
        <w:textAlignment w:val="auto"/>
        <w:rPr>
          <w:rFonts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供应商是指向采购人提供服务或者货物的法人、其他组织或者自然人。合格的供应商应首先符合政府采购法第二十二条规定的基本资格条件。</w:t>
      </w:r>
    </w:p>
    <w:p>
      <w:pPr>
        <w:pStyle w:val="4"/>
        <w:pageBreakBefore w:val="0"/>
        <w:widowControl w:val="0"/>
        <w:numPr>
          <w:ilvl w:val="0"/>
          <w:numId w:val="0"/>
        </w:numPr>
        <w:kinsoku/>
        <w:wordWrap/>
        <w:overflowPunct/>
        <w:topLinePunct w:val="0"/>
        <w:autoSpaceDE/>
        <w:autoSpaceDN/>
        <w:bidi w:val="0"/>
        <w:adjustRightInd/>
        <w:snapToGrid w:val="0"/>
        <w:spacing w:before="0" w:after="0" w:line="520" w:lineRule="exact"/>
        <w:ind w:leftChars="200" w:right="0" w:rightChars="0"/>
        <w:textAlignment w:val="auto"/>
        <w:rPr>
          <w:rFonts w:ascii="方正仿宋_GBK" w:hAnsi="方正仿宋_GBK" w:eastAsia="方正仿宋_GBK" w:cs="方正仿宋_GBK"/>
          <w:b/>
          <w:bCs w:val="0"/>
          <w:szCs w:val="32"/>
          <w:highlight w:val="none"/>
        </w:rPr>
      </w:pPr>
      <w:bookmarkStart w:id="4" w:name="_Toc9253"/>
      <w:r>
        <w:rPr>
          <w:rFonts w:hint="eastAsia" w:ascii="方正楷体_GBK" w:hAnsi="方正楷体_GBK" w:eastAsia="方正楷体_GBK" w:cs="方正楷体_GBK"/>
          <w:b/>
          <w:bCs w:val="0"/>
          <w:szCs w:val="32"/>
          <w:highlight w:val="none"/>
        </w:rPr>
        <w:t>（一）一般资质条件</w:t>
      </w:r>
      <w:bookmarkEnd w:id="4"/>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1、具有独立承担民事责任的能力</w:t>
      </w:r>
      <w:r>
        <w:rPr>
          <w:rFonts w:hint="eastAsia" w:ascii="方正仿宋_GBK" w:hAnsi="方正仿宋_GBK" w:eastAsia="方正仿宋_GBK" w:cs="方正仿宋_GBK"/>
          <w:sz w:val="32"/>
          <w:szCs w:val="32"/>
          <w:highlight w:val="none"/>
          <w:lang w:eastAsia="zh-CN"/>
        </w:rPr>
        <w:t>。</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2、具有良好的商业信誉</w:t>
      </w:r>
      <w:r>
        <w:rPr>
          <w:rFonts w:hint="eastAsia" w:ascii="方正仿宋_GBK" w:hAnsi="方正仿宋_GBK" w:eastAsia="方正仿宋_GBK" w:cs="方正仿宋_GBK"/>
          <w:sz w:val="32"/>
          <w:szCs w:val="32"/>
          <w:highlight w:val="none"/>
          <w:lang w:eastAsia="zh-CN"/>
        </w:rPr>
        <w:t>，在国家企业信用信息公示系统（http://www.gsxt.gov.cn/）中未被列入严重违法失信企业名单（黑名单）信息；在“信用中国”网站（http://www.creditchina.gov.cn/）中未被列入失信惩戒执行人名单。</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3、拥有</w:t>
      </w:r>
      <w:r>
        <w:rPr>
          <w:rFonts w:hint="eastAsia" w:ascii="方正仿宋_GBK" w:hAnsi="方正仿宋_GBK" w:eastAsia="方正仿宋_GBK" w:cs="方正仿宋_GBK"/>
          <w:sz w:val="32"/>
          <w:szCs w:val="32"/>
          <w:highlight w:val="none"/>
        </w:rPr>
        <w:t>健全的财务会计制度</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有依法缴纳税的良好记录</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并提供上年度财务报告（盖鲜章）。</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经营范围需含软件开发、计算机信息技术服务等相关内容；</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、法律、行政法规规定的其他条件。</w:t>
      </w:r>
      <w:bookmarkStart w:id="5" w:name="_Toc11633"/>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二</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业绩及技术相关要求</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1、投标人有近三年（2020年1月1日起）交通商业信息化系统开发或服务成功实施案例的（单个合同金额不少于70万），并提供盖鲜章的合同复印件。</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2、投标人具有交通行业服务区相关软件著作权，并提供盖鲜章的软件著作权复印件。</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3、投标人实施团队至少需要驻场项目经理1名、技术负责人1名，均要求具备8年以上工作经验并具备</w:t>
      </w:r>
      <w:r>
        <w:rPr>
          <w:rFonts w:hint="eastAsia" w:ascii="方正仿宋_GBK" w:hAnsi="方正仿宋_GBK" w:eastAsia="方正仿宋_GBK" w:cs="方正仿宋_GBK"/>
          <w:sz w:val="32"/>
          <w:szCs w:val="32"/>
          <w:highlight w:val="none"/>
          <w:lang w:val="en-US" w:eastAsia="zh-CN"/>
        </w:rPr>
        <w:t>信息系统项目管理师证书</w:t>
      </w:r>
      <w:r>
        <w:rPr>
          <w:rFonts w:hint="eastAsia" w:ascii="方正仿宋_GBK" w:hAnsi="方正仿宋_GBK" w:eastAsia="方正仿宋_GBK" w:cs="方正仿宋_GBK"/>
          <w:color w:val="000000"/>
          <w:kern w:val="0"/>
          <w:sz w:val="32"/>
          <w:szCs w:val="32"/>
          <w:highlight w:val="none"/>
          <w:lang w:val="en-US" w:eastAsia="zh-CN" w:bidi="ar"/>
        </w:rPr>
        <w:t>或PMP证书，并</w:t>
      </w:r>
      <w:r>
        <w:rPr>
          <w:rFonts w:hint="eastAsia" w:ascii="方正仿宋_GBK" w:hAnsi="方正仿宋_GBK" w:eastAsia="方正仿宋_GBK" w:cs="方正仿宋_GBK"/>
          <w:sz w:val="32"/>
          <w:szCs w:val="32"/>
          <w:highlight w:val="none"/>
          <w:lang w:val="en-US" w:eastAsia="zh-CN"/>
        </w:rPr>
        <w:t>提供相关证明资料（盖鲜章的简历、信息系统项目管理师证书或PMP证书复印件及投标人为其缴纳的2023年社保证明）</w:t>
      </w:r>
      <w:r>
        <w:rPr>
          <w:rFonts w:hint="eastAsia" w:ascii="方正仿宋_GBK" w:hAnsi="方正仿宋_GBK" w:eastAsia="方正仿宋_GBK" w:cs="方正仿宋_GBK"/>
          <w:color w:val="000000"/>
          <w:kern w:val="0"/>
          <w:sz w:val="32"/>
          <w:szCs w:val="32"/>
          <w:highlight w:val="none"/>
          <w:lang w:val="en-US" w:eastAsia="zh-CN" w:bidi="ar"/>
        </w:rPr>
        <w:t>。</w:t>
      </w:r>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2" w:firstLineChars="200"/>
        <w:textAlignment w:val="auto"/>
        <w:rPr>
          <w:rFonts w:hint="eastAsia" w:ascii="方正仿宋_GBK" w:hAnsi="方正仿宋_GBK" w:eastAsia="方正仿宋_GBK" w:cs="方正仿宋_GBK"/>
          <w:b/>
          <w:bCs w:val="0"/>
          <w:sz w:val="32"/>
          <w:szCs w:val="32"/>
          <w:highlight w:val="none"/>
        </w:rPr>
      </w:pPr>
      <w:r>
        <w:rPr>
          <w:rFonts w:hint="eastAsia" w:ascii="方正仿宋_GBK" w:hAnsi="方正仿宋_GBK" w:eastAsia="方正仿宋_GBK" w:cs="方正仿宋_GBK"/>
          <w:b/>
          <w:bCs w:val="0"/>
          <w:sz w:val="32"/>
          <w:szCs w:val="32"/>
          <w:highlight w:val="none"/>
        </w:rPr>
        <w:t>（</w:t>
      </w:r>
      <w:r>
        <w:rPr>
          <w:rFonts w:hint="eastAsia" w:ascii="方正仿宋_GBK" w:hAnsi="方正仿宋_GBK" w:eastAsia="方正仿宋_GBK" w:cs="方正仿宋_GBK"/>
          <w:b/>
          <w:bCs w:val="0"/>
          <w:sz w:val="32"/>
          <w:szCs w:val="32"/>
          <w:highlight w:val="none"/>
          <w:lang w:val="en-US" w:eastAsia="zh-CN"/>
        </w:rPr>
        <w:t>三</w:t>
      </w:r>
      <w:r>
        <w:rPr>
          <w:rFonts w:hint="eastAsia" w:ascii="方正仿宋_GBK" w:hAnsi="方正仿宋_GBK" w:eastAsia="方正仿宋_GBK" w:cs="方正仿宋_GBK"/>
          <w:b/>
          <w:bCs w:val="0"/>
          <w:sz w:val="32"/>
          <w:szCs w:val="32"/>
          <w:highlight w:val="none"/>
        </w:rPr>
        <w:t>）其它条件</w:t>
      </w:r>
      <w:bookmarkEnd w:id="5"/>
    </w:p>
    <w:p>
      <w:pPr>
        <w:pageBreakBefore w:val="0"/>
        <w:widowControl w:val="0"/>
        <w:kinsoku/>
        <w:wordWrap/>
        <w:overflowPunct/>
        <w:topLinePunct w:val="0"/>
        <w:autoSpaceDE/>
        <w:autoSpaceDN/>
        <w:bidi w:val="0"/>
        <w:adjustRightInd/>
        <w:snapToGrid w:val="0"/>
        <w:spacing w:line="520" w:lineRule="exact"/>
        <w:ind w:left="0" w:leftChars="0" w:righ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1、单位负责人为同一人或者存在控股、管理关系的不同单位，不得参加同一项目投标。</w:t>
      </w:r>
    </w:p>
    <w:p>
      <w:pPr>
        <w:pageBreakBefore w:val="0"/>
        <w:widowControl w:val="0"/>
        <w:kinsoku/>
        <w:wordWrap/>
        <w:overflowPunct/>
        <w:topLinePunct w:val="0"/>
        <w:autoSpaceDE/>
        <w:autoSpaceDN/>
        <w:bidi w:val="0"/>
        <w:adjustRightInd/>
        <w:snapToGrid w:val="0"/>
        <w:spacing w:line="520" w:lineRule="exact"/>
        <w:ind w:left="0" w:leftChars="0" w:right="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、不接受联合体。</w:t>
      </w:r>
    </w:p>
    <w:p>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520" w:lineRule="exact"/>
        <w:ind w:right="0" w:rightChars="0" w:firstLine="632" w:firstLineChars="200"/>
        <w:textAlignment w:val="auto"/>
        <w:rPr>
          <w:rFonts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sz w:val="32"/>
          <w:szCs w:val="32"/>
          <w:highlight w:val="none"/>
          <w:lang w:val="en-US" w:eastAsia="zh-CN"/>
        </w:rPr>
        <w:t>四</w:t>
      </w:r>
      <w:r>
        <w:rPr>
          <w:rFonts w:hint="eastAsia" w:ascii="方正黑体_GBK" w:hAnsi="方正黑体_GBK" w:eastAsia="方正黑体_GBK" w:cs="方正黑体_GBK"/>
          <w:b w:val="0"/>
          <w:bCs/>
          <w:sz w:val="32"/>
          <w:szCs w:val="32"/>
          <w:highlight w:val="none"/>
        </w:rPr>
        <w:t>、商务要求</w:t>
      </w:r>
    </w:p>
    <w:p>
      <w:pPr>
        <w:pStyle w:val="8"/>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hint="eastAsia" w:ascii="方正仿宋_GBK" w:hAnsi="方正仿宋_GBK" w:eastAsia="方正仿宋_GBK" w:cs="方正仿宋_GBK"/>
          <w:sz w:val="32"/>
          <w:szCs w:val="32"/>
          <w:highlight w:val="none"/>
        </w:rPr>
      </w:pPr>
      <w:r>
        <w:rPr>
          <w:rFonts w:hint="eastAsia" w:cs="方正仿宋_GBK"/>
          <w:szCs w:val="32"/>
          <w:highlight w:val="none"/>
        </w:rPr>
        <w:t xml:space="preserve">  </w:t>
      </w:r>
      <w:r>
        <w:rPr>
          <w:rFonts w:hint="eastAsia" w:ascii="方正仿宋_GBK" w:hAnsi="方正仿宋_GBK" w:eastAsia="方正仿宋_GBK" w:cs="方正仿宋_GBK"/>
          <w:b/>
          <w:bCs/>
          <w:sz w:val="32"/>
          <w:szCs w:val="32"/>
          <w:highlight w:val="none"/>
        </w:rPr>
        <w:t xml:space="preserve">  （一）服务</w:t>
      </w:r>
    </w:p>
    <w:p>
      <w:pPr>
        <w:pStyle w:val="26"/>
        <w:keepNext w:val="0"/>
        <w:keepLines w:val="0"/>
        <w:pageBreakBefore w:val="0"/>
        <w:widowControl w:val="0"/>
        <w:tabs>
          <w:tab w:val="left" w:pos="1211"/>
        </w:tabs>
        <w:kinsoku/>
        <w:wordWrap/>
        <w:overflowPunct/>
        <w:topLinePunct w:val="0"/>
        <w:autoSpaceDE/>
        <w:autoSpaceDN/>
        <w:bidi w:val="0"/>
        <w:adjustRightInd/>
        <w:snapToGrid w:val="0"/>
        <w:spacing w:line="520" w:lineRule="exact"/>
        <w:ind w:left="0" w:leftChars="0" w:right="0" w:firstLine="632"/>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系统部署</w:t>
      </w:r>
      <w:r>
        <w:rPr>
          <w:rFonts w:hint="eastAsia" w:ascii="方正仿宋_GBK" w:hAnsi="方正仿宋_GBK" w:eastAsia="方正仿宋_GBK" w:cs="方正仿宋_GBK"/>
          <w:sz w:val="32"/>
          <w:szCs w:val="32"/>
          <w:highlight w:val="none"/>
        </w:rPr>
        <w:t>过程满足</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质量和技术规范要求，遵守</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各项制度，并且按时完成</w:t>
      </w:r>
      <w:r>
        <w:rPr>
          <w:rFonts w:hint="eastAsia" w:ascii="方正仿宋_GBK" w:hAnsi="方正仿宋_GBK" w:eastAsia="方正仿宋_GBK" w:cs="方正仿宋_GBK"/>
          <w:sz w:val="32"/>
          <w:szCs w:val="32"/>
          <w:highlight w:val="none"/>
          <w:lang w:val="en-US" w:eastAsia="zh-CN"/>
        </w:rPr>
        <w:t>系统的</w:t>
      </w:r>
      <w:r>
        <w:rPr>
          <w:rFonts w:hint="eastAsia" w:ascii="方正仿宋_GBK" w:hAnsi="方正仿宋_GBK" w:eastAsia="方正仿宋_GBK" w:cs="方正仿宋_GBK"/>
          <w:sz w:val="32"/>
          <w:szCs w:val="32"/>
          <w:highlight w:val="none"/>
        </w:rPr>
        <w:t>上线工作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同时驻场实施期间人员安全由供应商负责</w:t>
      </w:r>
      <w:r>
        <w:rPr>
          <w:rFonts w:hint="eastAsia" w:ascii="方正仿宋_GBK" w:hAnsi="方正仿宋_GBK" w:eastAsia="方正仿宋_GBK" w:cs="方正仿宋_GBK"/>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sz w:val="32"/>
          <w:szCs w:val="32"/>
          <w:highlight w:val="none"/>
        </w:rPr>
        <w:t>（二）验收</w:t>
      </w:r>
    </w:p>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firstLine="316" w:firstLineChars="1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通过</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组织的内部验收评审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同时培训次数达标并保证</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lang w:val="en-US" w:eastAsia="zh-CN"/>
        </w:rPr>
        <w:t>员工能正常操作使用</w:t>
      </w:r>
      <w:r>
        <w:rPr>
          <w:rFonts w:hint="eastAsia" w:ascii="方正仿宋_GBK" w:hAnsi="方正仿宋_GBK" w:eastAsia="方正仿宋_GBK" w:cs="方正仿宋_GBK"/>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sz w:val="32"/>
          <w:szCs w:val="32"/>
          <w:highlight w:val="none"/>
        </w:rPr>
        <w:t>（三）</w:t>
      </w:r>
      <w:r>
        <w:rPr>
          <w:rFonts w:hint="eastAsia" w:ascii="方正仿宋_GBK" w:hAnsi="方正仿宋_GBK" w:eastAsia="方正仿宋_GBK" w:cs="方正仿宋_GBK"/>
          <w:b/>
          <w:bCs/>
          <w:sz w:val="32"/>
          <w:szCs w:val="32"/>
          <w:highlight w:val="none"/>
          <w:lang w:val="en-US" w:eastAsia="zh-CN"/>
        </w:rPr>
        <w:t>限价</w:t>
      </w:r>
    </w:p>
    <w:p>
      <w:pPr>
        <w:pStyle w:val="8"/>
        <w:keepNext w:val="0"/>
        <w:keepLines w:val="0"/>
        <w:pageBreakBefore w:val="0"/>
        <w:widowControl w:val="0"/>
        <w:kinsoku/>
        <w:wordWrap/>
        <w:overflowPunct/>
        <w:topLinePunct w:val="0"/>
        <w:autoSpaceDE/>
        <w:autoSpaceDN/>
        <w:bidi w:val="0"/>
        <w:adjustRightInd/>
        <w:snapToGrid w:val="0"/>
        <w:spacing w:after="0" w:line="520" w:lineRule="exact"/>
        <w:ind w:left="0" w:leftChars="0" w:right="0" w:firstLine="629"/>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本次报价采用总价包干价</w:t>
      </w:r>
      <w:r>
        <w:rPr>
          <w:rFonts w:hint="eastAsia" w:ascii="方正仿宋_GBK" w:hAnsi="方正仿宋_GBK" w:eastAsia="方正仿宋_GBK" w:cs="方正仿宋_GBK"/>
          <w:sz w:val="32"/>
          <w:szCs w:val="32"/>
          <w:highlight w:val="none"/>
          <w:lang w:eastAsia="zh-CN"/>
        </w:rPr>
        <w:t>（含税）</w:t>
      </w:r>
      <w:r>
        <w:rPr>
          <w:rFonts w:hint="eastAsia" w:ascii="方正仿宋_GBK" w:hAnsi="方正仿宋_GBK" w:eastAsia="方正仿宋_GBK" w:cs="方正仿宋_GBK"/>
          <w:sz w:val="32"/>
          <w:szCs w:val="32"/>
          <w:highlight w:val="none"/>
        </w:rPr>
        <w:t>，报价最高限价为</w:t>
      </w:r>
      <w:r>
        <w:rPr>
          <w:rFonts w:hint="eastAsia" w:ascii="方正仿宋_GBK" w:hAnsi="方正仿宋_GBK" w:eastAsia="方正仿宋_GBK" w:cs="方正仿宋_GBK"/>
          <w:sz w:val="32"/>
          <w:szCs w:val="32"/>
          <w:highlight w:val="none"/>
          <w:lang w:val="en-US" w:eastAsia="zh-CN"/>
        </w:rPr>
        <w:t>966529.90</w:t>
      </w:r>
      <w:r>
        <w:rPr>
          <w:rFonts w:hint="eastAsia" w:ascii="方正仿宋_GBK" w:hAnsi="方正仿宋_GBK" w:eastAsia="方正仿宋_GBK" w:cs="方正仿宋_GBK"/>
          <w:sz w:val="32"/>
          <w:szCs w:val="32"/>
          <w:highlight w:val="none"/>
        </w:rPr>
        <w:t>元（大写：</w:t>
      </w:r>
      <w:r>
        <w:rPr>
          <w:rFonts w:hint="eastAsia" w:ascii="方正仿宋_GBK" w:hAnsi="方正仿宋_GBK" w:eastAsia="方正仿宋_GBK" w:cs="方正仿宋_GBK"/>
          <w:sz w:val="32"/>
          <w:szCs w:val="32"/>
          <w:highlight w:val="none"/>
          <w:lang w:val="en-US" w:eastAsia="zh-CN"/>
        </w:rPr>
        <w:t>玖拾陆万陆仟伍佰贰拾玖元玖角整</w:t>
      </w:r>
      <w:r>
        <w:rPr>
          <w:rFonts w:hint="eastAsia" w:ascii="方正仿宋_GBK" w:hAnsi="方正仿宋_GBK" w:eastAsia="方正仿宋_GBK" w:cs="方正仿宋_GBK"/>
          <w:sz w:val="32"/>
          <w:szCs w:val="32"/>
          <w:highlight w:val="none"/>
        </w:rPr>
        <w:t>）。</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right="0" w:rightChars="0" w:firstLine="316" w:firstLineChars="100"/>
        <w:textAlignment w:val="auto"/>
        <w:rPr>
          <w:rFonts w:ascii="方正仿宋_GBK" w:hAnsi="方正仿宋_GBK" w:eastAsia="方正仿宋_GBK" w:cs="方正仿宋_GBK"/>
          <w:sz w:val="32"/>
          <w:szCs w:val="32"/>
          <w:highlight w:val="none"/>
        </w:rPr>
      </w:pPr>
      <w:bookmarkStart w:id="6" w:name="_Toc25809"/>
      <w:r>
        <w:rPr>
          <w:rFonts w:hint="eastAsia" w:ascii="方正仿宋_GBK" w:hAnsi="方正仿宋_GBK" w:eastAsia="方正仿宋_GBK" w:cs="方正仿宋_GBK"/>
          <w:sz w:val="32"/>
          <w:szCs w:val="32"/>
          <w:highlight w:val="none"/>
        </w:rPr>
        <w:t xml:space="preserve">  </w:t>
      </w:r>
      <w:r>
        <w:rPr>
          <w:rFonts w:hint="eastAsia" w:ascii="方正楷体_GBK" w:hAnsi="方正楷体_GBK" w:eastAsia="方正楷体_GBK" w:cs="方正楷体_GBK"/>
          <w:b w:val="0"/>
          <w:kern w:val="2"/>
          <w:sz w:val="32"/>
          <w:szCs w:val="32"/>
          <w:highlight w:val="none"/>
          <w:lang w:bidi="zh-CN"/>
        </w:rPr>
        <w:t xml:space="preserve"> </w:t>
      </w:r>
      <w:r>
        <w:rPr>
          <w:rFonts w:hint="eastAsia" w:ascii="方正仿宋_GBK" w:hAnsi="方正仿宋_GBK" w:eastAsia="方正仿宋_GBK" w:cs="方正仿宋_GBK"/>
          <w:b/>
          <w:bCs/>
          <w:kern w:val="2"/>
          <w:sz w:val="32"/>
          <w:szCs w:val="32"/>
          <w:highlight w:val="none"/>
          <w:lang w:val="en-US" w:eastAsia="zh-CN" w:bidi="ar-SA"/>
        </w:rPr>
        <w:t xml:space="preserve"> （四）</w:t>
      </w:r>
      <w:bookmarkEnd w:id="6"/>
      <w:r>
        <w:rPr>
          <w:rFonts w:hint="eastAsia" w:ascii="方正仿宋_GBK" w:hAnsi="方正仿宋_GBK" w:eastAsia="方正仿宋_GBK" w:cs="方正仿宋_GBK"/>
          <w:b/>
          <w:bCs/>
          <w:kern w:val="2"/>
          <w:sz w:val="32"/>
          <w:szCs w:val="32"/>
          <w:highlight w:val="none"/>
          <w:lang w:val="en-US" w:eastAsia="zh-CN" w:bidi="ar-SA"/>
        </w:rPr>
        <w:t>期限</w:t>
      </w:r>
    </w:p>
    <w:p>
      <w:pPr>
        <w:pageBreakBefore w:val="0"/>
        <w:widowControl w:val="0"/>
        <w:kinsoku/>
        <w:wordWrap/>
        <w:overflowPunct/>
        <w:topLinePunct w:val="0"/>
        <w:autoSpaceDE/>
        <w:autoSpaceDN/>
        <w:bidi w:val="0"/>
        <w:adjustRightInd/>
        <w:snapToGrid w:val="0"/>
        <w:spacing w:line="520" w:lineRule="exact"/>
        <w:ind w:left="0" w:leftChars="0" w:right="0" w:firstLine="632" w:firstLineChars="200"/>
        <w:textAlignment w:val="auto"/>
        <w:rPr>
          <w:rFonts w:hint="eastAsia" w:ascii="方正仿宋_GBK" w:hAnsi="方正仿宋_GBK" w:eastAsia="方正仿宋_GBK" w:cs="方正仿宋_GBK"/>
          <w:b w:val="0"/>
          <w:bCs w:val="0"/>
          <w:sz w:val="32"/>
          <w:szCs w:val="32"/>
          <w:highlight w:val="red"/>
          <w:lang w:val="en-US" w:eastAsia="zh-CN"/>
        </w:rPr>
      </w:pPr>
      <w:r>
        <w:rPr>
          <w:rFonts w:hint="eastAsia" w:ascii="方正仿宋_GBK" w:hAnsi="方正仿宋_GBK" w:eastAsia="方正仿宋_GBK" w:cs="方正仿宋_GBK"/>
          <w:sz w:val="32"/>
          <w:szCs w:val="32"/>
          <w:highlight w:val="none"/>
          <w:lang w:val="en-US" w:eastAsia="zh-CN"/>
        </w:rPr>
        <w:t>2023年6月30日前完成该系统的安装部署，7月30日前保障3.5对服务区上线试运行（</w:t>
      </w:r>
      <w:r>
        <w:rPr>
          <w:rFonts w:hint="eastAsia" w:ascii="方正仿宋_GBK" w:hAnsi="方正仿宋_GBK" w:eastAsia="方正仿宋_GBK" w:cs="方正仿宋_GBK"/>
          <w:sz w:val="32"/>
          <w:szCs w:val="32"/>
          <w:highlight w:val="none"/>
          <w:lang w:eastAsia="zh-CN"/>
        </w:rPr>
        <w:t>试运行完成前供应商团队应驻场</w:t>
      </w:r>
      <w:r>
        <w:rPr>
          <w:rFonts w:hint="eastAsia" w:ascii="方正仿宋_GBK" w:hAnsi="方正仿宋_GBK" w:eastAsia="方正仿宋_GBK" w:cs="方正仿宋_GBK"/>
          <w:sz w:val="32"/>
          <w:szCs w:val="32"/>
          <w:highlight w:val="none"/>
          <w:lang w:val="en-US" w:eastAsia="zh-CN"/>
        </w:rPr>
        <w:t>工作，驻场期间人员安全及产生的相关费用由供应商负责），9月30日前保障该系统正常平稳运行并通过</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lang w:val="en-US" w:eastAsia="zh-CN"/>
        </w:rPr>
        <w:t>验收评审，缺陷责任期为一年（自甲方成功验收起计算）。后期</w:t>
      </w:r>
      <w:r>
        <w:rPr>
          <w:rFonts w:hint="eastAsia" w:ascii="方正仿宋_GBK" w:hAnsi="方正仿宋_GBK" w:eastAsia="方正仿宋_GBK" w:cs="方正仿宋_GBK"/>
          <w:sz w:val="32"/>
          <w:szCs w:val="32"/>
          <w:highlight w:val="none"/>
        </w:rPr>
        <w:t>按照</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需求完成</w:t>
      </w:r>
      <w:r>
        <w:rPr>
          <w:rFonts w:hint="eastAsia" w:ascii="方正仿宋_GBK" w:hAnsi="方正仿宋_GBK" w:eastAsia="方正仿宋_GBK" w:cs="方正仿宋_GBK"/>
          <w:sz w:val="32"/>
          <w:szCs w:val="32"/>
          <w:highlight w:val="none"/>
          <w:lang w:val="en-US" w:eastAsia="zh-CN"/>
        </w:rPr>
        <w:t>总计35对（含一批上线的3.5对）</w:t>
      </w:r>
      <w:r>
        <w:rPr>
          <w:rFonts w:hint="eastAsia" w:ascii="方正仿宋_GBK" w:hAnsi="方正仿宋_GBK" w:eastAsia="方正仿宋_GBK" w:cs="方正仿宋_GBK"/>
          <w:sz w:val="32"/>
          <w:szCs w:val="32"/>
          <w:highlight w:val="none"/>
        </w:rPr>
        <w:t>服务区的接入工作</w:t>
      </w:r>
      <w:r>
        <w:rPr>
          <w:rFonts w:hint="eastAsia" w:ascii="方正仿宋_GBK" w:hAnsi="方正仿宋_GBK" w:eastAsia="方正仿宋_GBK" w:cs="方正仿宋_GBK"/>
          <w:sz w:val="32"/>
          <w:szCs w:val="32"/>
          <w:highlight w:val="none"/>
          <w:lang w:eastAsia="zh-CN"/>
        </w:rPr>
        <w:t>，且不受时间限制，</w:t>
      </w:r>
      <w:r>
        <w:rPr>
          <w:rFonts w:hint="eastAsia" w:ascii="方正仿宋_GBK" w:hAnsi="方正仿宋_GBK" w:eastAsia="方正仿宋_GBK" w:cs="方正仿宋_GBK"/>
          <w:sz w:val="32"/>
          <w:szCs w:val="32"/>
          <w:highlight w:val="none"/>
          <w:lang w:val="en-US" w:eastAsia="zh-CN"/>
        </w:rPr>
        <w:t>2023年度预计不少于20对服务区（含一批上线的3.5对）需要接入</w:t>
      </w:r>
      <w:r>
        <w:rPr>
          <w:rFonts w:hint="eastAsia" w:ascii="方正仿宋_GBK" w:hAnsi="方正仿宋_GBK" w:eastAsia="方正仿宋_GBK" w:cs="方正仿宋_GBK"/>
          <w:sz w:val="32"/>
          <w:szCs w:val="32"/>
          <w:highlight w:val="none"/>
        </w:rPr>
        <w:t>。</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right="0" w:rightChars="0" w:firstLine="948" w:firstLineChars="300"/>
        <w:textAlignment w:val="auto"/>
        <w:rPr>
          <w:rFonts w:hint="eastAsia" w:ascii="方正仿宋_GBK" w:hAnsi="方正仿宋_GBK" w:eastAsia="方正仿宋_GBK" w:cs="方正仿宋_GBK"/>
          <w:b/>
          <w:bCs/>
          <w:kern w:val="2"/>
          <w:sz w:val="32"/>
          <w:szCs w:val="32"/>
          <w:highlight w:val="none"/>
          <w:lang w:val="en-US" w:eastAsia="zh-CN" w:bidi="ar-SA"/>
        </w:rPr>
      </w:pPr>
      <w:bookmarkStart w:id="7" w:name="_Toc1256"/>
      <w:r>
        <w:rPr>
          <w:rFonts w:hint="eastAsia" w:ascii="方正仿宋_GBK" w:hAnsi="方正仿宋_GBK" w:eastAsia="方正仿宋_GBK" w:cs="方正仿宋_GBK"/>
          <w:b/>
          <w:bCs/>
          <w:kern w:val="2"/>
          <w:sz w:val="32"/>
          <w:szCs w:val="32"/>
          <w:highlight w:val="none"/>
          <w:lang w:val="en-US" w:eastAsia="zh-CN" w:bidi="ar-SA"/>
        </w:rPr>
        <w:t>（五）付款</w:t>
      </w:r>
      <w:bookmarkEnd w:id="7"/>
    </w:p>
    <w:p>
      <w:pPr>
        <w:pageBreakBefore w:val="0"/>
        <w:widowControl w:val="0"/>
        <w:kinsoku/>
        <w:wordWrap/>
        <w:overflowPunct/>
        <w:topLinePunct w:val="0"/>
        <w:autoSpaceDE/>
        <w:autoSpaceDN/>
        <w:bidi w:val="0"/>
        <w:adjustRightInd/>
        <w:snapToGrid w:val="0"/>
        <w:spacing w:line="520" w:lineRule="exact"/>
        <w:ind w:left="0" w:leftChars="0" w:right="0" w:firstLine="632"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合同签订后</w:t>
      </w:r>
      <w:r>
        <w:rPr>
          <w:rFonts w:hint="eastAsia" w:ascii="方正仿宋_GBK" w:hAnsi="方正仿宋_GBK" w:eastAsia="方正仿宋_GBK" w:cs="方正仿宋_GBK"/>
          <w:sz w:val="32"/>
          <w:szCs w:val="32"/>
          <w:highlight w:val="none"/>
          <w:lang w:val="en-US" w:eastAsia="zh-CN"/>
        </w:rPr>
        <w:t>预</w:t>
      </w:r>
      <w:r>
        <w:rPr>
          <w:rFonts w:hint="eastAsia" w:ascii="方正仿宋_GBK" w:hAnsi="方正仿宋_GBK" w:eastAsia="方正仿宋_GBK" w:cs="方正仿宋_GBK"/>
          <w:sz w:val="32"/>
          <w:szCs w:val="32"/>
          <w:highlight w:val="none"/>
        </w:rPr>
        <w:t>支付合同金额的</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确认实施方案并且人员到场后支付合同金额20%，</w:t>
      </w:r>
      <w:r>
        <w:rPr>
          <w:rFonts w:hint="eastAsia" w:ascii="方正仿宋_GBK" w:hAnsi="方正仿宋_GBK" w:eastAsia="方正仿宋_GBK" w:cs="方正仿宋_GBK"/>
          <w:sz w:val="32"/>
          <w:szCs w:val="32"/>
          <w:highlight w:val="none"/>
          <w:lang w:eastAsia="zh-CN"/>
        </w:rPr>
        <w:t>完成</w:t>
      </w:r>
      <w:r>
        <w:rPr>
          <w:rFonts w:hint="eastAsia" w:ascii="方正仿宋_GBK" w:hAnsi="方正仿宋_GBK" w:eastAsia="方正仿宋_GBK" w:cs="方正仿宋_GBK"/>
          <w:sz w:val="32"/>
          <w:szCs w:val="32"/>
          <w:highlight w:val="none"/>
          <w:lang w:val="en-US" w:eastAsia="zh-CN"/>
        </w:rPr>
        <w:t>安装</w:t>
      </w:r>
      <w:r>
        <w:rPr>
          <w:rFonts w:hint="eastAsia" w:ascii="方正仿宋_GBK" w:hAnsi="方正仿宋_GBK" w:eastAsia="方正仿宋_GBK" w:cs="方正仿宋_GBK"/>
          <w:sz w:val="32"/>
          <w:szCs w:val="32"/>
          <w:highlight w:val="none"/>
          <w:lang w:eastAsia="zh-CN"/>
        </w:rPr>
        <w:t>部署</w:t>
      </w:r>
      <w:r>
        <w:rPr>
          <w:rFonts w:hint="eastAsia" w:ascii="方正仿宋_GBK" w:hAnsi="方正仿宋_GBK" w:eastAsia="方正仿宋_GBK" w:cs="方正仿宋_GBK"/>
          <w:sz w:val="32"/>
          <w:szCs w:val="32"/>
          <w:highlight w:val="none"/>
          <w:lang w:val="en-US" w:eastAsia="zh-CN"/>
        </w:rPr>
        <w:t>后</w:t>
      </w:r>
      <w:r>
        <w:rPr>
          <w:rFonts w:hint="eastAsia" w:ascii="方正仿宋_GBK" w:hAnsi="方正仿宋_GBK" w:eastAsia="方正仿宋_GBK" w:cs="方正仿宋_GBK"/>
          <w:sz w:val="32"/>
          <w:szCs w:val="32"/>
          <w:highlight w:val="none"/>
        </w:rPr>
        <w:t>支付合同金额的</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上线运行</w:t>
      </w:r>
      <w:r>
        <w:rPr>
          <w:rFonts w:hint="eastAsia" w:ascii="方正仿宋_GBK" w:hAnsi="方正仿宋_GBK" w:eastAsia="方正仿宋_GBK" w:cs="方正仿宋_GBK"/>
          <w:sz w:val="32"/>
          <w:szCs w:val="32"/>
          <w:highlight w:val="none"/>
          <w:lang w:eastAsia="zh-CN"/>
        </w:rPr>
        <w:t>通过</w:t>
      </w:r>
      <w:r>
        <w:rPr>
          <w:rFonts w:hint="eastAsia" w:ascii="方正仿宋_GBK" w:hAnsi="方正仿宋_GBK" w:eastAsia="方正仿宋_GBK" w:cs="方正仿宋_GBK"/>
          <w:color w:val="auto"/>
          <w:kern w:val="2"/>
          <w:sz w:val="32"/>
          <w:szCs w:val="32"/>
          <w:highlight w:val="none"/>
          <w:lang w:val="en-US" w:eastAsia="zh-CN" w:bidi="ar-SA"/>
        </w:rPr>
        <w:t>采购人</w:t>
      </w:r>
      <w:r>
        <w:rPr>
          <w:rFonts w:hint="eastAsia" w:ascii="方正仿宋_GBK" w:hAnsi="方正仿宋_GBK" w:eastAsia="方正仿宋_GBK" w:cs="方正仿宋_GBK"/>
          <w:sz w:val="32"/>
          <w:szCs w:val="32"/>
          <w:highlight w:val="none"/>
        </w:rPr>
        <w:t>验收</w:t>
      </w:r>
      <w:r>
        <w:rPr>
          <w:rFonts w:hint="eastAsia" w:ascii="方正仿宋_GBK" w:hAnsi="方正仿宋_GBK" w:eastAsia="方正仿宋_GBK" w:cs="方正仿宋_GBK"/>
          <w:sz w:val="32"/>
          <w:szCs w:val="32"/>
          <w:highlight w:val="none"/>
          <w:lang w:eastAsia="zh-CN"/>
        </w:rPr>
        <w:t>后支付合同金额的</w:t>
      </w:r>
      <w:r>
        <w:rPr>
          <w:rFonts w:hint="eastAsia" w:ascii="方正仿宋_GBK" w:hAnsi="方正仿宋_GBK" w:eastAsia="方正仿宋_GBK" w:cs="方正仿宋_GBK"/>
          <w:sz w:val="32"/>
          <w:szCs w:val="32"/>
          <w:highlight w:val="none"/>
          <w:lang w:val="en-US" w:eastAsia="zh-CN"/>
        </w:rPr>
        <w:t>15%，缺陷</w:t>
      </w:r>
      <w:r>
        <w:rPr>
          <w:rFonts w:hint="eastAsia" w:ascii="方正仿宋_GBK" w:hAnsi="方正仿宋_GBK" w:eastAsia="方正仿宋_GBK" w:cs="方正仿宋_GBK"/>
          <w:sz w:val="32"/>
          <w:szCs w:val="32"/>
          <w:highlight w:val="none"/>
          <w:lang w:eastAsia="zh-CN"/>
        </w:rPr>
        <w:t>责任期</w:t>
      </w:r>
      <w:r>
        <w:rPr>
          <w:rFonts w:hint="eastAsia" w:ascii="方正仿宋_GBK" w:hAnsi="方正仿宋_GBK" w:eastAsia="方正仿宋_GBK" w:cs="方正仿宋_GBK"/>
          <w:sz w:val="32"/>
          <w:szCs w:val="32"/>
          <w:highlight w:val="none"/>
          <w:lang w:val="en-US" w:eastAsia="zh-CN"/>
        </w:rPr>
        <w:t>到</w:t>
      </w:r>
      <w:r>
        <w:rPr>
          <w:rFonts w:hint="eastAsia" w:ascii="方正仿宋_GBK" w:hAnsi="方正仿宋_GBK" w:eastAsia="方正仿宋_GBK" w:cs="方正仿宋_GBK"/>
          <w:sz w:val="32"/>
          <w:szCs w:val="32"/>
          <w:highlight w:val="none"/>
          <w:lang w:eastAsia="zh-CN"/>
        </w:rPr>
        <w:t>后支付合同金额</w:t>
      </w:r>
      <w:r>
        <w:rPr>
          <w:rFonts w:hint="eastAsia" w:ascii="方正仿宋_GBK" w:hAnsi="方正仿宋_GBK" w:eastAsia="方正仿宋_GBK" w:cs="方正仿宋_GBK"/>
          <w:sz w:val="32"/>
          <w:szCs w:val="32"/>
          <w:highlight w:val="none"/>
          <w:lang w:val="en-US" w:eastAsia="zh-CN"/>
        </w:rPr>
        <w:t>的5%</w:t>
      </w:r>
      <w:r>
        <w:rPr>
          <w:rFonts w:hint="eastAsia" w:ascii="方正仿宋_GBK" w:hAnsi="方正仿宋_GBK" w:eastAsia="方正仿宋_GBK" w:cs="方正仿宋_GBK"/>
          <w:sz w:val="32"/>
          <w:szCs w:val="32"/>
          <w:highlight w:val="none"/>
        </w:rPr>
        <w:t>。</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right="0" w:rightChars="0" w:firstLine="316" w:firstLineChars="100"/>
        <w:textAlignment w:val="auto"/>
        <w:rPr>
          <w:rFonts w:hint="eastAsia" w:ascii="方正仿宋_GBK" w:hAnsi="方正仿宋_GBK" w:eastAsia="方正仿宋_GBK" w:cs="方正仿宋_GBK"/>
          <w:sz w:val="32"/>
          <w:szCs w:val="32"/>
          <w:highlight w:val="none"/>
        </w:rPr>
      </w:pPr>
      <w:bookmarkStart w:id="8" w:name="_Toc6619"/>
      <w:bookmarkStart w:id="9" w:name="_Toc14002"/>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kern w:val="2"/>
          <w:sz w:val="32"/>
          <w:szCs w:val="32"/>
          <w:highlight w:val="none"/>
          <w:lang w:val="en-US" w:eastAsia="zh-CN" w:bidi="ar-SA"/>
        </w:rPr>
        <w:t xml:space="preserve"> （六）报价</w:t>
      </w:r>
      <w:bookmarkEnd w:id="8"/>
    </w:p>
    <w:p>
      <w:pPr>
        <w:pStyle w:val="8"/>
        <w:pageBreakBefore w:val="0"/>
        <w:widowControl w:val="0"/>
        <w:kinsoku/>
        <w:wordWrap/>
        <w:overflowPunct/>
        <w:topLinePunct w:val="0"/>
        <w:autoSpaceDE/>
        <w:autoSpaceDN/>
        <w:bidi w:val="0"/>
        <w:adjustRightInd/>
        <w:snapToGrid w:val="0"/>
        <w:spacing w:after="0" w:line="520" w:lineRule="exact"/>
        <w:ind w:left="0" w:leftChars="0" w:right="0" w:firstLine="631"/>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本次采购报价采用人民币报价，报价包括完成本项目所需的服务费、人工费、</w:t>
      </w:r>
      <w:r>
        <w:rPr>
          <w:rFonts w:hint="eastAsia" w:ascii="方正仿宋_GBK" w:hAnsi="方正仿宋_GBK" w:eastAsia="方正仿宋_GBK" w:cs="方正仿宋_GBK"/>
          <w:sz w:val="32"/>
          <w:szCs w:val="32"/>
          <w:highlight w:val="none"/>
          <w:lang w:val="en-US" w:eastAsia="zh-CN"/>
        </w:rPr>
        <w:t>系统部署费、</w:t>
      </w:r>
      <w:r>
        <w:rPr>
          <w:rFonts w:hint="eastAsia" w:ascii="方正仿宋_GBK" w:hAnsi="方正仿宋_GBK" w:eastAsia="方正仿宋_GBK" w:cs="方正仿宋_GBK"/>
          <w:sz w:val="32"/>
          <w:szCs w:val="32"/>
          <w:highlight w:val="none"/>
        </w:rPr>
        <w:t>培训费</w:t>
      </w:r>
      <w:r>
        <w:rPr>
          <w:rFonts w:hint="eastAsia" w:ascii="方正仿宋_GBK" w:hAnsi="方正仿宋_GBK" w:eastAsia="方正仿宋_GBK" w:cs="方正仿宋_GBK"/>
          <w:sz w:val="32"/>
          <w:szCs w:val="32"/>
          <w:highlight w:val="none"/>
          <w:lang w:eastAsia="zh-CN"/>
        </w:rPr>
        <w:t>、交通费、食宿费</w:t>
      </w:r>
      <w:r>
        <w:rPr>
          <w:rFonts w:hint="eastAsia" w:ascii="方正仿宋_GBK" w:hAnsi="方正仿宋_GBK" w:eastAsia="方正仿宋_GBK" w:cs="方正仿宋_GBK"/>
          <w:sz w:val="32"/>
          <w:szCs w:val="32"/>
          <w:highlight w:val="none"/>
        </w:rPr>
        <w:t>及各种应纳的税费等一切费用。因成交供应商自身原因造成漏报、少报皆由其自行承担责任，采购人不再补偿。</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right="0" w:rightChars="0" w:firstLine="316" w:firstLineChars="100"/>
        <w:textAlignment w:val="auto"/>
        <w:rPr>
          <w:rFonts w:hint="eastAsia" w:ascii="方正仿宋_GBK" w:hAnsi="方正仿宋_GBK" w:eastAsia="方正仿宋_GBK" w:cs="方正仿宋_GBK"/>
          <w:sz w:val="32"/>
          <w:szCs w:val="32"/>
          <w:highlight w:val="none"/>
        </w:rPr>
      </w:pPr>
      <w:bookmarkStart w:id="10" w:name="_Toc27860"/>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val="0"/>
          <w:sz w:val="32"/>
          <w:szCs w:val="32"/>
          <w:highlight w:val="none"/>
        </w:rPr>
        <w:t xml:space="preserve">   五、评选方法</w:t>
      </w:r>
      <w:bookmarkEnd w:id="10"/>
    </w:p>
    <w:p>
      <w:pPr>
        <w:pageBreakBefore w:val="0"/>
        <w:widowControl w:val="0"/>
        <w:numPr>
          <w:ilvl w:val="0"/>
          <w:numId w:val="0"/>
        </w:numPr>
        <w:kinsoku/>
        <w:wordWrap/>
        <w:overflowPunct/>
        <w:topLinePunct w:val="0"/>
        <w:autoSpaceDE/>
        <w:autoSpaceDN/>
        <w:bidi w:val="0"/>
        <w:adjustRightInd/>
        <w:snapToGrid w:val="0"/>
        <w:spacing w:line="520" w:lineRule="exact"/>
        <w:ind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采用综合评分法对提交报价的供应商响应文件进行综合评分。综合评分法，是指响应文件满足邀标文件全部实质性要求且按照评审因素的量化指标评审得分最高的供应商为成交候选供应商的评审方法。供应商总得分为价格、技术、商务等评定因素分别按照相应权重值计算分项得分后相加，满分为 100 分（详见评审标准）。</w:t>
      </w:r>
    </w:p>
    <w:tbl>
      <w:tblPr>
        <w:tblStyle w:val="17"/>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55"/>
        <w:gridCol w:w="709"/>
        <w:gridCol w:w="5269"/>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序号</w:t>
            </w:r>
          </w:p>
        </w:tc>
        <w:tc>
          <w:tcPr>
            <w:tcW w:w="1855"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评分因素及权值</w:t>
            </w:r>
          </w:p>
        </w:tc>
        <w:tc>
          <w:tcPr>
            <w:tcW w:w="709"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分值</w:t>
            </w:r>
          </w:p>
        </w:tc>
        <w:tc>
          <w:tcPr>
            <w:tcW w:w="5269"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评分标准</w:t>
            </w:r>
          </w:p>
        </w:tc>
        <w:tc>
          <w:tcPr>
            <w:tcW w:w="1650"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29" w:type="dxa"/>
            <w:noWrap w:val="0"/>
            <w:vAlign w:val="center"/>
          </w:tcPr>
          <w:p>
            <w:pPr>
              <w:pStyle w:val="20"/>
              <w:snapToGrid w:val="0"/>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p>
        </w:tc>
        <w:tc>
          <w:tcPr>
            <w:tcW w:w="1855" w:type="dxa"/>
            <w:noWrap w:val="0"/>
            <w:vAlign w:val="center"/>
          </w:tcPr>
          <w:p>
            <w:pPr>
              <w:widowControl/>
              <w:snapToGrid w:val="0"/>
              <w:jc w:val="center"/>
              <w:textAlignment w:val="bottom"/>
              <w:rPr>
                <w:rFonts w:ascii="方正仿宋_GBK" w:hAnsi="方正仿宋_GBK" w:eastAsia="方正仿宋_GBK" w:cs="方正仿宋_GBK"/>
                <w:color w:val="000000"/>
                <w:kern w:val="0"/>
                <w:szCs w:val="32"/>
                <w:highlight w:val="none"/>
                <w:lang w:bidi="ar"/>
              </w:rPr>
            </w:pPr>
          </w:p>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采购报价</w:t>
            </w:r>
          </w:p>
          <w:p>
            <w:pPr>
              <w:widowControl/>
              <w:snapToGrid w:val="0"/>
              <w:jc w:val="center"/>
              <w:textAlignment w:val="bottom"/>
              <w:rPr>
                <w:rFonts w:ascii="方正仿宋_GBK" w:hAnsi="方正仿宋_GBK" w:eastAsia="方正仿宋_GBK" w:cs="方正仿宋_GBK"/>
                <w:color w:val="000000"/>
                <w:kern w:val="0"/>
                <w:szCs w:val="32"/>
                <w:highlight w:val="none"/>
                <w:lang w:bidi="ar"/>
              </w:rPr>
            </w:pPr>
            <w:r>
              <w:rPr>
                <w:rFonts w:hint="eastAsia" w:ascii="方正仿宋_GBK" w:hAnsi="方正仿宋_GBK" w:eastAsia="方正仿宋_GBK" w:cs="方正仿宋_GBK"/>
                <w:color w:val="000000"/>
                <w:kern w:val="0"/>
                <w:szCs w:val="32"/>
                <w:highlight w:val="none"/>
                <w:lang w:bidi="ar"/>
              </w:rPr>
              <w:t>（</w:t>
            </w:r>
            <w:r>
              <w:rPr>
                <w:rFonts w:hint="eastAsia" w:ascii="方正仿宋_GBK" w:hAnsi="方正仿宋_GBK" w:eastAsia="方正仿宋_GBK" w:cs="方正仿宋_GBK"/>
                <w:color w:val="000000"/>
                <w:kern w:val="0"/>
                <w:szCs w:val="32"/>
                <w:highlight w:val="none"/>
                <w:lang w:val="en-US" w:eastAsia="zh-CN" w:bidi="ar"/>
              </w:rPr>
              <w:t>60</w:t>
            </w:r>
            <w:r>
              <w:rPr>
                <w:rFonts w:hint="eastAsia" w:ascii="方正仿宋_GBK" w:hAnsi="方正仿宋_GBK" w:eastAsia="方正仿宋_GBK" w:cs="方正仿宋_GBK"/>
                <w:color w:val="000000"/>
                <w:kern w:val="0"/>
                <w:szCs w:val="32"/>
                <w:highlight w:val="none"/>
                <w:lang w:bidi="ar"/>
              </w:rPr>
              <w:t>%）</w:t>
            </w: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60</w:t>
            </w:r>
          </w:p>
        </w:tc>
        <w:tc>
          <w:tcPr>
            <w:tcW w:w="5269" w:type="dxa"/>
            <w:noWrap w:val="0"/>
            <w:vAlign w:val="center"/>
          </w:tcPr>
          <w:p>
            <w:pPr>
              <w:widowControl/>
              <w:snapToGrid w:val="0"/>
              <w:jc w:val="left"/>
              <w:textAlignment w:val="bottom"/>
              <w:rPr>
                <w:rFonts w:ascii="方正仿宋_GBK" w:hAnsi="方正仿宋_GBK" w:eastAsia="方正仿宋_GBK" w:cs="方正仿宋_GBK"/>
                <w:szCs w:val="32"/>
                <w:highlight w:val="none"/>
              </w:rPr>
            </w:pPr>
            <w:r>
              <w:rPr>
                <w:rFonts w:hint="eastAsia" w:ascii="方正仿宋_GBK" w:hAnsi="方正仿宋_GBK" w:eastAsia="方正仿宋_GBK" w:cs="方正仿宋_GBK"/>
                <w:sz w:val="24"/>
                <w:szCs w:val="24"/>
                <w:highlight w:val="none"/>
              </w:rPr>
              <w:t>得分的计算程序：（1）有效投标价的确定：高于最高投标限价的投标报价按否决处理，不予进一步评审，并不参与评标基准价的计算。（2）投标基准价（D）的计算：a．有效投标价大于5家时：所有被宣读投标价在有效投标价范围内的投标人投标价，去掉一个最高值和一个最低值后的算术平均值即为投标基准价（D）；D．有效投标价小于或等于5家时：所有被宣读投标价在有效投标价范围内的投标人投标价的算术平均值即为投标基准价（D）；（3）当投标人投标价等于D时得满分（</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0分），每高于D一个百分点扣0.2分，每低于D一个百分点扣0.1分，中间值按比例内插。投标价得分用公式表示如下：</w:t>
            </w:r>
            <w:r>
              <w:rPr>
                <w:rFonts w:hint="eastAsia" w:ascii="方正仿宋_GBK" w:hAnsi="方正仿宋_GBK" w:eastAsia="方正仿宋_GBK" w:cs="方正仿宋_GBK"/>
                <w:sz w:val="24"/>
                <w:szCs w:val="24"/>
                <w:highlight w:val="none"/>
              </w:rPr>
              <w:br w:type="textWrapping"/>
            </w:r>
            <w:r>
              <w:rPr>
                <w:rFonts w:hint="eastAsia" w:ascii="方正仿宋_GBK" w:hAnsi="方正仿宋_GBK" w:eastAsia="方正仿宋_GBK" w:cs="方正仿宋_GBK"/>
                <w:sz w:val="24"/>
                <w:szCs w:val="24"/>
                <w:highlight w:val="none"/>
              </w:rPr>
              <w:drawing>
                <wp:inline distT="0" distB="0" distL="114300" distR="114300">
                  <wp:extent cx="1781175" cy="400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781175" cy="400050"/>
                          </a:xfrm>
                          <a:prstGeom prst="rect">
                            <a:avLst/>
                          </a:prstGeom>
                          <a:noFill/>
                          <a:ln>
                            <a:noFill/>
                          </a:ln>
                        </pic:spPr>
                      </pic:pic>
                    </a:graphicData>
                  </a:graphic>
                </wp:inline>
              </w:drawing>
            </w:r>
            <w:r>
              <w:rPr>
                <w:rFonts w:hint="eastAsia" w:ascii="方正仿宋_GBK" w:hAnsi="方正仿宋_GBK" w:eastAsia="方正仿宋_GBK" w:cs="方正仿宋_GBK"/>
                <w:sz w:val="24"/>
                <w:szCs w:val="24"/>
                <w:highlight w:val="none"/>
              </w:rPr>
              <w:br w:type="textWrapping"/>
            </w:r>
            <w:r>
              <w:rPr>
                <w:rFonts w:hint="eastAsia" w:ascii="方正仿宋_GBK" w:hAnsi="方正仿宋_GBK" w:eastAsia="方正仿宋_GBK" w:cs="方正仿宋_GBK"/>
                <w:sz w:val="24"/>
                <w:szCs w:val="24"/>
                <w:highlight w:val="none"/>
              </w:rPr>
              <w:t>式中：F1=投标价得分； F=</w:t>
            </w:r>
            <w:r>
              <w:rPr>
                <w:rFonts w:hint="eastAsia" w:ascii="方正仿宋_GBK" w:hAnsi="方正仿宋_GBK" w:eastAsia="方正仿宋_GBK" w:cs="方正仿宋_GBK"/>
                <w:sz w:val="24"/>
                <w:szCs w:val="24"/>
                <w:highlight w:val="none"/>
                <w:lang w:val="en-US" w:eastAsia="zh-CN"/>
              </w:rPr>
              <w:t>60</w:t>
            </w:r>
            <w:r>
              <w:rPr>
                <w:rFonts w:hint="eastAsia" w:ascii="方正仿宋_GBK" w:hAnsi="方正仿宋_GBK" w:eastAsia="方正仿宋_GBK" w:cs="方正仿宋_GBK"/>
                <w:sz w:val="24"/>
                <w:szCs w:val="24"/>
                <w:highlight w:val="none"/>
              </w:rPr>
              <w:t>；D1=投标人的投标价；D=评标基准价。若D1</w:t>
            </w:r>
            <w:r>
              <w:rPr>
                <w:rFonts w:hint="eastAsia" w:ascii="方正仿宋_GBK" w:hAnsi="方正仿宋_GBK" w:eastAsia="方正仿宋_GBK" w:cs="方正仿宋_GBK"/>
                <w:sz w:val="24"/>
                <w:szCs w:val="24"/>
                <w:highlight w:val="none"/>
                <w:lang w:val="en-US" w:eastAsia="zh-CN"/>
              </w:rPr>
              <w:t>&gt;</w:t>
            </w:r>
            <w:r>
              <w:rPr>
                <w:rFonts w:hint="eastAsia" w:ascii="方正仿宋_GBK" w:hAnsi="方正仿宋_GBK" w:eastAsia="方正仿宋_GBK" w:cs="方正仿宋_GBK"/>
                <w:sz w:val="24"/>
                <w:szCs w:val="24"/>
                <w:highlight w:val="none"/>
              </w:rPr>
              <w:t>D，则E=0.2；若D1&lt;D，则E=0.1。注：计算时均需保留小数点后两位，小数点后第三位“四舍五入”。</w:t>
            </w:r>
          </w:p>
        </w:tc>
        <w:tc>
          <w:tcPr>
            <w:tcW w:w="1650" w:type="dxa"/>
            <w:noWrap w:val="0"/>
            <w:vAlign w:val="center"/>
          </w:tcPr>
          <w:p>
            <w:pPr>
              <w:widowControl/>
              <w:snapToGrid w:val="0"/>
              <w:jc w:val="left"/>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 w:val="24"/>
                <w:szCs w:val="24"/>
                <w:highlight w:val="none"/>
                <w:lang w:bidi="ar"/>
              </w:rPr>
              <w:t>报价超过最高限价</w:t>
            </w:r>
            <w:r>
              <w:rPr>
                <w:rFonts w:hint="eastAsia" w:ascii="方正仿宋_GBK" w:hAnsi="方正仿宋_GBK" w:eastAsia="方正仿宋_GBK" w:cs="方正仿宋_GBK"/>
                <w:color w:val="000000"/>
                <w:kern w:val="0"/>
                <w:sz w:val="24"/>
                <w:szCs w:val="24"/>
                <w:highlight w:val="none"/>
                <w:lang w:val="en-US" w:eastAsia="zh-CN" w:bidi="ar"/>
              </w:rPr>
              <w:t>的投标无效；同时投标价低于最高限价85%（即821550.42元），需缴纳与最高限价之间差额的3倍作为保证金，如投标人中标该保证金在本项目成功验收后予以退回，未中标开标后10个工作日内予以退回。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2</w:t>
            </w:r>
          </w:p>
        </w:tc>
        <w:tc>
          <w:tcPr>
            <w:tcW w:w="1855" w:type="dxa"/>
            <w:vMerge w:val="restart"/>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技术项（20%）</w:t>
            </w: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w:t>
            </w:r>
          </w:p>
        </w:tc>
        <w:tc>
          <w:tcPr>
            <w:tcW w:w="5269" w:type="dxa"/>
            <w:noWrap w:val="0"/>
            <w:vAlign w:val="center"/>
          </w:tcPr>
          <w:p>
            <w:pPr>
              <w:widowControl/>
              <w:snapToGrid w:val="0"/>
              <w:jc w:val="left"/>
              <w:textAlignment w:val="bottom"/>
              <w:rPr>
                <w:rFonts w:hint="eastAsia"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sz w:val="24"/>
                <w:szCs w:val="24"/>
                <w:highlight w:val="none"/>
                <w:lang w:val="en-US" w:eastAsia="zh-CN"/>
              </w:rPr>
              <w:t>投标人在本项目驻场团队除项目经理外配备有8年以上经验的软件工程师或PMP项目管理师一个得2分，最高得6分。</w:t>
            </w:r>
          </w:p>
        </w:tc>
        <w:tc>
          <w:tcPr>
            <w:tcW w:w="1650" w:type="dxa"/>
            <w:noWrap w:val="0"/>
            <w:vAlign w:val="center"/>
          </w:tcPr>
          <w:p>
            <w:pPr>
              <w:widowControl/>
              <w:snapToGrid w:val="0"/>
              <w:jc w:val="left"/>
              <w:textAlignment w:val="bottom"/>
              <w:rPr>
                <w:rFonts w:hint="eastAsia" w:ascii="方正仿宋_GBK" w:hAnsi="方正仿宋_GBK" w:eastAsia="方正仿宋_GBK" w:cs="方正仿宋_GBK"/>
                <w:color w:val="000000"/>
                <w:kern w:val="0"/>
                <w:sz w:val="24"/>
                <w:szCs w:val="24"/>
                <w:highlight w:val="none"/>
                <w:lang w:val="en-US" w:eastAsia="zh-CN" w:bidi="ar"/>
              </w:rPr>
            </w:pPr>
            <w:r>
              <w:rPr>
                <w:rFonts w:hint="eastAsia" w:ascii="方正仿宋_GBK" w:hAnsi="方正仿宋_GBK" w:eastAsia="方正仿宋_GBK" w:cs="方正仿宋_GBK"/>
                <w:color w:val="000000"/>
                <w:kern w:val="0"/>
                <w:sz w:val="24"/>
                <w:szCs w:val="24"/>
                <w:highlight w:val="none"/>
                <w:lang w:val="en-US" w:eastAsia="zh-CN" w:bidi="ar"/>
              </w:rPr>
              <w:t>需提供简历（含证书复印件）证明加盖公章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3</w:t>
            </w:r>
          </w:p>
        </w:tc>
        <w:tc>
          <w:tcPr>
            <w:tcW w:w="1855" w:type="dxa"/>
            <w:vMerge w:val="continue"/>
            <w:noWrap w:val="0"/>
            <w:vAlign w:val="center"/>
          </w:tcPr>
          <w:p>
            <w:pPr>
              <w:widowControl/>
              <w:snapToGrid w:val="0"/>
              <w:jc w:val="center"/>
              <w:textAlignment w:val="bottom"/>
              <w:rPr>
                <w:rFonts w:hint="eastAsia" w:ascii="方正仿宋_GBK" w:hAnsi="方正仿宋_GBK" w:eastAsia="方正仿宋_GBK" w:cs="方正仿宋_GBK"/>
                <w:color w:val="000000"/>
                <w:kern w:val="0"/>
                <w:szCs w:val="32"/>
                <w:highlight w:val="none"/>
                <w:lang w:val="en-US" w:eastAsia="zh-CN" w:bidi="ar"/>
              </w:rPr>
            </w:pP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8</w:t>
            </w:r>
          </w:p>
        </w:tc>
        <w:tc>
          <w:tcPr>
            <w:tcW w:w="5269" w:type="dxa"/>
            <w:noWrap w:val="0"/>
            <w:vAlign w:val="center"/>
          </w:tcPr>
          <w:p>
            <w:pPr>
              <w:widowControl/>
              <w:snapToGrid w:val="0"/>
              <w:jc w:val="left"/>
              <w:textAlignment w:val="bottom"/>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投标人使用其系统按照甲方需求进行演示（可采用腾讯会议等线上方式演示），演示包含甲方所有需求的得8分，少一项扣1分，最低分为0。</w:t>
            </w:r>
          </w:p>
        </w:tc>
        <w:tc>
          <w:tcPr>
            <w:tcW w:w="1650" w:type="dxa"/>
            <w:noWrap w:val="0"/>
            <w:vAlign w:val="center"/>
          </w:tcPr>
          <w:p>
            <w:pPr>
              <w:widowControl/>
              <w:snapToGrid w:val="0"/>
              <w:jc w:val="left"/>
              <w:textAlignment w:val="bottom"/>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演示系统必须为已部署使用的真实系统。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4</w:t>
            </w:r>
          </w:p>
        </w:tc>
        <w:tc>
          <w:tcPr>
            <w:tcW w:w="1855" w:type="dxa"/>
            <w:vMerge w:val="continue"/>
            <w:noWrap w:val="0"/>
            <w:vAlign w:val="center"/>
          </w:tcPr>
          <w:p>
            <w:pPr>
              <w:widowControl/>
              <w:snapToGrid w:val="0"/>
              <w:jc w:val="center"/>
              <w:textAlignment w:val="bottom"/>
              <w:rPr>
                <w:rFonts w:hint="eastAsia" w:ascii="方正仿宋_GBK" w:hAnsi="方正仿宋_GBK" w:eastAsia="方正仿宋_GBK" w:cs="方正仿宋_GBK"/>
                <w:color w:val="000000"/>
                <w:kern w:val="0"/>
                <w:szCs w:val="32"/>
                <w:highlight w:val="none"/>
                <w:lang w:val="en-US" w:eastAsia="zh-CN" w:bidi="ar"/>
              </w:rPr>
            </w:pP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w:t>
            </w:r>
          </w:p>
        </w:tc>
        <w:tc>
          <w:tcPr>
            <w:tcW w:w="5269" w:type="dxa"/>
            <w:noWrap w:val="0"/>
            <w:vAlign w:val="center"/>
          </w:tcPr>
          <w:p>
            <w:pPr>
              <w:widowControl/>
              <w:snapToGrid w:val="0"/>
              <w:jc w:val="left"/>
              <w:textAlignment w:val="bottom"/>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投标人技术方案完全符合甲方需求的得6分，差一项扣1分，最低得分为0。</w:t>
            </w:r>
          </w:p>
        </w:tc>
        <w:tc>
          <w:tcPr>
            <w:tcW w:w="1650" w:type="dxa"/>
            <w:noWrap w:val="0"/>
            <w:vAlign w:val="center"/>
          </w:tcPr>
          <w:p>
            <w:pPr>
              <w:widowControl/>
              <w:snapToGrid w:val="0"/>
              <w:jc w:val="left"/>
              <w:textAlignment w:val="bottom"/>
              <w:rPr>
                <w:rFonts w:hint="eastAsia" w:ascii="方正仿宋_GBK" w:hAnsi="方正仿宋_GBK" w:eastAsia="方正仿宋_GBK" w:cs="方正仿宋_GBK"/>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5</w:t>
            </w:r>
          </w:p>
        </w:tc>
        <w:tc>
          <w:tcPr>
            <w:tcW w:w="1855" w:type="dxa"/>
            <w:vMerge w:val="restart"/>
            <w:noWrap w:val="0"/>
            <w:vAlign w:val="center"/>
          </w:tcPr>
          <w:p>
            <w:pPr>
              <w:widowControl/>
              <w:snapToGrid w:val="0"/>
              <w:jc w:val="center"/>
              <w:textAlignment w:val="bottom"/>
              <w:rPr>
                <w:rFonts w:hint="eastAsia"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商务项</w:t>
            </w:r>
          </w:p>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（20%）</w:t>
            </w: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w:t>
            </w:r>
          </w:p>
        </w:tc>
        <w:tc>
          <w:tcPr>
            <w:tcW w:w="5269" w:type="dxa"/>
            <w:noWrap w:val="0"/>
            <w:vAlign w:val="center"/>
          </w:tcPr>
          <w:p>
            <w:pPr>
              <w:widowControl/>
              <w:snapToGrid w:val="0"/>
              <w:jc w:val="left"/>
              <w:textAlignment w:val="bottom"/>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投标人有近三年交通商业信息化系统开发或服务成功实施案例的，且单个合同金额不少于70万，每个2分，最高6分。</w:t>
            </w:r>
          </w:p>
        </w:tc>
        <w:tc>
          <w:tcPr>
            <w:tcW w:w="1650" w:type="dxa"/>
            <w:noWrap w:val="0"/>
            <w:vAlign w:val="center"/>
          </w:tcPr>
          <w:p>
            <w:pPr>
              <w:widowControl/>
              <w:snapToGrid w:val="0"/>
              <w:jc w:val="left"/>
              <w:textAlignment w:val="bottom"/>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提供相关合同复印件并加盖鲜章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w:t>
            </w:r>
          </w:p>
        </w:tc>
        <w:tc>
          <w:tcPr>
            <w:tcW w:w="1855" w:type="dxa"/>
            <w:vMerge w:val="continue"/>
            <w:noWrap w:val="0"/>
            <w:vAlign w:val="center"/>
          </w:tcPr>
          <w:p>
            <w:pPr>
              <w:widowControl/>
              <w:snapToGrid w:val="0"/>
              <w:jc w:val="center"/>
              <w:textAlignment w:val="bottom"/>
              <w:rPr>
                <w:rFonts w:hint="eastAsia" w:ascii="方正仿宋_GBK" w:hAnsi="方正仿宋_GBK" w:eastAsia="方正仿宋_GBK" w:cs="方正仿宋_GBK"/>
                <w:color w:val="000000"/>
                <w:kern w:val="0"/>
                <w:szCs w:val="32"/>
                <w:highlight w:val="none"/>
                <w:lang w:val="en-US" w:eastAsia="zh-CN" w:bidi="ar"/>
              </w:rPr>
            </w:pP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6</w:t>
            </w:r>
          </w:p>
        </w:tc>
        <w:tc>
          <w:tcPr>
            <w:tcW w:w="5269" w:type="dxa"/>
            <w:noWrap w:val="0"/>
            <w:vAlign w:val="center"/>
          </w:tcPr>
          <w:p>
            <w:pPr>
              <w:widowControl/>
              <w:snapToGrid w:val="0"/>
              <w:jc w:val="left"/>
              <w:textAlignment w:val="bottom"/>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投标人具有交通商业数字化及收银相关软件软著专利（软著专利内容内包含交通商业数字化及收银）的，每个得2分，最高6分，与交通商业无关不得分。</w:t>
            </w:r>
          </w:p>
        </w:tc>
        <w:tc>
          <w:tcPr>
            <w:tcW w:w="1650" w:type="dxa"/>
            <w:noWrap w:val="0"/>
            <w:vAlign w:val="center"/>
          </w:tcPr>
          <w:p>
            <w:pPr>
              <w:widowControl/>
              <w:snapToGrid w:val="0"/>
              <w:jc w:val="left"/>
              <w:textAlignment w:val="bottom"/>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提供相关软著专利复印件并加盖鲜章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2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7</w:t>
            </w:r>
          </w:p>
        </w:tc>
        <w:tc>
          <w:tcPr>
            <w:tcW w:w="1855" w:type="dxa"/>
            <w:vMerge w:val="continue"/>
            <w:noWrap w:val="0"/>
            <w:vAlign w:val="center"/>
          </w:tcPr>
          <w:p>
            <w:pPr>
              <w:widowControl/>
              <w:snapToGrid w:val="0"/>
              <w:jc w:val="center"/>
              <w:textAlignment w:val="bottom"/>
              <w:rPr>
                <w:rFonts w:hint="eastAsia" w:ascii="方正仿宋_GBK" w:hAnsi="方正仿宋_GBK" w:eastAsia="方正仿宋_GBK" w:cs="方正仿宋_GBK"/>
                <w:color w:val="000000"/>
                <w:kern w:val="0"/>
                <w:szCs w:val="32"/>
                <w:highlight w:val="none"/>
                <w:lang w:val="en-US" w:eastAsia="zh-CN" w:bidi="ar"/>
              </w:rPr>
            </w:pPr>
          </w:p>
        </w:tc>
        <w:tc>
          <w:tcPr>
            <w:tcW w:w="709" w:type="dxa"/>
            <w:noWrap w:val="0"/>
            <w:vAlign w:val="center"/>
          </w:tcPr>
          <w:p>
            <w:pPr>
              <w:widowControl/>
              <w:snapToGrid w:val="0"/>
              <w:jc w:val="center"/>
              <w:textAlignment w:val="bottom"/>
              <w:rPr>
                <w:rFonts w:hint="default" w:ascii="方正仿宋_GBK" w:hAnsi="方正仿宋_GBK" w:eastAsia="方正仿宋_GBK" w:cs="方正仿宋_GBK"/>
                <w:color w:val="000000"/>
                <w:kern w:val="0"/>
                <w:szCs w:val="32"/>
                <w:highlight w:val="none"/>
                <w:lang w:val="en-US" w:eastAsia="zh-CN" w:bidi="ar"/>
              </w:rPr>
            </w:pPr>
            <w:r>
              <w:rPr>
                <w:rFonts w:hint="eastAsia" w:ascii="方正仿宋_GBK" w:hAnsi="方正仿宋_GBK" w:eastAsia="方正仿宋_GBK" w:cs="方正仿宋_GBK"/>
                <w:color w:val="000000"/>
                <w:kern w:val="0"/>
                <w:szCs w:val="32"/>
                <w:highlight w:val="none"/>
                <w:lang w:val="en-US" w:eastAsia="zh-CN" w:bidi="ar"/>
              </w:rPr>
              <w:t>8</w:t>
            </w:r>
          </w:p>
        </w:tc>
        <w:tc>
          <w:tcPr>
            <w:tcW w:w="5269" w:type="dxa"/>
            <w:noWrap w:val="0"/>
            <w:vAlign w:val="center"/>
          </w:tcPr>
          <w:p>
            <w:pPr>
              <w:widowControl/>
              <w:snapToGrid w:val="0"/>
              <w:jc w:val="left"/>
              <w:textAlignment w:val="bottom"/>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sz w:val="24"/>
                <w:szCs w:val="24"/>
                <w:highlight w:val="none"/>
              </w:rPr>
              <w:t>投标人具备高新企业认证的得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分，投标人交通商业相关智慧系统荣获省部级及以上包括但不限于</w:t>
            </w:r>
            <w:r>
              <w:rPr>
                <w:rFonts w:hint="eastAsia" w:ascii="方正仿宋_GBK" w:hAnsi="方正仿宋_GBK" w:eastAsia="方正仿宋_GBK" w:cs="方正仿宋_GBK"/>
                <w:sz w:val="24"/>
                <w:szCs w:val="24"/>
                <w:highlight w:val="none"/>
                <w:lang w:eastAsia="zh-CN"/>
              </w:rPr>
              <w:t>中国</w:t>
            </w:r>
            <w:r>
              <w:rPr>
                <w:rFonts w:hint="eastAsia" w:ascii="方正仿宋_GBK" w:hAnsi="方正仿宋_GBK" w:eastAsia="方正仿宋_GBK" w:cs="方正仿宋_GBK"/>
                <w:sz w:val="24"/>
                <w:szCs w:val="24"/>
                <w:highlight w:val="none"/>
              </w:rPr>
              <w:t>公路学会、交通运输协会颁发的获奖证书的得</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szCs w:val="24"/>
                <w:highlight w:val="none"/>
                <w:lang w:val="en-US" w:eastAsia="zh-CN"/>
              </w:rPr>
              <w:t>。</w:t>
            </w:r>
          </w:p>
        </w:tc>
        <w:tc>
          <w:tcPr>
            <w:tcW w:w="1650" w:type="dxa"/>
            <w:noWrap w:val="0"/>
            <w:vAlign w:val="center"/>
          </w:tcPr>
          <w:p>
            <w:pPr>
              <w:widowControl/>
              <w:snapToGrid w:val="0"/>
              <w:jc w:val="left"/>
              <w:textAlignment w:val="bottom"/>
              <w:rPr>
                <w:rFonts w:hint="eastAsia" w:ascii="方正仿宋_GBK" w:hAnsi="方正仿宋_GBK" w:eastAsia="方正仿宋_GBK" w:cs="方正仿宋_GBK"/>
                <w:color w:val="000000"/>
                <w:kern w:val="0"/>
                <w:sz w:val="24"/>
                <w:szCs w:val="24"/>
                <w:highlight w:val="none"/>
                <w:lang w:val="en-US" w:eastAsia="zh-CN" w:bidi="ar"/>
              </w:rPr>
            </w:pPr>
            <w:r>
              <w:rPr>
                <w:rFonts w:hint="eastAsia" w:ascii="方正仿宋_GBK" w:hAnsi="方正仿宋_GBK" w:eastAsia="方正仿宋_GBK" w:cs="方正仿宋_GBK"/>
                <w:color w:val="000000"/>
                <w:kern w:val="0"/>
                <w:sz w:val="24"/>
                <w:szCs w:val="24"/>
                <w:highlight w:val="none"/>
                <w:lang w:bidi="ar"/>
              </w:rPr>
              <w:t>提供相关</w:t>
            </w:r>
            <w:r>
              <w:rPr>
                <w:rFonts w:hint="eastAsia" w:ascii="方正仿宋_GBK" w:hAnsi="方正仿宋_GBK" w:eastAsia="方正仿宋_GBK" w:cs="方正仿宋_GBK"/>
                <w:color w:val="000000"/>
                <w:kern w:val="0"/>
                <w:sz w:val="24"/>
                <w:szCs w:val="24"/>
                <w:highlight w:val="none"/>
                <w:lang w:val="en-US" w:eastAsia="zh-CN" w:bidi="ar"/>
              </w:rPr>
              <w:t>证书</w:t>
            </w:r>
            <w:r>
              <w:rPr>
                <w:rFonts w:hint="eastAsia" w:ascii="方正仿宋_GBK" w:hAnsi="方正仿宋_GBK" w:eastAsia="方正仿宋_GBK" w:cs="方正仿宋_GBK"/>
                <w:color w:val="000000"/>
                <w:kern w:val="0"/>
                <w:sz w:val="24"/>
                <w:szCs w:val="24"/>
                <w:highlight w:val="none"/>
                <w:lang w:bidi="ar"/>
              </w:rPr>
              <w:t>复印件并加盖公章。</w:t>
            </w:r>
          </w:p>
        </w:tc>
      </w:tr>
    </w:tbl>
    <w:p>
      <w:pPr>
        <w:pStyle w:val="5"/>
        <w:rPr>
          <w:rFonts w:hint="eastAsia"/>
          <w:highlight w:val="none"/>
        </w:rPr>
      </w:pPr>
    </w:p>
    <w:p>
      <w:pPr>
        <w:pageBreakBefore w:val="0"/>
        <w:widowControl w:val="0"/>
        <w:numPr>
          <w:ilvl w:val="0"/>
          <w:numId w:val="0"/>
        </w:numPr>
        <w:kinsoku/>
        <w:wordWrap/>
        <w:overflowPunct/>
        <w:topLinePunct w:val="0"/>
        <w:autoSpaceDE/>
        <w:autoSpaceDN/>
        <w:bidi w:val="0"/>
        <w:adjustRightInd/>
        <w:snapToGrid w:val="0"/>
        <w:spacing w:line="520" w:lineRule="exact"/>
        <w:ind w:leftChars="0" w:firstLine="632" w:firstLineChars="200"/>
        <w:textAlignment w:val="auto"/>
        <w:rPr>
          <w:rFonts w:hint="eastAsia" w:ascii="方正仿宋_GBK" w:hAnsi="方正仿宋_GBK" w:eastAsia="方正仿宋_GBK" w:cs="方正仿宋_GBK"/>
          <w:b/>
          <w:bCs w:val="0"/>
          <w:sz w:val="32"/>
          <w:szCs w:val="32"/>
          <w:highlight w:val="none"/>
        </w:rPr>
      </w:pPr>
      <w:r>
        <w:rPr>
          <w:rFonts w:hint="eastAsia" w:ascii="方正仿宋_GBK" w:hAnsi="方正仿宋_GBK" w:eastAsia="方正仿宋_GBK" w:cs="方正仿宋_GBK"/>
          <w:b/>
          <w:bCs w:val="0"/>
          <w:sz w:val="32"/>
          <w:szCs w:val="32"/>
          <w:highlight w:val="none"/>
          <w:lang w:val="en-US" w:eastAsia="zh-CN"/>
        </w:rPr>
        <w:t>六、</w:t>
      </w:r>
      <w:r>
        <w:rPr>
          <w:rFonts w:hint="eastAsia" w:ascii="方正仿宋_GBK" w:hAnsi="方正仿宋_GBK" w:eastAsia="方正仿宋_GBK" w:cs="方正仿宋_GBK"/>
          <w:b/>
          <w:bCs w:val="0"/>
          <w:sz w:val="32"/>
          <w:szCs w:val="32"/>
          <w:highlight w:val="none"/>
        </w:rPr>
        <w:t>报价文件</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报价文件一式</w:t>
      </w:r>
      <w:r>
        <w:rPr>
          <w:rFonts w:hint="eastAsia" w:ascii="方正仿宋_GBK" w:hAnsi="方正仿宋_GBK" w:eastAsia="方正仿宋_GBK" w:cs="方正仿宋_GBK"/>
          <w:sz w:val="32"/>
          <w:szCs w:val="32"/>
          <w:highlight w:val="none"/>
          <w:u w:val="single"/>
        </w:rPr>
        <w:t>贰</w:t>
      </w:r>
      <w:r>
        <w:rPr>
          <w:rFonts w:hint="eastAsia" w:ascii="方正仿宋_GBK" w:hAnsi="方正仿宋_GBK" w:eastAsia="方正仿宋_GBK" w:cs="方正仿宋_GBK"/>
          <w:sz w:val="32"/>
          <w:szCs w:val="32"/>
          <w:highlight w:val="none"/>
        </w:rPr>
        <w:t>份，其中正本</w:t>
      </w:r>
      <w:r>
        <w:rPr>
          <w:rFonts w:hint="eastAsia" w:ascii="方正仿宋_GBK" w:hAnsi="方正仿宋_GBK" w:eastAsia="方正仿宋_GBK" w:cs="方正仿宋_GBK"/>
          <w:sz w:val="32"/>
          <w:szCs w:val="32"/>
          <w:highlight w:val="none"/>
          <w:u w:val="single"/>
        </w:rPr>
        <w:t>壹</w:t>
      </w:r>
      <w:r>
        <w:rPr>
          <w:rFonts w:hint="eastAsia" w:ascii="方正仿宋_GBK" w:hAnsi="方正仿宋_GBK" w:eastAsia="方正仿宋_GBK" w:cs="方正仿宋_GBK"/>
          <w:sz w:val="32"/>
          <w:szCs w:val="32"/>
          <w:highlight w:val="none"/>
        </w:rPr>
        <w:t>份，副本</w:t>
      </w:r>
      <w:r>
        <w:rPr>
          <w:rFonts w:hint="eastAsia" w:ascii="方正仿宋_GBK" w:hAnsi="方正仿宋_GBK" w:eastAsia="方正仿宋_GBK" w:cs="方正仿宋_GBK"/>
          <w:sz w:val="32"/>
          <w:szCs w:val="32"/>
          <w:highlight w:val="none"/>
          <w:u w:val="single"/>
        </w:rPr>
        <w:t>壹</w:t>
      </w:r>
      <w:r>
        <w:rPr>
          <w:rFonts w:hint="eastAsia" w:ascii="方正仿宋_GBK" w:hAnsi="方正仿宋_GBK" w:eastAsia="方正仿宋_GBK" w:cs="方正仿宋_GBK"/>
          <w:sz w:val="32"/>
          <w:szCs w:val="32"/>
          <w:highlight w:val="none"/>
        </w:rPr>
        <w:t>份；副本内容应与正本一致，如不一致情况以正本为准。</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供应商响应文件须按照要求制作，规定签字、盖章的地方必须按其规定签字、盖章（封口必须盖骑缝章</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且所有均为鲜章</w:t>
      </w:r>
      <w:r>
        <w:rPr>
          <w:rFonts w:hint="eastAsia" w:ascii="方正仿宋_GBK" w:hAnsi="方正仿宋_GBK" w:eastAsia="方正仿宋_GBK" w:cs="方正仿宋_GBK"/>
          <w:sz w:val="32"/>
          <w:szCs w:val="32"/>
          <w:highlight w:val="none"/>
        </w:rPr>
        <w:t>），未按要求制作响应文件的进行废标处理。</w:t>
      </w:r>
    </w:p>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firstLine="632"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黑体_GBK" w:hAnsi="方正黑体_GBK" w:eastAsia="方正黑体_GBK" w:cs="方正黑体_GBK"/>
          <w:b w:val="0"/>
          <w:bCs/>
          <w:sz w:val="32"/>
          <w:szCs w:val="32"/>
          <w:highlight w:val="none"/>
        </w:rPr>
        <w:t>七、其他说明</w:t>
      </w:r>
    </w:p>
    <w:p>
      <w:pPr>
        <w:pStyle w:val="4"/>
        <w:pageBreakBefore w:val="0"/>
        <w:widowControl w:val="0"/>
        <w:numPr>
          <w:ilvl w:val="0"/>
          <w:numId w:val="0"/>
        </w:numPr>
        <w:kinsoku/>
        <w:wordWrap/>
        <w:overflowPunct/>
        <w:topLinePunct w:val="0"/>
        <w:autoSpaceDE/>
        <w:autoSpaceDN/>
        <w:bidi w:val="0"/>
        <w:adjustRightInd/>
        <w:snapToGrid w:val="0"/>
        <w:spacing w:before="0" w:after="0" w:line="520" w:lineRule="exact"/>
        <w:ind w:firstLine="632" w:firstLineChars="200"/>
        <w:textAlignment w:val="auto"/>
        <w:rPr>
          <w:rFonts w:hint="eastAsia" w:ascii="方正仿宋_GBK" w:hAnsi="方正仿宋_GBK" w:eastAsia="方正仿宋_GBK" w:cs="方正仿宋_GBK"/>
          <w:b/>
          <w:bCs/>
          <w:kern w:val="2"/>
          <w:sz w:val="32"/>
          <w:szCs w:val="32"/>
          <w:highlight w:val="none"/>
          <w:lang w:val="en-US" w:eastAsia="zh-CN" w:bidi="ar-SA"/>
        </w:rPr>
      </w:pPr>
      <w:r>
        <w:rPr>
          <w:rFonts w:hint="eastAsia" w:ascii="方正仿宋_GBK" w:hAnsi="方正仿宋_GBK" w:eastAsia="方正仿宋_GBK" w:cs="方正仿宋_GBK"/>
          <w:b/>
          <w:bCs/>
          <w:kern w:val="2"/>
          <w:sz w:val="32"/>
          <w:szCs w:val="32"/>
          <w:highlight w:val="none"/>
          <w:lang w:val="en-US" w:eastAsia="zh-CN" w:bidi="ar-SA"/>
        </w:rPr>
        <w:t>（一）知识产权</w:t>
      </w:r>
    </w:p>
    <w:p>
      <w:pPr>
        <w:pStyle w:val="8"/>
        <w:pageBreakBefore w:val="0"/>
        <w:widowControl w:val="0"/>
        <w:kinsoku/>
        <w:wordWrap/>
        <w:overflowPunct/>
        <w:topLinePunct w:val="0"/>
        <w:autoSpaceDE/>
        <w:autoSpaceDN/>
        <w:bidi w:val="0"/>
        <w:adjustRightInd/>
        <w:snapToGrid w:val="0"/>
        <w:spacing w:after="0"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8"/>
        <w:pageBreakBefore w:val="0"/>
        <w:widowControl w:val="0"/>
        <w:kinsoku/>
        <w:wordWrap/>
        <w:overflowPunct/>
        <w:topLinePunct w:val="0"/>
        <w:autoSpaceDE/>
        <w:autoSpaceDN/>
        <w:bidi w:val="0"/>
        <w:adjustRightInd/>
        <w:snapToGrid w:val="0"/>
        <w:spacing w:after="0"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如供应商根据采购人功能需求新开发则该系统知识产权归属于采购人，如供应商提供其已开发的成品系统进行定制开发则报价为该系统永久授权（35对服务区授权）</w:t>
      </w:r>
      <w:r>
        <w:rPr>
          <w:rFonts w:hint="eastAsia" w:ascii="方正仿宋_GBK" w:hAnsi="方正仿宋_GBK" w:eastAsia="方正仿宋_GBK" w:cs="方正仿宋_GBK"/>
          <w:sz w:val="32"/>
          <w:szCs w:val="32"/>
          <w:highlight w:val="none"/>
        </w:rPr>
        <w:t>。</w:t>
      </w:r>
    </w:p>
    <w:p>
      <w:pPr>
        <w:pStyle w:val="4"/>
        <w:pageBreakBefore w:val="0"/>
        <w:widowControl w:val="0"/>
        <w:numPr>
          <w:ilvl w:val="0"/>
          <w:numId w:val="0"/>
        </w:numPr>
        <w:kinsoku/>
        <w:wordWrap/>
        <w:overflowPunct/>
        <w:topLinePunct w:val="0"/>
        <w:autoSpaceDE/>
        <w:autoSpaceDN/>
        <w:bidi w:val="0"/>
        <w:adjustRightInd/>
        <w:snapToGrid w:val="0"/>
        <w:spacing w:before="0" w:after="0" w:line="520" w:lineRule="exact"/>
        <w:ind w:left="420" w:leftChars="0"/>
        <w:textAlignment w:val="auto"/>
        <w:rPr>
          <w:rFonts w:hint="eastAsia" w:ascii="方正仿宋_GBK" w:hAnsi="方正仿宋_GBK" w:eastAsia="方正仿宋_GBK" w:cs="方正仿宋_GBK"/>
          <w:b/>
          <w:bCs/>
          <w:kern w:val="2"/>
          <w:sz w:val="32"/>
          <w:szCs w:val="32"/>
          <w:highlight w:val="none"/>
          <w:lang w:val="en-US" w:eastAsia="zh-CN" w:bidi="ar-SA"/>
        </w:rPr>
      </w:pPr>
      <w:r>
        <w:rPr>
          <w:rFonts w:hint="eastAsia" w:ascii="方正仿宋_GBK" w:hAnsi="方正仿宋_GBK" w:eastAsia="方正仿宋_GBK" w:cs="方正仿宋_GBK"/>
          <w:b/>
          <w:bCs/>
          <w:kern w:val="2"/>
          <w:sz w:val="32"/>
          <w:szCs w:val="32"/>
          <w:highlight w:val="none"/>
          <w:lang w:val="en-US" w:eastAsia="zh-CN" w:bidi="ar-SA"/>
        </w:rPr>
        <w:t>（二）其他</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1、采购人自成交通知书发出之日起七日内与成交供应商签订书面合同。所签订的合同不得对邀标文件和供应商的响应文件作实质性修改。</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2、其他未尽事宜由供需双方在合同中详细约定。</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3、对招标文件或合同有争议的，按有利于招标方的进行解释。</w:t>
      </w:r>
    </w:p>
    <w:bookmarkEnd w:id="9"/>
    <w:p>
      <w:pPr>
        <w:pStyle w:val="3"/>
        <w:pageBreakBefore w:val="0"/>
        <w:widowControl w:val="0"/>
        <w:numPr>
          <w:ilvl w:val="0"/>
          <w:numId w:val="0"/>
        </w:numPr>
        <w:kinsoku/>
        <w:wordWrap/>
        <w:overflowPunct/>
        <w:topLinePunct w:val="0"/>
        <w:autoSpaceDE/>
        <w:autoSpaceDN/>
        <w:bidi w:val="0"/>
        <w:adjustRightInd/>
        <w:snapToGrid w:val="0"/>
        <w:spacing w:before="0" w:after="0" w:line="520" w:lineRule="exact"/>
        <w:ind w:left="-432" w:leftChars="0" w:firstLine="316" w:firstLineChars="1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黑体_GBK" w:hAnsi="方正黑体_GBK" w:eastAsia="方正黑体_GBK" w:cs="方正黑体_GBK"/>
          <w:b w:val="0"/>
          <w:bCs/>
          <w:sz w:val="32"/>
          <w:szCs w:val="32"/>
          <w:highlight w:val="none"/>
        </w:rPr>
        <w:t>八、文件递交时间及评比地点与时间</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采购人：重庆</w:t>
      </w:r>
      <w:r>
        <w:rPr>
          <w:rFonts w:hint="eastAsia" w:ascii="方正仿宋_GBK" w:hAnsi="方正仿宋_GBK" w:eastAsia="方正仿宋_GBK" w:cs="方正仿宋_GBK"/>
          <w:sz w:val="32"/>
          <w:szCs w:val="32"/>
          <w:highlight w:val="none"/>
          <w:lang w:val="en-US" w:eastAsia="zh-CN"/>
        </w:rPr>
        <w:t>高速资产经营管理有限公司</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投标文件递交截止时间： 2023年 6月16日上午9 时 00 分</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评比时间：；2023年 6月16日上午9 时30分</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接收文件地址（评标地点）：重庆市渝北区</w:t>
      </w:r>
      <w:r>
        <w:rPr>
          <w:rFonts w:hint="eastAsia" w:ascii="方正仿宋_GBK" w:hAnsi="方正仿宋_GBK" w:eastAsia="方正仿宋_GBK" w:cs="方正仿宋_GBK"/>
          <w:sz w:val="32"/>
          <w:szCs w:val="32"/>
          <w:highlight w:val="none"/>
          <w:lang w:val="en-US" w:eastAsia="zh-CN"/>
        </w:rPr>
        <w:t>人和香锦路交建大厦7楼会议室</w:t>
      </w:r>
      <w:r>
        <w:rPr>
          <w:rFonts w:hint="eastAsia" w:ascii="方正仿宋_GBK" w:hAnsi="方正仿宋_GBK" w:eastAsia="方正仿宋_GBK" w:cs="方正仿宋_GBK"/>
          <w:sz w:val="32"/>
          <w:szCs w:val="32"/>
          <w:highlight w:val="none"/>
        </w:rPr>
        <w:t xml:space="preserve"> </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联系人：</w:t>
      </w:r>
      <w:r>
        <w:rPr>
          <w:rFonts w:hint="eastAsia" w:ascii="方正仿宋_GBK" w:hAnsi="方正仿宋_GBK" w:eastAsia="方正仿宋_GBK" w:cs="方正仿宋_GBK"/>
          <w:sz w:val="32"/>
          <w:szCs w:val="32"/>
          <w:highlight w:val="none"/>
          <w:lang w:val="en-US" w:eastAsia="zh-CN"/>
        </w:rPr>
        <w:t>马老师</w:t>
      </w:r>
    </w:p>
    <w:p>
      <w:pPr>
        <w:pageBreakBefore w:val="0"/>
        <w:widowControl w:val="0"/>
        <w:kinsoku/>
        <w:wordWrap/>
        <w:overflowPunct/>
        <w:topLinePunct w:val="0"/>
        <w:autoSpaceDE/>
        <w:autoSpaceDN/>
        <w:bidi w:val="0"/>
        <w:adjustRightInd/>
        <w:snapToGrid w:val="0"/>
        <w:spacing w:line="520" w:lineRule="exact"/>
        <w:ind w:left="0" w:leftChars="0" w:firstLine="632" w:firstLineChars="200"/>
        <w:textAlignment w:val="auto"/>
        <w:rPr>
          <w:rFonts w:hint="default"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sz w:val="32"/>
          <w:szCs w:val="32"/>
          <w:highlight w:val="none"/>
        </w:rPr>
        <w:t>联系电话：1</w:t>
      </w:r>
      <w:r>
        <w:rPr>
          <w:rFonts w:hint="eastAsia" w:ascii="方正仿宋_GBK" w:hAnsi="方正仿宋_GBK" w:eastAsia="方正仿宋_GBK" w:cs="方正仿宋_GBK"/>
          <w:sz w:val="32"/>
          <w:szCs w:val="32"/>
          <w:highlight w:val="none"/>
          <w:lang w:val="en-US" w:eastAsia="zh-CN"/>
        </w:rPr>
        <w:t>7729626617</w:t>
      </w:r>
    </w:p>
    <w:p>
      <w:pPr>
        <w:pStyle w:val="20"/>
        <w:pageBreakBefore w:val="0"/>
        <w:widowControl w:val="0"/>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FF0000"/>
          <w:sz w:val="32"/>
          <w:szCs w:val="32"/>
          <w:highlight w:val="none"/>
        </w:rPr>
        <w:t xml:space="preserve">   </w:t>
      </w:r>
    </w:p>
    <w:p>
      <w:pPr>
        <w:pageBreakBefore w:val="0"/>
        <w:widowControl w:val="0"/>
        <w:kinsoku/>
        <w:wordWrap/>
        <w:overflowPunct/>
        <w:topLinePunct w:val="0"/>
        <w:autoSpaceDE/>
        <w:autoSpaceDN/>
        <w:bidi w:val="0"/>
        <w:adjustRightInd/>
        <w:snapToGrid w:val="0"/>
        <w:spacing w:line="520" w:lineRule="exact"/>
        <w:ind w:firstLine="632"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附件：1、报价承诺书</w:t>
      </w:r>
    </w:p>
    <w:p>
      <w:pPr>
        <w:pageBreakBefore w:val="0"/>
        <w:widowControl w:val="0"/>
        <w:kinsoku/>
        <w:wordWrap/>
        <w:overflowPunct/>
        <w:topLinePunct w:val="0"/>
        <w:autoSpaceDE/>
        <w:autoSpaceDN/>
        <w:bidi w:val="0"/>
        <w:adjustRightInd/>
        <w:snapToGrid w:val="0"/>
        <w:spacing w:line="520" w:lineRule="exact"/>
        <w:ind w:firstLine="632"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2、法定代表人身份证明书</w:t>
      </w:r>
    </w:p>
    <w:p>
      <w:pPr>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3、法定代表人授权委托书</w:t>
      </w:r>
    </w:p>
    <w:p>
      <w:pPr>
        <w:pStyle w:val="5"/>
        <w:rPr>
          <w:rFonts w:hint="default" w:eastAsia="方正仿宋_GBK"/>
          <w:lang w:val="en-US" w:eastAsia="zh-CN"/>
        </w:rPr>
      </w:pPr>
      <w:r>
        <w:rPr>
          <w:rFonts w:hint="eastAsia" w:ascii="方正仿宋_GBK" w:hAnsi="方正仿宋_GBK" w:eastAsia="方正仿宋_GBK" w:cs="方正仿宋_GBK"/>
          <w:sz w:val="32"/>
          <w:szCs w:val="32"/>
          <w:highlight w:val="none"/>
          <w:lang w:val="en-US" w:eastAsia="zh-CN"/>
        </w:rPr>
        <w:t xml:space="preserve">      4、服务区商业管理系统采购</w:t>
      </w:r>
      <w:bookmarkStart w:id="65" w:name="_GoBack"/>
      <w:bookmarkEnd w:id="65"/>
      <w:r>
        <w:rPr>
          <w:rFonts w:hint="eastAsia" w:ascii="方正仿宋_GBK" w:hAnsi="方正仿宋_GBK" w:eastAsia="方正仿宋_GBK" w:cs="方正仿宋_GBK"/>
          <w:sz w:val="32"/>
          <w:szCs w:val="32"/>
          <w:highlight w:val="none"/>
          <w:lang w:val="en-US" w:eastAsia="zh-CN"/>
        </w:rPr>
        <w:t>及实施服务合同</w:t>
      </w:r>
    </w:p>
    <w:p>
      <w:pPr>
        <w:pageBreakBefore w:val="0"/>
        <w:widowControl w:val="0"/>
        <w:kinsoku/>
        <w:wordWrap/>
        <w:overflowPunct/>
        <w:topLinePunct w:val="0"/>
        <w:autoSpaceDE/>
        <w:autoSpaceDN/>
        <w:bidi w:val="0"/>
        <w:adjustRightInd/>
        <w:snapToGrid w:val="0"/>
        <w:spacing w:line="520" w:lineRule="exact"/>
        <w:ind w:firstLine="632" w:firstLineChars="200"/>
        <w:textAlignment w:val="auto"/>
        <w:rPr>
          <w:rFonts w:ascii="方正仿宋_GBK" w:hAnsi="方正仿宋_GBK" w:eastAsia="方正仿宋_GBK" w:cs="方正仿宋_GBK"/>
          <w:sz w:val="32"/>
          <w:szCs w:val="32"/>
          <w:highlight w:val="none"/>
        </w:rPr>
        <w:sectPr>
          <w:footerReference r:id="rId3" w:type="default"/>
          <w:pgSz w:w="11906" w:h="16838"/>
          <w:pgMar w:top="2098" w:right="1474" w:bottom="1985" w:left="1588" w:header="851" w:footer="1474" w:gutter="0"/>
          <w:pgBorders>
            <w:top w:val="none" w:sz="0" w:space="0"/>
            <w:left w:val="none" w:sz="0" w:space="0"/>
            <w:bottom w:val="none" w:sz="0" w:space="0"/>
            <w:right w:val="none" w:sz="0" w:space="0"/>
          </w:pgBorders>
          <w:pgNumType w:fmt="numberInDash"/>
          <w:cols w:space="720" w:num="1"/>
          <w:docGrid w:type="linesAndChars" w:linePitch="579" w:charSpace="-849"/>
        </w:sect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、其他相关资料（格式自定义）</w:t>
      </w:r>
    </w:p>
    <w:p>
      <w:pPr>
        <w:widowControl/>
        <w:snapToGrid w:val="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附件1</w:t>
      </w:r>
      <w:r>
        <w:rPr>
          <w:rFonts w:hint="eastAsia" w:ascii="方正黑体_GBK" w:hAnsi="方正黑体_GBK" w:eastAsia="方正黑体_GBK" w:cs="方正黑体_GBK"/>
          <w:sz w:val="32"/>
          <w:szCs w:val="32"/>
          <w:highlight w:val="none"/>
        </w:rPr>
        <w:t xml:space="preserve"> </w:t>
      </w:r>
      <w:r>
        <w:rPr>
          <w:rFonts w:hint="eastAsia" w:ascii="方正仿宋_GBK" w:hAnsi="方正仿宋_GBK" w:eastAsia="方正仿宋_GBK" w:cs="方正仿宋_GBK"/>
          <w:sz w:val="32"/>
          <w:szCs w:val="32"/>
          <w:highlight w:val="none"/>
        </w:rPr>
        <w:t xml:space="preserve">   </w:t>
      </w:r>
    </w:p>
    <w:p>
      <w:pPr>
        <w:widowControl/>
        <w:snapToGrid w:val="0"/>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报价承诺函</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项目名称：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（采购单位名称）</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（参与单位名称）系中华人民共和国合法企业。我方愿意按照文件中的一切要求，提供本项目的技术服务，投标报价为</w:t>
      </w:r>
      <w:r>
        <w:rPr>
          <w:rFonts w:hint="eastAsia" w:ascii="方正仿宋_GBK" w:hAnsi="方正仿宋_GBK" w:eastAsia="方正仿宋_GBK" w:cs="方正仿宋_GBK"/>
          <w:sz w:val="32"/>
          <w:szCs w:val="32"/>
          <w:highlight w:val="none"/>
          <w:u w:val="single"/>
        </w:rPr>
        <w:t>大写：     元整</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小写：     元整</w:t>
      </w:r>
      <w:r>
        <w:rPr>
          <w:rFonts w:hint="eastAsia" w:ascii="方正仿宋_GBK" w:hAnsi="方正仿宋_GBK" w:eastAsia="方正仿宋_GBK" w:cs="方正仿宋_GBK"/>
          <w:sz w:val="32"/>
          <w:szCs w:val="32"/>
          <w:highlight w:val="none"/>
        </w:rPr>
        <w:t>）。我方就参加本次比选有关事项郑重声明如下：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一、我方完全理解、接受并遵守贵方比选的相关规定和要求。</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二、我方提交的所有报价材料都是准确和真实的，如有虚假或隐瞒，我方愿意承担一切法律责任。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三、我方按文件要求提交的报价材料为正本1份，副本1份。</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四、我方在过程中如有违规行为，贵方可参照相关法律法规与内部管理规定处理。</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五、如果我方成为成交供应商候选人，我方将履行比选文件中规定的各项要求以及我方报价材料的各项承诺，按《合同法》及合同约定条款承担我方责任。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六、我方理解，最低报价不是成为成交供应商候选人的唯一条件。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我方郑重声明，我公司具备良好的商业信誉和健全的财务部会计制度，具备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0"/>
        <w:keepNext w:val="0"/>
        <w:keepLines w:val="0"/>
        <w:pageBreakBefore w:val="0"/>
        <w:widowControl w:val="0"/>
        <w:kinsoku/>
        <w:wordWrap/>
        <w:overflowPunct/>
        <w:topLinePunct w:val="0"/>
        <w:autoSpaceDE/>
        <w:autoSpaceDN/>
        <w:bidi w:val="0"/>
        <w:adjustRightInd/>
        <w:spacing w:line="520" w:lineRule="exact"/>
        <w:textAlignment w:val="auto"/>
        <w:rPr>
          <w:rFonts w:ascii="方正仿宋_GBK" w:hAnsi="方正仿宋_GBK" w:eastAsia="方正仿宋_GBK" w:cs="方正仿宋_GBK"/>
          <w:sz w:val="32"/>
          <w:szCs w:val="32"/>
          <w:highlight w:val="none"/>
        </w:rPr>
      </w:pPr>
    </w:p>
    <w:p>
      <w:pPr>
        <w:pStyle w:val="20"/>
        <w:keepNext w:val="0"/>
        <w:keepLines w:val="0"/>
        <w:pageBreakBefore w:val="0"/>
        <w:widowControl w:val="0"/>
        <w:kinsoku/>
        <w:wordWrap/>
        <w:overflowPunct/>
        <w:topLinePunct w:val="0"/>
        <w:autoSpaceDE/>
        <w:autoSpaceDN/>
        <w:bidi w:val="0"/>
        <w:adjustRightInd/>
        <w:spacing w:line="520" w:lineRule="exact"/>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（报价单位公章）</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年    月    日</w:t>
      </w:r>
    </w:p>
    <w:p>
      <w:pPr>
        <w:widowControl/>
        <w:snapToGrid w:val="0"/>
        <w:jc w:val="left"/>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br w:type="page"/>
      </w:r>
      <w:r>
        <w:rPr>
          <w:rFonts w:hint="eastAsia" w:ascii="方正仿宋_GBK" w:hAnsi="方正仿宋_GBK" w:eastAsia="方正仿宋_GBK" w:cs="方正仿宋_GBK"/>
          <w:sz w:val="32"/>
          <w:szCs w:val="32"/>
          <w:highlight w:val="none"/>
        </w:rPr>
        <w:t>附件2</w:t>
      </w:r>
    </w:p>
    <w:p>
      <w:pPr>
        <w:tabs>
          <w:tab w:val="left" w:pos="6300"/>
        </w:tabs>
        <w:snapToGrid w:val="0"/>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法定代表人身份证明书</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采购项目名称：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（采购单位名称）</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（法定代表人姓名）在</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（参与单位名称）任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（职务名称）职务，是该单位的法定代表人。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（报价单位公章）</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（附：法定代表人身份证复印件）</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ascii="方正仿宋_GBK" w:hAnsi="方正仿宋_GBK" w:eastAsia="方正仿宋_GBK" w:cs="方正仿宋_GBK"/>
          <w:sz w:val="32"/>
          <w:szCs w:val="32"/>
          <w:highlight w:val="none"/>
        </w:rPr>
      </w:pPr>
    </w:p>
    <w:p>
      <w:pPr>
        <w:pStyle w:val="5"/>
      </w:pPr>
    </w:p>
    <w:p/>
    <w:p>
      <w:pPr>
        <w:pStyle w:val="2"/>
      </w:pPr>
    </w:p>
    <w:p/>
    <w:p>
      <w:pPr>
        <w:snapToGrid w:val="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附件3</w:t>
      </w:r>
    </w:p>
    <w:p>
      <w:pPr>
        <w:snapToGrid w:val="0"/>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法定代表人授权委托书</w:t>
      </w:r>
    </w:p>
    <w:p>
      <w:pPr>
        <w:tabs>
          <w:tab w:val="left" w:pos="6300"/>
        </w:tabs>
        <w:snapToGrid w:val="0"/>
        <w:ind w:firstLine="570"/>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采购项目名称：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（采购单位名称）</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（参与单位法定代表人名称）是</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（参与单位名称）的法定代表人，特授权</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（被授权人姓名及身份证代码）代表我单位全权办理上述项目的报价、谈判、签约等具体工作，并签署全部有关文件、协议及合同。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被授权人签名：                  报价单位法定代表人签名：</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（附：被授权人身份证复印件）</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70"/>
        <w:textAlignment w:val="auto"/>
        <w:rPr>
          <w:rFonts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firstLine="570"/>
        <w:jc w:val="righ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（报价单位公章）</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firstLine="570"/>
        <w:jc w:val="righ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firstLine="570"/>
        <w:jc w:val="righ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Cs w:val="32"/>
          <w:highlight w:val="none"/>
        </w:rPr>
        <w:br w:type="page"/>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附件4</w:t>
      </w:r>
    </w:p>
    <w:p>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left="48" w:leftChars="15" w:right="0" w:firstLine="0" w:firstLineChars="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color w:val="auto"/>
          <w:sz w:val="32"/>
          <w:szCs w:val="32"/>
          <w:highlight w:val="none"/>
          <w:lang w:val="en-US" w:eastAsia="zh-CN"/>
        </w:rPr>
        <w:t>编号:</w:t>
      </w:r>
      <w:r>
        <w:rPr>
          <w:rFonts w:hint="eastAsia" w:ascii="方正仿宋_GBK" w:hAnsi="方正仿宋_GBK" w:eastAsia="方正仿宋_GBK" w:cs="方正仿宋_GBK"/>
          <w:sz w:val="32"/>
          <w:szCs w:val="32"/>
          <w:highlight w:val="none"/>
        </w:rPr>
        <w:t xml:space="preserve"> </w:t>
      </w:r>
    </w:p>
    <w:p>
      <w:pPr>
        <w:adjustRightInd w:val="0"/>
        <w:spacing w:beforeLines="0" w:afterLines="0" w:line="360" w:lineRule="auto"/>
        <w:ind w:left="707" w:hanging="707" w:hangingChars="160"/>
        <w:jc w:val="center"/>
        <w:textAlignment w:val="baseline"/>
        <w:rPr>
          <w:rFonts w:hint="eastAsia" w:ascii="黑体" w:hAnsi="Times New Roman" w:eastAsia="黑体"/>
          <w:b/>
          <w:kern w:val="0"/>
          <w:sz w:val="44"/>
          <w:szCs w:val="24"/>
        </w:rPr>
      </w:pPr>
    </w:p>
    <w:p>
      <w:pPr>
        <w:adjustRightInd w:val="0"/>
        <w:spacing w:beforeLines="0" w:afterLines="0" w:line="360" w:lineRule="auto"/>
        <w:ind w:left="707" w:hanging="707" w:hangingChars="160"/>
        <w:jc w:val="center"/>
        <w:textAlignment w:val="baseline"/>
        <w:rPr>
          <w:rFonts w:hint="eastAsia" w:ascii="黑体" w:hAnsi="Times New Roman" w:eastAsia="黑体"/>
          <w:b/>
          <w:kern w:val="0"/>
          <w:sz w:val="44"/>
          <w:szCs w:val="24"/>
        </w:rPr>
      </w:pPr>
      <w:r>
        <w:rPr>
          <w:rFonts w:hint="eastAsia" w:ascii="黑体" w:hAnsi="Times New Roman" w:eastAsia="黑体"/>
          <w:b/>
          <w:kern w:val="0"/>
          <w:sz w:val="44"/>
          <w:szCs w:val="24"/>
        </w:rPr>
        <w:t xml:space="preserve">                                                                                                                                                                                                      </w:t>
      </w:r>
    </w:p>
    <w:p>
      <w:pPr>
        <w:adjustRightInd w:val="0"/>
        <w:spacing w:beforeLines="0" w:afterLines="0" w:line="360" w:lineRule="auto"/>
        <w:ind w:left="707" w:hanging="707" w:hangingChars="160"/>
        <w:jc w:val="center"/>
        <w:textAlignment w:val="baseline"/>
        <w:rPr>
          <w:rFonts w:hint="eastAsia" w:ascii="黑体" w:hAnsi="Times New Roman" w:eastAsia="黑体"/>
          <w:b/>
          <w:kern w:val="0"/>
          <w:sz w:val="44"/>
          <w:szCs w:val="24"/>
        </w:rPr>
      </w:pPr>
    </w:p>
    <w:p>
      <w:pPr>
        <w:adjustRightInd w:val="0"/>
        <w:spacing w:beforeLines="0" w:afterLines="0" w:line="360" w:lineRule="auto"/>
        <w:ind w:left="707" w:hanging="707" w:hangingChars="160"/>
        <w:jc w:val="center"/>
        <w:textAlignment w:val="baseline"/>
        <w:rPr>
          <w:rFonts w:hint="eastAsia" w:ascii="黑体" w:hAnsi="Times New Roman" w:eastAsia="黑体"/>
          <w:b/>
          <w:kern w:val="0"/>
          <w:sz w:val="44"/>
          <w:szCs w:val="24"/>
        </w:rPr>
      </w:pPr>
    </w:p>
    <w:p>
      <w:pPr>
        <w:spacing w:beforeLines="0" w:afterLines="0"/>
        <w:rPr>
          <w:rFonts w:hint="default"/>
          <w:sz w:val="21"/>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服务区商业管理系统采购及实施服务协议</w:t>
      </w:r>
    </w:p>
    <w:p>
      <w:pPr>
        <w:spacing w:before="312" w:beforeLines="100" w:after="312" w:afterLines="10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该协议模版为成品系统定制开发模版，如中标供应商为从零新开发系统则部分条款根据实际进行调整</w:t>
      </w:r>
      <w:r>
        <w:rPr>
          <w:rFonts w:hint="eastAsia" w:asciiTheme="minorEastAsia" w:hAnsiTheme="minorEastAsia" w:eastAsiaTheme="minorEastAsia" w:cstheme="minorEastAsia"/>
          <w:sz w:val="21"/>
          <w:szCs w:val="21"/>
          <w:lang w:eastAsia="zh-CN"/>
        </w:rPr>
        <w:t>）</w:t>
      </w:r>
    </w:p>
    <w:p>
      <w:pPr>
        <w:spacing w:before="312" w:beforeLines="100" w:after="312" w:afterLines="100" w:line="360" w:lineRule="auto"/>
        <w:rPr>
          <w:rFonts w:hint="eastAsia" w:ascii="仿宋" w:hAnsi="仿宋" w:eastAsia="仿宋"/>
          <w:sz w:val="52"/>
          <w:szCs w:val="24"/>
        </w:rPr>
      </w:pPr>
    </w:p>
    <w:p>
      <w:pPr>
        <w:spacing w:before="312" w:beforeLines="100" w:after="312" w:afterLines="100" w:line="360" w:lineRule="auto"/>
        <w:rPr>
          <w:rFonts w:hint="eastAsia" w:ascii="仿宋" w:hAnsi="仿宋" w:eastAsia="仿宋"/>
          <w:sz w:val="52"/>
          <w:szCs w:val="24"/>
        </w:rPr>
      </w:pPr>
    </w:p>
    <w:p>
      <w:pPr>
        <w:spacing w:before="312" w:beforeLines="100" w:after="312" w:afterLines="100" w:line="360" w:lineRule="auto"/>
        <w:rPr>
          <w:rFonts w:hint="eastAsia" w:ascii="仿宋" w:hAnsi="仿宋" w:eastAsia="仿宋"/>
          <w:sz w:val="52"/>
          <w:szCs w:val="24"/>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1920" w:leftChars="600"/>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签约时间： 2023年  月  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1920" w:leftChars="600"/>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 xml:space="preserve">签约地点： </w:t>
      </w: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spacing w:beforeLines="0" w:afterLines="0"/>
        <w:rPr>
          <w:rFonts w:hint="default"/>
          <w:sz w:val="21"/>
          <w:szCs w:val="24"/>
        </w:rPr>
      </w:pPr>
    </w:p>
    <w:p>
      <w:pPr>
        <w:tabs>
          <w:tab w:val="left" w:pos="5735"/>
        </w:tabs>
        <w:spacing w:beforeLines="0" w:afterLines="0"/>
        <w:jc w:val="left"/>
        <w:rPr>
          <w:rFonts w:hint="default"/>
          <w:sz w:val="21"/>
          <w:szCs w:val="24"/>
        </w:rPr>
        <w:sectPr>
          <w:footerReference r:id="rId4" w:type="default"/>
          <w:pgSz w:w="11906" w:h="16838"/>
          <w:pgMar w:top="1200" w:right="1134" w:bottom="1057" w:left="1134" w:header="850" w:footer="624" w:gutter="0"/>
          <w:lnNumType w:countBy="0" w:distance="360"/>
          <w:pgNumType w:start="1"/>
          <w:cols w:space="720" w:num="1"/>
          <w:docGrid w:type="lines" w:linePitch="312" w:charSpace="0"/>
        </w:sectPr>
      </w:pPr>
      <w:r>
        <w:rPr>
          <w:rFonts w:hint="default"/>
          <w:sz w:val="21"/>
          <w:szCs w:val="24"/>
        </w:rPr>
        <w:tab/>
      </w:r>
    </w:p>
    <w:p>
      <w:pPr>
        <w:spacing w:before="156" w:beforeLines="50" w:after="156" w:afterLines="50" w:line="360"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"1-2"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_Toc2631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1、释义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_Toc2631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_Toc18705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2、合同标的</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_Toc18705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_Toc24504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3、合同金额</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_Toc24504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_Toc32415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4、付款方式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_Toc32415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_Toc9604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5、售后服务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_Toc9604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_Toc24957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6、项目实施约定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_Toc24957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_Toc10570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7、系统软件所有权属</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_Toc10570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_Toc30119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8、保密与安全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_Toc30119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_Toc8304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9、甲乙双方的义务及责任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_Toc8304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_Toc16100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10、不可抗力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_Toc16100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_Toc23505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11、违约责任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_Toc23505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_Toc24099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12、适用法律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_Toc24099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_Toc17938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13、争议的解决办法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_Toc17938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_Toc4866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14、其他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_Toc4866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_Toc27046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15、附件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_Toc27046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_Toc2642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附件一：软件功能价格清单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_Toc25525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附件二：安装部署确认单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_Toc25525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_Toc27079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附件三：验收报告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_Toc27079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4"/>
        <w:tabs>
          <w:tab w:val="right" w:leader="dot" w:pos="9638"/>
        </w:tabs>
        <w:spacing w:beforeLines="0" w:afterLines="0"/>
        <w:rPr>
          <w:rFonts w:hint="eastAsia" w:ascii="仿宋" w:hAnsi="仿宋" w:eastAsia="仿宋" w:cs="仿宋"/>
          <w:b/>
          <w:sz w:val="21"/>
          <w:szCs w:val="21"/>
        </w:rPr>
        <w:sectPr>
          <w:footerReference r:id="rId5" w:type="default"/>
          <w:pgSz w:w="11906" w:h="16838"/>
          <w:pgMar w:top="1200" w:right="1134" w:bottom="1057" w:left="1134" w:header="1417" w:footer="624" w:gutter="0"/>
          <w:lnNumType w:countBy="0" w:distance="360"/>
          <w:cols w:space="720" w:num="1"/>
          <w:docGrid w:type="lines" w:linePitch="312" w:charSpace="0"/>
        </w:sectPr>
      </w:pPr>
      <w:r>
        <w:rPr>
          <w:rFonts w:hint="eastAsia" w:asciiTheme="minorEastAsia" w:hAnsiTheme="minorEastAsia" w:eastAsiaTheme="minorEastAsia" w:cstheme="minorEastAsia"/>
          <w:sz w:val="21"/>
          <w:szCs w:val="21"/>
        </w:rPr>
        <w:fldChar w:fldCharType="end"/>
      </w:r>
    </w:p>
    <w:p>
      <w:pPr>
        <w:spacing w:before="156" w:beforeLines="50" w:after="156" w:afterLines="50" w:line="360" w:lineRule="auto"/>
        <w:jc w:val="center"/>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服务区商业管理系统采购及实施服务合同</w:t>
      </w:r>
    </w:p>
    <w:p>
      <w:pPr>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 w:hAnsi="仿宋" w:eastAsia="仿宋" w:cs="仿宋"/>
          <w:b/>
          <w:sz w:val="36"/>
          <w:szCs w:val="36"/>
        </w:rPr>
      </w:pPr>
    </w:p>
    <w:p>
      <w:pPr>
        <w:pageBreakBefore w:val="0"/>
        <w:widowControl w:val="0"/>
        <w:kinsoku/>
        <w:wordWrap/>
        <w:overflowPunct/>
        <w:topLinePunct w:val="0"/>
        <w:autoSpaceDE/>
        <w:autoSpaceDN/>
        <w:bidi w:val="0"/>
        <w:adjustRightInd/>
        <w:snapToGrid/>
        <w:spacing w:line="440" w:lineRule="exact"/>
        <w:ind w:left="0" w:leftChars="0" w:firstLine="369" w:firstLineChars="175"/>
        <w:jc w:val="left"/>
        <w:textAlignment w:val="auto"/>
        <w:rPr>
          <w:rFonts w:hint="eastAsia" w:ascii="宋体" w:hAnsi="宋体" w:eastAsia="宋体" w:cs="宋体"/>
          <w:b/>
          <w:sz w:val="21"/>
          <w:szCs w:val="21"/>
        </w:rPr>
      </w:pPr>
      <w:r>
        <w:rPr>
          <w:rFonts w:hint="eastAsia" w:ascii="宋体" w:hAnsi="宋体" w:eastAsia="宋体" w:cs="宋体"/>
          <w:b/>
          <w:sz w:val="21"/>
          <w:szCs w:val="21"/>
        </w:rPr>
        <w:t>甲  方（需方）：</w:t>
      </w:r>
      <w:r>
        <w:rPr>
          <w:rFonts w:hint="eastAsia" w:ascii="宋体" w:hAnsi="宋体" w:eastAsia="宋体" w:cs="宋体"/>
          <w:b/>
          <w:sz w:val="21"/>
          <w:szCs w:val="21"/>
          <w:u w:val="single"/>
        </w:rPr>
        <w:t xml:space="preserve">                         </w:t>
      </w:r>
    </w:p>
    <w:p>
      <w:pPr>
        <w:pageBreakBefore w:val="0"/>
        <w:widowControl w:val="0"/>
        <w:kinsoku/>
        <w:wordWrap/>
        <w:overflowPunct/>
        <w:topLinePunct w:val="0"/>
        <w:autoSpaceDE/>
        <w:autoSpaceDN/>
        <w:bidi w:val="0"/>
        <w:adjustRightInd/>
        <w:snapToGrid/>
        <w:spacing w:line="440" w:lineRule="exact"/>
        <w:ind w:left="0" w:leftChars="0" w:firstLine="369" w:firstLineChars="175"/>
        <w:textAlignment w:val="auto"/>
        <w:rPr>
          <w:rFonts w:hint="eastAsia" w:ascii="宋体" w:hAnsi="宋体" w:eastAsia="宋体" w:cs="宋体"/>
          <w:b/>
          <w:sz w:val="21"/>
          <w:szCs w:val="21"/>
          <w:u w:val="single"/>
        </w:rPr>
      </w:pPr>
      <w:r>
        <w:rPr>
          <w:rFonts w:hint="eastAsia" w:ascii="宋体" w:hAnsi="宋体" w:eastAsia="宋体" w:cs="宋体"/>
          <w:b/>
          <w:sz w:val="21"/>
          <w:szCs w:val="21"/>
        </w:rPr>
        <w:t>乙  方（供方）：</w:t>
      </w:r>
      <w:r>
        <w:rPr>
          <w:rFonts w:hint="eastAsia" w:ascii="宋体" w:hAnsi="宋体" w:eastAsia="宋体" w:cs="宋体"/>
          <w:b/>
          <w:sz w:val="21"/>
          <w:szCs w:val="21"/>
          <w:u w:val="single"/>
        </w:rPr>
        <w:t xml:space="preserve">                         </w:t>
      </w:r>
    </w:p>
    <w:p>
      <w:pPr>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sz w:val="21"/>
          <w:szCs w:val="21"/>
          <w:u w:val="single"/>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为了满足企业服务区智慧运营的需要，向乙方采购服务区商业管理系统软件及相关服务，并按合同要求提供相应的实施和服务。双方经过平等协商，在真实、充分地表达各自意愿的基础上，根据《中华人民共和国民法典》的规定，达成如下协议，并由双方共同恪守。</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11" w:name="_Toc28130"/>
      <w:bookmarkStart w:id="12" w:name="_Toc2631"/>
      <w:bookmarkStart w:id="13" w:name="_Toc7237"/>
      <w:r>
        <w:rPr>
          <w:rFonts w:hint="eastAsia" w:ascii="宋体" w:hAnsi="宋体" w:eastAsia="宋体" w:cs="宋体"/>
          <w:sz w:val="21"/>
          <w:szCs w:val="21"/>
        </w:rPr>
        <w:t>1、释义</w:t>
      </w:r>
      <w:bookmarkEnd w:id="11"/>
      <w:bookmarkEnd w:id="12"/>
      <w:bookmarkEnd w:id="13"/>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甲乙双方均同意本合同的下列文字作如下理解：</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  软件：是指乙方向甲方出售的，拥有合法来源的计算机程序及相关文档，该软件由乙方安装到甲方。</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1.2  上线：是指乙方为甲方提供软件的安装、调试，试运行、正式上线服务。</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1.3  培训：是指乙方为甲方提供软件使用的培训服务。</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  二次开发：在合同服务期内，乙方根据甲方的实际需求，在本项目功能以外的，乙方同意为甲方做的有偿或无偿的定制化开发工作。</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1.5  本合同总金额：是指按照本合同的约定，甲方应向乙方支付的本合同附件约定的软件价款，软件价款已包括乙方提供上线服务的价款、乙方提供培训服务的价款、实施费、维护费、税费、食宿费、差旅费等一切相关费用。</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1.6  安装确认：乙方将符合附件一功能需求的软件安装至甲方指定服务器或其他电脑设备，通过客户端可正常登陆并使用视为完成安装确认交付，交付时甲乙双方共同签署附件二安装部署确认单。</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14" w:name="_Toc22754"/>
      <w:bookmarkStart w:id="15" w:name="_Toc21108"/>
      <w:bookmarkStart w:id="16" w:name="_Toc18705"/>
      <w:r>
        <w:rPr>
          <w:rFonts w:hint="eastAsia" w:ascii="宋体" w:hAnsi="宋体" w:eastAsia="宋体" w:cs="宋体"/>
          <w:sz w:val="21"/>
          <w:szCs w:val="21"/>
        </w:rPr>
        <w:t>2、合同标的</w:t>
      </w:r>
      <w:bookmarkEnd w:id="14"/>
      <w:bookmarkEnd w:id="15"/>
      <w:bookmarkEnd w:id="16"/>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2.1  乙方向甲方出售服务区商业管理系统软件（以下简称“软件”），并向甲方提供软件的安装、调试、实施服务（以下合称“上线”）及相关的培训（以下简称“培训”）、维护。（软件功能见附件一）</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17" w:name="_Toc16540"/>
      <w:bookmarkStart w:id="18" w:name="_Toc24504"/>
      <w:bookmarkStart w:id="19" w:name="_Toc17772"/>
      <w:r>
        <w:rPr>
          <w:rFonts w:hint="eastAsia" w:ascii="宋体" w:hAnsi="宋体" w:eastAsia="宋体" w:cs="宋体"/>
          <w:sz w:val="21"/>
          <w:szCs w:val="21"/>
        </w:rPr>
        <w:t>3、合同金额</w:t>
      </w:r>
      <w:bookmarkEnd w:id="17"/>
      <w:bookmarkEnd w:id="18"/>
      <w:bookmarkEnd w:id="19"/>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3.1  双方确认本合同项下的项目合同总金额为含税价（含增值税13%） </w:t>
      </w:r>
      <w:r>
        <w:rPr>
          <w:rFonts w:hint="eastAsia" w:ascii="宋体" w:hAnsi="宋体" w:eastAsia="宋体" w:cs="宋体"/>
          <w:sz w:val="21"/>
          <w:szCs w:val="21"/>
          <w:u w:val="single"/>
        </w:rPr>
        <w:t>元</w:t>
      </w:r>
      <w:r>
        <w:rPr>
          <w:rFonts w:hint="eastAsia" w:ascii="宋体" w:hAnsi="宋体" w:eastAsia="宋体" w:cs="宋体"/>
          <w:sz w:val="21"/>
          <w:szCs w:val="21"/>
        </w:rPr>
        <w:t>（大写：）。其中不含税金额为 元（大写：），税费为  元（大写：）。</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3.2  乙方承诺，系统免费维保期为</w:t>
      </w:r>
      <w:r>
        <w:rPr>
          <w:rFonts w:hint="eastAsia" w:ascii="宋体" w:hAnsi="宋体" w:eastAsia="宋体" w:cs="宋体"/>
          <w:sz w:val="21"/>
          <w:szCs w:val="21"/>
          <w:u w:val="single"/>
        </w:rPr>
        <w:t>12个月（即缺陷责任期，下同）</w:t>
      </w:r>
      <w:r>
        <w:rPr>
          <w:rFonts w:hint="eastAsia" w:ascii="宋体" w:hAnsi="宋体" w:eastAsia="宋体" w:cs="宋体"/>
          <w:sz w:val="21"/>
          <w:szCs w:val="21"/>
        </w:rPr>
        <w:t>，自系统正式上线并通过甲方验收合格之日起计算。维保期满后，如甲方继续聘请乙方对本合同所规定的信息系统开展维保或运维服务，则由双方另行签署相关协议。</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软件功能价格清单见附件一。</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20" w:name="_Toc1453"/>
      <w:bookmarkStart w:id="21" w:name="_Toc32415"/>
      <w:bookmarkStart w:id="22" w:name="_Toc27749"/>
      <w:r>
        <w:rPr>
          <w:rFonts w:hint="eastAsia" w:ascii="宋体" w:hAnsi="宋体" w:eastAsia="宋体" w:cs="宋体"/>
          <w:sz w:val="21"/>
          <w:szCs w:val="21"/>
        </w:rPr>
        <w:t>4、付款方式</w:t>
      </w:r>
      <w:bookmarkEnd w:id="20"/>
      <w:bookmarkEnd w:id="21"/>
      <w:bookmarkEnd w:id="22"/>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甲方分5次向乙方支付项目费用,具体付款事项约定如下：</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4.1 合同签订后10个工作日内，甲方向乙方支付合同总金额的30%,</w:t>
      </w:r>
      <w:r>
        <w:rPr>
          <w:rFonts w:hint="eastAsia" w:ascii="宋体" w:hAnsi="宋体" w:eastAsia="宋体" w:cs="宋体"/>
          <w:sz w:val="21"/>
          <w:szCs w:val="21"/>
          <w:u w:val="single"/>
        </w:rPr>
        <w:t xml:space="preserve">共计人民币：      </w:t>
      </w:r>
      <w:r>
        <w:rPr>
          <w:rFonts w:hint="eastAsia" w:ascii="宋体" w:hAnsi="宋体" w:eastAsia="宋体" w:cs="宋体"/>
          <w:sz w:val="21"/>
          <w:szCs w:val="21"/>
        </w:rPr>
        <w:t>，</w:t>
      </w:r>
      <w:r>
        <w:rPr>
          <w:rFonts w:hint="eastAsia" w:ascii="宋体" w:hAnsi="宋体" w:eastAsia="宋体" w:cs="宋体"/>
          <w:sz w:val="21"/>
          <w:szCs w:val="21"/>
          <w:u w:val="single"/>
        </w:rPr>
        <w:t xml:space="preserve">大写：         </w:t>
      </w:r>
      <w:r>
        <w:rPr>
          <w:rFonts w:hint="eastAsia" w:ascii="宋体" w:hAnsi="宋体" w:eastAsia="宋体" w:cs="宋体"/>
          <w:sz w:val="21"/>
          <w:szCs w:val="21"/>
        </w:rPr>
        <w:t>）作为合同预付款。</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  乙方实施人员到场，双方确认实施方案后10个工作日内，甲方向乙方支付合同总金额的20%，</w:t>
      </w:r>
      <w:r>
        <w:rPr>
          <w:rFonts w:hint="eastAsia" w:ascii="宋体" w:hAnsi="宋体" w:eastAsia="宋体" w:cs="宋体"/>
          <w:sz w:val="21"/>
          <w:szCs w:val="21"/>
          <w:u w:val="single"/>
        </w:rPr>
        <w:t>共计人民币：        （大写：      ）</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4.3  乙方完成软件在甲方指定的服务器的安装部署后10个工作日内，甲方向乙方支付合同总金额的30%，</w:t>
      </w:r>
      <w:r>
        <w:rPr>
          <w:rFonts w:hint="eastAsia" w:ascii="宋体" w:hAnsi="宋体" w:eastAsia="宋体" w:cs="宋体"/>
          <w:sz w:val="21"/>
          <w:szCs w:val="21"/>
          <w:u w:val="single"/>
        </w:rPr>
        <w:t>共计人民币：        （大写：      ）</w:t>
      </w:r>
      <w:r>
        <w:rPr>
          <w:rFonts w:hint="eastAsia" w:ascii="宋体" w:hAnsi="宋体" w:eastAsia="宋体" w:cs="宋体"/>
          <w:sz w:val="21"/>
          <w:szCs w:val="21"/>
        </w:rPr>
        <w:t xml:space="preserve">。 </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4.4  软件上线正常运行，且通过甲方验收后10个工作日内，甲方向乙方支付合同总金额的15%，</w:t>
      </w:r>
      <w:r>
        <w:rPr>
          <w:rFonts w:hint="eastAsia" w:ascii="宋体" w:hAnsi="宋体" w:eastAsia="宋体" w:cs="宋体"/>
          <w:sz w:val="21"/>
          <w:szCs w:val="21"/>
          <w:u w:val="single"/>
        </w:rPr>
        <w:t>共计人民币：        （大写：      ）</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4.5  合同总金额的5%余款，</w:t>
      </w:r>
      <w:r>
        <w:rPr>
          <w:rFonts w:hint="eastAsia" w:ascii="宋体" w:hAnsi="宋体" w:eastAsia="宋体" w:cs="宋体"/>
          <w:sz w:val="21"/>
          <w:szCs w:val="21"/>
          <w:u w:val="single"/>
        </w:rPr>
        <w:t>共计人民币：        （大写：      ），在通过甲方验收后的一年后支付。</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4.6本项目中费用的支付使用人民币，甲方在收到乙方开具合格的增值税专用发票10个工作日内，支付开票金额的合同款。支付采用转账方式，因乙方开票时间延迟的，甲方付款时间相应顺延并不视为甲方逾期付款，乙方对此明确知悉，且不存在任何异议。</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4.7  双方结算相关信息如下：</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r>
        <w:rPr>
          <w:rFonts w:hint="eastAsia" w:ascii="宋体" w:hAnsi="宋体" w:eastAsia="宋体" w:cs="宋体"/>
          <w:b/>
          <w:sz w:val="21"/>
          <w:szCs w:val="21"/>
        </w:rPr>
        <w:t>A、甲方税务资料：</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p>
    <w:p>
      <w:pPr>
        <w:pageBreakBefore w:val="0"/>
        <w:widowControl w:val="0"/>
        <w:numPr>
          <w:ilvl w:val="0"/>
          <w:numId w:val="1"/>
        </w:numPr>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r>
        <w:rPr>
          <w:rFonts w:hint="eastAsia" w:ascii="宋体" w:hAnsi="宋体" w:eastAsia="宋体" w:cs="宋体"/>
          <w:b/>
          <w:sz w:val="21"/>
          <w:szCs w:val="21"/>
        </w:rPr>
        <w:t>乙方银行资料：</w:t>
      </w:r>
    </w:p>
    <w:p>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sz w:val="21"/>
          <w:szCs w:val="21"/>
        </w:rPr>
      </w:pPr>
    </w:p>
    <w:p>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sz w:val="21"/>
          <w:szCs w:val="21"/>
        </w:rPr>
      </w:pPr>
    </w:p>
    <w:p>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23" w:name="_Toc751"/>
      <w:bookmarkStart w:id="24" w:name="_Toc9604"/>
      <w:bookmarkStart w:id="25" w:name="_Toc4617"/>
      <w:r>
        <w:rPr>
          <w:rFonts w:hint="eastAsia" w:ascii="宋体" w:hAnsi="宋体" w:eastAsia="宋体" w:cs="宋体"/>
          <w:sz w:val="21"/>
          <w:szCs w:val="21"/>
        </w:rPr>
        <w:t>5、售后服务</w:t>
      </w:r>
      <w:bookmarkEnd w:id="23"/>
      <w:bookmarkEnd w:id="24"/>
      <w:bookmarkEnd w:id="25"/>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5.1  乙方按照双方确认的实施计划时间表进行软件的需求调研、安装部署，调试，培训，上线等工作。</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5.2  乙方提供12个月的免费技术服务，并提供7X24小时的响应服务，乙方在接到通知后3小时内做出响应，在远程无法解决故障的情况下，安排专业人员在24小时内到达现场解决故障。</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5.3  在服务期间，乙方每月度进行一次回访服务，为客户开设单独的售后服务追踪档案，并将客户的反馈与解决结果给予记录定期发送给客户。</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26" w:name="_Toc8762"/>
      <w:bookmarkStart w:id="27" w:name="_Toc17125"/>
      <w:bookmarkStart w:id="28" w:name="_Toc24957"/>
      <w:r>
        <w:rPr>
          <w:rFonts w:hint="eastAsia" w:ascii="宋体" w:hAnsi="宋体" w:eastAsia="宋体" w:cs="宋体"/>
          <w:sz w:val="21"/>
          <w:szCs w:val="21"/>
        </w:rPr>
        <w:t>6、项目实施约定</w:t>
      </w:r>
      <w:bookmarkEnd w:id="26"/>
      <w:bookmarkEnd w:id="27"/>
      <w:bookmarkEnd w:id="28"/>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6.1  双方成立项目实施小组，乙方应在本合同生效后5个工作日内向甲方提交项目实施计划。</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6.2  乙方为甲方提供本次系统的安装、调试、培训服务，上线后5个工作日内向甲方转移软件安装、操作等必要文档（电子版）。</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6.3  基于二次开发的需要，甲方有义务为乙方提供新增的需求明细和运算逻辑，一切相关有助于软件新增功能完善的资料。</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6.4  如需与第三方软件对接，甲方有义务协调资源，及时配合乙方在规定的时间内完成与第三方软件的接口工作。</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6.5  因甲方自身的需求，从而要求乙方修改双方已经确认过的进度计划的内容，增加乙方工作量的部分，甲方应对乙方做出相应经济补偿，补偿标准及方式根据实际情况和不高于行业收费标准为准，具体由双方友好协商确定，签订补充协议。</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6.6  乙方应在软件上线，培训完成之日起10个工作日内向甲方提出验收，自乙方提出验收之日起，甲方应在10个工作日内对软件进行验收，并在乙方提交的书面验收报告（附件三）上签署意见并加盖单位印章</w:t>
      </w:r>
      <w:r>
        <w:rPr>
          <w:rFonts w:hint="eastAsia" w:ascii="宋体" w:hAnsi="宋体" w:eastAsia="宋体" w:cs="宋体"/>
          <w:sz w:val="21"/>
          <w:szCs w:val="21"/>
          <w:lang w:eastAsia="zh-CN"/>
        </w:rPr>
        <w:t>，</w:t>
      </w:r>
      <w:r>
        <w:rPr>
          <w:rFonts w:hint="eastAsia" w:ascii="宋体" w:hAnsi="宋体" w:eastAsia="宋体" w:cs="宋体"/>
          <w:sz w:val="21"/>
          <w:szCs w:val="21"/>
        </w:rPr>
        <w:t>验收标准为系统软件达到附件一的功能要求。验收合格报告签署之日为软件验收合格之日。</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6.7  如甲方在上述期限内未能完成软件验收的，视为验收合格，则上述期限届满之日的次日为软件验收合格之日。</w:t>
      </w:r>
    </w:p>
    <w:p>
      <w:pPr>
        <w:pStyle w:val="37"/>
        <w:pageBreakBefore w:val="0"/>
        <w:widowControl w:val="0"/>
        <w:numPr>
          <w:ilvl w:val="0"/>
          <w:numId w:val="0"/>
        </w:numPr>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6.8  合同履行期限约定</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软件</w:t>
      </w:r>
      <w:r>
        <w:rPr>
          <w:rFonts w:hint="eastAsia" w:ascii="宋体" w:hAnsi="宋体" w:eastAsia="宋体" w:cs="宋体"/>
          <w:sz w:val="21"/>
          <w:szCs w:val="21"/>
          <w:lang w:val="en-US" w:eastAsia="zh-CN"/>
        </w:rPr>
        <w:t>交付期</w:t>
      </w:r>
      <w:r>
        <w:rPr>
          <w:rFonts w:hint="eastAsia" w:ascii="宋体" w:hAnsi="宋体" w:eastAsia="宋体" w:cs="宋体"/>
          <w:sz w:val="21"/>
          <w:szCs w:val="21"/>
        </w:rPr>
        <w:t>为2023年6月  日-2023年9月30日，在软件</w:t>
      </w:r>
      <w:r>
        <w:rPr>
          <w:rFonts w:hint="eastAsia" w:ascii="宋体" w:hAnsi="宋体" w:eastAsia="宋体" w:cs="宋体"/>
          <w:sz w:val="21"/>
          <w:szCs w:val="21"/>
          <w:lang w:val="en-US" w:eastAsia="zh-CN"/>
        </w:rPr>
        <w:t>交付期</w:t>
      </w:r>
      <w:r>
        <w:rPr>
          <w:rFonts w:hint="eastAsia" w:ascii="宋体" w:hAnsi="宋体" w:eastAsia="宋体" w:cs="宋体"/>
          <w:sz w:val="21"/>
          <w:szCs w:val="21"/>
        </w:rPr>
        <w:t>内，达到系统上线运行的条件：</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6.8.1 2023年6月30日前完成系统安装部署工作。</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6.8.2 2023年7月30日前完成3.5对服务区试运行（含收银系统、甲方业务数据平台的对接）。试运行完成前乙方团队应驻场工作，驻场期间人员安全及产生的相关费用由乙方负责。</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6.8.3 2023年9月30日前保障该系统正常平稳运行并通过甲方验收评审，项目验收后进入缺陷责任期，缺陷责任期为一年。</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 xml:space="preserve">9 </w:t>
      </w:r>
      <w:r>
        <w:rPr>
          <w:rFonts w:hint="eastAsia" w:ascii="宋体" w:hAnsi="宋体" w:eastAsia="宋体" w:cs="宋体"/>
          <w:sz w:val="21"/>
          <w:szCs w:val="21"/>
        </w:rPr>
        <w:t>通过甲方验收后，乙方应在甲方要求时间内完成其它服务区（含试运行服务区总计35对）接入该软件并正常使用，甲方要求时间以甲方书面通知为准（不受本合同期限限制，原则上乙方每月完成接入服务区总量不低于5对），该书面通知经乙方确认后视同为本合同补充约定，与本合同有相同的法律效应，通知内时间视同为合同履行期限，如乙方违约则应按照本合同违约条款向甲方支付违约金。</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如在实施过程中有双方确定的需求产生变更或因甲方原因导致工期延期，双方一致同意按照实际变动产生的工期给予延期。</w:t>
      </w:r>
    </w:p>
    <w:p>
      <w:pPr>
        <w:pStyle w:val="37"/>
        <w:keepNext w:val="0"/>
        <w:keepLines w:val="0"/>
        <w:pageBreakBefore w:val="0"/>
        <w:widowControl w:val="0"/>
        <w:kinsoku/>
        <w:wordWrap/>
        <w:overflowPunct/>
        <w:topLinePunct w:val="0"/>
        <w:autoSpaceDE/>
        <w:autoSpaceDN/>
        <w:bidi w:val="0"/>
        <w:adjustRightInd/>
        <w:snapToGrid/>
        <w:spacing w:beforeLines="0" w:afterLines="0" w:line="440" w:lineRule="exact"/>
        <w:ind w:firstLine="367" w:firstLineChars="175"/>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6.11 软件试运行前乙方人员应驻场工作，驻场期间乙方应对其派驻人员安全负责。</w:t>
      </w:r>
    </w:p>
    <w:p>
      <w:pPr>
        <w:pStyle w:val="37"/>
        <w:pageBreakBefore w:val="0"/>
        <w:widowControl w:val="0"/>
        <w:kinsoku/>
        <w:wordWrap/>
        <w:overflowPunct/>
        <w:topLinePunct w:val="0"/>
        <w:autoSpaceDE/>
        <w:autoSpaceDN/>
        <w:bidi w:val="0"/>
        <w:adjustRightInd/>
        <w:snapToGrid/>
        <w:spacing w:beforeLines="0" w:afterLines="0" w:line="440" w:lineRule="exact"/>
        <w:ind w:left="0" w:leftChars="0" w:firstLine="480"/>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29" w:name="_Toc18898"/>
      <w:bookmarkStart w:id="30" w:name="_Toc10570"/>
      <w:bookmarkStart w:id="31" w:name="_Toc13994"/>
      <w:r>
        <w:rPr>
          <w:rFonts w:hint="eastAsia" w:ascii="宋体" w:hAnsi="宋体" w:eastAsia="宋体" w:cs="宋体"/>
          <w:sz w:val="21"/>
          <w:szCs w:val="21"/>
        </w:rPr>
        <w:t>7、系统软件所有权属</w:t>
      </w:r>
      <w:bookmarkEnd w:id="29"/>
      <w:bookmarkEnd w:id="30"/>
      <w:bookmarkEnd w:id="31"/>
      <w:r>
        <w:rPr>
          <w:rFonts w:hint="eastAsia" w:ascii="宋体" w:hAnsi="宋体" w:eastAsia="宋体" w:cs="宋体"/>
          <w:sz w:val="21"/>
          <w:szCs w:val="21"/>
        </w:rPr>
        <w:t xml:space="preserve"> </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  本合同正常完成后，乙方为执行该合同而实际制作的数据文件、文档、记录、工作日志、或其它和该合同有关的商业资料数据的所有权产权归甲方所有，知识产权除外。</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  甲方拥有该软件系统的使用权（35对服务区），软件系统的著作权归乙方所有。甲方在未经乙方书面许可的情况下，不得向任何第三方转移、复制或使用该系统。</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32" w:name="_Toc8850"/>
      <w:bookmarkStart w:id="33" w:name="_Toc30119"/>
      <w:bookmarkStart w:id="34" w:name="_Toc17724"/>
      <w:r>
        <w:rPr>
          <w:rFonts w:hint="eastAsia" w:ascii="宋体" w:hAnsi="宋体" w:eastAsia="宋体" w:cs="宋体"/>
          <w:sz w:val="21"/>
          <w:szCs w:val="21"/>
        </w:rPr>
        <w:t>8、保密与安全</w:t>
      </w:r>
      <w:bookmarkEnd w:id="32"/>
      <w:bookmarkEnd w:id="33"/>
      <w:bookmarkEnd w:id="34"/>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8.1  双方承认保密信息构成有价值的商业秘密。双方同意严格按照本合同的规定使用对方的保密信息，未经对方的事先书面许可，不得向第三方，或允许向第三方直接或间接地透露保密信息。但依据法律的规定或根据法律赋予的权力可以获取此信息的司法、政府机构的要求必须公开的信息除外。</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  双方保密内容（包括技术信息和经营信息）：</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8.2.1 甲方保密内容：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双方交流的口头言语信息；</w:t>
      </w:r>
      <w:r>
        <w:rPr>
          <w:rFonts w:hint="eastAsia" w:ascii="宋体" w:hAnsi="宋体" w:eastAsia="宋体" w:cs="宋体"/>
          <w:sz w:val="21"/>
          <w:szCs w:val="21"/>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双方提供的相关的文字资料；</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关于产品的全部信息；</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相互间的合同、价格等。</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8.2.2 乙方保密内容：</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乙方对在工作过程中接触到的甲方的任何资料、文件、数据（无论是书面的还是电子版本的），以及对为甲方服务形成的任何交付物，负有为甲方保密的责任。未经甲方书面同意，乙方不得以任何方式向任何第三方提供或透露。</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8.3  涉密人员范围：所有参与项目实施人员。</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  保密期限：三年。</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8.5  泄密责任：任意一方违反上述保密规定条款，违约方应承担相应法律责任。</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8.6  双方约定，不论本合同是否变更、解除、终止，本条款均有效。</w:t>
      </w:r>
    </w:p>
    <w:p>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35" w:name="_Toc9494"/>
      <w:bookmarkStart w:id="36" w:name="_Toc18916"/>
      <w:bookmarkStart w:id="37" w:name="_Toc8304"/>
      <w:r>
        <w:rPr>
          <w:rFonts w:hint="eastAsia" w:ascii="宋体" w:hAnsi="宋体" w:eastAsia="宋体" w:cs="宋体"/>
          <w:sz w:val="21"/>
          <w:szCs w:val="21"/>
        </w:rPr>
        <w:t>9、甲乙双方的义务及责任</w:t>
      </w:r>
      <w:bookmarkEnd w:id="35"/>
      <w:bookmarkEnd w:id="36"/>
      <w:bookmarkEnd w:id="37"/>
    </w:p>
    <w:p>
      <w:pPr>
        <w:pageBreakBefore w:val="0"/>
        <w:widowControl w:val="0"/>
        <w:kinsoku/>
        <w:wordWrap/>
        <w:overflowPunct/>
        <w:topLinePunct w:val="0"/>
        <w:autoSpaceDE/>
        <w:autoSpaceDN/>
        <w:bidi w:val="0"/>
        <w:adjustRightInd/>
        <w:snapToGrid/>
        <w:spacing w:line="440" w:lineRule="exact"/>
        <w:ind w:left="0" w:leftChars="0" w:firstLine="369" w:firstLineChars="175"/>
        <w:textAlignment w:val="auto"/>
        <w:rPr>
          <w:rFonts w:hint="eastAsia" w:ascii="宋体" w:hAnsi="宋体" w:eastAsia="宋体" w:cs="宋体"/>
          <w:b/>
          <w:sz w:val="21"/>
          <w:szCs w:val="21"/>
        </w:rPr>
      </w:pPr>
      <w:r>
        <w:rPr>
          <w:rFonts w:hint="eastAsia" w:ascii="宋体" w:hAnsi="宋体" w:eastAsia="宋体" w:cs="宋体"/>
          <w:b/>
          <w:sz w:val="21"/>
          <w:szCs w:val="21"/>
        </w:rPr>
        <w:t>9.1  乙方的义务及责任</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9.1.1 向甲方提供符合合同约定功能、合法的软件产品及服务。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9.1.2 严格按照计算机系统的安装规范进行软件的安装，乙方认真负责做好软件的安装、调试工作。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9.1.3 在实施软件上线期间及其后，及时向甲方提供反映软件上线进度和培训情况的书面报告，并接受和解答甲方对上线进度提出的质询及改进要求。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9.1.4 完成软件上线后，向甲方递交软件的相关部署、操作、培训等相关资料（电子版）。</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9.1.5 耐心细致地完成甲方操作及日常维护的培训工作。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9.1.6 完成软件上线及培训（线下至少2次，线上至少3次）后，分步骤分阶段将软件交由甲方接手运行并提供必要协助。</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9.1.7 乙方按照合同约定为甲方提供一年的免费软件维保服务（即缺陷责任期）。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9.1.8 若此产品版本进行了标准化的迭代升级，乙方也需在征得甲方的同意后进行迭代升级。</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9.1.9 乙方应按照本合同的约定指派相应的工作人员，负责对接本合同及其附件项下乙方的工作（包括但不限于双方文件的确认签收）。</w:t>
      </w:r>
    </w:p>
    <w:p>
      <w:pPr>
        <w:pageBreakBefore w:val="0"/>
        <w:widowControl w:val="0"/>
        <w:kinsoku/>
        <w:wordWrap/>
        <w:overflowPunct/>
        <w:topLinePunct w:val="0"/>
        <w:autoSpaceDE/>
        <w:autoSpaceDN/>
        <w:bidi w:val="0"/>
        <w:adjustRightInd/>
        <w:snapToGrid/>
        <w:spacing w:line="440" w:lineRule="exact"/>
        <w:ind w:left="0" w:leftChars="0" w:firstLine="640"/>
        <w:textAlignment w:val="auto"/>
        <w:rPr>
          <w:rFonts w:hint="eastAsia" w:ascii="宋体" w:hAnsi="宋体" w:eastAsia="宋体" w:cs="宋体"/>
          <w:sz w:val="21"/>
          <w:szCs w:val="21"/>
        </w:rPr>
      </w:pPr>
      <w:r>
        <w:rPr>
          <w:rFonts w:hint="eastAsia" w:ascii="宋体" w:hAnsi="宋体" w:eastAsia="宋体" w:cs="宋体"/>
          <w:sz w:val="21"/>
          <w:szCs w:val="21"/>
        </w:rPr>
        <w:t>乙方项目授权签字对接人：        联系电话：</w:t>
      </w:r>
    </w:p>
    <w:p>
      <w:pPr>
        <w:pageBreakBefore w:val="0"/>
        <w:widowControl w:val="0"/>
        <w:kinsoku/>
        <w:wordWrap/>
        <w:overflowPunct/>
        <w:topLinePunct w:val="0"/>
        <w:autoSpaceDE/>
        <w:autoSpaceDN/>
        <w:bidi w:val="0"/>
        <w:adjustRightInd/>
        <w:snapToGrid/>
        <w:spacing w:line="440" w:lineRule="exact"/>
        <w:ind w:left="0" w:leftChars="0" w:firstLine="640"/>
        <w:textAlignment w:val="auto"/>
        <w:rPr>
          <w:rFonts w:hint="eastAsia" w:ascii="宋体" w:hAnsi="宋体" w:eastAsia="宋体" w:cs="宋体"/>
          <w:sz w:val="21"/>
          <w:szCs w:val="21"/>
        </w:rPr>
      </w:pPr>
      <w:r>
        <w:rPr>
          <w:rFonts w:hint="eastAsia" w:ascii="宋体" w:hAnsi="宋体" w:eastAsia="宋体" w:cs="宋体"/>
          <w:sz w:val="21"/>
          <w:szCs w:val="21"/>
        </w:rPr>
        <w:t>工作邮箱：</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9.1.10 乙方软件安装部署、运行应适应甲方及甲方股东（重庆高速公路集团有限公司）对相关网络安全、信息化管理制度或规范要求。</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369" w:firstLineChars="175"/>
        <w:textAlignment w:val="auto"/>
        <w:rPr>
          <w:rFonts w:hint="eastAsia" w:ascii="宋体" w:hAnsi="宋体" w:eastAsia="宋体" w:cs="宋体"/>
          <w:b/>
          <w:sz w:val="21"/>
          <w:szCs w:val="21"/>
        </w:rPr>
      </w:pPr>
      <w:r>
        <w:rPr>
          <w:rFonts w:hint="eastAsia" w:ascii="宋体" w:hAnsi="宋体" w:eastAsia="宋体" w:cs="宋体"/>
          <w:b/>
          <w:sz w:val="21"/>
          <w:szCs w:val="21"/>
        </w:rPr>
        <w:t>9.2  甲方的义务及责任</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9.2.1 与乙方充分协调、相互支持，在乙方要求的时间内配合乙方进行需求调查和分析，提供乙方实施软件上线及培训所需的硬件设备及工作条件，协助乙方顺利完成软件的上线及培训工作。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9.2.2因甲方原因需要修改或增加双方约定的功能需求，而增加乙方在单位时间内的工作量的，甲方应对乙方做出相应经济补偿，补偿标准及方式根据实际情况由双方协商确定。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9.2.3 因甲方的原因导致乙方不能如期完成进度计划的，甲方应顺延相应工期。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9.2.4 在乙方完成软件上线后，根据约定验收软件和服务。</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9.2.5 完成软件上线和培训后，分步骤分阶段接手运行软件。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9.2.6 基于二次开发的需要，甲方有义务为乙方提供新增的需求明细和运算逻辑，一切相关有助于软件新增功能完善的资料。</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9.2.7 如需与第三方软硬件对接，甲方有义务协调资源，及时配合乙方做好与第三方软硬件的接口工作。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9.2.8 甲方应按照本合同的约定指派相应的工作人员，负责执行本合同及其附件项下甲方的工作（包括但不限于双方文件的确认签收）。</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甲方项目授权签字对接人：        联系电话：</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工作邮箱：</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38" w:name="_Toc18253"/>
      <w:bookmarkStart w:id="39" w:name="_Toc7850"/>
      <w:bookmarkStart w:id="40" w:name="_Toc16100"/>
      <w:r>
        <w:rPr>
          <w:rFonts w:hint="eastAsia" w:ascii="宋体" w:hAnsi="宋体" w:eastAsia="宋体" w:cs="宋体"/>
          <w:sz w:val="21"/>
          <w:szCs w:val="21"/>
        </w:rPr>
        <w:t>10、不可抗力</w:t>
      </w:r>
      <w:bookmarkEnd w:id="38"/>
      <w:bookmarkEnd w:id="39"/>
      <w:bookmarkEnd w:id="40"/>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r>
        <w:rPr>
          <w:rFonts w:hint="eastAsia" w:ascii="宋体" w:hAnsi="宋体" w:eastAsia="宋体" w:cs="宋体"/>
          <w:b/>
          <w:sz w:val="21"/>
          <w:szCs w:val="21"/>
        </w:rPr>
        <w:t>10.1  不可抗力的定义</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不可抗力”指超出本合同双方控制范围、无法预见、无法避免或无法克服、使得本合同一方部分或完全不能履行本合同的事件。这类事件包括但不限于地震、台风、洪水、火灾、战争、罢工、政府行为、法律规定或其适用的变化，或者其它任何无法预见、无法避免或者无法控制的客观情况。</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b/>
          <w:sz w:val="21"/>
          <w:szCs w:val="21"/>
        </w:rPr>
      </w:pPr>
      <w:r>
        <w:rPr>
          <w:rFonts w:hint="eastAsia" w:ascii="宋体" w:hAnsi="宋体" w:eastAsia="宋体" w:cs="宋体"/>
          <w:b/>
          <w:sz w:val="21"/>
          <w:szCs w:val="21"/>
        </w:rPr>
        <w:t>10.2  不可抗力的后果</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10.2.1  受不可抗力影响的一方应于不可抗力事件发生后及时书面通知另一方，并且在不可抗力事件发生后七日内向另一方提供政府部门或公证部门出具的不可抗力发生以及持续期间的充分证据。提出受不可抗力影响的一方还应尽一切合理努力使损失降低至最低限度。</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10.2.2  发生不可抗力时，双方应立即进行磋商，寻求公正解决方案，并且要尽一切合理努力使损失降低至最低限度。</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10.2.3  发生不可抗力导致合同不能继续履行的，本合同终止；合同终止后，对乙方已经收取的费用，应当扣除实际履行期间发生的实际费用，将余款退还给甲方。</w:t>
      </w: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41" w:name="_Toc25043"/>
      <w:bookmarkStart w:id="42" w:name="_Toc23505"/>
      <w:bookmarkStart w:id="43" w:name="_Toc11785"/>
      <w:r>
        <w:rPr>
          <w:rFonts w:hint="eastAsia" w:ascii="宋体" w:hAnsi="宋体" w:eastAsia="宋体" w:cs="宋体"/>
          <w:sz w:val="21"/>
          <w:szCs w:val="21"/>
        </w:rPr>
        <w:t>11、违约责任</w:t>
      </w:r>
      <w:bookmarkEnd w:id="41"/>
      <w:bookmarkEnd w:id="42"/>
      <w:bookmarkEnd w:id="43"/>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11.1  本合同一经签署，合同双方均负有尽力维护并使之完全履行的义务。本合同任何一方拒绝、迟延、拖延或未能完全履行本合同中约定的任何义务均被视为违约，除本合同另有规定，违约方应承担违约责任，守约方有权要求违约方赔偿其因此所遭受的损失，具体双方协商。</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11.2  如乙方因自身原因不能如期完成进度计划或延误总工期的，乙方除必须釆取切实可行的措施，同时每逾期一天应按本合同总金额的0.03%支付违约金。乙方逾期超过60日的，甲方有权单方面解除本合同。如果因为甲方的原因或者不可抗力造成的逾期，乙方不承担责任。</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11.3 甲方如逾期付款的，则每逾期一天，应向乙方支付合同总金额的0.03%的违约金。</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11.4  因甲方自身的原因导致乙方不能如期完成进度计划时，甲方应相应顺延相应工期。如果因乙方的原因或者不可抗力造成的顺延，甲方不承担责任。</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11.5 甲方在乙方提交本合同约定的文件后，应及时签署意见并加盖印章，因甲方不及时或拒绝签署意见和加盖印章的，乙方有权中止下一项工作。</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11.6 如乙方提供的软件因侵犯第三人知识产权等原因导致甲方无法正常使用的，乙方应提供等同功能要求的软件，并确保软件适配、可用，不侵犯任何第三方的合法权益，且在甲方无法使用该软件期间每日向甲方支付合同总金额的0.03%的违约金，如违约金不足以弥补甲方损失的，乙方还应当赔偿剩余损失。</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11.7 如该软件在使用中因其自身原因出现漏洞或导致网络安全突发事件，乙方应及时处置以确保甲方正常使用，该条约不受本合同期限的约束，长期有效。</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44" w:name="_Toc6561"/>
      <w:bookmarkStart w:id="45" w:name="_Toc24099"/>
      <w:bookmarkStart w:id="46" w:name="_Toc11995"/>
      <w:r>
        <w:rPr>
          <w:rFonts w:hint="eastAsia" w:ascii="宋体" w:hAnsi="宋体" w:eastAsia="宋体" w:cs="宋体"/>
          <w:sz w:val="21"/>
          <w:szCs w:val="21"/>
        </w:rPr>
        <w:t>12、适用法律</w:t>
      </w:r>
      <w:bookmarkEnd w:id="44"/>
      <w:bookmarkEnd w:id="45"/>
      <w:bookmarkEnd w:id="46"/>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12.1  本合同的订立、效力、解释、履行和争议的解决，均受中华人民共和国法律的管辖，但当中国现行法律并未有对本合同的某一具体事项加以规定时，则应参照一般国际商业惯例处理。</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12.2  本合同以中文写成及用中文解释。</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47" w:name="_Toc17938"/>
      <w:bookmarkStart w:id="48" w:name="_Toc5416"/>
      <w:bookmarkStart w:id="49" w:name="_Toc8100"/>
      <w:r>
        <w:rPr>
          <w:rFonts w:hint="eastAsia" w:ascii="宋体" w:hAnsi="宋体" w:eastAsia="宋体" w:cs="宋体"/>
          <w:sz w:val="21"/>
          <w:szCs w:val="21"/>
        </w:rPr>
        <w:t>13、争议的解决办法</w:t>
      </w:r>
      <w:bookmarkEnd w:id="47"/>
      <w:bookmarkEnd w:id="48"/>
      <w:bookmarkEnd w:id="49"/>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双方当事人在履行本合同过程中出现争议时，应本着互谅互让的原则协商解决。协商不成的，可向甲方所在地人民法院提起诉讼。</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50" w:name="_Toc31402"/>
      <w:bookmarkStart w:id="51" w:name="_Toc19024"/>
      <w:bookmarkStart w:id="52" w:name="_Toc4866"/>
      <w:r>
        <w:rPr>
          <w:rFonts w:hint="eastAsia" w:ascii="宋体" w:hAnsi="宋体" w:eastAsia="宋体" w:cs="宋体"/>
          <w:sz w:val="21"/>
          <w:szCs w:val="21"/>
        </w:rPr>
        <w:t>14、其他</w:t>
      </w:r>
      <w:bookmarkEnd w:id="50"/>
      <w:bookmarkEnd w:id="51"/>
      <w:bookmarkEnd w:id="52"/>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14.1  本合同经双方签字盖章后生效；</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14.2  本合同一式肆份，甲方叁份，乙方壹份，具有同等法律效力。</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14.3  本合同扫描件及传真件等同原件，具有同等法律效力。</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14.4  对本合同的任何修改均须以书面形式进行，并经本合同双方签字并盖章后才能生效，本合同中未经修改的其他条款仍然有效。</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14.5  本合同未尽事宜，由甲乙双方友好协商解决，达成书面补充协议予以确认。</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p>
    <w:p>
      <w:pPr>
        <w:pStyle w:val="3"/>
        <w:keepNext/>
        <w:keepLines/>
        <w:pageBreakBefore w:val="0"/>
        <w:widowControl w:val="0"/>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宋体" w:hAnsi="宋体" w:eastAsia="宋体" w:cs="宋体"/>
          <w:sz w:val="21"/>
          <w:szCs w:val="21"/>
        </w:rPr>
      </w:pPr>
      <w:bookmarkStart w:id="53" w:name="_Toc3099"/>
      <w:bookmarkStart w:id="54" w:name="_Toc25022"/>
      <w:bookmarkStart w:id="55" w:name="_Toc27046"/>
      <w:r>
        <w:rPr>
          <w:rFonts w:hint="eastAsia" w:ascii="宋体" w:hAnsi="宋体" w:eastAsia="宋体" w:cs="宋体"/>
          <w:sz w:val="21"/>
          <w:szCs w:val="21"/>
        </w:rPr>
        <w:t>15、附件</w:t>
      </w:r>
      <w:bookmarkEnd w:id="53"/>
      <w:bookmarkEnd w:id="54"/>
      <w:bookmarkEnd w:id="55"/>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附件一：《软件功能价格清单》</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附件二：《安装部署确认单》</w:t>
      </w:r>
    </w:p>
    <w:p>
      <w:pPr>
        <w:pageBreakBefore w:val="0"/>
        <w:widowControl w:val="0"/>
        <w:kinsoku/>
        <w:wordWrap/>
        <w:overflowPunct/>
        <w:topLinePunct w:val="0"/>
        <w:autoSpaceDE/>
        <w:autoSpaceDN/>
        <w:bidi w:val="0"/>
        <w:adjustRightInd/>
        <w:snapToGrid/>
        <w:spacing w:line="440" w:lineRule="exact"/>
        <w:ind w:left="0" w:leftChars="0"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附件三：《验收报告》</w:t>
      </w: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 xml:space="preserve">甲方：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乙方：</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（盖章）                               （盖章）</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法定代表人/委托代理人：                法定代表人/委托代理人：</w:t>
      </w:r>
    </w:p>
    <w:p>
      <w:pPr>
        <w:pageBreakBefore w:val="0"/>
        <w:widowControl w:val="0"/>
        <w:kinsoku/>
        <w:wordWrap/>
        <w:overflowPunct/>
        <w:topLinePunct w:val="0"/>
        <w:autoSpaceDE/>
        <w:autoSpaceDN/>
        <w:bidi w:val="0"/>
        <w:adjustRightInd/>
        <w:snapToGrid/>
        <w:spacing w:line="440" w:lineRule="exact"/>
        <w:ind w:left="0" w:leftChars="0" w:firstLine="480"/>
        <w:textAlignment w:val="auto"/>
        <w:rPr>
          <w:rFonts w:hint="eastAsia" w:ascii="宋体" w:hAnsi="宋体" w:eastAsia="宋体" w:cs="宋体"/>
          <w:sz w:val="21"/>
          <w:szCs w:val="21"/>
        </w:rPr>
      </w:pPr>
      <w:r>
        <w:rPr>
          <w:rFonts w:hint="eastAsia" w:ascii="宋体" w:hAnsi="宋体" w:eastAsia="宋体" w:cs="宋体"/>
          <w:sz w:val="21"/>
          <w:szCs w:val="21"/>
        </w:rPr>
        <w:t>（签名）                               （签名）</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签署时间：     年    月    日           签署时间：     年    月    日</w:t>
      </w:r>
    </w:p>
    <w:p>
      <w:pPr>
        <w:pStyle w:val="3"/>
        <w:pageBreakBefore w:val="0"/>
        <w:widowControl w:val="0"/>
        <w:kinsoku/>
        <w:wordWrap/>
        <w:overflowPunct/>
        <w:topLinePunct w:val="0"/>
        <w:autoSpaceDE/>
        <w:autoSpaceDN/>
        <w:bidi w:val="0"/>
        <w:adjustRightInd/>
        <w:snapToGrid/>
        <w:spacing w:beforeLines="0" w:afterLines="0" w:line="440" w:lineRule="exact"/>
        <w:ind w:firstLine="0" w:firstLineChars="0"/>
        <w:textAlignment w:val="auto"/>
        <w:rPr>
          <w:rFonts w:hint="eastAsia" w:ascii="宋体" w:hAnsi="宋体" w:eastAsia="宋体" w:cs="宋体"/>
          <w:sz w:val="21"/>
          <w:szCs w:val="21"/>
        </w:rPr>
        <w:sectPr>
          <w:footerReference r:id="rId6" w:type="default"/>
          <w:pgSz w:w="11906" w:h="16838"/>
          <w:pgMar w:top="1417" w:right="1134" w:bottom="857" w:left="1134" w:header="850" w:footer="624" w:gutter="0"/>
          <w:lnNumType w:countBy="0" w:distance="360"/>
          <w:cols w:space="720" w:num="1"/>
          <w:docGrid w:type="lines" w:linePitch="312" w:charSpace="0"/>
        </w:sectPr>
      </w:pPr>
    </w:p>
    <w:p>
      <w:pPr>
        <w:pStyle w:val="3"/>
        <w:spacing w:beforeLines="0" w:afterLines="0"/>
        <w:ind w:firstLine="0" w:firstLineChars="0"/>
        <w:rPr>
          <w:rFonts w:hint="eastAsia" w:ascii="方正黑体_GBK" w:hAnsi="方正黑体_GBK" w:eastAsia="方正黑体_GBK" w:cs="方正黑体_GBK"/>
          <w:b w:val="0"/>
          <w:bCs/>
          <w:sz w:val="32"/>
          <w:szCs w:val="32"/>
        </w:rPr>
      </w:pPr>
      <w:bookmarkStart w:id="56" w:name="_Toc2642"/>
      <w:bookmarkStart w:id="57" w:name="_Toc29485"/>
      <w:bookmarkStart w:id="58" w:name="_Toc25843"/>
      <w:r>
        <w:rPr>
          <w:rFonts w:hint="eastAsia" w:ascii="方正黑体_GBK" w:hAnsi="方正黑体_GBK" w:eastAsia="方正黑体_GBK" w:cs="方正黑体_GBK"/>
          <w:b w:val="0"/>
          <w:bCs/>
          <w:sz w:val="32"/>
          <w:szCs w:val="32"/>
        </w:rPr>
        <w:t>附件一：软件功能价格清单</w:t>
      </w:r>
      <w:bookmarkEnd w:id="56"/>
      <w:bookmarkEnd w:id="57"/>
      <w:bookmarkEnd w:id="58"/>
    </w:p>
    <w:tbl>
      <w:tblPr>
        <w:tblStyle w:val="16"/>
        <w:tblW w:w="146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2055"/>
        <w:gridCol w:w="5100"/>
        <w:gridCol w:w="740"/>
        <w:gridCol w:w="700"/>
        <w:gridCol w:w="1685"/>
        <w:gridCol w:w="171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序号</w:t>
            </w: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项目名称</w:t>
            </w: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功能描述</w:t>
            </w:r>
          </w:p>
        </w:tc>
        <w:tc>
          <w:tcPr>
            <w:tcW w:w="7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单位</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数量</w:t>
            </w:r>
          </w:p>
        </w:tc>
        <w:tc>
          <w:tcPr>
            <w:tcW w:w="1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单价</w:t>
            </w: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总价</w:t>
            </w:r>
          </w:p>
        </w:tc>
        <w:tc>
          <w:tcPr>
            <w:tcW w:w="20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31" w:type="dxa"/>
            <w:vMerge w:val="restart"/>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r>
              <w:rPr>
                <w:rFonts w:hint="eastAsia" w:ascii="微软雅黑" w:hAnsi="微软雅黑" w:eastAsia="微软雅黑" w:cs="微软雅黑"/>
                <w:b/>
                <w:color w:val="000000"/>
                <w:kern w:val="0"/>
                <w:sz w:val="18"/>
                <w:szCs w:val="18"/>
                <w:lang w:bidi="ar"/>
              </w:rPr>
              <w:t>1</w:t>
            </w: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restart"/>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left"/>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2025"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2025"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2025" w:type="dxa"/>
            <w:vMerge w:val="continue"/>
            <w:tcBorders>
              <w:top w:val="nil"/>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rPr>
                <w:rFonts w:hint="eastAsia" w:ascii="仿宋" w:hAnsi="仿宋" w:eastAsia="仿宋" w:cs="仿宋"/>
                <w:sz w:val="24"/>
                <w:szCs w:val="24"/>
              </w:rPr>
            </w:pPr>
          </w:p>
        </w:tc>
        <w:tc>
          <w:tcPr>
            <w:tcW w:w="70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c>
          <w:tcPr>
            <w:tcW w:w="168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c>
          <w:tcPr>
            <w:tcW w:w="171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c>
          <w:tcPr>
            <w:tcW w:w="2025"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restart"/>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r>
              <w:rPr>
                <w:rFonts w:hint="eastAsia" w:ascii="微软雅黑" w:hAnsi="微软雅黑" w:eastAsia="微软雅黑" w:cs="微软雅黑"/>
                <w:b/>
                <w:color w:val="000000"/>
                <w:kern w:val="0"/>
                <w:sz w:val="18"/>
                <w:szCs w:val="18"/>
                <w:lang w:bidi="ar"/>
              </w:rPr>
              <w:t>2</w:t>
            </w: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restart"/>
            <w:tcBorders>
              <w:top w:val="single" w:color="000000" w:sz="4" w:space="0"/>
              <w:left w:val="single" w:color="auto" w:sz="4" w:space="0"/>
              <w:bottom w:val="nil"/>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vMerge w:val="continue"/>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continue"/>
            <w:tcBorders>
              <w:top w:val="nil"/>
              <w:left w:val="single" w:color="auto" w:sz="4" w:space="0"/>
              <w:bottom w:val="nil"/>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631" w:type="dxa"/>
            <w:vMerge w:val="continue"/>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微软雅黑" w:hAnsi="微软雅黑" w:eastAsia="微软雅黑" w:cs="微软雅黑"/>
                <w:b/>
                <w:color w:val="000000"/>
                <w:kern w:val="0"/>
                <w:sz w:val="18"/>
                <w:szCs w:val="18"/>
                <w:lang w:bidi="ar"/>
              </w:rPr>
            </w:pPr>
          </w:p>
        </w:tc>
        <w:tc>
          <w:tcPr>
            <w:tcW w:w="205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5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2025" w:type="dxa"/>
            <w:vMerge w:val="continue"/>
            <w:tcBorders>
              <w:top w:val="nil"/>
              <w:left w:val="single" w:color="auto" w:sz="4" w:space="0"/>
              <w:bottom w:val="single" w:color="auto" w:sz="4" w:space="0"/>
              <w:right w:val="single" w:color="000000"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526" w:type="dxa"/>
            <w:gridSpan w:val="4"/>
            <w:tcBorders>
              <w:top w:val="single" w:color="auto" w:sz="4" w:space="0"/>
              <w:left w:val="single" w:color="auto"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sz w:val="24"/>
                <w:szCs w:val="24"/>
              </w:rPr>
            </w:pPr>
          </w:p>
        </w:tc>
        <w:tc>
          <w:tcPr>
            <w:tcW w:w="6120" w:type="dxa"/>
            <w:gridSpan w:val="4"/>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beforeLines="0" w:afterLines="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526" w:type="dxa"/>
            <w:gridSpan w:val="4"/>
            <w:tcBorders>
              <w:top w:val="single" w:color="auto" w:sz="4" w:space="0"/>
              <w:left w:val="single" w:color="auto"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sz w:val="24"/>
                <w:szCs w:val="24"/>
              </w:rPr>
            </w:pPr>
          </w:p>
        </w:tc>
        <w:tc>
          <w:tcPr>
            <w:tcW w:w="6120" w:type="dxa"/>
            <w:gridSpan w:val="4"/>
            <w:tcBorders>
              <w:top w:val="single" w:color="000000" w:sz="4" w:space="0"/>
              <w:left w:val="single" w:color="000000" w:sz="4" w:space="0"/>
              <w:bottom w:val="single" w:color="000000" w:sz="4" w:space="0"/>
              <w:right w:val="single" w:color="auto" w:sz="4" w:space="0"/>
              <w:tl2br w:val="nil"/>
              <w:tr2bl w:val="nil"/>
            </w:tcBorders>
            <w:noWrap w:val="0"/>
            <w:vAlign w:val="center"/>
          </w:tcPr>
          <w:p>
            <w:pPr>
              <w:spacing w:beforeLines="0" w:afterLines="0"/>
              <w:rPr>
                <w:rFonts w:hint="eastAsia" w:ascii="仿宋" w:hAnsi="仿宋" w:eastAsia="仿宋" w:cs="仿宋"/>
                <w:sz w:val="24"/>
                <w:szCs w:val="24"/>
              </w:rPr>
            </w:pPr>
          </w:p>
        </w:tc>
      </w:tr>
    </w:tbl>
    <w:p>
      <w:pPr>
        <w:pStyle w:val="3"/>
        <w:tabs>
          <w:tab w:val="left" w:pos="420"/>
        </w:tabs>
        <w:spacing w:beforeLines="0" w:afterLines="0"/>
        <w:ind w:firstLine="0" w:firstLineChars="0"/>
        <w:rPr>
          <w:rFonts w:hint="eastAsia"/>
          <w:sz w:val="24"/>
          <w:szCs w:val="24"/>
        </w:rPr>
        <w:sectPr>
          <w:pgSz w:w="16838" w:h="11906" w:orient="landscape"/>
          <w:pgMar w:top="1020" w:right="1701" w:bottom="1020" w:left="857" w:header="850" w:footer="850" w:gutter="0"/>
          <w:lnNumType w:countBy="0" w:distance="360"/>
          <w:cols w:space="720" w:num="1"/>
          <w:docGrid w:type="lines" w:linePitch="312" w:charSpace="0"/>
        </w:sectPr>
      </w:pPr>
    </w:p>
    <w:p>
      <w:pPr>
        <w:pStyle w:val="3"/>
        <w:spacing w:beforeLines="0" w:afterLines="0"/>
        <w:ind w:firstLine="0" w:firstLineChars="0"/>
        <w:rPr>
          <w:rFonts w:hint="eastAsia" w:ascii="方正黑体_GBK" w:hAnsi="方正黑体_GBK" w:eastAsia="方正黑体_GBK" w:cs="方正黑体_GBK"/>
          <w:b w:val="0"/>
          <w:bCs/>
          <w:sz w:val="32"/>
          <w:szCs w:val="32"/>
        </w:rPr>
      </w:pPr>
      <w:bookmarkStart w:id="59" w:name="_Toc29767"/>
      <w:bookmarkStart w:id="60" w:name="_Toc8954"/>
      <w:bookmarkStart w:id="61" w:name="_Toc25525"/>
      <w:r>
        <w:rPr>
          <w:rFonts w:hint="eastAsia" w:ascii="方正黑体_GBK" w:hAnsi="方正黑体_GBK" w:eastAsia="方正黑体_GBK" w:cs="方正黑体_GBK"/>
          <w:b w:val="0"/>
          <w:bCs/>
          <w:sz w:val="32"/>
          <w:szCs w:val="32"/>
        </w:rPr>
        <w:t>附件二：安装部署确认单</w:t>
      </w:r>
      <w:bookmarkEnd w:id="59"/>
      <w:bookmarkEnd w:id="60"/>
      <w:bookmarkEnd w:id="61"/>
    </w:p>
    <w:tbl>
      <w:tblPr>
        <w:tblStyle w:val="16"/>
        <w:tblpPr w:leftFromText="180" w:rightFromText="180" w:vertAnchor="page" w:horzAnchor="page" w:tblpX="1292" w:tblpY="36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91"/>
        <w:gridCol w:w="2117"/>
        <w:gridCol w:w="457"/>
        <w:gridCol w:w="1215"/>
        <w:gridCol w:w="197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客户名称</w:t>
            </w:r>
          </w:p>
        </w:tc>
        <w:tc>
          <w:tcPr>
            <w:tcW w:w="75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客户地址（邮编）</w:t>
            </w:r>
          </w:p>
        </w:tc>
        <w:tc>
          <w:tcPr>
            <w:tcW w:w="75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客户电话</w:t>
            </w:r>
          </w:p>
        </w:tc>
        <w:tc>
          <w:tcPr>
            <w:tcW w:w="374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软件名称</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6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安装时间</w:t>
            </w:r>
          </w:p>
        </w:tc>
        <w:tc>
          <w:tcPr>
            <w:tcW w:w="374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安装地点</w:t>
            </w:r>
          </w:p>
        </w:tc>
        <w:tc>
          <w:tcPr>
            <w:tcW w:w="75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9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安装环境描述</w:t>
            </w:r>
          </w:p>
        </w:tc>
        <w:tc>
          <w:tcPr>
            <w:tcW w:w="75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51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软件安装模块清单：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子系统或功能模块</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是否安装成功</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1</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160" w:afterLines="0" w:line="360" w:lineRule="auto"/>
              <w:jc w:val="center"/>
              <w:rPr>
                <w:rFonts w:hint="eastAsia" w:ascii="仿宋" w:hAnsi="仿宋" w:eastAsia="仿宋" w:cs="仿宋"/>
                <w:sz w:val="24"/>
                <w:szCs w:val="24"/>
              </w:rPr>
            </w:pP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2</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160" w:afterLines="0" w:line="360" w:lineRule="auto"/>
              <w:jc w:val="center"/>
              <w:rPr>
                <w:rFonts w:hint="eastAsia" w:ascii="仿宋" w:hAnsi="仿宋" w:eastAsia="仿宋" w:cs="仿宋"/>
                <w:sz w:val="24"/>
                <w:szCs w:val="24"/>
              </w:rPr>
            </w:pP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3</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160" w:afterLines="0" w:line="360" w:lineRule="auto"/>
              <w:jc w:val="center"/>
              <w:rPr>
                <w:rFonts w:hint="eastAsia" w:ascii="仿宋" w:hAnsi="仿宋" w:eastAsia="仿宋" w:cs="仿宋"/>
                <w:sz w:val="24"/>
                <w:szCs w:val="24"/>
              </w:rPr>
            </w:pP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4</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160" w:afterLines="0" w:line="360" w:lineRule="auto"/>
              <w:jc w:val="center"/>
              <w:rPr>
                <w:rFonts w:hint="eastAsia" w:ascii="仿宋" w:hAnsi="仿宋" w:eastAsia="仿宋" w:cs="仿宋"/>
                <w:sz w:val="24"/>
                <w:szCs w:val="24"/>
              </w:rPr>
            </w:pP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5</w:t>
            </w:r>
          </w:p>
        </w:tc>
        <w:tc>
          <w:tcPr>
            <w:tcW w:w="51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455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用户单位（用户名称填写）:</w:t>
            </w: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r>
              <w:rPr>
                <w:rFonts w:hint="eastAsia" w:ascii="仿宋" w:hAnsi="仿宋" w:eastAsia="仿宋" w:cs="仿宋"/>
                <w:sz w:val="24"/>
                <w:szCs w:val="24"/>
              </w:rPr>
              <w:t>授权签字人（签字）：</w:t>
            </w:r>
          </w:p>
        </w:tc>
        <w:tc>
          <w:tcPr>
            <w:tcW w:w="496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（提供单位）:</w:t>
            </w: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p>
          <w:p>
            <w:pPr>
              <w:spacing w:beforeLines="0" w:afterLines="0"/>
              <w:rPr>
                <w:rFonts w:hint="eastAsia" w:ascii="仿宋" w:hAnsi="仿宋" w:eastAsia="仿宋" w:cs="仿宋"/>
                <w:sz w:val="24"/>
                <w:szCs w:val="24"/>
              </w:rPr>
            </w:pPr>
            <w:r>
              <w:rPr>
                <w:rFonts w:hint="eastAsia" w:ascii="仿宋" w:hAnsi="仿宋" w:eastAsia="仿宋" w:cs="仿宋"/>
                <w:sz w:val="24"/>
                <w:szCs w:val="24"/>
              </w:rPr>
              <w:t>项目经理（签字）：</w:t>
            </w:r>
          </w:p>
        </w:tc>
      </w:tr>
    </w:tbl>
    <w:p>
      <w:pPr>
        <w:spacing w:beforeLines="0" w:afterLines="0"/>
        <w:jc w:val="center"/>
        <w:rPr>
          <w:rFonts w:hint="eastAsia" w:ascii="方正黑体_GBK" w:hAnsi="方正黑体_GBK" w:eastAsia="方正黑体_GBK" w:cs="方正黑体_GBK"/>
          <w:b w:val="0"/>
          <w:bCs/>
          <w:sz w:val="32"/>
          <w:szCs w:val="32"/>
        </w:rPr>
        <w:sectPr>
          <w:pgSz w:w="11906" w:h="16838"/>
          <w:pgMar w:top="1701" w:right="1134" w:bottom="857" w:left="1134" w:header="850" w:footer="850" w:gutter="0"/>
          <w:lnNumType w:countBy="0" w:distance="360"/>
          <w:cols w:space="720" w:num="1"/>
          <w:docGrid w:type="lines" w:linePitch="312" w:charSpace="0"/>
        </w:sectPr>
      </w:pPr>
      <w:r>
        <w:rPr>
          <w:rFonts w:hint="eastAsia" w:ascii="方正黑体_GBK" w:hAnsi="方正黑体_GBK" w:eastAsia="方正黑体_GBK" w:cs="方正黑体_GBK"/>
          <w:b w:val="0"/>
          <w:bCs/>
          <w:sz w:val="32"/>
          <w:szCs w:val="32"/>
        </w:rPr>
        <w:t>系统安装部署确认单</w:t>
      </w:r>
    </w:p>
    <w:p>
      <w:pPr>
        <w:pStyle w:val="3"/>
        <w:keepNext/>
        <w:keepLines/>
        <w:pageBreakBefore w:val="0"/>
        <w:widowControl w:val="0"/>
        <w:kinsoku/>
        <w:wordWrap/>
        <w:overflowPunct/>
        <w:topLinePunct w:val="0"/>
        <w:autoSpaceDE/>
        <w:autoSpaceDN/>
        <w:bidi w:val="0"/>
        <w:adjustRightInd/>
        <w:snapToGrid/>
        <w:spacing w:before="0" w:beforeLines="0" w:after="0" w:afterLines="0"/>
        <w:ind w:firstLine="0" w:firstLineChars="0"/>
        <w:textAlignment w:val="auto"/>
        <w:rPr>
          <w:rFonts w:hint="eastAsia" w:ascii="方正黑体_GBK" w:hAnsi="方正黑体_GBK" w:eastAsia="方正黑体_GBK" w:cs="方正黑体_GBK"/>
          <w:b w:val="0"/>
          <w:bCs/>
          <w:sz w:val="32"/>
          <w:szCs w:val="32"/>
        </w:rPr>
      </w:pPr>
      <w:bookmarkStart w:id="62" w:name="_Toc23327"/>
      <w:bookmarkStart w:id="63" w:name="_Toc32504"/>
      <w:bookmarkStart w:id="64" w:name="_Toc27079"/>
      <w:r>
        <w:rPr>
          <w:rFonts w:hint="eastAsia" w:ascii="方正黑体_GBK" w:hAnsi="方正黑体_GBK" w:eastAsia="方正黑体_GBK" w:cs="方正黑体_GBK"/>
          <w:b w:val="0"/>
          <w:bCs/>
          <w:sz w:val="32"/>
          <w:szCs w:val="32"/>
        </w:rPr>
        <w:t>附件三：验收报告</w:t>
      </w:r>
      <w:bookmarkEnd w:id="62"/>
      <w:bookmarkEnd w:id="63"/>
      <w:bookmarkEnd w:id="64"/>
    </w:p>
    <w:p>
      <w:pPr>
        <w:spacing w:beforeLines="0" w:afterLines="0"/>
        <w:rPr>
          <w:rFonts w:hint="default"/>
          <w:sz w:val="21"/>
          <w:szCs w:val="24"/>
        </w:rPr>
      </w:pPr>
    </w:p>
    <w:p>
      <w:pPr>
        <w:pStyle w:val="15"/>
        <w:spacing w:beforeLines="0" w:afterLines="0" w:line="312" w:lineRule="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验收报告</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系统验收计划</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sz w:val="21"/>
          <w:szCs w:val="21"/>
        </w:rPr>
        <w:t>验收人员在“数据结果”栏的选项中打√。如选中“错误“，请在“备注”栏中注明‘错误’的描述。</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sz w:val="21"/>
          <w:szCs w:val="21"/>
        </w:rPr>
        <w:t>验收人员在对各系统分类的总评后，注明验收日期并签名。</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系统必须通过用户验收测试合格后方可正式投入使用在未获得UAT验收签字之前均只能进行并行测试，不建议进行系统切换。</w:t>
      </w:r>
    </w:p>
    <w:tbl>
      <w:tblPr>
        <w:tblStyle w:val="16"/>
        <w:tblpPr w:leftFromText="180" w:rightFromText="180" w:vertAnchor="text" w:horzAnchor="page" w:tblpX="1861" w:tblpY="5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043"/>
        <w:gridCol w:w="1032"/>
        <w:gridCol w:w="1796"/>
        <w:gridCol w:w="919"/>
        <w:gridCol w:w="141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blHeader/>
          <w:jc w:val="center"/>
        </w:trPr>
        <w:tc>
          <w:tcPr>
            <w:tcW w:w="993"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功能模块</w:t>
            </w:r>
          </w:p>
        </w:tc>
        <w:tc>
          <w:tcPr>
            <w:tcW w:w="1043"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子功能模块</w:t>
            </w:r>
          </w:p>
        </w:tc>
        <w:tc>
          <w:tcPr>
            <w:tcW w:w="1032"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功能描述</w:t>
            </w:r>
          </w:p>
        </w:tc>
        <w:tc>
          <w:tcPr>
            <w:tcW w:w="1796"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简要说明</w:t>
            </w:r>
          </w:p>
        </w:tc>
        <w:tc>
          <w:tcPr>
            <w:tcW w:w="919"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数据结果</w:t>
            </w:r>
          </w:p>
        </w:tc>
        <w:tc>
          <w:tcPr>
            <w:tcW w:w="1413"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确认部门</w:t>
            </w:r>
          </w:p>
        </w:tc>
        <w:tc>
          <w:tcPr>
            <w:tcW w:w="1559" w:type="dxa"/>
            <w:tcBorders>
              <w:top w:val="single" w:color="000000" w:sz="4" w:space="0"/>
              <w:left w:val="single" w:color="000000" w:sz="4" w:space="0"/>
              <w:bottom w:val="single" w:color="auto" w:sz="4" w:space="0"/>
              <w:right w:val="single" w:color="000000" w:sz="4" w:space="0"/>
              <w:tl2br w:val="nil"/>
              <w:tr2bl w:val="nil"/>
            </w:tcBorders>
            <w:shd w:val="clear" w:color="000000" w:fill="F3F3F3"/>
            <w:noWrap w:val="0"/>
            <w:vAlign w:val="center"/>
          </w:tcPr>
          <w:p>
            <w:pPr>
              <w:spacing w:beforeLines="0" w:after="160" w:afterLines="0" w:line="400" w:lineRule="exact"/>
              <w:jc w:val="center"/>
              <w:rPr>
                <w:rFonts w:hint="eastAsia" w:ascii="宋体" w:hAnsi="宋体" w:eastAsia="宋体"/>
                <w:b/>
                <w:sz w:val="21"/>
                <w:szCs w:val="24"/>
              </w:rPr>
            </w:pPr>
            <w:r>
              <w:rPr>
                <w:rFonts w:hint="eastAsia" w:ascii="宋体" w:hAnsi="宋体" w:eastAsia="宋体"/>
                <w:b/>
                <w:sz w:val="21"/>
                <w:szCs w:val="24"/>
              </w:rPr>
              <w:t>备注(签名)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9" w:hRule="atLeast"/>
          <w:jc w:val="center"/>
        </w:trPr>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360" w:lineRule="auto"/>
              <w:rPr>
                <w:rFonts w:hint="eastAsia" w:ascii="宋体" w:hAnsi="宋体" w:eastAsia="宋体"/>
                <w:sz w:val="21"/>
                <w:szCs w:val="24"/>
              </w:rPr>
            </w:pPr>
          </w:p>
        </w:tc>
        <w:tc>
          <w:tcPr>
            <w:tcW w:w="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□正确</w:t>
            </w:r>
          </w:p>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□错误</w:t>
            </w:r>
          </w:p>
        </w:tc>
        <w:tc>
          <w:tcPr>
            <w:tcW w:w="14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jc w:val="center"/>
        </w:trPr>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360" w:lineRule="auto"/>
              <w:rPr>
                <w:rFonts w:hint="eastAsia" w:ascii="宋体" w:hAnsi="宋体" w:eastAsia="宋体"/>
                <w:sz w:val="21"/>
                <w:szCs w:val="24"/>
              </w:rPr>
            </w:pPr>
          </w:p>
        </w:tc>
        <w:tc>
          <w:tcPr>
            <w:tcW w:w="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□正确</w:t>
            </w:r>
          </w:p>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□错误</w:t>
            </w:r>
          </w:p>
        </w:tc>
        <w:tc>
          <w:tcPr>
            <w:tcW w:w="14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87" w:hRule="atLeast"/>
          <w:jc w:val="center"/>
        </w:trPr>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03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360" w:lineRule="auto"/>
              <w:rPr>
                <w:rFonts w:hint="eastAsia" w:ascii="宋体" w:hAnsi="宋体" w:eastAsia="宋体"/>
                <w:sz w:val="21"/>
                <w:szCs w:val="24"/>
              </w:rPr>
            </w:pPr>
          </w:p>
        </w:tc>
        <w:tc>
          <w:tcPr>
            <w:tcW w:w="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□正确</w:t>
            </w:r>
          </w:p>
          <w:p>
            <w:pPr>
              <w:spacing w:beforeLines="0" w:after="160" w:afterLines="0" w:line="400" w:lineRule="exact"/>
              <w:jc w:val="center"/>
              <w:rPr>
                <w:rFonts w:hint="eastAsia" w:ascii="宋体" w:hAnsi="宋体" w:eastAsia="宋体"/>
                <w:sz w:val="21"/>
                <w:szCs w:val="24"/>
              </w:rPr>
            </w:pPr>
            <w:r>
              <w:rPr>
                <w:rFonts w:hint="eastAsia" w:ascii="宋体" w:hAnsi="宋体" w:eastAsia="宋体"/>
                <w:sz w:val="21"/>
                <w:szCs w:val="24"/>
              </w:rPr>
              <w:t>□错误</w:t>
            </w:r>
          </w:p>
        </w:tc>
        <w:tc>
          <w:tcPr>
            <w:tcW w:w="14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c>
          <w:tcPr>
            <w:tcW w:w="15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160" w:afterLines="0" w:line="400" w:lineRule="exact"/>
              <w:rPr>
                <w:rFonts w:hint="eastAsia" w:ascii="宋体" w:hAnsi="宋体" w:eastAsia="宋体"/>
                <w:sz w:val="21"/>
                <w:szCs w:val="24"/>
              </w:rPr>
            </w:pPr>
          </w:p>
        </w:tc>
      </w:tr>
    </w:tbl>
    <w:p>
      <w:pPr>
        <w:spacing w:beforeLines="0" w:after="160" w:afterLines="0" w:line="400" w:lineRule="exact"/>
        <w:rPr>
          <w:rFonts w:hint="eastAsia" w:ascii="宋体" w:hAnsi="宋体" w:eastAsia="宋体" w:cs="宋体"/>
          <w:sz w:val="21"/>
          <w:szCs w:val="21"/>
        </w:rPr>
      </w:pPr>
      <w:r>
        <w:rPr>
          <w:rFonts w:hint="eastAsia" w:ascii="宋体" w:hAnsi="宋体" w:eastAsia="宋体" w:cs="宋体"/>
          <w:b/>
          <w:sz w:val="21"/>
          <w:szCs w:val="21"/>
        </w:rPr>
        <w:t>系统验收内容，请给予宝贵意见，系统之验收总体情况</w:t>
      </w:r>
      <w:r>
        <w:rPr>
          <w:rFonts w:hint="eastAsia" w:ascii="宋体" w:hAnsi="宋体" w:eastAsia="宋体" w:cs="宋体"/>
          <w:sz w:val="21"/>
          <w:szCs w:val="21"/>
        </w:rPr>
        <w:t>：</w:t>
      </w:r>
    </w:p>
    <w:p>
      <w:pPr>
        <w:spacing w:beforeLines="0" w:after="160" w:afterLines="0" w:line="360" w:lineRule="auto"/>
        <w:rPr>
          <w:rFonts w:hint="eastAsia" w:ascii="宋体" w:hAnsi="宋体" w:eastAsia="宋体" w:cs="宋体"/>
          <w:sz w:val="21"/>
          <w:szCs w:val="21"/>
        </w:rPr>
      </w:pPr>
    </w:p>
    <w:p>
      <w:pPr>
        <w:spacing w:beforeLines="0" w:after="160" w:afterLines="0" w:line="360" w:lineRule="auto"/>
        <w:rPr>
          <w:rFonts w:hint="eastAsia" w:ascii="宋体" w:hAnsi="宋体" w:eastAsia="宋体" w:cs="宋体"/>
          <w:sz w:val="21"/>
          <w:szCs w:val="21"/>
          <w:u w:val="single"/>
        </w:rPr>
      </w:pPr>
      <w:r>
        <w:rPr>
          <w:rFonts w:hint="eastAsia" w:ascii="宋体" w:hAnsi="宋体" w:eastAsia="宋体" w:cs="宋体"/>
          <w:sz w:val="21"/>
          <w:szCs w:val="21"/>
        </w:rPr>
        <w:t>参与验收人员签名：</w:t>
      </w:r>
      <w:r>
        <w:rPr>
          <w:rFonts w:hint="eastAsia" w:ascii="宋体" w:hAnsi="宋体" w:eastAsia="宋体" w:cs="宋体"/>
          <w:sz w:val="21"/>
          <w:szCs w:val="21"/>
          <w:u w:val="single"/>
        </w:rPr>
        <w:t xml:space="preserve">                 </w:t>
      </w:r>
    </w:p>
    <w:p>
      <w:pPr>
        <w:spacing w:beforeLines="0" w:after="160" w:afterLines="0" w:line="360" w:lineRule="auto"/>
        <w:rPr>
          <w:rFonts w:hint="eastAsia" w:ascii="宋体" w:hAnsi="宋体" w:eastAsia="宋体" w:cs="宋体"/>
          <w:sz w:val="21"/>
          <w:szCs w:val="21"/>
        </w:rPr>
      </w:pPr>
      <w:r>
        <w:rPr>
          <w:rFonts w:hint="eastAsia" w:ascii="宋体" w:hAnsi="宋体" w:eastAsia="宋体" w:cs="宋体"/>
          <w:sz w:val="21"/>
          <w:szCs w:val="21"/>
        </w:rPr>
        <w:t>项目经理：</w:t>
      </w:r>
      <w:r>
        <w:rPr>
          <w:rFonts w:hint="eastAsia" w:ascii="宋体" w:hAnsi="宋体" w:eastAsia="宋体" w:cs="宋体"/>
          <w:sz w:val="21"/>
          <w:szCs w:val="21"/>
          <w:u w:val="single"/>
        </w:rPr>
        <w:t xml:space="preserve">                         </w:t>
      </w:r>
    </w:p>
    <w:p>
      <w:pPr>
        <w:spacing w:beforeLines="0" w:after="160" w:afterLines="0" w:line="360" w:lineRule="auto"/>
        <w:rPr>
          <w:rFonts w:hint="eastAsia" w:ascii="宋体" w:hAnsi="宋体" w:eastAsia="宋体" w:cs="宋体"/>
          <w:sz w:val="21"/>
          <w:szCs w:val="21"/>
        </w:rPr>
      </w:pPr>
      <w:r>
        <w:rPr>
          <w:rFonts w:hint="eastAsia" w:ascii="宋体" w:hAnsi="宋体" w:eastAsia="宋体" w:cs="宋体"/>
          <w:sz w:val="21"/>
          <w:szCs w:val="21"/>
        </w:rPr>
        <w:t>验收日期：</w:t>
      </w:r>
      <w:r>
        <w:rPr>
          <w:rFonts w:hint="eastAsia" w:ascii="宋体" w:hAnsi="宋体" w:eastAsia="宋体" w:cs="宋体"/>
          <w:sz w:val="21"/>
          <w:szCs w:val="21"/>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附件</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right="480"/>
        <w:textAlignment w:val="auto"/>
        <w:rPr>
          <w:rFonts w:hint="eastAsia" w:ascii="方正仿宋_GBK" w:hAnsi="方正仿宋_GBK" w:eastAsia="方正仿宋_GBK" w:cs="方正仿宋_GBK"/>
          <w:sz w:val="32"/>
          <w:szCs w:val="32"/>
          <w:highlight w:val="none"/>
          <w:lang w:val="en-US" w:eastAsia="zh-CN"/>
        </w:rPr>
        <w:sectPr>
          <w:pgSz w:w="11906" w:h="16838"/>
          <w:pgMar w:top="2098" w:right="1474" w:bottom="1984" w:left="1587" w:header="851" w:footer="992" w:gutter="0"/>
          <w:cols w:space="720" w:num="1"/>
          <w:docGrid w:type="lines" w:linePitch="312" w:charSpace="0"/>
        </w:sectPr>
      </w:pPr>
      <w:r>
        <w:rPr>
          <w:rFonts w:hint="eastAsia" w:ascii="方正仿宋_GBK" w:hAnsi="方正仿宋_GBK" w:eastAsia="方正仿宋_GBK" w:cs="方正仿宋_GBK"/>
          <w:sz w:val="32"/>
          <w:szCs w:val="32"/>
          <w:highlight w:val="none"/>
        </w:rPr>
        <w:t>其他资料（自定义</w:t>
      </w:r>
      <w:r>
        <w:rPr>
          <w:rFonts w:hint="eastAsia" w:ascii="方正仿宋_GBK" w:hAnsi="方正仿宋_GBK" w:eastAsia="方正仿宋_GBK" w:cs="方正仿宋_GBK"/>
          <w:sz w:val="32"/>
          <w:szCs w:val="32"/>
          <w:highlight w:val="none"/>
          <w:lang w:val="en-US" w:eastAsia="zh-CN"/>
        </w:rPr>
        <w:t>格式）</w:t>
      </w:r>
    </w:p>
    <w:p/>
    <w:sectPr>
      <w:footerReference r:id="rId7" w:type="default"/>
      <w:pgSz w:w="11906" w:h="16838"/>
      <w:pgMar w:top="2098" w:right="1474" w:bottom="1985" w:left="1588" w:header="851" w:footer="1474" w:gutter="0"/>
      <w:pgBorders>
        <w:top w:val="none" w:sz="0" w:space="0"/>
        <w:left w:val="none" w:sz="0" w:space="0"/>
        <w:bottom w:val="none" w:sz="0" w:space="0"/>
        <w:right w:val="none" w:sz="0" w:space="0"/>
      </w:pgBorders>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0590" cy="147955"/>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0590" cy="147955"/>
                      </a:xfrm>
                      <a:prstGeom prst="rect">
                        <a:avLst/>
                      </a:prstGeom>
                      <a:noFill/>
                      <a:ln>
                        <a:noFill/>
                      </a:ln>
                    </wps:spPr>
                    <wps:txbx>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1.65pt;width:71.7pt;mso-position-horizontal:center;mso-position-horizontal-relative:margin;mso-wrap-style:none;z-index:251659264;mso-width-relative:page;mso-height-relative:page;" filled="f" stroked="f" coordsize="21600,21600" o:gfxdata="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NG680gAAAAQBAAAPAAAAAAAAAAEAIAAAACIAAABkcnMvZG93&#10;bnJldi54bWxQSwECFAAUAAAACACHTuJAvwoqp80BAACZAwAADgAAAAAAAAABACAAAAAhAQAAZHJz&#10;L2Uyb0RvYy54bWxQSwUGAAAAAAYABgBZAQAAYAUAAAAA&#10;">
              <v:fill on="f" focussize="0,0"/>
              <v:stroke on="f"/>
              <v:imagedata o:title=""/>
              <o:lock v:ext="edit" aspectratio="f"/>
              <v:textbox inset="0mm,0mm,0mm,0mm" style="mso-fit-shape-to-text:t;">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19"/>
        <w:tab w:val="clear" w:pos="4153"/>
      </w:tabs>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0590" cy="147955"/>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0590" cy="147955"/>
                      </a:xfrm>
                      <a:prstGeom prst="rect">
                        <a:avLst/>
                      </a:prstGeom>
                      <a:noFill/>
                      <a:ln>
                        <a:noFill/>
                      </a:ln>
                    </wps:spPr>
                    <wps:txbx>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2</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1.65pt;width:71.7pt;mso-position-horizontal:center;mso-position-horizontal-relative:margin;mso-wrap-style:none;z-index:251660288;mso-width-relative:page;mso-height-relative:page;" filled="f" stroked="f" coordsize="21600,21600" o:gfxdata="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NG680gAAAAQBAAAPAAAAAAAAAAEAIAAAACIAAABkcnMvZG93&#10;bnJldi54bWxQSwECFAAUAAAACACHTuJAldJO2M0BAACZAwAADgAAAAAAAAABACAAAAAhAQAAZHJz&#10;L2Uyb0RvYy54bWxQSwUGAAAAAAYABgBZAQAAYAUAAAAA&#10;">
              <v:fill on="f" focussize="0,0"/>
              <v:stroke on="f"/>
              <v:imagedata o:title=""/>
              <o:lock v:ext="edit" aspectratio="f"/>
              <v:textbox inset="0mm,0mm,0mm,0mm" style="mso-fit-shape-to-text:t;">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2</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v:textbox>
            </v:shape>
          </w:pict>
        </mc:Fallback>
      </mc:AlternateContent>
    </w:r>
    <w:r>
      <w:rPr>
        <w:rFonts w:hint="default"/>
        <w:sz w:val="18"/>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0590" cy="147955"/>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0590" cy="147955"/>
                      </a:xfrm>
                      <a:prstGeom prst="rect">
                        <a:avLst/>
                      </a:prstGeom>
                      <a:noFill/>
                      <a:ln>
                        <a:noFill/>
                      </a:ln>
                    </wps:spPr>
                    <wps:txbx>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10</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1.65pt;width:71.7pt;mso-position-horizontal:center;mso-position-horizontal-relative:margin;mso-wrap-style:none;z-index:251661312;mso-width-relative:page;mso-height-relative:page;" filled="f" stroked="f" coordsize="21600,21600" o:gfxdata="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Q0brzSAAAABAEAAA8AAAAAAAAAAQAgAAAAIgAAAGRycy9k&#10;b3ducmV2LnhtbFBLAQIUABQAAAAIAIdO4kDkPhEWzwEAAJkDAAAOAAAAAAAAAAEAIAAAACEBAABk&#10;cnMvZTJvRG9jLnhtbFBLBQYAAAAABgAGAFkBAABiBQAAAAA=&#10;">
              <v:fill on="f" focussize="0,0"/>
              <v:stroke on="f"/>
              <v:imagedata o:title=""/>
              <o:lock v:ext="edit" aspectratio="f"/>
              <v:textbox inset="0mm,0mm,0mm,0mm" style="mso-fit-shape-to-text:t;">
                <w:txbxContent>
                  <w:p>
                    <w:pPr>
                      <w:pStyle w:val="12"/>
                      <w:spacing w:beforeLines="0" w:afterLines="0"/>
                      <w:rPr>
                        <w:rFonts w:hint="default"/>
                        <w:sz w:val="18"/>
                        <w:szCs w:val="24"/>
                      </w:rPr>
                    </w:pPr>
                    <w:r>
                      <w:rPr>
                        <w:rFonts w:hint="eastAsia" w:eastAsia="宋体"/>
                        <w:sz w:val="18"/>
                        <w:szCs w:val="24"/>
                      </w:rPr>
                      <w:t xml:space="preserve">第 </w:t>
                    </w: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10</w:t>
                    </w:r>
                    <w:r>
                      <w:rPr>
                        <w:rFonts w:hint="default"/>
                        <w:sz w:val="18"/>
                        <w:szCs w:val="24"/>
                      </w:rPr>
                      <w:fldChar w:fldCharType="end"/>
                    </w:r>
                    <w:r>
                      <w:rPr>
                        <w:rFonts w:hint="default"/>
                        <w:sz w:val="18"/>
                        <w:szCs w:val="24"/>
                      </w:rPr>
                      <w:t xml:space="preserve"> </w:t>
                    </w:r>
                    <w:r>
                      <w:rPr>
                        <w:rFonts w:hint="eastAsia" w:eastAsia="宋体"/>
                        <w:sz w:val="18"/>
                        <w:szCs w:val="24"/>
                      </w:rPr>
                      <w:t xml:space="preserve">页 共 </w:t>
                    </w:r>
                    <w:r>
                      <w:rPr>
                        <w:rFonts w:hint="default"/>
                        <w:sz w:val="18"/>
                        <w:szCs w:val="24"/>
                      </w:rPr>
                      <w:fldChar w:fldCharType="begin"/>
                    </w:r>
                    <w:r>
                      <w:rPr>
                        <w:rFonts w:hint="default"/>
                        <w:sz w:val="18"/>
                        <w:szCs w:val="24"/>
                      </w:rPr>
                      <w:instrText xml:space="preserve"> NUMPAGES  \* MERGEFORMAT </w:instrText>
                    </w:r>
                    <w:r>
                      <w:rPr>
                        <w:rFonts w:hint="default"/>
                        <w:sz w:val="18"/>
                        <w:szCs w:val="24"/>
                      </w:rPr>
                      <w:fldChar w:fldCharType="separate"/>
                    </w:r>
                    <w:r>
                      <w:rPr>
                        <w:rFonts w:hint="default"/>
                        <w:sz w:val="18"/>
                        <w:szCs w:val="24"/>
                      </w:rPr>
                      <w:t>13</w:t>
                    </w:r>
                    <w:r>
                      <w:rPr>
                        <w:rFonts w:hint="default"/>
                        <w:sz w:val="18"/>
                        <w:szCs w:val="24"/>
                      </w:rPr>
                      <w:fldChar w:fldCharType="end"/>
                    </w:r>
                    <w:r>
                      <w:rPr>
                        <w:rFonts w:hint="default"/>
                        <w:sz w:val="18"/>
                        <w:szCs w:val="24"/>
                      </w:rPr>
                      <w:t xml:space="preserve"> </w:t>
                    </w:r>
                    <w:r>
                      <w:rPr>
                        <w:rFonts w:hint="eastAsia" w:eastAsia="宋体"/>
                        <w:sz w:val="18"/>
                        <w:szCs w:val="24"/>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F3BA0"/>
    <w:multiLevelType w:val="multilevel"/>
    <w:tmpl w:val="3E3F3BA0"/>
    <w:lvl w:ilvl="0" w:tentative="0">
      <w:start w:val="2"/>
      <w:numFmt w:val="upperLetter"/>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ZGZjYWI2MTkyZWYzODZiZTU0MmJiNTcxYTRlODYifQ=="/>
  </w:docVars>
  <w:rsids>
    <w:rsidRoot w:val="00172A27"/>
    <w:rsid w:val="000E34D6"/>
    <w:rsid w:val="00233E4A"/>
    <w:rsid w:val="004A6C20"/>
    <w:rsid w:val="00747327"/>
    <w:rsid w:val="007F4A3F"/>
    <w:rsid w:val="00A27415"/>
    <w:rsid w:val="00B93213"/>
    <w:rsid w:val="00C967D6"/>
    <w:rsid w:val="00D51DD0"/>
    <w:rsid w:val="00F64964"/>
    <w:rsid w:val="00FE074E"/>
    <w:rsid w:val="0130692A"/>
    <w:rsid w:val="01353907"/>
    <w:rsid w:val="013A279F"/>
    <w:rsid w:val="014A4B87"/>
    <w:rsid w:val="01857314"/>
    <w:rsid w:val="01885910"/>
    <w:rsid w:val="01B22F29"/>
    <w:rsid w:val="01BC39A2"/>
    <w:rsid w:val="01CC50FF"/>
    <w:rsid w:val="01CE3E86"/>
    <w:rsid w:val="01E811AC"/>
    <w:rsid w:val="01F0403A"/>
    <w:rsid w:val="01F110DF"/>
    <w:rsid w:val="0209479C"/>
    <w:rsid w:val="020C020B"/>
    <w:rsid w:val="020D5D94"/>
    <w:rsid w:val="021332F5"/>
    <w:rsid w:val="02591201"/>
    <w:rsid w:val="02B76C7D"/>
    <w:rsid w:val="02ED6112"/>
    <w:rsid w:val="02F82082"/>
    <w:rsid w:val="030624A9"/>
    <w:rsid w:val="03094A24"/>
    <w:rsid w:val="034B0417"/>
    <w:rsid w:val="03793528"/>
    <w:rsid w:val="038D1B08"/>
    <w:rsid w:val="03996AA9"/>
    <w:rsid w:val="03AA3E30"/>
    <w:rsid w:val="03C06834"/>
    <w:rsid w:val="041545A2"/>
    <w:rsid w:val="04943DDB"/>
    <w:rsid w:val="049F3CA4"/>
    <w:rsid w:val="04A0588F"/>
    <w:rsid w:val="04B7134B"/>
    <w:rsid w:val="04EA08A0"/>
    <w:rsid w:val="05213CB7"/>
    <w:rsid w:val="05334535"/>
    <w:rsid w:val="055446CC"/>
    <w:rsid w:val="05972BB7"/>
    <w:rsid w:val="05C435A6"/>
    <w:rsid w:val="05D01DED"/>
    <w:rsid w:val="05DF20B2"/>
    <w:rsid w:val="06050F07"/>
    <w:rsid w:val="063A76B0"/>
    <w:rsid w:val="065821AB"/>
    <w:rsid w:val="0677352A"/>
    <w:rsid w:val="06807E28"/>
    <w:rsid w:val="068B763B"/>
    <w:rsid w:val="06B4338F"/>
    <w:rsid w:val="06CB7731"/>
    <w:rsid w:val="06FA6082"/>
    <w:rsid w:val="072F10AD"/>
    <w:rsid w:val="074A5CF3"/>
    <w:rsid w:val="075D4AA1"/>
    <w:rsid w:val="076735EF"/>
    <w:rsid w:val="07773341"/>
    <w:rsid w:val="078F0773"/>
    <w:rsid w:val="07937179"/>
    <w:rsid w:val="07971403"/>
    <w:rsid w:val="07983601"/>
    <w:rsid w:val="07B323BB"/>
    <w:rsid w:val="07CA4C73"/>
    <w:rsid w:val="07FD7D85"/>
    <w:rsid w:val="082235C4"/>
    <w:rsid w:val="082657EF"/>
    <w:rsid w:val="0892709C"/>
    <w:rsid w:val="089C0163"/>
    <w:rsid w:val="08B56412"/>
    <w:rsid w:val="08BD5962"/>
    <w:rsid w:val="08CA4B7B"/>
    <w:rsid w:val="08EA0D64"/>
    <w:rsid w:val="09012BD3"/>
    <w:rsid w:val="090849E0"/>
    <w:rsid w:val="09365FDB"/>
    <w:rsid w:val="09443C7D"/>
    <w:rsid w:val="09B12D77"/>
    <w:rsid w:val="09D50F7A"/>
    <w:rsid w:val="0A1719BD"/>
    <w:rsid w:val="0A2552B4"/>
    <w:rsid w:val="0A4C5174"/>
    <w:rsid w:val="0A583185"/>
    <w:rsid w:val="0A692C8B"/>
    <w:rsid w:val="0A9A3CBA"/>
    <w:rsid w:val="0ABC1B74"/>
    <w:rsid w:val="0AD04C03"/>
    <w:rsid w:val="0AE565E1"/>
    <w:rsid w:val="0B1425D4"/>
    <w:rsid w:val="0B2C5E6C"/>
    <w:rsid w:val="0B4413B7"/>
    <w:rsid w:val="0B542123"/>
    <w:rsid w:val="0B6B1D48"/>
    <w:rsid w:val="0B9610F4"/>
    <w:rsid w:val="0BB0283D"/>
    <w:rsid w:val="0BDC3301"/>
    <w:rsid w:val="0BF56429"/>
    <w:rsid w:val="0C1911CC"/>
    <w:rsid w:val="0C396DB4"/>
    <w:rsid w:val="0C7500EC"/>
    <w:rsid w:val="0CA507CB"/>
    <w:rsid w:val="0CD12914"/>
    <w:rsid w:val="0CD555CF"/>
    <w:rsid w:val="0CDC7BAF"/>
    <w:rsid w:val="0CEC71A9"/>
    <w:rsid w:val="0D046532"/>
    <w:rsid w:val="0D157B86"/>
    <w:rsid w:val="0D177805"/>
    <w:rsid w:val="0D2074BF"/>
    <w:rsid w:val="0D3E5ACE"/>
    <w:rsid w:val="0D591574"/>
    <w:rsid w:val="0D606F13"/>
    <w:rsid w:val="0D694B01"/>
    <w:rsid w:val="0D7A1AA8"/>
    <w:rsid w:val="0D8B55C6"/>
    <w:rsid w:val="0D9A0C44"/>
    <w:rsid w:val="0DA26F60"/>
    <w:rsid w:val="0DA53BF1"/>
    <w:rsid w:val="0DCA2106"/>
    <w:rsid w:val="0E072991"/>
    <w:rsid w:val="0E1C0F12"/>
    <w:rsid w:val="0E501045"/>
    <w:rsid w:val="0E523D0A"/>
    <w:rsid w:val="0E63372C"/>
    <w:rsid w:val="0E7D5098"/>
    <w:rsid w:val="0E8B2428"/>
    <w:rsid w:val="0E9A1704"/>
    <w:rsid w:val="0E9D70C0"/>
    <w:rsid w:val="0EBC2BF7"/>
    <w:rsid w:val="0EBC5938"/>
    <w:rsid w:val="0F0D4BEC"/>
    <w:rsid w:val="0F102E48"/>
    <w:rsid w:val="0F36499C"/>
    <w:rsid w:val="0F804F9C"/>
    <w:rsid w:val="0F9A2DA7"/>
    <w:rsid w:val="0FB63941"/>
    <w:rsid w:val="0FCE22FD"/>
    <w:rsid w:val="0FDF0019"/>
    <w:rsid w:val="0FE963AA"/>
    <w:rsid w:val="0FFC5B6D"/>
    <w:rsid w:val="10441F3B"/>
    <w:rsid w:val="10E10D7E"/>
    <w:rsid w:val="10F442DE"/>
    <w:rsid w:val="10FC08AB"/>
    <w:rsid w:val="1111168F"/>
    <w:rsid w:val="11570130"/>
    <w:rsid w:val="1186690F"/>
    <w:rsid w:val="1196493F"/>
    <w:rsid w:val="11B236E4"/>
    <w:rsid w:val="11C06ACF"/>
    <w:rsid w:val="11DC205D"/>
    <w:rsid w:val="12017F94"/>
    <w:rsid w:val="123D7AF8"/>
    <w:rsid w:val="12421A01"/>
    <w:rsid w:val="1253551F"/>
    <w:rsid w:val="127627C9"/>
    <w:rsid w:val="1277225B"/>
    <w:rsid w:val="12A836C1"/>
    <w:rsid w:val="12BF3465"/>
    <w:rsid w:val="12CC3314"/>
    <w:rsid w:val="12CF28EA"/>
    <w:rsid w:val="13117C53"/>
    <w:rsid w:val="137C6286"/>
    <w:rsid w:val="143B75BD"/>
    <w:rsid w:val="144C52D9"/>
    <w:rsid w:val="14652984"/>
    <w:rsid w:val="14740A1C"/>
    <w:rsid w:val="149C635D"/>
    <w:rsid w:val="14B66F07"/>
    <w:rsid w:val="14B950C8"/>
    <w:rsid w:val="14DB5560"/>
    <w:rsid w:val="14DD6A07"/>
    <w:rsid w:val="14E55858"/>
    <w:rsid w:val="14F926F4"/>
    <w:rsid w:val="15117788"/>
    <w:rsid w:val="15F42192"/>
    <w:rsid w:val="16492D73"/>
    <w:rsid w:val="164C60A4"/>
    <w:rsid w:val="164D0F49"/>
    <w:rsid w:val="16745F63"/>
    <w:rsid w:val="16995913"/>
    <w:rsid w:val="16B326B5"/>
    <w:rsid w:val="16D30781"/>
    <w:rsid w:val="16E85F22"/>
    <w:rsid w:val="1711243B"/>
    <w:rsid w:val="1716576D"/>
    <w:rsid w:val="172B7C90"/>
    <w:rsid w:val="17393181"/>
    <w:rsid w:val="1754026C"/>
    <w:rsid w:val="17575205"/>
    <w:rsid w:val="17D11723"/>
    <w:rsid w:val="17DC7AB4"/>
    <w:rsid w:val="17E91348"/>
    <w:rsid w:val="18141FCC"/>
    <w:rsid w:val="181B7CB1"/>
    <w:rsid w:val="18511C71"/>
    <w:rsid w:val="18A43C7A"/>
    <w:rsid w:val="18B43F14"/>
    <w:rsid w:val="18D9652A"/>
    <w:rsid w:val="18E42A69"/>
    <w:rsid w:val="18E761A8"/>
    <w:rsid w:val="18EA221C"/>
    <w:rsid w:val="19222CB8"/>
    <w:rsid w:val="19632DB3"/>
    <w:rsid w:val="19976592"/>
    <w:rsid w:val="19977D8A"/>
    <w:rsid w:val="19A625A3"/>
    <w:rsid w:val="19C25CC9"/>
    <w:rsid w:val="19E25314"/>
    <w:rsid w:val="19E44606"/>
    <w:rsid w:val="19E52087"/>
    <w:rsid w:val="19EF621A"/>
    <w:rsid w:val="1A16534C"/>
    <w:rsid w:val="1A226331"/>
    <w:rsid w:val="1A295FE0"/>
    <w:rsid w:val="1A330E88"/>
    <w:rsid w:val="1A341A7A"/>
    <w:rsid w:val="1A3C2A96"/>
    <w:rsid w:val="1A4C7EB8"/>
    <w:rsid w:val="1AAC404F"/>
    <w:rsid w:val="1AC53228"/>
    <w:rsid w:val="1AE86432"/>
    <w:rsid w:val="1AF1038D"/>
    <w:rsid w:val="1B0302E1"/>
    <w:rsid w:val="1B184A03"/>
    <w:rsid w:val="1B225312"/>
    <w:rsid w:val="1B2B046C"/>
    <w:rsid w:val="1B715091"/>
    <w:rsid w:val="1B956087"/>
    <w:rsid w:val="1BB03C7D"/>
    <w:rsid w:val="1C406F60"/>
    <w:rsid w:val="1C63126D"/>
    <w:rsid w:val="1C6E5335"/>
    <w:rsid w:val="1C710A47"/>
    <w:rsid w:val="1CD501DC"/>
    <w:rsid w:val="1CDA2465"/>
    <w:rsid w:val="1CFB4B37"/>
    <w:rsid w:val="1D184449"/>
    <w:rsid w:val="1D1F18D5"/>
    <w:rsid w:val="1D2C4787"/>
    <w:rsid w:val="1D927484"/>
    <w:rsid w:val="1D985D1B"/>
    <w:rsid w:val="1DC5605B"/>
    <w:rsid w:val="1DCB19EE"/>
    <w:rsid w:val="1DD5162B"/>
    <w:rsid w:val="1DDC753D"/>
    <w:rsid w:val="1DF11C2D"/>
    <w:rsid w:val="1E1D39B2"/>
    <w:rsid w:val="1E302A17"/>
    <w:rsid w:val="1E5C12DD"/>
    <w:rsid w:val="1E9736B6"/>
    <w:rsid w:val="1EA31661"/>
    <w:rsid w:val="1EA374D2"/>
    <w:rsid w:val="1EA93C52"/>
    <w:rsid w:val="1EB573ED"/>
    <w:rsid w:val="1EC34C0E"/>
    <w:rsid w:val="1EDB09B6"/>
    <w:rsid w:val="1F5E7C06"/>
    <w:rsid w:val="1F9A41E7"/>
    <w:rsid w:val="1F9D617C"/>
    <w:rsid w:val="1FA30C76"/>
    <w:rsid w:val="20083FA6"/>
    <w:rsid w:val="203F6EF4"/>
    <w:rsid w:val="20514F36"/>
    <w:rsid w:val="20857668"/>
    <w:rsid w:val="208D4A74"/>
    <w:rsid w:val="20967902"/>
    <w:rsid w:val="20A943A5"/>
    <w:rsid w:val="20E45483"/>
    <w:rsid w:val="20E9190B"/>
    <w:rsid w:val="20F4571D"/>
    <w:rsid w:val="20FE5B5E"/>
    <w:rsid w:val="210F3FE9"/>
    <w:rsid w:val="212A4B8F"/>
    <w:rsid w:val="21725D08"/>
    <w:rsid w:val="217462FC"/>
    <w:rsid w:val="21772473"/>
    <w:rsid w:val="21A345BC"/>
    <w:rsid w:val="22605C74"/>
    <w:rsid w:val="22636CC0"/>
    <w:rsid w:val="229E1B05"/>
    <w:rsid w:val="22D96C90"/>
    <w:rsid w:val="22F03CA3"/>
    <w:rsid w:val="231A4A0C"/>
    <w:rsid w:val="233A33D9"/>
    <w:rsid w:val="23C47ABA"/>
    <w:rsid w:val="23DB76DF"/>
    <w:rsid w:val="23E14E6C"/>
    <w:rsid w:val="23F90566"/>
    <w:rsid w:val="243A0D7D"/>
    <w:rsid w:val="243E6375"/>
    <w:rsid w:val="24586344"/>
    <w:rsid w:val="24772DE1"/>
    <w:rsid w:val="247A3D65"/>
    <w:rsid w:val="2492142B"/>
    <w:rsid w:val="2494490F"/>
    <w:rsid w:val="24A81A41"/>
    <w:rsid w:val="24D14774"/>
    <w:rsid w:val="24FC68BD"/>
    <w:rsid w:val="25150476"/>
    <w:rsid w:val="253357AE"/>
    <w:rsid w:val="25621AE5"/>
    <w:rsid w:val="257D0110"/>
    <w:rsid w:val="257E230E"/>
    <w:rsid w:val="258D5776"/>
    <w:rsid w:val="25946700"/>
    <w:rsid w:val="25B4606C"/>
    <w:rsid w:val="25BE3581"/>
    <w:rsid w:val="25D17B9A"/>
    <w:rsid w:val="26097A44"/>
    <w:rsid w:val="260D2746"/>
    <w:rsid w:val="260F4385"/>
    <w:rsid w:val="26215F4F"/>
    <w:rsid w:val="265832F6"/>
    <w:rsid w:val="267B565F"/>
    <w:rsid w:val="268663C4"/>
    <w:rsid w:val="268F6063"/>
    <w:rsid w:val="26C86E2D"/>
    <w:rsid w:val="27065470"/>
    <w:rsid w:val="27423528"/>
    <w:rsid w:val="27561C28"/>
    <w:rsid w:val="278E22F8"/>
    <w:rsid w:val="27C17045"/>
    <w:rsid w:val="27C55A4B"/>
    <w:rsid w:val="27D6111F"/>
    <w:rsid w:val="27EE3B66"/>
    <w:rsid w:val="28044637"/>
    <w:rsid w:val="281C6DB3"/>
    <w:rsid w:val="283A128D"/>
    <w:rsid w:val="283B7EEC"/>
    <w:rsid w:val="283C2212"/>
    <w:rsid w:val="28477CB1"/>
    <w:rsid w:val="28725357"/>
    <w:rsid w:val="28A241A2"/>
    <w:rsid w:val="28B356D4"/>
    <w:rsid w:val="28BD776A"/>
    <w:rsid w:val="28DE7285"/>
    <w:rsid w:val="294F0C22"/>
    <w:rsid w:val="29521D5A"/>
    <w:rsid w:val="29AC5E24"/>
    <w:rsid w:val="2A172D9D"/>
    <w:rsid w:val="2A2953D2"/>
    <w:rsid w:val="2A3D51DB"/>
    <w:rsid w:val="2A5749FC"/>
    <w:rsid w:val="2A7111FA"/>
    <w:rsid w:val="2A73489F"/>
    <w:rsid w:val="2AFB0A91"/>
    <w:rsid w:val="2BBE0AC6"/>
    <w:rsid w:val="2BC32A58"/>
    <w:rsid w:val="2BE17E82"/>
    <w:rsid w:val="2C1218DE"/>
    <w:rsid w:val="2C637406"/>
    <w:rsid w:val="2C8E2D6E"/>
    <w:rsid w:val="2CA433CB"/>
    <w:rsid w:val="2CDE76A8"/>
    <w:rsid w:val="2D0C1AF6"/>
    <w:rsid w:val="2D1D71A5"/>
    <w:rsid w:val="2D230920"/>
    <w:rsid w:val="2D703F76"/>
    <w:rsid w:val="2DCD6330"/>
    <w:rsid w:val="2DD611BE"/>
    <w:rsid w:val="2DF0015C"/>
    <w:rsid w:val="2DFD143D"/>
    <w:rsid w:val="2E001109"/>
    <w:rsid w:val="2E021634"/>
    <w:rsid w:val="2E02739C"/>
    <w:rsid w:val="2E3118D8"/>
    <w:rsid w:val="2E3C3575"/>
    <w:rsid w:val="2E4009A6"/>
    <w:rsid w:val="2E7873B4"/>
    <w:rsid w:val="2EC44DB8"/>
    <w:rsid w:val="2EC8145A"/>
    <w:rsid w:val="2EDA686E"/>
    <w:rsid w:val="2F264CBE"/>
    <w:rsid w:val="2F8D7364"/>
    <w:rsid w:val="2FBB4B44"/>
    <w:rsid w:val="2FBB4D1E"/>
    <w:rsid w:val="2FBD2D9D"/>
    <w:rsid w:val="2FD83C4E"/>
    <w:rsid w:val="2FED4468"/>
    <w:rsid w:val="30372D0E"/>
    <w:rsid w:val="3060213F"/>
    <w:rsid w:val="30790154"/>
    <w:rsid w:val="308B658D"/>
    <w:rsid w:val="30933641"/>
    <w:rsid w:val="309A4933"/>
    <w:rsid w:val="30F062F4"/>
    <w:rsid w:val="30FA096F"/>
    <w:rsid w:val="30FE2A72"/>
    <w:rsid w:val="310A065B"/>
    <w:rsid w:val="31184CE2"/>
    <w:rsid w:val="314F5F82"/>
    <w:rsid w:val="31507277"/>
    <w:rsid w:val="31817AB0"/>
    <w:rsid w:val="31B7469D"/>
    <w:rsid w:val="31B8682A"/>
    <w:rsid w:val="31C85C3C"/>
    <w:rsid w:val="320F2F73"/>
    <w:rsid w:val="321D73DF"/>
    <w:rsid w:val="324F1398"/>
    <w:rsid w:val="32853251"/>
    <w:rsid w:val="3295408B"/>
    <w:rsid w:val="329B3A16"/>
    <w:rsid w:val="32BD43E9"/>
    <w:rsid w:val="32CC41E5"/>
    <w:rsid w:val="33265445"/>
    <w:rsid w:val="33301B34"/>
    <w:rsid w:val="3334290F"/>
    <w:rsid w:val="33396D97"/>
    <w:rsid w:val="33AA283A"/>
    <w:rsid w:val="33C24ADF"/>
    <w:rsid w:val="33C96774"/>
    <w:rsid w:val="33CA2E03"/>
    <w:rsid w:val="33CA6686"/>
    <w:rsid w:val="33D64697"/>
    <w:rsid w:val="33DF3A79"/>
    <w:rsid w:val="33F411EC"/>
    <w:rsid w:val="340020E4"/>
    <w:rsid w:val="340A7470"/>
    <w:rsid w:val="34137014"/>
    <w:rsid w:val="3424001A"/>
    <w:rsid w:val="343F5426"/>
    <w:rsid w:val="344A5E65"/>
    <w:rsid w:val="34677809"/>
    <w:rsid w:val="348722BC"/>
    <w:rsid w:val="34A50E97"/>
    <w:rsid w:val="34B537C5"/>
    <w:rsid w:val="34BA5F8F"/>
    <w:rsid w:val="34C5219B"/>
    <w:rsid w:val="35067CBB"/>
    <w:rsid w:val="3511441F"/>
    <w:rsid w:val="351404BF"/>
    <w:rsid w:val="351C16A6"/>
    <w:rsid w:val="354016EB"/>
    <w:rsid w:val="355203DF"/>
    <w:rsid w:val="35584B93"/>
    <w:rsid w:val="355C43F8"/>
    <w:rsid w:val="355E0625"/>
    <w:rsid w:val="359F29EC"/>
    <w:rsid w:val="35A5140F"/>
    <w:rsid w:val="35C13D44"/>
    <w:rsid w:val="35DA5DD0"/>
    <w:rsid w:val="35DF0194"/>
    <w:rsid w:val="3605272D"/>
    <w:rsid w:val="36104342"/>
    <w:rsid w:val="363E0309"/>
    <w:rsid w:val="36820DFD"/>
    <w:rsid w:val="368C6A1D"/>
    <w:rsid w:val="369B3F26"/>
    <w:rsid w:val="36B10648"/>
    <w:rsid w:val="36B260C9"/>
    <w:rsid w:val="36BC0203"/>
    <w:rsid w:val="36CC4280"/>
    <w:rsid w:val="36D60888"/>
    <w:rsid w:val="36E36898"/>
    <w:rsid w:val="36E6529F"/>
    <w:rsid w:val="36EC6E3D"/>
    <w:rsid w:val="36FB3F3F"/>
    <w:rsid w:val="37A7792E"/>
    <w:rsid w:val="37B247C4"/>
    <w:rsid w:val="37E223D7"/>
    <w:rsid w:val="38822AC1"/>
    <w:rsid w:val="38DF4D59"/>
    <w:rsid w:val="38FC4989"/>
    <w:rsid w:val="392C3BCF"/>
    <w:rsid w:val="394047BA"/>
    <w:rsid w:val="39577622"/>
    <w:rsid w:val="39626A70"/>
    <w:rsid w:val="3997040B"/>
    <w:rsid w:val="39B479BB"/>
    <w:rsid w:val="39BA18C5"/>
    <w:rsid w:val="39BB29F6"/>
    <w:rsid w:val="39C90465"/>
    <w:rsid w:val="39D3654B"/>
    <w:rsid w:val="39DA0497"/>
    <w:rsid w:val="39DD23A8"/>
    <w:rsid w:val="39FD7407"/>
    <w:rsid w:val="3A091644"/>
    <w:rsid w:val="3A1B4DE1"/>
    <w:rsid w:val="3A1C2863"/>
    <w:rsid w:val="3A721073"/>
    <w:rsid w:val="3AC72CFB"/>
    <w:rsid w:val="3ACC4C05"/>
    <w:rsid w:val="3ADA6DC5"/>
    <w:rsid w:val="3AE138A5"/>
    <w:rsid w:val="3AE57D2D"/>
    <w:rsid w:val="3AF21234"/>
    <w:rsid w:val="3AFD7C7C"/>
    <w:rsid w:val="3B4A44F0"/>
    <w:rsid w:val="3B801A1C"/>
    <w:rsid w:val="3B916C94"/>
    <w:rsid w:val="3B9620CF"/>
    <w:rsid w:val="3B980E56"/>
    <w:rsid w:val="3BB41303"/>
    <w:rsid w:val="3BC14218"/>
    <w:rsid w:val="3BD76CB6"/>
    <w:rsid w:val="3BEE0C09"/>
    <w:rsid w:val="3C3C60E0"/>
    <w:rsid w:val="3C3D7F16"/>
    <w:rsid w:val="3C6162D3"/>
    <w:rsid w:val="3C6472A5"/>
    <w:rsid w:val="3C683B38"/>
    <w:rsid w:val="3C815550"/>
    <w:rsid w:val="3CA449FA"/>
    <w:rsid w:val="3CAD688D"/>
    <w:rsid w:val="3CBC637F"/>
    <w:rsid w:val="3CCD3451"/>
    <w:rsid w:val="3CCE1126"/>
    <w:rsid w:val="3CE04670"/>
    <w:rsid w:val="3D145DC3"/>
    <w:rsid w:val="3D19224B"/>
    <w:rsid w:val="3D3C113C"/>
    <w:rsid w:val="3D7B6A6D"/>
    <w:rsid w:val="3DB94353"/>
    <w:rsid w:val="3E060BCF"/>
    <w:rsid w:val="3E145966"/>
    <w:rsid w:val="3E2326FD"/>
    <w:rsid w:val="3E430A34"/>
    <w:rsid w:val="3E7F2E17"/>
    <w:rsid w:val="3EB562F9"/>
    <w:rsid w:val="3F4B59E3"/>
    <w:rsid w:val="3F61340A"/>
    <w:rsid w:val="3F620E8B"/>
    <w:rsid w:val="3FF14C23"/>
    <w:rsid w:val="400C5FCD"/>
    <w:rsid w:val="40120C1F"/>
    <w:rsid w:val="40291830"/>
    <w:rsid w:val="40326918"/>
    <w:rsid w:val="40360E64"/>
    <w:rsid w:val="403D6F42"/>
    <w:rsid w:val="406712EA"/>
    <w:rsid w:val="406903B9"/>
    <w:rsid w:val="40877969"/>
    <w:rsid w:val="408F27F7"/>
    <w:rsid w:val="40964327"/>
    <w:rsid w:val="40975D51"/>
    <w:rsid w:val="40A979B8"/>
    <w:rsid w:val="40C17CBA"/>
    <w:rsid w:val="40E56385"/>
    <w:rsid w:val="40F51503"/>
    <w:rsid w:val="40F70F22"/>
    <w:rsid w:val="40F94425"/>
    <w:rsid w:val="40FC3DE3"/>
    <w:rsid w:val="412255E9"/>
    <w:rsid w:val="4135208B"/>
    <w:rsid w:val="414C1CB1"/>
    <w:rsid w:val="415F37D2"/>
    <w:rsid w:val="416723E8"/>
    <w:rsid w:val="4170316A"/>
    <w:rsid w:val="41812468"/>
    <w:rsid w:val="418F3A1F"/>
    <w:rsid w:val="41A111D1"/>
    <w:rsid w:val="41BF0EBD"/>
    <w:rsid w:val="41F33743"/>
    <w:rsid w:val="42045702"/>
    <w:rsid w:val="42752A18"/>
    <w:rsid w:val="42902094"/>
    <w:rsid w:val="429A3C5A"/>
    <w:rsid w:val="42FE5942"/>
    <w:rsid w:val="43505BFE"/>
    <w:rsid w:val="439E7182"/>
    <w:rsid w:val="43A169EA"/>
    <w:rsid w:val="43AF724C"/>
    <w:rsid w:val="43ED34FE"/>
    <w:rsid w:val="43EF1957"/>
    <w:rsid w:val="43F14D5A"/>
    <w:rsid w:val="43F82B94"/>
    <w:rsid w:val="43FE121A"/>
    <w:rsid w:val="44127CA3"/>
    <w:rsid w:val="44901759"/>
    <w:rsid w:val="44B71CCD"/>
    <w:rsid w:val="44CE606F"/>
    <w:rsid w:val="44F76452"/>
    <w:rsid w:val="44FC5BF6"/>
    <w:rsid w:val="45271F81"/>
    <w:rsid w:val="453B1E0D"/>
    <w:rsid w:val="453D3AB4"/>
    <w:rsid w:val="454350E2"/>
    <w:rsid w:val="454C693D"/>
    <w:rsid w:val="458E4192"/>
    <w:rsid w:val="45AB761C"/>
    <w:rsid w:val="45AE17EF"/>
    <w:rsid w:val="45B24C36"/>
    <w:rsid w:val="45CA500D"/>
    <w:rsid w:val="45E745BD"/>
    <w:rsid w:val="45F27F3A"/>
    <w:rsid w:val="45FE0286"/>
    <w:rsid w:val="461978DE"/>
    <w:rsid w:val="46362E3E"/>
    <w:rsid w:val="46456C98"/>
    <w:rsid w:val="465F0D84"/>
    <w:rsid w:val="468D1112"/>
    <w:rsid w:val="469C2DE7"/>
    <w:rsid w:val="46A55C75"/>
    <w:rsid w:val="46B324FE"/>
    <w:rsid w:val="46D973C9"/>
    <w:rsid w:val="473D738F"/>
    <w:rsid w:val="474234D4"/>
    <w:rsid w:val="47783C39"/>
    <w:rsid w:val="47BD53BF"/>
    <w:rsid w:val="47C4311A"/>
    <w:rsid w:val="47EC5F8C"/>
    <w:rsid w:val="47EC7861"/>
    <w:rsid w:val="47F210DA"/>
    <w:rsid w:val="48311D25"/>
    <w:rsid w:val="484A14F8"/>
    <w:rsid w:val="488B4811"/>
    <w:rsid w:val="48D40488"/>
    <w:rsid w:val="48DC04F2"/>
    <w:rsid w:val="48E2466A"/>
    <w:rsid w:val="48E43FA6"/>
    <w:rsid w:val="48E649AE"/>
    <w:rsid w:val="490663DE"/>
    <w:rsid w:val="490E44E2"/>
    <w:rsid w:val="494B13CC"/>
    <w:rsid w:val="49561283"/>
    <w:rsid w:val="4956775D"/>
    <w:rsid w:val="495A0BF9"/>
    <w:rsid w:val="49A92ABD"/>
    <w:rsid w:val="49B307F1"/>
    <w:rsid w:val="49C0138A"/>
    <w:rsid w:val="49C8201A"/>
    <w:rsid w:val="49E86046"/>
    <w:rsid w:val="49F4305D"/>
    <w:rsid w:val="49FD6C71"/>
    <w:rsid w:val="4A056571"/>
    <w:rsid w:val="4A346E6B"/>
    <w:rsid w:val="4A962948"/>
    <w:rsid w:val="4AA511E4"/>
    <w:rsid w:val="4AB7159A"/>
    <w:rsid w:val="4B116439"/>
    <w:rsid w:val="4B23657B"/>
    <w:rsid w:val="4B874579"/>
    <w:rsid w:val="4BA74AAE"/>
    <w:rsid w:val="4BD715A2"/>
    <w:rsid w:val="4C056156"/>
    <w:rsid w:val="4C1B2982"/>
    <w:rsid w:val="4C28087F"/>
    <w:rsid w:val="4C6D3572"/>
    <w:rsid w:val="4C891FD4"/>
    <w:rsid w:val="4CC12FFC"/>
    <w:rsid w:val="4D08596F"/>
    <w:rsid w:val="4D4B18DC"/>
    <w:rsid w:val="4D5F637E"/>
    <w:rsid w:val="4D6F6B81"/>
    <w:rsid w:val="4DB60F8B"/>
    <w:rsid w:val="4DB76A0C"/>
    <w:rsid w:val="4E0761DA"/>
    <w:rsid w:val="4E0C1CA8"/>
    <w:rsid w:val="4E233B3D"/>
    <w:rsid w:val="4E740A62"/>
    <w:rsid w:val="4EEB3586"/>
    <w:rsid w:val="4F1634D1"/>
    <w:rsid w:val="4F3A6B88"/>
    <w:rsid w:val="4F4D1D57"/>
    <w:rsid w:val="4F64363B"/>
    <w:rsid w:val="4F6841D5"/>
    <w:rsid w:val="4F951821"/>
    <w:rsid w:val="4FB06CB9"/>
    <w:rsid w:val="4FE06F90"/>
    <w:rsid w:val="4FF44F30"/>
    <w:rsid w:val="504B4C44"/>
    <w:rsid w:val="509E4251"/>
    <w:rsid w:val="50C03390"/>
    <w:rsid w:val="50DB0DCA"/>
    <w:rsid w:val="50EC1001"/>
    <w:rsid w:val="510E7D88"/>
    <w:rsid w:val="51177359"/>
    <w:rsid w:val="5149520B"/>
    <w:rsid w:val="51501AF7"/>
    <w:rsid w:val="517F4BC4"/>
    <w:rsid w:val="518E5FF2"/>
    <w:rsid w:val="51981E3E"/>
    <w:rsid w:val="51B526C6"/>
    <w:rsid w:val="51C71BE5"/>
    <w:rsid w:val="51F7568B"/>
    <w:rsid w:val="523D047A"/>
    <w:rsid w:val="52AA745B"/>
    <w:rsid w:val="52B508CE"/>
    <w:rsid w:val="531741C0"/>
    <w:rsid w:val="53335E7F"/>
    <w:rsid w:val="536C7505"/>
    <w:rsid w:val="53CF3F6C"/>
    <w:rsid w:val="53FA595A"/>
    <w:rsid w:val="53FC4219"/>
    <w:rsid w:val="540632E9"/>
    <w:rsid w:val="540909EB"/>
    <w:rsid w:val="542258CB"/>
    <w:rsid w:val="54497256"/>
    <w:rsid w:val="546B1FBF"/>
    <w:rsid w:val="54791FA3"/>
    <w:rsid w:val="5492111A"/>
    <w:rsid w:val="54CA0BC8"/>
    <w:rsid w:val="54E106CE"/>
    <w:rsid w:val="54EA355C"/>
    <w:rsid w:val="54FA15F8"/>
    <w:rsid w:val="550979AB"/>
    <w:rsid w:val="55282D0C"/>
    <w:rsid w:val="552B1DC7"/>
    <w:rsid w:val="552F223C"/>
    <w:rsid w:val="55434EEF"/>
    <w:rsid w:val="554738F5"/>
    <w:rsid w:val="55A64F94"/>
    <w:rsid w:val="55BF4839"/>
    <w:rsid w:val="55C82F4A"/>
    <w:rsid w:val="55DC303D"/>
    <w:rsid w:val="55E75F56"/>
    <w:rsid w:val="5617074A"/>
    <w:rsid w:val="565A7BD6"/>
    <w:rsid w:val="56725D0F"/>
    <w:rsid w:val="567B29ED"/>
    <w:rsid w:val="567C3A6D"/>
    <w:rsid w:val="567C5D64"/>
    <w:rsid w:val="569A4EB6"/>
    <w:rsid w:val="56AE5501"/>
    <w:rsid w:val="56DE63BA"/>
    <w:rsid w:val="57395E08"/>
    <w:rsid w:val="573B502A"/>
    <w:rsid w:val="575C02E5"/>
    <w:rsid w:val="576A3661"/>
    <w:rsid w:val="57BD683E"/>
    <w:rsid w:val="57F46B2C"/>
    <w:rsid w:val="582F7675"/>
    <w:rsid w:val="583120BF"/>
    <w:rsid w:val="5844591E"/>
    <w:rsid w:val="585C6E34"/>
    <w:rsid w:val="58712075"/>
    <w:rsid w:val="589931A7"/>
    <w:rsid w:val="589C176E"/>
    <w:rsid w:val="58BB7DD1"/>
    <w:rsid w:val="58C87B40"/>
    <w:rsid w:val="58D10943"/>
    <w:rsid w:val="58EB59C1"/>
    <w:rsid w:val="59130C6B"/>
    <w:rsid w:val="59143AB0"/>
    <w:rsid w:val="59163636"/>
    <w:rsid w:val="5940227C"/>
    <w:rsid w:val="59C67F57"/>
    <w:rsid w:val="59CE2DE5"/>
    <w:rsid w:val="59D2463F"/>
    <w:rsid w:val="59DC7549"/>
    <w:rsid w:val="59E6048B"/>
    <w:rsid w:val="59FD00B1"/>
    <w:rsid w:val="5A1225D4"/>
    <w:rsid w:val="5A2D6FE6"/>
    <w:rsid w:val="5A384A12"/>
    <w:rsid w:val="5A4C14B5"/>
    <w:rsid w:val="5A4D1A8E"/>
    <w:rsid w:val="5A653E87"/>
    <w:rsid w:val="5A825D4D"/>
    <w:rsid w:val="5AB008E9"/>
    <w:rsid w:val="5AB4650B"/>
    <w:rsid w:val="5B1558C6"/>
    <w:rsid w:val="5B171E82"/>
    <w:rsid w:val="5B1A473F"/>
    <w:rsid w:val="5B307664"/>
    <w:rsid w:val="5B392037"/>
    <w:rsid w:val="5B607CF8"/>
    <w:rsid w:val="5B691D27"/>
    <w:rsid w:val="5B9062C9"/>
    <w:rsid w:val="5BA0525E"/>
    <w:rsid w:val="5BB841A1"/>
    <w:rsid w:val="5BF81170"/>
    <w:rsid w:val="5C060486"/>
    <w:rsid w:val="5C0B7D88"/>
    <w:rsid w:val="5C127B1C"/>
    <w:rsid w:val="5C217E2B"/>
    <w:rsid w:val="5C402BE9"/>
    <w:rsid w:val="5C502084"/>
    <w:rsid w:val="5C547642"/>
    <w:rsid w:val="5C74653B"/>
    <w:rsid w:val="5C951096"/>
    <w:rsid w:val="5CC26747"/>
    <w:rsid w:val="5CCB5804"/>
    <w:rsid w:val="5D055E2A"/>
    <w:rsid w:val="5D1237BA"/>
    <w:rsid w:val="5D3E3A06"/>
    <w:rsid w:val="5D3F4612"/>
    <w:rsid w:val="5D6072B8"/>
    <w:rsid w:val="5D7209DD"/>
    <w:rsid w:val="5D9F600A"/>
    <w:rsid w:val="5D9F6029"/>
    <w:rsid w:val="5DA424B0"/>
    <w:rsid w:val="5DA96938"/>
    <w:rsid w:val="5DB37248"/>
    <w:rsid w:val="5DEC163E"/>
    <w:rsid w:val="5DFF18C5"/>
    <w:rsid w:val="5E1E5EED"/>
    <w:rsid w:val="5E230800"/>
    <w:rsid w:val="5E723E03"/>
    <w:rsid w:val="5E797F0A"/>
    <w:rsid w:val="5EBD6230"/>
    <w:rsid w:val="5EC37085"/>
    <w:rsid w:val="5EF54F26"/>
    <w:rsid w:val="5F166979"/>
    <w:rsid w:val="5F2B57AF"/>
    <w:rsid w:val="5F357D99"/>
    <w:rsid w:val="5F584042"/>
    <w:rsid w:val="5F5D33C9"/>
    <w:rsid w:val="5F744CAA"/>
    <w:rsid w:val="5F7B254E"/>
    <w:rsid w:val="5F976163"/>
    <w:rsid w:val="5FEA016C"/>
    <w:rsid w:val="600141D5"/>
    <w:rsid w:val="601312D0"/>
    <w:rsid w:val="601A0A51"/>
    <w:rsid w:val="6025381A"/>
    <w:rsid w:val="602D5509"/>
    <w:rsid w:val="60597AB8"/>
    <w:rsid w:val="605E48A8"/>
    <w:rsid w:val="606B5927"/>
    <w:rsid w:val="60FD0F2E"/>
    <w:rsid w:val="6127639D"/>
    <w:rsid w:val="612C3FFB"/>
    <w:rsid w:val="61450BF4"/>
    <w:rsid w:val="61700C15"/>
    <w:rsid w:val="61724770"/>
    <w:rsid w:val="617B3B4B"/>
    <w:rsid w:val="619C7B32"/>
    <w:rsid w:val="61A86BF9"/>
    <w:rsid w:val="61A9192A"/>
    <w:rsid w:val="61D14789"/>
    <w:rsid w:val="61EA71D7"/>
    <w:rsid w:val="61F50D42"/>
    <w:rsid w:val="61FD1537"/>
    <w:rsid w:val="62174FE9"/>
    <w:rsid w:val="62705C60"/>
    <w:rsid w:val="62782028"/>
    <w:rsid w:val="62C94D21"/>
    <w:rsid w:val="631E099A"/>
    <w:rsid w:val="631E1955"/>
    <w:rsid w:val="63716434"/>
    <w:rsid w:val="637F4381"/>
    <w:rsid w:val="63900EC0"/>
    <w:rsid w:val="639373B0"/>
    <w:rsid w:val="63C73097"/>
    <w:rsid w:val="6436150E"/>
    <w:rsid w:val="64520AD8"/>
    <w:rsid w:val="64901078"/>
    <w:rsid w:val="64E30D2A"/>
    <w:rsid w:val="64F17BAA"/>
    <w:rsid w:val="650D70E9"/>
    <w:rsid w:val="652D1F8D"/>
    <w:rsid w:val="65320613"/>
    <w:rsid w:val="654F179D"/>
    <w:rsid w:val="65525C0E"/>
    <w:rsid w:val="65570BC6"/>
    <w:rsid w:val="65665947"/>
    <w:rsid w:val="659D1048"/>
    <w:rsid w:val="65AC27E1"/>
    <w:rsid w:val="65B85280"/>
    <w:rsid w:val="65C37F02"/>
    <w:rsid w:val="65DB55A9"/>
    <w:rsid w:val="66063E6E"/>
    <w:rsid w:val="66082BF5"/>
    <w:rsid w:val="66782EA9"/>
    <w:rsid w:val="66792A12"/>
    <w:rsid w:val="66BF52C6"/>
    <w:rsid w:val="67703B5C"/>
    <w:rsid w:val="67704FFC"/>
    <w:rsid w:val="678D79C8"/>
    <w:rsid w:val="67A4124C"/>
    <w:rsid w:val="67C25DBB"/>
    <w:rsid w:val="67E027FB"/>
    <w:rsid w:val="682C18B3"/>
    <w:rsid w:val="683F2D3D"/>
    <w:rsid w:val="686065CC"/>
    <w:rsid w:val="68736BDE"/>
    <w:rsid w:val="688E234D"/>
    <w:rsid w:val="68976726"/>
    <w:rsid w:val="68BA7261"/>
    <w:rsid w:val="68CB5C7C"/>
    <w:rsid w:val="68CF2103"/>
    <w:rsid w:val="68DC0114"/>
    <w:rsid w:val="68E264CD"/>
    <w:rsid w:val="68E65C61"/>
    <w:rsid w:val="68FE5C6A"/>
    <w:rsid w:val="691F54E0"/>
    <w:rsid w:val="6946136F"/>
    <w:rsid w:val="698C415F"/>
    <w:rsid w:val="699121C1"/>
    <w:rsid w:val="69D132AC"/>
    <w:rsid w:val="69EC510C"/>
    <w:rsid w:val="69F6025A"/>
    <w:rsid w:val="69F75A4C"/>
    <w:rsid w:val="6A420834"/>
    <w:rsid w:val="6A5F551F"/>
    <w:rsid w:val="6A6B3E5F"/>
    <w:rsid w:val="6A713A2E"/>
    <w:rsid w:val="6A771266"/>
    <w:rsid w:val="6A8E625A"/>
    <w:rsid w:val="6A974275"/>
    <w:rsid w:val="6A9920CB"/>
    <w:rsid w:val="6AD3024F"/>
    <w:rsid w:val="6B0777A4"/>
    <w:rsid w:val="6B161FBD"/>
    <w:rsid w:val="6B3417EA"/>
    <w:rsid w:val="6B3A6EA4"/>
    <w:rsid w:val="6B8306A8"/>
    <w:rsid w:val="6B95030D"/>
    <w:rsid w:val="6BB63ADA"/>
    <w:rsid w:val="6BE148B2"/>
    <w:rsid w:val="6BEF1CA0"/>
    <w:rsid w:val="6C21592D"/>
    <w:rsid w:val="6C2B055A"/>
    <w:rsid w:val="6C425763"/>
    <w:rsid w:val="6C5968AA"/>
    <w:rsid w:val="6C5A3D3E"/>
    <w:rsid w:val="6CC232FE"/>
    <w:rsid w:val="6CC42F7D"/>
    <w:rsid w:val="6CF621A5"/>
    <w:rsid w:val="6D016666"/>
    <w:rsid w:val="6D8668BF"/>
    <w:rsid w:val="6D8F394B"/>
    <w:rsid w:val="6DA63570"/>
    <w:rsid w:val="6DFD7802"/>
    <w:rsid w:val="6E0701F5"/>
    <w:rsid w:val="6E0F0C02"/>
    <w:rsid w:val="6E136122"/>
    <w:rsid w:val="6E2D2550"/>
    <w:rsid w:val="6E3C5214"/>
    <w:rsid w:val="6E4F0506"/>
    <w:rsid w:val="6E68362E"/>
    <w:rsid w:val="6E6C7DCD"/>
    <w:rsid w:val="6E917142"/>
    <w:rsid w:val="6EBA5637"/>
    <w:rsid w:val="6EC52F1B"/>
    <w:rsid w:val="6EDD78A9"/>
    <w:rsid w:val="6EEE7896"/>
    <w:rsid w:val="6EF00D5B"/>
    <w:rsid w:val="6F2D0760"/>
    <w:rsid w:val="6F416855"/>
    <w:rsid w:val="6F770CEC"/>
    <w:rsid w:val="6F953288"/>
    <w:rsid w:val="6FCF2E07"/>
    <w:rsid w:val="6FF30BB6"/>
    <w:rsid w:val="70206203"/>
    <w:rsid w:val="70244C09"/>
    <w:rsid w:val="70340726"/>
    <w:rsid w:val="708C3333"/>
    <w:rsid w:val="70A17F91"/>
    <w:rsid w:val="70A20D5A"/>
    <w:rsid w:val="70E008AB"/>
    <w:rsid w:val="70E87B78"/>
    <w:rsid w:val="70ED59FA"/>
    <w:rsid w:val="71005E22"/>
    <w:rsid w:val="712170AA"/>
    <w:rsid w:val="71AA1F21"/>
    <w:rsid w:val="71B47ED3"/>
    <w:rsid w:val="71D72EB8"/>
    <w:rsid w:val="71DF6349"/>
    <w:rsid w:val="71E93270"/>
    <w:rsid w:val="722978DD"/>
    <w:rsid w:val="7246140B"/>
    <w:rsid w:val="72512000"/>
    <w:rsid w:val="729B3093"/>
    <w:rsid w:val="72AF11DE"/>
    <w:rsid w:val="72D37790"/>
    <w:rsid w:val="72D850F7"/>
    <w:rsid w:val="72DF209E"/>
    <w:rsid w:val="72E93067"/>
    <w:rsid w:val="73054101"/>
    <w:rsid w:val="732267F0"/>
    <w:rsid w:val="73341F8D"/>
    <w:rsid w:val="73534679"/>
    <w:rsid w:val="73665E26"/>
    <w:rsid w:val="738E1D7D"/>
    <w:rsid w:val="73BD4470"/>
    <w:rsid w:val="74214695"/>
    <w:rsid w:val="74343D24"/>
    <w:rsid w:val="74503106"/>
    <w:rsid w:val="745A55F3"/>
    <w:rsid w:val="746C550D"/>
    <w:rsid w:val="747A00A6"/>
    <w:rsid w:val="747E4FB8"/>
    <w:rsid w:val="74A46A16"/>
    <w:rsid w:val="74BE0D21"/>
    <w:rsid w:val="74F841F7"/>
    <w:rsid w:val="75181CE2"/>
    <w:rsid w:val="75291FBC"/>
    <w:rsid w:val="752A2448"/>
    <w:rsid w:val="7571063E"/>
    <w:rsid w:val="75741BE7"/>
    <w:rsid w:val="75845FDA"/>
    <w:rsid w:val="7591552A"/>
    <w:rsid w:val="75CE4A51"/>
    <w:rsid w:val="75DC7CED"/>
    <w:rsid w:val="76047BAD"/>
    <w:rsid w:val="763F670D"/>
    <w:rsid w:val="764F3FFB"/>
    <w:rsid w:val="76652F69"/>
    <w:rsid w:val="7670535F"/>
    <w:rsid w:val="76731DBD"/>
    <w:rsid w:val="76897B19"/>
    <w:rsid w:val="76B61BCF"/>
    <w:rsid w:val="76D004E9"/>
    <w:rsid w:val="76EC6D39"/>
    <w:rsid w:val="77062342"/>
    <w:rsid w:val="773B56AB"/>
    <w:rsid w:val="774B5945"/>
    <w:rsid w:val="77881F27"/>
    <w:rsid w:val="77901460"/>
    <w:rsid w:val="77BB0F38"/>
    <w:rsid w:val="77CE4DD0"/>
    <w:rsid w:val="77D12D2E"/>
    <w:rsid w:val="77E500C2"/>
    <w:rsid w:val="78270007"/>
    <w:rsid w:val="78376848"/>
    <w:rsid w:val="78480EDD"/>
    <w:rsid w:val="78510E5C"/>
    <w:rsid w:val="78541697"/>
    <w:rsid w:val="786A5D9D"/>
    <w:rsid w:val="78952465"/>
    <w:rsid w:val="78B77F66"/>
    <w:rsid w:val="78C0202A"/>
    <w:rsid w:val="78F349FC"/>
    <w:rsid w:val="796075AF"/>
    <w:rsid w:val="7970626C"/>
    <w:rsid w:val="79972F1A"/>
    <w:rsid w:val="79E7658E"/>
    <w:rsid w:val="79EB3639"/>
    <w:rsid w:val="79EE5F19"/>
    <w:rsid w:val="7A0067EB"/>
    <w:rsid w:val="7A033BF3"/>
    <w:rsid w:val="7A474DE2"/>
    <w:rsid w:val="7A5720C5"/>
    <w:rsid w:val="7A72784E"/>
    <w:rsid w:val="7A8E667D"/>
    <w:rsid w:val="7AAF2356"/>
    <w:rsid w:val="7B0E22CC"/>
    <w:rsid w:val="7B562A30"/>
    <w:rsid w:val="7B5F28F8"/>
    <w:rsid w:val="7B83645A"/>
    <w:rsid w:val="7BC71922"/>
    <w:rsid w:val="7BCD2F2C"/>
    <w:rsid w:val="7C071DCA"/>
    <w:rsid w:val="7C2D3E7B"/>
    <w:rsid w:val="7C3847D9"/>
    <w:rsid w:val="7C3F79E7"/>
    <w:rsid w:val="7C4E386D"/>
    <w:rsid w:val="7C682DAA"/>
    <w:rsid w:val="7CA02F04"/>
    <w:rsid w:val="7CA64E0D"/>
    <w:rsid w:val="7CB00FA0"/>
    <w:rsid w:val="7CCE0550"/>
    <w:rsid w:val="7D0B7528"/>
    <w:rsid w:val="7D1A4DCC"/>
    <w:rsid w:val="7D345976"/>
    <w:rsid w:val="7D6E4856"/>
    <w:rsid w:val="7D86795C"/>
    <w:rsid w:val="7D8D510B"/>
    <w:rsid w:val="7D9237C6"/>
    <w:rsid w:val="7DA861B5"/>
    <w:rsid w:val="7DB85F4F"/>
    <w:rsid w:val="7DE30098"/>
    <w:rsid w:val="7DE84520"/>
    <w:rsid w:val="7DF50742"/>
    <w:rsid w:val="7DF9223C"/>
    <w:rsid w:val="7E0B4A91"/>
    <w:rsid w:val="7E0D3F64"/>
    <w:rsid w:val="7E3C775B"/>
    <w:rsid w:val="7E434EF3"/>
    <w:rsid w:val="7E5D0F7F"/>
    <w:rsid w:val="7E606CD9"/>
    <w:rsid w:val="7E676C27"/>
    <w:rsid w:val="7ED379A0"/>
    <w:rsid w:val="7EF649F8"/>
    <w:rsid w:val="7F0A623D"/>
    <w:rsid w:val="7F127358"/>
    <w:rsid w:val="7F4B1B60"/>
    <w:rsid w:val="7F502D1B"/>
    <w:rsid w:val="7F7052A0"/>
    <w:rsid w:val="7F806F96"/>
    <w:rsid w:val="7F923602"/>
    <w:rsid w:val="7F941FDD"/>
    <w:rsid w:val="7FD21AC2"/>
    <w:rsid w:val="7FF51532"/>
    <w:rsid w:val="7FF9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引用1"/>
    <w:basedOn w:val="1"/>
    <w:next w:val="1"/>
    <w:qFormat/>
    <w:uiPriority w:val="0"/>
    <w:pPr>
      <w:spacing w:before="200" w:after="160"/>
      <w:ind w:left="864" w:right="864"/>
      <w:jc w:val="center"/>
    </w:pPr>
    <w:rPr>
      <w:rFonts w:ascii="Calibri" w:hAnsi="Calibri"/>
      <w:i/>
      <w:iCs/>
      <w:color w:val="3F3F3F"/>
    </w:r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14">
    <w:name w:val="toc 1"/>
    <w:basedOn w:val="1"/>
    <w:next w:val="1"/>
    <w:unhideWhenUsed/>
    <w:qFormat/>
    <w:uiPriority w:val="0"/>
    <w:pPr>
      <w:spacing w:beforeLines="0" w:afterLines="0"/>
    </w:pPr>
    <w:rPr>
      <w:rFonts w:hint="default"/>
      <w:sz w:val="21"/>
      <w:szCs w:val="24"/>
    </w:rPr>
  </w:style>
  <w:style w:type="paragraph" w:styleId="15">
    <w:name w:val="Subtitle"/>
    <w:basedOn w:val="1"/>
    <w:unhideWhenUsed/>
    <w:qFormat/>
    <w:uiPriority w:val="16"/>
    <w:pPr>
      <w:spacing w:beforeLines="0" w:afterLines="0"/>
      <w:jc w:val="center"/>
    </w:pPr>
    <w:rPr>
      <w:rFonts w:hint="default" w:ascii="Arial" w:hAnsi="Arial" w:eastAsia="黑体"/>
      <w:b/>
      <w:sz w:val="48"/>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unhideWhenUsed/>
    <w:qFormat/>
    <w:uiPriority w:val="0"/>
    <w:rPr>
      <w:rFonts w:hint="default"/>
      <w:sz w:val="24"/>
      <w:szCs w:val="24"/>
    </w:rPr>
  </w:style>
  <w:style w:type="paragraph" w:customStyle="1" w:styleId="20">
    <w:name w:val="Char"/>
    <w:basedOn w:val="1"/>
    <w:qFormat/>
    <w:uiPriority w:val="0"/>
    <w:rPr>
      <w:rFonts w:ascii="Arial" w:hAnsi="Arial" w:eastAsia="仿宋_GB2312" w:cs="Arial"/>
      <w:sz w:val="20"/>
      <w:szCs w:val="20"/>
    </w:rPr>
  </w:style>
  <w:style w:type="paragraph" w:customStyle="1" w:styleId="21">
    <w:name w:val="样式1"/>
    <w:basedOn w:val="1"/>
    <w:qFormat/>
    <w:uiPriority w:val="0"/>
    <w:rPr>
      <w:rFonts w:eastAsia="方正仿宋_GBK" w:asciiTheme="minorHAnsi" w:hAnsiTheme="minorHAnsi"/>
      <w:sz w:val="24"/>
    </w:rPr>
  </w:style>
  <w:style w:type="paragraph" w:customStyle="1" w:styleId="22">
    <w:name w:val="样式7"/>
    <w:basedOn w:val="1"/>
    <w:qFormat/>
    <w:uiPriority w:val="0"/>
    <w:rPr>
      <w:rFonts w:eastAsia="方正仿宋_GBK" w:asciiTheme="minorHAnsi" w:hAnsiTheme="minorHAnsi"/>
    </w:rPr>
  </w:style>
  <w:style w:type="paragraph" w:customStyle="1" w:styleId="23">
    <w:name w:val="样式2"/>
    <w:basedOn w:val="8"/>
    <w:next w:val="11"/>
    <w:qFormat/>
    <w:uiPriority w:val="0"/>
    <w:rPr>
      <w:rFonts w:eastAsia="方正仿宋_GBK" w:asciiTheme="minorHAnsi" w:hAnsiTheme="minorHAnsi"/>
    </w:rPr>
  </w:style>
  <w:style w:type="paragraph" w:customStyle="1" w:styleId="24">
    <w:name w:val="样式9"/>
    <w:basedOn w:val="1"/>
    <w:qFormat/>
    <w:uiPriority w:val="0"/>
    <w:rPr>
      <w:rFonts w:ascii="Calibri" w:hAnsi="Calibri" w:eastAsia="方正仿宋_GBK"/>
    </w:rPr>
  </w:style>
  <w:style w:type="paragraph" w:customStyle="1" w:styleId="25">
    <w:name w:val="样式10"/>
    <w:basedOn w:val="1"/>
    <w:qFormat/>
    <w:uiPriority w:val="0"/>
    <w:rPr>
      <w:rFonts w:asciiTheme="minorHAnsi" w:hAnsiTheme="minorHAnsi"/>
    </w:rPr>
  </w:style>
  <w:style w:type="paragraph" w:customStyle="1" w:styleId="26">
    <w:name w:val="列表段落1"/>
    <w:basedOn w:val="1"/>
    <w:qFormat/>
    <w:uiPriority w:val="34"/>
    <w:pPr>
      <w:ind w:firstLine="420" w:firstLineChars="200"/>
    </w:pPr>
  </w:style>
  <w:style w:type="character" w:customStyle="1" w:styleId="27">
    <w:name w:val="font31"/>
    <w:basedOn w:val="18"/>
    <w:qFormat/>
    <w:uiPriority w:val="0"/>
    <w:rPr>
      <w:rFonts w:hint="eastAsia" w:ascii="微软雅黑" w:hAnsi="微软雅黑" w:eastAsia="微软雅黑" w:cs="微软雅黑"/>
      <w:b/>
      <w:bCs/>
      <w:color w:val="000000"/>
      <w:sz w:val="24"/>
      <w:szCs w:val="24"/>
      <w:u w:val="none"/>
    </w:rPr>
  </w:style>
  <w:style w:type="character" w:customStyle="1" w:styleId="28">
    <w:name w:val="font51"/>
    <w:basedOn w:val="18"/>
    <w:qFormat/>
    <w:uiPriority w:val="0"/>
    <w:rPr>
      <w:rFonts w:hint="eastAsia" w:ascii="微软雅黑" w:hAnsi="微软雅黑" w:eastAsia="微软雅黑" w:cs="微软雅黑"/>
      <w:color w:val="000000"/>
      <w:sz w:val="24"/>
      <w:szCs w:val="24"/>
      <w:u w:val="none"/>
    </w:rPr>
  </w:style>
  <w:style w:type="character" w:customStyle="1" w:styleId="29">
    <w:name w:val="font61"/>
    <w:basedOn w:val="18"/>
    <w:qFormat/>
    <w:uiPriority w:val="0"/>
    <w:rPr>
      <w:rFonts w:hint="eastAsia" w:ascii="宋体" w:hAnsi="宋体" w:eastAsia="宋体" w:cs="宋体"/>
      <w:b/>
      <w:bCs/>
      <w:color w:val="000000"/>
      <w:sz w:val="24"/>
      <w:szCs w:val="24"/>
      <w:u w:val="none"/>
    </w:rPr>
  </w:style>
  <w:style w:type="character" w:customStyle="1" w:styleId="30">
    <w:name w:val="font81"/>
    <w:basedOn w:val="18"/>
    <w:qFormat/>
    <w:uiPriority w:val="0"/>
    <w:rPr>
      <w:rFonts w:ascii="Wingdings 2" w:hAnsi="Wingdings 2" w:eastAsia="Wingdings 2" w:cs="Wingdings 2"/>
      <w:color w:val="000000"/>
      <w:sz w:val="24"/>
      <w:szCs w:val="24"/>
      <w:u w:val="none"/>
    </w:rPr>
  </w:style>
  <w:style w:type="character" w:customStyle="1" w:styleId="31">
    <w:name w:val="font91"/>
    <w:basedOn w:val="18"/>
    <w:qFormat/>
    <w:uiPriority w:val="0"/>
    <w:rPr>
      <w:rFonts w:hint="default" w:ascii="Wingdings 2" w:hAnsi="Wingdings 2" w:eastAsia="Wingdings 2" w:cs="Wingdings 2"/>
      <w:b/>
      <w:bCs/>
      <w:color w:val="000000"/>
      <w:sz w:val="24"/>
      <w:szCs w:val="24"/>
      <w:u w:val="none"/>
    </w:rPr>
  </w:style>
  <w:style w:type="character" w:customStyle="1" w:styleId="32">
    <w:name w:val="font21"/>
    <w:basedOn w:val="18"/>
    <w:qFormat/>
    <w:uiPriority w:val="0"/>
    <w:rPr>
      <w:rFonts w:hint="eastAsia" w:ascii="微软雅黑" w:hAnsi="微软雅黑" w:eastAsia="微软雅黑" w:cs="微软雅黑"/>
      <w:color w:val="000000"/>
      <w:sz w:val="24"/>
      <w:szCs w:val="24"/>
      <w:u w:val="none"/>
    </w:rPr>
  </w:style>
  <w:style w:type="character" w:customStyle="1" w:styleId="33">
    <w:name w:val="font71"/>
    <w:basedOn w:val="18"/>
    <w:qFormat/>
    <w:uiPriority w:val="0"/>
    <w:rPr>
      <w:rFonts w:hint="default" w:ascii="Wingdings 2" w:hAnsi="Wingdings 2" w:eastAsia="Wingdings 2" w:cs="Wingdings 2"/>
      <w:color w:val="000000"/>
      <w:sz w:val="24"/>
      <w:szCs w:val="24"/>
      <w:u w:val="none"/>
    </w:rPr>
  </w:style>
  <w:style w:type="character" w:customStyle="1" w:styleId="34">
    <w:name w:val="font01"/>
    <w:basedOn w:val="18"/>
    <w:qFormat/>
    <w:uiPriority w:val="0"/>
    <w:rPr>
      <w:rFonts w:hint="eastAsia" w:ascii="宋体" w:hAnsi="宋体" w:eastAsia="宋体" w:cs="宋体"/>
      <w:color w:val="000000"/>
      <w:sz w:val="24"/>
      <w:szCs w:val="24"/>
      <w:u w:val="none"/>
    </w:rPr>
  </w:style>
  <w:style w:type="character" w:customStyle="1" w:styleId="35">
    <w:name w:val="font41"/>
    <w:basedOn w:val="18"/>
    <w:qFormat/>
    <w:uiPriority w:val="0"/>
    <w:rPr>
      <w:rFonts w:hint="eastAsia" w:ascii="微软雅黑" w:hAnsi="微软雅黑" w:eastAsia="微软雅黑" w:cs="微软雅黑"/>
      <w:color w:val="000000"/>
      <w:sz w:val="24"/>
      <w:szCs w:val="24"/>
      <w:u w:val="none"/>
    </w:rPr>
  </w:style>
  <w:style w:type="character" w:customStyle="1" w:styleId="36">
    <w:name w:val="font11"/>
    <w:basedOn w:val="18"/>
    <w:qFormat/>
    <w:uiPriority w:val="0"/>
    <w:rPr>
      <w:rFonts w:hint="eastAsia" w:ascii="微软雅黑" w:hAnsi="微软雅黑" w:eastAsia="微软雅黑" w:cs="微软雅黑"/>
      <w:color w:val="000000"/>
      <w:sz w:val="24"/>
      <w:szCs w:val="24"/>
      <w:u w:val="none"/>
    </w:rPr>
  </w:style>
  <w:style w:type="paragraph" w:customStyle="1" w:styleId="37">
    <w:name w:val="列出段落1"/>
    <w:basedOn w:val="1"/>
    <w:unhideWhenUsed/>
    <w:qFormat/>
    <w:uiPriority w:val="0"/>
    <w:pPr>
      <w:spacing w:beforeLines="0" w:afterLines="0"/>
    </w:pPr>
    <w:rPr>
      <w:rFonts w:hint="default" w:ascii="Times New Roman" w:hAnsi="Times New Roman"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15284</Words>
  <Characters>15953</Characters>
  <Lines>30</Lines>
  <Paragraphs>8</Paragraphs>
  <TotalTime>1</TotalTime>
  <ScaleCrop>false</ScaleCrop>
  <LinksUpToDate>false</LinksUpToDate>
  <CharactersWithSpaces>17354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2023-04-03T07:15:00Z</dcterms:created>
  <dc:creator>邓尹尹</dc:creator>
  <cp:lastModifiedBy>暖阳</cp:lastModifiedBy>
  <dcterms:modified xsi:type="dcterms:W3CDTF">2023-06-08T06:35:19Z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F3006AA4D87B45AE9507BAC95C384D17</vt:lpwstr>
  </property>
</Properties>
</file>