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sz w:val="32"/>
          <w:szCs w:val="32"/>
        </w:rPr>
      </w:pPr>
    </w:p>
    <w:p>
      <w:pPr>
        <w:rPr>
          <w:rFonts w:hint="eastAsia" w:ascii="宋体" w:hAnsi="宋体" w:cs="宋体"/>
          <w:b/>
          <w:sz w:val="32"/>
          <w:szCs w:val="32"/>
        </w:rPr>
      </w:pPr>
      <w:r>
        <w:rPr>
          <w:rFonts w:hint="eastAsia" w:ascii="宋体" w:hAnsi="宋体" w:cs="宋体"/>
          <w:b/>
          <w:sz w:val="32"/>
          <w:szCs w:val="32"/>
        </w:rPr>
        <w:t>项目名称：渝湘复线PPP项目巴水（K0+000~K76+541）段机电工程项目聚氨酯管箱及复合支架采购</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竞</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性</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比</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文</w:t>
      </w:r>
    </w:p>
    <w:p>
      <w:pPr>
        <w:jc w:val="center"/>
        <w:rPr>
          <w:rFonts w:ascii="宋体" w:hAnsi="宋体" w:cs="宋体"/>
          <w:b/>
          <w:sz w:val="48"/>
          <w:szCs w:val="48"/>
        </w:rPr>
      </w:pPr>
    </w:p>
    <w:p>
      <w:pPr>
        <w:jc w:val="center"/>
        <w:rPr>
          <w:rFonts w:ascii="宋体" w:hAnsi="宋体" w:cs="宋体"/>
          <w:b/>
          <w:sz w:val="96"/>
          <w:szCs w:val="72"/>
        </w:rPr>
      </w:pPr>
      <w:r>
        <w:rPr>
          <w:rFonts w:hint="eastAsia" w:ascii="宋体" w:hAnsi="宋体" w:cs="宋体"/>
          <w:b/>
          <w:sz w:val="48"/>
          <w:szCs w:val="48"/>
        </w:rPr>
        <w:t>件</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
    <w:p>
      <w:pPr>
        <w:jc w:val="center"/>
        <w:rPr>
          <w:rFonts w:ascii="宋体" w:hAnsi="宋体" w:cs="宋体"/>
          <w:b/>
          <w:sz w:val="28"/>
          <w:szCs w:val="28"/>
        </w:rPr>
      </w:pPr>
      <w:r>
        <w:rPr>
          <w:rFonts w:hint="eastAsia" w:ascii="宋体" w:hAnsi="宋体" w:cs="宋体"/>
          <w:b/>
          <w:sz w:val="28"/>
          <w:szCs w:val="28"/>
        </w:rPr>
        <w:t>采购人：重庆首讯科技股份有限公司</w:t>
      </w:r>
    </w:p>
    <w:p>
      <w:pPr>
        <w:jc w:val="center"/>
        <w:rPr>
          <w:rFonts w:ascii="宋体" w:hAnsi="宋体" w:cs="宋体"/>
          <w:b/>
          <w:sz w:val="28"/>
          <w:szCs w:val="28"/>
        </w:rPr>
      </w:pPr>
      <w:r>
        <w:rPr>
          <w:rFonts w:hint="eastAsia" w:ascii="宋体" w:hAnsi="宋体" w:cs="宋体"/>
          <w:b/>
          <w:sz w:val="28"/>
          <w:szCs w:val="28"/>
          <w:u w:val="single"/>
        </w:rPr>
        <w:t>2023</w:t>
      </w:r>
      <w:r>
        <w:rPr>
          <w:rFonts w:hint="eastAsia" w:ascii="宋体" w:hAnsi="宋体" w:cs="宋体"/>
          <w:b/>
          <w:sz w:val="28"/>
          <w:szCs w:val="28"/>
        </w:rPr>
        <w:t>年</w:t>
      </w:r>
      <w:r>
        <w:rPr>
          <w:rFonts w:hint="eastAsia" w:ascii="宋体" w:hAnsi="宋体" w:cs="宋体"/>
          <w:b/>
          <w:sz w:val="28"/>
          <w:szCs w:val="28"/>
          <w:u w:val="single"/>
          <w:lang w:val="en-US" w:eastAsia="zh-CN"/>
        </w:rPr>
        <w:t>7</w:t>
      </w:r>
      <w:r>
        <w:rPr>
          <w:rFonts w:hint="eastAsia" w:ascii="宋体" w:hAnsi="宋体" w:cs="宋体"/>
          <w:b/>
          <w:sz w:val="28"/>
          <w:szCs w:val="28"/>
        </w:rPr>
        <w:t>月</w:t>
      </w:r>
    </w:p>
    <w:p>
      <w:pPr>
        <w:pStyle w:val="28"/>
        <w:jc w:val="center"/>
        <w:rPr>
          <w:rFonts w:ascii="宋体" w:hAnsi="宋体" w:cs="宋体"/>
          <w:szCs w:val="21"/>
        </w:rPr>
      </w:pPr>
      <w:r>
        <w:br w:type="page"/>
      </w:r>
      <w:bookmarkStart w:id="0" w:name="_Toc247085669"/>
      <w:bookmarkStart w:id="1" w:name="_Toc507428442"/>
      <w:bookmarkStart w:id="2" w:name="_Toc507319889"/>
      <w:bookmarkStart w:id="3" w:name="_Toc246996898"/>
      <w:bookmarkStart w:id="4" w:name="_Toc296602400"/>
      <w:r>
        <w:rPr>
          <w:rFonts w:hint="eastAsia" w:ascii="宋体" w:hAnsi="宋体" w:cs="宋体"/>
          <w:b w:val="0"/>
          <w:sz w:val="32"/>
        </w:rPr>
        <w:t>目   录</w:t>
      </w:r>
      <w:bookmarkEnd w:id="0"/>
      <w:bookmarkEnd w:id="1"/>
      <w:bookmarkEnd w:id="2"/>
      <w:bookmarkEnd w:id="3"/>
      <w:bookmarkEnd w:id="4"/>
    </w:p>
    <w:p>
      <w:pPr>
        <w:pStyle w:val="28"/>
        <w:tabs>
          <w:tab w:val="right" w:leader="dot" w:pos="9638"/>
        </w:tabs>
      </w:pPr>
      <w:r>
        <w:rPr>
          <w:rFonts w:hint="eastAsia" w:ascii="宋体" w:hAnsi="宋体" w:cs="宋体"/>
          <w:b w:val="0"/>
          <w:bCs w:val="0"/>
          <w:caps w:val="0"/>
        </w:rPr>
        <w:fldChar w:fldCharType="begin"/>
      </w:r>
      <w:r>
        <w:rPr>
          <w:rFonts w:hint="eastAsia" w:ascii="宋体" w:hAnsi="宋体" w:cs="宋体"/>
          <w:b w:val="0"/>
          <w:bCs w:val="0"/>
          <w:caps w:val="0"/>
        </w:rPr>
        <w:instrText xml:space="preserve"> TOC \o "1-2" \h \z \u </w:instrText>
      </w:r>
      <w:r>
        <w:rPr>
          <w:rFonts w:hint="eastAsia" w:ascii="宋体" w:hAnsi="宋体" w:cs="宋体"/>
          <w:b w:val="0"/>
          <w:bCs w:val="0"/>
          <w:caps w:val="0"/>
        </w:rPr>
        <w:fldChar w:fldCharType="separate"/>
      </w:r>
      <w:r>
        <w:fldChar w:fldCharType="begin"/>
      </w:r>
      <w:r>
        <w:instrText xml:space="preserve"> HYPERLINK \l "_Toc23346" </w:instrText>
      </w:r>
      <w:r>
        <w:fldChar w:fldCharType="separate"/>
      </w:r>
      <w:r>
        <w:rPr>
          <w:rFonts w:hint="eastAsia" w:ascii="宋体" w:hAnsi="宋体" w:cs="宋体"/>
        </w:rPr>
        <w:t>第一章 比选公告</w:t>
      </w:r>
      <w:r>
        <w:tab/>
      </w:r>
      <w:r>
        <w:fldChar w:fldCharType="begin"/>
      </w:r>
      <w:r>
        <w:instrText xml:space="preserve"> PAGEREF _Toc23346 \h </w:instrText>
      </w:r>
      <w:r>
        <w:fldChar w:fldCharType="separate"/>
      </w:r>
      <w:r>
        <w:t>1</w:t>
      </w:r>
      <w:r>
        <w:fldChar w:fldCharType="end"/>
      </w:r>
      <w:r>
        <w:fldChar w:fldCharType="end"/>
      </w:r>
    </w:p>
    <w:p>
      <w:pPr>
        <w:pStyle w:val="34"/>
        <w:tabs>
          <w:tab w:val="right" w:leader="dot" w:pos="9638"/>
        </w:tabs>
      </w:pPr>
      <w:r>
        <w:fldChar w:fldCharType="begin"/>
      </w:r>
      <w:r>
        <w:instrText xml:space="preserve"> HYPERLINK \l "_Toc90" </w:instrText>
      </w:r>
      <w:r>
        <w:fldChar w:fldCharType="separate"/>
      </w:r>
      <w:r>
        <w:rPr>
          <w:rFonts w:hint="eastAsia" w:ascii="宋体" w:hAnsi="宋体" w:cs="宋体"/>
        </w:rPr>
        <w:t>1. 比选条件</w:t>
      </w:r>
      <w:r>
        <w:tab/>
      </w:r>
      <w:r>
        <w:fldChar w:fldCharType="begin"/>
      </w:r>
      <w:r>
        <w:instrText xml:space="preserve"> PAGEREF _Toc90 \h </w:instrText>
      </w:r>
      <w:r>
        <w:fldChar w:fldCharType="separate"/>
      </w:r>
      <w:r>
        <w:t>1</w:t>
      </w:r>
      <w:r>
        <w:fldChar w:fldCharType="end"/>
      </w:r>
      <w:r>
        <w:fldChar w:fldCharType="end"/>
      </w:r>
    </w:p>
    <w:p>
      <w:pPr>
        <w:pStyle w:val="34"/>
        <w:tabs>
          <w:tab w:val="right" w:leader="dot" w:pos="9638"/>
        </w:tabs>
      </w:pPr>
      <w:r>
        <w:fldChar w:fldCharType="begin"/>
      </w:r>
      <w:r>
        <w:instrText xml:space="preserve"> HYPERLINK \l "_Toc4826" </w:instrText>
      </w:r>
      <w:r>
        <w:fldChar w:fldCharType="separate"/>
      </w:r>
      <w:r>
        <w:rPr>
          <w:rFonts w:hint="eastAsia" w:ascii="宋体" w:hAnsi="宋体" w:cs="宋体"/>
        </w:rPr>
        <w:t>2. 项目概况与采购范围</w:t>
      </w:r>
      <w:r>
        <w:tab/>
      </w:r>
      <w:r>
        <w:fldChar w:fldCharType="begin"/>
      </w:r>
      <w:r>
        <w:instrText xml:space="preserve"> PAGEREF _Toc4826 \h </w:instrText>
      </w:r>
      <w:r>
        <w:fldChar w:fldCharType="separate"/>
      </w:r>
      <w:r>
        <w:t>1</w:t>
      </w:r>
      <w:r>
        <w:fldChar w:fldCharType="end"/>
      </w:r>
      <w:r>
        <w:fldChar w:fldCharType="end"/>
      </w:r>
    </w:p>
    <w:p>
      <w:pPr>
        <w:pStyle w:val="34"/>
        <w:tabs>
          <w:tab w:val="right" w:leader="dot" w:pos="9638"/>
        </w:tabs>
      </w:pPr>
      <w:r>
        <w:fldChar w:fldCharType="begin"/>
      </w:r>
      <w:r>
        <w:instrText xml:space="preserve"> HYPERLINK \l "_Toc21728" </w:instrText>
      </w:r>
      <w:r>
        <w:fldChar w:fldCharType="separate"/>
      </w:r>
      <w:r>
        <w:rPr>
          <w:rFonts w:hint="eastAsia" w:ascii="宋体" w:hAnsi="宋体" w:cs="宋体"/>
        </w:rPr>
        <w:t>3. 报价人资格要求</w:t>
      </w:r>
      <w:r>
        <w:tab/>
      </w:r>
      <w:r>
        <w:fldChar w:fldCharType="begin"/>
      </w:r>
      <w:r>
        <w:instrText xml:space="preserve"> PAGEREF _Toc21728 \h </w:instrText>
      </w:r>
      <w:r>
        <w:fldChar w:fldCharType="separate"/>
      </w:r>
      <w:r>
        <w:t>1</w:t>
      </w:r>
      <w:r>
        <w:fldChar w:fldCharType="end"/>
      </w:r>
      <w:r>
        <w:fldChar w:fldCharType="end"/>
      </w:r>
    </w:p>
    <w:p>
      <w:pPr>
        <w:pStyle w:val="34"/>
        <w:tabs>
          <w:tab w:val="right" w:leader="dot" w:pos="9638"/>
        </w:tabs>
      </w:pPr>
      <w:r>
        <w:fldChar w:fldCharType="begin"/>
      </w:r>
      <w:r>
        <w:instrText xml:space="preserve"> HYPERLINK \l "_Toc25583" </w:instrText>
      </w:r>
      <w:r>
        <w:fldChar w:fldCharType="separate"/>
      </w:r>
      <w:r>
        <w:rPr>
          <w:rFonts w:hint="eastAsia" w:ascii="宋体" w:hAnsi="宋体" w:cs="宋体"/>
        </w:rPr>
        <w:t>4. 比选文件的获取</w:t>
      </w:r>
      <w:r>
        <w:tab/>
      </w:r>
      <w:r>
        <w:fldChar w:fldCharType="begin"/>
      </w:r>
      <w:r>
        <w:instrText xml:space="preserve"> PAGEREF _Toc25583 \h </w:instrText>
      </w:r>
      <w:r>
        <w:fldChar w:fldCharType="separate"/>
      </w:r>
      <w:r>
        <w:t>2</w:t>
      </w:r>
      <w:r>
        <w:fldChar w:fldCharType="end"/>
      </w:r>
      <w:r>
        <w:fldChar w:fldCharType="end"/>
      </w:r>
    </w:p>
    <w:p>
      <w:pPr>
        <w:pStyle w:val="34"/>
        <w:tabs>
          <w:tab w:val="right" w:leader="dot" w:pos="9638"/>
        </w:tabs>
      </w:pPr>
      <w:r>
        <w:fldChar w:fldCharType="begin"/>
      </w:r>
      <w:r>
        <w:instrText xml:space="preserve"> HYPERLINK \l "_Toc12878" </w:instrText>
      </w:r>
      <w:r>
        <w:fldChar w:fldCharType="separate"/>
      </w:r>
      <w:r>
        <w:rPr>
          <w:rFonts w:hint="eastAsia" w:ascii="宋体" w:hAnsi="宋体" w:cs="宋体"/>
        </w:rPr>
        <w:t>5. 竞争性比选响应文件的递交及相关事宜</w:t>
      </w:r>
      <w:r>
        <w:tab/>
      </w:r>
      <w:r>
        <w:fldChar w:fldCharType="begin"/>
      </w:r>
      <w:r>
        <w:instrText xml:space="preserve"> PAGEREF _Toc12878 \h </w:instrText>
      </w:r>
      <w:r>
        <w:fldChar w:fldCharType="separate"/>
      </w:r>
      <w:r>
        <w:t>2</w:t>
      </w:r>
      <w:r>
        <w:fldChar w:fldCharType="end"/>
      </w:r>
      <w:r>
        <w:fldChar w:fldCharType="end"/>
      </w:r>
    </w:p>
    <w:p>
      <w:pPr>
        <w:pStyle w:val="34"/>
        <w:tabs>
          <w:tab w:val="right" w:leader="dot" w:pos="9638"/>
        </w:tabs>
      </w:pPr>
      <w:r>
        <w:fldChar w:fldCharType="begin"/>
      </w:r>
      <w:r>
        <w:instrText xml:space="preserve"> HYPERLINK \l "_Toc9155" </w:instrText>
      </w:r>
      <w:r>
        <w:fldChar w:fldCharType="separate"/>
      </w:r>
      <w:r>
        <w:rPr>
          <w:rFonts w:hint="eastAsia" w:ascii="宋体" w:hAnsi="宋体" w:cs="宋体"/>
        </w:rPr>
        <w:t>6. 联系方式</w:t>
      </w:r>
      <w:r>
        <w:tab/>
      </w:r>
      <w:r>
        <w:fldChar w:fldCharType="begin"/>
      </w:r>
      <w:r>
        <w:instrText xml:space="preserve"> PAGEREF _Toc9155 \h </w:instrText>
      </w:r>
      <w:r>
        <w:fldChar w:fldCharType="separate"/>
      </w:r>
      <w:r>
        <w:t>2</w:t>
      </w:r>
      <w:r>
        <w:fldChar w:fldCharType="end"/>
      </w:r>
      <w:r>
        <w:fldChar w:fldCharType="end"/>
      </w:r>
    </w:p>
    <w:p>
      <w:pPr>
        <w:pStyle w:val="28"/>
        <w:tabs>
          <w:tab w:val="right" w:leader="dot" w:pos="9638"/>
        </w:tabs>
      </w:pPr>
      <w:r>
        <w:fldChar w:fldCharType="begin"/>
      </w:r>
      <w:r>
        <w:instrText xml:space="preserve"> HYPERLINK \l "_Toc3102" </w:instrText>
      </w:r>
      <w:r>
        <w:fldChar w:fldCharType="separate"/>
      </w:r>
      <w:r>
        <w:rPr>
          <w:rFonts w:hint="eastAsia" w:ascii="宋体" w:hAnsi="宋体" w:cs="宋体"/>
        </w:rPr>
        <w:t>第二章 报价人须知</w:t>
      </w:r>
      <w:r>
        <w:tab/>
      </w:r>
      <w:r>
        <w:fldChar w:fldCharType="begin"/>
      </w:r>
      <w:r>
        <w:instrText xml:space="preserve"> PAGEREF _Toc3102 \h </w:instrText>
      </w:r>
      <w:r>
        <w:fldChar w:fldCharType="separate"/>
      </w:r>
      <w:r>
        <w:t>3</w:t>
      </w:r>
      <w:r>
        <w:fldChar w:fldCharType="end"/>
      </w:r>
      <w:r>
        <w:fldChar w:fldCharType="end"/>
      </w:r>
    </w:p>
    <w:p>
      <w:pPr>
        <w:pStyle w:val="34"/>
        <w:tabs>
          <w:tab w:val="right" w:leader="dot" w:pos="9638"/>
        </w:tabs>
      </w:pPr>
      <w:r>
        <w:fldChar w:fldCharType="begin"/>
      </w:r>
      <w:r>
        <w:instrText xml:space="preserve"> HYPERLINK \l "_Toc25998" </w:instrText>
      </w:r>
      <w:r>
        <w:fldChar w:fldCharType="separate"/>
      </w:r>
      <w:r>
        <w:rPr>
          <w:rFonts w:hint="eastAsia" w:ascii="黑体" w:hAnsi="宋体" w:cs="黑体"/>
          <w:kern w:val="0"/>
          <w:szCs w:val="21"/>
        </w:rPr>
        <w:t>报价人须知</w:t>
      </w:r>
      <w:r>
        <w:rPr>
          <w:rFonts w:hint="eastAsia" w:ascii="黑体" w:hAnsi="宋体" w:eastAsia="黑体" w:cs="黑体"/>
          <w:kern w:val="0"/>
          <w:szCs w:val="21"/>
        </w:rPr>
        <w:t>正文部分：</w:t>
      </w:r>
      <w:r>
        <w:tab/>
      </w:r>
      <w:r>
        <w:fldChar w:fldCharType="begin"/>
      </w:r>
      <w:r>
        <w:instrText xml:space="preserve"> PAGEREF _Toc25998 \h </w:instrText>
      </w:r>
      <w:r>
        <w:fldChar w:fldCharType="separate"/>
      </w:r>
      <w:r>
        <w:t>5</w:t>
      </w:r>
      <w:r>
        <w:fldChar w:fldCharType="end"/>
      </w:r>
      <w:r>
        <w:fldChar w:fldCharType="end"/>
      </w:r>
    </w:p>
    <w:p>
      <w:pPr>
        <w:pStyle w:val="34"/>
        <w:tabs>
          <w:tab w:val="right" w:leader="dot" w:pos="9638"/>
        </w:tabs>
      </w:pPr>
      <w:r>
        <w:fldChar w:fldCharType="begin"/>
      </w:r>
      <w:r>
        <w:instrText xml:space="preserve"> HYPERLINK \l "_Toc1963" </w:instrText>
      </w:r>
      <w:r>
        <w:fldChar w:fldCharType="separate"/>
      </w:r>
      <w:r>
        <w:rPr>
          <w:rFonts w:hint="eastAsia" w:ascii="黑体" w:hAnsi="宋体" w:eastAsia="黑体" w:cs="黑体"/>
          <w:kern w:val="0"/>
          <w:szCs w:val="21"/>
        </w:rPr>
        <w:t>1.  总则</w:t>
      </w:r>
      <w:r>
        <w:tab/>
      </w:r>
      <w:r>
        <w:fldChar w:fldCharType="begin"/>
      </w:r>
      <w:r>
        <w:instrText xml:space="preserve"> PAGEREF _Toc1963 \h </w:instrText>
      </w:r>
      <w:r>
        <w:fldChar w:fldCharType="separate"/>
      </w:r>
      <w:r>
        <w:t>5</w:t>
      </w:r>
      <w:r>
        <w:fldChar w:fldCharType="end"/>
      </w:r>
      <w:r>
        <w:fldChar w:fldCharType="end"/>
      </w:r>
    </w:p>
    <w:p>
      <w:pPr>
        <w:pStyle w:val="34"/>
        <w:tabs>
          <w:tab w:val="right" w:leader="dot" w:pos="9638"/>
        </w:tabs>
      </w:pPr>
      <w:r>
        <w:fldChar w:fldCharType="begin"/>
      </w:r>
      <w:r>
        <w:instrText xml:space="preserve"> HYPERLINK \l "_Toc9275" </w:instrText>
      </w:r>
      <w:r>
        <w:fldChar w:fldCharType="separate"/>
      </w:r>
      <w:r>
        <w:rPr>
          <w:rFonts w:hint="eastAsia" w:ascii="宋体" w:hAnsi="宋体" w:eastAsia="黑体"/>
          <w:kern w:val="0"/>
          <w:szCs w:val="21"/>
        </w:rPr>
        <w:t xml:space="preserve">2.  </w:t>
      </w:r>
      <w:r>
        <w:rPr>
          <w:rFonts w:hint="eastAsia" w:ascii="黑体" w:hAnsi="宋体" w:cs="黑体"/>
          <w:kern w:val="0"/>
          <w:szCs w:val="21"/>
        </w:rPr>
        <w:t>竞争性比选</w:t>
      </w:r>
      <w:r>
        <w:rPr>
          <w:rFonts w:hint="eastAsia" w:ascii="黑体" w:hAnsi="宋体" w:eastAsia="黑体" w:cs="黑体"/>
          <w:kern w:val="0"/>
          <w:szCs w:val="21"/>
        </w:rPr>
        <w:t>文件</w:t>
      </w:r>
      <w:r>
        <w:tab/>
      </w:r>
      <w:r>
        <w:fldChar w:fldCharType="begin"/>
      </w:r>
      <w:r>
        <w:instrText xml:space="preserve"> PAGEREF _Toc9275 \h </w:instrText>
      </w:r>
      <w:r>
        <w:fldChar w:fldCharType="separate"/>
      </w:r>
      <w:r>
        <w:t>6</w:t>
      </w:r>
      <w:r>
        <w:fldChar w:fldCharType="end"/>
      </w:r>
      <w:r>
        <w:fldChar w:fldCharType="end"/>
      </w:r>
    </w:p>
    <w:p>
      <w:pPr>
        <w:pStyle w:val="34"/>
        <w:tabs>
          <w:tab w:val="right" w:leader="dot" w:pos="9638"/>
        </w:tabs>
      </w:pPr>
      <w:r>
        <w:fldChar w:fldCharType="begin"/>
      </w:r>
      <w:r>
        <w:instrText xml:space="preserve"> HYPERLINK \l "_Toc23367" </w:instrText>
      </w:r>
      <w:r>
        <w:fldChar w:fldCharType="separate"/>
      </w:r>
      <w:r>
        <w:rPr>
          <w:rFonts w:hint="eastAsia" w:ascii="宋体" w:hAnsi="宋体" w:eastAsia="黑体"/>
          <w:kern w:val="0"/>
          <w:szCs w:val="21"/>
        </w:rPr>
        <w:t xml:space="preserve">3.  </w:t>
      </w:r>
      <w:r>
        <w:rPr>
          <w:rFonts w:hint="eastAsia" w:ascii="黑体" w:hAnsi="宋体" w:cs="黑体"/>
          <w:kern w:val="0"/>
          <w:szCs w:val="21"/>
        </w:rPr>
        <w:t>比选响应文件</w:t>
      </w:r>
      <w:r>
        <w:tab/>
      </w:r>
      <w:r>
        <w:fldChar w:fldCharType="begin"/>
      </w:r>
      <w:r>
        <w:instrText xml:space="preserve"> PAGEREF _Toc23367 \h </w:instrText>
      </w:r>
      <w:r>
        <w:fldChar w:fldCharType="separate"/>
      </w:r>
      <w:r>
        <w:t>7</w:t>
      </w:r>
      <w:r>
        <w:fldChar w:fldCharType="end"/>
      </w:r>
      <w:r>
        <w:fldChar w:fldCharType="end"/>
      </w:r>
    </w:p>
    <w:p>
      <w:pPr>
        <w:pStyle w:val="34"/>
        <w:tabs>
          <w:tab w:val="right" w:leader="dot" w:pos="9638"/>
        </w:tabs>
      </w:pPr>
      <w:r>
        <w:fldChar w:fldCharType="begin"/>
      </w:r>
      <w:r>
        <w:instrText xml:space="preserve"> HYPERLINK \l "_Toc3996" </w:instrText>
      </w:r>
      <w:r>
        <w:fldChar w:fldCharType="separate"/>
      </w:r>
      <w:r>
        <w:rPr>
          <w:rFonts w:hint="eastAsia" w:ascii="宋体" w:hAnsi="宋体" w:eastAsia="黑体"/>
          <w:kern w:val="0"/>
          <w:szCs w:val="21"/>
        </w:rPr>
        <w:t xml:space="preserve">4.  </w:t>
      </w:r>
      <w:r>
        <w:rPr>
          <w:rFonts w:hint="eastAsia" w:ascii="黑体" w:hAnsi="宋体" w:eastAsia="黑体" w:cs="黑体"/>
          <w:kern w:val="0"/>
          <w:szCs w:val="21"/>
        </w:rPr>
        <w:t>投标</w:t>
      </w:r>
      <w:r>
        <w:tab/>
      </w:r>
      <w:r>
        <w:fldChar w:fldCharType="begin"/>
      </w:r>
      <w:r>
        <w:instrText xml:space="preserve"> PAGEREF _Toc3996 \h </w:instrText>
      </w:r>
      <w:r>
        <w:fldChar w:fldCharType="separate"/>
      </w:r>
      <w:r>
        <w:t>8</w:t>
      </w:r>
      <w:r>
        <w:fldChar w:fldCharType="end"/>
      </w:r>
      <w:r>
        <w:fldChar w:fldCharType="end"/>
      </w:r>
    </w:p>
    <w:p>
      <w:pPr>
        <w:pStyle w:val="34"/>
        <w:tabs>
          <w:tab w:val="right" w:leader="dot" w:pos="9638"/>
        </w:tabs>
      </w:pPr>
      <w:r>
        <w:fldChar w:fldCharType="begin"/>
      </w:r>
      <w:r>
        <w:instrText xml:space="preserve"> HYPERLINK \l "_Toc10011" </w:instrText>
      </w:r>
      <w:r>
        <w:fldChar w:fldCharType="separate"/>
      </w:r>
      <w:r>
        <w:rPr>
          <w:rFonts w:hint="eastAsia" w:ascii="宋体" w:hAnsi="宋体" w:eastAsia="黑体"/>
          <w:kern w:val="0"/>
          <w:szCs w:val="21"/>
        </w:rPr>
        <w:t xml:space="preserve">5.  </w:t>
      </w:r>
      <w:r>
        <w:rPr>
          <w:rFonts w:hint="eastAsia" w:ascii="黑体" w:hAnsi="宋体" w:eastAsia="黑体" w:cs="黑体"/>
          <w:kern w:val="0"/>
          <w:szCs w:val="21"/>
        </w:rPr>
        <w:t>开标</w:t>
      </w:r>
      <w:r>
        <w:tab/>
      </w:r>
      <w:r>
        <w:fldChar w:fldCharType="begin"/>
      </w:r>
      <w:r>
        <w:instrText xml:space="preserve"> PAGEREF _Toc10011 \h </w:instrText>
      </w:r>
      <w:r>
        <w:fldChar w:fldCharType="separate"/>
      </w:r>
      <w:r>
        <w:t>8</w:t>
      </w:r>
      <w:r>
        <w:fldChar w:fldCharType="end"/>
      </w:r>
      <w:r>
        <w:fldChar w:fldCharType="end"/>
      </w:r>
    </w:p>
    <w:p>
      <w:pPr>
        <w:pStyle w:val="34"/>
        <w:tabs>
          <w:tab w:val="right" w:leader="dot" w:pos="9638"/>
        </w:tabs>
      </w:pPr>
      <w:r>
        <w:fldChar w:fldCharType="begin"/>
      </w:r>
      <w:r>
        <w:instrText xml:space="preserve"> HYPERLINK \l "_Toc16471" </w:instrText>
      </w:r>
      <w:r>
        <w:fldChar w:fldCharType="separate"/>
      </w:r>
      <w:r>
        <w:rPr>
          <w:rFonts w:hint="eastAsia" w:ascii="宋体" w:hAnsi="宋体" w:eastAsia="黑体"/>
          <w:kern w:val="0"/>
          <w:szCs w:val="21"/>
        </w:rPr>
        <w:t xml:space="preserve">6.  </w:t>
      </w:r>
      <w:r>
        <w:rPr>
          <w:rFonts w:hint="eastAsia" w:ascii="黑体" w:hAnsi="宋体" w:eastAsia="黑体" w:cs="黑体"/>
          <w:kern w:val="0"/>
          <w:szCs w:val="21"/>
        </w:rPr>
        <w:t>评标</w:t>
      </w:r>
      <w:r>
        <w:tab/>
      </w:r>
      <w:r>
        <w:fldChar w:fldCharType="begin"/>
      </w:r>
      <w:r>
        <w:instrText xml:space="preserve"> PAGEREF _Toc16471 \h </w:instrText>
      </w:r>
      <w:r>
        <w:fldChar w:fldCharType="separate"/>
      </w:r>
      <w:r>
        <w:t>8</w:t>
      </w:r>
      <w:r>
        <w:fldChar w:fldCharType="end"/>
      </w:r>
      <w:r>
        <w:fldChar w:fldCharType="end"/>
      </w:r>
    </w:p>
    <w:p>
      <w:pPr>
        <w:pStyle w:val="34"/>
        <w:tabs>
          <w:tab w:val="right" w:leader="dot" w:pos="9638"/>
        </w:tabs>
      </w:pPr>
      <w:r>
        <w:fldChar w:fldCharType="begin"/>
      </w:r>
      <w:r>
        <w:instrText xml:space="preserve"> HYPERLINK \l "_Toc7661" </w:instrText>
      </w:r>
      <w:r>
        <w:fldChar w:fldCharType="separate"/>
      </w:r>
      <w:r>
        <w:rPr>
          <w:rFonts w:hint="eastAsia" w:ascii="宋体" w:hAnsi="宋体" w:eastAsia="黑体"/>
          <w:kern w:val="0"/>
          <w:szCs w:val="21"/>
        </w:rPr>
        <w:t xml:space="preserve">7.  </w:t>
      </w:r>
      <w:r>
        <w:rPr>
          <w:rFonts w:hint="eastAsia" w:ascii="宋体" w:hAnsi="宋体" w:cs="宋体"/>
          <w:szCs w:val="21"/>
        </w:rPr>
        <w:t>合同授予</w:t>
      </w:r>
      <w:r>
        <w:tab/>
      </w:r>
      <w:r>
        <w:fldChar w:fldCharType="begin"/>
      </w:r>
      <w:r>
        <w:instrText xml:space="preserve"> PAGEREF _Toc7661 \h </w:instrText>
      </w:r>
      <w:r>
        <w:fldChar w:fldCharType="separate"/>
      </w:r>
      <w:r>
        <w:t>9</w:t>
      </w:r>
      <w:r>
        <w:fldChar w:fldCharType="end"/>
      </w:r>
      <w:r>
        <w:fldChar w:fldCharType="end"/>
      </w:r>
    </w:p>
    <w:p>
      <w:pPr>
        <w:pStyle w:val="34"/>
        <w:tabs>
          <w:tab w:val="right" w:leader="dot" w:pos="9638"/>
        </w:tabs>
      </w:pPr>
      <w:r>
        <w:fldChar w:fldCharType="begin"/>
      </w:r>
      <w:r>
        <w:instrText xml:space="preserve"> HYPERLINK \l "_Toc28670" </w:instrText>
      </w:r>
      <w:r>
        <w:fldChar w:fldCharType="separate"/>
      </w:r>
      <w:r>
        <w:rPr>
          <w:rFonts w:hint="eastAsia" w:ascii="宋体" w:hAnsi="宋体" w:cs="宋体"/>
          <w:szCs w:val="28"/>
        </w:rPr>
        <w:t>附录1  报价人资格要求</w:t>
      </w:r>
      <w:r>
        <w:tab/>
      </w:r>
      <w:r>
        <w:fldChar w:fldCharType="begin"/>
      </w:r>
      <w:r>
        <w:instrText xml:space="preserve"> PAGEREF _Toc28670 \h </w:instrText>
      </w:r>
      <w:r>
        <w:fldChar w:fldCharType="separate"/>
      </w:r>
      <w:r>
        <w:t>11</w:t>
      </w:r>
      <w:r>
        <w:fldChar w:fldCharType="end"/>
      </w:r>
      <w:r>
        <w:fldChar w:fldCharType="end"/>
      </w:r>
    </w:p>
    <w:p>
      <w:pPr>
        <w:pStyle w:val="28"/>
        <w:tabs>
          <w:tab w:val="right" w:leader="dot" w:pos="9638"/>
        </w:tabs>
      </w:pPr>
      <w:r>
        <w:fldChar w:fldCharType="begin"/>
      </w:r>
      <w:r>
        <w:instrText xml:space="preserve"> HYPERLINK \l "_Toc17732" </w:instrText>
      </w:r>
      <w:r>
        <w:fldChar w:fldCharType="separate"/>
      </w:r>
      <w:r>
        <w:rPr>
          <w:rFonts w:hint="eastAsia"/>
        </w:rPr>
        <w:t xml:space="preserve">第三章 </w:t>
      </w:r>
      <w:r>
        <w:rPr>
          <w:rFonts w:hint="eastAsia" w:ascii="宋体" w:hAnsi="宋体" w:cs="宋体"/>
        </w:rPr>
        <w:t>评标办法（综合评估法）</w:t>
      </w:r>
      <w:r>
        <w:tab/>
      </w:r>
      <w:r>
        <w:fldChar w:fldCharType="begin"/>
      </w:r>
      <w:r>
        <w:instrText xml:space="preserve"> PAGEREF _Toc17732 \h </w:instrText>
      </w:r>
      <w:r>
        <w:fldChar w:fldCharType="separate"/>
      </w:r>
      <w:r>
        <w:t>12</w:t>
      </w:r>
      <w:r>
        <w:fldChar w:fldCharType="end"/>
      </w:r>
      <w:r>
        <w:fldChar w:fldCharType="end"/>
      </w:r>
    </w:p>
    <w:p>
      <w:pPr>
        <w:pStyle w:val="34"/>
        <w:tabs>
          <w:tab w:val="right" w:leader="dot" w:pos="9638"/>
        </w:tabs>
      </w:pPr>
      <w:r>
        <w:fldChar w:fldCharType="begin"/>
      </w:r>
      <w:r>
        <w:instrText xml:space="preserve"> HYPERLINK \l "_Toc32566" </w:instrText>
      </w:r>
      <w:r>
        <w:fldChar w:fldCharType="separate"/>
      </w:r>
      <w:r>
        <w:rPr>
          <w:rFonts w:hint="eastAsia" w:ascii="宋体" w:hAnsi="宋体" w:cs="宋体"/>
          <w:szCs w:val="28"/>
        </w:rPr>
        <w:t>评标方法前附表</w:t>
      </w:r>
      <w:r>
        <w:tab/>
      </w:r>
      <w:r>
        <w:fldChar w:fldCharType="begin"/>
      </w:r>
      <w:r>
        <w:instrText xml:space="preserve"> PAGEREF _Toc32566 \h </w:instrText>
      </w:r>
      <w:r>
        <w:fldChar w:fldCharType="separate"/>
      </w:r>
      <w:r>
        <w:t>12</w:t>
      </w:r>
      <w:r>
        <w:fldChar w:fldCharType="end"/>
      </w:r>
      <w:r>
        <w:fldChar w:fldCharType="end"/>
      </w:r>
    </w:p>
    <w:p>
      <w:pPr>
        <w:pStyle w:val="34"/>
        <w:tabs>
          <w:tab w:val="right" w:leader="dot" w:pos="9638"/>
        </w:tabs>
      </w:pPr>
      <w:r>
        <w:fldChar w:fldCharType="begin"/>
      </w:r>
      <w:r>
        <w:instrText xml:space="preserve"> HYPERLINK \l "_Toc3971" </w:instrText>
      </w:r>
      <w:r>
        <w:fldChar w:fldCharType="separate"/>
      </w:r>
      <w:r>
        <w:rPr>
          <w:rFonts w:hint="eastAsia" w:ascii="宋体" w:hAnsi="宋体" w:cs="宋体"/>
          <w:szCs w:val="28"/>
        </w:rPr>
        <w:t>1. 评标方法</w:t>
      </w:r>
      <w:r>
        <w:tab/>
      </w:r>
      <w:r>
        <w:fldChar w:fldCharType="begin"/>
      </w:r>
      <w:r>
        <w:instrText xml:space="preserve"> PAGEREF _Toc3971 \h </w:instrText>
      </w:r>
      <w:r>
        <w:fldChar w:fldCharType="separate"/>
      </w:r>
      <w:r>
        <w:t>15</w:t>
      </w:r>
      <w:r>
        <w:fldChar w:fldCharType="end"/>
      </w:r>
      <w:r>
        <w:fldChar w:fldCharType="end"/>
      </w:r>
    </w:p>
    <w:p>
      <w:pPr>
        <w:pStyle w:val="34"/>
        <w:tabs>
          <w:tab w:val="right" w:leader="dot" w:pos="9638"/>
        </w:tabs>
      </w:pPr>
      <w:r>
        <w:fldChar w:fldCharType="begin"/>
      </w:r>
      <w:r>
        <w:instrText xml:space="preserve"> HYPERLINK \l "_Toc8671" </w:instrText>
      </w:r>
      <w:r>
        <w:fldChar w:fldCharType="separate"/>
      </w:r>
      <w:r>
        <w:rPr>
          <w:rFonts w:hint="eastAsia" w:ascii="宋体" w:hAnsi="宋体" w:cs="宋体"/>
          <w:szCs w:val="28"/>
        </w:rPr>
        <w:t>2. 评审标准</w:t>
      </w:r>
      <w:r>
        <w:tab/>
      </w:r>
      <w:r>
        <w:fldChar w:fldCharType="begin"/>
      </w:r>
      <w:r>
        <w:instrText xml:space="preserve"> PAGEREF _Toc8671 \h </w:instrText>
      </w:r>
      <w:r>
        <w:fldChar w:fldCharType="separate"/>
      </w:r>
      <w:r>
        <w:t>15</w:t>
      </w:r>
      <w:r>
        <w:fldChar w:fldCharType="end"/>
      </w:r>
      <w:r>
        <w:fldChar w:fldCharType="end"/>
      </w:r>
    </w:p>
    <w:p>
      <w:pPr>
        <w:pStyle w:val="34"/>
        <w:tabs>
          <w:tab w:val="right" w:leader="dot" w:pos="9638"/>
        </w:tabs>
      </w:pPr>
      <w:r>
        <w:fldChar w:fldCharType="begin"/>
      </w:r>
      <w:r>
        <w:instrText xml:space="preserve"> HYPERLINK \l "_Toc26605" </w:instrText>
      </w:r>
      <w:r>
        <w:fldChar w:fldCharType="separate"/>
      </w:r>
      <w:r>
        <w:rPr>
          <w:rFonts w:hint="eastAsia" w:ascii="宋体" w:hAnsi="宋体" w:cs="宋体"/>
          <w:szCs w:val="28"/>
        </w:rPr>
        <w:t>3. 评标程序</w:t>
      </w:r>
      <w:r>
        <w:tab/>
      </w:r>
      <w:r>
        <w:fldChar w:fldCharType="begin"/>
      </w:r>
      <w:r>
        <w:instrText xml:space="preserve"> PAGEREF _Toc26605 \h </w:instrText>
      </w:r>
      <w:r>
        <w:fldChar w:fldCharType="separate"/>
      </w:r>
      <w:r>
        <w:t>15</w:t>
      </w:r>
      <w:r>
        <w:fldChar w:fldCharType="end"/>
      </w:r>
      <w:r>
        <w:fldChar w:fldCharType="end"/>
      </w:r>
    </w:p>
    <w:p>
      <w:pPr>
        <w:pStyle w:val="28"/>
        <w:tabs>
          <w:tab w:val="right" w:leader="dot" w:pos="9638"/>
        </w:tabs>
      </w:pPr>
      <w:r>
        <w:fldChar w:fldCharType="begin"/>
      </w:r>
      <w:r>
        <w:instrText xml:space="preserve"> HYPERLINK \l "_Toc2449" </w:instrText>
      </w:r>
      <w:r>
        <w:fldChar w:fldCharType="separate"/>
      </w:r>
      <w:r>
        <w:rPr>
          <w:rFonts w:hint="eastAsia" w:ascii="宋体" w:hAnsi="宋体" w:cs="宋体"/>
        </w:rPr>
        <w:t>第四章 采购清单</w:t>
      </w:r>
      <w:r>
        <w:tab/>
      </w:r>
      <w:r>
        <w:fldChar w:fldCharType="begin"/>
      </w:r>
      <w:r>
        <w:instrText xml:space="preserve"> PAGEREF _Toc2449 \h </w:instrText>
      </w:r>
      <w:r>
        <w:fldChar w:fldCharType="separate"/>
      </w:r>
      <w:r>
        <w:t>17</w:t>
      </w:r>
      <w:r>
        <w:fldChar w:fldCharType="end"/>
      </w:r>
      <w:r>
        <w:fldChar w:fldCharType="end"/>
      </w:r>
    </w:p>
    <w:p>
      <w:pPr>
        <w:pStyle w:val="28"/>
        <w:tabs>
          <w:tab w:val="right" w:leader="dot" w:pos="9638"/>
        </w:tabs>
      </w:pPr>
      <w:r>
        <w:fldChar w:fldCharType="begin"/>
      </w:r>
      <w:r>
        <w:instrText xml:space="preserve"> HYPERLINK \l "_Toc26861" </w:instrText>
      </w:r>
      <w:r>
        <w:fldChar w:fldCharType="separate"/>
      </w:r>
      <w:r>
        <w:rPr>
          <w:rFonts w:hint="eastAsia" w:ascii="宋体" w:hAnsi="宋体" w:cs="宋体"/>
        </w:rPr>
        <w:t>第五章  技术标准</w:t>
      </w:r>
      <w:r>
        <w:tab/>
      </w:r>
      <w:r>
        <w:fldChar w:fldCharType="begin"/>
      </w:r>
      <w:r>
        <w:instrText xml:space="preserve"> PAGEREF _Toc26861 \h </w:instrText>
      </w:r>
      <w:r>
        <w:fldChar w:fldCharType="separate"/>
      </w:r>
      <w:r>
        <w:t>18</w:t>
      </w:r>
      <w:r>
        <w:fldChar w:fldCharType="end"/>
      </w:r>
      <w:r>
        <w:fldChar w:fldCharType="end"/>
      </w:r>
    </w:p>
    <w:p>
      <w:pPr>
        <w:pStyle w:val="28"/>
        <w:tabs>
          <w:tab w:val="right" w:leader="dot" w:pos="9638"/>
        </w:tabs>
      </w:pPr>
      <w:r>
        <w:fldChar w:fldCharType="begin"/>
      </w:r>
      <w:r>
        <w:instrText xml:space="preserve"> HYPERLINK \l "_Toc25698" </w:instrText>
      </w:r>
      <w:r>
        <w:fldChar w:fldCharType="separate"/>
      </w:r>
      <w:r>
        <w:rPr>
          <w:rFonts w:hint="eastAsia" w:ascii="宋体" w:hAnsi="宋体" w:cs="宋体"/>
        </w:rPr>
        <w:t>第六章  合同范本</w:t>
      </w:r>
      <w:r>
        <w:tab/>
      </w:r>
      <w:r>
        <w:fldChar w:fldCharType="begin"/>
      </w:r>
      <w:r>
        <w:instrText xml:space="preserve"> PAGEREF _Toc25698 \h </w:instrText>
      </w:r>
      <w:r>
        <w:fldChar w:fldCharType="separate"/>
      </w:r>
      <w:r>
        <w:t>21</w:t>
      </w:r>
      <w:r>
        <w:fldChar w:fldCharType="end"/>
      </w:r>
      <w:r>
        <w:fldChar w:fldCharType="end"/>
      </w:r>
    </w:p>
    <w:p>
      <w:pPr>
        <w:pStyle w:val="28"/>
        <w:tabs>
          <w:tab w:val="right" w:leader="dot" w:pos="9638"/>
        </w:tabs>
      </w:pPr>
      <w:r>
        <w:fldChar w:fldCharType="begin"/>
      </w:r>
      <w:r>
        <w:instrText xml:space="preserve"> HYPERLINK \l "_Toc16020" </w:instrText>
      </w:r>
      <w:r>
        <w:fldChar w:fldCharType="separate"/>
      </w:r>
      <w:r>
        <w:rPr>
          <w:rFonts w:hint="eastAsia" w:ascii="宋体" w:hAnsi="宋体" w:cs="宋体"/>
        </w:rPr>
        <w:t>第七章  竞争性比选响应文件格式</w:t>
      </w:r>
      <w:r>
        <w:tab/>
      </w:r>
      <w:r>
        <w:fldChar w:fldCharType="begin"/>
      </w:r>
      <w:r>
        <w:instrText xml:space="preserve"> PAGEREF _Toc16020 \h </w:instrText>
      </w:r>
      <w:r>
        <w:fldChar w:fldCharType="separate"/>
      </w:r>
      <w:r>
        <w:t>45</w:t>
      </w:r>
      <w:r>
        <w:fldChar w:fldCharType="end"/>
      </w:r>
      <w:r>
        <w:fldChar w:fldCharType="end"/>
      </w:r>
    </w:p>
    <w:p>
      <w:pPr>
        <w:pStyle w:val="34"/>
        <w:tabs>
          <w:tab w:val="right" w:leader="dot" w:pos="9638"/>
        </w:tabs>
      </w:pPr>
      <w:r>
        <w:fldChar w:fldCharType="begin"/>
      </w:r>
      <w:r>
        <w:instrText xml:space="preserve"> HYPERLINK \l "_Toc19387" </w:instrText>
      </w:r>
      <w:r>
        <w:fldChar w:fldCharType="separate"/>
      </w:r>
      <w:r>
        <w:rPr>
          <w:rFonts w:hint="eastAsia" w:ascii="宋体" w:hAnsi="宋体" w:cs="宋体"/>
        </w:rPr>
        <w:t>目    录</w:t>
      </w:r>
      <w:r>
        <w:tab/>
      </w:r>
      <w:r>
        <w:fldChar w:fldCharType="begin"/>
      </w:r>
      <w:r>
        <w:instrText xml:space="preserve"> PAGEREF _Toc19387 \h </w:instrText>
      </w:r>
      <w:r>
        <w:fldChar w:fldCharType="separate"/>
      </w:r>
      <w:r>
        <w:t>47</w:t>
      </w:r>
      <w:r>
        <w:fldChar w:fldCharType="end"/>
      </w:r>
      <w:r>
        <w:fldChar w:fldCharType="end"/>
      </w:r>
    </w:p>
    <w:p>
      <w:pPr>
        <w:pStyle w:val="34"/>
        <w:tabs>
          <w:tab w:val="right" w:leader="dot" w:pos="9638"/>
        </w:tabs>
      </w:pPr>
      <w:r>
        <w:fldChar w:fldCharType="begin"/>
      </w:r>
      <w:r>
        <w:instrText xml:space="preserve"> HYPERLINK \l "_Toc3269" </w:instrText>
      </w:r>
      <w:r>
        <w:fldChar w:fldCharType="separate"/>
      </w:r>
      <w:r>
        <w:rPr>
          <w:rFonts w:hint="eastAsia" w:ascii="宋体" w:hAnsi="宋体" w:cs="宋体"/>
        </w:rPr>
        <w:t>一、 竞争比选响应声明书</w:t>
      </w:r>
      <w:r>
        <w:tab/>
      </w:r>
      <w:r>
        <w:fldChar w:fldCharType="begin"/>
      </w:r>
      <w:r>
        <w:instrText xml:space="preserve"> PAGEREF _Toc3269 \h </w:instrText>
      </w:r>
      <w:r>
        <w:fldChar w:fldCharType="separate"/>
      </w:r>
      <w:r>
        <w:t>48</w:t>
      </w:r>
      <w:r>
        <w:fldChar w:fldCharType="end"/>
      </w:r>
      <w:r>
        <w:fldChar w:fldCharType="end"/>
      </w:r>
    </w:p>
    <w:p>
      <w:pPr>
        <w:pStyle w:val="34"/>
        <w:tabs>
          <w:tab w:val="right" w:leader="dot" w:pos="9638"/>
        </w:tabs>
      </w:pPr>
      <w:r>
        <w:fldChar w:fldCharType="begin"/>
      </w:r>
      <w:r>
        <w:instrText xml:space="preserve"> HYPERLINK \l "_Toc7450" </w:instrText>
      </w:r>
      <w:r>
        <w:fldChar w:fldCharType="separate"/>
      </w:r>
      <w:r>
        <w:rPr>
          <w:rFonts w:hint="eastAsia" w:ascii="宋体" w:hAnsi="宋体" w:cs="宋体"/>
        </w:rPr>
        <w:t>二、 法定代表人身份证明或法定代表人授权委托书</w:t>
      </w:r>
      <w:r>
        <w:tab/>
      </w:r>
      <w:r>
        <w:fldChar w:fldCharType="begin"/>
      </w:r>
      <w:r>
        <w:instrText xml:space="preserve"> PAGEREF _Toc7450 \h </w:instrText>
      </w:r>
      <w:r>
        <w:fldChar w:fldCharType="separate"/>
      </w:r>
      <w:r>
        <w:t>49</w:t>
      </w:r>
      <w:r>
        <w:fldChar w:fldCharType="end"/>
      </w:r>
      <w:r>
        <w:fldChar w:fldCharType="end"/>
      </w:r>
    </w:p>
    <w:p>
      <w:pPr>
        <w:pStyle w:val="34"/>
        <w:tabs>
          <w:tab w:val="right" w:leader="dot" w:pos="9638"/>
        </w:tabs>
      </w:pPr>
      <w:r>
        <w:fldChar w:fldCharType="begin"/>
      </w:r>
      <w:r>
        <w:instrText xml:space="preserve"> HYPERLINK \l "_Toc2796" </w:instrText>
      </w:r>
      <w:r>
        <w:fldChar w:fldCharType="separate"/>
      </w:r>
      <w:r>
        <w:rPr>
          <w:rFonts w:hint="eastAsia" w:ascii="宋体" w:hAnsi="宋体" w:cs="宋体"/>
          <w:szCs w:val="24"/>
        </w:rPr>
        <w:t>（一）法定代表人身份证明</w:t>
      </w:r>
      <w:r>
        <w:tab/>
      </w:r>
      <w:r>
        <w:fldChar w:fldCharType="begin"/>
      </w:r>
      <w:r>
        <w:instrText xml:space="preserve"> PAGEREF _Toc2796 \h </w:instrText>
      </w:r>
      <w:r>
        <w:fldChar w:fldCharType="separate"/>
      </w:r>
      <w:r>
        <w:t>49</w:t>
      </w:r>
      <w:r>
        <w:fldChar w:fldCharType="end"/>
      </w:r>
      <w:r>
        <w:fldChar w:fldCharType="end"/>
      </w:r>
    </w:p>
    <w:p>
      <w:pPr>
        <w:pStyle w:val="34"/>
        <w:tabs>
          <w:tab w:val="right" w:leader="dot" w:pos="9638"/>
        </w:tabs>
      </w:pPr>
      <w:r>
        <w:fldChar w:fldCharType="begin"/>
      </w:r>
      <w:r>
        <w:instrText xml:space="preserve"> HYPERLINK \l "_Toc22895" </w:instrText>
      </w:r>
      <w:r>
        <w:fldChar w:fldCharType="separate"/>
      </w:r>
      <w:r>
        <w:rPr>
          <w:rFonts w:hint="eastAsia" w:ascii="宋体" w:hAnsi="宋体" w:cs="宋体"/>
          <w:szCs w:val="24"/>
        </w:rPr>
        <w:t>（二）法定代表人授权委托书</w:t>
      </w:r>
      <w:r>
        <w:tab/>
      </w:r>
      <w:r>
        <w:fldChar w:fldCharType="begin"/>
      </w:r>
      <w:r>
        <w:instrText xml:space="preserve"> PAGEREF _Toc22895 \h </w:instrText>
      </w:r>
      <w:r>
        <w:fldChar w:fldCharType="separate"/>
      </w:r>
      <w:r>
        <w:t>50</w:t>
      </w:r>
      <w:r>
        <w:fldChar w:fldCharType="end"/>
      </w:r>
      <w:r>
        <w:fldChar w:fldCharType="end"/>
      </w:r>
    </w:p>
    <w:p>
      <w:pPr>
        <w:pStyle w:val="34"/>
        <w:tabs>
          <w:tab w:val="right" w:leader="dot" w:pos="9638"/>
        </w:tabs>
      </w:pPr>
      <w:r>
        <w:fldChar w:fldCharType="begin"/>
      </w:r>
      <w:r>
        <w:instrText xml:space="preserve"> HYPERLINK \l "_Toc2219" </w:instrText>
      </w:r>
      <w:r>
        <w:fldChar w:fldCharType="separate"/>
      </w:r>
      <w:r>
        <w:rPr>
          <w:rFonts w:hint="eastAsia" w:ascii="宋体" w:hAnsi="宋体" w:cs="宋体"/>
        </w:rPr>
        <w:t>三、 报价一览表</w:t>
      </w:r>
      <w:r>
        <w:tab/>
      </w:r>
      <w:r>
        <w:fldChar w:fldCharType="begin"/>
      </w:r>
      <w:r>
        <w:instrText xml:space="preserve"> PAGEREF _Toc2219 \h </w:instrText>
      </w:r>
      <w:r>
        <w:fldChar w:fldCharType="separate"/>
      </w:r>
      <w:r>
        <w:t>51</w:t>
      </w:r>
      <w:r>
        <w:fldChar w:fldCharType="end"/>
      </w:r>
      <w:r>
        <w:fldChar w:fldCharType="end"/>
      </w:r>
    </w:p>
    <w:p>
      <w:pPr>
        <w:pStyle w:val="34"/>
        <w:tabs>
          <w:tab w:val="right" w:leader="dot" w:pos="9638"/>
        </w:tabs>
      </w:pPr>
      <w:r>
        <w:fldChar w:fldCharType="begin"/>
      </w:r>
      <w:r>
        <w:instrText xml:space="preserve"> HYPERLINK \l "_Toc17048" </w:instrText>
      </w:r>
      <w:r>
        <w:fldChar w:fldCharType="separate"/>
      </w:r>
      <w:r>
        <w:rPr>
          <w:rFonts w:hint="eastAsia" w:ascii="宋体" w:hAnsi="宋体" w:cs="宋体"/>
        </w:rPr>
        <w:t>四、 审查资料</w:t>
      </w:r>
      <w:r>
        <w:tab/>
      </w:r>
      <w:r>
        <w:fldChar w:fldCharType="begin"/>
      </w:r>
      <w:r>
        <w:instrText xml:space="preserve"> PAGEREF _Toc17048 \h </w:instrText>
      </w:r>
      <w:r>
        <w:fldChar w:fldCharType="separate"/>
      </w:r>
      <w:r>
        <w:t>52</w:t>
      </w:r>
      <w:r>
        <w:fldChar w:fldCharType="end"/>
      </w:r>
      <w:r>
        <w:fldChar w:fldCharType="end"/>
      </w:r>
    </w:p>
    <w:p>
      <w:pPr>
        <w:pStyle w:val="34"/>
        <w:tabs>
          <w:tab w:val="right" w:leader="dot" w:pos="9638"/>
        </w:tabs>
      </w:pPr>
      <w:r>
        <w:fldChar w:fldCharType="begin"/>
      </w:r>
      <w:r>
        <w:instrText xml:space="preserve"> HYPERLINK \l "_Toc13858" </w:instrText>
      </w:r>
      <w:r>
        <w:fldChar w:fldCharType="separate"/>
      </w:r>
      <w:r>
        <w:rPr>
          <w:rFonts w:hint="eastAsia" w:ascii="宋体" w:hAnsi="宋体" w:cs="宋体"/>
          <w:bCs/>
          <w:kern w:val="0"/>
          <w:szCs w:val="32"/>
        </w:rPr>
        <w:t>资格审查资料</w:t>
      </w:r>
      <w:r>
        <w:tab/>
      </w:r>
      <w:r>
        <w:fldChar w:fldCharType="begin"/>
      </w:r>
      <w:r>
        <w:instrText xml:space="preserve"> PAGEREF _Toc13858 \h </w:instrText>
      </w:r>
      <w:r>
        <w:fldChar w:fldCharType="separate"/>
      </w:r>
      <w:r>
        <w:t>52</w:t>
      </w:r>
      <w:r>
        <w:fldChar w:fldCharType="end"/>
      </w:r>
      <w:r>
        <w:fldChar w:fldCharType="end"/>
      </w:r>
    </w:p>
    <w:p>
      <w:pPr>
        <w:pStyle w:val="34"/>
        <w:tabs>
          <w:tab w:val="right" w:leader="dot" w:pos="9638"/>
        </w:tabs>
      </w:pPr>
      <w:r>
        <w:fldChar w:fldCharType="begin"/>
      </w:r>
      <w:r>
        <w:instrText xml:space="preserve"> HYPERLINK \l "_Toc20231" </w:instrText>
      </w:r>
      <w:r>
        <w:fldChar w:fldCharType="separate"/>
      </w:r>
      <w:r>
        <w:rPr>
          <w:rFonts w:hint="eastAsia" w:ascii="宋体" w:hAnsi="宋体" w:cs="宋体"/>
          <w:bCs/>
          <w:kern w:val="0"/>
          <w:szCs w:val="32"/>
        </w:rPr>
        <w:t>（二）商务评分资料</w:t>
      </w:r>
      <w:r>
        <w:tab/>
      </w:r>
      <w:r>
        <w:fldChar w:fldCharType="begin"/>
      </w:r>
      <w:r>
        <w:instrText xml:space="preserve"> PAGEREF _Toc20231 \h </w:instrText>
      </w:r>
      <w:r>
        <w:fldChar w:fldCharType="separate"/>
      </w:r>
      <w:r>
        <w:t>52</w:t>
      </w:r>
      <w:r>
        <w:fldChar w:fldCharType="end"/>
      </w:r>
      <w:r>
        <w:fldChar w:fldCharType="end"/>
      </w:r>
    </w:p>
    <w:p>
      <w:pPr>
        <w:pStyle w:val="34"/>
        <w:tabs>
          <w:tab w:val="right" w:leader="dot" w:pos="9638"/>
        </w:tabs>
      </w:pPr>
      <w:r>
        <w:fldChar w:fldCharType="begin"/>
      </w:r>
      <w:r>
        <w:instrText xml:space="preserve"> HYPERLINK \l "_Toc25471" </w:instrText>
      </w:r>
      <w:r>
        <w:fldChar w:fldCharType="separate"/>
      </w:r>
      <w:r>
        <w:rPr>
          <w:rFonts w:hint="eastAsia" w:ascii="宋体" w:hAnsi="宋体" w:cs="宋体"/>
          <w:bCs/>
          <w:kern w:val="0"/>
          <w:szCs w:val="32"/>
        </w:rPr>
        <w:t>（三）技术方案</w:t>
      </w:r>
      <w:r>
        <w:tab/>
      </w:r>
      <w:r>
        <w:fldChar w:fldCharType="begin"/>
      </w:r>
      <w:r>
        <w:instrText xml:space="preserve"> PAGEREF _Toc25471 \h </w:instrText>
      </w:r>
      <w:r>
        <w:fldChar w:fldCharType="separate"/>
      </w:r>
      <w:r>
        <w:t>53</w:t>
      </w:r>
      <w:r>
        <w:fldChar w:fldCharType="end"/>
      </w:r>
      <w:r>
        <w:fldChar w:fldCharType="end"/>
      </w:r>
    </w:p>
    <w:p>
      <w:pPr>
        <w:pStyle w:val="34"/>
        <w:tabs>
          <w:tab w:val="right" w:leader="dot" w:pos="9638"/>
        </w:tabs>
      </w:pPr>
      <w:r>
        <w:fldChar w:fldCharType="begin"/>
      </w:r>
      <w:r>
        <w:instrText xml:space="preserve"> HYPERLINK \l "_Toc7055" </w:instrText>
      </w:r>
      <w:r>
        <w:fldChar w:fldCharType="separate"/>
      </w:r>
      <w:r>
        <w:rPr>
          <w:rFonts w:hint="eastAsia" w:ascii="宋体" w:hAnsi="宋体" w:cs="宋体"/>
        </w:rPr>
        <w:t>五、 报价人承诺</w:t>
      </w:r>
      <w:r>
        <w:tab/>
      </w:r>
      <w:r>
        <w:fldChar w:fldCharType="begin"/>
      </w:r>
      <w:r>
        <w:instrText xml:space="preserve"> PAGEREF _Toc7055 \h </w:instrText>
      </w:r>
      <w:r>
        <w:fldChar w:fldCharType="separate"/>
      </w:r>
      <w:r>
        <w:t>54</w:t>
      </w:r>
      <w:r>
        <w:fldChar w:fldCharType="end"/>
      </w:r>
      <w:r>
        <w:fldChar w:fldCharType="end"/>
      </w:r>
    </w:p>
    <w:p>
      <w:pPr>
        <w:pStyle w:val="34"/>
        <w:tabs>
          <w:tab w:val="right" w:leader="dot" w:pos="9638"/>
        </w:tabs>
      </w:pPr>
      <w:r>
        <w:fldChar w:fldCharType="begin"/>
      </w:r>
      <w:r>
        <w:instrText xml:space="preserve"> HYPERLINK \l "_Toc6695" </w:instrText>
      </w:r>
      <w:r>
        <w:fldChar w:fldCharType="separate"/>
      </w:r>
      <w:r>
        <w:rPr>
          <w:rFonts w:hint="eastAsia" w:ascii="宋体" w:hAnsi="宋体" w:cs="宋体"/>
        </w:rPr>
        <w:t>六、 报价人提供的其他资料（如有）</w:t>
      </w:r>
      <w:r>
        <w:tab/>
      </w:r>
      <w:r>
        <w:fldChar w:fldCharType="begin"/>
      </w:r>
      <w:r>
        <w:instrText xml:space="preserve"> PAGEREF _Toc6695 \h </w:instrText>
      </w:r>
      <w:r>
        <w:fldChar w:fldCharType="separate"/>
      </w:r>
      <w:r>
        <w:t>54</w:t>
      </w:r>
      <w:r>
        <w:fldChar w:fldCharType="end"/>
      </w:r>
      <w:r>
        <w:fldChar w:fldCharType="end"/>
      </w:r>
    </w:p>
    <w:p>
      <w:pPr>
        <w:pStyle w:val="34"/>
        <w:tabs>
          <w:tab w:val="right" w:leader="dot" w:pos="9628"/>
        </w:tabs>
        <w:ind w:left="0"/>
        <w:rPr>
          <w:rFonts w:ascii="宋体" w:hAnsi="宋体" w:cs="宋体"/>
          <w:b/>
          <w:bCs/>
          <w:caps/>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rPr>
        <w:fldChar w:fldCharType="end"/>
      </w:r>
    </w:p>
    <w:p>
      <w:pPr>
        <w:pStyle w:val="3"/>
        <w:spacing w:before="0" w:after="0" w:line="360" w:lineRule="auto"/>
        <w:jc w:val="center"/>
        <w:rPr>
          <w:rFonts w:ascii="宋体" w:hAnsi="宋体" w:cs="宋体"/>
        </w:rPr>
      </w:pPr>
      <w:bookmarkStart w:id="5" w:name="_Toc152045511"/>
      <w:bookmarkStart w:id="6" w:name="_Toc507319890"/>
      <w:bookmarkStart w:id="7" w:name="_Toc2000404"/>
      <w:bookmarkStart w:id="8" w:name="_Toc152042287"/>
      <w:bookmarkStart w:id="9" w:name="_Toc246996900"/>
      <w:bookmarkStart w:id="10" w:name="_Toc144974479"/>
      <w:bookmarkStart w:id="11" w:name="_Toc247096243"/>
      <w:bookmarkStart w:id="12" w:name="_Toc179632527"/>
      <w:bookmarkStart w:id="13" w:name="_Toc246996157"/>
      <w:bookmarkStart w:id="14" w:name="_Toc247085671"/>
      <w:bookmarkStart w:id="15" w:name="_Toc23346"/>
      <w:r>
        <w:rPr>
          <w:rFonts w:hint="eastAsia" w:ascii="宋体" w:hAnsi="宋体" w:cs="宋体"/>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rPr>
        <w:t>比选公告</w:t>
      </w:r>
      <w:bookmarkEnd w:id="15"/>
    </w:p>
    <w:p>
      <w:pPr>
        <w:spacing w:line="440" w:lineRule="exact"/>
        <w:jc w:val="center"/>
        <w:rPr>
          <w:rFonts w:ascii="宋体" w:hAnsi="宋体" w:cs="宋体"/>
          <w:b/>
          <w:sz w:val="28"/>
          <w:szCs w:val="28"/>
        </w:rPr>
      </w:pPr>
      <w:bookmarkStart w:id="891" w:name="_GoBack"/>
      <w:bookmarkStart w:id="16" w:name="OLE_LINK2"/>
      <w:bookmarkStart w:id="17" w:name="OLE_LINK3"/>
    </w:p>
    <w:p>
      <w:pPr>
        <w:pStyle w:val="4"/>
        <w:spacing w:before="0" w:after="0" w:line="360" w:lineRule="auto"/>
        <w:rPr>
          <w:rFonts w:ascii="宋体" w:hAnsi="宋体" w:eastAsia="宋体" w:cs="宋体"/>
        </w:rPr>
      </w:pPr>
      <w:bookmarkStart w:id="18" w:name="_Toc11329213"/>
      <w:bookmarkStart w:id="19" w:name="_Toc7525"/>
      <w:bookmarkStart w:id="20" w:name="_Toc144974480"/>
      <w:bookmarkStart w:id="21" w:name="_Toc179632528"/>
      <w:bookmarkStart w:id="22" w:name="_Toc247085672"/>
      <w:bookmarkStart w:id="23" w:name="_Toc152045512"/>
      <w:bookmarkStart w:id="24" w:name="_Toc152042288"/>
      <w:bookmarkStart w:id="25" w:name="_Toc90"/>
      <w:bookmarkStart w:id="26" w:name="_Toc507319891"/>
      <w:bookmarkStart w:id="27" w:name="_Toc24874"/>
      <w:bookmarkStart w:id="28" w:name="_Toc6549"/>
      <w:bookmarkStart w:id="29" w:name="_Toc10076"/>
      <w:bookmarkStart w:id="30" w:name="_Toc246996901"/>
      <w:bookmarkStart w:id="31" w:name="_Toc246996158"/>
      <w:r>
        <w:rPr>
          <w:rFonts w:hint="eastAsia" w:ascii="宋体" w:hAnsi="宋体" w:eastAsia="宋体" w:cs="宋体"/>
        </w:rPr>
        <w:t>1. 比选条件</w:t>
      </w:r>
      <w:bookmarkEnd w:id="18"/>
      <w:bookmarkEnd w:id="19"/>
      <w:bookmarkEnd w:id="20"/>
      <w:bookmarkEnd w:id="21"/>
      <w:bookmarkEnd w:id="22"/>
      <w:bookmarkEnd w:id="23"/>
      <w:bookmarkEnd w:id="24"/>
      <w:bookmarkEnd w:id="25"/>
      <w:bookmarkEnd w:id="26"/>
      <w:bookmarkEnd w:id="27"/>
      <w:bookmarkEnd w:id="28"/>
      <w:bookmarkEnd w:id="29"/>
      <w:bookmarkEnd w:id="30"/>
      <w:bookmarkEnd w:id="31"/>
    </w:p>
    <w:p>
      <w:pPr>
        <w:spacing w:line="400" w:lineRule="exact"/>
        <w:rPr>
          <w:rFonts w:ascii="宋体" w:hAnsi="宋体" w:cs="宋体"/>
          <w:szCs w:val="21"/>
        </w:rPr>
      </w:pPr>
      <w:r>
        <w:rPr>
          <w:rFonts w:hint="eastAsia" w:ascii="宋体" w:hAnsi="宋体" w:cs="宋体"/>
          <w:szCs w:val="21"/>
        </w:rPr>
        <w:t>　　本竞争性比选项目</w:t>
      </w:r>
      <w:r>
        <w:rPr>
          <w:rFonts w:hint="eastAsia" w:ascii="宋体" w:hAnsi="宋体" w:cs="宋体"/>
          <w:szCs w:val="21"/>
          <w:u w:val="single"/>
        </w:rPr>
        <w:t>渝湘复线PPP项目巴水（K0+000~K76+541）段机电工程项目聚氨酯管箱及复合支架采购</w:t>
      </w:r>
      <w:r>
        <w:rPr>
          <w:rFonts w:hint="eastAsia" w:ascii="宋体" w:hAnsi="宋体" w:cs="宋体"/>
          <w:szCs w:val="21"/>
        </w:rPr>
        <w:t>，采购人为</w:t>
      </w:r>
      <w:r>
        <w:rPr>
          <w:rFonts w:hint="eastAsia" w:ascii="宋体" w:hAnsi="宋体" w:cs="宋体"/>
          <w:szCs w:val="21"/>
          <w:u w:val="single"/>
        </w:rPr>
        <w:t xml:space="preserve"> 重庆首讯科技股份有限公司 </w:t>
      </w:r>
      <w:r>
        <w:rPr>
          <w:rFonts w:hint="eastAsia" w:ascii="宋体" w:hAnsi="宋体" w:cs="宋体"/>
          <w:szCs w:val="21"/>
        </w:rPr>
        <w:t>，该项目已具备比选条件，现对该项目进行竞争性比选。</w:t>
      </w:r>
    </w:p>
    <w:p>
      <w:pPr>
        <w:pStyle w:val="4"/>
        <w:spacing w:before="120" w:after="0" w:line="360" w:lineRule="auto"/>
        <w:rPr>
          <w:rFonts w:ascii="宋体" w:hAnsi="宋体" w:eastAsia="宋体" w:cs="宋体"/>
        </w:rPr>
      </w:pPr>
      <w:bookmarkStart w:id="32" w:name="_Toc247085673"/>
      <w:bookmarkStart w:id="33" w:name="_Toc246996159"/>
      <w:bookmarkStart w:id="34" w:name="_Toc144974481"/>
      <w:bookmarkStart w:id="35" w:name="_Toc21343"/>
      <w:bookmarkStart w:id="36" w:name="_Toc18109"/>
      <w:bookmarkStart w:id="37" w:name="_Toc179632529"/>
      <w:bookmarkStart w:id="38" w:name="_Toc11329214"/>
      <w:bookmarkStart w:id="39" w:name="_Toc152045513"/>
      <w:bookmarkStart w:id="40" w:name="_Toc152042289"/>
      <w:bookmarkStart w:id="41" w:name="_Toc23060"/>
      <w:bookmarkStart w:id="42" w:name="_Toc507319892"/>
      <w:bookmarkStart w:id="43" w:name="_Toc246996902"/>
      <w:bookmarkStart w:id="44" w:name="_Toc4826"/>
      <w:bookmarkStart w:id="45" w:name="_Toc10952"/>
      <w:r>
        <w:rPr>
          <w:rFonts w:hint="eastAsia" w:ascii="宋体" w:hAnsi="宋体" w:eastAsia="宋体" w:cs="宋体"/>
        </w:rPr>
        <w:t>2. 项目概况与采购范围</w:t>
      </w:r>
      <w:bookmarkEnd w:id="32"/>
      <w:bookmarkEnd w:id="33"/>
      <w:bookmarkEnd w:id="34"/>
      <w:bookmarkEnd w:id="35"/>
      <w:bookmarkEnd w:id="36"/>
      <w:bookmarkEnd w:id="37"/>
      <w:bookmarkEnd w:id="38"/>
      <w:bookmarkEnd w:id="39"/>
      <w:bookmarkEnd w:id="40"/>
      <w:bookmarkEnd w:id="41"/>
      <w:bookmarkEnd w:id="42"/>
      <w:bookmarkEnd w:id="43"/>
      <w:bookmarkEnd w:id="44"/>
      <w:bookmarkEnd w:id="45"/>
    </w:p>
    <w:p>
      <w:pPr>
        <w:pStyle w:val="13"/>
        <w:adjustRightInd w:val="0"/>
        <w:spacing w:line="400" w:lineRule="exact"/>
        <w:rPr>
          <w:rFonts w:ascii="宋体" w:hAnsi="宋体" w:cs="宋体"/>
          <w:szCs w:val="21"/>
          <w:u w:val="single"/>
        </w:rPr>
      </w:pPr>
      <w:bookmarkStart w:id="46" w:name="_Toc446247226"/>
      <w:r>
        <w:rPr>
          <w:rFonts w:hint="eastAsia" w:ascii="宋体" w:hAnsi="宋体" w:cs="宋体"/>
        </w:rPr>
        <w:t xml:space="preserve">2.1 </w:t>
      </w:r>
      <w:bookmarkEnd w:id="46"/>
      <w:r>
        <w:rPr>
          <w:rFonts w:hint="eastAsia" w:ascii="宋体" w:hAnsi="宋体" w:cs="宋体"/>
          <w:szCs w:val="21"/>
        </w:rPr>
        <w:t>项目概况：</w:t>
      </w:r>
      <w:r>
        <w:rPr>
          <w:rFonts w:hint="eastAsia"/>
        </w:rPr>
        <w:t>本项目起于巴南区鹿角天鹿大道东延线，止于千南川区水江镇，连接水江至彭水段起点（水江互通起点）。路线全长76.54Km,本项目施工范围为通信、监控、路段供配电、路段照明系统及隧道监控、隧道通风、隧道照明、隧道供配电、隧道消防(包括防火门)、高低位水池、水井、收费岛、永临结合用电工程等施工图范围内的近期和远期的机电工程施工。本项目工期为12个月，预计通车时间为：2024年5月，具体以项目实际进度为准。推进项目建设，本次拟采购</w:t>
      </w:r>
      <w:r>
        <w:rPr>
          <w:rFonts w:hint="eastAsia" w:ascii="宋体" w:hAnsi="宋体" w:cs="宋体"/>
          <w:szCs w:val="21"/>
          <w:u w:val="single"/>
        </w:rPr>
        <w:t>聚氨酯管箱及复合支架</w:t>
      </w:r>
      <w:r>
        <w:rPr>
          <w:rFonts w:hint="eastAsia"/>
        </w:rPr>
        <w:t>。</w:t>
      </w:r>
    </w:p>
    <w:p>
      <w:pPr>
        <w:spacing w:line="400" w:lineRule="exact"/>
        <w:ind w:firstLine="420" w:firstLineChars="200"/>
        <w:rPr>
          <w:rFonts w:hint="eastAsia" w:ascii="宋体" w:hAnsi="宋体" w:cs="宋体"/>
        </w:rPr>
      </w:pPr>
      <w:r>
        <w:rPr>
          <w:rFonts w:hint="eastAsia" w:ascii="宋体" w:hAnsi="宋体" w:cs="宋体"/>
        </w:rPr>
        <w:t>2.2 采购内容：括完成</w:t>
      </w:r>
      <w:r>
        <w:rPr>
          <w:rFonts w:hint="eastAsia" w:ascii="宋体" w:hAnsi="宋体" w:cs="宋体"/>
          <w:szCs w:val="21"/>
          <w:u w:val="single"/>
        </w:rPr>
        <w:t>聚氨酯管箱</w:t>
      </w:r>
      <w:r>
        <w:rPr>
          <w:rFonts w:hint="eastAsia" w:ascii="宋体" w:hAnsi="宋体" w:cs="宋体"/>
        </w:rPr>
        <w:t>、</w:t>
      </w:r>
      <w:r>
        <w:rPr>
          <w:rFonts w:hint="eastAsia" w:ascii="宋体" w:hAnsi="宋体" w:cs="宋体"/>
          <w:szCs w:val="21"/>
          <w:u w:val="single"/>
        </w:rPr>
        <w:t>复合支架</w:t>
      </w:r>
      <w:r>
        <w:rPr>
          <w:rFonts w:hint="eastAsia" w:ascii="宋体" w:hAnsi="宋体" w:cs="宋体"/>
        </w:rPr>
        <w:t>及其安装附件的供货、装货、运输（含包装、保险），以及质量保证期内的换货和其它相关伴随服务等工作内容。</w:t>
      </w:r>
    </w:p>
    <w:p>
      <w:pPr>
        <w:pStyle w:val="12"/>
        <w:rPr>
          <w:rFonts w:hint="default" w:eastAsia="宋体"/>
          <w:lang w:val="en-US" w:eastAsia="zh-CN"/>
        </w:rPr>
      </w:pPr>
      <w:r>
        <w:rPr>
          <w:rFonts w:hint="eastAsia"/>
          <w:lang w:val="en-US" w:eastAsia="zh-CN"/>
        </w:rPr>
        <w:t>2.3采购预估金额：153.82万元</w:t>
      </w:r>
    </w:p>
    <w:p>
      <w:pPr>
        <w:spacing w:line="400" w:lineRule="exact"/>
        <w:ind w:firstLine="420" w:firstLineChars="200"/>
        <w:rPr>
          <w:rFonts w:hint="eastAsia" w:ascii="宋体" w:hAnsi="宋体" w:cs="宋体"/>
        </w:rPr>
      </w:pPr>
      <w:r>
        <w:rPr>
          <w:rFonts w:hint="eastAsia" w:ascii="宋体" w:hAnsi="宋体" w:cs="宋体"/>
          <w:snapToGrid w:val="0"/>
          <w:color w:val="auto"/>
          <w:kern w:val="0"/>
          <w:szCs w:val="21"/>
          <w:highlight w:val="none"/>
          <w:lang w:val="en-US" w:eastAsia="zh-CN"/>
        </w:rPr>
        <w:t>2.4</w:t>
      </w:r>
      <w:r>
        <w:rPr>
          <w:rFonts w:hint="eastAsia" w:ascii="宋体" w:hAnsi="宋体" w:eastAsia="宋体" w:cs="宋体"/>
          <w:snapToGrid w:val="0"/>
          <w:color w:val="auto"/>
          <w:kern w:val="0"/>
          <w:szCs w:val="21"/>
          <w:highlight w:val="none"/>
          <w:lang w:val="en-US" w:eastAsia="zh-CN"/>
        </w:rPr>
        <w:t>交货地点：</w:t>
      </w:r>
      <w:r>
        <w:rPr>
          <w:rFonts w:hint="eastAsia" w:ascii="宋体" w:hAnsi="宋体" w:eastAsia="宋体" w:cs="宋体"/>
          <w:snapToGrid w:val="0"/>
          <w:color w:val="auto"/>
          <w:kern w:val="0"/>
          <w:szCs w:val="21"/>
          <w:highlight w:val="none"/>
          <w:u w:val="single"/>
          <w:lang w:val="en-US" w:eastAsia="zh-CN"/>
        </w:rPr>
        <w:t>渝湘复线PPP项目巴水段（K0+000~K76+541）机电工程施工现场指定地点</w:t>
      </w:r>
      <w:r>
        <w:rPr>
          <w:rFonts w:hint="eastAsia" w:ascii="宋体" w:hAnsi="宋体" w:cs="宋体"/>
          <w:snapToGrid w:val="0"/>
          <w:color w:val="auto"/>
          <w:kern w:val="0"/>
          <w:szCs w:val="21"/>
          <w:highlight w:val="none"/>
          <w:u w:val="single"/>
          <w:lang w:val="en-US" w:eastAsia="zh-CN"/>
        </w:rPr>
        <w:t>。</w:t>
      </w:r>
    </w:p>
    <w:p>
      <w:pPr>
        <w:spacing w:line="400" w:lineRule="exact"/>
        <w:ind w:firstLine="420" w:firstLineChars="200"/>
        <w:rPr>
          <w:rFonts w:hint="eastAsia" w:ascii="宋体" w:hAnsi="宋体" w:cs="宋体"/>
          <w:highlight w:val="none"/>
        </w:rPr>
      </w:pPr>
      <w:r>
        <w:rPr>
          <w:rFonts w:hint="eastAsia" w:ascii="宋体" w:hAnsi="宋体" w:cs="宋体"/>
          <w:lang w:val="en-US" w:eastAsia="zh-CN"/>
        </w:rPr>
        <w:t>2.5交货</w:t>
      </w:r>
      <w:r>
        <w:rPr>
          <w:rFonts w:hint="eastAsia" w:ascii="宋体" w:hAnsi="宋体" w:cs="宋体"/>
          <w:highlight w:val="none"/>
        </w:rPr>
        <w:t>期限：累计供货期预计12个月，单批次供货期为收到业主订单后10日内送货至现场。</w:t>
      </w:r>
    </w:p>
    <w:p>
      <w:pPr>
        <w:spacing w:line="400" w:lineRule="exact"/>
        <w:ind w:firstLine="420" w:firstLineChars="200"/>
        <w:rPr>
          <w:rFonts w:ascii="宋体" w:hAnsi="宋体" w:cs="宋体"/>
          <w:szCs w:val="21"/>
        </w:rPr>
      </w:pPr>
      <w:r>
        <w:rPr>
          <w:rFonts w:hint="eastAsia" w:ascii="宋体" w:hAnsi="宋体" w:cs="宋体"/>
        </w:rPr>
        <w:t>2.</w:t>
      </w:r>
      <w:r>
        <w:rPr>
          <w:rFonts w:hint="eastAsia" w:ascii="宋体" w:hAnsi="宋体" w:cs="宋体"/>
          <w:lang w:val="en-US" w:eastAsia="zh-CN"/>
        </w:rPr>
        <w:t>6</w:t>
      </w:r>
      <w:r>
        <w:rPr>
          <w:rFonts w:hint="eastAsia" w:ascii="宋体" w:hAnsi="宋体" w:cs="宋体"/>
        </w:rPr>
        <w:t>标段划分：</w:t>
      </w:r>
      <w:r>
        <w:rPr>
          <w:rFonts w:hint="eastAsia" w:ascii="宋体" w:hAnsi="宋体" w:cs="宋体"/>
          <w:szCs w:val="21"/>
        </w:rPr>
        <w:t>本次竞争性比选分为1个合同段。</w:t>
      </w:r>
    </w:p>
    <w:p>
      <w:pPr>
        <w:pStyle w:val="4"/>
        <w:spacing w:before="120" w:after="0" w:line="360" w:lineRule="auto"/>
        <w:rPr>
          <w:rFonts w:ascii="宋体" w:hAnsi="宋体" w:eastAsia="宋体" w:cs="宋体"/>
        </w:rPr>
      </w:pPr>
      <w:bookmarkStart w:id="47" w:name="_Toc152042290"/>
      <w:bookmarkStart w:id="48" w:name="_Toc144974482"/>
      <w:bookmarkStart w:id="49" w:name="_Toc7065"/>
      <w:bookmarkStart w:id="50" w:name="_Toc246996160"/>
      <w:bookmarkStart w:id="51" w:name="_Toc247085674"/>
      <w:bookmarkStart w:id="52" w:name="_Toc23184"/>
      <w:bookmarkStart w:id="53" w:name="_Toc21728"/>
      <w:bookmarkStart w:id="54" w:name="_Toc30356"/>
      <w:bookmarkStart w:id="55" w:name="_Toc246996903"/>
      <w:bookmarkStart w:id="56" w:name="_Toc507319893"/>
      <w:bookmarkStart w:id="57" w:name="_Toc11329215"/>
      <w:bookmarkStart w:id="58" w:name="_Toc179632530"/>
      <w:bookmarkStart w:id="59" w:name="_Toc10171"/>
      <w:bookmarkStart w:id="60" w:name="_Toc152045514"/>
      <w:r>
        <w:rPr>
          <w:rFonts w:hint="eastAsia" w:ascii="宋体" w:hAnsi="宋体" w:eastAsia="宋体" w:cs="宋体"/>
        </w:rPr>
        <w:t>3. 报价人资格要求</w:t>
      </w:r>
      <w:bookmarkEnd w:id="47"/>
      <w:bookmarkEnd w:id="48"/>
      <w:bookmarkEnd w:id="49"/>
      <w:bookmarkEnd w:id="50"/>
      <w:bookmarkEnd w:id="51"/>
      <w:bookmarkEnd w:id="52"/>
      <w:bookmarkEnd w:id="53"/>
      <w:bookmarkEnd w:id="54"/>
      <w:bookmarkEnd w:id="55"/>
      <w:bookmarkEnd w:id="56"/>
      <w:bookmarkEnd w:id="57"/>
      <w:bookmarkEnd w:id="58"/>
      <w:bookmarkEnd w:id="59"/>
      <w:bookmarkEnd w:id="60"/>
    </w:p>
    <w:p>
      <w:pPr>
        <w:spacing w:line="400" w:lineRule="exact"/>
        <w:ind w:firstLine="420" w:firstLineChars="200"/>
        <w:rPr>
          <w:rFonts w:ascii="宋体" w:hAnsi="宋体" w:cs="宋体"/>
          <w:szCs w:val="21"/>
          <w:shd w:val="clear" w:color="auto" w:fill="FFFFFF"/>
        </w:rPr>
      </w:pPr>
      <w:bookmarkStart w:id="61" w:name="_Toc144974483"/>
      <w:bookmarkStart w:id="62" w:name="_Toc246996904"/>
      <w:bookmarkStart w:id="63" w:name="_Toc246996161"/>
      <w:bookmarkStart w:id="64" w:name="_Toc152042291"/>
      <w:bookmarkStart w:id="65" w:name="_Toc247085675"/>
      <w:bookmarkStart w:id="66" w:name="_Toc152045515"/>
      <w:bookmarkStart w:id="67" w:name="_Toc179632531"/>
      <w:r>
        <w:rPr>
          <w:rFonts w:hint="eastAsia" w:ascii="宋体" w:hAnsi="宋体" w:cs="宋体"/>
          <w:szCs w:val="21"/>
          <w:shd w:val="clear" w:color="auto" w:fill="FFFFFF"/>
        </w:rPr>
        <w:t>3.1 具有独立法人资格，具有有效的营业执照。</w:t>
      </w:r>
    </w:p>
    <w:p>
      <w:pPr>
        <w:spacing w:line="400" w:lineRule="exact"/>
        <w:ind w:firstLine="420" w:firstLineChars="200"/>
        <w:rPr>
          <w:rFonts w:hint="default" w:ascii="宋体" w:hAnsi="宋体" w:eastAsia="宋体" w:cs="宋体"/>
          <w:szCs w:val="21"/>
          <w:shd w:val="clear" w:color="auto" w:fill="FFFFFF"/>
          <w:lang w:val="en-US" w:eastAsia="zh-CN"/>
        </w:rPr>
      </w:pPr>
      <w:r>
        <w:rPr>
          <w:rFonts w:hint="eastAsia" w:ascii="宋体" w:hAnsi="宋体" w:cs="宋体"/>
          <w:szCs w:val="21"/>
          <w:shd w:val="clear" w:color="auto" w:fill="FFFFFF"/>
        </w:rPr>
        <w:t xml:space="preserve">3.2 </w:t>
      </w:r>
      <w:r>
        <w:rPr>
          <w:rFonts w:hint="eastAsia" w:ascii="宋体" w:hAnsi="宋体" w:cs="宋体"/>
          <w:szCs w:val="21"/>
          <w:shd w:val="clear" w:color="auto" w:fill="FFFFFF"/>
          <w:lang w:val="en-US" w:eastAsia="zh-CN"/>
        </w:rPr>
        <w:t>需为聚氨酯管箱及复合支架的生产厂家，提供生产</w:t>
      </w:r>
      <w:r>
        <w:rPr>
          <w:rFonts w:hint="eastAsia" w:ascii="宋体" w:hAnsi="宋体" w:cs="宋体"/>
          <w:color w:val="auto"/>
          <w:szCs w:val="21"/>
          <w:lang w:val="en-US" w:eastAsia="zh-CN"/>
        </w:rPr>
        <w:t>厂家</w:t>
      </w:r>
      <w:r>
        <w:rPr>
          <w:rFonts w:hint="eastAsia" w:ascii="宋体" w:hAnsi="宋体" w:eastAsia="宋体" w:cs="宋体"/>
          <w:color w:val="auto"/>
          <w:szCs w:val="21"/>
          <w:lang w:val="en-US" w:eastAsia="zh-CN"/>
        </w:rPr>
        <w:t>资格声明</w:t>
      </w:r>
      <w:r>
        <w:rPr>
          <w:rFonts w:hint="eastAsia" w:ascii="宋体" w:hAnsi="宋体" w:cs="宋体"/>
          <w:color w:val="auto"/>
          <w:szCs w:val="21"/>
          <w:lang w:val="en-US" w:eastAsia="zh-CN"/>
        </w:rPr>
        <w:t>。</w:t>
      </w:r>
    </w:p>
    <w:p>
      <w:pPr>
        <w:spacing w:line="400" w:lineRule="exact"/>
        <w:ind w:firstLine="420" w:firstLineChars="200"/>
        <w:rPr>
          <w:rFonts w:ascii="宋体" w:hAnsi="宋体" w:cs="宋体"/>
          <w:szCs w:val="21"/>
          <w:shd w:val="clear" w:color="auto" w:fill="FFFFFF"/>
        </w:rPr>
      </w:pPr>
      <w:r>
        <w:rPr>
          <w:rFonts w:hint="eastAsia" w:ascii="宋体" w:hAnsi="宋体" w:cs="宋体"/>
          <w:szCs w:val="21"/>
          <w:lang w:val="en-US" w:eastAsia="zh-CN"/>
        </w:rPr>
        <w:t>3.3产品要求</w:t>
      </w:r>
      <w:r>
        <w:rPr>
          <w:rFonts w:hint="eastAsia" w:ascii="宋体" w:hAnsi="宋体" w:cs="宋体"/>
          <w:szCs w:val="21"/>
        </w:rPr>
        <w:t>：</w:t>
      </w:r>
      <w:r>
        <w:rPr>
          <w:rFonts w:hint="eastAsia" w:ascii="宋体" w:hAnsi="宋体" w:cs="宋体"/>
          <w:szCs w:val="21"/>
          <w:shd w:val="clear" w:color="auto" w:fill="FFFFFF"/>
        </w:rPr>
        <w:t>所投产品需具有国家交通安全设施质量监督检验中心出具的检测报告。</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3.3业绩要求：2020年1月1日至报价截止日期（以合同签订时间为准）至少</w:t>
      </w:r>
      <w:r>
        <w:rPr>
          <w:rFonts w:hint="eastAsia" w:ascii="宋体" w:hAnsi="宋体" w:cs="宋体"/>
          <w:szCs w:val="21"/>
          <w:shd w:val="clear" w:color="auto" w:fill="FFFFFF"/>
          <w:lang w:val="en-US" w:eastAsia="zh-CN"/>
        </w:rPr>
        <w:t>完成</w:t>
      </w:r>
      <w:r>
        <w:rPr>
          <w:rFonts w:hint="eastAsia" w:ascii="宋体" w:hAnsi="宋体" w:cs="宋体"/>
          <w:szCs w:val="21"/>
          <w:shd w:val="clear" w:color="auto" w:fill="FFFFFF"/>
        </w:rPr>
        <w:t>一项110万及以上类似材料供货合同业绩。</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w:t>
      </w:r>
      <w:r>
        <w:rPr>
          <w:rFonts w:hint="eastAsia" w:ascii="宋体" w:hAnsi="宋体" w:cs="宋体"/>
          <w:szCs w:val="21"/>
          <w:shd w:val="clear" w:color="auto" w:fill="FFFFFF"/>
          <w:lang w:val="en-US" w:eastAsia="zh-CN"/>
        </w:rPr>
        <w:t>4</w:t>
      </w:r>
      <w:r>
        <w:rPr>
          <w:rFonts w:hint="eastAsia" w:ascii="宋体" w:hAnsi="宋体" w:cs="宋体"/>
          <w:szCs w:val="21"/>
          <w:shd w:val="clear" w:color="auto" w:fill="FFFFFF"/>
        </w:rPr>
        <w:t>信誉要求：在国家企业信用信息公示系统（http://www.gsxt.gov.cn/）中未被列入严重违法失信企业名单（黑名单）信息（若并非企业，则无需查询）；在“信用中国”网站（http://www.creditchina.gov.cn/）中未被列入失信惩戒执行人名单。</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w:t>
      </w:r>
      <w:r>
        <w:rPr>
          <w:rFonts w:hint="eastAsia" w:ascii="宋体" w:hAnsi="宋体" w:cs="宋体"/>
          <w:szCs w:val="21"/>
          <w:shd w:val="clear" w:color="auto" w:fill="FFFFFF"/>
          <w:lang w:val="en-US" w:eastAsia="zh-CN"/>
        </w:rPr>
        <w:t>5</w:t>
      </w:r>
      <w:r>
        <w:rPr>
          <w:rFonts w:hint="eastAsia" w:ascii="宋体" w:hAnsi="宋体" w:cs="宋体"/>
          <w:szCs w:val="21"/>
          <w:shd w:val="clear" w:color="auto" w:fill="FFFFFF"/>
        </w:rPr>
        <w:t xml:space="preserve"> 本次比选不接受联合体报价。</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w:t>
      </w:r>
      <w:r>
        <w:rPr>
          <w:rFonts w:hint="eastAsia" w:ascii="宋体" w:hAnsi="宋体" w:cs="宋体"/>
          <w:szCs w:val="21"/>
          <w:shd w:val="clear" w:color="auto" w:fill="FFFFFF"/>
          <w:lang w:val="en-US" w:eastAsia="zh-CN"/>
        </w:rPr>
        <w:t>6</w:t>
      </w:r>
      <w:r>
        <w:rPr>
          <w:rFonts w:hint="eastAsia" w:ascii="宋体" w:hAnsi="宋体" w:cs="宋体"/>
          <w:szCs w:val="21"/>
          <w:shd w:val="clear" w:color="auto" w:fill="FFFFFF"/>
        </w:rPr>
        <w:t xml:space="preserve"> 单位负责人为同一人或者存在控股、管理关系的不同单位，不得同时参加本项目报价，否则均按无效报价处理。</w:t>
      </w:r>
    </w:p>
    <w:p>
      <w:pPr>
        <w:pStyle w:val="4"/>
        <w:spacing w:before="120" w:after="0" w:line="360" w:lineRule="auto"/>
        <w:rPr>
          <w:rFonts w:hint="eastAsia" w:ascii="宋体" w:hAnsi="宋体" w:eastAsia="宋体" w:cs="宋体"/>
          <w:lang w:val="en-US" w:eastAsia="zh-CN"/>
        </w:rPr>
      </w:pPr>
      <w:bookmarkStart w:id="68" w:name="_Toc25583"/>
      <w:bookmarkStart w:id="69" w:name="_Toc11329216"/>
      <w:bookmarkStart w:id="70" w:name="_Toc23921"/>
      <w:bookmarkStart w:id="71" w:name="_Toc507319894"/>
      <w:bookmarkStart w:id="72" w:name="_Toc14361"/>
      <w:bookmarkStart w:id="73" w:name="_Toc25619"/>
      <w:bookmarkStart w:id="74" w:name="_Toc12460"/>
      <w:r>
        <w:rPr>
          <w:rFonts w:hint="eastAsia" w:ascii="宋体" w:hAnsi="宋体" w:eastAsia="宋体" w:cs="宋体"/>
        </w:rPr>
        <w:t xml:space="preserve">4. </w:t>
      </w:r>
      <w:r>
        <w:rPr>
          <w:rFonts w:hint="eastAsia" w:ascii="宋体" w:hAnsi="宋体" w:eastAsia="宋体" w:cs="宋体"/>
          <w:lang w:val="en-US" w:eastAsia="zh-CN"/>
        </w:rPr>
        <w:t>评标办法</w:t>
      </w:r>
    </w:p>
    <w:p>
      <w:pPr>
        <w:spacing w:line="400" w:lineRule="exact"/>
        <w:ind w:firstLine="420" w:firstLineChars="200"/>
        <w:rPr>
          <w:rFonts w:hint="default" w:ascii="宋体" w:hAnsi="宋体" w:cs="宋体"/>
          <w:szCs w:val="21"/>
          <w:shd w:val="clear" w:color="auto" w:fill="FFFFFF"/>
          <w:lang w:val="en-US" w:eastAsia="zh-CN"/>
        </w:rPr>
      </w:pPr>
      <w:r>
        <w:rPr>
          <w:rFonts w:hint="eastAsia" w:ascii="宋体" w:hAnsi="宋体" w:cs="宋体"/>
          <w:szCs w:val="21"/>
          <w:shd w:val="clear" w:color="auto" w:fill="FFFFFF"/>
          <w:lang w:val="en-US" w:eastAsia="zh-CN"/>
        </w:rPr>
        <w:t>本项目采用经评审的最低价法</w:t>
      </w:r>
    </w:p>
    <w:p>
      <w:pPr>
        <w:pStyle w:val="4"/>
        <w:numPr>
          <w:ilvl w:val="0"/>
          <w:numId w:val="2"/>
        </w:numPr>
        <w:spacing w:before="120" w:after="0" w:line="400" w:lineRule="exact"/>
        <w:rPr>
          <w:rFonts w:ascii="宋体" w:hAnsi="宋体" w:eastAsia="宋体" w:cs="宋体"/>
        </w:rPr>
      </w:pPr>
      <w:r>
        <w:rPr>
          <w:rFonts w:hint="eastAsia" w:ascii="宋体" w:hAnsi="宋体" w:eastAsia="宋体" w:cs="宋体"/>
        </w:rPr>
        <w:t>比选文件的获取</w:t>
      </w:r>
      <w:bookmarkEnd w:id="61"/>
      <w:bookmarkEnd w:id="62"/>
      <w:bookmarkEnd w:id="63"/>
      <w:bookmarkEnd w:id="64"/>
      <w:bookmarkEnd w:id="65"/>
      <w:bookmarkEnd w:id="66"/>
      <w:bookmarkEnd w:id="67"/>
      <w:bookmarkEnd w:id="68"/>
      <w:bookmarkEnd w:id="69"/>
      <w:bookmarkEnd w:id="70"/>
      <w:bookmarkEnd w:id="71"/>
      <w:bookmarkEnd w:id="72"/>
      <w:bookmarkEnd w:id="73"/>
      <w:bookmarkEnd w:id="74"/>
    </w:p>
    <w:p>
      <w:pPr>
        <w:spacing w:line="360" w:lineRule="auto"/>
        <w:ind w:firstLine="420" w:firstLineChars="200"/>
        <w:rPr>
          <w:rFonts w:ascii="宋体" w:hAnsi="宋体"/>
          <w:szCs w:val="21"/>
        </w:rPr>
      </w:pPr>
      <w:bookmarkStart w:id="75" w:name="_Toc179632532"/>
      <w:bookmarkStart w:id="76" w:name="_Toc144974484"/>
      <w:bookmarkStart w:id="77" w:name="_Toc11329217"/>
      <w:bookmarkStart w:id="78" w:name="_Toc152042292"/>
      <w:bookmarkStart w:id="79" w:name="_Toc247085676"/>
      <w:bookmarkStart w:id="80" w:name="_Toc507319895"/>
      <w:bookmarkStart w:id="81" w:name="_Toc246996162"/>
      <w:bookmarkStart w:id="82" w:name="_Toc246996905"/>
      <w:bookmarkStart w:id="83" w:name="_Toc152045516"/>
      <w:r>
        <w:rPr>
          <w:rFonts w:hint="eastAsia" w:ascii="宋体" w:hAnsi="宋体"/>
          <w:szCs w:val="21"/>
        </w:rPr>
        <w:t>凡愿意参加的潜在报价人，在开标截止日2023年</w:t>
      </w:r>
      <w:r>
        <w:rPr>
          <w:rFonts w:hint="eastAsia" w:ascii="宋体" w:hAnsi="宋体"/>
          <w:szCs w:val="21"/>
          <w:highlight w:val="none"/>
          <w:lang w:val="en-US" w:eastAsia="zh-CN"/>
        </w:rPr>
        <w:t>7</w:t>
      </w:r>
      <w:r>
        <w:rPr>
          <w:rFonts w:hint="eastAsia" w:ascii="宋体" w:hAnsi="宋体"/>
          <w:szCs w:val="21"/>
          <w:highlight w:val="none"/>
        </w:rPr>
        <w:t>月</w:t>
      </w:r>
      <w:r>
        <w:rPr>
          <w:rFonts w:hint="eastAsia" w:ascii="宋体" w:hAnsi="宋体"/>
          <w:szCs w:val="21"/>
          <w:highlight w:val="none"/>
          <w:lang w:val="en-US" w:eastAsia="zh-CN"/>
        </w:rPr>
        <w:t>19</w:t>
      </w:r>
      <w:r>
        <w:rPr>
          <w:rFonts w:hint="eastAsia" w:ascii="宋体" w:hAnsi="宋体"/>
          <w:szCs w:val="21"/>
          <w:highlight w:val="none"/>
        </w:rPr>
        <w:t>日</w:t>
      </w:r>
      <w:r>
        <w:rPr>
          <w:rFonts w:hint="eastAsia" w:ascii="宋体" w:hAnsi="宋体"/>
          <w:szCs w:val="21"/>
          <w:highlight w:val="none"/>
          <w:lang w:val="en-US" w:eastAsia="zh-CN"/>
        </w:rPr>
        <w:t>下</w:t>
      </w:r>
      <w:r>
        <w:rPr>
          <w:rFonts w:hint="eastAsia" w:ascii="宋体" w:hAnsi="宋体"/>
          <w:szCs w:val="21"/>
          <w:highlight w:val="none"/>
        </w:rPr>
        <w:t>午</w:t>
      </w:r>
      <w:r>
        <w:rPr>
          <w:rFonts w:hint="eastAsia" w:ascii="宋体" w:hAnsi="宋体"/>
          <w:szCs w:val="21"/>
          <w:highlight w:val="none"/>
          <w:lang w:val="en-US" w:eastAsia="zh-CN"/>
        </w:rPr>
        <w:t>14：00</w:t>
      </w:r>
      <w:r>
        <w:rPr>
          <w:rFonts w:hint="eastAsia" w:ascii="宋体" w:hAnsi="宋体"/>
          <w:szCs w:val="21"/>
          <w:highlight w:val="none"/>
        </w:rPr>
        <w:t>前，</w:t>
      </w:r>
      <w:r>
        <w:rPr>
          <w:rFonts w:hint="eastAsia" w:ascii="宋体" w:hAnsi="宋体"/>
          <w:szCs w:val="21"/>
        </w:rPr>
        <w:t>在重庆高速集团官网（http://www.cegc.com.cn/gw/newsInfoMenu.html?id=42&amp;key=2）和重庆高速招投标管理平台（http://219.152.86.3:8081/pms/）直接下载获取比选文件等开标前的有关资料。各报价人应随时关注网上发布的竞争性比选文件答疑、补遗、澄清等文件内容，不管报价人是否下载，均视为已知晓竞争性比选文件的全部内容和有关事宜。</w:t>
      </w:r>
    </w:p>
    <w:p>
      <w:pPr>
        <w:pStyle w:val="4"/>
        <w:spacing w:before="120" w:after="0" w:line="400" w:lineRule="exact"/>
        <w:rPr>
          <w:rFonts w:ascii="宋体" w:hAnsi="宋体" w:eastAsia="宋体" w:cs="宋体"/>
        </w:rPr>
      </w:pPr>
      <w:bookmarkStart w:id="84" w:name="_Toc31493"/>
      <w:bookmarkStart w:id="85" w:name="_Toc4096"/>
      <w:bookmarkStart w:id="86" w:name="_Toc12878"/>
      <w:bookmarkStart w:id="87" w:name="_Toc9131"/>
      <w:bookmarkStart w:id="88" w:name="_Toc16686"/>
      <w:r>
        <w:rPr>
          <w:rFonts w:hint="eastAsia" w:ascii="宋体" w:hAnsi="宋体" w:eastAsia="宋体" w:cs="宋体"/>
          <w:lang w:val="en-US" w:eastAsia="zh-CN"/>
        </w:rPr>
        <w:t>6</w:t>
      </w:r>
      <w:r>
        <w:rPr>
          <w:rFonts w:hint="eastAsia" w:ascii="宋体" w:hAnsi="宋体" w:eastAsia="宋体" w:cs="宋体"/>
        </w:rPr>
        <w:t>. 竞争性比选响应文件的递交</w:t>
      </w:r>
      <w:bookmarkEnd w:id="75"/>
      <w:bookmarkEnd w:id="76"/>
      <w:bookmarkEnd w:id="77"/>
      <w:bookmarkEnd w:id="78"/>
      <w:bookmarkEnd w:id="79"/>
      <w:bookmarkEnd w:id="80"/>
      <w:bookmarkEnd w:id="81"/>
      <w:bookmarkEnd w:id="82"/>
      <w:bookmarkEnd w:id="83"/>
      <w:r>
        <w:rPr>
          <w:rFonts w:hint="eastAsia" w:ascii="宋体" w:hAnsi="宋体" w:eastAsia="宋体" w:cs="宋体"/>
        </w:rPr>
        <w:t>及相关事宜</w:t>
      </w:r>
      <w:bookmarkEnd w:id="84"/>
      <w:bookmarkEnd w:id="85"/>
      <w:bookmarkEnd w:id="86"/>
      <w:bookmarkEnd w:id="87"/>
      <w:bookmarkEnd w:id="88"/>
    </w:p>
    <w:p>
      <w:pPr>
        <w:tabs>
          <w:tab w:val="left" w:pos="360"/>
        </w:tabs>
        <w:spacing w:line="400" w:lineRule="exact"/>
        <w:ind w:firstLine="420" w:firstLineChars="200"/>
        <w:rPr>
          <w:rFonts w:ascii="宋体" w:hAnsi="宋体" w:cs="宋体"/>
          <w:szCs w:val="21"/>
        </w:rPr>
      </w:pPr>
      <w:bookmarkStart w:id="89" w:name="_Toc11329219"/>
      <w:bookmarkStart w:id="90" w:name="_Toc11820"/>
      <w:bookmarkStart w:id="91" w:name="_Toc152045517"/>
      <w:bookmarkStart w:id="92" w:name="_Toc246996164"/>
      <w:bookmarkStart w:id="93" w:name="_Toc393"/>
      <w:bookmarkStart w:id="94" w:name="_Toc246996907"/>
      <w:bookmarkStart w:id="95" w:name="_Toc144974485"/>
      <w:bookmarkStart w:id="96" w:name="_Toc179632534"/>
      <w:bookmarkStart w:id="97" w:name="_Toc21615"/>
      <w:bookmarkStart w:id="98" w:name="_Toc152042293"/>
      <w:bookmarkStart w:id="99" w:name="_Toc247085678"/>
      <w:bookmarkStart w:id="100" w:name="_Toc507319897"/>
      <w:bookmarkStart w:id="101" w:name="_Toc18402"/>
      <w:r>
        <w:rPr>
          <w:rFonts w:hint="eastAsia" w:ascii="宋体" w:hAnsi="宋体" w:cs="宋体"/>
          <w:szCs w:val="21"/>
        </w:rPr>
        <w:t>5.1</w:t>
      </w:r>
      <w:r>
        <w:rPr>
          <w:rFonts w:hint="eastAsia" w:ascii="宋体" w:hAnsi="宋体" w:cs="宋体"/>
          <w:szCs w:val="21"/>
          <w:highlight w:val="none"/>
        </w:rPr>
        <w:t>报价截止时间和开标时间：</w:t>
      </w:r>
      <w:r>
        <w:rPr>
          <w:rFonts w:hint="eastAsia" w:ascii="宋体" w:hAnsi="宋体"/>
          <w:szCs w:val="21"/>
          <w:highlight w:val="none"/>
          <w:u w:val="single"/>
        </w:rPr>
        <w:t>2023</w:t>
      </w:r>
      <w:r>
        <w:rPr>
          <w:rFonts w:hint="eastAsia" w:ascii="宋体" w:hAnsi="宋体"/>
          <w:szCs w:val="21"/>
          <w:highlight w:val="none"/>
        </w:rPr>
        <w:t>年</w:t>
      </w:r>
      <w:r>
        <w:rPr>
          <w:rFonts w:hint="eastAsia" w:ascii="宋体" w:hAnsi="宋体"/>
          <w:szCs w:val="21"/>
          <w:highlight w:val="none"/>
          <w:u w:val="single"/>
          <w:lang w:val="en-US" w:eastAsia="zh-CN"/>
        </w:rPr>
        <w:t>7</w:t>
      </w:r>
      <w:r>
        <w:rPr>
          <w:rFonts w:hint="eastAsia" w:ascii="宋体" w:hAnsi="宋体"/>
          <w:szCs w:val="21"/>
          <w:highlight w:val="none"/>
        </w:rPr>
        <w:t>月</w:t>
      </w:r>
      <w:r>
        <w:rPr>
          <w:rFonts w:hint="eastAsia" w:ascii="宋体" w:hAnsi="宋体"/>
          <w:szCs w:val="21"/>
          <w:highlight w:val="none"/>
          <w:u w:val="single"/>
          <w:lang w:val="en-US" w:eastAsia="zh-CN"/>
        </w:rPr>
        <w:t>19</w:t>
      </w:r>
      <w:r>
        <w:rPr>
          <w:rFonts w:hint="eastAsia" w:ascii="宋体" w:hAnsi="宋体"/>
          <w:szCs w:val="21"/>
          <w:highlight w:val="none"/>
        </w:rPr>
        <w:t>日</w:t>
      </w:r>
      <w:r>
        <w:rPr>
          <w:rFonts w:hint="eastAsia" w:ascii="宋体" w:hAnsi="宋体"/>
          <w:szCs w:val="21"/>
          <w:highlight w:val="none"/>
          <w:lang w:val="en-US" w:eastAsia="zh-CN"/>
        </w:rPr>
        <w:t>下</w:t>
      </w:r>
      <w:r>
        <w:rPr>
          <w:rFonts w:hint="eastAsia" w:ascii="宋体" w:hAnsi="宋体"/>
          <w:szCs w:val="21"/>
          <w:highlight w:val="none"/>
        </w:rPr>
        <w:t>午</w:t>
      </w:r>
      <w:r>
        <w:rPr>
          <w:rFonts w:hint="eastAsia" w:ascii="宋体" w:hAnsi="宋体" w:cs="宋体"/>
          <w:szCs w:val="21"/>
          <w:highlight w:val="none"/>
          <w:u w:val="single"/>
          <w:lang w:val="en-US" w:eastAsia="zh-CN"/>
        </w:rPr>
        <w:t>14</w:t>
      </w:r>
      <w:r>
        <w:rPr>
          <w:rFonts w:hint="eastAsia" w:ascii="宋体" w:hAnsi="宋体" w:cs="宋体"/>
          <w:szCs w:val="21"/>
          <w:highlight w:val="none"/>
        </w:rPr>
        <w:t>时</w:t>
      </w:r>
      <w:r>
        <w:rPr>
          <w:rFonts w:hint="eastAsia" w:ascii="宋体" w:hAnsi="宋体" w:cs="宋体"/>
          <w:szCs w:val="21"/>
          <w:highlight w:val="none"/>
          <w:u w:val="single"/>
        </w:rPr>
        <w:t>00</w:t>
      </w:r>
      <w:r>
        <w:rPr>
          <w:rFonts w:hint="eastAsia" w:ascii="宋体" w:hAnsi="宋体" w:cs="宋体"/>
          <w:szCs w:val="21"/>
          <w:highlight w:val="none"/>
        </w:rPr>
        <w:t>分（</w:t>
      </w:r>
      <w:r>
        <w:rPr>
          <w:rFonts w:hint="eastAsia" w:ascii="宋体" w:hAnsi="宋体" w:cs="宋体"/>
          <w:szCs w:val="21"/>
        </w:rPr>
        <w:t>北京时间）。</w:t>
      </w:r>
    </w:p>
    <w:p>
      <w:pPr>
        <w:tabs>
          <w:tab w:val="left" w:pos="360"/>
        </w:tabs>
        <w:spacing w:line="400" w:lineRule="exact"/>
        <w:ind w:firstLine="420" w:firstLineChars="200"/>
        <w:rPr>
          <w:rFonts w:ascii="宋体" w:hAnsi="宋体" w:cs="宋体"/>
          <w:color w:val="FF0000"/>
          <w:szCs w:val="21"/>
        </w:rPr>
      </w:pPr>
      <w:r>
        <w:rPr>
          <w:rFonts w:hint="eastAsia" w:ascii="宋体" w:hAnsi="宋体" w:cs="宋体"/>
          <w:szCs w:val="21"/>
        </w:rPr>
        <w:t>5.2递交地址：报价人将完整的报价资料递交</w:t>
      </w:r>
      <w:r>
        <w:rPr>
          <w:rFonts w:hint="eastAsia" w:ascii="宋体" w:hAnsi="宋体" w:cs="宋体"/>
          <w:szCs w:val="21"/>
          <w:lang w:val="en-US" w:eastAsia="zh-CN"/>
        </w:rPr>
        <w:t>或邮寄</w:t>
      </w:r>
      <w:r>
        <w:rPr>
          <w:rFonts w:hint="eastAsia" w:ascii="宋体" w:hAnsi="宋体" w:cs="宋体"/>
          <w:szCs w:val="21"/>
        </w:rPr>
        <w:t>至重庆市渝北区新南路52号东界龙湖一楼重庆首讯科技股份有限公司东界龙湖办公区</w:t>
      </w:r>
      <w:r>
        <w:rPr>
          <w:rFonts w:hint="eastAsia" w:ascii="宋体" w:hAnsi="宋体"/>
          <w:szCs w:val="21"/>
        </w:rPr>
        <w:t>。</w:t>
      </w:r>
    </w:p>
    <w:p>
      <w:pPr>
        <w:tabs>
          <w:tab w:val="left" w:pos="360"/>
        </w:tabs>
        <w:spacing w:line="400" w:lineRule="exact"/>
        <w:ind w:firstLine="420" w:firstLineChars="200"/>
        <w:rPr>
          <w:rFonts w:ascii="宋体" w:hAnsi="宋体" w:cs="宋体"/>
          <w:szCs w:val="21"/>
        </w:rPr>
      </w:pPr>
      <w:r>
        <w:rPr>
          <w:rFonts w:hint="eastAsia" w:ascii="宋体" w:hAnsi="宋体" w:cs="宋体"/>
          <w:szCs w:val="21"/>
        </w:rPr>
        <w:t>5.3</w:t>
      </w:r>
      <w:r>
        <w:rPr>
          <w:rFonts w:ascii="宋体" w:hAnsi="宋体" w:cs="宋体"/>
          <w:szCs w:val="21"/>
        </w:rPr>
        <w:t>采购人不组织工程现场踏勘，不召开报价预备会。</w:t>
      </w:r>
    </w:p>
    <w:p>
      <w:pPr>
        <w:pStyle w:val="4"/>
        <w:spacing w:before="120" w:after="0" w:line="400" w:lineRule="exact"/>
        <w:rPr>
          <w:rFonts w:ascii="宋体" w:hAnsi="宋体" w:eastAsia="宋体" w:cs="宋体"/>
        </w:rPr>
      </w:pPr>
      <w:bookmarkStart w:id="102" w:name="_Toc9155"/>
      <w:r>
        <w:rPr>
          <w:rFonts w:hint="eastAsia" w:ascii="宋体" w:hAnsi="宋体" w:eastAsia="宋体" w:cs="宋体"/>
          <w:lang w:val="en-US" w:eastAsia="zh-CN"/>
        </w:rPr>
        <w:t>7</w:t>
      </w:r>
      <w:r>
        <w:rPr>
          <w:rFonts w:hint="eastAsia" w:ascii="宋体" w:hAnsi="宋体" w:eastAsia="宋体" w:cs="宋体"/>
        </w:rPr>
        <w:t>. 联系方式</w:t>
      </w:r>
      <w:bookmarkEnd w:id="89"/>
      <w:bookmarkEnd w:id="90"/>
      <w:bookmarkEnd w:id="91"/>
      <w:bookmarkEnd w:id="92"/>
      <w:bookmarkEnd w:id="93"/>
      <w:bookmarkEnd w:id="94"/>
      <w:bookmarkEnd w:id="95"/>
      <w:bookmarkEnd w:id="96"/>
      <w:bookmarkEnd w:id="97"/>
      <w:bookmarkEnd w:id="98"/>
      <w:bookmarkEnd w:id="99"/>
      <w:bookmarkEnd w:id="100"/>
      <w:bookmarkEnd w:id="101"/>
      <w:bookmarkEnd w:id="102"/>
    </w:p>
    <w:tbl>
      <w:tblPr>
        <w:tblStyle w:val="43"/>
        <w:tblW w:w="9628" w:type="dxa"/>
        <w:tblInd w:w="0" w:type="dxa"/>
        <w:tblLayout w:type="fixed"/>
        <w:tblCellMar>
          <w:top w:w="0" w:type="dxa"/>
          <w:left w:w="108" w:type="dxa"/>
          <w:bottom w:w="0" w:type="dxa"/>
          <w:right w:w="108" w:type="dxa"/>
        </w:tblCellMar>
      </w:tblPr>
      <w:tblGrid>
        <w:gridCol w:w="8213"/>
        <w:gridCol w:w="1415"/>
      </w:tblGrid>
      <w:tr>
        <w:tblPrEx>
          <w:tblCellMar>
            <w:top w:w="0" w:type="dxa"/>
            <w:left w:w="108" w:type="dxa"/>
            <w:bottom w:w="0" w:type="dxa"/>
            <w:right w:w="108" w:type="dxa"/>
          </w:tblCellMar>
        </w:tblPrEx>
        <w:trPr>
          <w:trHeight w:val="470" w:hRule="atLeast"/>
        </w:trPr>
        <w:tc>
          <w:tcPr>
            <w:tcW w:w="8213" w:type="dxa"/>
            <w:vAlign w:val="center"/>
          </w:tcPr>
          <w:p>
            <w:pPr>
              <w:pStyle w:val="102"/>
              <w:spacing w:before="0" w:beforeAutospacing="0" w:after="0" w:afterAutospacing="0" w:line="400" w:lineRule="exact"/>
              <w:ind w:firstLine="420" w:firstLineChars="200"/>
              <w:jc w:val="both"/>
              <w:rPr>
                <w:rFonts w:ascii="宋体" w:hAnsi="宋体" w:cs="宋体"/>
                <w:kern w:val="2"/>
                <w:sz w:val="21"/>
                <w:szCs w:val="21"/>
              </w:rPr>
            </w:pPr>
            <w:r>
              <w:rPr>
                <w:rFonts w:hint="eastAsia" w:ascii="宋体" w:hAnsi="宋体" w:cs="宋体"/>
                <w:kern w:val="2"/>
                <w:sz w:val="21"/>
                <w:szCs w:val="21"/>
              </w:rPr>
              <w:t>采购人：重庆首讯科技股份有限公司</w:t>
            </w:r>
          </w:p>
        </w:tc>
        <w:tc>
          <w:tcPr>
            <w:tcW w:w="1415" w:type="dxa"/>
            <w:vAlign w:val="center"/>
          </w:tcPr>
          <w:p>
            <w:pPr>
              <w:pStyle w:val="102"/>
              <w:spacing w:before="0" w:beforeAutospacing="0" w:after="0" w:afterAutospacing="0" w:line="400" w:lineRule="exact"/>
              <w:ind w:firstLine="420" w:firstLineChars="200"/>
              <w:jc w:val="both"/>
              <w:rPr>
                <w:rFonts w:ascii="宋体" w:hAnsi="宋体" w:cs="宋体"/>
                <w:kern w:val="2"/>
                <w:sz w:val="21"/>
                <w:szCs w:val="21"/>
              </w:rPr>
            </w:pPr>
          </w:p>
        </w:tc>
      </w:tr>
      <w:tr>
        <w:tblPrEx>
          <w:tblCellMar>
            <w:top w:w="0" w:type="dxa"/>
            <w:left w:w="108" w:type="dxa"/>
            <w:bottom w:w="0" w:type="dxa"/>
            <w:right w:w="108" w:type="dxa"/>
          </w:tblCellMar>
        </w:tblPrEx>
        <w:trPr>
          <w:trHeight w:val="461" w:hRule="atLeast"/>
        </w:trPr>
        <w:tc>
          <w:tcPr>
            <w:tcW w:w="8213" w:type="dxa"/>
            <w:vAlign w:val="center"/>
          </w:tcPr>
          <w:p>
            <w:pPr>
              <w:topLinePunct/>
              <w:spacing w:line="400" w:lineRule="exact"/>
              <w:ind w:left="1050" w:leftChars="200" w:hanging="630" w:hangingChars="300"/>
              <w:rPr>
                <w:rFonts w:ascii="宋体" w:hAnsi="宋体" w:cs="宋体"/>
                <w:szCs w:val="21"/>
              </w:rPr>
            </w:pPr>
            <w:r>
              <w:rPr>
                <w:rFonts w:hint="eastAsia" w:ascii="宋体" w:hAnsi="宋体" w:cs="宋体"/>
                <w:szCs w:val="21"/>
              </w:rPr>
              <w:t>地址：重庆市渝北区新南路52号东界龙湖一楼</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440" w:hRule="atLeast"/>
        </w:trPr>
        <w:tc>
          <w:tcPr>
            <w:tcW w:w="8213" w:type="dxa"/>
            <w:vAlign w:val="center"/>
          </w:tcPr>
          <w:p>
            <w:pPr>
              <w:topLinePunct/>
              <w:spacing w:line="400" w:lineRule="exact"/>
              <w:ind w:firstLine="420" w:firstLineChars="200"/>
              <w:rPr>
                <w:rFonts w:hint="default" w:ascii="宋体" w:hAnsi="宋体" w:eastAsia="宋体" w:cs="宋体"/>
                <w:szCs w:val="21"/>
                <w:lang w:val="en-US" w:eastAsia="zh-CN"/>
              </w:rPr>
            </w:pPr>
            <w:r>
              <w:rPr>
                <w:rFonts w:hint="eastAsia" w:ascii="宋体" w:hAnsi="宋体" w:cs="宋体"/>
                <w:szCs w:val="21"/>
              </w:rPr>
              <w:t>技术联系人：</w:t>
            </w:r>
            <w:r>
              <w:rPr>
                <w:rFonts w:hint="eastAsia" w:ascii="宋体" w:hAnsi="宋体" w:cs="宋体"/>
                <w:szCs w:val="21"/>
                <w:lang w:val="en-US" w:eastAsia="zh-CN"/>
              </w:rPr>
              <w:t>杨</w:t>
            </w:r>
            <w:r>
              <w:rPr>
                <w:rFonts w:hint="eastAsia" w:ascii="宋体" w:hAnsi="宋体" w:cs="宋体"/>
                <w:szCs w:val="21"/>
              </w:rPr>
              <w:t>老师  电 话：</w:t>
            </w:r>
            <w:r>
              <w:rPr>
                <w:rFonts w:hint="eastAsia" w:ascii="宋体" w:hAnsi="宋体" w:cs="宋体"/>
                <w:szCs w:val="21"/>
                <w:lang w:val="en-US" w:eastAsia="zh-CN"/>
              </w:rPr>
              <w:t>15826128288</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405" w:hRule="atLeast"/>
        </w:trPr>
        <w:tc>
          <w:tcPr>
            <w:tcW w:w="8213" w:type="dxa"/>
            <w:vAlign w:val="center"/>
          </w:tcPr>
          <w:p>
            <w:pPr>
              <w:topLinePunct/>
              <w:spacing w:line="420" w:lineRule="exact"/>
              <w:ind w:firstLine="420" w:firstLineChars="200"/>
            </w:pPr>
            <w:r>
              <w:rPr>
                <w:rFonts w:hint="eastAsia" w:ascii="宋体" w:hAnsi="宋体" w:cs="宋体"/>
                <w:szCs w:val="21"/>
              </w:rPr>
              <w:t>商务联系人：蒋老师  电 话：17783017837</w:t>
            </w:r>
          </w:p>
        </w:tc>
        <w:tc>
          <w:tcPr>
            <w:tcW w:w="1415" w:type="dxa"/>
            <w:vAlign w:val="center"/>
          </w:tcPr>
          <w:p>
            <w:pPr>
              <w:spacing w:line="400" w:lineRule="exact"/>
              <w:ind w:firstLine="420" w:firstLineChars="200"/>
              <w:rPr>
                <w:rFonts w:ascii="宋体" w:hAnsi="宋体" w:cs="宋体"/>
                <w:szCs w:val="21"/>
              </w:rPr>
            </w:pPr>
          </w:p>
        </w:tc>
      </w:tr>
    </w:tbl>
    <w:p/>
    <w:p>
      <w:pPr>
        <w:pStyle w:val="28"/>
      </w:pPr>
    </w:p>
    <w:p/>
    <w:bookmarkEnd w:id="891"/>
    <w:p>
      <w:pPr>
        <w:pStyle w:val="28"/>
      </w:pPr>
    </w:p>
    <w:p>
      <w:pPr>
        <w:pStyle w:val="28"/>
      </w:pPr>
    </w:p>
    <w:bookmarkEnd w:id="16"/>
    <w:bookmarkEnd w:id="17"/>
    <w:p>
      <w:pPr>
        <w:pStyle w:val="3"/>
        <w:spacing w:before="0" w:after="0" w:line="360" w:lineRule="auto"/>
        <w:jc w:val="center"/>
        <w:rPr>
          <w:rFonts w:ascii="宋体" w:hAnsi="宋体" w:cs="宋体"/>
        </w:rPr>
      </w:pPr>
      <w:bookmarkStart w:id="103" w:name="_Toc144974495"/>
      <w:bookmarkStart w:id="104" w:name="_Toc247085687"/>
      <w:bookmarkStart w:id="105" w:name="_Toc152045527"/>
      <w:bookmarkStart w:id="106" w:name="_Toc152042303"/>
      <w:bookmarkStart w:id="107" w:name="_Toc246996173"/>
      <w:bookmarkStart w:id="108" w:name="_Toc2000405"/>
      <w:bookmarkStart w:id="109" w:name="_Toc246996916"/>
      <w:bookmarkStart w:id="110" w:name="_Toc507319898"/>
      <w:bookmarkStart w:id="111" w:name="_Toc179632544"/>
      <w:r>
        <w:rPr>
          <w:rFonts w:hint="eastAsia" w:ascii="宋体" w:hAnsi="宋体" w:cs="宋体"/>
        </w:rPr>
        <w:br w:type="page"/>
      </w:r>
      <w:bookmarkStart w:id="112" w:name="_Toc3102"/>
      <w:r>
        <w:rPr>
          <w:rFonts w:hint="eastAsia" w:ascii="宋体" w:hAnsi="宋体" w:cs="宋体"/>
        </w:rPr>
        <w:t>第二章 报价人须知</w:t>
      </w:r>
      <w:bookmarkEnd w:id="103"/>
      <w:bookmarkEnd w:id="104"/>
      <w:bookmarkEnd w:id="105"/>
      <w:bookmarkEnd w:id="106"/>
      <w:bookmarkEnd w:id="107"/>
      <w:bookmarkEnd w:id="108"/>
      <w:bookmarkEnd w:id="109"/>
      <w:bookmarkEnd w:id="110"/>
      <w:bookmarkEnd w:id="111"/>
      <w:bookmarkEnd w:id="112"/>
    </w:p>
    <w:p/>
    <w:tbl>
      <w:tblPr>
        <w:tblStyle w:val="43"/>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4" w:hRule="atLeast"/>
          <w:tblHeader/>
          <w:jc w:val="center"/>
        </w:trPr>
        <w:tc>
          <w:tcPr>
            <w:tcW w:w="697" w:type="dxa"/>
            <w:vAlign w:val="center"/>
          </w:tcPr>
          <w:p>
            <w:pPr>
              <w:spacing w:line="400" w:lineRule="exact"/>
              <w:jc w:val="center"/>
              <w:rPr>
                <w:rFonts w:ascii="宋体" w:hAnsi="宋体" w:cs="宋体"/>
                <w:b/>
                <w:kern w:val="0"/>
                <w:szCs w:val="21"/>
              </w:rPr>
            </w:pPr>
            <w:bookmarkStart w:id="113" w:name="_Toc326760840"/>
            <w:r>
              <w:rPr>
                <w:rFonts w:hint="eastAsia" w:ascii="宋体" w:hAnsi="宋体" w:cs="宋体"/>
                <w:b/>
                <w:kern w:val="0"/>
                <w:szCs w:val="21"/>
              </w:rPr>
              <w:t>序号</w:t>
            </w:r>
          </w:p>
        </w:tc>
        <w:tc>
          <w:tcPr>
            <w:tcW w:w="2106" w:type="dxa"/>
            <w:vAlign w:val="center"/>
          </w:tcPr>
          <w:p>
            <w:pPr>
              <w:spacing w:line="400" w:lineRule="exact"/>
              <w:jc w:val="center"/>
              <w:rPr>
                <w:rFonts w:ascii="宋体" w:hAnsi="宋体" w:cs="宋体"/>
                <w:b/>
                <w:kern w:val="0"/>
                <w:szCs w:val="21"/>
              </w:rPr>
            </w:pPr>
            <w:r>
              <w:rPr>
                <w:rFonts w:hint="eastAsia" w:ascii="宋体" w:hAnsi="宋体" w:cs="宋体"/>
                <w:b/>
                <w:kern w:val="0"/>
                <w:szCs w:val="21"/>
              </w:rPr>
              <w:t>条款名称</w:t>
            </w:r>
          </w:p>
        </w:tc>
        <w:tc>
          <w:tcPr>
            <w:tcW w:w="7104" w:type="dxa"/>
            <w:vAlign w:val="center"/>
          </w:tcPr>
          <w:p>
            <w:pPr>
              <w:spacing w:line="400" w:lineRule="exact"/>
              <w:ind w:firstLine="422" w:firstLineChars="200"/>
              <w:jc w:val="center"/>
              <w:rPr>
                <w:rFonts w:ascii="宋体" w:hAnsi="宋体" w:cs="宋体"/>
                <w:b/>
                <w:kern w:val="0"/>
                <w:szCs w:val="21"/>
              </w:rPr>
            </w:pPr>
            <w:r>
              <w:rPr>
                <w:rFonts w:hint="eastAsia" w:ascii="宋体" w:hAnsi="宋体" w:cs="宋体"/>
                <w:b/>
                <w:kern w:val="0"/>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采购人</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采购人：重庆首讯科技股份有限公司</w:t>
            </w:r>
          </w:p>
          <w:p>
            <w:pPr>
              <w:spacing w:line="400" w:lineRule="exact"/>
              <w:ind w:firstLine="420" w:firstLineChars="200"/>
              <w:rPr>
                <w:rFonts w:ascii="宋体" w:hAnsi="宋体" w:cs="宋体"/>
                <w:szCs w:val="21"/>
              </w:rPr>
            </w:pPr>
            <w:r>
              <w:rPr>
                <w:rFonts w:hint="eastAsia" w:ascii="宋体" w:hAnsi="宋体" w:cs="宋体"/>
                <w:szCs w:val="21"/>
              </w:rPr>
              <w:t>地  址：重庆市渝北区新南路52号东界龙湖三楼</w:t>
            </w:r>
          </w:p>
          <w:p>
            <w:pPr>
              <w:spacing w:line="400" w:lineRule="exact"/>
              <w:ind w:firstLine="420" w:firstLineChars="200"/>
              <w:rPr>
                <w:rFonts w:ascii="宋体" w:hAnsi="宋体" w:cs="宋体"/>
                <w:szCs w:val="21"/>
              </w:rPr>
            </w:pPr>
            <w:r>
              <w:rPr>
                <w:rFonts w:hint="eastAsia" w:ascii="宋体" w:hAnsi="宋体" w:cs="宋体"/>
                <w:szCs w:val="21"/>
              </w:rPr>
              <w:t>联系人：蒋老师</w:t>
            </w:r>
          </w:p>
          <w:p>
            <w:pPr>
              <w:topLinePunct/>
              <w:spacing w:line="420" w:lineRule="exact"/>
              <w:ind w:firstLine="420" w:firstLineChars="200"/>
            </w:pPr>
            <w:r>
              <w:rPr>
                <w:rFonts w:hint="eastAsia" w:ascii="宋体" w:hAnsi="宋体" w:cs="宋体"/>
                <w:szCs w:val="21"/>
              </w:rPr>
              <w:t>电  话：17783017837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项目名称</w:t>
            </w:r>
          </w:p>
        </w:tc>
        <w:tc>
          <w:tcPr>
            <w:tcW w:w="7104" w:type="dxa"/>
            <w:vAlign w:val="center"/>
          </w:tcPr>
          <w:p>
            <w:pPr>
              <w:spacing w:line="400" w:lineRule="exact"/>
              <w:ind w:firstLine="420" w:firstLineChars="200"/>
              <w:rPr>
                <w:rFonts w:hint="eastAsia" w:ascii="宋体" w:hAnsi="宋体" w:eastAsia="宋体" w:cs="宋体"/>
                <w:szCs w:val="21"/>
                <w:lang w:eastAsia="zh-CN"/>
              </w:rPr>
            </w:pPr>
            <w:r>
              <w:rPr>
                <w:rFonts w:hint="eastAsia" w:ascii="宋体" w:hAnsi="宋体" w:cs="宋体"/>
                <w:szCs w:val="21"/>
                <w:lang w:eastAsia="zh-CN"/>
              </w:rPr>
              <w:t>渝湘复线PPP项目巴水（K0+000~K76+541）段机电工程项目聚氨酯管箱及复合支架采购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3</w:t>
            </w:r>
          </w:p>
        </w:tc>
        <w:tc>
          <w:tcPr>
            <w:tcW w:w="2106" w:type="dxa"/>
            <w:vAlign w:val="center"/>
          </w:tcPr>
          <w:p>
            <w:pPr>
              <w:spacing w:line="400" w:lineRule="exact"/>
              <w:jc w:val="center"/>
              <w:rPr>
                <w:rFonts w:ascii="宋体" w:hAnsi="宋体" w:cs="宋体"/>
                <w:kern w:val="0"/>
                <w:szCs w:val="21"/>
              </w:rPr>
            </w:pPr>
            <w:r>
              <w:rPr>
                <w:rFonts w:hint="eastAsia" w:ascii="宋体" w:hAnsi="宋体" w:cs="宋体"/>
                <w:szCs w:val="21"/>
              </w:rPr>
              <w:t>项目概况</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4</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采购范围</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5</w:t>
            </w:r>
          </w:p>
        </w:tc>
        <w:tc>
          <w:tcPr>
            <w:tcW w:w="2106" w:type="dxa"/>
            <w:vAlign w:val="center"/>
          </w:tcPr>
          <w:p>
            <w:pPr>
              <w:spacing w:line="400" w:lineRule="exact"/>
              <w:jc w:val="center"/>
              <w:rPr>
                <w:rFonts w:hint="eastAsia" w:ascii="宋体" w:hAnsi="宋体" w:eastAsia="宋体" w:cs="宋体"/>
                <w:szCs w:val="21"/>
                <w:lang w:eastAsia="zh-CN"/>
              </w:rPr>
            </w:pPr>
            <w:r>
              <w:rPr>
                <w:rFonts w:hint="eastAsia" w:ascii="宋体" w:hAnsi="宋体" w:cs="宋体"/>
                <w:lang w:val="en-US" w:eastAsia="zh-CN"/>
              </w:rPr>
              <w:t>供货期</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kern w:val="10"/>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6</w:t>
            </w:r>
          </w:p>
        </w:tc>
        <w:tc>
          <w:tcPr>
            <w:tcW w:w="2106" w:type="dxa"/>
            <w:vAlign w:val="center"/>
          </w:tcPr>
          <w:p>
            <w:pPr>
              <w:spacing w:line="400" w:lineRule="exact"/>
              <w:jc w:val="center"/>
              <w:rPr>
                <w:rFonts w:ascii="宋体" w:hAnsi="宋体" w:cs="宋体"/>
                <w:kern w:val="0"/>
                <w:szCs w:val="21"/>
              </w:rPr>
            </w:pPr>
            <w:r>
              <w:rPr>
                <w:rFonts w:hint="eastAsia" w:ascii="宋体" w:hAnsi="宋体" w:cs="宋体"/>
                <w:szCs w:val="21"/>
              </w:rPr>
              <w:t>技术标准</w:t>
            </w:r>
          </w:p>
        </w:tc>
        <w:tc>
          <w:tcPr>
            <w:tcW w:w="7104" w:type="dxa"/>
          </w:tcPr>
          <w:p>
            <w:pPr>
              <w:spacing w:line="400" w:lineRule="exact"/>
              <w:ind w:firstLine="420" w:firstLineChars="200"/>
              <w:rPr>
                <w:rFonts w:ascii="宋体" w:hAnsi="宋体" w:cs="宋体"/>
                <w:kern w:val="0"/>
                <w:szCs w:val="21"/>
              </w:rPr>
            </w:pPr>
            <w:r>
              <w:rPr>
                <w:rFonts w:hint="eastAsia" w:ascii="宋体" w:hAnsi="宋体" w:cs="宋体"/>
                <w:szCs w:val="21"/>
              </w:rPr>
              <w:t>详见第六章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jc w:val="center"/>
        </w:trPr>
        <w:tc>
          <w:tcPr>
            <w:tcW w:w="697" w:type="dxa"/>
            <w:vAlign w:val="center"/>
          </w:tcPr>
          <w:p>
            <w:pPr>
              <w:spacing w:line="400" w:lineRule="exact"/>
              <w:jc w:val="center"/>
              <w:rPr>
                <w:rFonts w:ascii="宋体" w:hAnsi="宋体" w:cs="宋体"/>
                <w:szCs w:val="21"/>
              </w:rPr>
            </w:pPr>
            <w:r>
              <w:rPr>
                <w:rFonts w:hint="eastAsia" w:ascii="宋体" w:hAnsi="宋体" w:cs="宋体"/>
                <w:szCs w:val="21"/>
              </w:rPr>
              <w:t>7</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报价人资格要求</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kern w:val="0"/>
                <w:szCs w:val="21"/>
              </w:rPr>
              <w:t>见比选公告及附录1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8</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是否接受</w:t>
            </w:r>
          </w:p>
          <w:p>
            <w:pPr>
              <w:spacing w:line="400" w:lineRule="exact"/>
              <w:jc w:val="center"/>
              <w:rPr>
                <w:rFonts w:ascii="宋体" w:hAnsi="宋体" w:cs="宋体"/>
                <w:kern w:val="0"/>
                <w:szCs w:val="21"/>
              </w:rPr>
            </w:pPr>
            <w:r>
              <w:rPr>
                <w:rFonts w:hint="eastAsia" w:ascii="宋体" w:hAnsi="宋体" w:cs="宋体"/>
                <w:kern w:val="0"/>
                <w:szCs w:val="21"/>
              </w:rPr>
              <w:t>联合体报价</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kern w:val="0"/>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9</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踏勘现场</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10</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分包</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11</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偏差</w:t>
            </w:r>
          </w:p>
        </w:tc>
        <w:tc>
          <w:tcPr>
            <w:tcW w:w="7104" w:type="dxa"/>
            <w:vAlign w:val="center"/>
          </w:tcPr>
          <w:p>
            <w:pPr>
              <w:spacing w:line="400" w:lineRule="exact"/>
              <w:ind w:firstLine="422" w:firstLineChars="200"/>
              <w:rPr>
                <w:rFonts w:ascii="宋体" w:hAnsi="宋体" w:cs="宋体"/>
                <w:kern w:val="0"/>
                <w:szCs w:val="21"/>
              </w:rPr>
            </w:pPr>
            <w:r>
              <w:rPr>
                <w:rFonts w:hint="eastAsia" w:ascii="宋体" w:hAnsi="宋体" w:cs="宋体"/>
                <w:b/>
                <w:kern w:val="0"/>
                <w:szCs w:val="21"/>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12</w:t>
            </w:r>
          </w:p>
        </w:tc>
        <w:tc>
          <w:tcPr>
            <w:tcW w:w="2106" w:type="dxa"/>
            <w:vAlign w:val="center"/>
          </w:tcPr>
          <w:p>
            <w:pPr>
              <w:spacing w:line="440" w:lineRule="exact"/>
              <w:jc w:val="center"/>
              <w:rPr>
                <w:rFonts w:ascii="宋体" w:hAnsi="宋体" w:cs="宋体"/>
                <w:kern w:val="0"/>
                <w:szCs w:val="21"/>
              </w:rPr>
            </w:pPr>
            <w:r>
              <w:rPr>
                <w:rFonts w:hint="eastAsia" w:ascii="宋体" w:hAnsi="宋体" w:cs="宋体"/>
                <w:bCs/>
                <w:szCs w:val="21"/>
              </w:rPr>
              <w:t>构成比选文件的其他材料</w:t>
            </w:r>
          </w:p>
        </w:tc>
        <w:tc>
          <w:tcPr>
            <w:tcW w:w="7104" w:type="dxa"/>
            <w:vAlign w:val="center"/>
          </w:tcPr>
          <w:p>
            <w:pPr>
              <w:spacing w:line="440" w:lineRule="exact"/>
              <w:ind w:firstLine="420" w:firstLineChars="200"/>
              <w:rPr>
                <w:rFonts w:ascii="宋体" w:hAnsi="宋体" w:cs="宋体"/>
                <w:kern w:val="0"/>
                <w:szCs w:val="21"/>
              </w:rPr>
            </w:pPr>
            <w:r>
              <w:rPr>
                <w:rFonts w:hint="eastAsia" w:ascii="宋体" w:hAnsi="宋体" w:cs="宋体"/>
                <w:szCs w:val="21"/>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13</w:t>
            </w:r>
          </w:p>
        </w:tc>
        <w:tc>
          <w:tcPr>
            <w:tcW w:w="2106" w:type="dxa"/>
            <w:vAlign w:val="center"/>
          </w:tcPr>
          <w:p>
            <w:pPr>
              <w:spacing w:line="400" w:lineRule="exact"/>
              <w:jc w:val="center"/>
              <w:rPr>
                <w:rFonts w:ascii="宋体" w:hAnsi="宋体" w:cs="宋体"/>
                <w:kern w:val="0"/>
                <w:szCs w:val="21"/>
              </w:rPr>
            </w:pPr>
            <w:r>
              <w:rPr>
                <w:rFonts w:hint="eastAsia" w:ascii="宋体" w:hAnsi="宋体" w:cs="宋体"/>
                <w:szCs w:val="21"/>
              </w:rPr>
              <w:t>构成竞争性比选响应文件的其他材料</w:t>
            </w:r>
          </w:p>
        </w:tc>
        <w:tc>
          <w:tcPr>
            <w:tcW w:w="7104" w:type="dxa"/>
            <w:vAlign w:val="center"/>
          </w:tcPr>
          <w:p>
            <w:pPr>
              <w:pStyle w:val="149"/>
              <w:spacing w:before="72" w:line="400" w:lineRule="exact"/>
              <w:ind w:firstLine="420" w:firstLineChars="200"/>
              <w:jc w:val="both"/>
              <w:rPr>
                <w:rFonts w:hAnsi="宋体"/>
                <w:szCs w:val="21"/>
              </w:rPr>
            </w:pPr>
            <w:r>
              <w:rPr>
                <w:rFonts w:hint="eastAsia" w:hAnsi="宋体"/>
                <w:color w:val="auto"/>
                <w:sz w:val="21"/>
                <w:szCs w:val="21"/>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97" w:type="dxa"/>
            <w:vAlign w:val="center"/>
          </w:tcPr>
          <w:p>
            <w:pPr>
              <w:spacing w:line="400" w:lineRule="exact"/>
              <w:jc w:val="center"/>
              <w:rPr>
                <w:rFonts w:ascii="宋体" w:hAnsi="宋体" w:cs="宋体"/>
                <w:kern w:val="0"/>
                <w:szCs w:val="21"/>
              </w:rPr>
            </w:pPr>
            <w:bookmarkStart w:id="114" w:name="_Hlt227984024"/>
            <w:bookmarkEnd w:id="114"/>
            <w:r>
              <w:rPr>
                <w:rFonts w:hint="eastAsia" w:ascii="宋体" w:hAnsi="宋体" w:cs="宋体"/>
                <w:kern w:val="0"/>
                <w:szCs w:val="21"/>
              </w:rPr>
              <w:t>14</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报价清单的填写方式</w:t>
            </w:r>
          </w:p>
        </w:tc>
        <w:tc>
          <w:tcPr>
            <w:tcW w:w="7104" w:type="dxa"/>
          </w:tcPr>
          <w:p>
            <w:pPr>
              <w:spacing w:line="400" w:lineRule="exact"/>
              <w:ind w:firstLine="420" w:firstLineChars="200"/>
              <w:jc w:val="left"/>
              <w:rPr>
                <w:rFonts w:ascii="宋体" w:hAnsi="宋体" w:cs="宋体"/>
                <w:szCs w:val="21"/>
              </w:rPr>
            </w:pPr>
            <w:r>
              <w:rPr>
                <w:rFonts w:hint="eastAsia" w:ascii="宋体" w:hAnsi="宋体" w:cs="宋体"/>
              </w:rPr>
              <w:t>报价人按照采购人提供的报价清单填写报价。</w:t>
            </w:r>
          </w:p>
          <w:p>
            <w:pPr>
              <w:spacing w:line="400" w:lineRule="exact"/>
              <w:ind w:firstLine="422" w:firstLineChars="200"/>
              <w:rPr>
                <w:rFonts w:ascii="宋体" w:hAnsi="宋体" w:cs="宋体"/>
                <w:b/>
                <w:szCs w:val="21"/>
              </w:rPr>
            </w:pPr>
            <w:r>
              <w:rPr>
                <w:rFonts w:hint="eastAsia" w:ascii="宋体" w:hAnsi="宋体" w:cs="宋体"/>
                <w:b/>
                <w:szCs w:val="21"/>
              </w:rPr>
              <w:t>折扣率取小数点后一位，小数点后第二位四舍五入。</w:t>
            </w:r>
          </w:p>
          <w:p>
            <w:pPr>
              <w:spacing w:line="400" w:lineRule="exact"/>
              <w:ind w:firstLine="422" w:firstLineChars="200"/>
              <w:rPr>
                <w:rFonts w:hAnsi="宋体"/>
                <w:szCs w:val="21"/>
              </w:rPr>
            </w:pPr>
            <w:r>
              <w:rPr>
                <w:rFonts w:hint="eastAsia" w:ascii="宋体" w:hAnsi="宋体" w:cs="宋体"/>
                <w:b/>
                <w:bCs/>
                <w:szCs w:val="21"/>
              </w:rPr>
              <w:t>本项目报价清单及说明随比选文件一并发布，详见附件。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15</w:t>
            </w:r>
          </w:p>
        </w:tc>
        <w:tc>
          <w:tcPr>
            <w:tcW w:w="2106" w:type="dxa"/>
            <w:tcBorders>
              <w:bottom w:val="single" w:color="auto" w:sz="4" w:space="0"/>
            </w:tcBorders>
            <w:vAlign w:val="center"/>
          </w:tcPr>
          <w:p>
            <w:pPr>
              <w:spacing w:line="400" w:lineRule="exact"/>
              <w:jc w:val="center"/>
              <w:rPr>
                <w:rFonts w:ascii="宋体" w:hAnsi="宋体" w:cs="宋体"/>
                <w:szCs w:val="21"/>
              </w:rPr>
            </w:pPr>
            <w:r>
              <w:rPr>
                <w:rFonts w:hint="eastAsia" w:ascii="宋体" w:hAnsi="宋体" w:cs="宋体"/>
                <w:kern w:val="0"/>
                <w:szCs w:val="21"/>
              </w:rPr>
              <w:t>最高投标限价</w:t>
            </w:r>
          </w:p>
        </w:tc>
        <w:tc>
          <w:tcPr>
            <w:tcW w:w="7104" w:type="dxa"/>
            <w:tcBorders>
              <w:bottom w:val="single" w:color="auto" w:sz="4" w:space="0"/>
            </w:tcBorders>
          </w:tcPr>
          <w:p>
            <w:pPr>
              <w:spacing w:line="400" w:lineRule="exact"/>
              <w:ind w:firstLine="422" w:firstLineChars="200"/>
              <w:rPr>
                <w:rFonts w:ascii="宋体" w:hAnsi="宋体"/>
                <w:szCs w:val="21"/>
              </w:rPr>
            </w:pPr>
            <w:r>
              <w:rPr>
                <w:rFonts w:hint="eastAsia" w:ascii="宋体" w:hAnsi="宋体"/>
                <w:b/>
                <w:bCs/>
                <w:szCs w:val="21"/>
                <w:lang w:eastAsia="zh-CN"/>
              </w:rPr>
              <w:t>渝湘复线PPP项目巴水（K0+000~K76+541）段机电工程项目聚氨酯管箱及复合支架采购</w:t>
            </w:r>
            <w:r>
              <w:rPr>
                <w:rFonts w:hint="eastAsia" w:ascii="宋体" w:hAnsi="宋体"/>
                <w:b/>
                <w:bCs/>
                <w:szCs w:val="21"/>
              </w:rPr>
              <w:t>项目最高限价：</w:t>
            </w:r>
            <w:r>
              <w:rPr>
                <w:rFonts w:hint="eastAsia" w:ascii="宋体" w:hAnsi="宋体"/>
                <w:b/>
                <w:bCs/>
                <w:szCs w:val="21"/>
                <w:highlight w:val="none"/>
                <w:u w:val="single"/>
              </w:rPr>
              <w:t>1538185.00元。</w:t>
            </w:r>
          </w:p>
          <w:p>
            <w:pPr>
              <w:spacing w:line="400" w:lineRule="exact"/>
              <w:ind w:firstLine="422" w:firstLineChars="200"/>
              <w:rPr>
                <w:rFonts w:ascii="宋体" w:hAnsi="宋体" w:cs="宋体"/>
                <w:szCs w:val="21"/>
              </w:rPr>
            </w:pPr>
            <w:r>
              <w:rPr>
                <w:rFonts w:hint="eastAsia" w:ascii="宋体" w:hAnsi="宋体" w:cs="宋体"/>
                <w:b/>
                <w:szCs w:val="21"/>
              </w:rPr>
              <w:t>报价人报价不得高于采购人发布的最高限价，否则其竞争性比选响应文件视为重大偏差，竞争性比选响应文件将按否决报价处理</w:t>
            </w:r>
            <w:r>
              <w:rPr>
                <w:rFonts w:hint="eastAsia" w:ascii="宋体" w:hAnsi="宋体" w:cs="宋体"/>
                <w:b/>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tcBorders>
              <w:bottom w:val="single" w:color="auto" w:sz="4" w:space="0"/>
            </w:tcBorders>
            <w:vAlign w:val="center"/>
          </w:tcPr>
          <w:p>
            <w:pPr>
              <w:spacing w:line="40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16</w:t>
            </w:r>
          </w:p>
        </w:tc>
        <w:tc>
          <w:tcPr>
            <w:tcW w:w="2106" w:type="dxa"/>
            <w:tcBorders>
              <w:bottom w:val="single" w:color="auto" w:sz="4" w:space="0"/>
            </w:tcBorders>
            <w:vAlign w:val="center"/>
          </w:tcPr>
          <w:p>
            <w:pPr>
              <w:spacing w:line="40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报价需知</w:t>
            </w:r>
          </w:p>
        </w:tc>
        <w:tc>
          <w:tcPr>
            <w:tcW w:w="7104" w:type="dxa"/>
            <w:tcBorders>
              <w:bottom w:val="single" w:color="auto" w:sz="4" w:space="0"/>
            </w:tcBorders>
          </w:tcPr>
          <w:p>
            <w:pPr>
              <w:pStyle w:val="2"/>
              <w:keepNext w:val="0"/>
              <w:keepLines w:val="0"/>
              <w:pageBreakBefore w:val="0"/>
              <w:widowControl w:val="0"/>
              <w:numPr>
                <w:ilvl w:val="0"/>
                <w:numId w:val="0"/>
              </w:numPr>
              <w:kinsoku/>
              <w:wordWrap/>
              <w:overflowPunct/>
              <w:topLinePunct w:val="0"/>
              <w:bidi w:val="0"/>
              <w:spacing w:line="360" w:lineRule="auto"/>
              <w:ind w:firstLine="420" w:firstLineChars="200"/>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所供聚氨酯管箱及电缆支架需满足</w:t>
            </w:r>
            <w:r>
              <w:rPr>
                <w:rFonts w:hint="eastAsia" w:ascii="宋体" w:hAnsi="宋体" w:cs="宋体"/>
                <w:szCs w:val="21"/>
              </w:rPr>
              <w:t>第六章</w:t>
            </w:r>
            <w:r>
              <w:rPr>
                <w:rFonts w:hint="eastAsia" w:ascii="宋体" w:hAnsi="宋体" w:cs="宋体"/>
                <w:szCs w:val="21"/>
                <w:lang w:val="en-US" w:eastAsia="zh-CN"/>
              </w:rPr>
              <w:t>技术标准与工作</w:t>
            </w:r>
            <w:r>
              <w:rPr>
                <w:rFonts w:hint="eastAsia" w:ascii="宋体" w:hAnsi="宋体" w:eastAsia="宋体" w:cs="宋体"/>
                <w:color w:val="auto"/>
                <w:kern w:val="2"/>
                <w:sz w:val="21"/>
                <w:szCs w:val="21"/>
                <w:lang w:val="en-US" w:eastAsia="zh-CN" w:bidi="ar-SA"/>
              </w:rPr>
              <w:t>要求。</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外观上（1）若聚氨酯管箱表面粗糙、不平整光滑，色泽不均匀，或者表面有内起皱、 裂纹、 颗粒、 流胶、 树脂剥落、 纤维裸露和表面发黏等任一缺陷的情况或者一节箱体表面的气泡累积面积大于100mm2/m2或者单个最大气泡面积大于 15mm2的情况，电缆支架表面粗糙、不平整光滑，色泽不均匀，或者表面有内起皱、 裂纹、分成、纤维裸露等任一缺陷的情况；采购人对该批次货物做退货处理，并有权扣除供货人部分履约担保。若供货人对此有异议，则当场共同取样送第三方检测机构进行检测，若检测结果不合格，供货人需承担检测费用并赔偿采购人工期损失。</w:t>
            </w:r>
          </w:p>
          <w:p>
            <w:pPr>
              <w:keepNext w:val="0"/>
              <w:keepLines w:val="0"/>
              <w:pageBreakBefore w:val="0"/>
              <w:widowControl w:val="0"/>
              <w:kinsoku/>
              <w:wordWrap/>
              <w:overflowPunct/>
              <w:topLinePunct w:val="0"/>
              <w:autoSpaceDE w:val="0"/>
              <w:autoSpaceDN w:val="0"/>
              <w:bidi w:val="0"/>
              <w:adjustRightInd w:val="0"/>
              <w:snapToGrid w:val="0"/>
              <w:spacing w:afterLines="0" w:line="360" w:lineRule="auto"/>
              <w:ind w:firstLine="420" w:firstLineChars="200"/>
              <w:jc w:val="both"/>
              <w:textAlignment w:val="auto"/>
              <w:rPr>
                <w:rFonts w:hint="eastAsia" w:ascii="宋体" w:hAnsi="宋体" w:cs="宋体"/>
                <w:sz w:val="21"/>
                <w:szCs w:val="21"/>
              </w:rPr>
            </w:pPr>
            <w:r>
              <w:rPr>
                <w:rFonts w:hint="eastAsia" w:ascii="宋体" w:hAnsi="宋体" w:eastAsia="宋体" w:cs="宋体"/>
                <w:color w:val="auto"/>
                <w:kern w:val="2"/>
                <w:sz w:val="21"/>
                <w:szCs w:val="21"/>
                <w:lang w:val="en-US" w:eastAsia="zh-CN" w:bidi="ar-SA"/>
              </w:rPr>
              <w:t>（2）采购人将随机抽取任意批到场材料，送第三方检测机构检测，若检测结果不满足图纸明确的技术要求，供货人需承担检测费用，扣除供货人履约部分担保，并有权要求赔偿采购人工期损失，若不合格产品已施工，</w:t>
            </w:r>
            <w:r>
              <w:rPr>
                <w:rFonts w:hint="eastAsia" w:ascii="宋体" w:hAnsi="宋体" w:eastAsia="宋体" w:cs="宋体"/>
                <w:color w:val="auto"/>
                <w:szCs w:val="21"/>
              </w:rPr>
              <w:t>若不合格产品已施工，则供货人需</w:t>
            </w:r>
            <w:r>
              <w:rPr>
                <w:rFonts w:hint="eastAsia" w:ascii="宋体" w:hAnsi="宋体" w:cs="宋体"/>
                <w:color w:val="auto"/>
                <w:szCs w:val="21"/>
                <w:lang w:val="en-US" w:eastAsia="zh-CN"/>
              </w:rPr>
              <w:t>赔偿损失（损失费用为拆除不合格产品费用以及重新施费用、工期损失等）</w:t>
            </w:r>
            <w:r>
              <w:rPr>
                <w:rFonts w:hint="eastAsia" w:ascii="宋体" w:hAnsi="宋体" w:eastAsia="宋体" w:cs="宋体"/>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16</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合同支付办法</w:t>
            </w:r>
          </w:p>
        </w:tc>
        <w:tc>
          <w:tcPr>
            <w:tcW w:w="7104" w:type="dxa"/>
            <w:tcBorders>
              <w:bottom w:val="single" w:color="auto" w:sz="4" w:space="0"/>
            </w:tcBorders>
          </w:tcPr>
          <w:p>
            <w:pPr>
              <w:pStyle w:val="2"/>
              <w:numPr>
                <w:ilvl w:val="0"/>
                <w:numId w:val="3"/>
              </w:numPr>
              <w:ind w:firstLine="420" w:firstLineChars="200"/>
              <w:rPr>
                <w:rFonts w:hint="eastAsia" w:ascii="宋体" w:hAnsi="宋体" w:cs="宋体"/>
                <w:sz w:val="21"/>
                <w:szCs w:val="21"/>
              </w:rPr>
            </w:pPr>
            <w:r>
              <w:rPr>
                <w:rFonts w:hint="eastAsia" w:ascii="宋体" w:hAnsi="宋体" w:cs="宋体"/>
                <w:sz w:val="21"/>
                <w:szCs w:val="21"/>
              </w:rPr>
              <w:t>货到现场经验收合格1个月内支付合格货款的80%；</w:t>
            </w:r>
          </w:p>
          <w:p>
            <w:pPr>
              <w:pStyle w:val="2"/>
              <w:numPr>
                <w:ilvl w:val="0"/>
                <w:numId w:val="3"/>
              </w:numPr>
              <w:ind w:left="0" w:leftChars="0" w:firstLine="420" w:firstLineChars="200"/>
              <w:rPr>
                <w:rFonts w:hint="eastAsia" w:ascii="宋体" w:hAnsi="宋体" w:cs="宋体"/>
                <w:sz w:val="21"/>
                <w:szCs w:val="21"/>
              </w:rPr>
            </w:pPr>
            <w:r>
              <w:rPr>
                <w:rFonts w:hint="eastAsia" w:ascii="宋体" w:hAnsi="宋体" w:cs="宋体"/>
                <w:sz w:val="21"/>
                <w:szCs w:val="21"/>
              </w:rPr>
              <w:t>通车后一个月内支付到合格货款的97%；</w:t>
            </w:r>
          </w:p>
          <w:p>
            <w:pPr>
              <w:pStyle w:val="2"/>
              <w:numPr>
                <w:ilvl w:val="0"/>
                <w:numId w:val="0"/>
              </w:numPr>
              <w:ind w:leftChars="200"/>
            </w:pPr>
            <w:r>
              <w:rPr>
                <w:rFonts w:hint="eastAsia" w:ascii="宋体" w:hAnsi="宋体" w:cs="宋体"/>
                <w:sz w:val="21"/>
                <w:szCs w:val="21"/>
              </w:rPr>
              <w:t>（3）交工验收合格后三个月内支付到合格货款的100%。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7" w:type="dxa"/>
            <w:vAlign w:val="center"/>
          </w:tcPr>
          <w:p>
            <w:pPr>
              <w:spacing w:line="400" w:lineRule="exact"/>
              <w:jc w:val="center"/>
              <w:rPr>
                <w:rFonts w:ascii="宋体" w:hAnsi="宋体" w:cs="宋体"/>
                <w:szCs w:val="21"/>
              </w:rPr>
            </w:pPr>
            <w:r>
              <w:rPr>
                <w:rFonts w:hint="eastAsia" w:ascii="宋体" w:hAnsi="宋体" w:cs="宋体"/>
                <w:szCs w:val="21"/>
              </w:rPr>
              <w:t>17</w:t>
            </w:r>
          </w:p>
        </w:tc>
        <w:tc>
          <w:tcPr>
            <w:tcW w:w="2106" w:type="dxa"/>
          </w:tcPr>
          <w:p>
            <w:pPr>
              <w:spacing w:line="400" w:lineRule="exact"/>
              <w:jc w:val="center"/>
              <w:rPr>
                <w:rFonts w:ascii="宋体" w:hAnsi="宋体" w:cs="宋体"/>
                <w:szCs w:val="21"/>
              </w:rPr>
            </w:pPr>
            <w:r>
              <w:rPr>
                <w:rFonts w:hint="eastAsia" w:ascii="宋体" w:hAnsi="宋体" w:cs="宋体"/>
                <w:szCs w:val="21"/>
              </w:rPr>
              <w:t>中标候选人的人数</w:t>
            </w:r>
          </w:p>
        </w:tc>
        <w:tc>
          <w:tcPr>
            <w:tcW w:w="7104" w:type="dxa"/>
            <w:vAlign w:val="center"/>
          </w:tcPr>
          <w:p>
            <w:pPr>
              <w:spacing w:line="400" w:lineRule="exact"/>
              <w:ind w:firstLine="420" w:firstLineChars="200"/>
              <w:rPr>
                <w:rFonts w:ascii="宋体" w:hAnsi="宋体" w:cs="宋体"/>
              </w:rPr>
            </w:pPr>
            <w:r>
              <w:rPr>
                <w:rFonts w:hint="eastAsia" w:ascii="宋体" w:hAnsi="宋体" w:cs="宋体"/>
              </w:rPr>
              <w:t>推荐的中标候选人数：2名。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vAlign w:val="center"/>
          </w:tcPr>
          <w:p>
            <w:pPr>
              <w:pStyle w:val="149"/>
              <w:spacing w:line="400" w:lineRule="exact"/>
              <w:jc w:val="center"/>
              <w:rPr>
                <w:rFonts w:hAnsi="宋体"/>
                <w:color w:val="auto"/>
                <w:kern w:val="2"/>
                <w:sz w:val="21"/>
                <w:szCs w:val="21"/>
              </w:rPr>
            </w:pPr>
            <w:r>
              <w:rPr>
                <w:rFonts w:hint="eastAsia" w:hAnsi="宋体"/>
                <w:color w:val="auto"/>
                <w:kern w:val="2"/>
                <w:sz w:val="21"/>
                <w:szCs w:val="21"/>
              </w:rPr>
              <w:t>18</w:t>
            </w:r>
          </w:p>
        </w:tc>
        <w:tc>
          <w:tcPr>
            <w:tcW w:w="2106" w:type="dxa"/>
            <w:vAlign w:val="center"/>
          </w:tcPr>
          <w:p>
            <w:pPr>
              <w:pStyle w:val="149"/>
              <w:spacing w:line="400" w:lineRule="exact"/>
              <w:jc w:val="center"/>
              <w:rPr>
                <w:rFonts w:hAnsi="宋体"/>
                <w:color w:val="auto"/>
                <w:kern w:val="2"/>
                <w:sz w:val="21"/>
                <w:szCs w:val="21"/>
              </w:rPr>
            </w:pPr>
            <w:r>
              <w:rPr>
                <w:rFonts w:hint="eastAsia" w:hAnsi="宋体"/>
                <w:color w:val="auto"/>
                <w:kern w:val="2"/>
                <w:sz w:val="21"/>
                <w:szCs w:val="21"/>
              </w:rPr>
              <w:t>保证金</w:t>
            </w:r>
          </w:p>
        </w:tc>
        <w:tc>
          <w:tcPr>
            <w:tcW w:w="7104" w:type="dxa"/>
            <w:vAlign w:val="center"/>
          </w:tcPr>
          <w:p>
            <w:pPr>
              <w:pStyle w:val="149"/>
              <w:spacing w:line="400" w:lineRule="exact"/>
              <w:ind w:firstLine="420" w:firstLineChars="200"/>
              <w:rPr>
                <w:rFonts w:hint="eastAsia" w:ascii="宋体" w:hAnsi="宋体" w:cs="宋体"/>
                <w:sz w:val="21"/>
                <w:szCs w:val="21"/>
              </w:rPr>
            </w:pPr>
            <w:r>
              <w:rPr>
                <w:rFonts w:hint="eastAsia" w:ascii="宋体" w:hAnsi="宋体" w:cs="宋体"/>
                <w:sz w:val="21"/>
                <w:szCs w:val="21"/>
              </w:rPr>
              <w:t>一、投标保证金</w:t>
            </w:r>
          </w:p>
          <w:p>
            <w:pPr>
              <w:pStyle w:val="149"/>
              <w:spacing w:line="400" w:lineRule="exact"/>
              <w:ind w:firstLine="420" w:firstLineChars="200"/>
              <w:rPr>
                <w:rFonts w:hint="eastAsia" w:ascii="宋体" w:hAnsi="宋体" w:cs="宋体"/>
                <w:sz w:val="21"/>
                <w:szCs w:val="21"/>
              </w:rPr>
            </w:pPr>
            <w:r>
              <w:rPr>
                <w:rFonts w:hint="eastAsia" w:ascii="宋体" w:hAnsi="宋体" w:cs="宋体"/>
                <w:sz w:val="21"/>
                <w:szCs w:val="21"/>
              </w:rPr>
              <w:t>1</w:t>
            </w:r>
            <w:r>
              <w:rPr>
                <w:rFonts w:hint="eastAsia" w:ascii="宋体" w:hAnsi="宋体" w:cs="宋体"/>
                <w:sz w:val="21"/>
                <w:szCs w:val="21"/>
                <w:highlight w:val="none"/>
              </w:rPr>
              <w:t>、报价人须缴纳投标保证金</w:t>
            </w:r>
            <w:r>
              <w:rPr>
                <w:rFonts w:hint="eastAsia" w:hAnsi="宋体" w:cs="宋体"/>
                <w:sz w:val="21"/>
                <w:szCs w:val="21"/>
                <w:highlight w:val="none"/>
                <w:lang w:val="en-US" w:eastAsia="zh-CN"/>
              </w:rPr>
              <w:t>3</w:t>
            </w:r>
            <w:r>
              <w:rPr>
                <w:rFonts w:hint="eastAsia" w:ascii="宋体" w:hAnsi="宋体" w:cs="宋体"/>
                <w:sz w:val="21"/>
                <w:szCs w:val="21"/>
                <w:highlight w:val="none"/>
              </w:rPr>
              <w:t>万元，由报价人从公司基本账户将投标保证金汇至以下指定账户：</w:t>
            </w:r>
          </w:p>
          <w:p>
            <w:pPr>
              <w:pStyle w:val="149"/>
              <w:spacing w:line="400" w:lineRule="exact"/>
              <w:ind w:firstLine="420" w:firstLineChars="200"/>
              <w:rPr>
                <w:rFonts w:hint="eastAsia" w:ascii="宋体" w:hAnsi="宋体" w:cs="宋体"/>
                <w:sz w:val="21"/>
                <w:szCs w:val="21"/>
              </w:rPr>
            </w:pPr>
            <w:r>
              <w:rPr>
                <w:rFonts w:hint="eastAsia" w:ascii="宋体" w:hAnsi="宋体" w:cs="宋体"/>
                <w:sz w:val="21"/>
                <w:szCs w:val="21"/>
              </w:rPr>
              <w:t>保证金到账截止时间：2023年</w:t>
            </w:r>
            <w:r>
              <w:rPr>
                <w:rFonts w:hint="eastAsia" w:hAnsi="宋体" w:cs="宋体"/>
                <w:sz w:val="21"/>
                <w:szCs w:val="21"/>
                <w:lang w:val="en-US" w:eastAsia="zh-CN"/>
              </w:rPr>
              <w:t>7</w:t>
            </w:r>
            <w:r>
              <w:rPr>
                <w:rFonts w:hint="eastAsia" w:ascii="宋体" w:hAnsi="宋体" w:cs="宋体"/>
                <w:sz w:val="21"/>
                <w:szCs w:val="21"/>
              </w:rPr>
              <w:t>月1</w:t>
            </w:r>
            <w:r>
              <w:rPr>
                <w:rFonts w:hint="eastAsia" w:hAnsi="宋体" w:cs="宋体"/>
                <w:sz w:val="21"/>
                <w:szCs w:val="21"/>
                <w:lang w:val="en-US" w:eastAsia="zh-CN"/>
              </w:rPr>
              <w:t>9</w:t>
            </w:r>
            <w:r>
              <w:rPr>
                <w:rFonts w:hint="eastAsia" w:ascii="宋体" w:hAnsi="宋体" w:cs="宋体"/>
                <w:sz w:val="21"/>
                <w:szCs w:val="21"/>
              </w:rPr>
              <w:t>日1</w:t>
            </w:r>
            <w:r>
              <w:rPr>
                <w:rFonts w:hint="eastAsia" w:hAnsi="宋体" w:cs="宋体"/>
                <w:sz w:val="21"/>
                <w:szCs w:val="21"/>
                <w:lang w:val="en-US" w:eastAsia="zh-CN"/>
              </w:rPr>
              <w:t>4</w:t>
            </w:r>
            <w:r>
              <w:rPr>
                <w:rFonts w:hint="eastAsia" w:ascii="宋体" w:hAnsi="宋体" w:cs="宋体"/>
                <w:sz w:val="21"/>
                <w:szCs w:val="21"/>
              </w:rPr>
              <w:t>时00分前；</w:t>
            </w:r>
          </w:p>
          <w:p>
            <w:pPr>
              <w:pStyle w:val="149"/>
              <w:spacing w:line="400" w:lineRule="exact"/>
              <w:ind w:firstLine="420" w:firstLineChars="200"/>
              <w:rPr>
                <w:rFonts w:hint="eastAsia" w:ascii="宋体" w:hAnsi="宋体" w:cs="宋体"/>
                <w:sz w:val="21"/>
                <w:szCs w:val="21"/>
              </w:rPr>
            </w:pPr>
            <w:r>
              <w:rPr>
                <w:rFonts w:hint="eastAsia" w:ascii="宋体" w:hAnsi="宋体" w:cs="宋体"/>
                <w:sz w:val="21"/>
                <w:szCs w:val="21"/>
              </w:rPr>
              <w:t>若竞争性比选响应文件内无投标保证金缴纳凭证，采购人有权作废标处理，若投标保证金存在虚假不实情况，采购人有权作废标处理。</w:t>
            </w:r>
          </w:p>
          <w:p>
            <w:pPr>
              <w:pStyle w:val="149"/>
              <w:spacing w:line="400" w:lineRule="exact"/>
              <w:ind w:firstLine="420" w:firstLineChars="200"/>
              <w:rPr>
                <w:rFonts w:hint="eastAsia" w:ascii="宋体" w:hAnsi="宋体" w:cs="宋体"/>
                <w:sz w:val="21"/>
                <w:szCs w:val="21"/>
              </w:rPr>
            </w:pPr>
            <w:r>
              <w:rPr>
                <w:rFonts w:hint="eastAsia" w:ascii="宋体" w:hAnsi="宋体" w:cs="宋体"/>
                <w:sz w:val="21"/>
                <w:szCs w:val="21"/>
              </w:rPr>
              <w:t>2、投标保证金退还方式</w:t>
            </w:r>
          </w:p>
          <w:p>
            <w:pPr>
              <w:pStyle w:val="149"/>
              <w:spacing w:line="400" w:lineRule="exact"/>
              <w:ind w:firstLine="420" w:firstLineChars="200"/>
              <w:rPr>
                <w:rFonts w:hint="eastAsia" w:ascii="宋体" w:hAnsi="宋体" w:cs="宋体"/>
                <w:sz w:val="21"/>
                <w:szCs w:val="21"/>
              </w:rPr>
            </w:pPr>
            <w:r>
              <w:rPr>
                <w:rFonts w:hint="eastAsia" w:ascii="宋体" w:hAnsi="宋体" w:cs="宋体"/>
                <w:sz w:val="21"/>
                <w:szCs w:val="21"/>
              </w:rPr>
              <w:t>为便于及时退还，报价人在递交响应文件的同时，递交本项目保证金银行回单和公司的开户许可证复印件。</w:t>
            </w:r>
          </w:p>
          <w:p>
            <w:pPr>
              <w:pStyle w:val="149"/>
              <w:spacing w:line="400" w:lineRule="exact"/>
              <w:ind w:firstLine="420" w:firstLineChars="200"/>
              <w:rPr>
                <w:rFonts w:hint="eastAsia" w:ascii="宋体" w:hAnsi="宋体" w:cs="宋体"/>
                <w:sz w:val="21"/>
                <w:szCs w:val="21"/>
              </w:rPr>
            </w:pPr>
            <w:r>
              <w:rPr>
                <w:rFonts w:hint="eastAsia" w:ascii="宋体" w:hAnsi="宋体" w:cs="宋体"/>
                <w:sz w:val="21"/>
                <w:szCs w:val="21"/>
              </w:rPr>
              <w:t>未中标报价人的投标保证金，于该项目结果公示期结束后15个工作日内无息退还至报价人基本账户。</w:t>
            </w:r>
          </w:p>
          <w:p>
            <w:pPr>
              <w:pStyle w:val="149"/>
              <w:spacing w:line="400" w:lineRule="exact"/>
              <w:ind w:firstLine="420" w:firstLineChars="200"/>
              <w:rPr>
                <w:rFonts w:hint="eastAsia" w:ascii="宋体" w:hAnsi="宋体" w:cs="宋体"/>
                <w:sz w:val="21"/>
                <w:szCs w:val="21"/>
              </w:rPr>
            </w:pPr>
            <w:r>
              <w:rPr>
                <w:rFonts w:hint="eastAsia" w:ascii="宋体" w:hAnsi="宋体" w:cs="宋体"/>
                <w:sz w:val="21"/>
                <w:szCs w:val="21"/>
              </w:rPr>
              <w:t>中标人的投标保证金，自合同签订后15个工作日内无息退还至中标人基本账户。</w:t>
            </w:r>
          </w:p>
          <w:p>
            <w:pPr>
              <w:pStyle w:val="149"/>
              <w:spacing w:line="400" w:lineRule="exact"/>
              <w:ind w:firstLine="420" w:firstLineChars="200"/>
              <w:rPr>
                <w:rFonts w:hint="eastAsia" w:ascii="宋体" w:hAnsi="宋体" w:cs="宋体"/>
                <w:sz w:val="21"/>
                <w:szCs w:val="21"/>
              </w:rPr>
            </w:pPr>
            <w:r>
              <w:rPr>
                <w:rFonts w:hint="eastAsia" w:ascii="宋体" w:hAnsi="宋体" w:cs="宋体"/>
                <w:sz w:val="21"/>
                <w:szCs w:val="21"/>
              </w:rPr>
              <w:t>二、履约保证金</w:t>
            </w:r>
          </w:p>
          <w:p>
            <w:pPr>
              <w:pStyle w:val="149"/>
              <w:spacing w:line="400" w:lineRule="exact"/>
              <w:ind w:firstLine="420" w:firstLineChars="200"/>
              <w:rPr>
                <w:rFonts w:hint="eastAsia" w:ascii="宋体" w:hAnsi="宋体" w:cs="宋体"/>
                <w:sz w:val="21"/>
                <w:szCs w:val="21"/>
              </w:rPr>
            </w:pPr>
            <w:r>
              <w:rPr>
                <w:rFonts w:hint="eastAsia" w:ascii="宋体" w:hAnsi="宋体" w:cs="宋体"/>
                <w:sz w:val="21"/>
                <w:szCs w:val="21"/>
              </w:rPr>
              <w:t>1、履约担保作为本项目合同附件；</w:t>
            </w:r>
          </w:p>
          <w:p>
            <w:pPr>
              <w:pStyle w:val="149"/>
              <w:spacing w:line="400" w:lineRule="exact"/>
              <w:ind w:firstLine="420" w:firstLineChars="200"/>
              <w:rPr>
                <w:rFonts w:hint="eastAsia" w:ascii="宋体" w:hAnsi="宋体" w:cs="宋体"/>
                <w:sz w:val="21"/>
                <w:szCs w:val="21"/>
              </w:rPr>
            </w:pPr>
            <w:r>
              <w:rPr>
                <w:rFonts w:hint="eastAsia" w:ascii="宋体" w:hAnsi="宋体" w:cs="宋体"/>
                <w:sz w:val="21"/>
                <w:szCs w:val="21"/>
              </w:rPr>
              <w:t>2、履约保证金的金额：中标金额的10%；</w:t>
            </w:r>
          </w:p>
          <w:p>
            <w:pPr>
              <w:pStyle w:val="149"/>
              <w:spacing w:line="400" w:lineRule="exact"/>
              <w:ind w:firstLine="420" w:firstLineChars="200"/>
              <w:rPr>
                <w:rFonts w:hint="eastAsia" w:ascii="宋体" w:hAnsi="宋体" w:cs="宋体"/>
                <w:sz w:val="21"/>
                <w:szCs w:val="21"/>
              </w:rPr>
            </w:pPr>
            <w:r>
              <w:rPr>
                <w:rFonts w:hint="eastAsia" w:ascii="宋体" w:hAnsi="宋体" w:cs="宋体"/>
                <w:sz w:val="21"/>
                <w:szCs w:val="21"/>
              </w:rPr>
              <w:t>3、履约保证金有效期：自双方签订的合同文件生效之日起，至合同约定时间或暂定金额使用完成为止。</w:t>
            </w:r>
          </w:p>
          <w:p>
            <w:pPr>
              <w:pStyle w:val="149"/>
              <w:spacing w:line="400" w:lineRule="exact"/>
              <w:ind w:firstLine="420" w:firstLineChars="200"/>
              <w:rPr>
                <w:rFonts w:hint="eastAsia" w:ascii="宋体" w:hAnsi="宋体" w:cs="宋体"/>
                <w:sz w:val="21"/>
                <w:szCs w:val="21"/>
              </w:rPr>
            </w:pPr>
            <w:r>
              <w:rPr>
                <w:rFonts w:hint="eastAsia" w:ascii="宋体" w:hAnsi="宋体" w:cs="宋体"/>
                <w:sz w:val="21"/>
                <w:szCs w:val="21"/>
              </w:rPr>
              <w:t>4、履约保证金的提交及退还：在甲方发出中标通知书后5个工作日内，中标人向采购人提供履约保证金缴纳凭证。履约保证金在完成合同约定的全部工作内容后由中标人提出申请，28天后无息退还剩余部分。</w:t>
            </w:r>
          </w:p>
          <w:p>
            <w:pPr>
              <w:pStyle w:val="149"/>
              <w:spacing w:line="400" w:lineRule="exact"/>
              <w:ind w:firstLine="420" w:firstLineChars="200"/>
              <w:rPr>
                <w:rFonts w:hint="eastAsia" w:ascii="宋体" w:hAnsi="宋体" w:cs="宋体"/>
                <w:sz w:val="21"/>
                <w:szCs w:val="21"/>
              </w:rPr>
            </w:pPr>
            <w:r>
              <w:rPr>
                <w:rFonts w:hint="eastAsia" w:ascii="宋体" w:hAnsi="宋体" w:cs="宋体"/>
                <w:sz w:val="21"/>
                <w:szCs w:val="21"/>
              </w:rPr>
              <w:t>三、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pPr>
              <w:pStyle w:val="149"/>
              <w:spacing w:line="400" w:lineRule="exact"/>
              <w:ind w:firstLine="420" w:firstLineChars="200"/>
              <w:rPr>
                <w:rFonts w:hint="eastAsia" w:ascii="宋体" w:hAnsi="宋体" w:cs="宋体"/>
                <w:sz w:val="21"/>
                <w:szCs w:val="21"/>
              </w:rPr>
            </w:pPr>
            <w:r>
              <w:rPr>
                <w:rFonts w:hint="eastAsia" w:ascii="宋体" w:hAnsi="宋体" w:cs="宋体"/>
                <w:sz w:val="21"/>
                <w:szCs w:val="21"/>
              </w:rPr>
              <w:t>转款备注：</w:t>
            </w:r>
            <w:r>
              <w:rPr>
                <w:rFonts w:hint="eastAsia" w:ascii="宋体" w:hAnsi="宋体"/>
                <w:b/>
                <w:bCs/>
                <w:szCs w:val="21"/>
                <w:lang w:eastAsia="zh-CN"/>
              </w:rPr>
              <w:t>渝湘复线PPP项目聚氨酯管箱及复合支架采购</w:t>
            </w:r>
            <w:r>
              <w:rPr>
                <w:rFonts w:hint="eastAsia" w:hAnsi="宋体"/>
                <w:b/>
                <w:bCs/>
                <w:szCs w:val="21"/>
                <w:lang w:val="en-US" w:eastAsia="zh-CN"/>
              </w:rPr>
              <w:t>投标保证金</w:t>
            </w:r>
            <w:r>
              <w:rPr>
                <w:rFonts w:hint="eastAsia" w:ascii="宋体" w:hAnsi="宋体" w:cs="宋体"/>
                <w:sz w:val="21"/>
                <w:szCs w:val="21"/>
              </w:rPr>
              <w:t>。</w:t>
            </w:r>
          </w:p>
          <w:p>
            <w:pPr>
              <w:pStyle w:val="149"/>
              <w:spacing w:line="400" w:lineRule="exact"/>
              <w:ind w:firstLine="420" w:firstLineChars="200"/>
              <w:rPr>
                <w:rFonts w:hint="eastAsia" w:ascii="宋体" w:hAnsi="宋体" w:cs="宋体"/>
                <w:sz w:val="21"/>
                <w:szCs w:val="21"/>
              </w:rPr>
            </w:pPr>
            <w:r>
              <w:rPr>
                <w:rFonts w:hint="eastAsia" w:ascii="宋体" w:hAnsi="宋体" w:cs="宋体"/>
                <w:sz w:val="21"/>
                <w:szCs w:val="21"/>
              </w:rPr>
              <w:t>四、采购人指定的开户银行及账号如下：</w:t>
            </w:r>
          </w:p>
          <w:p>
            <w:pPr>
              <w:pStyle w:val="149"/>
              <w:spacing w:line="400" w:lineRule="exact"/>
              <w:ind w:firstLine="420" w:firstLineChars="200"/>
              <w:rPr>
                <w:rFonts w:hint="eastAsia" w:ascii="宋体" w:hAnsi="宋体" w:cs="宋体"/>
                <w:sz w:val="21"/>
                <w:szCs w:val="21"/>
              </w:rPr>
            </w:pPr>
            <w:r>
              <w:rPr>
                <w:rFonts w:hint="eastAsia" w:ascii="宋体" w:hAnsi="宋体" w:cs="宋体"/>
                <w:sz w:val="21"/>
                <w:szCs w:val="21"/>
              </w:rPr>
              <w:t>账户名称：重庆首讯科技股份有限公司</w:t>
            </w:r>
          </w:p>
          <w:p>
            <w:pPr>
              <w:pStyle w:val="149"/>
              <w:spacing w:line="400" w:lineRule="exact"/>
              <w:ind w:firstLine="420" w:firstLineChars="200"/>
              <w:rPr>
                <w:rFonts w:hint="eastAsia" w:ascii="宋体" w:hAnsi="宋体" w:cs="宋体"/>
                <w:sz w:val="21"/>
                <w:szCs w:val="21"/>
              </w:rPr>
            </w:pPr>
            <w:r>
              <w:rPr>
                <w:rFonts w:hint="eastAsia" w:ascii="宋体" w:hAnsi="宋体" w:cs="宋体"/>
                <w:sz w:val="21"/>
                <w:szCs w:val="21"/>
              </w:rPr>
              <w:t>开户银行：兴业银行重庆分行营业部</w:t>
            </w:r>
          </w:p>
          <w:p>
            <w:pPr>
              <w:pStyle w:val="149"/>
              <w:spacing w:line="400" w:lineRule="exact"/>
              <w:ind w:firstLine="420" w:firstLineChars="200"/>
              <w:rPr>
                <w:rFonts w:hAnsi="宋体"/>
                <w:color w:val="auto"/>
                <w:kern w:val="2"/>
                <w:sz w:val="21"/>
              </w:rPr>
            </w:pPr>
            <w:r>
              <w:rPr>
                <w:rFonts w:hint="eastAsia" w:ascii="宋体" w:hAnsi="宋体" w:cs="宋体"/>
                <w:sz w:val="21"/>
                <w:szCs w:val="21"/>
              </w:rPr>
              <w:t>帐    号：3460 1010 0100 4791 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9"/>
              <w:spacing w:line="400" w:lineRule="exact"/>
              <w:jc w:val="center"/>
              <w:rPr>
                <w:rFonts w:hAnsi="宋体"/>
                <w:color w:val="auto"/>
                <w:sz w:val="21"/>
                <w:szCs w:val="21"/>
              </w:rPr>
            </w:pPr>
            <w:r>
              <w:rPr>
                <w:rFonts w:hint="eastAsia" w:hAnsi="宋体"/>
                <w:color w:val="auto"/>
                <w:sz w:val="21"/>
                <w:szCs w:val="21"/>
              </w:rPr>
              <w:t>19</w:t>
            </w:r>
          </w:p>
        </w:tc>
        <w:tc>
          <w:tcPr>
            <w:tcW w:w="2106" w:type="dxa"/>
            <w:vAlign w:val="center"/>
          </w:tcPr>
          <w:p>
            <w:pPr>
              <w:pStyle w:val="149"/>
              <w:spacing w:line="400" w:lineRule="exact"/>
              <w:jc w:val="center"/>
              <w:rPr>
                <w:rFonts w:hAnsi="宋体"/>
                <w:color w:val="auto"/>
                <w:sz w:val="21"/>
                <w:szCs w:val="21"/>
              </w:rPr>
            </w:pPr>
            <w:r>
              <w:rPr>
                <w:rFonts w:hint="eastAsia" w:hAnsi="宋体"/>
                <w:color w:val="auto"/>
                <w:kern w:val="2"/>
                <w:sz w:val="21"/>
                <w:szCs w:val="21"/>
              </w:rPr>
              <w:t>监督部门</w:t>
            </w:r>
          </w:p>
        </w:tc>
        <w:tc>
          <w:tcPr>
            <w:tcW w:w="7104" w:type="dxa"/>
            <w:vAlign w:val="center"/>
          </w:tcPr>
          <w:p>
            <w:pPr>
              <w:pStyle w:val="149"/>
              <w:spacing w:line="400" w:lineRule="exact"/>
              <w:ind w:firstLine="420" w:firstLineChars="200"/>
              <w:rPr>
                <w:rFonts w:hAnsi="宋体"/>
                <w:color w:val="auto"/>
                <w:kern w:val="2"/>
                <w:sz w:val="21"/>
                <w:szCs w:val="21"/>
              </w:rPr>
            </w:pPr>
            <w:r>
              <w:rPr>
                <w:rFonts w:hint="eastAsia" w:hAnsi="宋体"/>
                <w:color w:val="auto"/>
                <w:kern w:val="2"/>
                <w:sz w:val="21"/>
                <w:szCs w:val="21"/>
              </w:rPr>
              <w:t>监督部门：重庆首讯科技股份有限公司合规监管部</w:t>
            </w:r>
          </w:p>
          <w:p>
            <w:pPr>
              <w:pStyle w:val="149"/>
              <w:spacing w:line="400" w:lineRule="exact"/>
              <w:ind w:firstLine="420" w:firstLineChars="200"/>
              <w:rPr>
                <w:rFonts w:hAnsi="宋体"/>
                <w:color w:val="auto"/>
                <w:kern w:val="2"/>
                <w:sz w:val="21"/>
                <w:szCs w:val="21"/>
              </w:rPr>
            </w:pPr>
            <w:r>
              <w:rPr>
                <w:rFonts w:hint="eastAsia" w:hAnsi="宋体"/>
                <w:color w:val="auto"/>
                <w:kern w:val="2"/>
                <w:sz w:val="21"/>
                <w:szCs w:val="21"/>
              </w:rPr>
              <w:t>地    址：重庆市渝北区新南路52号东界龙湖三楼</w:t>
            </w:r>
          </w:p>
          <w:p>
            <w:pPr>
              <w:pStyle w:val="149"/>
              <w:spacing w:line="400" w:lineRule="exact"/>
              <w:ind w:firstLine="420" w:firstLineChars="200"/>
              <w:rPr>
                <w:rFonts w:hAnsi="宋体"/>
                <w:color w:val="auto"/>
                <w:sz w:val="21"/>
                <w:szCs w:val="21"/>
              </w:rPr>
            </w:pPr>
            <w:r>
              <w:rPr>
                <w:rFonts w:hint="eastAsia" w:hAnsi="宋体"/>
                <w:color w:val="auto"/>
                <w:kern w:val="2"/>
                <w:sz w:val="21"/>
                <w:szCs w:val="21"/>
              </w:rPr>
              <w:t>电    话：023-63132246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9"/>
              <w:spacing w:line="400" w:lineRule="exact"/>
              <w:jc w:val="center"/>
              <w:rPr>
                <w:rFonts w:hAnsi="宋体"/>
                <w:color w:val="auto"/>
                <w:sz w:val="21"/>
                <w:szCs w:val="21"/>
              </w:rPr>
            </w:pPr>
            <w:r>
              <w:rPr>
                <w:rFonts w:hint="eastAsia" w:hAnsi="宋体"/>
                <w:color w:val="auto"/>
                <w:sz w:val="21"/>
                <w:szCs w:val="21"/>
              </w:rPr>
              <w:t>20</w:t>
            </w:r>
          </w:p>
        </w:tc>
        <w:tc>
          <w:tcPr>
            <w:tcW w:w="2106" w:type="dxa"/>
            <w:vAlign w:val="center"/>
          </w:tcPr>
          <w:p>
            <w:pPr>
              <w:pStyle w:val="149"/>
              <w:spacing w:line="400" w:lineRule="exact"/>
              <w:jc w:val="center"/>
              <w:rPr>
                <w:rFonts w:hAnsi="宋体"/>
                <w:color w:val="auto"/>
                <w:kern w:val="2"/>
                <w:sz w:val="21"/>
                <w:szCs w:val="21"/>
              </w:rPr>
            </w:pPr>
            <w:r>
              <w:rPr>
                <w:rFonts w:hint="eastAsia" w:hAnsi="宋体"/>
                <w:color w:val="auto"/>
                <w:kern w:val="2"/>
                <w:sz w:val="21"/>
                <w:szCs w:val="21"/>
              </w:rPr>
              <w:t>竞争性比选响应文件的组成</w:t>
            </w:r>
          </w:p>
        </w:tc>
        <w:tc>
          <w:tcPr>
            <w:tcW w:w="7104" w:type="dxa"/>
            <w:vAlign w:val="center"/>
          </w:tcPr>
          <w:p>
            <w:pPr>
              <w:pStyle w:val="149"/>
              <w:spacing w:line="400" w:lineRule="exact"/>
              <w:ind w:firstLine="420" w:firstLineChars="200"/>
              <w:rPr>
                <w:rFonts w:hAnsi="宋体"/>
                <w:color w:val="auto"/>
                <w:kern w:val="2"/>
                <w:sz w:val="21"/>
                <w:szCs w:val="21"/>
              </w:rPr>
            </w:pPr>
            <w:r>
              <w:rPr>
                <w:rFonts w:hint="eastAsia" w:hAnsi="宋体"/>
                <w:color w:val="auto"/>
                <w:kern w:val="2"/>
                <w:sz w:val="21"/>
                <w:szCs w:val="21"/>
              </w:rPr>
              <w:t>1.竞争性比选文件需加盖报价人的公章，竞争性比选响应文件提交</w:t>
            </w:r>
            <w:r>
              <w:rPr>
                <w:rFonts w:hint="eastAsia" w:hAnsi="宋体"/>
                <w:b/>
                <w:bCs/>
                <w:color w:val="auto"/>
                <w:kern w:val="2"/>
                <w:sz w:val="21"/>
                <w:szCs w:val="21"/>
              </w:rPr>
              <w:t>正本1份，副本1份，电子文件1份</w:t>
            </w:r>
            <w:r>
              <w:rPr>
                <w:rFonts w:hint="eastAsia" w:hAnsi="宋体"/>
                <w:color w:val="auto"/>
                <w:kern w:val="2"/>
                <w:sz w:val="21"/>
                <w:szCs w:val="21"/>
              </w:rPr>
              <w:t>，副本可为正本的复印件，竞争性比选响应文件需装订成册；电子文件1份应提供竞争性比选响应文件（盖章版）</w:t>
            </w:r>
            <w:r>
              <w:rPr>
                <w:rFonts w:hint="eastAsia" w:hAnsi="宋体"/>
                <w:color w:val="auto"/>
                <w:kern w:val="2"/>
                <w:sz w:val="21"/>
                <w:szCs w:val="21"/>
                <w:lang w:val="en-US" w:eastAsia="zh-CN"/>
              </w:rPr>
              <w:t>扫描件，格式为</w:t>
            </w:r>
            <w:r>
              <w:rPr>
                <w:rFonts w:hint="eastAsia" w:hAnsi="宋体"/>
                <w:color w:val="auto"/>
                <w:kern w:val="2"/>
                <w:sz w:val="21"/>
                <w:szCs w:val="21"/>
              </w:rPr>
              <w:t>PDF</w:t>
            </w:r>
            <w:r>
              <w:rPr>
                <w:rFonts w:hint="eastAsia" w:hAnsi="宋体"/>
                <w:color w:val="auto"/>
                <w:kern w:val="2"/>
                <w:sz w:val="21"/>
                <w:szCs w:val="21"/>
                <w:lang w:val="en-US" w:eastAsia="zh-CN"/>
              </w:rPr>
              <w:t>格式</w:t>
            </w:r>
            <w:r>
              <w:rPr>
                <w:rFonts w:hint="eastAsia" w:hAnsi="宋体"/>
                <w:color w:val="auto"/>
                <w:kern w:val="2"/>
                <w:sz w:val="21"/>
                <w:szCs w:val="21"/>
              </w:rPr>
              <w:t>（U盘1份，电子文件内容须包括竞争性比选响应文件全部内容）。当电子文件与纸质版竞争性比选响应文件不一致时，以纸质版竞争性比选响应文件为准，当正本与副本不一致时，以正本为准。</w:t>
            </w:r>
          </w:p>
          <w:p>
            <w:pPr>
              <w:pStyle w:val="149"/>
              <w:spacing w:line="400" w:lineRule="exact"/>
              <w:ind w:firstLine="420" w:firstLineChars="200"/>
              <w:rPr>
                <w:rFonts w:hAnsi="宋体"/>
                <w:color w:val="auto"/>
                <w:kern w:val="2"/>
                <w:sz w:val="21"/>
                <w:szCs w:val="21"/>
              </w:rPr>
            </w:pPr>
            <w:r>
              <w:rPr>
                <w:rFonts w:hint="eastAsia" w:hAnsi="宋体"/>
                <w:color w:val="auto"/>
                <w:kern w:val="2"/>
                <w:sz w:val="21"/>
                <w:szCs w:val="21"/>
              </w:rPr>
              <w:t>2.竞争性比选响应声明书、报价函、资格要求材料、报价人认为需要提供的其他相关文件（</w:t>
            </w:r>
            <w:r>
              <w:rPr>
                <w:rFonts w:hint="eastAsia" w:hAnsi="宋体"/>
                <w:b/>
                <w:bCs/>
                <w:color w:val="auto"/>
                <w:kern w:val="2"/>
                <w:sz w:val="21"/>
                <w:szCs w:val="21"/>
              </w:rPr>
              <w:t>注：以上所有文件均须逐页加盖报价人的公章</w:t>
            </w:r>
            <w:r>
              <w:rPr>
                <w:rFonts w:hint="eastAsia" w:hAnsi="宋体"/>
                <w:color w:val="auto"/>
                <w:kern w:val="2"/>
                <w:sz w:val="21"/>
                <w:szCs w:val="21"/>
              </w:rPr>
              <w:t>）。</w:t>
            </w:r>
          </w:p>
          <w:p>
            <w:pPr>
              <w:pStyle w:val="149"/>
              <w:spacing w:line="400" w:lineRule="exact"/>
              <w:ind w:firstLine="422" w:firstLineChars="200"/>
              <w:rPr>
                <w:rFonts w:hAnsi="宋体"/>
                <w:b/>
                <w:bCs/>
                <w:color w:val="auto"/>
                <w:kern w:val="2"/>
                <w:sz w:val="21"/>
                <w:szCs w:val="21"/>
              </w:rPr>
            </w:pPr>
            <w:r>
              <w:rPr>
                <w:rFonts w:hint="eastAsia" w:hAnsi="宋体"/>
                <w:b/>
                <w:bCs/>
                <w:color w:val="auto"/>
                <w:kern w:val="2"/>
                <w:sz w:val="21"/>
                <w:szCs w:val="21"/>
              </w:rPr>
              <w:t>3.密封要求：</w:t>
            </w:r>
          </w:p>
          <w:p>
            <w:pPr>
              <w:pStyle w:val="149"/>
              <w:spacing w:line="400" w:lineRule="exact"/>
              <w:ind w:firstLine="420" w:firstLineChars="200"/>
              <w:rPr>
                <w:rFonts w:hAnsi="宋体"/>
                <w:color w:val="auto"/>
                <w:kern w:val="2"/>
                <w:sz w:val="21"/>
                <w:szCs w:val="21"/>
              </w:rPr>
            </w:pPr>
            <w:r>
              <w:rPr>
                <w:rFonts w:hint="eastAsia" w:hAnsi="宋体"/>
                <w:color w:val="auto"/>
                <w:kern w:val="2"/>
                <w:sz w:val="21"/>
                <w:szCs w:val="21"/>
              </w:rPr>
              <w:t>竞争性比选响应文件密封到一个封袋中，在封套上写明：</w:t>
            </w:r>
          </w:p>
          <w:p>
            <w:pPr>
              <w:pStyle w:val="149"/>
              <w:spacing w:line="400" w:lineRule="exact"/>
              <w:ind w:firstLine="420" w:firstLineChars="200"/>
              <w:rPr>
                <w:rFonts w:hAnsi="宋体"/>
                <w:color w:val="auto"/>
                <w:kern w:val="2"/>
                <w:sz w:val="21"/>
                <w:szCs w:val="21"/>
              </w:rPr>
            </w:pPr>
            <w:r>
              <w:rPr>
                <w:rFonts w:hint="eastAsia" w:hAnsi="宋体"/>
                <w:color w:val="auto"/>
                <w:kern w:val="2"/>
                <w:sz w:val="21"/>
                <w:szCs w:val="21"/>
                <w:lang w:eastAsia="zh-CN"/>
              </w:rPr>
              <w:t>渝湘复线PPP项目巴水（K0+000~K76+541）段机电工程项目聚氨酯管箱及复合支架采购</w:t>
            </w:r>
            <w:r>
              <w:rPr>
                <w:rFonts w:hint="eastAsia" w:hAnsi="宋体"/>
                <w:color w:val="auto"/>
                <w:kern w:val="2"/>
                <w:sz w:val="21"/>
                <w:szCs w:val="21"/>
              </w:rPr>
              <w:t>项目竞争性比选响应文件（加盖报价人的公章）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pStyle w:val="149"/>
              <w:spacing w:line="400" w:lineRule="exact"/>
              <w:jc w:val="center"/>
              <w:rPr>
                <w:rFonts w:hAnsi="宋体"/>
                <w:color w:val="auto"/>
                <w:sz w:val="21"/>
                <w:szCs w:val="21"/>
              </w:rPr>
            </w:pPr>
            <w:r>
              <w:rPr>
                <w:rFonts w:hint="eastAsia" w:hAnsi="宋体"/>
                <w:color w:val="auto"/>
                <w:sz w:val="21"/>
                <w:szCs w:val="21"/>
              </w:rPr>
              <w:t>21</w:t>
            </w:r>
          </w:p>
        </w:tc>
        <w:tc>
          <w:tcPr>
            <w:tcW w:w="2106" w:type="dxa"/>
            <w:vAlign w:val="center"/>
          </w:tcPr>
          <w:p>
            <w:pPr>
              <w:spacing w:line="400" w:lineRule="exact"/>
              <w:jc w:val="center"/>
              <w:rPr>
                <w:rFonts w:hAnsi="宋体"/>
                <w:szCs w:val="21"/>
              </w:rPr>
            </w:pPr>
            <w:r>
              <w:rPr>
                <w:rFonts w:hint="eastAsia"/>
              </w:rPr>
              <w:t>中标候选人公示</w:t>
            </w:r>
          </w:p>
        </w:tc>
        <w:tc>
          <w:tcPr>
            <w:tcW w:w="7104" w:type="dxa"/>
            <w:vAlign w:val="center"/>
          </w:tcPr>
          <w:p>
            <w:pPr>
              <w:spacing w:line="400" w:lineRule="exact"/>
              <w:ind w:firstLine="420" w:firstLineChars="200"/>
              <w:rPr>
                <w:rFonts w:hAnsi="宋体"/>
                <w:szCs w:val="21"/>
              </w:rPr>
            </w:pPr>
            <w:r>
              <w:rPr>
                <w:rFonts w:hint="eastAsia"/>
              </w:rPr>
              <w:t>评标结果将在重庆高速集团官网（http://www.cegc.com.cn）和重庆高速招投标管理平台（http://219.152.86.3:8081/pms/）上进行公示，公示期为3日。公示内容包括中标候选人名称、排序、投标报价；提出异议、投诉的渠道和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9"/>
              <w:spacing w:line="400" w:lineRule="exact"/>
              <w:jc w:val="center"/>
              <w:rPr>
                <w:rFonts w:hAnsi="宋体"/>
                <w:color w:val="auto"/>
                <w:kern w:val="2"/>
                <w:sz w:val="21"/>
                <w:szCs w:val="21"/>
              </w:rPr>
            </w:pPr>
            <w:r>
              <w:rPr>
                <w:rFonts w:hint="eastAsia" w:hAnsi="宋体"/>
                <w:color w:val="auto"/>
                <w:kern w:val="2"/>
                <w:sz w:val="21"/>
                <w:szCs w:val="21"/>
              </w:rPr>
              <w:t>22</w:t>
            </w:r>
          </w:p>
        </w:tc>
        <w:tc>
          <w:tcPr>
            <w:tcW w:w="9210" w:type="dxa"/>
            <w:gridSpan w:val="2"/>
            <w:vAlign w:val="center"/>
          </w:tcPr>
          <w:p>
            <w:pPr>
              <w:pStyle w:val="149"/>
              <w:spacing w:line="400" w:lineRule="exact"/>
              <w:ind w:firstLine="482" w:firstLineChars="200"/>
              <w:jc w:val="center"/>
              <w:rPr>
                <w:rFonts w:hAnsi="宋体"/>
                <w:color w:val="auto"/>
                <w:kern w:val="2"/>
                <w:sz w:val="21"/>
                <w:szCs w:val="21"/>
              </w:rPr>
            </w:pPr>
            <w:r>
              <w:rPr>
                <w:rFonts w:hAnsi="宋体"/>
                <w:b/>
                <w:bCs/>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pStyle w:val="149"/>
              <w:spacing w:line="400" w:lineRule="exact"/>
              <w:jc w:val="center"/>
              <w:rPr>
                <w:rFonts w:hAnsi="宋体"/>
                <w:color w:val="auto"/>
                <w:kern w:val="2"/>
                <w:sz w:val="21"/>
                <w:szCs w:val="21"/>
              </w:rPr>
            </w:pPr>
            <w:r>
              <w:rPr>
                <w:rFonts w:hint="eastAsia" w:hAnsi="宋体"/>
                <w:color w:val="auto"/>
                <w:kern w:val="2"/>
                <w:sz w:val="21"/>
                <w:szCs w:val="21"/>
              </w:rPr>
              <w:t>22.1</w:t>
            </w:r>
          </w:p>
        </w:tc>
        <w:tc>
          <w:tcPr>
            <w:tcW w:w="9210" w:type="dxa"/>
            <w:gridSpan w:val="2"/>
            <w:vAlign w:val="center"/>
          </w:tcPr>
          <w:p>
            <w:pPr>
              <w:pStyle w:val="149"/>
              <w:spacing w:line="400" w:lineRule="exact"/>
              <w:ind w:firstLine="420" w:firstLineChars="200"/>
              <w:rPr>
                <w:rFonts w:hAnsi="宋体"/>
                <w:b/>
                <w:bCs/>
                <w:szCs w:val="21"/>
              </w:rPr>
            </w:pPr>
            <w:r>
              <w:rPr>
                <w:rFonts w:hint="eastAsia" w:hAnsi="宋体"/>
                <w:sz w:val="21"/>
                <w:szCs w:val="21"/>
              </w:rPr>
              <w:t>截止竞争性比选响应文件递交时间，递交竞争性比选响应文件不足3家的不得开启竞争性比选文件。重新招标后报价人仍少于3个，按法定程序开标和评标，确定中标人。</w:t>
            </w:r>
          </w:p>
        </w:tc>
      </w:tr>
      <w:bookmarkEnd w:id="113"/>
    </w:tbl>
    <w:p>
      <w:pPr>
        <w:pStyle w:val="4"/>
        <w:widowControl/>
        <w:spacing w:before="0" w:after="0" w:line="300" w:lineRule="exact"/>
        <w:rPr>
          <w:rFonts w:ascii="黑体" w:hAnsi="宋体" w:cs="黑体"/>
          <w:sz w:val="21"/>
          <w:szCs w:val="21"/>
        </w:rPr>
      </w:pPr>
      <w:bookmarkStart w:id="115" w:name="_Toc25998"/>
      <w:bookmarkStart w:id="116" w:name="_Toc224103317"/>
      <w:r>
        <w:rPr>
          <w:rFonts w:hint="eastAsia" w:ascii="黑体" w:hAnsi="宋体" w:cs="黑体"/>
          <w:sz w:val="21"/>
          <w:szCs w:val="21"/>
        </w:rPr>
        <w:t>报价人须知正文部分：</w:t>
      </w:r>
      <w:bookmarkEnd w:id="115"/>
      <w:bookmarkEnd w:id="116"/>
    </w:p>
    <w:p>
      <w:pPr>
        <w:pStyle w:val="4"/>
        <w:widowControl/>
        <w:spacing w:before="0" w:after="0" w:line="300" w:lineRule="exact"/>
        <w:rPr>
          <w:rFonts w:ascii="宋体" w:hAnsi="宋体"/>
          <w:sz w:val="21"/>
          <w:szCs w:val="21"/>
        </w:rPr>
      </w:pPr>
      <w:bookmarkStart w:id="117" w:name="_Toc9035"/>
      <w:bookmarkEnd w:id="117"/>
      <w:bookmarkStart w:id="118" w:name="_Toc17808"/>
      <w:bookmarkEnd w:id="118"/>
      <w:bookmarkStart w:id="119" w:name="_Toc5673"/>
      <w:bookmarkEnd w:id="119"/>
      <w:bookmarkStart w:id="120" w:name="_Toc28401"/>
      <w:bookmarkStart w:id="121" w:name="_Toc1963"/>
      <w:r>
        <w:rPr>
          <w:rFonts w:hint="eastAsia" w:ascii="黑体" w:hAnsi="宋体" w:cs="黑体"/>
          <w:sz w:val="21"/>
          <w:szCs w:val="21"/>
        </w:rPr>
        <w:t xml:space="preserve">1.  </w:t>
      </w:r>
      <w:bookmarkEnd w:id="120"/>
      <w:r>
        <w:rPr>
          <w:rFonts w:hint="eastAsia" w:ascii="黑体" w:hAnsi="宋体" w:cs="黑体"/>
          <w:sz w:val="21"/>
          <w:szCs w:val="21"/>
        </w:rPr>
        <w:t>总则</w:t>
      </w:r>
      <w:bookmarkEnd w:id="121"/>
    </w:p>
    <w:p>
      <w:pPr>
        <w:pStyle w:val="5"/>
        <w:widowControl/>
        <w:spacing w:before="0" w:after="0" w:line="300" w:lineRule="exact"/>
        <w:rPr>
          <w:rFonts w:ascii="宋体" w:hAnsi="宋体"/>
          <w:kern w:val="2"/>
          <w:sz w:val="21"/>
          <w:szCs w:val="21"/>
        </w:rPr>
      </w:pPr>
      <w:bookmarkStart w:id="122" w:name="_Toc224103318"/>
      <w:bookmarkEnd w:id="122"/>
      <w:bookmarkStart w:id="123" w:name="_Toc40455273"/>
      <w:bookmarkEnd w:id="123"/>
      <w:bookmarkStart w:id="124" w:name="_Toc4661671"/>
      <w:bookmarkEnd w:id="124"/>
      <w:bookmarkStart w:id="125" w:name="_Toc40455646"/>
      <w:bookmarkEnd w:id="125"/>
      <w:bookmarkStart w:id="126" w:name="_Toc287607747"/>
      <w:bookmarkEnd w:id="126"/>
      <w:bookmarkStart w:id="127" w:name="_Toc4662143"/>
      <w:bookmarkEnd w:id="127"/>
      <w:bookmarkStart w:id="128" w:name="_Toc11657"/>
      <w:bookmarkEnd w:id="128"/>
      <w:bookmarkStart w:id="129" w:name="_Toc200513127"/>
      <w:bookmarkEnd w:id="129"/>
      <w:bookmarkStart w:id="130" w:name="_Toc277082553"/>
      <w:bookmarkEnd w:id="130"/>
      <w:bookmarkStart w:id="131" w:name="_Toc4661429"/>
      <w:bookmarkEnd w:id="131"/>
      <w:bookmarkStart w:id="132" w:name="_Toc4661907"/>
      <w:bookmarkEnd w:id="132"/>
      <w:bookmarkStart w:id="133" w:name="_Toc40780255"/>
      <w:r>
        <w:rPr>
          <w:rFonts w:hint="eastAsia" w:ascii="宋体" w:hAnsi="宋体"/>
          <w:kern w:val="2"/>
          <w:sz w:val="21"/>
          <w:szCs w:val="21"/>
        </w:rPr>
        <w:t xml:space="preserve">1.1  </w:t>
      </w:r>
      <w:bookmarkEnd w:id="133"/>
      <w:r>
        <w:rPr>
          <w:rFonts w:hint="eastAsia" w:ascii="宋体" w:hAnsi="宋体" w:cs="宋体"/>
          <w:kern w:val="2"/>
          <w:sz w:val="21"/>
          <w:szCs w:val="21"/>
        </w:rPr>
        <w:t>项目概况</w:t>
      </w:r>
    </w:p>
    <w:p>
      <w:pPr>
        <w:autoSpaceDE w:val="0"/>
        <w:autoSpaceDN w:val="0"/>
        <w:adjustRightInd w:val="0"/>
        <w:spacing w:line="300" w:lineRule="exact"/>
        <w:ind w:firstLine="354" w:firstLineChars="169"/>
        <w:jc w:val="left"/>
        <w:rPr>
          <w:rFonts w:ascii="宋体" w:hAnsi="宋体" w:cs="Calibri"/>
          <w:kern w:val="0"/>
          <w:szCs w:val="21"/>
        </w:rPr>
      </w:pPr>
      <w:r>
        <w:rPr>
          <w:rFonts w:hint="eastAsia" w:ascii="宋体" w:hAnsi="宋体" w:cs="Calibri"/>
          <w:kern w:val="0"/>
          <w:szCs w:val="21"/>
          <w:lang w:bidi="ar"/>
        </w:rPr>
        <w:t xml:space="preserve">1.1.1  </w:t>
      </w:r>
      <w:r>
        <w:rPr>
          <w:rFonts w:hint="eastAsia" w:ascii="宋体" w:hAnsi="宋体" w:cs="宋体"/>
          <w:kern w:val="0"/>
          <w:szCs w:val="21"/>
          <w:lang w:bidi="ar"/>
        </w:rPr>
        <w:t>根据国家有关法律、法规和规章的规定，本竞争性比选项目已具备竞争性比选条件，现对本项目进行竞争性比选。</w:t>
      </w:r>
    </w:p>
    <w:p>
      <w:pPr>
        <w:autoSpaceDE w:val="0"/>
        <w:autoSpaceDN w:val="0"/>
        <w:adjustRightInd w:val="0"/>
        <w:spacing w:line="300" w:lineRule="exact"/>
        <w:ind w:firstLine="354" w:firstLineChars="169"/>
        <w:jc w:val="left"/>
        <w:rPr>
          <w:rFonts w:ascii="宋体" w:hAnsi="宋体" w:cs="MingLiU"/>
          <w:kern w:val="0"/>
          <w:szCs w:val="21"/>
        </w:rPr>
      </w:pPr>
      <w:r>
        <w:rPr>
          <w:rFonts w:hint="eastAsia" w:ascii="宋体" w:hAnsi="宋体" w:cs="Calibri"/>
          <w:kern w:val="0"/>
          <w:szCs w:val="21"/>
          <w:lang w:bidi="ar"/>
        </w:rPr>
        <w:t xml:space="preserve">1.1.2  </w:t>
      </w:r>
      <w:r>
        <w:rPr>
          <w:rFonts w:hint="eastAsia" w:ascii="宋体" w:hAnsi="宋体" w:cs="宋体"/>
          <w:kern w:val="0"/>
          <w:szCs w:val="21"/>
          <w:lang w:bidi="ar"/>
        </w:rPr>
        <w:t>本竞争性比选项目采购人：见报价人须知前附表。</w:t>
      </w:r>
    </w:p>
    <w:p>
      <w:pPr>
        <w:autoSpaceDE w:val="0"/>
        <w:autoSpaceDN w:val="0"/>
        <w:adjustRightInd w:val="0"/>
        <w:spacing w:line="300" w:lineRule="exact"/>
        <w:ind w:left="359" w:leftChars="171"/>
        <w:jc w:val="left"/>
        <w:rPr>
          <w:rFonts w:ascii="宋体" w:hAnsi="宋体" w:cs="MingLiU"/>
          <w:kern w:val="0"/>
          <w:szCs w:val="21"/>
        </w:rPr>
      </w:pPr>
      <w:r>
        <w:rPr>
          <w:rFonts w:hint="eastAsia" w:ascii="宋体" w:hAnsi="宋体" w:cs="Calibri"/>
          <w:kern w:val="0"/>
          <w:szCs w:val="21"/>
          <w:lang w:bidi="ar"/>
        </w:rPr>
        <w:t xml:space="preserve">1.1.3 </w:t>
      </w:r>
      <w:r>
        <w:rPr>
          <w:rFonts w:hint="eastAsia" w:ascii="宋体" w:hAnsi="宋体" w:cs="宋体"/>
          <w:kern w:val="0"/>
          <w:szCs w:val="21"/>
          <w:lang w:bidi="ar"/>
        </w:rPr>
        <w:t>本竞争性比选项目名称：见报价人须知前附表。</w:t>
      </w:r>
    </w:p>
    <w:p>
      <w:pPr>
        <w:autoSpaceDE w:val="0"/>
        <w:autoSpaceDN w:val="0"/>
        <w:adjustRightInd w:val="0"/>
        <w:spacing w:line="300" w:lineRule="exact"/>
        <w:ind w:left="359" w:leftChars="171"/>
        <w:jc w:val="left"/>
        <w:rPr>
          <w:rFonts w:ascii="宋体" w:hAnsi="宋体" w:cs="MingLiU"/>
          <w:kern w:val="0"/>
          <w:szCs w:val="21"/>
        </w:rPr>
      </w:pPr>
      <w:r>
        <w:rPr>
          <w:rFonts w:hint="eastAsia" w:ascii="宋体" w:hAnsi="宋体" w:cs="Calibri"/>
          <w:kern w:val="0"/>
          <w:szCs w:val="21"/>
          <w:lang w:bidi="ar"/>
        </w:rPr>
        <w:t xml:space="preserve">1.1.4  </w:t>
      </w:r>
      <w:r>
        <w:rPr>
          <w:rFonts w:hint="eastAsia" w:ascii="宋体" w:hAnsi="宋体" w:cs="宋体"/>
          <w:kern w:val="0"/>
          <w:szCs w:val="21"/>
          <w:lang w:bidi="ar"/>
        </w:rPr>
        <w:t>本项目建设地点：见报价人须知前附表。</w:t>
      </w:r>
    </w:p>
    <w:p>
      <w:pPr>
        <w:pStyle w:val="5"/>
        <w:widowControl/>
        <w:spacing w:before="0" w:after="0" w:line="300" w:lineRule="exact"/>
        <w:rPr>
          <w:rFonts w:ascii="宋体" w:hAnsi="宋体"/>
          <w:kern w:val="2"/>
          <w:sz w:val="21"/>
          <w:szCs w:val="21"/>
        </w:rPr>
      </w:pPr>
      <w:bookmarkStart w:id="134" w:name="_Toc200513128"/>
      <w:bookmarkEnd w:id="134"/>
      <w:bookmarkStart w:id="135" w:name="_Toc287607748"/>
      <w:bookmarkEnd w:id="135"/>
      <w:bookmarkStart w:id="136" w:name="_Toc40455647"/>
      <w:bookmarkEnd w:id="136"/>
      <w:bookmarkStart w:id="137" w:name="_Toc4661430"/>
      <w:bookmarkEnd w:id="137"/>
      <w:bookmarkStart w:id="138" w:name="_Toc224103319"/>
      <w:bookmarkEnd w:id="138"/>
      <w:bookmarkStart w:id="139" w:name="_Toc4662144"/>
      <w:bookmarkEnd w:id="139"/>
      <w:bookmarkStart w:id="140" w:name="_Toc40455274"/>
      <w:bookmarkEnd w:id="140"/>
      <w:bookmarkStart w:id="141" w:name="_Toc40780256"/>
      <w:bookmarkEnd w:id="141"/>
      <w:bookmarkStart w:id="142" w:name="_Toc4661672"/>
      <w:bookmarkEnd w:id="142"/>
      <w:bookmarkStart w:id="143" w:name="_Toc21776"/>
      <w:bookmarkEnd w:id="143"/>
      <w:bookmarkStart w:id="144" w:name="_Toc4661908"/>
      <w:bookmarkEnd w:id="144"/>
      <w:bookmarkStart w:id="145" w:name="_Toc277082554"/>
      <w:r>
        <w:rPr>
          <w:rFonts w:hint="eastAsia" w:ascii="宋体" w:hAnsi="宋体"/>
          <w:kern w:val="2"/>
          <w:sz w:val="21"/>
          <w:szCs w:val="21"/>
        </w:rPr>
        <w:t xml:space="preserve">1.2  </w:t>
      </w:r>
      <w:bookmarkEnd w:id="145"/>
      <w:r>
        <w:rPr>
          <w:rFonts w:hint="eastAsia" w:ascii="宋体" w:hAnsi="宋体" w:cs="宋体"/>
          <w:kern w:val="2"/>
          <w:sz w:val="21"/>
          <w:szCs w:val="21"/>
        </w:rPr>
        <w:t>资金来源和落实情况</w:t>
      </w:r>
    </w:p>
    <w:p>
      <w:pPr>
        <w:autoSpaceDE w:val="0"/>
        <w:autoSpaceDN w:val="0"/>
        <w:adjustRightInd w:val="0"/>
        <w:spacing w:line="300" w:lineRule="exact"/>
        <w:ind w:left="359" w:leftChars="171"/>
        <w:jc w:val="left"/>
        <w:rPr>
          <w:rFonts w:ascii="宋体" w:hAnsi="宋体" w:cs="MingLiU"/>
          <w:kern w:val="0"/>
          <w:szCs w:val="21"/>
        </w:rPr>
      </w:pPr>
      <w:r>
        <w:rPr>
          <w:rFonts w:hint="eastAsia" w:ascii="宋体" w:hAnsi="宋体" w:cs="Calibri"/>
          <w:kern w:val="0"/>
          <w:szCs w:val="21"/>
          <w:lang w:bidi="ar"/>
        </w:rPr>
        <w:t xml:space="preserve">1.2.1  </w:t>
      </w:r>
      <w:r>
        <w:rPr>
          <w:rFonts w:hint="eastAsia" w:ascii="宋体" w:hAnsi="宋体" w:cs="宋体"/>
          <w:kern w:val="0"/>
          <w:szCs w:val="21"/>
          <w:lang w:bidi="ar"/>
        </w:rPr>
        <w:t>本竞争性比选项目的资金来源：见报价人须知前附表。</w:t>
      </w:r>
    </w:p>
    <w:p>
      <w:pPr>
        <w:autoSpaceDE w:val="0"/>
        <w:autoSpaceDN w:val="0"/>
        <w:adjustRightInd w:val="0"/>
        <w:spacing w:line="300" w:lineRule="exact"/>
        <w:ind w:left="359" w:leftChars="171"/>
        <w:jc w:val="left"/>
        <w:rPr>
          <w:rFonts w:ascii="宋体" w:hAnsi="宋体" w:cs="MingLiU"/>
          <w:kern w:val="0"/>
          <w:szCs w:val="21"/>
        </w:rPr>
      </w:pPr>
      <w:r>
        <w:rPr>
          <w:rFonts w:hint="eastAsia" w:ascii="宋体" w:hAnsi="宋体" w:cs="Calibri"/>
          <w:kern w:val="0"/>
          <w:szCs w:val="21"/>
          <w:lang w:bidi="ar"/>
        </w:rPr>
        <w:t xml:space="preserve">1.2.2  </w:t>
      </w:r>
      <w:r>
        <w:rPr>
          <w:rFonts w:hint="eastAsia" w:ascii="宋体" w:hAnsi="宋体" w:cs="宋体"/>
          <w:kern w:val="0"/>
          <w:szCs w:val="21"/>
          <w:lang w:bidi="ar"/>
        </w:rPr>
        <w:t>本竞争性比选项目的出资比例：见报价人须知前附表。</w:t>
      </w:r>
    </w:p>
    <w:p>
      <w:pPr>
        <w:autoSpaceDE w:val="0"/>
        <w:autoSpaceDN w:val="0"/>
        <w:adjustRightInd w:val="0"/>
        <w:spacing w:line="300" w:lineRule="exact"/>
        <w:ind w:left="359" w:leftChars="171"/>
        <w:jc w:val="left"/>
        <w:rPr>
          <w:rFonts w:ascii="宋体" w:hAnsi="宋体" w:cs="MingLiU"/>
          <w:kern w:val="0"/>
          <w:szCs w:val="21"/>
        </w:rPr>
      </w:pPr>
      <w:r>
        <w:rPr>
          <w:rFonts w:hint="eastAsia" w:ascii="宋体" w:hAnsi="宋体" w:cs="Calibri"/>
          <w:kern w:val="0"/>
          <w:szCs w:val="21"/>
          <w:lang w:bidi="ar"/>
        </w:rPr>
        <w:t xml:space="preserve">1.2.3  </w:t>
      </w:r>
      <w:r>
        <w:rPr>
          <w:rFonts w:hint="eastAsia" w:ascii="宋体" w:hAnsi="宋体" w:cs="宋体"/>
          <w:kern w:val="0"/>
          <w:szCs w:val="21"/>
          <w:lang w:bidi="ar"/>
        </w:rPr>
        <w:t>本竞争性比选项目的资金落实情况：见报价人须知前附表。</w:t>
      </w:r>
    </w:p>
    <w:p>
      <w:pPr>
        <w:pStyle w:val="5"/>
        <w:widowControl/>
        <w:spacing w:before="0" w:after="0" w:line="300" w:lineRule="exact"/>
        <w:rPr>
          <w:rFonts w:ascii="宋体" w:hAnsi="宋体"/>
          <w:kern w:val="2"/>
          <w:sz w:val="21"/>
          <w:szCs w:val="21"/>
        </w:rPr>
      </w:pPr>
      <w:bookmarkStart w:id="146" w:name="_Toc40780257"/>
      <w:bookmarkEnd w:id="146"/>
      <w:bookmarkStart w:id="147" w:name="_Toc224103320"/>
      <w:bookmarkEnd w:id="147"/>
      <w:bookmarkStart w:id="148" w:name="_Toc200513129"/>
      <w:bookmarkEnd w:id="148"/>
      <w:bookmarkStart w:id="149" w:name="_Toc277082555"/>
      <w:bookmarkEnd w:id="149"/>
      <w:bookmarkStart w:id="150" w:name="_Toc40455275"/>
      <w:bookmarkEnd w:id="150"/>
      <w:bookmarkStart w:id="151" w:name="_Toc4661909"/>
      <w:bookmarkEnd w:id="151"/>
      <w:bookmarkStart w:id="152" w:name="_Toc4661673"/>
      <w:bookmarkEnd w:id="152"/>
      <w:bookmarkStart w:id="153" w:name="_Toc40455648"/>
      <w:bookmarkEnd w:id="153"/>
      <w:bookmarkStart w:id="154" w:name="_Toc4661431"/>
      <w:bookmarkEnd w:id="154"/>
      <w:bookmarkStart w:id="155" w:name="_Toc287607749"/>
      <w:bookmarkEnd w:id="155"/>
      <w:bookmarkStart w:id="156" w:name="_Toc4662145"/>
      <w:bookmarkEnd w:id="156"/>
      <w:bookmarkStart w:id="157" w:name="_Toc11911"/>
      <w:r>
        <w:rPr>
          <w:rFonts w:hint="eastAsia" w:ascii="宋体" w:hAnsi="宋体"/>
          <w:kern w:val="2"/>
          <w:sz w:val="21"/>
          <w:szCs w:val="21"/>
        </w:rPr>
        <w:t xml:space="preserve">1.3  </w:t>
      </w:r>
      <w:bookmarkEnd w:id="157"/>
      <w:r>
        <w:rPr>
          <w:rFonts w:hint="eastAsia" w:ascii="宋体" w:hAnsi="宋体" w:cs="宋体"/>
          <w:kern w:val="2"/>
          <w:sz w:val="21"/>
          <w:szCs w:val="21"/>
        </w:rPr>
        <w:t>竞争性比选范围、工期和质量要求</w:t>
      </w:r>
    </w:p>
    <w:p>
      <w:pPr>
        <w:autoSpaceDE w:val="0"/>
        <w:autoSpaceDN w:val="0"/>
        <w:adjustRightInd w:val="0"/>
        <w:spacing w:line="300" w:lineRule="exact"/>
        <w:ind w:left="359" w:leftChars="171"/>
        <w:jc w:val="left"/>
        <w:rPr>
          <w:rFonts w:ascii="宋体" w:hAnsi="宋体" w:cs="MingLiU"/>
          <w:kern w:val="0"/>
          <w:szCs w:val="21"/>
        </w:rPr>
      </w:pPr>
      <w:r>
        <w:rPr>
          <w:rFonts w:hint="eastAsia" w:ascii="宋体" w:hAnsi="宋体" w:cs="Calibri"/>
          <w:kern w:val="0"/>
          <w:szCs w:val="21"/>
          <w:lang w:bidi="ar"/>
        </w:rPr>
        <w:t xml:space="preserve">1.3.1  </w:t>
      </w:r>
      <w:r>
        <w:rPr>
          <w:rFonts w:hint="eastAsia" w:ascii="宋体" w:hAnsi="宋体" w:cs="宋体"/>
          <w:kern w:val="0"/>
          <w:szCs w:val="21"/>
          <w:lang w:bidi="ar"/>
        </w:rPr>
        <w:t>本次竞争性比选范围：见报价人须知前附表。</w:t>
      </w:r>
    </w:p>
    <w:p>
      <w:pPr>
        <w:autoSpaceDE w:val="0"/>
        <w:autoSpaceDN w:val="0"/>
        <w:adjustRightInd w:val="0"/>
        <w:spacing w:line="300" w:lineRule="exact"/>
        <w:ind w:left="359" w:leftChars="171"/>
        <w:jc w:val="left"/>
        <w:rPr>
          <w:rFonts w:ascii="宋体" w:hAnsi="宋体" w:cs="MingLiU"/>
          <w:kern w:val="0"/>
          <w:szCs w:val="21"/>
        </w:rPr>
      </w:pPr>
      <w:r>
        <w:rPr>
          <w:rFonts w:hint="eastAsia" w:ascii="宋体" w:hAnsi="宋体" w:cs="Calibri"/>
          <w:kern w:val="0"/>
          <w:szCs w:val="21"/>
          <w:lang w:bidi="ar"/>
        </w:rPr>
        <w:t xml:space="preserve">1.3.2  </w:t>
      </w:r>
      <w:r>
        <w:rPr>
          <w:rFonts w:hint="eastAsia" w:ascii="宋体" w:hAnsi="宋体" w:cs="宋体"/>
          <w:kern w:val="0"/>
          <w:szCs w:val="21"/>
          <w:lang w:bidi="ar"/>
        </w:rPr>
        <w:t>本项目的计划工期：见报价人须知前附表。</w:t>
      </w:r>
    </w:p>
    <w:p>
      <w:pPr>
        <w:autoSpaceDE w:val="0"/>
        <w:autoSpaceDN w:val="0"/>
        <w:adjustRightInd w:val="0"/>
        <w:spacing w:line="300" w:lineRule="exact"/>
        <w:ind w:left="359" w:leftChars="171"/>
        <w:jc w:val="left"/>
        <w:rPr>
          <w:rFonts w:ascii="宋体" w:hAnsi="宋体" w:cs="宋体"/>
          <w:kern w:val="0"/>
          <w:szCs w:val="21"/>
          <w:lang w:bidi="ar"/>
        </w:rPr>
      </w:pPr>
      <w:r>
        <w:rPr>
          <w:rFonts w:hint="eastAsia" w:ascii="宋体" w:hAnsi="宋体" w:cs="Calibri"/>
          <w:kern w:val="0"/>
          <w:szCs w:val="21"/>
          <w:lang w:bidi="ar"/>
        </w:rPr>
        <w:t xml:space="preserve">1.3.3  </w:t>
      </w:r>
      <w:r>
        <w:rPr>
          <w:rFonts w:hint="eastAsia" w:ascii="宋体" w:hAnsi="宋体" w:cs="宋体"/>
          <w:kern w:val="0"/>
          <w:szCs w:val="21"/>
          <w:lang w:bidi="ar"/>
        </w:rPr>
        <w:t>本项目的质量要求：见报价人须知前附表。</w:t>
      </w:r>
    </w:p>
    <w:p>
      <w:pPr>
        <w:autoSpaceDE w:val="0"/>
        <w:autoSpaceDN w:val="0"/>
        <w:adjustRightInd w:val="0"/>
        <w:spacing w:line="300" w:lineRule="exact"/>
        <w:ind w:left="359" w:leftChars="171"/>
        <w:jc w:val="left"/>
      </w:pPr>
      <w:r>
        <w:rPr>
          <w:rFonts w:hint="eastAsia" w:ascii="宋体" w:hAnsi="宋体" w:cs="Calibri"/>
          <w:kern w:val="0"/>
          <w:szCs w:val="21"/>
          <w:lang w:bidi="ar"/>
        </w:rPr>
        <w:t xml:space="preserve">1.3.4  </w:t>
      </w:r>
      <w:r>
        <w:rPr>
          <w:rFonts w:hint="eastAsia" w:ascii="宋体" w:hAnsi="宋体" w:cs="宋体"/>
          <w:kern w:val="0"/>
          <w:szCs w:val="21"/>
          <w:lang w:bidi="ar"/>
        </w:rPr>
        <w:t>本项目的安全目标：见报价人须知前附表。</w:t>
      </w:r>
    </w:p>
    <w:p>
      <w:pPr>
        <w:pStyle w:val="5"/>
        <w:widowControl/>
        <w:spacing w:before="0" w:after="0" w:line="300" w:lineRule="exact"/>
        <w:rPr>
          <w:rFonts w:ascii="宋体" w:hAnsi="宋体"/>
          <w:kern w:val="2"/>
          <w:sz w:val="21"/>
          <w:szCs w:val="21"/>
        </w:rPr>
      </w:pPr>
      <w:bookmarkStart w:id="158" w:name="_Toc15725"/>
      <w:bookmarkEnd w:id="158"/>
      <w:bookmarkStart w:id="159" w:name="_Toc40455649"/>
      <w:bookmarkEnd w:id="159"/>
      <w:bookmarkStart w:id="160" w:name="_Toc4661910"/>
      <w:bookmarkEnd w:id="160"/>
      <w:bookmarkStart w:id="161" w:name="_Toc40780258"/>
      <w:bookmarkEnd w:id="161"/>
      <w:bookmarkStart w:id="162" w:name="_Toc40455276"/>
      <w:bookmarkEnd w:id="162"/>
      <w:bookmarkStart w:id="163" w:name="_Toc287607751"/>
      <w:bookmarkEnd w:id="163"/>
      <w:bookmarkStart w:id="164" w:name="_Toc4661432"/>
      <w:bookmarkEnd w:id="164"/>
      <w:bookmarkStart w:id="165" w:name="_Toc224103322"/>
      <w:bookmarkEnd w:id="165"/>
      <w:bookmarkStart w:id="166" w:name="_Toc4662146"/>
      <w:bookmarkEnd w:id="166"/>
      <w:bookmarkStart w:id="167" w:name="_Toc4661674"/>
      <w:bookmarkEnd w:id="167"/>
      <w:bookmarkStart w:id="168" w:name="_Toc200513131"/>
      <w:bookmarkEnd w:id="168"/>
      <w:bookmarkStart w:id="169" w:name="_Toc277082557"/>
      <w:r>
        <w:rPr>
          <w:rFonts w:hint="eastAsia" w:ascii="宋体" w:hAnsi="宋体"/>
          <w:kern w:val="2"/>
          <w:sz w:val="21"/>
          <w:szCs w:val="21"/>
        </w:rPr>
        <w:t xml:space="preserve">1.4  </w:t>
      </w:r>
      <w:bookmarkEnd w:id="169"/>
      <w:r>
        <w:rPr>
          <w:rFonts w:hint="eastAsia" w:ascii="宋体" w:hAnsi="宋体" w:cs="宋体"/>
          <w:kern w:val="2"/>
          <w:sz w:val="21"/>
          <w:szCs w:val="21"/>
        </w:rPr>
        <w:t>报价人资格要求</w:t>
      </w:r>
    </w:p>
    <w:p>
      <w:pPr>
        <w:autoSpaceDE w:val="0"/>
        <w:autoSpaceDN w:val="0"/>
        <w:adjustRightInd w:val="0"/>
        <w:spacing w:line="300" w:lineRule="exact"/>
        <w:ind w:firstLine="357" w:firstLineChars="170"/>
        <w:jc w:val="left"/>
        <w:rPr>
          <w:rFonts w:ascii="宋体" w:hAnsi="宋体" w:cs="MingLiU"/>
          <w:kern w:val="0"/>
          <w:szCs w:val="21"/>
        </w:rPr>
      </w:pPr>
      <w:r>
        <w:rPr>
          <w:rFonts w:hint="eastAsia" w:ascii="宋体" w:hAnsi="宋体" w:cs="Calibri"/>
          <w:kern w:val="0"/>
          <w:szCs w:val="21"/>
          <w:lang w:bidi="ar"/>
        </w:rPr>
        <w:t xml:space="preserve">1.4.1 </w:t>
      </w:r>
      <w:r>
        <w:rPr>
          <w:rFonts w:hint="eastAsia" w:ascii="宋体" w:hAnsi="宋体" w:cs="宋体"/>
          <w:kern w:val="0"/>
          <w:szCs w:val="21"/>
          <w:lang w:bidi="ar"/>
        </w:rPr>
        <w:t>报价人应具备承担本项目的资质条件、能力和信誉。</w:t>
      </w:r>
    </w:p>
    <w:p>
      <w:pPr>
        <w:autoSpaceDE w:val="0"/>
        <w:autoSpaceDN w:val="0"/>
        <w:adjustRightInd w:val="0"/>
        <w:spacing w:line="300" w:lineRule="exact"/>
        <w:ind w:firstLine="357" w:firstLineChars="170"/>
        <w:jc w:val="left"/>
        <w:rPr>
          <w:rFonts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1</w:t>
      </w:r>
      <w:r>
        <w:rPr>
          <w:rFonts w:hint="eastAsia" w:ascii="宋体" w:hAnsi="宋体" w:cs="宋体"/>
          <w:kern w:val="0"/>
          <w:szCs w:val="21"/>
          <w:lang w:bidi="ar"/>
        </w:rPr>
        <w:t>）</w:t>
      </w:r>
      <w:r>
        <w:rPr>
          <w:rFonts w:hint="eastAsia" w:ascii="宋体" w:hAnsi="宋体" w:cs="宋体"/>
          <w:szCs w:val="21"/>
          <w:lang w:bidi="ar"/>
        </w:rPr>
        <w:t>营业执照、资质要求</w:t>
      </w:r>
      <w:r>
        <w:rPr>
          <w:rFonts w:hint="eastAsia" w:ascii="宋体" w:hAnsi="宋体" w:cs="宋体"/>
          <w:kern w:val="0"/>
          <w:szCs w:val="21"/>
          <w:lang w:bidi="ar"/>
        </w:rPr>
        <w:t>：见报价人须知前附表；</w:t>
      </w:r>
    </w:p>
    <w:p>
      <w:pPr>
        <w:autoSpaceDE w:val="0"/>
        <w:autoSpaceDN w:val="0"/>
        <w:adjustRightInd w:val="0"/>
        <w:spacing w:line="300" w:lineRule="exact"/>
        <w:ind w:firstLine="357" w:firstLineChars="170"/>
        <w:jc w:val="left"/>
        <w:rPr>
          <w:rFonts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2</w:t>
      </w:r>
      <w:r>
        <w:rPr>
          <w:rFonts w:hint="eastAsia" w:ascii="宋体" w:hAnsi="宋体" w:cs="宋体"/>
          <w:kern w:val="0"/>
          <w:szCs w:val="21"/>
          <w:lang w:bidi="ar"/>
        </w:rPr>
        <w:t>）业绩要求：见报价人须知前附表；</w:t>
      </w:r>
    </w:p>
    <w:p>
      <w:pPr>
        <w:autoSpaceDE w:val="0"/>
        <w:autoSpaceDN w:val="0"/>
        <w:adjustRightInd w:val="0"/>
        <w:spacing w:line="300" w:lineRule="exact"/>
        <w:ind w:firstLine="357" w:firstLineChars="170"/>
        <w:jc w:val="left"/>
        <w:rPr>
          <w:rFonts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3</w:t>
      </w:r>
      <w:r>
        <w:rPr>
          <w:rFonts w:hint="eastAsia" w:ascii="宋体" w:hAnsi="宋体" w:cs="宋体"/>
          <w:kern w:val="0"/>
          <w:szCs w:val="21"/>
          <w:lang w:bidi="ar"/>
        </w:rPr>
        <w:t>）财务要求：见报价人须知前附表；</w:t>
      </w:r>
    </w:p>
    <w:p>
      <w:pPr>
        <w:autoSpaceDE w:val="0"/>
        <w:autoSpaceDN w:val="0"/>
        <w:adjustRightInd w:val="0"/>
        <w:spacing w:line="300" w:lineRule="exact"/>
        <w:ind w:firstLine="357" w:firstLineChars="170"/>
        <w:jc w:val="left"/>
        <w:rPr>
          <w:rFonts w:ascii="宋体" w:hAnsi="宋体" w:cs="Calibri"/>
          <w:kern w:val="0"/>
          <w:szCs w:val="21"/>
        </w:rPr>
      </w:pPr>
      <w:r>
        <w:rPr>
          <w:rFonts w:hint="eastAsia" w:ascii="宋体" w:hAnsi="宋体" w:cs="宋体"/>
          <w:kern w:val="0"/>
          <w:szCs w:val="21"/>
          <w:lang w:bidi="ar"/>
        </w:rPr>
        <w:t>（</w:t>
      </w:r>
      <w:r>
        <w:rPr>
          <w:rFonts w:hint="eastAsia" w:ascii="宋体" w:hAnsi="宋体" w:cs="Calibri"/>
          <w:kern w:val="0"/>
          <w:szCs w:val="21"/>
          <w:lang w:bidi="ar"/>
        </w:rPr>
        <w:t>4</w:t>
      </w:r>
      <w:r>
        <w:rPr>
          <w:rFonts w:hint="eastAsia" w:ascii="宋体" w:hAnsi="宋体" w:cs="宋体"/>
          <w:kern w:val="0"/>
          <w:szCs w:val="21"/>
          <w:lang w:bidi="ar"/>
        </w:rPr>
        <w:t>）项目主要人员要求：见报价人须知前附表；</w:t>
      </w:r>
    </w:p>
    <w:p>
      <w:pPr>
        <w:autoSpaceDE w:val="0"/>
        <w:autoSpaceDN w:val="0"/>
        <w:adjustRightInd w:val="0"/>
        <w:spacing w:line="300" w:lineRule="exact"/>
        <w:ind w:firstLine="357" w:firstLineChars="170"/>
        <w:jc w:val="left"/>
        <w:rPr>
          <w:rFonts w:ascii="宋体" w:hAnsi="宋体" w:cs="宋体"/>
          <w:kern w:val="0"/>
          <w:szCs w:val="21"/>
          <w:lang w:bidi="ar"/>
        </w:rPr>
      </w:pPr>
      <w:r>
        <w:rPr>
          <w:rFonts w:hint="eastAsia" w:ascii="宋体" w:hAnsi="宋体" w:cs="宋体"/>
          <w:kern w:val="0"/>
          <w:szCs w:val="21"/>
          <w:lang w:bidi="ar"/>
        </w:rPr>
        <w:t>（</w:t>
      </w:r>
      <w:r>
        <w:rPr>
          <w:rFonts w:hint="eastAsia" w:ascii="宋体" w:hAnsi="宋体" w:cs="Calibri"/>
          <w:kern w:val="0"/>
          <w:szCs w:val="21"/>
          <w:lang w:bidi="ar"/>
        </w:rPr>
        <w:t>5</w:t>
      </w:r>
      <w:r>
        <w:rPr>
          <w:rFonts w:hint="eastAsia" w:ascii="宋体" w:hAnsi="宋体" w:cs="宋体"/>
          <w:kern w:val="0"/>
          <w:szCs w:val="21"/>
          <w:lang w:bidi="ar"/>
        </w:rPr>
        <w:t>）信誉要求：见报价人须知前附表。</w:t>
      </w:r>
    </w:p>
    <w:p>
      <w:pPr>
        <w:autoSpaceDE w:val="0"/>
        <w:autoSpaceDN w:val="0"/>
        <w:adjustRightInd w:val="0"/>
        <w:spacing w:line="300" w:lineRule="exact"/>
        <w:ind w:firstLine="357" w:firstLineChars="170"/>
        <w:jc w:val="left"/>
      </w:pPr>
      <w:r>
        <w:rPr>
          <w:rFonts w:hint="eastAsia" w:ascii="宋体" w:hAnsi="宋体" w:cs="宋体"/>
          <w:kern w:val="0"/>
          <w:szCs w:val="21"/>
          <w:lang w:bidi="ar"/>
        </w:rPr>
        <w:t>（</w:t>
      </w:r>
      <w:r>
        <w:rPr>
          <w:rFonts w:hint="eastAsia" w:ascii="宋体" w:hAnsi="宋体" w:cs="Calibri"/>
          <w:kern w:val="0"/>
          <w:szCs w:val="21"/>
          <w:lang w:bidi="ar"/>
        </w:rPr>
        <w:t>6</w:t>
      </w:r>
      <w:r>
        <w:rPr>
          <w:rFonts w:hint="eastAsia" w:ascii="宋体" w:hAnsi="宋体" w:cs="宋体"/>
          <w:kern w:val="0"/>
          <w:szCs w:val="21"/>
          <w:lang w:bidi="ar"/>
        </w:rPr>
        <w:t>）其他要求：见报价人须知前附表。</w:t>
      </w:r>
    </w:p>
    <w:p>
      <w:pPr>
        <w:autoSpaceDE w:val="0"/>
        <w:autoSpaceDN w:val="0"/>
        <w:adjustRightInd w:val="0"/>
        <w:spacing w:line="300" w:lineRule="exact"/>
        <w:ind w:firstLine="357" w:firstLineChars="170"/>
        <w:jc w:val="left"/>
        <w:rPr>
          <w:rFonts w:ascii="宋体" w:hAnsi="宋体" w:cs="MingLiU"/>
          <w:kern w:val="0"/>
          <w:szCs w:val="21"/>
        </w:rPr>
      </w:pPr>
      <w:r>
        <w:rPr>
          <w:rFonts w:hint="eastAsia" w:ascii="宋体" w:hAnsi="宋体" w:cs="Calibri"/>
          <w:kern w:val="0"/>
          <w:szCs w:val="21"/>
          <w:lang w:bidi="ar"/>
        </w:rPr>
        <w:t xml:space="preserve">1.4.2  </w:t>
      </w:r>
      <w:r>
        <w:rPr>
          <w:rFonts w:hint="eastAsia" w:ascii="宋体" w:hAnsi="宋体" w:cs="宋体"/>
          <w:kern w:val="0"/>
          <w:szCs w:val="21"/>
          <w:lang w:bidi="ar"/>
        </w:rPr>
        <w:t>报价人须知前附表规定接受联合体投标的，除应符合本章第</w:t>
      </w:r>
      <w:r>
        <w:rPr>
          <w:rFonts w:hint="eastAsia" w:ascii="宋体" w:hAnsi="宋体" w:cs="Calibri"/>
          <w:kern w:val="0"/>
          <w:szCs w:val="21"/>
          <w:lang w:bidi="ar"/>
        </w:rPr>
        <w:t>1.4.1</w:t>
      </w:r>
      <w:r>
        <w:rPr>
          <w:rFonts w:hint="eastAsia" w:ascii="宋体" w:hAnsi="宋体" w:cs="宋体"/>
          <w:kern w:val="0"/>
          <w:szCs w:val="21"/>
          <w:lang w:bidi="ar"/>
        </w:rPr>
        <w:t>项和报价人须知前附表的要求外，还应遵守以下规定：</w:t>
      </w:r>
    </w:p>
    <w:p>
      <w:pPr>
        <w:autoSpaceDE w:val="0"/>
        <w:autoSpaceDN w:val="0"/>
        <w:adjustRightInd w:val="0"/>
        <w:spacing w:line="300" w:lineRule="exact"/>
        <w:ind w:firstLine="357" w:firstLineChars="170"/>
        <w:jc w:val="left"/>
        <w:rPr>
          <w:rFonts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1</w:t>
      </w:r>
      <w:r>
        <w:rPr>
          <w:rFonts w:hint="eastAsia" w:ascii="宋体" w:hAnsi="宋体" w:cs="宋体"/>
          <w:kern w:val="0"/>
          <w:szCs w:val="21"/>
          <w:lang w:bidi="ar"/>
        </w:rPr>
        <w:t>）联合体各方应按竞争性比选文件提供的格式签订联合体协议书，明确联合体牵头人和各方权利义务；</w:t>
      </w:r>
    </w:p>
    <w:p>
      <w:pPr>
        <w:autoSpaceDE w:val="0"/>
        <w:autoSpaceDN w:val="0"/>
        <w:adjustRightInd w:val="0"/>
        <w:spacing w:line="300" w:lineRule="exact"/>
        <w:ind w:firstLine="357" w:firstLineChars="170"/>
        <w:jc w:val="left"/>
        <w:rPr>
          <w:rFonts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2</w:t>
      </w:r>
      <w:r>
        <w:rPr>
          <w:rFonts w:hint="eastAsia" w:ascii="宋体" w:hAnsi="宋体" w:cs="宋体"/>
          <w:kern w:val="0"/>
          <w:szCs w:val="21"/>
          <w:lang w:bidi="ar"/>
        </w:rPr>
        <w:t>）由同一专业的单位组成的联合体，按照资质等级较低的单位确定资质等级；</w:t>
      </w:r>
    </w:p>
    <w:p>
      <w:pPr>
        <w:autoSpaceDE w:val="0"/>
        <w:autoSpaceDN w:val="0"/>
        <w:adjustRightInd w:val="0"/>
        <w:spacing w:line="300" w:lineRule="exact"/>
        <w:ind w:firstLine="357" w:firstLineChars="170"/>
        <w:jc w:val="left"/>
        <w:rPr>
          <w:rFonts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3</w:t>
      </w:r>
      <w:r>
        <w:rPr>
          <w:rFonts w:hint="eastAsia" w:ascii="宋体" w:hAnsi="宋体" w:cs="宋体"/>
          <w:kern w:val="0"/>
          <w:szCs w:val="21"/>
          <w:lang w:bidi="ar"/>
        </w:rPr>
        <w:t>）联合体各方不得再以自己名义单独或参加其他联合体在同一项目中投标。</w:t>
      </w:r>
    </w:p>
    <w:p>
      <w:pPr>
        <w:autoSpaceDE w:val="0"/>
        <w:autoSpaceDN w:val="0"/>
        <w:adjustRightInd w:val="0"/>
        <w:spacing w:line="300" w:lineRule="exact"/>
        <w:ind w:firstLine="357" w:firstLineChars="170"/>
        <w:jc w:val="left"/>
        <w:rPr>
          <w:rFonts w:ascii="宋体" w:hAnsi="宋体" w:cs="MingLiU"/>
          <w:kern w:val="0"/>
          <w:szCs w:val="21"/>
        </w:rPr>
      </w:pPr>
      <w:r>
        <w:rPr>
          <w:rFonts w:hint="eastAsia" w:ascii="宋体" w:hAnsi="宋体" w:cs="Calibri"/>
          <w:kern w:val="0"/>
          <w:szCs w:val="21"/>
          <w:lang w:bidi="ar"/>
        </w:rPr>
        <w:t xml:space="preserve">1.4.3  </w:t>
      </w:r>
      <w:r>
        <w:rPr>
          <w:rFonts w:hint="eastAsia" w:ascii="宋体" w:hAnsi="宋体" w:cs="宋体"/>
          <w:kern w:val="0"/>
          <w:szCs w:val="21"/>
          <w:lang w:bidi="ar"/>
        </w:rPr>
        <w:t>报价人不得存在下列情形之一：</w:t>
      </w:r>
    </w:p>
    <w:p>
      <w:pPr>
        <w:autoSpaceDE w:val="0"/>
        <w:autoSpaceDN w:val="0"/>
        <w:adjustRightInd w:val="0"/>
        <w:spacing w:line="300" w:lineRule="exact"/>
        <w:ind w:firstLine="420"/>
        <w:jc w:val="left"/>
        <w:rPr>
          <w:rFonts w:ascii="宋体" w:hAnsi="宋体" w:cs="MingLiU"/>
          <w:kern w:val="0"/>
          <w:szCs w:val="21"/>
        </w:rPr>
      </w:pPr>
      <w:bookmarkStart w:id="170" w:name="_Toc277082558"/>
      <w:bookmarkEnd w:id="170"/>
      <w:bookmarkStart w:id="171" w:name="_Toc224103323"/>
      <w:bookmarkEnd w:id="171"/>
      <w:bookmarkStart w:id="172" w:name="_Toc40780259"/>
      <w:bookmarkEnd w:id="172"/>
      <w:bookmarkStart w:id="173" w:name="_Toc287607752"/>
      <w:bookmarkEnd w:id="173"/>
      <w:bookmarkStart w:id="174" w:name="_Toc4661433"/>
      <w:bookmarkEnd w:id="174"/>
      <w:bookmarkStart w:id="175" w:name="_Toc40455277"/>
      <w:bookmarkEnd w:id="175"/>
      <w:bookmarkStart w:id="176" w:name="_Toc40455650"/>
      <w:bookmarkEnd w:id="176"/>
      <w:bookmarkStart w:id="177" w:name="_Toc4661675"/>
      <w:bookmarkEnd w:id="177"/>
      <w:bookmarkStart w:id="178" w:name="_Toc4661911"/>
      <w:bookmarkEnd w:id="178"/>
      <w:bookmarkStart w:id="179" w:name="_Toc200513132"/>
      <w:bookmarkEnd w:id="179"/>
      <w:bookmarkStart w:id="180" w:name="_Toc4662147"/>
      <w:bookmarkEnd w:id="180"/>
      <w:bookmarkStart w:id="181" w:name="_Toc23688"/>
      <w:r>
        <w:rPr>
          <w:rFonts w:hint="eastAsia" w:ascii="宋体" w:hAnsi="宋体" w:cs="宋体"/>
          <w:kern w:val="0"/>
          <w:szCs w:val="21"/>
          <w:lang w:bidi="ar"/>
        </w:rPr>
        <w:t>（</w:t>
      </w:r>
      <w:r>
        <w:rPr>
          <w:rFonts w:hint="eastAsia" w:ascii="宋体" w:hAnsi="宋体" w:cs="MingLiU"/>
          <w:kern w:val="0"/>
          <w:szCs w:val="21"/>
          <w:lang w:bidi="ar"/>
        </w:rPr>
        <w:t>1）与采购人存在利害关系且可能影响竞争性比选公正性；</w:t>
      </w:r>
      <w:bookmarkEnd w:id="181"/>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2）与本竞争性比选项目的其他报价人为同一个单位负责人；</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3）与本竞争性比选项目的其他报价人存在控股、管理关系；</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4）被依法暂停或者取消投标资格；</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5）被责令停产停业、暂扣或者吊销许可证、暂扣或者吊销执照；</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6）进入清算程序，或被宣告破产，或其他丧失履约能力的情形；</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7）在最近三年内发生重大产品质量问题；</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8）被工商行政管理机关在全国企业信用信息公示系统中列入严重违法失信企业名单；</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9）在“信用中国”网站（www.creditchina.gov.cn）中被列入失信惩戒对象名单；</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10）在国家企业信用信息公示系统（http://www.gsxt.gov.cn/）中被列入严重违法失信企业名单；</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11）2018年1月1日至投标截止日止报价人或其法定代表人有行贿犯罪行为的；</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12）有过以他人名义投标或以其他方式弄虚作假，骗取中标行为；</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13）财产被重组、接管、查封、扣押或冻结的；</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14）被国家、重庆市（含市或任意区县）有关行政部门处以暂停投标资格行政处罚，且在处罚期限内；</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15）法律法规或报价人须知前附表规定的其他情形。</w:t>
      </w:r>
    </w:p>
    <w:p>
      <w:pPr>
        <w:pStyle w:val="5"/>
        <w:widowControl/>
        <w:spacing w:before="0" w:after="0" w:line="300" w:lineRule="exact"/>
        <w:rPr>
          <w:rFonts w:ascii="宋体" w:hAnsi="宋体"/>
          <w:kern w:val="2"/>
          <w:sz w:val="21"/>
          <w:szCs w:val="21"/>
        </w:rPr>
      </w:pPr>
      <w:r>
        <w:rPr>
          <w:rFonts w:hint="eastAsia" w:ascii="宋体" w:hAnsi="宋体"/>
          <w:kern w:val="2"/>
          <w:sz w:val="21"/>
          <w:szCs w:val="21"/>
        </w:rPr>
        <w:t>1.5  费用承担</w:t>
      </w:r>
    </w:p>
    <w:p>
      <w:pPr>
        <w:autoSpaceDE w:val="0"/>
        <w:autoSpaceDN w:val="0"/>
        <w:adjustRightInd w:val="0"/>
        <w:spacing w:line="300" w:lineRule="exact"/>
        <w:ind w:firstLine="420" w:firstLineChars="200"/>
        <w:jc w:val="left"/>
        <w:rPr>
          <w:rFonts w:ascii="宋体" w:hAnsi="宋体" w:cs="MingLiU"/>
          <w:kern w:val="0"/>
          <w:szCs w:val="21"/>
        </w:rPr>
      </w:pPr>
      <w:r>
        <w:rPr>
          <w:rFonts w:hint="eastAsia" w:ascii="宋体" w:hAnsi="宋体" w:cs="宋体"/>
          <w:kern w:val="0"/>
          <w:szCs w:val="21"/>
          <w:lang w:bidi="ar"/>
        </w:rPr>
        <w:t>报价人准备和参加竞争性比选活动发生的费用自理。</w:t>
      </w:r>
    </w:p>
    <w:p>
      <w:pPr>
        <w:pStyle w:val="5"/>
        <w:widowControl/>
        <w:spacing w:before="0" w:after="0" w:line="300" w:lineRule="exact"/>
        <w:rPr>
          <w:rFonts w:ascii="宋体" w:hAnsi="宋体"/>
          <w:kern w:val="2"/>
          <w:sz w:val="21"/>
          <w:szCs w:val="21"/>
        </w:rPr>
      </w:pPr>
      <w:bookmarkStart w:id="182" w:name="_Toc4661912"/>
      <w:bookmarkEnd w:id="182"/>
      <w:bookmarkStart w:id="183" w:name="_Toc4661676"/>
      <w:bookmarkEnd w:id="183"/>
      <w:bookmarkStart w:id="184" w:name="_Toc706"/>
      <w:bookmarkEnd w:id="184"/>
      <w:bookmarkStart w:id="185" w:name="_Toc4661434"/>
      <w:bookmarkEnd w:id="185"/>
      <w:bookmarkStart w:id="186" w:name="_Toc277082559"/>
      <w:bookmarkEnd w:id="186"/>
      <w:bookmarkStart w:id="187" w:name="_Toc40455651"/>
      <w:bookmarkEnd w:id="187"/>
      <w:bookmarkStart w:id="188" w:name="_Toc287607753"/>
      <w:bookmarkEnd w:id="188"/>
      <w:bookmarkStart w:id="189" w:name="_Toc4662148"/>
      <w:bookmarkEnd w:id="189"/>
      <w:bookmarkStart w:id="190" w:name="_Toc40455278"/>
      <w:bookmarkEnd w:id="190"/>
      <w:bookmarkStart w:id="191" w:name="_Toc224103324"/>
      <w:bookmarkEnd w:id="191"/>
      <w:bookmarkStart w:id="192" w:name="_Toc200513133"/>
      <w:bookmarkEnd w:id="192"/>
      <w:bookmarkStart w:id="193" w:name="_Toc40780260"/>
      <w:r>
        <w:rPr>
          <w:rFonts w:hint="eastAsia" w:ascii="宋体" w:hAnsi="宋体"/>
          <w:kern w:val="2"/>
          <w:sz w:val="21"/>
          <w:szCs w:val="21"/>
        </w:rPr>
        <w:t xml:space="preserve">1.6  </w:t>
      </w:r>
      <w:bookmarkEnd w:id="193"/>
      <w:r>
        <w:rPr>
          <w:rFonts w:hint="eastAsia" w:ascii="宋体" w:hAnsi="宋体" w:cs="宋体"/>
          <w:kern w:val="2"/>
          <w:sz w:val="21"/>
          <w:szCs w:val="21"/>
        </w:rPr>
        <w:t>保密</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宋体"/>
          <w:kern w:val="0"/>
          <w:szCs w:val="21"/>
          <w:lang w:bidi="ar"/>
        </w:rPr>
        <w:t>参与竞争性比选投标活动的各方应对竞争性比选文件和比选响应文件中的商业和技术等秘密保密，违者应对由此造成的后果承担法律责任。</w:t>
      </w:r>
    </w:p>
    <w:p>
      <w:pPr>
        <w:pStyle w:val="5"/>
        <w:widowControl/>
        <w:spacing w:before="0" w:after="0" w:line="300" w:lineRule="exact"/>
        <w:rPr>
          <w:rFonts w:ascii="宋体" w:hAnsi="宋体"/>
          <w:kern w:val="2"/>
          <w:sz w:val="21"/>
          <w:szCs w:val="21"/>
        </w:rPr>
      </w:pPr>
      <w:bookmarkStart w:id="194" w:name="_Toc40780261"/>
      <w:bookmarkEnd w:id="194"/>
      <w:bookmarkStart w:id="195" w:name="_Toc200513134"/>
      <w:bookmarkEnd w:id="195"/>
      <w:bookmarkStart w:id="196" w:name="_Toc224103325"/>
      <w:bookmarkEnd w:id="196"/>
      <w:bookmarkStart w:id="197" w:name="_Toc4661677"/>
      <w:bookmarkEnd w:id="197"/>
      <w:bookmarkStart w:id="198" w:name="_Toc4661435"/>
      <w:bookmarkEnd w:id="198"/>
      <w:bookmarkStart w:id="199" w:name="_Toc40455652"/>
      <w:bookmarkEnd w:id="199"/>
      <w:bookmarkStart w:id="200" w:name="_Toc287607754"/>
      <w:bookmarkEnd w:id="200"/>
      <w:bookmarkStart w:id="201" w:name="_Toc4264"/>
      <w:bookmarkEnd w:id="201"/>
      <w:bookmarkStart w:id="202" w:name="_Toc277082560"/>
      <w:bookmarkEnd w:id="202"/>
      <w:bookmarkStart w:id="203" w:name="_Toc4661913"/>
      <w:bookmarkEnd w:id="203"/>
      <w:bookmarkStart w:id="204" w:name="_Toc40455279"/>
      <w:bookmarkEnd w:id="204"/>
      <w:bookmarkStart w:id="205" w:name="_Toc4662149"/>
      <w:r>
        <w:rPr>
          <w:rFonts w:hint="eastAsia" w:ascii="宋体" w:hAnsi="宋体"/>
          <w:kern w:val="2"/>
          <w:sz w:val="21"/>
          <w:szCs w:val="21"/>
        </w:rPr>
        <w:t xml:space="preserve">1.7  </w:t>
      </w:r>
      <w:bookmarkEnd w:id="205"/>
      <w:r>
        <w:rPr>
          <w:rFonts w:hint="eastAsia" w:ascii="宋体" w:hAnsi="宋体" w:cs="宋体"/>
          <w:kern w:val="2"/>
          <w:sz w:val="21"/>
          <w:szCs w:val="21"/>
        </w:rPr>
        <w:t>语言文字</w:t>
      </w:r>
    </w:p>
    <w:p>
      <w:pPr>
        <w:autoSpaceDE w:val="0"/>
        <w:autoSpaceDN w:val="0"/>
        <w:adjustRightInd w:val="0"/>
        <w:spacing w:line="300" w:lineRule="exact"/>
        <w:ind w:firstLine="420" w:firstLineChars="200"/>
        <w:jc w:val="left"/>
        <w:rPr>
          <w:rFonts w:ascii="宋体" w:hAnsi="宋体" w:cs="MingLiU"/>
          <w:kern w:val="0"/>
          <w:szCs w:val="21"/>
        </w:rPr>
      </w:pPr>
      <w:r>
        <w:rPr>
          <w:rFonts w:hint="eastAsia" w:ascii="宋体" w:hAnsi="宋体" w:cs="宋体"/>
          <w:kern w:val="0"/>
          <w:szCs w:val="21"/>
          <w:lang w:bidi="ar"/>
        </w:rPr>
        <w:t>除专用术语外，与竞争性比选投标有关的语言均使用中文。必要时专用术语应附有中文注释。</w:t>
      </w:r>
    </w:p>
    <w:p>
      <w:pPr>
        <w:pStyle w:val="5"/>
        <w:widowControl/>
        <w:spacing w:before="0" w:after="0" w:line="300" w:lineRule="exact"/>
        <w:rPr>
          <w:rFonts w:ascii="宋体" w:hAnsi="宋体"/>
          <w:kern w:val="2"/>
          <w:sz w:val="21"/>
          <w:szCs w:val="21"/>
        </w:rPr>
      </w:pPr>
      <w:bookmarkStart w:id="206" w:name="_Toc4661678"/>
      <w:bookmarkEnd w:id="206"/>
      <w:bookmarkStart w:id="207" w:name="_Toc40455280"/>
      <w:bookmarkEnd w:id="207"/>
      <w:bookmarkStart w:id="208" w:name="_Toc287607755"/>
      <w:bookmarkEnd w:id="208"/>
      <w:bookmarkStart w:id="209" w:name="_Toc40780262"/>
      <w:bookmarkEnd w:id="209"/>
      <w:bookmarkStart w:id="210" w:name="_Toc4661436"/>
      <w:bookmarkEnd w:id="210"/>
      <w:bookmarkStart w:id="211" w:name="_Toc200513135"/>
      <w:bookmarkEnd w:id="211"/>
      <w:bookmarkStart w:id="212" w:name="_Toc40455653"/>
      <w:bookmarkEnd w:id="212"/>
      <w:bookmarkStart w:id="213" w:name="_Toc224103326"/>
      <w:bookmarkEnd w:id="213"/>
      <w:bookmarkStart w:id="214" w:name="_Toc277082561"/>
      <w:bookmarkEnd w:id="214"/>
      <w:bookmarkStart w:id="215" w:name="_Toc934"/>
      <w:bookmarkEnd w:id="215"/>
      <w:bookmarkStart w:id="216" w:name="_Toc4662150"/>
      <w:bookmarkEnd w:id="216"/>
      <w:bookmarkStart w:id="217" w:name="_Toc4661914"/>
      <w:r>
        <w:rPr>
          <w:rFonts w:hint="eastAsia" w:ascii="宋体" w:hAnsi="宋体"/>
          <w:kern w:val="2"/>
          <w:sz w:val="21"/>
          <w:szCs w:val="21"/>
        </w:rPr>
        <w:t xml:space="preserve">1.8  </w:t>
      </w:r>
      <w:bookmarkEnd w:id="217"/>
      <w:r>
        <w:rPr>
          <w:rFonts w:hint="eastAsia" w:ascii="宋体" w:hAnsi="宋体" w:cs="宋体"/>
          <w:kern w:val="2"/>
          <w:sz w:val="21"/>
          <w:szCs w:val="21"/>
        </w:rPr>
        <w:t>计量单位</w:t>
      </w:r>
    </w:p>
    <w:p>
      <w:pPr>
        <w:autoSpaceDE w:val="0"/>
        <w:autoSpaceDN w:val="0"/>
        <w:adjustRightInd w:val="0"/>
        <w:spacing w:line="300" w:lineRule="exact"/>
        <w:ind w:firstLine="424" w:firstLineChars="202"/>
        <w:jc w:val="left"/>
        <w:rPr>
          <w:rFonts w:ascii="宋体" w:hAnsi="宋体" w:cs="MingLiU"/>
          <w:kern w:val="0"/>
          <w:szCs w:val="21"/>
        </w:rPr>
      </w:pPr>
      <w:r>
        <w:rPr>
          <w:rFonts w:hint="eastAsia" w:ascii="宋体" w:hAnsi="宋体" w:cs="宋体"/>
          <w:kern w:val="0"/>
          <w:szCs w:val="21"/>
          <w:lang w:bidi="ar"/>
        </w:rPr>
        <w:t>所有计量均采用中华人民共和国法定计量单位。</w:t>
      </w:r>
    </w:p>
    <w:p>
      <w:pPr>
        <w:pStyle w:val="5"/>
        <w:widowControl/>
        <w:spacing w:before="0" w:after="0" w:line="300" w:lineRule="exact"/>
        <w:rPr>
          <w:rFonts w:ascii="宋体" w:hAnsi="宋体"/>
          <w:kern w:val="2"/>
          <w:sz w:val="21"/>
          <w:szCs w:val="21"/>
        </w:rPr>
      </w:pPr>
      <w:bookmarkStart w:id="218" w:name="_Toc14666"/>
      <w:bookmarkEnd w:id="218"/>
      <w:bookmarkStart w:id="219" w:name="_Toc40455281"/>
      <w:bookmarkEnd w:id="219"/>
      <w:bookmarkStart w:id="220" w:name="_Toc277082562"/>
      <w:bookmarkEnd w:id="220"/>
      <w:bookmarkStart w:id="221" w:name="_Toc4661915"/>
      <w:bookmarkEnd w:id="221"/>
      <w:bookmarkStart w:id="222" w:name="_Toc287607756"/>
      <w:bookmarkEnd w:id="222"/>
      <w:bookmarkStart w:id="223" w:name="_Toc224103327"/>
      <w:bookmarkEnd w:id="223"/>
      <w:bookmarkStart w:id="224" w:name="_Toc4661437"/>
      <w:bookmarkEnd w:id="224"/>
      <w:bookmarkStart w:id="225" w:name="_Toc200513136"/>
      <w:bookmarkEnd w:id="225"/>
      <w:bookmarkStart w:id="226" w:name="_Toc4661679"/>
      <w:bookmarkEnd w:id="226"/>
      <w:bookmarkStart w:id="227" w:name="_Toc40455654"/>
      <w:bookmarkEnd w:id="227"/>
      <w:bookmarkStart w:id="228" w:name="_Toc4662151"/>
      <w:bookmarkEnd w:id="228"/>
      <w:bookmarkStart w:id="229" w:name="_Toc40780263"/>
      <w:r>
        <w:rPr>
          <w:rFonts w:hint="eastAsia" w:ascii="宋体" w:hAnsi="宋体"/>
          <w:kern w:val="2"/>
          <w:sz w:val="21"/>
          <w:szCs w:val="21"/>
        </w:rPr>
        <w:t xml:space="preserve">1.9  </w:t>
      </w:r>
      <w:bookmarkEnd w:id="229"/>
      <w:r>
        <w:rPr>
          <w:rFonts w:hint="eastAsia" w:ascii="宋体" w:hAnsi="宋体" w:cs="宋体"/>
          <w:kern w:val="2"/>
          <w:sz w:val="21"/>
          <w:szCs w:val="21"/>
        </w:rPr>
        <w:t>踏勘现场</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MingLiU"/>
          <w:kern w:val="0"/>
          <w:szCs w:val="21"/>
          <w:lang w:bidi="ar"/>
        </w:rPr>
        <w:t xml:space="preserve">1.9.1  </w:t>
      </w:r>
      <w:r>
        <w:rPr>
          <w:rFonts w:hint="eastAsia" w:ascii="宋体" w:hAnsi="宋体" w:cs="宋体"/>
          <w:kern w:val="0"/>
          <w:szCs w:val="21"/>
          <w:lang w:bidi="ar"/>
        </w:rPr>
        <w:t>报价人须知前附表规定组织踏勘现场的，采购人按报价人须知前附表规定的时间、</w:t>
      </w:r>
      <w:r>
        <w:rPr>
          <w:rFonts w:hint="eastAsia" w:ascii="宋体" w:hAnsi="宋体" w:cs="MingLiU"/>
          <w:kern w:val="0"/>
          <w:szCs w:val="21"/>
          <w:lang w:bidi="ar"/>
        </w:rPr>
        <w:t xml:space="preserve"> </w:t>
      </w:r>
      <w:r>
        <w:rPr>
          <w:rFonts w:hint="eastAsia" w:ascii="宋体" w:hAnsi="宋体" w:cs="宋体"/>
          <w:kern w:val="0"/>
          <w:szCs w:val="21"/>
          <w:lang w:bidi="ar"/>
        </w:rPr>
        <w:t>地点组织报价人踏勘项目现场。</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MingLiU"/>
          <w:kern w:val="0"/>
          <w:szCs w:val="21"/>
          <w:lang w:bidi="ar"/>
        </w:rPr>
        <w:t xml:space="preserve">1.9.2  </w:t>
      </w:r>
      <w:r>
        <w:rPr>
          <w:rFonts w:hint="eastAsia" w:ascii="宋体" w:hAnsi="宋体" w:cs="宋体"/>
          <w:kern w:val="0"/>
          <w:szCs w:val="21"/>
          <w:lang w:bidi="ar"/>
        </w:rPr>
        <w:t>报价人踏勘现场发生的费用自理。</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MingLiU"/>
          <w:kern w:val="0"/>
          <w:szCs w:val="21"/>
          <w:lang w:bidi="ar"/>
        </w:rPr>
        <w:t xml:space="preserve">1.9.3  </w:t>
      </w:r>
      <w:r>
        <w:rPr>
          <w:rFonts w:hint="eastAsia" w:ascii="宋体" w:hAnsi="宋体" w:cs="宋体"/>
          <w:kern w:val="0"/>
          <w:szCs w:val="21"/>
          <w:lang w:bidi="ar"/>
        </w:rPr>
        <w:t>除采购人的原因外，报价人自行负责在踏勘现场中所发生的人员伤亡和财产损失。</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Calibri"/>
          <w:kern w:val="0"/>
          <w:szCs w:val="21"/>
          <w:lang w:bidi="ar"/>
        </w:rPr>
        <w:t xml:space="preserve">1.9.4  </w:t>
      </w:r>
      <w:r>
        <w:rPr>
          <w:rFonts w:hint="eastAsia" w:ascii="宋体" w:hAnsi="宋体" w:cs="宋体"/>
          <w:kern w:val="0"/>
          <w:szCs w:val="21"/>
          <w:lang w:bidi="ar"/>
        </w:rPr>
        <w:t>采购人在踏勘现场中介绍的工程场地和相关的周边环境情况，供报价人在编制投</w:t>
      </w:r>
      <w:r>
        <w:rPr>
          <w:rFonts w:hint="eastAsia" w:ascii="宋体" w:hAnsi="宋体" w:cs="Calibri"/>
          <w:kern w:val="0"/>
          <w:szCs w:val="21"/>
          <w:lang w:bidi="ar"/>
        </w:rPr>
        <w:t xml:space="preserve"> </w:t>
      </w:r>
      <w:r>
        <w:rPr>
          <w:rFonts w:hint="eastAsia" w:ascii="宋体" w:hAnsi="宋体" w:cs="宋体"/>
          <w:kern w:val="0"/>
          <w:szCs w:val="21"/>
          <w:lang w:bidi="ar"/>
        </w:rPr>
        <w:t>标文件时参考，采购人不对报价人据此做出的判断和决策负责。</w:t>
      </w:r>
    </w:p>
    <w:p>
      <w:pPr>
        <w:pStyle w:val="5"/>
        <w:widowControl/>
        <w:spacing w:before="0" w:after="0" w:line="300" w:lineRule="exact"/>
        <w:rPr>
          <w:rFonts w:ascii="宋体" w:hAnsi="宋体"/>
          <w:kern w:val="2"/>
          <w:sz w:val="21"/>
          <w:szCs w:val="21"/>
        </w:rPr>
      </w:pPr>
      <w:bookmarkStart w:id="230" w:name="_Toc4661680"/>
      <w:bookmarkEnd w:id="230"/>
      <w:bookmarkStart w:id="231" w:name="_Toc4662152"/>
      <w:bookmarkEnd w:id="231"/>
      <w:bookmarkStart w:id="232" w:name="_Toc40780264"/>
      <w:bookmarkEnd w:id="232"/>
      <w:bookmarkStart w:id="233" w:name="_Toc277082563"/>
      <w:bookmarkEnd w:id="233"/>
      <w:bookmarkStart w:id="234" w:name="_Toc32378"/>
      <w:bookmarkEnd w:id="234"/>
      <w:bookmarkStart w:id="235" w:name="_Toc224103328"/>
      <w:bookmarkEnd w:id="235"/>
      <w:bookmarkStart w:id="236" w:name="_Toc287607757"/>
      <w:bookmarkEnd w:id="236"/>
      <w:bookmarkStart w:id="237" w:name="_Toc40455282"/>
      <w:bookmarkEnd w:id="237"/>
      <w:bookmarkStart w:id="238" w:name="_Toc4661438"/>
      <w:bookmarkEnd w:id="238"/>
      <w:bookmarkStart w:id="239" w:name="_Toc4661916"/>
      <w:bookmarkEnd w:id="239"/>
      <w:bookmarkStart w:id="240" w:name="_Toc200513137"/>
      <w:bookmarkEnd w:id="240"/>
      <w:bookmarkStart w:id="241" w:name="_Toc40455655"/>
      <w:r>
        <w:rPr>
          <w:rFonts w:hint="eastAsia" w:ascii="宋体" w:hAnsi="宋体"/>
          <w:kern w:val="2"/>
          <w:sz w:val="21"/>
          <w:szCs w:val="21"/>
        </w:rPr>
        <w:t xml:space="preserve">1.10  </w:t>
      </w:r>
      <w:bookmarkEnd w:id="241"/>
      <w:r>
        <w:rPr>
          <w:rFonts w:hint="eastAsia" w:ascii="宋体" w:hAnsi="宋体" w:cs="宋体"/>
          <w:kern w:val="2"/>
          <w:sz w:val="21"/>
          <w:szCs w:val="21"/>
        </w:rPr>
        <w:t>投标预备会</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Calibri"/>
          <w:kern w:val="0"/>
          <w:szCs w:val="21"/>
          <w:lang w:bidi="ar"/>
        </w:rPr>
        <w:t xml:space="preserve">1.10.1  </w:t>
      </w:r>
      <w:r>
        <w:rPr>
          <w:rFonts w:hint="eastAsia" w:ascii="宋体" w:hAnsi="宋体" w:cs="宋体"/>
          <w:kern w:val="0"/>
          <w:szCs w:val="21"/>
          <w:lang w:bidi="ar"/>
        </w:rPr>
        <w:t>报价人须知前附表规定召开投标预备会的，采购人按报价人须知前附表规定的时间和地点召开投标预备会，澄清报价人提出的问题。</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Calibri"/>
          <w:kern w:val="0"/>
          <w:szCs w:val="21"/>
          <w:lang w:bidi="ar"/>
        </w:rPr>
        <w:t xml:space="preserve">1.10.2  </w:t>
      </w:r>
      <w:r>
        <w:rPr>
          <w:rFonts w:hint="eastAsia" w:ascii="宋体" w:hAnsi="宋体" w:cs="宋体"/>
          <w:kern w:val="0"/>
          <w:szCs w:val="21"/>
          <w:lang w:bidi="ar"/>
        </w:rPr>
        <w:t>报价人应在报价人须知前附表规定的时间前，以书面形式将提出的问题送达采购人，以便采购人在会议期间澄清。</w:t>
      </w:r>
    </w:p>
    <w:p>
      <w:pPr>
        <w:autoSpaceDE w:val="0"/>
        <w:autoSpaceDN w:val="0"/>
        <w:adjustRightInd w:val="0"/>
        <w:spacing w:line="300" w:lineRule="exact"/>
        <w:ind w:firstLine="424" w:firstLineChars="202"/>
        <w:jc w:val="left"/>
        <w:rPr>
          <w:rFonts w:ascii="宋体" w:hAnsi="宋体" w:cs="MingLiU"/>
          <w:kern w:val="0"/>
          <w:szCs w:val="21"/>
        </w:rPr>
      </w:pPr>
      <w:r>
        <w:rPr>
          <w:rFonts w:hint="eastAsia" w:ascii="宋体" w:hAnsi="宋体" w:cs="Calibri"/>
          <w:kern w:val="0"/>
          <w:szCs w:val="21"/>
          <w:lang w:bidi="ar"/>
        </w:rPr>
        <w:t xml:space="preserve">1.10.3  </w:t>
      </w:r>
      <w:r>
        <w:rPr>
          <w:rFonts w:hint="eastAsia" w:ascii="宋体" w:hAnsi="宋体" w:cs="宋体"/>
          <w:kern w:val="0"/>
          <w:szCs w:val="21"/>
          <w:lang w:bidi="ar"/>
        </w:rPr>
        <w:t>投标预备会后，采购人在报价人须知前附表规定的时间内，将对报价人所提问题</w:t>
      </w:r>
      <w:r>
        <w:rPr>
          <w:rFonts w:hint="eastAsia" w:ascii="宋体" w:hAnsi="宋体" w:cs="宋体"/>
          <w:kern w:val="0"/>
          <w:position w:val="-2"/>
          <w:szCs w:val="21"/>
          <w:lang w:bidi="ar"/>
        </w:rPr>
        <w:t>的澄清，以书面方式通知所有购买竞争性比选文件的报价人。该澄清内容为竞争性比选文件的组成部分。</w:t>
      </w:r>
    </w:p>
    <w:p>
      <w:pPr>
        <w:pStyle w:val="5"/>
        <w:widowControl/>
        <w:spacing w:before="0" w:after="0" w:line="300" w:lineRule="exact"/>
        <w:rPr>
          <w:rFonts w:ascii="宋体" w:hAnsi="宋体"/>
          <w:kern w:val="2"/>
          <w:sz w:val="21"/>
          <w:szCs w:val="21"/>
        </w:rPr>
      </w:pPr>
      <w:bookmarkStart w:id="242" w:name="_Toc40455283"/>
      <w:bookmarkEnd w:id="242"/>
      <w:bookmarkStart w:id="243" w:name="_Toc4661439"/>
      <w:bookmarkEnd w:id="243"/>
      <w:bookmarkStart w:id="244" w:name="_Toc40455656"/>
      <w:bookmarkEnd w:id="244"/>
      <w:bookmarkStart w:id="245" w:name="_Toc4661917"/>
      <w:bookmarkEnd w:id="245"/>
      <w:bookmarkStart w:id="246" w:name="_Toc224103329"/>
      <w:bookmarkEnd w:id="246"/>
      <w:bookmarkStart w:id="247" w:name="_Toc40780265"/>
      <w:bookmarkEnd w:id="247"/>
      <w:bookmarkStart w:id="248" w:name="_Toc277082564"/>
      <w:bookmarkEnd w:id="248"/>
      <w:bookmarkStart w:id="249" w:name="_Toc4661681"/>
      <w:bookmarkEnd w:id="249"/>
      <w:bookmarkStart w:id="250" w:name="_Toc4662153"/>
      <w:bookmarkEnd w:id="250"/>
      <w:bookmarkStart w:id="251" w:name="_Toc287607758"/>
      <w:bookmarkEnd w:id="251"/>
      <w:bookmarkStart w:id="252" w:name="_Toc1732"/>
      <w:bookmarkEnd w:id="252"/>
      <w:bookmarkStart w:id="253" w:name="_Toc200513138"/>
      <w:r>
        <w:rPr>
          <w:rFonts w:hint="eastAsia" w:ascii="宋体" w:hAnsi="宋体"/>
          <w:kern w:val="2"/>
          <w:sz w:val="21"/>
          <w:szCs w:val="21"/>
        </w:rPr>
        <w:t xml:space="preserve">1.11  </w:t>
      </w:r>
      <w:bookmarkEnd w:id="253"/>
      <w:r>
        <w:rPr>
          <w:rFonts w:hint="eastAsia" w:ascii="宋体" w:hAnsi="宋体" w:cs="宋体"/>
          <w:kern w:val="2"/>
          <w:sz w:val="21"/>
          <w:szCs w:val="21"/>
        </w:rPr>
        <w:t>分包</w:t>
      </w:r>
    </w:p>
    <w:p>
      <w:pPr>
        <w:pStyle w:val="5"/>
        <w:widowControl/>
        <w:spacing w:before="0" w:after="0" w:line="300" w:lineRule="exact"/>
        <w:rPr>
          <w:rFonts w:ascii="宋体" w:hAnsi="宋体" w:cs="MingLiU"/>
          <w:b w:val="0"/>
          <w:sz w:val="21"/>
          <w:szCs w:val="21"/>
        </w:rPr>
      </w:pPr>
      <w:bookmarkStart w:id="254" w:name="_Toc200513139"/>
      <w:bookmarkEnd w:id="254"/>
      <w:bookmarkStart w:id="255" w:name="_Toc287607759"/>
      <w:bookmarkEnd w:id="255"/>
      <w:bookmarkStart w:id="256" w:name="_Toc40780266"/>
      <w:bookmarkEnd w:id="256"/>
      <w:bookmarkStart w:id="257" w:name="_Toc4661918"/>
      <w:bookmarkEnd w:id="257"/>
      <w:bookmarkStart w:id="258" w:name="_Toc4662154"/>
      <w:bookmarkEnd w:id="258"/>
      <w:bookmarkStart w:id="259" w:name="_Toc4661440"/>
      <w:bookmarkEnd w:id="259"/>
      <w:bookmarkStart w:id="260" w:name="_Toc1991"/>
      <w:bookmarkEnd w:id="260"/>
      <w:bookmarkStart w:id="261" w:name="_Toc40455657"/>
      <w:bookmarkEnd w:id="261"/>
      <w:bookmarkStart w:id="262" w:name="_Toc40455284"/>
      <w:bookmarkEnd w:id="262"/>
      <w:bookmarkStart w:id="263" w:name="_Toc277082565"/>
      <w:bookmarkEnd w:id="263"/>
      <w:bookmarkStart w:id="264" w:name="_Toc4661682"/>
      <w:bookmarkEnd w:id="264"/>
      <w:bookmarkStart w:id="265" w:name="_Toc224103330"/>
      <w:r>
        <w:rPr>
          <w:rFonts w:hint="eastAsia" w:ascii="宋体" w:hAnsi="宋体" w:cs="MingLiU"/>
          <w:b w:val="0"/>
          <w:sz w:val="21"/>
          <w:szCs w:val="21"/>
        </w:rPr>
        <w:t>1.11.1本项目竞争性比选范围内的内容如需分包，分包单位的确定须采购人书面批准同意。否则采购人均有权取消中标人资格。</w:t>
      </w:r>
      <w:bookmarkEnd w:id="265"/>
    </w:p>
    <w:p>
      <w:pPr>
        <w:pStyle w:val="5"/>
        <w:widowControl/>
        <w:spacing w:before="0" w:after="0" w:line="300" w:lineRule="exact"/>
        <w:rPr>
          <w:rFonts w:ascii="宋体" w:hAnsi="宋体" w:cs="MingLiU"/>
          <w:b w:val="0"/>
          <w:sz w:val="21"/>
          <w:szCs w:val="21"/>
        </w:rPr>
      </w:pPr>
      <w:r>
        <w:rPr>
          <w:rFonts w:hint="eastAsia" w:ascii="宋体" w:hAnsi="宋体" w:cs="MingLiU"/>
          <w:b w:val="0"/>
          <w:sz w:val="21"/>
          <w:szCs w:val="21"/>
        </w:rPr>
        <w:t>1.12  偏离</w:t>
      </w:r>
    </w:p>
    <w:p>
      <w:pPr>
        <w:autoSpaceDE w:val="0"/>
        <w:autoSpaceDN w:val="0"/>
        <w:adjustRightInd w:val="0"/>
        <w:spacing w:line="300" w:lineRule="exact"/>
        <w:ind w:firstLine="420" w:firstLineChars="200"/>
        <w:jc w:val="left"/>
        <w:rPr>
          <w:rFonts w:ascii="宋体" w:hAnsi="宋体" w:cs="MingLiU"/>
          <w:kern w:val="0"/>
          <w:szCs w:val="21"/>
        </w:rPr>
      </w:pPr>
      <w:r>
        <w:rPr>
          <w:rFonts w:hint="eastAsia" w:ascii="宋体" w:hAnsi="宋体" w:cs="宋体"/>
          <w:kern w:val="0"/>
          <w:szCs w:val="21"/>
          <w:lang w:bidi="ar"/>
        </w:rPr>
        <w:t>报价人须知前附表允许比选响应文件偏离竞争性比选文件某些要求的，偏离应当符合竞争性比选文件规定</w:t>
      </w:r>
      <w:r>
        <w:rPr>
          <w:rFonts w:hint="eastAsia" w:ascii="宋体" w:hAnsi="宋体" w:cs="Calibri"/>
          <w:kern w:val="0"/>
          <w:szCs w:val="21"/>
          <w:lang w:bidi="ar"/>
        </w:rPr>
        <w:t xml:space="preserve"> </w:t>
      </w:r>
      <w:r>
        <w:rPr>
          <w:rFonts w:hint="eastAsia" w:ascii="宋体" w:hAnsi="宋体" w:cs="宋体"/>
          <w:kern w:val="0"/>
          <w:szCs w:val="21"/>
          <w:lang w:bidi="ar"/>
        </w:rPr>
        <w:t>的偏离范围和幅度。</w:t>
      </w:r>
    </w:p>
    <w:p>
      <w:pPr>
        <w:pStyle w:val="4"/>
        <w:widowControl/>
        <w:spacing w:before="0" w:after="0" w:line="300" w:lineRule="exact"/>
        <w:rPr>
          <w:rFonts w:ascii="宋体" w:hAnsi="宋体"/>
          <w:sz w:val="21"/>
          <w:szCs w:val="21"/>
        </w:rPr>
      </w:pPr>
      <w:bookmarkStart w:id="266" w:name="_Toc4661919"/>
      <w:bookmarkEnd w:id="266"/>
      <w:bookmarkStart w:id="267" w:name="_Toc4806"/>
      <w:bookmarkEnd w:id="267"/>
      <w:bookmarkStart w:id="268" w:name="_Toc287607760"/>
      <w:bookmarkEnd w:id="268"/>
      <w:bookmarkStart w:id="269" w:name="_Toc277082566"/>
      <w:bookmarkEnd w:id="269"/>
      <w:bookmarkStart w:id="270" w:name="_Toc4661441"/>
      <w:bookmarkEnd w:id="270"/>
      <w:bookmarkStart w:id="271" w:name="_Toc143"/>
      <w:bookmarkEnd w:id="271"/>
      <w:bookmarkStart w:id="272" w:name="_Toc25763"/>
      <w:bookmarkEnd w:id="272"/>
      <w:bookmarkStart w:id="273" w:name="_Toc30989"/>
      <w:bookmarkEnd w:id="273"/>
      <w:bookmarkStart w:id="274" w:name="_Toc200513140"/>
      <w:bookmarkEnd w:id="274"/>
      <w:bookmarkStart w:id="275" w:name="_Toc40455285"/>
      <w:bookmarkEnd w:id="275"/>
      <w:bookmarkStart w:id="276" w:name="_Toc4661683"/>
      <w:bookmarkEnd w:id="276"/>
      <w:bookmarkStart w:id="277" w:name="_Toc27390"/>
      <w:bookmarkEnd w:id="277"/>
      <w:bookmarkStart w:id="278" w:name="_Toc224103331"/>
      <w:bookmarkEnd w:id="278"/>
      <w:bookmarkStart w:id="279" w:name="_Toc40455658"/>
      <w:bookmarkEnd w:id="279"/>
      <w:bookmarkStart w:id="280" w:name="_Toc4662155"/>
      <w:bookmarkEnd w:id="280"/>
      <w:bookmarkStart w:id="281" w:name="_Toc24734"/>
      <w:bookmarkStart w:id="282" w:name="_Toc9275"/>
      <w:r>
        <w:rPr>
          <w:rFonts w:hint="eastAsia" w:ascii="宋体" w:hAnsi="宋体"/>
          <w:sz w:val="21"/>
          <w:szCs w:val="21"/>
        </w:rPr>
        <w:t xml:space="preserve">2.  </w:t>
      </w:r>
      <w:bookmarkEnd w:id="281"/>
      <w:r>
        <w:rPr>
          <w:rFonts w:hint="eastAsia" w:ascii="黑体" w:hAnsi="宋体" w:cs="黑体"/>
          <w:sz w:val="21"/>
          <w:szCs w:val="21"/>
        </w:rPr>
        <w:t>竞争性比选文件</w:t>
      </w:r>
      <w:bookmarkEnd w:id="282"/>
    </w:p>
    <w:p>
      <w:pPr>
        <w:pStyle w:val="5"/>
        <w:widowControl/>
        <w:spacing w:before="0" w:after="0" w:line="300" w:lineRule="exact"/>
        <w:rPr>
          <w:rFonts w:ascii="宋体" w:hAnsi="宋体"/>
          <w:kern w:val="2"/>
          <w:sz w:val="21"/>
          <w:szCs w:val="21"/>
        </w:rPr>
      </w:pPr>
      <w:bookmarkStart w:id="283" w:name="_Toc40455659"/>
      <w:bookmarkEnd w:id="283"/>
      <w:bookmarkStart w:id="284" w:name="_Toc4662156"/>
      <w:bookmarkEnd w:id="284"/>
      <w:bookmarkStart w:id="285" w:name="_Toc277082567"/>
      <w:bookmarkEnd w:id="285"/>
      <w:bookmarkStart w:id="286" w:name="_Toc4661920"/>
      <w:bookmarkEnd w:id="286"/>
      <w:bookmarkStart w:id="287" w:name="_Toc40455286"/>
      <w:bookmarkEnd w:id="287"/>
      <w:bookmarkStart w:id="288" w:name="_Toc224103332"/>
      <w:bookmarkEnd w:id="288"/>
      <w:bookmarkStart w:id="289" w:name="_Toc4661684"/>
      <w:bookmarkEnd w:id="289"/>
      <w:bookmarkStart w:id="290" w:name="_Toc40780268"/>
      <w:bookmarkEnd w:id="290"/>
      <w:bookmarkStart w:id="291" w:name="_Toc200513141"/>
      <w:bookmarkEnd w:id="291"/>
      <w:bookmarkStart w:id="292" w:name="_Toc287607761"/>
      <w:bookmarkEnd w:id="292"/>
      <w:bookmarkStart w:id="293" w:name="_Toc29861"/>
      <w:bookmarkEnd w:id="293"/>
      <w:bookmarkStart w:id="294" w:name="_Toc4661442"/>
      <w:r>
        <w:rPr>
          <w:rFonts w:hint="eastAsia" w:ascii="宋体" w:hAnsi="宋体"/>
          <w:kern w:val="2"/>
          <w:sz w:val="21"/>
          <w:szCs w:val="21"/>
        </w:rPr>
        <w:t xml:space="preserve">2.1  </w:t>
      </w:r>
      <w:bookmarkEnd w:id="294"/>
      <w:r>
        <w:rPr>
          <w:rFonts w:hint="eastAsia" w:ascii="宋体" w:hAnsi="宋体" w:cs="宋体"/>
          <w:kern w:val="2"/>
          <w:sz w:val="21"/>
          <w:szCs w:val="21"/>
        </w:rPr>
        <w:t>竞争性比选文件的组成</w:t>
      </w:r>
    </w:p>
    <w:p>
      <w:pPr>
        <w:autoSpaceDE w:val="0"/>
        <w:autoSpaceDN w:val="0"/>
        <w:adjustRightInd w:val="0"/>
        <w:spacing w:line="300" w:lineRule="exact"/>
        <w:ind w:left="359" w:leftChars="171"/>
        <w:jc w:val="left"/>
        <w:rPr>
          <w:rFonts w:ascii="宋体" w:hAnsi="宋体" w:cs="MingLiU"/>
          <w:kern w:val="0"/>
          <w:szCs w:val="21"/>
        </w:rPr>
      </w:pPr>
      <w:r>
        <w:rPr>
          <w:rFonts w:hint="eastAsia" w:ascii="宋体" w:hAnsi="宋体" w:cs="宋体"/>
          <w:kern w:val="0"/>
          <w:szCs w:val="21"/>
          <w:lang w:bidi="ar"/>
        </w:rPr>
        <w:t>本竞争性比选文件包括：</w:t>
      </w:r>
    </w:p>
    <w:p>
      <w:pPr>
        <w:autoSpaceDE w:val="0"/>
        <w:autoSpaceDN w:val="0"/>
        <w:adjustRightInd w:val="0"/>
        <w:spacing w:line="300" w:lineRule="exact"/>
        <w:ind w:left="359" w:leftChars="171"/>
        <w:jc w:val="left"/>
        <w:rPr>
          <w:rFonts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1</w:t>
      </w:r>
      <w:r>
        <w:rPr>
          <w:rFonts w:hint="eastAsia" w:ascii="宋体" w:hAnsi="宋体" w:cs="宋体"/>
          <w:kern w:val="0"/>
          <w:szCs w:val="21"/>
          <w:lang w:bidi="ar"/>
        </w:rPr>
        <w:t>）竞争性比选公告；</w:t>
      </w:r>
    </w:p>
    <w:p>
      <w:pPr>
        <w:autoSpaceDE w:val="0"/>
        <w:autoSpaceDN w:val="0"/>
        <w:adjustRightInd w:val="0"/>
        <w:spacing w:line="300" w:lineRule="exact"/>
        <w:ind w:left="359" w:leftChars="171"/>
        <w:jc w:val="left"/>
        <w:rPr>
          <w:rFonts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2</w:t>
      </w:r>
      <w:r>
        <w:rPr>
          <w:rFonts w:hint="eastAsia" w:ascii="宋体" w:hAnsi="宋体" w:cs="宋体"/>
          <w:kern w:val="0"/>
          <w:szCs w:val="21"/>
          <w:lang w:bidi="ar"/>
        </w:rPr>
        <w:t>）报价人须知；</w:t>
      </w:r>
    </w:p>
    <w:p>
      <w:pPr>
        <w:autoSpaceDE w:val="0"/>
        <w:autoSpaceDN w:val="0"/>
        <w:adjustRightInd w:val="0"/>
        <w:spacing w:line="300" w:lineRule="exact"/>
        <w:ind w:left="359" w:leftChars="171"/>
        <w:jc w:val="left"/>
        <w:rPr>
          <w:rFonts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3</w:t>
      </w:r>
      <w:r>
        <w:rPr>
          <w:rFonts w:hint="eastAsia" w:ascii="宋体" w:hAnsi="宋体" w:cs="宋体"/>
          <w:kern w:val="0"/>
          <w:szCs w:val="21"/>
          <w:lang w:bidi="ar"/>
        </w:rPr>
        <w:t>）评标办法；</w:t>
      </w:r>
    </w:p>
    <w:p>
      <w:pPr>
        <w:autoSpaceDE w:val="0"/>
        <w:autoSpaceDN w:val="0"/>
        <w:adjustRightInd w:val="0"/>
        <w:spacing w:line="300" w:lineRule="exact"/>
        <w:ind w:left="359" w:leftChars="171"/>
        <w:jc w:val="left"/>
        <w:rPr>
          <w:rFonts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4</w:t>
      </w:r>
      <w:r>
        <w:rPr>
          <w:rFonts w:hint="eastAsia" w:ascii="宋体" w:hAnsi="宋体" w:cs="宋体"/>
          <w:kern w:val="0"/>
          <w:szCs w:val="21"/>
          <w:lang w:bidi="ar"/>
        </w:rPr>
        <w:t>）合同条款及格式；</w:t>
      </w:r>
    </w:p>
    <w:p>
      <w:pPr>
        <w:autoSpaceDE w:val="0"/>
        <w:autoSpaceDN w:val="0"/>
        <w:adjustRightInd w:val="0"/>
        <w:spacing w:line="300" w:lineRule="exact"/>
        <w:ind w:left="359" w:leftChars="171"/>
        <w:jc w:val="left"/>
        <w:rPr>
          <w:rFonts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5</w:t>
      </w:r>
      <w:r>
        <w:rPr>
          <w:rFonts w:hint="eastAsia" w:ascii="宋体" w:hAnsi="宋体" w:cs="宋体"/>
          <w:kern w:val="0"/>
          <w:szCs w:val="21"/>
          <w:lang w:bidi="ar"/>
        </w:rPr>
        <w:t>）技术标准和要求；</w:t>
      </w:r>
    </w:p>
    <w:p>
      <w:pPr>
        <w:autoSpaceDE w:val="0"/>
        <w:autoSpaceDN w:val="0"/>
        <w:adjustRightInd w:val="0"/>
        <w:spacing w:line="300" w:lineRule="exact"/>
        <w:ind w:left="359" w:leftChars="171"/>
        <w:jc w:val="left"/>
        <w:rPr>
          <w:rFonts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6</w:t>
      </w:r>
      <w:r>
        <w:rPr>
          <w:rFonts w:hint="eastAsia" w:ascii="宋体" w:hAnsi="宋体" w:cs="宋体"/>
          <w:kern w:val="0"/>
          <w:szCs w:val="21"/>
          <w:lang w:bidi="ar"/>
        </w:rPr>
        <w:t>）比选响应文件格式；</w:t>
      </w:r>
    </w:p>
    <w:p>
      <w:pPr>
        <w:pStyle w:val="169"/>
        <w:widowControl/>
        <w:spacing w:line="300" w:lineRule="exact"/>
        <w:ind w:firstLine="420"/>
        <w:rPr>
          <w:rFonts w:hint="default" w:cs="Calibri"/>
        </w:rPr>
      </w:pPr>
      <w:r>
        <w:rPr>
          <w:rFonts w:cs="宋体"/>
          <w:spacing w:val="0"/>
          <w:sz w:val="21"/>
          <w:szCs w:val="21"/>
        </w:rPr>
        <w:t>（</w:t>
      </w:r>
      <w:r>
        <w:rPr>
          <w:rFonts w:cs="MingLiU"/>
          <w:spacing w:val="0"/>
          <w:sz w:val="21"/>
          <w:szCs w:val="21"/>
        </w:rPr>
        <w:t>7）报价人须知前附表规定的其他材料。</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宋体"/>
          <w:kern w:val="0"/>
          <w:szCs w:val="21"/>
          <w:lang w:bidi="ar"/>
        </w:rPr>
        <w:t>根据本章第</w:t>
      </w:r>
      <w:r>
        <w:rPr>
          <w:rFonts w:hint="eastAsia" w:ascii="宋体" w:hAnsi="宋体" w:cs="Calibri"/>
          <w:kern w:val="0"/>
          <w:szCs w:val="21"/>
          <w:lang w:bidi="ar"/>
        </w:rPr>
        <w:t>1.10</w:t>
      </w:r>
      <w:r>
        <w:rPr>
          <w:rFonts w:hint="eastAsia" w:ascii="宋体" w:hAnsi="宋体" w:cs="宋体"/>
          <w:kern w:val="0"/>
          <w:szCs w:val="21"/>
          <w:lang w:bidi="ar"/>
        </w:rPr>
        <w:t>款、第</w:t>
      </w:r>
      <w:r>
        <w:rPr>
          <w:rFonts w:hint="eastAsia" w:ascii="宋体" w:hAnsi="宋体" w:cs="Calibri"/>
          <w:kern w:val="0"/>
          <w:szCs w:val="21"/>
          <w:lang w:bidi="ar"/>
        </w:rPr>
        <w:t>2.2</w:t>
      </w:r>
      <w:r>
        <w:rPr>
          <w:rFonts w:hint="eastAsia" w:ascii="宋体" w:hAnsi="宋体" w:cs="宋体"/>
          <w:kern w:val="0"/>
          <w:szCs w:val="21"/>
          <w:lang w:bidi="ar"/>
        </w:rPr>
        <w:t>款和第</w:t>
      </w:r>
      <w:r>
        <w:rPr>
          <w:rFonts w:hint="eastAsia" w:ascii="宋体" w:hAnsi="宋体" w:cs="Calibri"/>
          <w:kern w:val="0"/>
          <w:szCs w:val="21"/>
          <w:lang w:bidi="ar"/>
        </w:rPr>
        <w:t>2.3</w:t>
      </w:r>
      <w:r>
        <w:rPr>
          <w:rFonts w:hint="eastAsia" w:ascii="宋体" w:hAnsi="宋体" w:cs="宋体"/>
          <w:kern w:val="0"/>
          <w:szCs w:val="21"/>
          <w:lang w:bidi="ar"/>
        </w:rPr>
        <w:t>款对竞争性比选文件所作的澄清、修改，构成竞争性比选文件的组成部分。</w:t>
      </w:r>
    </w:p>
    <w:p>
      <w:pPr>
        <w:pStyle w:val="5"/>
        <w:widowControl/>
        <w:spacing w:before="0" w:after="0" w:line="300" w:lineRule="exact"/>
        <w:rPr>
          <w:rFonts w:ascii="宋体" w:hAnsi="宋体"/>
          <w:kern w:val="2"/>
          <w:sz w:val="21"/>
          <w:szCs w:val="21"/>
        </w:rPr>
      </w:pPr>
      <w:bookmarkStart w:id="295" w:name="_Toc40455287"/>
      <w:bookmarkEnd w:id="295"/>
      <w:bookmarkStart w:id="296" w:name="_Toc287607762"/>
      <w:bookmarkEnd w:id="296"/>
      <w:bookmarkStart w:id="297" w:name="_Toc32674"/>
      <w:bookmarkEnd w:id="297"/>
      <w:bookmarkStart w:id="298" w:name="_Toc277082568"/>
      <w:bookmarkEnd w:id="298"/>
      <w:bookmarkStart w:id="299" w:name="_Toc224103333"/>
      <w:bookmarkEnd w:id="299"/>
      <w:bookmarkStart w:id="300" w:name="_Toc40455660"/>
      <w:bookmarkEnd w:id="300"/>
      <w:bookmarkStart w:id="301" w:name="_Toc40780269"/>
      <w:bookmarkEnd w:id="301"/>
      <w:bookmarkStart w:id="302" w:name="_Toc200513142"/>
      <w:bookmarkEnd w:id="302"/>
      <w:bookmarkStart w:id="303" w:name="_Toc4661921"/>
      <w:bookmarkEnd w:id="303"/>
      <w:bookmarkStart w:id="304" w:name="_Toc4661443"/>
      <w:bookmarkEnd w:id="304"/>
      <w:bookmarkStart w:id="305" w:name="_Toc4662157"/>
      <w:bookmarkEnd w:id="305"/>
      <w:bookmarkStart w:id="306" w:name="_Toc4661685"/>
      <w:r>
        <w:rPr>
          <w:rFonts w:hint="eastAsia" w:ascii="宋体" w:hAnsi="宋体"/>
          <w:kern w:val="2"/>
          <w:sz w:val="21"/>
          <w:szCs w:val="21"/>
        </w:rPr>
        <w:t xml:space="preserve">2.2  </w:t>
      </w:r>
      <w:bookmarkEnd w:id="306"/>
      <w:r>
        <w:rPr>
          <w:rFonts w:hint="eastAsia" w:ascii="宋体" w:hAnsi="宋体" w:cs="宋体"/>
          <w:kern w:val="2"/>
          <w:sz w:val="21"/>
          <w:szCs w:val="21"/>
        </w:rPr>
        <w:t>竞争性比选文件的澄清</w:t>
      </w:r>
    </w:p>
    <w:p>
      <w:pPr>
        <w:autoSpaceDE w:val="0"/>
        <w:autoSpaceDN w:val="0"/>
        <w:adjustRightInd w:val="0"/>
        <w:spacing w:line="300" w:lineRule="exact"/>
        <w:ind w:firstLine="420"/>
        <w:rPr>
          <w:rFonts w:ascii="宋体" w:hAnsi="宋体" w:cs="MingLiU"/>
          <w:kern w:val="0"/>
          <w:szCs w:val="21"/>
        </w:rPr>
      </w:pPr>
      <w:r>
        <w:rPr>
          <w:rFonts w:hint="eastAsia" w:ascii="宋体" w:hAnsi="宋体" w:cs="Calibri"/>
          <w:kern w:val="0"/>
          <w:szCs w:val="21"/>
          <w:lang w:bidi="ar"/>
        </w:rPr>
        <w:t xml:space="preserve">2.2.1  </w:t>
      </w:r>
      <w:r>
        <w:rPr>
          <w:rFonts w:hint="eastAsia" w:ascii="宋体" w:hAnsi="宋体" w:cs="宋体"/>
          <w:kern w:val="0"/>
          <w:szCs w:val="21"/>
          <w:lang w:bidi="ar"/>
        </w:rPr>
        <w:t>报价人应仔细阅读和检查竞争性比选文件的全部内容。如发现缺页或附件不全，应及时向采购人提出，以便补齐。如有疑问，应在报价人须知前附表规定的时间前在重庆市公共资源交易网</w:t>
      </w:r>
      <w:r>
        <w:fldChar w:fldCharType="begin"/>
      </w:r>
      <w:r>
        <w:instrText xml:space="preserve">HYPERLINK "http://www.cpcb.com.cn/Front.aspx/Zydy"</w:instrText>
      </w:r>
      <w:r>
        <w:fldChar w:fldCharType="separate"/>
      </w:r>
      <w:r>
        <w:rPr>
          <w:rStyle w:val="49"/>
          <w:rFonts w:hint="eastAsia" w:ascii="宋体" w:hAnsi="宋体" w:cs="宋体"/>
          <w:kern w:val="0"/>
        </w:rPr>
        <w:t>报价人</w:t>
      </w:r>
      <w:r>
        <w:rPr>
          <w:rStyle w:val="49"/>
          <w:rFonts w:hint="eastAsia" w:ascii="宋体" w:hAnsi="宋体" w:eastAsia="宋体" w:cs="宋体"/>
          <w:kern w:val="0"/>
        </w:rPr>
        <w:t>质疑区</w:t>
      </w:r>
      <w:r>
        <w:rPr>
          <w:rStyle w:val="49"/>
          <w:rFonts w:ascii="宋体" w:hAnsi="宋体" w:eastAsia="宋体" w:cs="宋体"/>
          <w:kern w:val="0"/>
        </w:rPr>
        <w:fldChar w:fldCharType="end"/>
      </w:r>
      <w:r>
        <w:rPr>
          <w:rFonts w:hint="eastAsia" w:ascii="宋体" w:hAnsi="宋体" w:cs="宋体"/>
          <w:kern w:val="0"/>
          <w:szCs w:val="21"/>
          <w:lang w:bidi="ar"/>
        </w:rPr>
        <w:t>提交质疑，要求采购人对竞争性比选文件予以澄清。</w:t>
      </w:r>
    </w:p>
    <w:p>
      <w:pPr>
        <w:autoSpaceDE w:val="0"/>
        <w:autoSpaceDN w:val="0"/>
        <w:adjustRightInd w:val="0"/>
        <w:spacing w:line="300" w:lineRule="exact"/>
        <w:ind w:firstLine="420"/>
        <w:rPr>
          <w:rFonts w:ascii="宋体" w:hAnsi="宋体" w:cs="MingLiU"/>
          <w:kern w:val="0"/>
          <w:szCs w:val="21"/>
        </w:rPr>
      </w:pPr>
      <w:r>
        <w:rPr>
          <w:rFonts w:hint="eastAsia" w:ascii="宋体" w:hAnsi="宋体" w:cs="Calibri"/>
          <w:kern w:val="0"/>
          <w:szCs w:val="21"/>
          <w:lang w:bidi="ar"/>
        </w:rPr>
        <w:t xml:space="preserve">2.2.2  </w:t>
      </w:r>
      <w:r>
        <w:rPr>
          <w:rFonts w:hint="eastAsia" w:ascii="宋体" w:hAnsi="宋体" w:cs="宋体"/>
          <w:kern w:val="0"/>
          <w:szCs w:val="21"/>
          <w:lang w:bidi="ar"/>
        </w:rPr>
        <w:t>竞争性比选文件的澄清将在报价人须知前附表规定的投标截止时间</w:t>
      </w:r>
      <w:r>
        <w:rPr>
          <w:rFonts w:hint="eastAsia" w:ascii="宋体" w:hAnsi="宋体" w:cs="Calibri"/>
          <w:kern w:val="0"/>
          <w:szCs w:val="21"/>
          <w:lang w:bidi="ar"/>
        </w:rPr>
        <w:t>15</w:t>
      </w:r>
      <w:r>
        <w:rPr>
          <w:rFonts w:hint="eastAsia" w:ascii="宋体" w:hAnsi="宋体" w:cs="宋体"/>
          <w:kern w:val="0"/>
          <w:szCs w:val="21"/>
          <w:lang w:bidi="ar"/>
        </w:rPr>
        <w:t>天前在重庆市公共资源交易网答疑区发布答疑，但不指明澄清问题的来源。如果澄清发出的时间距投标截止时间不足</w:t>
      </w:r>
      <w:r>
        <w:rPr>
          <w:rFonts w:hint="eastAsia" w:ascii="宋体" w:hAnsi="宋体" w:cs="Calibri"/>
          <w:kern w:val="0"/>
          <w:szCs w:val="21"/>
          <w:lang w:bidi="ar"/>
        </w:rPr>
        <w:t>15</w:t>
      </w:r>
      <w:r>
        <w:rPr>
          <w:rFonts w:hint="eastAsia" w:ascii="宋体" w:hAnsi="宋体" w:cs="宋体"/>
          <w:kern w:val="0"/>
          <w:szCs w:val="21"/>
          <w:lang w:bidi="ar"/>
        </w:rPr>
        <w:t>天，相应延长投标截止时间。</w:t>
      </w:r>
    </w:p>
    <w:p>
      <w:pPr>
        <w:autoSpaceDE w:val="0"/>
        <w:autoSpaceDN w:val="0"/>
        <w:adjustRightInd w:val="0"/>
        <w:spacing w:line="300" w:lineRule="exact"/>
        <w:ind w:firstLine="420" w:firstLineChars="200"/>
        <w:jc w:val="left"/>
        <w:rPr>
          <w:rFonts w:ascii="宋体" w:hAnsi="宋体" w:cs="MingLiU"/>
          <w:kern w:val="0"/>
          <w:szCs w:val="21"/>
        </w:rPr>
      </w:pPr>
      <w:r>
        <w:rPr>
          <w:rFonts w:hint="eastAsia" w:ascii="宋体" w:hAnsi="宋体" w:cs="Calibri"/>
          <w:kern w:val="0"/>
          <w:position w:val="-2"/>
          <w:szCs w:val="21"/>
          <w:lang w:bidi="ar"/>
        </w:rPr>
        <w:t xml:space="preserve">2.2.3  </w:t>
      </w:r>
      <w:r>
        <w:rPr>
          <w:rFonts w:hint="eastAsia" w:ascii="宋体" w:hAnsi="宋体" w:cs="宋体"/>
          <w:kern w:val="0"/>
          <w:szCs w:val="21"/>
          <w:lang w:bidi="ar"/>
        </w:rPr>
        <w:t>补遗内容可能影响比选响应文件编制的，须在投标截止时间2</w:t>
      </w:r>
      <w:r>
        <w:rPr>
          <w:rFonts w:hint="eastAsia" w:ascii="宋体" w:hAnsi="宋体" w:cs="MingLiU"/>
          <w:kern w:val="0"/>
          <w:szCs w:val="21"/>
          <w:lang w:bidi="ar"/>
        </w:rPr>
        <w:t>日前发布，发布时间至投标截止时间不足2日的，须相应延后投标截止时间。</w:t>
      </w:r>
    </w:p>
    <w:p>
      <w:pPr>
        <w:autoSpaceDE w:val="0"/>
        <w:autoSpaceDN w:val="0"/>
        <w:adjustRightInd w:val="0"/>
        <w:spacing w:line="300" w:lineRule="exact"/>
        <w:ind w:firstLine="420" w:firstLineChars="200"/>
        <w:jc w:val="left"/>
        <w:rPr>
          <w:rFonts w:ascii="宋体" w:hAnsi="宋体" w:cs="MingLiU"/>
          <w:kern w:val="0"/>
          <w:szCs w:val="21"/>
        </w:rPr>
      </w:pPr>
      <w:r>
        <w:rPr>
          <w:rFonts w:hint="eastAsia" w:ascii="宋体" w:hAnsi="宋体" w:cs="MingLiU"/>
          <w:kern w:val="0"/>
          <w:szCs w:val="21"/>
          <w:lang w:bidi="ar"/>
        </w:rPr>
        <w:t xml:space="preserve">2.2.4  </w:t>
      </w:r>
      <w:r>
        <w:rPr>
          <w:rFonts w:hint="eastAsia" w:ascii="宋体" w:hAnsi="宋体" w:cs="宋体"/>
          <w:kern w:val="0"/>
          <w:position w:val="-2"/>
          <w:szCs w:val="21"/>
          <w:lang w:bidi="ar"/>
        </w:rPr>
        <w:t>报价人对竞争性比选文件和答疑补遗有异议的，应当在投标截止时间</w:t>
      </w:r>
      <w:r>
        <w:rPr>
          <w:rFonts w:hint="eastAsia" w:ascii="宋体" w:hAnsi="宋体" w:cs="Calibri"/>
          <w:kern w:val="0"/>
          <w:position w:val="-2"/>
          <w:szCs w:val="21"/>
          <w:lang w:bidi="ar"/>
        </w:rPr>
        <w:t>2日前，</w:t>
      </w:r>
      <w:r>
        <w:rPr>
          <w:rFonts w:hint="eastAsia" w:ascii="宋体" w:hAnsi="宋体" w:cs="宋体"/>
          <w:kern w:val="0"/>
          <w:position w:val="-2"/>
          <w:szCs w:val="21"/>
          <w:lang w:bidi="ar"/>
        </w:rPr>
        <w:t>以书面形式通知采购人</w:t>
      </w:r>
      <w:r>
        <w:rPr>
          <w:rFonts w:hint="eastAsia" w:ascii="宋体" w:hAnsi="宋体" w:cs="宋体"/>
          <w:kern w:val="0"/>
          <w:szCs w:val="21"/>
          <w:lang w:bidi="ar"/>
        </w:rPr>
        <w:t>或竞争性比选代理机构。采购人应当自收到异议之日起</w:t>
      </w:r>
      <w:r>
        <w:rPr>
          <w:rFonts w:hint="eastAsia" w:ascii="宋体" w:hAnsi="宋体" w:cs="MingLiU"/>
          <w:kern w:val="0"/>
          <w:szCs w:val="21"/>
          <w:lang w:bidi="ar"/>
        </w:rPr>
        <w:t>1日内做出答复，并将答复内容以补遗的形式在重庆高速集团官网及重庆高速集团招投标管理平台上</w:t>
      </w:r>
      <w:r>
        <w:rPr>
          <w:rFonts w:hint="eastAsia" w:ascii="宋体" w:hAnsi="宋体" w:cs="宋体"/>
          <w:kern w:val="0"/>
          <w:szCs w:val="21"/>
          <w:lang w:bidi="ar"/>
        </w:rPr>
        <w:t>发布。补遗内容可能影响比选响应文件编制的，须在投标截止时间</w:t>
      </w:r>
      <w:r>
        <w:rPr>
          <w:rFonts w:hint="eastAsia" w:ascii="宋体" w:hAnsi="宋体" w:cs="MingLiU"/>
          <w:kern w:val="0"/>
          <w:szCs w:val="21"/>
          <w:lang w:bidi="ar"/>
        </w:rPr>
        <w:t>1日前发布，发布时间至投标截止时间不足1日的，须相应延后投标截止时间。</w:t>
      </w:r>
    </w:p>
    <w:p>
      <w:pPr>
        <w:pStyle w:val="5"/>
        <w:widowControl/>
        <w:spacing w:before="0" w:after="0" w:line="300" w:lineRule="exact"/>
        <w:rPr>
          <w:rFonts w:ascii="宋体" w:hAnsi="宋体" w:cs="MingLiU"/>
          <w:b w:val="0"/>
          <w:sz w:val="21"/>
          <w:szCs w:val="21"/>
        </w:rPr>
      </w:pPr>
      <w:bookmarkStart w:id="307" w:name="_Toc200513143"/>
      <w:bookmarkEnd w:id="307"/>
      <w:bookmarkStart w:id="308" w:name="_Toc24909"/>
      <w:bookmarkEnd w:id="308"/>
      <w:bookmarkStart w:id="309" w:name="_Toc4661686"/>
      <w:bookmarkEnd w:id="309"/>
      <w:bookmarkStart w:id="310" w:name="_Toc40780270"/>
      <w:bookmarkEnd w:id="310"/>
      <w:bookmarkStart w:id="311" w:name="_Toc224103334"/>
      <w:bookmarkEnd w:id="311"/>
      <w:bookmarkStart w:id="312" w:name="_Toc277082569"/>
      <w:bookmarkEnd w:id="312"/>
      <w:bookmarkStart w:id="313" w:name="_Toc287607763"/>
      <w:bookmarkEnd w:id="313"/>
      <w:bookmarkStart w:id="314" w:name="_Toc4661444"/>
      <w:bookmarkEnd w:id="314"/>
      <w:bookmarkStart w:id="315" w:name="_Toc40455288"/>
      <w:bookmarkEnd w:id="315"/>
      <w:bookmarkStart w:id="316" w:name="_Toc4661922"/>
      <w:bookmarkEnd w:id="316"/>
      <w:bookmarkStart w:id="317" w:name="_Toc4662158"/>
      <w:bookmarkEnd w:id="317"/>
      <w:bookmarkStart w:id="318" w:name="_Toc40455661"/>
      <w:r>
        <w:rPr>
          <w:rFonts w:hint="eastAsia" w:ascii="宋体" w:hAnsi="宋体" w:cs="MingLiU"/>
          <w:b w:val="0"/>
          <w:sz w:val="21"/>
          <w:szCs w:val="21"/>
        </w:rPr>
        <w:t>1.11.2.严禁转包、转让中标项目，也不得将中标项目肢解后分别转包、转让，否则采购人有权取消中标人资格。</w:t>
      </w:r>
    </w:p>
    <w:p>
      <w:pPr>
        <w:pStyle w:val="5"/>
        <w:widowControl/>
        <w:spacing w:before="0" w:after="0" w:line="300" w:lineRule="exact"/>
        <w:rPr>
          <w:rFonts w:ascii="宋体" w:hAnsi="宋体"/>
          <w:kern w:val="2"/>
          <w:sz w:val="21"/>
          <w:szCs w:val="21"/>
        </w:rPr>
      </w:pPr>
      <w:r>
        <w:rPr>
          <w:rFonts w:hint="eastAsia" w:ascii="宋体" w:hAnsi="宋体"/>
          <w:kern w:val="2"/>
          <w:sz w:val="21"/>
          <w:szCs w:val="21"/>
        </w:rPr>
        <w:t xml:space="preserve">2.3  </w:t>
      </w:r>
      <w:bookmarkEnd w:id="318"/>
      <w:r>
        <w:rPr>
          <w:rFonts w:hint="eastAsia" w:ascii="宋体" w:hAnsi="宋体" w:cs="宋体"/>
          <w:kern w:val="2"/>
          <w:sz w:val="21"/>
          <w:szCs w:val="21"/>
        </w:rPr>
        <w:t>投标截止时间</w:t>
      </w:r>
    </w:p>
    <w:p>
      <w:pPr>
        <w:autoSpaceDE w:val="0"/>
        <w:autoSpaceDN w:val="0"/>
        <w:adjustRightInd w:val="0"/>
        <w:spacing w:line="300" w:lineRule="exact"/>
        <w:ind w:firstLine="420" w:firstLineChars="200"/>
        <w:jc w:val="left"/>
        <w:rPr>
          <w:rFonts w:ascii="宋体" w:hAnsi="宋体" w:cs="MingLiU"/>
          <w:kern w:val="0"/>
          <w:szCs w:val="21"/>
        </w:rPr>
      </w:pPr>
      <w:r>
        <w:rPr>
          <w:rFonts w:hint="eastAsia" w:ascii="宋体" w:hAnsi="宋体" w:cs="宋体"/>
          <w:kern w:val="0"/>
          <w:szCs w:val="21"/>
          <w:lang w:bidi="ar"/>
        </w:rPr>
        <w:t>详见报价人须知前附表。</w:t>
      </w:r>
    </w:p>
    <w:p>
      <w:pPr>
        <w:pStyle w:val="4"/>
        <w:widowControl/>
        <w:spacing w:before="0" w:after="0" w:line="300" w:lineRule="exact"/>
        <w:rPr>
          <w:rFonts w:ascii="宋体" w:hAnsi="宋体"/>
          <w:sz w:val="21"/>
          <w:szCs w:val="21"/>
        </w:rPr>
      </w:pPr>
      <w:bookmarkStart w:id="319" w:name="_Toc277082570"/>
      <w:bookmarkEnd w:id="319"/>
      <w:bookmarkStart w:id="320" w:name="_Toc224103335"/>
      <w:bookmarkEnd w:id="320"/>
      <w:bookmarkStart w:id="321" w:name="_Toc4661923"/>
      <w:bookmarkEnd w:id="321"/>
      <w:bookmarkStart w:id="322" w:name="_Toc4662159"/>
      <w:bookmarkEnd w:id="322"/>
      <w:bookmarkStart w:id="323" w:name="_Toc40455289"/>
      <w:bookmarkEnd w:id="323"/>
      <w:bookmarkStart w:id="324" w:name="_Toc6118"/>
      <w:bookmarkEnd w:id="324"/>
      <w:bookmarkStart w:id="325" w:name="_Toc287607764"/>
      <w:bookmarkEnd w:id="325"/>
      <w:bookmarkStart w:id="326" w:name="_Toc22553"/>
      <w:bookmarkEnd w:id="326"/>
      <w:bookmarkStart w:id="327" w:name="_Toc14104"/>
      <w:bookmarkEnd w:id="327"/>
      <w:bookmarkStart w:id="328" w:name="_Toc4661445"/>
      <w:bookmarkEnd w:id="328"/>
      <w:bookmarkStart w:id="329" w:name="_Toc200513144"/>
      <w:bookmarkEnd w:id="329"/>
      <w:bookmarkStart w:id="330" w:name="_Toc40455662"/>
      <w:bookmarkEnd w:id="330"/>
      <w:bookmarkStart w:id="331" w:name="_Toc9348"/>
      <w:bookmarkEnd w:id="331"/>
      <w:bookmarkStart w:id="332" w:name="_Toc6279"/>
      <w:bookmarkEnd w:id="332"/>
      <w:bookmarkStart w:id="333" w:name="_Toc4661687"/>
      <w:bookmarkEnd w:id="333"/>
      <w:bookmarkStart w:id="334" w:name="_Toc26853"/>
      <w:bookmarkStart w:id="335" w:name="_Toc23367"/>
      <w:r>
        <w:rPr>
          <w:rFonts w:hint="eastAsia" w:ascii="宋体" w:hAnsi="宋体"/>
          <w:sz w:val="21"/>
          <w:szCs w:val="21"/>
        </w:rPr>
        <w:t xml:space="preserve">3.  </w:t>
      </w:r>
      <w:bookmarkEnd w:id="334"/>
      <w:r>
        <w:rPr>
          <w:rFonts w:hint="eastAsia" w:ascii="黑体" w:hAnsi="宋体" w:cs="黑体"/>
          <w:sz w:val="21"/>
          <w:szCs w:val="21"/>
        </w:rPr>
        <w:t>比选响应文件</w:t>
      </w:r>
      <w:bookmarkEnd w:id="335"/>
    </w:p>
    <w:p>
      <w:pPr>
        <w:pStyle w:val="5"/>
        <w:widowControl/>
        <w:spacing w:before="0" w:after="0" w:line="300" w:lineRule="exact"/>
        <w:rPr>
          <w:rFonts w:ascii="宋体" w:hAnsi="宋体"/>
          <w:kern w:val="2"/>
          <w:sz w:val="21"/>
          <w:szCs w:val="21"/>
        </w:rPr>
      </w:pPr>
      <w:bookmarkStart w:id="336" w:name="_Toc40780272"/>
      <w:bookmarkEnd w:id="336"/>
      <w:bookmarkStart w:id="337" w:name="_Toc4661688"/>
      <w:bookmarkEnd w:id="337"/>
      <w:bookmarkStart w:id="338" w:name="_Toc200513145"/>
      <w:bookmarkEnd w:id="338"/>
      <w:bookmarkStart w:id="339" w:name="_Toc4662160"/>
      <w:bookmarkEnd w:id="339"/>
      <w:bookmarkStart w:id="340" w:name="_Toc40455663"/>
      <w:bookmarkEnd w:id="340"/>
      <w:bookmarkStart w:id="341" w:name="_Toc277082571"/>
      <w:bookmarkEnd w:id="341"/>
      <w:bookmarkStart w:id="342" w:name="_Toc40455290"/>
      <w:bookmarkEnd w:id="342"/>
      <w:bookmarkStart w:id="343" w:name="_Toc32064"/>
      <w:bookmarkEnd w:id="343"/>
      <w:bookmarkStart w:id="344" w:name="_Toc287607765"/>
      <w:bookmarkEnd w:id="344"/>
      <w:bookmarkStart w:id="345" w:name="_Toc4661446"/>
      <w:bookmarkEnd w:id="345"/>
      <w:bookmarkStart w:id="346" w:name="_Toc224103336"/>
      <w:bookmarkEnd w:id="346"/>
      <w:bookmarkStart w:id="347" w:name="_Toc4661924"/>
      <w:r>
        <w:rPr>
          <w:rFonts w:hint="eastAsia" w:ascii="宋体" w:hAnsi="宋体"/>
          <w:kern w:val="2"/>
          <w:sz w:val="21"/>
          <w:szCs w:val="21"/>
        </w:rPr>
        <w:t xml:space="preserve">3.1  </w:t>
      </w:r>
      <w:bookmarkEnd w:id="347"/>
      <w:r>
        <w:rPr>
          <w:rFonts w:hint="eastAsia" w:ascii="宋体" w:hAnsi="宋体" w:cs="宋体"/>
          <w:kern w:val="2"/>
          <w:sz w:val="21"/>
          <w:szCs w:val="21"/>
        </w:rPr>
        <w:t>比选响应文件的组成</w:t>
      </w:r>
    </w:p>
    <w:p>
      <w:pPr>
        <w:autoSpaceDE w:val="0"/>
        <w:autoSpaceDN w:val="0"/>
        <w:adjustRightInd w:val="0"/>
        <w:spacing w:line="300" w:lineRule="exact"/>
        <w:ind w:firstLine="420" w:firstLineChars="200"/>
        <w:jc w:val="left"/>
        <w:rPr>
          <w:rFonts w:ascii="宋体" w:hAnsi="宋体" w:cs="MingLiU"/>
          <w:kern w:val="0"/>
          <w:szCs w:val="21"/>
        </w:rPr>
      </w:pPr>
      <w:r>
        <w:rPr>
          <w:rFonts w:hint="eastAsia" w:ascii="宋体" w:hAnsi="宋体" w:cs="Calibri"/>
          <w:kern w:val="0"/>
          <w:szCs w:val="21"/>
          <w:lang w:bidi="ar"/>
        </w:rPr>
        <w:t xml:space="preserve">3.1.1 </w:t>
      </w:r>
      <w:r>
        <w:rPr>
          <w:rFonts w:hint="eastAsia" w:ascii="宋体" w:hAnsi="宋体" w:cs="宋体"/>
          <w:kern w:val="0"/>
          <w:szCs w:val="21"/>
          <w:lang w:bidi="ar"/>
        </w:rPr>
        <w:t>比选响应文件应包括下列内容：</w:t>
      </w:r>
    </w:p>
    <w:p>
      <w:pPr>
        <w:spacing w:line="300" w:lineRule="exact"/>
        <w:ind w:firstLine="420" w:firstLineChars="200"/>
        <w:rPr>
          <w:rFonts w:ascii="宋体" w:hAnsi="宋体" w:cs="Calibri"/>
          <w:szCs w:val="21"/>
        </w:rPr>
      </w:pPr>
      <w:r>
        <w:rPr>
          <w:rFonts w:hint="eastAsia" w:ascii="宋体" w:hAnsi="宋体" w:cs="Calibri"/>
          <w:szCs w:val="21"/>
          <w:lang w:bidi="ar"/>
        </w:rPr>
        <w:t xml:space="preserve">3.1.1.1 </w:t>
      </w:r>
      <w:r>
        <w:rPr>
          <w:rFonts w:hint="eastAsia" w:ascii="宋体" w:hAnsi="宋体" w:cs="宋体"/>
          <w:szCs w:val="21"/>
          <w:lang w:bidi="ar"/>
        </w:rPr>
        <w:t>比选响应文件及报价人与采购人之间与投标有关的来往通知、函件和文件均应使用中文。</w:t>
      </w:r>
    </w:p>
    <w:p>
      <w:pPr>
        <w:spacing w:line="300" w:lineRule="exact"/>
        <w:ind w:firstLine="420" w:firstLineChars="200"/>
        <w:rPr>
          <w:rFonts w:ascii="宋体" w:hAnsi="宋体" w:cs="Calibri"/>
          <w:szCs w:val="21"/>
        </w:rPr>
      </w:pPr>
      <w:r>
        <w:rPr>
          <w:rFonts w:hint="eastAsia" w:ascii="宋体" w:hAnsi="宋体" w:cs="Calibri"/>
          <w:szCs w:val="21"/>
          <w:lang w:bidi="ar"/>
        </w:rPr>
        <w:t>3.1.1.2比选响应文件由以下内容组成：</w:t>
      </w:r>
    </w:p>
    <w:p>
      <w:pPr>
        <w:spacing w:line="300" w:lineRule="exact"/>
        <w:ind w:firstLine="420" w:firstLineChars="200"/>
        <w:rPr>
          <w:rFonts w:ascii="宋体" w:hAnsi="宋体" w:cs="Calibri"/>
          <w:szCs w:val="21"/>
        </w:rPr>
      </w:pPr>
      <w:r>
        <w:rPr>
          <w:rFonts w:hint="eastAsia" w:ascii="宋体" w:hAnsi="宋体" w:cs="宋体"/>
          <w:szCs w:val="21"/>
          <w:lang w:bidi="ar"/>
        </w:rPr>
        <w:t>详见第九章</w:t>
      </w:r>
    </w:p>
    <w:p>
      <w:pPr>
        <w:pStyle w:val="5"/>
        <w:widowControl/>
        <w:spacing w:before="0" w:after="0" w:line="300" w:lineRule="exact"/>
        <w:rPr>
          <w:rFonts w:ascii="宋体" w:hAnsi="宋体"/>
          <w:kern w:val="2"/>
          <w:sz w:val="21"/>
          <w:szCs w:val="21"/>
        </w:rPr>
      </w:pPr>
      <w:bookmarkStart w:id="348" w:name="_Toc40780273"/>
      <w:bookmarkEnd w:id="348"/>
      <w:bookmarkStart w:id="349" w:name="_Toc277082572"/>
      <w:bookmarkEnd w:id="349"/>
      <w:bookmarkStart w:id="350" w:name="_Toc27743"/>
      <w:bookmarkEnd w:id="350"/>
      <w:bookmarkStart w:id="351" w:name="_Toc4661447"/>
      <w:bookmarkEnd w:id="351"/>
      <w:bookmarkStart w:id="352" w:name="_Toc224103337"/>
      <w:bookmarkEnd w:id="352"/>
      <w:bookmarkStart w:id="353" w:name="_Toc287607766"/>
      <w:bookmarkEnd w:id="353"/>
      <w:bookmarkStart w:id="354" w:name="_Toc40455664"/>
      <w:bookmarkEnd w:id="354"/>
      <w:bookmarkStart w:id="355" w:name="_Toc4661925"/>
      <w:bookmarkEnd w:id="355"/>
      <w:bookmarkStart w:id="356" w:name="_Toc200513146"/>
      <w:bookmarkEnd w:id="356"/>
      <w:bookmarkStart w:id="357" w:name="_Toc40455291"/>
      <w:bookmarkEnd w:id="357"/>
      <w:bookmarkStart w:id="358" w:name="_Toc4661689"/>
      <w:bookmarkEnd w:id="358"/>
      <w:bookmarkStart w:id="359" w:name="_Toc4662161"/>
      <w:r>
        <w:rPr>
          <w:rFonts w:hint="eastAsia" w:ascii="宋体" w:hAnsi="宋体"/>
          <w:kern w:val="2"/>
          <w:sz w:val="21"/>
          <w:szCs w:val="21"/>
        </w:rPr>
        <w:t xml:space="preserve">3.2  </w:t>
      </w:r>
      <w:bookmarkEnd w:id="359"/>
      <w:r>
        <w:rPr>
          <w:rFonts w:hint="eastAsia" w:ascii="宋体" w:hAnsi="宋体" w:cs="宋体"/>
          <w:kern w:val="2"/>
          <w:sz w:val="21"/>
          <w:szCs w:val="21"/>
        </w:rPr>
        <w:t>投标报价</w:t>
      </w:r>
    </w:p>
    <w:p>
      <w:pPr>
        <w:spacing w:line="300" w:lineRule="exact"/>
        <w:ind w:firstLine="420" w:firstLineChars="200"/>
        <w:rPr>
          <w:rFonts w:ascii="宋体" w:hAnsi="宋体" w:cs="MingLiU"/>
          <w:kern w:val="0"/>
          <w:szCs w:val="21"/>
        </w:rPr>
      </w:pPr>
      <w:r>
        <w:rPr>
          <w:rFonts w:hint="eastAsia" w:ascii="宋体" w:hAnsi="宋体" w:cs="宋体"/>
          <w:kern w:val="0"/>
          <w:szCs w:val="21"/>
          <w:lang w:bidi="ar"/>
        </w:rPr>
        <w:t>见本章报价人须知前附表。</w:t>
      </w:r>
      <w:bookmarkStart w:id="360" w:name="_Toc4662162"/>
      <w:bookmarkEnd w:id="360"/>
      <w:bookmarkStart w:id="361" w:name="_Toc40455665"/>
      <w:bookmarkEnd w:id="361"/>
      <w:bookmarkStart w:id="362" w:name="_Toc200513147"/>
      <w:bookmarkEnd w:id="362"/>
      <w:bookmarkStart w:id="363" w:name="_Toc20908"/>
      <w:bookmarkEnd w:id="363"/>
      <w:bookmarkStart w:id="364" w:name="_Toc40780274"/>
      <w:bookmarkEnd w:id="364"/>
      <w:bookmarkStart w:id="365" w:name="_Toc4661448"/>
      <w:bookmarkEnd w:id="365"/>
      <w:bookmarkStart w:id="366" w:name="_Toc4661690"/>
      <w:bookmarkEnd w:id="366"/>
      <w:bookmarkStart w:id="367" w:name="_Toc287607767"/>
      <w:bookmarkEnd w:id="367"/>
      <w:bookmarkStart w:id="368" w:name="_Toc224103338"/>
      <w:bookmarkEnd w:id="368"/>
      <w:bookmarkStart w:id="369" w:name="_Toc277082573"/>
      <w:bookmarkEnd w:id="369"/>
      <w:bookmarkStart w:id="370" w:name="_Toc4661926"/>
      <w:bookmarkEnd w:id="370"/>
    </w:p>
    <w:p>
      <w:pPr>
        <w:pStyle w:val="5"/>
        <w:widowControl/>
        <w:spacing w:before="0" w:after="0" w:line="300" w:lineRule="exact"/>
        <w:rPr>
          <w:rFonts w:ascii="宋体" w:hAnsi="宋体"/>
          <w:kern w:val="2"/>
          <w:sz w:val="21"/>
          <w:szCs w:val="21"/>
        </w:rPr>
      </w:pPr>
      <w:bookmarkStart w:id="371" w:name="_Toc224103339"/>
      <w:bookmarkEnd w:id="371"/>
      <w:bookmarkStart w:id="372" w:name="_Toc4661691"/>
      <w:bookmarkEnd w:id="372"/>
      <w:bookmarkStart w:id="373" w:name="_Toc4661927"/>
      <w:bookmarkEnd w:id="373"/>
      <w:bookmarkStart w:id="374" w:name="_Toc4661449"/>
      <w:bookmarkEnd w:id="374"/>
      <w:bookmarkStart w:id="375" w:name="_Toc4662163"/>
      <w:bookmarkEnd w:id="375"/>
      <w:bookmarkStart w:id="376" w:name="_Toc40455666"/>
      <w:bookmarkEnd w:id="376"/>
      <w:bookmarkStart w:id="377" w:name="_Toc277082574"/>
      <w:bookmarkEnd w:id="377"/>
      <w:bookmarkStart w:id="378" w:name="_Toc40455293"/>
      <w:bookmarkEnd w:id="378"/>
      <w:bookmarkStart w:id="379" w:name="_Toc287607768"/>
      <w:bookmarkEnd w:id="379"/>
      <w:bookmarkStart w:id="380" w:name="_Toc40780275"/>
      <w:bookmarkEnd w:id="380"/>
      <w:bookmarkStart w:id="381" w:name="_Toc200513148"/>
      <w:bookmarkEnd w:id="381"/>
      <w:bookmarkStart w:id="382" w:name="_Toc25463"/>
      <w:r>
        <w:rPr>
          <w:rFonts w:hint="eastAsia" w:ascii="宋体" w:hAnsi="宋体"/>
          <w:kern w:val="2"/>
          <w:sz w:val="21"/>
          <w:szCs w:val="21"/>
        </w:rPr>
        <w:t xml:space="preserve">3.3  </w:t>
      </w:r>
      <w:bookmarkEnd w:id="382"/>
      <w:r>
        <w:rPr>
          <w:rFonts w:hint="eastAsia" w:ascii="宋体" w:hAnsi="宋体" w:cs="宋体"/>
          <w:kern w:val="2"/>
          <w:sz w:val="21"/>
          <w:szCs w:val="21"/>
        </w:rPr>
        <w:t>保证金</w:t>
      </w:r>
    </w:p>
    <w:p>
      <w:pPr>
        <w:autoSpaceDE w:val="0"/>
        <w:autoSpaceDN w:val="0"/>
        <w:adjustRightInd w:val="0"/>
        <w:spacing w:line="300" w:lineRule="exact"/>
        <w:ind w:firstLine="420" w:firstLineChars="200"/>
        <w:rPr>
          <w:rFonts w:ascii="宋体" w:hAnsi="宋体" w:cs="MingLiU"/>
          <w:kern w:val="0"/>
          <w:szCs w:val="21"/>
        </w:rPr>
      </w:pPr>
      <w:r>
        <w:rPr>
          <w:rFonts w:hint="eastAsia" w:ascii="宋体" w:hAnsi="宋体" w:cs="Calibri"/>
          <w:kern w:val="0"/>
          <w:szCs w:val="21"/>
          <w:lang w:bidi="ar"/>
        </w:rPr>
        <w:t xml:space="preserve">3.3.1  </w:t>
      </w:r>
      <w:r>
        <w:rPr>
          <w:rFonts w:hint="eastAsia" w:ascii="宋体" w:hAnsi="宋体" w:cs="宋体"/>
          <w:kern w:val="0"/>
          <w:szCs w:val="21"/>
          <w:lang w:bidi="ar"/>
        </w:rPr>
        <w:t>报价人在递交比选响应文件的同时，应按报价人须知前附表规定的金额、担保形式递交投标保证金，并作为其比选响应文件的组成部分。联合体投标的，其投标保证金由牵头人递交，并应符合报价人须知前附表的规定。</w:t>
      </w:r>
    </w:p>
    <w:p>
      <w:pPr>
        <w:autoSpaceDE w:val="0"/>
        <w:autoSpaceDN w:val="0"/>
        <w:adjustRightInd w:val="0"/>
        <w:spacing w:line="300" w:lineRule="exact"/>
        <w:ind w:left="13" w:leftChars="6" w:firstLine="403" w:firstLineChars="192"/>
        <w:jc w:val="left"/>
        <w:rPr>
          <w:rFonts w:ascii="宋体" w:hAnsi="宋体" w:cs="MingLiU"/>
          <w:kern w:val="0"/>
          <w:szCs w:val="21"/>
        </w:rPr>
      </w:pPr>
      <w:r>
        <w:rPr>
          <w:rFonts w:hint="eastAsia" w:ascii="宋体" w:hAnsi="宋体" w:cs="Calibri"/>
          <w:kern w:val="0"/>
          <w:szCs w:val="21"/>
          <w:lang w:bidi="ar"/>
        </w:rPr>
        <w:t xml:space="preserve">3.3.2  </w:t>
      </w:r>
      <w:r>
        <w:rPr>
          <w:rFonts w:hint="eastAsia" w:ascii="宋体" w:hAnsi="宋体" w:cs="宋体"/>
          <w:kern w:val="0"/>
          <w:szCs w:val="21"/>
          <w:lang w:bidi="ar"/>
        </w:rPr>
        <w:t>报价人不按本章第</w:t>
      </w:r>
      <w:r>
        <w:rPr>
          <w:rFonts w:hint="eastAsia" w:ascii="宋体" w:hAnsi="宋体" w:cs="Calibri"/>
          <w:kern w:val="0"/>
          <w:szCs w:val="21"/>
          <w:lang w:bidi="ar"/>
        </w:rPr>
        <w:t xml:space="preserve"> 3.4.1 </w:t>
      </w:r>
      <w:r>
        <w:rPr>
          <w:rFonts w:hint="eastAsia" w:ascii="宋体" w:hAnsi="宋体" w:cs="宋体"/>
          <w:kern w:val="0"/>
          <w:szCs w:val="21"/>
          <w:lang w:bidi="ar"/>
        </w:rPr>
        <w:t>项要求提交投标保证金的，其比选响应文件作否决投标处理。</w:t>
      </w:r>
    </w:p>
    <w:p>
      <w:pPr>
        <w:autoSpaceDE w:val="0"/>
        <w:autoSpaceDN w:val="0"/>
        <w:adjustRightInd w:val="0"/>
        <w:spacing w:line="300" w:lineRule="exact"/>
        <w:ind w:left="13" w:leftChars="6" w:firstLine="403" w:firstLineChars="192"/>
        <w:jc w:val="left"/>
        <w:rPr>
          <w:rFonts w:ascii="宋体" w:hAnsi="宋体" w:cs="MingLiU"/>
          <w:kern w:val="0"/>
          <w:szCs w:val="21"/>
        </w:rPr>
      </w:pPr>
      <w:r>
        <w:rPr>
          <w:rFonts w:hint="eastAsia" w:ascii="宋体" w:hAnsi="宋体" w:cs="Calibri"/>
          <w:kern w:val="0"/>
          <w:szCs w:val="21"/>
          <w:lang w:bidi="ar"/>
        </w:rPr>
        <w:t xml:space="preserve">3.3.3  </w:t>
      </w:r>
      <w:r>
        <w:rPr>
          <w:rFonts w:hint="eastAsia" w:ascii="宋体" w:hAnsi="宋体" w:cs="宋体"/>
          <w:kern w:val="0"/>
          <w:szCs w:val="21"/>
          <w:lang w:bidi="ar"/>
        </w:rPr>
        <w:t>投标</w:t>
      </w:r>
      <w:r>
        <w:rPr>
          <w:rFonts w:hint="eastAsia" w:ascii="宋体" w:hAnsi="宋体" w:cs="宋体"/>
          <w:kern w:val="0"/>
          <w:position w:val="-2"/>
          <w:szCs w:val="21"/>
          <w:lang w:bidi="ar"/>
        </w:rPr>
        <w:t>保证金</w:t>
      </w:r>
      <w:r>
        <w:rPr>
          <w:rFonts w:hint="eastAsia" w:ascii="宋体" w:hAnsi="宋体" w:cs="宋体"/>
          <w:kern w:val="0"/>
          <w:szCs w:val="21"/>
          <w:lang w:bidi="ar"/>
        </w:rPr>
        <w:t>退还：见报价人须知前附表</w:t>
      </w:r>
      <w:r>
        <w:rPr>
          <w:rFonts w:hint="eastAsia" w:ascii="宋体" w:hAnsi="宋体" w:cs="宋体"/>
          <w:kern w:val="0"/>
          <w:position w:val="-2"/>
          <w:szCs w:val="21"/>
          <w:lang w:bidi="ar"/>
        </w:rPr>
        <w:t>。</w:t>
      </w:r>
    </w:p>
    <w:p>
      <w:pPr>
        <w:autoSpaceDE w:val="0"/>
        <w:autoSpaceDN w:val="0"/>
        <w:adjustRightInd w:val="0"/>
        <w:spacing w:line="300" w:lineRule="exact"/>
        <w:ind w:firstLine="420" w:firstLineChars="200"/>
        <w:jc w:val="left"/>
        <w:rPr>
          <w:rFonts w:ascii="宋体" w:hAnsi="宋体" w:cs="MingLiU"/>
          <w:kern w:val="0"/>
          <w:szCs w:val="21"/>
        </w:rPr>
      </w:pPr>
      <w:r>
        <w:rPr>
          <w:rFonts w:hint="eastAsia" w:ascii="宋体" w:hAnsi="宋体" w:cs="Calibri"/>
          <w:kern w:val="0"/>
          <w:szCs w:val="21"/>
          <w:lang w:bidi="ar"/>
        </w:rPr>
        <w:t xml:space="preserve">3.3.4  </w:t>
      </w:r>
      <w:r>
        <w:rPr>
          <w:rFonts w:hint="eastAsia" w:ascii="宋体" w:hAnsi="宋体" w:cs="宋体"/>
          <w:kern w:val="0"/>
          <w:szCs w:val="21"/>
          <w:lang w:bidi="ar"/>
        </w:rPr>
        <w:t>有下列情形之一的，投标保证金将不予退还：</w:t>
      </w:r>
    </w:p>
    <w:p>
      <w:pPr>
        <w:autoSpaceDE w:val="0"/>
        <w:autoSpaceDN w:val="0"/>
        <w:adjustRightInd w:val="0"/>
        <w:spacing w:line="300" w:lineRule="exact"/>
        <w:ind w:firstLine="420" w:firstLineChars="200"/>
        <w:jc w:val="left"/>
        <w:rPr>
          <w:rFonts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1</w:t>
      </w:r>
      <w:r>
        <w:rPr>
          <w:rFonts w:hint="eastAsia" w:ascii="宋体" w:hAnsi="宋体" w:cs="宋体"/>
          <w:kern w:val="0"/>
          <w:szCs w:val="21"/>
          <w:lang w:bidi="ar"/>
        </w:rPr>
        <w:t>）报价人在规定的投标有效期内撤销或修改其比选响应文件；</w:t>
      </w:r>
    </w:p>
    <w:p>
      <w:pPr>
        <w:autoSpaceDE w:val="0"/>
        <w:autoSpaceDN w:val="0"/>
        <w:adjustRightInd w:val="0"/>
        <w:spacing w:line="300" w:lineRule="exact"/>
        <w:ind w:firstLine="420" w:firstLineChars="200"/>
        <w:jc w:val="left"/>
        <w:rPr>
          <w:rFonts w:ascii="宋体" w:hAnsi="宋体" w:cs="MingLiU"/>
          <w:kern w:val="0"/>
          <w:szCs w:val="21"/>
        </w:rPr>
      </w:pPr>
      <w:r>
        <w:rPr>
          <w:rFonts w:hint="eastAsia" w:ascii="宋体" w:hAnsi="宋体" w:cs="宋体"/>
          <w:kern w:val="0"/>
          <w:szCs w:val="21"/>
          <w:lang w:bidi="ar"/>
        </w:rPr>
        <w:t>（</w:t>
      </w:r>
      <w:r>
        <w:rPr>
          <w:rFonts w:hint="eastAsia" w:ascii="宋体" w:hAnsi="宋体" w:cs="Calibri"/>
          <w:kern w:val="0"/>
          <w:szCs w:val="21"/>
          <w:lang w:bidi="ar"/>
        </w:rPr>
        <w:t>2</w:t>
      </w:r>
      <w:r>
        <w:rPr>
          <w:rFonts w:hint="eastAsia" w:ascii="宋体" w:hAnsi="宋体" w:cs="宋体"/>
          <w:kern w:val="0"/>
          <w:szCs w:val="21"/>
          <w:lang w:bidi="ar"/>
        </w:rPr>
        <w:t>）中标人在收到中标通知书后，无正当理由拒签合同协议书或未按竞争性比选文件规定提交履约担保；</w:t>
      </w:r>
    </w:p>
    <w:p>
      <w:pPr>
        <w:autoSpaceDE w:val="0"/>
        <w:autoSpaceDN w:val="0"/>
        <w:adjustRightInd w:val="0"/>
        <w:spacing w:line="300" w:lineRule="exact"/>
        <w:ind w:firstLine="420" w:firstLineChars="200"/>
        <w:jc w:val="left"/>
        <w:rPr>
          <w:rFonts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3）法律法规和本竞争性比选文件规定的其他情形。</w:t>
      </w:r>
    </w:p>
    <w:p>
      <w:pPr>
        <w:pStyle w:val="5"/>
        <w:widowControl/>
        <w:spacing w:before="0" w:after="0" w:line="300" w:lineRule="exact"/>
        <w:rPr>
          <w:rFonts w:ascii="宋体" w:hAnsi="宋体"/>
          <w:kern w:val="2"/>
          <w:sz w:val="21"/>
          <w:szCs w:val="21"/>
        </w:rPr>
      </w:pPr>
      <w:bookmarkStart w:id="383" w:name="_Toc4661692"/>
      <w:bookmarkEnd w:id="383"/>
      <w:bookmarkStart w:id="384" w:name="_Toc7158"/>
      <w:bookmarkEnd w:id="384"/>
      <w:bookmarkStart w:id="385" w:name="_Toc4662164"/>
      <w:bookmarkEnd w:id="385"/>
      <w:bookmarkStart w:id="386" w:name="_Toc4661928"/>
      <w:bookmarkEnd w:id="386"/>
      <w:bookmarkStart w:id="387" w:name="_Toc224103341"/>
      <w:bookmarkEnd w:id="387"/>
      <w:bookmarkStart w:id="388" w:name="_Toc40780276"/>
      <w:bookmarkEnd w:id="388"/>
      <w:bookmarkStart w:id="389" w:name="_Toc40455294"/>
      <w:bookmarkEnd w:id="389"/>
      <w:bookmarkStart w:id="390" w:name="_Toc200513150"/>
      <w:bookmarkEnd w:id="390"/>
      <w:bookmarkStart w:id="391" w:name="_Toc40455667"/>
      <w:bookmarkEnd w:id="391"/>
      <w:bookmarkStart w:id="392" w:name="_Toc277082576"/>
      <w:bookmarkEnd w:id="392"/>
      <w:bookmarkStart w:id="393" w:name="_Toc287607770"/>
      <w:bookmarkEnd w:id="393"/>
      <w:bookmarkStart w:id="394" w:name="_Toc4661450"/>
      <w:r>
        <w:rPr>
          <w:rFonts w:hint="eastAsia" w:ascii="宋体" w:hAnsi="宋体"/>
          <w:kern w:val="2"/>
          <w:sz w:val="21"/>
          <w:szCs w:val="21"/>
        </w:rPr>
        <w:t xml:space="preserve">3.4  </w:t>
      </w:r>
      <w:bookmarkEnd w:id="394"/>
      <w:r>
        <w:rPr>
          <w:rFonts w:hint="eastAsia" w:ascii="宋体" w:hAnsi="宋体" w:cs="宋体"/>
          <w:kern w:val="2"/>
          <w:sz w:val="21"/>
          <w:szCs w:val="21"/>
        </w:rPr>
        <w:t>资格审查资料</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宋体"/>
          <w:kern w:val="0"/>
          <w:szCs w:val="21"/>
          <w:lang w:bidi="ar"/>
        </w:rPr>
        <w:t>详见报价人须知前附表。</w:t>
      </w:r>
    </w:p>
    <w:p>
      <w:pPr>
        <w:pStyle w:val="5"/>
        <w:widowControl/>
        <w:spacing w:before="0" w:after="0" w:line="300" w:lineRule="exact"/>
        <w:rPr>
          <w:rFonts w:ascii="宋体" w:hAnsi="宋体"/>
          <w:kern w:val="2"/>
          <w:sz w:val="21"/>
          <w:szCs w:val="21"/>
        </w:rPr>
      </w:pPr>
      <w:bookmarkStart w:id="395" w:name="_Toc224103342"/>
      <w:bookmarkEnd w:id="395"/>
      <w:bookmarkStart w:id="396" w:name="_Toc4661451"/>
      <w:bookmarkEnd w:id="396"/>
      <w:bookmarkStart w:id="397" w:name="_Toc287607771"/>
      <w:bookmarkEnd w:id="397"/>
      <w:bookmarkStart w:id="398" w:name="_Toc40455295"/>
      <w:bookmarkEnd w:id="398"/>
      <w:bookmarkStart w:id="399" w:name="_Toc4662165"/>
      <w:bookmarkEnd w:id="399"/>
      <w:bookmarkStart w:id="400" w:name="_Toc40455668"/>
      <w:bookmarkEnd w:id="400"/>
      <w:bookmarkStart w:id="401" w:name="_Toc40780277"/>
      <w:bookmarkEnd w:id="401"/>
      <w:bookmarkStart w:id="402" w:name="_Toc277082577"/>
      <w:bookmarkEnd w:id="402"/>
      <w:bookmarkStart w:id="403" w:name="_Toc200513151"/>
      <w:bookmarkEnd w:id="403"/>
      <w:bookmarkStart w:id="404" w:name="_Toc4661693"/>
      <w:bookmarkEnd w:id="404"/>
      <w:bookmarkStart w:id="405" w:name="_Toc20488"/>
      <w:bookmarkEnd w:id="405"/>
      <w:bookmarkStart w:id="406" w:name="_Toc4661929"/>
      <w:r>
        <w:rPr>
          <w:rFonts w:hint="eastAsia" w:ascii="宋体" w:hAnsi="宋体"/>
          <w:kern w:val="2"/>
          <w:sz w:val="21"/>
          <w:szCs w:val="21"/>
        </w:rPr>
        <w:t xml:space="preserve">3.5 </w:t>
      </w:r>
      <w:bookmarkEnd w:id="406"/>
      <w:r>
        <w:rPr>
          <w:rFonts w:hint="eastAsia" w:ascii="宋体" w:hAnsi="宋体" w:cs="宋体"/>
          <w:kern w:val="2"/>
          <w:sz w:val="21"/>
          <w:szCs w:val="21"/>
        </w:rPr>
        <w:t>备选投标方案</w:t>
      </w:r>
    </w:p>
    <w:p>
      <w:pPr>
        <w:autoSpaceDE w:val="0"/>
        <w:autoSpaceDN w:val="0"/>
        <w:adjustRightInd w:val="0"/>
        <w:spacing w:line="300" w:lineRule="exact"/>
        <w:ind w:left="120" w:right="-109" w:firstLine="420"/>
        <w:jc w:val="left"/>
        <w:rPr>
          <w:rFonts w:ascii="宋体" w:hAnsi="宋体" w:cs="黑体"/>
          <w:kern w:val="0"/>
          <w:szCs w:val="21"/>
        </w:rPr>
      </w:pPr>
      <w:bookmarkStart w:id="407" w:name="_Toc287607772"/>
      <w:bookmarkEnd w:id="407"/>
      <w:bookmarkStart w:id="408" w:name="_Toc4661452"/>
      <w:bookmarkEnd w:id="408"/>
      <w:bookmarkStart w:id="409" w:name="_Toc224103343"/>
      <w:bookmarkEnd w:id="409"/>
      <w:bookmarkStart w:id="410" w:name="_Toc4661930"/>
      <w:bookmarkEnd w:id="410"/>
      <w:bookmarkStart w:id="411" w:name="_Toc4661694"/>
      <w:bookmarkEnd w:id="411"/>
      <w:bookmarkStart w:id="412" w:name="_Toc277082578"/>
      <w:bookmarkEnd w:id="412"/>
      <w:bookmarkStart w:id="413" w:name="_Toc200513152"/>
      <w:bookmarkEnd w:id="413"/>
      <w:bookmarkStart w:id="414" w:name="_Toc4662166"/>
      <w:r>
        <w:rPr>
          <w:rFonts w:hint="eastAsia" w:ascii="宋体" w:hAnsi="宋体" w:cs="宋体"/>
          <w:kern w:val="0"/>
          <w:szCs w:val="21"/>
          <w:lang w:bidi="ar"/>
        </w:rPr>
        <w:t>采购人不接受报价人的备选投标方案。</w:t>
      </w:r>
      <w:bookmarkEnd w:id="414"/>
    </w:p>
    <w:p>
      <w:pPr>
        <w:pStyle w:val="5"/>
        <w:widowControl/>
        <w:spacing w:before="0" w:after="0" w:line="300" w:lineRule="exact"/>
        <w:rPr>
          <w:rFonts w:ascii="宋体" w:hAnsi="宋体"/>
          <w:kern w:val="2"/>
          <w:sz w:val="21"/>
          <w:szCs w:val="21"/>
        </w:rPr>
      </w:pPr>
      <w:bookmarkStart w:id="415" w:name="_Toc26001"/>
      <w:bookmarkEnd w:id="415"/>
      <w:bookmarkStart w:id="416" w:name="_Toc40780278"/>
      <w:bookmarkEnd w:id="416"/>
      <w:bookmarkStart w:id="417" w:name="_Toc40455669"/>
      <w:bookmarkEnd w:id="417"/>
      <w:bookmarkStart w:id="418" w:name="_Toc40455296"/>
      <w:r>
        <w:rPr>
          <w:rFonts w:hint="eastAsia" w:ascii="宋体" w:hAnsi="宋体"/>
          <w:kern w:val="2"/>
          <w:sz w:val="21"/>
          <w:szCs w:val="21"/>
        </w:rPr>
        <w:t>3</w:t>
      </w:r>
      <w:bookmarkEnd w:id="418"/>
      <w:r>
        <w:rPr>
          <w:rFonts w:hint="eastAsia" w:ascii="宋体" w:hAnsi="宋体"/>
          <w:kern w:val="2"/>
          <w:sz w:val="21"/>
          <w:szCs w:val="21"/>
        </w:rPr>
        <w:t xml:space="preserve">.6  </w:t>
      </w:r>
      <w:r>
        <w:rPr>
          <w:rFonts w:hint="eastAsia" w:ascii="宋体" w:hAnsi="宋体" w:cs="宋体"/>
          <w:kern w:val="2"/>
          <w:sz w:val="21"/>
          <w:szCs w:val="21"/>
        </w:rPr>
        <w:t>比选响应文件的编制</w:t>
      </w:r>
    </w:p>
    <w:p>
      <w:pPr>
        <w:autoSpaceDE w:val="0"/>
        <w:autoSpaceDN w:val="0"/>
        <w:adjustRightInd w:val="0"/>
        <w:spacing w:line="300" w:lineRule="exact"/>
        <w:ind w:firstLine="420"/>
        <w:rPr>
          <w:rFonts w:ascii="宋体" w:hAnsi="宋体" w:cs="MingLiU"/>
          <w:kern w:val="0"/>
          <w:szCs w:val="21"/>
        </w:rPr>
      </w:pPr>
      <w:r>
        <w:rPr>
          <w:rFonts w:hint="eastAsia" w:ascii="宋体" w:hAnsi="宋体" w:cs="Calibri"/>
          <w:kern w:val="0"/>
          <w:szCs w:val="21"/>
          <w:lang w:bidi="ar"/>
        </w:rPr>
        <w:t xml:space="preserve">3.6.1  </w:t>
      </w:r>
      <w:r>
        <w:rPr>
          <w:rFonts w:hint="eastAsia" w:ascii="宋体" w:hAnsi="宋体" w:cs="宋体"/>
          <w:kern w:val="0"/>
          <w:szCs w:val="21"/>
          <w:lang w:bidi="ar"/>
        </w:rPr>
        <w:t>比选响应文件应按第九章</w:t>
      </w:r>
      <w:r>
        <w:rPr>
          <w:rFonts w:hint="eastAsia" w:ascii="宋体" w:hAnsi="宋体" w:cs="MingLiU"/>
          <w:kern w:val="0"/>
          <w:szCs w:val="21"/>
          <w:lang w:bidi="ar"/>
        </w:rPr>
        <w:t>“比选响应文件格式”进行编写，如有必要，可以增加附页，作为比选响应文件的组成部分。其中，投标函附录在满足竞争性比选文件实质性要求的基础上，可以提出比竞争性比选文件要求更有利于采购人的承诺。</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Calibri"/>
          <w:kern w:val="0"/>
          <w:szCs w:val="21"/>
          <w:lang w:bidi="ar"/>
        </w:rPr>
        <w:t xml:space="preserve">3.6.2  </w:t>
      </w:r>
      <w:r>
        <w:rPr>
          <w:rFonts w:hint="eastAsia" w:ascii="宋体" w:hAnsi="宋体" w:cs="宋体"/>
          <w:kern w:val="0"/>
          <w:szCs w:val="21"/>
          <w:lang w:bidi="ar"/>
        </w:rPr>
        <w:t>比选响应文件应当对竞争性比选文件有关工期、投标有效期、质量要求、技术标准和要求、服务要求、竞争性比选范围等实质性内容做出响应。</w:t>
      </w:r>
    </w:p>
    <w:p>
      <w:pPr>
        <w:autoSpaceDE w:val="0"/>
        <w:autoSpaceDN w:val="0"/>
        <w:adjustRightInd w:val="0"/>
        <w:spacing w:line="300" w:lineRule="exact"/>
        <w:ind w:firstLine="424" w:firstLineChars="202"/>
        <w:jc w:val="left"/>
        <w:rPr>
          <w:rFonts w:ascii="宋体" w:hAnsi="宋体" w:cs="MingLiU"/>
          <w:kern w:val="0"/>
          <w:szCs w:val="21"/>
        </w:rPr>
      </w:pPr>
      <w:r>
        <w:rPr>
          <w:rFonts w:hint="eastAsia" w:ascii="宋体" w:hAnsi="宋体" w:cs="Calibri"/>
          <w:kern w:val="0"/>
          <w:position w:val="-2"/>
          <w:szCs w:val="21"/>
          <w:lang w:bidi="ar"/>
        </w:rPr>
        <w:t xml:space="preserve">3.6.3  </w:t>
      </w:r>
      <w:r>
        <w:rPr>
          <w:rFonts w:hint="eastAsia" w:ascii="宋体" w:hAnsi="宋体" w:cs="宋体"/>
          <w:kern w:val="0"/>
          <w:position w:val="-2"/>
          <w:szCs w:val="21"/>
          <w:lang w:bidi="ar"/>
        </w:rPr>
        <w:t>比选响应文件应用不褪色的材料书写或打印，并由报价人的法定代表人或其委托代理</w:t>
      </w:r>
      <w:r>
        <w:rPr>
          <w:rFonts w:hint="eastAsia" w:ascii="宋体" w:hAnsi="宋体" w:cs="宋体"/>
          <w:kern w:val="0"/>
          <w:szCs w:val="21"/>
          <w:lang w:bidi="ar"/>
        </w:rPr>
        <w:t>人签字、盖单位公章。委托代理人签字的，比选响应文件应附法定代表人签署的授权委托书。比选响应文件应尽量避免涂改、行间插字或删除。如果出现上述情况，改动之处应加盖单位公章或由报价人的法定代表人或其授权的代理人签字确认。签字或盖章的具体要求见报价人须知前附表。</w:t>
      </w:r>
    </w:p>
    <w:p>
      <w:pPr>
        <w:autoSpaceDE w:val="0"/>
        <w:autoSpaceDN w:val="0"/>
        <w:adjustRightInd w:val="0"/>
        <w:spacing w:line="300" w:lineRule="exact"/>
        <w:ind w:right="-164" w:firstLine="426"/>
        <w:jc w:val="left"/>
        <w:rPr>
          <w:rFonts w:ascii="宋体" w:hAnsi="宋体" w:cs="MingLiU"/>
          <w:kern w:val="0"/>
          <w:szCs w:val="21"/>
        </w:rPr>
      </w:pPr>
      <w:r>
        <w:rPr>
          <w:rFonts w:hint="eastAsia" w:ascii="宋体" w:hAnsi="宋体" w:cs="Calibri"/>
          <w:kern w:val="0"/>
          <w:szCs w:val="21"/>
          <w:lang w:bidi="ar"/>
        </w:rPr>
        <w:t xml:space="preserve">3.6.4  </w:t>
      </w:r>
      <w:r>
        <w:rPr>
          <w:rFonts w:hint="eastAsia" w:ascii="宋体" w:hAnsi="宋体" w:cs="宋体"/>
          <w:kern w:val="0"/>
          <w:szCs w:val="21"/>
          <w:lang w:bidi="ar"/>
        </w:rPr>
        <w:t>比选响应文件正本一份，副本份数见报价人须知前附表。正本和副本的封面上应清楚地标记</w:t>
      </w:r>
      <w:r>
        <w:rPr>
          <w:rFonts w:hint="eastAsia" w:ascii="宋体" w:hAnsi="宋体" w:cs="MingLiU"/>
          <w:kern w:val="0"/>
          <w:szCs w:val="21"/>
          <w:lang w:bidi="ar"/>
        </w:rPr>
        <w:t>“正本”或“副本”的字样，正本和副本封面均须加盖单位公章（鲜章）。当副本和正本不一致时，以正本为准。</w:t>
      </w:r>
    </w:p>
    <w:p>
      <w:pPr>
        <w:autoSpaceDE w:val="0"/>
        <w:autoSpaceDN w:val="0"/>
        <w:adjustRightInd w:val="0"/>
        <w:spacing w:line="300" w:lineRule="exact"/>
        <w:ind w:right="-109" w:firstLine="426"/>
        <w:jc w:val="left"/>
        <w:rPr>
          <w:rFonts w:ascii="宋体" w:hAnsi="宋体" w:cs="MingLiU"/>
          <w:kern w:val="0"/>
          <w:szCs w:val="21"/>
        </w:rPr>
      </w:pPr>
      <w:r>
        <w:rPr>
          <w:rFonts w:hint="eastAsia" w:ascii="宋体" w:hAnsi="宋体" w:cs="Calibri"/>
          <w:kern w:val="0"/>
          <w:szCs w:val="21"/>
          <w:lang w:bidi="ar"/>
        </w:rPr>
        <w:t xml:space="preserve">3.6.5  </w:t>
      </w:r>
      <w:r>
        <w:rPr>
          <w:rFonts w:hint="eastAsia" w:ascii="宋体" w:hAnsi="宋体" w:cs="宋体"/>
          <w:kern w:val="0"/>
          <w:szCs w:val="21"/>
          <w:lang w:bidi="ar"/>
        </w:rPr>
        <w:t>比选响应文件的正本与副本应分别装订成册，并编制目录，具体装订要求见报价人须知前附表规定。</w:t>
      </w:r>
    </w:p>
    <w:p>
      <w:pPr>
        <w:pStyle w:val="4"/>
        <w:widowControl/>
        <w:spacing w:before="0" w:after="0" w:line="300" w:lineRule="exact"/>
        <w:rPr>
          <w:rFonts w:ascii="宋体" w:hAnsi="宋体"/>
          <w:sz w:val="21"/>
          <w:szCs w:val="21"/>
        </w:rPr>
      </w:pPr>
      <w:bookmarkStart w:id="419" w:name="_Toc4661931"/>
      <w:bookmarkEnd w:id="419"/>
      <w:bookmarkStart w:id="420" w:name="_Toc28775"/>
      <w:bookmarkEnd w:id="420"/>
      <w:bookmarkStart w:id="421" w:name="_Toc287607773"/>
      <w:bookmarkEnd w:id="421"/>
      <w:bookmarkStart w:id="422" w:name="_Toc16777"/>
      <w:bookmarkEnd w:id="422"/>
      <w:bookmarkStart w:id="423" w:name="_Toc4661695"/>
      <w:bookmarkEnd w:id="423"/>
      <w:bookmarkStart w:id="424" w:name="_Toc40455297"/>
      <w:bookmarkEnd w:id="424"/>
      <w:bookmarkStart w:id="425" w:name="_Toc778"/>
      <w:bookmarkEnd w:id="425"/>
      <w:bookmarkStart w:id="426" w:name="_Toc200513153"/>
      <w:bookmarkEnd w:id="426"/>
      <w:bookmarkStart w:id="427" w:name="_Toc30351"/>
      <w:bookmarkEnd w:id="427"/>
      <w:bookmarkStart w:id="428" w:name="_Toc4662167"/>
      <w:bookmarkEnd w:id="428"/>
      <w:bookmarkStart w:id="429" w:name="_Toc277082579"/>
      <w:bookmarkEnd w:id="429"/>
      <w:bookmarkStart w:id="430" w:name="_Toc4661453"/>
      <w:bookmarkEnd w:id="430"/>
      <w:bookmarkStart w:id="431" w:name="_Toc7095"/>
      <w:bookmarkEnd w:id="431"/>
      <w:bookmarkStart w:id="432" w:name="_Toc224103344"/>
      <w:bookmarkEnd w:id="432"/>
      <w:bookmarkStart w:id="433" w:name="_Toc40455670"/>
      <w:bookmarkEnd w:id="433"/>
      <w:bookmarkStart w:id="434" w:name="_Toc4633"/>
      <w:bookmarkStart w:id="435" w:name="_Toc3996"/>
      <w:r>
        <w:rPr>
          <w:rFonts w:hint="eastAsia" w:ascii="宋体" w:hAnsi="宋体"/>
          <w:sz w:val="21"/>
          <w:szCs w:val="21"/>
        </w:rPr>
        <w:t xml:space="preserve">4.  </w:t>
      </w:r>
      <w:bookmarkEnd w:id="434"/>
      <w:r>
        <w:rPr>
          <w:rFonts w:hint="eastAsia" w:ascii="黑体" w:hAnsi="宋体" w:cs="黑体"/>
          <w:sz w:val="21"/>
          <w:szCs w:val="21"/>
        </w:rPr>
        <w:t>投标</w:t>
      </w:r>
      <w:bookmarkEnd w:id="435"/>
    </w:p>
    <w:p>
      <w:pPr>
        <w:pStyle w:val="5"/>
        <w:widowControl/>
        <w:spacing w:before="0" w:after="0" w:line="300" w:lineRule="exact"/>
        <w:rPr>
          <w:rFonts w:ascii="宋体" w:hAnsi="宋体"/>
          <w:kern w:val="2"/>
          <w:sz w:val="21"/>
          <w:szCs w:val="21"/>
        </w:rPr>
      </w:pPr>
      <w:bookmarkStart w:id="436" w:name="_Toc40455671"/>
      <w:bookmarkEnd w:id="436"/>
      <w:bookmarkStart w:id="437" w:name="_Toc287607774"/>
      <w:bookmarkEnd w:id="437"/>
      <w:bookmarkStart w:id="438" w:name="_Toc4661454"/>
      <w:bookmarkEnd w:id="438"/>
      <w:bookmarkStart w:id="439" w:name="_Toc277082580"/>
      <w:bookmarkEnd w:id="439"/>
      <w:bookmarkStart w:id="440" w:name="_Toc40780280"/>
      <w:bookmarkEnd w:id="440"/>
      <w:bookmarkStart w:id="441" w:name="_Toc2952"/>
      <w:bookmarkEnd w:id="441"/>
      <w:bookmarkStart w:id="442" w:name="_Toc4662168"/>
      <w:bookmarkEnd w:id="442"/>
      <w:bookmarkStart w:id="443" w:name="_Toc40455298"/>
      <w:bookmarkEnd w:id="443"/>
      <w:bookmarkStart w:id="444" w:name="_Toc4661696"/>
      <w:bookmarkEnd w:id="444"/>
      <w:bookmarkStart w:id="445" w:name="_Toc200513154"/>
      <w:bookmarkEnd w:id="445"/>
      <w:bookmarkStart w:id="446" w:name="_Toc4661932"/>
      <w:bookmarkEnd w:id="446"/>
      <w:bookmarkStart w:id="447" w:name="_Toc224103345"/>
      <w:r>
        <w:rPr>
          <w:rFonts w:hint="eastAsia" w:ascii="宋体" w:hAnsi="宋体"/>
          <w:kern w:val="2"/>
          <w:sz w:val="21"/>
          <w:szCs w:val="21"/>
        </w:rPr>
        <w:t xml:space="preserve">4.1  </w:t>
      </w:r>
      <w:bookmarkEnd w:id="447"/>
      <w:r>
        <w:rPr>
          <w:rFonts w:hint="eastAsia" w:ascii="宋体" w:hAnsi="宋体" w:cs="宋体"/>
          <w:kern w:val="2"/>
          <w:sz w:val="21"/>
          <w:szCs w:val="21"/>
        </w:rPr>
        <w:t>比选响应文件的密封和标记</w:t>
      </w:r>
    </w:p>
    <w:p>
      <w:pPr>
        <w:autoSpaceDE w:val="0"/>
        <w:autoSpaceDN w:val="0"/>
        <w:adjustRightInd w:val="0"/>
        <w:spacing w:line="300" w:lineRule="exact"/>
        <w:ind w:left="359" w:leftChars="171"/>
        <w:jc w:val="left"/>
        <w:rPr>
          <w:rFonts w:ascii="宋体" w:hAnsi="宋体" w:cs="MingLiU"/>
          <w:kern w:val="0"/>
          <w:szCs w:val="21"/>
        </w:rPr>
      </w:pPr>
      <w:bookmarkStart w:id="448" w:name="_Toc200513155"/>
      <w:bookmarkEnd w:id="448"/>
      <w:r>
        <w:rPr>
          <w:rFonts w:hint="eastAsia" w:ascii="宋体" w:hAnsi="宋体" w:cs="MingLiU"/>
          <w:kern w:val="0"/>
          <w:szCs w:val="21"/>
          <w:lang w:bidi="ar"/>
        </w:rPr>
        <w:t>4.1.1  比选响应文件的正本与副本密封见报价人须知前附表。</w:t>
      </w:r>
    </w:p>
    <w:p>
      <w:pPr>
        <w:autoSpaceDE w:val="0"/>
        <w:autoSpaceDN w:val="0"/>
        <w:adjustRightInd w:val="0"/>
        <w:spacing w:line="300" w:lineRule="exact"/>
        <w:ind w:left="359" w:leftChars="171"/>
        <w:jc w:val="left"/>
        <w:rPr>
          <w:rFonts w:ascii="宋体" w:hAnsi="宋体" w:cs="MingLiU"/>
          <w:kern w:val="0"/>
          <w:szCs w:val="21"/>
        </w:rPr>
      </w:pPr>
      <w:r>
        <w:rPr>
          <w:rFonts w:hint="eastAsia" w:ascii="宋体" w:hAnsi="宋体" w:cs="MingLiU"/>
          <w:kern w:val="0"/>
          <w:szCs w:val="21"/>
          <w:lang w:bidi="ar"/>
        </w:rPr>
        <w:t>4.1.2  比选响应文件的封套上应写明的内容见报价人须知前附表。</w:t>
      </w:r>
    </w:p>
    <w:p>
      <w:pPr>
        <w:pStyle w:val="5"/>
        <w:widowControl/>
        <w:spacing w:before="0" w:after="0" w:line="300" w:lineRule="exact"/>
        <w:rPr>
          <w:rFonts w:ascii="宋体" w:hAnsi="宋体"/>
          <w:kern w:val="2"/>
          <w:sz w:val="21"/>
          <w:szCs w:val="21"/>
        </w:rPr>
      </w:pPr>
      <w:bookmarkStart w:id="449" w:name="_Toc40780281"/>
      <w:bookmarkEnd w:id="449"/>
      <w:bookmarkStart w:id="450" w:name="_Toc4661933"/>
      <w:bookmarkEnd w:id="450"/>
      <w:bookmarkStart w:id="451" w:name="_Toc40455672"/>
      <w:bookmarkEnd w:id="451"/>
      <w:bookmarkStart w:id="452" w:name="_Toc4662169"/>
      <w:bookmarkEnd w:id="452"/>
      <w:bookmarkStart w:id="453" w:name="_Toc4661697"/>
      <w:bookmarkEnd w:id="453"/>
      <w:bookmarkStart w:id="454" w:name="_Toc4661455"/>
      <w:bookmarkEnd w:id="454"/>
      <w:bookmarkStart w:id="455" w:name="_Toc28009"/>
      <w:bookmarkEnd w:id="455"/>
      <w:bookmarkStart w:id="456" w:name="_Toc224103346"/>
      <w:bookmarkEnd w:id="456"/>
      <w:bookmarkStart w:id="457" w:name="_Toc277082581"/>
      <w:bookmarkEnd w:id="457"/>
      <w:bookmarkStart w:id="458" w:name="_Toc40455299"/>
      <w:bookmarkEnd w:id="458"/>
      <w:bookmarkStart w:id="459" w:name="_Toc287607775"/>
      <w:r>
        <w:rPr>
          <w:rFonts w:hint="eastAsia" w:ascii="宋体" w:hAnsi="宋体"/>
          <w:kern w:val="2"/>
          <w:sz w:val="21"/>
          <w:szCs w:val="21"/>
        </w:rPr>
        <w:t xml:space="preserve">4.2  </w:t>
      </w:r>
      <w:bookmarkEnd w:id="459"/>
      <w:r>
        <w:rPr>
          <w:rFonts w:hint="eastAsia" w:ascii="宋体" w:hAnsi="宋体" w:cs="宋体"/>
          <w:kern w:val="2"/>
          <w:sz w:val="21"/>
          <w:szCs w:val="21"/>
        </w:rPr>
        <w:t>比选响应文件的递交</w:t>
      </w:r>
    </w:p>
    <w:p>
      <w:pPr>
        <w:autoSpaceDE w:val="0"/>
        <w:autoSpaceDN w:val="0"/>
        <w:adjustRightInd w:val="0"/>
        <w:spacing w:line="300" w:lineRule="exact"/>
        <w:ind w:left="359" w:leftChars="171"/>
        <w:jc w:val="left"/>
        <w:rPr>
          <w:rFonts w:ascii="宋体" w:hAnsi="宋体" w:cs="MingLiU"/>
          <w:kern w:val="0"/>
          <w:szCs w:val="21"/>
        </w:rPr>
      </w:pPr>
      <w:r>
        <w:rPr>
          <w:rFonts w:hint="eastAsia" w:ascii="宋体" w:hAnsi="宋体" w:cs="Calibri"/>
          <w:kern w:val="0"/>
          <w:szCs w:val="21"/>
          <w:lang w:bidi="ar"/>
        </w:rPr>
        <w:t xml:space="preserve">4.2.1  </w:t>
      </w:r>
      <w:r>
        <w:rPr>
          <w:rFonts w:hint="eastAsia" w:ascii="宋体" w:hAnsi="宋体" w:cs="宋体"/>
          <w:kern w:val="0"/>
          <w:szCs w:val="21"/>
          <w:lang w:bidi="ar"/>
        </w:rPr>
        <w:t>报价人应在本章第</w:t>
      </w:r>
      <w:r>
        <w:rPr>
          <w:rFonts w:hint="eastAsia" w:ascii="宋体" w:hAnsi="宋体" w:cs="Calibri"/>
          <w:kern w:val="0"/>
          <w:szCs w:val="21"/>
          <w:lang w:bidi="ar"/>
        </w:rPr>
        <w:t xml:space="preserve"> 2.2.2 </w:t>
      </w:r>
      <w:r>
        <w:rPr>
          <w:rFonts w:hint="eastAsia" w:ascii="宋体" w:hAnsi="宋体" w:cs="宋体"/>
          <w:kern w:val="0"/>
          <w:szCs w:val="21"/>
          <w:lang w:bidi="ar"/>
        </w:rPr>
        <w:t>项规定的投标截止时间前递交比选响应文件。</w:t>
      </w:r>
    </w:p>
    <w:p>
      <w:pPr>
        <w:autoSpaceDE w:val="0"/>
        <w:autoSpaceDN w:val="0"/>
        <w:adjustRightInd w:val="0"/>
        <w:spacing w:line="300" w:lineRule="exact"/>
        <w:ind w:left="359" w:leftChars="171"/>
        <w:jc w:val="left"/>
        <w:rPr>
          <w:rFonts w:ascii="宋体" w:hAnsi="宋体" w:cs="MingLiU"/>
          <w:kern w:val="0"/>
          <w:szCs w:val="21"/>
        </w:rPr>
      </w:pPr>
      <w:r>
        <w:rPr>
          <w:rFonts w:hint="eastAsia" w:ascii="宋体" w:hAnsi="宋体" w:cs="Calibri"/>
          <w:kern w:val="0"/>
          <w:szCs w:val="21"/>
          <w:lang w:bidi="ar"/>
        </w:rPr>
        <w:t xml:space="preserve">4.2.2  </w:t>
      </w:r>
      <w:r>
        <w:rPr>
          <w:rFonts w:hint="eastAsia" w:ascii="宋体" w:hAnsi="宋体" w:cs="宋体"/>
          <w:kern w:val="0"/>
          <w:szCs w:val="21"/>
          <w:lang w:bidi="ar"/>
        </w:rPr>
        <w:t>报价人递交比选响应文件的地点：见报价人须知前附表。</w:t>
      </w:r>
    </w:p>
    <w:p>
      <w:pPr>
        <w:autoSpaceDE w:val="0"/>
        <w:autoSpaceDN w:val="0"/>
        <w:adjustRightInd w:val="0"/>
        <w:spacing w:line="300" w:lineRule="exact"/>
        <w:ind w:left="359" w:leftChars="171"/>
        <w:jc w:val="left"/>
        <w:rPr>
          <w:rFonts w:ascii="宋体" w:hAnsi="宋体" w:cs="MingLiU"/>
          <w:kern w:val="0"/>
          <w:szCs w:val="21"/>
        </w:rPr>
      </w:pPr>
      <w:r>
        <w:rPr>
          <w:rFonts w:hint="eastAsia" w:ascii="宋体" w:hAnsi="宋体" w:cs="Calibri"/>
          <w:kern w:val="0"/>
          <w:szCs w:val="21"/>
          <w:lang w:bidi="ar"/>
        </w:rPr>
        <w:t xml:space="preserve">4.2.3  </w:t>
      </w:r>
      <w:r>
        <w:rPr>
          <w:rFonts w:hint="eastAsia" w:ascii="宋体" w:hAnsi="宋体" w:cs="宋体"/>
          <w:kern w:val="0"/>
          <w:szCs w:val="21"/>
          <w:lang w:bidi="ar"/>
        </w:rPr>
        <w:t>除报价人须知前附表另有规定外，报价人所递交的比选响应文件不予退还。</w:t>
      </w:r>
    </w:p>
    <w:p>
      <w:pPr>
        <w:autoSpaceDE w:val="0"/>
        <w:autoSpaceDN w:val="0"/>
        <w:adjustRightInd w:val="0"/>
        <w:spacing w:line="300" w:lineRule="exact"/>
        <w:ind w:left="359" w:leftChars="171"/>
        <w:jc w:val="left"/>
        <w:rPr>
          <w:rFonts w:ascii="宋体" w:hAnsi="宋体" w:cs="MingLiU"/>
          <w:kern w:val="0"/>
          <w:szCs w:val="21"/>
        </w:rPr>
      </w:pPr>
      <w:r>
        <w:rPr>
          <w:rFonts w:hint="eastAsia" w:ascii="宋体" w:hAnsi="宋体" w:cs="Calibri"/>
          <w:kern w:val="0"/>
          <w:szCs w:val="21"/>
          <w:lang w:bidi="ar"/>
        </w:rPr>
        <w:t xml:space="preserve">4.2.4  </w:t>
      </w:r>
      <w:r>
        <w:rPr>
          <w:rFonts w:hint="eastAsia" w:ascii="宋体" w:hAnsi="宋体" w:cs="宋体"/>
          <w:kern w:val="0"/>
          <w:szCs w:val="21"/>
          <w:lang w:bidi="ar"/>
        </w:rPr>
        <w:t>采购人收到比选响应文件后，向报价人出具签收凭证。</w:t>
      </w:r>
    </w:p>
    <w:p>
      <w:pPr>
        <w:autoSpaceDE w:val="0"/>
        <w:autoSpaceDN w:val="0"/>
        <w:adjustRightInd w:val="0"/>
        <w:spacing w:line="300" w:lineRule="exact"/>
        <w:ind w:left="359" w:leftChars="171"/>
        <w:jc w:val="left"/>
        <w:rPr>
          <w:rFonts w:ascii="宋体" w:hAnsi="宋体" w:cs="MingLiU"/>
          <w:kern w:val="0"/>
          <w:szCs w:val="21"/>
        </w:rPr>
      </w:pPr>
      <w:r>
        <w:rPr>
          <w:rFonts w:hint="eastAsia" w:ascii="宋体" w:hAnsi="宋体" w:cs="Calibri"/>
          <w:kern w:val="0"/>
          <w:szCs w:val="21"/>
          <w:lang w:bidi="ar"/>
        </w:rPr>
        <w:t xml:space="preserve">4.2.5  </w:t>
      </w:r>
      <w:r>
        <w:rPr>
          <w:rFonts w:hint="eastAsia" w:ascii="宋体" w:hAnsi="宋体" w:cs="宋体"/>
          <w:kern w:val="0"/>
          <w:szCs w:val="21"/>
          <w:lang w:bidi="ar"/>
        </w:rPr>
        <w:t>逾期送达的或者未送达指定地点的比选响应文件，采购人不予受理。</w:t>
      </w:r>
    </w:p>
    <w:p>
      <w:pPr>
        <w:pStyle w:val="5"/>
        <w:widowControl/>
        <w:spacing w:before="0" w:after="0" w:line="300" w:lineRule="exact"/>
        <w:rPr>
          <w:rFonts w:ascii="宋体" w:hAnsi="宋体"/>
          <w:kern w:val="2"/>
          <w:sz w:val="21"/>
          <w:szCs w:val="21"/>
        </w:rPr>
      </w:pPr>
      <w:bookmarkStart w:id="460" w:name="_Toc287607776"/>
      <w:bookmarkEnd w:id="460"/>
      <w:bookmarkStart w:id="461" w:name="_Toc15210"/>
      <w:bookmarkEnd w:id="461"/>
      <w:bookmarkStart w:id="462" w:name="_Toc40780282"/>
      <w:bookmarkEnd w:id="462"/>
      <w:bookmarkStart w:id="463" w:name="_Toc200513156"/>
      <w:bookmarkEnd w:id="463"/>
      <w:bookmarkStart w:id="464" w:name="_Toc4661456"/>
      <w:bookmarkEnd w:id="464"/>
      <w:bookmarkStart w:id="465" w:name="_Toc40455300"/>
      <w:bookmarkEnd w:id="465"/>
      <w:bookmarkStart w:id="466" w:name="_Toc277082582"/>
      <w:bookmarkEnd w:id="466"/>
      <w:bookmarkStart w:id="467" w:name="_Toc40455673"/>
      <w:bookmarkEnd w:id="467"/>
      <w:bookmarkStart w:id="468" w:name="_Toc4661698"/>
      <w:bookmarkEnd w:id="468"/>
      <w:bookmarkStart w:id="469" w:name="_Toc224103347"/>
      <w:bookmarkEnd w:id="469"/>
      <w:bookmarkStart w:id="470" w:name="_Toc4661934"/>
      <w:bookmarkEnd w:id="470"/>
      <w:bookmarkStart w:id="471" w:name="_Toc4662170"/>
      <w:r>
        <w:rPr>
          <w:rFonts w:hint="eastAsia" w:ascii="宋体" w:hAnsi="宋体"/>
          <w:kern w:val="2"/>
          <w:sz w:val="21"/>
          <w:szCs w:val="21"/>
        </w:rPr>
        <w:t xml:space="preserve">4.3  </w:t>
      </w:r>
      <w:bookmarkEnd w:id="471"/>
      <w:r>
        <w:rPr>
          <w:rFonts w:hint="eastAsia" w:ascii="宋体" w:hAnsi="宋体" w:cs="宋体"/>
          <w:kern w:val="2"/>
          <w:sz w:val="21"/>
          <w:szCs w:val="21"/>
        </w:rPr>
        <w:t>比选响应文件的修改与撤回</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Calibri"/>
          <w:kern w:val="0"/>
          <w:szCs w:val="21"/>
          <w:lang w:bidi="ar"/>
        </w:rPr>
        <w:t xml:space="preserve">4.3.1  </w:t>
      </w:r>
      <w:r>
        <w:rPr>
          <w:rFonts w:hint="eastAsia" w:ascii="宋体" w:hAnsi="宋体" w:cs="宋体"/>
          <w:kern w:val="0"/>
          <w:szCs w:val="21"/>
          <w:lang w:bidi="ar"/>
        </w:rPr>
        <w:t>在本章第</w:t>
      </w:r>
      <w:r>
        <w:rPr>
          <w:rFonts w:hint="eastAsia" w:ascii="宋体" w:hAnsi="宋体" w:cs="Calibri"/>
          <w:kern w:val="0"/>
          <w:szCs w:val="21"/>
          <w:lang w:bidi="ar"/>
        </w:rPr>
        <w:t>2.2.2</w:t>
      </w:r>
      <w:r>
        <w:rPr>
          <w:rFonts w:hint="eastAsia" w:ascii="宋体" w:hAnsi="宋体" w:cs="宋体"/>
          <w:kern w:val="0"/>
          <w:szCs w:val="21"/>
          <w:lang w:bidi="ar"/>
        </w:rPr>
        <w:t>项规定的投标截止时间前，报价人可以修改或撤回已递交的比选响应文件，但应以书面形式通知采购人。</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Calibri"/>
          <w:kern w:val="0"/>
          <w:szCs w:val="21"/>
          <w:lang w:bidi="ar"/>
        </w:rPr>
        <w:t xml:space="preserve">4.3.2  </w:t>
      </w:r>
      <w:r>
        <w:rPr>
          <w:rFonts w:hint="eastAsia" w:ascii="宋体" w:hAnsi="宋体" w:cs="宋体"/>
          <w:kern w:val="0"/>
          <w:szCs w:val="21"/>
          <w:lang w:bidi="ar"/>
        </w:rPr>
        <w:t>报价人修改或撤回已递交比选响应文件的书面通知应按照本章第</w:t>
      </w:r>
      <w:r>
        <w:rPr>
          <w:rFonts w:hint="eastAsia" w:ascii="宋体" w:hAnsi="宋体" w:cs="Calibri"/>
          <w:kern w:val="0"/>
          <w:szCs w:val="21"/>
          <w:lang w:bidi="ar"/>
        </w:rPr>
        <w:t>3.7.3</w:t>
      </w:r>
      <w:r>
        <w:rPr>
          <w:rFonts w:hint="eastAsia" w:ascii="宋体" w:hAnsi="宋体" w:cs="宋体"/>
          <w:kern w:val="0"/>
          <w:szCs w:val="21"/>
          <w:lang w:bidi="ar"/>
        </w:rPr>
        <w:t>项的要求签字或盖章。采购人收到书面通知后，向报价人出具签收凭证。</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Calibri"/>
          <w:kern w:val="0"/>
          <w:szCs w:val="21"/>
          <w:lang w:bidi="ar"/>
        </w:rPr>
        <w:t xml:space="preserve">4.3.3  </w:t>
      </w:r>
      <w:r>
        <w:rPr>
          <w:rFonts w:hint="eastAsia" w:ascii="宋体" w:hAnsi="宋体" w:cs="宋体"/>
          <w:kern w:val="0"/>
          <w:szCs w:val="21"/>
          <w:lang w:bidi="ar"/>
        </w:rPr>
        <w:t>修改的内容为比选响应文件的组成部分。修改的比选响应文件应按照本章第</w:t>
      </w:r>
      <w:r>
        <w:rPr>
          <w:rFonts w:hint="eastAsia" w:ascii="宋体" w:hAnsi="宋体" w:cs="Calibri"/>
          <w:kern w:val="0"/>
          <w:szCs w:val="21"/>
          <w:lang w:bidi="ar"/>
        </w:rPr>
        <w:t>3</w:t>
      </w:r>
      <w:r>
        <w:rPr>
          <w:rFonts w:hint="eastAsia" w:ascii="宋体" w:hAnsi="宋体" w:cs="宋体"/>
          <w:kern w:val="0"/>
          <w:szCs w:val="21"/>
          <w:lang w:bidi="ar"/>
        </w:rPr>
        <w:t>条、第</w:t>
      </w:r>
      <w:r>
        <w:rPr>
          <w:rFonts w:hint="eastAsia" w:ascii="宋体" w:hAnsi="宋体" w:cs="Calibri"/>
          <w:kern w:val="0"/>
          <w:szCs w:val="21"/>
          <w:lang w:bidi="ar"/>
        </w:rPr>
        <w:t>4</w:t>
      </w:r>
      <w:r>
        <w:rPr>
          <w:rFonts w:hint="eastAsia" w:ascii="宋体" w:hAnsi="宋体" w:cs="宋体"/>
          <w:kern w:val="0"/>
          <w:szCs w:val="21"/>
          <w:lang w:bidi="ar"/>
        </w:rPr>
        <w:t>条规定进行编制、密封、标记和递交，并标明</w:t>
      </w:r>
      <w:r>
        <w:rPr>
          <w:rFonts w:hint="eastAsia" w:ascii="宋体" w:hAnsi="宋体" w:cs="MingLiU"/>
          <w:kern w:val="0"/>
          <w:szCs w:val="21"/>
          <w:lang w:bidi="ar"/>
        </w:rPr>
        <w:t>“修改”字样。</w:t>
      </w:r>
    </w:p>
    <w:p>
      <w:pPr>
        <w:pStyle w:val="4"/>
        <w:widowControl/>
        <w:spacing w:before="0" w:after="0" w:line="300" w:lineRule="exact"/>
        <w:rPr>
          <w:rFonts w:ascii="宋体" w:hAnsi="宋体"/>
          <w:sz w:val="21"/>
          <w:szCs w:val="21"/>
        </w:rPr>
      </w:pPr>
      <w:bookmarkStart w:id="472" w:name="_Toc40455301"/>
      <w:bookmarkEnd w:id="472"/>
      <w:bookmarkStart w:id="473" w:name="_Toc4661935"/>
      <w:bookmarkEnd w:id="473"/>
      <w:bookmarkStart w:id="474" w:name="_Toc224103348"/>
      <w:bookmarkEnd w:id="474"/>
      <w:bookmarkStart w:id="475" w:name="_Toc27819"/>
      <w:bookmarkEnd w:id="475"/>
      <w:bookmarkStart w:id="476" w:name="_Toc2667"/>
      <w:bookmarkEnd w:id="476"/>
      <w:bookmarkStart w:id="477" w:name="_Toc287607777"/>
      <w:bookmarkEnd w:id="477"/>
      <w:bookmarkStart w:id="478" w:name="_Toc4662171"/>
      <w:bookmarkEnd w:id="478"/>
      <w:bookmarkStart w:id="479" w:name="_Toc40455674"/>
      <w:bookmarkEnd w:id="479"/>
      <w:bookmarkStart w:id="480" w:name="_Toc4661699"/>
      <w:bookmarkEnd w:id="480"/>
      <w:bookmarkStart w:id="481" w:name="_Toc200513157"/>
      <w:bookmarkEnd w:id="481"/>
      <w:bookmarkStart w:id="482" w:name="_Toc277082583"/>
      <w:bookmarkEnd w:id="482"/>
      <w:bookmarkStart w:id="483" w:name="_Toc4661457"/>
      <w:bookmarkEnd w:id="483"/>
      <w:bookmarkStart w:id="484" w:name="_Toc13110"/>
      <w:bookmarkEnd w:id="484"/>
      <w:bookmarkStart w:id="485" w:name="_Toc26569"/>
      <w:bookmarkEnd w:id="485"/>
      <w:bookmarkStart w:id="486" w:name="_Toc3631"/>
      <w:bookmarkEnd w:id="486"/>
      <w:bookmarkStart w:id="487" w:name="_Toc665"/>
      <w:bookmarkStart w:id="488" w:name="_Toc10011"/>
      <w:r>
        <w:rPr>
          <w:rFonts w:hint="eastAsia" w:ascii="宋体" w:hAnsi="宋体"/>
          <w:sz w:val="21"/>
          <w:szCs w:val="21"/>
        </w:rPr>
        <w:t xml:space="preserve">5.  </w:t>
      </w:r>
      <w:bookmarkEnd w:id="487"/>
      <w:r>
        <w:rPr>
          <w:rFonts w:hint="eastAsia" w:ascii="黑体" w:hAnsi="宋体" w:cs="黑体"/>
          <w:sz w:val="21"/>
          <w:szCs w:val="21"/>
        </w:rPr>
        <w:t>开标</w:t>
      </w:r>
      <w:bookmarkEnd w:id="488"/>
    </w:p>
    <w:p>
      <w:pPr>
        <w:pStyle w:val="5"/>
        <w:widowControl/>
        <w:spacing w:before="0" w:after="0" w:line="300" w:lineRule="exact"/>
        <w:rPr>
          <w:rFonts w:ascii="宋体" w:hAnsi="宋体"/>
          <w:kern w:val="2"/>
          <w:sz w:val="21"/>
          <w:szCs w:val="21"/>
        </w:rPr>
      </w:pPr>
      <w:bookmarkStart w:id="489" w:name="_Toc40455302"/>
      <w:bookmarkEnd w:id="489"/>
      <w:bookmarkStart w:id="490" w:name="_Toc277082584"/>
      <w:bookmarkEnd w:id="490"/>
      <w:bookmarkStart w:id="491" w:name="_Toc40455675"/>
      <w:bookmarkEnd w:id="491"/>
      <w:bookmarkStart w:id="492" w:name="_Toc200513158"/>
      <w:bookmarkEnd w:id="492"/>
      <w:bookmarkStart w:id="493" w:name="_Toc287607778"/>
      <w:bookmarkEnd w:id="493"/>
      <w:bookmarkStart w:id="494" w:name="_Toc4661458"/>
      <w:bookmarkEnd w:id="494"/>
      <w:bookmarkStart w:id="495" w:name="_Toc22642"/>
      <w:bookmarkEnd w:id="495"/>
      <w:bookmarkStart w:id="496" w:name="_Toc4662172"/>
      <w:bookmarkEnd w:id="496"/>
      <w:bookmarkStart w:id="497" w:name="_Toc40780284"/>
      <w:bookmarkEnd w:id="497"/>
      <w:bookmarkStart w:id="498" w:name="_Toc224103349"/>
      <w:bookmarkEnd w:id="498"/>
      <w:bookmarkStart w:id="499" w:name="_Toc4661700"/>
      <w:bookmarkEnd w:id="499"/>
      <w:bookmarkStart w:id="500" w:name="_Toc4661936"/>
      <w:r>
        <w:rPr>
          <w:rFonts w:hint="eastAsia" w:ascii="宋体" w:hAnsi="宋体"/>
          <w:kern w:val="2"/>
          <w:sz w:val="21"/>
          <w:szCs w:val="21"/>
        </w:rPr>
        <w:t>5.1  开标时间和地点</w:t>
      </w:r>
      <w:bookmarkEnd w:id="500"/>
    </w:p>
    <w:p>
      <w:pPr>
        <w:autoSpaceDE w:val="0"/>
        <w:autoSpaceDN w:val="0"/>
        <w:adjustRightInd w:val="0"/>
        <w:spacing w:line="300" w:lineRule="exact"/>
        <w:ind w:firstLine="420" w:firstLineChars="200"/>
        <w:jc w:val="left"/>
        <w:rPr>
          <w:rFonts w:ascii="宋体" w:hAnsi="宋体" w:cs="MingLiU"/>
          <w:kern w:val="0"/>
          <w:szCs w:val="21"/>
        </w:rPr>
      </w:pPr>
      <w:r>
        <w:rPr>
          <w:rFonts w:hint="eastAsia" w:ascii="宋体" w:hAnsi="宋体" w:cs="宋体"/>
          <w:kern w:val="0"/>
          <w:szCs w:val="21"/>
          <w:lang w:bidi="ar"/>
        </w:rPr>
        <w:t>采购人在本章第</w:t>
      </w:r>
      <w:r>
        <w:rPr>
          <w:rFonts w:hint="eastAsia" w:ascii="宋体" w:hAnsi="宋体" w:cs="Calibri"/>
          <w:kern w:val="0"/>
          <w:szCs w:val="21"/>
          <w:lang w:bidi="ar"/>
        </w:rPr>
        <w:t xml:space="preserve"> 2.2.2 </w:t>
      </w:r>
      <w:r>
        <w:rPr>
          <w:rFonts w:hint="eastAsia" w:ascii="宋体" w:hAnsi="宋体" w:cs="宋体"/>
          <w:kern w:val="0"/>
          <w:szCs w:val="21"/>
          <w:lang w:bidi="ar"/>
        </w:rPr>
        <w:t>项规定的投标截止时间（开标时间）和报价人须知前附表规定的情况进行开标。</w:t>
      </w:r>
    </w:p>
    <w:p>
      <w:pPr>
        <w:pStyle w:val="5"/>
        <w:widowControl/>
        <w:spacing w:before="0" w:after="0" w:line="300" w:lineRule="exact"/>
        <w:rPr>
          <w:rFonts w:ascii="宋体" w:hAnsi="宋体"/>
          <w:kern w:val="2"/>
          <w:sz w:val="21"/>
          <w:szCs w:val="21"/>
        </w:rPr>
      </w:pPr>
      <w:bookmarkStart w:id="501" w:name="_Toc4662173"/>
      <w:bookmarkEnd w:id="501"/>
      <w:bookmarkStart w:id="502" w:name="_Toc40455676"/>
      <w:bookmarkEnd w:id="502"/>
      <w:bookmarkStart w:id="503" w:name="_Toc40455303"/>
      <w:bookmarkEnd w:id="503"/>
      <w:bookmarkStart w:id="504" w:name="_Toc287607779"/>
      <w:bookmarkEnd w:id="504"/>
      <w:bookmarkStart w:id="505" w:name="_Toc1823"/>
      <w:bookmarkEnd w:id="505"/>
      <w:bookmarkStart w:id="506" w:name="_Toc40780285"/>
      <w:bookmarkEnd w:id="506"/>
      <w:bookmarkStart w:id="507" w:name="_Toc224103350"/>
      <w:bookmarkEnd w:id="507"/>
      <w:bookmarkStart w:id="508" w:name="_Toc4661459"/>
      <w:bookmarkEnd w:id="508"/>
      <w:bookmarkStart w:id="509" w:name="_Toc4661701"/>
      <w:bookmarkEnd w:id="509"/>
      <w:bookmarkStart w:id="510" w:name="_Toc277082585"/>
      <w:bookmarkEnd w:id="510"/>
      <w:bookmarkStart w:id="511" w:name="_Toc4661937"/>
      <w:bookmarkEnd w:id="511"/>
      <w:bookmarkStart w:id="512" w:name="_Toc200513159"/>
      <w:r>
        <w:rPr>
          <w:rFonts w:hint="eastAsia" w:ascii="宋体" w:hAnsi="宋体"/>
          <w:kern w:val="2"/>
          <w:sz w:val="21"/>
          <w:szCs w:val="21"/>
        </w:rPr>
        <w:t xml:space="preserve">5.2  </w:t>
      </w:r>
      <w:bookmarkEnd w:id="512"/>
      <w:r>
        <w:rPr>
          <w:rFonts w:hint="eastAsia" w:ascii="宋体" w:hAnsi="宋体" w:cs="宋体"/>
          <w:kern w:val="2"/>
          <w:sz w:val="21"/>
          <w:szCs w:val="21"/>
        </w:rPr>
        <w:t>开标程序</w:t>
      </w:r>
    </w:p>
    <w:p>
      <w:pPr>
        <w:autoSpaceDE w:val="0"/>
        <w:autoSpaceDN w:val="0"/>
        <w:adjustRightInd w:val="0"/>
        <w:spacing w:line="300" w:lineRule="exact"/>
        <w:ind w:firstLine="420" w:firstLineChars="200"/>
        <w:jc w:val="left"/>
        <w:rPr>
          <w:rFonts w:ascii="宋体" w:hAnsi="宋体" w:cs="MingLiU"/>
          <w:kern w:val="0"/>
          <w:szCs w:val="21"/>
        </w:rPr>
      </w:pPr>
      <w:bookmarkStart w:id="513" w:name="_Toc287607780"/>
      <w:bookmarkEnd w:id="513"/>
      <w:bookmarkStart w:id="514" w:name="_Toc200513160"/>
      <w:bookmarkEnd w:id="514"/>
      <w:bookmarkStart w:id="515" w:name="_Toc277082586"/>
      <w:bookmarkEnd w:id="515"/>
      <w:bookmarkStart w:id="516" w:name="_Toc224103351"/>
      <w:r>
        <w:rPr>
          <w:rFonts w:hint="eastAsia" w:ascii="宋体" w:hAnsi="宋体" w:cs="宋体"/>
          <w:kern w:val="0"/>
          <w:szCs w:val="21"/>
          <w:lang w:bidi="ar"/>
        </w:rPr>
        <w:t>见报价人须知前附表。</w:t>
      </w:r>
      <w:bookmarkEnd w:id="516"/>
    </w:p>
    <w:p>
      <w:pPr>
        <w:pStyle w:val="4"/>
        <w:widowControl/>
        <w:spacing w:before="0" w:after="0" w:line="300" w:lineRule="exact"/>
        <w:rPr>
          <w:rFonts w:ascii="宋体" w:hAnsi="宋体"/>
          <w:sz w:val="21"/>
          <w:szCs w:val="21"/>
        </w:rPr>
      </w:pPr>
      <w:bookmarkStart w:id="517" w:name="_Toc5895"/>
      <w:bookmarkEnd w:id="517"/>
      <w:bookmarkStart w:id="518" w:name="_Toc40455304"/>
      <w:bookmarkEnd w:id="518"/>
      <w:bookmarkStart w:id="519" w:name="_Toc26714"/>
      <w:bookmarkEnd w:id="519"/>
      <w:bookmarkStart w:id="520" w:name="_Toc29816"/>
      <w:bookmarkEnd w:id="520"/>
      <w:bookmarkStart w:id="521" w:name="_Toc4661702"/>
      <w:bookmarkEnd w:id="521"/>
      <w:bookmarkStart w:id="522" w:name="_Toc4661460"/>
      <w:bookmarkEnd w:id="522"/>
      <w:bookmarkStart w:id="523" w:name="_Toc6592"/>
      <w:bookmarkEnd w:id="523"/>
      <w:bookmarkStart w:id="524" w:name="_Toc4661938"/>
      <w:bookmarkEnd w:id="524"/>
      <w:bookmarkStart w:id="525" w:name="_Toc4904"/>
      <w:bookmarkEnd w:id="525"/>
      <w:bookmarkStart w:id="526" w:name="_Toc40455677"/>
      <w:bookmarkEnd w:id="526"/>
      <w:bookmarkStart w:id="527" w:name="_Toc4662174"/>
      <w:bookmarkEnd w:id="527"/>
      <w:bookmarkStart w:id="528" w:name="_Toc5685"/>
      <w:bookmarkStart w:id="529" w:name="_Toc16471"/>
      <w:r>
        <w:rPr>
          <w:rFonts w:hint="eastAsia" w:ascii="宋体" w:hAnsi="宋体"/>
          <w:sz w:val="21"/>
          <w:szCs w:val="21"/>
        </w:rPr>
        <w:t xml:space="preserve">6.  </w:t>
      </w:r>
      <w:bookmarkEnd w:id="528"/>
      <w:r>
        <w:rPr>
          <w:rFonts w:hint="eastAsia" w:ascii="黑体" w:hAnsi="宋体" w:cs="黑体"/>
          <w:sz w:val="21"/>
          <w:szCs w:val="21"/>
        </w:rPr>
        <w:t>评标</w:t>
      </w:r>
      <w:bookmarkEnd w:id="529"/>
    </w:p>
    <w:p>
      <w:pPr>
        <w:pStyle w:val="5"/>
        <w:widowControl/>
        <w:spacing w:before="0" w:after="0" w:line="300" w:lineRule="exact"/>
        <w:rPr>
          <w:rFonts w:ascii="宋体" w:hAnsi="宋体"/>
          <w:kern w:val="2"/>
          <w:sz w:val="21"/>
          <w:szCs w:val="21"/>
        </w:rPr>
      </w:pPr>
      <w:bookmarkStart w:id="530" w:name="_Toc4661703"/>
      <w:bookmarkEnd w:id="530"/>
      <w:bookmarkStart w:id="531" w:name="_Toc277082587"/>
      <w:bookmarkEnd w:id="531"/>
      <w:bookmarkStart w:id="532" w:name="_Toc224103352"/>
      <w:bookmarkEnd w:id="532"/>
      <w:bookmarkStart w:id="533" w:name="_Toc40780287"/>
      <w:bookmarkEnd w:id="533"/>
      <w:bookmarkStart w:id="534" w:name="_Toc40455305"/>
      <w:bookmarkEnd w:id="534"/>
      <w:bookmarkStart w:id="535" w:name="_Toc287607781"/>
      <w:bookmarkEnd w:id="535"/>
      <w:bookmarkStart w:id="536" w:name="_Toc9614"/>
      <w:bookmarkEnd w:id="536"/>
      <w:bookmarkStart w:id="537" w:name="_Toc40455678"/>
      <w:bookmarkEnd w:id="537"/>
      <w:bookmarkStart w:id="538" w:name="_Toc200513161"/>
      <w:bookmarkEnd w:id="538"/>
      <w:bookmarkStart w:id="539" w:name="_Toc4661461"/>
      <w:bookmarkEnd w:id="539"/>
      <w:bookmarkStart w:id="540" w:name="_Toc4662175"/>
      <w:bookmarkEnd w:id="540"/>
      <w:bookmarkStart w:id="541" w:name="_Toc4661939"/>
      <w:r>
        <w:rPr>
          <w:rFonts w:hint="eastAsia" w:ascii="宋体" w:hAnsi="宋体"/>
          <w:kern w:val="2"/>
          <w:sz w:val="21"/>
          <w:szCs w:val="21"/>
        </w:rPr>
        <w:t xml:space="preserve">6.1  </w:t>
      </w:r>
      <w:bookmarkEnd w:id="541"/>
      <w:r>
        <w:rPr>
          <w:rFonts w:hint="eastAsia" w:ascii="宋体" w:hAnsi="宋体" w:cs="宋体"/>
          <w:kern w:val="2"/>
          <w:sz w:val="21"/>
          <w:szCs w:val="21"/>
        </w:rPr>
        <w:t>评标委员会</w:t>
      </w:r>
    </w:p>
    <w:p>
      <w:pPr>
        <w:autoSpaceDE w:val="0"/>
        <w:autoSpaceDN w:val="0"/>
        <w:adjustRightInd w:val="0"/>
        <w:spacing w:line="300" w:lineRule="exact"/>
        <w:ind w:firstLine="420"/>
        <w:rPr>
          <w:rFonts w:ascii="宋体" w:hAnsi="宋体" w:cs="MingLiU"/>
          <w:kern w:val="0"/>
          <w:szCs w:val="21"/>
        </w:rPr>
      </w:pPr>
      <w:r>
        <w:rPr>
          <w:rFonts w:hint="eastAsia" w:ascii="宋体" w:hAnsi="宋体" w:cs="Calibri"/>
          <w:kern w:val="0"/>
          <w:szCs w:val="21"/>
          <w:lang w:bidi="ar"/>
        </w:rPr>
        <w:t xml:space="preserve">6.1.1  </w:t>
      </w:r>
      <w:r>
        <w:rPr>
          <w:rFonts w:hint="eastAsia" w:ascii="宋体" w:hAnsi="宋体" w:cs="宋体"/>
          <w:kern w:val="0"/>
          <w:szCs w:val="21"/>
          <w:lang w:bidi="ar"/>
        </w:rPr>
        <w:t>评标由采购人依法组建的评标委员会负责。评标委员会由采购人或其委托的竞争性比选代理机构熟悉相关业务的代表，以及有关技术、经济等方面的专家组成。评标委员会成员人数以及技术、经济等方面专家的确定方式见报价人须知前附表。</w:t>
      </w:r>
    </w:p>
    <w:p>
      <w:pPr>
        <w:autoSpaceDE w:val="0"/>
        <w:autoSpaceDN w:val="0"/>
        <w:adjustRightInd w:val="0"/>
        <w:spacing w:line="300" w:lineRule="exact"/>
        <w:ind w:firstLine="420" w:firstLineChars="200"/>
        <w:jc w:val="left"/>
        <w:rPr>
          <w:rFonts w:ascii="宋体" w:hAnsi="宋体" w:cs="MingLiU"/>
          <w:kern w:val="0"/>
          <w:szCs w:val="21"/>
        </w:rPr>
      </w:pPr>
      <w:r>
        <w:rPr>
          <w:rFonts w:hint="eastAsia" w:ascii="宋体" w:hAnsi="宋体" w:cs="Calibri"/>
          <w:kern w:val="0"/>
          <w:szCs w:val="21"/>
          <w:lang w:bidi="ar"/>
        </w:rPr>
        <w:t xml:space="preserve">6.1.2  </w:t>
      </w:r>
      <w:r>
        <w:rPr>
          <w:rFonts w:hint="eastAsia" w:ascii="宋体" w:hAnsi="宋体" w:cs="宋体"/>
          <w:kern w:val="0"/>
          <w:szCs w:val="21"/>
          <w:lang w:bidi="ar"/>
        </w:rPr>
        <w:t>评标委员会成员有下列情形之一的，应当回避：</w:t>
      </w:r>
    </w:p>
    <w:p>
      <w:pPr>
        <w:autoSpaceDE w:val="0"/>
        <w:autoSpaceDN w:val="0"/>
        <w:adjustRightInd w:val="0"/>
        <w:spacing w:line="300" w:lineRule="exact"/>
        <w:ind w:firstLine="420"/>
        <w:rPr>
          <w:rFonts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1）采购人或竞争性比选代理机构主要负责人的近亲属，或与报价人法定代表人或其委托代理人有近亲属关系；</w:t>
      </w:r>
    </w:p>
    <w:p>
      <w:pPr>
        <w:autoSpaceDE w:val="0"/>
        <w:autoSpaceDN w:val="0"/>
        <w:adjustRightInd w:val="0"/>
        <w:spacing w:line="300" w:lineRule="exact"/>
        <w:ind w:left="359" w:leftChars="171"/>
        <w:jc w:val="left"/>
        <w:rPr>
          <w:rFonts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2</w:t>
      </w:r>
      <w:r>
        <w:rPr>
          <w:rFonts w:hint="eastAsia" w:ascii="宋体" w:hAnsi="宋体" w:cs="宋体"/>
          <w:kern w:val="0"/>
          <w:szCs w:val="21"/>
          <w:lang w:bidi="ar"/>
        </w:rPr>
        <w:t>）为报价人的工作人员或退休人员；</w:t>
      </w:r>
    </w:p>
    <w:p>
      <w:pPr>
        <w:autoSpaceDE w:val="0"/>
        <w:autoSpaceDN w:val="0"/>
        <w:adjustRightInd w:val="0"/>
        <w:spacing w:line="300" w:lineRule="exact"/>
        <w:ind w:left="359" w:leftChars="171"/>
        <w:jc w:val="left"/>
        <w:rPr>
          <w:rFonts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3</w:t>
      </w:r>
      <w:r>
        <w:rPr>
          <w:rFonts w:hint="eastAsia" w:ascii="宋体" w:hAnsi="宋体" w:cs="宋体"/>
          <w:kern w:val="0"/>
          <w:szCs w:val="21"/>
          <w:lang w:bidi="ar"/>
        </w:rPr>
        <w:t>）与报价人有其他利害关系，可能影响评标活动公正性；</w:t>
      </w:r>
    </w:p>
    <w:p>
      <w:pPr>
        <w:autoSpaceDE w:val="0"/>
        <w:autoSpaceDN w:val="0"/>
        <w:adjustRightInd w:val="0"/>
        <w:spacing w:line="300" w:lineRule="exact"/>
        <w:ind w:firstLine="361" w:firstLineChars="172"/>
        <w:jc w:val="left"/>
        <w:rPr>
          <w:rFonts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4）在与竞争性比选投标有关的活动中有过违法违规行为、曾受过行政处罚或刑事处罚；</w:t>
      </w:r>
    </w:p>
    <w:p>
      <w:pPr>
        <w:autoSpaceDE w:val="0"/>
        <w:autoSpaceDN w:val="0"/>
        <w:adjustRightInd w:val="0"/>
        <w:spacing w:line="300" w:lineRule="exact"/>
        <w:ind w:firstLine="361" w:firstLineChars="172"/>
        <w:jc w:val="left"/>
        <w:rPr>
          <w:rFonts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5）采购人及其子公司、采购人的上级主管部门或者控股公司、竞争性比选代理机构的工作人员或者退休人员；</w:t>
      </w:r>
    </w:p>
    <w:p>
      <w:pPr>
        <w:autoSpaceDE w:val="0"/>
        <w:autoSpaceDN w:val="0"/>
        <w:adjustRightInd w:val="0"/>
        <w:spacing w:line="300" w:lineRule="exact"/>
        <w:ind w:firstLine="361" w:firstLineChars="172"/>
        <w:jc w:val="left"/>
        <w:rPr>
          <w:rFonts w:ascii="宋体" w:hAnsi="宋体" w:cs="MingLiU"/>
          <w:kern w:val="0"/>
          <w:szCs w:val="21"/>
        </w:rPr>
      </w:pPr>
      <w:r>
        <w:rPr>
          <w:rFonts w:hint="eastAsia" w:ascii="宋体" w:hAnsi="宋体" w:cs="宋体"/>
          <w:kern w:val="0"/>
          <w:szCs w:val="21"/>
          <w:lang w:bidi="ar"/>
        </w:rPr>
        <w:t>（</w:t>
      </w:r>
      <w:r>
        <w:rPr>
          <w:rFonts w:hint="eastAsia" w:ascii="宋体" w:hAnsi="宋体" w:cs="MingLiU"/>
          <w:kern w:val="0"/>
          <w:szCs w:val="21"/>
          <w:lang w:bidi="ar"/>
        </w:rPr>
        <w:t>6）近3年在采购人、报价人或竞争性比选代理机构工作过的人员。</w:t>
      </w:r>
    </w:p>
    <w:p>
      <w:pPr>
        <w:pStyle w:val="5"/>
        <w:widowControl/>
        <w:spacing w:before="0" w:after="0" w:line="300" w:lineRule="exact"/>
        <w:rPr>
          <w:rFonts w:ascii="宋体" w:hAnsi="宋体"/>
          <w:kern w:val="2"/>
          <w:sz w:val="21"/>
          <w:szCs w:val="21"/>
        </w:rPr>
      </w:pPr>
      <w:bookmarkStart w:id="542" w:name="_Toc287607782"/>
      <w:bookmarkEnd w:id="542"/>
      <w:bookmarkStart w:id="543" w:name="_Toc40455679"/>
      <w:bookmarkEnd w:id="543"/>
      <w:bookmarkStart w:id="544" w:name="_Toc277082588"/>
      <w:bookmarkEnd w:id="544"/>
      <w:bookmarkStart w:id="545" w:name="_Toc4662176"/>
      <w:bookmarkEnd w:id="545"/>
      <w:bookmarkStart w:id="546" w:name="_Toc200513162"/>
      <w:bookmarkEnd w:id="546"/>
      <w:bookmarkStart w:id="547" w:name="_Toc4661462"/>
      <w:bookmarkEnd w:id="547"/>
      <w:bookmarkStart w:id="548" w:name="_Toc224103353"/>
      <w:bookmarkEnd w:id="548"/>
      <w:bookmarkStart w:id="549" w:name="_Toc4661940"/>
      <w:bookmarkEnd w:id="549"/>
      <w:bookmarkStart w:id="550" w:name="_Toc40455306"/>
      <w:bookmarkEnd w:id="550"/>
      <w:bookmarkStart w:id="551" w:name="_Toc4661704"/>
      <w:bookmarkEnd w:id="551"/>
      <w:bookmarkStart w:id="552" w:name="_Toc40780288"/>
      <w:bookmarkEnd w:id="552"/>
      <w:bookmarkStart w:id="553" w:name="_Toc3788"/>
      <w:r>
        <w:rPr>
          <w:rFonts w:hint="eastAsia" w:ascii="宋体" w:hAnsi="宋体"/>
          <w:kern w:val="2"/>
          <w:sz w:val="21"/>
          <w:szCs w:val="21"/>
        </w:rPr>
        <w:t xml:space="preserve">6.2  </w:t>
      </w:r>
      <w:bookmarkEnd w:id="553"/>
      <w:r>
        <w:rPr>
          <w:rFonts w:hint="eastAsia" w:ascii="宋体" w:hAnsi="宋体" w:cs="宋体"/>
          <w:kern w:val="2"/>
          <w:sz w:val="21"/>
          <w:szCs w:val="21"/>
        </w:rPr>
        <w:t>评标原则</w:t>
      </w:r>
    </w:p>
    <w:p>
      <w:pPr>
        <w:autoSpaceDE w:val="0"/>
        <w:autoSpaceDN w:val="0"/>
        <w:adjustRightInd w:val="0"/>
        <w:spacing w:line="300" w:lineRule="exact"/>
        <w:jc w:val="left"/>
        <w:rPr>
          <w:rFonts w:ascii="宋体" w:hAnsi="宋体" w:cs="MingLiU"/>
          <w:kern w:val="0"/>
          <w:szCs w:val="21"/>
        </w:rPr>
      </w:pPr>
      <w:r>
        <w:rPr>
          <w:rFonts w:hint="eastAsia" w:ascii="宋体" w:hAnsi="宋体" w:cs="MingLiU"/>
          <w:kern w:val="0"/>
          <w:szCs w:val="21"/>
          <w:lang w:bidi="ar"/>
        </w:rPr>
        <w:t xml:space="preserve">    </w:t>
      </w:r>
      <w:r>
        <w:rPr>
          <w:rFonts w:hint="eastAsia" w:ascii="宋体" w:hAnsi="宋体" w:cs="宋体"/>
          <w:kern w:val="0"/>
          <w:szCs w:val="21"/>
          <w:lang w:bidi="ar"/>
        </w:rPr>
        <w:t>评标活动遵循公平、公正、科学和择优的原则。</w:t>
      </w:r>
    </w:p>
    <w:p>
      <w:pPr>
        <w:pStyle w:val="5"/>
        <w:widowControl/>
        <w:spacing w:before="0" w:after="0" w:line="300" w:lineRule="exact"/>
        <w:rPr>
          <w:rFonts w:ascii="宋体" w:hAnsi="宋体"/>
          <w:kern w:val="2"/>
          <w:sz w:val="21"/>
          <w:szCs w:val="21"/>
        </w:rPr>
      </w:pPr>
      <w:bookmarkStart w:id="554" w:name="_Toc40780289"/>
      <w:bookmarkEnd w:id="554"/>
      <w:bookmarkStart w:id="555" w:name="_Toc200513163"/>
      <w:bookmarkEnd w:id="555"/>
      <w:bookmarkStart w:id="556" w:name="_Toc4661941"/>
      <w:bookmarkEnd w:id="556"/>
      <w:bookmarkStart w:id="557" w:name="_Toc224103354"/>
      <w:bookmarkEnd w:id="557"/>
      <w:bookmarkStart w:id="558" w:name="_Toc277082589"/>
      <w:bookmarkEnd w:id="558"/>
      <w:bookmarkStart w:id="559" w:name="_Toc4661705"/>
      <w:bookmarkEnd w:id="559"/>
      <w:bookmarkStart w:id="560" w:name="_Toc40455307"/>
      <w:bookmarkEnd w:id="560"/>
      <w:bookmarkStart w:id="561" w:name="_Toc40455680"/>
      <w:bookmarkEnd w:id="561"/>
      <w:bookmarkStart w:id="562" w:name="_Toc287607783"/>
      <w:bookmarkEnd w:id="562"/>
      <w:bookmarkStart w:id="563" w:name="_Toc26101"/>
      <w:bookmarkEnd w:id="563"/>
      <w:bookmarkStart w:id="564" w:name="_Toc4661463"/>
      <w:bookmarkEnd w:id="564"/>
      <w:bookmarkStart w:id="565" w:name="_Toc4662177"/>
      <w:r>
        <w:rPr>
          <w:rFonts w:hint="eastAsia" w:ascii="宋体" w:hAnsi="宋体"/>
          <w:kern w:val="2"/>
          <w:sz w:val="21"/>
          <w:szCs w:val="21"/>
        </w:rPr>
        <w:t xml:space="preserve">6.3  </w:t>
      </w:r>
      <w:bookmarkEnd w:id="565"/>
      <w:r>
        <w:rPr>
          <w:rFonts w:hint="eastAsia" w:ascii="宋体" w:hAnsi="宋体" w:cs="宋体"/>
          <w:kern w:val="2"/>
          <w:sz w:val="21"/>
          <w:szCs w:val="21"/>
        </w:rPr>
        <w:t>评标</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MingLiU"/>
          <w:kern w:val="0"/>
          <w:szCs w:val="21"/>
          <w:lang w:bidi="ar"/>
        </w:rPr>
        <w:t>6.3.1评标委员会按照第三章“评标办法”规定的方法、评审因素、标准和程序对比选响应文件进行评审。第三章“评标办法”没有规定的方法、评审因素和标准，不得作为评标依据。</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MingLiU"/>
          <w:kern w:val="0"/>
          <w:szCs w:val="21"/>
          <w:lang w:bidi="ar"/>
        </w:rPr>
        <w:t>6.3.2评标完成后，评标委员会应向采购人提交书面评标报告和中标候选人名单。评标委员会推荐中标候选人的人数见报价人须知前附表。</w:t>
      </w:r>
    </w:p>
    <w:p>
      <w:pPr>
        <w:pStyle w:val="4"/>
        <w:widowControl/>
        <w:spacing w:before="0" w:after="0" w:line="300" w:lineRule="exact"/>
        <w:rPr>
          <w:rFonts w:ascii="宋体" w:hAnsi="宋体"/>
          <w:sz w:val="21"/>
          <w:szCs w:val="21"/>
        </w:rPr>
      </w:pPr>
      <w:bookmarkStart w:id="566" w:name="_Toc277082590"/>
      <w:bookmarkEnd w:id="566"/>
      <w:bookmarkStart w:id="567" w:name="_Toc40455308"/>
      <w:bookmarkEnd w:id="567"/>
      <w:bookmarkStart w:id="568" w:name="_Toc4661464"/>
      <w:bookmarkEnd w:id="568"/>
      <w:bookmarkStart w:id="569" w:name="_Toc287607784"/>
      <w:bookmarkEnd w:id="569"/>
      <w:bookmarkStart w:id="570" w:name="_Toc40455681"/>
      <w:bookmarkEnd w:id="570"/>
      <w:bookmarkStart w:id="571" w:name="_Toc4661706"/>
      <w:bookmarkEnd w:id="571"/>
      <w:bookmarkStart w:id="572" w:name="_Toc6853"/>
      <w:bookmarkEnd w:id="572"/>
      <w:bookmarkStart w:id="573" w:name="_Toc13060"/>
      <w:bookmarkEnd w:id="573"/>
      <w:bookmarkStart w:id="574" w:name="_Toc4661942"/>
      <w:bookmarkEnd w:id="574"/>
      <w:bookmarkStart w:id="575" w:name="_Toc28253"/>
      <w:bookmarkEnd w:id="575"/>
      <w:bookmarkStart w:id="576" w:name="_Toc2883"/>
      <w:bookmarkEnd w:id="576"/>
      <w:bookmarkStart w:id="577" w:name="_Toc200513164"/>
      <w:bookmarkEnd w:id="577"/>
      <w:bookmarkStart w:id="578" w:name="_Toc224103355"/>
      <w:bookmarkEnd w:id="578"/>
      <w:bookmarkStart w:id="579" w:name="_Toc4662178"/>
      <w:bookmarkEnd w:id="579"/>
      <w:bookmarkStart w:id="580" w:name="_Toc20858"/>
      <w:bookmarkEnd w:id="580"/>
      <w:bookmarkStart w:id="581" w:name="_Toc28602"/>
      <w:bookmarkStart w:id="582" w:name="_Toc7661"/>
      <w:r>
        <w:rPr>
          <w:rFonts w:hint="eastAsia" w:ascii="宋体" w:hAnsi="宋体"/>
          <w:sz w:val="21"/>
          <w:szCs w:val="21"/>
        </w:rPr>
        <w:t xml:space="preserve">7.  </w:t>
      </w:r>
      <w:bookmarkEnd w:id="581"/>
      <w:r>
        <w:rPr>
          <w:rFonts w:hint="eastAsia" w:ascii="宋体" w:hAnsi="宋体" w:eastAsia="宋体" w:cs="宋体"/>
          <w:kern w:val="2"/>
          <w:sz w:val="21"/>
          <w:szCs w:val="21"/>
        </w:rPr>
        <w:t>合同授予</w:t>
      </w:r>
      <w:bookmarkEnd w:id="582"/>
    </w:p>
    <w:p>
      <w:pPr>
        <w:pStyle w:val="5"/>
        <w:widowControl/>
        <w:spacing w:before="0" w:after="0" w:line="300" w:lineRule="exact"/>
        <w:rPr>
          <w:rFonts w:ascii="宋体" w:hAnsi="宋体"/>
          <w:kern w:val="2"/>
          <w:sz w:val="21"/>
          <w:szCs w:val="21"/>
        </w:rPr>
      </w:pPr>
      <w:bookmarkStart w:id="583" w:name="_Toc40455682"/>
      <w:bookmarkEnd w:id="583"/>
      <w:bookmarkStart w:id="584" w:name="_Toc40455309"/>
      <w:bookmarkEnd w:id="584"/>
      <w:bookmarkStart w:id="585" w:name="_Toc4661943"/>
      <w:bookmarkEnd w:id="585"/>
      <w:bookmarkStart w:id="586" w:name="_Toc4661707"/>
      <w:bookmarkEnd w:id="586"/>
      <w:bookmarkStart w:id="587" w:name="_Toc4661465"/>
      <w:bookmarkEnd w:id="587"/>
      <w:bookmarkStart w:id="588" w:name="_Toc277082591"/>
      <w:bookmarkEnd w:id="588"/>
      <w:bookmarkStart w:id="589" w:name="_Toc200513165"/>
      <w:bookmarkEnd w:id="589"/>
      <w:bookmarkStart w:id="590" w:name="_Toc287607785"/>
      <w:bookmarkEnd w:id="590"/>
      <w:bookmarkStart w:id="591" w:name="_Toc224103356"/>
      <w:bookmarkEnd w:id="591"/>
      <w:bookmarkStart w:id="592" w:name="_Toc12458"/>
      <w:bookmarkEnd w:id="592"/>
      <w:bookmarkStart w:id="593" w:name="_Toc4662179"/>
      <w:bookmarkEnd w:id="593"/>
      <w:bookmarkStart w:id="594" w:name="_Toc40780291"/>
      <w:r>
        <w:rPr>
          <w:rFonts w:hint="eastAsia" w:ascii="宋体" w:hAnsi="宋体"/>
          <w:kern w:val="2"/>
          <w:sz w:val="21"/>
          <w:szCs w:val="21"/>
        </w:rPr>
        <w:t xml:space="preserve">7.1  </w:t>
      </w:r>
      <w:bookmarkEnd w:id="594"/>
      <w:r>
        <w:rPr>
          <w:rFonts w:hint="eastAsia" w:ascii="宋体" w:hAnsi="宋体" w:cs="宋体"/>
          <w:kern w:val="2"/>
          <w:sz w:val="21"/>
          <w:szCs w:val="21"/>
        </w:rPr>
        <w:t>定标方式</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宋体"/>
          <w:kern w:val="0"/>
          <w:szCs w:val="21"/>
          <w:lang w:bidi="ar"/>
        </w:rPr>
        <w:t>除报价人须知前附表规定评标委员会直接确定中标人外，采购人依据评标委员会推荐的中标候选人中的第一名综合得分者为中标人，评标委员会推荐中标候选人的人数见报价人须知前附表。</w:t>
      </w:r>
    </w:p>
    <w:p>
      <w:pPr>
        <w:pStyle w:val="5"/>
        <w:widowControl/>
        <w:spacing w:before="0" w:after="0" w:line="300" w:lineRule="exact"/>
        <w:rPr>
          <w:rFonts w:ascii="宋体" w:hAnsi="宋体"/>
          <w:kern w:val="2"/>
          <w:sz w:val="21"/>
          <w:szCs w:val="21"/>
        </w:rPr>
      </w:pPr>
      <w:bookmarkStart w:id="595" w:name="_Toc4661708"/>
      <w:bookmarkEnd w:id="595"/>
      <w:bookmarkStart w:id="596" w:name="_Toc40780292"/>
      <w:bookmarkEnd w:id="596"/>
      <w:bookmarkStart w:id="597" w:name="_Toc4662180"/>
      <w:bookmarkEnd w:id="597"/>
      <w:bookmarkStart w:id="598" w:name="_Toc4661944"/>
      <w:bookmarkEnd w:id="598"/>
      <w:bookmarkStart w:id="599" w:name="_Toc32622"/>
      <w:bookmarkEnd w:id="599"/>
      <w:bookmarkStart w:id="600" w:name="_Toc200513166"/>
      <w:bookmarkEnd w:id="600"/>
      <w:bookmarkStart w:id="601" w:name="_Toc40455683"/>
      <w:bookmarkEnd w:id="601"/>
      <w:bookmarkStart w:id="602" w:name="_Toc4661466"/>
      <w:bookmarkEnd w:id="602"/>
      <w:bookmarkStart w:id="603" w:name="_Toc40455310"/>
      <w:bookmarkEnd w:id="603"/>
      <w:bookmarkStart w:id="604" w:name="_Toc277082592"/>
      <w:bookmarkEnd w:id="604"/>
      <w:bookmarkStart w:id="605" w:name="_Toc287607786"/>
      <w:bookmarkEnd w:id="605"/>
      <w:bookmarkStart w:id="606" w:name="_Toc224103357"/>
      <w:r>
        <w:rPr>
          <w:rFonts w:hint="eastAsia" w:ascii="宋体" w:hAnsi="宋体"/>
          <w:kern w:val="2"/>
          <w:sz w:val="21"/>
          <w:szCs w:val="21"/>
        </w:rPr>
        <w:t xml:space="preserve">7.2  </w:t>
      </w:r>
      <w:bookmarkEnd w:id="606"/>
      <w:r>
        <w:rPr>
          <w:rFonts w:hint="eastAsia" w:ascii="宋体" w:hAnsi="宋体" w:cs="宋体"/>
          <w:kern w:val="2"/>
          <w:sz w:val="21"/>
          <w:szCs w:val="21"/>
        </w:rPr>
        <w:t>中标通知</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宋体"/>
          <w:kern w:val="0"/>
          <w:szCs w:val="21"/>
          <w:lang w:bidi="ar"/>
        </w:rPr>
        <w:t>在本章第</w:t>
      </w:r>
      <w:r>
        <w:rPr>
          <w:rFonts w:hint="eastAsia" w:ascii="宋体" w:hAnsi="宋体" w:cs="Calibri"/>
          <w:kern w:val="0"/>
          <w:szCs w:val="21"/>
          <w:lang w:bidi="ar"/>
        </w:rPr>
        <w:t xml:space="preserve"> 3.3 </w:t>
      </w:r>
      <w:r>
        <w:rPr>
          <w:rFonts w:hint="eastAsia" w:ascii="宋体" w:hAnsi="宋体" w:cs="宋体"/>
          <w:kern w:val="0"/>
          <w:szCs w:val="21"/>
          <w:lang w:bidi="ar"/>
        </w:rPr>
        <w:t>款规定的投标有效期内，采购人以书面形式向中标人发出中标通知书，同时将中标结果通知未中标的报价人。</w:t>
      </w:r>
    </w:p>
    <w:p>
      <w:pPr>
        <w:pStyle w:val="5"/>
        <w:widowControl/>
        <w:spacing w:before="0" w:after="0" w:line="300" w:lineRule="exact"/>
        <w:rPr>
          <w:rFonts w:ascii="宋体" w:hAnsi="宋体"/>
          <w:kern w:val="2"/>
          <w:sz w:val="21"/>
          <w:szCs w:val="21"/>
        </w:rPr>
      </w:pPr>
      <w:bookmarkStart w:id="607" w:name="_Toc287607787"/>
      <w:bookmarkEnd w:id="607"/>
      <w:bookmarkStart w:id="608" w:name="_Toc200513167"/>
      <w:bookmarkEnd w:id="608"/>
      <w:bookmarkStart w:id="609" w:name="_Toc4661709"/>
      <w:bookmarkEnd w:id="609"/>
      <w:bookmarkStart w:id="610" w:name="_Toc6509"/>
      <w:bookmarkEnd w:id="610"/>
      <w:bookmarkStart w:id="611" w:name="_Toc40455311"/>
      <w:bookmarkEnd w:id="611"/>
      <w:bookmarkStart w:id="612" w:name="_Toc4661945"/>
      <w:bookmarkEnd w:id="612"/>
      <w:bookmarkStart w:id="613" w:name="_Toc277082593"/>
      <w:bookmarkEnd w:id="613"/>
      <w:bookmarkStart w:id="614" w:name="_Toc40455684"/>
      <w:bookmarkEnd w:id="614"/>
      <w:bookmarkStart w:id="615" w:name="_Toc4661467"/>
      <w:bookmarkEnd w:id="615"/>
      <w:bookmarkStart w:id="616" w:name="_Toc40780293"/>
      <w:bookmarkEnd w:id="616"/>
      <w:bookmarkStart w:id="617" w:name="_Toc224103358"/>
      <w:bookmarkEnd w:id="617"/>
      <w:bookmarkStart w:id="618" w:name="_Toc4662181"/>
      <w:r>
        <w:rPr>
          <w:rFonts w:hint="eastAsia" w:ascii="宋体" w:hAnsi="宋体"/>
          <w:kern w:val="2"/>
          <w:sz w:val="21"/>
          <w:szCs w:val="21"/>
        </w:rPr>
        <w:t xml:space="preserve">7.3  </w:t>
      </w:r>
      <w:bookmarkEnd w:id="618"/>
      <w:r>
        <w:rPr>
          <w:rFonts w:hint="eastAsia" w:ascii="宋体" w:hAnsi="宋体" w:cs="宋体"/>
          <w:kern w:val="2"/>
          <w:sz w:val="21"/>
          <w:szCs w:val="21"/>
        </w:rPr>
        <w:t>履约担保</w:t>
      </w:r>
    </w:p>
    <w:p>
      <w:pPr>
        <w:autoSpaceDE w:val="0"/>
        <w:autoSpaceDN w:val="0"/>
        <w:adjustRightInd w:val="0"/>
        <w:spacing w:line="300" w:lineRule="exact"/>
        <w:ind w:firstLine="420"/>
        <w:rPr>
          <w:rFonts w:ascii="宋体" w:hAnsi="宋体" w:cs="MingLiU"/>
          <w:kern w:val="0"/>
          <w:szCs w:val="21"/>
        </w:rPr>
      </w:pPr>
      <w:r>
        <w:rPr>
          <w:rFonts w:hint="eastAsia" w:ascii="宋体" w:hAnsi="宋体" w:cs="Calibri"/>
          <w:kern w:val="0"/>
          <w:szCs w:val="21"/>
          <w:lang w:bidi="ar"/>
        </w:rPr>
        <w:t xml:space="preserve">7.3.1  </w:t>
      </w:r>
      <w:r>
        <w:rPr>
          <w:rFonts w:hint="eastAsia" w:ascii="宋体" w:hAnsi="宋体" w:cs="宋体"/>
          <w:kern w:val="0"/>
          <w:szCs w:val="21"/>
          <w:lang w:bidi="ar"/>
        </w:rPr>
        <w:t>在签订合同前，中标人应按报价人须知前附表规定的金额、担保形式和竞争性比选文件</w:t>
      </w:r>
      <w:r>
        <w:rPr>
          <w:rFonts w:hint="eastAsia" w:ascii="宋体" w:hAnsi="宋体" w:cs="Calibri"/>
          <w:kern w:val="0"/>
          <w:szCs w:val="21"/>
          <w:lang w:bidi="ar"/>
        </w:rPr>
        <w:t xml:space="preserve"> </w:t>
      </w:r>
      <w:r>
        <w:rPr>
          <w:rFonts w:hint="eastAsia" w:ascii="宋体" w:hAnsi="宋体" w:cs="宋体"/>
          <w:kern w:val="0"/>
          <w:szCs w:val="21"/>
          <w:lang w:bidi="ar"/>
        </w:rPr>
        <w:t>第四章</w:t>
      </w:r>
      <w:r>
        <w:rPr>
          <w:rFonts w:hint="eastAsia" w:ascii="宋体" w:hAnsi="宋体" w:cs="MingLiU"/>
          <w:kern w:val="0"/>
          <w:szCs w:val="21"/>
          <w:lang w:bidi="ar"/>
        </w:rPr>
        <w:t>“合同条款及格式”规定的履约担保格式向采购人提交履约担保。联合体中标的，其履约担保由牵头人递交，并应符合报价人须知前附表规定的金额、担保形式等缴纳履约保证金。</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Calibri"/>
          <w:kern w:val="0"/>
          <w:szCs w:val="21"/>
          <w:lang w:bidi="ar"/>
        </w:rPr>
        <w:t xml:space="preserve">7.3.2  </w:t>
      </w:r>
      <w:r>
        <w:rPr>
          <w:rFonts w:hint="eastAsia" w:ascii="宋体" w:hAnsi="宋体" w:cs="宋体"/>
          <w:kern w:val="0"/>
          <w:szCs w:val="21"/>
          <w:lang w:bidi="ar"/>
        </w:rPr>
        <w:t>中标人不能按本章第</w:t>
      </w:r>
      <w:r>
        <w:rPr>
          <w:rFonts w:hint="eastAsia" w:ascii="宋体" w:hAnsi="宋体" w:cs="Calibri"/>
          <w:kern w:val="0"/>
          <w:szCs w:val="21"/>
          <w:lang w:bidi="ar"/>
        </w:rPr>
        <w:t xml:space="preserve"> 7.3.1 </w:t>
      </w:r>
      <w:r>
        <w:rPr>
          <w:rFonts w:hint="eastAsia" w:ascii="宋体" w:hAnsi="宋体" w:cs="宋体"/>
          <w:kern w:val="0"/>
          <w:szCs w:val="21"/>
          <w:lang w:bidi="ar"/>
        </w:rPr>
        <w:t>项要求提交履约担保的，视为放弃中标，其投标保证金不予退还，给采购人造成的损失超过投标保证金数额的，中标人还应当对超过部分予以赔偿。</w:t>
      </w:r>
    </w:p>
    <w:p>
      <w:pPr>
        <w:pStyle w:val="5"/>
        <w:widowControl/>
        <w:spacing w:before="0" w:after="0" w:line="300" w:lineRule="exact"/>
        <w:rPr>
          <w:rFonts w:ascii="宋体" w:hAnsi="宋体"/>
          <w:kern w:val="2"/>
          <w:sz w:val="21"/>
          <w:szCs w:val="21"/>
        </w:rPr>
      </w:pPr>
      <w:bookmarkStart w:id="619" w:name="_Toc12031"/>
      <w:bookmarkEnd w:id="619"/>
      <w:bookmarkStart w:id="620" w:name="_Toc40455685"/>
      <w:bookmarkEnd w:id="620"/>
      <w:bookmarkStart w:id="621" w:name="_Toc40780294"/>
      <w:bookmarkEnd w:id="621"/>
      <w:bookmarkStart w:id="622" w:name="_Toc4661946"/>
      <w:bookmarkEnd w:id="622"/>
      <w:bookmarkStart w:id="623" w:name="_Toc4662182"/>
      <w:bookmarkEnd w:id="623"/>
      <w:bookmarkStart w:id="624" w:name="_Toc4661468"/>
      <w:bookmarkEnd w:id="624"/>
      <w:bookmarkStart w:id="625" w:name="_Toc224103359"/>
      <w:bookmarkEnd w:id="625"/>
      <w:bookmarkStart w:id="626" w:name="_Toc200513168"/>
      <w:bookmarkEnd w:id="626"/>
      <w:bookmarkStart w:id="627" w:name="_Toc40455312"/>
      <w:bookmarkEnd w:id="627"/>
      <w:bookmarkStart w:id="628" w:name="_Toc4661710"/>
      <w:bookmarkEnd w:id="628"/>
      <w:bookmarkStart w:id="629" w:name="_Toc277082594"/>
      <w:bookmarkEnd w:id="629"/>
      <w:bookmarkStart w:id="630" w:name="_Toc287607788"/>
      <w:r>
        <w:rPr>
          <w:rFonts w:hint="eastAsia" w:ascii="宋体" w:hAnsi="宋体"/>
          <w:kern w:val="2"/>
          <w:sz w:val="21"/>
          <w:szCs w:val="21"/>
        </w:rPr>
        <w:t xml:space="preserve">7.4  </w:t>
      </w:r>
      <w:bookmarkEnd w:id="630"/>
      <w:r>
        <w:rPr>
          <w:rFonts w:hint="eastAsia" w:ascii="宋体" w:hAnsi="宋体" w:cs="宋体"/>
          <w:kern w:val="2"/>
          <w:sz w:val="21"/>
          <w:szCs w:val="21"/>
        </w:rPr>
        <w:t>签订合同</w:t>
      </w:r>
    </w:p>
    <w:p>
      <w:pPr>
        <w:autoSpaceDE w:val="0"/>
        <w:autoSpaceDN w:val="0"/>
        <w:adjustRightInd w:val="0"/>
        <w:spacing w:line="300" w:lineRule="exact"/>
        <w:ind w:firstLine="420"/>
        <w:rPr>
          <w:rFonts w:ascii="宋体" w:hAnsi="宋体" w:cs="MingLiU"/>
          <w:kern w:val="0"/>
          <w:szCs w:val="21"/>
        </w:rPr>
      </w:pPr>
      <w:r>
        <w:rPr>
          <w:rFonts w:hint="eastAsia" w:ascii="宋体" w:hAnsi="宋体" w:cs="Calibri"/>
          <w:kern w:val="0"/>
          <w:szCs w:val="21"/>
          <w:lang w:bidi="ar"/>
        </w:rPr>
        <w:t xml:space="preserve">7.4.1 </w:t>
      </w:r>
      <w:r>
        <w:rPr>
          <w:rFonts w:hint="eastAsia" w:ascii="宋体" w:hAnsi="宋体" w:cs="宋体"/>
          <w:kern w:val="0"/>
          <w:szCs w:val="21"/>
          <w:lang w:bidi="ar"/>
        </w:rPr>
        <w:t>采购人和中标人应当自中标通知书发出之日起</w:t>
      </w:r>
      <w:r>
        <w:rPr>
          <w:rFonts w:hint="eastAsia" w:ascii="宋体" w:hAnsi="宋体" w:cs="Calibri"/>
          <w:kern w:val="0"/>
          <w:szCs w:val="21"/>
          <w:lang w:bidi="ar"/>
        </w:rPr>
        <w:t xml:space="preserve"> 30 </w:t>
      </w:r>
      <w:r>
        <w:rPr>
          <w:rFonts w:hint="eastAsia" w:ascii="宋体" w:hAnsi="宋体" w:cs="宋体"/>
          <w:kern w:val="0"/>
          <w:szCs w:val="21"/>
          <w:lang w:bidi="ar"/>
        </w:rPr>
        <w:t>天内，根据竞争性比选文件和中标人的比选响应文件订立书面合同。中标人无正当理由拒签合同的，采购人取消其中标资格，其投标保证金不予退还；给采购人造成的损失超过投标保证金数额的，中标人还应当对超过部分予以赔偿。</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Calibri"/>
          <w:kern w:val="0"/>
          <w:szCs w:val="21"/>
          <w:lang w:bidi="ar"/>
        </w:rPr>
        <w:t xml:space="preserve">7.4.2  </w:t>
      </w:r>
      <w:r>
        <w:rPr>
          <w:rFonts w:hint="eastAsia" w:ascii="宋体" w:hAnsi="宋体" w:cs="宋体"/>
          <w:kern w:val="0"/>
          <w:szCs w:val="21"/>
          <w:lang w:bidi="ar"/>
        </w:rPr>
        <w:t>发出中标通知书后，采购人无正当理由拒签合同的，采购人向中标人退还投标保证金；给中标人造成损失的，还应当赔偿损失。</w:t>
      </w:r>
    </w:p>
    <w:p>
      <w:pPr>
        <w:autoSpaceDE w:val="0"/>
        <w:autoSpaceDN w:val="0"/>
        <w:adjustRightInd w:val="0"/>
        <w:spacing w:line="300" w:lineRule="exact"/>
        <w:jc w:val="left"/>
        <w:rPr>
          <w:rFonts w:ascii="宋体" w:hAnsi="宋体"/>
          <w:b/>
          <w:szCs w:val="21"/>
        </w:rPr>
      </w:pPr>
      <w:bookmarkStart w:id="631" w:name="_Toc4661469"/>
      <w:bookmarkEnd w:id="631"/>
      <w:bookmarkStart w:id="632" w:name="_Toc4662183"/>
      <w:bookmarkEnd w:id="632"/>
      <w:bookmarkStart w:id="633" w:name="_Toc8265"/>
      <w:bookmarkEnd w:id="633"/>
      <w:bookmarkStart w:id="634" w:name="_Toc277082595"/>
      <w:bookmarkEnd w:id="634"/>
      <w:bookmarkStart w:id="635" w:name="_Toc224103360"/>
      <w:bookmarkEnd w:id="635"/>
      <w:bookmarkStart w:id="636" w:name="_Toc40455313"/>
      <w:bookmarkEnd w:id="636"/>
      <w:bookmarkStart w:id="637" w:name="_Toc4661711"/>
      <w:bookmarkEnd w:id="637"/>
      <w:bookmarkStart w:id="638" w:name="_Toc40455686"/>
      <w:bookmarkEnd w:id="638"/>
      <w:bookmarkStart w:id="639" w:name="_Toc200513169"/>
      <w:bookmarkEnd w:id="639"/>
      <w:bookmarkStart w:id="640" w:name="_Toc4661947"/>
      <w:bookmarkEnd w:id="640"/>
      <w:bookmarkStart w:id="641" w:name="_Toc287607789"/>
      <w:bookmarkEnd w:id="641"/>
      <w:bookmarkStart w:id="642" w:name="_Toc14976"/>
      <w:r>
        <w:rPr>
          <w:rFonts w:hint="eastAsia" w:ascii="宋体" w:hAnsi="宋体"/>
          <w:b/>
          <w:szCs w:val="21"/>
          <w:lang w:bidi="ar"/>
        </w:rPr>
        <w:t xml:space="preserve">8.  </w:t>
      </w:r>
      <w:bookmarkEnd w:id="642"/>
      <w:bookmarkStart w:id="643" w:name="_Toc200513172"/>
      <w:bookmarkEnd w:id="643"/>
      <w:bookmarkStart w:id="644" w:name="_Toc4662186"/>
      <w:bookmarkEnd w:id="644"/>
      <w:bookmarkStart w:id="645" w:name="_Toc4661950"/>
      <w:bookmarkEnd w:id="645"/>
      <w:bookmarkStart w:id="646" w:name="_Toc4661714"/>
      <w:bookmarkEnd w:id="646"/>
      <w:bookmarkStart w:id="647" w:name="_Toc277082598"/>
      <w:bookmarkEnd w:id="647"/>
      <w:bookmarkStart w:id="648" w:name="_Toc4661472"/>
      <w:bookmarkEnd w:id="648"/>
      <w:bookmarkStart w:id="649" w:name="_Toc31835"/>
      <w:bookmarkEnd w:id="649"/>
      <w:bookmarkStart w:id="650" w:name="_Toc287607792"/>
      <w:bookmarkEnd w:id="650"/>
      <w:bookmarkStart w:id="651" w:name="_Toc14831"/>
      <w:bookmarkEnd w:id="651"/>
      <w:bookmarkStart w:id="652" w:name="_Toc40455689"/>
      <w:bookmarkEnd w:id="652"/>
      <w:bookmarkStart w:id="653" w:name="_Toc224103363"/>
      <w:bookmarkEnd w:id="653"/>
      <w:bookmarkStart w:id="654" w:name="_Toc40455316"/>
      <w:bookmarkEnd w:id="654"/>
      <w:r>
        <w:rPr>
          <w:rFonts w:hint="eastAsia" w:ascii="宋体" w:hAnsi="宋体"/>
          <w:b/>
          <w:szCs w:val="21"/>
          <w:lang w:bidi="ar"/>
        </w:rPr>
        <w:t xml:space="preserve"> </w:t>
      </w:r>
      <w:r>
        <w:rPr>
          <w:rFonts w:hint="eastAsia" w:ascii="宋体" w:hAnsi="宋体" w:cs="宋体"/>
          <w:b/>
          <w:szCs w:val="21"/>
          <w:lang w:bidi="ar"/>
        </w:rPr>
        <w:t>纪律和监督</w:t>
      </w:r>
    </w:p>
    <w:p>
      <w:pPr>
        <w:pStyle w:val="5"/>
        <w:widowControl/>
        <w:spacing w:before="0" w:after="0" w:line="300" w:lineRule="exact"/>
        <w:rPr>
          <w:rFonts w:ascii="宋体" w:hAnsi="宋体"/>
          <w:kern w:val="2"/>
          <w:sz w:val="21"/>
          <w:szCs w:val="21"/>
        </w:rPr>
      </w:pPr>
      <w:bookmarkStart w:id="655" w:name="_Toc40455317"/>
      <w:bookmarkEnd w:id="655"/>
      <w:bookmarkStart w:id="656" w:name="_Toc200513173"/>
      <w:bookmarkEnd w:id="656"/>
      <w:bookmarkStart w:id="657" w:name="_Toc8515"/>
      <w:bookmarkEnd w:id="657"/>
      <w:bookmarkStart w:id="658" w:name="_Toc40455690"/>
      <w:bookmarkEnd w:id="658"/>
      <w:bookmarkStart w:id="659" w:name="_Toc287607793"/>
      <w:bookmarkEnd w:id="659"/>
      <w:bookmarkStart w:id="660" w:name="_Toc4661715"/>
      <w:bookmarkEnd w:id="660"/>
      <w:bookmarkStart w:id="661" w:name="_Toc277082599"/>
      <w:bookmarkEnd w:id="661"/>
      <w:bookmarkStart w:id="662" w:name="_Toc224103364"/>
      <w:bookmarkEnd w:id="662"/>
      <w:bookmarkStart w:id="663" w:name="_Toc4662187"/>
      <w:bookmarkEnd w:id="663"/>
      <w:bookmarkStart w:id="664" w:name="_Toc4661473"/>
      <w:bookmarkEnd w:id="664"/>
      <w:bookmarkStart w:id="665" w:name="_Toc40780299"/>
      <w:bookmarkEnd w:id="665"/>
      <w:bookmarkStart w:id="666" w:name="_Toc4661951"/>
      <w:r>
        <w:rPr>
          <w:rFonts w:hint="eastAsia" w:ascii="宋体" w:hAnsi="宋体"/>
          <w:kern w:val="2"/>
          <w:sz w:val="21"/>
          <w:szCs w:val="21"/>
        </w:rPr>
        <w:t>8</w:t>
      </w:r>
      <w:bookmarkEnd w:id="666"/>
      <w:r>
        <w:rPr>
          <w:rFonts w:hint="eastAsia" w:ascii="宋体" w:hAnsi="宋体"/>
          <w:kern w:val="2"/>
          <w:sz w:val="21"/>
          <w:szCs w:val="21"/>
        </w:rPr>
        <w:t xml:space="preserve">.1  </w:t>
      </w:r>
      <w:r>
        <w:rPr>
          <w:rFonts w:hint="eastAsia" w:ascii="宋体" w:hAnsi="宋体" w:cs="宋体"/>
          <w:kern w:val="2"/>
          <w:sz w:val="21"/>
          <w:szCs w:val="21"/>
        </w:rPr>
        <w:t>对采购人的纪律要求</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宋体"/>
          <w:kern w:val="0"/>
          <w:szCs w:val="21"/>
          <w:lang w:bidi="ar"/>
        </w:rPr>
        <w:t>采购人不得泄漏竞争性比选投标活动中应当保密的情况和资料，不得与报价人串通损害国家利益、社会公共利益或者他人合法权益，</w:t>
      </w:r>
      <w:r>
        <w:rPr>
          <w:rFonts w:hint="eastAsia" w:ascii="宋体" w:hAnsi="宋体" w:cs="宋体"/>
          <w:szCs w:val="21"/>
          <w:lang w:bidi="ar"/>
        </w:rPr>
        <w:t>禁止采购人与报价人串通投标。</w:t>
      </w:r>
      <w:r>
        <w:rPr>
          <w:rFonts w:hint="eastAsia" w:ascii="宋体" w:hAnsi="宋体" w:cs="Calibri"/>
          <w:szCs w:val="21"/>
          <w:lang w:bidi="ar"/>
        </w:rPr>
        <w:br w:type="textWrapping"/>
      </w:r>
      <w:r>
        <w:rPr>
          <w:rFonts w:hint="eastAsia" w:ascii="宋体" w:hAnsi="宋体" w:cs="Calibri"/>
          <w:szCs w:val="21"/>
          <w:lang w:bidi="ar"/>
        </w:rPr>
        <w:t xml:space="preserve">   有下列情形之一的，属于采购人与报价人串通投标：</w:t>
      </w:r>
      <w:r>
        <w:rPr>
          <w:rFonts w:hint="eastAsia" w:ascii="宋体" w:hAnsi="宋体" w:cs="Calibri"/>
          <w:szCs w:val="21"/>
          <w:lang w:bidi="ar"/>
        </w:rPr>
        <w:br w:type="textWrapping"/>
      </w:r>
      <w:r>
        <w:rPr>
          <w:rFonts w:hint="eastAsia" w:ascii="宋体" w:hAnsi="宋体" w:cs="Calibri"/>
          <w:szCs w:val="21"/>
          <w:lang w:bidi="ar"/>
        </w:rPr>
        <w:t xml:space="preserve">  （1）采购人在开标前开启比选响应文件并将有关信息泄露给其他报价人;</w:t>
      </w:r>
      <w:r>
        <w:rPr>
          <w:rFonts w:hint="eastAsia" w:ascii="宋体" w:hAnsi="宋体" w:cs="Calibri"/>
          <w:szCs w:val="21"/>
          <w:lang w:bidi="ar"/>
        </w:rPr>
        <w:br w:type="textWrapping"/>
      </w:r>
      <w:r>
        <w:rPr>
          <w:rFonts w:hint="eastAsia" w:ascii="宋体" w:hAnsi="宋体" w:cs="Calibri"/>
          <w:szCs w:val="21"/>
          <w:lang w:bidi="ar"/>
        </w:rPr>
        <w:t xml:space="preserve">  （2）采购人直接或者间接向报价人泄露标底、评标委员会成员等信息；</w:t>
      </w:r>
      <w:r>
        <w:rPr>
          <w:rFonts w:hint="eastAsia" w:ascii="宋体" w:hAnsi="宋体" w:cs="Calibri"/>
          <w:szCs w:val="21"/>
          <w:lang w:bidi="ar"/>
        </w:rPr>
        <w:br w:type="textWrapping"/>
      </w:r>
      <w:r>
        <w:rPr>
          <w:rFonts w:hint="eastAsia" w:ascii="宋体" w:hAnsi="宋体" w:cs="Calibri"/>
          <w:szCs w:val="21"/>
          <w:lang w:bidi="ar"/>
        </w:rPr>
        <w:t xml:space="preserve">  （3）采购人明示或者暗示报价人压低或者抬高投标报价；</w:t>
      </w:r>
      <w:r>
        <w:rPr>
          <w:rFonts w:hint="eastAsia" w:ascii="宋体" w:hAnsi="宋体" w:cs="Calibri"/>
          <w:szCs w:val="21"/>
          <w:lang w:bidi="ar"/>
        </w:rPr>
        <w:br w:type="textWrapping"/>
      </w:r>
      <w:r>
        <w:rPr>
          <w:rFonts w:hint="eastAsia" w:ascii="宋体" w:hAnsi="宋体" w:cs="Calibri"/>
          <w:szCs w:val="21"/>
          <w:lang w:bidi="ar"/>
        </w:rPr>
        <w:t xml:space="preserve">  （4）采购人授意报价人撤换、修改比选响应文件；</w:t>
      </w:r>
      <w:r>
        <w:rPr>
          <w:rFonts w:hint="eastAsia" w:ascii="宋体" w:hAnsi="宋体" w:cs="Calibri"/>
          <w:szCs w:val="21"/>
          <w:lang w:bidi="ar"/>
        </w:rPr>
        <w:br w:type="textWrapping"/>
      </w:r>
      <w:r>
        <w:rPr>
          <w:rFonts w:hint="eastAsia" w:ascii="宋体" w:hAnsi="宋体" w:cs="Calibri"/>
          <w:szCs w:val="21"/>
          <w:lang w:bidi="ar"/>
        </w:rPr>
        <w:t xml:space="preserve">  （5）采购人明示或者暗示报价人为特定报价人中标提供方便；</w:t>
      </w:r>
      <w:r>
        <w:rPr>
          <w:rFonts w:hint="eastAsia" w:ascii="宋体" w:hAnsi="宋体" w:cs="Calibri"/>
          <w:szCs w:val="21"/>
          <w:lang w:bidi="ar"/>
        </w:rPr>
        <w:br w:type="textWrapping"/>
      </w:r>
      <w:r>
        <w:rPr>
          <w:rFonts w:hint="eastAsia" w:ascii="宋体" w:hAnsi="宋体" w:cs="Calibri"/>
          <w:szCs w:val="21"/>
          <w:lang w:bidi="ar"/>
        </w:rPr>
        <w:t xml:space="preserve">  （6）采购人与报价人为谋求特定报价人中标而采取的其他串通行为。</w:t>
      </w:r>
    </w:p>
    <w:p>
      <w:pPr>
        <w:pStyle w:val="5"/>
        <w:widowControl/>
        <w:spacing w:before="0" w:after="0" w:line="300" w:lineRule="exact"/>
        <w:rPr>
          <w:rFonts w:ascii="宋体" w:hAnsi="宋体"/>
          <w:kern w:val="2"/>
          <w:sz w:val="21"/>
          <w:szCs w:val="21"/>
        </w:rPr>
      </w:pPr>
      <w:bookmarkStart w:id="667" w:name="_Toc224103365"/>
      <w:bookmarkEnd w:id="667"/>
      <w:bookmarkStart w:id="668" w:name="_Toc40455691"/>
      <w:bookmarkEnd w:id="668"/>
      <w:bookmarkStart w:id="669" w:name="_Toc19536"/>
      <w:bookmarkEnd w:id="669"/>
      <w:bookmarkStart w:id="670" w:name="_Toc287607794"/>
      <w:bookmarkEnd w:id="670"/>
      <w:bookmarkStart w:id="671" w:name="_Toc40780300"/>
      <w:bookmarkEnd w:id="671"/>
      <w:bookmarkStart w:id="672" w:name="_Toc4661952"/>
      <w:bookmarkEnd w:id="672"/>
      <w:bookmarkStart w:id="673" w:name="_Toc200513174"/>
      <w:bookmarkEnd w:id="673"/>
      <w:bookmarkStart w:id="674" w:name="_Toc40455318"/>
      <w:bookmarkEnd w:id="674"/>
      <w:bookmarkStart w:id="675" w:name="_Toc4661474"/>
      <w:bookmarkEnd w:id="675"/>
      <w:bookmarkStart w:id="676" w:name="_Toc4661716"/>
      <w:bookmarkEnd w:id="676"/>
      <w:bookmarkStart w:id="677" w:name="_Toc4662188"/>
      <w:bookmarkEnd w:id="677"/>
      <w:bookmarkStart w:id="678" w:name="_Toc277082600"/>
      <w:r>
        <w:rPr>
          <w:rFonts w:hint="eastAsia" w:ascii="宋体" w:hAnsi="宋体"/>
          <w:kern w:val="2"/>
          <w:sz w:val="21"/>
          <w:szCs w:val="21"/>
        </w:rPr>
        <w:t>8</w:t>
      </w:r>
      <w:bookmarkEnd w:id="678"/>
      <w:r>
        <w:rPr>
          <w:rFonts w:hint="eastAsia" w:ascii="宋体" w:hAnsi="宋体"/>
          <w:kern w:val="2"/>
          <w:sz w:val="21"/>
          <w:szCs w:val="21"/>
        </w:rPr>
        <w:t xml:space="preserve">.2  </w:t>
      </w:r>
      <w:r>
        <w:rPr>
          <w:rFonts w:hint="eastAsia" w:ascii="宋体" w:hAnsi="宋体" w:cs="宋体"/>
          <w:kern w:val="2"/>
          <w:sz w:val="21"/>
          <w:szCs w:val="21"/>
        </w:rPr>
        <w:t>对报价人的纪律要求</w:t>
      </w:r>
    </w:p>
    <w:p>
      <w:pPr>
        <w:autoSpaceDE w:val="0"/>
        <w:autoSpaceDN w:val="0"/>
        <w:adjustRightInd w:val="0"/>
        <w:spacing w:line="300" w:lineRule="exact"/>
        <w:ind w:firstLine="420"/>
        <w:rPr>
          <w:rFonts w:ascii="宋体" w:hAnsi="宋体" w:cs="MingLiU"/>
          <w:kern w:val="0"/>
          <w:szCs w:val="21"/>
        </w:rPr>
      </w:pPr>
      <w:r>
        <w:rPr>
          <w:rFonts w:hint="eastAsia" w:ascii="宋体" w:hAnsi="宋体" w:cs="宋体"/>
          <w:kern w:val="0"/>
          <w:szCs w:val="21"/>
          <w:lang w:bidi="ar"/>
        </w:rPr>
        <w:t>报价人不得相互串通投标或者与采购人串通投标，不得向采购人或者评标委员会成员行贿谋取中标，不得以他人名义投标或者以其他方式弄虚作假骗取中标；报价人不得以任何方式干扰、影响评标工作。</w:t>
      </w:r>
    </w:p>
    <w:p>
      <w:pPr>
        <w:autoSpaceDE w:val="0"/>
        <w:autoSpaceDN w:val="0"/>
        <w:adjustRightInd w:val="0"/>
        <w:spacing w:line="300" w:lineRule="exact"/>
        <w:ind w:firstLine="420"/>
        <w:rPr>
          <w:rFonts w:ascii="宋体" w:hAnsi="宋体" w:cs="Calibri"/>
          <w:szCs w:val="21"/>
        </w:rPr>
      </w:pPr>
      <w:r>
        <w:rPr>
          <w:rFonts w:hint="eastAsia" w:ascii="宋体" w:hAnsi="宋体" w:cs="Calibri"/>
          <w:szCs w:val="21"/>
          <w:lang w:bidi="ar"/>
        </w:rPr>
        <w:t>8.2.1有下列情形之一的，属于报价人相互串通投标：</w:t>
      </w:r>
    </w:p>
    <w:p>
      <w:pPr>
        <w:autoSpaceDE w:val="0"/>
        <w:autoSpaceDN w:val="0"/>
        <w:adjustRightInd w:val="0"/>
        <w:spacing w:line="300" w:lineRule="exact"/>
        <w:ind w:firstLine="420"/>
        <w:rPr>
          <w:rFonts w:ascii="宋体" w:hAnsi="宋体" w:cs="Calibri"/>
          <w:szCs w:val="21"/>
        </w:rPr>
      </w:pPr>
      <w:r>
        <w:rPr>
          <w:rFonts w:hint="eastAsia" w:ascii="宋体" w:hAnsi="宋体" w:cs="宋体"/>
          <w:szCs w:val="21"/>
          <w:lang w:bidi="ar"/>
        </w:rPr>
        <w:t>（</w:t>
      </w:r>
      <w:r>
        <w:rPr>
          <w:rFonts w:hint="eastAsia" w:ascii="宋体" w:hAnsi="宋体" w:cs="Calibri"/>
          <w:szCs w:val="21"/>
          <w:lang w:bidi="ar"/>
        </w:rPr>
        <w:t>1）报价人之间协商投标报价等比选响应文件的实质性内容；</w:t>
      </w:r>
    </w:p>
    <w:p>
      <w:pPr>
        <w:autoSpaceDE w:val="0"/>
        <w:autoSpaceDN w:val="0"/>
        <w:adjustRightInd w:val="0"/>
        <w:spacing w:line="300" w:lineRule="exact"/>
        <w:ind w:firstLine="420"/>
        <w:rPr>
          <w:rFonts w:ascii="宋体" w:hAnsi="宋体" w:cs="Calibri"/>
          <w:szCs w:val="21"/>
        </w:rPr>
      </w:pPr>
      <w:r>
        <w:rPr>
          <w:rFonts w:hint="eastAsia" w:ascii="宋体" w:hAnsi="宋体" w:cs="宋体"/>
          <w:szCs w:val="21"/>
          <w:lang w:bidi="ar"/>
        </w:rPr>
        <w:t>（</w:t>
      </w:r>
      <w:r>
        <w:rPr>
          <w:rFonts w:hint="eastAsia" w:ascii="宋体" w:hAnsi="宋体" w:cs="Calibri"/>
          <w:szCs w:val="21"/>
          <w:lang w:bidi="ar"/>
        </w:rPr>
        <w:t>2）报价人之间约定中标人；</w:t>
      </w:r>
    </w:p>
    <w:p>
      <w:pPr>
        <w:autoSpaceDE w:val="0"/>
        <w:autoSpaceDN w:val="0"/>
        <w:adjustRightInd w:val="0"/>
        <w:spacing w:line="300" w:lineRule="exact"/>
        <w:ind w:firstLine="420"/>
        <w:rPr>
          <w:rFonts w:ascii="宋体" w:hAnsi="宋体" w:cs="Calibri"/>
          <w:szCs w:val="21"/>
        </w:rPr>
      </w:pPr>
      <w:r>
        <w:rPr>
          <w:rFonts w:hint="eastAsia" w:ascii="宋体" w:hAnsi="宋体" w:cs="宋体"/>
          <w:szCs w:val="21"/>
          <w:lang w:bidi="ar"/>
        </w:rPr>
        <w:t>（</w:t>
      </w:r>
      <w:r>
        <w:rPr>
          <w:rFonts w:hint="eastAsia" w:ascii="宋体" w:hAnsi="宋体" w:cs="Calibri"/>
          <w:szCs w:val="21"/>
          <w:lang w:bidi="ar"/>
        </w:rPr>
        <w:t>3）报价人之间约定部分报价人放弃投标或者中标；</w:t>
      </w:r>
    </w:p>
    <w:p>
      <w:pPr>
        <w:autoSpaceDE w:val="0"/>
        <w:autoSpaceDN w:val="0"/>
        <w:adjustRightInd w:val="0"/>
        <w:spacing w:line="300" w:lineRule="exact"/>
        <w:ind w:firstLine="420"/>
        <w:rPr>
          <w:rFonts w:ascii="宋体" w:hAnsi="宋体" w:cs="Calibri"/>
          <w:szCs w:val="21"/>
        </w:rPr>
      </w:pPr>
      <w:r>
        <w:rPr>
          <w:rFonts w:hint="eastAsia" w:ascii="宋体" w:hAnsi="宋体" w:cs="宋体"/>
          <w:szCs w:val="21"/>
          <w:lang w:bidi="ar"/>
        </w:rPr>
        <w:t>（</w:t>
      </w:r>
      <w:r>
        <w:rPr>
          <w:rFonts w:hint="eastAsia" w:ascii="宋体" w:hAnsi="宋体" w:cs="Calibri"/>
          <w:szCs w:val="21"/>
          <w:lang w:bidi="ar"/>
        </w:rPr>
        <w:t>4）属于同一集团、协会、商会等组织成员的报价人按照该组织要求协同投标；</w:t>
      </w:r>
    </w:p>
    <w:p>
      <w:pPr>
        <w:autoSpaceDE w:val="0"/>
        <w:autoSpaceDN w:val="0"/>
        <w:adjustRightInd w:val="0"/>
        <w:spacing w:line="300" w:lineRule="exact"/>
        <w:ind w:firstLine="420"/>
        <w:rPr>
          <w:rFonts w:ascii="宋体" w:hAnsi="宋体" w:cs="Calibri"/>
          <w:szCs w:val="21"/>
        </w:rPr>
      </w:pPr>
      <w:r>
        <w:rPr>
          <w:rFonts w:hint="eastAsia" w:ascii="宋体" w:hAnsi="宋体" w:cs="宋体"/>
          <w:szCs w:val="21"/>
          <w:lang w:bidi="ar"/>
        </w:rPr>
        <w:t>（</w:t>
      </w:r>
      <w:r>
        <w:rPr>
          <w:rFonts w:hint="eastAsia" w:ascii="宋体" w:hAnsi="宋体" w:cs="Calibri"/>
          <w:szCs w:val="21"/>
          <w:lang w:bidi="ar"/>
        </w:rPr>
        <w:t>5）报价人之间为谋取中标或者排斥特定报价人而采取的其他联合行动。</w:t>
      </w:r>
    </w:p>
    <w:p>
      <w:pPr>
        <w:autoSpaceDE w:val="0"/>
        <w:autoSpaceDN w:val="0"/>
        <w:adjustRightInd w:val="0"/>
        <w:spacing w:line="300" w:lineRule="exact"/>
        <w:ind w:firstLine="420"/>
        <w:rPr>
          <w:rFonts w:ascii="宋体" w:hAnsi="宋体" w:cs="Calibri"/>
          <w:szCs w:val="21"/>
        </w:rPr>
      </w:pPr>
      <w:r>
        <w:rPr>
          <w:rFonts w:hint="eastAsia" w:ascii="宋体" w:hAnsi="宋体" w:cs="Calibri"/>
          <w:szCs w:val="21"/>
          <w:lang w:bidi="ar"/>
        </w:rPr>
        <w:t>8.2.2有下列情形之一的，视为报价人相互串通投标：</w:t>
      </w:r>
    </w:p>
    <w:p>
      <w:pPr>
        <w:autoSpaceDE w:val="0"/>
        <w:autoSpaceDN w:val="0"/>
        <w:adjustRightInd w:val="0"/>
        <w:spacing w:line="300" w:lineRule="exact"/>
        <w:ind w:firstLine="420"/>
        <w:rPr>
          <w:rFonts w:ascii="宋体" w:hAnsi="宋体" w:cs="Calibri"/>
          <w:szCs w:val="21"/>
        </w:rPr>
      </w:pPr>
      <w:r>
        <w:rPr>
          <w:rFonts w:hint="eastAsia" w:ascii="宋体" w:hAnsi="宋体" w:cs="宋体"/>
          <w:szCs w:val="21"/>
          <w:lang w:bidi="ar"/>
        </w:rPr>
        <w:t>（</w:t>
      </w:r>
      <w:r>
        <w:rPr>
          <w:rFonts w:hint="eastAsia" w:ascii="宋体" w:hAnsi="宋体" w:cs="Calibri"/>
          <w:szCs w:val="21"/>
          <w:lang w:bidi="ar"/>
        </w:rPr>
        <w:t>1）不同报价人的比选响应文件由同一单位或者个人编制；</w:t>
      </w:r>
    </w:p>
    <w:p>
      <w:pPr>
        <w:autoSpaceDE w:val="0"/>
        <w:autoSpaceDN w:val="0"/>
        <w:adjustRightInd w:val="0"/>
        <w:spacing w:line="300" w:lineRule="exact"/>
        <w:ind w:firstLine="420"/>
        <w:rPr>
          <w:rFonts w:ascii="宋体" w:hAnsi="宋体" w:cs="Calibri"/>
          <w:szCs w:val="21"/>
        </w:rPr>
      </w:pPr>
      <w:r>
        <w:rPr>
          <w:rFonts w:hint="eastAsia" w:ascii="宋体" w:hAnsi="宋体" w:cs="宋体"/>
          <w:szCs w:val="21"/>
          <w:lang w:bidi="ar"/>
        </w:rPr>
        <w:t>（</w:t>
      </w:r>
      <w:r>
        <w:rPr>
          <w:rFonts w:hint="eastAsia" w:ascii="宋体" w:hAnsi="宋体" w:cs="Calibri"/>
          <w:szCs w:val="21"/>
          <w:lang w:bidi="ar"/>
        </w:rPr>
        <w:t>2）不同报价人委托同一单位或者个人办理投标事宜；</w:t>
      </w:r>
    </w:p>
    <w:p>
      <w:pPr>
        <w:autoSpaceDE w:val="0"/>
        <w:autoSpaceDN w:val="0"/>
        <w:adjustRightInd w:val="0"/>
        <w:spacing w:line="300" w:lineRule="exact"/>
        <w:ind w:firstLine="420"/>
        <w:rPr>
          <w:rFonts w:ascii="宋体" w:hAnsi="宋体" w:cs="Calibri"/>
          <w:szCs w:val="21"/>
        </w:rPr>
      </w:pPr>
      <w:r>
        <w:rPr>
          <w:rFonts w:hint="eastAsia" w:ascii="宋体" w:hAnsi="宋体" w:cs="宋体"/>
          <w:szCs w:val="21"/>
          <w:lang w:bidi="ar"/>
        </w:rPr>
        <w:t>（</w:t>
      </w:r>
      <w:r>
        <w:rPr>
          <w:rFonts w:hint="eastAsia" w:ascii="宋体" w:hAnsi="宋体" w:cs="Calibri"/>
          <w:szCs w:val="21"/>
          <w:lang w:bidi="ar"/>
        </w:rPr>
        <w:t>3）不同报价人的比选响应文件载明的项目管理成员为同一人；</w:t>
      </w:r>
    </w:p>
    <w:p>
      <w:pPr>
        <w:autoSpaceDE w:val="0"/>
        <w:autoSpaceDN w:val="0"/>
        <w:adjustRightInd w:val="0"/>
        <w:spacing w:line="300" w:lineRule="exact"/>
        <w:ind w:firstLine="420"/>
        <w:rPr>
          <w:rFonts w:ascii="宋体" w:hAnsi="宋体" w:cs="Calibri"/>
          <w:szCs w:val="21"/>
        </w:rPr>
      </w:pPr>
      <w:r>
        <w:rPr>
          <w:rFonts w:hint="eastAsia" w:ascii="宋体" w:hAnsi="宋体" w:cs="宋体"/>
          <w:szCs w:val="21"/>
          <w:lang w:bidi="ar"/>
        </w:rPr>
        <w:t>（</w:t>
      </w:r>
      <w:r>
        <w:rPr>
          <w:rFonts w:hint="eastAsia" w:ascii="宋体" w:hAnsi="宋体" w:cs="Calibri"/>
          <w:szCs w:val="21"/>
          <w:lang w:bidi="ar"/>
        </w:rPr>
        <w:t>4）不同报价人的比选响应文件异常一致或者投标报价呈规律性差异；</w:t>
      </w:r>
    </w:p>
    <w:p>
      <w:pPr>
        <w:autoSpaceDE w:val="0"/>
        <w:autoSpaceDN w:val="0"/>
        <w:adjustRightInd w:val="0"/>
        <w:spacing w:line="300" w:lineRule="exact"/>
        <w:ind w:firstLine="420"/>
        <w:rPr>
          <w:rFonts w:ascii="宋体" w:hAnsi="宋体" w:cs="Calibri"/>
          <w:szCs w:val="21"/>
        </w:rPr>
      </w:pPr>
      <w:r>
        <w:rPr>
          <w:rFonts w:hint="eastAsia" w:ascii="宋体" w:hAnsi="宋体" w:cs="宋体"/>
          <w:szCs w:val="21"/>
          <w:lang w:bidi="ar"/>
        </w:rPr>
        <w:t>（</w:t>
      </w:r>
      <w:r>
        <w:rPr>
          <w:rFonts w:hint="eastAsia" w:ascii="宋体" w:hAnsi="宋体" w:cs="Calibri"/>
          <w:szCs w:val="21"/>
          <w:lang w:bidi="ar"/>
        </w:rPr>
        <w:t>5）不同报价人的比选响应文件相互混装；</w:t>
      </w:r>
    </w:p>
    <w:p>
      <w:pPr>
        <w:autoSpaceDE w:val="0"/>
        <w:autoSpaceDN w:val="0"/>
        <w:adjustRightInd w:val="0"/>
        <w:spacing w:line="300" w:lineRule="exact"/>
        <w:ind w:firstLine="420"/>
        <w:rPr>
          <w:rFonts w:ascii="宋体" w:hAnsi="宋体" w:cs="Calibri"/>
          <w:szCs w:val="21"/>
        </w:rPr>
      </w:pPr>
      <w:r>
        <w:rPr>
          <w:rFonts w:hint="eastAsia" w:ascii="宋体" w:hAnsi="宋体" w:cs="宋体"/>
          <w:szCs w:val="21"/>
          <w:lang w:bidi="ar"/>
        </w:rPr>
        <w:t>（</w:t>
      </w:r>
      <w:r>
        <w:rPr>
          <w:rFonts w:hint="eastAsia" w:ascii="宋体" w:hAnsi="宋体" w:cs="Calibri"/>
          <w:szCs w:val="21"/>
          <w:lang w:bidi="ar"/>
        </w:rPr>
        <w:t>6）不同报价人的投标保证金从同一单位或者个人的账户转出。</w:t>
      </w:r>
    </w:p>
    <w:p>
      <w:pPr>
        <w:autoSpaceDE w:val="0"/>
        <w:autoSpaceDN w:val="0"/>
        <w:adjustRightInd w:val="0"/>
        <w:spacing w:line="300" w:lineRule="exact"/>
        <w:ind w:firstLine="420"/>
        <w:rPr>
          <w:rFonts w:ascii="宋体" w:hAnsi="宋体" w:cs="Calibri"/>
          <w:szCs w:val="21"/>
        </w:rPr>
      </w:pPr>
      <w:r>
        <w:rPr>
          <w:rFonts w:hint="eastAsia" w:ascii="宋体" w:hAnsi="宋体" w:cs="Calibri"/>
          <w:szCs w:val="21"/>
          <w:lang w:bidi="ar"/>
        </w:rPr>
        <w:t>8.2.3使用通过受让或者租借等方式获取的资格、资质证书投标的，属于以他人名义投标。</w:t>
      </w:r>
    </w:p>
    <w:p>
      <w:pPr>
        <w:autoSpaceDE w:val="0"/>
        <w:autoSpaceDN w:val="0"/>
        <w:adjustRightInd w:val="0"/>
        <w:spacing w:line="300" w:lineRule="exact"/>
        <w:ind w:firstLine="420"/>
        <w:rPr>
          <w:rFonts w:ascii="宋体" w:hAnsi="宋体" w:cs="Calibri"/>
          <w:szCs w:val="21"/>
        </w:rPr>
      </w:pPr>
      <w:r>
        <w:rPr>
          <w:rFonts w:hint="eastAsia" w:ascii="宋体" w:hAnsi="宋体" w:cs="Calibri"/>
          <w:szCs w:val="21"/>
          <w:lang w:bidi="ar"/>
        </w:rPr>
        <w:t>8.2.4报价人有下列情形之一的，属于以其他方式弄虚作假的行为：</w:t>
      </w:r>
    </w:p>
    <w:p>
      <w:pPr>
        <w:autoSpaceDE w:val="0"/>
        <w:autoSpaceDN w:val="0"/>
        <w:adjustRightInd w:val="0"/>
        <w:spacing w:line="300" w:lineRule="exact"/>
        <w:ind w:firstLine="420"/>
        <w:rPr>
          <w:rFonts w:ascii="宋体" w:hAnsi="宋体" w:cs="Calibri"/>
          <w:szCs w:val="21"/>
        </w:rPr>
      </w:pPr>
      <w:r>
        <w:rPr>
          <w:rFonts w:hint="eastAsia" w:ascii="宋体" w:hAnsi="宋体" w:cs="宋体"/>
          <w:szCs w:val="21"/>
          <w:lang w:bidi="ar"/>
        </w:rPr>
        <w:t>（</w:t>
      </w:r>
      <w:r>
        <w:rPr>
          <w:rFonts w:hint="eastAsia" w:ascii="宋体" w:hAnsi="宋体" w:cs="Calibri"/>
          <w:szCs w:val="21"/>
          <w:lang w:bidi="ar"/>
        </w:rPr>
        <w:t>1）使用伪造、变造的许可证件；</w:t>
      </w:r>
    </w:p>
    <w:p>
      <w:pPr>
        <w:autoSpaceDE w:val="0"/>
        <w:autoSpaceDN w:val="0"/>
        <w:adjustRightInd w:val="0"/>
        <w:spacing w:line="300" w:lineRule="exact"/>
        <w:ind w:firstLine="420"/>
        <w:rPr>
          <w:rFonts w:ascii="宋体" w:hAnsi="宋体" w:cs="Calibri"/>
          <w:szCs w:val="21"/>
        </w:rPr>
      </w:pPr>
      <w:r>
        <w:rPr>
          <w:rFonts w:hint="eastAsia" w:ascii="宋体" w:hAnsi="宋体" w:cs="宋体"/>
          <w:szCs w:val="21"/>
          <w:lang w:bidi="ar"/>
        </w:rPr>
        <w:t>（</w:t>
      </w:r>
      <w:r>
        <w:rPr>
          <w:rFonts w:hint="eastAsia" w:ascii="宋体" w:hAnsi="宋体" w:cs="Calibri"/>
          <w:szCs w:val="21"/>
          <w:lang w:bidi="ar"/>
        </w:rPr>
        <w:t>2）提供虚假的财务状况或者业绩；</w:t>
      </w:r>
    </w:p>
    <w:p>
      <w:pPr>
        <w:autoSpaceDE w:val="0"/>
        <w:autoSpaceDN w:val="0"/>
        <w:adjustRightInd w:val="0"/>
        <w:spacing w:line="300" w:lineRule="exact"/>
        <w:ind w:firstLine="420"/>
        <w:rPr>
          <w:rFonts w:ascii="宋体" w:hAnsi="宋体" w:cs="Calibri"/>
          <w:szCs w:val="21"/>
        </w:rPr>
      </w:pPr>
      <w:r>
        <w:rPr>
          <w:rFonts w:hint="eastAsia" w:ascii="宋体" w:hAnsi="宋体" w:cs="宋体"/>
          <w:szCs w:val="21"/>
          <w:lang w:bidi="ar"/>
        </w:rPr>
        <w:t>（</w:t>
      </w:r>
      <w:r>
        <w:rPr>
          <w:rFonts w:hint="eastAsia" w:ascii="宋体" w:hAnsi="宋体" w:cs="Calibri"/>
          <w:szCs w:val="21"/>
          <w:lang w:bidi="ar"/>
        </w:rPr>
        <w:t>3）提供虚假的项目负责人或者主要技术人员简历、劳动关系证明；</w:t>
      </w:r>
    </w:p>
    <w:p>
      <w:pPr>
        <w:autoSpaceDE w:val="0"/>
        <w:autoSpaceDN w:val="0"/>
        <w:adjustRightInd w:val="0"/>
        <w:spacing w:line="300" w:lineRule="exact"/>
        <w:ind w:firstLine="420"/>
        <w:rPr>
          <w:rFonts w:ascii="宋体" w:hAnsi="宋体" w:cs="Calibri"/>
          <w:szCs w:val="21"/>
        </w:rPr>
      </w:pPr>
      <w:r>
        <w:rPr>
          <w:rFonts w:hint="eastAsia" w:ascii="宋体" w:hAnsi="宋体" w:cs="宋体"/>
          <w:szCs w:val="21"/>
          <w:lang w:bidi="ar"/>
        </w:rPr>
        <w:t>（</w:t>
      </w:r>
      <w:r>
        <w:rPr>
          <w:rFonts w:hint="eastAsia" w:ascii="宋体" w:hAnsi="宋体" w:cs="Calibri"/>
          <w:szCs w:val="21"/>
          <w:lang w:bidi="ar"/>
        </w:rPr>
        <w:t>4）提供虚假的信用状况；</w:t>
      </w:r>
    </w:p>
    <w:p>
      <w:pPr>
        <w:autoSpaceDE w:val="0"/>
        <w:autoSpaceDN w:val="0"/>
        <w:adjustRightInd w:val="0"/>
        <w:spacing w:line="300" w:lineRule="exact"/>
        <w:ind w:firstLine="420"/>
        <w:rPr>
          <w:rFonts w:ascii="宋体" w:hAnsi="宋体" w:cs="MingLiU"/>
          <w:kern w:val="0"/>
          <w:szCs w:val="21"/>
        </w:rPr>
      </w:pPr>
      <w:r>
        <w:rPr>
          <w:rFonts w:hint="eastAsia" w:ascii="宋体" w:hAnsi="宋体" w:cs="宋体"/>
          <w:szCs w:val="21"/>
          <w:lang w:bidi="ar"/>
        </w:rPr>
        <w:t>（</w:t>
      </w:r>
      <w:r>
        <w:rPr>
          <w:rFonts w:hint="eastAsia" w:ascii="宋体" w:hAnsi="宋体" w:cs="Calibri"/>
          <w:szCs w:val="21"/>
          <w:lang w:bidi="ar"/>
        </w:rPr>
        <w:t>5）其他弄虚作假的行为。</w:t>
      </w:r>
    </w:p>
    <w:p>
      <w:pPr>
        <w:pStyle w:val="5"/>
        <w:widowControl/>
        <w:spacing w:before="0" w:after="0" w:line="300" w:lineRule="exact"/>
        <w:rPr>
          <w:rFonts w:ascii="宋体" w:hAnsi="宋体"/>
          <w:kern w:val="2"/>
          <w:sz w:val="21"/>
          <w:szCs w:val="21"/>
        </w:rPr>
      </w:pPr>
      <w:bookmarkStart w:id="679" w:name="_Toc224103366"/>
      <w:bookmarkEnd w:id="679"/>
      <w:bookmarkStart w:id="680" w:name="_Toc277082601"/>
      <w:bookmarkEnd w:id="680"/>
      <w:bookmarkStart w:id="681" w:name="_Toc287607795"/>
      <w:bookmarkEnd w:id="681"/>
      <w:bookmarkStart w:id="682" w:name="_Toc200513175"/>
      <w:bookmarkEnd w:id="682"/>
      <w:bookmarkStart w:id="683" w:name="_Toc40455319"/>
      <w:bookmarkEnd w:id="683"/>
      <w:bookmarkStart w:id="684" w:name="_Toc6459"/>
      <w:bookmarkEnd w:id="684"/>
      <w:bookmarkStart w:id="685" w:name="_Toc4661717"/>
      <w:bookmarkEnd w:id="685"/>
      <w:bookmarkStart w:id="686" w:name="_Toc4662189"/>
      <w:bookmarkEnd w:id="686"/>
      <w:bookmarkStart w:id="687" w:name="_Toc40780301"/>
      <w:bookmarkEnd w:id="687"/>
      <w:bookmarkStart w:id="688" w:name="_Toc4661475"/>
      <w:bookmarkEnd w:id="688"/>
      <w:bookmarkStart w:id="689" w:name="_Toc40455692"/>
      <w:bookmarkEnd w:id="689"/>
      <w:bookmarkStart w:id="690" w:name="_Toc4661953"/>
      <w:r>
        <w:rPr>
          <w:rFonts w:hint="eastAsia" w:ascii="宋体" w:hAnsi="宋体"/>
          <w:kern w:val="2"/>
          <w:sz w:val="21"/>
          <w:szCs w:val="21"/>
        </w:rPr>
        <w:t>8</w:t>
      </w:r>
      <w:bookmarkEnd w:id="690"/>
      <w:r>
        <w:rPr>
          <w:rFonts w:hint="eastAsia" w:ascii="宋体" w:hAnsi="宋体"/>
          <w:kern w:val="2"/>
          <w:sz w:val="21"/>
          <w:szCs w:val="21"/>
        </w:rPr>
        <w:t xml:space="preserve">.3  </w:t>
      </w:r>
      <w:r>
        <w:rPr>
          <w:rFonts w:hint="eastAsia" w:ascii="宋体" w:hAnsi="宋体" w:cs="宋体"/>
          <w:kern w:val="2"/>
          <w:sz w:val="21"/>
          <w:szCs w:val="21"/>
        </w:rPr>
        <w:t>对评标委员会成员的纪律要求</w:t>
      </w:r>
    </w:p>
    <w:p>
      <w:pPr>
        <w:autoSpaceDE w:val="0"/>
        <w:autoSpaceDN w:val="0"/>
        <w:adjustRightInd w:val="0"/>
        <w:spacing w:line="300" w:lineRule="exact"/>
        <w:ind w:firstLine="420"/>
        <w:rPr>
          <w:rFonts w:ascii="宋体" w:hAnsi="宋体" w:cs="MingLiU"/>
          <w:kern w:val="0"/>
          <w:szCs w:val="21"/>
        </w:rPr>
      </w:pPr>
      <w:r>
        <w:rPr>
          <w:rFonts w:hint="eastAsia" w:ascii="宋体" w:hAnsi="宋体" w:cs="宋体"/>
          <w:kern w:val="0"/>
          <w:szCs w:val="21"/>
          <w:lang w:bidi="ar"/>
        </w:rPr>
        <w:t>评标委员会成员不得收受他人的财物或者其他好处，不得向他人透漏对比选响应文件的评审和比较、中标候选人的推荐情况以及评标有关的其他情况。在评标活动中，评标委员会成员不得擅离职守，影响评标程序正常进行，不得使用第三章</w:t>
      </w:r>
      <w:r>
        <w:rPr>
          <w:rFonts w:hint="eastAsia" w:ascii="宋体" w:hAnsi="宋体" w:cs="MingLiU"/>
          <w:kern w:val="0"/>
          <w:szCs w:val="21"/>
          <w:lang w:bidi="ar"/>
        </w:rPr>
        <w:t>“评标办法”没有规定的评审因素和标准进行评标。</w:t>
      </w:r>
    </w:p>
    <w:p>
      <w:pPr>
        <w:pStyle w:val="5"/>
        <w:widowControl/>
        <w:spacing w:before="0" w:after="0" w:line="300" w:lineRule="exact"/>
        <w:rPr>
          <w:rFonts w:ascii="宋体" w:hAnsi="宋体"/>
          <w:kern w:val="2"/>
          <w:sz w:val="21"/>
          <w:szCs w:val="21"/>
        </w:rPr>
      </w:pPr>
      <w:bookmarkStart w:id="691" w:name="_Toc13495"/>
      <w:bookmarkEnd w:id="691"/>
      <w:bookmarkStart w:id="692" w:name="_Toc40455320"/>
      <w:bookmarkEnd w:id="692"/>
      <w:bookmarkStart w:id="693" w:name="_Toc4661476"/>
      <w:bookmarkEnd w:id="693"/>
      <w:bookmarkStart w:id="694" w:name="_Toc4661954"/>
      <w:bookmarkEnd w:id="694"/>
      <w:bookmarkStart w:id="695" w:name="_Toc40455693"/>
      <w:bookmarkEnd w:id="695"/>
      <w:bookmarkStart w:id="696" w:name="_Toc287607796"/>
      <w:bookmarkEnd w:id="696"/>
      <w:bookmarkStart w:id="697" w:name="_Toc4662190"/>
      <w:bookmarkEnd w:id="697"/>
      <w:bookmarkStart w:id="698" w:name="_Toc224103367"/>
      <w:bookmarkEnd w:id="698"/>
      <w:bookmarkStart w:id="699" w:name="_Toc40780302"/>
      <w:bookmarkEnd w:id="699"/>
      <w:bookmarkStart w:id="700" w:name="_Toc200513176"/>
      <w:bookmarkEnd w:id="700"/>
      <w:bookmarkStart w:id="701" w:name="_Toc277082602"/>
      <w:bookmarkEnd w:id="701"/>
      <w:bookmarkStart w:id="702" w:name="_Toc4661718"/>
      <w:r>
        <w:rPr>
          <w:rFonts w:hint="eastAsia" w:ascii="宋体" w:hAnsi="宋体"/>
          <w:kern w:val="2"/>
          <w:sz w:val="21"/>
          <w:szCs w:val="21"/>
        </w:rPr>
        <w:t>8</w:t>
      </w:r>
      <w:bookmarkEnd w:id="702"/>
      <w:r>
        <w:rPr>
          <w:rFonts w:hint="eastAsia" w:ascii="宋体" w:hAnsi="宋体"/>
          <w:kern w:val="2"/>
          <w:sz w:val="21"/>
          <w:szCs w:val="21"/>
        </w:rPr>
        <w:t xml:space="preserve">.4  </w:t>
      </w:r>
      <w:r>
        <w:rPr>
          <w:rFonts w:hint="eastAsia" w:ascii="宋体" w:hAnsi="宋体" w:cs="宋体"/>
          <w:kern w:val="2"/>
          <w:sz w:val="21"/>
          <w:szCs w:val="21"/>
        </w:rPr>
        <w:t>对与评标活动有关的工作人员的纪律要求</w:t>
      </w:r>
    </w:p>
    <w:p>
      <w:pPr>
        <w:autoSpaceDE w:val="0"/>
        <w:autoSpaceDN w:val="0"/>
        <w:adjustRightInd w:val="0"/>
        <w:spacing w:line="300" w:lineRule="exact"/>
        <w:ind w:firstLine="420"/>
        <w:rPr>
          <w:rFonts w:ascii="宋体" w:hAnsi="宋体" w:cs="MingLiU"/>
          <w:kern w:val="0"/>
          <w:szCs w:val="21"/>
        </w:rPr>
      </w:pPr>
      <w:r>
        <w:rPr>
          <w:rFonts w:hint="eastAsia" w:ascii="宋体" w:hAnsi="宋体" w:cs="宋体"/>
          <w:kern w:val="0"/>
          <w:szCs w:val="21"/>
          <w:lang w:bidi="ar"/>
        </w:rPr>
        <w:t>与评标活动有关的工作人员不得收受他人的财物或者其他好处，不得向他人透漏对比选响应文件的评审和比较、中标候选人的推荐情况以及与评标有关的其他情况。在评标活动中，与评标活动有关的工作人员不得擅离职守，影响评标程序正常进行。</w:t>
      </w:r>
    </w:p>
    <w:p>
      <w:pPr>
        <w:pStyle w:val="5"/>
        <w:widowControl/>
        <w:spacing w:before="0" w:after="0" w:line="300" w:lineRule="exact"/>
        <w:rPr>
          <w:rFonts w:ascii="宋体" w:hAnsi="宋体"/>
          <w:kern w:val="2"/>
          <w:sz w:val="21"/>
          <w:szCs w:val="21"/>
        </w:rPr>
      </w:pPr>
      <w:bookmarkStart w:id="703" w:name="_Toc40455321"/>
      <w:bookmarkEnd w:id="703"/>
      <w:bookmarkStart w:id="704" w:name="_Toc224103368"/>
      <w:bookmarkEnd w:id="704"/>
      <w:bookmarkStart w:id="705" w:name="_Toc40780303"/>
      <w:bookmarkEnd w:id="705"/>
      <w:bookmarkStart w:id="706" w:name="_Toc4661719"/>
      <w:bookmarkEnd w:id="706"/>
      <w:bookmarkStart w:id="707" w:name="_Toc287607797"/>
      <w:bookmarkEnd w:id="707"/>
      <w:bookmarkStart w:id="708" w:name="_Toc200513177"/>
      <w:bookmarkEnd w:id="708"/>
      <w:bookmarkStart w:id="709" w:name="_Toc277082603"/>
      <w:bookmarkEnd w:id="709"/>
      <w:bookmarkStart w:id="710" w:name="_Toc4661477"/>
      <w:bookmarkEnd w:id="710"/>
      <w:bookmarkStart w:id="711" w:name="_Toc22072"/>
      <w:bookmarkEnd w:id="711"/>
      <w:bookmarkStart w:id="712" w:name="_Toc40455694"/>
      <w:bookmarkEnd w:id="712"/>
      <w:bookmarkStart w:id="713" w:name="_Toc4662191"/>
      <w:bookmarkEnd w:id="713"/>
      <w:bookmarkStart w:id="714" w:name="_Toc4661955"/>
      <w:r>
        <w:rPr>
          <w:rFonts w:hint="eastAsia" w:ascii="宋体" w:hAnsi="宋体"/>
          <w:kern w:val="2"/>
          <w:sz w:val="21"/>
          <w:szCs w:val="21"/>
        </w:rPr>
        <w:t>8</w:t>
      </w:r>
      <w:bookmarkEnd w:id="714"/>
      <w:r>
        <w:rPr>
          <w:rFonts w:hint="eastAsia" w:ascii="宋体" w:hAnsi="宋体"/>
          <w:kern w:val="2"/>
          <w:sz w:val="21"/>
          <w:szCs w:val="21"/>
        </w:rPr>
        <w:t xml:space="preserve">.5  </w:t>
      </w:r>
      <w:r>
        <w:rPr>
          <w:rFonts w:hint="eastAsia" w:ascii="宋体" w:hAnsi="宋体" w:cs="宋体"/>
          <w:kern w:val="2"/>
          <w:sz w:val="21"/>
          <w:szCs w:val="21"/>
        </w:rPr>
        <w:t>投诉</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宋体"/>
          <w:kern w:val="0"/>
          <w:szCs w:val="21"/>
          <w:lang w:bidi="ar"/>
        </w:rPr>
        <w:t>报价人和其他利害关系人认为本次竞争性比选活动违反法律、法规和规章规定的，有权向有关监督部门投诉。具体见报价人须知前附表。</w:t>
      </w:r>
    </w:p>
    <w:p>
      <w:pPr>
        <w:pStyle w:val="5"/>
        <w:widowControl/>
        <w:spacing w:before="0" w:after="0" w:line="300" w:lineRule="exact"/>
        <w:rPr>
          <w:rFonts w:ascii="宋体" w:hAnsi="宋体"/>
          <w:kern w:val="2"/>
          <w:sz w:val="21"/>
          <w:szCs w:val="21"/>
        </w:rPr>
      </w:pPr>
      <w:bookmarkStart w:id="715" w:name="_Toc4661720"/>
      <w:bookmarkEnd w:id="715"/>
      <w:bookmarkStart w:id="716" w:name="_Toc40455322"/>
      <w:bookmarkEnd w:id="716"/>
      <w:bookmarkStart w:id="717" w:name="_Toc287607798"/>
      <w:bookmarkEnd w:id="717"/>
      <w:bookmarkStart w:id="718" w:name="_Toc287620737"/>
      <w:bookmarkEnd w:id="718"/>
      <w:bookmarkStart w:id="719" w:name="_Toc277082604"/>
      <w:bookmarkEnd w:id="719"/>
      <w:bookmarkStart w:id="720" w:name="_Toc224103369"/>
      <w:bookmarkEnd w:id="720"/>
      <w:bookmarkStart w:id="721" w:name="_Toc4661956"/>
      <w:bookmarkEnd w:id="721"/>
      <w:bookmarkStart w:id="722" w:name="_Toc4662192"/>
      <w:bookmarkEnd w:id="722"/>
      <w:bookmarkStart w:id="723" w:name="_Toc26060"/>
      <w:bookmarkEnd w:id="723"/>
      <w:bookmarkStart w:id="724" w:name="_Toc4661478"/>
      <w:bookmarkEnd w:id="724"/>
      <w:bookmarkStart w:id="725" w:name="_Toc40455695"/>
      <w:bookmarkEnd w:id="725"/>
      <w:bookmarkStart w:id="726" w:name="_Toc200513178"/>
      <w:r>
        <w:rPr>
          <w:rFonts w:hint="eastAsia" w:ascii="宋体" w:hAnsi="宋体"/>
          <w:kern w:val="2"/>
          <w:sz w:val="21"/>
          <w:szCs w:val="21"/>
        </w:rPr>
        <w:t>9</w:t>
      </w:r>
      <w:bookmarkEnd w:id="726"/>
      <w:r>
        <w:rPr>
          <w:rFonts w:hint="eastAsia" w:ascii="宋体" w:hAnsi="宋体"/>
          <w:kern w:val="2"/>
          <w:sz w:val="21"/>
          <w:szCs w:val="21"/>
        </w:rPr>
        <w:t>.</w:t>
      </w:r>
      <w:r>
        <w:rPr>
          <w:rFonts w:hint="eastAsia" w:ascii="宋体" w:hAnsi="宋体" w:cs="宋体"/>
          <w:kern w:val="2"/>
          <w:sz w:val="21"/>
          <w:szCs w:val="21"/>
        </w:rPr>
        <w:t>是否采用电子竞争性比选投标</w:t>
      </w:r>
    </w:p>
    <w:p>
      <w:pPr>
        <w:autoSpaceDE w:val="0"/>
        <w:autoSpaceDN w:val="0"/>
        <w:adjustRightInd w:val="0"/>
        <w:spacing w:line="300" w:lineRule="exact"/>
        <w:ind w:firstLine="420"/>
        <w:jc w:val="left"/>
        <w:rPr>
          <w:rFonts w:ascii="宋体" w:hAnsi="宋体" w:cs="MingLiU"/>
          <w:kern w:val="0"/>
          <w:szCs w:val="21"/>
        </w:rPr>
      </w:pPr>
      <w:r>
        <w:rPr>
          <w:rFonts w:hint="eastAsia" w:ascii="宋体" w:hAnsi="宋体" w:cs="宋体"/>
          <w:kern w:val="0"/>
          <w:szCs w:val="21"/>
          <w:lang w:bidi="ar"/>
        </w:rPr>
        <w:t>本竞争性比选项目是否采用电子竞争性比选投标方式：见报价人须知前附表。</w:t>
      </w:r>
    </w:p>
    <w:p>
      <w:pPr>
        <w:pStyle w:val="5"/>
        <w:widowControl/>
        <w:spacing w:before="0" w:after="0" w:line="300" w:lineRule="exact"/>
        <w:rPr>
          <w:rFonts w:ascii="宋体" w:hAnsi="宋体" w:cs="宋体"/>
          <w:sz w:val="28"/>
          <w:szCs w:val="28"/>
        </w:rPr>
        <w:sectPr>
          <w:footerReference r:id="rId7" w:type="default"/>
          <w:pgSz w:w="11906" w:h="16838"/>
          <w:pgMar w:top="1418" w:right="1134" w:bottom="1418" w:left="1134" w:header="851" w:footer="992" w:gutter="0"/>
          <w:pgNumType w:start="1"/>
          <w:cols w:space="720" w:num="1"/>
          <w:docGrid w:type="lines" w:linePitch="312" w:charSpace="0"/>
        </w:sectPr>
      </w:pPr>
      <w:r>
        <w:rPr>
          <w:rFonts w:hint="eastAsia" w:ascii="宋体" w:hAnsi="宋体"/>
          <w:kern w:val="2"/>
          <w:sz w:val="21"/>
          <w:szCs w:val="21"/>
        </w:rPr>
        <w:t>10.需要补充的其他内容</w:t>
      </w:r>
    </w:p>
    <w:p>
      <w:pPr>
        <w:pStyle w:val="4"/>
        <w:jc w:val="center"/>
        <w:rPr>
          <w:rFonts w:ascii="宋体" w:hAnsi="宋体" w:eastAsia="宋体" w:cs="宋体"/>
          <w:bCs w:val="0"/>
          <w:sz w:val="28"/>
          <w:szCs w:val="28"/>
        </w:rPr>
      </w:pPr>
      <w:bookmarkStart w:id="727" w:name="_Toc11284"/>
      <w:bookmarkStart w:id="728" w:name="_Toc17532"/>
      <w:bookmarkStart w:id="729" w:name="_Toc30198"/>
      <w:bookmarkStart w:id="730" w:name="_Toc11329222"/>
      <w:bookmarkStart w:id="731" w:name="_Toc28670"/>
      <w:bookmarkStart w:id="732" w:name="_Toc32070"/>
      <w:r>
        <w:rPr>
          <w:rFonts w:hint="eastAsia" w:ascii="宋体" w:hAnsi="宋体" w:eastAsia="宋体" w:cs="宋体"/>
          <w:sz w:val="28"/>
          <w:szCs w:val="28"/>
        </w:rPr>
        <w:t xml:space="preserve">附录1  </w:t>
      </w:r>
      <w:bookmarkEnd w:id="727"/>
      <w:bookmarkEnd w:id="728"/>
      <w:bookmarkEnd w:id="729"/>
      <w:bookmarkEnd w:id="730"/>
      <w:bookmarkStart w:id="733" w:name="_Toc11329226"/>
      <w:bookmarkStart w:id="734" w:name="_Toc27096"/>
      <w:bookmarkStart w:id="735" w:name="_Toc25591"/>
      <w:bookmarkStart w:id="736" w:name="_Toc12773"/>
      <w:r>
        <w:rPr>
          <w:rFonts w:hint="eastAsia" w:ascii="宋体" w:hAnsi="宋体" w:eastAsia="宋体" w:cs="宋体"/>
          <w:bCs w:val="0"/>
          <w:sz w:val="28"/>
          <w:szCs w:val="28"/>
        </w:rPr>
        <w:t>报价人资格要求</w:t>
      </w:r>
      <w:bookmarkEnd w:id="731"/>
      <w:bookmarkEnd w:id="732"/>
      <w:bookmarkEnd w:id="733"/>
      <w:bookmarkEnd w:id="734"/>
      <w:bookmarkEnd w:id="735"/>
      <w:bookmarkEnd w:id="736"/>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bookmarkStart w:id="737" w:name="_Toc388534043"/>
            <w:bookmarkStart w:id="738" w:name="_Toc387234996"/>
            <w:r>
              <w:rPr>
                <w:rFonts w:hint="eastAsia" w:ascii="宋体" w:hAnsi="宋体" w:cs="宋体"/>
                <w:szCs w:val="21"/>
              </w:rPr>
              <w:t>序号</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项目</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营业执照</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pPr>
            <w:r>
              <w:rPr>
                <w:rFonts w:hint="eastAsia" w:ascii="宋体" w:hAnsi="宋体" w:cs="宋体"/>
                <w:szCs w:val="21"/>
                <w:shd w:val="clear" w:color="auto" w:fill="FFFFFF"/>
              </w:rPr>
              <w:t>具有独立法人资格，具有有效的营业执照。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2</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eastAsia="宋体" w:cs="宋体"/>
                <w:szCs w:val="21"/>
                <w:lang w:val="en-US" w:eastAsia="zh-CN"/>
              </w:rPr>
            </w:pPr>
            <w:r>
              <w:rPr>
                <w:rFonts w:hint="eastAsia" w:ascii="宋体" w:hAnsi="宋体" w:cs="宋体"/>
                <w:szCs w:val="21"/>
                <w:lang w:val="en-US" w:eastAsia="zh-CN"/>
              </w:rPr>
              <w:t>报价人要求</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cs="宋体"/>
                <w:szCs w:val="21"/>
              </w:rPr>
            </w:pPr>
            <w:r>
              <w:rPr>
                <w:rFonts w:hint="eastAsia" w:ascii="宋体" w:hAnsi="宋体" w:cs="宋体"/>
                <w:szCs w:val="21"/>
                <w:shd w:val="clear" w:color="auto" w:fill="FFFFFF"/>
                <w:lang w:val="en-US" w:eastAsia="zh-CN"/>
              </w:rPr>
              <w:t>需为聚氨酯管箱及复合支架的生产厂家，提供生产</w:t>
            </w:r>
            <w:r>
              <w:rPr>
                <w:rFonts w:hint="eastAsia" w:ascii="宋体" w:hAnsi="宋体" w:cs="宋体"/>
                <w:color w:val="auto"/>
                <w:szCs w:val="21"/>
                <w:lang w:val="en-US" w:eastAsia="zh-CN"/>
              </w:rPr>
              <w:t>厂家</w:t>
            </w:r>
            <w:r>
              <w:rPr>
                <w:rFonts w:hint="eastAsia" w:ascii="宋体" w:hAnsi="宋体" w:eastAsia="宋体" w:cs="宋体"/>
                <w:color w:val="auto"/>
                <w:szCs w:val="21"/>
                <w:lang w:val="en-US" w:eastAsia="zh-CN"/>
              </w:rPr>
              <w:t>资格声明</w:t>
            </w:r>
            <w:r>
              <w:rPr>
                <w:rFonts w:hint="eastAsia" w:ascii="宋体" w:hAnsi="宋体" w:cs="宋体"/>
                <w:color w:val="auto"/>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3</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lang w:val="en-US" w:eastAsia="zh-CN"/>
              </w:rPr>
              <w:t>产品</w:t>
            </w:r>
            <w:r>
              <w:rPr>
                <w:rFonts w:hint="eastAsia" w:ascii="宋体" w:hAnsi="宋体" w:cs="宋体"/>
                <w:szCs w:val="21"/>
              </w:rPr>
              <w:t>要求</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所投产品需具有国家交通安全设施质量监督检验中心出具的检测报告。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4</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cs="宋体"/>
                <w:szCs w:val="21"/>
              </w:rPr>
            </w:pPr>
            <w:r>
              <w:rPr>
                <w:rFonts w:hint="eastAsia" w:ascii="宋体" w:hAnsi="宋体" w:cs="宋体"/>
                <w:szCs w:val="21"/>
                <w:shd w:val="clear" w:color="auto" w:fill="FFFFFF"/>
              </w:rPr>
              <w:t>2020年1月1日至报价截止日期（以合同签订时间为准）至少</w:t>
            </w:r>
            <w:r>
              <w:rPr>
                <w:rFonts w:hint="eastAsia" w:ascii="宋体" w:hAnsi="宋体" w:cs="宋体"/>
                <w:szCs w:val="21"/>
                <w:shd w:val="clear" w:color="auto" w:fill="FFFFFF"/>
                <w:lang w:val="en-US" w:eastAsia="zh-CN"/>
              </w:rPr>
              <w:t>完成</w:t>
            </w:r>
            <w:r>
              <w:rPr>
                <w:rFonts w:hint="eastAsia" w:ascii="宋体" w:hAnsi="宋体" w:cs="宋体"/>
                <w:szCs w:val="21"/>
                <w:shd w:val="clear" w:color="auto" w:fill="FFFFFF"/>
              </w:rPr>
              <w:t>一项110万及以上类似材料供货合同业绩。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5</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信誉要求：在国家企业信用信息公示系统（http://www.gsxt.gov.cn/）中未被列入严重违法失信企业名单（黑名单）信息（若并非企业，则无需查询）；在“信用中国”网站（http://www.creditchina.gov.cn/）中未被列入失信惩戒执行人名单。</w:t>
            </w:r>
          </w:p>
        </w:tc>
      </w:tr>
    </w:tbl>
    <w:p>
      <w:pPr>
        <w:spacing w:line="400" w:lineRule="exact"/>
        <w:jc w:val="left"/>
        <w:rPr>
          <w:rFonts w:hAnsi="宋体"/>
          <w:kern w:val="0"/>
          <w:szCs w:val="21"/>
        </w:rPr>
      </w:pPr>
      <w:r>
        <w:rPr>
          <w:rFonts w:hint="eastAsia" w:ascii="宋体" w:hAnsi="宋体" w:cs="宋体"/>
          <w:szCs w:val="21"/>
        </w:rPr>
        <w:t xml:space="preserve">  </w:t>
      </w:r>
      <w:r>
        <w:rPr>
          <w:rFonts w:hint="eastAsia" w:hAnsi="宋体"/>
          <w:kern w:val="0"/>
          <w:szCs w:val="21"/>
        </w:rPr>
        <w:t xml:space="preserve"> 注：1.提供报价人营业执照复印件，并加盖报价人鲜章。</w:t>
      </w:r>
    </w:p>
    <w:p>
      <w:pPr>
        <w:numPr>
          <w:ilvl w:val="0"/>
          <w:numId w:val="4"/>
        </w:numPr>
      </w:pPr>
      <w:r>
        <w:rPr>
          <w:rFonts w:hint="eastAsia" w:hAnsi="宋体"/>
          <w:kern w:val="0"/>
          <w:szCs w:val="21"/>
        </w:rPr>
        <w:t>提供报价人</w:t>
      </w:r>
      <w:r>
        <w:rPr>
          <w:rFonts w:hint="eastAsia" w:ascii="宋体" w:hAnsi="宋体" w:cs="宋体"/>
          <w:szCs w:val="21"/>
          <w:shd w:val="clear" w:color="auto" w:fill="FFFFFF"/>
          <w:lang w:val="en-US" w:eastAsia="zh-CN"/>
        </w:rPr>
        <w:t>生产</w:t>
      </w:r>
      <w:r>
        <w:rPr>
          <w:rFonts w:hint="eastAsia" w:ascii="宋体" w:hAnsi="宋体" w:cs="宋体"/>
          <w:color w:val="auto"/>
          <w:szCs w:val="21"/>
          <w:lang w:val="en-US" w:eastAsia="zh-CN"/>
        </w:rPr>
        <w:t>厂家</w:t>
      </w:r>
      <w:r>
        <w:rPr>
          <w:rFonts w:hint="eastAsia" w:ascii="宋体" w:hAnsi="宋体" w:eastAsia="宋体" w:cs="宋体"/>
          <w:color w:val="auto"/>
          <w:szCs w:val="21"/>
          <w:lang w:val="en-US" w:eastAsia="zh-CN"/>
        </w:rPr>
        <w:t>资格声明</w:t>
      </w:r>
      <w:r>
        <w:rPr>
          <w:rFonts w:hint="eastAsia"/>
        </w:rPr>
        <w:t>，</w:t>
      </w:r>
      <w:r>
        <w:rPr>
          <w:rFonts w:hint="eastAsia" w:hAnsi="宋体"/>
          <w:kern w:val="0"/>
          <w:szCs w:val="21"/>
        </w:rPr>
        <w:t>并加盖报价人鲜章。</w:t>
      </w:r>
    </w:p>
    <w:p>
      <w:pPr>
        <w:numPr>
          <w:ilvl w:val="0"/>
          <w:numId w:val="4"/>
        </w:numPr>
      </w:pPr>
      <w:r>
        <w:rPr>
          <w:rFonts w:hint="eastAsia"/>
          <w:lang w:val="en-US" w:eastAsia="zh-CN"/>
        </w:rPr>
        <w:t>提供硅芯管及集束管</w:t>
      </w:r>
      <w:r>
        <w:rPr>
          <w:rFonts w:hint="eastAsia" w:ascii="宋体" w:hAnsi="宋体" w:cs="宋体"/>
          <w:szCs w:val="21"/>
          <w:shd w:val="clear" w:color="auto" w:fill="FFFFFF"/>
        </w:rPr>
        <w:t>国家交通安全设施质量监督检验中心出具的检测报告</w:t>
      </w:r>
      <w:r>
        <w:rPr>
          <w:rFonts w:hint="eastAsia"/>
        </w:rPr>
        <w:t>，</w:t>
      </w:r>
      <w:r>
        <w:rPr>
          <w:rFonts w:hint="eastAsia" w:hAnsi="宋体"/>
          <w:kern w:val="0"/>
          <w:szCs w:val="21"/>
        </w:rPr>
        <w:t>并加盖报价人鲜章。</w:t>
      </w:r>
    </w:p>
    <w:p>
      <w:pPr>
        <w:numPr>
          <w:ilvl w:val="0"/>
          <w:numId w:val="4"/>
        </w:numPr>
      </w:pPr>
      <w:r>
        <w:t>提供合同</w:t>
      </w:r>
      <w:r>
        <w:rPr>
          <w:rFonts w:hint="eastAsia"/>
          <w:lang w:val="en-US" w:eastAsia="zh-CN"/>
        </w:rPr>
        <w:t>复印件</w:t>
      </w:r>
      <w:r>
        <w:t>（合同需清晰反映上述业绩要求的主要内容，包括但不限于合同签订时间、合同金额及合同内容）</w:t>
      </w:r>
      <w:r>
        <w:rPr>
          <w:rFonts w:hint="eastAsia"/>
          <w:lang w:val="en-US" w:eastAsia="zh-CN"/>
        </w:rPr>
        <w:t>以及对应本合同的金额不</w:t>
      </w:r>
      <w:r>
        <w:rPr>
          <w:rFonts w:hint="eastAsia"/>
          <w:color w:val="FF0000"/>
          <w:lang w:val="en-US" w:eastAsia="zh-CN"/>
        </w:rPr>
        <w:t>低于110万的增值税专用发票</w:t>
      </w:r>
      <w:r>
        <w:t>复印件或扫描件</w:t>
      </w:r>
      <w:r>
        <w:rPr>
          <w:rFonts w:hint="eastAsia"/>
        </w:rPr>
        <w:t>，</w:t>
      </w:r>
      <w:r>
        <w:rPr>
          <w:rFonts w:hint="eastAsia"/>
          <w:lang w:val="en-US" w:eastAsia="zh-CN"/>
        </w:rPr>
        <w:t>并</w:t>
      </w:r>
      <w:r>
        <w:rPr>
          <w:rFonts w:hint="eastAsia" w:hAnsi="宋体"/>
          <w:kern w:val="0"/>
          <w:szCs w:val="21"/>
        </w:rPr>
        <w:t>盖报价人鲜章。</w:t>
      </w:r>
    </w:p>
    <w:p>
      <w:pPr>
        <w:numPr>
          <w:ilvl w:val="0"/>
          <w:numId w:val="4"/>
        </w:numPr>
      </w:pPr>
      <w:r>
        <w:rPr>
          <w:rFonts w:hint="eastAsia"/>
        </w:rPr>
        <w:t>提供企业信用信息公示系统（http://www.gsxt.gov.cn/）中未被列入严重违法失信企业名单（黑名单）信息截图</w:t>
      </w:r>
      <w:r>
        <w:rPr>
          <w:rFonts w:hint="eastAsia" w:ascii="宋体" w:hAnsi="宋体" w:cs="宋体"/>
          <w:szCs w:val="21"/>
          <w:shd w:val="clear" w:color="auto" w:fill="FFFFFF"/>
        </w:rPr>
        <w:t>（若并非企业，则无需查询）</w:t>
      </w:r>
      <w:r>
        <w:rPr>
          <w:rFonts w:hint="eastAsia"/>
        </w:rPr>
        <w:t>（和在“信用中国”网站（http://www.creditchina.gov.cn/）中未被列入失信惩戒执行人名单截图信息并加盖鲜章。</w:t>
      </w:r>
    </w:p>
    <w:bookmarkEnd w:id="737"/>
    <w:bookmarkEnd w:id="738"/>
    <w:p>
      <w:pPr>
        <w:spacing w:line="440" w:lineRule="exact"/>
        <w:ind w:firstLine="210" w:firstLineChars="100"/>
        <w:rPr>
          <w:rFonts w:ascii="宋体" w:hAnsi="宋体" w:cs="宋体"/>
        </w:rPr>
      </w:pPr>
    </w:p>
    <w:p>
      <w:pPr>
        <w:pStyle w:val="2"/>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rPr>
          <w:rFonts w:ascii="宋体" w:hAnsi="宋体" w:cs="宋体"/>
        </w:rPr>
      </w:pPr>
    </w:p>
    <w:p>
      <w:pPr>
        <w:pStyle w:val="2"/>
        <w:rPr>
          <w:rFonts w:ascii="宋体" w:hAnsi="宋体" w:cs="宋体"/>
        </w:rPr>
      </w:pPr>
    </w:p>
    <w:p>
      <w:pPr>
        <w:rPr>
          <w:rFonts w:ascii="宋体" w:hAnsi="宋体" w:cs="宋体"/>
        </w:rPr>
      </w:pPr>
    </w:p>
    <w:p>
      <w:pPr>
        <w:pStyle w:val="2"/>
      </w:pPr>
    </w:p>
    <w:p>
      <w:pPr>
        <w:pStyle w:val="3"/>
        <w:numPr>
          <w:ilvl w:val="0"/>
          <w:numId w:val="5"/>
        </w:numPr>
        <w:spacing w:before="0" w:after="0" w:line="360" w:lineRule="auto"/>
        <w:jc w:val="center"/>
      </w:pPr>
      <w:bookmarkStart w:id="739" w:name="_Toc507319957"/>
      <w:bookmarkStart w:id="740" w:name="_Toc2000406"/>
      <w:bookmarkStart w:id="741" w:name="_Toc246996230"/>
      <w:bookmarkStart w:id="742" w:name="_Toc152042364"/>
      <w:bookmarkStart w:id="743" w:name="_Toc247085745"/>
      <w:bookmarkStart w:id="744" w:name="_Toc144974554"/>
      <w:bookmarkStart w:id="745" w:name="_Toc17732"/>
      <w:bookmarkStart w:id="746" w:name="_Toc152045587"/>
      <w:bookmarkStart w:id="747" w:name="_Toc179632605"/>
      <w:bookmarkStart w:id="748" w:name="_Toc246996973"/>
      <w:r>
        <w:rPr>
          <w:rFonts w:hint="eastAsia" w:ascii="宋体" w:hAnsi="宋体" w:cs="宋体"/>
        </w:rPr>
        <w:t>评标办法（</w:t>
      </w:r>
      <w:r>
        <w:rPr>
          <w:rFonts w:hint="eastAsia" w:ascii="宋体" w:hAnsi="宋体" w:cs="宋体"/>
          <w:lang w:val="en-US" w:eastAsia="zh-CN"/>
        </w:rPr>
        <w:t>经评审的最低价法</w:t>
      </w:r>
      <w:r>
        <w:rPr>
          <w:rFonts w:hint="eastAsia" w:ascii="宋体" w:hAnsi="宋体" w:cs="宋体"/>
        </w:rPr>
        <w:t>）</w:t>
      </w:r>
      <w:bookmarkEnd w:id="739"/>
      <w:bookmarkEnd w:id="740"/>
      <w:bookmarkEnd w:id="741"/>
      <w:bookmarkEnd w:id="742"/>
      <w:bookmarkEnd w:id="743"/>
      <w:bookmarkEnd w:id="744"/>
      <w:bookmarkEnd w:id="745"/>
      <w:bookmarkEnd w:id="746"/>
      <w:bookmarkEnd w:id="747"/>
      <w:bookmarkEnd w:id="748"/>
    </w:p>
    <w:p>
      <w:pPr>
        <w:pStyle w:val="4"/>
        <w:spacing w:before="0" w:after="0" w:line="360" w:lineRule="auto"/>
        <w:rPr>
          <w:rFonts w:hint="eastAsia" w:ascii="宋体" w:hAnsi="宋体" w:cs="宋体"/>
          <w:sz w:val="28"/>
          <w:szCs w:val="28"/>
        </w:rPr>
      </w:pPr>
      <w:bookmarkStart w:id="749" w:name="_Toc18631"/>
      <w:bookmarkStart w:id="750" w:name="_Toc32566"/>
      <w:r>
        <w:rPr>
          <w:rFonts w:hint="eastAsia" w:ascii="宋体" w:hAnsi="宋体" w:cs="宋体"/>
          <w:sz w:val="28"/>
          <w:szCs w:val="28"/>
        </w:rPr>
        <w:t>评标方法前附表</w:t>
      </w:r>
      <w:bookmarkEnd w:id="749"/>
      <w:bookmarkEnd w:id="750"/>
    </w:p>
    <w:tbl>
      <w:tblPr>
        <w:tblStyle w:val="43"/>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blHeader/>
          <w:jc w:val="center"/>
        </w:trPr>
        <w:tc>
          <w:tcPr>
            <w:tcW w:w="2024" w:type="dxa"/>
            <w:gridSpan w:val="2"/>
            <w:tcBorders>
              <w:top w:val="single" w:color="auto" w:sz="4" w:space="0"/>
              <w:bottom w:val="single" w:color="auto" w:sz="4" w:space="0"/>
              <w:right w:val="single" w:color="auto" w:sz="4" w:space="0"/>
            </w:tcBorders>
            <w:vAlign w:val="center"/>
          </w:tcPr>
          <w:p>
            <w:pPr>
              <w:spacing w:line="400" w:lineRule="exact"/>
              <w:jc w:val="center"/>
              <w:rPr>
                <w:b/>
              </w:rPr>
            </w:pPr>
            <w:r>
              <w:rPr>
                <w:b/>
              </w:rPr>
              <w:t>条款号</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rPr>
            </w:pPr>
            <w:r>
              <w:rPr>
                <w:b/>
              </w:rPr>
              <w:t>评审因素</w:t>
            </w:r>
          </w:p>
        </w:tc>
        <w:tc>
          <w:tcPr>
            <w:tcW w:w="5004" w:type="dxa"/>
            <w:tcBorders>
              <w:top w:val="single" w:color="auto" w:sz="4" w:space="0"/>
              <w:left w:val="single" w:color="auto" w:sz="4" w:space="0"/>
              <w:bottom w:val="single" w:color="auto" w:sz="4" w:space="0"/>
            </w:tcBorders>
            <w:vAlign w:val="center"/>
          </w:tcPr>
          <w:p>
            <w:pPr>
              <w:spacing w:line="400" w:lineRule="exact"/>
              <w:jc w:val="center"/>
              <w:rPr>
                <w:b/>
              </w:rPr>
            </w:pPr>
            <w:r>
              <w:rPr>
                <w:b/>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vAlign w:val="center"/>
          </w:tcPr>
          <w:p>
            <w:pPr>
              <w:spacing w:line="400" w:lineRule="exact"/>
              <w:jc w:val="center"/>
            </w:pPr>
            <w:r>
              <w:t>1</w:t>
            </w:r>
          </w:p>
        </w:tc>
        <w:tc>
          <w:tcPr>
            <w:tcW w:w="1124" w:type="dxa"/>
            <w:tcBorders>
              <w:top w:val="single" w:color="auto" w:sz="4" w:space="0"/>
              <w:left w:val="single" w:color="auto" w:sz="4" w:space="0"/>
              <w:right w:val="single" w:color="auto" w:sz="4" w:space="0"/>
            </w:tcBorders>
            <w:vAlign w:val="center"/>
          </w:tcPr>
          <w:p>
            <w:pPr>
              <w:spacing w:line="400" w:lineRule="exact"/>
              <w:jc w:val="center"/>
            </w:pPr>
            <w:r>
              <w:t>评标方法</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中标候选人排序方法</w:t>
            </w:r>
          </w:p>
        </w:tc>
        <w:tc>
          <w:tcPr>
            <w:tcW w:w="5004" w:type="dxa"/>
            <w:tcBorders>
              <w:top w:val="single" w:color="auto" w:sz="4" w:space="0"/>
              <w:left w:val="single" w:color="auto" w:sz="4" w:space="0"/>
              <w:bottom w:val="single" w:color="auto" w:sz="4" w:space="0"/>
            </w:tcBorders>
          </w:tcPr>
          <w:p>
            <w:pPr>
              <w:spacing w:line="360" w:lineRule="auto"/>
            </w:pPr>
            <w:r>
              <w:t>如出现报价相等时，评审小组按以下原则确定第一中标候选人：</w:t>
            </w:r>
          </w:p>
          <w:p>
            <w:pPr>
              <w:spacing w:line="360" w:lineRule="auto"/>
              <w:ind w:firstLine="218" w:firstLineChars="100"/>
            </w:pPr>
            <w:r>
              <w:rPr>
                <w:rFonts w:hint="eastAsia" w:ascii="宋体" w:hAnsi="宋体"/>
                <w:color w:val="auto"/>
                <w:spacing w:val="4"/>
                <w:kern w:val="0"/>
                <w:szCs w:val="21"/>
                <w:highlight w:val="none"/>
              </w:rPr>
              <w:t>若出现投标人投标报价相同的，由评标委员会按照由评标委员会按照</w:t>
            </w:r>
            <w:r>
              <w:rPr>
                <w:rFonts w:hint="eastAsia" w:ascii="宋体" w:hAnsi="宋体"/>
                <w:color w:val="auto"/>
                <w:spacing w:val="4"/>
                <w:kern w:val="0"/>
                <w:szCs w:val="21"/>
                <w:highlight w:val="none"/>
                <w:lang w:val="en-US" w:eastAsia="zh-CN"/>
              </w:rPr>
              <w:t>优先免缴投标担保和履约担保单位的</w:t>
            </w:r>
            <w:r>
              <w:rPr>
                <w:rFonts w:hint="eastAsia" w:ascii="宋体" w:hAnsi="宋体"/>
                <w:color w:val="auto"/>
                <w:spacing w:val="4"/>
                <w:kern w:val="0"/>
                <w:szCs w:val="21"/>
                <w:highlight w:val="none"/>
              </w:rPr>
              <w:t>原则排序</w:t>
            </w:r>
            <w:r>
              <w:rPr>
                <w:rFonts w:hint="eastAsia" w:ascii="宋体" w:hAnsi="宋体"/>
                <w:color w:val="auto"/>
                <w:spacing w:val="4"/>
                <w:kern w:val="0"/>
                <w:szCs w:val="21"/>
                <w:highlight w:val="none"/>
                <w:lang w:eastAsia="zh-CN"/>
              </w:rPr>
              <w:t>，</w:t>
            </w:r>
            <w:r>
              <w:rPr>
                <w:rFonts w:hint="eastAsia" w:ascii="宋体" w:hAnsi="宋体"/>
                <w:color w:val="auto"/>
                <w:spacing w:val="4"/>
                <w:kern w:val="0"/>
                <w:szCs w:val="21"/>
                <w:highlight w:val="none"/>
                <w:lang w:val="en-US" w:eastAsia="zh-CN"/>
              </w:rPr>
              <w:t>若均为免缴单位，则以递交投标文件先后顺序，若均不为免缴单位，则以缴纳投标保证金的先后顺序排列</w:t>
            </w: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vAlign w:val="center"/>
          </w:tcPr>
          <w:p>
            <w:pPr>
              <w:spacing w:line="400" w:lineRule="exact"/>
              <w:jc w:val="center"/>
            </w:pPr>
            <w:r>
              <w:rPr>
                <w:rFonts w:hint="eastAsia"/>
              </w:rPr>
              <w:t>2</w:t>
            </w:r>
          </w:p>
        </w:tc>
        <w:tc>
          <w:tcPr>
            <w:tcW w:w="1124" w:type="dxa"/>
            <w:vMerge w:val="restart"/>
            <w:tcBorders>
              <w:top w:val="single" w:color="auto" w:sz="4" w:space="0"/>
              <w:left w:val="single" w:color="auto" w:sz="4" w:space="0"/>
              <w:right w:val="single" w:color="auto" w:sz="4" w:space="0"/>
            </w:tcBorders>
            <w:vAlign w:val="center"/>
          </w:tcPr>
          <w:p>
            <w:pPr>
              <w:spacing w:line="400" w:lineRule="exact"/>
              <w:jc w:val="center"/>
            </w:pPr>
            <w: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人名称</w:t>
            </w:r>
          </w:p>
        </w:tc>
        <w:tc>
          <w:tcPr>
            <w:tcW w:w="5004" w:type="dxa"/>
            <w:tcBorders>
              <w:top w:val="single" w:color="auto" w:sz="4" w:space="0"/>
              <w:left w:val="single" w:color="auto" w:sz="4" w:space="0"/>
              <w:bottom w:val="single" w:color="auto" w:sz="4" w:space="0"/>
            </w:tcBorders>
            <w:vAlign w:val="center"/>
          </w:tcPr>
          <w:p>
            <w:pPr>
              <w:spacing w:line="400" w:lineRule="exact"/>
            </w:pPr>
            <w:r>
              <w:t>与营业执照</w:t>
            </w:r>
            <w:r>
              <w:rPr>
                <w:rFonts w:hint="eastAsia"/>
                <w:lang w:eastAsia="zh-CN"/>
              </w:rPr>
              <w:t>、</w:t>
            </w:r>
            <w:r>
              <w:rPr>
                <w:rFonts w:hint="eastAsia" w:ascii="宋体" w:hAnsi="宋体" w:cs="宋体"/>
                <w:szCs w:val="21"/>
                <w:shd w:val="clear" w:color="auto" w:fill="FFFFFF"/>
                <w:lang w:val="en-US" w:eastAsia="zh-CN"/>
              </w:rPr>
              <w:t>生产</w:t>
            </w:r>
            <w:r>
              <w:rPr>
                <w:rFonts w:hint="eastAsia" w:ascii="宋体" w:hAnsi="宋体" w:cs="宋体"/>
                <w:color w:val="auto"/>
                <w:szCs w:val="21"/>
                <w:lang w:val="en-US" w:eastAsia="zh-CN"/>
              </w:rPr>
              <w:t>厂家</w:t>
            </w:r>
            <w:r>
              <w:rPr>
                <w:rFonts w:hint="eastAsia" w:ascii="宋体" w:hAnsi="宋体" w:eastAsia="宋体" w:cs="宋体"/>
                <w:color w:val="auto"/>
                <w:szCs w:val="21"/>
                <w:lang w:val="en-US" w:eastAsia="zh-CN"/>
              </w:rPr>
              <w:t>资格声明</w:t>
            </w:r>
            <w:r>
              <w:rPr>
                <w:rFonts w:hint="eastAsia" w:ascii="宋体" w:hAnsi="宋体" w:cs="宋体"/>
                <w:color w:val="auto"/>
                <w:szCs w:val="21"/>
                <w:lang w:val="en-US" w:eastAsia="zh-CN"/>
              </w:rPr>
              <w:t>、</w:t>
            </w:r>
            <w:r>
              <w:rPr>
                <w:rFonts w:hint="eastAsia" w:ascii="宋体" w:hAnsi="宋体" w:cs="宋体"/>
                <w:szCs w:val="21"/>
                <w:shd w:val="clear" w:color="auto" w:fill="FFFFFF"/>
              </w:rPr>
              <w:t>检测报告</w:t>
            </w:r>
            <w:r>
              <w:rPr>
                <w:rFonts w:hint="eastAsia" w:ascii="宋体" w:hAnsi="宋体" w:cs="宋体"/>
                <w:szCs w:val="21"/>
                <w:shd w:val="clear" w:color="auto" w:fill="FFFFFF"/>
                <w:lang w:val="en-US" w:eastAsia="zh-CN"/>
              </w:rPr>
              <w:t>送检单位、</w:t>
            </w:r>
            <w:r>
              <w:t>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函签字盖章</w:t>
            </w:r>
          </w:p>
        </w:tc>
        <w:tc>
          <w:tcPr>
            <w:tcW w:w="5004" w:type="dxa"/>
            <w:tcBorders>
              <w:top w:val="single" w:color="auto" w:sz="4" w:space="0"/>
              <w:left w:val="single" w:color="auto" w:sz="4" w:space="0"/>
              <w:bottom w:val="single" w:color="auto" w:sz="4" w:space="0"/>
            </w:tcBorders>
            <w:vAlign w:val="center"/>
          </w:tcPr>
          <w:p>
            <w:pPr>
              <w:spacing w:line="400" w:lineRule="exact"/>
            </w:pPr>
            <w: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竞争性</w:t>
            </w:r>
            <w:r>
              <w:t>比选响应文件格式</w:t>
            </w:r>
          </w:p>
        </w:tc>
        <w:tc>
          <w:tcPr>
            <w:tcW w:w="5004" w:type="dxa"/>
            <w:tcBorders>
              <w:top w:val="single" w:color="auto" w:sz="4" w:space="0"/>
              <w:left w:val="single" w:color="auto" w:sz="4" w:space="0"/>
              <w:bottom w:val="single" w:color="auto" w:sz="4" w:space="0"/>
            </w:tcBorders>
            <w:vAlign w:val="center"/>
          </w:tcPr>
          <w:p>
            <w:pPr>
              <w:spacing w:line="400" w:lineRule="exact"/>
            </w:pPr>
            <w:r>
              <w:t>符合第九章“</w:t>
            </w:r>
            <w:r>
              <w:rPr>
                <w:rFonts w:hint="eastAsia"/>
              </w:rPr>
              <w:t>竞争性</w:t>
            </w:r>
            <w:r>
              <w:t>比选响应文件格式”的要求，字迹清晰可辨。</w:t>
            </w:r>
          </w:p>
          <w:p>
            <w:pPr>
              <w:spacing w:line="400" w:lineRule="exact"/>
            </w:pPr>
            <w:r>
              <w:t>1.</w:t>
            </w:r>
            <w:r>
              <w:rPr>
                <w:rFonts w:hint="eastAsia"/>
              </w:rPr>
              <w:t>报价</w:t>
            </w:r>
            <w:r>
              <w:t>函的所有数据均符合</w:t>
            </w:r>
            <w:r>
              <w:rPr>
                <w:rFonts w:hint="eastAsia"/>
              </w:rPr>
              <w:t>比选</w:t>
            </w:r>
            <w:r>
              <w:t>文件的规定；</w:t>
            </w:r>
          </w:p>
          <w:p>
            <w:pPr>
              <w:spacing w:line="400" w:lineRule="exact"/>
            </w:pPr>
            <w:r>
              <w:t>2.</w:t>
            </w:r>
            <w:r>
              <w:rPr>
                <w:rFonts w:hint="eastAsia"/>
              </w:rPr>
              <w:t>竞争性</w:t>
            </w:r>
            <w:r>
              <w:t>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已标价工程量清单</w:t>
            </w:r>
          </w:p>
        </w:tc>
        <w:tc>
          <w:tcPr>
            <w:tcW w:w="5004" w:type="dxa"/>
            <w:tcBorders>
              <w:top w:val="single" w:color="auto" w:sz="4" w:space="0"/>
              <w:left w:val="single" w:color="auto" w:sz="4" w:space="0"/>
              <w:bottom w:val="single" w:color="auto" w:sz="4" w:space="0"/>
            </w:tcBorders>
            <w:vAlign w:val="center"/>
          </w:tcPr>
          <w:p>
            <w:pPr>
              <w:spacing w:line="440" w:lineRule="exact"/>
            </w:pPr>
            <w:r>
              <w:t>符合第五章“工程量清单”给出的范围及数量</w:t>
            </w:r>
            <w:r>
              <w:rPr>
                <w:rFonts w:hint="eastAsia"/>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报价其它要求</w:t>
            </w:r>
          </w:p>
        </w:tc>
        <w:tc>
          <w:tcPr>
            <w:tcW w:w="5004" w:type="dxa"/>
            <w:tcBorders>
              <w:top w:val="single" w:color="auto" w:sz="4" w:space="0"/>
              <w:left w:val="single" w:color="auto" w:sz="4" w:space="0"/>
              <w:bottom w:val="single" w:color="auto" w:sz="4" w:space="0"/>
            </w:tcBorders>
            <w:vAlign w:val="center"/>
          </w:tcPr>
          <w:p>
            <w:pPr>
              <w:spacing w:line="440" w:lineRule="exact"/>
            </w:pPr>
            <w:r>
              <w:rPr>
                <w:rFonts w:hint="eastAsia"/>
              </w:rPr>
              <w:t>竞争性</w:t>
            </w:r>
            <w:r>
              <w:t>比选响应文件报价表中的报价与</w:t>
            </w:r>
            <w:r>
              <w:rPr>
                <w:rFonts w:hint="eastAsia"/>
              </w:rPr>
              <w:t>报价</w:t>
            </w:r>
            <w:r>
              <w:t>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rPr>
                <w:rFonts w:hint="eastAsia"/>
              </w:rPr>
              <w:t>竞争性</w:t>
            </w:r>
            <w: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pPr>
              <w:spacing w:line="400" w:lineRule="exact"/>
            </w:pPr>
            <w:r>
              <w:rPr>
                <w:rFonts w:hint="eastAsia"/>
              </w:rPr>
              <w:t>竞争性</w:t>
            </w:r>
            <w:r>
              <w:t>比选响应文件正本中法定代表人或授权代理人签署姓名齐全，符合</w:t>
            </w:r>
            <w:r>
              <w:rPr>
                <w:rFonts w:hint="eastAsia"/>
              </w:rPr>
              <w:t>比选</w:t>
            </w:r>
            <w:r>
              <w:t>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8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t>其它材料</w:t>
            </w:r>
          </w:p>
        </w:tc>
        <w:tc>
          <w:tcPr>
            <w:tcW w:w="5004" w:type="dxa"/>
            <w:tcBorders>
              <w:top w:val="single" w:color="auto" w:sz="4" w:space="0"/>
              <w:left w:val="single" w:color="auto" w:sz="4" w:space="0"/>
            </w:tcBorders>
            <w:vAlign w:val="center"/>
          </w:tcPr>
          <w:p>
            <w:pPr>
              <w:spacing w:line="400" w:lineRule="exact"/>
            </w:pPr>
            <w:r>
              <w:t>单位负责人为同一人或者存在控股、管理关系的不同单位，不得同时参加</w:t>
            </w:r>
            <w:r>
              <w:rPr>
                <w:rFonts w:hint="eastAsia"/>
              </w:rPr>
              <w:t>报价</w:t>
            </w:r>
            <w:r>
              <w:t>，否则相关</w:t>
            </w:r>
            <w:r>
              <w:rPr>
                <w:rFonts w:hint="eastAsia"/>
              </w:rPr>
              <w:t>报价</w:t>
            </w:r>
            <w:r>
              <w:t>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营业执照</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eastAsia="宋体"/>
                <w:lang w:val="en-US" w:eastAsia="zh-CN"/>
              </w:rPr>
            </w:pPr>
            <w:r>
              <w:rPr>
                <w:rFonts w:hint="eastAsia"/>
                <w:lang w:val="en-US" w:eastAsia="zh-CN"/>
              </w:rPr>
              <w:t>报价人要求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eastAsia="宋体"/>
                <w:lang w:val="en-US" w:eastAsia="zh-CN"/>
              </w:rPr>
            </w:pPr>
            <w:r>
              <w:rPr>
                <w:rFonts w:hint="eastAsia"/>
                <w:lang w:val="en-US" w:eastAsia="zh-CN"/>
              </w:rPr>
              <w:t>产品要求</w:t>
            </w:r>
          </w:p>
        </w:tc>
        <w:tc>
          <w:tcPr>
            <w:tcW w:w="5004" w:type="dxa"/>
            <w:tcBorders>
              <w:top w:val="single" w:color="auto" w:sz="4" w:space="0"/>
              <w:left w:val="single" w:color="auto" w:sz="4" w:space="0"/>
              <w:bottom w:val="single" w:color="auto" w:sz="4" w:space="0"/>
            </w:tcBorders>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业绩要求</w:t>
            </w:r>
          </w:p>
        </w:tc>
        <w:tc>
          <w:tcPr>
            <w:tcW w:w="5004" w:type="dxa"/>
            <w:tcBorders>
              <w:top w:val="single" w:color="auto" w:sz="4" w:space="0"/>
              <w:left w:val="single" w:color="auto" w:sz="4" w:space="0"/>
              <w:bottom w:val="single" w:color="auto" w:sz="4" w:space="0"/>
            </w:tcBorders>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信誉要求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lang w:val="en-US" w:eastAsia="zh-CN"/>
              </w:rPr>
              <w:t>报价</w:t>
            </w:r>
            <w:r>
              <w:t>内容</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4</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165"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报价</w:t>
            </w:r>
          </w:p>
        </w:tc>
        <w:tc>
          <w:tcPr>
            <w:tcW w:w="5004" w:type="dxa"/>
            <w:tcBorders>
              <w:top w:val="single" w:color="auto" w:sz="4" w:space="0"/>
              <w:left w:val="single" w:color="auto" w:sz="4" w:space="0"/>
              <w:bottom w:val="single" w:color="auto" w:sz="4" w:space="0"/>
            </w:tcBorders>
            <w:vAlign w:val="center"/>
          </w:tcPr>
          <w:p>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eastAsia="宋体"/>
                <w:lang w:val="en-US" w:eastAsia="zh-CN"/>
              </w:rPr>
            </w:pPr>
            <w:r>
              <w:rPr>
                <w:rFonts w:hint="eastAsia"/>
                <w:lang w:val="en-US" w:eastAsia="zh-CN"/>
              </w:rPr>
              <w:t>供货期限</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5</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质量标准</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6</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pPr>
              <w:spacing w:line="400" w:lineRule="exact"/>
              <w:jc w:val="center"/>
            </w:pPr>
            <w:r>
              <w:rPr>
                <w:rFonts w:hint="eastAsia"/>
              </w:rPr>
              <w:t>5</w:t>
            </w:r>
          </w:p>
        </w:tc>
        <w:tc>
          <w:tcPr>
            <w:tcW w:w="112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评标结果</w:t>
            </w:r>
          </w:p>
        </w:tc>
        <w:tc>
          <w:tcPr>
            <w:tcW w:w="7121" w:type="dxa"/>
            <w:gridSpan w:val="2"/>
            <w:tcBorders>
              <w:top w:val="single" w:color="auto" w:sz="4" w:space="0"/>
              <w:left w:val="single" w:color="auto" w:sz="4" w:space="0"/>
              <w:bottom w:val="single" w:color="auto" w:sz="4" w:space="0"/>
            </w:tcBorders>
          </w:tcPr>
          <w:p>
            <w:pPr>
              <w:spacing w:line="400" w:lineRule="exact"/>
              <w:ind w:firstLine="420"/>
            </w:pPr>
            <w:r>
              <w:t>补充细化：</w:t>
            </w:r>
          </w:p>
          <w:p>
            <w:pPr>
              <w:spacing w:line="400" w:lineRule="exact"/>
              <w:ind w:firstLine="420" w:firstLineChars="200"/>
            </w:pPr>
            <w:r>
              <w:t>本项目评标采用经评审的最低投标价法，对通过初步评审、详细评审的</w:t>
            </w:r>
            <w:r>
              <w:rPr>
                <w:rFonts w:hint="eastAsia"/>
              </w:rPr>
              <w:t>报价</w:t>
            </w:r>
            <w:r>
              <w:t>人按照</w:t>
            </w:r>
            <w:r>
              <w:rPr>
                <w:rFonts w:hint="eastAsia"/>
              </w:rPr>
              <w:t>报</w:t>
            </w:r>
            <w:r>
              <w:t>价从低到高的先后顺序，推荐</w:t>
            </w:r>
            <w:r>
              <w:rPr>
                <w:rFonts w:hint="eastAsia"/>
              </w:rPr>
              <w:t>2</w:t>
            </w:r>
            <w:r>
              <w:t>名中标候选人。</w:t>
            </w:r>
          </w:p>
        </w:tc>
      </w:tr>
    </w:tbl>
    <w:p/>
    <w:p>
      <w:pPr>
        <w:pStyle w:val="4"/>
        <w:spacing w:before="0" w:after="0" w:line="360" w:lineRule="auto"/>
        <w:rPr>
          <w:rFonts w:ascii="宋体" w:hAnsi="宋体" w:cs="宋体"/>
          <w:sz w:val="28"/>
          <w:szCs w:val="28"/>
        </w:rPr>
      </w:pPr>
      <w:bookmarkStart w:id="751" w:name="_Toc6578"/>
      <w:bookmarkStart w:id="752" w:name="_Toc57795918"/>
      <w:bookmarkStart w:id="753" w:name="_Toc33106441"/>
      <w:bookmarkStart w:id="754" w:name="_Toc3971"/>
      <w:r>
        <w:rPr>
          <w:rFonts w:hint="eastAsia" w:ascii="宋体" w:hAnsi="宋体" w:cs="宋体"/>
          <w:sz w:val="28"/>
          <w:szCs w:val="28"/>
        </w:rPr>
        <w:t>1. 评标方法</w:t>
      </w:r>
      <w:bookmarkEnd w:id="751"/>
      <w:bookmarkEnd w:id="752"/>
      <w:bookmarkEnd w:id="753"/>
      <w:bookmarkEnd w:id="754"/>
    </w:p>
    <w:p>
      <w:pPr>
        <w:spacing w:line="360" w:lineRule="auto"/>
        <w:ind w:firstLine="420" w:firstLineChars="200"/>
        <w:rPr>
          <w:rFonts w:ascii="宋体" w:hAnsi="宋体"/>
        </w:rPr>
      </w:pPr>
      <w:r>
        <w:rPr>
          <w:rFonts w:hint="eastAsia" w:ascii="宋体" w:hAnsi="宋体"/>
        </w:rPr>
        <w:t>本次评标采用经评审的最低投标价法，评标委员会按照本章第2.1款进行报价排序，按照本章第2.2款进行符合性审查，符合性审查合格的投标人中按报价由低到高推荐中标候选人，或根据采购人授权直接确定中标人。若出现投标人投标报价相同的，以评标办法前附表约定的原则确定排序。</w:t>
      </w:r>
    </w:p>
    <w:p>
      <w:pPr>
        <w:pStyle w:val="4"/>
        <w:spacing w:before="0" w:after="0" w:line="360" w:lineRule="auto"/>
        <w:rPr>
          <w:rFonts w:ascii="宋体" w:hAnsi="宋体" w:cs="宋体"/>
          <w:sz w:val="28"/>
          <w:szCs w:val="28"/>
        </w:rPr>
      </w:pPr>
      <w:bookmarkStart w:id="755" w:name="_Toc8671"/>
      <w:bookmarkStart w:id="756" w:name="_Toc57795919"/>
      <w:bookmarkStart w:id="757" w:name="_Toc2783"/>
      <w:bookmarkStart w:id="758" w:name="_Toc33106442"/>
      <w:r>
        <w:rPr>
          <w:rFonts w:hint="eastAsia" w:ascii="宋体" w:hAnsi="宋体" w:cs="宋体"/>
          <w:sz w:val="28"/>
          <w:szCs w:val="28"/>
        </w:rPr>
        <w:t>2. 评审标准</w:t>
      </w:r>
      <w:bookmarkEnd w:id="755"/>
      <w:bookmarkEnd w:id="756"/>
      <w:bookmarkEnd w:id="757"/>
      <w:bookmarkEnd w:id="758"/>
    </w:p>
    <w:p>
      <w:pPr>
        <w:pStyle w:val="5"/>
        <w:spacing w:before="0" w:after="0" w:line="360" w:lineRule="auto"/>
        <w:rPr>
          <w:rFonts w:ascii="宋体" w:hAnsi="宋体" w:cs="宋体"/>
          <w:sz w:val="21"/>
          <w:szCs w:val="21"/>
        </w:rPr>
      </w:pPr>
      <w:bookmarkStart w:id="759" w:name="_Toc33106443"/>
      <w:bookmarkStart w:id="760" w:name="_Toc57795920"/>
      <w:r>
        <w:rPr>
          <w:rFonts w:hint="eastAsia" w:ascii="宋体" w:hAnsi="宋体" w:cs="宋体"/>
          <w:sz w:val="21"/>
          <w:szCs w:val="21"/>
        </w:rPr>
        <w:t>2.1报价排序</w:t>
      </w:r>
      <w:bookmarkEnd w:id="759"/>
      <w:r>
        <w:rPr>
          <w:rFonts w:hint="eastAsia" w:ascii="宋体" w:hAnsi="宋体" w:cs="宋体"/>
          <w:sz w:val="21"/>
          <w:szCs w:val="21"/>
        </w:rPr>
        <w:t>标准</w:t>
      </w:r>
      <w:bookmarkEnd w:id="760"/>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见评标办法前附表。</w:t>
      </w:r>
    </w:p>
    <w:p>
      <w:pPr>
        <w:pStyle w:val="5"/>
        <w:spacing w:before="0" w:after="0" w:line="360" w:lineRule="auto"/>
        <w:rPr>
          <w:rFonts w:ascii="宋体" w:hAnsi="宋体" w:cs="宋体"/>
          <w:sz w:val="21"/>
          <w:szCs w:val="21"/>
        </w:rPr>
      </w:pPr>
      <w:bookmarkStart w:id="761" w:name="_Toc33106444"/>
      <w:bookmarkStart w:id="762" w:name="_Toc57795921"/>
      <w:r>
        <w:rPr>
          <w:rFonts w:ascii="宋体" w:hAnsi="宋体" w:cs="宋体"/>
          <w:sz w:val="21"/>
          <w:szCs w:val="21"/>
        </w:rPr>
        <w:t>2.</w:t>
      </w:r>
      <w:r>
        <w:rPr>
          <w:rFonts w:hint="eastAsia" w:ascii="宋体" w:hAnsi="宋体" w:cs="宋体"/>
          <w:sz w:val="21"/>
          <w:szCs w:val="21"/>
        </w:rPr>
        <w:t>2符合性审查</w:t>
      </w:r>
      <w:bookmarkEnd w:id="761"/>
      <w:r>
        <w:rPr>
          <w:rFonts w:hint="eastAsia" w:ascii="宋体" w:hAnsi="宋体" w:cs="宋体"/>
          <w:sz w:val="21"/>
          <w:szCs w:val="21"/>
        </w:rPr>
        <w:t>标准</w:t>
      </w:r>
      <w:bookmarkEnd w:id="762"/>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按评标办法前附表约定的报价人报价排序数量进行符合性审查</w:t>
      </w:r>
      <w:r>
        <w:rPr>
          <w:rFonts w:hint="eastAsia" w:ascii="宋体" w:hAnsi="宋体"/>
          <w:spacing w:val="4"/>
          <w:kern w:val="0"/>
          <w:szCs w:val="21"/>
        </w:rPr>
        <w:t>。符合性审查内容：技术方案评审（如有）、资格评审、形式评审、响应性、响应声明书部分及经济部分（如有）评审</w:t>
      </w:r>
      <w:r>
        <w:rPr>
          <w:rFonts w:hint="eastAsia" w:ascii="宋体" w:hAnsi="宋体" w:cs="宋体"/>
          <w:szCs w:val="21"/>
        </w:rPr>
        <w:t>。</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2.2.1  技术方案评审标准：见评标办法前附表。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2B  资格评审标准：见评标办法前附表（适用于未进行资格预审的）。</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2.2.5  投标函部分及经济部分评审标准：见评标办法前附表。</w:t>
      </w:r>
    </w:p>
    <w:p>
      <w:pPr>
        <w:pStyle w:val="4"/>
        <w:spacing w:before="0" w:after="0" w:line="360" w:lineRule="auto"/>
        <w:rPr>
          <w:rFonts w:ascii="宋体" w:hAnsi="宋体" w:cs="宋体"/>
          <w:sz w:val="28"/>
          <w:szCs w:val="28"/>
        </w:rPr>
      </w:pPr>
      <w:bookmarkStart w:id="763" w:name="_Toc8634"/>
      <w:bookmarkStart w:id="764" w:name="_Toc57795922"/>
      <w:bookmarkStart w:id="765" w:name="_Toc26605"/>
      <w:bookmarkStart w:id="766" w:name="_Toc33106445"/>
      <w:r>
        <w:rPr>
          <w:rFonts w:hint="eastAsia" w:ascii="宋体" w:hAnsi="宋体" w:cs="宋体"/>
          <w:sz w:val="28"/>
          <w:szCs w:val="28"/>
        </w:rPr>
        <w:t>3. 评标程序</w:t>
      </w:r>
      <w:bookmarkEnd w:id="763"/>
      <w:bookmarkEnd w:id="764"/>
      <w:bookmarkEnd w:id="765"/>
      <w:bookmarkEnd w:id="766"/>
    </w:p>
    <w:p>
      <w:pPr>
        <w:pStyle w:val="5"/>
        <w:spacing w:before="0" w:after="0" w:line="360" w:lineRule="auto"/>
        <w:rPr>
          <w:rFonts w:ascii="宋体" w:hAnsi="宋体" w:cs="宋体"/>
          <w:sz w:val="21"/>
          <w:szCs w:val="21"/>
        </w:rPr>
      </w:pPr>
      <w:bookmarkStart w:id="767" w:name="_Toc33106446"/>
      <w:bookmarkStart w:id="768" w:name="_Toc57795923"/>
      <w:r>
        <w:rPr>
          <w:rFonts w:hint="eastAsia" w:ascii="宋体" w:hAnsi="宋体" w:cs="宋体"/>
          <w:sz w:val="21"/>
          <w:szCs w:val="21"/>
        </w:rPr>
        <w:t>3.1报价排序</w:t>
      </w:r>
      <w:bookmarkEnd w:id="767"/>
      <w:bookmarkEnd w:id="768"/>
    </w:p>
    <w:p>
      <w:pPr>
        <w:spacing w:line="360" w:lineRule="auto"/>
        <w:ind w:firstLine="413" w:firstLineChars="197"/>
        <w:rPr>
          <w:rFonts w:ascii="宋体" w:hAnsi="宋体" w:cs="宋体"/>
          <w:szCs w:val="21"/>
        </w:rPr>
      </w:pPr>
      <w:r>
        <w:rPr>
          <w:rFonts w:hint="eastAsia" w:ascii="宋体" w:hAnsi="宋体" w:cs="宋体"/>
          <w:szCs w:val="21"/>
        </w:rPr>
        <w:t>对报价不高于最高限价的所有投标人的投标文件，按照报价由低到高的顺序排序。需技术方案评审的，由电子评标系统对技术方案进行自动随机编号。在投标函部分及经济部分评审前，推送给评标委员会的投标文件不得显示排序。</w:t>
      </w:r>
    </w:p>
    <w:p>
      <w:pPr>
        <w:pStyle w:val="5"/>
        <w:spacing w:before="0" w:after="0" w:line="360" w:lineRule="auto"/>
        <w:rPr>
          <w:rFonts w:ascii="宋体" w:hAnsi="宋体" w:cs="宋体"/>
          <w:sz w:val="21"/>
          <w:szCs w:val="21"/>
        </w:rPr>
      </w:pPr>
      <w:bookmarkStart w:id="769" w:name="_Toc33106447"/>
      <w:bookmarkStart w:id="770" w:name="_Toc57795924"/>
      <w:r>
        <w:rPr>
          <w:rFonts w:hint="eastAsia" w:ascii="宋体" w:hAnsi="宋体" w:cs="宋体"/>
          <w:sz w:val="21"/>
          <w:szCs w:val="21"/>
        </w:rPr>
        <w:t>3.2符合性审查</w:t>
      </w:r>
      <w:bookmarkEnd w:id="769"/>
      <w:bookmarkEnd w:id="770"/>
    </w:p>
    <w:p>
      <w:pPr>
        <w:spacing w:line="360" w:lineRule="auto"/>
        <w:ind w:firstLine="413" w:firstLineChars="197"/>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款规定的标准对投标文件进行符合性审查。符合性审查顺序：资格评审、形式评审、响应性评审。</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.2 投标人有以下情形之一的，</w:t>
      </w:r>
      <w:r>
        <w:rPr>
          <w:rFonts w:hint="eastAsia" w:ascii="宋体" w:hAnsi="宋体" w:cs="宋体"/>
          <w:szCs w:val="21"/>
        </w:rPr>
        <w:t>其投标文件将被否决：</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w:t>
      </w:r>
      <w:r>
        <w:rPr>
          <w:rFonts w:hint="eastAsia" w:ascii="宋体" w:hAnsi="宋体" w:cs="宋体"/>
          <w:szCs w:val="21"/>
        </w:rPr>
        <w:t>本次投标有串通投标、弄虚作假等其他违反招投标相关法律、法规行为的；</w:t>
      </w:r>
    </w:p>
    <w:p>
      <w:pPr>
        <w:spacing w:line="360" w:lineRule="auto"/>
        <w:ind w:firstLine="420" w:firstLineChars="200"/>
        <w:rPr>
          <w:rFonts w:ascii="宋体" w:hAnsi="宋体" w:cs="宋体"/>
          <w:szCs w:val="21"/>
        </w:rPr>
      </w:pPr>
      <w:r>
        <w:rPr>
          <w:rFonts w:hint="eastAsia" w:ascii="宋体" w:hAnsi="宋体" w:cs="宋体"/>
          <w:szCs w:val="21"/>
        </w:rPr>
        <w:t>（2）拒绝按评标委员会要求澄清、说明或补正的。</w:t>
      </w:r>
    </w:p>
    <w:p>
      <w:pPr>
        <w:spacing w:line="360" w:lineRule="auto"/>
        <w:ind w:firstLine="420" w:firstLineChars="200"/>
        <w:rPr>
          <w:rFonts w:ascii="宋体" w:hAnsi="宋体" w:cs="宋体"/>
          <w:szCs w:val="21"/>
        </w:rPr>
      </w:pPr>
      <w:r>
        <w:rPr>
          <w:rFonts w:hint="eastAsia" w:ascii="宋体" w:hAnsi="宋体" w:cs="宋体"/>
          <w:szCs w:val="21"/>
        </w:rPr>
        <w:t>3.2.3 投标报价有算术错误的，评标委员会按以下原则对投标报价进行修正，修正的价格经投标人书面确认后具有约束力，修正原则如下：</w:t>
      </w:r>
    </w:p>
    <w:p>
      <w:pPr>
        <w:spacing w:line="360" w:lineRule="auto"/>
        <w:ind w:firstLine="420" w:firstLineChars="200"/>
        <w:rPr>
          <w:rFonts w:ascii="宋体" w:hAnsi="宋体" w:cs="宋体"/>
          <w:szCs w:val="21"/>
        </w:rPr>
      </w:pPr>
      <w:r>
        <w:rPr>
          <w:rFonts w:hint="eastAsia" w:ascii="宋体" w:hAnsi="宋体" w:cs="宋体"/>
          <w:szCs w:val="21"/>
        </w:rPr>
        <w:t>（1）投标文件中的大写金额与小写金额不一致的，以大写金额为准；</w:t>
      </w:r>
    </w:p>
    <w:p>
      <w:pPr>
        <w:spacing w:line="360" w:lineRule="auto"/>
        <w:ind w:firstLine="420" w:firstLineChars="200"/>
        <w:rPr>
          <w:rFonts w:ascii="宋体" w:hAnsi="宋体" w:cs="宋体"/>
          <w:szCs w:val="21"/>
        </w:rPr>
      </w:pPr>
      <w:r>
        <w:rPr>
          <w:rFonts w:hint="eastAsia" w:ascii="宋体" w:hAnsi="宋体" w:cs="宋体"/>
          <w:szCs w:val="21"/>
        </w:rPr>
        <w:t>（2）响应声明书中的总报价与已标价采购清单总报价不一致的，由评标委员会作否决投标处理。</w:t>
      </w:r>
    </w:p>
    <w:p>
      <w:pPr>
        <w:pStyle w:val="5"/>
        <w:spacing w:before="0" w:after="0" w:line="360" w:lineRule="auto"/>
        <w:rPr>
          <w:rFonts w:ascii="宋体" w:hAnsi="宋体" w:cs="宋体"/>
          <w:sz w:val="21"/>
          <w:szCs w:val="21"/>
        </w:rPr>
      </w:pPr>
      <w:bookmarkStart w:id="771" w:name="_Toc57795925"/>
      <w:bookmarkStart w:id="772" w:name="_Toc33106448"/>
      <w:r>
        <w:rPr>
          <w:rFonts w:hint="eastAsia" w:ascii="宋体" w:hAnsi="宋体" w:cs="宋体"/>
          <w:sz w:val="21"/>
          <w:szCs w:val="21"/>
        </w:rPr>
        <w:t>3.3 投标文件的澄清和补正</w:t>
      </w:r>
      <w:bookmarkEnd w:id="771"/>
      <w:bookmarkEnd w:id="772"/>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.1 </w:t>
      </w:r>
      <w:r>
        <w:rPr>
          <w:rFonts w:hint="eastAsia" w:ascii="宋体" w:hAnsi="宋体" w:cs="宋体"/>
          <w:szCs w:val="21"/>
        </w:rPr>
        <w:t>在评标过程中，评标委员会可以书面形式要求投标人对所提交投标文件中不明确的内容进行书面澄清或说明，或者对细微偏差进行补正。评标委员会不接受投标人主动提出的澄清、说明或补正。</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.2 </w:t>
      </w:r>
      <w:r>
        <w:rPr>
          <w:rFonts w:hint="eastAsia" w:ascii="宋体" w:hAnsi="宋体" w:cs="宋体"/>
          <w:szCs w:val="21"/>
        </w:rPr>
        <w:t>澄清、说明和补正不得改变投标文件的实质性内容（算术性错误修正的除外）。投标人的书面澄清、说明和补正属于投标文件的组成部分。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.3 </w:t>
      </w:r>
      <w:r>
        <w:rPr>
          <w:rFonts w:hint="eastAsia" w:ascii="宋体" w:hAnsi="宋体" w:cs="宋体"/>
          <w:szCs w:val="21"/>
        </w:rPr>
        <w:t>评标委员会对投标人提交的澄清、说明或补正有疑问的，可以要求投标人进一步澄清、说明或补正，直至满足评标委员会的要求。</w:t>
      </w:r>
    </w:p>
    <w:p>
      <w:pPr>
        <w:pStyle w:val="5"/>
        <w:spacing w:before="0" w:after="0" w:line="360" w:lineRule="auto"/>
        <w:rPr>
          <w:rFonts w:ascii="宋体" w:hAnsi="宋体" w:cs="宋体"/>
          <w:sz w:val="21"/>
          <w:szCs w:val="21"/>
        </w:rPr>
      </w:pPr>
      <w:bookmarkStart w:id="773" w:name="_Toc33106449"/>
      <w:bookmarkStart w:id="774" w:name="_Toc57795926"/>
      <w:bookmarkStart w:id="775" w:name="_Toc479262406"/>
      <w:bookmarkStart w:id="776" w:name="_Toc484465184"/>
      <w:r>
        <w:rPr>
          <w:rFonts w:hint="eastAsia" w:ascii="宋体" w:hAnsi="宋体" w:cs="宋体"/>
          <w:sz w:val="21"/>
          <w:szCs w:val="21"/>
        </w:rPr>
        <w:t>3.4 评标结果</w:t>
      </w:r>
      <w:bookmarkEnd w:id="773"/>
      <w:bookmarkEnd w:id="774"/>
      <w:bookmarkEnd w:id="775"/>
      <w:bookmarkEnd w:id="776"/>
    </w:p>
    <w:p>
      <w:pPr>
        <w:autoSpaceDE w:val="0"/>
        <w:autoSpaceDN w:val="0"/>
        <w:adjustRightInd w:val="0"/>
        <w:spacing w:line="360" w:lineRule="auto"/>
        <w:ind w:firstLine="420" w:firstLineChars="200"/>
        <w:jc w:val="left"/>
        <w:rPr>
          <w:rFonts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.1</w:t>
      </w:r>
      <w:r>
        <w:rPr>
          <w:rFonts w:hint="eastAsia" w:ascii="宋体" w:hAnsi="宋体" w:cs="宋体"/>
          <w:szCs w:val="21"/>
        </w:rPr>
        <w:t xml:space="preserve"> 除第二章“投标人须知”前附表授权直接确定中标人外，评标委员会按经评审的最低投标价法推荐中标候选人。</w:t>
      </w:r>
    </w:p>
    <w:p>
      <w:pPr>
        <w:spacing w:line="360" w:lineRule="auto"/>
        <w:ind w:firstLine="420" w:firstLineChars="200"/>
        <w:jc w:val="left"/>
        <w:rPr>
          <w:rFonts w:ascii="宋体" w:hAnsi="宋体" w:cs="宋体"/>
          <w:szCs w:val="21"/>
        </w:rPr>
      </w:pPr>
      <w:r>
        <w:rPr>
          <w:rFonts w:ascii="宋体" w:hAnsi="宋体" w:cs="宋体"/>
          <w:szCs w:val="21"/>
        </w:rPr>
        <w:t>3.</w:t>
      </w:r>
      <w:r>
        <w:rPr>
          <w:rFonts w:hint="eastAsia" w:ascii="宋体" w:hAnsi="宋体" w:cs="宋体"/>
          <w:szCs w:val="21"/>
        </w:rPr>
        <w:t>4</w:t>
      </w:r>
      <w:r>
        <w:rPr>
          <w:rFonts w:ascii="宋体" w:hAnsi="宋体" w:cs="宋体"/>
          <w:szCs w:val="21"/>
        </w:rPr>
        <w:t>.2</w:t>
      </w:r>
      <w:r>
        <w:rPr>
          <w:rFonts w:hint="eastAsia" w:ascii="宋体" w:hAnsi="宋体" w:cs="宋体"/>
          <w:szCs w:val="21"/>
        </w:rPr>
        <w:t xml:space="preserve"> 评标委员会完成评标后，应当向采购人提交书面评标报告和中标候选人名单。</w:t>
      </w:r>
    </w:p>
    <w:p>
      <w:pPr>
        <w:rPr>
          <w:rStyle w:val="82"/>
        </w:rPr>
      </w:pPr>
      <w:r>
        <w:rPr>
          <w:rFonts w:hint="eastAsia" w:ascii="宋体" w:hAnsi="宋体" w:cs="宋体"/>
          <w:szCs w:val="21"/>
        </w:rPr>
        <w:br w:type="page"/>
      </w:r>
    </w:p>
    <w:p>
      <w:pPr>
        <w:pStyle w:val="3"/>
        <w:numPr>
          <w:ilvl w:val="0"/>
          <w:numId w:val="5"/>
        </w:numPr>
        <w:spacing w:before="0" w:after="0" w:line="360" w:lineRule="auto"/>
        <w:jc w:val="center"/>
        <w:rPr>
          <w:rFonts w:ascii="宋体" w:hAnsi="宋体" w:cs="宋体"/>
        </w:rPr>
      </w:pPr>
      <w:r>
        <w:rPr>
          <w:rFonts w:hint="eastAsia" w:ascii="宋体" w:hAnsi="宋体" w:cs="宋体"/>
        </w:rPr>
        <w:t>报价说明</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1、工程量清单应与本工程竞争性比选文件、技术标准和要求等文件结合起来查阅与理解。</w:t>
      </w:r>
    </w:p>
    <w:p>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2、本项目所报含税单位为含材料原价（含硅芯管、集束管及其安装连接附件）、装车运输费、运输保险费、增值税、质保期2年所需费用等一切相关费用的综合单价。</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3、报价人应结合实际和现在的市场情况、自身技术及管理水平、经营状况、设备及制定的方案的要求自行报价，该报价不低于报价人完成该项目的成本。</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5、工程量清单中所列工程量的变动，丝毫不会降低或影响合同条款的效力，也不免除报价人按规定的标准进行施工和修复缺陷的责任。</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6、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7、工程量清单中的任何内容不得随意删除或涂改，若有误，在有效时间内书面向采购人提出，以“补遗”资料为准。</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8、不同单项及单位工程中的分部分项工程量清单中相同项目（项目特征及工作内容相同）的应报价统一，如有差异，按最低的一个报价进行结算；材料设备单价处理办法相同。</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9、在合同执行过程中，如因国家税务政策调整，当增值税税率提高，含税总价不变；当增值税税率降低，不含税总价不变，并相应减少增值税金额。</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10、工程量清单中的任何内容不得随意删除或涂改，若有误，在有效时间内书面向采购人提出，以“补遗”资料为准。</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11、报价中的单价和合价全部以人民币（元）表示。</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12、对于报价人报价中明显高于市场价的单项报价，采购人有权进行价格审核后调整。调整后应以取得报价人的同意，并确认修正后的最终报价。如果报价人拒绝确认，则其竞争性响应文件将不予评审。</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13、合同为单价合同，合同期间不予调价。</w:t>
      </w:r>
    </w:p>
    <w:p>
      <w:pPr>
        <w:pStyle w:val="2"/>
        <w:spacing w:line="360" w:lineRule="auto"/>
        <w:ind w:firstLine="420" w:firstLineChars="200"/>
        <w:rPr>
          <w:rFonts w:ascii="宋体" w:hAnsi="宋体" w:cs="宋体"/>
          <w:sz w:val="21"/>
          <w:szCs w:val="21"/>
        </w:rPr>
        <w:sectPr>
          <w:footerReference r:id="rId8" w:type="default"/>
          <w:pgSz w:w="11906" w:h="16838"/>
          <w:pgMar w:top="1440" w:right="1800" w:bottom="1440" w:left="1800" w:header="851" w:footer="992" w:gutter="0"/>
          <w:cols w:space="720" w:num="1"/>
          <w:titlePg/>
          <w:docGrid w:type="lines" w:linePitch="312" w:charSpace="0"/>
        </w:sectPr>
      </w:pPr>
      <w:r>
        <w:rPr>
          <w:rFonts w:hint="eastAsia" w:ascii="宋体" w:hAnsi="宋体" w:cs="宋体"/>
          <w:sz w:val="21"/>
          <w:szCs w:val="21"/>
        </w:rPr>
        <w:t>14、报价人应严格按照工程量清单进行报价，不得随意修改采购人发布的工程量清单数量、公式及相关内容。</w:t>
      </w:r>
    </w:p>
    <w:p/>
    <w:p>
      <w:pPr>
        <w:pStyle w:val="3"/>
        <w:numPr>
          <w:ilvl w:val="0"/>
          <w:numId w:val="5"/>
        </w:numPr>
        <w:spacing w:before="0" w:after="0" w:line="360" w:lineRule="auto"/>
        <w:jc w:val="center"/>
        <w:rPr>
          <w:rFonts w:ascii="宋体" w:hAnsi="宋体" w:cs="宋体"/>
        </w:rPr>
      </w:pPr>
      <w:bookmarkStart w:id="777" w:name="_Toc2449"/>
      <w:r>
        <w:rPr>
          <w:rFonts w:hint="eastAsia" w:ascii="宋体" w:hAnsi="宋体" w:cs="宋体"/>
        </w:rPr>
        <w:t>采购清单</w:t>
      </w:r>
      <w:bookmarkEnd w:id="777"/>
    </w:p>
    <w:p/>
    <w:p>
      <w:pPr>
        <w:pStyle w:val="2"/>
      </w:pPr>
      <w:bookmarkStart w:id="778" w:name="_Toc247085872"/>
      <w:bookmarkStart w:id="779" w:name="_Toc152045786"/>
      <w:bookmarkStart w:id="780" w:name="_Toc179632806"/>
      <w:bookmarkStart w:id="781" w:name="_Toc144974855"/>
      <w:bookmarkStart w:id="782" w:name="_Toc246996354"/>
      <w:bookmarkStart w:id="783" w:name="_Toc152042575"/>
      <w:bookmarkStart w:id="784" w:name="_Toc246997097"/>
    </w:p>
    <w:tbl>
      <w:tblPr>
        <w:tblStyle w:val="43"/>
        <w:tblW w:w="9036" w:type="dxa"/>
        <w:tblInd w:w="1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71"/>
        <w:gridCol w:w="1293"/>
        <w:gridCol w:w="1557"/>
        <w:gridCol w:w="1005"/>
        <w:gridCol w:w="855"/>
        <w:gridCol w:w="599"/>
        <w:gridCol w:w="917"/>
        <w:gridCol w:w="899"/>
        <w:gridCol w:w="561"/>
        <w:gridCol w:w="8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471" w:type="dxa"/>
          </w:tcPr>
          <w:p>
            <w:pPr>
              <w:pStyle w:val="173"/>
              <w:spacing w:line="332" w:lineRule="exact"/>
              <w:ind w:left="115" w:right="108"/>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序号</w:t>
            </w:r>
          </w:p>
        </w:tc>
        <w:tc>
          <w:tcPr>
            <w:tcW w:w="1293" w:type="dxa"/>
            <w:tcBorders>
              <w:right w:val="single" w:color="000000" w:sz="6" w:space="0"/>
            </w:tcBorders>
            <w:vAlign w:val="center"/>
          </w:tcPr>
          <w:p>
            <w:pPr>
              <w:pStyle w:val="173"/>
              <w:spacing w:line="332" w:lineRule="exact"/>
              <w:ind w:left="0" w:right="0"/>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分项名称</w:t>
            </w:r>
          </w:p>
        </w:tc>
        <w:tc>
          <w:tcPr>
            <w:tcW w:w="1557" w:type="dxa"/>
            <w:tcBorders>
              <w:left w:val="single" w:color="000000" w:sz="6" w:space="0"/>
            </w:tcBorders>
            <w:vAlign w:val="center"/>
          </w:tcPr>
          <w:p>
            <w:pPr>
              <w:pStyle w:val="173"/>
              <w:spacing w:line="332" w:lineRule="exact"/>
              <w:ind w:left="0"/>
              <w:jc w:val="center"/>
              <w:rPr>
                <w:rFonts w:hint="eastAsia" w:ascii="宋体" w:hAnsi="宋体" w:eastAsia="宋体" w:cs="宋体"/>
                <w:b w:val="0"/>
                <w:bCs/>
                <w:color w:val="auto"/>
                <w:sz w:val="21"/>
                <w:szCs w:val="21"/>
                <w:highlight w:val="none"/>
                <w:lang w:val="en-US" w:eastAsia="zh-CN"/>
              </w:rPr>
            </w:pPr>
            <w:r>
              <w:rPr>
                <w:rFonts w:ascii="宋体" w:hAnsi="宋体"/>
                <w:color w:val="auto"/>
                <w:spacing w:val="-10"/>
                <w:szCs w:val="21"/>
                <w:highlight w:val="none"/>
              </w:rPr>
              <w:t>规格</w:t>
            </w:r>
          </w:p>
        </w:tc>
        <w:tc>
          <w:tcPr>
            <w:tcW w:w="1005" w:type="dxa"/>
            <w:tcBorders>
              <w:left w:val="single" w:color="000000" w:sz="6" w:space="0"/>
            </w:tcBorders>
            <w:vAlign w:val="center"/>
          </w:tcPr>
          <w:p>
            <w:pPr>
              <w:pStyle w:val="173"/>
              <w:spacing w:line="332" w:lineRule="exact"/>
              <w:ind w:left="0"/>
              <w:jc w:val="center"/>
              <w:rPr>
                <w:rFonts w:hint="eastAsia" w:ascii="宋体" w:hAnsi="宋体" w:eastAsia="宋体" w:cs="宋体"/>
                <w:b w:val="0"/>
                <w:bCs/>
                <w:color w:val="auto"/>
                <w:sz w:val="21"/>
                <w:szCs w:val="21"/>
                <w:highlight w:val="none"/>
              </w:rPr>
            </w:pPr>
            <w:r>
              <w:rPr>
                <w:rFonts w:hint="eastAsia" w:ascii="宋体" w:hAnsi="宋体"/>
                <w:color w:val="auto"/>
                <w:spacing w:val="-10"/>
                <w:szCs w:val="21"/>
                <w:highlight w:val="none"/>
                <w:lang w:val="en-US" w:eastAsia="zh-CN"/>
              </w:rPr>
              <w:t>品牌或</w:t>
            </w:r>
            <w:r>
              <w:rPr>
                <w:rFonts w:ascii="宋体" w:hAnsi="宋体"/>
                <w:color w:val="auto"/>
                <w:spacing w:val="-10"/>
                <w:szCs w:val="21"/>
                <w:highlight w:val="none"/>
              </w:rPr>
              <w:t>制造厂名称</w:t>
            </w:r>
          </w:p>
        </w:tc>
        <w:tc>
          <w:tcPr>
            <w:tcW w:w="855" w:type="dxa"/>
            <w:vAlign w:val="center"/>
          </w:tcPr>
          <w:p>
            <w:pPr>
              <w:pStyle w:val="173"/>
              <w:spacing w:line="332" w:lineRule="exact"/>
              <w:ind w:left="0"/>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数量</w:t>
            </w:r>
          </w:p>
        </w:tc>
        <w:tc>
          <w:tcPr>
            <w:tcW w:w="599" w:type="dxa"/>
            <w:vAlign w:val="center"/>
          </w:tcPr>
          <w:p>
            <w:pPr>
              <w:pStyle w:val="173"/>
              <w:spacing w:line="332" w:lineRule="exact"/>
              <w:ind w:left="0"/>
              <w:jc w:val="center"/>
              <w:rPr>
                <w:rFonts w:hint="default" w:cs="宋体"/>
                <w:b w:val="0"/>
                <w:bCs/>
                <w:color w:val="auto"/>
                <w:sz w:val="21"/>
                <w:szCs w:val="21"/>
                <w:highlight w:val="none"/>
                <w:lang w:val="en-US" w:eastAsia="zh-CN"/>
              </w:rPr>
            </w:pPr>
            <w:r>
              <w:rPr>
                <w:rFonts w:hint="eastAsia" w:cs="宋体"/>
                <w:b w:val="0"/>
                <w:bCs/>
                <w:color w:val="auto"/>
                <w:sz w:val="21"/>
                <w:szCs w:val="21"/>
                <w:highlight w:val="none"/>
                <w:lang w:val="en-US" w:eastAsia="zh-CN"/>
              </w:rPr>
              <w:t>单位</w:t>
            </w:r>
          </w:p>
        </w:tc>
        <w:tc>
          <w:tcPr>
            <w:tcW w:w="917" w:type="dxa"/>
            <w:vAlign w:val="center"/>
          </w:tcPr>
          <w:p>
            <w:pPr>
              <w:pStyle w:val="173"/>
              <w:spacing w:line="332" w:lineRule="exact"/>
              <w:ind w:left="0"/>
              <w:jc w:val="center"/>
              <w:rPr>
                <w:rFonts w:hint="eastAsia" w:ascii="宋体" w:hAnsi="宋体" w:eastAsia="宋体" w:cs="宋体"/>
                <w:b w:val="0"/>
                <w:bCs/>
                <w:color w:val="auto"/>
                <w:sz w:val="21"/>
                <w:szCs w:val="21"/>
                <w:highlight w:val="none"/>
              </w:rPr>
            </w:pPr>
            <w:r>
              <w:rPr>
                <w:rFonts w:hint="eastAsia" w:cs="宋体"/>
                <w:b w:val="0"/>
                <w:bCs/>
                <w:color w:val="auto"/>
                <w:sz w:val="21"/>
                <w:szCs w:val="21"/>
                <w:highlight w:val="none"/>
                <w:lang w:val="en-US" w:eastAsia="zh-CN"/>
              </w:rPr>
              <w:t>含税</w:t>
            </w:r>
            <w:r>
              <w:rPr>
                <w:rFonts w:hint="eastAsia" w:ascii="宋体" w:hAnsi="宋体" w:eastAsia="宋体" w:cs="宋体"/>
                <w:b w:val="0"/>
                <w:bCs/>
                <w:color w:val="auto"/>
                <w:sz w:val="21"/>
                <w:szCs w:val="21"/>
                <w:highlight w:val="none"/>
              </w:rPr>
              <w:t>单价</w:t>
            </w:r>
          </w:p>
        </w:tc>
        <w:tc>
          <w:tcPr>
            <w:tcW w:w="899" w:type="dxa"/>
            <w:vAlign w:val="center"/>
          </w:tcPr>
          <w:p>
            <w:pPr>
              <w:pStyle w:val="173"/>
              <w:spacing w:line="332" w:lineRule="exact"/>
              <w:ind w:left="0"/>
              <w:jc w:val="center"/>
              <w:rPr>
                <w:rFonts w:hint="eastAsia" w:ascii="宋体" w:hAnsi="宋体" w:eastAsia="宋体" w:cs="宋体"/>
                <w:b w:val="0"/>
                <w:bCs/>
                <w:color w:val="auto"/>
                <w:sz w:val="21"/>
                <w:szCs w:val="21"/>
                <w:highlight w:val="none"/>
              </w:rPr>
            </w:pPr>
            <w:r>
              <w:rPr>
                <w:rFonts w:hint="eastAsia" w:cs="宋体"/>
                <w:b w:val="0"/>
                <w:bCs/>
                <w:color w:val="auto"/>
                <w:sz w:val="21"/>
                <w:szCs w:val="21"/>
                <w:highlight w:val="none"/>
                <w:lang w:val="en-US" w:eastAsia="zh-CN"/>
              </w:rPr>
              <w:t>合</w:t>
            </w:r>
            <w:r>
              <w:rPr>
                <w:rFonts w:hint="eastAsia" w:ascii="宋体" w:hAnsi="宋体" w:eastAsia="宋体" w:cs="宋体"/>
                <w:b w:val="0"/>
                <w:bCs/>
                <w:color w:val="auto"/>
                <w:sz w:val="21"/>
                <w:szCs w:val="21"/>
                <w:highlight w:val="none"/>
              </w:rPr>
              <w:t>价</w:t>
            </w:r>
          </w:p>
        </w:tc>
        <w:tc>
          <w:tcPr>
            <w:tcW w:w="561" w:type="dxa"/>
            <w:vAlign w:val="center"/>
          </w:tcPr>
          <w:p>
            <w:pPr>
              <w:pStyle w:val="173"/>
              <w:spacing w:line="332" w:lineRule="exact"/>
              <w:ind w:left="0"/>
              <w:jc w:val="center"/>
              <w:rPr>
                <w:rFonts w:hint="eastAsia" w:ascii="宋体" w:hAnsi="宋体" w:eastAsia="宋体" w:cs="宋体"/>
                <w:b w:val="0"/>
                <w:bCs/>
                <w:color w:val="auto"/>
                <w:sz w:val="21"/>
                <w:szCs w:val="21"/>
                <w:highlight w:val="none"/>
                <w:lang w:val="en-US" w:eastAsia="zh-CN"/>
              </w:rPr>
            </w:pPr>
            <w:r>
              <w:rPr>
                <w:rFonts w:hint="eastAsia" w:cs="宋体"/>
                <w:b w:val="0"/>
                <w:bCs/>
                <w:color w:val="auto"/>
                <w:sz w:val="21"/>
                <w:szCs w:val="21"/>
                <w:highlight w:val="none"/>
                <w:lang w:val="en-US" w:eastAsia="zh-CN"/>
              </w:rPr>
              <w:t>税率</w:t>
            </w:r>
          </w:p>
        </w:tc>
        <w:tc>
          <w:tcPr>
            <w:tcW w:w="879" w:type="dxa"/>
            <w:vAlign w:val="center"/>
          </w:tcPr>
          <w:p>
            <w:pPr>
              <w:pStyle w:val="173"/>
              <w:spacing w:line="332" w:lineRule="exact"/>
              <w:ind w:left="0"/>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471" w:type="dxa"/>
          </w:tcPr>
          <w:p>
            <w:pPr>
              <w:pStyle w:val="173"/>
              <w:spacing w:before="75"/>
              <w:ind w:left="7"/>
              <w:jc w:val="center"/>
              <w:rPr>
                <w:rFonts w:hint="eastAsia" w:cs="宋体"/>
                <w:b w:val="0"/>
                <w:bCs/>
                <w:color w:val="auto"/>
                <w:w w:val="100"/>
                <w:sz w:val="21"/>
                <w:szCs w:val="21"/>
                <w:highlight w:val="none"/>
                <w:lang w:val="en-US" w:eastAsia="zh-CN"/>
              </w:rPr>
            </w:pPr>
          </w:p>
          <w:p>
            <w:pPr>
              <w:pStyle w:val="173"/>
              <w:spacing w:before="75"/>
              <w:ind w:left="7"/>
              <w:jc w:val="center"/>
              <w:rPr>
                <w:rFonts w:hint="eastAsia" w:ascii="宋体" w:hAnsi="宋体" w:eastAsia="宋体" w:cs="宋体"/>
                <w:b w:val="0"/>
                <w:bCs/>
                <w:color w:val="auto"/>
                <w:w w:val="100"/>
                <w:sz w:val="21"/>
                <w:szCs w:val="21"/>
                <w:highlight w:val="none"/>
                <w:lang w:val="en-US" w:eastAsia="zh-CN"/>
              </w:rPr>
            </w:pPr>
            <w:r>
              <w:rPr>
                <w:rFonts w:hint="eastAsia" w:cs="宋体"/>
                <w:b w:val="0"/>
                <w:bCs/>
                <w:color w:val="auto"/>
                <w:w w:val="100"/>
                <w:sz w:val="21"/>
                <w:szCs w:val="21"/>
                <w:highlight w:val="none"/>
                <w:lang w:val="en-US" w:eastAsia="zh-CN"/>
              </w:rPr>
              <w:t>1</w:t>
            </w:r>
          </w:p>
        </w:tc>
        <w:tc>
          <w:tcPr>
            <w:tcW w:w="1293" w:type="dxa"/>
            <w:tcBorders>
              <w:right w:val="single" w:color="000000" w:sz="6" w:space="0"/>
            </w:tcBorders>
            <w:vAlign w:val="center"/>
          </w:tcPr>
          <w:p>
            <w:pPr>
              <w:keepNext w:val="0"/>
              <w:keepLines w:val="0"/>
              <w:widowControl/>
              <w:suppressLineNumbers w:val="0"/>
              <w:jc w:val="center"/>
              <w:textAlignment w:val="center"/>
              <w:rPr>
                <w:rFonts w:hint="eastAsia" w:ascii="宋体" w:hAnsi="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聚氨酯管箱</w:t>
            </w:r>
          </w:p>
        </w:tc>
        <w:tc>
          <w:tcPr>
            <w:tcW w:w="1557" w:type="dxa"/>
            <w:tcBorders>
              <w:left w:val="single" w:color="000000" w:sz="6" w:space="0"/>
            </w:tcBorders>
            <w:vAlign w:val="center"/>
          </w:tcPr>
          <w:p>
            <w:pPr>
              <w:keepNext w:val="0"/>
              <w:keepLines w:val="0"/>
              <w:widowControl/>
              <w:suppressLineNumbers w:val="0"/>
              <w:jc w:val="center"/>
              <w:textAlignment w:val="center"/>
              <w:rPr>
                <w:rFonts w:hint="default" w:ascii="宋体" w:hAnsi="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4000*250×150×2mm</w:t>
            </w:r>
          </w:p>
        </w:tc>
        <w:tc>
          <w:tcPr>
            <w:tcW w:w="1005"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p>
        </w:tc>
        <w:tc>
          <w:tcPr>
            <w:tcW w:w="855"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16031 </w:t>
            </w:r>
          </w:p>
        </w:tc>
        <w:tc>
          <w:tcPr>
            <w:tcW w:w="599"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000000"/>
                <w:kern w:val="0"/>
                <w:sz w:val="20"/>
                <w:szCs w:val="20"/>
                <w:u w:val="none"/>
                <w:lang w:val="en-US" w:eastAsia="zh-CN" w:bidi="ar"/>
              </w:rPr>
              <w:t>米</w:t>
            </w:r>
          </w:p>
        </w:tc>
        <w:tc>
          <w:tcPr>
            <w:tcW w:w="917" w:type="dxa"/>
          </w:tcPr>
          <w:p>
            <w:pPr>
              <w:pStyle w:val="173"/>
              <w:rPr>
                <w:rFonts w:hint="eastAsia" w:ascii="宋体" w:hAnsi="宋体" w:eastAsia="宋体" w:cs="宋体"/>
                <w:b w:val="0"/>
                <w:bCs/>
                <w:color w:val="auto"/>
                <w:sz w:val="21"/>
                <w:szCs w:val="21"/>
                <w:highlight w:val="none"/>
              </w:rPr>
            </w:pPr>
          </w:p>
        </w:tc>
        <w:tc>
          <w:tcPr>
            <w:tcW w:w="899" w:type="dxa"/>
          </w:tcPr>
          <w:p>
            <w:pPr>
              <w:pStyle w:val="173"/>
              <w:rPr>
                <w:rFonts w:hint="eastAsia" w:ascii="宋体" w:hAnsi="宋体" w:eastAsia="宋体" w:cs="宋体"/>
                <w:b w:val="0"/>
                <w:bCs/>
                <w:color w:val="auto"/>
                <w:sz w:val="21"/>
                <w:szCs w:val="21"/>
                <w:highlight w:val="none"/>
              </w:rPr>
            </w:pPr>
          </w:p>
        </w:tc>
        <w:tc>
          <w:tcPr>
            <w:tcW w:w="561" w:type="dxa"/>
          </w:tcPr>
          <w:p>
            <w:pPr>
              <w:pStyle w:val="173"/>
              <w:rPr>
                <w:rFonts w:hint="default" w:ascii="宋体" w:hAnsi="宋体" w:eastAsia="宋体" w:cs="宋体"/>
                <w:b w:val="0"/>
                <w:bCs/>
                <w:color w:val="auto"/>
                <w:sz w:val="21"/>
                <w:szCs w:val="21"/>
                <w:highlight w:val="none"/>
                <w:lang w:val="en-US" w:eastAsia="zh-CN"/>
              </w:rPr>
            </w:pPr>
          </w:p>
        </w:tc>
        <w:tc>
          <w:tcPr>
            <w:tcW w:w="879"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5" w:hRule="atLeast"/>
        </w:trPr>
        <w:tc>
          <w:tcPr>
            <w:tcW w:w="471" w:type="dxa"/>
          </w:tcPr>
          <w:p>
            <w:pPr>
              <w:pStyle w:val="173"/>
              <w:spacing w:before="75"/>
              <w:ind w:left="7"/>
              <w:jc w:val="center"/>
              <w:rPr>
                <w:rFonts w:hint="eastAsia" w:ascii="宋体" w:hAnsi="宋体" w:eastAsia="宋体" w:cs="宋体"/>
                <w:b w:val="0"/>
                <w:bCs/>
                <w:color w:val="auto"/>
                <w:w w:val="100"/>
                <w:sz w:val="21"/>
                <w:szCs w:val="21"/>
                <w:highlight w:val="none"/>
              </w:rPr>
            </w:pPr>
          </w:p>
          <w:p>
            <w:pPr>
              <w:pStyle w:val="173"/>
              <w:spacing w:before="75"/>
              <w:ind w:left="7"/>
              <w:jc w:val="center"/>
              <w:rPr>
                <w:rFonts w:hint="eastAsia" w:ascii="宋体" w:hAnsi="宋体" w:eastAsia="宋体" w:cs="宋体"/>
                <w:b w:val="0"/>
                <w:bCs/>
                <w:color w:val="auto"/>
                <w:w w:val="100"/>
                <w:sz w:val="21"/>
                <w:szCs w:val="21"/>
                <w:highlight w:val="none"/>
                <w:lang w:val="en-US" w:eastAsia="zh-CN"/>
              </w:rPr>
            </w:pPr>
            <w:r>
              <w:rPr>
                <w:rFonts w:hint="eastAsia" w:cs="宋体"/>
                <w:b w:val="0"/>
                <w:bCs/>
                <w:color w:val="auto"/>
                <w:w w:val="100"/>
                <w:sz w:val="21"/>
                <w:szCs w:val="21"/>
                <w:highlight w:val="none"/>
                <w:lang w:val="en-US" w:eastAsia="zh-CN"/>
              </w:rPr>
              <w:t>2</w:t>
            </w:r>
          </w:p>
        </w:tc>
        <w:tc>
          <w:tcPr>
            <w:tcW w:w="1293" w:type="dxa"/>
            <w:tcBorders>
              <w:right w:val="single" w:color="000000"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聚氨酯管箱</w:t>
            </w:r>
          </w:p>
        </w:tc>
        <w:tc>
          <w:tcPr>
            <w:tcW w:w="1557" w:type="dxa"/>
            <w:tcBorders>
              <w:left w:val="single" w:color="000000" w:sz="6" w:space="0"/>
            </w:tcBorders>
            <w:vAlign w:val="center"/>
          </w:tcPr>
          <w:p>
            <w:pPr>
              <w:keepNext w:val="0"/>
              <w:keepLines w:val="0"/>
              <w:widowControl/>
              <w:suppressLineNumbers w:val="0"/>
              <w:jc w:val="center"/>
              <w:textAlignment w:val="center"/>
              <w:rPr>
                <w:rFonts w:hint="default" w:ascii="宋体" w:hAnsi="宋体" w:eastAsia="宋体" w:cs="宋体"/>
                <w:b w:val="0"/>
                <w:bCs/>
                <w:color w:val="auto"/>
                <w:sz w:val="21"/>
                <w:szCs w:val="21"/>
                <w:highlight w:val="none"/>
                <w:lang w:val="en-US"/>
              </w:rPr>
            </w:pPr>
            <w:r>
              <w:rPr>
                <w:rFonts w:hint="eastAsia" w:ascii="宋体" w:hAnsi="宋体" w:cs="宋体"/>
                <w:i w:val="0"/>
                <w:iCs w:val="0"/>
                <w:color w:val="000000"/>
                <w:kern w:val="0"/>
                <w:sz w:val="20"/>
                <w:szCs w:val="20"/>
                <w:u w:val="none"/>
                <w:lang w:val="en-US" w:eastAsia="zh-CN" w:bidi="ar"/>
              </w:rPr>
              <w:t>4000*</w:t>
            </w:r>
            <w:r>
              <w:rPr>
                <w:rFonts w:hint="eastAsia" w:ascii="宋体" w:hAnsi="宋体" w:eastAsia="宋体" w:cs="宋体"/>
                <w:i w:val="0"/>
                <w:iCs w:val="0"/>
                <w:color w:val="000000"/>
                <w:kern w:val="0"/>
                <w:sz w:val="20"/>
                <w:szCs w:val="20"/>
                <w:u w:val="none"/>
                <w:lang w:val="en-US" w:eastAsia="zh-CN" w:bidi="ar"/>
              </w:rPr>
              <w:t>200×100×2mm</w:t>
            </w:r>
          </w:p>
        </w:tc>
        <w:tc>
          <w:tcPr>
            <w:tcW w:w="1005"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p>
        </w:tc>
        <w:tc>
          <w:tcPr>
            <w:tcW w:w="855"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17417 </w:t>
            </w:r>
          </w:p>
        </w:tc>
        <w:tc>
          <w:tcPr>
            <w:tcW w:w="599"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000000"/>
                <w:kern w:val="0"/>
                <w:sz w:val="20"/>
                <w:szCs w:val="20"/>
                <w:u w:val="none"/>
                <w:lang w:val="en-US" w:eastAsia="zh-CN" w:bidi="ar"/>
              </w:rPr>
              <w:t>米</w:t>
            </w:r>
          </w:p>
        </w:tc>
        <w:tc>
          <w:tcPr>
            <w:tcW w:w="917" w:type="dxa"/>
          </w:tcPr>
          <w:p>
            <w:pPr>
              <w:pStyle w:val="173"/>
              <w:rPr>
                <w:rFonts w:hint="eastAsia" w:ascii="宋体" w:hAnsi="宋体" w:eastAsia="宋体" w:cs="宋体"/>
                <w:b w:val="0"/>
                <w:bCs/>
                <w:color w:val="auto"/>
                <w:sz w:val="21"/>
                <w:szCs w:val="21"/>
                <w:highlight w:val="none"/>
              </w:rPr>
            </w:pPr>
          </w:p>
        </w:tc>
        <w:tc>
          <w:tcPr>
            <w:tcW w:w="899" w:type="dxa"/>
          </w:tcPr>
          <w:p>
            <w:pPr>
              <w:pStyle w:val="173"/>
              <w:rPr>
                <w:rFonts w:hint="eastAsia" w:ascii="宋体" w:hAnsi="宋体" w:eastAsia="宋体" w:cs="宋体"/>
                <w:b w:val="0"/>
                <w:bCs/>
                <w:color w:val="auto"/>
                <w:sz w:val="21"/>
                <w:szCs w:val="21"/>
                <w:highlight w:val="none"/>
              </w:rPr>
            </w:pPr>
          </w:p>
        </w:tc>
        <w:tc>
          <w:tcPr>
            <w:tcW w:w="561" w:type="dxa"/>
          </w:tcPr>
          <w:p>
            <w:pPr>
              <w:pStyle w:val="173"/>
              <w:rPr>
                <w:rFonts w:hint="default" w:ascii="宋体" w:hAnsi="宋体" w:eastAsia="宋体" w:cs="宋体"/>
                <w:b w:val="0"/>
                <w:bCs/>
                <w:color w:val="auto"/>
                <w:sz w:val="21"/>
                <w:szCs w:val="21"/>
                <w:highlight w:val="none"/>
                <w:lang w:val="en-US" w:eastAsia="zh-CN"/>
              </w:rPr>
            </w:pPr>
          </w:p>
        </w:tc>
        <w:tc>
          <w:tcPr>
            <w:tcW w:w="879"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471" w:type="dxa"/>
          </w:tcPr>
          <w:p>
            <w:pPr>
              <w:pStyle w:val="173"/>
              <w:spacing w:before="75"/>
              <w:ind w:left="7"/>
              <w:jc w:val="center"/>
              <w:rPr>
                <w:rFonts w:hint="eastAsia" w:ascii="宋体" w:hAnsi="宋体" w:eastAsia="宋体" w:cs="宋体"/>
                <w:b w:val="0"/>
                <w:bCs/>
                <w:color w:val="auto"/>
                <w:w w:val="100"/>
                <w:sz w:val="21"/>
                <w:szCs w:val="21"/>
                <w:highlight w:val="none"/>
              </w:rPr>
            </w:pPr>
          </w:p>
          <w:p>
            <w:pPr>
              <w:pStyle w:val="173"/>
              <w:spacing w:before="75"/>
              <w:ind w:left="7"/>
              <w:jc w:val="center"/>
              <w:rPr>
                <w:rFonts w:hint="eastAsia" w:ascii="宋体" w:hAnsi="宋体" w:eastAsia="宋体" w:cs="宋体"/>
                <w:b w:val="0"/>
                <w:bCs/>
                <w:color w:val="auto"/>
                <w:w w:val="100"/>
                <w:sz w:val="21"/>
                <w:szCs w:val="21"/>
                <w:highlight w:val="none"/>
                <w:lang w:val="en-US" w:eastAsia="zh-CN"/>
              </w:rPr>
            </w:pPr>
            <w:r>
              <w:rPr>
                <w:rFonts w:hint="eastAsia" w:cs="宋体"/>
                <w:b w:val="0"/>
                <w:bCs/>
                <w:color w:val="auto"/>
                <w:w w:val="100"/>
                <w:sz w:val="21"/>
                <w:szCs w:val="21"/>
                <w:highlight w:val="none"/>
                <w:lang w:val="en-US" w:eastAsia="zh-CN"/>
              </w:rPr>
              <w:t>3</w:t>
            </w:r>
          </w:p>
        </w:tc>
        <w:tc>
          <w:tcPr>
            <w:tcW w:w="1293" w:type="dxa"/>
            <w:tcBorders>
              <w:right w:val="single" w:color="000000"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电缆支架</w:t>
            </w:r>
          </w:p>
        </w:tc>
        <w:tc>
          <w:tcPr>
            <w:tcW w:w="1557" w:type="dxa"/>
            <w:tcBorders>
              <w:left w:val="single" w:color="000000" w:sz="6" w:space="0"/>
            </w:tcBorders>
            <w:vAlign w:val="center"/>
          </w:tcPr>
          <w:p>
            <w:pPr>
              <w:keepNext w:val="0"/>
              <w:keepLines w:val="0"/>
              <w:widowControl/>
              <w:suppressLineNumbers w:val="0"/>
              <w:jc w:val="center"/>
              <w:textAlignment w:val="center"/>
              <w:rPr>
                <w:rFonts w:hint="default" w:ascii="宋体" w:hAnsi="宋体" w:eastAsia="宋体" w:cs="宋体"/>
                <w:b w:val="0"/>
                <w:bCs/>
                <w:color w:val="auto"/>
                <w:sz w:val="21"/>
                <w:szCs w:val="21"/>
                <w:highlight w:val="none"/>
                <w:lang w:val="en-US"/>
              </w:rPr>
            </w:pPr>
            <w:r>
              <w:rPr>
                <w:rFonts w:hint="eastAsia" w:ascii="宋体" w:hAnsi="宋体" w:eastAsia="宋体" w:cs="宋体"/>
                <w:i w:val="0"/>
                <w:iCs w:val="0"/>
                <w:color w:val="000000"/>
                <w:kern w:val="0"/>
                <w:sz w:val="20"/>
                <w:szCs w:val="20"/>
                <w:u w:val="none"/>
                <w:lang w:val="en-US" w:eastAsia="zh-CN" w:bidi="ar"/>
              </w:rPr>
              <w:t>b＝30cm，四层</w:t>
            </w:r>
          </w:p>
        </w:tc>
        <w:tc>
          <w:tcPr>
            <w:tcW w:w="1005"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p>
        </w:tc>
        <w:tc>
          <w:tcPr>
            <w:tcW w:w="855"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238 </w:t>
            </w:r>
          </w:p>
        </w:tc>
        <w:tc>
          <w:tcPr>
            <w:tcW w:w="599"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000000"/>
                <w:kern w:val="0"/>
                <w:sz w:val="20"/>
                <w:szCs w:val="20"/>
                <w:u w:val="none"/>
                <w:lang w:val="en-US" w:eastAsia="zh-CN" w:bidi="ar"/>
              </w:rPr>
              <w:t>付</w:t>
            </w:r>
          </w:p>
        </w:tc>
        <w:tc>
          <w:tcPr>
            <w:tcW w:w="917" w:type="dxa"/>
          </w:tcPr>
          <w:p>
            <w:pPr>
              <w:pStyle w:val="173"/>
              <w:rPr>
                <w:rFonts w:hint="eastAsia" w:ascii="宋体" w:hAnsi="宋体" w:eastAsia="宋体" w:cs="宋体"/>
                <w:b w:val="0"/>
                <w:bCs/>
                <w:color w:val="auto"/>
                <w:sz w:val="21"/>
                <w:szCs w:val="21"/>
                <w:highlight w:val="none"/>
              </w:rPr>
            </w:pPr>
          </w:p>
        </w:tc>
        <w:tc>
          <w:tcPr>
            <w:tcW w:w="899" w:type="dxa"/>
          </w:tcPr>
          <w:p>
            <w:pPr>
              <w:pStyle w:val="173"/>
              <w:rPr>
                <w:rFonts w:hint="eastAsia" w:ascii="宋体" w:hAnsi="宋体" w:eastAsia="宋体" w:cs="宋体"/>
                <w:b w:val="0"/>
                <w:bCs/>
                <w:color w:val="auto"/>
                <w:sz w:val="21"/>
                <w:szCs w:val="21"/>
                <w:highlight w:val="none"/>
              </w:rPr>
            </w:pPr>
          </w:p>
        </w:tc>
        <w:tc>
          <w:tcPr>
            <w:tcW w:w="561" w:type="dxa"/>
          </w:tcPr>
          <w:p>
            <w:pPr>
              <w:pStyle w:val="173"/>
              <w:rPr>
                <w:rFonts w:hint="default" w:ascii="宋体" w:hAnsi="宋体" w:eastAsia="宋体" w:cs="宋体"/>
                <w:b w:val="0"/>
                <w:bCs/>
                <w:color w:val="auto"/>
                <w:sz w:val="21"/>
                <w:szCs w:val="21"/>
                <w:highlight w:val="none"/>
                <w:lang w:val="en-US" w:eastAsia="zh-CN"/>
              </w:rPr>
            </w:pPr>
          </w:p>
        </w:tc>
        <w:tc>
          <w:tcPr>
            <w:tcW w:w="879"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满足国标要求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471" w:type="dxa"/>
          </w:tcPr>
          <w:p>
            <w:pPr>
              <w:pStyle w:val="173"/>
              <w:spacing w:before="75"/>
              <w:ind w:left="7"/>
              <w:jc w:val="center"/>
              <w:rPr>
                <w:rFonts w:hint="eastAsia" w:ascii="宋体" w:hAnsi="宋体" w:eastAsia="宋体" w:cs="宋体"/>
                <w:b w:val="0"/>
                <w:bCs/>
                <w:color w:val="auto"/>
                <w:w w:val="100"/>
                <w:sz w:val="21"/>
                <w:szCs w:val="21"/>
                <w:highlight w:val="none"/>
              </w:rPr>
            </w:pPr>
          </w:p>
          <w:p>
            <w:pPr>
              <w:pStyle w:val="173"/>
              <w:spacing w:before="75"/>
              <w:ind w:left="7"/>
              <w:jc w:val="center"/>
              <w:rPr>
                <w:rFonts w:hint="eastAsia" w:ascii="宋体" w:hAnsi="宋体" w:eastAsia="宋体" w:cs="宋体"/>
                <w:b w:val="0"/>
                <w:bCs/>
                <w:color w:val="auto"/>
                <w:w w:val="100"/>
                <w:sz w:val="21"/>
                <w:szCs w:val="21"/>
                <w:highlight w:val="none"/>
                <w:lang w:val="en-US" w:eastAsia="zh-CN"/>
              </w:rPr>
            </w:pPr>
            <w:r>
              <w:rPr>
                <w:rFonts w:hint="eastAsia" w:cs="宋体"/>
                <w:b w:val="0"/>
                <w:bCs/>
                <w:color w:val="auto"/>
                <w:w w:val="100"/>
                <w:sz w:val="21"/>
                <w:szCs w:val="21"/>
                <w:highlight w:val="none"/>
                <w:lang w:val="en-US" w:eastAsia="zh-CN"/>
              </w:rPr>
              <w:t>4</w:t>
            </w:r>
          </w:p>
        </w:tc>
        <w:tc>
          <w:tcPr>
            <w:tcW w:w="1293" w:type="dxa"/>
            <w:tcBorders>
              <w:right w:val="single" w:color="000000"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电缆支架</w:t>
            </w:r>
          </w:p>
        </w:tc>
        <w:tc>
          <w:tcPr>
            <w:tcW w:w="1557" w:type="dxa"/>
            <w:tcBorders>
              <w:left w:val="single" w:color="000000" w:sz="6" w:space="0"/>
            </w:tcBorders>
            <w:vAlign w:val="center"/>
          </w:tcPr>
          <w:p>
            <w:pPr>
              <w:keepNext w:val="0"/>
              <w:keepLines w:val="0"/>
              <w:widowControl/>
              <w:suppressLineNumbers w:val="0"/>
              <w:jc w:val="center"/>
              <w:textAlignment w:val="center"/>
              <w:rPr>
                <w:rFonts w:hint="default" w:ascii="宋体" w:hAnsi="宋体" w:eastAsia="宋体" w:cs="宋体"/>
                <w:b w:val="0"/>
                <w:bCs/>
                <w:color w:val="auto"/>
                <w:sz w:val="21"/>
                <w:szCs w:val="21"/>
                <w:highlight w:val="none"/>
                <w:lang w:val="en-US"/>
              </w:rPr>
            </w:pPr>
            <w:r>
              <w:rPr>
                <w:rFonts w:hint="eastAsia" w:ascii="宋体" w:hAnsi="宋体" w:eastAsia="宋体" w:cs="宋体"/>
                <w:i w:val="0"/>
                <w:iCs w:val="0"/>
                <w:color w:val="000000"/>
                <w:kern w:val="0"/>
                <w:sz w:val="20"/>
                <w:szCs w:val="20"/>
                <w:u w:val="none"/>
                <w:lang w:val="en-US" w:eastAsia="zh-CN" w:bidi="ar"/>
              </w:rPr>
              <w:t>b＝30cm，三层</w:t>
            </w:r>
          </w:p>
        </w:tc>
        <w:tc>
          <w:tcPr>
            <w:tcW w:w="1005"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p>
        </w:tc>
        <w:tc>
          <w:tcPr>
            <w:tcW w:w="855"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1456 </w:t>
            </w:r>
          </w:p>
        </w:tc>
        <w:tc>
          <w:tcPr>
            <w:tcW w:w="599"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000000"/>
                <w:kern w:val="0"/>
                <w:sz w:val="20"/>
                <w:szCs w:val="20"/>
                <w:u w:val="none"/>
                <w:lang w:val="en-US" w:eastAsia="zh-CN" w:bidi="ar"/>
              </w:rPr>
              <w:t>付</w:t>
            </w:r>
          </w:p>
        </w:tc>
        <w:tc>
          <w:tcPr>
            <w:tcW w:w="917" w:type="dxa"/>
          </w:tcPr>
          <w:p>
            <w:pPr>
              <w:pStyle w:val="173"/>
              <w:rPr>
                <w:rFonts w:hint="eastAsia" w:ascii="宋体" w:hAnsi="宋体" w:eastAsia="宋体" w:cs="宋体"/>
                <w:b w:val="0"/>
                <w:bCs/>
                <w:color w:val="auto"/>
                <w:sz w:val="21"/>
                <w:szCs w:val="21"/>
                <w:highlight w:val="none"/>
              </w:rPr>
            </w:pPr>
          </w:p>
        </w:tc>
        <w:tc>
          <w:tcPr>
            <w:tcW w:w="899" w:type="dxa"/>
          </w:tcPr>
          <w:p>
            <w:pPr>
              <w:pStyle w:val="173"/>
              <w:rPr>
                <w:rFonts w:hint="eastAsia" w:ascii="宋体" w:hAnsi="宋体" w:eastAsia="宋体" w:cs="宋体"/>
                <w:b w:val="0"/>
                <w:bCs/>
                <w:color w:val="auto"/>
                <w:sz w:val="21"/>
                <w:szCs w:val="21"/>
                <w:highlight w:val="none"/>
              </w:rPr>
            </w:pPr>
          </w:p>
        </w:tc>
        <w:tc>
          <w:tcPr>
            <w:tcW w:w="561" w:type="dxa"/>
          </w:tcPr>
          <w:p>
            <w:pPr>
              <w:pStyle w:val="173"/>
              <w:rPr>
                <w:rFonts w:hint="default" w:ascii="宋体" w:hAnsi="宋体" w:eastAsia="宋体" w:cs="宋体"/>
                <w:b w:val="0"/>
                <w:bCs/>
                <w:color w:val="auto"/>
                <w:sz w:val="21"/>
                <w:szCs w:val="21"/>
                <w:highlight w:val="none"/>
                <w:lang w:val="en-US" w:eastAsia="zh-CN"/>
              </w:rPr>
            </w:pPr>
          </w:p>
        </w:tc>
        <w:tc>
          <w:tcPr>
            <w:tcW w:w="879"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满足国标要求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471" w:type="dxa"/>
          </w:tcPr>
          <w:p>
            <w:pPr>
              <w:pStyle w:val="173"/>
              <w:spacing w:before="75"/>
              <w:ind w:left="7"/>
              <w:jc w:val="center"/>
              <w:rPr>
                <w:rFonts w:hint="eastAsia" w:ascii="宋体" w:hAnsi="宋体" w:eastAsia="宋体" w:cs="宋体"/>
                <w:b w:val="0"/>
                <w:bCs/>
                <w:color w:val="auto"/>
                <w:w w:val="100"/>
                <w:sz w:val="21"/>
                <w:szCs w:val="21"/>
                <w:highlight w:val="none"/>
              </w:rPr>
            </w:pPr>
          </w:p>
          <w:p>
            <w:pPr>
              <w:pStyle w:val="173"/>
              <w:spacing w:before="75"/>
              <w:ind w:left="7"/>
              <w:jc w:val="center"/>
              <w:rPr>
                <w:rFonts w:hint="eastAsia" w:ascii="宋体" w:hAnsi="宋体" w:eastAsia="宋体" w:cs="宋体"/>
                <w:b w:val="0"/>
                <w:bCs/>
                <w:color w:val="auto"/>
                <w:w w:val="100"/>
                <w:sz w:val="21"/>
                <w:szCs w:val="21"/>
                <w:highlight w:val="none"/>
                <w:lang w:val="en-US" w:eastAsia="zh-CN"/>
              </w:rPr>
            </w:pPr>
            <w:r>
              <w:rPr>
                <w:rFonts w:hint="eastAsia" w:cs="宋体"/>
                <w:b w:val="0"/>
                <w:bCs/>
                <w:color w:val="auto"/>
                <w:w w:val="100"/>
                <w:sz w:val="21"/>
                <w:szCs w:val="21"/>
                <w:highlight w:val="none"/>
                <w:lang w:val="en-US" w:eastAsia="zh-CN"/>
              </w:rPr>
              <w:t>5</w:t>
            </w:r>
          </w:p>
        </w:tc>
        <w:tc>
          <w:tcPr>
            <w:tcW w:w="1293" w:type="dxa"/>
            <w:tcBorders>
              <w:right w:val="single" w:color="000000"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电缆支架</w:t>
            </w:r>
          </w:p>
        </w:tc>
        <w:tc>
          <w:tcPr>
            <w:tcW w:w="1557" w:type="dxa"/>
            <w:tcBorders>
              <w:left w:val="single" w:color="000000" w:sz="6" w:space="0"/>
            </w:tcBorders>
            <w:vAlign w:val="center"/>
          </w:tcPr>
          <w:p>
            <w:pPr>
              <w:keepNext w:val="0"/>
              <w:keepLines w:val="0"/>
              <w:widowControl/>
              <w:suppressLineNumbers w:val="0"/>
              <w:jc w:val="center"/>
              <w:textAlignment w:val="center"/>
              <w:rPr>
                <w:rFonts w:hint="default" w:ascii="宋体" w:hAnsi="宋体" w:eastAsia="宋体" w:cs="宋体"/>
                <w:b w:val="0"/>
                <w:bCs/>
                <w:color w:val="auto"/>
                <w:sz w:val="21"/>
                <w:szCs w:val="21"/>
                <w:highlight w:val="none"/>
                <w:lang w:val="en-US"/>
              </w:rPr>
            </w:pPr>
            <w:r>
              <w:rPr>
                <w:rFonts w:hint="eastAsia" w:ascii="宋体" w:hAnsi="宋体" w:eastAsia="宋体" w:cs="宋体"/>
                <w:i w:val="0"/>
                <w:iCs w:val="0"/>
                <w:color w:val="000000"/>
                <w:kern w:val="0"/>
                <w:sz w:val="20"/>
                <w:szCs w:val="20"/>
                <w:u w:val="none"/>
                <w:lang w:val="en-US" w:eastAsia="zh-CN" w:bidi="ar"/>
              </w:rPr>
              <w:t>b＝30cm，两层</w:t>
            </w:r>
          </w:p>
        </w:tc>
        <w:tc>
          <w:tcPr>
            <w:tcW w:w="1005"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p>
        </w:tc>
        <w:tc>
          <w:tcPr>
            <w:tcW w:w="855"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342 </w:t>
            </w:r>
          </w:p>
        </w:tc>
        <w:tc>
          <w:tcPr>
            <w:tcW w:w="599"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000000"/>
                <w:kern w:val="0"/>
                <w:sz w:val="20"/>
                <w:szCs w:val="20"/>
                <w:u w:val="none"/>
                <w:lang w:val="en-US" w:eastAsia="zh-CN" w:bidi="ar"/>
              </w:rPr>
              <w:t>付</w:t>
            </w:r>
          </w:p>
        </w:tc>
        <w:tc>
          <w:tcPr>
            <w:tcW w:w="917" w:type="dxa"/>
          </w:tcPr>
          <w:p>
            <w:pPr>
              <w:pStyle w:val="173"/>
              <w:rPr>
                <w:rFonts w:hint="eastAsia" w:ascii="宋体" w:hAnsi="宋体" w:eastAsia="宋体" w:cs="宋体"/>
                <w:b w:val="0"/>
                <w:bCs/>
                <w:color w:val="auto"/>
                <w:sz w:val="21"/>
                <w:szCs w:val="21"/>
                <w:highlight w:val="none"/>
              </w:rPr>
            </w:pPr>
          </w:p>
        </w:tc>
        <w:tc>
          <w:tcPr>
            <w:tcW w:w="899" w:type="dxa"/>
          </w:tcPr>
          <w:p>
            <w:pPr>
              <w:pStyle w:val="173"/>
              <w:rPr>
                <w:rFonts w:hint="eastAsia" w:ascii="宋体" w:hAnsi="宋体" w:eastAsia="宋体" w:cs="宋体"/>
                <w:b w:val="0"/>
                <w:bCs/>
                <w:color w:val="auto"/>
                <w:sz w:val="21"/>
                <w:szCs w:val="21"/>
                <w:highlight w:val="none"/>
              </w:rPr>
            </w:pPr>
          </w:p>
        </w:tc>
        <w:tc>
          <w:tcPr>
            <w:tcW w:w="561" w:type="dxa"/>
          </w:tcPr>
          <w:p>
            <w:pPr>
              <w:pStyle w:val="173"/>
              <w:rPr>
                <w:rFonts w:hint="default" w:ascii="宋体" w:hAnsi="宋体" w:eastAsia="宋体" w:cs="宋体"/>
                <w:b w:val="0"/>
                <w:bCs/>
                <w:color w:val="auto"/>
                <w:sz w:val="21"/>
                <w:szCs w:val="21"/>
                <w:highlight w:val="none"/>
                <w:lang w:val="en-US" w:eastAsia="zh-CN"/>
              </w:rPr>
            </w:pPr>
          </w:p>
        </w:tc>
        <w:tc>
          <w:tcPr>
            <w:tcW w:w="879"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满足国标要求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atLeast"/>
        </w:trPr>
        <w:tc>
          <w:tcPr>
            <w:tcW w:w="471" w:type="dxa"/>
          </w:tcPr>
          <w:p>
            <w:pPr>
              <w:pStyle w:val="173"/>
              <w:spacing w:before="75"/>
              <w:ind w:left="7"/>
              <w:jc w:val="center"/>
              <w:rPr>
                <w:rFonts w:hint="eastAsia" w:ascii="宋体" w:hAnsi="宋体" w:eastAsia="宋体" w:cs="宋体"/>
                <w:b w:val="0"/>
                <w:bCs/>
                <w:color w:val="auto"/>
                <w:w w:val="100"/>
                <w:sz w:val="21"/>
                <w:szCs w:val="21"/>
                <w:highlight w:val="none"/>
              </w:rPr>
            </w:pPr>
          </w:p>
          <w:p>
            <w:pPr>
              <w:pStyle w:val="173"/>
              <w:spacing w:before="75"/>
              <w:ind w:left="7"/>
              <w:jc w:val="center"/>
              <w:rPr>
                <w:rFonts w:hint="eastAsia" w:ascii="宋体" w:hAnsi="宋体" w:eastAsia="宋体" w:cs="宋体"/>
                <w:b w:val="0"/>
                <w:bCs/>
                <w:color w:val="auto"/>
                <w:w w:val="100"/>
                <w:sz w:val="21"/>
                <w:szCs w:val="21"/>
                <w:highlight w:val="none"/>
                <w:lang w:val="en-US" w:eastAsia="zh-CN"/>
              </w:rPr>
            </w:pPr>
            <w:r>
              <w:rPr>
                <w:rFonts w:hint="eastAsia" w:cs="宋体"/>
                <w:b w:val="0"/>
                <w:bCs/>
                <w:color w:val="auto"/>
                <w:w w:val="100"/>
                <w:sz w:val="21"/>
                <w:szCs w:val="21"/>
                <w:highlight w:val="none"/>
                <w:lang w:val="en-US" w:eastAsia="zh-CN"/>
              </w:rPr>
              <w:t>6</w:t>
            </w:r>
          </w:p>
        </w:tc>
        <w:tc>
          <w:tcPr>
            <w:tcW w:w="1293" w:type="dxa"/>
            <w:tcBorders>
              <w:right w:val="single" w:color="000000"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电缆支架</w:t>
            </w:r>
          </w:p>
        </w:tc>
        <w:tc>
          <w:tcPr>
            <w:tcW w:w="1557" w:type="dxa"/>
            <w:tcBorders>
              <w:left w:val="single" w:color="000000" w:sz="6" w:space="0"/>
            </w:tcBorders>
            <w:vAlign w:val="center"/>
          </w:tcPr>
          <w:p>
            <w:pPr>
              <w:keepNext w:val="0"/>
              <w:keepLines w:val="0"/>
              <w:widowControl/>
              <w:suppressLineNumbers w:val="0"/>
              <w:jc w:val="center"/>
              <w:textAlignment w:val="center"/>
              <w:rPr>
                <w:rFonts w:hint="default" w:ascii="宋体" w:hAnsi="宋体" w:eastAsia="宋体" w:cs="宋体"/>
                <w:b w:val="0"/>
                <w:bCs/>
                <w:color w:val="auto"/>
                <w:sz w:val="21"/>
                <w:szCs w:val="21"/>
                <w:highlight w:val="none"/>
                <w:lang w:val="en-US"/>
              </w:rPr>
            </w:pPr>
            <w:r>
              <w:rPr>
                <w:rFonts w:hint="eastAsia" w:ascii="宋体" w:hAnsi="宋体" w:eastAsia="宋体" w:cs="宋体"/>
                <w:i w:val="0"/>
                <w:iCs w:val="0"/>
                <w:color w:val="000000"/>
                <w:kern w:val="0"/>
                <w:sz w:val="20"/>
                <w:szCs w:val="20"/>
                <w:u w:val="none"/>
                <w:lang w:val="en-US" w:eastAsia="zh-CN" w:bidi="ar"/>
              </w:rPr>
              <w:t>b＝30cm，一层</w:t>
            </w:r>
          </w:p>
        </w:tc>
        <w:tc>
          <w:tcPr>
            <w:tcW w:w="1005"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p>
        </w:tc>
        <w:tc>
          <w:tcPr>
            <w:tcW w:w="855"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636 </w:t>
            </w:r>
          </w:p>
        </w:tc>
        <w:tc>
          <w:tcPr>
            <w:tcW w:w="599"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000000"/>
                <w:kern w:val="0"/>
                <w:sz w:val="20"/>
                <w:szCs w:val="20"/>
                <w:u w:val="none"/>
                <w:lang w:val="en-US" w:eastAsia="zh-CN" w:bidi="ar"/>
              </w:rPr>
              <w:t>付</w:t>
            </w:r>
          </w:p>
        </w:tc>
        <w:tc>
          <w:tcPr>
            <w:tcW w:w="917" w:type="dxa"/>
          </w:tcPr>
          <w:p>
            <w:pPr>
              <w:pStyle w:val="173"/>
              <w:rPr>
                <w:rFonts w:hint="eastAsia" w:ascii="宋体" w:hAnsi="宋体" w:eastAsia="宋体" w:cs="宋体"/>
                <w:b w:val="0"/>
                <w:bCs/>
                <w:color w:val="auto"/>
                <w:sz w:val="21"/>
                <w:szCs w:val="21"/>
                <w:highlight w:val="none"/>
              </w:rPr>
            </w:pPr>
          </w:p>
        </w:tc>
        <w:tc>
          <w:tcPr>
            <w:tcW w:w="899" w:type="dxa"/>
          </w:tcPr>
          <w:p>
            <w:pPr>
              <w:pStyle w:val="173"/>
              <w:rPr>
                <w:rFonts w:hint="eastAsia" w:ascii="宋体" w:hAnsi="宋体" w:eastAsia="宋体" w:cs="宋体"/>
                <w:b w:val="0"/>
                <w:bCs/>
                <w:color w:val="auto"/>
                <w:sz w:val="21"/>
                <w:szCs w:val="21"/>
                <w:highlight w:val="none"/>
              </w:rPr>
            </w:pPr>
          </w:p>
        </w:tc>
        <w:tc>
          <w:tcPr>
            <w:tcW w:w="561" w:type="dxa"/>
          </w:tcPr>
          <w:p>
            <w:pPr>
              <w:pStyle w:val="173"/>
              <w:rPr>
                <w:rFonts w:hint="default" w:ascii="宋体" w:hAnsi="宋体" w:eastAsia="宋体" w:cs="宋体"/>
                <w:b w:val="0"/>
                <w:bCs/>
                <w:color w:val="auto"/>
                <w:sz w:val="21"/>
                <w:szCs w:val="21"/>
                <w:highlight w:val="none"/>
                <w:lang w:val="en-US" w:eastAsia="zh-CN"/>
              </w:rPr>
            </w:pPr>
          </w:p>
        </w:tc>
        <w:tc>
          <w:tcPr>
            <w:tcW w:w="879"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满足国标要求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5780" w:type="dxa"/>
            <w:gridSpan w:val="6"/>
            <w:vAlign w:val="center"/>
          </w:tcPr>
          <w:p>
            <w:pPr>
              <w:pStyle w:val="173"/>
              <w:spacing w:line="329" w:lineRule="exact"/>
              <w:ind w:left="0" w:right="0"/>
              <w:jc w:val="center"/>
              <w:rPr>
                <w:rFonts w:hint="default" w:ascii="宋体" w:hAnsi="宋体" w:eastAsia="宋体" w:cs="宋体"/>
                <w:b w:val="0"/>
                <w:bCs/>
                <w:color w:val="auto"/>
                <w:sz w:val="21"/>
                <w:szCs w:val="21"/>
                <w:highlight w:val="none"/>
                <w:lang w:val="en-US" w:eastAsia="zh-CN"/>
              </w:rPr>
            </w:pPr>
            <w:r>
              <w:rPr>
                <w:rFonts w:hint="eastAsia" w:cs="宋体"/>
                <w:b w:val="0"/>
                <w:bCs/>
                <w:color w:val="auto"/>
                <w:sz w:val="21"/>
                <w:szCs w:val="21"/>
                <w:highlight w:val="none"/>
                <w:lang w:val="en-US" w:eastAsia="zh-CN"/>
              </w:rPr>
              <w:t>投标总报价</w:t>
            </w:r>
          </w:p>
        </w:tc>
        <w:tc>
          <w:tcPr>
            <w:tcW w:w="1816" w:type="dxa"/>
            <w:gridSpan w:val="2"/>
            <w:vAlign w:val="center"/>
          </w:tcPr>
          <w:p>
            <w:pPr>
              <w:pStyle w:val="173"/>
              <w:jc w:val="both"/>
              <w:rPr>
                <w:rFonts w:hint="eastAsia" w:ascii="宋体" w:hAnsi="宋体" w:eastAsia="宋体" w:cs="宋体"/>
                <w:b w:val="0"/>
                <w:bCs/>
                <w:color w:val="auto"/>
                <w:sz w:val="21"/>
                <w:szCs w:val="21"/>
                <w:highlight w:val="none"/>
              </w:rPr>
            </w:pPr>
          </w:p>
        </w:tc>
        <w:tc>
          <w:tcPr>
            <w:tcW w:w="561" w:type="dxa"/>
            <w:vAlign w:val="center"/>
          </w:tcPr>
          <w:p>
            <w:pPr>
              <w:pStyle w:val="173"/>
              <w:jc w:val="both"/>
              <w:rPr>
                <w:rFonts w:hint="eastAsia" w:ascii="宋体" w:hAnsi="宋体" w:eastAsia="宋体" w:cs="宋体"/>
                <w:b w:val="0"/>
                <w:bCs/>
                <w:color w:val="auto"/>
                <w:sz w:val="21"/>
                <w:szCs w:val="21"/>
                <w:highlight w:val="none"/>
              </w:rPr>
            </w:pPr>
          </w:p>
        </w:tc>
        <w:tc>
          <w:tcPr>
            <w:tcW w:w="879" w:type="dxa"/>
            <w:vAlign w:val="center"/>
          </w:tcPr>
          <w:p>
            <w:pPr>
              <w:pStyle w:val="173"/>
              <w:jc w:val="both"/>
              <w:rPr>
                <w:rFonts w:hint="eastAsia" w:ascii="宋体" w:hAnsi="宋体" w:eastAsia="宋体" w:cs="宋体"/>
                <w:b w:val="0"/>
                <w:bCs/>
                <w:color w:val="auto"/>
                <w:sz w:val="21"/>
                <w:szCs w:val="21"/>
                <w:highlight w:val="none"/>
                <w:lang w:val="en-US" w:eastAsia="zh-CN"/>
              </w:rPr>
            </w:pPr>
          </w:p>
        </w:tc>
      </w:tr>
    </w:tbl>
    <w:p/>
    <w:p>
      <w:pPr>
        <w:pStyle w:val="2"/>
      </w:pPr>
    </w:p>
    <w:p>
      <w:pPr>
        <w:pStyle w:val="2"/>
      </w:pPr>
    </w:p>
    <w:p/>
    <w:p>
      <w:pPr>
        <w:pStyle w:val="2"/>
      </w:pPr>
    </w:p>
    <w:p>
      <w:pPr>
        <w:pStyle w:val="3"/>
        <w:numPr>
          <w:ilvl w:val="0"/>
          <w:numId w:val="5"/>
        </w:numPr>
        <w:spacing w:before="0" w:after="0" w:line="360" w:lineRule="auto"/>
        <w:jc w:val="center"/>
        <w:sectPr>
          <w:footerReference r:id="rId9" w:type="default"/>
          <w:pgSz w:w="11906" w:h="16838"/>
          <w:pgMar w:top="1440" w:right="1800" w:bottom="1440" w:left="1800" w:header="851" w:footer="992" w:gutter="0"/>
          <w:cols w:space="720" w:num="1"/>
          <w:titlePg/>
          <w:docGrid w:type="lines" w:linePitch="312" w:charSpace="0"/>
        </w:sectPr>
      </w:pPr>
      <w:bookmarkStart w:id="785" w:name="_Toc152045772"/>
      <w:bookmarkStart w:id="786" w:name="_Toc246996340"/>
      <w:bookmarkStart w:id="787" w:name="_Toc514858705"/>
      <w:bookmarkStart w:id="788" w:name="_Toc179632789"/>
      <w:bookmarkStart w:id="789" w:name="_Toc144974834"/>
      <w:bookmarkStart w:id="790" w:name="_Toc247085855"/>
      <w:bookmarkStart w:id="791" w:name="_Toc246997083"/>
      <w:bookmarkStart w:id="792" w:name="_Toc2000409"/>
      <w:bookmarkStart w:id="793" w:name="_Toc152042554"/>
    </w:p>
    <w:bookmarkEnd w:id="785"/>
    <w:bookmarkEnd w:id="786"/>
    <w:bookmarkEnd w:id="787"/>
    <w:bookmarkEnd w:id="788"/>
    <w:bookmarkEnd w:id="789"/>
    <w:bookmarkEnd w:id="790"/>
    <w:bookmarkEnd w:id="791"/>
    <w:bookmarkEnd w:id="792"/>
    <w:bookmarkEnd w:id="793"/>
    <w:p>
      <w:pPr>
        <w:pStyle w:val="3"/>
        <w:numPr>
          <w:ilvl w:val="0"/>
          <w:numId w:val="5"/>
        </w:numPr>
        <w:spacing w:before="0" w:after="0" w:line="360" w:lineRule="auto"/>
        <w:jc w:val="center"/>
        <w:rPr>
          <w:rFonts w:hint="eastAsia" w:ascii="宋体" w:hAnsi="宋体" w:cs="宋体"/>
        </w:rPr>
      </w:pPr>
      <w:r>
        <w:rPr>
          <w:rFonts w:hint="eastAsia" w:ascii="宋体" w:hAnsi="宋体" w:cs="宋体"/>
        </w:rPr>
        <w:t>技术标准和工作要求</w:t>
      </w:r>
    </w:p>
    <w:bookmarkEnd w:id="778"/>
    <w:bookmarkEnd w:id="779"/>
    <w:bookmarkEnd w:id="780"/>
    <w:bookmarkEnd w:id="781"/>
    <w:bookmarkEnd w:id="782"/>
    <w:bookmarkEnd w:id="783"/>
    <w:bookmarkEnd w:id="784"/>
    <w:p>
      <w:pPr>
        <w:pStyle w:val="3"/>
        <w:spacing w:before="0" w:after="0" w:line="360" w:lineRule="auto"/>
        <w:jc w:val="center"/>
        <w:rPr>
          <w:rFonts w:hint="eastAsia" w:ascii="宋体" w:hAnsi="宋体" w:cs="宋体"/>
          <w:sz w:val="24"/>
          <w:szCs w:val="24"/>
          <w:lang w:val="en-US" w:eastAsia="zh-CN"/>
        </w:rPr>
      </w:pPr>
      <w:bookmarkStart w:id="794" w:name="_Toc514858708"/>
      <w:bookmarkStart w:id="795" w:name="_Toc2000412"/>
      <w:bookmarkStart w:id="796" w:name="_Toc514430114"/>
      <w:bookmarkStart w:id="797" w:name="_Toc152045787"/>
      <w:bookmarkStart w:id="798" w:name="_Toc247085873"/>
      <w:bookmarkStart w:id="799" w:name="_Toc246997098"/>
      <w:bookmarkStart w:id="800" w:name="_Toc179632807"/>
      <w:bookmarkStart w:id="801" w:name="_Toc246996355"/>
      <w:bookmarkStart w:id="802" w:name="_Toc507320039"/>
      <w:bookmarkStart w:id="803" w:name="_Toc152042576"/>
      <w:bookmarkStart w:id="804" w:name="_Toc144974856"/>
    </w:p>
    <w:p>
      <w:pPr>
        <w:pStyle w:val="3"/>
        <w:spacing w:before="0" w:after="0" w:line="360" w:lineRule="auto"/>
        <w:jc w:val="center"/>
        <w:rPr>
          <w:rFonts w:hint="default" w:ascii="宋体" w:hAnsi="宋体" w:eastAsia="宋体" w:cs="宋体"/>
          <w:sz w:val="24"/>
          <w:szCs w:val="24"/>
          <w:lang w:val="en-US" w:eastAsia="zh-CN"/>
        </w:rPr>
      </w:pPr>
      <w:r>
        <w:rPr>
          <w:rFonts w:hint="eastAsia" w:ascii="宋体" w:hAnsi="宋体" w:cs="宋体"/>
          <w:sz w:val="24"/>
          <w:szCs w:val="24"/>
          <w:lang w:val="en-US" w:eastAsia="zh-CN"/>
        </w:rPr>
        <w:t>详见图纸及图纸技术要求</w:t>
      </w:r>
    </w:p>
    <w:p>
      <w:pPr>
        <w:pStyle w:val="3"/>
        <w:spacing w:before="0" w:after="0" w:line="360" w:lineRule="auto"/>
        <w:jc w:val="center"/>
        <w:rPr>
          <w:rFonts w:hint="eastAsia" w:ascii="宋体" w:hAnsi="宋体" w:cs="宋体"/>
        </w:rPr>
      </w:pPr>
    </w:p>
    <w:p>
      <w:pPr>
        <w:pStyle w:val="3"/>
        <w:spacing w:before="0" w:after="0" w:line="360" w:lineRule="auto"/>
        <w:jc w:val="center"/>
        <w:rPr>
          <w:rFonts w:hint="eastAsia" w:ascii="宋体" w:hAnsi="宋体" w:cs="宋体"/>
        </w:rPr>
      </w:pPr>
    </w:p>
    <w:p>
      <w:pPr>
        <w:pStyle w:val="3"/>
        <w:spacing w:before="0" w:after="0" w:line="360" w:lineRule="auto"/>
        <w:jc w:val="center"/>
        <w:rPr>
          <w:rFonts w:ascii="宋体" w:hAnsi="宋体" w:cs="宋体"/>
          <w:highlight w:val="yellow"/>
        </w:rPr>
      </w:pPr>
      <w:r>
        <w:rPr>
          <w:rFonts w:hint="eastAsia" w:ascii="宋体" w:hAnsi="宋体" w:cs="宋体"/>
        </w:rPr>
        <w:br w:type="page"/>
      </w:r>
      <w:bookmarkEnd w:id="794"/>
      <w:bookmarkEnd w:id="795"/>
      <w:bookmarkEnd w:id="796"/>
    </w:p>
    <w:p>
      <w:pPr>
        <w:pStyle w:val="3"/>
        <w:numPr>
          <w:ilvl w:val="0"/>
          <w:numId w:val="5"/>
        </w:numPr>
        <w:spacing w:before="0" w:after="0" w:line="360" w:lineRule="auto"/>
        <w:jc w:val="center"/>
      </w:pPr>
      <w:r>
        <w:rPr>
          <w:rFonts w:hint="eastAsia" w:ascii="宋体" w:hAnsi="宋体" w:cs="宋体"/>
        </w:rPr>
        <w:t xml:space="preserve"> 合同范本</w:t>
      </w:r>
    </w:p>
    <w:p>
      <w:pPr>
        <w:pStyle w:val="6"/>
      </w:pPr>
    </w:p>
    <w:p>
      <w:pPr>
        <w:spacing w:line="500" w:lineRule="exact"/>
        <w:jc w:val="center"/>
        <w:rPr>
          <w:b/>
          <w:sz w:val="44"/>
          <w:szCs w:val="44"/>
        </w:rPr>
      </w:pPr>
    </w:p>
    <w:p>
      <w:pPr>
        <w:jc w:val="center"/>
        <w:rPr>
          <w:rFonts w:ascii="宋体" w:hAnsi="宋体"/>
          <w:b/>
          <w:sz w:val="36"/>
          <w:szCs w:val="36"/>
        </w:rPr>
      </w:pPr>
      <w:r>
        <w:rPr>
          <w:rFonts w:hint="eastAsia"/>
          <w:b/>
          <w:sz w:val="44"/>
          <w:szCs w:val="44"/>
          <w:lang w:eastAsia="zh-CN"/>
        </w:rPr>
        <w:t>渝湘复线PPP项目巴水（K0+000~K76+541）段机电工程项目聚氨酯管箱及复合支架采购</w:t>
      </w:r>
      <w:r>
        <w:rPr>
          <w:rFonts w:hint="eastAsia"/>
          <w:b/>
          <w:sz w:val="44"/>
          <w:szCs w:val="44"/>
        </w:rPr>
        <w:t>合同</w:t>
      </w:r>
    </w:p>
    <w:p>
      <w:pPr>
        <w:rPr>
          <w:rFonts w:ascii="宋体" w:hAnsi="宋体"/>
          <w:b/>
          <w:sz w:val="36"/>
          <w:szCs w:val="36"/>
        </w:rPr>
      </w:pPr>
    </w:p>
    <w:p>
      <w:pPr>
        <w:jc w:val="right"/>
        <w:rPr>
          <w:rFonts w:ascii="仿宋" w:hAnsi="仿宋" w:eastAsia="仿宋" w:cs="仿宋"/>
          <w:b/>
          <w:sz w:val="36"/>
          <w:szCs w:val="36"/>
        </w:rPr>
      </w:pPr>
    </w:p>
    <w:p>
      <w:pPr>
        <w:jc w:val="center"/>
        <w:rPr>
          <w:rFonts w:ascii="仿宋" w:hAnsi="仿宋" w:eastAsia="仿宋" w:cs="仿宋"/>
          <w:b/>
          <w:sz w:val="44"/>
          <w:szCs w:val="44"/>
        </w:rPr>
      </w:pPr>
      <w:r>
        <w:rPr>
          <w:rFonts w:hint="eastAsia" w:ascii="仿宋" w:hAnsi="仿宋" w:eastAsia="仿宋" w:cs="仿宋"/>
          <w:b/>
          <w:sz w:val="44"/>
          <w:szCs w:val="44"/>
        </w:rPr>
        <w:t>合同文件</w:t>
      </w:r>
    </w:p>
    <w:p>
      <w:pPr>
        <w:ind w:firstLine="561"/>
        <w:jc w:val="center"/>
        <w:rPr>
          <w:rFonts w:ascii="仿宋" w:hAnsi="仿宋" w:eastAsia="仿宋" w:cs="仿宋"/>
          <w:b/>
          <w:sz w:val="28"/>
        </w:rPr>
      </w:pPr>
    </w:p>
    <w:p>
      <w:pPr>
        <w:ind w:firstLine="561"/>
        <w:jc w:val="center"/>
        <w:rPr>
          <w:rFonts w:ascii="仿宋" w:hAnsi="仿宋" w:eastAsia="仿宋" w:cs="仿宋"/>
          <w:b/>
          <w:sz w:val="28"/>
        </w:rPr>
      </w:pPr>
    </w:p>
    <w:p>
      <w:pPr>
        <w:ind w:firstLine="561"/>
        <w:jc w:val="center"/>
        <w:rPr>
          <w:rFonts w:ascii="仿宋" w:hAnsi="仿宋" w:eastAsia="仿宋" w:cs="仿宋"/>
          <w:b/>
          <w:sz w:val="28"/>
        </w:rPr>
      </w:pPr>
    </w:p>
    <w:p>
      <w:pPr>
        <w:ind w:firstLine="2718" w:firstLineChars="967"/>
        <w:rPr>
          <w:rFonts w:ascii="仿宋" w:hAnsi="仿宋" w:eastAsia="仿宋" w:cs="仿宋"/>
          <w:b/>
          <w:sz w:val="84"/>
          <w:szCs w:val="84"/>
        </w:rPr>
      </w:pPr>
      <w:r>
        <w:rPr>
          <w:rFonts w:hint="eastAsia" w:ascii="仿宋" w:hAnsi="仿宋" w:eastAsia="仿宋" w:cs="仿宋"/>
          <w:b/>
          <w:sz w:val="28"/>
        </w:rPr>
        <w:t xml:space="preserve">合同编号：               </w:t>
      </w:r>
    </w:p>
    <w:p>
      <w:pPr>
        <w:jc w:val="center"/>
        <w:rPr>
          <w:rFonts w:ascii="仿宋" w:hAnsi="仿宋" w:eastAsia="仿宋" w:cs="仿宋"/>
          <w:b/>
          <w:sz w:val="84"/>
          <w:szCs w:val="84"/>
        </w:rPr>
      </w:pPr>
    </w:p>
    <w:p>
      <w:pPr>
        <w:rPr>
          <w:rFonts w:ascii="仿宋" w:hAnsi="仿宋" w:eastAsia="仿宋" w:cs="仿宋"/>
          <w:b/>
          <w:sz w:val="32"/>
          <w:szCs w:val="32"/>
        </w:rPr>
      </w:pPr>
    </w:p>
    <w:p>
      <w:pPr>
        <w:jc w:val="center"/>
        <w:rPr>
          <w:rFonts w:ascii="仿宋" w:hAnsi="仿宋" w:eastAsia="仿宋" w:cs="仿宋"/>
          <w:b/>
          <w:sz w:val="32"/>
          <w:szCs w:val="32"/>
        </w:rPr>
      </w:pPr>
    </w:p>
    <w:p>
      <w:pPr>
        <w:jc w:val="center"/>
        <w:rPr>
          <w:rFonts w:ascii="仿宋" w:hAnsi="仿宋" w:eastAsia="仿宋" w:cs="仿宋"/>
          <w:b/>
          <w:sz w:val="32"/>
          <w:szCs w:val="32"/>
        </w:rPr>
      </w:pPr>
    </w:p>
    <w:p>
      <w:pPr>
        <w:jc w:val="center"/>
        <w:rPr>
          <w:rFonts w:ascii="仿宋" w:hAnsi="仿宋" w:eastAsia="仿宋" w:cs="仿宋"/>
          <w:b/>
          <w:sz w:val="32"/>
          <w:szCs w:val="32"/>
        </w:rPr>
      </w:pPr>
      <w:r>
        <w:rPr>
          <w:rFonts w:hint="eastAsia" w:ascii="仿宋" w:hAnsi="仿宋" w:eastAsia="仿宋" w:cs="仿宋"/>
          <w:b/>
          <w:sz w:val="32"/>
          <w:szCs w:val="32"/>
        </w:rPr>
        <w:t>甲方：</w:t>
      </w:r>
      <w:r>
        <w:rPr>
          <w:rFonts w:hint="eastAsia" w:ascii="仿宋" w:hAnsi="仿宋" w:eastAsia="仿宋" w:cs="仿宋"/>
          <w:b/>
          <w:sz w:val="32"/>
          <w:szCs w:val="32"/>
          <w:u w:val="single"/>
        </w:rPr>
        <w:t>重庆首讯科技股份有限公司</w:t>
      </w:r>
    </w:p>
    <w:p>
      <w:pPr>
        <w:spacing w:after="120" w:line="360" w:lineRule="auto"/>
        <w:ind w:firstLine="2249" w:firstLineChars="700"/>
        <w:rPr>
          <w:rFonts w:ascii="仿宋" w:hAnsi="仿宋" w:eastAsia="仿宋" w:cs="仿宋"/>
          <w:b/>
          <w:sz w:val="30"/>
        </w:rPr>
      </w:pPr>
      <w:r>
        <w:rPr>
          <w:rFonts w:hint="eastAsia" w:ascii="仿宋" w:hAnsi="仿宋" w:eastAsia="仿宋" w:cs="仿宋"/>
          <w:b/>
          <w:sz w:val="32"/>
          <w:szCs w:val="32"/>
        </w:rPr>
        <w:t>乙方：</w:t>
      </w:r>
      <w:r>
        <w:rPr>
          <w:rFonts w:hint="eastAsia" w:ascii="仿宋" w:hAnsi="仿宋" w:eastAsia="仿宋" w:cs="仿宋"/>
          <w:b/>
          <w:sz w:val="32"/>
          <w:szCs w:val="32"/>
          <w:u w:val="single"/>
        </w:rPr>
        <w:t xml:space="preserve">                   公司</w:t>
      </w:r>
    </w:p>
    <w:p>
      <w:pPr>
        <w:pStyle w:val="34"/>
        <w:tabs>
          <w:tab w:val="right" w:leader="dot" w:pos="8296"/>
        </w:tabs>
        <w:jc w:val="center"/>
        <w:rPr>
          <w:rFonts w:ascii="仿宋" w:hAnsi="仿宋" w:eastAsia="仿宋" w:cs="仿宋"/>
          <w:smallCaps w:val="0"/>
          <w:kern w:val="0"/>
          <w:sz w:val="24"/>
        </w:rPr>
      </w:pPr>
    </w:p>
    <w:p/>
    <w:p>
      <w:pPr>
        <w:pStyle w:val="34"/>
        <w:tabs>
          <w:tab w:val="right" w:leader="dot" w:pos="8296"/>
        </w:tabs>
        <w:jc w:val="center"/>
        <w:rPr>
          <w:rFonts w:hint="eastAsia" w:ascii="仿宋" w:hAnsi="仿宋" w:eastAsia="仿宋" w:cs="仿宋"/>
          <w:b w:val="0"/>
          <w:smallCaps w:val="0"/>
          <w:color w:val="auto"/>
          <w:kern w:val="0"/>
          <w:sz w:val="24"/>
        </w:rPr>
      </w:pPr>
      <w:r>
        <w:rPr>
          <w:rFonts w:hint="eastAsia" w:ascii="仿宋" w:hAnsi="仿宋" w:eastAsia="仿宋" w:cs="仿宋"/>
          <w:b w:val="0"/>
          <w:smallCaps w:val="0"/>
          <w:color w:val="auto"/>
          <w:kern w:val="0"/>
          <w:sz w:val="24"/>
        </w:rPr>
        <w:t xml:space="preserve">    录</w:t>
      </w:r>
    </w:p>
    <w:p>
      <w:pPr>
        <w:pStyle w:val="34"/>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TOC \o "1-3" \h \z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fldChar w:fldCharType="begin"/>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"_Toc513647839"</w:instrText>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49"/>
          <w:rFonts w:hint="eastAsia" w:ascii="仿宋" w:hAnsi="仿宋" w:eastAsia="仿宋" w:cs="仿宋"/>
          <w:b w:val="0"/>
          <w:smallCaps w:val="0"/>
          <w:color w:val="auto"/>
          <w:kern w:val="0"/>
          <w:sz w:val="24"/>
        </w:rPr>
        <w:t>第一章 总则</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3</w:t>
      </w:r>
      <w:r>
        <w:rPr>
          <w:rFonts w:hint="eastAsia" w:ascii="仿宋" w:hAnsi="仿宋" w:eastAsia="仿宋" w:cs="仿宋"/>
          <w:b w:val="0"/>
          <w:smallCaps w:val="0"/>
          <w:color w:val="auto"/>
          <w:kern w:val="0"/>
          <w:sz w:val="24"/>
        </w:rPr>
        <w:fldChar w:fldCharType="end"/>
      </w:r>
    </w:p>
    <w:p>
      <w:pPr>
        <w:pStyle w:val="34"/>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"_Toc513647842"</w:instrText>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49"/>
          <w:rFonts w:hint="eastAsia" w:ascii="仿宋" w:hAnsi="仿宋" w:eastAsia="仿宋" w:cs="仿宋"/>
          <w:b w:val="0"/>
          <w:smallCaps w:val="0"/>
          <w:color w:val="auto"/>
          <w:kern w:val="0"/>
          <w:sz w:val="24"/>
        </w:rPr>
        <w:t>第二章 合同范围</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3</w:t>
      </w:r>
      <w:r>
        <w:rPr>
          <w:rFonts w:hint="eastAsia" w:ascii="仿宋" w:hAnsi="仿宋" w:eastAsia="仿宋" w:cs="仿宋"/>
          <w:b w:val="0"/>
          <w:smallCaps w:val="0"/>
          <w:color w:val="auto"/>
          <w:kern w:val="0"/>
          <w:sz w:val="24"/>
        </w:rPr>
        <w:fldChar w:fldCharType="end"/>
      </w:r>
    </w:p>
    <w:p>
      <w:pPr>
        <w:pStyle w:val="34"/>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"_Toc513647845"</w:instrText>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49"/>
          <w:rFonts w:hint="eastAsia" w:ascii="仿宋" w:hAnsi="仿宋" w:eastAsia="仿宋" w:cs="仿宋"/>
          <w:b w:val="0"/>
          <w:smallCaps w:val="0"/>
          <w:color w:val="auto"/>
          <w:kern w:val="0"/>
          <w:sz w:val="24"/>
        </w:rPr>
        <w:t>第三章 合同价及付款方式</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4</w:t>
      </w:r>
      <w:r>
        <w:rPr>
          <w:rFonts w:hint="eastAsia" w:ascii="仿宋" w:hAnsi="仿宋" w:eastAsia="仿宋" w:cs="仿宋"/>
          <w:b w:val="0"/>
          <w:smallCaps w:val="0"/>
          <w:color w:val="auto"/>
          <w:kern w:val="0"/>
          <w:sz w:val="24"/>
        </w:rPr>
        <w:fldChar w:fldCharType="end"/>
      </w:r>
    </w:p>
    <w:p>
      <w:pPr>
        <w:pStyle w:val="34"/>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"_Toc513647848"</w:instrText>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49"/>
          <w:rFonts w:hint="eastAsia" w:ascii="仿宋" w:hAnsi="仿宋" w:eastAsia="仿宋" w:cs="仿宋"/>
          <w:b w:val="0"/>
          <w:smallCaps w:val="0"/>
          <w:color w:val="auto"/>
          <w:kern w:val="0"/>
          <w:sz w:val="24"/>
        </w:rPr>
        <w:t>第四章 交货、包装与保险</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4</w:t>
      </w:r>
      <w:r>
        <w:rPr>
          <w:rFonts w:hint="eastAsia" w:ascii="仿宋" w:hAnsi="仿宋" w:eastAsia="仿宋" w:cs="仿宋"/>
          <w:b w:val="0"/>
          <w:smallCaps w:val="0"/>
          <w:color w:val="auto"/>
          <w:kern w:val="0"/>
          <w:sz w:val="24"/>
        </w:rPr>
        <w:fldChar w:fldCharType="end"/>
      </w:r>
    </w:p>
    <w:p>
      <w:pPr>
        <w:pStyle w:val="34"/>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"_Toc513647852"</w:instrText>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49"/>
          <w:rFonts w:hint="eastAsia" w:ascii="仿宋" w:hAnsi="仿宋" w:eastAsia="仿宋" w:cs="仿宋"/>
          <w:b w:val="0"/>
          <w:smallCaps w:val="0"/>
          <w:color w:val="auto"/>
          <w:kern w:val="0"/>
          <w:sz w:val="24"/>
        </w:rPr>
        <w:t>第五章 质量保证和检验</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6</w:t>
      </w:r>
      <w:r>
        <w:rPr>
          <w:rFonts w:hint="eastAsia" w:ascii="仿宋" w:hAnsi="仿宋" w:eastAsia="仿宋" w:cs="仿宋"/>
          <w:b w:val="0"/>
          <w:smallCaps w:val="0"/>
          <w:color w:val="auto"/>
          <w:kern w:val="0"/>
          <w:sz w:val="24"/>
        </w:rPr>
        <w:fldChar w:fldCharType="end"/>
      </w:r>
    </w:p>
    <w:p>
      <w:pPr>
        <w:pStyle w:val="34"/>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"_Toc513647857"</w:instrText>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49"/>
          <w:rFonts w:hint="eastAsia" w:ascii="仿宋" w:hAnsi="仿宋" w:eastAsia="仿宋" w:cs="仿宋"/>
          <w:b w:val="0"/>
          <w:smallCaps w:val="0"/>
          <w:color w:val="auto"/>
          <w:kern w:val="0"/>
          <w:sz w:val="24"/>
        </w:rPr>
        <w:t>第六章 技术培训</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8</w:t>
      </w:r>
      <w:r>
        <w:rPr>
          <w:rFonts w:hint="eastAsia" w:ascii="仿宋" w:hAnsi="仿宋" w:eastAsia="仿宋" w:cs="仿宋"/>
          <w:b w:val="0"/>
          <w:smallCaps w:val="0"/>
          <w:color w:val="auto"/>
          <w:kern w:val="0"/>
          <w:sz w:val="24"/>
        </w:rPr>
        <w:fldChar w:fldCharType="end"/>
      </w:r>
    </w:p>
    <w:p>
      <w:pPr>
        <w:pStyle w:val="34"/>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"_Toc513647858"</w:instrText>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49"/>
          <w:rFonts w:hint="eastAsia" w:ascii="仿宋" w:hAnsi="仿宋" w:eastAsia="仿宋" w:cs="仿宋"/>
          <w:b w:val="0"/>
          <w:smallCaps w:val="0"/>
          <w:color w:val="auto"/>
          <w:kern w:val="0"/>
          <w:sz w:val="24"/>
        </w:rPr>
        <w:t>第七章 违约责任及合同解除</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8</w:t>
      </w:r>
      <w:r>
        <w:rPr>
          <w:rFonts w:hint="eastAsia" w:ascii="仿宋" w:hAnsi="仿宋" w:eastAsia="仿宋" w:cs="仿宋"/>
          <w:b w:val="0"/>
          <w:smallCaps w:val="0"/>
          <w:color w:val="auto"/>
          <w:kern w:val="0"/>
          <w:sz w:val="24"/>
        </w:rPr>
        <w:fldChar w:fldCharType="end"/>
      </w:r>
    </w:p>
    <w:p>
      <w:pPr>
        <w:pStyle w:val="34"/>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"_Toc513647859"</w:instrText>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49"/>
          <w:rFonts w:hint="eastAsia" w:ascii="仿宋" w:hAnsi="仿宋" w:eastAsia="仿宋" w:cs="仿宋"/>
          <w:b w:val="0"/>
          <w:smallCaps w:val="0"/>
          <w:color w:val="auto"/>
          <w:kern w:val="0"/>
          <w:sz w:val="24"/>
        </w:rPr>
        <w:t>第八章 保密条款</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9</w:t>
      </w:r>
      <w:r>
        <w:rPr>
          <w:rFonts w:hint="eastAsia" w:ascii="仿宋" w:hAnsi="仿宋" w:eastAsia="仿宋" w:cs="仿宋"/>
          <w:b w:val="0"/>
          <w:smallCaps w:val="0"/>
          <w:color w:val="auto"/>
          <w:kern w:val="0"/>
          <w:sz w:val="24"/>
        </w:rPr>
        <w:fldChar w:fldCharType="end"/>
      </w:r>
    </w:p>
    <w:p>
      <w:pPr>
        <w:pStyle w:val="34"/>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"_Toc513647860"</w:instrText>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49"/>
          <w:rFonts w:hint="eastAsia" w:ascii="仿宋" w:hAnsi="仿宋" w:eastAsia="仿宋" w:cs="仿宋"/>
          <w:b w:val="0"/>
          <w:smallCaps w:val="0"/>
          <w:color w:val="auto"/>
          <w:kern w:val="0"/>
          <w:sz w:val="24"/>
        </w:rPr>
        <w:t>第九章 合同的生效和适用法律</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0</w:t>
      </w:r>
    </w:p>
    <w:p>
      <w:pPr>
        <w:pStyle w:val="34"/>
        <w:tabs>
          <w:tab w:val="right" w:leader="dot" w:pos="8296"/>
        </w:tabs>
        <w:rPr>
          <w:rFonts w:hint="eastAsia" w:ascii="仿宋" w:hAnsi="仿宋" w:eastAsia="仿宋" w:cs="仿宋"/>
          <w:b w:val="0"/>
          <w:smallCaps w:val="0"/>
          <w:color w:val="auto"/>
          <w:kern w:val="0"/>
          <w:sz w:val="24"/>
          <w:szCs w:val="24"/>
        </w:rPr>
      </w:pPr>
      <w:r>
        <w:rPr>
          <w:rFonts w:hint="eastAsia" w:ascii="仿宋" w:hAnsi="仿宋" w:eastAsia="仿宋" w:cs="仿宋"/>
          <w:b w:val="0"/>
          <w:smallCaps w:val="0"/>
          <w:color w:val="auto"/>
          <w:kern w:val="0"/>
          <w:sz w:val="24"/>
        </w:rPr>
        <w:fldChar w:fldCharType="begin"/>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"_Toc513647863"</w:instrText>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49"/>
          <w:rFonts w:hint="eastAsia" w:ascii="仿宋" w:hAnsi="仿宋" w:eastAsia="仿宋" w:cs="仿宋"/>
          <w:b w:val="0"/>
          <w:smallCaps w:val="0"/>
          <w:color w:val="auto"/>
          <w:kern w:val="0"/>
          <w:sz w:val="24"/>
        </w:rPr>
        <w:t>第十章 争议及解决</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0</w:t>
      </w:r>
    </w:p>
    <w:p>
      <w:pPr>
        <w:pStyle w:val="34"/>
        <w:tabs>
          <w:tab w:val="right" w:leader="dot" w:pos="8296"/>
        </w:tabs>
        <w:rPr>
          <w:rFonts w:hint="eastAsia" w:ascii="仿宋" w:hAnsi="仿宋" w:eastAsia="仿宋" w:cs="仿宋"/>
          <w:b w:val="0"/>
          <w:smallCaps w:val="0"/>
          <w:color w:val="auto"/>
          <w:kern w:val="0"/>
          <w:sz w:val="24"/>
          <w:lang w:val="en-US" w:eastAsia="zh-CN"/>
        </w:rPr>
      </w:pPr>
      <w:r>
        <w:rPr>
          <w:rFonts w:hint="eastAsia" w:ascii="仿宋" w:hAnsi="仿宋" w:eastAsia="仿宋" w:cs="仿宋"/>
          <w:b w:val="0"/>
          <w:smallCaps w:val="0"/>
          <w:color w:val="auto"/>
          <w:kern w:val="0"/>
          <w:sz w:val="24"/>
        </w:rPr>
        <w:fldChar w:fldCharType="begin"/>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"_Toc513647864"</w:instrText>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49"/>
          <w:rFonts w:hint="eastAsia" w:ascii="仿宋" w:hAnsi="仿宋" w:eastAsia="仿宋" w:cs="仿宋"/>
          <w:b w:val="0"/>
          <w:smallCaps w:val="0"/>
          <w:color w:val="auto"/>
          <w:kern w:val="0"/>
          <w:sz w:val="24"/>
        </w:rPr>
        <w:t xml:space="preserve">第十一章 </w:t>
      </w:r>
      <w:r>
        <w:rPr>
          <w:rFonts w:hint="eastAsia" w:ascii="仿宋" w:hAnsi="仿宋" w:eastAsia="仿宋" w:cs="仿宋"/>
          <w:b w:val="0"/>
          <w:smallCaps w:val="0"/>
          <w:color w:val="auto"/>
          <w:kern w:val="0"/>
          <w:sz w:val="24"/>
          <w:lang w:val="en-US" w:eastAsia="zh-CN"/>
        </w:rPr>
        <w:t>通知与送达</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0</w:t>
      </w:r>
    </w:p>
    <w:p>
      <w:pPr>
        <w:pStyle w:val="34"/>
        <w:tabs>
          <w:tab w:val="right" w:leader="dot" w:pos="8296"/>
        </w:tabs>
        <w:rPr>
          <w:rFonts w:hint="eastAsia" w:ascii="仿宋" w:hAnsi="仿宋" w:eastAsia="仿宋" w:cs="仿宋"/>
          <w:b w:val="0"/>
          <w:smallCaps w:val="0"/>
          <w:color w:val="auto"/>
          <w:kern w:val="0"/>
          <w:sz w:val="24"/>
          <w:lang w:val="en-US" w:eastAsia="zh-CN"/>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HYPERLINK \l "_Toc513647864"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t>第十</w:t>
      </w:r>
      <w:r>
        <w:rPr>
          <w:rFonts w:hint="eastAsia" w:ascii="仿宋" w:hAnsi="仿宋" w:eastAsia="仿宋" w:cs="仿宋"/>
          <w:b w:val="0"/>
          <w:smallCaps w:val="0"/>
          <w:color w:val="auto"/>
          <w:kern w:val="0"/>
          <w:sz w:val="24"/>
          <w:lang w:val="en-US" w:eastAsia="zh-CN"/>
        </w:rPr>
        <w:t>二</w:t>
      </w:r>
      <w:r>
        <w:rPr>
          <w:rFonts w:hint="eastAsia" w:ascii="仿宋" w:hAnsi="仿宋" w:eastAsia="仿宋" w:cs="仿宋"/>
          <w:b w:val="0"/>
          <w:smallCaps w:val="0"/>
          <w:color w:val="auto"/>
          <w:kern w:val="0"/>
          <w:sz w:val="24"/>
        </w:rPr>
        <w:t>章 其他条款</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lang w:val="en-US" w:eastAsia="zh-CN"/>
        </w:rPr>
        <w:t>1</w:t>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w:t>
      </w:r>
    </w:p>
    <w:p>
      <w:pPr>
        <w:pStyle w:val="34"/>
        <w:tabs>
          <w:tab w:val="right" w:leader="dot" w:pos="8296"/>
        </w:tabs>
        <w:rPr>
          <w:rFonts w:hint="default"/>
          <w:color w:val="auto"/>
          <w:lang w:val="en-US"/>
        </w:rPr>
      </w:pPr>
      <w:r>
        <w:rPr>
          <w:rFonts w:hint="eastAsia" w:ascii="仿宋" w:hAnsi="仿宋" w:eastAsia="仿宋" w:cs="仿宋"/>
          <w:b w:val="0"/>
          <w:smallCaps w:val="0"/>
          <w:color w:val="auto"/>
          <w:kern w:val="0"/>
          <w:sz w:val="24"/>
        </w:rPr>
        <w:fldChar w:fldCharType="begin"/>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"_Toc513647865"</w:instrText>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49"/>
          <w:rFonts w:hint="eastAsia" w:ascii="仿宋" w:hAnsi="仿宋" w:eastAsia="仿宋" w:cs="仿宋"/>
          <w:b w:val="0"/>
          <w:smallCaps w:val="0"/>
          <w:color w:val="auto"/>
          <w:kern w:val="0"/>
          <w:sz w:val="24"/>
        </w:rPr>
        <w:t xml:space="preserve">附件一: </w:t>
      </w:r>
      <w:r>
        <w:rPr>
          <w:rStyle w:val="49"/>
          <w:rFonts w:hint="eastAsia" w:ascii="仿宋" w:hAnsi="仿宋" w:eastAsia="仿宋" w:cs="仿宋"/>
          <w:b w:val="0"/>
          <w:smallCaps w:val="0"/>
          <w:color w:val="auto"/>
          <w:kern w:val="0"/>
          <w:sz w:val="24"/>
          <w:lang w:val="en-US" w:eastAsia="zh-CN"/>
        </w:rPr>
        <w:t>授权委托书</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13</w:t>
      </w:r>
    </w:p>
    <w:p>
      <w:pPr>
        <w:pStyle w:val="34"/>
        <w:tabs>
          <w:tab w:val="right" w:leader="dot" w:pos="8296"/>
        </w:tabs>
        <w:rPr>
          <w:rFonts w:hint="default" w:ascii="仿宋" w:hAnsi="仿宋" w:eastAsia="仿宋" w:cs="仿宋"/>
          <w:b w:val="0"/>
          <w:smallCaps w:val="0"/>
          <w:color w:val="auto"/>
          <w:kern w:val="0"/>
          <w:sz w:val="24"/>
          <w:szCs w:val="24"/>
          <w:lang w:val="en-US" w:eastAsia="zh-CN"/>
        </w:rPr>
      </w:pPr>
      <w:r>
        <w:rPr>
          <w:rFonts w:hint="eastAsia" w:ascii="仿宋" w:hAnsi="仿宋" w:eastAsia="仿宋" w:cs="仿宋"/>
          <w:b w:val="0"/>
          <w:smallCaps w:val="0"/>
          <w:color w:val="auto"/>
          <w:kern w:val="0"/>
          <w:sz w:val="24"/>
        </w:rPr>
        <w:fldChar w:fldCharType="begin"/>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"_Toc513647865"</w:instrText>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49"/>
          <w:rFonts w:hint="eastAsia" w:ascii="仿宋" w:hAnsi="仿宋" w:eastAsia="仿宋" w:cs="仿宋"/>
          <w:b w:val="0"/>
          <w:smallCaps w:val="0"/>
          <w:color w:val="auto"/>
          <w:kern w:val="0"/>
          <w:sz w:val="24"/>
        </w:rPr>
        <w:t>附件</w:t>
      </w:r>
      <w:r>
        <w:rPr>
          <w:rStyle w:val="49"/>
          <w:rFonts w:hint="eastAsia" w:ascii="仿宋" w:hAnsi="仿宋" w:eastAsia="仿宋" w:cs="仿宋"/>
          <w:b w:val="0"/>
          <w:smallCaps w:val="0"/>
          <w:color w:val="auto"/>
          <w:kern w:val="0"/>
          <w:sz w:val="24"/>
          <w:lang w:val="en-US" w:eastAsia="zh-CN"/>
        </w:rPr>
        <w:t>二</w:t>
      </w:r>
      <w:r>
        <w:rPr>
          <w:rStyle w:val="49"/>
          <w:rFonts w:hint="eastAsia" w:ascii="仿宋" w:hAnsi="仿宋" w:eastAsia="仿宋" w:cs="仿宋"/>
          <w:b w:val="0"/>
          <w:smallCaps w:val="0"/>
          <w:color w:val="auto"/>
          <w:kern w:val="0"/>
          <w:sz w:val="24"/>
        </w:rPr>
        <w:t>: 工程量</w:t>
      </w:r>
      <w:r>
        <w:rPr>
          <w:rFonts w:hint="eastAsia" w:ascii="仿宋" w:hAnsi="仿宋" w:eastAsia="仿宋" w:cs="仿宋"/>
          <w:b w:val="0"/>
          <w:smallCaps w:val="0"/>
          <w:color w:val="auto"/>
          <w:kern w:val="0"/>
          <w:sz w:val="24"/>
          <w:lang w:val="en-US" w:eastAsia="zh-CN"/>
        </w:rPr>
        <w:t>价款</w:t>
      </w:r>
      <w:r>
        <w:rPr>
          <w:rStyle w:val="49"/>
          <w:rFonts w:hint="eastAsia" w:ascii="仿宋" w:hAnsi="仿宋" w:eastAsia="仿宋" w:cs="仿宋"/>
          <w:b w:val="0"/>
          <w:smallCaps w:val="0"/>
          <w:color w:val="auto"/>
          <w:kern w:val="0"/>
          <w:sz w:val="24"/>
        </w:rPr>
        <w:t>清单</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14</w:t>
      </w:r>
    </w:p>
    <w:p>
      <w:pPr>
        <w:pStyle w:val="34"/>
        <w:tabs>
          <w:tab w:val="right" w:leader="dot" w:pos="8296"/>
        </w:tabs>
        <w:rPr>
          <w:rFonts w:hint="default" w:ascii="仿宋" w:hAnsi="仿宋" w:eastAsia="仿宋" w:cs="仿宋"/>
          <w:b w:val="0"/>
          <w:smallCaps w:val="0"/>
          <w:color w:val="auto"/>
          <w:kern w:val="0"/>
          <w:sz w:val="24"/>
          <w:lang w:val="en-US" w:eastAsia="zh-CN"/>
        </w:rPr>
      </w:pPr>
      <w:r>
        <w:rPr>
          <w:rFonts w:hint="eastAsia" w:ascii="仿宋" w:hAnsi="仿宋" w:eastAsia="仿宋" w:cs="仿宋"/>
          <w:b w:val="0"/>
          <w:smallCaps w:val="0"/>
          <w:color w:val="auto"/>
          <w:kern w:val="0"/>
          <w:sz w:val="24"/>
        </w:rPr>
        <w:fldChar w:fldCharType="begin"/>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instrText xml:space="preserve">HYPERLINK \l "_Toc513647866"</w:instrText>
      </w:r>
      <w:r>
        <w:rPr>
          <w:rStyle w:val="49"/>
          <w:rFonts w:hint="eastAsia" w:ascii="仿宋" w:hAnsi="仿宋" w:eastAsia="仿宋" w:cs="仿宋"/>
          <w:b w:val="0"/>
          <w:smallCaps w:val="0"/>
          <w:color w:val="auto"/>
          <w:kern w:val="0"/>
          <w:sz w:val="24"/>
        </w:rPr>
        <w:instrText xml:space="preserve"> </w:instrText>
      </w:r>
      <w:r>
        <w:rPr>
          <w:rFonts w:hint="eastAsia" w:ascii="仿宋" w:hAnsi="仿宋" w:eastAsia="仿宋" w:cs="仿宋"/>
          <w:b w:val="0"/>
          <w:smallCaps w:val="0"/>
          <w:color w:val="auto"/>
          <w:kern w:val="0"/>
          <w:sz w:val="24"/>
        </w:rPr>
        <w:fldChar w:fldCharType="separate"/>
      </w:r>
      <w:r>
        <w:rPr>
          <w:rStyle w:val="49"/>
          <w:rFonts w:hint="eastAsia" w:ascii="仿宋" w:hAnsi="仿宋" w:eastAsia="仿宋" w:cs="仿宋"/>
          <w:b w:val="0"/>
          <w:smallCaps w:val="0"/>
          <w:color w:val="auto"/>
          <w:kern w:val="0"/>
          <w:sz w:val="24"/>
        </w:rPr>
        <w:t>附件</w:t>
      </w:r>
      <w:r>
        <w:rPr>
          <w:rStyle w:val="49"/>
          <w:rFonts w:hint="eastAsia" w:ascii="仿宋" w:hAnsi="仿宋" w:eastAsia="仿宋" w:cs="仿宋"/>
          <w:b w:val="0"/>
          <w:smallCaps w:val="0"/>
          <w:color w:val="auto"/>
          <w:kern w:val="0"/>
          <w:sz w:val="24"/>
          <w:lang w:val="en-US" w:eastAsia="zh-CN"/>
        </w:rPr>
        <w:t>三</w:t>
      </w:r>
      <w:r>
        <w:rPr>
          <w:rStyle w:val="49"/>
          <w:rFonts w:hint="eastAsia" w:ascii="仿宋" w:hAnsi="仿宋" w:eastAsia="仿宋" w:cs="仿宋"/>
          <w:b w:val="0"/>
          <w:smallCaps w:val="0"/>
          <w:color w:val="auto"/>
          <w:kern w:val="0"/>
          <w:sz w:val="24"/>
        </w:rPr>
        <w:t>: 技术要求</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15</w:t>
      </w:r>
    </w:p>
    <w:p>
      <w:pPr>
        <w:pStyle w:val="34"/>
        <w:tabs>
          <w:tab w:val="right" w:leader="dot" w:pos="8296"/>
        </w:tabs>
        <w:rPr>
          <w:rFonts w:hint="default" w:ascii="仿宋" w:hAnsi="仿宋" w:eastAsia="仿宋" w:cs="仿宋"/>
          <w:b w:val="0"/>
          <w:smallCaps w:val="0"/>
          <w:color w:val="auto"/>
          <w:kern w:val="0"/>
          <w:sz w:val="24"/>
          <w:szCs w:val="24"/>
          <w:lang w:val="en-US" w:eastAsia="zh-CN"/>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HYPERLINK \l "_Toc513647866"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t>附件</w:t>
      </w:r>
      <w:r>
        <w:rPr>
          <w:rFonts w:hint="eastAsia" w:ascii="仿宋" w:hAnsi="仿宋" w:eastAsia="仿宋" w:cs="仿宋"/>
          <w:b w:val="0"/>
          <w:smallCaps w:val="0"/>
          <w:color w:val="auto"/>
          <w:kern w:val="0"/>
          <w:sz w:val="24"/>
          <w:lang w:val="en-US" w:eastAsia="zh-CN"/>
        </w:rPr>
        <w:t>四</w:t>
      </w:r>
      <w:r>
        <w:rPr>
          <w:rFonts w:hint="eastAsia" w:ascii="仿宋" w:hAnsi="仿宋" w:eastAsia="仿宋" w:cs="仿宋"/>
          <w:b w:val="0"/>
          <w:smallCaps w:val="0"/>
          <w:color w:val="auto"/>
          <w:kern w:val="0"/>
          <w:sz w:val="24"/>
        </w:rPr>
        <w:t xml:space="preserve">: </w:t>
      </w:r>
      <w:r>
        <w:rPr>
          <w:rFonts w:hint="eastAsia" w:ascii="仿宋" w:hAnsi="仿宋" w:eastAsia="仿宋" w:cs="仿宋"/>
          <w:b w:val="0"/>
          <w:smallCaps w:val="0"/>
          <w:color w:val="auto"/>
          <w:kern w:val="0"/>
          <w:sz w:val="24"/>
          <w:lang w:val="en-US" w:eastAsia="zh-CN"/>
        </w:rPr>
        <w:t>廉政合同</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16</w:t>
      </w:r>
    </w:p>
    <w:p>
      <w:pPr>
        <w:pStyle w:val="34"/>
        <w:tabs>
          <w:tab w:val="right" w:leader="dot" w:pos="8296"/>
        </w:tabs>
        <w:rPr>
          <w:rFonts w:hint="default" w:ascii="仿宋" w:hAnsi="仿宋" w:eastAsia="仿宋" w:cs="仿宋"/>
          <w:b w:val="0"/>
          <w:smallCaps w:val="0"/>
          <w:color w:val="auto"/>
          <w:kern w:val="0"/>
          <w:sz w:val="24"/>
          <w:szCs w:val="24"/>
          <w:lang w:val="en-US" w:eastAsia="zh-CN"/>
        </w:rPr>
      </w:pPr>
      <w:r>
        <w:rPr>
          <w:rFonts w:hint="eastAsia" w:ascii="仿宋" w:hAnsi="仿宋" w:eastAsia="仿宋" w:cs="仿宋"/>
          <w:b w:val="0"/>
          <w:smallCaps w:val="0"/>
          <w:color w:val="auto"/>
          <w:kern w:val="0"/>
          <w:sz w:val="24"/>
        </w:rPr>
        <w:fldChar w:fldCharType="begin"/>
      </w:r>
      <w:r>
        <w:rPr>
          <w:rFonts w:hint="eastAsia" w:ascii="仿宋" w:hAnsi="仿宋" w:eastAsia="仿宋" w:cs="仿宋"/>
          <w:b w:val="0"/>
          <w:smallCaps w:val="0"/>
          <w:color w:val="auto"/>
          <w:kern w:val="0"/>
          <w:sz w:val="24"/>
        </w:rPr>
        <w:instrText xml:space="preserve"> HYPERLINK \l "_Toc513647866" </w:instrText>
      </w:r>
      <w:r>
        <w:rPr>
          <w:rFonts w:hint="eastAsia" w:ascii="仿宋" w:hAnsi="仿宋" w:eastAsia="仿宋" w:cs="仿宋"/>
          <w:b w:val="0"/>
          <w:smallCaps w:val="0"/>
          <w:color w:val="auto"/>
          <w:kern w:val="0"/>
          <w:sz w:val="24"/>
        </w:rPr>
        <w:fldChar w:fldCharType="separate"/>
      </w:r>
      <w:r>
        <w:rPr>
          <w:rFonts w:hint="eastAsia" w:ascii="仿宋" w:hAnsi="仿宋" w:eastAsia="仿宋" w:cs="仿宋"/>
          <w:b w:val="0"/>
          <w:smallCaps w:val="0"/>
          <w:color w:val="auto"/>
          <w:kern w:val="0"/>
          <w:sz w:val="24"/>
        </w:rPr>
        <w:t>附件</w:t>
      </w:r>
      <w:r>
        <w:rPr>
          <w:rFonts w:hint="eastAsia" w:ascii="仿宋" w:hAnsi="仿宋" w:eastAsia="仿宋" w:cs="仿宋"/>
          <w:b w:val="0"/>
          <w:smallCaps w:val="0"/>
          <w:color w:val="auto"/>
          <w:kern w:val="0"/>
          <w:sz w:val="24"/>
          <w:lang w:val="en-US" w:eastAsia="zh-CN"/>
        </w:rPr>
        <w:t>五</w:t>
      </w:r>
      <w:r>
        <w:rPr>
          <w:rFonts w:hint="eastAsia" w:ascii="仿宋" w:hAnsi="仿宋" w:eastAsia="仿宋" w:cs="仿宋"/>
          <w:b w:val="0"/>
          <w:smallCaps w:val="0"/>
          <w:color w:val="auto"/>
          <w:kern w:val="0"/>
          <w:sz w:val="24"/>
        </w:rPr>
        <w:t xml:space="preserve">: </w:t>
      </w:r>
      <w:r>
        <w:rPr>
          <w:rFonts w:hint="eastAsia" w:ascii="仿宋" w:hAnsi="仿宋" w:eastAsia="仿宋" w:cs="仿宋"/>
          <w:b w:val="0"/>
          <w:smallCaps w:val="0"/>
          <w:color w:val="auto"/>
          <w:kern w:val="0"/>
          <w:sz w:val="24"/>
          <w:lang w:val="en-US" w:eastAsia="zh-CN"/>
        </w:rPr>
        <w:t>诚信合规协议</w:t>
      </w:r>
      <w:r>
        <w:rPr>
          <w:rFonts w:hint="eastAsia" w:ascii="仿宋" w:hAnsi="仿宋" w:eastAsia="仿宋" w:cs="仿宋"/>
          <w:b w:val="0"/>
          <w:smallCaps w:val="0"/>
          <w:color w:val="auto"/>
          <w:kern w:val="0"/>
          <w:sz w:val="24"/>
        </w:rPr>
        <w:tab/>
      </w:r>
      <w:r>
        <w:rPr>
          <w:rFonts w:hint="eastAsia" w:ascii="仿宋" w:hAnsi="仿宋" w:eastAsia="仿宋" w:cs="仿宋"/>
          <w:b w:val="0"/>
          <w:smallCaps w:val="0"/>
          <w:color w:val="auto"/>
          <w:kern w:val="0"/>
          <w:sz w:val="24"/>
        </w:rPr>
        <w:fldChar w:fldCharType="end"/>
      </w:r>
      <w:r>
        <w:rPr>
          <w:rFonts w:hint="eastAsia" w:ascii="仿宋" w:hAnsi="仿宋" w:eastAsia="仿宋" w:cs="仿宋"/>
          <w:b w:val="0"/>
          <w:smallCaps w:val="0"/>
          <w:color w:val="auto"/>
          <w:kern w:val="0"/>
          <w:sz w:val="24"/>
          <w:lang w:val="en-US" w:eastAsia="zh-CN"/>
        </w:rPr>
        <w:t>18</w:t>
      </w:r>
    </w:p>
    <w:p>
      <w:pPr>
        <w:rPr>
          <w:rFonts w:hint="default" w:eastAsia="宋体"/>
          <w:b w:val="0"/>
          <w:smallCaps w:val="0"/>
          <w:color w:val="auto"/>
          <w:szCs w:val="24"/>
          <w:lang w:val="en-US" w:eastAsia="zh-CN"/>
        </w:rPr>
      </w:pPr>
      <w:r>
        <w:rPr>
          <w:rFonts w:hint="eastAsia"/>
          <w:b w:val="0"/>
          <w:smallCaps w:val="0"/>
          <w:color w:val="auto"/>
          <w:szCs w:val="24"/>
          <w:lang w:val="en-US" w:eastAsia="zh-CN"/>
        </w:rPr>
        <w:t xml:space="preserve">    </w:t>
      </w:r>
    </w:p>
    <w:p>
      <w:pPr>
        <w:pStyle w:val="37"/>
        <w:spacing w:line="500" w:lineRule="exact"/>
        <w:jc w:val="center"/>
        <w:rPr>
          <w:rFonts w:hint="eastAsia" w:ascii="仿宋" w:hAnsi="仿宋" w:eastAsia="仿宋" w:cs="仿宋"/>
          <w:b w:val="0"/>
          <w:color w:val="auto"/>
        </w:rPr>
      </w:pPr>
      <w:r>
        <w:rPr>
          <w:rFonts w:hint="eastAsia" w:ascii="仿宋" w:hAnsi="仿宋" w:eastAsia="仿宋" w:cs="仿宋"/>
          <w:b w:val="0"/>
          <w:color w:val="auto"/>
        </w:rPr>
        <w:fldChar w:fldCharType="end"/>
      </w:r>
    </w:p>
    <w:p>
      <w:pPr>
        <w:pStyle w:val="37"/>
        <w:spacing w:line="500" w:lineRule="exact"/>
        <w:jc w:val="center"/>
        <w:rPr>
          <w:rFonts w:hint="eastAsia" w:ascii="仿宋" w:hAnsi="仿宋" w:eastAsia="仿宋" w:cs="仿宋"/>
          <w:b w:val="0"/>
          <w:color w:val="auto"/>
        </w:rPr>
      </w:pPr>
    </w:p>
    <w:p>
      <w:pPr>
        <w:pStyle w:val="37"/>
        <w:spacing w:line="500" w:lineRule="exact"/>
        <w:jc w:val="center"/>
        <w:rPr>
          <w:rFonts w:hint="eastAsia" w:ascii="仿宋" w:hAnsi="仿宋" w:eastAsia="仿宋" w:cs="仿宋"/>
          <w:b w:val="0"/>
          <w:color w:val="auto"/>
        </w:rPr>
      </w:pPr>
    </w:p>
    <w:p>
      <w:pPr>
        <w:pStyle w:val="37"/>
        <w:spacing w:line="500" w:lineRule="exact"/>
        <w:jc w:val="center"/>
        <w:rPr>
          <w:rFonts w:hint="eastAsia" w:ascii="仿宋" w:hAnsi="仿宋" w:eastAsia="仿宋" w:cs="仿宋"/>
          <w:b w:val="0"/>
          <w:color w:val="auto"/>
        </w:rPr>
      </w:pPr>
    </w:p>
    <w:p>
      <w:pPr>
        <w:pStyle w:val="37"/>
        <w:spacing w:line="500" w:lineRule="exact"/>
        <w:jc w:val="center"/>
        <w:rPr>
          <w:rFonts w:hint="eastAsia" w:ascii="仿宋" w:hAnsi="仿宋" w:eastAsia="仿宋" w:cs="仿宋"/>
          <w:b w:val="0"/>
          <w:color w:val="auto"/>
        </w:rPr>
      </w:pPr>
    </w:p>
    <w:p>
      <w:pPr>
        <w:pStyle w:val="37"/>
        <w:spacing w:line="500" w:lineRule="exact"/>
        <w:jc w:val="center"/>
        <w:rPr>
          <w:rFonts w:hint="eastAsia" w:ascii="仿宋" w:hAnsi="仿宋" w:eastAsia="仿宋" w:cs="仿宋"/>
          <w:b w:val="0"/>
          <w:color w:val="auto"/>
        </w:rPr>
      </w:pPr>
    </w:p>
    <w:p>
      <w:pPr>
        <w:pStyle w:val="37"/>
        <w:spacing w:line="500" w:lineRule="exact"/>
        <w:jc w:val="center"/>
        <w:rPr>
          <w:rFonts w:hint="eastAsia" w:ascii="仿宋" w:hAnsi="仿宋" w:eastAsia="仿宋" w:cs="仿宋"/>
          <w:b w:val="0"/>
          <w:color w:val="auto"/>
        </w:rPr>
      </w:pPr>
    </w:p>
    <w:p>
      <w:pPr>
        <w:rPr>
          <w:rFonts w:hint="eastAsia" w:ascii="仿宋" w:hAnsi="仿宋" w:eastAsia="仿宋" w:cs="仿宋"/>
          <w:b/>
          <w:color w:val="auto"/>
          <w:kern w:val="2"/>
          <w:sz w:val="32"/>
          <w:szCs w:val="32"/>
        </w:rPr>
      </w:pPr>
      <w:r>
        <w:rPr>
          <w:rFonts w:hint="eastAsia" w:ascii="仿宋" w:hAnsi="仿宋" w:eastAsia="仿宋" w:cs="仿宋"/>
          <w:b/>
          <w:color w:val="auto"/>
          <w:kern w:val="2"/>
          <w:sz w:val="32"/>
          <w:szCs w:val="32"/>
        </w:rPr>
        <w:br w:type="page"/>
      </w:r>
    </w:p>
    <w:p>
      <w:pPr>
        <w:pStyle w:val="37"/>
        <w:spacing w:line="500" w:lineRule="exact"/>
        <w:jc w:val="center"/>
        <w:rPr>
          <w:rFonts w:eastAsia="仿宋" w:cs="宋体"/>
          <w:color w:val="auto"/>
          <w:sz w:val="28"/>
          <w:szCs w:val="28"/>
          <w:u w:val="single"/>
        </w:rPr>
      </w:pPr>
      <w:r>
        <w:rPr>
          <w:rFonts w:hint="eastAsia" w:ascii="仿宋" w:hAnsi="仿宋" w:eastAsia="仿宋" w:cs="仿宋"/>
          <w:b/>
          <w:color w:val="auto"/>
          <w:kern w:val="2"/>
          <w:sz w:val="32"/>
          <w:szCs w:val="32"/>
        </w:rPr>
        <w:t>XXX采购合同</w:t>
      </w:r>
    </w:p>
    <w:p>
      <w:pPr>
        <w:pStyle w:val="37"/>
        <w:spacing w:before="0" w:beforeAutospacing="0" w:after="0" w:afterAutospacing="0" w:line="400" w:lineRule="exact"/>
        <w:ind w:firstLine="480" w:firstLineChars="200"/>
        <w:jc w:val="both"/>
        <w:rPr>
          <w:rFonts w:hint="eastAsia" w:ascii="仿宋" w:hAnsi="仿宋" w:eastAsia="仿宋" w:cs="仿宋"/>
          <w:color w:val="auto"/>
        </w:rPr>
      </w:pPr>
      <w:r>
        <w:rPr>
          <w:rFonts w:hint="eastAsia" w:ascii="仿宋" w:hAnsi="仿宋" w:eastAsia="仿宋" w:cs="仿宋"/>
          <w:color w:val="auto"/>
        </w:rPr>
        <w:t xml:space="preserve">甲方： </w:t>
      </w:r>
      <w:r>
        <w:rPr>
          <w:rFonts w:hint="eastAsia" w:ascii="仿宋" w:hAnsi="仿宋" w:eastAsia="仿宋" w:cs="仿宋"/>
          <w:color w:val="auto"/>
          <w:u w:val="single"/>
        </w:rPr>
        <w:t>重庆首讯科技股份有限公司 （需方）</w:t>
      </w:r>
      <w:r>
        <w:rPr>
          <w:rFonts w:hint="eastAsia" w:ascii="仿宋" w:hAnsi="仿宋" w:eastAsia="仿宋" w:cs="仿宋"/>
          <w:color w:val="auto"/>
        </w:rPr>
        <w:t xml:space="preserve">                                                </w:t>
      </w:r>
    </w:p>
    <w:p>
      <w:pPr>
        <w:pStyle w:val="37"/>
        <w:spacing w:before="0" w:beforeAutospacing="0" w:after="0" w:afterAutospacing="0" w:line="400" w:lineRule="exact"/>
        <w:ind w:firstLine="480" w:firstLineChars="200"/>
        <w:jc w:val="both"/>
        <w:rPr>
          <w:rFonts w:hint="eastAsia" w:ascii="仿宋" w:hAnsi="仿宋" w:eastAsia="仿宋" w:cs="仿宋"/>
          <w:color w:val="auto"/>
          <w:u w:val="single"/>
        </w:rPr>
      </w:pPr>
      <w:r>
        <w:rPr>
          <w:rFonts w:hint="eastAsia" w:ascii="仿宋" w:hAnsi="仿宋" w:eastAsia="仿宋" w:cs="仿宋"/>
          <w:color w:val="auto"/>
        </w:rPr>
        <w:t xml:space="preserve">乙方： </w:t>
      </w:r>
      <w:r>
        <w:rPr>
          <w:rFonts w:hint="eastAsia" w:ascii="仿宋" w:hAnsi="仿宋" w:eastAsia="仿宋" w:cs="仿宋"/>
          <w:color w:val="auto"/>
          <w:u w:val="single"/>
          <w:lang w:eastAsia="zh-CN"/>
        </w:rPr>
        <w:t>X</w:t>
      </w:r>
      <w:r>
        <w:rPr>
          <w:rFonts w:hint="eastAsia" w:ascii="仿宋" w:hAnsi="仿宋" w:eastAsia="仿宋" w:cs="仿宋"/>
          <w:color w:val="auto"/>
          <w:u w:val="single"/>
          <w:lang w:val="en-US" w:eastAsia="zh-CN"/>
        </w:rPr>
        <w:t>XXXX</w:t>
      </w:r>
      <w:r>
        <w:rPr>
          <w:rFonts w:hint="eastAsia" w:ascii="仿宋" w:hAnsi="仿宋" w:eastAsia="仿宋" w:cs="仿宋"/>
          <w:color w:val="auto"/>
          <w:u w:val="single"/>
        </w:rPr>
        <w:t>（供方）</w:t>
      </w:r>
    </w:p>
    <w:p>
      <w:pPr>
        <w:pStyle w:val="37"/>
        <w:spacing w:before="0" w:beforeAutospacing="0" w:after="0" w:afterAutospacing="0" w:line="400" w:lineRule="exact"/>
        <w:ind w:firstLine="480" w:firstLineChars="200"/>
        <w:jc w:val="both"/>
        <w:rPr>
          <w:rFonts w:hint="eastAsia" w:ascii="仿宋" w:hAnsi="仿宋" w:eastAsia="仿宋" w:cs="仿宋"/>
          <w:color w:val="auto"/>
        </w:rPr>
      </w:pPr>
      <w:r>
        <w:rPr>
          <w:rFonts w:hint="eastAsia" w:ascii="仿宋" w:hAnsi="仿宋" w:eastAsia="仿宋" w:cs="仿宋"/>
          <w:color w:val="auto"/>
        </w:rPr>
        <w:t>依照《中华人民共和国民法典》及有关法律、法规的规定，就甲方负责承建的</w:t>
      </w:r>
      <w:r>
        <w:rPr>
          <w:rFonts w:hint="eastAsia" w:ascii="仿宋" w:hAnsi="仿宋" w:eastAsia="仿宋" w:cs="仿宋"/>
          <w:color w:val="auto"/>
          <w:lang w:val="en-US" w:eastAsia="zh-CN"/>
        </w:rPr>
        <w:t>XXX项目所需的XXX设备采购</w:t>
      </w:r>
      <w:r>
        <w:rPr>
          <w:rFonts w:hint="eastAsia" w:ascii="仿宋" w:hAnsi="仿宋" w:eastAsia="仿宋" w:cs="仿宋"/>
          <w:color w:val="auto"/>
        </w:rPr>
        <w:t>，甲、乙双方经友好协商，本着真诚合作、互惠互利、平等自愿的原则，经协商一致达成如下条款双方共同遵守：</w:t>
      </w:r>
    </w:p>
    <w:p>
      <w:pPr>
        <w:tabs>
          <w:tab w:val="left" w:pos="2880"/>
          <w:tab w:val="left" w:pos="7020"/>
        </w:tabs>
        <w:spacing w:line="360" w:lineRule="auto"/>
        <w:ind w:right="178" w:rightChars="85" w:firstLine="482" w:firstLineChars="200"/>
        <w:rPr>
          <w:rFonts w:hint="eastAsia" w:ascii="仿宋" w:hAnsi="仿宋" w:eastAsia="仿宋" w:cs="仿宋"/>
          <w:b/>
          <w:bCs/>
          <w:color w:val="auto"/>
          <w:kern w:val="0"/>
          <w:sz w:val="24"/>
        </w:rPr>
      </w:pPr>
      <w:r>
        <w:rPr>
          <w:rFonts w:hint="eastAsia" w:ascii="仿宋" w:hAnsi="仿宋" w:eastAsia="仿宋" w:cs="仿宋"/>
          <w:b/>
          <w:bCs/>
          <w:color w:val="auto"/>
          <w:kern w:val="0"/>
          <w:sz w:val="24"/>
        </w:rPr>
        <w:t>第一章 总则</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 定 义</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1.1.1 业主：指</w:t>
      </w:r>
      <w:r>
        <w:rPr>
          <w:rFonts w:hint="eastAsia" w:ascii="仿宋" w:hAnsi="仿宋" w:eastAsia="仿宋" w:cs="仿宋"/>
          <w:b w:val="0"/>
          <w:color w:val="auto"/>
          <w:kern w:val="0"/>
          <w:sz w:val="24"/>
          <w:u w:val="single"/>
          <w:lang w:eastAsia="zh-CN"/>
        </w:rPr>
        <w:t>X</w:t>
      </w:r>
      <w:r>
        <w:rPr>
          <w:rFonts w:hint="eastAsia" w:ascii="仿宋" w:hAnsi="仿宋" w:eastAsia="仿宋" w:cs="仿宋"/>
          <w:b w:val="0"/>
          <w:color w:val="auto"/>
          <w:kern w:val="0"/>
          <w:sz w:val="24"/>
          <w:u w:val="single"/>
          <w:lang w:val="en-US" w:eastAsia="zh-CN"/>
        </w:rPr>
        <w:t>XX</w:t>
      </w:r>
      <w:r>
        <w:rPr>
          <w:rFonts w:hint="eastAsia" w:ascii="仿宋" w:hAnsi="仿宋" w:eastAsia="仿宋" w:cs="仿宋"/>
          <w:b w:val="0"/>
          <w:color w:val="auto"/>
          <w:kern w:val="0"/>
          <w:sz w:val="24"/>
        </w:rPr>
        <w:t>公司</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u w:val="single"/>
        </w:rPr>
      </w:pPr>
      <w:r>
        <w:rPr>
          <w:rFonts w:hint="eastAsia" w:ascii="仿宋" w:hAnsi="仿宋" w:eastAsia="仿宋" w:cs="仿宋"/>
          <w:b w:val="0"/>
          <w:color w:val="auto"/>
          <w:kern w:val="0"/>
          <w:sz w:val="24"/>
        </w:rPr>
        <w:t>1.1.2主合同：</w:t>
      </w:r>
      <w:r>
        <w:rPr>
          <w:rFonts w:hint="eastAsia" w:ascii="仿宋" w:hAnsi="仿宋" w:eastAsia="仿宋" w:cs="仿宋"/>
          <w:b w:val="0"/>
          <w:color w:val="auto"/>
          <w:kern w:val="0"/>
          <w:sz w:val="24"/>
          <w:u w:val="single"/>
          <w:lang w:val="en-US" w:eastAsia="zh-CN"/>
        </w:rPr>
        <w:t>XXXX合同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1.1.3缺陷责任期：指从业主签发本项目最终验收证书之日起计算，本合同乙方对本合同项下乙方所承担供货、工程及服务方面的缺陷负有缺陷修复义务的有效期限。本工程缺陷责任期为</w:t>
      </w:r>
      <w:r>
        <w:rPr>
          <w:rFonts w:hint="eastAsia" w:ascii="仿宋" w:hAnsi="仿宋" w:eastAsia="仿宋" w:cs="仿宋"/>
          <w:b w:val="0"/>
          <w:color w:val="auto"/>
          <w:kern w:val="0"/>
          <w:sz w:val="24"/>
          <w:lang w:val="en-US" w:eastAsia="zh-CN"/>
        </w:rPr>
        <w:t>24</w:t>
      </w:r>
      <w:r>
        <w:rPr>
          <w:rFonts w:hint="eastAsia" w:ascii="仿宋" w:hAnsi="仿宋" w:eastAsia="仿宋" w:cs="仿宋"/>
          <w:b w:val="0"/>
          <w:color w:val="auto"/>
          <w:kern w:val="0"/>
          <w:sz w:val="24"/>
        </w:rPr>
        <w:t>个月。</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1.1.4现场：指工程安装所在的土地和其他场所，和可能在合同中规定的构成“现场”一部分的其它土地或场所。</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lang w:val="en-US" w:eastAsia="zh-CN"/>
        </w:rPr>
      </w:pPr>
      <w:r>
        <w:rPr>
          <w:rFonts w:hint="eastAsia" w:ascii="仿宋" w:hAnsi="仿宋" w:eastAsia="仿宋" w:cs="仿宋"/>
          <w:b w:val="0"/>
          <w:color w:val="auto"/>
          <w:kern w:val="0"/>
          <w:sz w:val="24"/>
        </w:rPr>
        <w:t>1.1.5质量保修期：是指乙方按照合同约定对本工程承担保修责任的期限，从本工程竣工验收合格之日起计算。本工程各部分的质量保修期由甲乙双方在本合同中约定，不低于主合同约定的质量保修期及法定最低保修年限。</w:t>
      </w:r>
      <w:r>
        <w:rPr>
          <w:rFonts w:hint="eastAsia" w:ascii="仿宋" w:hAnsi="仿宋" w:eastAsia="仿宋" w:cs="仿宋"/>
          <w:b w:val="0"/>
          <w:color w:val="auto"/>
          <w:kern w:val="0"/>
          <w:sz w:val="24"/>
          <w:lang w:val="en-US" w:eastAsia="zh-CN"/>
        </w:rPr>
        <w:t>本合同的质量保修服务期为24个月。</w:t>
      </w:r>
    </w:p>
    <w:p>
      <w:pPr>
        <w:tabs>
          <w:tab w:val="left" w:pos="2880"/>
          <w:tab w:val="left" w:pos="7020"/>
        </w:tabs>
        <w:spacing w:line="360" w:lineRule="auto"/>
        <w:ind w:right="178" w:rightChars="85" w:firstLine="482" w:firstLineChars="200"/>
        <w:rPr>
          <w:rFonts w:hint="eastAsia" w:ascii="仿宋" w:hAnsi="仿宋" w:eastAsia="仿宋" w:cs="仿宋"/>
          <w:b w:val="0"/>
          <w:color w:val="auto"/>
          <w:kern w:val="0"/>
          <w:sz w:val="24"/>
        </w:rPr>
      </w:pPr>
      <w:r>
        <w:rPr>
          <w:rFonts w:hint="eastAsia" w:ascii="仿宋" w:hAnsi="仿宋" w:eastAsia="仿宋" w:cs="仿宋"/>
          <w:b/>
          <w:bCs/>
          <w:color w:val="auto"/>
          <w:kern w:val="0"/>
          <w:sz w:val="24"/>
        </w:rPr>
        <w:t>第二章 合同范围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2.1合同范围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2.1.1乙方同意根据本合同约定，在</w:t>
      </w:r>
      <w:r>
        <w:rPr>
          <w:rFonts w:hint="eastAsia" w:ascii="仿宋" w:hAnsi="仿宋" w:eastAsia="仿宋" w:cs="仿宋"/>
          <w:b w:val="0"/>
          <w:color w:val="auto"/>
          <w:kern w:val="0"/>
          <w:sz w:val="24"/>
          <w:lang w:eastAsia="zh-CN"/>
        </w:rPr>
        <w:t>X</w:t>
      </w:r>
      <w:r>
        <w:rPr>
          <w:rFonts w:hint="eastAsia" w:ascii="仿宋" w:hAnsi="仿宋" w:eastAsia="仿宋" w:cs="仿宋"/>
          <w:b w:val="0"/>
          <w:color w:val="auto"/>
          <w:kern w:val="0"/>
          <w:sz w:val="24"/>
          <w:lang w:val="en-US" w:eastAsia="zh-CN"/>
        </w:rPr>
        <w:t>XXX项目</w:t>
      </w:r>
      <w:r>
        <w:rPr>
          <w:rFonts w:hint="eastAsia" w:ascii="仿宋" w:hAnsi="仿宋" w:eastAsia="仿宋" w:cs="仿宋"/>
          <w:b w:val="0"/>
          <w:color w:val="auto"/>
          <w:kern w:val="0"/>
          <w:sz w:val="24"/>
        </w:rPr>
        <w:t>设备的供货及安装工程（下称“本工程”）。本工程内容包括：设计、制造、运输、指导安装调试、完工、保证测试、试运行及缺陷责任期内的质量保证，以及与为完成该工程有关的其它所有工作。</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rPr>
      </w:pPr>
      <w:r>
        <w:rPr>
          <w:rFonts w:hint="default" w:ascii="仿宋" w:hAnsi="仿宋" w:eastAsia="仿宋" w:cs="仿宋"/>
          <w:b w:val="0"/>
          <w:bCs w:val="0"/>
          <w:color w:val="auto"/>
          <w:kern w:val="0"/>
          <w:sz w:val="24"/>
        </w:rPr>
        <w:t>乙方同意根据合同约定，在XX项目/XX工程的设备供货中，设备满足本项目/工程内容的全部要求，</w:t>
      </w:r>
      <w:r>
        <w:rPr>
          <w:rFonts w:hint="eastAsia" w:ascii="仿宋" w:hAnsi="仿宋" w:eastAsia="仿宋" w:cs="仿宋"/>
          <w:b w:val="0"/>
          <w:color w:val="auto"/>
          <w:kern w:val="0"/>
          <w:sz w:val="24"/>
        </w:rPr>
        <w:t>本工程内容包括：设计、制造、运输、指导安装调试、完工、保证测试、试运行及缺陷责任期内的质量保证，以及与为完成该工程有关的其它所有</w:t>
      </w:r>
      <w:r>
        <w:rPr>
          <w:rFonts w:hint="default" w:ascii="仿宋" w:hAnsi="仿宋" w:eastAsia="仿宋" w:cs="仿宋"/>
          <w:b w:val="0"/>
          <w:color w:val="auto"/>
          <w:kern w:val="0"/>
          <w:sz w:val="24"/>
        </w:rPr>
        <w:t>应由设备供应商承担的</w:t>
      </w:r>
      <w:r>
        <w:rPr>
          <w:rFonts w:hint="eastAsia" w:ascii="仿宋" w:hAnsi="仿宋" w:eastAsia="仿宋" w:cs="仿宋"/>
          <w:b w:val="0"/>
          <w:color w:val="auto"/>
          <w:kern w:val="0"/>
          <w:sz w:val="24"/>
        </w:rPr>
        <w:t>工作。</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lang w:eastAsia="zh-CN"/>
        </w:rPr>
      </w:pPr>
      <w:r>
        <w:rPr>
          <w:rFonts w:hint="eastAsia" w:ascii="仿宋" w:hAnsi="仿宋" w:eastAsia="仿宋" w:cs="仿宋"/>
          <w:b w:val="0"/>
          <w:color w:val="auto"/>
          <w:kern w:val="0"/>
          <w:sz w:val="24"/>
        </w:rPr>
        <w:t>2.1.2工程量价款清单</w:t>
      </w:r>
      <w:r>
        <w:rPr>
          <w:rFonts w:hint="eastAsia" w:ascii="仿宋" w:hAnsi="仿宋" w:eastAsia="仿宋" w:cs="仿宋"/>
          <w:b w:val="0"/>
          <w:color w:val="auto"/>
          <w:kern w:val="0"/>
          <w:sz w:val="24"/>
          <w:lang w:val="en-US" w:eastAsia="zh-CN"/>
        </w:rPr>
        <w:t>详</w:t>
      </w:r>
      <w:r>
        <w:rPr>
          <w:rFonts w:hint="eastAsia" w:ascii="仿宋" w:hAnsi="仿宋" w:eastAsia="仿宋" w:cs="仿宋"/>
          <w:b w:val="0"/>
          <w:color w:val="auto"/>
          <w:kern w:val="0"/>
          <w:sz w:val="24"/>
        </w:rPr>
        <w:t>见合同附件</w:t>
      </w:r>
      <w:r>
        <w:rPr>
          <w:rFonts w:hint="eastAsia" w:ascii="仿宋" w:hAnsi="仿宋" w:eastAsia="仿宋" w:cs="仿宋"/>
          <w:b w:val="0"/>
          <w:color w:val="auto"/>
          <w:kern w:val="0"/>
          <w:sz w:val="24"/>
          <w:lang w:val="en-US" w:eastAsia="zh-CN"/>
        </w:rPr>
        <w:t>一</w:t>
      </w:r>
      <w:r>
        <w:rPr>
          <w:rFonts w:hint="eastAsia" w:ascii="仿宋" w:hAnsi="仿宋" w:eastAsia="仿宋" w:cs="仿宋"/>
          <w:color w:val="auto"/>
          <w:u w:val="none"/>
        </w:rPr>
        <w:t>。</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2.2范围调整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highlight w:val="yellow"/>
        </w:rPr>
      </w:pPr>
      <w:r>
        <w:rPr>
          <w:rFonts w:hint="eastAsia" w:ascii="仿宋" w:hAnsi="仿宋" w:eastAsia="仿宋" w:cs="仿宋"/>
          <w:b w:val="0"/>
          <w:color w:val="auto"/>
          <w:kern w:val="0"/>
          <w:sz w:val="24"/>
        </w:rPr>
        <w:t>2.2.1甲、乙双方同意：合同</w:t>
      </w:r>
      <w:r>
        <w:rPr>
          <w:rFonts w:hint="eastAsia" w:ascii="仿宋" w:hAnsi="仿宋" w:eastAsia="仿宋" w:cs="仿宋"/>
          <w:b w:val="0"/>
          <w:color w:val="auto"/>
          <w:kern w:val="0"/>
          <w:sz w:val="24"/>
          <w:lang w:val="en-US" w:eastAsia="zh-CN"/>
        </w:rPr>
        <w:t>结算</w:t>
      </w:r>
      <w:r>
        <w:rPr>
          <w:rFonts w:hint="eastAsia" w:ascii="仿宋" w:hAnsi="仿宋" w:eastAsia="仿宋" w:cs="仿宋"/>
          <w:b w:val="0"/>
          <w:color w:val="auto"/>
          <w:kern w:val="0"/>
          <w:sz w:val="24"/>
        </w:rPr>
        <w:t>总价应根据</w:t>
      </w:r>
      <w:r>
        <w:rPr>
          <w:rFonts w:hint="eastAsia" w:ascii="仿宋" w:hAnsi="仿宋" w:eastAsia="仿宋" w:cs="仿宋"/>
          <w:b w:val="0"/>
          <w:color w:val="auto"/>
          <w:kern w:val="0"/>
          <w:sz w:val="24"/>
          <w:lang w:eastAsia="zh-CN"/>
        </w:rPr>
        <w:t>X</w:t>
      </w:r>
      <w:r>
        <w:rPr>
          <w:rFonts w:hint="eastAsia" w:ascii="仿宋" w:hAnsi="仿宋" w:eastAsia="仿宋" w:cs="仿宋"/>
          <w:b w:val="0"/>
          <w:color w:val="auto"/>
          <w:kern w:val="0"/>
          <w:sz w:val="24"/>
          <w:lang w:val="en-US" w:eastAsia="zh-CN"/>
        </w:rPr>
        <w:t>XX</w:t>
      </w:r>
      <w:r>
        <w:rPr>
          <w:rFonts w:hint="eastAsia" w:ascii="仿宋" w:hAnsi="仿宋" w:eastAsia="仿宋" w:cs="仿宋"/>
          <w:b w:val="0"/>
          <w:color w:val="auto"/>
          <w:kern w:val="0"/>
          <w:sz w:val="24"/>
        </w:rPr>
        <w:t>项目业主方依工程实际情况最终确定的货物数量、种类，按照合同单价确定</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若结算总价与合同金额不一致，应先按《首讯公司工程变更及计量支付管理细则》规定进行合同变更流程或签订补充合同后</w:t>
      </w:r>
      <w:r>
        <w:rPr>
          <w:rFonts w:hint="eastAsia" w:ascii="仿宋" w:hAnsi="仿宋" w:eastAsia="仿宋" w:cs="仿宋"/>
          <w:b w:val="0"/>
          <w:color w:val="auto"/>
          <w:kern w:val="0"/>
          <w:sz w:val="24"/>
          <w:highlight w:val="none"/>
          <w:lang w:val="en-US" w:eastAsia="zh-CN"/>
        </w:rPr>
        <w:t>据实结算。</w:t>
      </w:r>
    </w:p>
    <w:p>
      <w:pPr>
        <w:tabs>
          <w:tab w:val="left" w:pos="2880"/>
          <w:tab w:val="left" w:pos="7020"/>
        </w:tabs>
        <w:spacing w:line="360" w:lineRule="auto"/>
        <w:ind w:right="178" w:rightChars="85" w:firstLine="480" w:firstLineChars="200"/>
        <w:rPr>
          <w:rFonts w:hint="eastAsia" w:ascii="仿宋" w:hAnsi="仿宋" w:eastAsia="仿宋" w:cs="仿宋"/>
          <w:b w:val="0"/>
          <w:bCs w:val="0"/>
          <w:color w:val="auto"/>
          <w:kern w:val="0"/>
          <w:sz w:val="24"/>
          <w:lang w:val="en-US" w:eastAsia="zh-CN"/>
        </w:rPr>
      </w:pPr>
      <w:r>
        <w:rPr>
          <w:rFonts w:hint="eastAsia" w:ascii="仿宋" w:hAnsi="仿宋" w:eastAsia="仿宋" w:cs="仿宋"/>
          <w:b w:val="0"/>
          <w:bCs w:val="0"/>
          <w:color w:val="auto"/>
          <w:kern w:val="0"/>
          <w:sz w:val="24"/>
        </w:rPr>
        <w:t>2.2.2本合同单价为固定综合单价，所有按标书要求或隐含于合同所要求功能下的，而未列入本合同附件一工程量清单中的设备、材料或服务，均应视为已含在合同</w:t>
      </w:r>
      <w:r>
        <w:rPr>
          <w:rFonts w:hint="eastAsia" w:ascii="仿宋" w:hAnsi="仿宋" w:eastAsia="仿宋" w:cs="仿宋"/>
          <w:b w:val="0"/>
          <w:bCs w:val="0"/>
          <w:color w:val="auto"/>
          <w:kern w:val="0"/>
          <w:sz w:val="24"/>
          <w:lang w:val="en-US" w:eastAsia="zh-CN"/>
        </w:rPr>
        <w:t>综合单价中。</w:t>
      </w:r>
    </w:p>
    <w:p>
      <w:pPr>
        <w:tabs>
          <w:tab w:val="left" w:pos="2880"/>
          <w:tab w:val="left" w:pos="7020"/>
        </w:tabs>
        <w:spacing w:line="360" w:lineRule="auto"/>
        <w:ind w:right="178" w:rightChars="85" w:firstLine="482" w:firstLineChars="200"/>
        <w:rPr>
          <w:rFonts w:hint="eastAsia" w:ascii="仿宋" w:hAnsi="仿宋" w:eastAsia="仿宋" w:cs="仿宋"/>
          <w:b/>
          <w:bCs/>
          <w:color w:val="auto"/>
          <w:kern w:val="0"/>
          <w:sz w:val="24"/>
        </w:rPr>
      </w:pPr>
      <w:r>
        <w:rPr>
          <w:rFonts w:hint="eastAsia" w:ascii="仿宋" w:hAnsi="仿宋" w:eastAsia="仿宋" w:cs="仿宋"/>
          <w:b/>
          <w:bCs/>
          <w:color w:val="auto"/>
          <w:kern w:val="0"/>
          <w:sz w:val="24"/>
        </w:rPr>
        <w:t>第</w:t>
      </w:r>
      <w:r>
        <w:rPr>
          <w:rFonts w:hint="eastAsia" w:ascii="仿宋" w:hAnsi="仿宋" w:eastAsia="仿宋" w:cs="仿宋"/>
          <w:b/>
          <w:bCs/>
          <w:color w:val="auto"/>
          <w:kern w:val="0"/>
          <w:sz w:val="24"/>
          <w:lang w:val="en-US" w:eastAsia="zh-CN"/>
        </w:rPr>
        <w:t>三</w:t>
      </w:r>
      <w:r>
        <w:rPr>
          <w:rFonts w:hint="eastAsia" w:ascii="仿宋" w:hAnsi="仿宋" w:eastAsia="仿宋" w:cs="仿宋"/>
          <w:b/>
          <w:bCs/>
          <w:color w:val="auto"/>
          <w:kern w:val="0"/>
          <w:sz w:val="24"/>
        </w:rPr>
        <w:t>章 合同价及付款方式</w:t>
      </w:r>
    </w:p>
    <w:p>
      <w:pPr>
        <w:pStyle w:val="37"/>
        <w:spacing w:before="0" w:beforeAutospacing="0" w:after="0" w:afterAutospacing="0" w:line="400" w:lineRule="exact"/>
        <w:ind w:firstLine="480" w:firstLineChars="200"/>
        <w:jc w:val="both"/>
        <w:rPr>
          <w:rFonts w:hint="eastAsia" w:ascii="仿宋" w:hAnsi="仿宋" w:eastAsia="仿宋" w:cs="仿宋"/>
          <w:color w:val="auto"/>
        </w:rPr>
      </w:pPr>
      <w:r>
        <w:rPr>
          <w:rFonts w:hint="eastAsia" w:ascii="仿宋" w:hAnsi="仿宋" w:eastAsia="仿宋" w:cs="仿宋"/>
          <w:color w:val="auto"/>
          <w:lang w:val="en-US" w:eastAsia="zh-CN"/>
        </w:rPr>
        <w:t>3</w:t>
      </w:r>
      <w:r>
        <w:rPr>
          <w:rFonts w:hint="eastAsia" w:ascii="仿宋" w:hAnsi="仿宋" w:eastAsia="仿宋" w:cs="仿宋"/>
          <w:color w:val="auto"/>
        </w:rPr>
        <w:t>.</w:t>
      </w:r>
      <w:r>
        <w:rPr>
          <w:rFonts w:hint="eastAsia" w:ascii="仿宋" w:hAnsi="仿宋" w:eastAsia="仿宋" w:cs="仿宋"/>
          <w:color w:val="auto"/>
          <w:lang w:val="en-US" w:eastAsia="zh-CN"/>
        </w:rPr>
        <w:t>1</w:t>
      </w:r>
      <w:r>
        <w:rPr>
          <w:rFonts w:hint="eastAsia" w:ascii="仿宋" w:hAnsi="仿宋" w:eastAsia="仿宋" w:cs="仿宋"/>
          <w:color w:val="auto"/>
        </w:rPr>
        <w:t>合同价</w:t>
      </w:r>
    </w:p>
    <w:p>
      <w:pPr>
        <w:pStyle w:val="37"/>
        <w:spacing w:before="0" w:beforeAutospacing="0" w:after="0" w:afterAutospacing="0" w:line="400" w:lineRule="exact"/>
        <w:ind w:firstLine="480" w:firstLineChars="200"/>
        <w:jc w:val="both"/>
        <w:rPr>
          <w:rFonts w:hint="eastAsia" w:ascii="仿宋" w:hAnsi="仿宋" w:eastAsia="仿宋" w:cs="仿宋"/>
          <w:color w:val="auto"/>
          <w:lang w:val="en-US" w:eastAsia="zh-CN"/>
        </w:rPr>
      </w:pPr>
      <w:r>
        <w:rPr>
          <w:rFonts w:hint="eastAsia" w:ascii="仿宋" w:hAnsi="仿宋" w:eastAsia="仿宋" w:cs="仿宋"/>
          <w:color w:val="auto"/>
          <w:u w:val="none"/>
        </w:rPr>
        <w:t>本合同</w:t>
      </w:r>
      <w:r>
        <w:rPr>
          <w:rFonts w:hint="eastAsia" w:ascii="仿宋" w:hAnsi="仿宋" w:eastAsia="仿宋" w:cs="仿宋"/>
          <w:color w:val="auto"/>
          <w:u w:val="none"/>
          <w:lang w:val="en-US" w:eastAsia="zh-CN"/>
        </w:rPr>
        <w:t>暂定</w:t>
      </w:r>
      <w:r>
        <w:rPr>
          <w:rFonts w:hint="eastAsia" w:ascii="仿宋" w:hAnsi="仿宋" w:eastAsia="仿宋" w:cs="仿宋"/>
          <w:color w:val="auto"/>
          <w:u w:val="none"/>
        </w:rPr>
        <w:t>含税总金额为￥</w:t>
      </w:r>
      <w:r>
        <w:rPr>
          <w:rFonts w:hint="eastAsia" w:ascii="仿宋" w:hAnsi="仿宋" w:eastAsia="仿宋" w:cs="仿宋"/>
          <w:color w:val="auto"/>
          <w:u w:val="none"/>
          <w:lang w:val="en-US" w:eastAsia="zh-CN"/>
        </w:rPr>
        <w:t>XXX</w:t>
      </w:r>
      <w:r>
        <w:rPr>
          <w:rFonts w:hint="eastAsia" w:ascii="仿宋" w:hAnsi="仿宋" w:eastAsia="仿宋" w:cs="仿宋"/>
          <w:color w:val="auto"/>
          <w:u w:val="none"/>
        </w:rPr>
        <w:t>元（大写：人民币</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），其中不含税金额为￥</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元（大写：人民币</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），税金为￥</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元（大写：人民币</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XX</w:t>
      </w:r>
      <w:r>
        <w:rPr>
          <w:rFonts w:hint="eastAsia" w:ascii="仿宋" w:hAnsi="仿宋" w:eastAsia="仿宋" w:cs="仿宋"/>
          <w:color w:val="auto"/>
          <w:u w:val="none"/>
        </w:rPr>
        <w:t>），税率为</w:t>
      </w:r>
      <w:r>
        <w:rPr>
          <w:rFonts w:hint="eastAsia" w:ascii="仿宋" w:hAnsi="仿宋" w:eastAsia="仿宋" w:cs="仿宋"/>
          <w:color w:val="auto"/>
          <w:u w:val="none"/>
          <w:lang w:eastAsia="zh-CN"/>
        </w:rPr>
        <w:t>X</w:t>
      </w:r>
      <w:r>
        <w:rPr>
          <w:rFonts w:hint="eastAsia" w:ascii="仿宋" w:hAnsi="仿宋" w:eastAsia="仿宋" w:cs="仿宋"/>
          <w:color w:val="auto"/>
          <w:u w:val="none"/>
          <w:lang w:val="en-US" w:eastAsia="zh-CN"/>
        </w:rPr>
        <w:t>X</w:t>
      </w:r>
      <w:r>
        <w:rPr>
          <w:rFonts w:hint="eastAsia" w:ascii="仿宋" w:hAnsi="仿宋" w:eastAsia="仿宋" w:cs="仿宋"/>
          <w:color w:val="auto"/>
          <w:u w:val="none"/>
        </w:rPr>
        <w:t>%的增值税专用发票。</w:t>
      </w:r>
      <w:r>
        <w:rPr>
          <w:rFonts w:hint="eastAsia" w:ascii="仿宋" w:hAnsi="仿宋" w:eastAsia="仿宋" w:cs="仿宋"/>
          <w:color w:val="auto"/>
          <w:lang w:val="en-US" w:eastAsia="zh-CN"/>
        </w:rPr>
        <w:t>在合同执行过程中，如因国家税务政策调整，当增值税税率提高，本合同含税总价不变；当增值税税率降低，本合同不含税总价不变，并相应减少增值税金额。</w:t>
      </w:r>
    </w:p>
    <w:p>
      <w:pPr>
        <w:pStyle w:val="37"/>
        <w:spacing w:before="0" w:beforeAutospacing="0" w:after="0" w:afterAutospacing="0"/>
        <w:ind w:firstLine="480" w:firstLineChars="200"/>
        <w:rPr>
          <w:rFonts w:hint="eastAsia" w:ascii="仿宋" w:hAnsi="仿宋" w:eastAsia="仿宋" w:cs="仿宋"/>
          <w:bCs w:val="0"/>
          <w:color w:val="auto"/>
          <w:kern w:val="0"/>
          <w:sz w:val="24"/>
          <w:szCs w:val="24"/>
        </w:rPr>
      </w:pPr>
      <w:r>
        <w:rPr>
          <w:rFonts w:hint="eastAsia" w:ascii="仿宋" w:hAnsi="仿宋" w:eastAsia="仿宋" w:cs="仿宋"/>
          <w:bCs w:val="0"/>
          <w:color w:val="auto"/>
          <w:kern w:val="0"/>
          <w:sz w:val="24"/>
          <w:szCs w:val="24"/>
          <w:lang w:val="en-US" w:eastAsia="zh-CN"/>
        </w:rPr>
        <w:t>3.2</w:t>
      </w:r>
      <w:r>
        <w:rPr>
          <w:rFonts w:hint="eastAsia" w:ascii="仿宋" w:hAnsi="仿宋" w:eastAsia="仿宋" w:cs="仿宋"/>
          <w:color w:val="auto"/>
        </w:rPr>
        <w:t>合同费用组成</w:t>
      </w:r>
    </w:p>
    <w:p>
      <w:pPr>
        <w:pStyle w:val="37"/>
        <w:spacing w:before="0" w:beforeAutospacing="0" w:after="0" w:afterAutospacing="0"/>
        <w:ind w:firstLine="480" w:firstLineChars="200"/>
        <w:rPr>
          <w:rFonts w:hint="eastAsia" w:ascii="仿宋" w:hAnsi="仿宋" w:eastAsia="仿宋" w:cs="仿宋"/>
          <w:bCs w:val="0"/>
          <w:color w:val="auto"/>
          <w:kern w:val="0"/>
          <w:sz w:val="24"/>
          <w:szCs w:val="24"/>
        </w:rPr>
      </w:pPr>
      <w:r>
        <w:rPr>
          <w:rFonts w:hint="eastAsia" w:ascii="仿宋" w:hAnsi="仿宋" w:eastAsia="仿宋" w:cs="仿宋"/>
          <w:bCs w:val="0"/>
          <w:color w:val="auto"/>
          <w:kern w:val="0"/>
          <w:sz w:val="24"/>
          <w:szCs w:val="24"/>
          <w:lang w:val="en-US" w:eastAsia="zh-CN"/>
        </w:rPr>
        <w:t>本合同费用包含</w:t>
      </w:r>
      <w:r>
        <w:rPr>
          <w:rFonts w:hint="eastAsia" w:ascii="仿宋" w:hAnsi="仿宋" w:eastAsia="仿宋" w:cs="仿宋"/>
          <w:bCs w:val="0"/>
          <w:color w:val="auto"/>
          <w:kern w:val="0"/>
          <w:sz w:val="24"/>
          <w:szCs w:val="24"/>
        </w:rPr>
        <w:t>设备费、</w:t>
      </w:r>
      <w:r>
        <w:rPr>
          <w:rFonts w:hint="default" w:ascii="仿宋" w:hAnsi="仿宋" w:eastAsia="仿宋" w:cs="仿宋"/>
          <w:bCs w:val="0"/>
          <w:color w:val="auto"/>
          <w:kern w:val="0"/>
          <w:sz w:val="24"/>
          <w:szCs w:val="24"/>
        </w:rPr>
        <w:t>设备安装附件的费用、</w:t>
      </w:r>
      <w:r>
        <w:rPr>
          <w:rFonts w:hint="eastAsia" w:ascii="仿宋" w:hAnsi="仿宋" w:eastAsia="仿宋" w:cs="仿宋"/>
          <w:bCs w:val="0"/>
          <w:color w:val="auto"/>
          <w:kern w:val="0"/>
          <w:sz w:val="24"/>
          <w:szCs w:val="24"/>
        </w:rPr>
        <w:t>包装费、</w:t>
      </w:r>
      <w:r>
        <w:rPr>
          <w:rFonts w:hint="eastAsia" w:ascii="仿宋" w:hAnsi="仿宋" w:eastAsia="仿宋" w:cs="仿宋"/>
          <w:color w:val="auto"/>
        </w:rPr>
        <w:t>质检（自检）</w:t>
      </w:r>
      <w:r>
        <w:rPr>
          <w:rFonts w:hint="eastAsia" w:ascii="仿宋" w:hAnsi="仿宋" w:eastAsia="仿宋" w:cs="仿宋"/>
          <w:color w:val="auto"/>
          <w:lang w:eastAsia="zh-CN"/>
        </w:rPr>
        <w:t>、</w:t>
      </w:r>
      <w:r>
        <w:rPr>
          <w:rFonts w:hint="eastAsia" w:ascii="仿宋" w:hAnsi="仿宋" w:eastAsia="仿宋" w:cs="仿宋"/>
          <w:color w:val="auto"/>
        </w:rPr>
        <w:t>税费、利润</w:t>
      </w:r>
      <w:r>
        <w:rPr>
          <w:rFonts w:hint="eastAsia" w:ascii="仿宋" w:hAnsi="仿宋" w:eastAsia="仿宋" w:cs="仿宋"/>
          <w:bCs w:val="0"/>
          <w:color w:val="auto"/>
          <w:kern w:val="0"/>
          <w:sz w:val="24"/>
          <w:szCs w:val="24"/>
        </w:rPr>
        <w:t>、</w:t>
      </w:r>
      <w:r>
        <w:rPr>
          <w:rFonts w:hint="eastAsia" w:ascii="仿宋" w:hAnsi="仿宋" w:eastAsia="仿宋" w:cs="仿宋"/>
          <w:color w:val="auto"/>
        </w:rPr>
        <w:t>运输、过路过桥费、</w:t>
      </w:r>
      <w:r>
        <w:rPr>
          <w:rFonts w:hint="eastAsia" w:ascii="仿宋" w:hAnsi="仿宋" w:eastAsia="仿宋" w:cs="仿宋"/>
          <w:color w:val="auto"/>
          <w:lang w:val="en-US" w:eastAsia="zh-CN"/>
        </w:rPr>
        <w:t>装运、</w:t>
      </w:r>
      <w:r>
        <w:rPr>
          <w:rFonts w:hint="eastAsia" w:ascii="仿宋" w:hAnsi="仿宋" w:eastAsia="仿宋" w:cs="仿宋"/>
          <w:bCs w:val="0"/>
          <w:color w:val="auto"/>
          <w:kern w:val="0"/>
          <w:sz w:val="24"/>
          <w:szCs w:val="24"/>
        </w:rPr>
        <w:t>保险费、厂验费、派技术人员到现场指导安装、指导调试、技术培训、缺陷责任期的维护</w:t>
      </w:r>
      <w:r>
        <w:rPr>
          <w:rFonts w:hint="eastAsia" w:ascii="仿宋" w:hAnsi="仿宋" w:eastAsia="仿宋" w:cs="仿宋"/>
          <w:bCs w:val="0"/>
          <w:color w:val="auto"/>
          <w:kern w:val="0"/>
          <w:sz w:val="24"/>
          <w:szCs w:val="24"/>
          <w:lang w:val="en-US" w:eastAsia="zh-CN"/>
        </w:rPr>
        <w:t>修复</w:t>
      </w:r>
      <w:r>
        <w:rPr>
          <w:rFonts w:hint="eastAsia" w:ascii="仿宋" w:hAnsi="仿宋" w:eastAsia="仿宋" w:cs="仿宋"/>
          <w:bCs w:val="0"/>
          <w:color w:val="auto"/>
          <w:kern w:val="0"/>
          <w:sz w:val="24"/>
          <w:szCs w:val="24"/>
        </w:rPr>
        <w:t>等一切费用</w:t>
      </w:r>
      <w:r>
        <w:rPr>
          <w:rFonts w:hint="eastAsia" w:ascii="仿宋" w:hAnsi="仿宋" w:eastAsia="仿宋" w:cs="仿宋"/>
          <w:color w:val="auto"/>
        </w:rPr>
        <w:t>。</w:t>
      </w:r>
    </w:p>
    <w:p>
      <w:pPr>
        <w:spacing w:before="0" w:beforeAutospacing="0" w:after="120" w:afterAutospacing="0"/>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lang w:eastAsia="zh-CN"/>
        </w:rPr>
        <w:t>3</w:t>
      </w:r>
      <w:r>
        <w:rPr>
          <w:rFonts w:hint="eastAsia" w:ascii="仿宋" w:hAnsi="仿宋" w:eastAsia="仿宋" w:cs="仿宋"/>
          <w:color w:val="auto"/>
          <w:kern w:val="0"/>
          <w:sz w:val="24"/>
        </w:rPr>
        <w:t>.</w:t>
      </w:r>
      <w:r>
        <w:rPr>
          <w:rFonts w:hint="eastAsia" w:ascii="仿宋" w:hAnsi="仿宋" w:eastAsia="仿宋" w:cs="仿宋"/>
          <w:color w:val="auto"/>
          <w:kern w:val="0"/>
          <w:sz w:val="24"/>
          <w:lang w:eastAsia="zh-CN"/>
        </w:rPr>
        <w:t>3</w:t>
      </w:r>
      <w:r>
        <w:rPr>
          <w:rFonts w:hint="eastAsia" w:ascii="仿宋" w:hAnsi="仿宋" w:eastAsia="仿宋" w:cs="仿宋"/>
          <w:color w:val="auto"/>
          <w:kern w:val="0"/>
          <w:sz w:val="24"/>
        </w:rPr>
        <w:t>合同内的供货设备数量发生变化，</w:t>
      </w:r>
      <w:r>
        <w:rPr>
          <w:rFonts w:hint="eastAsia" w:ascii="仿宋" w:hAnsi="仿宋" w:eastAsia="仿宋" w:cs="仿宋"/>
          <w:color w:val="auto"/>
          <w:kern w:val="0"/>
          <w:sz w:val="24"/>
          <w:lang w:val="en-US" w:eastAsia="zh-CN"/>
        </w:rPr>
        <w:t>应</w:t>
      </w:r>
      <w:r>
        <w:rPr>
          <w:rFonts w:hint="eastAsia" w:ascii="仿宋" w:hAnsi="仿宋" w:eastAsia="仿宋" w:cs="仿宋"/>
          <w:b w:val="0"/>
          <w:color w:val="auto"/>
          <w:kern w:val="0"/>
          <w:sz w:val="24"/>
          <w:lang w:val="en-US" w:eastAsia="zh-CN"/>
        </w:rPr>
        <w:t>《首讯公司工程变更及计量支付管理细则》规定进行合同变更流程或签订补充合同后</w:t>
      </w:r>
      <w:r>
        <w:rPr>
          <w:rFonts w:hint="eastAsia" w:ascii="仿宋" w:hAnsi="仿宋" w:eastAsia="仿宋" w:cs="仿宋"/>
          <w:b w:val="0"/>
          <w:color w:val="auto"/>
          <w:kern w:val="0"/>
          <w:sz w:val="24"/>
          <w:highlight w:val="none"/>
          <w:lang w:val="en-US" w:eastAsia="zh-CN"/>
        </w:rPr>
        <w:t>据实结算</w:t>
      </w:r>
      <w:r>
        <w:rPr>
          <w:rFonts w:hint="eastAsia" w:ascii="仿宋" w:hAnsi="仿宋" w:eastAsia="仿宋" w:cs="仿宋"/>
          <w:color w:val="auto"/>
          <w:kern w:val="0"/>
          <w:sz w:val="24"/>
        </w:rPr>
        <w:t>。</w:t>
      </w:r>
    </w:p>
    <w:p>
      <w:pPr>
        <w:pStyle w:val="2"/>
        <w:rPr>
          <w:rFonts w:hint="default" w:eastAsia="仿宋"/>
          <w:color w:val="auto"/>
          <w:lang w:val="en-US" w:eastAsia="zh-CN"/>
        </w:rPr>
      </w:pPr>
      <w:r>
        <w:rPr>
          <w:rFonts w:hint="eastAsia" w:ascii="仿宋" w:hAnsi="仿宋" w:eastAsia="仿宋" w:cs="仿宋"/>
          <w:color w:val="auto"/>
          <w:kern w:val="0"/>
          <w:sz w:val="24"/>
          <w:lang w:val="en-US" w:eastAsia="zh-CN"/>
        </w:rPr>
        <w:t xml:space="preserve">    3.4付款方式包含但不限于银行转账，银行承兑汇票等方式。</w:t>
      </w:r>
    </w:p>
    <w:p>
      <w:pPr>
        <w:pStyle w:val="37"/>
        <w:spacing w:before="0" w:beforeAutospacing="0" w:after="0" w:afterAutospacing="0"/>
        <w:ind w:firstLine="480" w:firstLineChars="200"/>
        <w:rPr>
          <w:rFonts w:hint="eastAsia" w:ascii="Times New Roman" w:hAnsi="Times New Roman" w:eastAsia="宋体" w:cs="Times New Roman"/>
          <w:color w:val="auto"/>
        </w:rPr>
      </w:pPr>
      <w:r>
        <w:rPr>
          <w:rFonts w:hint="eastAsia" w:ascii="仿宋" w:hAnsi="仿宋" w:eastAsia="仿宋" w:cs="仿宋"/>
          <w:color w:val="auto"/>
          <w:lang w:val="en-US" w:eastAsia="zh-CN"/>
        </w:rPr>
        <w:t>3</w:t>
      </w:r>
      <w:r>
        <w:rPr>
          <w:rFonts w:hint="eastAsia" w:ascii="仿宋" w:hAnsi="仿宋" w:eastAsia="仿宋" w:cs="仿宋"/>
          <w:color w:val="auto"/>
        </w:rPr>
        <w:t>.</w:t>
      </w:r>
      <w:r>
        <w:rPr>
          <w:rFonts w:hint="eastAsia" w:ascii="仿宋" w:hAnsi="仿宋" w:eastAsia="仿宋" w:cs="仿宋"/>
          <w:color w:val="auto"/>
          <w:lang w:val="en-US" w:eastAsia="zh-CN"/>
        </w:rPr>
        <w:t>5</w:t>
      </w:r>
      <w:r>
        <w:rPr>
          <w:rFonts w:hint="eastAsia" w:ascii="仿宋" w:hAnsi="仿宋" w:eastAsia="仿宋" w:cs="仿宋"/>
          <w:color w:val="auto"/>
        </w:rPr>
        <w:t xml:space="preserve"> 乙方应在甲方付款前提交书面申请，并按甲方要求提供对应资料、开具等额增值税专用发票（预付款除外）给甲方，否则甲方有权不予支付相应款项</w:t>
      </w:r>
      <w:r>
        <w:rPr>
          <w:rFonts w:hint="eastAsia" w:ascii="仿宋" w:hAnsi="仿宋" w:eastAsia="仿宋" w:cs="仿宋"/>
          <w:color w:val="auto"/>
          <w:lang w:eastAsia="zh-CN"/>
        </w:rPr>
        <w:t>，</w:t>
      </w:r>
      <w:r>
        <w:rPr>
          <w:rFonts w:hint="eastAsia" w:ascii="仿宋" w:hAnsi="仿宋" w:eastAsia="仿宋" w:cs="仿宋"/>
          <w:color w:val="auto"/>
          <w:lang w:val="en-US" w:eastAsia="zh-CN"/>
        </w:rPr>
        <w:t>直至乙方按要求提交对应申请资料与发票，延期支付责任由乙方自行承担</w:t>
      </w:r>
      <w:r>
        <w:rPr>
          <w:rFonts w:hint="eastAsia" w:ascii="仿宋" w:hAnsi="仿宋" w:eastAsia="仿宋" w:cs="仿宋"/>
          <w:color w:val="auto"/>
        </w:rPr>
        <w:t>。</w:t>
      </w:r>
    </w:p>
    <w:p>
      <w:pPr>
        <w:pStyle w:val="37"/>
        <w:tabs>
          <w:tab w:val="left" w:pos="8168"/>
        </w:tabs>
        <w:spacing w:before="0" w:beforeAutospacing="0" w:after="0" w:afterAutospacing="0" w:line="400" w:lineRule="exact"/>
        <w:ind w:firstLine="480" w:firstLineChars="200"/>
        <w:jc w:val="both"/>
        <w:rPr>
          <w:rFonts w:ascii="仿宋" w:hAnsi="仿宋" w:eastAsia="仿宋" w:cs="仿宋"/>
          <w:color w:val="auto"/>
        </w:rPr>
      </w:pPr>
      <w:r>
        <w:rPr>
          <w:rFonts w:hint="eastAsia" w:ascii="仿宋" w:hAnsi="仿宋" w:eastAsia="仿宋" w:cs="仿宋"/>
          <w:color w:val="auto"/>
          <w:lang w:val="en-US" w:eastAsia="zh-CN"/>
        </w:rPr>
        <w:t>3</w:t>
      </w:r>
      <w:r>
        <w:rPr>
          <w:rFonts w:hint="eastAsia" w:ascii="仿宋" w:hAnsi="仿宋" w:eastAsia="仿宋" w:cs="仿宋"/>
          <w:color w:val="auto"/>
        </w:rPr>
        <w:t>.</w:t>
      </w:r>
      <w:r>
        <w:rPr>
          <w:rFonts w:hint="eastAsia" w:ascii="仿宋" w:hAnsi="仿宋" w:eastAsia="仿宋" w:cs="仿宋"/>
          <w:color w:val="auto"/>
          <w:lang w:val="en-US" w:eastAsia="zh-CN"/>
        </w:rPr>
        <w:t>6</w:t>
      </w:r>
      <w:r>
        <w:rPr>
          <w:rFonts w:hint="eastAsia" w:ascii="仿宋" w:hAnsi="仿宋" w:eastAsia="仿宋" w:cs="仿宋"/>
          <w:color w:val="auto"/>
        </w:rPr>
        <w:t>支付方式</w:t>
      </w:r>
      <w:r>
        <w:rPr>
          <w:rFonts w:hint="eastAsia" w:ascii="仿宋" w:hAnsi="仿宋" w:eastAsia="仿宋" w:cs="仿宋"/>
          <w:color w:val="auto"/>
        </w:rPr>
        <w:tab/>
      </w:r>
    </w:p>
    <w:p>
      <w:pPr>
        <w:pStyle w:val="37"/>
        <w:numPr>
          <w:ilvl w:val="0"/>
          <w:numId w:val="6"/>
        </w:numPr>
        <w:spacing w:before="0" w:beforeAutospacing="0" w:after="0" w:afterAutospacing="0" w:line="400" w:lineRule="exact"/>
        <w:ind w:firstLine="480" w:firstLineChars="200"/>
        <w:jc w:val="both"/>
        <w:rPr>
          <w:rFonts w:ascii="仿宋" w:hAnsi="仿宋" w:eastAsia="仿宋" w:cs="仿宋"/>
          <w:color w:val="auto"/>
        </w:rPr>
      </w:pPr>
      <w:r>
        <w:rPr>
          <w:rFonts w:hint="default" w:ascii="仿宋" w:hAnsi="仿宋" w:eastAsia="仿宋" w:cs="仿宋"/>
          <w:color w:val="auto"/>
          <w:highlight w:val="none"/>
        </w:rPr>
        <w:t>货到现场经验收合格1个月内支付合格货款的80%</w:t>
      </w:r>
      <w:r>
        <w:rPr>
          <w:rFonts w:hint="eastAsia" w:ascii="仿宋" w:hAnsi="仿宋" w:eastAsia="仿宋" w:cs="仿宋"/>
          <w:color w:val="auto"/>
          <w:szCs w:val="24"/>
          <w:highlight w:val="none"/>
          <w:lang w:eastAsia="zh-CN"/>
        </w:rPr>
        <w:t>；</w:t>
      </w:r>
    </w:p>
    <w:p>
      <w:pPr>
        <w:pStyle w:val="37"/>
        <w:spacing w:before="0" w:beforeAutospacing="0" w:after="0" w:afterAutospacing="0" w:line="400" w:lineRule="exact"/>
        <w:ind w:firstLine="480" w:firstLineChars="200"/>
        <w:jc w:val="both"/>
        <w:rPr>
          <w:rFonts w:ascii="仿宋" w:hAnsi="仿宋" w:eastAsia="仿宋" w:cs="仿宋"/>
          <w:color w:val="auto"/>
          <w:highlight w:val="none"/>
        </w:rPr>
      </w:pPr>
      <w:r>
        <w:rPr>
          <w:rFonts w:hint="eastAsia" w:ascii="仿宋" w:hAnsi="仿宋" w:eastAsia="仿宋" w:cs="仿宋"/>
          <w:color w:val="auto"/>
          <w:highlight w:val="none"/>
        </w:rPr>
        <w:t>（</w:t>
      </w:r>
      <w:r>
        <w:rPr>
          <w:rFonts w:ascii="仿宋" w:hAnsi="仿宋" w:eastAsia="仿宋" w:cs="仿宋"/>
          <w:color w:val="auto"/>
          <w:highlight w:val="none"/>
        </w:rPr>
        <w:t>2）</w:t>
      </w:r>
      <w:r>
        <w:rPr>
          <w:rFonts w:hint="eastAsia" w:ascii="仿宋" w:hAnsi="仿宋" w:eastAsia="仿宋" w:cs="仿宋"/>
          <w:color w:val="auto"/>
          <w:highlight w:val="none"/>
        </w:rPr>
        <w:t>通车后一个月内支付到合格货款的97%；</w:t>
      </w:r>
    </w:p>
    <w:p>
      <w:pPr>
        <w:pStyle w:val="37"/>
        <w:spacing w:before="0" w:beforeAutospacing="0" w:after="0" w:afterAutospacing="0" w:line="400" w:lineRule="exact"/>
        <w:ind w:firstLine="480" w:firstLineChars="200"/>
        <w:jc w:val="both"/>
        <w:rPr>
          <w:rFonts w:ascii="仿宋" w:hAnsi="仿宋" w:eastAsia="仿宋" w:cs="仿宋"/>
          <w:color w:val="auto"/>
          <w:highlight w:val="none"/>
        </w:rPr>
      </w:pPr>
      <w:r>
        <w:rPr>
          <w:rFonts w:hint="eastAsia" w:ascii="仿宋" w:hAnsi="仿宋" w:eastAsia="仿宋" w:cs="仿宋"/>
          <w:color w:val="auto"/>
          <w:highlight w:val="none"/>
        </w:rPr>
        <w:t>（</w:t>
      </w:r>
      <w:r>
        <w:rPr>
          <w:rFonts w:ascii="仿宋" w:hAnsi="仿宋" w:eastAsia="仿宋" w:cs="仿宋"/>
          <w:color w:val="auto"/>
          <w:highlight w:val="none"/>
        </w:rPr>
        <w:t>3</w:t>
      </w:r>
      <w:r>
        <w:rPr>
          <w:rFonts w:hint="eastAsia" w:ascii="仿宋" w:hAnsi="仿宋" w:eastAsia="仿宋" w:cs="仿宋"/>
          <w:color w:val="auto"/>
          <w:highlight w:val="none"/>
        </w:rPr>
        <w:t>）交工验收合格后三个月内支付到合格货款的100%。</w:t>
      </w:r>
    </w:p>
    <w:p>
      <w:pPr>
        <w:tabs>
          <w:tab w:val="left" w:pos="2880"/>
          <w:tab w:val="left" w:pos="7020"/>
        </w:tabs>
        <w:spacing w:line="360" w:lineRule="auto"/>
        <w:ind w:right="178" w:rightChars="85" w:firstLine="482" w:firstLineChars="200"/>
        <w:rPr>
          <w:rFonts w:hint="eastAsia" w:ascii="仿宋" w:hAnsi="仿宋" w:eastAsia="仿宋" w:cs="仿宋"/>
          <w:b/>
          <w:color w:val="auto"/>
          <w:sz w:val="24"/>
        </w:rPr>
      </w:pPr>
      <w:r>
        <w:rPr>
          <w:rFonts w:hint="eastAsia" w:ascii="仿宋" w:hAnsi="仿宋" w:eastAsia="仿宋" w:cs="仿宋"/>
          <w:b/>
          <w:color w:val="auto"/>
          <w:sz w:val="24"/>
        </w:rPr>
        <w:t>第四章 交货、包装与保险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4.1交货</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u w:val="single"/>
        </w:rPr>
      </w:pPr>
      <w:r>
        <w:rPr>
          <w:rFonts w:hint="eastAsia" w:ascii="仿宋" w:hAnsi="仿宋" w:eastAsia="仿宋" w:cs="仿宋"/>
          <w:b w:val="0"/>
          <w:color w:val="auto"/>
          <w:kern w:val="0"/>
          <w:sz w:val="24"/>
        </w:rPr>
        <w:t>4.1.1 交货地点：</w:t>
      </w:r>
      <w:r>
        <w:rPr>
          <w:rFonts w:hint="eastAsia" w:ascii="仿宋" w:hAnsi="仿宋" w:eastAsia="仿宋" w:cs="仿宋"/>
          <w:b w:val="0"/>
          <w:color w:val="auto"/>
          <w:kern w:val="0"/>
          <w:sz w:val="24"/>
          <w:u w:val="single"/>
          <w:lang w:val="en-US" w:eastAsia="zh-CN"/>
        </w:rPr>
        <w:t>XXXXX</w:t>
      </w:r>
      <w:r>
        <w:rPr>
          <w:rFonts w:hint="eastAsia" w:ascii="仿宋" w:hAnsi="仿宋" w:eastAsia="仿宋" w:cs="仿宋"/>
          <w:b w:val="0"/>
          <w:color w:val="auto"/>
          <w:kern w:val="0"/>
          <w:sz w:val="24"/>
          <w:u w:val="none"/>
          <w:lang w:val="en-US" w:eastAsia="zh-CN"/>
        </w:rPr>
        <w:t>,</w:t>
      </w:r>
      <w:r>
        <w:rPr>
          <w:rFonts w:hint="eastAsia" w:ascii="仿宋" w:hAnsi="仿宋" w:eastAsia="仿宋" w:cs="仿宋"/>
          <w:b w:val="0"/>
          <w:color w:val="auto"/>
          <w:kern w:val="0"/>
          <w:sz w:val="24"/>
        </w:rPr>
        <w:t>收货人：</w:t>
      </w:r>
      <w:r>
        <w:rPr>
          <w:rFonts w:hint="eastAsia" w:ascii="仿宋" w:hAnsi="仿宋" w:eastAsia="仿宋" w:cs="仿宋"/>
          <w:b w:val="0"/>
          <w:color w:val="auto"/>
          <w:kern w:val="0"/>
          <w:sz w:val="24"/>
          <w:u w:val="single"/>
          <w:lang w:eastAsia="zh-CN"/>
        </w:rPr>
        <w:t>X</w:t>
      </w:r>
      <w:r>
        <w:rPr>
          <w:rFonts w:hint="eastAsia" w:ascii="仿宋" w:hAnsi="仿宋" w:eastAsia="仿宋" w:cs="仿宋"/>
          <w:b w:val="0"/>
          <w:color w:val="auto"/>
          <w:kern w:val="0"/>
          <w:sz w:val="24"/>
          <w:u w:val="single"/>
          <w:lang w:val="en-US" w:eastAsia="zh-CN"/>
        </w:rPr>
        <w:t>XX</w:t>
      </w:r>
      <w:r>
        <w:rPr>
          <w:rFonts w:hint="eastAsia" w:ascii="仿宋" w:hAnsi="仿宋" w:eastAsia="仿宋" w:cs="仿宋"/>
          <w:b w:val="0"/>
          <w:color w:val="auto"/>
          <w:kern w:val="0"/>
          <w:sz w:val="24"/>
          <w:u w:val="none"/>
          <w:lang w:val="en-US" w:eastAsia="zh-CN"/>
        </w:rPr>
        <w:t>,电话</w:t>
      </w:r>
      <w:r>
        <w:rPr>
          <w:rFonts w:hint="eastAsia" w:ascii="仿宋" w:hAnsi="仿宋" w:eastAsia="仿宋" w:cs="仿宋"/>
          <w:b w:val="0"/>
          <w:color w:val="auto"/>
          <w:kern w:val="0"/>
          <w:sz w:val="24"/>
        </w:rPr>
        <w:t>：</w:t>
      </w:r>
      <w:r>
        <w:rPr>
          <w:rFonts w:hint="eastAsia" w:ascii="仿宋" w:hAnsi="仿宋" w:eastAsia="仿宋" w:cs="仿宋"/>
          <w:b w:val="0"/>
          <w:color w:val="auto"/>
          <w:kern w:val="0"/>
          <w:sz w:val="24"/>
          <w:u w:val="single"/>
          <w:lang w:val="en-US" w:eastAsia="zh-CN"/>
        </w:rPr>
        <w:t>XXXXXXXXXXXXX</w:t>
      </w:r>
      <w:r>
        <w:rPr>
          <w:rFonts w:hint="eastAsia" w:ascii="仿宋" w:hAnsi="仿宋" w:eastAsia="仿宋" w:cs="仿宋"/>
          <w:b w:val="0"/>
          <w:color w:val="auto"/>
          <w:kern w:val="0"/>
          <w:sz w:val="24"/>
          <w:u w:val="single"/>
        </w:rPr>
        <w:t xml:space="preserve"> </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4.1.2 交货时间：乙方应当在本合同生效后</w:t>
      </w:r>
      <w:r>
        <w:rPr>
          <w:rFonts w:hint="eastAsia" w:ascii="仿宋" w:hAnsi="仿宋" w:eastAsia="仿宋" w:cs="仿宋"/>
          <w:b w:val="0"/>
          <w:color w:val="auto"/>
          <w:kern w:val="0"/>
          <w:sz w:val="24"/>
          <w:u w:val="single"/>
        </w:rPr>
        <w:t>XX</w:t>
      </w:r>
      <w:r>
        <w:rPr>
          <w:rFonts w:hint="eastAsia" w:ascii="仿宋" w:hAnsi="仿宋" w:eastAsia="仿宋" w:cs="仿宋"/>
          <w:b w:val="0"/>
          <w:color w:val="auto"/>
          <w:kern w:val="0"/>
          <w:sz w:val="24"/>
          <w:u w:val="none"/>
        </w:rPr>
        <w:t>日</w:t>
      </w:r>
      <w:r>
        <w:rPr>
          <w:rFonts w:hint="eastAsia" w:ascii="仿宋" w:hAnsi="仿宋" w:eastAsia="仿宋" w:cs="仿宋"/>
          <w:b w:val="0"/>
          <w:color w:val="auto"/>
          <w:kern w:val="0"/>
          <w:sz w:val="24"/>
        </w:rPr>
        <w:t>内将甲方所购设备运至甲方指定地点。</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4.1.3 交货延迟：乙方应按本合同附件</w:t>
      </w:r>
      <w:r>
        <w:rPr>
          <w:rFonts w:hint="eastAsia" w:ascii="仿宋" w:hAnsi="仿宋" w:eastAsia="仿宋" w:cs="仿宋"/>
          <w:b w:val="0"/>
          <w:color w:val="auto"/>
          <w:kern w:val="0"/>
          <w:sz w:val="24"/>
          <w:lang w:val="en-US" w:eastAsia="zh-CN"/>
        </w:rPr>
        <w:t>一</w:t>
      </w:r>
      <w:r>
        <w:rPr>
          <w:rFonts w:hint="eastAsia" w:ascii="仿宋" w:hAnsi="仿宋" w:eastAsia="仿宋" w:cs="仿宋"/>
          <w:b w:val="0"/>
          <w:color w:val="auto"/>
          <w:kern w:val="0"/>
          <w:sz w:val="24"/>
        </w:rPr>
        <w:t>规定的供货范围按时交货。如果乙方未按合同规定的日期按时交货，每延迟5个日历日（不足5日按5日计算），乙方应承担合同额千分之五（5‰）的罚款。甲方有权从当批付款中扣除。如延迟【15】个日历日乙方仍未交货的，甲方有权解除合同。</w:t>
      </w:r>
    </w:p>
    <w:p>
      <w:pPr>
        <w:tabs>
          <w:tab w:val="left" w:pos="2880"/>
          <w:tab w:val="left" w:pos="7020"/>
        </w:tabs>
        <w:spacing w:line="360" w:lineRule="auto"/>
        <w:ind w:right="178" w:rightChars="85" w:firstLine="480" w:firstLineChars="200"/>
        <w:rPr>
          <w:rFonts w:hint="default" w:ascii="仿宋" w:hAnsi="仿宋" w:eastAsia="仿宋" w:cs="仿宋"/>
          <w:b w:val="0"/>
          <w:color w:val="auto"/>
          <w:kern w:val="0"/>
          <w:sz w:val="24"/>
        </w:rPr>
      </w:pPr>
      <w:r>
        <w:rPr>
          <w:rFonts w:hint="default" w:ascii="仿宋" w:hAnsi="仿宋" w:eastAsia="仿宋" w:cs="仿宋"/>
          <w:b w:val="0"/>
          <w:color w:val="auto"/>
          <w:kern w:val="0"/>
          <w:sz w:val="24"/>
        </w:rPr>
        <w:t>4.1.4根据本合同3.1条款的规定，乙方应自行承担本合同项下货物从乙方制造场地到甲方指定交货地点间的一切运输费、保险费、装卸费或其他相关费用。如乙方委托甲方卸货，乙方按照实际发生费用支付甲方卸货费。</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w:t>
      </w:r>
      <w:r>
        <w:rPr>
          <w:rFonts w:hint="default" w:ascii="仿宋" w:hAnsi="仿宋" w:eastAsia="仿宋" w:cs="仿宋"/>
          <w:b w:val="0"/>
          <w:color w:val="auto"/>
          <w:kern w:val="0"/>
          <w:sz w:val="24"/>
        </w:rPr>
        <w:t>5</w:t>
      </w:r>
      <w:r>
        <w:rPr>
          <w:rFonts w:hint="eastAsia" w:ascii="仿宋" w:hAnsi="仿宋" w:eastAsia="仿宋" w:cs="仿宋"/>
          <w:b w:val="0"/>
          <w:color w:val="auto"/>
          <w:kern w:val="0"/>
          <w:sz w:val="24"/>
        </w:rPr>
        <w:t>自合同生效之日起，至设备运至施工现场并经甲方验收合格前，本合同附件中所列设备的风险由乙方承担。设备运至施工现场并经甲方验收合格后，本合同附件中所列设备的风险由甲方承担，同时货物所有权归甲方。</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w:t>
      </w:r>
      <w:r>
        <w:rPr>
          <w:rFonts w:hint="default" w:ascii="仿宋" w:hAnsi="仿宋" w:eastAsia="仿宋" w:cs="仿宋"/>
          <w:b w:val="0"/>
          <w:color w:val="auto"/>
          <w:kern w:val="0"/>
          <w:sz w:val="24"/>
        </w:rPr>
        <w:t>6</w:t>
      </w:r>
      <w:r>
        <w:rPr>
          <w:rFonts w:hint="eastAsia" w:ascii="仿宋" w:hAnsi="仿宋" w:eastAsia="仿宋" w:cs="仿宋"/>
          <w:b w:val="0"/>
          <w:color w:val="auto"/>
          <w:kern w:val="0"/>
          <w:sz w:val="24"/>
        </w:rPr>
        <w:t xml:space="preserve"> 乙方的发货计划必须经过甲方项目部确认。乙方应在设备全部装运完毕后当天，将货运单传真至甲方指定的地点，同时书面通知甲方启运设备的运单编号、包装件数、包装特征、外型尺寸、总重量，承运商名称、承运人姓名、联系电话、启运日期以及预计到货日期等必要信息。</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4.1.</w:t>
      </w:r>
      <w:r>
        <w:rPr>
          <w:rFonts w:hint="default" w:ascii="仿宋" w:hAnsi="仿宋" w:eastAsia="仿宋" w:cs="仿宋"/>
          <w:b w:val="0"/>
          <w:color w:val="auto"/>
          <w:kern w:val="0"/>
          <w:sz w:val="24"/>
        </w:rPr>
        <w:t>7</w:t>
      </w:r>
      <w:r>
        <w:rPr>
          <w:rFonts w:hint="eastAsia" w:ascii="仿宋" w:hAnsi="仿宋" w:eastAsia="仿宋" w:cs="仿宋"/>
          <w:b w:val="0"/>
          <w:color w:val="auto"/>
          <w:kern w:val="0"/>
          <w:sz w:val="24"/>
        </w:rPr>
        <w:t xml:space="preserve"> 交货完成：本合同第5.3.1条项下到货检验合格，由甲方及项目监理</w:t>
      </w:r>
      <w:r>
        <w:rPr>
          <w:rFonts w:hint="default" w:ascii="仿宋" w:hAnsi="仿宋" w:eastAsia="仿宋" w:cs="仿宋"/>
          <w:b w:val="0"/>
          <w:color w:val="auto"/>
          <w:kern w:val="0"/>
          <w:sz w:val="24"/>
        </w:rPr>
        <w:t>（若有）</w:t>
      </w:r>
      <w:r>
        <w:rPr>
          <w:rFonts w:hint="eastAsia" w:ascii="仿宋" w:hAnsi="仿宋" w:eastAsia="仿宋" w:cs="仿宋"/>
          <w:b w:val="0"/>
          <w:color w:val="auto"/>
          <w:kern w:val="0"/>
          <w:sz w:val="24"/>
        </w:rPr>
        <w:t>签署相应的到货证明。</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4.2包 装</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4.2.1乙方所供的设备必须符合国家或专业标准规定。这种包装应适合于长途运输；具有防潮、防震、防锈、耐装卸的性能，使货物安全地到达现场。乙方应承担由于不适应的包装所引起的货物受损或遗失的风险。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4.2.2每个包装箱内需放置详细装箱清单、质量证明</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含</w:t>
      </w:r>
      <w:r>
        <w:rPr>
          <w:rFonts w:hint="eastAsia" w:ascii="仿宋" w:hAnsi="仿宋" w:eastAsia="仿宋" w:cs="仿宋"/>
          <w:i w:val="0"/>
          <w:iCs w:val="0"/>
          <w:caps w:val="0"/>
          <w:color w:val="auto"/>
          <w:spacing w:val="0"/>
          <w:kern w:val="0"/>
          <w:sz w:val="24"/>
          <w:szCs w:val="24"/>
        </w:rPr>
        <w:t>生产许可证、产品合格证、质量保证书</w:t>
      </w:r>
      <w:r>
        <w:rPr>
          <w:rFonts w:hint="eastAsia" w:ascii="仿宋" w:hAnsi="仿宋" w:eastAsia="仿宋" w:cs="仿宋"/>
          <w:i w:val="0"/>
          <w:iCs w:val="0"/>
          <w:caps w:val="0"/>
          <w:color w:val="auto"/>
          <w:spacing w:val="0"/>
          <w:kern w:val="0"/>
          <w:sz w:val="24"/>
          <w:szCs w:val="24"/>
          <w:lang w:val="en-US" w:eastAsia="zh-CN"/>
        </w:rPr>
        <w:t>等</w:t>
      </w:r>
      <w:r>
        <w:rPr>
          <w:rFonts w:hint="eastAsia" w:ascii="仿宋" w:hAnsi="仿宋" w:eastAsia="仿宋" w:cs="仿宋"/>
          <w:i w:val="0"/>
          <w:iCs w:val="0"/>
          <w:caps w:val="0"/>
          <w:color w:val="auto"/>
          <w:spacing w:val="0"/>
          <w:kern w:val="0"/>
          <w:sz w:val="24"/>
          <w:szCs w:val="24"/>
          <w:lang w:eastAsia="zh-CN"/>
        </w:rPr>
        <w:t>）</w:t>
      </w:r>
      <w:r>
        <w:rPr>
          <w:rFonts w:hint="eastAsia" w:ascii="仿宋" w:hAnsi="仿宋" w:eastAsia="仿宋" w:cs="仿宋"/>
          <w:b w:val="0"/>
          <w:color w:val="auto"/>
          <w:kern w:val="0"/>
          <w:sz w:val="24"/>
        </w:rPr>
        <w:t>各二份。</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4.2.3 如货物为裸装货物，乙方应选择适合的承运方案及承运人，应充分保证货物的安全性及防破坏性能。相应的装箱单据由乙方直接EMS邮寄到甲方现场项目经理部。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4.2.4乙方应在每一合同设备的外包装上做牢固的标注，标注的内容包括：到货地点、联系人、联系电话，设备名称、型号、总长度、重量以及图示滚动方向、 “小心轻放”等相应的文字。</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4.3保 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4.3.1乙方应在发运前，按货物价值的1</w:t>
      </w:r>
      <w:r>
        <w:rPr>
          <w:rFonts w:hint="eastAsia" w:ascii="仿宋" w:hAnsi="仿宋" w:eastAsia="仿宋" w:cs="仿宋"/>
          <w:b w:val="0"/>
          <w:color w:val="auto"/>
          <w:kern w:val="0"/>
          <w:sz w:val="24"/>
          <w:lang w:val="en-US" w:eastAsia="zh-CN"/>
        </w:rPr>
        <w:t>00</w:t>
      </w:r>
      <w:r>
        <w:rPr>
          <w:rFonts w:hint="eastAsia" w:ascii="仿宋" w:hAnsi="仿宋" w:eastAsia="仿宋" w:cs="仿宋"/>
          <w:b w:val="0"/>
          <w:color w:val="auto"/>
          <w:kern w:val="0"/>
          <w:sz w:val="24"/>
        </w:rPr>
        <w:t>%对货物投保运输一切险。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4.3.2 如合同项下货物在运输过程中出险（丢失或损坏），乙方应在12小时内口头通知甲方，24小时内书面通知甲方。同时，乙方应尽快安排向承保人申请理赔事宜。乙方应根据4.1.3条款承担延迟交货的责任，同时应承担赔偿因延迟交货而导致甲方所产生的一切损失的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4.3.3 如货物破损轻微，且乙方确保在自发现破损之日起一周内对出险货物恢复至合同要求状态，且经业主及监理</w:t>
      </w:r>
      <w:r>
        <w:rPr>
          <w:rFonts w:hint="default" w:ascii="仿宋" w:hAnsi="仿宋" w:eastAsia="仿宋" w:cs="仿宋"/>
          <w:b w:val="0"/>
          <w:color w:val="auto"/>
          <w:kern w:val="0"/>
          <w:sz w:val="24"/>
        </w:rPr>
        <w:t>（若有）</w:t>
      </w:r>
      <w:r>
        <w:rPr>
          <w:rFonts w:hint="eastAsia" w:ascii="仿宋" w:hAnsi="仿宋" w:eastAsia="仿宋" w:cs="仿宋"/>
          <w:b w:val="0"/>
          <w:color w:val="auto"/>
          <w:kern w:val="0"/>
          <w:sz w:val="24"/>
        </w:rPr>
        <w:t>认可后，甲方同意接收该批货物。</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4.3.4 如出险货物出现非4.3.3情况，乙方必须对此批货物进行重新备货，具体交货期双方协商决定。</w:t>
      </w:r>
    </w:p>
    <w:p>
      <w:p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805" w:name="_Toc513647852"/>
      <w:r>
        <w:rPr>
          <w:rFonts w:hint="eastAsia" w:ascii="仿宋" w:hAnsi="仿宋" w:eastAsia="仿宋" w:cs="仿宋"/>
          <w:b/>
          <w:color w:val="auto"/>
          <w:sz w:val="24"/>
          <w:szCs w:val="24"/>
        </w:rPr>
        <w:t>第五章 质量保证和检验</w:t>
      </w:r>
      <w:bookmarkEnd w:id="805"/>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5.1质量保证</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5.1.1 质量保证：乙方提供的产品和安装服务应满足</w:t>
      </w:r>
      <w:r>
        <w:rPr>
          <w:rFonts w:hint="eastAsia" w:ascii="仿宋" w:hAnsi="仿宋" w:eastAsia="仿宋" w:cs="仿宋"/>
          <w:b w:val="0"/>
          <w:color w:val="auto"/>
          <w:kern w:val="0"/>
          <w:sz w:val="24"/>
          <w:szCs w:val="24"/>
          <w:u w:val="single"/>
          <w:lang w:val="en-US" w:eastAsia="zh-CN"/>
        </w:rPr>
        <w:t>XXX</w:t>
      </w:r>
      <w:r>
        <w:rPr>
          <w:rFonts w:hint="eastAsia" w:ascii="仿宋" w:hAnsi="仿宋" w:eastAsia="仿宋" w:cs="仿宋"/>
          <w:b w:val="0"/>
          <w:color w:val="auto"/>
          <w:kern w:val="0"/>
          <w:sz w:val="24"/>
          <w:szCs w:val="24"/>
        </w:rPr>
        <w:t>项目招标文件及业主的要求。乙方保证所提供的货物由原厂商生产且全新未曾用过</w:t>
      </w:r>
      <w:r>
        <w:rPr>
          <w:rFonts w:hint="eastAsia" w:ascii="仿宋" w:hAnsi="仿宋" w:eastAsia="仿宋" w:cs="仿宋"/>
          <w:b w:val="0"/>
          <w:color w:val="auto"/>
          <w:kern w:val="0"/>
          <w:sz w:val="24"/>
          <w:szCs w:val="24"/>
          <w:lang w:eastAsia="zh-CN"/>
        </w:rPr>
        <w:t>，</w:t>
      </w:r>
      <w:r>
        <w:rPr>
          <w:rFonts w:hint="eastAsia" w:ascii="仿宋" w:hAnsi="仿宋" w:eastAsia="仿宋" w:cs="仿宋"/>
          <w:b w:val="0"/>
          <w:color w:val="auto"/>
          <w:kern w:val="0"/>
          <w:sz w:val="24"/>
          <w:szCs w:val="24"/>
        </w:rPr>
        <w:t>禁止提供二次组装和翻新设备，并完全符合国家技术质量规范、行业标准、环保要求及本合同规定的质量、规格及参数和技术规范等要求</w:t>
      </w:r>
      <w:r>
        <w:rPr>
          <w:rFonts w:hint="eastAsia" w:ascii="仿宋" w:hAnsi="仿宋" w:eastAsia="仿宋" w:cs="仿宋"/>
          <w:b w:val="0"/>
          <w:color w:val="auto"/>
          <w:kern w:val="0"/>
          <w:sz w:val="24"/>
          <w:szCs w:val="24"/>
          <w:lang w:eastAsia="zh-CN"/>
        </w:rPr>
        <w:t>，质量验收不限于以上标准，其中未包括的内容，执行现行的适用于该物资的国家和行业最高标准</w:t>
      </w:r>
      <w:r>
        <w:rPr>
          <w:rFonts w:hint="eastAsia" w:ascii="仿宋" w:hAnsi="仿宋" w:eastAsia="仿宋" w:cs="仿宋"/>
          <w:b w:val="0"/>
          <w:color w:val="auto"/>
          <w:kern w:val="0"/>
          <w:sz w:val="24"/>
          <w:szCs w:val="24"/>
        </w:rPr>
        <w:t>。产品的出厂时间距本合同生效时间不能超过半年。</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5.1.2权利瑕疵担保：乙方保证其提供的本合同项下任一部分货物及服务不侵犯第三方权益（包括但不限于所有权、使用权以及专利权、商标权、著作权、工业设计权或其他知识产权）。</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5.1.3 缺陷修复：</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（1）质量保修期内，甲方有权要求乙方安排两次例行巡检，巡检时间双方协商确定。巡检应由项目巡检人形成巡检报告。</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（2）乙方提供的设备，安装完成三个月内出现质量问题的，甲方有权要求乙方负责免费更换，并且乙方需在接到甲方通知后一周内完成更换事宜。</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3）乙方提供的设备，安装完成超过三个月后，在质量保修期内发生故障的，若由设备本身质量问题引起，甲方有权要求乙方在接到通知24小时内提供电话支持排查故障，若不能及时修复故障设备，乙方须在接到故障报告后72小时内到达现场服务，同时免费提供替代设备以保证系统的正常运行。如需返厂维修，乙方承担返修设备发货往返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4）乙方提供的设备在质量保修期内发生故障的，若由非质量问题的外界因素引起（雷击、碰撞等），甲方有权要求乙方提供维修服务，维修费用双方协商。故障设备返修时间超过一周的，甲方有权要求乙方负责提供免费备件。</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highlight w:val="yellow"/>
        </w:rPr>
      </w:pPr>
      <w:r>
        <w:rPr>
          <w:rFonts w:hint="eastAsia" w:ascii="仿宋" w:hAnsi="仿宋" w:eastAsia="仿宋" w:cs="仿宋"/>
          <w:b w:val="0"/>
          <w:color w:val="auto"/>
          <w:kern w:val="0"/>
          <w:sz w:val="24"/>
          <w:szCs w:val="24"/>
        </w:rPr>
        <w:t>（5）同一设备出现故障的次数达到</w:t>
      </w:r>
      <w:r>
        <w:rPr>
          <w:rFonts w:hint="eastAsia" w:ascii="仿宋" w:hAnsi="仿宋" w:eastAsia="仿宋" w:cs="仿宋"/>
          <w:b w:val="0"/>
          <w:color w:val="auto"/>
          <w:kern w:val="0"/>
          <w:sz w:val="24"/>
          <w:szCs w:val="24"/>
          <w:u w:val="single"/>
          <w:lang w:val="en-US" w:eastAsia="zh-CN"/>
        </w:rPr>
        <w:t>两</w:t>
      </w:r>
      <w:r>
        <w:rPr>
          <w:rFonts w:hint="eastAsia" w:ascii="仿宋" w:hAnsi="仿宋" w:eastAsia="仿宋" w:cs="仿宋"/>
          <w:b w:val="0"/>
          <w:color w:val="auto"/>
          <w:kern w:val="0"/>
          <w:sz w:val="24"/>
          <w:szCs w:val="24"/>
        </w:rPr>
        <w:t>次的，甲方有权要求由乙方安排技术人员到现场进行全面检查，同一部件出现故障次数达到</w:t>
      </w:r>
      <w:r>
        <w:rPr>
          <w:rFonts w:hint="eastAsia" w:ascii="仿宋" w:hAnsi="仿宋" w:eastAsia="仿宋" w:cs="仿宋"/>
          <w:b w:val="0"/>
          <w:color w:val="auto"/>
          <w:kern w:val="0"/>
          <w:sz w:val="24"/>
          <w:szCs w:val="24"/>
          <w:lang w:val="en-US" w:eastAsia="zh-CN"/>
        </w:rPr>
        <w:t>两</w:t>
      </w:r>
      <w:r>
        <w:rPr>
          <w:rFonts w:hint="eastAsia" w:ascii="仿宋" w:hAnsi="仿宋" w:eastAsia="仿宋" w:cs="仿宋"/>
          <w:b w:val="0"/>
          <w:color w:val="auto"/>
          <w:kern w:val="0"/>
          <w:sz w:val="24"/>
          <w:szCs w:val="24"/>
        </w:rPr>
        <w:t>次的，甲方有权要求乙方提供免费部件进行更换。</w:t>
      </w:r>
      <w:r>
        <w:rPr>
          <w:rFonts w:hint="eastAsia" w:ascii="仿宋" w:hAnsi="仿宋" w:eastAsia="仿宋" w:cs="仿宋"/>
          <w:b w:val="0"/>
          <w:color w:val="auto"/>
          <w:kern w:val="0"/>
          <w:sz w:val="24"/>
          <w:szCs w:val="24"/>
          <w:lang w:val="en-US" w:eastAsia="zh-CN"/>
        </w:rPr>
        <w:t>乙方拒不履行相应义务的应按合同第七章规定承担违约责任</w:t>
      </w:r>
      <w:r>
        <w:rPr>
          <w:rFonts w:hint="eastAsia" w:ascii="仿宋" w:hAnsi="仿宋" w:eastAsia="仿宋" w:cs="仿宋"/>
          <w:b w:val="0"/>
          <w:color w:val="auto"/>
          <w:kern w:val="0"/>
          <w:sz w:val="24"/>
          <w:szCs w:val="24"/>
          <w:highlight w:val="none"/>
        </w:rPr>
        <w:t>。</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（6）若因乙方原因不能及时响应，可委托甲方代为维修维护，甲方有权要求乙方支付甲方因维护发生的的费用。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（7）甲方有权要求乙方承担因乙方所供设备质量问题造成的系统安装、调试、试运行等工程进度拖延所发生的一切费用。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5.1.</w:t>
      </w:r>
      <w:r>
        <w:rPr>
          <w:rFonts w:hint="eastAsia" w:ascii="仿宋" w:hAnsi="仿宋" w:eastAsia="仿宋" w:cs="仿宋"/>
          <w:b w:val="0"/>
          <w:color w:val="auto"/>
          <w:kern w:val="0"/>
          <w:sz w:val="24"/>
          <w:szCs w:val="24"/>
          <w:lang w:eastAsia="zh-CN"/>
        </w:rPr>
        <w:t>4</w:t>
      </w:r>
      <w:r>
        <w:rPr>
          <w:rFonts w:hint="eastAsia" w:ascii="仿宋" w:hAnsi="仿宋" w:eastAsia="仿宋" w:cs="仿宋"/>
          <w:b w:val="0"/>
          <w:color w:val="auto"/>
          <w:kern w:val="0"/>
          <w:sz w:val="24"/>
          <w:szCs w:val="24"/>
        </w:rPr>
        <w:t xml:space="preserve"> 技术要求：</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szCs w:val="24"/>
        </w:rPr>
      </w:pPr>
      <w:r>
        <w:rPr>
          <w:rFonts w:hint="eastAsia" w:ascii="仿宋" w:hAnsi="仿宋" w:eastAsia="仿宋" w:cs="仿宋"/>
          <w:b w:val="0"/>
          <w:color w:val="auto"/>
          <w:kern w:val="0"/>
          <w:sz w:val="24"/>
          <w:szCs w:val="24"/>
        </w:rPr>
        <w:t>参见合同附件二</w:t>
      </w:r>
      <w:r>
        <w:rPr>
          <w:rFonts w:hint="eastAsia" w:ascii="仿宋" w:hAnsi="仿宋" w:eastAsia="仿宋" w:cs="仿宋"/>
          <w:b w:val="0"/>
          <w:color w:val="auto"/>
          <w:kern w:val="0"/>
          <w:sz w:val="24"/>
          <w:szCs w:val="24"/>
          <w:lang w:eastAsia="zh-CN"/>
        </w:rPr>
        <w:t>，</w:t>
      </w:r>
      <w:r>
        <w:rPr>
          <w:rFonts w:hint="eastAsia" w:ascii="仿宋" w:hAnsi="仿宋" w:eastAsia="仿宋" w:cs="仿宋"/>
          <w:b w:val="0"/>
          <w:color w:val="auto"/>
          <w:kern w:val="0"/>
          <w:sz w:val="24"/>
          <w:szCs w:val="24"/>
        </w:rPr>
        <w:t>生产图纸需由甲方项目部工程师签字确认。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5.2出厂检验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5.2.1出厂检验：在设备发货前，乙方应在业主及甲方代表的共同参加的情况下对该设备的质量、规格、性能和数量等进行检验。出厂测试完成后，乙方应提供设备出厂测试记录，送交甲方同意后，设备才能出厂，并出具质量证明书。</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5.2.2如甲方书面通知乙方，业主或监理代表不参加出厂检验，则由乙方自行按照相应标准进行出厂检验，并将正式出厂检验报告送交甲方。</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5.2.3责任免除：任何形式的出厂检验不能免除乙方在设备质量方面的合同责任。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5.2.4 乙方应承担甲方、业主和监理等人参加出厂检验所发生的一切费用（包括食宿，不包含来回机票）。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5.3到货检验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5.3.1 到货检验：设备运抵甲方指定交货地点后，将由业主、项目监理、甲方和乙方共同派代表进行设备的到货检验，验收合格后由甲方及项目监理签署相应的到货证明；到货检验的内容，发货前由甲方项目经理通知乙方。开箱检验不合格的，乙方必须无条件接受退换货并承担甲方全部损失；如需退换货，乙方必须于5个日历日免费替换，并将合格的同型号设备先行运至本合同指定的交货地点，由此发生的一切费用应由乙方自行承担。甲方在到货检验时需通知乙方，乙方未派代表参与现场的到货检验视为乙方已认可检验结果。</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5.3.2 拒绝接收：乙方提供的设备因不符合5.1.1条规定的质量标准，导致本合同的目的不能实现的，甲方可以拒绝接受设备或者解除合同。甲方拒绝接受设备或解除合同的，设备毁损、灭失的风险由乙方承担，乙方需将全部货物拉回并自行承担对甲方造成的一切损失（包括直接和间接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5.4设备安装、调试验收</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5.4.1由乙方负责安装调试的，乙方应指派专业工程师负责本合同设备的安装和调试工作，并且负责该工程师在安装过程中的安全问题。乙方提供本合同设备安装的必备随机配件，施工车辆。</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5.4.2 由乙方负责指导安装，设备调试的，乙方应指派专业工程师对本合同设备的安装过程进行电话技术支持，并进行设备指导调试。</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5.4.3甲方负责组织安排本合同设备的安装调试时间，并提前通知乙方，乙方需按照甲方的安排进行。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5.4.4乙方保证设备正常运转，满足合同规定的验收基本要求，是否合格以</w:t>
      </w:r>
      <w:r>
        <w:rPr>
          <w:rFonts w:hint="eastAsia" w:ascii="仿宋" w:hAnsi="仿宋" w:eastAsia="仿宋" w:cs="仿宋"/>
          <w:b w:val="0"/>
          <w:color w:val="auto"/>
          <w:kern w:val="0"/>
          <w:sz w:val="24"/>
          <w:lang w:val="en-US" w:eastAsia="zh-CN"/>
        </w:rPr>
        <w:t>甲方或</w:t>
      </w:r>
      <w:r>
        <w:rPr>
          <w:rFonts w:hint="eastAsia" w:ascii="仿宋" w:hAnsi="仿宋" w:eastAsia="仿宋" w:cs="仿宋"/>
          <w:b w:val="0"/>
          <w:color w:val="auto"/>
          <w:kern w:val="0"/>
          <w:sz w:val="24"/>
        </w:rPr>
        <w:t>监理</w:t>
      </w:r>
      <w:r>
        <w:rPr>
          <w:rFonts w:hint="eastAsia" w:ascii="仿宋" w:hAnsi="仿宋" w:eastAsia="仿宋" w:cs="仿宋"/>
          <w:b w:val="0"/>
          <w:color w:val="auto"/>
          <w:kern w:val="0"/>
          <w:sz w:val="24"/>
          <w:lang w:val="en-US" w:eastAsia="zh-CN"/>
        </w:rPr>
        <w:t>方</w:t>
      </w:r>
      <w:r>
        <w:rPr>
          <w:rFonts w:hint="eastAsia" w:ascii="仿宋" w:hAnsi="仿宋" w:eastAsia="仿宋" w:cs="仿宋"/>
          <w:b w:val="0"/>
          <w:color w:val="auto"/>
          <w:kern w:val="0"/>
          <w:sz w:val="24"/>
        </w:rPr>
        <w:t>验收的书面意见为准。</w:t>
      </w:r>
    </w:p>
    <w:p>
      <w:pPr>
        <w:tabs>
          <w:tab w:val="left" w:pos="2880"/>
          <w:tab w:val="left" w:pos="7020"/>
        </w:tabs>
        <w:spacing w:line="360" w:lineRule="auto"/>
        <w:ind w:right="178" w:rightChars="85" w:firstLine="482" w:firstLineChars="200"/>
        <w:rPr>
          <w:rFonts w:hint="eastAsia" w:ascii="仿宋" w:hAnsi="仿宋" w:eastAsia="仿宋" w:cs="仿宋"/>
          <w:b/>
          <w:color w:val="auto"/>
          <w:sz w:val="24"/>
        </w:rPr>
      </w:pPr>
      <w:bookmarkStart w:id="806" w:name="_Toc513647857"/>
      <w:r>
        <w:rPr>
          <w:rFonts w:hint="eastAsia" w:ascii="仿宋" w:hAnsi="仿宋" w:eastAsia="仿宋" w:cs="仿宋"/>
          <w:b/>
          <w:color w:val="auto"/>
          <w:sz w:val="24"/>
          <w:szCs w:val="24"/>
        </w:rPr>
        <w:t>第六章 技术培训</w:t>
      </w:r>
      <w:bookmarkEnd w:id="806"/>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乙方负责编制提交给最终用户的培训教材及设备维护手册和相应的图纸，同时分别对甲方人员和最终用户进行一次现场培训，以保证设备正常使用及日常维护。内容包括：</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1</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设备的操作和使用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2</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常见故障的判断和排除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3</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设备的连接和工作原理</w:t>
      </w:r>
    </w:p>
    <w:p>
      <w:p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807" w:name="_Toc513647858"/>
      <w:r>
        <w:rPr>
          <w:rFonts w:hint="eastAsia" w:ascii="仿宋" w:hAnsi="仿宋" w:eastAsia="仿宋" w:cs="仿宋"/>
          <w:b/>
          <w:color w:val="auto"/>
          <w:sz w:val="24"/>
          <w:szCs w:val="24"/>
        </w:rPr>
        <w:t>第七章 违约责任及合同解除</w:t>
      </w:r>
      <w:bookmarkEnd w:id="807"/>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7.1 违约责任约定</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本合同签订后，双方均应履行本合同规定的全部条款，任何一方违反其于本合同项下的义务、承诺或保证，即构成违约；违约方应按照本合同约定向守约方支付违约金，违约金不足以补偿守约方损失的，违约方应补足守约方遭受的全部损失。违约行为造成的损失应包括但不限于因违约行为造成的直接损失、任何可预期的间接损失以及守约方为挽回损失而支付的律师费、诉讼费等其他费用。</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7.2 甲方违约</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甲方未能按照合同约定履行其他义务的。</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7.3乙方违约</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(1)本协议第4.1.3条项下交货延迟的违约责任，如延迟【15】个日历日乙方仍未交货的，甲方有权解除合同；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(2)本协议第5.3.2条项下乙方产品不符合质量标准的违约责任，甲方有权解除本合同；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(3)因乙方产品任何形式的质量问题导致本工程拖期或遭到第三方索赔，而给甲方造成损失的，甲方有权解除本合同，由乙方承担全部赔偿责任；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(4)因乙方提供的产品侵犯第三方权益而引起任何由第三人提起的仲裁或诉讼，则乙方应承担一切法律责任，并承担甲方为取得合法所有权、使用权所支付的全部费用，并赔偿甲方因此遭受的全部损失</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lang w:val="en-US" w:eastAsia="zh-CN"/>
        </w:rPr>
        <w:t>同时</w:t>
      </w:r>
      <w:r>
        <w:rPr>
          <w:rFonts w:hint="eastAsia" w:ascii="仿宋" w:hAnsi="仿宋" w:eastAsia="仿宋" w:cs="仿宋"/>
          <w:b w:val="0"/>
          <w:color w:val="auto"/>
          <w:kern w:val="0"/>
          <w:sz w:val="24"/>
        </w:rPr>
        <w:t>甲方有权解除本合同；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(5)乙方在缺陷责任期及质量保修期内，未能在合理期限对工程缺陷进行修复，或拒绝按甲方要求进行修复的，甲方有权自行修复或委托第三方修复，所需费用由乙方承担</w:t>
      </w:r>
      <w:r>
        <w:rPr>
          <w:rFonts w:hint="eastAsia" w:ascii="仿宋" w:hAnsi="仿宋" w:eastAsia="仿宋" w:cs="仿宋"/>
          <w:b w:val="0"/>
          <w:color w:val="auto"/>
          <w:kern w:val="0"/>
          <w:sz w:val="24"/>
          <w:lang w:eastAsia="zh-CN"/>
        </w:rPr>
        <w:t>，</w:t>
      </w:r>
      <w:r>
        <w:rPr>
          <w:rFonts w:hint="eastAsia" w:ascii="仿宋" w:hAnsi="仿宋" w:eastAsia="仿宋" w:cs="仿宋"/>
          <w:b w:val="0"/>
          <w:color w:val="auto"/>
          <w:kern w:val="0"/>
          <w:sz w:val="24"/>
        </w:rPr>
        <w:t>甲方有权解除本合同；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(6)乙方明确表示或者以其行为表明不履行本合同主要义务的，甲方有权解除本合同并要求乙方支付合同价款总额30%的违约金，违约金不足以补偿甲方损失的，乙方应足额赔偿甲方遭受的损失；</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(7)因乙方违约行为导致甲方须按主合同约定承担违约或赔偿责任，由乙方承担前述主合同约定的违约责任或赔偿责任；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 xml:space="preserve">(8)乙方未能按照本合同约定履行其他义务的。 </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7.4合同解除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如发生以下任一情形本合同可以解除：</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(1)双方协商一致可以书面方式提前解除本合同；</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(2)因不可抗力致使本合同目的无法实现的，双方均可以书面方式解除本合同，互不承担违约责任；</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(3)甲方行使本合同第7.3条项下的合同解除权。</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7.5合同解除的效力：</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(1)第七条（违约责任及合同解除）、第八条（保密条款）、第九条（争议及解决）在本合同解除后继续有效；</w:t>
      </w:r>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(2)违约方于本合同解除前违反本合同而应承担的违约责任应当继续有效，本合同解除不应被视为守约方对该等债务或可能的救济措施的弃权、豁免。</w:t>
      </w:r>
    </w:p>
    <w:p>
      <w:p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808" w:name="_Toc513647859"/>
      <w:r>
        <w:rPr>
          <w:rFonts w:hint="eastAsia" w:ascii="仿宋" w:hAnsi="仿宋" w:eastAsia="仿宋" w:cs="仿宋"/>
          <w:b/>
          <w:color w:val="auto"/>
          <w:sz w:val="24"/>
          <w:szCs w:val="24"/>
        </w:rPr>
        <w:t>第八章 保密条款</w:t>
      </w:r>
      <w:bookmarkEnd w:id="808"/>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任何一方对其在本合同磋商、签订、履行过程中知悉的对方的商业秘密、生产经营、知识产权及其他任何方面所有非公开信息及本合同的内容（“保密信息”）进行严格保密。未经保密信息披露方书面同意，接收方不得向任何第三方披露保密信息，但应法律及监管要求披露的除外。</w:t>
      </w:r>
    </w:p>
    <w:p>
      <w:pPr>
        <w:numPr>
          <w:ilvl w:val="0"/>
          <w:numId w:val="7"/>
        </w:num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809" w:name="_Toc513647860"/>
      <w:r>
        <w:rPr>
          <w:rFonts w:hint="eastAsia" w:ascii="仿宋" w:hAnsi="仿宋" w:eastAsia="仿宋" w:cs="仿宋"/>
          <w:b/>
          <w:color w:val="auto"/>
          <w:sz w:val="24"/>
          <w:szCs w:val="24"/>
        </w:rPr>
        <w:t>合同的生效和适用法律</w:t>
      </w:r>
      <w:bookmarkEnd w:id="809"/>
    </w:p>
    <w:p>
      <w:pPr>
        <w:pStyle w:val="2"/>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9.1合同生效</w:t>
      </w:r>
    </w:p>
    <w:p>
      <w:pPr>
        <w:pStyle w:val="2"/>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9.1.1合同生效：本合同经</w:t>
      </w:r>
      <w:r>
        <w:rPr>
          <w:rFonts w:hint="eastAsia" w:ascii="仿宋" w:hAnsi="仿宋" w:eastAsia="仿宋" w:cs="仿宋"/>
          <w:color w:val="auto"/>
          <w:sz w:val="24"/>
          <w:szCs w:val="24"/>
          <w:lang w:val="en-US" w:eastAsia="zh-CN"/>
        </w:rPr>
        <w:t>双方</w:t>
      </w:r>
      <w:r>
        <w:rPr>
          <w:rFonts w:hint="eastAsia" w:ascii="仿宋" w:hAnsi="仿宋" w:eastAsia="仿宋" w:cs="仿宋"/>
          <w:color w:val="auto"/>
          <w:sz w:val="24"/>
          <w:szCs w:val="24"/>
        </w:rPr>
        <w:t>盖章后生效，至合同缺陷责任期及质量保修期届满时终止。</w:t>
      </w:r>
    </w:p>
    <w:p>
      <w:pPr>
        <w:pStyle w:val="2"/>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9.2适用法律</w:t>
      </w:r>
    </w:p>
    <w:p>
      <w:pPr>
        <w:pStyle w:val="2"/>
        <w:numPr>
          <w:ilvl w:val="0"/>
          <w:numId w:val="0"/>
        </w:numPr>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9.2.1适用法律：本合同适用中华人民共和国的有关法律。</w:t>
      </w:r>
    </w:p>
    <w:p>
      <w:pPr>
        <w:tabs>
          <w:tab w:val="left" w:pos="2880"/>
          <w:tab w:val="left" w:pos="7020"/>
        </w:tabs>
        <w:spacing w:line="360" w:lineRule="auto"/>
        <w:ind w:right="178" w:rightChars="85" w:firstLine="482" w:firstLineChars="200"/>
        <w:rPr>
          <w:rFonts w:hint="default" w:ascii="仿宋" w:hAnsi="仿宋" w:eastAsia="仿宋" w:cs="仿宋"/>
          <w:b/>
          <w:color w:val="auto"/>
          <w:sz w:val="24"/>
          <w:szCs w:val="24"/>
        </w:rPr>
      </w:pPr>
      <w:bookmarkStart w:id="810" w:name="_Toc513647863"/>
      <w:r>
        <w:rPr>
          <w:rFonts w:hint="eastAsia" w:ascii="仿宋" w:hAnsi="仿宋" w:eastAsia="仿宋" w:cs="仿宋"/>
          <w:b/>
          <w:color w:val="auto"/>
          <w:sz w:val="24"/>
          <w:szCs w:val="24"/>
        </w:rPr>
        <w:t>第十章 争议及解决</w:t>
      </w:r>
      <w:bookmarkEnd w:id="810"/>
    </w:p>
    <w:p>
      <w:pPr>
        <w:tabs>
          <w:tab w:val="left" w:pos="2880"/>
          <w:tab w:val="left" w:pos="7020"/>
        </w:tabs>
        <w:spacing w:line="360" w:lineRule="auto"/>
        <w:ind w:right="178" w:rightChars="85" w:firstLine="480" w:firstLineChars="200"/>
        <w:rPr>
          <w:rFonts w:hint="eastAsia" w:ascii="仿宋" w:hAnsi="仿宋" w:eastAsia="仿宋" w:cs="仿宋"/>
          <w:b w:val="0"/>
          <w:color w:val="auto"/>
          <w:kern w:val="0"/>
          <w:sz w:val="24"/>
        </w:rPr>
      </w:pPr>
      <w:r>
        <w:rPr>
          <w:rFonts w:hint="eastAsia" w:ascii="仿宋" w:hAnsi="仿宋" w:eastAsia="仿宋" w:cs="仿宋"/>
          <w:b w:val="0"/>
          <w:color w:val="auto"/>
          <w:kern w:val="0"/>
          <w:sz w:val="24"/>
        </w:rPr>
        <w:t>因本合同引起的或与本合同有关的任何争议，经双方友好协商不能达成一致的，任何一方有权向甲方住所地有管辖权的人民法院提起诉讼。</w:t>
      </w:r>
    </w:p>
    <w:p>
      <w:pPr>
        <w:numPr>
          <w:ilvl w:val="0"/>
          <w:numId w:val="0"/>
        </w:numPr>
        <w:tabs>
          <w:tab w:val="left" w:pos="2880"/>
          <w:tab w:val="left" w:pos="7020"/>
        </w:tabs>
        <w:spacing w:line="360" w:lineRule="auto"/>
        <w:ind w:right="178" w:rightChars="85" w:firstLine="482" w:firstLineChars="200"/>
        <w:rPr>
          <w:rFonts w:hint="eastAsia" w:ascii="仿宋" w:hAnsi="仿宋" w:eastAsia="仿宋" w:cs="仿宋"/>
          <w:b/>
          <w:color w:val="auto"/>
          <w:sz w:val="24"/>
        </w:rPr>
      </w:pPr>
      <w:r>
        <w:rPr>
          <w:rFonts w:hint="eastAsia" w:ascii="仿宋" w:hAnsi="仿宋" w:eastAsia="仿宋" w:cs="仿宋"/>
          <w:b/>
          <w:color w:val="auto"/>
          <w:sz w:val="24"/>
          <w:lang w:val="en-US" w:eastAsia="zh-CN"/>
        </w:rPr>
        <w:t xml:space="preserve">第十一章 </w:t>
      </w:r>
      <w:r>
        <w:rPr>
          <w:rFonts w:hint="eastAsia" w:ascii="仿宋" w:hAnsi="仿宋" w:eastAsia="仿宋" w:cs="仿宋"/>
          <w:b/>
          <w:color w:val="auto"/>
          <w:sz w:val="24"/>
        </w:rPr>
        <w:t>通知与送达</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11.1</w:t>
      </w:r>
      <w:r>
        <w:rPr>
          <w:rFonts w:ascii="仿宋" w:hAnsi="仿宋" w:eastAsia="仿宋" w:cs="仿宋"/>
          <w:color w:val="auto"/>
          <w:sz w:val="24"/>
        </w:rPr>
        <w:t>甲方确认其送达地址为：__</w:t>
      </w:r>
      <w:r>
        <w:rPr>
          <w:rFonts w:ascii="仿宋" w:hAnsi="仿宋" w:eastAsia="仿宋" w:cs="仿宋"/>
          <w:color w:val="auto"/>
          <w:sz w:val="24"/>
          <w:u w:val="single"/>
        </w:rPr>
        <w:t>_</w:t>
      </w:r>
      <w:r>
        <w:rPr>
          <w:rFonts w:hint="eastAsia" w:ascii="仿宋" w:hAnsi="仿宋" w:eastAsia="仿宋" w:cs="仿宋"/>
          <w:color w:val="auto"/>
          <w:sz w:val="24"/>
          <w:u w:val="single"/>
          <w:lang w:eastAsia="zh-CN"/>
        </w:rPr>
        <w:t>（</w:t>
      </w:r>
      <w:r>
        <w:rPr>
          <w:rFonts w:hint="eastAsia" w:ascii="仿宋" w:hAnsi="仿宋" w:eastAsia="仿宋" w:cs="仿宋"/>
          <w:color w:val="auto"/>
          <w:sz w:val="24"/>
          <w:u w:val="single"/>
          <w:lang w:val="en-US" w:eastAsia="zh-CN"/>
        </w:rPr>
        <w:t>首讯公司地址二选一</w:t>
      </w:r>
      <w:r>
        <w:rPr>
          <w:rFonts w:hint="eastAsia" w:ascii="仿宋" w:hAnsi="仿宋" w:eastAsia="仿宋" w:cs="仿宋"/>
          <w:color w:val="auto"/>
          <w:sz w:val="24"/>
          <w:u w:val="single"/>
          <w:lang w:eastAsia="zh-CN"/>
        </w:rPr>
        <w:t>）</w:t>
      </w:r>
      <w:r>
        <w:rPr>
          <w:rFonts w:ascii="仿宋" w:hAnsi="仿宋" w:eastAsia="仿宋" w:cs="仿宋"/>
          <w:color w:val="auto"/>
          <w:sz w:val="24"/>
          <w:u w:val="single"/>
        </w:rPr>
        <w:t>__</w:t>
      </w:r>
      <w:r>
        <w:rPr>
          <w:rFonts w:ascii="仿宋" w:hAnsi="仿宋" w:eastAsia="仿宋" w:cs="仿宋"/>
          <w:color w:val="auto"/>
          <w:sz w:val="24"/>
        </w:rPr>
        <w:t>______________，受送达人为：_________，联系方式为：__________________________。</w:t>
      </w:r>
    </w:p>
    <w:p>
      <w:pPr>
        <w:spacing w:line="400" w:lineRule="exact"/>
        <w:rPr>
          <w:rFonts w:ascii="仿宋" w:hAnsi="仿宋" w:eastAsia="仿宋" w:cs="仿宋"/>
          <w:color w:val="auto"/>
          <w:sz w:val="24"/>
        </w:rPr>
      </w:pPr>
    </w:p>
    <w:p>
      <w:pPr>
        <w:spacing w:line="400" w:lineRule="exact"/>
        <w:ind w:firstLine="480" w:firstLineChars="200"/>
        <w:rPr>
          <w:rFonts w:ascii="仿宋" w:hAnsi="仿宋" w:eastAsia="仿宋" w:cs="仿宋"/>
          <w:color w:val="auto"/>
          <w:sz w:val="24"/>
        </w:rPr>
      </w:pPr>
      <w:r>
        <w:rPr>
          <w:rFonts w:ascii="仿宋" w:hAnsi="仿宋" w:eastAsia="仿宋" w:cs="仿宋"/>
          <w:color w:val="auto"/>
          <w:sz w:val="24"/>
        </w:rPr>
        <w:t>乙方确认其送达地址为：____________________________，受送达人为：_________，联系方式为：__________________________。</w:t>
      </w:r>
    </w:p>
    <w:p>
      <w:pPr>
        <w:spacing w:line="400" w:lineRule="exact"/>
        <w:rPr>
          <w:rFonts w:ascii="仿宋" w:hAnsi="仿宋" w:eastAsia="仿宋" w:cs="仿宋"/>
          <w:color w:val="auto"/>
          <w:sz w:val="24"/>
        </w:rPr>
      </w:pPr>
      <w:r>
        <w:rPr>
          <w:rFonts w:ascii="仿宋" w:hAnsi="仿宋" w:eastAsia="仿宋" w:cs="仿宋"/>
          <w:color w:val="auto"/>
          <w:sz w:val="24"/>
        </w:rPr>
        <w:t>（若联系地址未填写，则以身份证载明的住址或工商登记的住所地为送达地址）</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11.2</w:t>
      </w:r>
      <w:r>
        <w:rPr>
          <w:rFonts w:ascii="仿宋" w:hAnsi="仿宋" w:eastAsia="仿宋" w:cs="仿宋"/>
          <w:color w:val="auto"/>
          <w:sz w:val="24"/>
        </w:rPr>
        <w:t>以上送达地址适用范围包括但不限于各类告知书、通知书、工作联系单、协议文件、诉讼或仲裁文书，送达主体可以是合同各方、人民法院、仲裁委员会及各行政机关。</w:t>
      </w:r>
      <w:r>
        <w:rPr>
          <w:rFonts w:hint="eastAsia" w:ascii="仿宋" w:hAnsi="仿宋" w:eastAsia="仿宋" w:cs="仿宋"/>
          <w:color w:val="auto"/>
          <w:sz w:val="24"/>
        </w:rPr>
        <w:t xml:space="preserve">                         </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11.3</w:t>
      </w:r>
      <w:r>
        <w:rPr>
          <w:rFonts w:ascii="仿宋" w:hAnsi="仿宋" w:eastAsia="仿宋" w:cs="仿宋"/>
          <w:color w:val="auto"/>
          <w:sz w:val="24"/>
        </w:rPr>
        <w:t>送达主体按照上述送达地址进行送达，视为有效送达；采用邮寄送达的，以文书签收之日或退回之日视为送达之日；直接送达的，送达人当场在送达回证上记明情况之日视为送达之日。</w:t>
      </w:r>
    </w:p>
    <w:p>
      <w:pPr>
        <w:tabs>
          <w:tab w:val="left" w:pos="2880"/>
          <w:tab w:val="left" w:pos="7020"/>
        </w:tabs>
        <w:spacing w:line="400" w:lineRule="exact"/>
        <w:ind w:right="0" w:rightChars="0" w:firstLine="480" w:firstLineChars="200"/>
        <w:rPr>
          <w:rFonts w:hint="eastAsia" w:ascii="仿宋" w:hAnsi="仿宋" w:eastAsia="仿宋" w:cs="仿宋"/>
          <w:b w:val="0"/>
          <w:color w:val="auto"/>
          <w:kern w:val="0"/>
          <w:sz w:val="24"/>
        </w:rPr>
      </w:pPr>
      <w:r>
        <w:rPr>
          <w:rFonts w:hint="eastAsia" w:ascii="仿宋" w:hAnsi="仿宋" w:eastAsia="仿宋" w:cs="仿宋"/>
          <w:color w:val="auto"/>
          <w:sz w:val="24"/>
          <w:lang w:val="en-US" w:eastAsia="zh-CN"/>
        </w:rPr>
        <w:t>11.4</w:t>
      </w:r>
      <w:r>
        <w:rPr>
          <w:rFonts w:ascii="仿宋" w:hAnsi="仿宋" w:eastAsia="仿宋" w:cs="仿宋"/>
          <w:color w:val="auto"/>
          <w:sz w:val="24"/>
        </w:rPr>
        <w:t>上述送达地址、受送达人、联系方式发生变更的，变更一方应履行通知义务，因当事人送达地址变更后未及时书面告知，导致未能被当事人实际接收的，邮寄送达的，以文书退回之日视为送达之日；直接送达的，送达人当场在送达回证上记明情况之日视为送达之日；履行送达地址变更通知义务的，以变更后的送达地址为有效送达地址。</w:t>
      </w:r>
    </w:p>
    <w:p>
      <w:pPr>
        <w:tabs>
          <w:tab w:val="left" w:pos="2880"/>
          <w:tab w:val="left" w:pos="7020"/>
        </w:tabs>
        <w:spacing w:line="360" w:lineRule="auto"/>
        <w:ind w:right="178" w:rightChars="85" w:firstLine="482" w:firstLineChars="200"/>
        <w:rPr>
          <w:rFonts w:hint="eastAsia" w:ascii="仿宋" w:hAnsi="仿宋" w:eastAsia="仿宋" w:cs="仿宋"/>
          <w:b/>
          <w:color w:val="auto"/>
          <w:sz w:val="24"/>
          <w:szCs w:val="24"/>
        </w:rPr>
      </w:pPr>
      <w:bookmarkStart w:id="811" w:name="_Toc513647864"/>
      <w:r>
        <w:rPr>
          <w:rFonts w:hint="eastAsia" w:ascii="仿宋" w:hAnsi="仿宋" w:eastAsia="仿宋" w:cs="仿宋"/>
          <w:b/>
          <w:color w:val="auto"/>
          <w:sz w:val="24"/>
          <w:szCs w:val="24"/>
        </w:rPr>
        <w:t>第十</w:t>
      </w:r>
      <w:r>
        <w:rPr>
          <w:rFonts w:hint="eastAsia" w:ascii="仿宋" w:hAnsi="仿宋" w:eastAsia="仿宋" w:cs="仿宋"/>
          <w:b/>
          <w:color w:val="auto"/>
          <w:sz w:val="24"/>
          <w:szCs w:val="24"/>
          <w:lang w:val="en-US" w:eastAsia="zh-CN"/>
        </w:rPr>
        <w:t>二</w:t>
      </w:r>
      <w:r>
        <w:rPr>
          <w:rFonts w:hint="eastAsia" w:ascii="仿宋" w:hAnsi="仿宋" w:eastAsia="仿宋" w:cs="仿宋"/>
          <w:b/>
          <w:color w:val="auto"/>
          <w:sz w:val="24"/>
          <w:szCs w:val="24"/>
        </w:rPr>
        <w:t>章 其他条款</w:t>
      </w:r>
      <w:bookmarkEnd w:id="811"/>
    </w:p>
    <w:p>
      <w:pPr>
        <w:pStyle w:val="2"/>
        <w:numPr>
          <w:ilvl w:val="0"/>
          <w:numId w:val="0"/>
        </w:numPr>
        <w:spacing w:after="120"/>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2</w:t>
      </w:r>
      <w:r>
        <w:rPr>
          <w:rFonts w:hint="eastAsia" w:ascii="仿宋" w:hAnsi="仿宋" w:eastAsia="仿宋" w:cs="仿宋"/>
          <w:color w:val="auto"/>
          <w:sz w:val="24"/>
          <w:szCs w:val="24"/>
        </w:rPr>
        <w:t>.1合同未尽事宜，或本合同需要变更，由双方进行协商并签订补充合同。本合同与补充合同中如不一致，以补充合同为准。</w:t>
      </w:r>
    </w:p>
    <w:p>
      <w:pPr>
        <w:pStyle w:val="2"/>
        <w:numPr>
          <w:ilvl w:val="0"/>
          <w:numId w:val="0"/>
        </w:numPr>
        <w:spacing w:after="120"/>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2</w:t>
      </w:r>
      <w:r>
        <w:rPr>
          <w:rFonts w:hint="eastAsia" w:ascii="仿宋" w:hAnsi="仿宋" w:eastAsia="仿宋" w:cs="仿宋"/>
          <w:color w:val="auto"/>
          <w:sz w:val="24"/>
          <w:szCs w:val="24"/>
        </w:rPr>
        <w:t>.2本合同正文和附件是不可分割的整体，具有同等法律效力。</w:t>
      </w:r>
    </w:p>
    <w:p>
      <w:pPr>
        <w:pStyle w:val="2"/>
        <w:numPr>
          <w:ilvl w:val="0"/>
          <w:numId w:val="0"/>
        </w:numPr>
        <w:spacing w:after="120"/>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2</w:t>
      </w:r>
      <w:r>
        <w:rPr>
          <w:rFonts w:hint="eastAsia" w:ascii="仿宋" w:hAnsi="仿宋" w:eastAsia="仿宋" w:cs="仿宋"/>
          <w:color w:val="auto"/>
          <w:sz w:val="24"/>
          <w:szCs w:val="24"/>
        </w:rPr>
        <w:t>.3本合同一式</w:t>
      </w:r>
      <w:r>
        <w:rPr>
          <w:rFonts w:hint="eastAsia" w:ascii="仿宋" w:hAnsi="仿宋" w:eastAsia="仿宋" w:cs="仿宋"/>
          <w:color w:val="auto"/>
          <w:sz w:val="24"/>
          <w:szCs w:val="24"/>
          <w:lang w:val="en-US" w:eastAsia="zh-CN"/>
        </w:rPr>
        <w:t>X</w:t>
      </w:r>
      <w:r>
        <w:rPr>
          <w:rFonts w:hint="eastAsia" w:ascii="仿宋" w:hAnsi="仿宋" w:eastAsia="仿宋" w:cs="仿宋"/>
          <w:color w:val="auto"/>
          <w:sz w:val="24"/>
          <w:szCs w:val="24"/>
        </w:rPr>
        <w:t>份，甲方执肆份，乙方执</w:t>
      </w:r>
      <w:r>
        <w:rPr>
          <w:rFonts w:hint="eastAsia" w:ascii="仿宋" w:hAnsi="仿宋" w:eastAsia="仿宋" w:cs="仿宋"/>
          <w:color w:val="auto"/>
          <w:sz w:val="24"/>
          <w:szCs w:val="24"/>
          <w:lang w:val="en-US" w:eastAsia="zh-CN"/>
        </w:rPr>
        <w:t>X</w:t>
      </w:r>
      <w:r>
        <w:rPr>
          <w:rFonts w:hint="eastAsia" w:ascii="仿宋" w:hAnsi="仿宋" w:eastAsia="仿宋" w:cs="仿宋"/>
          <w:color w:val="auto"/>
          <w:sz w:val="24"/>
          <w:szCs w:val="24"/>
        </w:rPr>
        <w:t>份。</w:t>
      </w:r>
    </w:p>
    <w:p>
      <w:pPr>
        <w:spacing w:line="400" w:lineRule="exact"/>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附件一：</w:t>
      </w:r>
      <w:r>
        <w:rPr>
          <w:rFonts w:hint="eastAsia" w:ascii="仿宋" w:hAnsi="仿宋" w:eastAsia="仿宋" w:cs="仿宋"/>
          <w:b/>
          <w:bCs/>
          <w:color w:val="auto"/>
          <w:sz w:val="24"/>
          <w:u w:val="none"/>
        </w:rPr>
        <w:t>工程量价款清单</w:t>
      </w:r>
    </w:p>
    <w:p>
      <w:pPr>
        <w:spacing w:line="400" w:lineRule="exact"/>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附件二：</w:t>
      </w:r>
      <w:bookmarkStart w:id="812" w:name="_Toc508106161"/>
      <w:r>
        <w:rPr>
          <w:rFonts w:hint="eastAsia" w:ascii="仿宋" w:hAnsi="仿宋" w:eastAsia="仿宋" w:cs="仿宋"/>
          <w:b/>
          <w:bCs/>
          <w:color w:val="auto"/>
          <w:sz w:val="24"/>
          <w:szCs w:val="24"/>
        </w:rPr>
        <w:t>技术要求</w:t>
      </w:r>
      <w:bookmarkEnd w:id="812"/>
    </w:p>
    <w:p>
      <w:pPr>
        <w:spacing w:line="400" w:lineRule="exact"/>
        <w:rPr>
          <w:rFonts w:hint="eastAsia"/>
          <w:color w:val="auto"/>
          <w:lang w:val="en-US" w:eastAsia="zh-CN"/>
        </w:rPr>
      </w:pPr>
      <w:r>
        <w:rPr>
          <w:rFonts w:hint="eastAsia" w:ascii="仿宋" w:hAnsi="仿宋" w:eastAsia="仿宋" w:cs="仿宋"/>
          <w:b/>
          <w:bCs/>
          <w:color w:val="auto"/>
          <w:sz w:val="24"/>
          <w:lang w:val="en-US" w:eastAsia="zh-CN"/>
        </w:rPr>
        <w:t>附件三：廉政合同</w:t>
      </w:r>
    </w:p>
    <w:p>
      <w:pPr>
        <w:pStyle w:val="28"/>
        <w:tabs>
          <w:tab w:val="left" w:pos="1200"/>
          <w:tab w:val="right" w:leader="dot" w:pos="9730"/>
        </w:tabs>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附件四：履约担保</w:t>
      </w:r>
    </w:p>
    <w:p>
      <w:pPr>
        <w:spacing w:line="400" w:lineRule="exact"/>
        <w:rPr>
          <w:rFonts w:hint="eastAsia" w:ascii="仿宋" w:hAnsi="仿宋" w:eastAsia="仿宋" w:cs="仿宋"/>
          <w:b/>
          <w:bCs/>
          <w:color w:val="auto"/>
          <w:sz w:val="24"/>
          <w:lang w:val="en-US" w:eastAsia="zh-CN"/>
        </w:rPr>
      </w:pPr>
      <w:r>
        <w:rPr>
          <w:rFonts w:hint="eastAsia" w:ascii="仿宋" w:hAnsi="仿宋" w:eastAsia="仿宋" w:cs="仿宋"/>
          <w:b/>
          <w:bCs/>
          <w:color w:val="auto"/>
          <w:sz w:val="24"/>
          <w:lang w:val="en-US" w:eastAsia="zh-CN"/>
        </w:rPr>
        <w:t>附件五：诚信合规协议（如有）</w:t>
      </w:r>
    </w:p>
    <w:p>
      <w:pPr>
        <w:spacing w:line="400" w:lineRule="exact"/>
        <w:rPr>
          <w:rFonts w:hint="eastAsia" w:ascii="仿宋" w:hAnsi="仿宋" w:eastAsia="仿宋" w:cs="仿宋"/>
          <w:b/>
          <w:bCs/>
          <w:color w:val="auto"/>
          <w:sz w:val="24"/>
        </w:rPr>
      </w:pPr>
      <w:r>
        <w:rPr>
          <w:rFonts w:hint="eastAsia" w:ascii="仿宋" w:hAnsi="仿宋" w:eastAsia="仿宋" w:cs="仿宋"/>
          <w:b/>
          <w:bCs/>
          <w:color w:val="auto"/>
          <w:sz w:val="24"/>
          <w:lang w:val="en-US" w:eastAsia="zh-CN"/>
        </w:rPr>
        <w:t>附件六：低价担保（如有）</w:t>
      </w:r>
    </w:p>
    <w:p>
      <w:pPr>
        <w:pStyle w:val="37"/>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37"/>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37"/>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37"/>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37"/>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37"/>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37"/>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37"/>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37"/>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37"/>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37"/>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37"/>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37"/>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37"/>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pStyle w:val="37"/>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p>
    <w:p>
      <w:pP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br w:type="page"/>
      </w:r>
    </w:p>
    <w:p>
      <w:pPr>
        <w:pStyle w:val="37"/>
        <w:spacing w:before="0" w:beforeAutospacing="0" w:after="0" w:afterAutospacing="0" w:line="440" w:lineRule="exac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w:t>
      </w:r>
      <w:r>
        <w:rPr>
          <w:rFonts w:hint="eastAsia" w:ascii="仿宋" w:hAnsi="仿宋" w:eastAsia="仿宋" w:cs="仿宋"/>
          <w:color w:val="auto"/>
          <w:kern w:val="2"/>
          <w:sz w:val="24"/>
          <w:szCs w:val="24"/>
          <w:lang w:val="en-US" w:eastAsia="zh-CN" w:bidi="ar-SA"/>
        </w:rPr>
        <w:t>以下</w:t>
      </w:r>
      <w:r>
        <w:rPr>
          <w:rFonts w:hint="eastAsia" w:ascii="仿宋" w:hAnsi="仿宋" w:eastAsia="仿宋" w:cs="仿宋"/>
          <w:color w:val="auto"/>
          <w:kern w:val="2"/>
          <w:sz w:val="24"/>
          <w:szCs w:val="24"/>
          <w:highlight w:val="none"/>
          <w:lang w:val="en-US" w:eastAsia="zh-CN" w:bidi="ar-SA"/>
        </w:rPr>
        <w:t>无合同正文）</w:t>
      </w:r>
    </w:p>
    <w:tbl>
      <w:tblPr>
        <w:tblStyle w:val="43"/>
        <w:tblW w:w="0" w:type="auto"/>
        <w:tblInd w:w="0" w:type="dxa"/>
        <w:tblLayout w:type="fixed"/>
        <w:tblCellMar>
          <w:top w:w="0" w:type="dxa"/>
          <w:left w:w="108" w:type="dxa"/>
          <w:bottom w:w="0" w:type="dxa"/>
          <w:right w:w="108" w:type="dxa"/>
        </w:tblCellMar>
      </w:tblPr>
      <w:tblGrid>
        <w:gridCol w:w="4896"/>
        <w:gridCol w:w="4583"/>
      </w:tblGrid>
      <w:tr>
        <w:tblPrEx>
          <w:tblCellMar>
            <w:top w:w="0" w:type="dxa"/>
            <w:left w:w="108" w:type="dxa"/>
            <w:bottom w:w="0" w:type="dxa"/>
            <w:right w:w="108" w:type="dxa"/>
          </w:tblCellMar>
        </w:tblPrEx>
        <w:trPr>
          <w:trHeight w:val="572" w:hRule="atLeast"/>
        </w:trPr>
        <w:tc>
          <w:tcPr>
            <w:tcW w:w="4896" w:type="dxa"/>
            <w:noWrap w:val="0"/>
            <w:vAlign w:val="top"/>
          </w:tcPr>
          <w:p>
            <w:pPr>
              <w:spacing w:line="40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highlight w:val="none"/>
              </w:rPr>
              <w:t>甲方名称：</w:t>
            </w:r>
            <w:r>
              <w:rPr>
                <w:rFonts w:hint="eastAsia" w:ascii="仿宋" w:hAnsi="仿宋" w:eastAsia="仿宋" w:cs="仿宋"/>
                <w:color w:val="auto"/>
                <w:sz w:val="24"/>
                <w:szCs w:val="24"/>
              </w:rPr>
              <w:t>重庆首讯科技股份有限公司（章）</w:t>
            </w:r>
          </w:p>
          <w:p>
            <w:pPr>
              <w:spacing w:line="400" w:lineRule="exact"/>
              <w:jc w:val="left"/>
              <w:rPr>
                <w:rFonts w:hint="eastAsia" w:ascii="仿宋" w:hAnsi="仿宋" w:eastAsia="仿宋" w:cs="仿宋"/>
                <w:color w:val="auto"/>
                <w:sz w:val="24"/>
                <w:szCs w:val="24"/>
                <w:highlight w:val="none"/>
              </w:rPr>
            </w:pPr>
          </w:p>
        </w:tc>
        <w:tc>
          <w:tcPr>
            <w:tcW w:w="4583" w:type="dxa"/>
            <w:noWrap w:val="0"/>
            <w:vAlign w:val="top"/>
          </w:tcPr>
          <w:p>
            <w:pPr>
              <w:spacing w:line="40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乙方名称：</w:t>
            </w:r>
            <w:r>
              <w:rPr>
                <w:rFonts w:hint="eastAsia" w:ascii="仿宋" w:hAnsi="仿宋" w:eastAsia="仿宋" w:cs="仿宋"/>
                <w:color w:val="auto"/>
                <w:sz w:val="24"/>
                <w:szCs w:val="24"/>
                <w:lang w:eastAsia="zh-CN"/>
              </w:rPr>
              <w:t>X</w:t>
            </w:r>
            <w:r>
              <w:rPr>
                <w:rFonts w:hint="eastAsia" w:ascii="仿宋" w:hAnsi="仿宋" w:eastAsia="仿宋" w:cs="仿宋"/>
                <w:color w:val="auto"/>
                <w:sz w:val="24"/>
                <w:szCs w:val="24"/>
                <w:lang w:val="en-US" w:eastAsia="zh-CN"/>
              </w:rPr>
              <w:t>XX</w:t>
            </w:r>
            <w:r>
              <w:rPr>
                <w:rFonts w:hint="eastAsia" w:ascii="仿宋" w:hAnsi="仿宋" w:eastAsia="仿宋" w:cs="仿宋"/>
                <w:color w:val="auto"/>
                <w:sz w:val="24"/>
                <w:szCs w:val="24"/>
                <w:highlight w:val="none"/>
              </w:rPr>
              <w:t>公司（章）</w:t>
            </w:r>
          </w:p>
          <w:p>
            <w:pPr>
              <w:spacing w:line="400" w:lineRule="exact"/>
              <w:rPr>
                <w:rFonts w:hint="eastAsia" w:ascii="仿宋" w:hAnsi="仿宋" w:eastAsia="仿宋" w:cs="仿宋"/>
                <w:color w:val="auto"/>
                <w:sz w:val="24"/>
                <w:szCs w:val="24"/>
                <w:highlight w:val="none"/>
              </w:rPr>
            </w:pPr>
          </w:p>
        </w:tc>
      </w:tr>
      <w:tr>
        <w:tblPrEx>
          <w:tblCellMar>
            <w:top w:w="0" w:type="dxa"/>
            <w:left w:w="108" w:type="dxa"/>
            <w:bottom w:w="0" w:type="dxa"/>
            <w:right w:w="108" w:type="dxa"/>
          </w:tblCellMar>
        </w:tblPrEx>
        <w:trPr>
          <w:trHeight w:val="572"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单位地址：</w:t>
            </w:r>
            <w:r>
              <w:rPr>
                <w:rFonts w:hint="eastAsia" w:ascii="仿宋" w:hAnsi="仿宋" w:eastAsia="仿宋" w:cs="仿宋"/>
                <w:color w:val="auto"/>
                <w:sz w:val="24"/>
                <w:szCs w:val="24"/>
              </w:rPr>
              <w:t>重庆市渝北区余松西路155号1幢7-5</w:t>
            </w:r>
          </w:p>
        </w:tc>
        <w:tc>
          <w:tcPr>
            <w:tcW w:w="4583" w:type="dxa"/>
            <w:noWrap w:val="0"/>
            <w:vAlign w:val="top"/>
          </w:tcPr>
          <w:p>
            <w:pPr>
              <w:spacing w:line="400" w:lineRule="exact"/>
              <w:jc w:val="left"/>
              <w:rPr>
                <w:rFonts w:hint="default" w:ascii="仿宋" w:hAnsi="仿宋" w:eastAsia="仿宋" w:cs="仿宋"/>
                <w:color w:val="auto"/>
                <w:sz w:val="24"/>
                <w:szCs w:val="24"/>
                <w:highlight w:val="none"/>
              </w:rPr>
            </w:pPr>
            <w:r>
              <w:rPr>
                <w:rFonts w:hint="eastAsia" w:ascii="仿宋" w:hAnsi="仿宋" w:eastAsia="仿宋" w:cs="仿宋"/>
                <w:color w:val="auto"/>
                <w:sz w:val="24"/>
                <w:szCs w:val="24"/>
                <w:highlight w:val="none"/>
              </w:rPr>
              <w:t>单位地址：</w:t>
            </w:r>
            <w:r>
              <w:rPr>
                <w:rFonts w:hint="eastAsia" w:ascii="仿宋" w:hAnsi="仿宋" w:eastAsia="仿宋" w:cs="仿宋"/>
                <w:color w:val="auto"/>
                <w:sz w:val="24"/>
                <w:szCs w:val="24"/>
                <w:lang w:eastAsia="zh-CN"/>
              </w:rPr>
              <w:t>X</w:t>
            </w:r>
            <w:r>
              <w:rPr>
                <w:rFonts w:hint="eastAsia" w:ascii="仿宋" w:hAnsi="仿宋" w:eastAsia="仿宋" w:cs="仿宋"/>
                <w:color w:val="auto"/>
                <w:sz w:val="24"/>
                <w:szCs w:val="24"/>
                <w:lang w:val="en-US" w:eastAsia="zh-CN"/>
              </w:rPr>
              <w:t>XX</w:t>
            </w:r>
          </w:p>
        </w:tc>
      </w:tr>
      <w:tr>
        <w:tblPrEx>
          <w:tblCellMar>
            <w:top w:w="0" w:type="dxa"/>
            <w:left w:w="108" w:type="dxa"/>
            <w:bottom w:w="0" w:type="dxa"/>
            <w:right w:w="108" w:type="dxa"/>
          </w:tblCellMar>
        </w:tblPrEx>
        <w:trPr>
          <w:trHeight w:val="572" w:hRule="atLeast"/>
        </w:trPr>
        <w:tc>
          <w:tcPr>
            <w:tcW w:w="4896" w:type="dxa"/>
            <w:noWrap w:val="0"/>
            <w:vAlign w:val="top"/>
          </w:tcPr>
          <w:p>
            <w:pPr>
              <w:keepNext w:val="0"/>
              <w:keepLines w:val="0"/>
              <w:pageBreakBefore w:val="0"/>
              <w:kinsoku/>
              <w:wordWrap/>
              <w:overflowPunct/>
              <w:topLinePunct w:val="0"/>
              <w:autoSpaceDE/>
              <w:autoSpaceDN/>
              <w:bidi w:val="0"/>
              <w:adjustRightInd/>
              <w:snapToGrid/>
              <w:spacing w:line="400" w:lineRule="exact"/>
              <w:textAlignment w:val="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rPr>
              <w:t>法定代表人或委托代理人</w:t>
            </w:r>
            <w:r>
              <w:rPr>
                <w:rFonts w:hint="eastAsia" w:ascii="仿宋" w:hAnsi="仿宋" w:eastAsia="仿宋" w:cs="仿宋"/>
                <w:color w:val="auto"/>
                <w:sz w:val="24"/>
                <w:szCs w:val="24"/>
                <w:lang w:eastAsia="zh-CN"/>
              </w:rPr>
              <w:t>：</w:t>
            </w:r>
          </w:p>
          <w:p>
            <w:pPr>
              <w:spacing w:line="400" w:lineRule="exact"/>
              <w:rPr>
                <w:rFonts w:hint="eastAsia" w:ascii="仿宋" w:hAnsi="仿宋" w:eastAsia="仿宋" w:cs="仿宋"/>
                <w:color w:val="auto"/>
                <w:sz w:val="24"/>
                <w:lang w:eastAsia="zh-CN"/>
              </w:rPr>
            </w:pPr>
          </w:p>
          <w:p>
            <w:pPr>
              <w:spacing w:line="400" w:lineRule="exact"/>
              <w:rPr>
                <w:rFonts w:hint="eastAsia" w:ascii="仿宋" w:hAnsi="仿宋" w:eastAsia="仿宋" w:cs="仿宋"/>
                <w:color w:val="auto"/>
                <w:sz w:val="24"/>
                <w:szCs w:val="24"/>
                <w:lang w:eastAsia="zh-CN"/>
              </w:rPr>
            </w:pPr>
          </w:p>
        </w:tc>
        <w:tc>
          <w:tcPr>
            <w:tcW w:w="4583" w:type="dxa"/>
            <w:noWrap w:val="0"/>
            <w:vAlign w:val="top"/>
          </w:tcPr>
          <w:p>
            <w:pPr>
              <w:keepNext w:val="0"/>
              <w:keepLines w:val="0"/>
              <w:pageBreakBefore w:val="0"/>
              <w:kinsoku/>
              <w:wordWrap/>
              <w:overflowPunct/>
              <w:topLinePunct w:val="0"/>
              <w:autoSpaceDE/>
              <w:autoSpaceDN/>
              <w:bidi w:val="0"/>
              <w:adjustRightInd/>
              <w:snapToGrid/>
              <w:spacing w:line="400" w:lineRule="exact"/>
              <w:textAlignment w:val="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rPr>
              <w:t>法定代表人或委托代理人</w:t>
            </w:r>
            <w:r>
              <w:rPr>
                <w:rFonts w:hint="eastAsia" w:ascii="仿宋" w:hAnsi="仿宋" w:eastAsia="仿宋" w:cs="仿宋"/>
                <w:color w:val="auto"/>
                <w:sz w:val="24"/>
                <w:szCs w:val="24"/>
                <w:lang w:eastAsia="zh-CN"/>
              </w:rPr>
              <w:t>：</w:t>
            </w:r>
          </w:p>
          <w:p>
            <w:pPr>
              <w:spacing w:line="400" w:lineRule="exact"/>
              <w:jc w:val="left"/>
              <w:rPr>
                <w:rFonts w:hint="eastAsia" w:ascii="仿宋" w:hAnsi="仿宋" w:eastAsia="仿宋" w:cs="仿宋"/>
                <w:color w:val="auto"/>
                <w:sz w:val="24"/>
                <w:szCs w:val="24"/>
              </w:rPr>
            </w:pPr>
          </w:p>
        </w:tc>
      </w:tr>
      <w:tr>
        <w:tblPrEx>
          <w:tblCellMar>
            <w:top w:w="0" w:type="dxa"/>
            <w:left w:w="108" w:type="dxa"/>
            <w:bottom w:w="0" w:type="dxa"/>
            <w:right w:w="108" w:type="dxa"/>
          </w:tblCellMar>
        </w:tblPrEx>
        <w:trPr>
          <w:trHeight w:val="286"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经办人</w:t>
            </w:r>
            <w:r>
              <w:rPr>
                <w:rFonts w:hint="eastAsia" w:ascii="仿宋" w:hAnsi="仿宋" w:eastAsia="仿宋" w:cs="仿宋"/>
                <w:color w:val="auto"/>
                <w:sz w:val="24"/>
                <w:szCs w:val="24"/>
                <w:highlight w:val="none"/>
              </w:rPr>
              <w:t>：</w:t>
            </w:r>
          </w:p>
        </w:tc>
        <w:tc>
          <w:tcPr>
            <w:tcW w:w="4583" w:type="dxa"/>
            <w:noWrap w:val="0"/>
            <w:vAlign w:val="top"/>
          </w:tcPr>
          <w:p>
            <w:pPr>
              <w:spacing w:line="40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经办人</w:t>
            </w:r>
            <w:r>
              <w:rPr>
                <w:rFonts w:hint="eastAsia" w:ascii="仿宋" w:hAnsi="仿宋" w:eastAsia="仿宋" w:cs="仿宋"/>
                <w:color w:val="auto"/>
                <w:sz w:val="24"/>
                <w:szCs w:val="24"/>
                <w:highlight w:val="none"/>
              </w:rPr>
              <w:t>：</w:t>
            </w:r>
          </w:p>
        </w:tc>
      </w:tr>
      <w:tr>
        <w:tblPrEx>
          <w:tblCellMar>
            <w:top w:w="0" w:type="dxa"/>
            <w:left w:w="108" w:type="dxa"/>
            <w:bottom w:w="0" w:type="dxa"/>
            <w:right w:w="108" w:type="dxa"/>
          </w:tblCellMar>
        </w:tblPrEx>
        <w:trPr>
          <w:trHeight w:val="286" w:hRule="atLeast"/>
        </w:trPr>
        <w:tc>
          <w:tcPr>
            <w:tcW w:w="4896" w:type="dxa"/>
            <w:noWrap w:val="0"/>
            <w:vAlign w:val="top"/>
          </w:tcPr>
          <w:p>
            <w:pPr>
              <w:spacing w:line="400" w:lineRule="exact"/>
              <w:jc w:val="lef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公司电话：</w:t>
            </w:r>
            <w:r>
              <w:rPr>
                <w:rFonts w:hint="eastAsia" w:ascii="仿宋" w:hAnsi="仿宋" w:eastAsia="仿宋" w:cs="仿宋"/>
                <w:color w:val="auto"/>
              </w:rPr>
              <w:t xml:space="preserve">023-86917860 </w:t>
            </w:r>
          </w:p>
        </w:tc>
        <w:tc>
          <w:tcPr>
            <w:tcW w:w="4583" w:type="dxa"/>
            <w:noWrap w:val="0"/>
            <w:vAlign w:val="top"/>
          </w:tcPr>
          <w:p>
            <w:pPr>
              <w:widowControl/>
              <w:spacing w:line="400" w:lineRule="exact"/>
              <w:jc w:val="left"/>
              <w:rPr>
                <w:rFonts w:hint="eastAsia" w:ascii="仿宋" w:hAnsi="仿宋" w:eastAsia="仿宋" w:cs="仿宋"/>
                <w:bCs w:val="0"/>
                <w:color w:val="auto"/>
                <w:sz w:val="24"/>
                <w:szCs w:val="24"/>
                <w:highlight w:val="none"/>
              </w:rPr>
            </w:pPr>
            <w:r>
              <w:rPr>
                <w:rFonts w:hint="eastAsia" w:ascii="仿宋" w:hAnsi="仿宋" w:eastAsia="仿宋" w:cs="仿宋"/>
                <w:color w:val="auto"/>
                <w:sz w:val="24"/>
                <w:szCs w:val="24"/>
                <w:lang w:val="en-US" w:eastAsia="zh-CN"/>
              </w:rPr>
              <w:t>公司电话</w:t>
            </w:r>
            <w:r>
              <w:rPr>
                <w:rFonts w:hint="eastAsia" w:ascii="仿宋" w:hAnsi="仿宋" w:eastAsia="仿宋" w:cs="仿宋"/>
                <w:bCs w:val="0"/>
                <w:color w:val="auto"/>
                <w:sz w:val="24"/>
                <w:szCs w:val="24"/>
                <w:lang w:val="en-US" w:eastAsia="zh-CN"/>
              </w:rPr>
              <w:t>：</w:t>
            </w:r>
          </w:p>
        </w:tc>
      </w:tr>
      <w:tr>
        <w:tblPrEx>
          <w:tblCellMar>
            <w:top w:w="0" w:type="dxa"/>
            <w:left w:w="108" w:type="dxa"/>
            <w:bottom w:w="0" w:type="dxa"/>
            <w:right w:w="108" w:type="dxa"/>
          </w:tblCellMar>
        </w:tblPrEx>
        <w:trPr>
          <w:trHeight w:val="527"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rPr>
              <w:t>开户银行：</w:t>
            </w:r>
            <w:r>
              <w:rPr>
                <w:rFonts w:hint="eastAsia" w:ascii="仿宋" w:hAnsi="仿宋" w:eastAsia="仿宋" w:cs="仿宋"/>
                <w:bCs w:val="0"/>
                <w:color w:val="auto"/>
                <w:sz w:val="24"/>
                <w:szCs w:val="24"/>
              </w:rPr>
              <w:t>中国光大银行股份有限公司重庆冉家坝支行</w:t>
            </w:r>
          </w:p>
        </w:tc>
        <w:tc>
          <w:tcPr>
            <w:tcW w:w="4583" w:type="dxa"/>
            <w:noWrap w:val="0"/>
            <w:vAlign w:val="top"/>
          </w:tcPr>
          <w:p>
            <w:pPr>
              <w:widowControl/>
              <w:spacing w:line="400" w:lineRule="exact"/>
              <w:jc w:val="left"/>
              <w:rPr>
                <w:rFonts w:hint="default" w:ascii="仿宋" w:hAnsi="仿宋" w:eastAsia="仿宋" w:cs="仿宋"/>
                <w:bCs w:val="0"/>
                <w:color w:val="auto"/>
                <w:sz w:val="24"/>
                <w:szCs w:val="24"/>
                <w:highlight w:val="none"/>
              </w:rPr>
            </w:pPr>
            <w:r>
              <w:rPr>
                <w:rFonts w:hint="eastAsia" w:ascii="仿宋" w:hAnsi="仿宋" w:eastAsia="仿宋" w:cs="仿宋"/>
                <w:bCs w:val="0"/>
                <w:color w:val="auto"/>
                <w:sz w:val="24"/>
                <w:szCs w:val="24"/>
              </w:rPr>
              <w:t>开户银行：</w:t>
            </w:r>
            <w:r>
              <w:rPr>
                <w:rFonts w:hint="eastAsia" w:ascii="仿宋" w:hAnsi="仿宋" w:eastAsia="仿宋" w:cs="仿宋"/>
                <w:bCs w:val="0"/>
                <w:color w:val="auto"/>
                <w:sz w:val="24"/>
                <w:szCs w:val="24"/>
                <w:lang w:eastAsia="zh-CN"/>
              </w:rPr>
              <w:t>X</w:t>
            </w:r>
            <w:r>
              <w:rPr>
                <w:rFonts w:hint="eastAsia" w:ascii="仿宋" w:hAnsi="仿宋" w:eastAsia="仿宋" w:cs="仿宋"/>
                <w:bCs w:val="0"/>
                <w:color w:val="auto"/>
                <w:sz w:val="24"/>
                <w:szCs w:val="24"/>
                <w:lang w:val="en-US" w:eastAsia="zh-CN"/>
              </w:rPr>
              <w:t>XX</w:t>
            </w:r>
          </w:p>
        </w:tc>
      </w:tr>
      <w:tr>
        <w:tblPrEx>
          <w:tblCellMar>
            <w:top w:w="0" w:type="dxa"/>
            <w:left w:w="108" w:type="dxa"/>
            <w:bottom w:w="0" w:type="dxa"/>
            <w:right w:w="108" w:type="dxa"/>
          </w:tblCellMar>
        </w:tblPrEx>
        <w:trPr>
          <w:trHeight w:val="527" w:hRule="atLeast"/>
        </w:trPr>
        <w:tc>
          <w:tcPr>
            <w:tcW w:w="4896" w:type="dxa"/>
            <w:noWrap w:val="0"/>
            <w:vAlign w:val="top"/>
          </w:tcPr>
          <w:p>
            <w:pPr>
              <w:spacing w:line="400" w:lineRule="exact"/>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rPr>
              <w:t>银行账号：</w:t>
            </w:r>
            <w:r>
              <w:rPr>
                <w:rFonts w:hint="eastAsia" w:ascii="仿宋" w:hAnsi="仿宋" w:eastAsia="仿宋" w:cs="仿宋"/>
                <w:bCs w:val="0"/>
                <w:color w:val="auto"/>
                <w:sz w:val="24"/>
                <w:szCs w:val="24"/>
              </w:rPr>
              <w:t>39530188000016968</w:t>
            </w:r>
          </w:p>
        </w:tc>
        <w:tc>
          <w:tcPr>
            <w:tcW w:w="4583" w:type="dxa"/>
            <w:noWrap w:val="0"/>
            <w:vAlign w:val="top"/>
          </w:tcPr>
          <w:p>
            <w:pPr>
              <w:widowControl/>
              <w:spacing w:before="0" w:beforeLines="0" w:line="400" w:lineRule="exact"/>
              <w:jc w:val="left"/>
              <w:rPr>
                <w:rFonts w:hint="default" w:ascii="仿宋" w:hAnsi="仿宋" w:eastAsia="仿宋" w:cs="仿宋"/>
                <w:bCs w:val="0"/>
                <w:color w:val="auto"/>
                <w:sz w:val="24"/>
                <w:szCs w:val="24"/>
                <w:highlight w:val="none"/>
              </w:rPr>
            </w:pPr>
            <w:r>
              <w:rPr>
                <w:rFonts w:hint="eastAsia" w:ascii="仿宋" w:hAnsi="仿宋" w:eastAsia="仿宋" w:cs="仿宋"/>
                <w:bCs w:val="0"/>
                <w:color w:val="auto"/>
                <w:sz w:val="24"/>
                <w:szCs w:val="24"/>
              </w:rPr>
              <w:t>银行帐号：</w:t>
            </w:r>
            <w:r>
              <w:rPr>
                <w:rFonts w:hint="eastAsia" w:ascii="仿宋" w:hAnsi="仿宋" w:eastAsia="仿宋" w:cs="仿宋"/>
                <w:bCs w:val="0"/>
                <w:color w:val="auto"/>
                <w:sz w:val="24"/>
                <w:szCs w:val="24"/>
                <w:lang w:eastAsia="zh-CN"/>
              </w:rPr>
              <w:t>X</w:t>
            </w:r>
            <w:r>
              <w:rPr>
                <w:rFonts w:hint="eastAsia" w:ascii="仿宋" w:hAnsi="仿宋" w:eastAsia="仿宋" w:cs="仿宋"/>
                <w:bCs w:val="0"/>
                <w:color w:val="auto"/>
                <w:sz w:val="24"/>
                <w:szCs w:val="24"/>
                <w:lang w:val="en-US" w:eastAsia="zh-CN"/>
              </w:rPr>
              <w:t>XX</w:t>
            </w:r>
          </w:p>
        </w:tc>
      </w:tr>
      <w:tr>
        <w:tblPrEx>
          <w:tblCellMar>
            <w:top w:w="0" w:type="dxa"/>
            <w:left w:w="108" w:type="dxa"/>
            <w:bottom w:w="0" w:type="dxa"/>
            <w:right w:w="108" w:type="dxa"/>
          </w:tblCellMar>
        </w:tblPrEx>
        <w:trPr>
          <w:trHeight w:val="527" w:hRule="atLeast"/>
        </w:trPr>
        <w:tc>
          <w:tcPr>
            <w:tcW w:w="4896" w:type="dxa"/>
            <w:noWrap w:val="0"/>
            <w:vAlign w:val="center"/>
          </w:tcPr>
          <w:p>
            <w:pPr>
              <w:spacing w:line="400" w:lineRule="exact"/>
              <w:jc w:val="lef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日期：     年     月     日</w:t>
            </w:r>
          </w:p>
        </w:tc>
        <w:tc>
          <w:tcPr>
            <w:tcW w:w="4583" w:type="dxa"/>
            <w:noWrap w:val="0"/>
            <w:vAlign w:val="top"/>
          </w:tcPr>
          <w:p>
            <w:pPr>
              <w:spacing w:before="0" w:beforeLines="0" w:line="400" w:lineRule="exact"/>
              <w:jc w:val="left"/>
              <w:rPr>
                <w:rFonts w:hint="eastAsia" w:ascii="仿宋" w:hAnsi="仿宋" w:eastAsia="仿宋" w:cs="仿宋"/>
                <w:bCs w:val="0"/>
                <w:color w:val="auto"/>
                <w:kern w:val="2"/>
                <w:sz w:val="24"/>
                <w:szCs w:val="24"/>
                <w:lang w:val="en-US" w:eastAsia="zh-CN" w:bidi="ar-SA"/>
              </w:rPr>
            </w:pPr>
            <w:r>
              <w:rPr>
                <w:rFonts w:hint="eastAsia" w:ascii="仿宋" w:hAnsi="仿宋" w:eastAsia="仿宋" w:cs="仿宋"/>
                <w:color w:val="auto"/>
                <w:sz w:val="24"/>
                <w:szCs w:val="24"/>
                <w:lang w:val="en-US" w:eastAsia="zh-CN"/>
              </w:rPr>
              <w:t>日期：     年     月     日</w:t>
            </w:r>
          </w:p>
        </w:tc>
      </w:tr>
    </w:tbl>
    <w:p>
      <w:pPr>
        <w:spacing w:line="400" w:lineRule="exact"/>
        <w:rPr>
          <w:rFonts w:hint="eastAsia" w:ascii="仿宋" w:hAnsi="仿宋" w:eastAsia="仿宋" w:cs="仿宋"/>
          <w:color w:val="auto"/>
          <w:sz w:val="24"/>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rPr>
          <w:rFonts w:hint="default"/>
          <w:color w:val="auto"/>
        </w:rPr>
      </w:pPr>
    </w:p>
    <w:p>
      <w:pPr>
        <w:widowControl/>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br w:type="page"/>
      </w:r>
    </w:p>
    <w:p>
      <w:pPr>
        <w:widowControl/>
        <w:spacing w:line="240" w:lineRule="auto"/>
        <w:jc w:val="left"/>
        <w:rPr>
          <w:rFonts w:hint="eastAsia"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t>附件</w:t>
      </w:r>
      <w:r>
        <w:rPr>
          <w:rFonts w:hint="eastAsia" w:ascii="仿宋" w:hAnsi="仿宋" w:eastAsia="仿宋" w:cs="仿宋"/>
          <w:b/>
          <w:color w:val="auto"/>
          <w:kern w:val="0"/>
          <w:sz w:val="32"/>
          <w:szCs w:val="32"/>
          <w:lang w:val="en-US" w:eastAsia="zh-CN" w:bidi="ar-SA"/>
        </w:rPr>
        <w:t>一</w:t>
      </w:r>
      <w:r>
        <w:rPr>
          <w:rFonts w:hint="default" w:ascii="仿宋" w:hAnsi="仿宋" w:eastAsia="仿宋" w:cs="仿宋"/>
          <w:b/>
          <w:color w:val="auto"/>
          <w:kern w:val="0"/>
          <w:sz w:val="32"/>
          <w:szCs w:val="32"/>
          <w:lang w:bidi="ar-SA"/>
        </w:rPr>
        <w:t>：</w:t>
      </w:r>
      <w:r>
        <w:rPr>
          <w:rFonts w:hint="default" w:ascii="仿宋" w:hAnsi="仿宋" w:eastAsia="仿宋" w:cs="仿宋"/>
          <w:b/>
          <w:bCs w:val="0"/>
          <w:color w:val="auto"/>
          <w:kern w:val="0"/>
          <w:sz w:val="32"/>
          <w:szCs w:val="32"/>
          <w:u w:val="none"/>
        </w:rPr>
        <w:t>工程量价款清单</w:t>
      </w:r>
    </w:p>
    <w:p>
      <w:pPr>
        <w:tabs>
          <w:tab w:val="left" w:pos="2880"/>
          <w:tab w:val="left" w:pos="7020"/>
        </w:tabs>
        <w:spacing w:line="360" w:lineRule="auto"/>
        <w:ind w:left="630" w:leftChars="300" w:right="178" w:rightChars="85"/>
        <w:rPr>
          <w:rFonts w:hint="eastAsia" w:ascii="仿宋" w:hAnsi="仿宋" w:eastAsia="仿宋" w:cs="仿宋"/>
          <w:color w:val="auto"/>
          <w:kern w:val="0"/>
          <w:sz w:val="24"/>
        </w:rPr>
      </w:pPr>
      <w:r>
        <w:rPr>
          <w:rFonts w:hint="eastAsia" w:ascii="仿宋" w:hAnsi="仿宋" w:eastAsia="仿宋" w:cs="仿宋"/>
          <w:color w:val="auto"/>
          <w:kern w:val="0"/>
          <w:sz w:val="24"/>
        </w:rPr>
        <w:t xml:space="preserve"> </w:t>
      </w:r>
      <w:r>
        <w:rPr>
          <w:rFonts w:hint="eastAsia" w:ascii="仿宋" w:hAnsi="仿宋" w:eastAsia="仿宋" w:cs="仿宋"/>
          <w:color w:val="auto"/>
          <w:kern w:val="0"/>
          <w:sz w:val="24"/>
          <w:lang w:val="en-US" w:eastAsia="zh-CN"/>
        </w:rPr>
        <w:t xml:space="preserve">                                                    </w:t>
      </w:r>
      <w:r>
        <w:rPr>
          <w:rFonts w:hint="eastAsia" w:ascii="仿宋" w:hAnsi="仿宋" w:eastAsia="仿宋" w:cs="仿宋"/>
          <w:color w:val="auto"/>
          <w:kern w:val="0"/>
          <w:sz w:val="24"/>
        </w:rPr>
        <w:t xml:space="preserve"> 单位：人民币元</w:t>
      </w:r>
      <w:r>
        <w:rPr>
          <w:rFonts w:hint="eastAsia" w:ascii="仿宋" w:hAnsi="仿宋" w:eastAsia="仿宋" w:cs="仿宋"/>
          <w:color w:val="auto"/>
          <w:kern w:val="0"/>
          <w:sz w:val="24"/>
        </w:rPr>
        <w:tab/>
      </w:r>
    </w:p>
    <w:tbl>
      <w:tblPr>
        <w:tblStyle w:val="43"/>
        <w:tblW w:w="0" w:type="auto"/>
        <w:tblInd w:w="93" w:type="dxa"/>
        <w:tblLayout w:type="fixed"/>
        <w:tblCellMar>
          <w:top w:w="0" w:type="dxa"/>
          <w:left w:w="108" w:type="dxa"/>
          <w:bottom w:w="0" w:type="dxa"/>
          <w:right w:w="108" w:type="dxa"/>
        </w:tblCellMar>
      </w:tblPr>
      <w:tblGrid>
        <w:gridCol w:w="684"/>
        <w:gridCol w:w="1299"/>
        <w:gridCol w:w="993"/>
        <w:gridCol w:w="1189"/>
        <w:gridCol w:w="1310"/>
        <w:gridCol w:w="725"/>
        <w:gridCol w:w="752"/>
        <w:gridCol w:w="875"/>
        <w:gridCol w:w="575"/>
        <w:gridCol w:w="684"/>
      </w:tblGrid>
      <w:tr>
        <w:tblPrEx>
          <w:tblCellMar>
            <w:top w:w="0" w:type="dxa"/>
            <w:left w:w="108" w:type="dxa"/>
            <w:bottom w:w="0" w:type="dxa"/>
            <w:right w:w="108" w:type="dxa"/>
          </w:tblCellMar>
        </w:tblPrEx>
        <w:trPr>
          <w:trHeight w:val="673"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序号</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产品名称</w:t>
            </w: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主要参数配置</w:t>
            </w: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品牌</w:t>
            </w: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规格型号</w:t>
            </w: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数量</w:t>
            </w: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单位</w:t>
            </w: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iCs w:val="0"/>
                <w:color w:val="auto"/>
                <w:kern w:val="0"/>
                <w:sz w:val="24"/>
                <w:szCs w:val="24"/>
                <w:u w:val="none"/>
                <w:lang w:eastAsia="zh-CN" w:bidi="ar"/>
              </w:rPr>
            </w:pPr>
            <w:r>
              <w:rPr>
                <w:rFonts w:hint="default" w:ascii="仿宋" w:hAnsi="仿宋" w:eastAsia="仿宋" w:cs="仿宋"/>
                <w:i w:val="0"/>
                <w:iCs w:val="0"/>
                <w:color w:val="auto"/>
                <w:kern w:val="0"/>
                <w:sz w:val="24"/>
                <w:szCs w:val="24"/>
                <w:u w:val="none"/>
                <w:lang w:eastAsia="zh-CN" w:bidi="ar"/>
              </w:rPr>
              <w:t>单价（含税）</w:t>
            </w: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小计</w:t>
            </w: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备注</w:t>
            </w: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1</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2</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3</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4</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5" w:hRule="atLeast"/>
        </w:trPr>
        <w:tc>
          <w:tcPr>
            <w:tcW w:w="68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5</w:t>
            </w:r>
          </w:p>
        </w:tc>
        <w:tc>
          <w:tcPr>
            <w:tcW w:w="12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99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1189"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1310" w:type="dxa"/>
            <w:tcBorders>
              <w:top w:val="single" w:color="000000" w:sz="4" w:space="0"/>
              <w:left w:val="single" w:color="000000" w:sz="4" w:space="0"/>
              <w:bottom w:val="single" w:color="000000" w:sz="4" w:space="0"/>
              <w:right w:val="single" w:color="000000" w:sz="4" w:space="0"/>
            </w:tcBorders>
            <w:noWrap w:val="0"/>
            <w:vAlign w:val="center"/>
          </w:tcPr>
          <w:p>
            <w:pPr>
              <w:jc w:val="left"/>
              <w:rPr>
                <w:rFonts w:hint="eastAsia" w:ascii="仿宋" w:hAnsi="仿宋" w:eastAsia="仿宋" w:cs="仿宋"/>
                <w:i w:val="0"/>
                <w:iCs w:val="0"/>
                <w:color w:val="auto"/>
                <w:sz w:val="24"/>
                <w:szCs w:val="24"/>
                <w:u w:val="none"/>
              </w:rPr>
            </w:pPr>
          </w:p>
        </w:tc>
        <w:tc>
          <w:tcPr>
            <w:tcW w:w="7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75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c>
          <w:tcPr>
            <w:tcW w:w="6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 w:hAnsi="仿宋" w:eastAsia="仿宋" w:cs="仿宋"/>
                <w:i w:val="0"/>
                <w:iCs w:val="0"/>
                <w:color w:val="auto"/>
                <w:sz w:val="24"/>
                <w:szCs w:val="24"/>
                <w:u w:val="none"/>
              </w:rPr>
            </w:pPr>
          </w:p>
        </w:tc>
      </w:tr>
      <w:tr>
        <w:tblPrEx>
          <w:tblCellMar>
            <w:top w:w="0" w:type="dxa"/>
            <w:left w:w="108" w:type="dxa"/>
            <w:bottom w:w="0" w:type="dxa"/>
            <w:right w:w="108" w:type="dxa"/>
          </w:tblCellMar>
        </w:tblPrEx>
        <w:trPr>
          <w:trHeight w:val="352" w:hRule="atLeast"/>
        </w:trPr>
        <w:tc>
          <w:tcPr>
            <w:tcW w:w="695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不含税金额合计</w:t>
            </w:r>
            <w:r>
              <w:rPr>
                <w:rFonts w:hint="default" w:ascii="仿宋" w:hAnsi="仿宋" w:eastAsia="仿宋" w:cs="仿宋"/>
                <w:i w:val="0"/>
                <w:iCs w:val="0"/>
                <w:color w:val="auto"/>
                <w:kern w:val="0"/>
                <w:sz w:val="24"/>
                <w:szCs w:val="24"/>
                <w:u w:val="none"/>
                <w:lang w:eastAsia="zh-CN" w:bidi="ar"/>
              </w:rPr>
              <w:t>：大写XX</w:t>
            </w:r>
          </w:p>
        </w:tc>
        <w:tc>
          <w:tcPr>
            <w:tcW w:w="8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575" w:type="dxa"/>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i w:val="0"/>
                <w:iCs w:val="0"/>
                <w:color w:val="auto"/>
                <w:sz w:val="18"/>
                <w:szCs w:val="18"/>
                <w:u w:val="none"/>
              </w:rPr>
            </w:pPr>
          </w:p>
        </w:tc>
        <w:tc>
          <w:tcPr>
            <w:tcW w:w="68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r>
      <w:tr>
        <w:tblPrEx>
          <w:tblCellMar>
            <w:top w:w="0" w:type="dxa"/>
            <w:left w:w="108" w:type="dxa"/>
            <w:bottom w:w="0" w:type="dxa"/>
            <w:right w:w="108" w:type="dxa"/>
          </w:tblCellMar>
        </w:tblPrEx>
        <w:trPr>
          <w:trHeight w:val="352" w:hRule="atLeast"/>
        </w:trPr>
        <w:tc>
          <w:tcPr>
            <w:tcW w:w="695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税金</w:t>
            </w:r>
            <w:r>
              <w:rPr>
                <w:rFonts w:hint="default" w:ascii="仿宋" w:hAnsi="仿宋" w:eastAsia="仿宋" w:cs="仿宋"/>
                <w:i w:val="0"/>
                <w:iCs w:val="0"/>
                <w:color w:val="auto"/>
                <w:kern w:val="0"/>
                <w:sz w:val="24"/>
                <w:szCs w:val="24"/>
                <w:u w:val="none"/>
                <w:lang w:eastAsia="zh-CN" w:bidi="ar"/>
              </w:rPr>
              <w:t>（税率X%）：大写XX</w:t>
            </w:r>
          </w:p>
        </w:tc>
        <w:tc>
          <w:tcPr>
            <w:tcW w:w="8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575"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r>
      <w:tr>
        <w:tblPrEx>
          <w:tblCellMar>
            <w:top w:w="0" w:type="dxa"/>
            <w:left w:w="108" w:type="dxa"/>
            <w:bottom w:w="0" w:type="dxa"/>
            <w:right w:w="108" w:type="dxa"/>
          </w:tblCellMar>
        </w:tblPrEx>
        <w:trPr>
          <w:trHeight w:val="381" w:hRule="atLeast"/>
        </w:trPr>
        <w:tc>
          <w:tcPr>
            <w:tcW w:w="6952" w:type="dxa"/>
            <w:gridSpan w:val="7"/>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仿宋" w:hAnsi="仿宋" w:eastAsia="仿宋" w:cs="仿宋"/>
                <w:i w:val="0"/>
                <w:iCs w:val="0"/>
                <w:color w:val="auto"/>
                <w:sz w:val="24"/>
                <w:szCs w:val="24"/>
                <w:u w:val="none"/>
              </w:rPr>
            </w:pPr>
            <w:r>
              <w:rPr>
                <w:rFonts w:hint="eastAsia" w:ascii="仿宋" w:hAnsi="仿宋" w:eastAsia="仿宋" w:cs="仿宋"/>
                <w:i w:val="0"/>
                <w:iCs w:val="0"/>
                <w:color w:val="auto"/>
                <w:kern w:val="0"/>
                <w:sz w:val="24"/>
                <w:szCs w:val="24"/>
                <w:u w:val="none"/>
                <w:lang w:val="en-US" w:eastAsia="zh-CN" w:bidi="ar"/>
              </w:rPr>
              <w:t>含税总金额合计</w:t>
            </w:r>
            <w:r>
              <w:rPr>
                <w:rFonts w:hint="default" w:ascii="仿宋" w:hAnsi="仿宋" w:eastAsia="仿宋" w:cs="仿宋"/>
                <w:i w:val="0"/>
                <w:iCs w:val="0"/>
                <w:color w:val="auto"/>
                <w:kern w:val="0"/>
                <w:sz w:val="24"/>
                <w:szCs w:val="24"/>
                <w:u w:val="none"/>
                <w:lang w:eastAsia="zh-CN" w:bidi="ar"/>
              </w:rPr>
              <w:t>：大写XX</w:t>
            </w:r>
          </w:p>
        </w:tc>
        <w:tc>
          <w:tcPr>
            <w:tcW w:w="875"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仿宋" w:hAnsi="仿宋" w:eastAsia="仿宋" w:cs="仿宋"/>
                <w:i w:val="0"/>
                <w:iCs w:val="0"/>
                <w:color w:val="auto"/>
                <w:kern w:val="0"/>
                <w:sz w:val="24"/>
                <w:szCs w:val="24"/>
                <w:u w:val="none"/>
                <w:lang w:val="en-US" w:eastAsia="zh-CN" w:bidi="ar"/>
              </w:rPr>
            </w:pPr>
          </w:p>
        </w:tc>
        <w:tc>
          <w:tcPr>
            <w:tcW w:w="575"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c>
          <w:tcPr>
            <w:tcW w:w="684" w:type="dxa"/>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auto"/>
                <w:sz w:val="22"/>
                <w:szCs w:val="22"/>
                <w:u w:val="none"/>
              </w:rPr>
            </w:pPr>
          </w:p>
        </w:tc>
      </w:tr>
    </w:tbl>
    <w:p>
      <w:pPr>
        <w:tabs>
          <w:tab w:val="left" w:pos="2880"/>
          <w:tab w:val="left" w:pos="7020"/>
        </w:tabs>
        <w:spacing w:line="360" w:lineRule="auto"/>
        <w:ind w:right="178" w:rightChars="85"/>
        <w:rPr>
          <w:rFonts w:hint="eastAsia" w:ascii="仿宋" w:hAnsi="仿宋" w:eastAsia="仿宋" w:cs="仿宋"/>
          <w:color w:val="auto"/>
          <w:kern w:val="0"/>
          <w:sz w:val="24"/>
          <w:lang w:eastAsia="zh-CN"/>
        </w:rPr>
      </w:pPr>
      <w:r>
        <w:rPr>
          <w:rFonts w:hint="eastAsia" w:ascii="仿宋" w:hAnsi="仿宋" w:eastAsia="仿宋" w:cs="仿宋"/>
          <w:color w:val="auto"/>
        </w:rPr>
        <w:t>注：</w:t>
      </w:r>
      <w:r>
        <w:rPr>
          <w:rFonts w:hint="eastAsia" w:ascii="仿宋" w:hAnsi="仿宋" w:eastAsia="仿宋" w:cs="仿宋"/>
          <w:color w:val="auto"/>
          <w:kern w:val="0"/>
          <w:sz w:val="24"/>
        </w:rPr>
        <w:t>除非本合同另有约定，甲方要求乙方提供与本合同项下设备有关的软、硬件产品、附属设施、服务或其他设备正常运转必需的配件时，无需另行支付任何其他费用</w:t>
      </w:r>
      <w:r>
        <w:rPr>
          <w:rFonts w:hint="eastAsia" w:ascii="仿宋" w:hAnsi="仿宋" w:eastAsia="仿宋" w:cs="仿宋"/>
          <w:color w:val="auto"/>
          <w:kern w:val="0"/>
          <w:sz w:val="24"/>
          <w:lang w:eastAsia="zh-CN"/>
        </w:rPr>
        <w:t>，</w:t>
      </w:r>
      <w:r>
        <w:rPr>
          <w:rFonts w:hint="eastAsia" w:ascii="仿宋" w:hAnsi="仿宋" w:eastAsia="仿宋" w:cs="仿宋"/>
          <w:color w:val="auto"/>
          <w:kern w:val="0"/>
          <w:sz w:val="24"/>
          <w:szCs w:val="24"/>
        </w:rPr>
        <w:t>所有按标书要求或隐含于合同所要求功能下的，而未列入本合同附件</w:t>
      </w:r>
      <w:r>
        <w:rPr>
          <w:rFonts w:hint="eastAsia" w:ascii="仿宋" w:hAnsi="仿宋" w:eastAsia="仿宋" w:cs="仿宋"/>
          <w:color w:val="auto"/>
          <w:kern w:val="0"/>
          <w:sz w:val="24"/>
          <w:szCs w:val="24"/>
          <w:lang w:eastAsia="zh-CN"/>
        </w:rPr>
        <w:t>1</w:t>
      </w:r>
      <w:r>
        <w:rPr>
          <w:rFonts w:hint="eastAsia" w:ascii="仿宋" w:hAnsi="仿宋" w:eastAsia="仿宋" w:cs="仿宋"/>
          <w:color w:val="auto"/>
          <w:kern w:val="0"/>
          <w:sz w:val="24"/>
          <w:szCs w:val="24"/>
        </w:rPr>
        <w:t>工程量清单中的设备、材料或服务，均应视为已含在合同价中</w:t>
      </w:r>
      <w:r>
        <w:rPr>
          <w:rFonts w:hint="eastAsia" w:ascii="仿宋" w:hAnsi="仿宋" w:eastAsia="仿宋" w:cs="仿宋"/>
          <w:color w:val="auto"/>
          <w:kern w:val="0"/>
          <w:sz w:val="24"/>
          <w:szCs w:val="24"/>
          <w:lang w:eastAsia="zh-CN"/>
        </w:rPr>
        <w:t>。</w:t>
      </w: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br w:type="page"/>
      </w:r>
    </w:p>
    <w:p>
      <w:pPr>
        <w:widowControl/>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t>附件</w:t>
      </w:r>
      <w:r>
        <w:rPr>
          <w:rFonts w:hint="eastAsia" w:ascii="仿宋" w:hAnsi="仿宋" w:eastAsia="仿宋" w:cs="仿宋"/>
          <w:b/>
          <w:color w:val="auto"/>
          <w:kern w:val="0"/>
          <w:sz w:val="32"/>
          <w:szCs w:val="32"/>
          <w:lang w:val="en-US" w:eastAsia="zh-CN" w:bidi="ar-SA"/>
        </w:rPr>
        <w:t>二</w:t>
      </w:r>
      <w:r>
        <w:rPr>
          <w:rFonts w:hint="default" w:ascii="仿宋" w:hAnsi="仿宋" w:eastAsia="仿宋" w:cs="仿宋"/>
          <w:b/>
          <w:color w:val="auto"/>
          <w:kern w:val="0"/>
          <w:sz w:val="32"/>
          <w:szCs w:val="32"/>
          <w:lang w:bidi="ar-SA"/>
        </w:rPr>
        <w:t>: 技术要求</w:t>
      </w:r>
    </w:p>
    <w:p>
      <w:pPr>
        <w:widowControl/>
        <w:numPr>
          <w:ilvl w:val="0"/>
          <w:numId w:val="8"/>
        </w:numPr>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t>技术指标</w:t>
      </w:r>
    </w:p>
    <w:p>
      <w:pPr>
        <w:widowControl/>
        <w:numPr>
          <w:ilvl w:val="0"/>
          <w:numId w:val="8"/>
        </w:numPr>
        <w:jc w:val="left"/>
        <w:rPr>
          <w:rFonts w:hint="default" w:ascii="仿宋" w:hAnsi="仿宋" w:eastAsia="仿宋" w:cs="仿宋"/>
          <w:b/>
          <w:color w:val="auto"/>
          <w:kern w:val="0"/>
          <w:sz w:val="32"/>
          <w:szCs w:val="32"/>
        </w:rPr>
      </w:pPr>
      <w:r>
        <w:rPr>
          <w:rFonts w:hint="default" w:ascii="仿宋" w:hAnsi="仿宋" w:eastAsia="仿宋" w:cs="仿宋"/>
          <w:b/>
          <w:color w:val="auto"/>
          <w:kern w:val="0"/>
          <w:sz w:val="32"/>
          <w:szCs w:val="32"/>
        </w:rPr>
        <w:t>其他要求</w:t>
      </w: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numPr>
          <w:ilvl w:val="0"/>
          <w:numId w:val="0"/>
        </w:numPr>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p>
    <w:p>
      <w:pPr>
        <w:widowControl/>
        <w:spacing w:line="240" w:lineRule="auto"/>
        <w:jc w:val="left"/>
        <w:rPr>
          <w:rFonts w:hint="default"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br w:type="page"/>
      </w:r>
    </w:p>
    <w:p>
      <w:pPr>
        <w:widowControl/>
        <w:spacing w:line="240" w:lineRule="auto"/>
        <w:jc w:val="left"/>
        <w:rPr>
          <w:rFonts w:hint="eastAsia" w:ascii="仿宋" w:hAnsi="仿宋" w:eastAsia="仿宋" w:cs="仿宋"/>
          <w:b/>
          <w:color w:val="auto"/>
          <w:kern w:val="0"/>
          <w:sz w:val="32"/>
          <w:szCs w:val="32"/>
          <w:lang w:bidi="ar-SA"/>
        </w:rPr>
      </w:pPr>
      <w:r>
        <w:rPr>
          <w:rFonts w:hint="default" w:ascii="仿宋" w:hAnsi="仿宋" w:eastAsia="仿宋" w:cs="仿宋"/>
          <w:b/>
          <w:color w:val="auto"/>
          <w:kern w:val="0"/>
          <w:sz w:val="32"/>
          <w:szCs w:val="32"/>
          <w:lang w:bidi="ar-SA"/>
        </w:rPr>
        <w:t>附件</w:t>
      </w:r>
      <w:r>
        <w:rPr>
          <w:rFonts w:hint="eastAsia" w:ascii="仿宋" w:hAnsi="仿宋" w:eastAsia="仿宋" w:cs="仿宋"/>
          <w:b/>
          <w:bCs w:val="0"/>
          <w:color w:val="auto"/>
          <w:kern w:val="0"/>
          <w:sz w:val="32"/>
          <w:szCs w:val="32"/>
          <w:lang w:val="en-US" w:eastAsia="zh-CN" w:bidi="ar-SA"/>
        </w:rPr>
        <w:t>三</w:t>
      </w:r>
      <w:r>
        <w:rPr>
          <w:rFonts w:hint="default" w:ascii="仿宋" w:hAnsi="仿宋" w:eastAsia="仿宋" w:cs="仿宋"/>
          <w:b/>
          <w:color w:val="auto"/>
          <w:kern w:val="0"/>
          <w:sz w:val="32"/>
          <w:szCs w:val="32"/>
          <w:lang w:bidi="ar-SA"/>
        </w:rPr>
        <w:t>：廉政合同</w:t>
      </w:r>
    </w:p>
    <w:p>
      <w:pPr>
        <w:pStyle w:val="37"/>
        <w:spacing w:line="500" w:lineRule="exact"/>
        <w:jc w:val="center"/>
        <w:rPr>
          <w:rFonts w:ascii="仿宋" w:hAnsi="仿宋" w:eastAsia="仿宋" w:cs="仿宋"/>
          <w:b/>
          <w:color w:val="auto"/>
          <w:sz w:val="32"/>
          <w:szCs w:val="32"/>
        </w:rPr>
      </w:pPr>
      <w:r>
        <w:rPr>
          <w:rFonts w:hint="eastAsia" w:ascii="仿宋" w:hAnsi="仿宋" w:eastAsia="仿宋" w:cs="仿宋"/>
          <w:b/>
          <w:color w:val="auto"/>
          <w:sz w:val="32"/>
          <w:szCs w:val="32"/>
        </w:rPr>
        <w:t>廉政合同</w:t>
      </w:r>
    </w:p>
    <w:p>
      <w:pPr>
        <w:widowControl/>
        <w:spacing w:line="400" w:lineRule="exact"/>
        <w:jc w:val="left"/>
        <w:rPr>
          <w:rFonts w:ascii="仿宋" w:hAnsi="仿宋" w:eastAsia="仿宋" w:cs="仿宋"/>
          <w:color w:val="auto"/>
          <w:sz w:val="24"/>
        </w:rPr>
      </w:pPr>
      <w:r>
        <w:rPr>
          <w:rFonts w:hint="eastAsia" w:ascii="仿宋" w:hAnsi="仿宋" w:eastAsia="仿宋" w:cs="仿宋"/>
          <w:color w:val="auto"/>
          <w:sz w:val="24"/>
        </w:rPr>
        <w:t>甲方：重庆首讯科技股份有限公司</w:t>
      </w:r>
    </w:p>
    <w:p>
      <w:pPr>
        <w:widowControl/>
        <w:tabs>
          <w:tab w:val="left" w:pos="3936"/>
        </w:tabs>
        <w:spacing w:line="400" w:lineRule="exact"/>
        <w:jc w:val="left"/>
        <w:rPr>
          <w:rFonts w:ascii="仿宋" w:hAnsi="仿宋" w:eastAsia="仿宋" w:cs="仿宋"/>
          <w:color w:val="auto"/>
          <w:sz w:val="24"/>
        </w:rPr>
      </w:pPr>
      <w:r>
        <w:rPr>
          <w:rFonts w:hint="eastAsia" w:ascii="仿宋" w:hAnsi="仿宋" w:eastAsia="仿宋" w:cs="仿宋"/>
          <w:color w:val="auto"/>
          <w:sz w:val="24"/>
        </w:rPr>
        <w:t>乙方：XXX公司</w:t>
      </w:r>
    </w:p>
    <w:p>
      <w:pPr>
        <w:spacing w:line="400" w:lineRule="exact"/>
        <w:ind w:firstLine="480" w:firstLineChars="200"/>
        <w:rPr>
          <w:rFonts w:ascii="仿宋" w:hAnsi="仿宋" w:eastAsia="仿宋" w:cs="仿宋"/>
          <w:color w:val="auto"/>
          <w:sz w:val="24"/>
        </w:rPr>
      </w:pPr>
      <w:r>
        <w:rPr>
          <w:rFonts w:hint="eastAsia" w:ascii="仿宋" w:hAnsi="仿宋" w:eastAsia="仿宋" w:cs="仿宋"/>
          <w:color w:val="auto"/>
          <w:sz w:val="24"/>
        </w:rPr>
        <w:t>根据交通部《关于在交通基础设施建设中加强廉政建设的若干意见》和《关于在交通基础设施建设中推行廉政合同的通知》以及有关工程建设、廉政建设的规定，为搞好机电工程中的党风廉政建设，保证机电工程工作高效优质，保证机电资金的安全和有效使用及投资效益，</w:t>
      </w:r>
      <w:r>
        <w:rPr>
          <w:rFonts w:hint="eastAsia" w:ascii="仿宋" w:hAnsi="仿宋" w:eastAsia="仿宋" w:cs="仿宋"/>
          <w:color w:val="auto"/>
          <w:sz w:val="24"/>
          <w:u w:val="none"/>
        </w:rPr>
        <w:t>重庆首讯科技股份有限公司</w:t>
      </w:r>
      <w:r>
        <w:rPr>
          <w:rFonts w:hint="eastAsia" w:ascii="仿宋" w:hAnsi="仿宋" w:eastAsia="仿宋" w:cs="仿宋"/>
          <w:color w:val="auto"/>
          <w:sz w:val="24"/>
        </w:rPr>
        <w:t>（以下称甲方）与XXX公司（以下称乙方），特订立如下合同。</w:t>
      </w:r>
    </w:p>
    <w:p>
      <w:pPr>
        <w:spacing w:line="360" w:lineRule="auto"/>
        <w:rPr>
          <w:rFonts w:ascii="仿宋" w:hAnsi="仿宋" w:eastAsia="仿宋" w:cs="仿宋"/>
          <w:b/>
          <w:bCs/>
          <w:color w:val="auto"/>
          <w:sz w:val="24"/>
        </w:rPr>
      </w:pPr>
      <w:r>
        <w:rPr>
          <w:rFonts w:hint="eastAsia" w:ascii="仿宋" w:hAnsi="仿宋" w:eastAsia="仿宋" w:cs="仿宋"/>
          <w:b/>
          <w:bCs/>
          <w:color w:val="auto"/>
          <w:sz w:val="24"/>
        </w:rPr>
        <w:t>一、甲乙双方的权利和义务</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（1）严格遵守党的政策规定和国家有关法律法规及交通部的有关规定。</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（2）双方的业务活动坚持公开、公正、诚信、透明的原则（除法律认定的商业秘密和合同文件另有规定之外），不得损害国家和集体利益，违反养护工程管理规章制度。</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（3）建立健全廉政制度，开展廉政教育，设立廉政告示牌，公布举报电话，监督并认真查处违法违纪行为。</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（4）发现对方在业务活动中有违反廉政规定的行为，有及时提醒对方纠正的权利和义务。</w:t>
      </w:r>
    </w:p>
    <w:p>
      <w:pPr>
        <w:widowControl/>
        <w:tabs>
          <w:tab w:val="left" w:pos="3936"/>
        </w:tabs>
        <w:spacing w:line="400" w:lineRule="exact"/>
        <w:ind w:firstLine="480" w:firstLineChars="200"/>
        <w:jc w:val="left"/>
        <w:rPr>
          <w:rFonts w:ascii="仿宋" w:hAnsi="仿宋" w:eastAsia="仿宋" w:cs="仿宋"/>
          <w:color w:val="auto"/>
          <w:szCs w:val="21"/>
        </w:rPr>
      </w:pPr>
      <w:r>
        <w:rPr>
          <w:rFonts w:hint="eastAsia" w:ascii="仿宋" w:hAnsi="仿宋" w:eastAsia="仿宋" w:cs="仿宋"/>
          <w:color w:val="auto"/>
          <w:sz w:val="24"/>
        </w:rPr>
        <w:t>（5）发现对方严重违反本合同义务条款的行为，有向上级有关部门举报、建议给予处理并要求告知处理结果的权利。</w:t>
      </w:r>
    </w:p>
    <w:p>
      <w:pPr>
        <w:spacing w:line="360" w:lineRule="auto"/>
        <w:rPr>
          <w:rFonts w:ascii="仿宋" w:hAnsi="仿宋" w:eastAsia="仿宋" w:cs="仿宋"/>
          <w:b/>
          <w:bCs/>
          <w:color w:val="auto"/>
          <w:sz w:val="24"/>
        </w:rPr>
      </w:pPr>
      <w:r>
        <w:rPr>
          <w:rFonts w:hint="eastAsia" w:ascii="仿宋" w:hAnsi="仿宋" w:eastAsia="仿宋" w:cs="仿宋"/>
          <w:b/>
          <w:bCs/>
          <w:color w:val="auto"/>
          <w:sz w:val="24"/>
        </w:rPr>
        <w:t>二、甲方的义务</w:t>
      </w:r>
    </w:p>
    <w:p>
      <w:pPr>
        <w:widowControl/>
        <w:tabs>
          <w:tab w:val="left" w:pos="3936"/>
        </w:tabs>
        <w:spacing w:line="400" w:lineRule="exact"/>
        <w:ind w:firstLine="420" w:firstLineChars="200"/>
        <w:jc w:val="left"/>
        <w:rPr>
          <w:rFonts w:ascii="仿宋" w:hAnsi="仿宋" w:eastAsia="仿宋" w:cs="仿宋"/>
          <w:color w:val="auto"/>
          <w:sz w:val="24"/>
        </w:rPr>
      </w:pPr>
      <w:r>
        <w:rPr>
          <w:rFonts w:hint="eastAsia" w:ascii="仿宋" w:hAnsi="仿宋" w:eastAsia="仿宋" w:cs="仿宋"/>
          <w:color w:val="auto"/>
          <w:szCs w:val="21"/>
        </w:rPr>
        <w:t>（</w:t>
      </w:r>
      <w:r>
        <w:rPr>
          <w:rFonts w:hint="eastAsia" w:ascii="仿宋" w:hAnsi="仿宋" w:eastAsia="仿宋" w:cs="仿宋"/>
          <w:color w:val="auto"/>
          <w:sz w:val="24"/>
        </w:rPr>
        <w:t>1）甲方及其工作人员不得索要或接受乙方的礼金、有价证券和贵重物品，不得在乙方报销任何应由甲方或甲方工作人员个人支付的费用等。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（2）甲方工作人员不得参加乙方安排的超标准宴请和娱乐活动；不得接受乙方提供的通讯工具、交通工具和高档办公用品等。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（3）甲方及其工作人员不得要求或者接受乙方为其住房装修、婚丧嫁娶活动、配偶子女的工作安排以及出国出境、旅游等提供方便等。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（4）甲方工作人员及其配偶、子女不得从事与甲方工程有关部门的材料设备供应、工程分包、劳务等经济活动等。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（5）甲方及其工作人员不得以任何理由向乙方推荐分包单位或推销材料，不得要求乙方购买合同规定外的材料和设备。</w:t>
      </w:r>
    </w:p>
    <w:p>
      <w:pPr>
        <w:spacing w:line="360" w:lineRule="auto"/>
        <w:rPr>
          <w:rFonts w:ascii="仿宋" w:hAnsi="仿宋" w:eastAsia="仿宋" w:cs="仿宋"/>
          <w:b/>
          <w:bCs/>
          <w:color w:val="auto"/>
          <w:sz w:val="24"/>
        </w:rPr>
      </w:pPr>
      <w:r>
        <w:rPr>
          <w:rFonts w:hint="eastAsia" w:ascii="仿宋" w:hAnsi="仿宋" w:eastAsia="仿宋" w:cs="仿宋"/>
          <w:b/>
          <w:bCs/>
          <w:color w:val="auto"/>
          <w:sz w:val="24"/>
        </w:rPr>
        <w:t>三、乙方义务</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（1）乙方不得以任何理由向甲方及其工作人员行贿或馈赠礼金、有价证券、贵重物品。</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（2）乙方不得以任何名义为甲方及其工作人员报销应由甲方单位或个人支付的任何费用。</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（3）乙方不得以任何理由邀请甲方工作人员外出旅游或安排甲方人员参加超标准宴请及娱乐活动。</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（4）乙方不得为甲方单位和个人购置或提供通讯工具、交通工具和高档办公用品等。</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（5）乙方及其工作人员应严格按监理规程办事，不得为谋取私利向监理人员非法行贿，私下串通，损坏甲方利益。同时必须对监理单位和工程监理人员履行向甲方承诺的上述其他廉政义务。</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6）乙方如果发现甲方工作人员或工程监理人员有违反廉政规定的行为，应向甲方组织或上级举报。甲方和工程监理部门均不得找任何借口对乙方进行报复。甲方对举报属实或严格遵守廉政合同的乙方，在同等条件下给予承接后续工程的优先邀请投标权。</w:t>
      </w:r>
    </w:p>
    <w:p>
      <w:pPr>
        <w:spacing w:line="360" w:lineRule="auto"/>
        <w:rPr>
          <w:rFonts w:ascii="仿宋" w:hAnsi="仿宋" w:eastAsia="仿宋" w:cs="仿宋"/>
          <w:b/>
          <w:bCs/>
          <w:color w:val="auto"/>
          <w:sz w:val="24"/>
        </w:rPr>
      </w:pPr>
      <w:r>
        <w:rPr>
          <w:rFonts w:hint="eastAsia" w:ascii="仿宋" w:hAnsi="仿宋" w:eastAsia="仿宋" w:cs="仿宋"/>
          <w:b/>
          <w:bCs/>
          <w:color w:val="auto"/>
          <w:sz w:val="24"/>
        </w:rPr>
        <w:t>四、违约责任</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（1）甲方及其工作人员违反本合同第一、二条，按管理权限，依据有关部门规定给予党纪、政纪或组织处理；涉嫌犯罪的，移交司法机关追究刑事责任；给乙方单位造成经济损失的，应予以赔偿。</w:t>
      </w:r>
    </w:p>
    <w:p>
      <w:pPr>
        <w:widowControl/>
        <w:tabs>
          <w:tab w:val="left" w:pos="3936"/>
        </w:tabs>
        <w:spacing w:line="400" w:lineRule="exact"/>
        <w:ind w:firstLine="480" w:firstLineChars="200"/>
        <w:jc w:val="left"/>
        <w:rPr>
          <w:rFonts w:ascii="仿宋" w:hAnsi="仿宋" w:eastAsia="仿宋" w:cs="仿宋"/>
          <w:color w:val="auto"/>
          <w:sz w:val="24"/>
        </w:rPr>
      </w:pPr>
      <w:r>
        <w:rPr>
          <w:rFonts w:hint="eastAsia" w:ascii="仿宋" w:hAnsi="仿宋" w:eastAsia="仿宋" w:cs="仿宋"/>
          <w:color w:val="auto"/>
          <w:sz w:val="24"/>
        </w:rPr>
        <w:t>（2）乙方及其工作人员违反本合同第一、三条，按管理权限，依据有关部门规定给予党纪、政纪或组织处理；给甲方单位造成经济损失的，应予以赔偿；情节严重的，甲方建议交通工程建设主管部门给予乙方一至三年内不得进入其主管的交通工程建设市场的处罚。</w:t>
      </w:r>
    </w:p>
    <w:p>
      <w:pPr>
        <w:widowControl/>
        <w:spacing w:line="400" w:lineRule="exact"/>
        <w:jc w:val="left"/>
        <w:rPr>
          <w:rFonts w:ascii="仿宋" w:hAnsi="仿宋" w:eastAsia="仿宋" w:cs="仿宋"/>
          <w:color w:val="auto"/>
          <w:sz w:val="24"/>
        </w:rPr>
      </w:pPr>
      <w:r>
        <w:rPr>
          <w:rFonts w:hint="eastAsia" w:ascii="仿宋" w:hAnsi="仿宋" w:eastAsia="仿宋" w:cs="仿宋"/>
          <w:b/>
          <w:bCs/>
          <w:color w:val="auto"/>
          <w:sz w:val="24"/>
        </w:rPr>
        <w:t>五、双方约定</w:t>
      </w:r>
      <w:r>
        <w:rPr>
          <w:rFonts w:hint="eastAsia" w:ascii="仿宋" w:hAnsi="仿宋" w:eastAsia="仿宋" w:cs="仿宋"/>
          <w:color w:val="auto"/>
          <w:szCs w:val="21"/>
        </w:rPr>
        <w:t>：</w:t>
      </w:r>
      <w:r>
        <w:rPr>
          <w:rFonts w:hint="eastAsia" w:ascii="仿宋" w:hAnsi="仿宋" w:eastAsia="仿宋" w:cs="仿宋"/>
          <w:color w:val="auto"/>
          <w:sz w:val="24"/>
        </w:rPr>
        <w:t>本合同由双方或双方上级单位的纪检监察机关负责监督执行。根据重庆市人民检察院、重庆市交通委员会《关于开展在交通基础设施建设中预防职务犯罪工作的意见》的有关规定，邀请当地检查机关作为本合同执行的法律监督单位，参与对本合同履行情况的监督检查。</w:t>
      </w:r>
    </w:p>
    <w:p>
      <w:pPr>
        <w:widowControl/>
        <w:spacing w:line="400" w:lineRule="exact"/>
        <w:jc w:val="left"/>
        <w:rPr>
          <w:rFonts w:ascii="仿宋" w:hAnsi="仿宋" w:eastAsia="仿宋" w:cs="仿宋"/>
          <w:color w:val="auto"/>
          <w:sz w:val="24"/>
        </w:rPr>
      </w:pPr>
      <w:r>
        <w:rPr>
          <w:rFonts w:hint="eastAsia" w:ascii="仿宋" w:hAnsi="仿宋" w:eastAsia="仿宋" w:cs="仿宋"/>
          <w:b/>
          <w:bCs/>
          <w:color w:val="auto"/>
          <w:sz w:val="24"/>
        </w:rPr>
        <w:t>六、</w:t>
      </w:r>
      <w:r>
        <w:rPr>
          <w:rFonts w:hint="eastAsia" w:ascii="仿宋" w:hAnsi="仿宋" w:eastAsia="仿宋" w:cs="仿宋"/>
          <w:color w:val="auto"/>
          <w:sz w:val="24"/>
        </w:rPr>
        <w:t>本合同有效期为甲乙双方签署之日起至该工程项目竣工后止。</w:t>
      </w:r>
    </w:p>
    <w:p>
      <w:pPr>
        <w:widowControl/>
        <w:spacing w:line="400" w:lineRule="exact"/>
        <w:jc w:val="left"/>
        <w:rPr>
          <w:rFonts w:hint="eastAsia" w:ascii="仿宋" w:hAnsi="仿宋" w:eastAsia="仿宋" w:cs="仿宋"/>
          <w:color w:val="auto"/>
          <w:sz w:val="24"/>
        </w:rPr>
      </w:pPr>
      <w:r>
        <w:rPr>
          <w:rFonts w:hint="eastAsia" w:ascii="仿宋" w:hAnsi="仿宋" w:eastAsia="仿宋" w:cs="仿宋"/>
          <w:b/>
          <w:bCs/>
          <w:color w:val="auto"/>
          <w:sz w:val="24"/>
        </w:rPr>
        <w:t>七、</w:t>
      </w:r>
      <w:r>
        <w:rPr>
          <w:rFonts w:hint="eastAsia" w:ascii="仿宋" w:hAnsi="仿宋" w:eastAsia="仿宋" w:cs="仿宋"/>
          <w:color w:val="auto"/>
          <w:sz w:val="24"/>
        </w:rPr>
        <w:t>本合同一式两份，甲、乙双方各执一份。</w:t>
      </w:r>
    </w:p>
    <w:p>
      <w:pPr>
        <w:pStyle w:val="6"/>
        <w:rPr>
          <w:rFonts w:hint="eastAsia"/>
          <w:color w:val="auto"/>
        </w:rPr>
      </w:pPr>
    </w:p>
    <w:p>
      <w:pPr>
        <w:widowControl/>
        <w:spacing w:line="400" w:lineRule="exact"/>
        <w:jc w:val="left"/>
        <w:rPr>
          <w:rFonts w:hint="default" w:ascii="仿宋" w:hAnsi="仿宋" w:eastAsia="仿宋" w:cs="仿宋"/>
          <w:color w:val="auto"/>
          <w:sz w:val="24"/>
          <w:lang w:val="en-US" w:eastAsia="zh-CN"/>
        </w:rPr>
      </w:pPr>
      <w:r>
        <w:rPr>
          <w:rFonts w:hint="eastAsia" w:ascii="仿宋" w:hAnsi="仿宋" w:eastAsia="仿宋" w:cs="仿宋"/>
          <w:color w:val="auto"/>
          <w:sz w:val="24"/>
        </w:rPr>
        <w:t>甲方：重庆首讯科技股份有限公司            乙方：</w:t>
      </w:r>
      <w:r>
        <w:rPr>
          <w:rFonts w:hint="eastAsia" w:ascii="仿宋" w:hAnsi="仿宋" w:eastAsia="仿宋" w:cs="仿宋"/>
          <w:color w:val="auto"/>
          <w:sz w:val="24"/>
          <w:lang w:val="en-US" w:eastAsia="zh-CN"/>
        </w:rPr>
        <w:t>XXXXXX</w:t>
      </w:r>
    </w:p>
    <w:p>
      <w:pPr>
        <w:widowControl/>
        <w:spacing w:line="360" w:lineRule="auto"/>
        <w:jc w:val="left"/>
        <w:rPr>
          <w:rFonts w:hint="eastAsia" w:ascii="仿宋" w:hAnsi="仿宋" w:eastAsia="仿宋" w:cs="仿宋"/>
          <w:color w:val="auto"/>
          <w:sz w:val="24"/>
          <w:lang w:val="en-US" w:eastAsia="zh-CN"/>
        </w:rPr>
      </w:pPr>
      <w:r>
        <w:rPr>
          <w:rFonts w:hint="eastAsia" w:ascii="仿宋" w:hAnsi="仿宋" w:eastAsia="仿宋" w:cs="仿宋"/>
          <w:b w:val="0"/>
          <w:bCs w:val="0"/>
          <w:color w:val="auto"/>
          <w:sz w:val="24"/>
          <w:lang w:val="en-US" w:eastAsia="zh-CN"/>
        </w:rPr>
        <w:t>公司负责人</w:t>
      </w:r>
      <w:r>
        <w:rPr>
          <w:rFonts w:hint="eastAsia" w:ascii="仿宋" w:hAnsi="仿宋" w:eastAsia="仿宋" w:cs="仿宋"/>
          <w:b w:val="0"/>
          <w:bCs w:val="0"/>
          <w:color w:val="auto"/>
          <w:sz w:val="24"/>
        </w:rPr>
        <w:t>或授权代理人</w:t>
      </w:r>
      <w:r>
        <w:rPr>
          <w:rFonts w:hint="eastAsia" w:ascii="仿宋" w:hAnsi="仿宋" w:eastAsia="仿宋" w:cs="仿宋"/>
          <w:color w:val="auto"/>
          <w:sz w:val="24"/>
        </w:rPr>
        <w:t>：</w:t>
      </w:r>
      <w:r>
        <w:rPr>
          <w:rFonts w:hint="eastAsia" w:ascii="仿宋" w:hAnsi="仿宋" w:eastAsia="仿宋" w:cs="仿宋"/>
          <w:b w:val="0"/>
          <w:bCs w:val="0"/>
          <w:color w:val="auto"/>
          <w:sz w:val="24"/>
        </w:rPr>
        <w:t xml:space="preserve">         </w:t>
      </w:r>
      <w:r>
        <w:rPr>
          <w:rFonts w:hint="eastAsia" w:ascii="仿宋" w:hAnsi="仿宋" w:eastAsia="仿宋" w:cs="仿宋"/>
          <w:b w:val="0"/>
          <w:bCs w:val="0"/>
          <w:color w:val="auto"/>
          <w:sz w:val="24"/>
          <w:lang w:val="en-US" w:eastAsia="zh-CN"/>
        </w:rPr>
        <w:t xml:space="preserve">          公司负责人</w:t>
      </w:r>
      <w:r>
        <w:rPr>
          <w:rFonts w:hint="eastAsia" w:ascii="仿宋" w:hAnsi="仿宋" w:eastAsia="仿宋" w:cs="仿宋"/>
          <w:b w:val="0"/>
          <w:bCs w:val="0"/>
          <w:color w:val="auto"/>
          <w:sz w:val="24"/>
        </w:rPr>
        <w:t>或授权代理人</w:t>
      </w:r>
      <w:r>
        <w:rPr>
          <w:rFonts w:hint="eastAsia" w:ascii="仿宋" w:hAnsi="仿宋" w:eastAsia="仿宋" w:cs="仿宋"/>
          <w:color w:val="auto"/>
          <w:sz w:val="24"/>
        </w:rPr>
        <w:t>：</w:t>
      </w:r>
    </w:p>
    <w:p>
      <w:pPr>
        <w:widowControl/>
        <w:spacing w:line="360" w:lineRule="auto"/>
        <w:jc w:val="left"/>
        <w:rPr>
          <w:rFonts w:hint="eastAsia" w:ascii="仿宋" w:hAnsi="仿宋" w:eastAsia="仿宋" w:cs="仿宋"/>
          <w:b w:val="0"/>
          <w:bCs w:val="0"/>
          <w:color w:val="auto"/>
          <w:sz w:val="24"/>
        </w:rPr>
      </w:pPr>
      <w:r>
        <w:rPr>
          <w:rFonts w:hint="eastAsia" w:ascii="仿宋" w:hAnsi="仿宋" w:eastAsia="仿宋" w:cs="仿宋"/>
          <w:color w:val="auto"/>
          <w:sz w:val="24"/>
          <w:lang w:val="en-US" w:eastAsia="zh-CN"/>
        </w:rPr>
        <w:t>项目经理</w:t>
      </w:r>
      <w:r>
        <w:rPr>
          <w:rFonts w:hint="eastAsia" w:ascii="仿宋" w:hAnsi="仿宋" w:eastAsia="仿宋" w:cs="仿宋"/>
          <w:b w:val="0"/>
          <w:bCs w:val="0"/>
          <w:color w:val="auto"/>
          <w:sz w:val="24"/>
        </w:rPr>
        <w:t>：</w:t>
      </w:r>
      <w:r>
        <w:rPr>
          <w:rFonts w:hint="eastAsia" w:ascii="仿宋" w:hAnsi="仿宋" w:eastAsia="仿宋" w:cs="仿宋"/>
          <w:b w:val="0"/>
          <w:bCs w:val="0"/>
          <w:color w:val="auto"/>
          <w:sz w:val="24"/>
        </w:rPr>
        <w:tab/>
      </w:r>
      <w:r>
        <w:rPr>
          <w:rFonts w:hint="eastAsia" w:ascii="仿宋" w:hAnsi="仿宋" w:eastAsia="仿宋" w:cs="仿宋"/>
          <w:b w:val="0"/>
          <w:bCs w:val="0"/>
          <w:color w:val="auto"/>
          <w:sz w:val="24"/>
        </w:rPr>
        <w:t xml:space="preserve">         </w:t>
      </w:r>
      <w:r>
        <w:rPr>
          <w:rFonts w:hint="eastAsia" w:ascii="仿宋" w:hAnsi="仿宋" w:eastAsia="仿宋" w:cs="仿宋"/>
          <w:b w:val="0"/>
          <w:bCs w:val="0"/>
          <w:color w:val="auto"/>
          <w:sz w:val="24"/>
          <w:lang w:val="en-US" w:eastAsia="zh-CN"/>
        </w:rPr>
        <w:t xml:space="preserve">                        </w:t>
      </w:r>
      <w:r>
        <w:rPr>
          <w:rFonts w:hint="eastAsia" w:ascii="仿宋" w:hAnsi="仿宋" w:eastAsia="仿宋" w:cs="仿宋"/>
          <w:color w:val="auto"/>
          <w:sz w:val="24"/>
          <w:lang w:val="en-US" w:eastAsia="zh-CN"/>
        </w:rPr>
        <w:t>项目经理</w:t>
      </w:r>
      <w:r>
        <w:rPr>
          <w:rFonts w:hint="eastAsia" w:ascii="仿宋" w:hAnsi="仿宋" w:eastAsia="仿宋" w:cs="仿宋"/>
          <w:b w:val="0"/>
          <w:bCs w:val="0"/>
          <w:color w:val="auto"/>
          <w:sz w:val="24"/>
        </w:rPr>
        <w:t>：</w:t>
      </w:r>
    </w:p>
    <w:p>
      <w:pPr>
        <w:widowControl/>
        <w:spacing w:line="360" w:lineRule="auto"/>
        <w:jc w:val="left"/>
        <w:rPr>
          <w:rFonts w:hint="eastAsia" w:ascii="仿宋" w:hAnsi="仿宋" w:eastAsia="仿宋" w:cs="仿宋"/>
          <w:b w:val="0"/>
          <w:bCs w:val="0"/>
          <w:color w:val="auto"/>
          <w:sz w:val="24"/>
        </w:rPr>
      </w:pPr>
      <w:r>
        <w:rPr>
          <w:rFonts w:hint="eastAsia" w:ascii="仿宋" w:hAnsi="仿宋" w:eastAsia="仿宋" w:cs="仿宋"/>
          <w:b w:val="0"/>
          <w:bCs w:val="0"/>
          <w:color w:val="auto"/>
          <w:sz w:val="24"/>
        </w:rPr>
        <w:t xml:space="preserve">经办人：                          </w:t>
      </w:r>
      <w:r>
        <w:rPr>
          <w:rFonts w:hint="eastAsia" w:ascii="仿宋" w:hAnsi="仿宋" w:eastAsia="仿宋" w:cs="仿宋"/>
          <w:b w:val="0"/>
          <w:bCs w:val="0"/>
          <w:color w:val="auto"/>
          <w:sz w:val="24"/>
          <w:lang w:val="en-US" w:eastAsia="zh-CN"/>
        </w:rPr>
        <w:t xml:space="preserve">          </w:t>
      </w:r>
      <w:r>
        <w:rPr>
          <w:rFonts w:hint="eastAsia" w:ascii="仿宋" w:hAnsi="仿宋" w:eastAsia="仿宋" w:cs="仿宋"/>
          <w:b w:val="0"/>
          <w:bCs w:val="0"/>
          <w:color w:val="auto"/>
          <w:sz w:val="24"/>
        </w:rPr>
        <w:t>经办人：</w:t>
      </w:r>
    </w:p>
    <w:p>
      <w:pPr>
        <w:spacing w:line="440" w:lineRule="exact"/>
        <w:rPr>
          <w:rFonts w:hint="eastAsia" w:eastAsia="仿宋_GB2312"/>
          <w:color w:val="auto"/>
          <w:sz w:val="30"/>
          <w:szCs w:val="30"/>
        </w:rPr>
      </w:pPr>
      <w:r>
        <w:rPr>
          <w:rFonts w:hint="eastAsia" w:ascii="仿宋" w:hAnsi="仿宋" w:eastAsia="仿宋" w:cs="仿宋"/>
          <w:b w:val="0"/>
          <w:bCs w:val="0"/>
          <w:color w:val="auto"/>
          <w:sz w:val="24"/>
        </w:rPr>
        <w:t xml:space="preserve">日期: </w:t>
      </w:r>
      <w:r>
        <w:rPr>
          <w:rFonts w:hint="eastAsia" w:ascii="仿宋" w:hAnsi="仿宋" w:eastAsia="仿宋" w:cs="仿宋"/>
          <w:b w:val="0"/>
          <w:bCs w:val="0"/>
          <w:color w:val="auto"/>
          <w:sz w:val="24"/>
        </w:rPr>
        <w:tab/>
      </w:r>
      <w:r>
        <w:rPr>
          <w:rFonts w:hint="eastAsia" w:ascii="仿宋" w:hAnsi="仿宋" w:eastAsia="仿宋" w:cs="仿宋"/>
          <w:b w:val="0"/>
          <w:bCs w:val="0"/>
          <w:color w:val="auto"/>
          <w:sz w:val="24"/>
        </w:rPr>
        <w:t xml:space="preserve">         </w:t>
      </w:r>
      <w:r>
        <w:rPr>
          <w:rFonts w:hint="eastAsia" w:ascii="仿宋" w:hAnsi="仿宋" w:eastAsia="仿宋" w:cs="仿宋"/>
          <w:b w:val="0"/>
          <w:bCs w:val="0"/>
          <w:color w:val="auto"/>
          <w:sz w:val="24"/>
          <w:lang w:val="en-US" w:eastAsia="zh-CN"/>
        </w:rPr>
        <w:t xml:space="preserve">                            </w:t>
      </w:r>
      <w:r>
        <w:rPr>
          <w:rFonts w:hint="eastAsia" w:ascii="仿宋" w:hAnsi="仿宋" w:eastAsia="仿宋" w:cs="仿宋"/>
          <w:b w:val="0"/>
          <w:bCs w:val="0"/>
          <w:color w:val="auto"/>
          <w:sz w:val="24"/>
        </w:rPr>
        <w:t>日期:</w:t>
      </w:r>
    </w:p>
    <w:p>
      <w:pPr>
        <w:rPr>
          <w:color w:val="auto"/>
        </w:rPr>
      </w:pPr>
    </w:p>
    <w:p>
      <w:pPr>
        <w:rPr>
          <w:color w:val="auto"/>
        </w:rPr>
      </w:pPr>
    </w:p>
    <w:p>
      <w:pPr>
        <w:keepNext w:val="0"/>
        <w:keepLines w:val="0"/>
        <w:widowControl/>
        <w:suppressLineNumbers w:val="0"/>
        <w:jc w:val="left"/>
        <w:rPr>
          <w:rFonts w:ascii="仿宋" w:hAnsi="仿宋" w:eastAsia="仿宋" w:cs="仿宋"/>
          <w:b/>
          <w:color w:val="auto"/>
          <w:kern w:val="0"/>
          <w:sz w:val="32"/>
          <w:szCs w:val="32"/>
          <w:lang w:val="en-US" w:eastAsia="zh-CN" w:bidi="ar-SA"/>
        </w:rPr>
      </w:pPr>
    </w:p>
    <w:p>
      <w:pPr>
        <w:pStyle w:val="28"/>
        <w:tabs>
          <w:tab w:val="left" w:pos="1200"/>
          <w:tab w:val="right" w:leader="dot" w:pos="9730"/>
        </w:tabs>
        <w:rPr>
          <w:rFonts w:hint="eastAsia" w:ascii="仿宋" w:hAnsi="仿宋" w:eastAsia="仿宋" w:cs="仿宋"/>
          <w:b/>
          <w:bCs/>
          <w:color w:val="auto"/>
          <w:sz w:val="24"/>
          <w:lang w:val="en-US" w:eastAsia="zh-CN"/>
        </w:rPr>
      </w:pPr>
      <w:r>
        <w:rPr>
          <w:rFonts w:ascii="仿宋" w:hAnsi="仿宋" w:eastAsia="仿宋" w:cs="仿宋"/>
          <w:b/>
          <w:color w:val="auto"/>
          <w:kern w:val="0"/>
          <w:sz w:val="32"/>
          <w:szCs w:val="32"/>
          <w:lang w:val="en-US" w:eastAsia="zh-CN" w:bidi="ar-SA"/>
        </w:rPr>
        <w:t>附件</w:t>
      </w:r>
      <w:r>
        <w:rPr>
          <w:rFonts w:hint="eastAsia" w:ascii="仿宋" w:hAnsi="仿宋" w:eastAsia="仿宋" w:cs="仿宋"/>
          <w:b/>
          <w:color w:val="auto"/>
          <w:kern w:val="0"/>
          <w:sz w:val="32"/>
          <w:szCs w:val="32"/>
          <w:lang w:val="en-US" w:eastAsia="zh-CN" w:bidi="ar-SA"/>
        </w:rPr>
        <w:t>四：</w:t>
      </w:r>
      <w:r>
        <w:rPr>
          <w:rFonts w:hint="default" w:ascii="仿宋" w:hAnsi="仿宋" w:eastAsia="仿宋" w:cs="仿宋"/>
          <w:b/>
          <w:bCs w:val="0"/>
          <w:color w:val="auto"/>
          <w:kern w:val="0"/>
          <w:sz w:val="32"/>
          <w:szCs w:val="32"/>
          <w:lang w:val="en-US" w:eastAsia="zh-CN"/>
        </w:rPr>
        <w:t>履约担保</w:t>
      </w:r>
    </w:p>
    <w:p>
      <w:pPr>
        <w:keepNext w:val="0"/>
        <w:keepLines w:val="0"/>
        <w:widowControl/>
        <w:suppressLineNumbers w:val="0"/>
        <w:jc w:val="left"/>
        <w:rPr>
          <w:rFonts w:ascii="仿宋" w:hAnsi="仿宋" w:eastAsia="仿宋" w:cs="仿宋"/>
          <w:b/>
          <w:color w:val="auto"/>
          <w:kern w:val="0"/>
          <w:sz w:val="32"/>
          <w:szCs w:val="32"/>
          <w:lang w:val="en-US" w:eastAsia="zh-CN" w:bidi="ar-SA"/>
        </w:rPr>
      </w:pPr>
    </w:p>
    <w:p>
      <w:pPr>
        <w:keepNext w:val="0"/>
        <w:keepLines w:val="0"/>
        <w:widowControl/>
        <w:suppressLineNumbers w:val="0"/>
        <w:jc w:val="left"/>
        <w:rPr>
          <w:rFonts w:ascii="仿宋" w:hAnsi="仿宋" w:eastAsia="仿宋" w:cs="仿宋"/>
          <w:b/>
          <w:color w:val="auto"/>
          <w:kern w:val="0"/>
          <w:sz w:val="32"/>
          <w:szCs w:val="32"/>
          <w:lang w:val="en-US" w:eastAsia="zh-CN" w:bidi="ar-SA"/>
        </w:rPr>
      </w:pPr>
      <w:r>
        <w:rPr>
          <w:rFonts w:ascii="仿宋" w:hAnsi="仿宋" w:eastAsia="仿宋" w:cs="仿宋"/>
          <w:b/>
          <w:color w:val="auto"/>
          <w:kern w:val="0"/>
          <w:sz w:val="32"/>
          <w:szCs w:val="32"/>
          <w:lang w:val="en-US" w:eastAsia="zh-CN" w:bidi="ar-SA"/>
        </w:rPr>
        <w:br w:type="page"/>
      </w:r>
    </w:p>
    <w:p>
      <w:pPr>
        <w:keepNext w:val="0"/>
        <w:keepLines w:val="0"/>
        <w:widowControl/>
        <w:suppressLineNumbers w:val="0"/>
        <w:jc w:val="left"/>
        <w:rPr>
          <w:rFonts w:hint="default" w:ascii="仿宋" w:hAnsi="仿宋" w:eastAsia="仿宋" w:cs="仿宋"/>
          <w:b/>
          <w:color w:val="auto"/>
          <w:kern w:val="0"/>
          <w:sz w:val="32"/>
          <w:szCs w:val="32"/>
          <w:lang w:val="en-US" w:eastAsia="zh-CN"/>
        </w:rPr>
      </w:pPr>
      <w:r>
        <w:rPr>
          <w:rFonts w:ascii="仿宋" w:hAnsi="仿宋" w:eastAsia="仿宋" w:cs="仿宋"/>
          <w:b/>
          <w:color w:val="auto"/>
          <w:kern w:val="0"/>
          <w:sz w:val="32"/>
          <w:szCs w:val="32"/>
          <w:lang w:val="en-US" w:eastAsia="zh-CN" w:bidi="ar-SA"/>
        </w:rPr>
        <w:t>附件</w:t>
      </w:r>
      <w:r>
        <w:rPr>
          <w:rFonts w:hint="eastAsia" w:ascii="仿宋" w:hAnsi="仿宋" w:eastAsia="仿宋" w:cs="仿宋"/>
          <w:b/>
          <w:color w:val="auto"/>
          <w:kern w:val="0"/>
          <w:sz w:val="32"/>
          <w:szCs w:val="32"/>
          <w:lang w:val="en-US" w:eastAsia="zh-CN" w:bidi="ar-SA"/>
        </w:rPr>
        <w:t>五：</w:t>
      </w:r>
      <w:r>
        <w:rPr>
          <w:rFonts w:hint="default" w:ascii="仿宋" w:hAnsi="仿宋" w:eastAsia="仿宋" w:cs="仿宋"/>
          <w:b/>
          <w:color w:val="auto"/>
          <w:kern w:val="0"/>
          <w:sz w:val="32"/>
          <w:szCs w:val="32"/>
          <w:lang w:val="en-US" w:eastAsia="zh-CN" w:bidi="ar-SA"/>
        </w:rPr>
        <w:t>(适用于</w:t>
      </w:r>
      <w:r>
        <w:rPr>
          <w:rFonts w:hint="default" w:ascii="仿宋" w:hAnsi="仿宋" w:eastAsia="仿宋" w:cs="仿宋"/>
          <w:b/>
          <w:color w:val="auto"/>
          <w:kern w:val="0"/>
          <w:sz w:val="32"/>
          <w:szCs w:val="32"/>
          <w:lang w:bidi="ar-SA"/>
        </w:rPr>
        <w:t>500 万元以上的大宗物资采购合同</w:t>
      </w:r>
      <w:r>
        <w:rPr>
          <w:rFonts w:hint="default" w:ascii="仿宋" w:hAnsi="仿宋" w:eastAsia="仿宋" w:cs="仿宋"/>
          <w:b/>
          <w:color w:val="auto"/>
          <w:kern w:val="0"/>
          <w:sz w:val="32"/>
          <w:szCs w:val="32"/>
          <w:lang w:eastAsia="zh-CN" w:bidi="ar-SA"/>
        </w:rPr>
        <w:t>）</w:t>
      </w:r>
    </w:p>
    <w:p>
      <w:pPr>
        <w:keepNext w:val="0"/>
        <w:keepLines w:val="0"/>
        <w:widowControl/>
        <w:suppressLineNumbers w:val="0"/>
        <w:jc w:val="center"/>
        <w:rPr>
          <w:rFonts w:ascii="仿宋" w:hAnsi="仿宋" w:eastAsia="仿宋" w:cs="仿宋"/>
          <w:b/>
          <w:color w:val="auto"/>
          <w:kern w:val="0"/>
          <w:sz w:val="32"/>
          <w:szCs w:val="32"/>
        </w:rPr>
      </w:pPr>
      <w:r>
        <w:rPr>
          <w:rFonts w:ascii="仿宋" w:hAnsi="仿宋" w:eastAsia="仿宋" w:cs="仿宋"/>
          <w:b/>
          <w:color w:val="auto"/>
          <w:kern w:val="0"/>
          <w:sz w:val="32"/>
          <w:szCs w:val="32"/>
          <w:lang w:val="en-US" w:eastAsia="zh-CN" w:bidi="ar-SA"/>
        </w:rPr>
        <w:t>诚信合规协议</w:t>
      </w:r>
    </w:p>
    <w:p>
      <w:pPr>
        <w:widowControl/>
        <w:spacing w:line="300" w:lineRule="exact"/>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甲方： </w:t>
      </w:r>
    </w:p>
    <w:p>
      <w:pPr>
        <w:widowControl/>
        <w:spacing w:line="300" w:lineRule="exact"/>
        <w:jc w:val="left"/>
        <w:rPr>
          <w:rFonts w:hint="eastAsia" w:ascii="方正仿宋_GBK" w:hAnsi="宋体" w:eastAsia="方正仿宋_GBK" w:cs="宋体"/>
          <w:color w:val="auto"/>
          <w:kern w:val="0"/>
          <w:sz w:val="24"/>
          <w:lang w:val="en-US" w:eastAsia="zh-CN"/>
        </w:rPr>
      </w:pPr>
    </w:p>
    <w:p>
      <w:pPr>
        <w:widowControl/>
        <w:spacing w:line="300" w:lineRule="exact"/>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乙方：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本协议为双方签订的          （以下简称“合同”）的重要组成部分，经各方协商一致，同意共同遵守。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一、遵守反腐败法律 </w:t>
      </w:r>
    </w:p>
    <w:p>
      <w:pPr>
        <w:widowControl/>
        <w:spacing w:line="300" w:lineRule="exact"/>
        <w:ind w:firstLine="480" w:firstLineChars="200"/>
        <w:jc w:val="left"/>
        <w:rPr>
          <w:rFonts w:hint="eastAsia" w:ascii="方正仿宋_GBK" w:hAnsi="宋体" w:eastAsia="方正仿宋_GBK" w:cs="宋体"/>
          <w:color w:val="auto"/>
          <w:kern w:val="0"/>
          <w:sz w:val="24"/>
          <w:lang w:val="en-US" w:eastAsia="zh-CN"/>
        </w:rPr>
      </w:pPr>
      <w:r>
        <w:rPr>
          <w:rFonts w:hint="eastAsia" w:ascii="方正仿宋_GBK" w:hAnsi="宋体" w:eastAsia="方正仿宋_GBK" w:cs="宋体"/>
          <w:color w:val="auto"/>
          <w:kern w:val="0"/>
          <w:sz w:val="24"/>
          <w:lang w:val="en-US" w:eastAsia="zh-CN"/>
        </w:rPr>
        <w:t>各方保证和承诺，与合同约定的活动或交易相关的各方或各方的关联公司、子公司、董事、高级管理人员、员工、顾问、代理方、最终受益人和股东及所有直接或间接代表各方开展活动或 交易的个人及相关方，在过去或将来均不会违反或致使各方违反《联合国反腐败公约》《关于打击国际商业交易中行贿外国公职人员行为的公约》《中华人民共和国刑法》及所在国家的反腐败、反欺诈、反不正当竞争法律、法规及规则等（以下合称“反腐败法律”）</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保证和承诺，与合同约定的活动或交易相关的各方或各方的关联公司、子公司、董事、高级管理人员、员工、顾问、代理方、最终受益人和股东及所有直接或间接代表各方开展活动或交易的个人及相关方，在过去或将来也不会发生以下行为： </w:t>
      </w:r>
    </w:p>
    <w:p>
      <w:pPr>
        <w:widowControl/>
        <w:spacing w:line="300" w:lineRule="exact"/>
        <w:ind w:firstLine="240" w:firstLineChars="1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（一）为以下目的给予或承诺给予公务人员、个人或法人任何利益：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1. 不当影响公务人员的行为或决定；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2. 诱使公务人员违反其法定职责从而作为或不作为；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3. 诱使公务人员直接通过其个人影响力，或通过其对国内外政府或政府部门的影响力，影响该政府或政府部门的行为或决定；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4. 协助各方不当获得或保持商业机会或使其获得不当优势。 </w:t>
      </w:r>
    </w:p>
    <w:p>
      <w:pPr>
        <w:widowControl/>
        <w:spacing w:line="300" w:lineRule="exact"/>
        <w:ind w:firstLine="240" w:firstLineChars="1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（二）为以下目的给予或承诺给予个人任何利益，无论其是否为公务人员：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1、意图使该个人不当履行其应尽的职责或义务；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2、知晓该个人接受利益即构成不当履行其应尽的职责或义务。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二、持续义务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保证和承诺，与合同约定的活动或交易相关的各方或各方的关联公司、子公司、董事、高级管理人员、员工、顾问、代理方、最终受益人和股东及所有直接或间接代表各方开展活动或交易的个人及相关方，在本协议有效期内均会遵守反腐败法律的相关规定。 </w:t>
      </w:r>
    </w:p>
    <w:p>
      <w:pPr>
        <w:widowControl/>
        <w:numPr>
          <w:ilvl w:val="0"/>
          <w:numId w:val="9"/>
        </w:numPr>
        <w:spacing w:line="300" w:lineRule="exact"/>
        <w:ind w:firstLine="480" w:firstLineChars="200"/>
        <w:jc w:val="left"/>
        <w:rPr>
          <w:rFonts w:hint="eastAsia" w:ascii="方正仿宋_GBK" w:hAnsi="宋体" w:eastAsia="方正仿宋_GBK" w:cs="宋体"/>
          <w:color w:val="auto"/>
          <w:kern w:val="0"/>
          <w:sz w:val="24"/>
          <w:lang w:val="en-US" w:eastAsia="zh-CN"/>
        </w:rPr>
      </w:pPr>
      <w:r>
        <w:rPr>
          <w:rFonts w:hint="eastAsia" w:ascii="方正仿宋_GBK" w:hAnsi="宋体" w:eastAsia="方正仿宋_GBK" w:cs="宋体"/>
          <w:color w:val="auto"/>
          <w:kern w:val="0"/>
          <w:sz w:val="24"/>
          <w:lang w:val="en-US" w:eastAsia="zh-CN"/>
        </w:rPr>
        <w:t>公务人员参与</w:t>
      </w:r>
    </w:p>
    <w:p>
      <w:pPr>
        <w:widowControl/>
        <w:numPr>
          <w:ilvl w:val="0"/>
          <w:numId w:val="0"/>
        </w:numPr>
        <w:spacing w:line="300" w:lineRule="exact"/>
        <w:ind w:firstLine="480" w:firstLineChars="200"/>
        <w:jc w:val="left"/>
        <w:rPr>
          <w:rFonts w:hint="eastAsia" w:ascii="方正仿宋_GBK" w:hAnsi="宋体" w:eastAsia="方正仿宋_GBK" w:cs="宋体"/>
          <w:color w:val="auto"/>
          <w:kern w:val="0"/>
          <w:sz w:val="24"/>
          <w:lang w:val="en-US" w:eastAsia="zh-CN"/>
        </w:rPr>
      </w:pPr>
      <w:r>
        <w:rPr>
          <w:rFonts w:hint="eastAsia" w:ascii="方正仿宋_GBK" w:hAnsi="宋体" w:eastAsia="方正仿宋_GBK" w:cs="宋体"/>
          <w:color w:val="auto"/>
          <w:kern w:val="0"/>
          <w:sz w:val="24"/>
          <w:lang w:val="en-US" w:eastAsia="zh-CN"/>
        </w:rPr>
        <w:t xml:space="preserve">除各方已披露的情形外，各方现有的董事、高级管理人员、股东（此处不包括上市公司的股东）、最终受益人均非公务人员，其直系亲属亦均非公务人员；若任何一方发现上述董事、高级管理人员、股东（此处不包括上市公司的股东）、最终受益人成为公务人员时，应在合理期限内通知其他方。 </w:t>
      </w:r>
    </w:p>
    <w:p>
      <w:pPr>
        <w:widowControl/>
        <w:numPr>
          <w:ilvl w:val="0"/>
          <w:numId w:val="0"/>
        </w:numPr>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四、无私设资金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在本协议有效期内，各方不会因为受到反腐败法律禁止的支付、或者为便利反腐败法律所禁止的其他行为，而设立秘密或账外资金、账户或资产，且无论其是否与合同拟进行的活动或交易相关。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五、免责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各方及其股东、董事、高级管理人员及员工不承担因其他方违反本协议约定的反腐败保证和承诺而造成的损失，包括但不限于罚金、损失赔偿金、或上述个人或相关方的经济损失。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六、终止权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根据可靠消息来源，包括但不限于任意方自行陈述或有正当来源的新闻报道，如任意方已实质性违反其在本协议中的遵守反腐败法律的相关保证与承诺，则视为实质违反本协议。无论该方是否因为违反反腐败法律而获罪或受到其他惩罚，其他方都有权终止本协议，且无须为此承担罚金或支付赔偿金。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七、审核权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应保留所有必要记录以证明其遵守本协议的约定。各方同意，经事先通知，各方或各方指派的审计事务所可查阅或审核其他方与合同履行相关的会计账簿和记录。各方及其指派的审计事务所对前述会计账簿和记录的查阅或审核应严格限于本协议所述工作范围，且应仅为合规审核目的。本条所列审核产生的费用应由申请方自行承担。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八、调查通知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各方同意，如其发现其因与本协议相关的行为正被执法或监管机关、政府机构、国际组织、证券交易所或非政府组织调查，其应立即通知其他方；此外，如各方发现其因违反反腐败法律而正被执法或监管机关、政府机构、国际组织、证券交易所或非政府组织调查，无论被调查行为是否与本协议相关，应立即通知其他方。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咨询举报邮箱：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九、本协议有效期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本协议有效期与合同的有效期一致。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十、本协议生效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本协议一式X份，经各方盖章后生效，具有同等法律效力。 </w:t>
      </w:r>
    </w:p>
    <w:p>
      <w:pPr>
        <w:widowControl/>
        <w:spacing w:line="300" w:lineRule="exact"/>
        <w:jc w:val="left"/>
        <w:rPr>
          <w:rFonts w:hint="eastAsia" w:ascii="方正仿宋_GBK" w:hAnsi="宋体" w:eastAsia="方正仿宋_GBK" w:cs="宋体"/>
          <w:color w:val="auto"/>
          <w:kern w:val="0"/>
          <w:sz w:val="24"/>
          <w:lang w:val="en-US" w:eastAsia="zh-CN"/>
        </w:rPr>
      </w:pP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附：公务人员的定义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本协议中的“公务人员”应包括但不限于其他单位的下列人员：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（一）政府部门的官员、雇员、代表以及代表政府或者经公共权力机构授权的人员；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（二）国际组织的官员、雇员和代表;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（三）行使公共权力的政治组织的官员、雇员、代表，或皇室成员;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（四）政府直接或间接控制或施加决定性影响力的国有企业的人员。 </w:t>
      </w:r>
    </w:p>
    <w:p>
      <w:pPr>
        <w:widowControl/>
        <w:spacing w:line="300" w:lineRule="exact"/>
        <w:ind w:firstLine="480" w:firstLineChars="2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（以下无正文） </w:t>
      </w:r>
    </w:p>
    <w:p>
      <w:pPr>
        <w:widowControl/>
        <w:spacing w:line="300" w:lineRule="exact"/>
        <w:jc w:val="left"/>
        <w:rPr>
          <w:rFonts w:hint="eastAsia" w:ascii="方正仿宋_GBK" w:hAnsi="宋体" w:eastAsia="方正仿宋_GBK" w:cs="宋体"/>
          <w:color w:val="auto"/>
          <w:kern w:val="0"/>
          <w:sz w:val="24"/>
          <w:lang w:val="en-US" w:eastAsia="zh-CN"/>
        </w:rPr>
      </w:pPr>
    </w:p>
    <w:p>
      <w:pPr>
        <w:widowControl/>
        <w:spacing w:line="300" w:lineRule="exact"/>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 xml:space="preserve">甲方（盖章）                              乙方（盖章） </w:t>
      </w:r>
    </w:p>
    <w:p>
      <w:pPr>
        <w:widowControl/>
        <w:spacing w:line="300" w:lineRule="exact"/>
        <w:ind w:firstLine="240" w:firstLineChars="100"/>
        <w:jc w:val="left"/>
        <w:rPr>
          <w:rFonts w:hint="eastAsia" w:ascii="方正仿宋_GBK" w:hAnsi="宋体" w:eastAsia="方正仿宋_GBK" w:cs="宋体"/>
          <w:color w:val="auto"/>
          <w:kern w:val="0"/>
          <w:sz w:val="24"/>
          <w:lang w:val="en-US" w:eastAsia="zh-CN"/>
        </w:rPr>
      </w:pPr>
    </w:p>
    <w:p>
      <w:pPr>
        <w:widowControl/>
        <w:spacing w:line="300" w:lineRule="exact"/>
        <w:ind w:firstLine="240" w:firstLineChars="100"/>
        <w:jc w:val="left"/>
        <w:rPr>
          <w:rFonts w:hint="eastAsia" w:ascii="方正仿宋_GBK" w:hAnsi="宋体" w:eastAsia="方正仿宋_GBK" w:cs="宋体"/>
          <w:color w:val="auto"/>
          <w:kern w:val="0"/>
          <w:sz w:val="24"/>
          <w:lang w:val="en-US" w:eastAsia="zh-CN"/>
        </w:rPr>
      </w:pPr>
    </w:p>
    <w:p>
      <w:pPr>
        <w:widowControl/>
        <w:spacing w:line="300" w:lineRule="exact"/>
        <w:ind w:firstLine="240" w:firstLineChars="100"/>
        <w:jc w:val="left"/>
        <w:rPr>
          <w:rFonts w:hint="eastAsia" w:ascii="方正仿宋_GBK" w:hAnsi="宋体" w:eastAsia="方正仿宋_GBK" w:cs="宋体"/>
          <w:color w:val="auto"/>
          <w:kern w:val="0"/>
          <w:sz w:val="24"/>
        </w:rPr>
      </w:pPr>
      <w:r>
        <w:rPr>
          <w:rFonts w:hint="eastAsia" w:ascii="方正仿宋_GBK" w:hAnsi="宋体" w:eastAsia="方正仿宋_GBK" w:cs="宋体"/>
          <w:color w:val="auto"/>
          <w:kern w:val="0"/>
          <w:sz w:val="24"/>
          <w:lang w:val="en-US" w:eastAsia="zh-CN"/>
        </w:rPr>
        <w:t>年 月 日                                   年 月 日</w:t>
      </w:r>
    </w:p>
    <w:p>
      <w:pPr>
        <w:rPr>
          <w:color w:val="auto"/>
        </w:rPr>
      </w:pPr>
    </w:p>
    <w:p>
      <w:pPr>
        <w:pStyle w:val="2"/>
        <w:rPr>
          <w:rFonts w:ascii="仿宋" w:hAnsi="仿宋" w:eastAsia="仿宋" w:cs="仿宋"/>
          <w:b/>
          <w:color w:val="auto"/>
          <w:kern w:val="0"/>
          <w:sz w:val="32"/>
          <w:szCs w:val="32"/>
          <w:lang w:val="en-US" w:eastAsia="zh-CN" w:bidi="ar-SA"/>
        </w:rPr>
      </w:pPr>
      <w:bookmarkStart w:id="813" w:name="招标文件05章工程量清单"/>
      <w:bookmarkEnd w:id="813"/>
    </w:p>
    <w:p>
      <w:pPr>
        <w:pStyle w:val="2"/>
        <w:rPr>
          <w:rFonts w:ascii="仿宋" w:hAnsi="仿宋" w:eastAsia="仿宋" w:cs="仿宋"/>
          <w:b/>
          <w:color w:val="auto"/>
          <w:kern w:val="0"/>
          <w:sz w:val="32"/>
          <w:szCs w:val="32"/>
          <w:lang w:val="en-US" w:eastAsia="zh-CN" w:bidi="ar-SA"/>
        </w:rPr>
      </w:pPr>
    </w:p>
    <w:p>
      <w:pPr>
        <w:pStyle w:val="2"/>
        <w:rPr>
          <w:rFonts w:ascii="仿宋" w:hAnsi="仿宋" w:eastAsia="仿宋" w:cs="仿宋"/>
          <w:b/>
          <w:color w:val="auto"/>
          <w:kern w:val="0"/>
          <w:sz w:val="32"/>
          <w:szCs w:val="32"/>
          <w:lang w:val="en-US" w:eastAsia="zh-CN" w:bidi="ar-SA"/>
        </w:rPr>
      </w:pPr>
    </w:p>
    <w:p>
      <w:pPr>
        <w:pStyle w:val="2"/>
        <w:rPr>
          <w:rFonts w:ascii="仿宋" w:hAnsi="仿宋" w:eastAsia="仿宋" w:cs="仿宋"/>
          <w:b/>
          <w:color w:val="auto"/>
          <w:kern w:val="0"/>
          <w:sz w:val="32"/>
          <w:szCs w:val="32"/>
          <w:lang w:val="en-US" w:eastAsia="zh-CN" w:bidi="ar-SA"/>
        </w:rPr>
      </w:pPr>
    </w:p>
    <w:p>
      <w:pPr>
        <w:rPr>
          <w:rFonts w:ascii="仿宋" w:hAnsi="仿宋" w:eastAsia="仿宋" w:cs="仿宋"/>
          <w:b/>
          <w:color w:val="auto"/>
          <w:kern w:val="0"/>
          <w:sz w:val="32"/>
          <w:szCs w:val="32"/>
          <w:lang w:val="en-US" w:eastAsia="zh-CN" w:bidi="ar-SA"/>
        </w:rPr>
      </w:pPr>
      <w:r>
        <w:rPr>
          <w:rFonts w:ascii="仿宋" w:hAnsi="仿宋" w:eastAsia="仿宋" w:cs="仿宋"/>
          <w:b/>
          <w:color w:val="auto"/>
          <w:kern w:val="0"/>
          <w:sz w:val="32"/>
          <w:szCs w:val="32"/>
          <w:lang w:val="en-US" w:eastAsia="zh-CN" w:bidi="ar-SA"/>
        </w:rPr>
        <w:br w:type="page"/>
      </w:r>
    </w:p>
    <w:p>
      <w:pPr>
        <w:pStyle w:val="2"/>
        <w:rPr>
          <w:rFonts w:hint="eastAsia" w:ascii="宋体" w:hAnsi="宋体" w:eastAsia="宋体"/>
          <w:color w:val="auto"/>
          <w:szCs w:val="21"/>
          <w:highlight w:val="none"/>
          <w:lang w:eastAsia="zh-CN"/>
        </w:rPr>
      </w:pPr>
      <w:r>
        <w:rPr>
          <w:rFonts w:ascii="仿宋" w:hAnsi="仿宋" w:eastAsia="仿宋" w:cs="仿宋"/>
          <w:b/>
          <w:color w:val="auto"/>
          <w:kern w:val="0"/>
          <w:sz w:val="32"/>
          <w:szCs w:val="32"/>
          <w:lang w:val="en-US" w:eastAsia="zh-CN" w:bidi="ar-SA"/>
        </w:rPr>
        <w:t>附件</w:t>
      </w:r>
      <w:r>
        <w:rPr>
          <w:rFonts w:hint="eastAsia" w:ascii="仿宋" w:hAnsi="仿宋" w:eastAsia="仿宋" w:cs="仿宋"/>
          <w:b/>
          <w:color w:val="auto"/>
          <w:kern w:val="0"/>
          <w:sz w:val="32"/>
          <w:szCs w:val="32"/>
          <w:lang w:val="en-US" w:eastAsia="zh-CN" w:bidi="ar-SA"/>
        </w:rPr>
        <w:t>六：</w:t>
      </w:r>
      <w:r>
        <w:rPr>
          <w:rFonts w:hint="default" w:ascii="仿宋" w:hAnsi="仿宋" w:eastAsia="仿宋" w:cs="仿宋"/>
          <w:b/>
          <w:color w:val="auto"/>
          <w:kern w:val="0"/>
          <w:sz w:val="32"/>
          <w:szCs w:val="32"/>
          <w:lang w:eastAsia="zh-CN"/>
        </w:rPr>
        <w:t>低价风险担保保函示范文本（独立保函）（如果有）</w:t>
      </w:r>
    </w:p>
    <w:p>
      <w:pPr>
        <w:pStyle w:val="2"/>
        <w:rPr>
          <w:rFonts w:ascii="宋体" w:hAnsi="宋体"/>
          <w:color w:val="auto"/>
          <w:szCs w:val="21"/>
          <w:highlight w:val="none"/>
        </w:rPr>
      </w:pPr>
    </w:p>
    <w:p>
      <w:pPr>
        <w:spacing w:line="360" w:lineRule="auto"/>
        <w:jc w:val="center"/>
        <w:rPr>
          <w:rFonts w:ascii="宋体" w:hAnsi="宋体" w:cs="宋体"/>
          <w:color w:val="auto"/>
          <w:szCs w:val="21"/>
          <w:highlight w:val="none"/>
        </w:rPr>
      </w:pPr>
    </w:p>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低价风险担保保函示范文本</w:t>
      </w:r>
    </w:p>
    <w:p>
      <w:pPr>
        <w:spacing w:line="360" w:lineRule="auto"/>
        <w:jc w:val="center"/>
        <w:rPr>
          <w:rFonts w:ascii="宋体" w:hAnsi="宋体" w:cs="宋体"/>
          <w:color w:val="auto"/>
          <w:szCs w:val="21"/>
          <w:highlight w:val="none"/>
        </w:rPr>
      </w:pPr>
      <w:r>
        <w:rPr>
          <w:rFonts w:hint="eastAsia" w:ascii="宋体" w:hAnsi="宋体" w:cs="宋体"/>
          <w:color w:val="auto"/>
          <w:szCs w:val="21"/>
          <w:highlight w:val="none"/>
        </w:rPr>
        <w:t>（独立保函）</w:t>
      </w:r>
    </w:p>
    <w:p>
      <w:pPr>
        <w:wordWrap w:val="0"/>
        <w:spacing w:line="360" w:lineRule="auto"/>
        <w:jc w:val="right"/>
        <w:rPr>
          <w:rFonts w:ascii="宋体" w:hAnsi="宋体" w:cs="宋体"/>
          <w:color w:val="auto"/>
          <w:szCs w:val="21"/>
          <w:highlight w:val="none"/>
        </w:rPr>
      </w:pPr>
      <w:r>
        <w:rPr>
          <w:rFonts w:hint="eastAsia" w:ascii="宋体" w:hAnsi="宋体" w:cs="宋体"/>
          <w:color w:val="auto"/>
          <w:szCs w:val="21"/>
          <w:highlight w:val="none"/>
        </w:rPr>
        <w:t xml:space="preserve">编号：           </w:t>
      </w:r>
    </w:p>
    <w:p>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rPr>
        <w:t>申请人：</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hint="eastAsia" w:ascii="宋体" w:hAnsi="宋体" w:cs="宋体"/>
          <w:color w:val="auto"/>
          <w:szCs w:val="21"/>
          <w:highlight w:val="none"/>
          <w:u w:val="single"/>
          <w:lang w:val="en-US" w:eastAsia="zh-CN"/>
        </w:rPr>
      </w:pPr>
      <w:r>
        <w:rPr>
          <w:rFonts w:hint="eastAsia" w:ascii="宋体" w:hAnsi="宋体" w:eastAsia="宋体" w:cs="宋体"/>
          <w:color w:val="auto"/>
          <w:szCs w:val="21"/>
          <w:highlight w:val="none"/>
        </w:rPr>
        <w:t xml:space="preserve">  地址：</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受益人：</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地址：</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开立人：</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地址：</w:t>
      </w:r>
      <w:r>
        <w:rPr>
          <w:rFonts w:hint="eastAsia" w:ascii="宋体" w:hAnsi="宋体" w:cs="宋体"/>
          <w:color w:val="auto"/>
          <w:szCs w:val="21"/>
          <w:highlight w:val="none"/>
          <w:u w:val="single"/>
          <w:lang w:val="en-US" w:eastAsia="zh-CN"/>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 </w:t>
      </w:r>
    </w:p>
    <w:p>
      <w:pPr>
        <w:adjustRightInd w:val="0"/>
        <w:snapToGrid w:val="0"/>
        <w:spacing w:line="360" w:lineRule="auto"/>
        <w:rPr>
          <w:rFonts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（受益人名称）： </w:t>
      </w:r>
    </w:p>
    <w:p>
      <w:pPr>
        <w:pStyle w:val="2"/>
        <w:adjustRightInd w:val="0"/>
        <w:snapToGrid w:val="0"/>
        <w:spacing w:after="0" w:line="360" w:lineRule="auto"/>
        <w:ind w:firstLine="40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鉴于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（以下简称“申请人”）于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日参加</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（以下简称“受益人”）的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（项目名称）的投标，收到受益人于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发的中标通知书，成为该项目的中标人。基于申请人的请求，我方同意就申请人履行该项目中标通知书、招标文件和投标文件约定的义务，向贵方提供不可撤销、不可转让的见索即付独立保函（以下简称“本保函”）。</w:t>
      </w:r>
    </w:p>
    <w:p>
      <w:pPr>
        <w:pStyle w:val="2"/>
        <w:numPr>
          <w:ilvl w:val="0"/>
          <w:numId w:val="10"/>
        </w:numPr>
        <w:adjustRightInd w:val="0"/>
        <w:snapToGrid w:val="0"/>
        <w:spacing w:after="0" w:line="360" w:lineRule="auto"/>
        <w:ind w:left="210" w:firstLine="420" w:firstLineChars="0"/>
        <w:rPr>
          <w:rFonts w:ascii="宋体" w:hAnsi="宋体" w:eastAsia="宋体" w:cs="宋体"/>
          <w:color w:val="auto"/>
          <w:szCs w:val="21"/>
          <w:highlight w:val="none"/>
        </w:rPr>
      </w:pPr>
      <w:r>
        <w:rPr>
          <w:rFonts w:hint="eastAsia" w:ascii="宋体" w:hAnsi="宋体" w:eastAsia="宋体" w:cs="宋体"/>
          <w:color w:val="auto"/>
          <w:szCs w:val="21"/>
          <w:highlight w:val="none"/>
        </w:rPr>
        <w:t>本保函担保范围：申请人未按照中标通知书、招标文件和投标文件约定签订合同或未按签订的合同约定履行相关义务，应当向贵方承担的违约责任和赔偿因此造成的损失、利息、律师费、诉讼费用等实现债权的费用。</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二、本保函担保金额最高不超过人民币（大写）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三、本保函有效期自开立之日起至合同约定的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日止，最迟不超过</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日。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四、我方承诺，在收到受益人发来的书面付款通知后的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工作日内无条件支付，前述书面付款通知即为付款要求之单据，且应满足以下要求：</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（1）付款通知到达的日期在本保函的有效期内；</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（2）载明要求支付的金额；</w:t>
      </w:r>
    </w:p>
    <w:p>
      <w:pPr>
        <w:adjustRightInd w:val="0"/>
        <w:snapToGrid w:val="0"/>
        <w:spacing w:line="360" w:lineRule="auto"/>
        <w:ind w:firstLine="420" w:firstLineChars="200"/>
        <w:rPr>
          <w:rFonts w:ascii="宋体" w:hAnsi="宋体" w:eastAsia="宋体" w:cs="宋体"/>
          <w:color w:val="auto"/>
          <w:szCs w:val="21"/>
          <w:highlight w:val="none"/>
          <w:u w:val="single"/>
        </w:rPr>
      </w:pPr>
      <w:r>
        <w:rPr>
          <w:rFonts w:hint="eastAsia" w:ascii="宋体" w:hAnsi="宋体" w:eastAsia="宋体" w:cs="宋体"/>
          <w:color w:val="auto"/>
          <w:szCs w:val="21"/>
          <w:highlight w:val="none"/>
        </w:rPr>
        <w:t>（3）载明申请人未按照中标通知书、招标文件和投标文件约定签订合同或违反合同义务的条款和内容；</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（4）付款通知中应声明不存在招标文件约定、合同文件约定或我国法律规定免除申请人或开立人支付责任的情形；</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（5）付款通知应在本保函有效期内到达的地址是：</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受益人发出的书面付款通知应由其为鉴明受益人法定代表人（负责人）或授权代理人签名加盖公章。</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五、本保函项下的权利不得转让，不得设定担保。贵方未经我方书面同意转让本保函或其项下任何权利，对我方不发生法律效力。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六、与本保函有关的合同不成立、不生效、无效、被撤销、被解除，不影响本保函的独立有效。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八、本保函适用的法律为中华人民共和国法律，争议裁判管辖地为中华人民共和国</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九、本保函自我方法定代表人或授权代表签名并加盖公章之日起生效。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开 立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盖</w:t>
      </w:r>
      <w:r>
        <w:rPr>
          <w:rFonts w:hint="eastAsia" w:ascii="宋体" w:hAnsi="宋体" w:eastAsia="宋体" w:cs="宋体"/>
          <w:color w:val="auto"/>
          <w:szCs w:val="21"/>
          <w:highlight w:val="none"/>
        </w:rPr>
        <w:t xml:space="preserve">章）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法定代表人（或授权代表）：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（签名）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邮政编码：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电    话：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 xml:space="preserve">传    真：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adjustRightInd w:val="0"/>
        <w:snapToGrid w:val="0"/>
        <w:spacing w:line="360" w:lineRule="auto"/>
        <w:ind w:firstLine="420" w:firstLineChars="200"/>
        <w:rPr>
          <w:color w:val="auto"/>
          <w:highlight w:val="none"/>
        </w:rPr>
      </w:pPr>
      <w:r>
        <w:rPr>
          <w:rFonts w:hint="eastAsia" w:ascii="宋体" w:hAnsi="宋体" w:eastAsia="宋体" w:cs="宋体"/>
          <w:color w:val="auto"/>
          <w:szCs w:val="21"/>
          <w:highlight w:val="none"/>
        </w:rPr>
        <w:t>开立时间：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pPr>
        <w:ind w:right="0"/>
        <w:rPr>
          <w:rFonts w:ascii="宋体" w:hAnsi="宋体"/>
          <w:color w:val="auto"/>
          <w:szCs w:val="21"/>
          <w:highlight w:val="none"/>
        </w:rPr>
      </w:pPr>
      <w:r>
        <w:rPr>
          <w:rFonts w:hint="eastAsia" w:ascii="宋体" w:hAnsi="宋体"/>
          <w:color w:val="auto"/>
          <w:szCs w:val="21"/>
          <w:highlight w:val="none"/>
        </w:rPr>
        <w:br w:type="page"/>
      </w:r>
    </w:p>
    <w:p>
      <w:bookmarkStart w:id="814" w:name="_Toc513633965"/>
    </w:p>
    <w:p>
      <w:pPr>
        <w:pStyle w:val="3"/>
        <w:numPr>
          <w:ilvl w:val="0"/>
          <w:numId w:val="5"/>
        </w:numPr>
        <w:spacing w:before="0" w:after="0" w:line="360" w:lineRule="auto"/>
        <w:jc w:val="center"/>
        <w:rPr>
          <w:rFonts w:ascii="宋体" w:hAnsi="宋体" w:cs="宋体"/>
        </w:rPr>
      </w:pPr>
      <w:bookmarkStart w:id="815" w:name="_Toc16020"/>
      <w:bookmarkStart w:id="816" w:name="_Toc514858709"/>
      <w:bookmarkStart w:id="817" w:name="_Toc2000413"/>
      <w:r>
        <w:rPr>
          <w:rFonts w:hint="eastAsia" w:ascii="宋体" w:hAnsi="宋体" w:cs="宋体"/>
        </w:rPr>
        <w:t>竞争性比选响应文件格式</w:t>
      </w:r>
      <w:bookmarkEnd w:id="814"/>
      <w:bookmarkEnd w:id="815"/>
      <w:bookmarkEnd w:id="816"/>
      <w:bookmarkEnd w:id="817"/>
    </w:p>
    <w:p>
      <w:pPr>
        <w:rPr>
          <w:rFonts w:ascii="宋体" w:hAnsi="宋体" w:cs="宋体"/>
        </w:rPr>
      </w:pPr>
    </w:p>
    <w:p>
      <w:pPr>
        <w:rPr>
          <w:rFonts w:ascii="宋体" w:hAnsi="宋体" w:cs="宋体"/>
        </w:rPr>
        <w:sectPr>
          <w:pgSz w:w="11906" w:h="16838"/>
          <w:pgMar w:top="1440" w:right="1576" w:bottom="1440" w:left="1463" w:header="851" w:footer="992" w:gutter="0"/>
          <w:cols w:space="0" w:num="1"/>
          <w:titlePg/>
          <w:docGrid w:type="lines" w:linePitch="319" w:charSpace="0"/>
        </w:sectPr>
      </w:pPr>
    </w:p>
    <w:p>
      <w:pPr>
        <w:rPr>
          <w:rFonts w:ascii="宋体" w:hAnsi="宋体" w:cs="宋体"/>
        </w:rPr>
      </w:pPr>
    </w:p>
    <w:p>
      <w:pPr>
        <w:jc w:val="center"/>
        <w:rPr>
          <w:rFonts w:ascii="宋体" w:hAnsi="宋体" w:cs="宋体"/>
          <w:sz w:val="52"/>
          <w:szCs w:val="52"/>
          <w:u w:val="single"/>
        </w:rPr>
      </w:pPr>
      <w:bookmarkStart w:id="818" w:name="_Toc503971829"/>
      <w:bookmarkStart w:id="819" w:name="_Toc513646738"/>
      <w:bookmarkStart w:id="820" w:name="_Toc513633967"/>
      <w:bookmarkStart w:id="821" w:name="_Toc514858710"/>
      <w:bookmarkStart w:id="822" w:name="_Toc503951046"/>
      <w:r>
        <w:rPr>
          <w:rFonts w:hint="eastAsia" w:ascii="宋体" w:hAnsi="宋体" w:cs="宋体"/>
          <w:u w:val="single"/>
        </w:rPr>
        <w:t xml:space="preserve">                           </w:t>
      </w:r>
      <w:r>
        <w:rPr>
          <w:rFonts w:hint="eastAsia" w:ascii="宋体" w:hAnsi="宋体" w:cs="宋体"/>
          <w:sz w:val="52"/>
          <w:szCs w:val="52"/>
          <w:u w:val="single"/>
        </w:rPr>
        <w:t>（项目名称）</w:t>
      </w:r>
      <w:bookmarkEnd w:id="818"/>
      <w:bookmarkEnd w:id="819"/>
      <w:bookmarkEnd w:id="820"/>
      <w:bookmarkEnd w:id="821"/>
      <w:bookmarkEnd w:id="822"/>
      <w:r>
        <w:rPr>
          <w:rFonts w:hint="eastAsia" w:ascii="宋体" w:hAnsi="宋体" w:cs="宋体"/>
          <w:sz w:val="52"/>
          <w:szCs w:val="52"/>
          <w:u w:val="single"/>
        </w:rPr>
        <w:t xml:space="preserve"> </w:t>
      </w:r>
    </w:p>
    <w:p>
      <w:pPr>
        <w:rPr>
          <w:rFonts w:ascii="宋体" w:hAnsi="宋体" w:cs="宋体"/>
          <w:sz w:val="20"/>
          <w:szCs w:val="20"/>
        </w:rPr>
      </w:pPr>
    </w:p>
    <w:p>
      <w:pPr>
        <w:jc w:val="center"/>
        <w:rPr>
          <w:rFonts w:ascii="宋体" w:hAnsi="宋体" w:cs="宋体"/>
          <w:sz w:val="44"/>
          <w:szCs w:val="44"/>
        </w:rPr>
      </w:pPr>
      <w:r>
        <w:rPr>
          <w:rFonts w:hint="eastAsia" w:ascii="宋体" w:hAnsi="宋体" w:cs="宋体"/>
          <w:sz w:val="44"/>
          <w:szCs w:val="44"/>
        </w:rPr>
        <w:t xml:space="preserve"> </w:t>
      </w: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jc w:val="center"/>
        <w:rPr>
          <w:rFonts w:ascii="宋体" w:hAnsi="宋体" w:cs="宋体"/>
          <w:b/>
          <w:sz w:val="72"/>
          <w:szCs w:val="44"/>
        </w:rPr>
      </w:pPr>
      <w:r>
        <w:rPr>
          <w:rFonts w:hint="eastAsia" w:ascii="宋体" w:hAnsi="宋体" w:cs="宋体"/>
          <w:b/>
          <w:sz w:val="72"/>
          <w:szCs w:val="44"/>
        </w:rPr>
        <w:t>竞争性比选响应文件</w:t>
      </w:r>
    </w:p>
    <w:p>
      <w:pPr>
        <w:jc w:val="center"/>
        <w:rPr>
          <w:rFonts w:ascii="宋体" w:hAnsi="宋体" w:cs="宋体"/>
          <w:b/>
          <w:sz w:val="32"/>
          <w:szCs w:val="32"/>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pStyle w:val="28"/>
      </w:pPr>
    </w:p>
    <w:p/>
    <w:p>
      <w:pPr>
        <w:pStyle w:val="28"/>
      </w:pPr>
    </w:p>
    <w:p/>
    <w:p>
      <w:pPr>
        <w:pStyle w:val="28"/>
      </w:pPr>
    </w:p>
    <w:p>
      <w:pPr>
        <w:jc w:val="center"/>
        <w:rPr>
          <w:rFonts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（盖单位鲜公章）</w:t>
      </w:r>
    </w:p>
    <w:p>
      <w:pPr>
        <w:jc w:val="center"/>
        <w:rPr>
          <w:rFonts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w:t>
      </w:r>
    </w:p>
    <w:p>
      <w:pPr>
        <w:jc w:val="center"/>
        <w:rPr>
          <w:rFonts w:ascii="宋体" w:hAnsi="宋体" w:cs="宋体"/>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pStyle w:val="4"/>
        <w:jc w:val="center"/>
        <w:rPr>
          <w:rFonts w:ascii="宋体" w:hAnsi="宋体" w:eastAsia="宋体" w:cs="宋体"/>
        </w:rPr>
      </w:pPr>
      <w:bookmarkStart w:id="823" w:name="_Toc28780"/>
      <w:bookmarkStart w:id="824" w:name="_Toc11329273"/>
      <w:bookmarkStart w:id="825" w:name="_Toc26420"/>
      <w:bookmarkStart w:id="826" w:name="_Toc19387"/>
      <w:bookmarkStart w:id="827" w:name="_Toc5459"/>
      <w:bookmarkStart w:id="828" w:name="_Toc1368"/>
      <w:r>
        <w:rPr>
          <w:rFonts w:hint="eastAsia" w:ascii="宋体" w:hAnsi="宋体" w:eastAsia="宋体" w:cs="宋体"/>
        </w:rPr>
        <w:t>目    录</w:t>
      </w:r>
      <w:bookmarkEnd w:id="797"/>
      <w:bookmarkEnd w:id="798"/>
      <w:bookmarkEnd w:id="799"/>
      <w:bookmarkEnd w:id="800"/>
      <w:bookmarkEnd w:id="801"/>
      <w:bookmarkEnd w:id="802"/>
      <w:bookmarkEnd w:id="803"/>
      <w:bookmarkEnd w:id="804"/>
      <w:bookmarkEnd w:id="823"/>
      <w:bookmarkEnd w:id="824"/>
      <w:bookmarkEnd w:id="825"/>
      <w:bookmarkEnd w:id="826"/>
      <w:bookmarkEnd w:id="827"/>
      <w:bookmarkEnd w:id="828"/>
    </w:p>
    <w:p>
      <w:pPr>
        <w:numPr>
          <w:ilvl w:val="0"/>
          <w:numId w:val="11"/>
        </w:numPr>
        <w:spacing w:line="400" w:lineRule="exact"/>
        <w:rPr>
          <w:rFonts w:ascii="宋体" w:hAnsi="宋体" w:cs="宋体"/>
        </w:rPr>
      </w:pPr>
      <w:r>
        <w:rPr>
          <w:rFonts w:hint="eastAsia" w:ascii="宋体" w:hAnsi="宋体" w:cs="宋体"/>
        </w:rPr>
        <w:t>竞争性响应声明书</w:t>
      </w:r>
    </w:p>
    <w:p>
      <w:pPr>
        <w:numPr>
          <w:ilvl w:val="0"/>
          <w:numId w:val="11"/>
        </w:numPr>
        <w:spacing w:line="400" w:lineRule="exact"/>
        <w:rPr>
          <w:rFonts w:ascii="宋体" w:hAnsi="宋体" w:cs="宋体"/>
        </w:rPr>
      </w:pPr>
      <w:r>
        <w:rPr>
          <w:rFonts w:ascii="宋体" w:hAnsi="宋体" w:cs="宋体"/>
        </w:rPr>
        <w:t>法定代表人身份证明或法定代表人授权委托书</w:t>
      </w:r>
    </w:p>
    <w:p>
      <w:pPr>
        <w:spacing w:line="400" w:lineRule="exact"/>
        <w:rPr>
          <w:rFonts w:ascii="宋体" w:hAnsi="宋体" w:cs="宋体"/>
        </w:rPr>
      </w:pPr>
      <w:r>
        <w:rPr>
          <w:rFonts w:hint="eastAsia" w:ascii="宋体" w:hAnsi="宋体" w:cs="宋体"/>
        </w:rPr>
        <w:t>三、报价一览表</w:t>
      </w:r>
    </w:p>
    <w:p>
      <w:pPr>
        <w:spacing w:line="400" w:lineRule="exact"/>
        <w:rPr>
          <w:rFonts w:ascii="宋体" w:hAnsi="宋体" w:cs="宋体"/>
        </w:rPr>
      </w:pPr>
      <w:r>
        <w:rPr>
          <w:rFonts w:hint="eastAsia" w:ascii="宋体" w:hAnsi="宋体" w:cs="宋体"/>
        </w:rPr>
        <w:t>四、审查资料</w:t>
      </w:r>
    </w:p>
    <w:p>
      <w:pPr>
        <w:spacing w:line="400" w:lineRule="exact"/>
        <w:rPr>
          <w:rFonts w:ascii="宋体" w:hAnsi="宋体" w:cs="宋体"/>
          <w:szCs w:val="21"/>
        </w:rPr>
      </w:pPr>
      <w:r>
        <w:rPr>
          <w:rFonts w:hint="eastAsia" w:ascii="宋体" w:hAnsi="宋体" w:cs="宋体"/>
        </w:rPr>
        <w:t>五、</w:t>
      </w:r>
      <w:r>
        <w:rPr>
          <w:rFonts w:hint="eastAsia" w:ascii="宋体" w:hAnsi="宋体" w:cs="宋体"/>
          <w:szCs w:val="21"/>
        </w:rPr>
        <w:t>报价人承诺</w:t>
      </w:r>
    </w:p>
    <w:p>
      <w:pPr>
        <w:spacing w:line="400" w:lineRule="exact"/>
        <w:rPr>
          <w:rFonts w:ascii="宋体" w:hAnsi="宋体" w:cs="宋体"/>
        </w:rPr>
      </w:pPr>
      <w:r>
        <w:rPr>
          <w:rFonts w:hint="eastAsia" w:ascii="宋体" w:hAnsi="宋体" w:cs="宋体"/>
        </w:rPr>
        <w:t>六、报价人提供的其他资料（如有）</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r>
        <w:rPr>
          <w:rFonts w:ascii="宋体" w:hAnsi="宋体" w:cs="宋体"/>
        </w:rPr>
        <w:br w:type="page"/>
      </w:r>
    </w:p>
    <w:p>
      <w:pPr>
        <w:pStyle w:val="4"/>
        <w:numPr>
          <w:ilvl w:val="0"/>
          <w:numId w:val="12"/>
        </w:numPr>
        <w:spacing w:before="0" w:after="0" w:line="360" w:lineRule="auto"/>
        <w:jc w:val="center"/>
        <w:rPr>
          <w:rFonts w:ascii="宋体" w:hAnsi="宋体" w:eastAsia="宋体" w:cs="宋体"/>
          <w:sz w:val="28"/>
        </w:rPr>
      </w:pPr>
      <w:bookmarkStart w:id="829" w:name="_Toc29547"/>
      <w:bookmarkStart w:id="830" w:name="_Toc28976"/>
      <w:bookmarkStart w:id="831" w:name="_Toc15863"/>
      <w:bookmarkStart w:id="832" w:name="_Toc25874"/>
      <w:bookmarkStart w:id="833" w:name="_Toc3269"/>
      <w:bookmarkStart w:id="834" w:name="_Toc513633969"/>
      <w:bookmarkStart w:id="835" w:name="_Toc447827053"/>
      <w:bookmarkStart w:id="836" w:name="_Toc503951048"/>
      <w:r>
        <w:rPr>
          <w:rFonts w:hint="eastAsia" w:ascii="宋体" w:hAnsi="宋体" w:eastAsia="宋体" w:cs="宋体"/>
          <w:sz w:val="28"/>
        </w:rPr>
        <w:t>竞争比选响应声明书</w:t>
      </w:r>
      <w:bookmarkEnd w:id="829"/>
      <w:bookmarkEnd w:id="830"/>
      <w:bookmarkEnd w:id="831"/>
      <w:bookmarkEnd w:id="832"/>
      <w:bookmarkEnd w:id="833"/>
    </w:p>
    <w:p>
      <w:pPr>
        <w:tabs>
          <w:tab w:val="left" w:pos="900"/>
        </w:tabs>
        <w:spacing w:line="300" w:lineRule="auto"/>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480" w:lineRule="auto"/>
        <w:ind w:firstLine="480" w:firstLineChars="200"/>
        <w:rPr>
          <w:rFonts w:ascii="Arial" w:hAnsi="Arial" w:cs="Arial"/>
          <w:color w:val="000000"/>
          <w:sz w:val="24"/>
        </w:rPr>
      </w:pPr>
      <w:r>
        <w:rPr>
          <w:rFonts w:hint="eastAsia" w:ascii="Arial" w:hAnsi="Arial" w:cs="Arial"/>
          <w:color w:val="000000"/>
          <w:sz w:val="24"/>
        </w:rPr>
        <w:t>根据贵</w:t>
      </w:r>
      <w:r>
        <w:rPr>
          <w:rFonts w:hint="eastAsia" w:ascii="Arial" w:hAnsi="Arial" w:cs="Arial"/>
          <w:sz w:val="24"/>
        </w:rPr>
        <w:t>方</w:t>
      </w:r>
      <w:r>
        <w:rPr>
          <w:rFonts w:hint="eastAsia" w:ascii="Arial" w:hAnsi="Arial" w:cs="Arial"/>
          <w:sz w:val="24"/>
          <w:u w:val="single"/>
        </w:rPr>
        <w:t>为XXXXX项目</w:t>
      </w:r>
      <w:r>
        <w:rPr>
          <w:rFonts w:hint="eastAsia" w:ascii="Arial" w:hAnsi="Arial" w:cs="Arial"/>
          <w:sz w:val="24"/>
        </w:rPr>
        <w:t>竞争比选项目</w:t>
      </w:r>
      <w:r>
        <w:rPr>
          <w:rFonts w:hint="eastAsia" w:ascii="Arial" w:hAnsi="Arial" w:cs="Arial"/>
          <w:color w:val="000000"/>
          <w:sz w:val="24"/>
        </w:rPr>
        <w:t>的竞争比选公告，签字代表</w:t>
      </w:r>
      <w:r>
        <w:rPr>
          <w:rFonts w:ascii="Arial" w:hAnsi="Arial" w:cs="Arial"/>
          <w:color w:val="000000"/>
          <w:sz w:val="24"/>
          <w:u w:val="single"/>
        </w:rPr>
        <w:t xml:space="preserve">          </w:t>
      </w:r>
      <w:r>
        <w:rPr>
          <w:rFonts w:hint="eastAsia" w:ascii="Arial" w:hAnsi="Arial" w:cs="Arial"/>
          <w:color w:val="000000"/>
          <w:sz w:val="24"/>
          <w:u w:val="single"/>
        </w:rPr>
        <w:t>（全名、职务）</w:t>
      </w:r>
      <w:r>
        <w:rPr>
          <w:rFonts w:hint="eastAsia" w:ascii="Arial" w:hAnsi="Arial" w:cs="Arial"/>
          <w:color w:val="000000"/>
          <w:sz w:val="24"/>
        </w:rPr>
        <w:t>经正式授权并代表竞争比选响应单位</w:t>
      </w:r>
      <w:r>
        <w:rPr>
          <w:rFonts w:ascii="Arial" w:hAnsi="Arial" w:cs="Arial"/>
          <w:color w:val="000000"/>
          <w:sz w:val="24"/>
          <w:u w:val="single"/>
        </w:rPr>
        <w:t xml:space="preserve"> </w:t>
      </w:r>
      <w:r>
        <w:rPr>
          <w:rFonts w:hint="eastAsia" w:ascii="Arial" w:hAnsi="Arial" w:cs="Arial"/>
          <w:color w:val="000000"/>
          <w:sz w:val="24"/>
          <w:u w:val="single"/>
        </w:rPr>
        <w:t>（竞争比选响应单位名称）</w:t>
      </w:r>
      <w:r>
        <w:rPr>
          <w:rFonts w:ascii="Arial" w:hAnsi="Arial" w:cs="Arial"/>
          <w:color w:val="000000"/>
          <w:sz w:val="24"/>
          <w:u w:val="single"/>
        </w:rPr>
        <w:t xml:space="preserve"> </w:t>
      </w:r>
      <w:r>
        <w:rPr>
          <w:rFonts w:hint="eastAsia" w:ascii="Arial" w:hAnsi="Arial" w:cs="Arial"/>
          <w:color w:val="000000"/>
          <w:sz w:val="24"/>
        </w:rPr>
        <w:t>提交报价文件。</w:t>
      </w:r>
    </w:p>
    <w:p>
      <w:pPr>
        <w:spacing w:line="480" w:lineRule="auto"/>
        <w:ind w:firstLine="480" w:firstLineChars="200"/>
        <w:rPr>
          <w:rFonts w:ascii="Arial" w:hAnsi="Arial" w:cs="Arial"/>
          <w:color w:val="000000"/>
          <w:sz w:val="24"/>
        </w:rPr>
      </w:pPr>
      <w:r>
        <w:rPr>
          <w:rFonts w:hint="eastAsia" w:ascii="Arial" w:hAnsi="Arial" w:cs="Arial"/>
          <w:color w:val="000000"/>
          <w:sz w:val="24"/>
          <w:u w:val="single"/>
        </w:rPr>
        <w:t>我方愿以：           （大写：）的报价按照竞争比选文件的要求，提供本次竞争比选文件要求的超融合软件。</w:t>
      </w:r>
    </w:p>
    <w:p>
      <w:pPr>
        <w:tabs>
          <w:tab w:val="left" w:pos="540"/>
          <w:tab w:val="left" w:pos="900"/>
        </w:tabs>
        <w:spacing w:line="480" w:lineRule="auto"/>
        <w:ind w:firstLine="480" w:firstLineChars="200"/>
        <w:rPr>
          <w:rFonts w:ascii="Arial" w:hAnsi="Arial" w:cs="Arial"/>
          <w:color w:val="000000"/>
          <w:sz w:val="24"/>
        </w:rPr>
      </w:pPr>
      <w:r>
        <w:rPr>
          <w:rFonts w:hint="eastAsia" w:ascii="Arial" w:hAnsi="Arial" w:cs="Arial"/>
          <w:color w:val="000000"/>
          <w:sz w:val="24"/>
        </w:rPr>
        <w:t>据此函，签字代表宣布同意如下：</w:t>
      </w:r>
    </w:p>
    <w:p>
      <w:pPr>
        <w:tabs>
          <w:tab w:val="left" w:pos="540"/>
          <w:tab w:val="left" w:pos="900"/>
        </w:tabs>
        <w:spacing w:line="480" w:lineRule="auto"/>
        <w:ind w:firstLine="480" w:firstLineChars="200"/>
        <w:rPr>
          <w:rFonts w:ascii="Arial" w:hAnsi="Arial" w:cs="Arial"/>
          <w:color w:val="000000"/>
          <w:sz w:val="24"/>
        </w:rPr>
      </w:pPr>
      <w:r>
        <w:rPr>
          <w:rFonts w:ascii="Arial" w:hAnsi="Arial" w:cs="Arial"/>
          <w:color w:val="000000"/>
          <w:sz w:val="24"/>
        </w:rPr>
        <w:t>1</w:t>
      </w:r>
      <w:r>
        <w:rPr>
          <w:rFonts w:hint="eastAsia" w:ascii="Arial" w:hAnsi="Arial" w:cs="Arial"/>
          <w:color w:val="000000"/>
          <w:sz w:val="24"/>
        </w:rPr>
        <w:t>、竞争比选响应单位将按竞争比选文件规定履行合同责任和义务。</w:t>
      </w:r>
    </w:p>
    <w:p>
      <w:pPr>
        <w:tabs>
          <w:tab w:val="left" w:pos="900"/>
        </w:tabs>
        <w:spacing w:line="480" w:lineRule="auto"/>
        <w:ind w:firstLine="480" w:firstLineChars="200"/>
        <w:rPr>
          <w:rFonts w:ascii="Arial" w:hAnsi="Arial" w:cs="Arial"/>
          <w:b/>
          <w:color w:val="000000"/>
          <w:sz w:val="24"/>
        </w:rPr>
      </w:pPr>
      <w:r>
        <w:rPr>
          <w:rFonts w:ascii="Arial" w:hAnsi="Arial" w:cs="Arial"/>
          <w:color w:val="000000"/>
          <w:sz w:val="24"/>
        </w:rPr>
        <w:t>2</w:t>
      </w:r>
      <w:r>
        <w:rPr>
          <w:rFonts w:hint="eastAsia" w:ascii="Arial" w:hAnsi="Arial" w:cs="Arial"/>
          <w:color w:val="000000"/>
          <w:sz w:val="24"/>
        </w:rPr>
        <w:t>、竞争比选响应单位已详细审查全部竞争比选文件，包括修改文件（如有的话）以及全部参考资料和相关附件。我们完全理解并同意放弃对这方面有不明及误解的权利。</w:t>
      </w:r>
    </w:p>
    <w:p>
      <w:pPr>
        <w:tabs>
          <w:tab w:val="left" w:pos="900"/>
        </w:tabs>
        <w:spacing w:line="480" w:lineRule="auto"/>
        <w:ind w:firstLine="480" w:firstLineChars="200"/>
        <w:rPr>
          <w:rFonts w:ascii="Arial" w:hAnsi="Arial" w:cs="Arial"/>
          <w:b/>
          <w:color w:val="000000"/>
          <w:sz w:val="24"/>
        </w:rPr>
      </w:pPr>
      <w:r>
        <w:rPr>
          <w:rFonts w:hint="eastAsia" w:ascii="Arial" w:hAnsi="Arial" w:cs="Arial"/>
          <w:color w:val="000000"/>
          <w:sz w:val="24"/>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480" w:lineRule="auto"/>
        <w:ind w:firstLine="480" w:firstLineChars="200"/>
        <w:rPr>
          <w:rFonts w:ascii="Arial" w:hAnsi="Arial" w:cs="Arial"/>
          <w:b/>
          <w:color w:val="000000"/>
          <w:sz w:val="24"/>
        </w:rPr>
      </w:pPr>
      <w:r>
        <w:rPr>
          <w:rFonts w:hint="eastAsia" w:ascii="Arial" w:hAnsi="Arial" w:cs="Arial"/>
          <w:color w:val="000000"/>
          <w:sz w:val="24"/>
        </w:rPr>
        <w:t>4、与本竞争比选响应有关的一切正式往来通讯请寄：</w:t>
      </w:r>
    </w:p>
    <w:p>
      <w:pPr>
        <w:tabs>
          <w:tab w:val="left" w:pos="900"/>
        </w:tabs>
        <w:spacing w:line="480" w:lineRule="auto"/>
        <w:ind w:firstLine="480" w:firstLineChars="200"/>
        <w:rPr>
          <w:rFonts w:ascii="Arial" w:hAnsi="Arial" w:cs="Arial"/>
          <w:b/>
          <w:color w:val="000000"/>
          <w:sz w:val="24"/>
        </w:rPr>
      </w:pPr>
      <w:r>
        <w:rPr>
          <w:rFonts w:hint="eastAsia" w:ascii="Arial" w:hAnsi="Arial" w:cs="Arial"/>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pPr>
        <w:tabs>
          <w:tab w:val="left" w:pos="900"/>
        </w:tabs>
        <w:spacing w:line="480" w:lineRule="auto"/>
        <w:ind w:firstLine="480" w:firstLineChars="200"/>
        <w:rPr>
          <w:rFonts w:ascii="Arial" w:hAnsi="Arial" w:cs="Arial"/>
          <w:color w:val="000000"/>
          <w:sz w:val="24"/>
          <w:u w:val="single"/>
        </w:rPr>
      </w:pPr>
      <w:r>
        <w:rPr>
          <w:rFonts w:hint="eastAsia" w:ascii="Arial" w:hAnsi="Arial" w:cs="Arial"/>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传真：</w:t>
      </w:r>
      <w:r>
        <w:rPr>
          <w:rFonts w:ascii="Arial" w:hAnsi="Arial" w:cs="Arial"/>
          <w:color w:val="000000"/>
          <w:sz w:val="24"/>
          <w:u w:val="single"/>
        </w:rPr>
        <w:t xml:space="preserve">            </w:t>
      </w:r>
    </w:p>
    <w:p>
      <w:pPr>
        <w:tabs>
          <w:tab w:val="left" w:pos="900"/>
        </w:tabs>
        <w:spacing w:line="480" w:lineRule="auto"/>
        <w:ind w:firstLine="480" w:firstLineChars="200"/>
        <w:rPr>
          <w:rFonts w:ascii="Arial" w:hAnsi="Arial" w:cs="Arial"/>
          <w:sz w:val="24"/>
        </w:rPr>
      </w:pPr>
      <w:r>
        <w:rPr>
          <w:rFonts w:hint="eastAsia" w:ascii="Arial" w:hAnsi="Arial" w:cs="Arial"/>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pPr>
        <w:tabs>
          <w:tab w:val="left" w:pos="900"/>
        </w:tabs>
        <w:spacing w:line="480" w:lineRule="auto"/>
        <w:ind w:firstLine="480" w:firstLineChars="200"/>
        <w:rPr>
          <w:rFonts w:ascii="Arial" w:hAnsi="Arial" w:cs="Arial"/>
          <w:sz w:val="24"/>
        </w:rPr>
      </w:pPr>
      <w:r>
        <w:rPr>
          <w:rFonts w:hint="eastAsia" w:ascii="Arial" w:hAnsi="Arial" w:cs="Arial"/>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pPr>
        <w:tabs>
          <w:tab w:val="left" w:pos="900"/>
        </w:tabs>
        <w:spacing w:line="480" w:lineRule="auto"/>
        <w:ind w:firstLine="480" w:firstLineChars="200"/>
        <w:rPr>
          <w:rFonts w:ascii="Arial" w:hAnsi="Arial" w:cs="Arial"/>
          <w:color w:val="000000"/>
          <w:sz w:val="24"/>
        </w:rPr>
      </w:pPr>
      <w:r>
        <w:rPr>
          <w:rFonts w:hint="eastAsia" w:ascii="Arial" w:hAnsi="Arial" w:cs="Arial"/>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pPr>
        <w:tabs>
          <w:tab w:val="left" w:pos="900"/>
        </w:tabs>
        <w:spacing w:line="480" w:lineRule="auto"/>
        <w:ind w:firstLine="480" w:firstLineChars="200"/>
        <w:rPr>
          <w:rFonts w:ascii="Arial" w:hAnsi="Arial" w:cs="Arial"/>
          <w:color w:val="000000"/>
          <w:sz w:val="24"/>
        </w:rPr>
      </w:pPr>
      <w:r>
        <w:rPr>
          <w:rFonts w:hint="eastAsia" w:ascii="Arial" w:hAnsi="Arial" w:cs="Arial"/>
          <w:color w:val="000000"/>
          <w:sz w:val="24"/>
        </w:rPr>
        <w:t>日期：</w:t>
      </w:r>
      <w:r>
        <w:rPr>
          <w:rFonts w:hint="eastAsia" w:ascii="Arial" w:hAnsi="Arial" w:cs="Arial"/>
          <w:color w:val="000000"/>
          <w:sz w:val="24"/>
          <w:u w:val="single"/>
        </w:rPr>
        <w:t xml:space="preserve">     </w:t>
      </w:r>
      <w:r>
        <w:rPr>
          <w:rFonts w:hint="eastAsia" w:ascii="Arial" w:hAnsi="Arial" w:cs="Arial"/>
          <w:color w:val="000000"/>
          <w:sz w:val="24"/>
        </w:rPr>
        <w:t>年</w:t>
      </w:r>
      <w:r>
        <w:rPr>
          <w:rFonts w:ascii="Arial" w:hAnsi="Arial" w:cs="Arial"/>
          <w:color w:val="000000"/>
          <w:sz w:val="24"/>
          <w:u w:val="single"/>
        </w:rPr>
        <w:t xml:space="preserve">      </w:t>
      </w:r>
      <w:r>
        <w:rPr>
          <w:rFonts w:hint="eastAsia" w:ascii="Arial" w:hAnsi="Arial" w:cs="Arial"/>
          <w:color w:val="000000"/>
          <w:sz w:val="24"/>
        </w:rPr>
        <w:t>月</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hint="eastAsia" w:ascii="Arial" w:hAnsi="Arial" w:cs="Arial"/>
          <w:color w:val="000000"/>
          <w:sz w:val="24"/>
        </w:rPr>
        <w:t>日</w:t>
      </w:r>
    </w:p>
    <w:p>
      <w:pPr>
        <w:pStyle w:val="4"/>
        <w:numPr>
          <w:ilvl w:val="0"/>
          <w:numId w:val="12"/>
        </w:numPr>
        <w:spacing w:before="0" w:after="0" w:line="360" w:lineRule="auto"/>
        <w:jc w:val="center"/>
        <w:rPr>
          <w:rFonts w:ascii="宋体" w:hAnsi="宋体" w:eastAsia="宋体" w:cs="宋体"/>
          <w:sz w:val="28"/>
        </w:rPr>
      </w:pPr>
      <w:bookmarkStart w:id="837" w:name="_Toc7450"/>
      <w:bookmarkStart w:id="838" w:name="_Toc27815"/>
      <w:bookmarkStart w:id="839" w:name="_Toc16435"/>
      <w:bookmarkStart w:id="840" w:name="_Toc491883232"/>
      <w:r>
        <w:rPr>
          <w:rFonts w:hint="eastAsia" w:ascii="宋体" w:hAnsi="宋体" w:eastAsia="宋体" w:cs="宋体"/>
          <w:sz w:val="28"/>
        </w:rPr>
        <w:t>法定代表人身份证明或法定代表人授权委托书</w:t>
      </w:r>
      <w:bookmarkEnd w:id="837"/>
      <w:bookmarkEnd w:id="838"/>
      <w:bookmarkEnd w:id="839"/>
    </w:p>
    <w:p>
      <w:pPr>
        <w:pStyle w:val="4"/>
        <w:spacing w:line="480" w:lineRule="auto"/>
        <w:jc w:val="center"/>
        <w:rPr>
          <w:rFonts w:ascii="宋体" w:hAnsi="宋体" w:eastAsia="宋体" w:cs="宋体"/>
          <w:sz w:val="24"/>
          <w:szCs w:val="24"/>
        </w:rPr>
      </w:pPr>
      <w:bookmarkStart w:id="841" w:name="_Toc2796"/>
      <w:bookmarkStart w:id="842" w:name="_Toc14141"/>
      <w:bookmarkStart w:id="843" w:name="_Toc20985"/>
      <w:r>
        <w:rPr>
          <w:rFonts w:hint="eastAsia" w:ascii="宋体" w:hAnsi="宋体" w:eastAsia="宋体" w:cs="宋体"/>
          <w:sz w:val="24"/>
          <w:szCs w:val="24"/>
        </w:rPr>
        <w:t>（一）法定代表人身份证明</w:t>
      </w:r>
      <w:bookmarkEnd w:id="840"/>
      <w:bookmarkEnd w:id="841"/>
      <w:bookmarkEnd w:id="842"/>
      <w:bookmarkEnd w:id="843"/>
    </w:p>
    <w:p>
      <w:pPr>
        <w:spacing w:line="480" w:lineRule="auto"/>
        <w:rPr>
          <w:rFonts w:ascii="宋体" w:hAnsi="宋体"/>
        </w:rPr>
      </w:pPr>
      <w:r>
        <w:rPr>
          <w:rFonts w:hint="eastAsia" w:ascii="宋体" w:hAnsi="宋体"/>
        </w:rPr>
        <w:t>报价人</w:t>
      </w:r>
      <w:r>
        <w:rPr>
          <w:rFonts w:ascii="宋体" w:hAnsi="宋体"/>
        </w:rPr>
        <w:t>名称：</w:t>
      </w:r>
      <w:r>
        <w:rPr>
          <w:rFonts w:ascii="宋体" w:hAnsi="宋体"/>
          <w:u w:val="single"/>
        </w:rPr>
        <w:t xml:space="preserve">                        </w:t>
      </w:r>
    </w:p>
    <w:p>
      <w:pPr>
        <w:spacing w:line="480" w:lineRule="auto"/>
        <w:rPr>
          <w:rFonts w:ascii="宋体" w:hAnsi="宋体"/>
        </w:rPr>
      </w:pPr>
      <w:r>
        <w:rPr>
          <w:rFonts w:ascii="宋体" w:hAnsi="宋体"/>
        </w:rPr>
        <w:t>姓名：</w:t>
      </w:r>
      <w:r>
        <w:rPr>
          <w:rFonts w:ascii="宋体" w:hAnsi="宋体"/>
          <w:u w:val="single"/>
        </w:rPr>
        <w:t xml:space="preserve">                </w:t>
      </w:r>
      <w:r>
        <w:rPr>
          <w:rFonts w:ascii="宋体" w:hAnsi="宋体"/>
        </w:rPr>
        <w:t>性别：</w:t>
      </w:r>
      <w:bookmarkStart w:id="844" w:name="_Toc27897"/>
      <w:bookmarkStart w:id="845" w:name="_Toc352691662"/>
      <w:bookmarkStart w:id="846" w:name="_Toc369531698"/>
      <w:r>
        <w:rPr>
          <w:rFonts w:ascii="宋体" w:hAnsi="宋体"/>
          <w:u w:val="single"/>
        </w:rPr>
        <w:t xml:space="preserve">        </w:t>
      </w:r>
      <w:r>
        <w:rPr>
          <w:rFonts w:ascii="宋体" w:hAnsi="宋体"/>
        </w:rPr>
        <w:t>年</w:t>
      </w:r>
      <w:bookmarkEnd w:id="844"/>
      <w:bookmarkEnd w:id="845"/>
      <w:bookmarkEnd w:id="846"/>
      <w:r>
        <w:rPr>
          <w:rFonts w:ascii="宋体" w:hAnsi="宋体"/>
        </w:rPr>
        <w:t>龄</w:t>
      </w:r>
      <w:bookmarkStart w:id="847" w:name="_Toc152045789"/>
      <w:bookmarkStart w:id="848" w:name="_Toc247527829"/>
      <w:bookmarkStart w:id="849" w:name="_Toc369531699"/>
      <w:bookmarkStart w:id="850" w:name="_Toc300835211"/>
      <w:bookmarkStart w:id="851" w:name="_Toc361508754"/>
      <w:bookmarkStart w:id="852" w:name="_Toc352691663"/>
      <w:bookmarkStart w:id="853" w:name="_Toc247514248"/>
      <w:bookmarkStart w:id="854" w:name="_Toc384308377"/>
      <w:bookmarkStart w:id="855" w:name="_Toc15573"/>
      <w:bookmarkStart w:id="856" w:name="_Toc144974858"/>
      <w:bookmarkStart w:id="857" w:name="_Toc152042578"/>
      <w:r>
        <w:rPr>
          <w:rFonts w:ascii="宋体" w:hAnsi="宋体"/>
        </w:rPr>
        <w:t>：</w:t>
      </w:r>
      <w:bookmarkEnd w:id="847"/>
      <w:bookmarkEnd w:id="848"/>
      <w:bookmarkEnd w:id="849"/>
      <w:bookmarkEnd w:id="850"/>
      <w:bookmarkEnd w:id="851"/>
      <w:bookmarkEnd w:id="852"/>
      <w:bookmarkEnd w:id="853"/>
      <w:bookmarkEnd w:id="854"/>
      <w:bookmarkEnd w:id="855"/>
      <w:bookmarkEnd w:id="856"/>
      <w:bookmarkEnd w:id="857"/>
      <w:r>
        <w:rPr>
          <w:rFonts w:ascii="宋体" w:hAnsi="宋体"/>
          <w:u w:val="single"/>
        </w:rPr>
        <w:t xml:space="preserve">        </w:t>
      </w:r>
      <w:r>
        <w:rPr>
          <w:rFonts w:ascii="宋体" w:hAnsi="宋体"/>
        </w:rPr>
        <w:t>职务：</w:t>
      </w:r>
      <w:r>
        <w:rPr>
          <w:rFonts w:ascii="宋体" w:hAnsi="宋体"/>
          <w:u w:val="single"/>
        </w:rPr>
        <w:t xml:space="preserve">        </w:t>
      </w:r>
    </w:p>
    <w:p>
      <w:pPr>
        <w:spacing w:line="480" w:lineRule="auto"/>
        <w:rPr>
          <w:rFonts w:ascii="宋体" w:hAnsi="宋体"/>
        </w:rPr>
      </w:pPr>
      <w:r>
        <w:rPr>
          <w:rFonts w:ascii="宋体" w:hAnsi="宋体"/>
        </w:rPr>
        <w:t>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w:t>
      </w:r>
    </w:p>
    <w:p>
      <w:pPr>
        <w:spacing w:line="480" w:lineRule="auto"/>
        <w:ind w:firstLine="420" w:firstLineChars="200"/>
        <w:rPr>
          <w:rFonts w:ascii="宋体" w:hAnsi="宋体"/>
        </w:rPr>
      </w:pPr>
      <w:r>
        <w:rPr>
          <w:rFonts w:ascii="宋体" w:hAnsi="宋体"/>
        </w:rPr>
        <w:t>特此证明。</w:t>
      </w:r>
    </w:p>
    <w:p>
      <w:pPr>
        <w:spacing w:line="480" w:lineRule="auto"/>
        <w:rPr>
          <w:rFonts w:ascii="宋体" w:hAnsi="宋体"/>
        </w:rPr>
      </w:pPr>
    </w:p>
    <w:p>
      <w:pPr>
        <w:spacing w:line="480" w:lineRule="auto"/>
        <w:rPr>
          <w:rFonts w:ascii="宋体" w:hAnsi="宋体"/>
        </w:rPr>
      </w:pPr>
      <w:r>
        <w:rPr>
          <w:rFonts w:ascii="宋体" w:hAnsi="宋体"/>
        </w:rPr>
        <w:t>附：法定代表人身份证复印件</w:t>
      </w:r>
      <w:r>
        <w:rPr>
          <w:rFonts w:hint="eastAsia" w:ascii="宋体" w:hAnsi="宋体"/>
        </w:rPr>
        <w:t>（正、反面）</w:t>
      </w:r>
      <w:r>
        <w:rPr>
          <w:rFonts w:ascii="宋体" w:hAnsi="宋体"/>
        </w:rPr>
        <w:t>。</w:t>
      </w:r>
    </w:p>
    <w:p>
      <w:pPr>
        <w:spacing w:line="480" w:lineRule="auto"/>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jc w:val="center"/>
        <w:rPr>
          <w:rFonts w:ascii="宋体" w:hAnsi="宋体"/>
        </w:rPr>
      </w:pPr>
      <w:r>
        <w:rPr>
          <w:rFonts w:ascii="宋体" w:hAnsi="宋体"/>
        </w:rPr>
        <w:t xml:space="preserve">                              </w:t>
      </w:r>
      <w:r>
        <w:rPr>
          <w:rFonts w:hint="eastAsia" w:ascii="宋体" w:hAnsi="宋体"/>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rPr>
          <w:rFonts w:ascii="宋体" w:hAnsi="宋体"/>
        </w:rPr>
      </w:pPr>
    </w:p>
    <w:p>
      <w:pPr>
        <w:spacing w:line="440" w:lineRule="exact"/>
        <w:ind w:firstLine="4620" w:firstLineChars="220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注：本身份证明需由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w:t>
      </w:r>
    </w:p>
    <w:p>
      <w:pPr>
        <w:spacing w:line="440" w:lineRule="exact"/>
        <w:rPr>
          <w:rFonts w:ascii="宋体" w:hAnsi="宋体"/>
          <w:sz w:val="20"/>
        </w:rPr>
      </w:pPr>
    </w:p>
    <w:p>
      <w:pPr>
        <w:spacing w:line="20" w:lineRule="exact"/>
        <w:jc w:val="center"/>
        <w:rPr>
          <w:rFonts w:ascii="宋体" w:hAnsi="宋体"/>
          <w:sz w:val="20"/>
        </w:rPr>
      </w:pPr>
      <w:r>
        <w:rPr>
          <w:rFonts w:ascii="宋体" w:hAnsi="宋体"/>
          <w:sz w:val="20"/>
        </w:rPr>
        <w:br w:type="page"/>
      </w:r>
    </w:p>
    <w:p>
      <w:pPr>
        <w:pStyle w:val="4"/>
        <w:spacing w:line="480" w:lineRule="auto"/>
        <w:jc w:val="center"/>
        <w:rPr>
          <w:rFonts w:ascii="宋体" w:hAnsi="宋体"/>
          <w:sz w:val="28"/>
          <w:szCs w:val="28"/>
        </w:rPr>
      </w:pPr>
      <w:bookmarkStart w:id="858" w:name="_Toc491883233"/>
      <w:bookmarkStart w:id="859" w:name="_Toc3882"/>
      <w:bookmarkStart w:id="860" w:name="_Toc58"/>
      <w:bookmarkStart w:id="861" w:name="_Toc22895"/>
      <w:r>
        <w:rPr>
          <w:rFonts w:hint="eastAsia" w:ascii="宋体" w:hAnsi="宋体" w:eastAsia="宋体" w:cs="宋体"/>
          <w:sz w:val="24"/>
          <w:szCs w:val="24"/>
        </w:rPr>
        <w:t>（二）</w:t>
      </w:r>
      <w:bookmarkEnd w:id="858"/>
      <w:r>
        <w:rPr>
          <w:rFonts w:hint="eastAsia" w:ascii="宋体" w:hAnsi="宋体" w:eastAsia="宋体" w:cs="宋体"/>
          <w:sz w:val="24"/>
          <w:szCs w:val="24"/>
        </w:rPr>
        <w:t>法定代表人授权委托书</w:t>
      </w:r>
      <w:bookmarkEnd w:id="859"/>
      <w:bookmarkEnd w:id="860"/>
      <w:bookmarkEnd w:id="861"/>
    </w:p>
    <w:p>
      <w:pPr>
        <w:topLinePunct/>
        <w:spacing w:line="480" w:lineRule="auto"/>
        <w:ind w:firstLine="420" w:firstLineChars="20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hint="eastAsia" w:ascii="宋体" w:hAnsi="宋体"/>
        </w:rPr>
        <w:t>比选</w:t>
      </w:r>
      <w:r>
        <w:rPr>
          <w:rFonts w:ascii="宋体" w:hAnsi="宋体"/>
        </w:rPr>
        <w:t>文件、签订合同和处理有关事宜，其法律后果由我方承担。</w:t>
      </w:r>
    </w:p>
    <w:p>
      <w:pPr>
        <w:spacing w:line="480" w:lineRule="auto"/>
        <w:rPr>
          <w:rFonts w:ascii="宋体" w:hAnsi="宋体"/>
        </w:rPr>
      </w:pPr>
      <w:r>
        <w:rPr>
          <w:rFonts w:ascii="宋体" w:hAnsi="宋体"/>
        </w:rPr>
        <w:t>委托期限：</w:t>
      </w:r>
      <w:r>
        <w:rPr>
          <w:rFonts w:ascii="宋体" w:hAnsi="宋体"/>
          <w:u w:val="single"/>
        </w:rPr>
        <w:t xml:space="preserve">                       </w:t>
      </w:r>
      <w:r>
        <w:rPr>
          <w:rFonts w:ascii="宋体" w:hAnsi="宋体"/>
        </w:rPr>
        <w:t>。</w:t>
      </w:r>
    </w:p>
    <w:p>
      <w:pPr>
        <w:spacing w:line="480" w:lineRule="auto"/>
        <w:ind w:firstLine="420" w:firstLineChars="200"/>
        <w:rPr>
          <w:rFonts w:ascii="宋体" w:hAnsi="宋体"/>
        </w:rPr>
      </w:pPr>
      <w:r>
        <w:rPr>
          <w:rFonts w:ascii="宋体" w:hAnsi="宋体"/>
        </w:rPr>
        <w:t>代理人无转委托权。</w:t>
      </w:r>
    </w:p>
    <w:p>
      <w:pPr>
        <w:spacing w:line="480" w:lineRule="auto"/>
        <w:ind w:firstLine="420" w:firstLineChars="200"/>
        <w:rPr>
          <w:rFonts w:ascii="宋体" w:hAnsi="宋体"/>
        </w:rPr>
      </w:pPr>
    </w:p>
    <w:p>
      <w:pPr>
        <w:spacing w:line="480" w:lineRule="auto"/>
        <w:rPr>
          <w:rFonts w:ascii="宋体" w:hAnsi="宋体"/>
        </w:rPr>
      </w:pPr>
      <w:r>
        <w:rPr>
          <w:rFonts w:ascii="宋体" w:hAnsi="宋体"/>
        </w:rPr>
        <w:t>附：法定代表人身份证复印件及委托代理人身份证复印件</w:t>
      </w:r>
      <w:r>
        <w:rPr>
          <w:rFonts w:hint="eastAsia" w:ascii="宋体" w:hAnsi="宋体"/>
        </w:rPr>
        <w:t>（正、反面）</w:t>
      </w:r>
    </w:p>
    <w:p>
      <w:pPr>
        <w:spacing w:line="480" w:lineRule="auto"/>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ind w:firstLine="2692" w:firstLineChars="1282"/>
        <w:rPr>
          <w:rFonts w:ascii="宋体" w:hAnsi="宋体"/>
        </w:rPr>
      </w:pPr>
      <w:r>
        <w:rPr>
          <w:rFonts w:hint="eastAsia" w:ascii="宋体" w:hAnsi="宋体"/>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ind w:firstLine="2690" w:firstLineChars="1281"/>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rPr>
        <w:t>（签字</w:t>
      </w:r>
      <w:r>
        <w:rPr>
          <w:rFonts w:hint="eastAsia" w:ascii="宋体" w:hAnsi="宋体"/>
        </w:rPr>
        <w:t xml:space="preserve"> </w:t>
      </w:r>
      <w:r>
        <w:rPr>
          <w:rFonts w:ascii="宋体" w:hAnsi="宋体"/>
        </w:rPr>
        <w:t>）</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（签字）</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p>
    <w:p>
      <w:pPr>
        <w:spacing w:line="440" w:lineRule="exact"/>
        <w:ind w:firstLine="4057" w:firstLineChars="1932"/>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cs="宋体"/>
          <w:sz w:val="28"/>
        </w:rPr>
        <w:sectPr>
          <w:footerReference r:id="rId11" w:type="first"/>
          <w:footerReference r:id="rId10" w:type="default"/>
          <w:pgSz w:w="11906" w:h="16838"/>
          <w:pgMar w:top="1440" w:right="1576" w:bottom="1440" w:left="1463" w:header="851" w:footer="992" w:gutter="0"/>
          <w:cols w:space="0" w:num="1"/>
          <w:titlePg/>
          <w:docGrid w:type="lines" w:linePitch="319" w:charSpace="0"/>
        </w:sectPr>
      </w:pPr>
      <w:r>
        <w:rPr>
          <w:rFonts w:ascii="宋体" w:hAnsi="宋体"/>
        </w:rPr>
        <w:t>注：本授权委托书需由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并由其法定代表人和委托代理人签</w:t>
      </w:r>
      <w:bookmarkStart w:id="862" w:name="_Toc11329275"/>
      <w:bookmarkStart w:id="863" w:name="_Toc29500"/>
    </w:p>
    <w:bookmarkEnd w:id="834"/>
    <w:bookmarkEnd w:id="835"/>
    <w:bookmarkEnd w:id="836"/>
    <w:bookmarkEnd w:id="862"/>
    <w:p>
      <w:pPr>
        <w:pStyle w:val="4"/>
        <w:numPr>
          <w:ilvl w:val="0"/>
          <w:numId w:val="12"/>
        </w:numPr>
        <w:spacing w:before="0" w:after="0" w:line="360" w:lineRule="auto"/>
        <w:jc w:val="center"/>
        <w:rPr>
          <w:rFonts w:ascii="宋体" w:hAnsi="宋体" w:eastAsia="宋体" w:cs="宋体"/>
          <w:sz w:val="28"/>
        </w:rPr>
      </w:pPr>
      <w:bookmarkStart w:id="864" w:name="_Toc2219"/>
      <w:r>
        <w:rPr>
          <w:rFonts w:hint="eastAsia" w:ascii="宋体" w:hAnsi="宋体" w:eastAsia="宋体" w:cs="宋体"/>
          <w:sz w:val="28"/>
        </w:rPr>
        <w:t>报价一览表</w:t>
      </w:r>
      <w:bookmarkEnd w:id="863"/>
      <w:bookmarkEnd w:id="864"/>
    </w:p>
    <w:p>
      <w:pPr>
        <w:pStyle w:val="38"/>
        <w:spacing w:line="480" w:lineRule="auto"/>
        <w:jc w:val="both"/>
        <w:rPr>
          <w:rFonts w:hAnsi="宋体"/>
        </w:rPr>
      </w:pPr>
      <w:r>
        <w:rPr>
          <w:rFonts w:hint="eastAsia" w:hAnsi="宋体"/>
        </w:rPr>
        <w:t>重庆首讯科技股份有限公司：</w:t>
      </w:r>
    </w:p>
    <w:p>
      <w:pPr>
        <w:spacing w:line="480" w:lineRule="auto"/>
        <w:ind w:firstLine="480" w:firstLineChars="200"/>
        <w:jc w:val="left"/>
        <w:rPr>
          <w:rFonts w:hint="eastAsia" w:ascii="宋体" w:hAnsi="宋体"/>
          <w:color w:val="000000"/>
          <w:sz w:val="24"/>
        </w:rPr>
      </w:pPr>
      <w:r>
        <w:rPr>
          <w:rFonts w:hint="eastAsia" w:ascii="宋体" w:hAnsi="宋体"/>
          <w:color w:val="000000"/>
          <w:sz w:val="24"/>
        </w:rPr>
        <w:t>在研究了竞争比选文件中所有文件后，我司对</w:t>
      </w:r>
      <w:r>
        <w:rPr>
          <w:rFonts w:hint="eastAsia" w:ascii="Arial" w:hAnsi="Arial" w:cs="Arial"/>
          <w:color w:val="000000"/>
          <w:sz w:val="24"/>
          <w:u w:val="single"/>
        </w:rPr>
        <w:t>XXX项目</w:t>
      </w:r>
      <w:r>
        <w:rPr>
          <w:rFonts w:hint="eastAsia" w:ascii="宋体" w:hAnsi="宋体"/>
          <w:color w:val="000000"/>
          <w:sz w:val="24"/>
        </w:rPr>
        <w:t>竞</w:t>
      </w:r>
      <w:r>
        <w:rPr>
          <w:rFonts w:hint="eastAsia" w:ascii="Arial" w:hAnsi="Arial" w:cs="Arial"/>
          <w:color w:val="000000"/>
          <w:sz w:val="24"/>
        </w:rPr>
        <w:t>争比选响应</w:t>
      </w:r>
      <w:r>
        <w:rPr>
          <w:rFonts w:hint="eastAsia" w:ascii="宋体" w:hAnsi="宋体"/>
          <w:color w:val="000000"/>
          <w:sz w:val="24"/>
        </w:rPr>
        <w:t>报价如下：</w:t>
      </w:r>
    </w:p>
    <w:p>
      <w:pPr>
        <w:pStyle w:val="2"/>
      </w:pPr>
    </w:p>
    <w:tbl>
      <w:tblPr>
        <w:tblStyle w:val="43"/>
        <w:tblW w:w="9036" w:type="dxa"/>
        <w:tblInd w:w="1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3"/>
        <w:gridCol w:w="1245"/>
        <w:gridCol w:w="1425"/>
        <w:gridCol w:w="1013"/>
        <w:gridCol w:w="855"/>
        <w:gridCol w:w="599"/>
        <w:gridCol w:w="917"/>
        <w:gridCol w:w="899"/>
        <w:gridCol w:w="561"/>
        <w:gridCol w:w="8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643" w:type="dxa"/>
          </w:tcPr>
          <w:p>
            <w:pPr>
              <w:pStyle w:val="173"/>
              <w:spacing w:line="332" w:lineRule="exact"/>
              <w:ind w:left="115" w:right="108"/>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序号</w:t>
            </w:r>
          </w:p>
        </w:tc>
        <w:tc>
          <w:tcPr>
            <w:tcW w:w="1245" w:type="dxa"/>
            <w:tcBorders>
              <w:right w:val="single" w:color="000000" w:sz="6" w:space="0"/>
            </w:tcBorders>
            <w:vAlign w:val="center"/>
          </w:tcPr>
          <w:p>
            <w:pPr>
              <w:pStyle w:val="173"/>
              <w:spacing w:line="332" w:lineRule="exact"/>
              <w:ind w:left="0" w:right="0"/>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分项名称</w:t>
            </w:r>
          </w:p>
        </w:tc>
        <w:tc>
          <w:tcPr>
            <w:tcW w:w="1425" w:type="dxa"/>
            <w:tcBorders>
              <w:left w:val="single" w:color="000000" w:sz="6" w:space="0"/>
            </w:tcBorders>
            <w:vAlign w:val="center"/>
          </w:tcPr>
          <w:p>
            <w:pPr>
              <w:pStyle w:val="173"/>
              <w:spacing w:line="332" w:lineRule="exact"/>
              <w:ind w:left="0"/>
              <w:jc w:val="center"/>
              <w:rPr>
                <w:rFonts w:hint="eastAsia" w:ascii="宋体" w:hAnsi="宋体" w:eastAsia="宋体" w:cs="宋体"/>
                <w:b w:val="0"/>
                <w:bCs/>
                <w:color w:val="auto"/>
                <w:sz w:val="21"/>
                <w:szCs w:val="21"/>
                <w:highlight w:val="none"/>
                <w:lang w:val="en-US" w:eastAsia="zh-CN"/>
              </w:rPr>
            </w:pPr>
            <w:r>
              <w:rPr>
                <w:rFonts w:ascii="宋体" w:hAnsi="宋体"/>
                <w:color w:val="auto"/>
                <w:spacing w:val="-10"/>
                <w:szCs w:val="21"/>
                <w:highlight w:val="none"/>
              </w:rPr>
              <w:t>规格</w:t>
            </w:r>
          </w:p>
        </w:tc>
        <w:tc>
          <w:tcPr>
            <w:tcW w:w="1013" w:type="dxa"/>
            <w:tcBorders>
              <w:left w:val="single" w:color="000000" w:sz="6" w:space="0"/>
            </w:tcBorders>
            <w:vAlign w:val="center"/>
          </w:tcPr>
          <w:p>
            <w:pPr>
              <w:pStyle w:val="173"/>
              <w:spacing w:line="332" w:lineRule="exact"/>
              <w:ind w:left="0"/>
              <w:jc w:val="center"/>
              <w:rPr>
                <w:rFonts w:hint="eastAsia" w:ascii="宋体" w:hAnsi="宋体" w:eastAsia="宋体" w:cs="宋体"/>
                <w:b w:val="0"/>
                <w:bCs/>
                <w:color w:val="auto"/>
                <w:sz w:val="21"/>
                <w:szCs w:val="21"/>
                <w:highlight w:val="none"/>
              </w:rPr>
            </w:pPr>
            <w:r>
              <w:rPr>
                <w:rFonts w:hint="eastAsia" w:ascii="宋体" w:hAnsi="宋体"/>
                <w:color w:val="auto"/>
                <w:spacing w:val="-10"/>
                <w:szCs w:val="21"/>
                <w:highlight w:val="none"/>
                <w:lang w:val="en-US" w:eastAsia="zh-CN"/>
              </w:rPr>
              <w:t>品牌或</w:t>
            </w:r>
            <w:r>
              <w:rPr>
                <w:rFonts w:ascii="宋体" w:hAnsi="宋体"/>
                <w:color w:val="auto"/>
                <w:spacing w:val="-10"/>
                <w:szCs w:val="21"/>
                <w:highlight w:val="none"/>
              </w:rPr>
              <w:t>制造厂名称</w:t>
            </w:r>
          </w:p>
        </w:tc>
        <w:tc>
          <w:tcPr>
            <w:tcW w:w="855" w:type="dxa"/>
            <w:vAlign w:val="center"/>
          </w:tcPr>
          <w:p>
            <w:pPr>
              <w:pStyle w:val="173"/>
              <w:spacing w:line="332" w:lineRule="exact"/>
              <w:ind w:left="0"/>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数量</w:t>
            </w:r>
          </w:p>
        </w:tc>
        <w:tc>
          <w:tcPr>
            <w:tcW w:w="599" w:type="dxa"/>
            <w:vAlign w:val="center"/>
          </w:tcPr>
          <w:p>
            <w:pPr>
              <w:pStyle w:val="173"/>
              <w:spacing w:line="332" w:lineRule="exact"/>
              <w:ind w:left="0"/>
              <w:jc w:val="center"/>
              <w:rPr>
                <w:rFonts w:hint="default" w:cs="宋体"/>
                <w:b w:val="0"/>
                <w:bCs/>
                <w:color w:val="auto"/>
                <w:sz w:val="21"/>
                <w:szCs w:val="21"/>
                <w:highlight w:val="none"/>
                <w:lang w:val="en-US" w:eastAsia="zh-CN"/>
              </w:rPr>
            </w:pPr>
            <w:r>
              <w:rPr>
                <w:rFonts w:hint="eastAsia" w:cs="宋体"/>
                <w:b w:val="0"/>
                <w:bCs/>
                <w:color w:val="auto"/>
                <w:sz w:val="21"/>
                <w:szCs w:val="21"/>
                <w:highlight w:val="none"/>
                <w:lang w:val="en-US" w:eastAsia="zh-CN"/>
              </w:rPr>
              <w:t>单位</w:t>
            </w:r>
          </w:p>
        </w:tc>
        <w:tc>
          <w:tcPr>
            <w:tcW w:w="917" w:type="dxa"/>
            <w:vAlign w:val="center"/>
          </w:tcPr>
          <w:p>
            <w:pPr>
              <w:pStyle w:val="173"/>
              <w:spacing w:line="332" w:lineRule="exact"/>
              <w:ind w:left="0"/>
              <w:jc w:val="center"/>
              <w:rPr>
                <w:rFonts w:hint="eastAsia" w:ascii="宋体" w:hAnsi="宋体" w:eastAsia="宋体" w:cs="宋体"/>
                <w:b w:val="0"/>
                <w:bCs/>
                <w:color w:val="auto"/>
                <w:sz w:val="21"/>
                <w:szCs w:val="21"/>
                <w:highlight w:val="none"/>
              </w:rPr>
            </w:pPr>
            <w:r>
              <w:rPr>
                <w:rFonts w:hint="eastAsia" w:cs="宋体"/>
                <w:b w:val="0"/>
                <w:bCs/>
                <w:color w:val="auto"/>
                <w:sz w:val="21"/>
                <w:szCs w:val="21"/>
                <w:highlight w:val="none"/>
                <w:lang w:val="en-US" w:eastAsia="zh-CN"/>
              </w:rPr>
              <w:t>含税</w:t>
            </w:r>
            <w:r>
              <w:rPr>
                <w:rFonts w:hint="eastAsia" w:ascii="宋体" w:hAnsi="宋体" w:eastAsia="宋体" w:cs="宋体"/>
                <w:b w:val="0"/>
                <w:bCs/>
                <w:color w:val="auto"/>
                <w:sz w:val="21"/>
                <w:szCs w:val="21"/>
                <w:highlight w:val="none"/>
              </w:rPr>
              <w:t>单价</w:t>
            </w:r>
          </w:p>
        </w:tc>
        <w:tc>
          <w:tcPr>
            <w:tcW w:w="899" w:type="dxa"/>
            <w:vAlign w:val="center"/>
          </w:tcPr>
          <w:p>
            <w:pPr>
              <w:pStyle w:val="173"/>
              <w:spacing w:line="332" w:lineRule="exact"/>
              <w:ind w:left="0"/>
              <w:jc w:val="center"/>
              <w:rPr>
                <w:rFonts w:hint="eastAsia" w:ascii="宋体" w:hAnsi="宋体" w:eastAsia="宋体" w:cs="宋体"/>
                <w:b w:val="0"/>
                <w:bCs/>
                <w:color w:val="auto"/>
                <w:sz w:val="21"/>
                <w:szCs w:val="21"/>
                <w:highlight w:val="none"/>
              </w:rPr>
            </w:pPr>
            <w:r>
              <w:rPr>
                <w:rFonts w:hint="eastAsia" w:cs="宋体"/>
                <w:b w:val="0"/>
                <w:bCs/>
                <w:color w:val="auto"/>
                <w:sz w:val="21"/>
                <w:szCs w:val="21"/>
                <w:highlight w:val="none"/>
                <w:lang w:val="en-US" w:eastAsia="zh-CN"/>
              </w:rPr>
              <w:t>合</w:t>
            </w:r>
            <w:r>
              <w:rPr>
                <w:rFonts w:hint="eastAsia" w:ascii="宋体" w:hAnsi="宋体" w:eastAsia="宋体" w:cs="宋体"/>
                <w:b w:val="0"/>
                <w:bCs/>
                <w:color w:val="auto"/>
                <w:sz w:val="21"/>
                <w:szCs w:val="21"/>
                <w:highlight w:val="none"/>
              </w:rPr>
              <w:t>价</w:t>
            </w:r>
          </w:p>
        </w:tc>
        <w:tc>
          <w:tcPr>
            <w:tcW w:w="561" w:type="dxa"/>
            <w:vAlign w:val="center"/>
          </w:tcPr>
          <w:p>
            <w:pPr>
              <w:pStyle w:val="173"/>
              <w:spacing w:line="332" w:lineRule="exact"/>
              <w:ind w:left="0"/>
              <w:jc w:val="center"/>
              <w:rPr>
                <w:rFonts w:hint="eastAsia" w:ascii="宋体" w:hAnsi="宋体" w:eastAsia="宋体" w:cs="宋体"/>
                <w:b w:val="0"/>
                <w:bCs/>
                <w:color w:val="auto"/>
                <w:sz w:val="21"/>
                <w:szCs w:val="21"/>
                <w:highlight w:val="none"/>
                <w:lang w:val="en-US" w:eastAsia="zh-CN"/>
              </w:rPr>
            </w:pPr>
            <w:r>
              <w:rPr>
                <w:rFonts w:hint="eastAsia" w:cs="宋体"/>
                <w:b w:val="0"/>
                <w:bCs/>
                <w:color w:val="auto"/>
                <w:sz w:val="21"/>
                <w:szCs w:val="21"/>
                <w:highlight w:val="none"/>
                <w:lang w:val="en-US" w:eastAsia="zh-CN"/>
              </w:rPr>
              <w:t>税率</w:t>
            </w:r>
          </w:p>
        </w:tc>
        <w:tc>
          <w:tcPr>
            <w:tcW w:w="879" w:type="dxa"/>
            <w:vAlign w:val="center"/>
          </w:tcPr>
          <w:p>
            <w:pPr>
              <w:pStyle w:val="173"/>
              <w:spacing w:line="332" w:lineRule="exact"/>
              <w:ind w:left="0"/>
              <w:jc w:val="center"/>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643" w:type="dxa"/>
          </w:tcPr>
          <w:p>
            <w:pPr>
              <w:pStyle w:val="173"/>
              <w:spacing w:before="75"/>
              <w:ind w:left="7"/>
              <w:jc w:val="center"/>
              <w:rPr>
                <w:rFonts w:hint="eastAsia" w:cs="宋体"/>
                <w:b w:val="0"/>
                <w:bCs/>
                <w:color w:val="auto"/>
                <w:w w:val="100"/>
                <w:sz w:val="21"/>
                <w:szCs w:val="21"/>
                <w:highlight w:val="none"/>
                <w:lang w:val="en-US" w:eastAsia="zh-CN"/>
              </w:rPr>
            </w:pPr>
          </w:p>
          <w:p>
            <w:pPr>
              <w:pStyle w:val="173"/>
              <w:spacing w:before="75"/>
              <w:ind w:left="7"/>
              <w:jc w:val="center"/>
              <w:rPr>
                <w:rFonts w:hint="eastAsia" w:ascii="宋体" w:hAnsi="宋体" w:eastAsia="宋体" w:cs="宋体"/>
                <w:b w:val="0"/>
                <w:bCs/>
                <w:color w:val="auto"/>
                <w:w w:val="100"/>
                <w:sz w:val="21"/>
                <w:szCs w:val="21"/>
                <w:highlight w:val="none"/>
                <w:lang w:val="en-US" w:eastAsia="zh-CN"/>
              </w:rPr>
            </w:pPr>
            <w:r>
              <w:rPr>
                <w:rFonts w:hint="eastAsia" w:cs="宋体"/>
                <w:b w:val="0"/>
                <w:bCs/>
                <w:color w:val="auto"/>
                <w:w w:val="100"/>
                <w:sz w:val="21"/>
                <w:szCs w:val="21"/>
                <w:highlight w:val="none"/>
                <w:lang w:val="en-US" w:eastAsia="zh-CN"/>
              </w:rPr>
              <w:t>1</w:t>
            </w:r>
          </w:p>
        </w:tc>
        <w:tc>
          <w:tcPr>
            <w:tcW w:w="1245" w:type="dxa"/>
            <w:tcBorders>
              <w:right w:val="single" w:color="000000"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聚氨酯管箱</w:t>
            </w:r>
          </w:p>
        </w:tc>
        <w:tc>
          <w:tcPr>
            <w:tcW w:w="1425" w:type="dxa"/>
            <w:tcBorders>
              <w:left w:val="single" w:color="000000" w:sz="6" w:space="0"/>
            </w:tcBorders>
            <w:vAlign w:val="center"/>
          </w:tcPr>
          <w:p>
            <w:pPr>
              <w:keepNext w:val="0"/>
              <w:keepLines w:val="0"/>
              <w:widowControl/>
              <w:suppressLineNumbers w:val="0"/>
              <w:jc w:val="center"/>
              <w:textAlignment w:val="center"/>
              <w:rPr>
                <w:rFonts w:hint="default" w:ascii="宋体" w:hAnsi="宋体" w:eastAsia="宋体" w:cs="宋体"/>
                <w:b w:val="0"/>
                <w:bCs/>
                <w:color w:val="auto"/>
                <w:sz w:val="21"/>
                <w:szCs w:val="21"/>
                <w:highlight w:val="none"/>
                <w:lang w:val="en-US"/>
              </w:rPr>
            </w:pPr>
            <w:r>
              <w:rPr>
                <w:rFonts w:hint="eastAsia" w:ascii="宋体" w:hAnsi="宋体" w:eastAsia="宋体" w:cs="宋体"/>
                <w:i w:val="0"/>
                <w:iCs w:val="0"/>
                <w:color w:val="000000"/>
                <w:kern w:val="0"/>
                <w:sz w:val="20"/>
                <w:szCs w:val="20"/>
                <w:u w:val="none"/>
                <w:lang w:val="en-US" w:eastAsia="zh-CN" w:bidi="ar"/>
              </w:rPr>
              <w:t>250×150×2mm</w:t>
            </w:r>
          </w:p>
        </w:tc>
        <w:tc>
          <w:tcPr>
            <w:tcW w:w="1013"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p>
        </w:tc>
        <w:tc>
          <w:tcPr>
            <w:tcW w:w="855"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16031 </w:t>
            </w:r>
          </w:p>
        </w:tc>
        <w:tc>
          <w:tcPr>
            <w:tcW w:w="599"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000000"/>
                <w:kern w:val="0"/>
                <w:sz w:val="20"/>
                <w:szCs w:val="20"/>
                <w:u w:val="none"/>
                <w:lang w:val="en-US" w:eastAsia="zh-CN" w:bidi="ar"/>
              </w:rPr>
              <w:t>米</w:t>
            </w:r>
          </w:p>
        </w:tc>
        <w:tc>
          <w:tcPr>
            <w:tcW w:w="917" w:type="dxa"/>
          </w:tcPr>
          <w:p>
            <w:pPr>
              <w:pStyle w:val="173"/>
              <w:rPr>
                <w:rFonts w:hint="eastAsia" w:ascii="宋体" w:hAnsi="宋体" w:eastAsia="宋体" w:cs="宋体"/>
                <w:b w:val="0"/>
                <w:bCs/>
                <w:color w:val="auto"/>
                <w:sz w:val="21"/>
                <w:szCs w:val="21"/>
                <w:highlight w:val="none"/>
              </w:rPr>
            </w:pPr>
          </w:p>
        </w:tc>
        <w:tc>
          <w:tcPr>
            <w:tcW w:w="899" w:type="dxa"/>
          </w:tcPr>
          <w:p>
            <w:pPr>
              <w:pStyle w:val="173"/>
              <w:rPr>
                <w:rFonts w:hint="eastAsia" w:ascii="宋体" w:hAnsi="宋体" w:eastAsia="宋体" w:cs="宋体"/>
                <w:b w:val="0"/>
                <w:bCs/>
                <w:color w:val="auto"/>
                <w:sz w:val="21"/>
                <w:szCs w:val="21"/>
                <w:highlight w:val="none"/>
              </w:rPr>
            </w:pPr>
          </w:p>
        </w:tc>
        <w:tc>
          <w:tcPr>
            <w:tcW w:w="561" w:type="dxa"/>
          </w:tcPr>
          <w:p>
            <w:pPr>
              <w:pStyle w:val="173"/>
              <w:rPr>
                <w:rFonts w:hint="default" w:ascii="宋体" w:hAnsi="宋体" w:eastAsia="宋体" w:cs="宋体"/>
                <w:b w:val="0"/>
                <w:bCs/>
                <w:color w:val="auto"/>
                <w:sz w:val="21"/>
                <w:szCs w:val="21"/>
                <w:highlight w:val="none"/>
                <w:lang w:val="en-US" w:eastAsia="zh-CN"/>
              </w:rPr>
            </w:pPr>
          </w:p>
        </w:tc>
        <w:tc>
          <w:tcPr>
            <w:tcW w:w="879"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5" w:hRule="atLeast"/>
        </w:trPr>
        <w:tc>
          <w:tcPr>
            <w:tcW w:w="643" w:type="dxa"/>
          </w:tcPr>
          <w:p>
            <w:pPr>
              <w:pStyle w:val="173"/>
              <w:spacing w:before="75"/>
              <w:ind w:left="7"/>
              <w:jc w:val="center"/>
              <w:rPr>
                <w:rFonts w:hint="eastAsia" w:ascii="宋体" w:hAnsi="宋体" w:eastAsia="宋体" w:cs="宋体"/>
                <w:b w:val="0"/>
                <w:bCs/>
                <w:color w:val="auto"/>
                <w:w w:val="100"/>
                <w:sz w:val="21"/>
                <w:szCs w:val="21"/>
                <w:highlight w:val="none"/>
              </w:rPr>
            </w:pPr>
          </w:p>
          <w:p>
            <w:pPr>
              <w:pStyle w:val="173"/>
              <w:spacing w:before="75"/>
              <w:ind w:left="7"/>
              <w:jc w:val="center"/>
              <w:rPr>
                <w:rFonts w:hint="eastAsia" w:ascii="宋体" w:hAnsi="宋体" w:eastAsia="宋体" w:cs="宋体"/>
                <w:b w:val="0"/>
                <w:bCs/>
                <w:color w:val="auto"/>
                <w:w w:val="100"/>
                <w:sz w:val="21"/>
                <w:szCs w:val="21"/>
                <w:highlight w:val="none"/>
                <w:lang w:val="en-US" w:eastAsia="zh-CN"/>
              </w:rPr>
            </w:pPr>
            <w:r>
              <w:rPr>
                <w:rFonts w:hint="eastAsia" w:cs="宋体"/>
                <w:b w:val="0"/>
                <w:bCs/>
                <w:color w:val="auto"/>
                <w:w w:val="100"/>
                <w:sz w:val="21"/>
                <w:szCs w:val="21"/>
                <w:highlight w:val="none"/>
                <w:lang w:val="en-US" w:eastAsia="zh-CN"/>
              </w:rPr>
              <w:t>2</w:t>
            </w:r>
          </w:p>
        </w:tc>
        <w:tc>
          <w:tcPr>
            <w:tcW w:w="1245" w:type="dxa"/>
            <w:tcBorders>
              <w:right w:val="single" w:color="000000"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聚氨酯管箱</w:t>
            </w:r>
          </w:p>
        </w:tc>
        <w:tc>
          <w:tcPr>
            <w:tcW w:w="1425" w:type="dxa"/>
            <w:tcBorders>
              <w:left w:val="single" w:color="000000" w:sz="6" w:space="0"/>
            </w:tcBorders>
            <w:vAlign w:val="center"/>
          </w:tcPr>
          <w:p>
            <w:pPr>
              <w:keepNext w:val="0"/>
              <w:keepLines w:val="0"/>
              <w:widowControl/>
              <w:suppressLineNumbers w:val="0"/>
              <w:jc w:val="center"/>
              <w:textAlignment w:val="center"/>
              <w:rPr>
                <w:rFonts w:hint="default" w:ascii="宋体" w:hAnsi="宋体" w:eastAsia="宋体" w:cs="宋体"/>
                <w:b w:val="0"/>
                <w:bCs/>
                <w:color w:val="auto"/>
                <w:sz w:val="21"/>
                <w:szCs w:val="21"/>
                <w:highlight w:val="none"/>
                <w:lang w:val="en-US"/>
              </w:rPr>
            </w:pPr>
            <w:r>
              <w:rPr>
                <w:rFonts w:hint="eastAsia" w:ascii="宋体" w:hAnsi="宋体" w:eastAsia="宋体" w:cs="宋体"/>
                <w:i w:val="0"/>
                <w:iCs w:val="0"/>
                <w:color w:val="000000"/>
                <w:kern w:val="0"/>
                <w:sz w:val="20"/>
                <w:szCs w:val="20"/>
                <w:u w:val="none"/>
                <w:lang w:val="en-US" w:eastAsia="zh-CN" w:bidi="ar"/>
              </w:rPr>
              <w:t>200×100×2mm</w:t>
            </w:r>
          </w:p>
        </w:tc>
        <w:tc>
          <w:tcPr>
            <w:tcW w:w="1013"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p>
        </w:tc>
        <w:tc>
          <w:tcPr>
            <w:tcW w:w="855"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17417 </w:t>
            </w:r>
          </w:p>
        </w:tc>
        <w:tc>
          <w:tcPr>
            <w:tcW w:w="599"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000000"/>
                <w:kern w:val="0"/>
                <w:sz w:val="20"/>
                <w:szCs w:val="20"/>
                <w:u w:val="none"/>
                <w:lang w:val="en-US" w:eastAsia="zh-CN" w:bidi="ar"/>
              </w:rPr>
              <w:t>米</w:t>
            </w:r>
          </w:p>
        </w:tc>
        <w:tc>
          <w:tcPr>
            <w:tcW w:w="917" w:type="dxa"/>
          </w:tcPr>
          <w:p>
            <w:pPr>
              <w:pStyle w:val="173"/>
              <w:rPr>
                <w:rFonts w:hint="eastAsia" w:ascii="宋体" w:hAnsi="宋体" w:eastAsia="宋体" w:cs="宋体"/>
                <w:b w:val="0"/>
                <w:bCs/>
                <w:color w:val="auto"/>
                <w:sz w:val="21"/>
                <w:szCs w:val="21"/>
                <w:highlight w:val="none"/>
              </w:rPr>
            </w:pPr>
          </w:p>
        </w:tc>
        <w:tc>
          <w:tcPr>
            <w:tcW w:w="899" w:type="dxa"/>
          </w:tcPr>
          <w:p>
            <w:pPr>
              <w:pStyle w:val="173"/>
              <w:rPr>
                <w:rFonts w:hint="eastAsia" w:ascii="宋体" w:hAnsi="宋体" w:eastAsia="宋体" w:cs="宋体"/>
                <w:b w:val="0"/>
                <w:bCs/>
                <w:color w:val="auto"/>
                <w:sz w:val="21"/>
                <w:szCs w:val="21"/>
                <w:highlight w:val="none"/>
              </w:rPr>
            </w:pPr>
          </w:p>
        </w:tc>
        <w:tc>
          <w:tcPr>
            <w:tcW w:w="561" w:type="dxa"/>
          </w:tcPr>
          <w:p>
            <w:pPr>
              <w:pStyle w:val="173"/>
              <w:rPr>
                <w:rFonts w:hint="default" w:ascii="宋体" w:hAnsi="宋体" w:eastAsia="宋体" w:cs="宋体"/>
                <w:b w:val="0"/>
                <w:bCs/>
                <w:color w:val="auto"/>
                <w:sz w:val="21"/>
                <w:szCs w:val="21"/>
                <w:highlight w:val="none"/>
                <w:lang w:val="en-US" w:eastAsia="zh-CN"/>
              </w:rPr>
            </w:pPr>
          </w:p>
        </w:tc>
        <w:tc>
          <w:tcPr>
            <w:tcW w:w="879"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详见技术要求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643" w:type="dxa"/>
          </w:tcPr>
          <w:p>
            <w:pPr>
              <w:pStyle w:val="173"/>
              <w:spacing w:before="75"/>
              <w:ind w:left="7"/>
              <w:jc w:val="center"/>
              <w:rPr>
                <w:rFonts w:hint="eastAsia" w:ascii="宋体" w:hAnsi="宋体" w:eastAsia="宋体" w:cs="宋体"/>
                <w:b w:val="0"/>
                <w:bCs/>
                <w:color w:val="auto"/>
                <w:w w:val="100"/>
                <w:sz w:val="21"/>
                <w:szCs w:val="21"/>
                <w:highlight w:val="none"/>
              </w:rPr>
            </w:pPr>
          </w:p>
          <w:p>
            <w:pPr>
              <w:pStyle w:val="173"/>
              <w:spacing w:before="75"/>
              <w:ind w:left="7"/>
              <w:jc w:val="center"/>
              <w:rPr>
                <w:rFonts w:hint="eastAsia" w:ascii="宋体" w:hAnsi="宋体" w:eastAsia="宋体" w:cs="宋体"/>
                <w:b w:val="0"/>
                <w:bCs/>
                <w:color w:val="auto"/>
                <w:w w:val="100"/>
                <w:sz w:val="21"/>
                <w:szCs w:val="21"/>
                <w:highlight w:val="none"/>
                <w:lang w:val="en-US" w:eastAsia="zh-CN"/>
              </w:rPr>
            </w:pPr>
            <w:r>
              <w:rPr>
                <w:rFonts w:hint="eastAsia" w:cs="宋体"/>
                <w:b w:val="0"/>
                <w:bCs/>
                <w:color w:val="auto"/>
                <w:w w:val="100"/>
                <w:sz w:val="21"/>
                <w:szCs w:val="21"/>
                <w:highlight w:val="none"/>
                <w:lang w:val="en-US" w:eastAsia="zh-CN"/>
              </w:rPr>
              <w:t>3</w:t>
            </w:r>
          </w:p>
        </w:tc>
        <w:tc>
          <w:tcPr>
            <w:tcW w:w="1245" w:type="dxa"/>
            <w:tcBorders>
              <w:right w:val="single" w:color="000000"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电缆支架</w:t>
            </w:r>
          </w:p>
        </w:tc>
        <w:tc>
          <w:tcPr>
            <w:tcW w:w="1425" w:type="dxa"/>
            <w:tcBorders>
              <w:left w:val="single" w:color="000000" w:sz="6" w:space="0"/>
            </w:tcBorders>
            <w:vAlign w:val="center"/>
          </w:tcPr>
          <w:p>
            <w:pPr>
              <w:keepNext w:val="0"/>
              <w:keepLines w:val="0"/>
              <w:widowControl/>
              <w:suppressLineNumbers w:val="0"/>
              <w:jc w:val="center"/>
              <w:textAlignment w:val="center"/>
              <w:rPr>
                <w:rFonts w:hint="default" w:ascii="宋体" w:hAnsi="宋体" w:eastAsia="宋体" w:cs="宋体"/>
                <w:b w:val="0"/>
                <w:bCs/>
                <w:color w:val="auto"/>
                <w:sz w:val="21"/>
                <w:szCs w:val="21"/>
                <w:highlight w:val="none"/>
                <w:lang w:val="en-US"/>
              </w:rPr>
            </w:pPr>
            <w:r>
              <w:rPr>
                <w:rFonts w:hint="eastAsia" w:ascii="宋体" w:hAnsi="宋体" w:eastAsia="宋体" w:cs="宋体"/>
                <w:i w:val="0"/>
                <w:iCs w:val="0"/>
                <w:color w:val="000000"/>
                <w:kern w:val="0"/>
                <w:sz w:val="20"/>
                <w:szCs w:val="20"/>
                <w:u w:val="none"/>
                <w:lang w:val="en-US" w:eastAsia="zh-CN" w:bidi="ar"/>
              </w:rPr>
              <w:t>b＝30cm，四层</w:t>
            </w:r>
          </w:p>
        </w:tc>
        <w:tc>
          <w:tcPr>
            <w:tcW w:w="1013"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p>
        </w:tc>
        <w:tc>
          <w:tcPr>
            <w:tcW w:w="855"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238 </w:t>
            </w:r>
          </w:p>
        </w:tc>
        <w:tc>
          <w:tcPr>
            <w:tcW w:w="599"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000000"/>
                <w:kern w:val="0"/>
                <w:sz w:val="20"/>
                <w:szCs w:val="20"/>
                <w:u w:val="none"/>
                <w:lang w:val="en-US" w:eastAsia="zh-CN" w:bidi="ar"/>
              </w:rPr>
              <w:t>付</w:t>
            </w:r>
          </w:p>
        </w:tc>
        <w:tc>
          <w:tcPr>
            <w:tcW w:w="917" w:type="dxa"/>
          </w:tcPr>
          <w:p>
            <w:pPr>
              <w:pStyle w:val="173"/>
              <w:rPr>
                <w:rFonts w:hint="eastAsia" w:ascii="宋体" w:hAnsi="宋体" w:eastAsia="宋体" w:cs="宋体"/>
                <w:b w:val="0"/>
                <w:bCs/>
                <w:color w:val="auto"/>
                <w:sz w:val="21"/>
                <w:szCs w:val="21"/>
                <w:highlight w:val="none"/>
              </w:rPr>
            </w:pPr>
          </w:p>
        </w:tc>
        <w:tc>
          <w:tcPr>
            <w:tcW w:w="899" w:type="dxa"/>
          </w:tcPr>
          <w:p>
            <w:pPr>
              <w:pStyle w:val="173"/>
              <w:rPr>
                <w:rFonts w:hint="eastAsia" w:ascii="宋体" w:hAnsi="宋体" w:eastAsia="宋体" w:cs="宋体"/>
                <w:b w:val="0"/>
                <w:bCs/>
                <w:color w:val="auto"/>
                <w:sz w:val="21"/>
                <w:szCs w:val="21"/>
                <w:highlight w:val="none"/>
              </w:rPr>
            </w:pPr>
          </w:p>
        </w:tc>
        <w:tc>
          <w:tcPr>
            <w:tcW w:w="561" w:type="dxa"/>
          </w:tcPr>
          <w:p>
            <w:pPr>
              <w:pStyle w:val="173"/>
              <w:rPr>
                <w:rFonts w:hint="default" w:ascii="宋体" w:hAnsi="宋体" w:eastAsia="宋体" w:cs="宋体"/>
                <w:b w:val="0"/>
                <w:bCs/>
                <w:color w:val="auto"/>
                <w:sz w:val="21"/>
                <w:szCs w:val="21"/>
                <w:highlight w:val="none"/>
                <w:lang w:val="en-US" w:eastAsia="zh-CN"/>
              </w:rPr>
            </w:pPr>
          </w:p>
        </w:tc>
        <w:tc>
          <w:tcPr>
            <w:tcW w:w="879"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满足国标要求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643" w:type="dxa"/>
          </w:tcPr>
          <w:p>
            <w:pPr>
              <w:pStyle w:val="173"/>
              <w:spacing w:before="75"/>
              <w:ind w:left="7"/>
              <w:jc w:val="center"/>
              <w:rPr>
                <w:rFonts w:hint="eastAsia" w:ascii="宋体" w:hAnsi="宋体" w:eastAsia="宋体" w:cs="宋体"/>
                <w:b w:val="0"/>
                <w:bCs/>
                <w:color w:val="auto"/>
                <w:w w:val="100"/>
                <w:sz w:val="21"/>
                <w:szCs w:val="21"/>
                <w:highlight w:val="none"/>
              </w:rPr>
            </w:pPr>
          </w:p>
          <w:p>
            <w:pPr>
              <w:pStyle w:val="173"/>
              <w:spacing w:before="75"/>
              <w:ind w:left="7"/>
              <w:jc w:val="center"/>
              <w:rPr>
                <w:rFonts w:hint="eastAsia" w:ascii="宋体" w:hAnsi="宋体" w:eastAsia="宋体" w:cs="宋体"/>
                <w:b w:val="0"/>
                <w:bCs/>
                <w:color w:val="auto"/>
                <w:w w:val="100"/>
                <w:sz w:val="21"/>
                <w:szCs w:val="21"/>
                <w:highlight w:val="none"/>
                <w:lang w:val="en-US" w:eastAsia="zh-CN"/>
              </w:rPr>
            </w:pPr>
            <w:r>
              <w:rPr>
                <w:rFonts w:hint="eastAsia" w:cs="宋体"/>
                <w:b w:val="0"/>
                <w:bCs/>
                <w:color w:val="auto"/>
                <w:w w:val="100"/>
                <w:sz w:val="21"/>
                <w:szCs w:val="21"/>
                <w:highlight w:val="none"/>
                <w:lang w:val="en-US" w:eastAsia="zh-CN"/>
              </w:rPr>
              <w:t>4</w:t>
            </w:r>
          </w:p>
        </w:tc>
        <w:tc>
          <w:tcPr>
            <w:tcW w:w="1245" w:type="dxa"/>
            <w:tcBorders>
              <w:right w:val="single" w:color="000000"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电缆支架</w:t>
            </w:r>
          </w:p>
        </w:tc>
        <w:tc>
          <w:tcPr>
            <w:tcW w:w="1425" w:type="dxa"/>
            <w:tcBorders>
              <w:left w:val="single" w:color="000000" w:sz="6" w:space="0"/>
            </w:tcBorders>
            <w:vAlign w:val="center"/>
          </w:tcPr>
          <w:p>
            <w:pPr>
              <w:keepNext w:val="0"/>
              <w:keepLines w:val="0"/>
              <w:widowControl/>
              <w:suppressLineNumbers w:val="0"/>
              <w:jc w:val="center"/>
              <w:textAlignment w:val="center"/>
              <w:rPr>
                <w:rFonts w:hint="default" w:ascii="宋体" w:hAnsi="宋体" w:eastAsia="宋体" w:cs="宋体"/>
                <w:b w:val="0"/>
                <w:bCs/>
                <w:color w:val="auto"/>
                <w:sz w:val="21"/>
                <w:szCs w:val="21"/>
                <w:highlight w:val="none"/>
                <w:lang w:val="en-US"/>
              </w:rPr>
            </w:pPr>
            <w:r>
              <w:rPr>
                <w:rFonts w:hint="eastAsia" w:ascii="宋体" w:hAnsi="宋体" w:eastAsia="宋体" w:cs="宋体"/>
                <w:i w:val="0"/>
                <w:iCs w:val="0"/>
                <w:color w:val="000000"/>
                <w:kern w:val="0"/>
                <w:sz w:val="20"/>
                <w:szCs w:val="20"/>
                <w:u w:val="none"/>
                <w:lang w:val="en-US" w:eastAsia="zh-CN" w:bidi="ar"/>
              </w:rPr>
              <w:t>b＝30cm，三层</w:t>
            </w:r>
          </w:p>
        </w:tc>
        <w:tc>
          <w:tcPr>
            <w:tcW w:w="1013"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p>
        </w:tc>
        <w:tc>
          <w:tcPr>
            <w:tcW w:w="855"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1456 </w:t>
            </w:r>
          </w:p>
        </w:tc>
        <w:tc>
          <w:tcPr>
            <w:tcW w:w="599"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000000"/>
                <w:kern w:val="0"/>
                <w:sz w:val="20"/>
                <w:szCs w:val="20"/>
                <w:u w:val="none"/>
                <w:lang w:val="en-US" w:eastAsia="zh-CN" w:bidi="ar"/>
              </w:rPr>
              <w:t>付</w:t>
            </w:r>
          </w:p>
        </w:tc>
        <w:tc>
          <w:tcPr>
            <w:tcW w:w="917" w:type="dxa"/>
          </w:tcPr>
          <w:p>
            <w:pPr>
              <w:pStyle w:val="173"/>
              <w:rPr>
                <w:rFonts w:hint="eastAsia" w:ascii="宋体" w:hAnsi="宋体" w:eastAsia="宋体" w:cs="宋体"/>
                <w:b w:val="0"/>
                <w:bCs/>
                <w:color w:val="auto"/>
                <w:sz w:val="21"/>
                <w:szCs w:val="21"/>
                <w:highlight w:val="none"/>
              </w:rPr>
            </w:pPr>
          </w:p>
        </w:tc>
        <w:tc>
          <w:tcPr>
            <w:tcW w:w="899" w:type="dxa"/>
          </w:tcPr>
          <w:p>
            <w:pPr>
              <w:pStyle w:val="173"/>
              <w:rPr>
                <w:rFonts w:hint="eastAsia" w:ascii="宋体" w:hAnsi="宋体" w:eastAsia="宋体" w:cs="宋体"/>
                <w:b w:val="0"/>
                <w:bCs/>
                <w:color w:val="auto"/>
                <w:sz w:val="21"/>
                <w:szCs w:val="21"/>
                <w:highlight w:val="none"/>
              </w:rPr>
            </w:pPr>
          </w:p>
        </w:tc>
        <w:tc>
          <w:tcPr>
            <w:tcW w:w="561" w:type="dxa"/>
          </w:tcPr>
          <w:p>
            <w:pPr>
              <w:pStyle w:val="173"/>
              <w:rPr>
                <w:rFonts w:hint="default" w:ascii="宋体" w:hAnsi="宋体" w:eastAsia="宋体" w:cs="宋体"/>
                <w:b w:val="0"/>
                <w:bCs/>
                <w:color w:val="auto"/>
                <w:sz w:val="21"/>
                <w:szCs w:val="21"/>
                <w:highlight w:val="none"/>
                <w:lang w:val="en-US" w:eastAsia="zh-CN"/>
              </w:rPr>
            </w:pPr>
          </w:p>
        </w:tc>
        <w:tc>
          <w:tcPr>
            <w:tcW w:w="879"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满足国标要求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643" w:type="dxa"/>
          </w:tcPr>
          <w:p>
            <w:pPr>
              <w:pStyle w:val="173"/>
              <w:spacing w:before="75"/>
              <w:ind w:left="7"/>
              <w:jc w:val="center"/>
              <w:rPr>
                <w:rFonts w:hint="eastAsia" w:ascii="宋体" w:hAnsi="宋体" w:eastAsia="宋体" w:cs="宋体"/>
                <w:b w:val="0"/>
                <w:bCs/>
                <w:color w:val="auto"/>
                <w:w w:val="100"/>
                <w:sz w:val="21"/>
                <w:szCs w:val="21"/>
                <w:highlight w:val="none"/>
              </w:rPr>
            </w:pPr>
          </w:p>
          <w:p>
            <w:pPr>
              <w:pStyle w:val="173"/>
              <w:spacing w:before="75"/>
              <w:ind w:left="7"/>
              <w:jc w:val="center"/>
              <w:rPr>
                <w:rFonts w:hint="eastAsia" w:ascii="宋体" w:hAnsi="宋体" w:eastAsia="宋体" w:cs="宋体"/>
                <w:b w:val="0"/>
                <w:bCs/>
                <w:color w:val="auto"/>
                <w:w w:val="100"/>
                <w:sz w:val="21"/>
                <w:szCs w:val="21"/>
                <w:highlight w:val="none"/>
                <w:lang w:val="en-US" w:eastAsia="zh-CN"/>
              </w:rPr>
            </w:pPr>
            <w:r>
              <w:rPr>
                <w:rFonts w:hint="eastAsia" w:cs="宋体"/>
                <w:b w:val="0"/>
                <w:bCs/>
                <w:color w:val="auto"/>
                <w:w w:val="100"/>
                <w:sz w:val="21"/>
                <w:szCs w:val="21"/>
                <w:highlight w:val="none"/>
                <w:lang w:val="en-US" w:eastAsia="zh-CN"/>
              </w:rPr>
              <w:t>5</w:t>
            </w:r>
          </w:p>
        </w:tc>
        <w:tc>
          <w:tcPr>
            <w:tcW w:w="1245" w:type="dxa"/>
            <w:tcBorders>
              <w:right w:val="single" w:color="000000"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电缆支架</w:t>
            </w:r>
          </w:p>
        </w:tc>
        <w:tc>
          <w:tcPr>
            <w:tcW w:w="1425" w:type="dxa"/>
            <w:tcBorders>
              <w:left w:val="single" w:color="000000" w:sz="6" w:space="0"/>
            </w:tcBorders>
            <w:vAlign w:val="center"/>
          </w:tcPr>
          <w:p>
            <w:pPr>
              <w:keepNext w:val="0"/>
              <w:keepLines w:val="0"/>
              <w:widowControl/>
              <w:suppressLineNumbers w:val="0"/>
              <w:jc w:val="center"/>
              <w:textAlignment w:val="center"/>
              <w:rPr>
                <w:rFonts w:hint="default" w:ascii="宋体" w:hAnsi="宋体" w:eastAsia="宋体" w:cs="宋体"/>
                <w:b w:val="0"/>
                <w:bCs/>
                <w:color w:val="auto"/>
                <w:sz w:val="21"/>
                <w:szCs w:val="21"/>
                <w:highlight w:val="none"/>
                <w:lang w:val="en-US"/>
              </w:rPr>
            </w:pPr>
            <w:r>
              <w:rPr>
                <w:rFonts w:hint="eastAsia" w:ascii="宋体" w:hAnsi="宋体" w:eastAsia="宋体" w:cs="宋体"/>
                <w:i w:val="0"/>
                <w:iCs w:val="0"/>
                <w:color w:val="000000"/>
                <w:kern w:val="0"/>
                <w:sz w:val="20"/>
                <w:szCs w:val="20"/>
                <w:u w:val="none"/>
                <w:lang w:val="en-US" w:eastAsia="zh-CN" w:bidi="ar"/>
              </w:rPr>
              <w:t>b＝30cm，两层</w:t>
            </w:r>
          </w:p>
        </w:tc>
        <w:tc>
          <w:tcPr>
            <w:tcW w:w="1013"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p>
        </w:tc>
        <w:tc>
          <w:tcPr>
            <w:tcW w:w="855"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342 </w:t>
            </w:r>
          </w:p>
        </w:tc>
        <w:tc>
          <w:tcPr>
            <w:tcW w:w="599"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000000"/>
                <w:kern w:val="0"/>
                <w:sz w:val="20"/>
                <w:szCs w:val="20"/>
                <w:u w:val="none"/>
                <w:lang w:val="en-US" w:eastAsia="zh-CN" w:bidi="ar"/>
              </w:rPr>
              <w:t>付</w:t>
            </w:r>
          </w:p>
        </w:tc>
        <w:tc>
          <w:tcPr>
            <w:tcW w:w="917" w:type="dxa"/>
          </w:tcPr>
          <w:p>
            <w:pPr>
              <w:pStyle w:val="173"/>
              <w:rPr>
                <w:rFonts w:hint="eastAsia" w:ascii="宋体" w:hAnsi="宋体" w:eastAsia="宋体" w:cs="宋体"/>
                <w:b w:val="0"/>
                <w:bCs/>
                <w:color w:val="auto"/>
                <w:sz w:val="21"/>
                <w:szCs w:val="21"/>
                <w:highlight w:val="none"/>
              </w:rPr>
            </w:pPr>
          </w:p>
        </w:tc>
        <w:tc>
          <w:tcPr>
            <w:tcW w:w="899" w:type="dxa"/>
          </w:tcPr>
          <w:p>
            <w:pPr>
              <w:pStyle w:val="173"/>
              <w:rPr>
                <w:rFonts w:hint="eastAsia" w:ascii="宋体" w:hAnsi="宋体" w:eastAsia="宋体" w:cs="宋体"/>
                <w:b w:val="0"/>
                <w:bCs/>
                <w:color w:val="auto"/>
                <w:sz w:val="21"/>
                <w:szCs w:val="21"/>
                <w:highlight w:val="none"/>
              </w:rPr>
            </w:pPr>
          </w:p>
        </w:tc>
        <w:tc>
          <w:tcPr>
            <w:tcW w:w="561" w:type="dxa"/>
          </w:tcPr>
          <w:p>
            <w:pPr>
              <w:pStyle w:val="173"/>
              <w:rPr>
                <w:rFonts w:hint="default" w:ascii="宋体" w:hAnsi="宋体" w:eastAsia="宋体" w:cs="宋体"/>
                <w:b w:val="0"/>
                <w:bCs/>
                <w:color w:val="auto"/>
                <w:sz w:val="21"/>
                <w:szCs w:val="21"/>
                <w:highlight w:val="none"/>
                <w:lang w:val="en-US" w:eastAsia="zh-CN"/>
              </w:rPr>
            </w:pPr>
          </w:p>
        </w:tc>
        <w:tc>
          <w:tcPr>
            <w:tcW w:w="879"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满足国标要求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atLeast"/>
        </w:trPr>
        <w:tc>
          <w:tcPr>
            <w:tcW w:w="643" w:type="dxa"/>
          </w:tcPr>
          <w:p>
            <w:pPr>
              <w:pStyle w:val="173"/>
              <w:spacing w:before="75"/>
              <w:ind w:left="7"/>
              <w:jc w:val="center"/>
              <w:rPr>
                <w:rFonts w:hint="eastAsia" w:ascii="宋体" w:hAnsi="宋体" w:eastAsia="宋体" w:cs="宋体"/>
                <w:b w:val="0"/>
                <w:bCs/>
                <w:color w:val="auto"/>
                <w:w w:val="100"/>
                <w:sz w:val="21"/>
                <w:szCs w:val="21"/>
                <w:highlight w:val="none"/>
              </w:rPr>
            </w:pPr>
          </w:p>
          <w:p>
            <w:pPr>
              <w:pStyle w:val="173"/>
              <w:spacing w:before="75"/>
              <w:ind w:left="7"/>
              <w:jc w:val="center"/>
              <w:rPr>
                <w:rFonts w:hint="eastAsia" w:ascii="宋体" w:hAnsi="宋体" w:eastAsia="宋体" w:cs="宋体"/>
                <w:b w:val="0"/>
                <w:bCs/>
                <w:color w:val="auto"/>
                <w:w w:val="100"/>
                <w:sz w:val="21"/>
                <w:szCs w:val="21"/>
                <w:highlight w:val="none"/>
                <w:lang w:val="en-US" w:eastAsia="zh-CN"/>
              </w:rPr>
            </w:pPr>
            <w:r>
              <w:rPr>
                <w:rFonts w:hint="eastAsia" w:cs="宋体"/>
                <w:b w:val="0"/>
                <w:bCs/>
                <w:color w:val="auto"/>
                <w:w w:val="100"/>
                <w:sz w:val="21"/>
                <w:szCs w:val="21"/>
                <w:highlight w:val="none"/>
                <w:lang w:val="en-US" w:eastAsia="zh-CN"/>
              </w:rPr>
              <w:t>6</w:t>
            </w:r>
          </w:p>
        </w:tc>
        <w:tc>
          <w:tcPr>
            <w:tcW w:w="1245" w:type="dxa"/>
            <w:tcBorders>
              <w:right w:val="single" w:color="000000"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20"/>
                <w:szCs w:val="20"/>
                <w:u w:val="none"/>
                <w:lang w:val="en-US" w:eastAsia="zh-CN" w:bidi="ar"/>
              </w:rPr>
              <w:t>电缆支架</w:t>
            </w:r>
          </w:p>
        </w:tc>
        <w:tc>
          <w:tcPr>
            <w:tcW w:w="1425" w:type="dxa"/>
            <w:tcBorders>
              <w:left w:val="single" w:color="000000" w:sz="6" w:space="0"/>
            </w:tcBorders>
            <w:vAlign w:val="center"/>
          </w:tcPr>
          <w:p>
            <w:pPr>
              <w:keepNext w:val="0"/>
              <w:keepLines w:val="0"/>
              <w:widowControl/>
              <w:suppressLineNumbers w:val="0"/>
              <w:jc w:val="center"/>
              <w:textAlignment w:val="center"/>
              <w:rPr>
                <w:rFonts w:hint="default" w:ascii="宋体" w:hAnsi="宋体" w:eastAsia="宋体" w:cs="宋体"/>
                <w:b w:val="0"/>
                <w:bCs/>
                <w:color w:val="auto"/>
                <w:sz w:val="21"/>
                <w:szCs w:val="21"/>
                <w:highlight w:val="none"/>
                <w:lang w:val="en-US"/>
              </w:rPr>
            </w:pPr>
            <w:r>
              <w:rPr>
                <w:rFonts w:hint="eastAsia" w:ascii="宋体" w:hAnsi="宋体" w:eastAsia="宋体" w:cs="宋体"/>
                <w:i w:val="0"/>
                <w:iCs w:val="0"/>
                <w:color w:val="000000"/>
                <w:kern w:val="0"/>
                <w:sz w:val="20"/>
                <w:szCs w:val="20"/>
                <w:u w:val="none"/>
                <w:lang w:val="en-US" w:eastAsia="zh-CN" w:bidi="ar"/>
              </w:rPr>
              <w:t>b＝30cm，一层</w:t>
            </w:r>
          </w:p>
        </w:tc>
        <w:tc>
          <w:tcPr>
            <w:tcW w:w="1013" w:type="dxa"/>
            <w:tcBorders>
              <w:left w:val="single" w:color="000000" w:sz="6" w:space="0"/>
            </w:tcBorders>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p>
        </w:tc>
        <w:tc>
          <w:tcPr>
            <w:tcW w:w="855"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636 </w:t>
            </w:r>
          </w:p>
        </w:tc>
        <w:tc>
          <w:tcPr>
            <w:tcW w:w="599" w:type="dxa"/>
            <w:vAlign w:val="center"/>
          </w:tcPr>
          <w:p>
            <w:pPr>
              <w:keepNext w:val="0"/>
              <w:keepLines w:val="0"/>
              <w:widowControl/>
              <w:suppressLineNumbers w:val="0"/>
              <w:jc w:val="center"/>
              <w:textAlignment w:val="center"/>
              <w:rPr>
                <w:rFonts w:hint="eastAsia" w:ascii="宋体" w:hAnsi="宋体" w:eastAsia="宋体" w:cs="宋体"/>
                <w:b w:val="0"/>
                <w:bCs/>
                <w:color w:val="auto"/>
                <w:sz w:val="21"/>
                <w:szCs w:val="21"/>
                <w:highlight w:val="none"/>
              </w:rPr>
            </w:pPr>
            <w:r>
              <w:rPr>
                <w:rFonts w:hint="eastAsia" w:ascii="宋体" w:hAnsi="宋体" w:eastAsia="宋体" w:cs="宋体"/>
                <w:i w:val="0"/>
                <w:iCs w:val="0"/>
                <w:color w:val="000000"/>
                <w:kern w:val="0"/>
                <w:sz w:val="20"/>
                <w:szCs w:val="20"/>
                <w:u w:val="none"/>
                <w:lang w:val="en-US" w:eastAsia="zh-CN" w:bidi="ar"/>
              </w:rPr>
              <w:t>付</w:t>
            </w:r>
          </w:p>
        </w:tc>
        <w:tc>
          <w:tcPr>
            <w:tcW w:w="917" w:type="dxa"/>
          </w:tcPr>
          <w:p>
            <w:pPr>
              <w:pStyle w:val="173"/>
              <w:rPr>
                <w:rFonts w:hint="eastAsia" w:ascii="宋体" w:hAnsi="宋体" w:eastAsia="宋体" w:cs="宋体"/>
                <w:b w:val="0"/>
                <w:bCs/>
                <w:color w:val="auto"/>
                <w:sz w:val="21"/>
                <w:szCs w:val="21"/>
                <w:highlight w:val="none"/>
              </w:rPr>
            </w:pPr>
          </w:p>
        </w:tc>
        <w:tc>
          <w:tcPr>
            <w:tcW w:w="899" w:type="dxa"/>
          </w:tcPr>
          <w:p>
            <w:pPr>
              <w:pStyle w:val="173"/>
              <w:rPr>
                <w:rFonts w:hint="eastAsia" w:ascii="宋体" w:hAnsi="宋体" w:eastAsia="宋体" w:cs="宋体"/>
                <w:b w:val="0"/>
                <w:bCs/>
                <w:color w:val="auto"/>
                <w:sz w:val="21"/>
                <w:szCs w:val="21"/>
                <w:highlight w:val="none"/>
              </w:rPr>
            </w:pPr>
          </w:p>
        </w:tc>
        <w:tc>
          <w:tcPr>
            <w:tcW w:w="561" w:type="dxa"/>
          </w:tcPr>
          <w:p>
            <w:pPr>
              <w:pStyle w:val="173"/>
              <w:rPr>
                <w:rFonts w:hint="default" w:ascii="宋体" w:hAnsi="宋体" w:eastAsia="宋体" w:cs="宋体"/>
                <w:b w:val="0"/>
                <w:bCs/>
                <w:color w:val="auto"/>
                <w:sz w:val="21"/>
                <w:szCs w:val="21"/>
                <w:highlight w:val="none"/>
                <w:lang w:val="en-US" w:eastAsia="zh-CN"/>
              </w:rPr>
            </w:pPr>
          </w:p>
        </w:tc>
        <w:tc>
          <w:tcPr>
            <w:tcW w:w="879" w:type="dxa"/>
            <w:vAlign w:val="center"/>
          </w:tcPr>
          <w:p>
            <w:pPr>
              <w:keepNext w:val="0"/>
              <w:keepLines w:val="0"/>
              <w:widowControl/>
              <w:suppressLineNumbers w:val="0"/>
              <w:jc w:val="center"/>
              <w:textAlignment w:val="center"/>
              <w:rPr>
                <w:rFonts w:hint="eastAsia" w:ascii="宋体" w:hAnsi="宋体" w:cs="宋体"/>
                <w:i w:val="0"/>
                <w:iCs w:val="0"/>
                <w:color w:val="auto"/>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满足国标要求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5780" w:type="dxa"/>
            <w:gridSpan w:val="6"/>
            <w:vAlign w:val="center"/>
          </w:tcPr>
          <w:p>
            <w:pPr>
              <w:pStyle w:val="173"/>
              <w:spacing w:line="329" w:lineRule="exact"/>
              <w:ind w:left="0" w:right="0"/>
              <w:jc w:val="center"/>
              <w:rPr>
                <w:rFonts w:hint="default" w:ascii="宋体" w:hAnsi="宋体" w:eastAsia="宋体" w:cs="宋体"/>
                <w:b w:val="0"/>
                <w:bCs/>
                <w:color w:val="auto"/>
                <w:sz w:val="21"/>
                <w:szCs w:val="21"/>
                <w:highlight w:val="none"/>
                <w:lang w:val="en-US" w:eastAsia="zh-CN"/>
              </w:rPr>
            </w:pPr>
            <w:r>
              <w:rPr>
                <w:rFonts w:hint="eastAsia" w:cs="宋体"/>
                <w:b w:val="0"/>
                <w:bCs/>
                <w:color w:val="auto"/>
                <w:sz w:val="21"/>
                <w:szCs w:val="21"/>
                <w:highlight w:val="none"/>
                <w:lang w:val="en-US" w:eastAsia="zh-CN"/>
              </w:rPr>
              <w:t>投标总报价</w:t>
            </w:r>
          </w:p>
        </w:tc>
        <w:tc>
          <w:tcPr>
            <w:tcW w:w="1816" w:type="dxa"/>
            <w:gridSpan w:val="2"/>
            <w:vAlign w:val="center"/>
          </w:tcPr>
          <w:p>
            <w:pPr>
              <w:pStyle w:val="173"/>
              <w:jc w:val="both"/>
              <w:rPr>
                <w:rFonts w:hint="eastAsia" w:ascii="宋体" w:hAnsi="宋体" w:eastAsia="宋体" w:cs="宋体"/>
                <w:b w:val="0"/>
                <w:bCs/>
                <w:color w:val="auto"/>
                <w:sz w:val="21"/>
                <w:szCs w:val="21"/>
                <w:highlight w:val="none"/>
              </w:rPr>
            </w:pPr>
          </w:p>
        </w:tc>
        <w:tc>
          <w:tcPr>
            <w:tcW w:w="561" w:type="dxa"/>
            <w:vAlign w:val="center"/>
          </w:tcPr>
          <w:p>
            <w:pPr>
              <w:pStyle w:val="173"/>
              <w:jc w:val="both"/>
              <w:rPr>
                <w:rFonts w:hint="eastAsia" w:ascii="宋体" w:hAnsi="宋体" w:eastAsia="宋体" w:cs="宋体"/>
                <w:b w:val="0"/>
                <w:bCs/>
                <w:color w:val="auto"/>
                <w:sz w:val="21"/>
                <w:szCs w:val="21"/>
                <w:highlight w:val="none"/>
              </w:rPr>
            </w:pPr>
          </w:p>
        </w:tc>
        <w:tc>
          <w:tcPr>
            <w:tcW w:w="879" w:type="dxa"/>
            <w:vAlign w:val="center"/>
          </w:tcPr>
          <w:p>
            <w:pPr>
              <w:pStyle w:val="173"/>
              <w:jc w:val="both"/>
              <w:rPr>
                <w:rFonts w:hint="eastAsia" w:ascii="宋体" w:hAnsi="宋体" w:eastAsia="宋体" w:cs="宋体"/>
                <w:b w:val="0"/>
                <w:bCs/>
                <w:color w:val="auto"/>
                <w:sz w:val="21"/>
                <w:szCs w:val="21"/>
                <w:highlight w:val="none"/>
                <w:lang w:val="en-US" w:eastAsia="zh-CN"/>
              </w:rPr>
            </w:pPr>
          </w:p>
        </w:tc>
      </w:tr>
    </w:tbl>
    <w:p>
      <w:pPr>
        <w:pStyle w:val="12"/>
      </w:pPr>
    </w:p>
    <w:p>
      <w:pPr>
        <w:pStyle w:val="28"/>
        <w:rPr>
          <w:rFonts w:ascii="宋体" w:hAnsi="宋体" w:cs="宋体"/>
          <w:kern w:val="0"/>
          <w:szCs w:val="21"/>
        </w:rPr>
      </w:pPr>
    </w:p>
    <w:p>
      <w:pPr>
        <w:rPr>
          <w:rFonts w:ascii="宋体" w:hAnsi="宋体" w:cs="宋体"/>
          <w:kern w:val="0"/>
          <w:szCs w:val="21"/>
        </w:rPr>
      </w:pPr>
    </w:p>
    <w:p>
      <w:pPr>
        <w:pStyle w:val="28"/>
        <w:sectPr>
          <w:pgSz w:w="11906" w:h="16838"/>
          <w:pgMar w:top="1440" w:right="1576" w:bottom="1440" w:left="1463" w:header="851" w:footer="992" w:gutter="0"/>
          <w:cols w:space="0" w:num="1"/>
          <w:titlePg/>
          <w:docGrid w:type="lines" w:linePitch="328" w:charSpace="0"/>
        </w:sectPr>
      </w:pPr>
    </w:p>
    <w:p>
      <w:pPr>
        <w:pStyle w:val="4"/>
        <w:numPr>
          <w:ilvl w:val="0"/>
          <w:numId w:val="12"/>
        </w:numPr>
        <w:spacing w:before="0" w:after="0" w:line="360" w:lineRule="auto"/>
        <w:jc w:val="center"/>
        <w:rPr>
          <w:rFonts w:ascii="宋体" w:hAnsi="宋体" w:eastAsia="宋体" w:cs="宋体"/>
          <w:sz w:val="28"/>
        </w:rPr>
      </w:pPr>
      <w:bookmarkStart w:id="865" w:name="_Toc23170"/>
      <w:bookmarkStart w:id="866" w:name="_Toc513633971"/>
      <w:bookmarkStart w:id="867" w:name="_Toc503951050"/>
      <w:bookmarkStart w:id="868" w:name="_Toc17048"/>
      <w:bookmarkStart w:id="869" w:name="_Toc11961"/>
      <w:bookmarkStart w:id="870" w:name="_Toc11329278"/>
      <w:bookmarkStart w:id="871" w:name="_Toc12910"/>
      <w:bookmarkStart w:id="872" w:name="_Toc18757"/>
      <w:bookmarkStart w:id="873" w:name="_Toc179632823"/>
      <w:bookmarkStart w:id="874" w:name="_Toc447827058"/>
      <w:bookmarkStart w:id="875" w:name="_Toc246997112"/>
      <w:bookmarkStart w:id="876" w:name="_Toc144974871"/>
      <w:bookmarkStart w:id="877" w:name="_Toc247085887"/>
      <w:bookmarkStart w:id="878" w:name="_Toc152042592"/>
      <w:bookmarkStart w:id="879" w:name="_Toc152045803"/>
      <w:bookmarkStart w:id="880" w:name="_Toc246996369"/>
      <w:r>
        <w:rPr>
          <w:rFonts w:hint="eastAsia" w:ascii="宋体" w:hAnsi="宋体" w:eastAsia="宋体" w:cs="宋体"/>
          <w:sz w:val="28"/>
        </w:rPr>
        <w:t>审查资料</w:t>
      </w:r>
      <w:bookmarkEnd w:id="865"/>
      <w:bookmarkEnd w:id="866"/>
      <w:bookmarkEnd w:id="867"/>
      <w:bookmarkEnd w:id="868"/>
      <w:bookmarkEnd w:id="869"/>
      <w:bookmarkEnd w:id="870"/>
      <w:bookmarkEnd w:id="871"/>
      <w:bookmarkEnd w:id="872"/>
    </w:p>
    <w:p>
      <w:pPr>
        <w:numPr>
          <w:ilvl w:val="0"/>
          <w:numId w:val="13"/>
        </w:numPr>
        <w:spacing w:line="360" w:lineRule="auto"/>
        <w:jc w:val="center"/>
        <w:outlineLvl w:val="1"/>
        <w:rPr>
          <w:rFonts w:hint="eastAsia" w:ascii="宋体" w:hAnsi="宋体" w:cs="宋体"/>
          <w:b/>
          <w:bCs/>
          <w:kern w:val="0"/>
          <w:sz w:val="28"/>
          <w:szCs w:val="32"/>
        </w:rPr>
      </w:pPr>
      <w:bookmarkStart w:id="881" w:name="_Toc13858"/>
      <w:r>
        <w:rPr>
          <w:rFonts w:hint="eastAsia" w:ascii="宋体" w:hAnsi="宋体" w:cs="宋体"/>
          <w:b/>
          <w:bCs/>
          <w:kern w:val="0"/>
          <w:sz w:val="28"/>
          <w:szCs w:val="32"/>
        </w:rPr>
        <w:t>资格审查资料</w:t>
      </w:r>
      <w:bookmarkEnd w:id="873"/>
      <w:bookmarkEnd w:id="874"/>
      <w:bookmarkEnd w:id="875"/>
      <w:bookmarkEnd w:id="876"/>
      <w:bookmarkEnd w:id="877"/>
      <w:bookmarkEnd w:id="878"/>
      <w:bookmarkEnd w:id="879"/>
      <w:bookmarkEnd w:id="880"/>
      <w:bookmarkEnd w:id="881"/>
      <w:bookmarkStart w:id="882" w:name="_Toc503951058"/>
      <w:bookmarkStart w:id="883" w:name="_Toc513633974"/>
      <w:r>
        <w:rPr>
          <w:rFonts w:hint="eastAsia" w:ascii="宋体" w:hAnsi="宋体" w:cs="宋体"/>
          <w:b/>
          <w:bCs/>
          <w:kern w:val="0"/>
          <w:sz w:val="28"/>
          <w:szCs w:val="32"/>
        </w:rPr>
        <w:t xml:space="preserve"> </w:t>
      </w:r>
    </w:p>
    <w:p>
      <w:pPr>
        <w:pStyle w:val="4"/>
        <w:jc w:val="center"/>
        <w:rPr>
          <w:rFonts w:ascii="宋体" w:hAnsi="宋体" w:eastAsia="宋体" w:cs="宋体"/>
          <w:bCs w:val="0"/>
          <w:sz w:val="28"/>
          <w:szCs w:val="28"/>
        </w:rPr>
      </w:pPr>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序号</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项目</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营业执照</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pPr>
            <w:r>
              <w:rPr>
                <w:rFonts w:hint="eastAsia" w:ascii="宋体" w:hAnsi="宋体" w:cs="宋体"/>
                <w:szCs w:val="21"/>
                <w:shd w:val="clear" w:color="auto" w:fill="FFFFFF"/>
              </w:rPr>
              <w:t>具有独立法人资格，具有有效的营业执照。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2</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eastAsia="宋体" w:cs="宋体"/>
                <w:szCs w:val="21"/>
                <w:lang w:val="en-US" w:eastAsia="zh-CN"/>
              </w:rPr>
            </w:pPr>
            <w:r>
              <w:rPr>
                <w:rFonts w:hint="eastAsia" w:ascii="宋体" w:hAnsi="宋体" w:cs="宋体"/>
                <w:szCs w:val="21"/>
                <w:lang w:val="en-US" w:eastAsia="zh-CN"/>
              </w:rPr>
              <w:t>报价人要求</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cs="宋体"/>
                <w:szCs w:val="21"/>
              </w:rPr>
            </w:pPr>
            <w:r>
              <w:rPr>
                <w:rFonts w:hint="eastAsia" w:ascii="宋体" w:hAnsi="宋体" w:cs="宋体"/>
                <w:szCs w:val="21"/>
                <w:shd w:val="clear" w:color="auto" w:fill="FFFFFF"/>
                <w:lang w:val="en-US" w:eastAsia="zh-CN"/>
              </w:rPr>
              <w:t>需为聚氨酯管箱及复合支架的生产厂家，提供生产</w:t>
            </w:r>
            <w:r>
              <w:rPr>
                <w:rFonts w:hint="eastAsia" w:ascii="宋体" w:hAnsi="宋体" w:cs="宋体"/>
                <w:color w:val="auto"/>
                <w:szCs w:val="21"/>
                <w:lang w:val="en-US" w:eastAsia="zh-CN"/>
              </w:rPr>
              <w:t>厂家</w:t>
            </w:r>
            <w:r>
              <w:rPr>
                <w:rFonts w:hint="eastAsia" w:ascii="宋体" w:hAnsi="宋体" w:eastAsia="宋体" w:cs="宋体"/>
                <w:color w:val="auto"/>
                <w:szCs w:val="21"/>
                <w:lang w:val="en-US" w:eastAsia="zh-CN"/>
              </w:rPr>
              <w:t>资格声明</w:t>
            </w:r>
            <w:r>
              <w:rPr>
                <w:rFonts w:hint="eastAsia" w:ascii="宋体" w:hAnsi="宋体" w:cs="宋体"/>
                <w:color w:val="auto"/>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3</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lang w:val="en-US" w:eastAsia="zh-CN"/>
              </w:rPr>
              <w:t>产品</w:t>
            </w:r>
            <w:r>
              <w:rPr>
                <w:rFonts w:hint="eastAsia" w:ascii="宋体" w:hAnsi="宋体" w:cs="宋体"/>
                <w:szCs w:val="21"/>
              </w:rPr>
              <w:t>要求</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所投产品需具有国家交通安全设施质量监督检验中心出具的检测报告。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4</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cs="宋体"/>
                <w:szCs w:val="21"/>
              </w:rPr>
            </w:pPr>
            <w:r>
              <w:rPr>
                <w:rFonts w:hint="eastAsia" w:ascii="宋体" w:hAnsi="宋体" w:cs="宋体"/>
                <w:szCs w:val="21"/>
                <w:shd w:val="clear" w:color="auto" w:fill="FFFFFF"/>
              </w:rPr>
              <w:t>2020年1月1日至报价截止日期（以合同签订时间为准）至少</w:t>
            </w:r>
            <w:r>
              <w:rPr>
                <w:rFonts w:hint="eastAsia" w:ascii="宋体" w:hAnsi="宋体" w:cs="宋体"/>
                <w:szCs w:val="21"/>
                <w:shd w:val="clear" w:color="auto" w:fill="FFFFFF"/>
                <w:lang w:val="en-US" w:eastAsia="zh-CN"/>
              </w:rPr>
              <w:t>完成</w:t>
            </w:r>
            <w:r>
              <w:rPr>
                <w:rFonts w:hint="eastAsia" w:ascii="宋体" w:hAnsi="宋体" w:cs="宋体"/>
                <w:szCs w:val="21"/>
                <w:shd w:val="clear" w:color="auto" w:fill="FFFFFF"/>
              </w:rPr>
              <w:t>一项110万及以上类似材料供货合同业绩。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5</w:t>
            </w:r>
          </w:p>
        </w:tc>
        <w:tc>
          <w:tcPr>
            <w:tcW w:w="14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信誉要求：在国家企业信用信息公示系统（http://www.gsxt.gov.cn/）中未被列入严重违法失信企业名单（黑名单）信息（若并非企业，则无需查询）；在“信用中国”网站（http://www.creditchina.gov.cn/）中未被列入失信惩戒执行人名单。</w:t>
            </w:r>
          </w:p>
        </w:tc>
      </w:tr>
    </w:tbl>
    <w:p>
      <w:pPr>
        <w:spacing w:line="400" w:lineRule="exact"/>
        <w:jc w:val="left"/>
        <w:rPr>
          <w:rFonts w:hAnsi="宋体"/>
          <w:kern w:val="0"/>
          <w:szCs w:val="21"/>
        </w:rPr>
      </w:pPr>
      <w:r>
        <w:rPr>
          <w:rFonts w:hint="eastAsia" w:ascii="宋体" w:hAnsi="宋体" w:cs="宋体"/>
          <w:szCs w:val="21"/>
        </w:rPr>
        <w:t xml:space="preserve">  </w:t>
      </w:r>
      <w:r>
        <w:rPr>
          <w:rFonts w:hint="eastAsia" w:hAnsi="宋体"/>
          <w:kern w:val="0"/>
          <w:szCs w:val="21"/>
        </w:rPr>
        <w:t xml:space="preserve"> 注：1.提供报价人营业执照复印件，并加盖报价人鲜章。</w:t>
      </w:r>
    </w:p>
    <w:p>
      <w:pPr>
        <w:numPr>
          <w:ilvl w:val="0"/>
          <w:numId w:val="4"/>
        </w:numPr>
      </w:pPr>
      <w:r>
        <w:rPr>
          <w:rFonts w:hint="eastAsia" w:hAnsi="宋体"/>
          <w:kern w:val="0"/>
          <w:szCs w:val="21"/>
        </w:rPr>
        <w:t>提供报价人</w:t>
      </w:r>
      <w:r>
        <w:rPr>
          <w:rFonts w:hint="eastAsia" w:ascii="宋体" w:hAnsi="宋体" w:cs="宋体"/>
          <w:szCs w:val="21"/>
          <w:shd w:val="clear" w:color="auto" w:fill="FFFFFF"/>
          <w:lang w:val="en-US" w:eastAsia="zh-CN"/>
        </w:rPr>
        <w:t>生产</w:t>
      </w:r>
      <w:r>
        <w:rPr>
          <w:rFonts w:hint="eastAsia" w:ascii="宋体" w:hAnsi="宋体" w:cs="宋体"/>
          <w:color w:val="auto"/>
          <w:szCs w:val="21"/>
          <w:lang w:val="en-US" w:eastAsia="zh-CN"/>
        </w:rPr>
        <w:t>厂家</w:t>
      </w:r>
      <w:r>
        <w:rPr>
          <w:rFonts w:hint="eastAsia" w:ascii="宋体" w:hAnsi="宋体" w:eastAsia="宋体" w:cs="宋体"/>
          <w:color w:val="auto"/>
          <w:szCs w:val="21"/>
          <w:lang w:val="en-US" w:eastAsia="zh-CN"/>
        </w:rPr>
        <w:t>资格声明</w:t>
      </w:r>
      <w:r>
        <w:rPr>
          <w:rFonts w:hint="eastAsia"/>
        </w:rPr>
        <w:t>，</w:t>
      </w:r>
      <w:r>
        <w:rPr>
          <w:rFonts w:hint="eastAsia" w:hAnsi="宋体"/>
          <w:kern w:val="0"/>
          <w:szCs w:val="21"/>
        </w:rPr>
        <w:t>并加盖报价人鲜章。</w:t>
      </w:r>
    </w:p>
    <w:p>
      <w:pPr>
        <w:numPr>
          <w:ilvl w:val="0"/>
          <w:numId w:val="4"/>
        </w:numPr>
      </w:pPr>
      <w:r>
        <w:rPr>
          <w:rFonts w:hint="eastAsia"/>
          <w:lang w:val="en-US" w:eastAsia="zh-CN"/>
        </w:rPr>
        <w:t>提供硅芯管及集束管</w:t>
      </w:r>
      <w:r>
        <w:rPr>
          <w:rFonts w:hint="eastAsia" w:ascii="宋体" w:hAnsi="宋体" w:cs="宋体"/>
          <w:szCs w:val="21"/>
          <w:shd w:val="clear" w:color="auto" w:fill="FFFFFF"/>
        </w:rPr>
        <w:t>国家交通安全设施质量监督检验中心出具的检测报告</w:t>
      </w:r>
      <w:r>
        <w:rPr>
          <w:rFonts w:hint="eastAsia"/>
        </w:rPr>
        <w:t>，</w:t>
      </w:r>
      <w:r>
        <w:rPr>
          <w:rFonts w:hint="eastAsia" w:hAnsi="宋体"/>
          <w:kern w:val="0"/>
          <w:szCs w:val="21"/>
        </w:rPr>
        <w:t>并加盖报价人鲜章。</w:t>
      </w:r>
    </w:p>
    <w:p>
      <w:pPr>
        <w:numPr>
          <w:ilvl w:val="0"/>
          <w:numId w:val="4"/>
        </w:numPr>
      </w:pPr>
      <w:r>
        <w:t>提供合同</w:t>
      </w:r>
      <w:r>
        <w:rPr>
          <w:rFonts w:hint="eastAsia"/>
          <w:lang w:val="en-US" w:eastAsia="zh-CN"/>
        </w:rPr>
        <w:t>复印件</w:t>
      </w:r>
      <w:r>
        <w:t>（合同需清晰反映上述业绩要求的主要内容，包括但不限于合同签订时间、合同金额及合同内容）</w:t>
      </w:r>
      <w:r>
        <w:rPr>
          <w:rFonts w:hint="eastAsia"/>
          <w:lang w:val="en-US" w:eastAsia="zh-CN"/>
        </w:rPr>
        <w:t>以及对应本合同的金额不</w:t>
      </w:r>
      <w:r>
        <w:rPr>
          <w:rFonts w:hint="eastAsia"/>
          <w:color w:val="FF0000"/>
          <w:lang w:val="en-US" w:eastAsia="zh-CN"/>
        </w:rPr>
        <w:t>低于110万的增值税专用发票</w:t>
      </w:r>
      <w:r>
        <w:t>复印件或扫描件</w:t>
      </w:r>
      <w:r>
        <w:rPr>
          <w:rFonts w:hint="eastAsia"/>
        </w:rPr>
        <w:t>，</w:t>
      </w:r>
      <w:r>
        <w:rPr>
          <w:rFonts w:hint="eastAsia"/>
          <w:lang w:val="en-US" w:eastAsia="zh-CN"/>
        </w:rPr>
        <w:t>并</w:t>
      </w:r>
      <w:r>
        <w:rPr>
          <w:rFonts w:hint="eastAsia" w:hAnsi="宋体"/>
          <w:kern w:val="0"/>
          <w:szCs w:val="21"/>
        </w:rPr>
        <w:t>盖报价人鲜章。</w:t>
      </w:r>
    </w:p>
    <w:p>
      <w:pPr>
        <w:numPr>
          <w:ilvl w:val="0"/>
          <w:numId w:val="4"/>
        </w:numPr>
      </w:pPr>
      <w:r>
        <w:rPr>
          <w:rFonts w:hint="eastAsia"/>
        </w:rPr>
        <w:t>提供企业信用信息公示系统（http://www.gsxt.gov.cn/）中未被列入严重违法失信企业名单（黑名单）信息截图</w:t>
      </w:r>
      <w:r>
        <w:rPr>
          <w:rFonts w:hint="eastAsia" w:ascii="宋体" w:hAnsi="宋体" w:cs="宋体"/>
          <w:szCs w:val="21"/>
          <w:shd w:val="clear" w:color="auto" w:fill="FFFFFF"/>
        </w:rPr>
        <w:t>（若并非企业，则无需查询）</w:t>
      </w:r>
      <w:r>
        <w:rPr>
          <w:rFonts w:hint="eastAsia"/>
        </w:rPr>
        <w:t>（和在“信用中国”网站（http://www.creditchina.gov.cn/）中未被列入失信惩戒执行人名单截图信息并加盖鲜章。</w:t>
      </w:r>
    </w:p>
    <w:p>
      <w:pPr>
        <w:rPr>
          <w:rFonts w:ascii="宋体" w:hAnsi="宋体" w:cs="宋体"/>
          <w:sz w:val="28"/>
        </w:rPr>
      </w:pPr>
    </w:p>
    <w:p>
      <w:pPr>
        <w:pStyle w:val="2"/>
        <w:rPr>
          <w:rFonts w:ascii="宋体" w:hAnsi="宋体" w:cs="宋体"/>
          <w:sz w:val="28"/>
        </w:rPr>
      </w:pPr>
    </w:p>
    <w:p>
      <w:pPr>
        <w:spacing w:line="360" w:lineRule="auto"/>
        <w:jc w:val="center"/>
        <w:outlineLvl w:val="1"/>
        <w:rPr>
          <w:rFonts w:hint="eastAsia" w:ascii="宋体" w:hAnsi="宋体" w:cs="宋体"/>
          <w:b/>
          <w:bCs/>
          <w:kern w:val="0"/>
          <w:sz w:val="28"/>
          <w:szCs w:val="32"/>
        </w:rPr>
      </w:pPr>
      <w:bookmarkStart w:id="884" w:name="_Toc20231"/>
      <w:bookmarkStart w:id="885" w:name="_Toc8299"/>
    </w:p>
    <w:p>
      <w:pPr>
        <w:spacing w:line="360" w:lineRule="auto"/>
        <w:jc w:val="center"/>
        <w:outlineLvl w:val="1"/>
        <w:rPr>
          <w:rFonts w:hint="eastAsia" w:ascii="宋体" w:hAnsi="宋体" w:cs="宋体"/>
          <w:b/>
          <w:bCs/>
          <w:kern w:val="0"/>
          <w:sz w:val="28"/>
          <w:szCs w:val="32"/>
        </w:rPr>
      </w:pPr>
    </w:p>
    <w:bookmarkEnd w:id="884"/>
    <w:bookmarkEnd w:id="885"/>
    <w:p>
      <w:pPr>
        <w:pStyle w:val="2"/>
        <w:rPr>
          <w:rFonts w:ascii="宋体" w:hAnsi="宋体" w:cs="宋体"/>
          <w:sz w:val="28"/>
        </w:rPr>
      </w:pPr>
    </w:p>
    <w:p>
      <w:pPr>
        <w:pStyle w:val="5"/>
        <w:spacing w:before="0" w:after="0" w:line="240" w:lineRule="auto"/>
        <w:jc w:val="center"/>
        <w:rPr>
          <w:rFonts w:hint="eastAsia"/>
          <w:color w:val="auto"/>
          <w:highlight w:val="none"/>
          <w:lang w:eastAsia="zh-CN"/>
        </w:rPr>
      </w:pPr>
      <w:bookmarkStart w:id="886" w:name="_Toc8464"/>
      <w:bookmarkStart w:id="887" w:name="_Toc9880"/>
      <w:bookmarkStart w:id="888" w:name="_Toc30447"/>
      <w:r>
        <w:rPr>
          <w:rFonts w:hint="eastAsia" w:ascii="宋体" w:hAnsi="宋体"/>
          <w:b w:val="0"/>
          <w:bCs w:val="0"/>
          <w:color w:val="auto"/>
          <w:highlight w:val="none"/>
          <w:lang w:eastAsia="zh-CN"/>
        </w:rPr>
        <w:t>（</w:t>
      </w:r>
      <w:r>
        <w:rPr>
          <w:rFonts w:hint="eastAsia" w:ascii="宋体" w:hAnsi="宋体"/>
          <w:b w:val="0"/>
          <w:bCs w:val="0"/>
          <w:color w:val="auto"/>
          <w:highlight w:val="none"/>
          <w:lang w:val="en-US" w:eastAsia="zh-CN"/>
        </w:rPr>
        <w:t>二</w:t>
      </w:r>
      <w:r>
        <w:rPr>
          <w:rFonts w:hint="eastAsia" w:ascii="宋体" w:hAnsi="宋体"/>
          <w:b w:val="0"/>
          <w:bCs w:val="0"/>
          <w:color w:val="auto"/>
          <w:highlight w:val="none"/>
          <w:lang w:eastAsia="zh-CN"/>
        </w:rPr>
        <w:t>）</w:t>
      </w:r>
      <w:r>
        <w:rPr>
          <w:rFonts w:hint="eastAsia" w:ascii="宋体" w:hAnsi="宋体"/>
          <w:snapToGrid w:val="0"/>
          <w:color w:val="auto"/>
          <w:highlight w:val="none"/>
          <w:lang w:val="en-US" w:eastAsia="zh-CN"/>
        </w:rPr>
        <w:t>生产厂家资格声明</w:t>
      </w:r>
      <w:bookmarkEnd w:id="886"/>
      <w:bookmarkEnd w:id="887"/>
    </w:p>
    <w:p>
      <w:pPr>
        <w:spacing w:line="360" w:lineRule="auto"/>
        <w:ind w:firstLine="420" w:firstLineChars="200"/>
        <w:rPr>
          <w:rFonts w:ascii="宋体" w:hAnsi="宋体" w:eastAsia="宋体" w:cs="Times New Roman"/>
          <w:color w:val="auto"/>
          <w:kern w:val="0"/>
          <w:szCs w:val="21"/>
          <w:highlight w:val="none"/>
          <w:u w:val="single"/>
        </w:rPr>
      </w:pPr>
      <w:r>
        <w:rPr>
          <w:rFonts w:hint="eastAsia" w:ascii="宋体" w:hAnsi="宋体" w:eastAsia="宋体" w:cs="Times New Roman"/>
          <w:color w:val="auto"/>
          <w:szCs w:val="21"/>
          <w:highlight w:val="none"/>
        </w:rPr>
        <w:t>1.</w:t>
      </w:r>
      <w:r>
        <w:rPr>
          <w:rFonts w:hint="eastAsia" w:ascii="宋体" w:hAnsi="宋体" w:cs="Times New Roman"/>
          <w:color w:val="auto"/>
          <w:szCs w:val="21"/>
          <w:highlight w:val="none"/>
          <w:lang w:eastAsia="zh-CN"/>
        </w:rPr>
        <w:t>生产厂家</w:t>
      </w:r>
      <w:r>
        <w:rPr>
          <w:rFonts w:hint="eastAsia" w:ascii="宋体" w:hAnsi="宋体" w:eastAsia="宋体" w:cs="Times New Roman"/>
          <w:color w:val="auto"/>
          <w:szCs w:val="21"/>
          <w:highlight w:val="none"/>
        </w:rPr>
        <w:t>基本情况</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cs="Times New Roman"/>
          <w:color w:val="auto"/>
          <w:szCs w:val="21"/>
          <w:highlight w:val="none"/>
          <w:lang w:eastAsia="zh-CN"/>
        </w:rPr>
        <w:t>生产厂家</w:t>
      </w:r>
      <w:r>
        <w:rPr>
          <w:rFonts w:hint="eastAsia" w:ascii="宋体" w:hAnsi="宋体" w:eastAsia="宋体" w:cs="Times New Roman"/>
          <w:color w:val="auto"/>
          <w:szCs w:val="21"/>
          <w:highlight w:val="none"/>
        </w:rPr>
        <w:t>名称：</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cs="Times New Roman"/>
          <w:color w:val="auto"/>
          <w:szCs w:val="21"/>
          <w:highlight w:val="none"/>
          <w:lang w:eastAsia="zh-CN"/>
        </w:rPr>
        <w:t>生产厂家</w:t>
      </w:r>
      <w:r>
        <w:rPr>
          <w:rFonts w:hint="eastAsia" w:ascii="宋体" w:hAnsi="宋体" w:eastAsia="宋体" w:cs="Times New Roman"/>
          <w:color w:val="auto"/>
          <w:szCs w:val="21"/>
          <w:highlight w:val="none"/>
        </w:rPr>
        <w:t>地址：</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成立和/或注册日期：</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注册资金：</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近期资产负债表（从</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年</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月至</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年</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月止 ）</w:t>
      </w:r>
    </w:p>
    <w:p>
      <w:pPr>
        <w:numPr>
          <w:ilvl w:val="-1"/>
          <w:numId w:val="0"/>
        </w:numPr>
        <w:autoSpaceDE w:val="0"/>
        <w:autoSpaceDN w:val="0"/>
        <w:spacing w:line="360" w:lineRule="auto"/>
        <w:ind w:firstLine="420" w:firstLineChars="200"/>
        <w:jc w:val="both"/>
        <w:rPr>
          <w:rFonts w:ascii="宋体" w:hAnsi="宋体" w:eastAsia="宋体" w:cs="Times New Roman"/>
          <w:color w:val="auto"/>
          <w:szCs w:val="21"/>
          <w:highlight w:val="none"/>
          <w:u w:val="single"/>
        </w:rPr>
      </w:pPr>
      <w:r>
        <w:rPr>
          <w:rFonts w:hint="eastAsia" w:ascii="宋体" w:hAnsi="宋体" w:eastAsia="宋体" w:cs="Times New Roman"/>
          <w:color w:val="auto"/>
          <w:kern w:val="0"/>
          <w:szCs w:val="21"/>
          <w:highlight w:val="none"/>
          <w:lang w:val="en-US" w:eastAsia="zh-CN"/>
        </w:rPr>
        <w:t>a.</w:t>
      </w:r>
      <w:r>
        <w:rPr>
          <w:rFonts w:hint="eastAsia" w:ascii="宋体" w:hAnsi="宋体" w:eastAsia="宋体" w:cs="Times New Roman"/>
          <w:color w:val="auto"/>
          <w:kern w:val="0"/>
          <w:szCs w:val="21"/>
          <w:highlight w:val="none"/>
        </w:rPr>
        <w:t>固定资产</w:t>
      </w:r>
      <w:r>
        <w:rPr>
          <w:rFonts w:hint="eastAsia" w:ascii="宋体" w:hAnsi="宋体" w:eastAsia="宋体" w:cs="Times New Roman"/>
          <w:color w:val="auto"/>
          <w:szCs w:val="21"/>
          <w:highlight w:val="none"/>
        </w:rPr>
        <w:t>：</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numPr>
          <w:ilvl w:val="-1"/>
          <w:numId w:val="0"/>
        </w:numPr>
        <w:autoSpaceDE w:val="0"/>
        <w:autoSpaceDN w:val="0"/>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kern w:val="0"/>
          <w:szCs w:val="21"/>
          <w:highlight w:val="none"/>
          <w:lang w:val="en-US" w:eastAsia="zh-CN"/>
        </w:rPr>
        <w:t>b.</w:t>
      </w:r>
      <w:r>
        <w:rPr>
          <w:rFonts w:hint="eastAsia" w:ascii="宋体" w:hAnsi="宋体" w:eastAsia="宋体" w:cs="Times New Roman"/>
          <w:color w:val="auto"/>
          <w:kern w:val="0"/>
          <w:szCs w:val="21"/>
          <w:highlight w:val="none"/>
        </w:rPr>
        <w:t>流动资产：</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spacing w:line="360" w:lineRule="auto"/>
        <w:ind w:firstLine="420" w:firstLineChars="200"/>
        <w:jc w:val="both"/>
        <w:rPr>
          <w:rFonts w:ascii="宋体" w:hAnsi="宋体" w:eastAsia="宋体" w:cs="Times New Roman"/>
          <w:color w:val="auto"/>
          <w:szCs w:val="21"/>
          <w:highlight w:val="none"/>
        </w:rPr>
      </w:pPr>
      <w:r>
        <w:rPr>
          <w:rFonts w:hint="eastAsia" w:ascii="宋体" w:hAnsi="宋体" w:eastAsia="宋体" w:cs="Times New Roman"/>
          <w:color w:val="auto"/>
          <w:kern w:val="0"/>
          <w:szCs w:val="21"/>
          <w:highlight w:val="none"/>
        </w:rPr>
        <w:t>c.资产负债率：</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2.</w:t>
      </w:r>
      <w:r>
        <w:rPr>
          <w:rFonts w:hint="eastAsia" w:ascii="宋体" w:hAnsi="宋体" w:cs="Times New Roman"/>
          <w:color w:val="auto"/>
          <w:kern w:val="0"/>
          <w:szCs w:val="21"/>
          <w:highlight w:val="none"/>
          <w:lang w:eastAsia="zh-CN"/>
        </w:rPr>
        <w:t>生产厂家</w:t>
      </w:r>
      <w:r>
        <w:rPr>
          <w:rFonts w:hint="eastAsia" w:ascii="宋体" w:hAnsi="宋体" w:eastAsia="宋体" w:cs="Times New Roman"/>
          <w:color w:val="auto"/>
          <w:kern w:val="0"/>
          <w:szCs w:val="21"/>
          <w:highlight w:val="none"/>
        </w:rPr>
        <w:t>生产经营情况</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（1）近 3 年的年营业额：</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（2）投标产品年生产能力：</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（3）投标产品年销售业绩：</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a.主要客户名称：</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b.主要客户联系方式：</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c.合同名称及合同号：</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3.投标人近三年是否受到司法机关或行政机关处罚：</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Cs w:val="21"/>
          <w:highlight w:val="none"/>
        </w:rPr>
        <w:t>。</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兹证明上述声明是真实、正确的，并提供了全部能提供的资料和数据，我们同意遵照贵方要求出示有关证明文件。</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p>
    <w:p>
      <w:pPr>
        <w:pStyle w:val="2"/>
        <w:rPr>
          <w:color w:val="auto"/>
          <w:highlight w:val="none"/>
        </w:rPr>
      </w:pP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盖单位公章：</w:t>
      </w:r>
      <w:r>
        <w:rPr>
          <w:rFonts w:hint="eastAsia" w:ascii="宋体" w:hAnsi="宋体" w:eastAsia="宋体" w:cs="Times New Roman"/>
          <w:color w:val="auto"/>
          <w:szCs w:val="21"/>
          <w:highlight w:val="none"/>
          <w:u w:val="single"/>
        </w:rPr>
        <w:t xml:space="preserve">                                      </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宋体"/>
          <w:color w:val="auto"/>
          <w:szCs w:val="21"/>
          <w:highlight w:val="none"/>
        </w:rPr>
        <w:t>法定代表人或授权委托人（签字）：</w:t>
      </w:r>
      <w:r>
        <w:rPr>
          <w:rFonts w:hint="eastAsia" w:ascii="宋体" w:hAnsi="宋体" w:eastAsia="宋体" w:cs="Times New Roman"/>
          <w:color w:val="auto"/>
          <w:szCs w:val="21"/>
          <w:highlight w:val="none"/>
          <w:u w:val="single"/>
        </w:rPr>
        <w:t xml:space="preserve">                  </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传       真 ：</w:t>
      </w:r>
      <w:r>
        <w:rPr>
          <w:rFonts w:hint="eastAsia" w:ascii="宋体" w:hAnsi="宋体" w:eastAsia="宋体" w:cs="Times New Roman"/>
          <w:color w:val="auto"/>
          <w:szCs w:val="21"/>
          <w:highlight w:val="none"/>
          <w:u w:val="single"/>
        </w:rPr>
        <w:t xml:space="preserve">                                    </w:t>
      </w:r>
    </w:p>
    <w:p>
      <w:pPr>
        <w:autoSpaceDE w:val="0"/>
        <w:autoSpaceDN w:val="0"/>
        <w:adjustRightInd w:val="0"/>
        <w:spacing w:line="360" w:lineRule="auto"/>
        <w:ind w:firstLine="420" w:firstLineChars="200"/>
        <w:jc w:val="both"/>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电       话：</w:t>
      </w:r>
      <w:r>
        <w:rPr>
          <w:rFonts w:hint="eastAsia" w:ascii="宋体" w:hAnsi="宋体" w:eastAsia="宋体" w:cs="Times New Roman"/>
          <w:color w:val="auto"/>
          <w:szCs w:val="21"/>
          <w:highlight w:val="none"/>
          <w:u w:val="single"/>
        </w:rPr>
        <w:t xml:space="preserve">                                     </w:t>
      </w:r>
    </w:p>
    <w:p>
      <w:pPr>
        <w:spacing w:line="360" w:lineRule="auto"/>
        <w:ind w:firstLine="420" w:firstLineChars="200"/>
        <w:rPr>
          <w:rFonts w:ascii="宋体" w:hAnsi="宋体" w:eastAsia="宋体" w:cs="Times New Roman"/>
          <w:color w:val="auto"/>
          <w:kern w:val="0"/>
          <w:szCs w:val="21"/>
          <w:highlight w:val="none"/>
        </w:rPr>
      </w:pPr>
      <w:r>
        <w:rPr>
          <w:rFonts w:hint="eastAsia" w:ascii="宋体" w:hAnsi="宋体" w:eastAsia="宋体" w:cs="Times New Roman"/>
          <w:color w:val="auto"/>
          <w:kern w:val="0"/>
          <w:szCs w:val="21"/>
          <w:highlight w:val="none"/>
        </w:rPr>
        <w:t>电 子 邮 件：</w:t>
      </w:r>
      <w:r>
        <w:rPr>
          <w:rFonts w:hint="eastAsia" w:ascii="宋体" w:hAnsi="宋体" w:eastAsia="宋体" w:cs="Times New Roman"/>
          <w:color w:val="auto"/>
          <w:szCs w:val="21"/>
          <w:highlight w:val="none"/>
          <w:u w:val="single"/>
        </w:rPr>
        <w:t xml:space="preserve">                                     </w:t>
      </w:r>
    </w:p>
    <w:p>
      <w:pPr>
        <w:spacing w:line="360" w:lineRule="auto"/>
        <w:ind w:firstLine="420" w:firstLineChars="200"/>
        <w:rPr>
          <w:rFonts w:hint="eastAsia"/>
          <w:color w:val="auto"/>
          <w:highlight w:val="none"/>
          <w:lang w:eastAsia="zh-CN"/>
        </w:rPr>
      </w:pPr>
      <w:r>
        <w:rPr>
          <w:rFonts w:hint="eastAsia" w:ascii="宋体" w:hAnsi="宋体" w:eastAsia="宋体" w:cs="Times New Roman"/>
          <w:color w:val="auto"/>
          <w:kern w:val="0"/>
          <w:szCs w:val="21"/>
          <w:highlight w:val="none"/>
        </w:rPr>
        <w:t>签 字 日 期：</w:t>
      </w:r>
      <w:r>
        <w:rPr>
          <w:rFonts w:hint="eastAsia" w:ascii="宋体" w:hAnsi="宋体" w:eastAsia="宋体" w:cs="Times New Roman"/>
          <w:color w:val="auto"/>
          <w:szCs w:val="21"/>
          <w:highlight w:val="none"/>
          <w:u w:val="single"/>
        </w:rPr>
        <w:t xml:space="preserve">                                  </w:t>
      </w:r>
      <w:r>
        <w:rPr>
          <w:rFonts w:hint="eastAsia" w:ascii="宋体" w:hAnsi="宋体" w:eastAsia="宋体" w:cs="Times New Roman"/>
          <w:color w:val="auto"/>
          <w:sz w:val="24"/>
          <w:szCs w:val="24"/>
          <w:highlight w:val="none"/>
          <w:u w:val="single"/>
        </w:rPr>
        <w:t xml:space="preserve">   </w:t>
      </w:r>
    </w:p>
    <w:p>
      <w:pPr>
        <w:rPr>
          <w:rFonts w:hint="eastAsia"/>
          <w:color w:val="auto"/>
          <w:highlight w:val="none"/>
          <w:lang w:eastAsia="zh-CN"/>
        </w:rPr>
      </w:pPr>
      <w:r>
        <w:rPr>
          <w:rFonts w:hint="eastAsia"/>
          <w:color w:val="auto"/>
          <w:highlight w:val="none"/>
          <w:lang w:eastAsia="zh-CN"/>
        </w:rPr>
        <w:br w:type="page"/>
      </w:r>
    </w:p>
    <w:p/>
    <w:p>
      <w:pPr>
        <w:pStyle w:val="4"/>
        <w:numPr>
          <w:ilvl w:val="0"/>
          <w:numId w:val="12"/>
        </w:numPr>
        <w:spacing w:before="0" w:after="0" w:line="360" w:lineRule="auto"/>
        <w:jc w:val="center"/>
        <w:rPr>
          <w:rFonts w:ascii="宋体" w:hAnsi="宋体" w:eastAsia="宋体" w:cs="宋体"/>
          <w:sz w:val="28"/>
        </w:rPr>
      </w:pPr>
      <w:bookmarkStart w:id="889" w:name="_Toc7055"/>
      <w:r>
        <w:rPr>
          <w:rFonts w:hint="eastAsia" w:ascii="宋体" w:hAnsi="宋体" w:eastAsia="宋体" w:cs="宋体"/>
          <w:sz w:val="28"/>
        </w:rPr>
        <w:t>报价人承诺</w:t>
      </w:r>
      <w:bookmarkEnd w:id="888"/>
      <w:bookmarkEnd w:id="889"/>
    </w:p>
    <w:p>
      <w:pPr>
        <w:pStyle w:val="2"/>
      </w:pPr>
    </w:p>
    <w:p>
      <w:pPr>
        <w:pStyle w:val="38"/>
        <w:spacing w:line="480" w:lineRule="auto"/>
        <w:jc w:val="both"/>
        <w:rPr>
          <w:rFonts w:hAnsi="宋体"/>
        </w:rPr>
      </w:pPr>
      <w:r>
        <w:rPr>
          <w:rFonts w:hint="eastAsia" w:hAnsi="宋体"/>
        </w:rPr>
        <w:t>致：</w:t>
      </w:r>
      <w:r>
        <w:rPr>
          <w:rFonts w:hint="eastAsia" w:hAnsi="宋体"/>
          <w:u w:val="single"/>
        </w:rPr>
        <w:t>重庆首讯科技股份有限公司</w:t>
      </w:r>
    </w:p>
    <w:p/>
    <w:p>
      <w:pPr>
        <w:tabs>
          <w:tab w:val="left" w:pos="1680"/>
          <w:tab w:val="left" w:pos="4215"/>
          <w:tab w:val="left" w:pos="4305"/>
          <w:tab w:val="left" w:pos="8000"/>
        </w:tabs>
        <w:autoSpaceDE w:val="0"/>
        <w:autoSpaceDN w:val="0"/>
        <w:adjustRightInd w:val="0"/>
        <w:snapToGrid w:val="0"/>
        <w:spacing w:line="480" w:lineRule="auto"/>
        <w:ind w:firstLine="720" w:firstLineChars="300"/>
        <w:rPr>
          <w:rFonts w:hint="default" w:ascii="宋体" w:hAnsi="宋体"/>
          <w:color w:val="000000"/>
          <w:sz w:val="24"/>
          <w:lang w:val="en-US" w:eastAsia="zh-CN"/>
        </w:rPr>
      </w:pPr>
      <w:r>
        <w:rPr>
          <w:rFonts w:hint="eastAsia" w:ascii="宋体" w:hAnsi="宋体"/>
          <w:color w:val="000000"/>
          <w:sz w:val="24"/>
        </w:rPr>
        <w:t>在研究XXXX   项目竞争比选文件后，在此郑重承诺我司满足本项目一切报价内容、报价、</w:t>
      </w:r>
      <w:r>
        <w:rPr>
          <w:rFonts w:hint="eastAsia" w:ascii="宋体" w:hAnsi="宋体"/>
          <w:color w:val="000000"/>
          <w:sz w:val="24"/>
          <w:lang w:val="en-US" w:eastAsia="zh-CN"/>
        </w:rPr>
        <w:t>供货期限</w:t>
      </w:r>
      <w:r>
        <w:rPr>
          <w:rFonts w:hint="eastAsia" w:ascii="宋体" w:hAnsi="宋体"/>
          <w:color w:val="000000"/>
          <w:sz w:val="24"/>
        </w:rPr>
        <w:t>及质量标准等相关要求</w:t>
      </w:r>
      <w:r>
        <w:rPr>
          <w:rFonts w:hint="eastAsia" w:ascii="宋体" w:hAnsi="宋体"/>
          <w:color w:val="000000"/>
          <w:sz w:val="24"/>
          <w:lang w:eastAsia="zh-CN"/>
        </w:rPr>
        <w:t>，</w:t>
      </w:r>
      <w:r>
        <w:rPr>
          <w:rFonts w:hint="eastAsia" w:ascii="宋体" w:hAnsi="宋体"/>
          <w:color w:val="000000"/>
          <w:sz w:val="24"/>
          <w:lang w:val="en-US" w:eastAsia="zh-CN"/>
        </w:rPr>
        <w:t>并接受以下要求：</w:t>
      </w:r>
    </w:p>
    <w:p>
      <w:pPr>
        <w:tabs>
          <w:tab w:val="left" w:pos="1680"/>
          <w:tab w:val="left" w:pos="4215"/>
          <w:tab w:val="left" w:pos="4305"/>
          <w:tab w:val="left" w:pos="8000"/>
        </w:tabs>
        <w:autoSpaceDE w:val="0"/>
        <w:autoSpaceDN w:val="0"/>
        <w:adjustRightInd w:val="0"/>
        <w:snapToGrid w:val="0"/>
        <w:spacing w:line="480" w:lineRule="auto"/>
        <w:ind w:firstLine="720" w:firstLineChars="300"/>
        <w:rPr>
          <w:rFonts w:hint="eastAsia" w:ascii="宋体" w:hAnsi="宋体"/>
          <w:color w:val="000000"/>
          <w:sz w:val="24"/>
          <w:lang w:val="en-US" w:eastAsia="zh-CN"/>
        </w:rPr>
      </w:pPr>
      <w:r>
        <w:rPr>
          <w:rFonts w:hint="eastAsia" w:ascii="宋体" w:hAnsi="宋体"/>
          <w:color w:val="000000"/>
          <w:sz w:val="24"/>
          <w:lang w:val="en-US" w:eastAsia="zh-CN"/>
        </w:rPr>
        <w:t>若提供外观上（1）若聚氨酯管箱表面粗糙、不平整光滑，色泽不均匀，或者表面有内起皱、 裂纹、 颗粒、 流胶、 树脂剥落、 纤维裸露和表面发黏等任一缺陷的情况或者一节箱体表面的气泡累积面积大于100mm2/m2或者单个最大气泡面积大于 15mm2的情况，电缆支架表面粗糙、不平整光滑，色泽不均匀，或者表面有内起皱、 裂纹、分成、纤维裸露等任一缺陷的情况的产品；接受采购人对该批次货物做退货处理，接受被扣除供货人部分履约担保。如对此有异议，则当场共同取样送第三方检测机构进行检测，若检测结果不合格，接受需承担检测费用并赔偿采购人工期损失。</w:t>
      </w:r>
    </w:p>
    <w:p>
      <w:pPr>
        <w:tabs>
          <w:tab w:val="left" w:pos="1680"/>
          <w:tab w:val="left" w:pos="4215"/>
          <w:tab w:val="left" w:pos="4305"/>
          <w:tab w:val="left" w:pos="8000"/>
        </w:tabs>
        <w:autoSpaceDE w:val="0"/>
        <w:autoSpaceDN w:val="0"/>
        <w:adjustRightInd w:val="0"/>
        <w:snapToGrid w:val="0"/>
        <w:spacing w:line="480" w:lineRule="auto"/>
        <w:ind w:firstLine="720" w:firstLineChars="300"/>
        <w:rPr>
          <w:rFonts w:ascii="宋体" w:hAnsi="宋体"/>
          <w:color w:val="000000"/>
          <w:sz w:val="24"/>
        </w:rPr>
      </w:pPr>
      <w:r>
        <w:rPr>
          <w:rFonts w:hint="eastAsia" w:ascii="宋体" w:hAnsi="宋体"/>
          <w:color w:val="000000"/>
          <w:sz w:val="24"/>
          <w:lang w:val="en-US" w:eastAsia="zh-CN"/>
        </w:rPr>
        <w:t>（2）采购人将随机抽取任意批到场材料，送第三方检测机构检测，若检测结果不满足图纸明确的技术要求，接受承担检测费用，接受被扣除供货人履约部分担保，接受赔偿采购人工期损失，若不合格产品已施工，若不合格产品已施工，接受赔偿损失（损失费用为拆除不合格产品费用以及重新施费用、工期损失等）。</w:t>
      </w:r>
    </w:p>
    <w:p>
      <w:pPr>
        <w:spacing w:line="480" w:lineRule="auto"/>
        <w:rPr>
          <w:rFonts w:ascii="宋体" w:hAnsi="宋体"/>
          <w:color w:val="000000"/>
          <w:sz w:val="24"/>
        </w:rPr>
      </w:pPr>
      <w:r>
        <w:rPr>
          <w:rFonts w:hint="eastAsia" w:ascii="宋体" w:hAnsi="宋体"/>
          <w:color w:val="000000"/>
          <w:sz w:val="24"/>
        </w:rPr>
        <w:t xml:space="preserve">                                        承诺人：XX公司</w:t>
      </w:r>
    </w:p>
    <w:p>
      <w:pPr>
        <w:pStyle w:val="2"/>
        <w:spacing w:line="480" w:lineRule="auto"/>
      </w:pPr>
      <w:r>
        <w:rPr>
          <w:rFonts w:hint="eastAsia" w:ascii="宋体" w:hAnsi="宋体"/>
          <w:color w:val="000000"/>
          <w:sz w:val="24"/>
        </w:rPr>
        <w:t xml:space="preserve">                                        日期：</w:t>
      </w:r>
    </w:p>
    <w:p>
      <w:pPr>
        <w:pStyle w:val="2"/>
        <w:rPr>
          <w:rFonts w:ascii="宋体" w:hAnsi="宋体"/>
          <w:color w:val="000000"/>
          <w:sz w:val="24"/>
        </w:rPr>
      </w:pPr>
    </w:p>
    <w:p>
      <w:pPr>
        <w:rPr>
          <w:rFonts w:ascii="宋体" w:hAnsi="宋体"/>
          <w:color w:val="000000"/>
          <w:sz w:val="24"/>
        </w:rPr>
      </w:pPr>
    </w:p>
    <w:p>
      <w:pPr>
        <w:pStyle w:val="42"/>
      </w:pPr>
    </w:p>
    <w:p>
      <w:pPr>
        <w:pStyle w:val="4"/>
        <w:numPr>
          <w:ilvl w:val="0"/>
          <w:numId w:val="12"/>
        </w:numPr>
        <w:spacing w:before="0" w:after="0" w:line="360" w:lineRule="auto"/>
        <w:jc w:val="center"/>
        <w:rPr>
          <w:rFonts w:ascii="宋体" w:hAnsi="宋体" w:eastAsia="宋体" w:cs="宋体"/>
          <w:sz w:val="28"/>
        </w:rPr>
      </w:pPr>
      <w:bookmarkStart w:id="890" w:name="_Toc6695"/>
      <w:r>
        <w:rPr>
          <w:rFonts w:hint="eastAsia" w:ascii="宋体" w:hAnsi="宋体" w:eastAsia="宋体" w:cs="宋体"/>
          <w:sz w:val="28"/>
        </w:rPr>
        <w:t>报价人提供的其他资料（如有）</w:t>
      </w:r>
      <w:bookmarkEnd w:id="890"/>
    </w:p>
    <w:p>
      <w:pPr>
        <w:pStyle w:val="2"/>
        <w:rPr>
          <w:rFonts w:ascii="宋体" w:hAnsi="宋体"/>
          <w:color w:val="000000"/>
          <w:sz w:val="24"/>
        </w:rPr>
      </w:pPr>
    </w:p>
    <w:p>
      <w:pPr>
        <w:rPr>
          <w:rFonts w:ascii="宋体" w:hAnsi="宋体"/>
          <w:color w:val="000000"/>
          <w:sz w:val="24"/>
        </w:rPr>
      </w:pPr>
    </w:p>
    <w:p>
      <w:pPr>
        <w:pStyle w:val="2"/>
        <w:rPr>
          <w:rFonts w:ascii="宋体" w:hAnsi="宋体"/>
          <w:color w:val="000000"/>
          <w:sz w:val="24"/>
        </w:rPr>
      </w:pPr>
    </w:p>
    <w:p>
      <w:pPr>
        <w:rPr>
          <w:rFonts w:ascii="宋体" w:hAnsi="宋体"/>
          <w:color w:val="000000"/>
          <w:sz w:val="24"/>
        </w:rPr>
      </w:pPr>
    </w:p>
    <w:bookmarkEnd w:id="882"/>
    <w:bookmarkEnd w:id="883"/>
    <w:p/>
    <w:sectPr>
      <w:pgSz w:w="11906" w:h="16838"/>
      <w:pgMar w:top="1440" w:right="1576" w:bottom="1440" w:left="1463" w:header="851" w:footer="992" w:gutter="0"/>
      <w:cols w:space="0" w:num="1"/>
      <w:titlePg/>
      <w:docGrid w:type="lines" w:linePitch="32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B3EC9BAC-730D-420E-A70C-62F4C3D7CD88}"/>
  </w:font>
  <w:font w:name="黑体">
    <w:panose1 w:val="02010609060101010101"/>
    <w:charset w:val="86"/>
    <w:family w:val="auto"/>
    <w:pitch w:val="default"/>
    <w:sig w:usb0="800002BF" w:usb1="38CF7CFA" w:usb2="00000016" w:usb3="00000000" w:csb0="00040001" w:csb1="00000000"/>
    <w:embedRegular r:id="rId2" w:fontKey="{8298075B-56F8-4C5C-8B5A-D70FB2EE90B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3" w:fontKey="{7061ADCD-A5EC-4FC4-97FB-510E5092CF72}"/>
  </w:font>
  <w:font w:name="方正黑体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embedRegular r:id="rId4" w:fontKey="{6FD6E671-5C9C-4B6D-B094-0111DBFE99FF}"/>
  </w:font>
  <w:font w:name="仿宋">
    <w:panose1 w:val="02010609060101010101"/>
    <w:charset w:val="86"/>
    <w:family w:val="auto"/>
    <w:pitch w:val="default"/>
    <w:sig w:usb0="800002BF" w:usb1="38CF7CFA" w:usb2="00000016" w:usb3="00000000" w:csb0="00040001" w:csb1="00000000"/>
    <w:embedRegular r:id="rId5" w:fontKey="{4B36FE01-DE99-4F6D-8001-9528117CE3BB}"/>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embedRegular r:id="rId6" w:fontKey="{D0866F6B-112C-47A0-9DA2-7D05501BEEDE}"/>
  </w:font>
  <w:font w:name="P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83" w:usb1="288F0000" w:usb2="0000000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仿宋_GBK">
    <w:panose1 w:val="03000509000000000000"/>
    <w:charset w:val="86"/>
    <w:family w:val="script"/>
    <w:pitch w:val="default"/>
    <w:sig w:usb0="00000001" w:usb1="080E0000" w:usb2="00000000" w:usb3="00000000" w:csb0="00040000" w:csb1="00000000"/>
    <w:embedRegular r:id="rId7" w:fontKey="{D9B5A6E6-D0A6-48BF-A9F0-77EED680D242}"/>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p>
  <w:p>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47"/>
      </w:rPr>
    </w:pPr>
    <w:r>
      <w:fldChar w:fldCharType="begin"/>
    </w:r>
    <w:r>
      <w:rPr>
        <w:rStyle w:val="47"/>
      </w:rPr>
      <w:instrText xml:space="preserve">PAGE  </w:instrText>
    </w:r>
    <w:r>
      <w:fldChar w:fldCharType="end"/>
    </w:r>
  </w:p>
  <w:p>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79</w:t>
    </w:r>
    <w:r>
      <w:fldChar w:fldCharType="end"/>
    </w:r>
  </w:p>
  <w:p>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6</w:t>
    </w:r>
    <w:r>
      <w:fldChar w:fldCharType="end"/>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78</w:t>
    </w:r>
    <w:r>
      <w:fldChar w:fldCharType="end"/>
    </w:r>
  </w:p>
  <w:p>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78</w:t>
    </w:r>
    <w:r>
      <w:fldChar w:fldCharType="end"/>
    </w:r>
  </w:p>
  <w:p>
    <w:pPr>
      <w:pStyle w:val="26"/>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Style w:val="47"/>
                            </w:rPr>
                          </w:pPr>
                          <w:r>
                            <w:fldChar w:fldCharType="begin"/>
                          </w:r>
                          <w:r>
                            <w:rPr>
                              <w:rStyle w:val="47"/>
                            </w:rPr>
                            <w:instrText xml:space="preserve">PAGE  </w:instrText>
                          </w:r>
                          <w:r>
                            <w:fldChar w:fldCharType="separate"/>
                          </w:r>
                          <w:r>
                            <w:rPr>
                              <w:rStyle w:val="47"/>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pPr>
                      <w:pStyle w:val="26"/>
                      <w:rPr>
                        <w:rStyle w:val="47"/>
                      </w:rPr>
                    </w:pPr>
                    <w:r>
                      <w:fldChar w:fldCharType="begin"/>
                    </w:r>
                    <w:r>
                      <w:rPr>
                        <w:rStyle w:val="47"/>
                      </w:rPr>
                      <w:instrText xml:space="preserve">PAGE  </w:instrText>
                    </w:r>
                    <w:r>
                      <w:fldChar w:fldCharType="separate"/>
                    </w:r>
                    <w:r>
                      <w:rPr>
                        <w:rStyle w:val="47"/>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9A7C9E"/>
    <w:multiLevelType w:val="singleLevel"/>
    <w:tmpl w:val="9C9A7C9E"/>
    <w:lvl w:ilvl="0" w:tentative="0">
      <w:start w:val="1"/>
      <w:numFmt w:val="decimal"/>
      <w:suff w:val="nothing"/>
      <w:lvlText w:val="（%1）"/>
      <w:lvlJc w:val="left"/>
    </w:lvl>
  </w:abstractNum>
  <w:abstractNum w:abstractNumId="1">
    <w:nsid w:val="A6FFAD4D"/>
    <w:multiLevelType w:val="singleLevel"/>
    <w:tmpl w:val="A6FFAD4D"/>
    <w:lvl w:ilvl="0" w:tentative="0">
      <w:start w:val="5"/>
      <w:numFmt w:val="decimal"/>
      <w:suff w:val="space"/>
      <w:lvlText w:val="%1."/>
      <w:lvlJc w:val="left"/>
    </w:lvl>
  </w:abstractNum>
  <w:abstractNum w:abstractNumId="2">
    <w:nsid w:val="C6DEEEE1"/>
    <w:multiLevelType w:val="singleLevel"/>
    <w:tmpl w:val="C6DEEEE1"/>
    <w:lvl w:ilvl="0" w:tentative="0">
      <w:start w:val="1"/>
      <w:numFmt w:val="chineseCounting"/>
      <w:suff w:val="nothing"/>
      <w:lvlText w:val="%1、"/>
      <w:lvlJc w:val="left"/>
      <w:pPr>
        <w:ind w:left="0" w:firstLine="420"/>
      </w:pPr>
      <w:rPr>
        <w:rFonts w:hint="eastAsia"/>
      </w:rPr>
    </w:lvl>
  </w:abstractNum>
  <w:abstractNum w:abstractNumId="3">
    <w:nsid w:val="C87D13C6"/>
    <w:multiLevelType w:val="singleLevel"/>
    <w:tmpl w:val="C87D13C6"/>
    <w:lvl w:ilvl="0" w:tentative="0">
      <w:start w:val="3"/>
      <w:numFmt w:val="chineseCounting"/>
      <w:suff w:val="space"/>
      <w:lvlText w:val="第%1章"/>
      <w:lvlJc w:val="left"/>
      <w:rPr>
        <w:rFonts w:hint="eastAsia"/>
      </w:rPr>
    </w:lvl>
  </w:abstractNum>
  <w:abstractNum w:abstractNumId="4">
    <w:nsid w:val="00000002"/>
    <w:multiLevelType w:val="singleLevel"/>
    <w:tmpl w:val="00000002"/>
    <w:lvl w:ilvl="0" w:tentative="0">
      <w:start w:val="1"/>
      <w:numFmt w:val="chineseCounting"/>
      <w:suff w:val="nothing"/>
      <w:lvlText w:val="%1、"/>
      <w:lvlJc w:val="left"/>
      <w:pPr>
        <w:ind w:left="210"/>
      </w:pPr>
    </w:lvl>
  </w:abstractNum>
  <w:abstractNum w:abstractNumId="5">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6">
    <w:nsid w:val="0AA38CF7"/>
    <w:multiLevelType w:val="singleLevel"/>
    <w:tmpl w:val="0AA38CF7"/>
    <w:lvl w:ilvl="0" w:tentative="0">
      <w:start w:val="2"/>
      <w:numFmt w:val="decimal"/>
      <w:lvlText w:val="%1."/>
      <w:lvlJc w:val="left"/>
      <w:pPr>
        <w:tabs>
          <w:tab w:val="left" w:pos="312"/>
        </w:tabs>
        <w:ind w:left="735" w:firstLine="0"/>
      </w:pPr>
    </w:lvl>
  </w:abstractNum>
  <w:abstractNum w:abstractNumId="7">
    <w:nsid w:val="2577B2F8"/>
    <w:multiLevelType w:val="singleLevel"/>
    <w:tmpl w:val="2577B2F8"/>
    <w:lvl w:ilvl="0" w:tentative="0">
      <w:start w:val="3"/>
      <w:numFmt w:val="chineseCounting"/>
      <w:suff w:val="nothing"/>
      <w:lvlText w:val="%1、"/>
      <w:lvlJc w:val="left"/>
      <w:rPr>
        <w:rFonts w:hint="eastAsia"/>
      </w:rPr>
    </w:lvl>
  </w:abstractNum>
  <w:abstractNum w:abstractNumId="8">
    <w:nsid w:val="265B2D53"/>
    <w:multiLevelType w:val="singleLevel"/>
    <w:tmpl w:val="265B2D53"/>
    <w:lvl w:ilvl="0" w:tentative="0">
      <w:start w:val="1"/>
      <w:numFmt w:val="chineseCounting"/>
      <w:suff w:val="nothing"/>
      <w:lvlText w:val="（%1）"/>
      <w:lvlJc w:val="left"/>
      <w:rPr>
        <w:rFonts w:hint="eastAsia"/>
      </w:rPr>
    </w:lvl>
  </w:abstractNum>
  <w:abstractNum w:abstractNumId="9">
    <w:nsid w:val="33EF4B28"/>
    <w:multiLevelType w:val="singleLevel"/>
    <w:tmpl w:val="33EF4B28"/>
    <w:lvl w:ilvl="0" w:tentative="0">
      <w:start w:val="1"/>
      <w:numFmt w:val="chineseCounting"/>
      <w:suff w:val="nothing"/>
      <w:lvlText w:val="%1、"/>
      <w:lvlJc w:val="left"/>
      <w:rPr>
        <w:rFonts w:hint="eastAsia"/>
      </w:rPr>
    </w:lvl>
  </w:abstractNum>
  <w:abstractNum w:abstractNumId="10">
    <w:nsid w:val="3871CE1D"/>
    <w:multiLevelType w:val="singleLevel"/>
    <w:tmpl w:val="3871CE1D"/>
    <w:lvl w:ilvl="0" w:tentative="0">
      <w:start w:val="1"/>
      <w:numFmt w:val="chineseCounting"/>
      <w:suff w:val="nothing"/>
      <w:lvlText w:val="%1、"/>
      <w:lvlJc w:val="left"/>
      <w:rPr>
        <w:rFonts w:hint="eastAsia"/>
      </w:rPr>
    </w:lvl>
  </w:abstractNum>
  <w:abstractNum w:abstractNumId="11">
    <w:nsid w:val="4E1B043A"/>
    <w:multiLevelType w:val="singleLevel"/>
    <w:tmpl w:val="4E1B043A"/>
    <w:lvl w:ilvl="0" w:tentative="0">
      <w:start w:val="9"/>
      <w:numFmt w:val="chineseCounting"/>
      <w:suff w:val="space"/>
      <w:lvlText w:val="第%1章"/>
      <w:lvlJc w:val="left"/>
      <w:rPr>
        <w:rFonts w:hint="eastAsia"/>
      </w:rPr>
    </w:lvl>
  </w:abstractNum>
  <w:abstractNum w:abstractNumId="12">
    <w:nsid w:val="55881596"/>
    <w:multiLevelType w:val="singleLevel"/>
    <w:tmpl w:val="55881596"/>
    <w:lvl w:ilvl="0" w:tentative="0">
      <w:start w:val="1"/>
      <w:numFmt w:val="decimal"/>
      <w:suff w:val="nothing"/>
      <w:lvlText w:val="（%1）"/>
      <w:lvlJc w:val="left"/>
    </w:lvl>
  </w:abstractNum>
  <w:num w:numId="1">
    <w:abstractNumId w:val="5"/>
  </w:num>
  <w:num w:numId="2">
    <w:abstractNumId w:val="1"/>
  </w:num>
  <w:num w:numId="3">
    <w:abstractNumId w:val="12"/>
  </w:num>
  <w:num w:numId="4">
    <w:abstractNumId w:val="6"/>
  </w:num>
  <w:num w:numId="5">
    <w:abstractNumId w:val="3"/>
  </w:num>
  <w:num w:numId="6">
    <w:abstractNumId w:val="0"/>
  </w:num>
  <w:num w:numId="7">
    <w:abstractNumId w:val="11"/>
  </w:num>
  <w:num w:numId="8">
    <w:abstractNumId w:val="9"/>
  </w:num>
  <w:num w:numId="9">
    <w:abstractNumId w:val="7"/>
  </w:num>
  <w:num w:numId="10">
    <w:abstractNumId w:val="4"/>
  </w:num>
  <w:num w:numId="11">
    <w:abstractNumId w:val="10"/>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0"/>
  <w:drawingGridVerticalSpacing w:val="16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hjYmZhZDM3NGJmNGU0ZTQ0ZTdlMzcxNDk2MGJhMjA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15C6"/>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3B3C"/>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67CF"/>
    <w:rsid w:val="003B2CF6"/>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92555"/>
    <w:rsid w:val="00493C71"/>
    <w:rsid w:val="00494844"/>
    <w:rsid w:val="00496C67"/>
    <w:rsid w:val="004A0154"/>
    <w:rsid w:val="004A15BA"/>
    <w:rsid w:val="004A1630"/>
    <w:rsid w:val="004A16CA"/>
    <w:rsid w:val="004A19AC"/>
    <w:rsid w:val="004A209F"/>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E7BA7"/>
    <w:rsid w:val="004F05BD"/>
    <w:rsid w:val="004F5845"/>
    <w:rsid w:val="004F7236"/>
    <w:rsid w:val="005016AD"/>
    <w:rsid w:val="00501C58"/>
    <w:rsid w:val="00502E26"/>
    <w:rsid w:val="00504EDE"/>
    <w:rsid w:val="005118BF"/>
    <w:rsid w:val="005142E6"/>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13"/>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07F2"/>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19E2"/>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07BB"/>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0B8D"/>
    <w:rsid w:val="008C301B"/>
    <w:rsid w:val="008C5B46"/>
    <w:rsid w:val="008C725C"/>
    <w:rsid w:val="008D00FA"/>
    <w:rsid w:val="008D63E7"/>
    <w:rsid w:val="008D73C7"/>
    <w:rsid w:val="008E0572"/>
    <w:rsid w:val="008E1519"/>
    <w:rsid w:val="008E287D"/>
    <w:rsid w:val="008E45A7"/>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1940"/>
    <w:rsid w:val="00B32CAE"/>
    <w:rsid w:val="00B3421D"/>
    <w:rsid w:val="00B35641"/>
    <w:rsid w:val="00B36173"/>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B2A"/>
    <w:rsid w:val="00C11F6E"/>
    <w:rsid w:val="00C13F63"/>
    <w:rsid w:val="00C15831"/>
    <w:rsid w:val="00C168B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2AE8"/>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A8609A"/>
    <w:rsid w:val="01F5332B"/>
    <w:rsid w:val="02155A13"/>
    <w:rsid w:val="02195A53"/>
    <w:rsid w:val="029D41FE"/>
    <w:rsid w:val="02A800C5"/>
    <w:rsid w:val="02C6499B"/>
    <w:rsid w:val="02C91CAA"/>
    <w:rsid w:val="037D0CD2"/>
    <w:rsid w:val="038B3366"/>
    <w:rsid w:val="03981B5E"/>
    <w:rsid w:val="03996EAD"/>
    <w:rsid w:val="03F60BFA"/>
    <w:rsid w:val="04023CC8"/>
    <w:rsid w:val="04074EC0"/>
    <w:rsid w:val="042674F4"/>
    <w:rsid w:val="042D3C13"/>
    <w:rsid w:val="04722D72"/>
    <w:rsid w:val="047A0BBC"/>
    <w:rsid w:val="04C12ED8"/>
    <w:rsid w:val="04DC5749"/>
    <w:rsid w:val="04E26FED"/>
    <w:rsid w:val="04E41F94"/>
    <w:rsid w:val="04FD6633"/>
    <w:rsid w:val="052E2B3B"/>
    <w:rsid w:val="054416D2"/>
    <w:rsid w:val="05507F0F"/>
    <w:rsid w:val="05871A0A"/>
    <w:rsid w:val="05A42E7B"/>
    <w:rsid w:val="05A70EA9"/>
    <w:rsid w:val="05D55D36"/>
    <w:rsid w:val="060C2525"/>
    <w:rsid w:val="062756FD"/>
    <w:rsid w:val="065F7A31"/>
    <w:rsid w:val="067C53E7"/>
    <w:rsid w:val="06820F5E"/>
    <w:rsid w:val="068F02DD"/>
    <w:rsid w:val="06AE2ABA"/>
    <w:rsid w:val="06C75368"/>
    <w:rsid w:val="06C75DF5"/>
    <w:rsid w:val="06DD02BB"/>
    <w:rsid w:val="06E71F51"/>
    <w:rsid w:val="06F965AD"/>
    <w:rsid w:val="07050666"/>
    <w:rsid w:val="071C4DB7"/>
    <w:rsid w:val="07362674"/>
    <w:rsid w:val="073B54B2"/>
    <w:rsid w:val="07537EF9"/>
    <w:rsid w:val="07815EE7"/>
    <w:rsid w:val="081748AE"/>
    <w:rsid w:val="08635851"/>
    <w:rsid w:val="08B62FD9"/>
    <w:rsid w:val="08C2359B"/>
    <w:rsid w:val="09030534"/>
    <w:rsid w:val="09041814"/>
    <w:rsid w:val="090B017D"/>
    <w:rsid w:val="092D7BDC"/>
    <w:rsid w:val="09332D2B"/>
    <w:rsid w:val="093E2D64"/>
    <w:rsid w:val="09472203"/>
    <w:rsid w:val="098B1DA7"/>
    <w:rsid w:val="09907951"/>
    <w:rsid w:val="099F43E4"/>
    <w:rsid w:val="09A31A61"/>
    <w:rsid w:val="09BA7A85"/>
    <w:rsid w:val="09DE1094"/>
    <w:rsid w:val="09E2475B"/>
    <w:rsid w:val="0A3F34B7"/>
    <w:rsid w:val="0A4B11BE"/>
    <w:rsid w:val="0A7B4003"/>
    <w:rsid w:val="0A8E5B8D"/>
    <w:rsid w:val="0AA240FA"/>
    <w:rsid w:val="0AAC0CBB"/>
    <w:rsid w:val="0AD84BD3"/>
    <w:rsid w:val="0AE941D3"/>
    <w:rsid w:val="0B1061C6"/>
    <w:rsid w:val="0B2B08D5"/>
    <w:rsid w:val="0BA35012"/>
    <w:rsid w:val="0BB825ED"/>
    <w:rsid w:val="0BC0647C"/>
    <w:rsid w:val="0BD7624B"/>
    <w:rsid w:val="0BF26817"/>
    <w:rsid w:val="0C22464A"/>
    <w:rsid w:val="0C2B72AE"/>
    <w:rsid w:val="0C623EAC"/>
    <w:rsid w:val="0C946488"/>
    <w:rsid w:val="0CAD24AF"/>
    <w:rsid w:val="0CB27F3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65340B"/>
    <w:rsid w:val="0E7306EC"/>
    <w:rsid w:val="0EB254B2"/>
    <w:rsid w:val="0EFB3F5D"/>
    <w:rsid w:val="0F041CC7"/>
    <w:rsid w:val="0F042317"/>
    <w:rsid w:val="0F1209F8"/>
    <w:rsid w:val="0F4C19DA"/>
    <w:rsid w:val="0F4C7D05"/>
    <w:rsid w:val="0F4F31AF"/>
    <w:rsid w:val="0F5F17BD"/>
    <w:rsid w:val="0F90531D"/>
    <w:rsid w:val="0FAD64B5"/>
    <w:rsid w:val="0FB21FD4"/>
    <w:rsid w:val="0FFF5930"/>
    <w:rsid w:val="10646943"/>
    <w:rsid w:val="10A265EF"/>
    <w:rsid w:val="10EC4A0F"/>
    <w:rsid w:val="11156FC6"/>
    <w:rsid w:val="11485B0D"/>
    <w:rsid w:val="114C7209"/>
    <w:rsid w:val="1154158B"/>
    <w:rsid w:val="117076B2"/>
    <w:rsid w:val="119E6579"/>
    <w:rsid w:val="11C97D4A"/>
    <w:rsid w:val="11CE5800"/>
    <w:rsid w:val="11D435DD"/>
    <w:rsid w:val="11DA3C43"/>
    <w:rsid w:val="1220326C"/>
    <w:rsid w:val="123A67B6"/>
    <w:rsid w:val="125670E6"/>
    <w:rsid w:val="125C6A25"/>
    <w:rsid w:val="125E1A9C"/>
    <w:rsid w:val="1276289F"/>
    <w:rsid w:val="1288522D"/>
    <w:rsid w:val="129D6A95"/>
    <w:rsid w:val="12AF4046"/>
    <w:rsid w:val="12CE506D"/>
    <w:rsid w:val="12F65490"/>
    <w:rsid w:val="12F73D2A"/>
    <w:rsid w:val="12F9698E"/>
    <w:rsid w:val="13112273"/>
    <w:rsid w:val="131C7C5D"/>
    <w:rsid w:val="13511DF6"/>
    <w:rsid w:val="138052F6"/>
    <w:rsid w:val="138B4634"/>
    <w:rsid w:val="138F1214"/>
    <w:rsid w:val="13BF412F"/>
    <w:rsid w:val="13D101C7"/>
    <w:rsid w:val="1400440E"/>
    <w:rsid w:val="142669A3"/>
    <w:rsid w:val="143805F9"/>
    <w:rsid w:val="144729D8"/>
    <w:rsid w:val="148E78CB"/>
    <w:rsid w:val="149F4D92"/>
    <w:rsid w:val="14A13E6D"/>
    <w:rsid w:val="14AB614D"/>
    <w:rsid w:val="14B96C2B"/>
    <w:rsid w:val="15282A96"/>
    <w:rsid w:val="15436E45"/>
    <w:rsid w:val="15507C7E"/>
    <w:rsid w:val="15664AEF"/>
    <w:rsid w:val="158E23E1"/>
    <w:rsid w:val="159D7EA6"/>
    <w:rsid w:val="159F1BF9"/>
    <w:rsid w:val="15B71B1D"/>
    <w:rsid w:val="15E63361"/>
    <w:rsid w:val="160B0227"/>
    <w:rsid w:val="166C7DA6"/>
    <w:rsid w:val="16864176"/>
    <w:rsid w:val="16E04880"/>
    <w:rsid w:val="16F86032"/>
    <w:rsid w:val="17081A7A"/>
    <w:rsid w:val="17292C0C"/>
    <w:rsid w:val="174C321D"/>
    <w:rsid w:val="176F50FE"/>
    <w:rsid w:val="17D10049"/>
    <w:rsid w:val="17DD0B49"/>
    <w:rsid w:val="17F1563C"/>
    <w:rsid w:val="17F23C73"/>
    <w:rsid w:val="180F3B80"/>
    <w:rsid w:val="181B1411"/>
    <w:rsid w:val="181C1400"/>
    <w:rsid w:val="18223BBF"/>
    <w:rsid w:val="18406E44"/>
    <w:rsid w:val="185C1918"/>
    <w:rsid w:val="1880349D"/>
    <w:rsid w:val="18D435BC"/>
    <w:rsid w:val="18E261BC"/>
    <w:rsid w:val="18EF6999"/>
    <w:rsid w:val="19046FB2"/>
    <w:rsid w:val="19193365"/>
    <w:rsid w:val="19261639"/>
    <w:rsid w:val="195D5C0E"/>
    <w:rsid w:val="19B64CC2"/>
    <w:rsid w:val="19BA69A5"/>
    <w:rsid w:val="19DF6D3F"/>
    <w:rsid w:val="19E24459"/>
    <w:rsid w:val="1A305FF4"/>
    <w:rsid w:val="1A3D7EBE"/>
    <w:rsid w:val="1A4353A0"/>
    <w:rsid w:val="1A557489"/>
    <w:rsid w:val="1AA34568"/>
    <w:rsid w:val="1AB63184"/>
    <w:rsid w:val="1AF45443"/>
    <w:rsid w:val="1B075A0C"/>
    <w:rsid w:val="1B67066F"/>
    <w:rsid w:val="1B7229E4"/>
    <w:rsid w:val="1B7A5EC7"/>
    <w:rsid w:val="1B8E5EC0"/>
    <w:rsid w:val="1CB33990"/>
    <w:rsid w:val="1CF6260F"/>
    <w:rsid w:val="1CF83AEA"/>
    <w:rsid w:val="1CF911FC"/>
    <w:rsid w:val="1D6914D5"/>
    <w:rsid w:val="1D7C7A22"/>
    <w:rsid w:val="1D7E09CF"/>
    <w:rsid w:val="1D9F1A69"/>
    <w:rsid w:val="1DC81497"/>
    <w:rsid w:val="1DE41480"/>
    <w:rsid w:val="1E2139B7"/>
    <w:rsid w:val="1E7065BE"/>
    <w:rsid w:val="1E7A14A8"/>
    <w:rsid w:val="1E7F32B0"/>
    <w:rsid w:val="1EBA058B"/>
    <w:rsid w:val="1EBB622E"/>
    <w:rsid w:val="1EC34807"/>
    <w:rsid w:val="1EEA13A6"/>
    <w:rsid w:val="1EFE64E9"/>
    <w:rsid w:val="1F6207D0"/>
    <w:rsid w:val="1F7D0570"/>
    <w:rsid w:val="1F9041EC"/>
    <w:rsid w:val="1FA015EC"/>
    <w:rsid w:val="1FE1627D"/>
    <w:rsid w:val="1FEA603B"/>
    <w:rsid w:val="20133D98"/>
    <w:rsid w:val="20226856"/>
    <w:rsid w:val="20293E2F"/>
    <w:rsid w:val="20686E43"/>
    <w:rsid w:val="206E3E8E"/>
    <w:rsid w:val="207224C8"/>
    <w:rsid w:val="2076639A"/>
    <w:rsid w:val="2093114F"/>
    <w:rsid w:val="209B57AA"/>
    <w:rsid w:val="20A121FD"/>
    <w:rsid w:val="20C20004"/>
    <w:rsid w:val="20D07CD4"/>
    <w:rsid w:val="20D83D6E"/>
    <w:rsid w:val="20DE5531"/>
    <w:rsid w:val="20E1180E"/>
    <w:rsid w:val="20EA6084"/>
    <w:rsid w:val="20F01139"/>
    <w:rsid w:val="20F1461D"/>
    <w:rsid w:val="21206119"/>
    <w:rsid w:val="212B522B"/>
    <w:rsid w:val="21736537"/>
    <w:rsid w:val="21977807"/>
    <w:rsid w:val="219A6D4B"/>
    <w:rsid w:val="21C2735E"/>
    <w:rsid w:val="21E57FA3"/>
    <w:rsid w:val="21FB5A74"/>
    <w:rsid w:val="226827C0"/>
    <w:rsid w:val="227C6EFF"/>
    <w:rsid w:val="22942795"/>
    <w:rsid w:val="22A10D06"/>
    <w:rsid w:val="22B665A5"/>
    <w:rsid w:val="22B85F08"/>
    <w:rsid w:val="22C925E0"/>
    <w:rsid w:val="22E46F4A"/>
    <w:rsid w:val="22F20159"/>
    <w:rsid w:val="23005537"/>
    <w:rsid w:val="233C2C53"/>
    <w:rsid w:val="23486890"/>
    <w:rsid w:val="236F1F61"/>
    <w:rsid w:val="23AB4CDF"/>
    <w:rsid w:val="23C37A75"/>
    <w:rsid w:val="24220F3E"/>
    <w:rsid w:val="2423604B"/>
    <w:rsid w:val="243A3F7E"/>
    <w:rsid w:val="24436391"/>
    <w:rsid w:val="2450121E"/>
    <w:rsid w:val="2487622C"/>
    <w:rsid w:val="24973094"/>
    <w:rsid w:val="24AD6D9A"/>
    <w:rsid w:val="251418FC"/>
    <w:rsid w:val="25A845B3"/>
    <w:rsid w:val="25EB71B7"/>
    <w:rsid w:val="26154215"/>
    <w:rsid w:val="261A0BE6"/>
    <w:rsid w:val="262C6E4F"/>
    <w:rsid w:val="263C7691"/>
    <w:rsid w:val="265E2776"/>
    <w:rsid w:val="26666FDC"/>
    <w:rsid w:val="26AB763C"/>
    <w:rsid w:val="26B267E7"/>
    <w:rsid w:val="26F131DC"/>
    <w:rsid w:val="26F65310"/>
    <w:rsid w:val="27052D05"/>
    <w:rsid w:val="27082804"/>
    <w:rsid w:val="270832AE"/>
    <w:rsid w:val="27357F9F"/>
    <w:rsid w:val="27552E6C"/>
    <w:rsid w:val="27A4553F"/>
    <w:rsid w:val="27D35135"/>
    <w:rsid w:val="27EF1935"/>
    <w:rsid w:val="280A1B75"/>
    <w:rsid w:val="283962F8"/>
    <w:rsid w:val="287A36F4"/>
    <w:rsid w:val="288458E7"/>
    <w:rsid w:val="28A33A20"/>
    <w:rsid w:val="28A47F17"/>
    <w:rsid w:val="290212C1"/>
    <w:rsid w:val="290D5ED8"/>
    <w:rsid w:val="29656DCE"/>
    <w:rsid w:val="298B4B23"/>
    <w:rsid w:val="29B71FDB"/>
    <w:rsid w:val="29CF18DD"/>
    <w:rsid w:val="29D65D23"/>
    <w:rsid w:val="29D875FE"/>
    <w:rsid w:val="2A0B100E"/>
    <w:rsid w:val="2A194E5D"/>
    <w:rsid w:val="2A21554B"/>
    <w:rsid w:val="2A594BC2"/>
    <w:rsid w:val="2A7D60F5"/>
    <w:rsid w:val="2A9F7561"/>
    <w:rsid w:val="2AA90FA0"/>
    <w:rsid w:val="2AB31CE2"/>
    <w:rsid w:val="2AB55266"/>
    <w:rsid w:val="2B487382"/>
    <w:rsid w:val="2B552F60"/>
    <w:rsid w:val="2B7841A6"/>
    <w:rsid w:val="2BB367B9"/>
    <w:rsid w:val="2C13380B"/>
    <w:rsid w:val="2C184D47"/>
    <w:rsid w:val="2C514425"/>
    <w:rsid w:val="2C796A89"/>
    <w:rsid w:val="2CBD3A96"/>
    <w:rsid w:val="2CC74339"/>
    <w:rsid w:val="2CCC23F7"/>
    <w:rsid w:val="2CCE1414"/>
    <w:rsid w:val="2CF93ABF"/>
    <w:rsid w:val="2D1E27A3"/>
    <w:rsid w:val="2D394FF5"/>
    <w:rsid w:val="2D6E25C1"/>
    <w:rsid w:val="2D766528"/>
    <w:rsid w:val="2E19339D"/>
    <w:rsid w:val="2E6A704D"/>
    <w:rsid w:val="2E8A6255"/>
    <w:rsid w:val="2EC310BD"/>
    <w:rsid w:val="2F0B1048"/>
    <w:rsid w:val="2F141AAA"/>
    <w:rsid w:val="2FCA4353"/>
    <w:rsid w:val="2FE55D75"/>
    <w:rsid w:val="2FF23F99"/>
    <w:rsid w:val="30236367"/>
    <w:rsid w:val="30331BC6"/>
    <w:rsid w:val="303E7E03"/>
    <w:rsid w:val="304A182B"/>
    <w:rsid w:val="30700C52"/>
    <w:rsid w:val="30757C00"/>
    <w:rsid w:val="307D5D65"/>
    <w:rsid w:val="30B34CE3"/>
    <w:rsid w:val="30CB1C83"/>
    <w:rsid w:val="30ED2830"/>
    <w:rsid w:val="316B2857"/>
    <w:rsid w:val="31832D29"/>
    <w:rsid w:val="319D5339"/>
    <w:rsid w:val="319F2F47"/>
    <w:rsid w:val="31D20CDE"/>
    <w:rsid w:val="31F37E23"/>
    <w:rsid w:val="31FD0ADA"/>
    <w:rsid w:val="31FE689A"/>
    <w:rsid w:val="32223DC6"/>
    <w:rsid w:val="325A02A1"/>
    <w:rsid w:val="329032EF"/>
    <w:rsid w:val="329970EF"/>
    <w:rsid w:val="32B35AAA"/>
    <w:rsid w:val="33135210"/>
    <w:rsid w:val="3326373F"/>
    <w:rsid w:val="334459AC"/>
    <w:rsid w:val="336358B7"/>
    <w:rsid w:val="33705A64"/>
    <w:rsid w:val="33A055AF"/>
    <w:rsid w:val="33A51E80"/>
    <w:rsid w:val="33EE589E"/>
    <w:rsid w:val="340329A9"/>
    <w:rsid w:val="34080304"/>
    <w:rsid w:val="342645AD"/>
    <w:rsid w:val="342B057B"/>
    <w:rsid w:val="34335C8F"/>
    <w:rsid w:val="34617CD8"/>
    <w:rsid w:val="34753860"/>
    <w:rsid w:val="34A61339"/>
    <w:rsid w:val="34CC3006"/>
    <w:rsid w:val="34F3793E"/>
    <w:rsid w:val="351F4A39"/>
    <w:rsid w:val="35574E9C"/>
    <w:rsid w:val="35712E34"/>
    <w:rsid w:val="35ED793B"/>
    <w:rsid w:val="35F84740"/>
    <w:rsid w:val="36383125"/>
    <w:rsid w:val="366C082D"/>
    <w:rsid w:val="368C388A"/>
    <w:rsid w:val="36C90DD1"/>
    <w:rsid w:val="374634AB"/>
    <w:rsid w:val="37704489"/>
    <w:rsid w:val="37710026"/>
    <w:rsid w:val="37925427"/>
    <w:rsid w:val="379E0F7A"/>
    <w:rsid w:val="37A55DCC"/>
    <w:rsid w:val="37CA04FF"/>
    <w:rsid w:val="37D30771"/>
    <w:rsid w:val="37EC0BB8"/>
    <w:rsid w:val="38995839"/>
    <w:rsid w:val="392E03A9"/>
    <w:rsid w:val="394C68A5"/>
    <w:rsid w:val="395E479A"/>
    <w:rsid w:val="39675804"/>
    <w:rsid w:val="39A36C2D"/>
    <w:rsid w:val="39AA29B9"/>
    <w:rsid w:val="39E71AEC"/>
    <w:rsid w:val="39F60058"/>
    <w:rsid w:val="3A0E533A"/>
    <w:rsid w:val="3A104089"/>
    <w:rsid w:val="3A8217DE"/>
    <w:rsid w:val="3A822B01"/>
    <w:rsid w:val="3A9F4998"/>
    <w:rsid w:val="3AB8426E"/>
    <w:rsid w:val="3ACF765C"/>
    <w:rsid w:val="3AD278CD"/>
    <w:rsid w:val="3AFA4BE5"/>
    <w:rsid w:val="3B2A44B8"/>
    <w:rsid w:val="3B2B6476"/>
    <w:rsid w:val="3BBC038E"/>
    <w:rsid w:val="3BFE3F02"/>
    <w:rsid w:val="3C2972FD"/>
    <w:rsid w:val="3C5B4444"/>
    <w:rsid w:val="3C852047"/>
    <w:rsid w:val="3CA13116"/>
    <w:rsid w:val="3CA925AE"/>
    <w:rsid w:val="3CF877AB"/>
    <w:rsid w:val="3D0B5F9E"/>
    <w:rsid w:val="3D306CB2"/>
    <w:rsid w:val="3D32729D"/>
    <w:rsid w:val="3D485E54"/>
    <w:rsid w:val="3D667959"/>
    <w:rsid w:val="3D8230F2"/>
    <w:rsid w:val="3D886E2C"/>
    <w:rsid w:val="3DAA5519"/>
    <w:rsid w:val="3DC413E8"/>
    <w:rsid w:val="3DCA34BB"/>
    <w:rsid w:val="3DD83D60"/>
    <w:rsid w:val="3E044CAE"/>
    <w:rsid w:val="3E0B01E0"/>
    <w:rsid w:val="3E12201C"/>
    <w:rsid w:val="3E427218"/>
    <w:rsid w:val="3E520ECC"/>
    <w:rsid w:val="3EA72ABE"/>
    <w:rsid w:val="3EAD4174"/>
    <w:rsid w:val="3EAD7F9C"/>
    <w:rsid w:val="3EB32892"/>
    <w:rsid w:val="3EBC3336"/>
    <w:rsid w:val="3EDE79C6"/>
    <w:rsid w:val="3EF65530"/>
    <w:rsid w:val="3EF9D3F1"/>
    <w:rsid w:val="3F064AE9"/>
    <w:rsid w:val="3F3B0C43"/>
    <w:rsid w:val="3F4C62B0"/>
    <w:rsid w:val="3F7279F0"/>
    <w:rsid w:val="3F9717D1"/>
    <w:rsid w:val="3FB2485B"/>
    <w:rsid w:val="402A34B8"/>
    <w:rsid w:val="40360CD1"/>
    <w:rsid w:val="40361D66"/>
    <w:rsid w:val="406060C3"/>
    <w:rsid w:val="40613E30"/>
    <w:rsid w:val="40736573"/>
    <w:rsid w:val="407D7357"/>
    <w:rsid w:val="409B4A07"/>
    <w:rsid w:val="40BF6E39"/>
    <w:rsid w:val="40C25B7F"/>
    <w:rsid w:val="40F66678"/>
    <w:rsid w:val="410E1C56"/>
    <w:rsid w:val="4120577A"/>
    <w:rsid w:val="4128711A"/>
    <w:rsid w:val="41313EDF"/>
    <w:rsid w:val="416C142E"/>
    <w:rsid w:val="41B66342"/>
    <w:rsid w:val="41FD121E"/>
    <w:rsid w:val="421A7627"/>
    <w:rsid w:val="42267403"/>
    <w:rsid w:val="4233112B"/>
    <w:rsid w:val="42401E98"/>
    <w:rsid w:val="42872311"/>
    <w:rsid w:val="428B5762"/>
    <w:rsid w:val="42D47C2B"/>
    <w:rsid w:val="42DA32B5"/>
    <w:rsid w:val="433543AC"/>
    <w:rsid w:val="43420FE8"/>
    <w:rsid w:val="434513F0"/>
    <w:rsid w:val="43702851"/>
    <w:rsid w:val="43CA4F48"/>
    <w:rsid w:val="4424604A"/>
    <w:rsid w:val="442967DE"/>
    <w:rsid w:val="445014AB"/>
    <w:rsid w:val="44CE660D"/>
    <w:rsid w:val="44D750ED"/>
    <w:rsid w:val="454F0B76"/>
    <w:rsid w:val="45795008"/>
    <w:rsid w:val="4579514B"/>
    <w:rsid w:val="457E2BBE"/>
    <w:rsid w:val="457F72E8"/>
    <w:rsid w:val="45DE083B"/>
    <w:rsid w:val="45E076C0"/>
    <w:rsid w:val="45F36067"/>
    <w:rsid w:val="460C0745"/>
    <w:rsid w:val="463122D8"/>
    <w:rsid w:val="4632053D"/>
    <w:rsid w:val="463D551C"/>
    <w:rsid w:val="46577675"/>
    <w:rsid w:val="4662415A"/>
    <w:rsid w:val="4662498C"/>
    <w:rsid w:val="46A022D9"/>
    <w:rsid w:val="46A9554B"/>
    <w:rsid w:val="46AA7AE9"/>
    <w:rsid w:val="46B21457"/>
    <w:rsid w:val="46BE1A6C"/>
    <w:rsid w:val="46BE6647"/>
    <w:rsid w:val="46C96620"/>
    <w:rsid w:val="46EE3897"/>
    <w:rsid w:val="471B3499"/>
    <w:rsid w:val="4730142A"/>
    <w:rsid w:val="478E4BD2"/>
    <w:rsid w:val="479B6AEC"/>
    <w:rsid w:val="47DD756D"/>
    <w:rsid w:val="48037A8A"/>
    <w:rsid w:val="48377D23"/>
    <w:rsid w:val="486634EE"/>
    <w:rsid w:val="48807890"/>
    <w:rsid w:val="48A64B98"/>
    <w:rsid w:val="48BC156D"/>
    <w:rsid w:val="48F765BE"/>
    <w:rsid w:val="490445F2"/>
    <w:rsid w:val="490935A0"/>
    <w:rsid w:val="49183CD0"/>
    <w:rsid w:val="49320F23"/>
    <w:rsid w:val="49BA0254"/>
    <w:rsid w:val="49DD73AE"/>
    <w:rsid w:val="49F95BD6"/>
    <w:rsid w:val="4AA73240"/>
    <w:rsid w:val="4AB72272"/>
    <w:rsid w:val="4AD703A4"/>
    <w:rsid w:val="4B305E1B"/>
    <w:rsid w:val="4B3D6070"/>
    <w:rsid w:val="4BB92D8E"/>
    <w:rsid w:val="4BD07B58"/>
    <w:rsid w:val="4BE87BA5"/>
    <w:rsid w:val="4C3176AB"/>
    <w:rsid w:val="4C415DC1"/>
    <w:rsid w:val="4C6E278E"/>
    <w:rsid w:val="4C9837DA"/>
    <w:rsid w:val="4CFF538B"/>
    <w:rsid w:val="4D4D7800"/>
    <w:rsid w:val="4D7251FF"/>
    <w:rsid w:val="4DE50C0B"/>
    <w:rsid w:val="4E11105D"/>
    <w:rsid w:val="4E16225A"/>
    <w:rsid w:val="4E253AB8"/>
    <w:rsid w:val="4E472C92"/>
    <w:rsid w:val="4E824D97"/>
    <w:rsid w:val="4E9D5C2D"/>
    <w:rsid w:val="4EBA57C1"/>
    <w:rsid w:val="4ED50A17"/>
    <w:rsid w:val="4F047E0A"/>
    <w:rsid w:val="4F477F24"/>
    <w:rsid w:val="4FA91AAC"/>
    <w:rsid w:val="4FBD0FF5"/>
    <w:rsid w:val="4FC854D7"/>
    <w:rsid w:val="50142DE1"/>
    <w:rsid w:val="5015687B"/>
    <w:rsid w:val="501926CA"/>
    <w:rsid w:val="503109FF"/>
    <w:rsid w:val="505E3D68"/>
    <w:rsid w:val="508A3F09"/>
    <w:rsid w:val="50D13748"/>
    <w:rsid w:val="51442498"/>
    <w:rsid w:val="516A440A"/>
    <w:rsid w:val="51BA5A6F"/>
    <w:rsid w:val="51C42E16"/>
    <w:rsid w:val="521115A1"/>
    <w:rsid w:val="52430B2E"/>
    <w:rsid w:val="525351F4"/>
    <w:rsid w:val="525A6FBC"/>
    <w:rsid w:val="526C0997"/>
    <w:rsid w:val="52855A65"/>
    <w:rsid w:val="53311AB3"/>
    <w:rsid w:val="53317F44"/>
    <w:rsid w:val="533D33D1"/>
    <w:rsid w:val="53511F1B"/>
    <w:rsid w:val="53670B33"/>
    <w:rsid w:val="537735FB"/>
    <w:rsid w:val="53775B6A"/>
    <w:rsid w:val="538F5737"/>
    <w:rsid w:val="53D43855"/>
    <w:rsid w:val="53D6214F"/>
    <w:rsid w:val="53EE1101"/>
    <w:rsid w:val="53FC4E8E"/>
    <w:rsid w:val="541717DC"/>
    <w:rsid w:val="54271D5C"/>
    <w:rsid w:val="54976AA9"/>
    <w:rsid w:val="549A3F89"/>
    <w:rsid w:val="54DE0134"/>
    <w:rsid w:val="553C46BA"/>
    <w:rsid w:val="5545363C"/>
    <w:rsid w:val="55494082"/>
    <w:rsid w:val="556C6DB9"/>
    <w:rsid w:val="557D5B60"/>
    <w:rsid w:val="55834A19"/>
    <w:rsid w:val="55F27046"/>
    <w:rsid w:val="55F526C6"/>
    <w:rsid w:val="56066DC9"/>
    <w:rsid w:val="564E1228"/>
    <w:rsid w:val="56A6131D"/>
    <w:rsid w:val="56A82B00"/>
    <w:rsid w:val="56BC5AD0"/>
    <w:rsid w:val="56D00C68"/>
    <w:rsid w:val="57022BD1"/>
    <w:rsid w:val="57212B27"/>
    <w:rsid w:val="572809C2"/>
    <w:rsid w:val="57480C4D"/>
    <w:rsid w:val="574C27F3"/>
    <w:rsid w:val="576F5440"/>
    <w:rsid w:val="57895A45"/>
    <w:rsid w:val="57C5313B"/>
    <w:rsid w:val="57CB4B04"/>
    <w:rsid w:val="57D807D4"/>
    <w:rsid w:val="57EA7969"/>
    <w:rsid w:val="57F740F4"/>
    <w:rsid w:val="57FA3D86"/>
    <w:rsid w:val="58750691"/>
    <w:rsid w:val="58AB575D"/>
    <w:rsid w:val="58BC728D"/>
    <w:rsid w:val="58DD0763"/>
    <w:rsid w:val="59445F91"/>
    <w:rsid w:val="5955073B"/>
    <w:rsid w:val="59815208"/>
    <w:rsid w:val="59F001A4"/>
    <w:rsid w:val="5A1E2DE7"/>
    <w:rsid w:val="5A20427A"/>
    <w:rsid w:val="5A395FB6"/>
    <w:rsid w:val="5A436A2D"/>
    <w:rsid w:val="5AA179C0"/>
    <w:rsid w:val="5AFB2D6E"/>
    <w:rsid w:val="5B0A066E"/>
    <w:rsid w:val="5B123FA7"/>
    <w:rsid w:val="5B5E18A4"/>
    <w:rsid w:val="5B613C0E"/>
    <w:rsid w:val="5B6B0E16"/>
    <w:rsid w:val="5B955E96"/>
    <w:rsid w:val="5B9B3675"/>
    <w:rsid w:val="5BA26571"/>
    <w:rsid w:val="5BCA6564"/>
    <w:rsid w:val="5BD66D67"/>
    <w:rsid w:val="5C107D40"/>
    <w:rsid w:val="5C1E3775"/>
    <w:rsid w:val="5C381264"/>
    <w:rsid w:val="5C672644"/>
    <w:rsid w:val="5C8132C7"/>
    <w:rsid w:val="5CA23A25"/>
    <w:rsid w:val="5CC26330"/>
    <w:rsid w:val="5CD67F41"/>
    <w:rsid w:val="5CDF760E"/>
    <w:rsid w:val="5D017C51"/>
    <w:rsid w:val="5D4165A3"/>
    <w:rsid w:val="5D463591"/>
    <w:rsid w:val="5D4F2A78"/>
    <w:rsid w:val="5D792AE4"/>
    <w:rsid w:val="5DC25C67"/>
    <w:rsid w:val="5DD97571"/>
    <w:rsid w:val="5E2F58D3"/>
    <w:rsid w:val="5E5A06FD"/>
    <w:rsid w:val="5E9342EC"/>
    <w:rsid w:val="5EA27CF7"/>
    <w:rsid w:val="5EB62B27"/>
    <w:rsid w:val="5EBC3C1E"/>
    <w:rsid w:val="5F2E00CC"/>
    <w:rsid w:val="5F3815EE"/>
    <w:rsid w:val="5F5C32D6"/>
    <w:rsid w:val="5FA92D9F"/>
    <w:rsid w:val="5FAC2DE4"/>
    <w:rsid w:val="5FB10E83"/>
    <w:rsid w:val="600E788A"/>
    <w:rsid w:val="6011673F"/>
    <w:rsid w:val="604130CF"/>
    <w:rsid w:val="60663C94"/>
    <w:rsid w:val="60794FD4"/>
    <w:rsid w:val="60814FEF"/>
    <w:rsid w:val="60AE4E89"/>
    <w:rsid w:val="60C85843"/>
    <w:rsid w:val="60D32F5A"/>
    <w:rsid w:val="610E2B4C"/>
    <w:rsid w:val="61846CDE"/>
    <w:rsid w:val="619945D7"/>
    <w:rsid w:val="61C24BFD"/>
    <w:rsid w:val="61DE43D4"/>
    <w:rsid w:val="61E06967"/>
    <w:rsid w:val="61ED083B"/>
    <w:rsid w:val="624216A0"/>
    <w:rsid w:val="626343A0"/>
    <w:rsid w:val="626736F9"/>
    <w:rsid w:val="626B4082"/>
    <w:rsid w:val="626B6B00"/>
    <w:rsid w:val="628E1BE9"/>
    <w:rsid w:val="62D06FF9"/>
    <w:rsid w:val="62D765EB"/>
    <w:rsid w:val="636B22CC"/>
    <w:rsid w:val="636C198B"/>
    <w:rsid w:val="63B65AC7"/>
    <w:rsid w:val="63D7428B"/>
    <w:rsid w:val="640C4C0D"/>
    <w:rsid w:val="643B5584"/>
    <w:rsid w:val="645830D7"/>
    <w:rsid w:val="64675414"/>
    <w:rsid w:val="647258C3"/>
    <w:rsid w:val="64AA2E73"/>
    <w:rsid w:val="64B8434A"/>
    <w:rsid w:val="64C5008F"/>
    <w:rsid w:val="64E8446E"/>
    <w:rsid w:val="65376B47"/>
    <w:rsid w:val="654042F5"/>
    <w:rsid w:val="65ED34AD"/>
    <w:rsid w:val="65F66C79"/>
    <w:rsid w:val="660447CA"/>
    <w:rsid w:val="66112B8D"/>
    <w:rsid w:val="665622BC"/>
    <w:rsid w:val="6660772E"/>
    <w:rsid w:val="66653739"/>
    <w:rsid w:val="666C4EE6"/>
    <w:rsid w:val="66792487"/>
    <w:rsid w:val="66FB0FDC"/>
    <w:rsid w:val="66FC5AFF"/>
    <w:rsid w:val="6709462E"/>
    <w:rsid w:val="673B4133"/>
    <w:rsid w:val="6777196F"/>
    <w:rsid w:val="678A1ED0"/>
    <w:rsid w:val="67AB61F8"/>
    <w:rsid w:val="67BA7741"/>
    <w:rsid w:val="67E6170C"/>
    <w:rsid w:val="680D0CA5"/>
    <w:rsid w:val="687B6403"/>
    <w:rsid w:val="68A45648"/>
    <w:rsid w:val="68A5668C"/>
    <w:rsid w:val="68D27297"/>
    <w:rsid w:val="6911241F"/>
    <w:rsid w:val="69B67115"/>
    <w:rsid w:val="69B82DF4"/>
    <w:rsid w:val="69EF53B4"/>
    <w:rsid w:val="6A126DD2"/>
    <w:rsid w:val="6A420E56"/>
    <w:rsid w:val="6A924E32"/>
    <w:rsid w:val="6A94008C"/>
    <w:rsid w:val="6AC00C9E"/>
    <w:rsid w:val="6AC635A8"/>
    <w:rsid w:val="6AE60947"/>
    <w:rsid w:val="6AEF6EB8"/>
    <w:rsid w:val="6AF7061A"/>
    <w:rsid w:val="6B0B374F"/>
    <w:rsid w:val="6B0E6D92"/>
    <w:rsid w:val="6B17074E"/>
    <w:rsid w:val="6B1F0CCB"/>
    <w:rsid w:val="6B6234E5"/>
    <w:rsid w:val="6BA44561"/>
    <w:rsid w:val="6BBD11F5"/>
    <w:rsid w:val="6BCE1834"/>
    <w:rsid w:val="6BD12800"/>
    <w:rsid w:val="6BE17EE8"/>
    <w:rsid w:val="6C022DB1"/>
    <w:rsid w:val="6C5E02FC"/>
    <w:rsid w:val="6C721812"/>
    <w:rsid w:val="6C8B0F52"/>
    <w:rsid w:val="6CDD0DD0"/>
    <w:rsid w:val="6CFA7DB1"/>
    <w:rsid w:val="6D0127E4"/>
    <w:rsid w:val="6D135E16"/>
    <w:rsid w:val="6D1C168A"/>
    <w:rsid w:val="6D347A31"/>
    <w:rsid w:val="6D3668DD"/>
    <w:rsid w:val="6D471CAB"/>
    <w:rsid w:val="6DAC0977"/>
    <w:rsid w:val="6DB941BD"/>
    <w:rsid w:val="6DC60F63"/>
    <w:rsid w:val="6E4C770B"/>
    <w:rsid w:val="6E5F1098"/>
    <w:rsid w:val="6E6F2793"/>
    <w:rsid w:val="6E703D8E"/>
    <w:rsid w:val="6E84323D"/>
    <w:rsid w:val="6E942A76"/>
    <w:rsid w:val="6EA41FA2"/>
    <w:rsid w:val="6EB44AD4"/>
    <w:rsid w:val="6EF2F120"/>
    <w:rsid w:val="6F313FE8"/>
    <w:rsid w:val="6F381CAC"/>
    <w:rsid w:val="6F6128C1"/>
    <w:rsid w:val="6F9C6902"/>
    <w:rsid w:val="6FA0729C"/>
    <w:rsid w:val="6FEF4FB0"/>
    <w:rsid w:val="70100CA2"/>
    <w:rsid w:val="70393572"/>
    <w:rsid w:val="70A24D48"/>
    <w:rsid w:val="70BA64EF"/>
    <w:rsid w:val="70C900DF"/>
    <w:rsid w:val="70F80524"/>
    <w:rsid w:val="710A2419"/>
    <w:rsid w:val="710C226A"/>
    <w:rsid w:val="71326D32"/>
    <w:rsid w:val="714C2CD0"/>
    <w:rsid w:val="715A596A"/>
    <w:rsid w:val="717C247D"/>
    <w:rsid w:val="717F26E4"/>
    <w:rsid w:val="71816B8E"/>
    <w:rsid w:val="71832D29"/>
    <w:rsid w:val="71907818"/>
    <w:rsid w:val="71B252F9"/>
    <w:rsid w:val="71BF5724"/>
    <w:rsid w:val="71E95916"/>
    <w:rsid w:val="7203413E"/>
    <w:rsid w:val="7232328B"/>
    <w:rsid w:val="7250588C"/>
    <w:rsid w:val="726F5278"/>
    <w:rsid w:val="727E786A"/>
    <w:rsid w:val="72887FD4"/>
    <w:rsid w:val="72BD0544"/>
    <w:rsid w:val="72BD0B0E"/>
    <w:rsid w:val="72C0472D"/>
    <w:rsid w:val="72D11D5C"/>
    <w:rsid w:val="72E85DAD"/>
    <w:rsid w:val="732303D9"/>
    <w:rsid w:val="73532CC9"/>
    <w:rsid w:val="73D73D11"/>
    <w:rsid w:val="744975DD"/>
    <w:rsid w:val="746920A5"/>
    <w:rsid w:val="74CB1EDB"/>
    <w:rsid w:val="74DE73F5"/>
    <w:rsid w:val="74FA5557"/>
    <w:rsid w:val="751E77AF"/>
    <w:rsid w:val="75C8117D"/>
    <w:rsid w:val="75D07F8B"/>
    <w:rsid w:val="75EE5669"/>
    <w:rsid w:val="76646D93"/>
    <w:rsid w:val="76957051"/>
    <w:rsid w:val="76BD4232"/>
    <w:rsid w:val="76C10199"/>
    <w:rsid w:val="76C57BCB"/>
    <w:rsid w:val="76F927CD"/>
    <w:rsid w:val="773B2934"/>
    <w:rsid w:val="773E064E"/>
    <w:rsid w:val="774E1211"/>
    <w:rsid w:val="777B71D8"/>
    <w:rsid w:val="77A54D53"/>
    <w:rsid w:val="77D75F2B"/>
    <w:rsid w:val="77FC6767"/>
    <w:rsid w:val="781A0BEC"/>
    <w:rsid w:val="78202415"/>
    <w:rsid w:val="78213FC9"/>
    <w:rsid w:val="784376FF"/>
    <w:rsid w:val="78701D9C"/>
    <w:rsid w:val="78AD5F33"/>
    <w:rsid w:val="78CD19BA"/>
    <w:rsid w:val="78FA0671"/>
    <w:rsid w:val="793A634F"/>
    <w:rsid w:val="798635EB"/>
    <w:rsid w:val="79A5750A"/>
    <w:rsid w:val="79FC3172"/>
    <w:rsid w:val="7A0C1011"/>
    <w:rsid w:val="7A0E7A81"/>
    <w:rsid w:val="7A321CDB"/>
    <w:rsid w:val="7A567B6E"/>
    <w:rsid w:val="7A6E32C8"/>
    <w:rsid w:val="7AC900CF"/>
    <w:rsid w:val="7B052FBD"/>
    <w:rsid w:val="7B5A5A6C"/>
    <w:rsid w:val="7B5C250E"/>
    <w:rsid w:val="7B6D0F87"/>
    <w:rsid w:val="7B72691F"/>
    <w:rsid w:val="7B783FD8"/>
    <w:rsid w:val="7B9A3DB8"/>
    <w:rsid w:val="7BA113AB"/>
    <w:rsid w:val="7BD52290"/>
    <w:rsid w:val="7BD568A0"/>
    <w:rsid w:val="7BEF4EB5"/>
    <w:rsid w:val="7BF20E1E"/>
    <w:rsid w:val="7C5728ED"/>
    <w:rsid w:val="7C9408F4"/>
    <w:rsid w:val="7CB83597"/>
    <w:rsid w:val="7CB90CC2"/>
    <w:rsid w:val="7CFB2CE9"/>
    <w:rsid w:val="7D0C34C4"/>
    <w:rsid w:val="7D212CA5"/>
    <w:rsid w:val="7D255EE2"/>
    <w:rsid w:val="7D293184"/>
    <w:rsid w:val="7D4A23DF"/>
    <w:rsid w:val="7D4B3EE6"/>
    <w:rsid w:val="7D6112EF"/>
    <w:rsid w:val="7D68620F"/>
    <w:rsid w:val="7D69777E"/>
    <w:rsid w:val="7D7C6E9A"/>
    <w:rsid w:val="7D927DC0"/>
    <w:rsid w:val="7DB34706"/>
    <w:rsid w:val="7E1A0A9F"/>
    <w:rsid w:val="7E3C401A"/>
    <w:rsid w:val="7E641213"/>
    <w:rsid w:val="7EA67E97"/>
    <w:rsid w:val="7EE33139"/>
    <w:rsid w:val="7EF34773"/>
    <w:rsid w:val="7F0D08DC"/>
    <w:rsid w:val="7F173D26"/>
    <w:rsid w:val="7F5DC674"/>
    <w:rsid w:val="7F666017"/>
    <w:rsid w:val="7F714EE5"/>
    <w:rsid w:val="7F7F2734"/>
    <w:rsid w:val="7FA63F96"/>
    <w:rsid w:val="7FB9287C"/>
    <w:rsid w:val="7FCC47FD"/>
    <w:rsid w:val="7FD31973"/>
    <w:rsid w:val="7FE15B01"/>
    <w:rsid w:val="7FFA3A11"/>
    <w:rsid w:val="7FFB1B6E"/>
    <w:rsid w:val="C5DB1ABC"/>
    <w:rsid w:val="DDDB8AE3"/>
    <w:rsid w:val="FFB9659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5">
    <w:name w:val="Default Paragraph Font"/>
    <w:semiHidden/>
    <w:unhideWhenUsed/>
    <w:qFormat/>
    <w:uiPriority w:val="1"/>
  </w:style>
  <w:style w:type="table" w:default="1" w:styleId="4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4"/>
    <w:qFormat/>
    <w:uiPriority w:val="0"/>
    <w:pPr>
      <w:spacing w:after="120"/>
    </w:pPr>
    <w:rPr>
      <w:kern w:val="0"/>
      <w:sz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table of authorities"/>
    <w:basedOn w:val="1"/>
    <w:next w:val="1"/>
    <w:qFormat/>
    <w:uiPriority w:val="99"/>
    <w:pPr>
      <w:ind w:left="420" w:leftChars="200"/>
    </w:pPr>
  </w:style>
  <w:style w:type="paragraph" w:styleId="13">
    <w:name w:val="Normal Indent"/>
    <w:basedOn w:val="1"/>
    <w:link w:val="68"/>
    <w:qFormat/>
    <w:uiPriority w:val="0"/>
    <w:pPr>
      <w:ind w:firstLine="420" w:firstLineChars="200"/>
    </w:pPr>
  </w:style>
  <w:style w:type="paragraph" w:styleId="14">
    <w:name w:val="Document Map"/>
    <w:basedOn w:val="1"/>
    <w:link w:val="75"/>
    <w:qFormat/>
    <w:uiPriority w:val="0"/>
    <w:pPr>
      <w:shd w:val="clear" w:color="auto" w:fill="000080"/>
    </w:pPr>
    <w:rPr>
      <w:kern w:val="0"/>
      <w:sz w:val="20"/>
    </w:rPr>
  </w:style>
  <w:style w:type="paragraph" w:styleId="15">
    <w:name w:val="annotation text"/>
    <w:basedOn w:val="1"/>
    <w:link w:val="57"/>
    <w:unhideWhenUsed/>
    <w:qFormat/>
    <w:uiPriority w:val="99"/>
    <w:pPr>
      <w:jc w:val="left"/>
    </w:pPr>
    <w:rPr>
      <w:kern w:val="0"/>
      <w:sz w:val="20"/>
    </w:rPr>
  </w:style>
  <w:style w:type="paragraph" w:styleId="16">
    <w:name w:val="Body Text 3"/>
    <w:basedOn w:val="1"/>
    <w:link w:val="61"/>
    <w:qFormat/>
    <w:uiPriority w:val="0"/>
    <w:rPr>
      <w:rFonts w:ascii="宋体"/>
      <w:kern w:val="0"/>
      <w:sz w:val="24"/>
      <w:szCs w:val="20"/>
    </w:rPr>
  </w:style>
  <w:style w:type="paragraph" w:styleId="17">
    <w:name w:val="Body Text Indent"/>
    <w:basedOn w:val="1"/>
    <w:next w:val="1"/>
    <w:link w:val="74"/>
    <w:qFormat/>
    <w:uiPriority w:val="0"/>
    <w:pPr>
      <w:spacing w:after="120"/>
      <w:ind w:left="420" w:leftChars="200"/>
    </w:pPr>
    <w:rPr>
      <w:kern w:val="0"/>
      <w:sz w:val="20"/>
    </w:rPr>
  </w:style>
  <w:style w:type="paragraph" w:styleId="1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qFormat/>
    <w:uiPriority w:val="39"/>
    <w:pPr>
      <w:ind w:left="840"/>
      <w:jc w:val="left"/>
    </w:pPr>
    <w:rPr>
      <w:rFonts w:ascii="Calibri" w:hAnsi="Calibri"/>
      <w:sz w:val="18"/>
      <w:szCs w:val="18"/>
    </w:rPr>
  </w:style>
  <w:style w:type="paragraph" w:styleId="20">
    <w:name w:val="toc 3"/>
    <w:basedOn w:val="1"/>
    <w:next w:val="1"/>
    <w:qFormat/>
    <w:uiPriority w:val="39"/>
    <w:pPr>
      <w:ind w:left="420"/>
      <w:jc w:val="left"/>
    </w:pPr>
    <w:rPr>
      <w:rFonts w:ascii="Calibri" w:hAnsi="Calibri"/>
      <w:i/>
      <w:iCs/>
      <w:sz w:val="20"/>
      <w:szCs w:val="20"/>
    </w:rPr>
  </w:style>
  <w:style w:type="paragraph" w:styleId="21">
    <w:name w:val="Plain Text"/>
    <w:basedOn w:val="1"/>
    <w:link w:val="97"/>
    <w:qFormat/>
    <w:uiPriority w:val="99"/>
    <w:rPr>
      <w:rFonts w:ascii="Courier New" w:hAnsi="Courier New"/>
      <w:kern w:val="0"/>
      <w:sz w:val="20"/>
      <w:szCs w:val="20"/>
    </w:rPr>
  </w:style>
  <w:style w:type="paragraph" w:styleId="22">
    <w:name w:val="toc 8"/>
    <w:basedOn w:val="1"/>
    <w:next w:val="1"/>
    <w:qFormat/>
    <w:uiPriority w:val="39"/>
    <w:pPr>
      <w:ind w:left="1470"/>
      <w:jc w:val="left"/>
    </w:pPr>
    <w:rPr>
      <w:rFonts w:ascii="Calibri" w:hAnsi="Calibri"/>
      <w:sz w:val="18"/>
      <w:szCs w:val="18"/>
    </w:rPr>
  </w:style>
  <w:style w:type="paragraph" w:styleId="23">
    <w:name w:val="Date"/>
    <w:basedOn w:val="1"/>
    <w:next w:val="1"/>
    <w:link w:val="81"/>
    <w:qFormat/>
    <w:uiPriority w:val="0"/>
    <w:rPr>
      <w:kern w:val="0"/>
      <w:sz w:val="24"/>
      <w:szCs w:val="20"/>
    </w:rPr>
  </w:style>
  <w:style w:type="paragraph" w:styleId="24">
    <w:name w:val="Body Text Indent 2"/>
    <w:basedOn w:val="1"/>
    <w:qFormat/>
    <w:uiPriority w:val="0"/>
    <w:pPr>
      <w:spacing w:after="120" w:line="480" w:lineRule="auto"/>
      <w:ind w:left="420" w:leftChars="200"/>
    </w:pPr>
  </w:style>
  <w:style w:type="paragraph" w:styleId="25">
    <w:name w:val="Balloon Text"/>
    <w:basedOn w:val="1"/>
    <w:link w:val="79"/>
    <w:qFormat/>
    <w:uiPriority w:val="0"/>
    <w:rPr>
      <w:kern w:val="0"/>
      <w:sz w:val="18"/>
      <w:szCs w:val="18"/>
    </w:r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7"/>
    <w:qFormat/>
    <w:uiPriority w:val="0"/>
    <w:rPr>
      <w:b/>
      <w:bCs/>
    </w:rPr>
  </w:style>
  <w:style w:type="paragraph" w:styleId="41">
    <w:name w:val="Body Text First Indent"/>
    <w:basedOn w:val="2"/>
    <w:qFormat/>
    <w:uiPriority w:val="0"/>
    <w:pPr>
      <w:adjustRightInd w:val="0"/>
      <w:spacing w:line="275" w:lineRule="atLeast"/>
      <w:ind w:firstLine="420"/>
      <w:textAlignment w:val="baseline"/>
    </w:pPr>
    <w:rPr>
      <w:rFonts w:ascii="宋体" w:eastAsia="楷体_GB2312"/>
      <w:sz w:val="24"/>
      <w:szCs w:val="20"/>
    </w:rPr>
  </w:style>
  <w:style w:type="paragraph" w:styleId="42">
    <w:name w:val="Body Text First Indent 2"/>
    <w:basedOn w:val="17"/>
    <w:qFormat/>
    <w:uiPriority w:val="0"/>
    <w:pPr>
      <w:ind w:firstLine="420"/>
    </w:pPr>
    <w:rPr>
      <w:sz w:val="21"/>
    </w:rPr>
  </w:style>
  <w:style w:type="table" w:styleId="44">
    <w:name w:val="Table Grid"/>
    <w:basedOn w:val="43"/>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qFormat/>
    <w:uiPriority w:val="0"/>
    <w:rPr>
      <w:b/>
      <w:bCs/>
    </w:rPr>
  </w:style>
  <w:style w:type="character" w:styleId="47">
    <w:name w:val="page number"/>
    <w:qFormat/>
    <w:uiPriority w:val="0"/>
  </w:style>
  <w:style w:type="character" w:styleId="48">
    <w:name w:val="FollowedHyperlink"/>
    <w:basedOn w:val="45"/>
    <w:qFormat/>
    <w:uiPriority w:val="0"/>
    <w:rPr>
      <w:rFonts w:hint="default" w:ascii="Arial" w:hAnsi="Arial" w:eastAsia="Arial" w:cs="Arial"/>
      <w:color w:val="333333"/>
      <w:sz w:val="21"/>
      <w:szCs w:val="21"/>
      <w:u w:val="none"/>
    </w:rPr>
  </w:style>
  <w:style w:type="character" w:styleId="49">
    <w:name w:val="Hyperlink"/>
    <w:basedOn w:val="45"/>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6">
    <w:name w:val="标题 3 字符"/>
    <w:link w:val="5"/>
    <w:qFormat/>
    <w:uiPriority w:val="0"/>
    <w:rPr>
      <w:rFonts w:ascii="Times New Roman" w:hAnsi="Times New Roman" w:eastAsia="宋体" w:cs="Times New Roman"/>
      <w:b/>
      <w:bCs/>
      <w:sz w:val="32"/>
      <w:szCs w:val="32"/>
    </w:rPr>
  </w:style>
  <w:style w:type="character" w:customStyle="1" w:styleId="57">
    <w:name w:val="批注文字 字符"/>
    <w:link w:val="15"/>
    <w:semiHidden/>
    <w:qFormat/>
    <w:uiPriority w:val="99"/>
    <w:rPr>
      <w:rFonts w:ascii="Times New Roman" w:hAnsi="Times New Roman" w:eastAsia="宋体" w:cs="Times New Roman"/>
      <w:szCs w:val="24"/>
    </w:rPr>
  </w:style>
  <w:style w:type="character" w:customStyle="1" w:styleId="58">
    <w:name w:val="标题 6 字符"/>
    <w:link w:val="7"/>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6"/>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2"/>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3"/>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10"/>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7"/>
    <w:qFormat/>
    <w:uiPriority w:val="0"/>
    <w:rPr>
      <w:szCs w:val="24"/>
    </w:rPr>
  </w:style>
  <w:style w:type="character" w:customStyle="1" w:styleId="75">
    <w:name w:val="文档结构图 字符"/>
    <w:link w:val="14"/>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4"/>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25"/>
    <w:qFormat/>
    <w:uiPriority w:val="0"/>
    <w:rPr>
      <w:rFonts w:ascii="Times New Roman" w:hAnsi="Times New Roman" w:eastAsia="宋体" w:cs="Times New Roman"/>
      <w:sz w:val="18"/>
      <w:szCs w:val="18"/>
    </w:rPr>
  </w:style>
  <w:style w:type="character" w:customStyle="1" w:styleId="80">
    <w:name w:val="标题 8 字符"/>
    <w:link w:val="9"/>
    <w:qFormat/>
    <w:uiPriority w:val="0"/>
    <w:rPr>
      <w:rFonts w:ascii="Arial" w:hAnsi="Arial" w:eastAsia="黑体" w:cs="Times New Roman"/>
      <w:kern w:val="0"/>
      <w:sz w:val="24"/>
      <w:szCs w:val="24"/>
    </w:rPr>
  </w:style>
  <w:style w:type="character" w:customStyle="1" w:styleId="81">
    <w:name w:val="日期 字符"/>
    <w:link w:val="23"/>
    <w:qFormat/>
    <w:uiPriority w:val="0"/>
    <w:rPr>
      <w:rFonts w:ascii="Times New Roman" w:hAnsi="Times New Roman" w:eastAsia="宋体" w:cs="Times New Roman"/>
      <w:sz w:val="24"/>
      <w:szCs w:val="20"/>
    </w:rPr>
  </w:style>
  <w:style w:type="character" w:customStyle="1" w:styleId="82">
    <w:name w:val="标题 1 字符"/>
    <w:link w:val="3"/>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6"/>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1"/>
    <w:qFormat/>
    <w:uiPriority w:val="99"/>
    <w:rPr>
      <w:rFonts w:ascii="Courier New" w:hAnsi="Courier New"/>
    </w:rPr>
  </w:style>
  <w:style w:type="character" w:customStyle="1" w:styleId="98">
    <w:name w:val="标题 7 字符"/>
    <w:link w:val="8"/>
    <w:qFormat/>
    <w:uiPriority w:val="0"/>
    <w:rPr>
      <w:rFonts w:ascii="Times New Roman" w:hAnsi="Times New Roman" w:eastAsia="宋体" w:cs="Times New Roman"/>
      <w:b/>
      <w:bCs/>
      <w:kern w:val="0"/>
      <w:sz w:val="24"/>
      <w:szCs w:val="24"/>
    </w:rPr>
  </w:style>
  <w:style w:type="paragraph" w:customStyle="1" w:styleId="99">
    <w:name w:val="样式4"/>
    <w:basedOn w:val="5"/>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5"/>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1"/>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1"/>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5"/>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8">
    <w:name w:val="样式2"/>
    <w:basedOn w:val="5"/>
    <w:qFormat/>
    <w:uiPriority w:val="0"/>
  </w:style>
  <w:style w:type="character" w:customStyle="1" w:styleId="159">
    <w:name w:val="after"/>
    <w:basedOn w:val="45"/>
    <w:qFormat/>
    <w:uiPriority w:val="0"/>
    <w:rPr>
      <w:bdr w:val="dashed" w:color="auto" w:sz="48" w:space="0"/>
    </w:rPr>
  </w:style>
  <w:style w:type="character" w:customStyle="1" w:styleId="160">
    <w:name w:val="before"/>
    <w:basedOn w:val="45"/>
    <w:qFormat/>
    <w:uiPriority w:val="0"/>
    <w:rPr>
      <w:bdr w:val="single" w:color="auto" w:sz="48" w:space="0"/>
    </w:rPr>
  </w:style>
  <w:style w:type="character" w:customStyle="1" w:styleId="161">
    <w:name w:val="hover48"/>
    <w:basedOn w:val="45"/>
    <w:qFormat/>
    <w:uiPriority w:val="0"/>
    <w:rPr>
      <w:shd w:val="clear" w:color="auto" w:fill="346AC3"/>
    </w:rPr>
  </w:style>
  <w:style w:type="character" w:customStyle="1" w:styleId="162">
    <w:name w:val="hover49"/>
    <w:basedOn w:val="45"/>
    <w:qFormat/>
    <w:uiPriority w:val="0"/>
  </w:style>
  <w:style w:type="character" w:customStyle="1" w:styleId="163">
    <w:name w:val="hover50"/>
    <w:basedOn w:val="45"/>
    <w:qFormat/>
    <w:uiPriority w:val="0"/>
    <w:rPr>
      <w:color w:val="4285F4"/>
      <w:u w:val="none"/>
    </w:rPr>
  </w:style>
  <w:style w:type="character" w:customStyle="1" w:styleId="164">
    <w:name w:val="hover51"/>
    <w:basedOn w:val="45"/>
    <w:qFormat/>
    <w:uiPriority w:val="0"/>
    <w:rPr>
      <w:color w:val="4285F4"/>
    </w:rPr>
  </w:style>
  <w:style w:type="character" w:customStyle="1" w:styleId="165">
    <w:name w:val="hover52"/>
    <w:basedOn w:val="45"/>
    <w:qFormat/>
    <w:uiPriority w:val="0"/>
    <w:rPr>
      <w:color w:val="1A85D7"/>
    </w:rPr>
  </w:style>
  <w:style w:type="character" w:customStyle="1" w:styleId="166">
    <w:name w:val="credit"/>
    <w:basedOn w:val="45"/>
    <w:qFormat/>
    <w:uiPriority w:val="0"/>
    <w:rPr>
      <w:sz w:val="18"/>
      <w:szCs w:val="18"/>
    </w:rPr>
  </w:style>
  <w:style w:type="character" w:customStyle="1" w:styleId="167">
    <w:name w:val="first-child"/>
    <w:basedOn w:val="45"/>
    <w:qFormat/>
    <w:uiPriority w:val="0"/>
  </w:style>
  <w:style w:type="character" w:customStyle="1" w:styleId="168">
    <w:name w:val="font31"/>
    <w:basedOn w:val="45"/>
    <w:qFormat/>
    <w:uiPriority w:val="0"/>
    <w:rPr>
      <w:rFonts w:hint="eastAsia" w:ascii="宋体" w:hAnsi="宋体" w:eastAsia="宋体" w:cs="宋体"/>
      <w:color w:val="000000"/>
      <w:sz w:val="24"/>
      <w:szCs w:val="24"/>
      <w:u w:val="none"/>
    </w:rPr>
  </w:style>
  <w:style w:type="paragraph" w:customStyle="1" w:styleId="169">
    <w:name w:val="样式 + 首行缩进: 2 字符"/>
    <w:basedOn w:val="1"/>
    <w:qFormat/>
    <w:uiPriority w:val="0"/>
    <w:pPr>
      <w:adjustRightInd w:val="0"/>
      <w:spacing w:line="360" w:lineRule="auto"/>
      <w:ind w:firstLine="524" w:firstLineChars="200"/>
    </w:pPr>
    <w:rPr>
      <w:rFonts w:hint="eastAsia" w:ascii="宋体" w:hAnsi="宋体"/>
      <w:spacing w:val="11"/>
      <w:kern w:val="0"/>
      <w:sz w:val="24"/>
    </w:rPr>
  </w:style>
  <w:style w:type="paragraph" w:customStyle="1" w:styleId="170">
    <w:name w:val="表格内正文，无编号"/>
    <w:basedOn w:val="1"/>
    <w:qFormat/>
    <w:uiPriority w:val="0"/>
    <w:pPr>
      <w:spacing w:line="400" w:lineRule="exact"/>
      <w:ind w:firstLine="643" w:firstLineChars="200"/>
    </w:pPr>
  </w:style>
  <w:style w:type="paragraph" w:customStyle="1" w:styleId="171">
    <w:name w:val="*正文"/>
    <w:basedOn w:val="1"/>
    <w:qFormat/>
    <w:uiPriority w:val="0"/>
    <w:pPr>
      <w:widowControl/>
      <w:ind w:firstLine="200" w:firstLineChars="200"/>
    </w:pPr>
    <w:rPr>
      <w:rFonts w:ascii="仿宋_GB2312" w:eastAsia="仿宋_GB2312" w:cstheme="minorBidi"/>
      <w:sz w:val="24"/>
      <w:szCs w:val="28"/>
    </w:rPr>
  </w:style>
  <w:style w:type="paragraph" w:customStyle="1" w:styleId="172">
    <w:name w:val="表体"/>
    <w:basedOn w:val="1"/>
    <w:next w:val="1"/>
    <w:qFormat/>
    <w:uiPriority w:val="0"/>
    <w:pPr>
      <w:snapToGrid w:val="0"/>
      <w:spacing w:line="0" w:lineRule="atLeast"/>
    </w:pPr>
    <w:rPr>
      <w:b/>
      <w:szCs w:val="20"/>
    </w:rPr>
  </w:style>
  <w:style w:type="paragraph" w:customStyle="1" w:styleId="173">
    <w:name w:val="Table Paragraph"/>
    <w:basedOn w:val="1"/>
    <w:qFormat/>
    <w:uiPriority w:val="1"/>
    <w:rPr>
      <w:rFonts w:ascii="宋体" w:hAnsi="宋体" w:cs="宋体"/>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6760</Words>
  <Characters>38532</Characters>
  <Lines>321</Lines>
  <Paragraphs>90</Paragraphs>
  <TotalTime>1</TotalTime>
  <ScaleCrop>false</ScaleCrop>
  <LinksUpToDate>false</LinksUpToDate>
  <CharactersWithSpaces>45202</CharactersWithSpaces>
  <Application>WPS Office_11.8.2.11460_F1E327BC-269C-435d-A152-05C5408002CA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2023-06-12T07:11:00Z</dcterms:created>
  <dc:creator>陈桂兰</dc:creator>
  <cp:lastModifiedBy>乌拉乌拉</cp:lastModifiedBy>
  <cp:lastPrinted>2022-06-07T02:51:00Z</cp:lastPrinted>
  <dcterms:modified xsi:type="dcterms:W3CDTF">2023-07-11T01:23:15Z</dcterms:modified>
  <dc:title>项目名称：2019年重庆市取消高速公路省界收费站项目</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2052-11.8.2.11460</vt:lpwstr>
  </property>
  <property fmtid="{D5CDD505-2E9C-101B-9397-08002B2CF9AE}" pid="3" name="ICV">
    <vt:lpwstr>7736CDDCC314442B9B0B954DA6B7E062</vt:lpwstr>
  </property>
</Properties>
</file>