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2762" w:firstLineChars="800"/>
        <w:rPr>
          <w:rFonts w:ascii="宋体"/>
          <w:b/>
          <w:color w:val="auto"/>
          <w:spacing w:val="12"/>
          <w:sz w:val="32"/>
          <w:szCs w:val="32"/>
        </w:rPr>
      </w:pPr>
      <w:bookmarkStart w:id="0" w:name="_GoBack"/>
      <w:r>
        <w:rPr>
          <w:rFonts w:hint="eastAsia" w:ascii="宋体" w:hAnsi="宋体"/>
          <w:b/>
          <w:color w:val="auto"/>
          <w:spacing w:val="12"/>
          <w:sz w:val="32"/>
          <w:szCs w:val="32"/>
        </w:rPr>
        <w:t>工程量清单说明</w:t>
      </w:r>
    </w:p>
    <w:p>
      <w:pPr>
        <w:autoSpaceDE w:val="0"/>
        <w:autoSpaceDN w:val="0"/>
        <w:spacing w:line="492" w:lineRule="exact"/>
        <w:ind w:firstLine="424" w:firstLineChars="202"/>
        <w:textAlignment w:val="auto"/>
        <w:rPr>
          <w:rFonts w:ascii="宋体"/>
          <w:color w:val="auto"/>
          <w:kern w:val="2"/>
          <w:szCs w:val="21"/>
        </w:rPr>
      </w:pPr>
      <w:r>
        <w:rPr>
          <w:rFonts w:ascii="宋体" w:hAnsi="宋体"/>
          <w:color w:val="auto"/>
          <w:kern w:val="2"/>
          <w:szCs w:val="21"/>
        </w:rPr>
        <w:t>1</w:t>
      </w:r>
      <w:r>
        <w:rPr>
          <w:rFonts w:hint="eastAsia" w:ascii="宋体" w:hAnsi="宋体"/>
          <w:color w:val="auto"/>
          <w:kern w:val="2"/>
          <w:szCs w:val="21"/>
        </w:rPr>
        <w:t>．工程量清单应与合同条款、技术规范及图纸等文件结合起来查阅与理解。</w:t>
      </w:r>
    </w:p>
    <w:p>
      <w:pPr>
        <w:autoSpaceDE w:val="0"/>
        <w:autoSpaceDN w:val="0"/>
        <w:spacing w:line="492" w:lineRule="exact"/>
        <w:ind w:firstLine="424" w:firstLineChars="202"/>
        <w:textAlignment w:val="auto"/>
        <w:rPr>
          <w:rFonts w:ascii="宋体"/>
          <w:color w:val="auto"/>
          <w:kern w:val="2"/>
          <w:szCs w:val="21"/>
        </w:rPr>
      </w:pPr>
      <w:r>
        <w:rPr>
          <w:rFonts w:ascii="宋体" w:hAnsi="宋体"/>
          <w:color w:val="auto"/>
          <w:kern w:val="2"/>
          <w:szCs w:val="21"/>
        </w:rPr>
        <w:t>2</w:t>
      </w:r>
      <w:r>
        <w:rPr>
          <w:rFonts w:hint="eastAsia" w:ascii="宋体" w:hAnsi="宋体"/>
          <w:color w:val="auto"/>
          <w:kern w:val="2"/>
          <w:szCs w:val="21"/>
        </w:rPr>
        <w:t>．工程量清单中所列工程数量是估算或设计的预计数量，仅作为合同的共同基础，不能作为最终结算与支付的依据。实际支付应按实际完成的工程量，由承包人按技术规范规定的计算方法，以监理工程师、业主认可的尺寸、断面计量，按工程量清单的单价和总额价计算支付金额；或者根据具体情况，由监理工程师、业主确定的单价或总额价计算支付额。</w:t>
      </w:r>
    </w:p>
    <w:p>
      <w:pPr>
        <w:autoSpaceDE w:val="0"/>
        <w:autoSpaceDN w:val="0"/>
        <w:spacing w:line="492" w:lineRule="exact"/>
        <w:ind w:firstLine="424" w:firstLineChars="202"/>
        <w:textAlignment w:val="auto"/>
        <w:rPr>
          <w:rFonts w:ascii="宋体" w:hAnsi="宋体"/>
          <w:color w:val="auto"/>
          <w:kern w:val="2"/>
          <w:szCs w:val="21"/>
        </w:rPr>
      </w:pPr>
      <w:r>
        <w:rPr>
          <w:rFonts w:ascii="宋体" w:hAnsi="宋体"/>
          <w:color w:val="auto"/>
          <w:kern w:val="2"/>
          <w:szCs w:val="21"/>
        </w:rPr>
        <w:t>3.</w:t>
      </w:r>
      <w:r>
        <w:rPr>
          <w:rFonts w:hint="eastAsia" w:ascii="宋体" w:hAnsi="宋体"/>
          <w:color w:val="auto"/>
          <w:kern w:val="2"/>
          <w:szCs w:val="21"/>
        </w:rPr>
        <w:t>除非合同另有规定，工程量清单中单价为全费用单价，均已包括了为实施和完成合同工程所需的劳务、材料、机械、质检（自检）、安装、缺陷修复、管理、利润、税金、施工监测、施工动力、施工照明、施工机械进出场、脚手架搭设、二次转运等临时工程设施及施工辅助费用，以及设计图纸与技术规范所包含的所有内容，合同明示或暗示的所有责任、义务和一般风险。</w:t>
      </w:r>
    </w:p>
    <w:p>
      <w:pPr>
        <w:autoSpaceDE w:val="0"/>
        <w:autoSpaceDN w:val="0"/>
        <w:spacing w:line="460" w:lineRule="exact"/>
        <w:ind w:firstLine="424" w:firstLineChars="202"/>
        <w:textAlignment w:val="auto"/>
        <w:rPr>
          <w:rFonts w:ascii="宋体" w:hAnsi="宋体"/>
          <w:color w:val="auto"/>
          <w:kern w:val="2"/>
          <w:szCs w:val="21"/>
        </w:rPr>
      </w:pPr>
      <w:r>
        <w:rPr>
          <w:rFonts w:hint="eastAsia" w:ascii="宋体" w:hAnsi="宋体"/>
          <w:color w:val="auto"/>
          <w:kern w:val="2"/>
          <w:szCs w:val="21"/>
        </w:rPr>
        <w:t>4.</w:t>
      </w:r>
      <w:r>
        <w:rPr>
          <w:rFonts w:hint="eastAsia" w:ascii="宋体" w:hAnsi="宋体"/>
          <w:color w:val="auto"/>
          <w:kern w:val="2"/>
          <w:szCs w:val="21"/>
        </w:rPr>
        <w:t>安全作业交通维护费</w:t>
      </w:r>
      <w:r>
        <w:rPr>
          <w:rFonts w:hint="eastAsia" w:ascii="宋体" w:hAnsi="宋体"/>
          <w:color w:val="auto"/>
          <w:kern w:val="2"/>
          <w:szCs w:val="21"/>
        </w:rPr>
        <w:t>：</w:t>
      </w:r>
      <w:r>
        <w:rPr>
          <w:rFonts w:hint="eastAsia" w:ascii="宋体" w:hAnsi="宋体"/>
          <w:color w:val="auto"/>
          <w:kern w:val="2"/>
          <w:szCs w:val="21"/>
        </w:rPr>
        <w:t>养护施工期间正常状况下（非应急状况下）为保证本项目的公路交通畅通、安全行驶而设置的临时安全设施、标志和标牌等安全设施费和指导、指引、管制交通流的人工费。在工程量清单第</w:t>
      </w:r>
      <w:r>
        <w:rPr>
          <w:rFonts w:ascii="宋体" w:hAnsi="宋体"/>
          <w:color w:val="auto"/>
          <w:kern w:val="2"/>
          <w:szCs w:val="21"/>
        </w:rPr>
        <w:t>100</w:t>
      </w:r>
      <w:r>
        <w:rPr>
          <w:rFonts w:hint="eastAsia" w:ascii="宋体" w:hAnsi="宋体"/>
          <w:color w:val="auto"/>
          <w:kern w:val="2"/>
          <w:szCs w:val="21"/>
        </w:rPr>
        <w:t>章中列有一个单独的支付细目，承包人应根据自己的交通组织方案（须报交警与市交委审批通过）实施。</w:t>
      </w:r>
    </w:p>
    <w:p>
      <w:pPr>
        <w:autoSpaceDE w:val="0"/>
        <w:autoSpaceDN w:val="0"/>
        <w:spacing w:line="460" w:lineRule="exact"/>
        <w:ind w:firstLine="424" w:firstLineChars="202"/>
        <w:textAlignment w:val="auto"/>
        <w:rPr>
          <w:rFonts w:ascii="宋体" w:hAnsi="宋体"/>
          <w:color w:val="auto"/>
          <w:kern w:val="2"/>
          <w:szCs w:val="21"/>
        </w:rPr>
      </w:pPr>
      <w:r>
        <w:rPr>
          <w:rFonts w:hint="eastAsia" w:ascii="宋体" w:hAnsi="宋体"/>
          <w:color w:val="auto"/>
          <w:kern w:val="2"/>
          <w:szCs w:val="21"/>
        </w:rPr>
        <w:t>5.安全生产费：</w:t>
      </w:r>
      <w:r>
        <w:rPr>
          <w:rFonts w:hint="eastAsia" w:ascii="宋体" w:hAnsi="宋体"/>
          <w:color w:val="auto"/>
          <w:kern w:val="2"/>
          <w:szCs w:val="21"/>
        </w:rPr>
        <w:t>按照《公路养护工程预算编制办法》的通知（渝交管养[2018]101号），费率按2％计取，在工程量清单第100章中列有一个单独的支付细目，计算基数按工程量各章清单合计金额（不含保险费及安全生产费）乘以安全生产费费率计算，以总额计量，以暂定形式单列，结算时按此费率结算。安全生产费包含设备设施、材料照管（含发包人采购设备、材料）、施工安全、人员安全和标准化施工等工程必须内容，承包人应保证投入足够的人力、物力及车辆看护本项目中的设备设施及材料，看护工作应落实到人。承包人还应根据现场实际情况增加看护力量，设备设施及材料在施工期间发生的偷盗、人为破环、损坏等情况，均由承包人自行承担，并予以修复、补齐。在施工安全措施和安全生产条件达到要求，经监理、业主验收确认后可以办理计量</w:t>
      </w:r>
      <w:r>
        <w:rPr>
          <w:rFonts w:hint="eastAsia" w:ascii="宋体" w:hAnsi="宋体"/>
          <w:color w:val="auto"/>
          <w:kern w:val="2"/>
          <w:szCs w:val="21"/>
        </w:rPr>
        <w:t>。</w:t>
      </w:r>
    </w:p>
    <w:p>
      <w:pPr>
        <w:autoSpaceDE w:val="0"/>
        <w:autoSpaceDN w:val="0"/>
        <w:spacing w:line="492" w:lineRule="exact"/>
        <w:ind w:firstLine="424" w:firstLineChars="202"/>
        <w:textAlignment w:val="auto"/>
        <w:rPr>
          <w:rFonts w:ascii="宋体" w:hAnsi="宋体"/>
          <w:color w:val="auto"/>
          <w:kern w:val="2"/>
          <w:szCs w:val="21"/>
        </w:rPr>
      </w:pPr>
      <w:r>
        <w:rPr>
          <w:rFonts w:hint="eastAsia" w:ascii="宋体" w:hAnsi="宋体"/>
          <w:color w:val="auto"/>
          <w:kern w:val="2"/>
          <w:szCs w:val="21"/>
        </w:rPr>
        <w:t>6.</w:t>
      </w:r>
      <w:r>
        <w:rPr>
          <w:rFonts w:hint="eastAsia"/>
          <w:color w:val="auto"/>
        </w:rPr>
        <w:t xml:space="preserve"> </w:t>
      </w:r>
      <w:r>
        <w:rPr>
          <w:rFonts w:hint="eastAsia" w:ascii="宋体" w:hAnsi="宋体"/>
          <w:color w:val="auto"/>
          <w:kern w:val="2"/>
          <w:szCs w:val="21"/>
        </w:rPr>
        <w:t>施工环保费：施工现场为达到环保部门要求所需要的各项费用。包括施工现场的扬尘采取洒水措施治理；施工噪音控制措施；施工现场排污治理措施等发生的费用；施工垃圾清运和填埋费用等。</w:t>
      </w:r>
      <w:r>
        <w:rPr>
          <w:rFonts w:hint="eastAsia" w:ascii="宋体" w:hAnsi="宋体"/>
          <w:color w:val="auto"/>
          <w:kern w:val="2"/>
          <w:szCs w:val="21"/>
        </w:rPr>
        <w:t>在工程量清单第100章中列有一个单独的支付细目，此项费用包干使用。</w:t>
      </w:r>
    </w:p>
    <w:p>
      <w:pPr>
        <w:autoSpaceDE w:val="0"/>
        <w:autoSpaceDN w:val="0"/>
        <w:spacing w:line="460" w:lineRule="exact"/>
        <w:ind w:firstLine="420"/>
        <w:textAlignment w:val="auto"/>
        <w:rPr>
          <w:rFonts w:ascii="宋体" w:hAnsi="宋体"/>
          <w:color w:val="auto"/>
          <w:kern w:val="2"/>
          <w:szCs w:val="21"/>
        </w:rPr>
      </w:pPr>
      <w:r>
        <w:rPr>
          <w:rFonts w:hint="eastAsia" w:ascii="宋体" w:hAnsi="宋体"/>
          <w:color w:val="auto"/>
          <w:kern w:val="2"/>
          <w:szCs w:val="21"/>
        </w:rPr>
        <w:t>7.</w:t>
      </w:r>
      <w:r>
        <w:rPr>
          <w:rFonts w:hint="eastAsia"/>
          <w:color w:val="auto"/>
        </w:rPr>
        <w:t xml:space="preserve"> </w:t>
      </w:r>
      <w:r>
        <w:rPr>
          <w:rFonts w:hint="eastAsia" w:ascii="宋体" w:hAnsi="宋体"/>
          <w:color w:val="auto"/>
          <w:kern w:val="2"/>
          <w:szCs w:val="21"/>
        </w:rPr>
        <w:t>施工车辆通行费</w:t>
      </w:r>
      <w:r>
        <w:rPr>
          <w:rFonts w:hint="eastAsia" w:ascii="宋体" w:hAnsi="宋体"/>
          <w:color w:val="auto"/>
          <w:kern w:val="2"/>
          <w:szCs w:val="21"/>
        </w:rPr>
        <w:t>：养护施工单位施工车辆或施工机具进出本养护路段时，按相关规定缴纳的车辆通行费，包括施工单位现场管理用车、材料二次（从工地仓库至施工地点）转运用车及施工机具场内转移时进出本养护路段所应缴纳的通行费用，以及自办拌合场内的混合料运输车辆进出本养护路段所缴纳的通行费用。</w:t>
      </w:r>
      <w:r>
        <w:rPr>
          <w:rFonts w:hint="eastAsia" w:ascii="宋体" w:hAnsi="宋体"/>
          <w:color w:val="auto"/>
          <w:kern w:val="2"/>
          <w:szCs w:val="21"/>
        </w:rPr>
        <w:t>在工程量清单第100章中列有一个单独的支付细目，此项费用包干使用</w:t>
      </w:r>
      <w:r>
        <w:rPr>
          <w:rFonts w:hint="eastAsia" w:ascii="宋体" w:hAnsi="宋体"/>
          <w:color w:val="auto"/>
          <w:kern w:val="2"/>
          <w:szCs w:val="21"/>
        </w:rPr>
        <w:t>。</w:t>
      </w:r>
    </w:p>
    <w:p>
      <w:pPr>
        <w:autoSpaceDE w:val="0"/>
        <w:autoSpaceDN w:val="0"/>
        <w:spacing w:line="460" w:lineRule="exact"/>
        <w:ind w:firstLine="424" w:firstLineChars="202"/>
        <w:textAlignment w:val="auto"/>
        <w:rPr>
          <w:rFonts w:ascii="宋体" w:hAnsi="宋体"/>
          <w:color w:val="auto"/>
          <w:kern w:val="2"/>
          <w:szCs w:val="21"/>
        </w:rPr>
      </w:pPr>
      <w:r>
        <w:rPr>
          <w:rFonts w:hint="eastAsia" w:ascii="宋体" w:hAnsi="宋体"/>
          <w:color w:val="auto"/>
          <w:kern w:val="2"/>
          <w:szCs w:val="21"/>
        </w:rPr>
        <w:t>8</w:t>
      </w:r>
      <w:r>
        <w:rPr>
          <w:rFonts w:hint="eastAsia" w:ascii="宋体" w:hAnsi="宋体"/>
          <w:color w:val="auto"/>
          <w:kern w:val="2"/>
          <w:szCs w:val="21"/>
        </w:rPr>
        <w:t>.</w:t>
      </w:r>
      <w:r>
        <w:rPr>
          <w:rFonts w:hint="eastAsia"/>
          <w:color w:val="auto"/>
        </w:rPr>
        <w:t xml:space="preserve"> </w:t>
      </w:r>
      <w:r>
        <w:rPr>
          <w:rFonts w:hint="eastAsia" w:ascii="宋体" w:hAnsi="宋体"/>
          <w:color w:val="auto"/>
          <w:kern w:val="2"/>
          <w:szCs w:val="21"/>
        </w:rPr>
        <w:t>承包人驻地建设：包</w:t>
      </w:r>
      <w:r>
        <w:rPr>
          <w:rFonts w:hint="eastAsia" w:ascii="宋体" w:hAnsi="宋体"/>
          <w:color w:val="auto"/>
          <w:kern w:val="2"/>
          <w:szCs w:val="21"/>
        </w:rPr>
        <w:t>括施工与管理所需的办公室、住房、工地试验室、工作场地、预制场地、仓库与储料场、医疗卫生与消防设施等</w:t>
      </w:r>
      <w:r>
        <w:rPr>
          <w:rFonts w:hint="eastAsia" w:ascii="宋体" w:hAnsi="宋体"/>
          <w:color w:val="auto"/>
          <w:kern w:val="2"/>
          <w:szCs w:val="21"/>
        </w:rPr>
        <w:t>。施工单位根据自身条件报价，结算包干使用，业主验收确认后可以办理计量。</w:t>
      </w:r>
      <w:r>
        <w:rPr>
          <w:rFonts w:hint="eastAsia" w:ascii="宋体" w:hAnsi="宋体"/>
          <w:color w:val="auto"/>
          <w:kern w:val="2"/>
          <w:szCs w:val="21"/>
        </w:rPr>
        <w:t>在工程量清单第100章中列有一个单独的支付细目，投标人自主报价，报价不得超过限价，并此项费用包干使用。</w:t>
      </w:r>
    </w:p>
    <w:p>
      <w:pPr>
        <w:autoSpaceDE w:val="0"/>
        <w:autoSpaceDN w:val="0"/>
        <w:spacing w:line="460" w:lineRule="exact"/>
        <w:ind w:firstLine="420" w:firstLineChars="200"/>
        <w:textAlignment w:val="auto"/>
        <w:rPr>
          <w:rFonts w:ascii="宋体" w:hAnsi="宋体"/>
          <w:color w:val="auto"/>
          <w:kern w:val="2"/>
          <w:szCs w:val="21"/>
        </w:rPr>
      </w:pPr>
      <w:r>
        <w:rPr>
          <w:rFonts w:hint="eastAsia" w:ascii="宋体" w:hAnsi="宋体"/>
          <w:color w:val="auto"/>
          <w:kern w:val="2"/>
          <w:szCs w:val="21"/>
        </w:rPr>
        <w:t>9.本项目所涉及的所有余土及弃渣由承包人实地考察自行确定渣场位置，综合考虑相关因素，渣场费考虑在工程量清单综合单价内，结算时不得就此内容增加费用。</w:t>
      </w:r>
    </w:p>
    <w:p>
      <w:pPr>
        <w:autoSpaceDE w:val="0"/>
        <w:autoSpaceDN w:val="0"/>
        <w:spacing w:line="460" w:lineRule="exact"/>
        <w:ind w:firstLine="420" w:firstLineChars="200"/>
        <w:textAlignment w:val="auto"/>
        <w:rPr>
          <w:rFonts w:ascii="宋体" w:hAnsi="宋体"/>
          <w:color w:val="auto"/>
          <w:kern w:val="2"/>
          <w:szCs w:val="21"/>
        </w:rPr>
      </w:pPr>
      <w:r>
        <w:rPr>
          <w:rFonts w:hint="eastAsia" w:ascii="宋体" w:hAnsi="宋体"/>
          <w:color w:val="auto"/>
          <w:kern w:val="2"/>
          <w:szCs w:val="21"/>
        </w:rPr>
        <w:t>10．对于没有在工程量清单中出现的工程细目，其费用应视为已包括在工程量清单的单价中，承包人必须按监理工程师指令完成工程量清单中未出现的工程细目，但得不到计量与支付。</w:t>
      </w:r>
    </w:p>
    <w:p>
      <w:pPr>
        <w:autoSpaceDE w:val="0"/>
        <w:autoSpaceDN w:val="0"/>
        <w:spacing w:line="460" w:lineRule="exact"/>
        <w:ind w:firstLine="420" w:firstLineChars="200"/>
        <w:textAlignment w:val="auto"/>
        <w:rPr>
          <w:rFonts w:ascii="宋体" w:hAnsi="宋体"/>
          <w:color w:val="auto"/>
          <w:kern w:val="2"/>
          <w:szCs w:val="21"/>
        </w:rPr>
      </w:pPr>
      <w:r>
        <w:rPr>
          <w:rFonts w:hint="eastAsia" w:ascii="宋体" w:hAnsi="宋体"/>
          <w:color w:val="auto"/>
          <w:kern w:val="2"/>
          <w:szCs w:val="21"/>
        </w:rPr>
        <w:t>11．工程量清单各章是按相关技术规范相应章次编号的，因此工程量清单中各章的工程细目的范围与计量等应与相应章节的范围、计量与支付条款结合起来理解或解释。</w:t>
      </w:r>
    </w:p>
    <w:p>
      <w:pPr>
        <w:autoSpaceDE w:val="0"/>
        <w:autoSpaceDN w:val="0"/>
        <w:spacing w:line="460" w:lineRule="exact"/>
        <w:ind w:firstLine="420" w:firstLineChars="200"/>
        <w:textAlignment w:val="auto"/>
        <w:rPr>
          <w:rFonts w:ascii="宋体" w:hAnsi="宋体"/>
          <w:color w:val="auto"/>
          <w:kern w:val="2"/>
          <w:szCs w:val="21"/>
        </w:rPr>
      </w:pPr>
      <w:r>
        <w:rPr>
          <w:rFonts w:hint="eastAsia" w:ascii="宋体" w:hAnsi="宋体"/>
          <w:color w:val="auto"/>
          <w:kern w:val="2"/>
          <w:szCs w:val="21"/>
        </w:rPr>
        <w:t>12．工程量清单中所列工程量的变动，丝毫不会降低或影响合同条款的效力，也不会免除承包人按规定的标准进行施工和修复缺陷的责任。</w:t>
      </w:r>
    </w:p>
    <w:p>
      <w:pPr>
        <w:autoSpaceDE w:val="0"/>
        <w:autoSpaceDN w:val="0"/>
        <w:spacing w:line="460" w:lineRule="exact"/>
        <w:ind w:firstLineChars="216"/>
        <w:textAlignment w:val="auto"/>
        <w:rPr>
          <w:rFonts w:ascii="宋体"/>
          <w:color w:val="auto"/>
          <w:kern w:val="2"/>
          <w:szCs w:val="21"/>
        </w:rPr>
      </w:pPr>
      <w:r>
        <w:rPr>
          <w:rFonts w:hint="eastAsia" w:ascii="宋体" w:hAnsi="宋体"/>
          <w:color w:val="auto"/>
          <w:kern w:val="2"/>
          <w:szCs w:val="21"/>
        </w:rPr>
        <w:t>13</w:t>
      </w:r>
      <w:r>
        <w:rPr>
          <w:rFonts w:ascii="宋体" w:hAnsi="宋体"/>
          <w:color w:val="auto"/>
          <w:kern w:val="2"/>
          <w:szCs w:val="21"/>
        </w:rPr>
        <w:t xml:space="preserve">. </w:t>
      </w:r>
      <w:r>
        <w:rPr>
          <w:rFonts w:hint="eastAsia" w:ascii="宋体" w:hAnsi="宋体"/>
          <w:color w:val="auto"/>
          <w:kern w:val="2"/>
          <w:szCs w:val="21"/>
        </w:rPr>
        <w:t>计量方法</w:t>
      </w:r>
    </w:p>
    <w:p>
      <w:pPr>
        <w:autoSpaceDE w:val="0"/>
        <w:autoSpaceDN w:val="0"/>
        <w:spacing w:line="460" w:lineRule="exact"/>
        <w:ind w:firstLine="525" w:firstLineChars="250"/>
        <w:textAlignment w:val="auto"/>
        <w:rPr>
          <w:rFonts w:ascii="宋体"/>
          <w:color w:val="auto"/>
          <w:kern w:val="2"/>
          <w:szCs w:val="21"/>
        </w:rPr>
      </w:pPr>
      <w:r>
        <w:rPr>
          <w:rFonts w:hint="eastAsia" w:ascii="宋体" w:hAnsi="宋体"/>
          <w:color w:val="auto"/>
          <w:kern w:val="2"/>
          <w:szCs w:val="21"/>
        </w:rPr>
        <w:t>（</w:t>
      </w:r>
      <w:r>
        <w:rPr>
          <w:rFonts w:ascii="宋体" w:hAnsi="宋体"/>
          <w:color w:val="auto"/>
          <w:kern w:val="2"/>
          <w:szCs w:val="21"/>
        </w:rPr>
        <w:t>a</w:t>
      </w:r>
      <w:r>
        <w:rPr>
          <w:rFonts w:hint="eastAsia" w:ascii="宋体" w:hAnsi="宋体"/>
          <w:color w:val="auto"/>
          <w:kern w:val="2"/>
          <w:szCs w:val="21"/>
        </w:rPr>
        <w:t>）用于支付已完成工程的计量方法</w:t>
      </w:r>
      <w:r>
        <w:rPr>
          <w:rFonts w:ascii="宋体"/>
          <w:color w:val="auto"/>
          <w:kern w:val="2"/>
          <w:szCs w:val="21"/>
        </w:rPr>
        <w:t>,</w:t>
      </w:r>
      <w:r>
        <w:rPr>
          <w:rFonts w:hint="eastAsia" w:ascii="宋体" w:hAnsi="宋体"/>
          <w:color w:val="auto"/>
          <w:kern w:val="2"/>
          <w:szCs w:val="21"/>
        </w:rPr>
        <w:t>应符合技术规范中相应章节的条款的规定。</w:t>
      </w:r>
    </w:p>
    <w:p>
      <w:pPr>
        <w:autoSpaceDE w:val="0"/>
        <w:autoSpaceDN w:val="0"/>
        <w:spacing w:line="460" w:lineRule="exact"/>
        <w:ind w:firstLine="525" w:firstLineChars="250"/>
        <w:textAlignment w:val="auto"/>
        <w:rPr>
          <w:rFonts w:ascii="宋体"/>
          <w:color w:val="auto"/>
          <w:kern w:val="2"/>
          <w:szCs w:val="21"/>
        </w:rPr>
      </w:pPr>
      <w:r>
        <w:rPr>
          <w:rFonts w:hint="eastAsia" w:ascii="宋体" w:hAnsi="宋体"/>
          <w:color w:val="auto"/>
          <w:kern w:val="2"/>
          <w:szCs w:val="21"/>
        </w:rPr>
        <w:t>（</w:t>
      </w:r>
      <w:r>
        <w:rPr>
          <w:rFonts w:ascii="宋体" w:hAnsi="宋体"/>
          <w:color w:val="auto"/>
          <w:kern w:val="2"/>
          <w:szCs w:val="21"/>
        </w:rPr>
        <w:t>b</w:t>
      </w:r>
      <w:r>
        <w:rPr>
          <w:rFonts w:hint="eastAsia" w:ascii="宋体" w:hAnsi="宋体"/>
          <w:color w:val="auto"/>
          <w:kern w:val="2"/>
          <w:szCs w:val="21"/>
        </w:rPr>
        <w:t>）图纸中所列的工程数量表及数量汇总表仅是提供资料，不是工程量清单的外延。当图纸与工程量清单所列数量不一致时，以工程量清单所列数量作为合同的依据。</w:t>
      </w:r>
    </w:p>
    <w:p>
      <w:pPr>
        <w:autoSpaceDE w:val="0"/>
        <w:autoSpaceDN w:val="0"/>
        <w:spacing w:line="460" w:lineRule="exact"/>
        <w:ind w:firstLine="735" w:firstLineChars="350"/>
        <w:textAlignment w:val="auto"/>
        <w:rPr>
          <w:rFonts w:ascii="宋体"/>
          <w:color w:val="auto"/>
          <w:kern w:val="2"/>
          <w:szCs w:val="21"/>
        </w:rPr>
      </w:pPr>
      <w:r>
        <w:rPr>
          <w:rFonts w:hint="eastAsia" w:ascii="宋体" w:hAnsi="宋体"/>
          <w:color w:val="auto"/>
          <w:kern w:val="2"/>
          <w:szCs w:val="21"/>
        </w:rPr>
        <w:t>工程量清单中各项金额均以人民币（元）为单位结算。</w:t>
      </w:r>
    </w:p>
    <w:bookmarkEnd w:id="0"/>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docVars>
    <w:docVar w:name="commondata" w:val="eyJoZGlkIjoiMzEwNTM5NzYwMDRjMzkwZTVkZjY2ODkwMGIxNGU0OTUifQ=="/>
  </w:docVars>
  <w:rsids>
    <w:rsidRoot w:val="006064CD"/>
    <w:rsid w:val="00003CA0"/>
    <w:rsid w:val="000076E9"/>
    <w:rsid w:val="000107DC"/>
    <w:rsid w:val="00013337"/>
    <w:rsid w:val="00016126"/>
    <w:rsid w:val="00017D5E"/>
    <w:rsid w:val="000232C7"/>
    <w:rsid w:val="000279CD"/>
    <w:rsid w:val="00030292"/>
    <w:rsid w:val="000320EF"/>
    <w:rsid w:val="00034E30"/>
    <w:rsid w:val="00036113"/>
    <w:rsid w:val="000361D6"/>
    <w:rsid w:val="000371A4"/>
    <w:rsid w:val="00040609"/>
    <w:rsid w:val="000436CB"/>
    <w:rsid w:val="00045A02"/>
    <w:rsid w:val="00047A02"/>
    <w:rsid w:val="000548C8"/>
    <w:rsid w:val="000551DA"/>
    <w:rsid w:val="00063B79"/>
    <w:rsid w:val="000640AC"/>
    <w:rsid w:val="000706ED"/>
    <w:rsid w:val="00070C55"/>
    <w:rsid w:val="00071DFE"/>
    <w:rsid w:val="000764DA"/>
    <w:rsid w:val="000852AB"/>
    <w:rsid w:val="000915E7"/>
    <w:rsid w:val="000A1E54"/>
    <w:rsid w:val="000A3261"/>
    <w:rsid w:val="000A69F0"/>
    <w:rsid w:val="000B17D8"/>
    <w:rsid w:val="000B3863"/>
    <w:rsid w:val="000B6E01"/>
    <w:rsid w:val="000B7214"/>
    <w:rsid w:val="000B7FAD"/>
    <w:rsid w:val="000C0AFE"/>
    <w:rsid w:val="000C0C41"/>
    <w:rsid w:val="000C23C7"/>
    <w:rsid w:val="000C38F7"/>
    <w:rsid w:val="000C44FA"/>
    <w:rsid w:val="000C6202"/>
    <w:rsid w:val="000C69DD"/>
    <w:rsid w:val="000D0EB9"/>
    <w:rsid w:val="000D2380"/>
    <w:rsid w:val="000D2A7D"/>
    <w:rsid w:val="000D4048"/>
    <w:rsid w:val="000D4A14"/>
    <w:rsid w:val="000E350A"/>
    <w:rsid w:val="000E3CEB"/>
    <w:rsid w:val="000E4692"/>
    <w:rsid w:val="000E607F"/>
    <w:rsid w:val="000F0886"/>
    <w:rsid w:val="000F3217"/>
    <w:rsid w:val="000F351E"/>
    <w:rsid w:val="000F5BC3"/>
    <w:rsid w:val="000F6EC7"/>
    <w:rsid w:val="000F76D2"/>
    <w:rsid w:val="000F7E8E"/>
    <w:rsid w:val="001000AC"/>
    <w:rsid w:val="001001A0"/>
    <w:rsid w:val="00105AF4"/>
    <w:rsid w:val="00107764"/>
    <w:rsid w:val="00107A7A"/>
    <w:rsid w:val="00111EA9"/>
    <w:rsid w:val="001170A8"/>
    <w:rsid w:val="001174EB"/>
    <w:rsid w:val="00123759"/>
    <w:rsid w:val="00125789"/>
    <w:rsid w:val="00125C28"/>
    <w:rsid w:val="00127627"/>
    <w:rsid w:val="00127F83"/>
    <w:rsid w:val="00130821"/>
    <w:rsid w:val="001363BB"/>
    <w:rsid w:val="00136A70"/>
    <w:rsid w:val="00141856"/>
    <w:rsid w:val="00142586"/>
    <w:rsid w:val="00144F32"/>
    <w:rsid w:val="00146A33"/>
    <w:rsid w:val="00153AEC"/>
    <w:rsid w:val="001545D0"/>
    <w:rsid w:val="00154770"/>
    <w:rsid w:val="00154EFE"/>
    <w:rsid w:val="001633AE"/>
    <w:rsid w:val="00165617"/>
    <w:rsid w:val="00167434"/>
    <w:rsid w:val="001701F0"/>
    <w:rsid w:val="001767D9"/>
    <w:rsid w:val="00176F2B"/>
    <w:rsid w:val="00180118"/>
    <w:rsid w:val="001816EB"/>
    <w:rsid w:val="001829A3"/>
    <w:rsid w:val="00183E20"/>
    <w:rsid w:val="0018425F"/>
    <w:rsid w:val="001854E0"/>
    <w:rsid w:val="0018561C"/>
    <w:rsid w:val="001869DF"/>
    <w:rsid w:val="00192190"/>
    <w:rsid w:val="001A61CE"/>
    <w:rsid w:val="001B095E"/>
    <w:rsid w:val="001B18BE"/>
    <w:rsid w:val="001B3522"/>
    <w:rsid w:val="001B3DCF"/>
    <w:rsid w:val="001B6E36"/>
    <w:rsid w:val="001C0589"/>
    <w:rsid w:val="001C1C3B"/>
    <w:rsid w:val="001C1CB0"/>
    <w:rsid w:val="001C2AC9"/>
    <w:rsid w:val="001C5254"/>
    <w:rsid w:val="001C68FC"/>
    <w:rsid w:val="001C695A"/>
    <w:rsid w:val="001D0196"/>
    <w:rsid w:val="001D1806"/>
    <w:rsid w:val="001D384F"/>
    <w:rsid w:val="001D66D5"/>
    <w:rsid w:val="001D7745"/>
    <w:rsid w:val="001E0940"/>
    <w:rsid w:val="001F1C74"/>
    <w:rsid w:val="001F1D29"/>
    <w:rsid w:val="001F2FA2"/>
    <w:rsid w:val="001F418B"/>
    <w:rsid w:val="001F45D6"/>
    <w:rsid w:val="001F4E87"/>
    <w:rsid w:val="001F59DB"/>
    <w:rsid w:val="001F6808"/>
    <w:rsid w:val="00204749"/>
    <w:rsid w:val="00205635"/>
    <w:rsid w:val="0020712D"/>
    <w:rsid w:val="0021005E"/>
    <w:rsid w:val="002119AA"/>
    <w:rsid w:val="00212877"/>
    <w:rsid w:val="00213745"/>
    <w:rsid w:val="002145D8"/>
    <w:rsid w:val="00215F68"/>
    <w:rsid w:val="002165F5"/>
    <w:rsid w:val="002243E0"/>
    <w:rsid w:val="00230003"/>
    <w:rsid w:val="002328F4"/>
    <w:rsid w:val="0023608A"/>
    <w:rsid w:val="0023690A"/>
    <w:rsid w:val="00237C18"/>
    <w:rsid w:val="0024109E"/>
    <w:rsid w:val="00247939"/>
    <w:rsid w:val="00250622"/>
    <w:rsid w:val="0025080B"/>
    <w:rsid w:val="0025159A"/>
    <w:rsid w:val="002519D1"/>
    <w:rsid w:val="00251C2C"/>
    <w:rsid w:val="00255591"/>
    <w:rsid w:val="002563C3"/>
    <w:rsid w:val="00257CD7"/>
    <w:rsid w:val="0026039C"/>
    <w:rsid w:val="002606F4"/>
    <w:rsid w:val="002623A1"/>
    <w:rsid w:val="00263B5F"/>
    <w:rsid w:val="00270110"/>
    <w:rsid w:val="002732B6"/>
    <w:rsid w:val="00273B85"/>
    <w:rsid w:val="0028040A"/>
    <w:rsid w:val="00283DF2"/>
    <w:rsid w:val="00284A8A"/>
    <w:rsid w:val="00290A0A"/>
    <w:rsid w:val="00294C78"/>
    <w:rsid w:val="002968C2"/>
    <w:rsid w:val="0029720E"/>
    <w:rsid w:val="002A009B"/>
    <w:rsid w:val="002A0E6C"/>
    <w:rsid w:val="002A3423"/>
    <w:rsid w:val="002A53D9"/>
    <w:rsid w:val="002A6677"/>
    <w:rsid w:val="002A672E"/>
    <w:rsid w:val="002B119D"/>
    <w:rsid w:val="002B22CC"/>
    <w:rsid w:val="002B7D52"/>
    <w:rsid w:val="002C2066"/>
    <w:rsid w:val="002C2B1C"/>
    <w:rsid w:val="002C6A1C"/>
    <w:rsid w:val="002C6F30"/>
    <w:rsid w:val="002C7DFF"/>
    <w:rsid w:val="002D501A"/>
    <w:rsid w:val="002D5A90"/>
    <w:rsid w:val="002D664F"/>
    <w:rsid w:val="002D6F17"/>
    <w:rsid w:val="002E02BC"/>
    <w:rsid w:val="002E05C9"/>
    <w:rsid w:val="002E2464"/>
    <w:rsid w:val="002E2944"/>
    <w:rsid w:val="002E2DD4"/>
    <w:rsid w:val="002E32A9"/>
    <w:rsid w:val="002F0430"/>
    <w:rsid w:val="002F2426"/>
    <w:rsid w:val="002F400C"/>
    <w:rsid w:val="002F41F1"/>
    <w:rsid w:val="003049EA"/>
    <w:rsid w:val="00305691"/>
    <w:rsid w:val="00307085"/>
    <w:rsid w:val="00311D9B"/>
    <w:rsid w:val="0031479A"/>
    <w:rsid w:val="00315F44"/>
    <w:rsid w:val="0032115B"/>
    <w:rsid w:val="00324175"/>
    <w:rsid w:val="00326024"/>
    <w:rsid w:val="00327DAD"/>
    <w:rsid w:val="00330041"/>
    <w:rsid w:val="00330F5A"/>
    <w:rsid w:val="00331A2B"/>
    <w:rsid w:val="00335A1D"/>
    <w:rsid w:val="00336664"/>
    <w:rsid w:val="003415A2"/>
    <w:rsid w:val="00342029"/>
    <w:rsid w:val="003460F1"/>
    <w:rsid w:val="003508B1"/>
    <w:rsid w:val="0035158D"/>
    <w:rsid w:val="003558CF"/>
    <w:rsid w:val="00357073"/>
    <w:rsid w:val="003634DB"/>
    <w:rsid w:val="00370047"/>
    <w:rsid w:val="003709B9"/>
    <w:rsid w:val="00371F51"/>
    <w:rsid w:val="00373824"/>
    <w:rsid w:val="0037653B"/>
    <w:rsid w:val="00381BAC"/>
    <w:rsid w:val="00383095"/>
    <w:rsid w:val="00384787"/>
    <w:rsid w:val="00385257"/>
    <w:rsid w:val="003870DA"/>
    <w:rsid w:val="00393DD0"/>
    <w:rsid w:val="00396563"/>
    <w:rsid w:val="003A1E7A"/>
    <w:rsid w:val="003A23C9"/>
    <w:rsid w:val="003A62D7"/>
    <w:rsid w:val="003B717E"/>
    <w:rsid w:val="003C1437"/>
    <w:rsid w:val="003C438E"/>
    <w:rsid w:val="003C49E1"/>
    <w:rsid w:val="003D276E"/>
    <w:rsid w:val="003D4C75"/>
    <w:rsid w:val="003D6451"/>
    <w:rsid w:val="003E00E3"/>
    <w:rsid w:val="003E2E32"/>
    <w:rsid w:val="003E33F1"/>
    <w:rsid w:val="003E39EC"/>
    <w:rsid w:val="003E54D9"/>
    <w:rsid w:val="003E719A"/>
    <w:rsid w:val="003F0E95"/>
    <w:rsid w:val="003F2B0D"/>
    <w:rsid w:val="003F7288"/>
    <w:rsid w:val="003F77B6"/>
    <w:rsid w:val="003F7FDD"/>
    <w:rsid w:val="00400C1E"/>
    <w:rsid w:val="00406722"/>
    <w:rsid w:val="00417032"/>
    <w:rsid w:val="0042129E"/>
    <w:rsid w:val="00421E6D"/>
    <w:rsid w:val="00422B7E"/>
    <w:rsid w:val="00423492"/>
    <w:rsid w:val="004236A8"/>
    <w:rsid w:val="00425748"/>
    <w:rsid w:val="00425985"/>
    <w:rsid w:val="0042742A"/>
    <w:rsid w:val="00430308"/>
    <w:rsid w:val="00430996"/>
    <w:rsid w:val="0043102F"/>
    <w:rsid w:val="0044083E"/>
    <w:rsid w:val="004410F1"/>
    <w:rsid w:val="004415D5"/>
    <w:rsid w:val="004448FF"/>
    <w:rsid w:val="00445AF3"/>
    <w:rsid w:val="00451344"/>
    <w:rsid w:val="004539DD"/>
    <w:rsid w:val="0045747B"/>
    <w:rsid w:val="00460E8A"/>
    <w:rsid w:val="00464B70"/>
    <w:rsid w:val="0046760E"/>
    <w:rsid w:val="00467F21"/>
    <w:rsid w:val="00476405"/>
    <w:rsid w:val="00476D77"/>
    <w:rsid w:val="00477AE4"/>
    <w:rsid w:val="00484E5F"/>
    <w:rsid w:val="0049072D"/>
    <w:rsid w:val="00491C7D"/>
    <w:rsid w:val="00493C76"/>
    <w:rsid w:val="00493D73"/>
    <w:rsid w:val="004A0F69"/>
    <w:rsid w:val="004A17D5"/>
    <w:rsid w:val="004A6098"/>
    <w:rsid w:val="004A759A"/>
    <w:rsid w:val="004B5AC8"/>
    <w:rsid w:val="004B76D3"/>
    <w:rsid w:val="004C11C3"/>
    <w:rsid w:val="004C5CC9"/>
    <w:rsid w:val="004D1CB3"/>
    <w:rsid w:val="004D4010"/>
    <w:rsid w:val="004D64D1"/>
    <w:rsid w:val="004E10F0"/>
    <w:rsid w:val="004E1C37"/>
    <w:rsid w:val="004E26F8"/>
    <w:rsid w:val="004E3A1A"/>
    <w:rsid w:val="004E7A03"/>
    <w:rsid w:val="004F3177"/>
    <w:rsid w:val="004F3F9B"/>
    <w:rsid w:val="005007BB"/>
    <w:rsid w:val="00500E45"/>
    <w:rsid w:val="005064E5"/>
    <w:rsid w:val="00506FD5"/>
    <w:rsid w:val="0050790F"/>
    <w:rsid w:val="005109D9"/>
    <w:rsid w:val="00511656"/>
    <w:rsid w:val="00513AC9"/>
    <w:rsid w:val="005140FC"/>
    <w:rsid w:val="00515C11"/>
    <w:rsid w:val="005169A0"/>
    <w:rsid w:val="00517393"/>
    <w:rsid w:val="00521D6B"/>
    <w:rsid w:val="005258D4"/>
    <w:rsid w:val="00525BE0"/>
    <w:rsid w:val="00526F8D"/>
    <w:rsid w:val="005405CE"/>
    <w:rsid w:val="0054737D"/>
    <w:rsid w:val="00551B23"/>
    <w:rsid w:val="0055463F"/>
    <w:rsid w:val="0055543F"/>
    <w:rsid w:val="005557D9"/>
    <w:rsid w:val="0055712E"/>
    <w:rsid w:val="00557D20"/>
    <w:rsid w:val="00560256"/>
    <w:rsid w:val="0056055F"/>
    <w:rsid w:val="00571095"/>
    <w:rsid w:val="005747C9"/>
    <w:rsid w:val="00576C89"/>
    <w:rsid w:val="00581ABE"/>
    <w:rsid w:val="005856DA"/>
    <w:rsid w:val="005876DF"/>
    <w:rsid w:val="00591AD2"/>
    <w:rsid w:val="00595E3A"/>
    <w:rsid w:val="00597392"/>
    <w:rsid w:val="005975D3"/>
    <w:rsid w:val="0059784A"/>
    <w:rsid w:val="00597A7E"/>
    <w:rsid w:val="005A6959"/>
    <w:rsid w:val="005A766A"/>
    <w:rsid w:val="005B0EC4"/>
    <w:rsid w:val="005B1B61"/>
    <w:rsid w:val="005B6621"/>
    <w:rsid w:val="005B78ED"/>
    <w:rsid w:val="005C029F"/>
    <w:rsid w:val="005C2F97"/>
    <w:rsid w:val="005D4AD6"/>
    <w:rsid w:val="005D6B1D"/>
    <w:rsid w:val="005D7C8F"/>
    <w:rsid w:val="005E60CF"/>
    <w:rsid w:val="005E69E8"/>
    <w:rsid w:val="005E72D1"/>
    <w:rsid w:val="005E7459"/>
    <w:rsid w:val="005E7B11"/>
    <w:rsid w:val="005F73B6"/>
    <w:rsid w:val="005F74D8"/>
    <w:rsid w:val="006023A7"/>
    <w:rsid w:val="006043FD"/>
    <w:rsid w:val="006064CD"/>
    <w:rsid w:val="006071DB"/>
    <w:rsid w:val="0060784A"/>
    <w:rsid w:val="00614029"/>
    <w:rsid w:val="006148B7"/>
    <w:rsid w:val="00614AA6"/>
    <w:rsid w:val="006233CB"/>
    <w:rsid w:val="00626E83"/>
    <w:rsid w:val="00634135"/>
    <w:rsid w:val="00635681"/>
    <w:rsid w:val="00637BFA"/>
    <w:rsid w:val="00637F27"/>
    <w:rsid w:val="00641C50"/>
    <w:rsid w:val="00642606"/>
    <w:rsid w:val="00643F4E"/>
    <w:rsid w:val="00646FDD"/>
    <w:rsid w:val="00652FF2"/>
    <w:rsid w:val="00661AD1"/>
    <w:rsid w:val="006636BA"/>
    <w:rsid w:val="00665F62"/>
    <w:rsid w:val="00677852"/>
    <w:rsid w:val="00684006"/>
    <w:rsid w:val="006853F1"/>
    <w:rsid w:val="006865AD"/>
    <w:rsid w:val="0068747F"/>
    <w:rsid w:val="0069273A"/>
    <w:rsid w:val="00693474"/>
    <w:rsid w:val="006958D7"/>
    <w:rsid w:val="006974B4"/>
    <w:rsid w:val="006A140F"/>
    <w:rsid w:val="006A225F"/>
    <w:rsid w:val="006B0070"/>
    <w:rsid w:val="006B0F46"/>
    <w:rsid w:val="006B2DA0"/>
    <w:rsid w:val="006B2F3A"/>
    <w:rsid w:val="006B3F08"/>
    <w:rsid w:val="006B55D7"/>
    <w:rsid w:val="006B7263"/>
    <w:rsid w:val="006C2921"/>
    <w:rsid w:val="006C6CCB"/>
    <w:rsid w:val="006C767A"/>
    <w:rsid w:val="006D0C0E"/>
    <w:rsid w:val="006D3CD4"/>
    <w:rsid w:val="006D3F7B"/>
    <w:rsid w:val="006D5230"/>
    <w:rsid w:val="006D71B7"/>
    <w:rsid w:val="006D7D90"/>
    <w:rsid w:val="006E3003"/>
    <w:rsid w:val="006E5CEC"/>
    <w:rsid w:val="006E66F7"/>
    <w:rsid w:val="006E7731"/>
    <w:rsid w:val="006E7F39"/>
    <w:rsid w:val="006F2074"/>
    <w:rsid w:val="006F22EF"/>
    <w:rsid w:val="006F2B97"/>
    <w:rsid w:val="006F4EB7"/>
    <w:rsid w:val="00703B8E"/>
    <w:rsid w:val="0070468E"/>
    <w:rsid w:val="007064BB"/>
    <w:rsid w:val="007065A6"/>
    <w:rsid w:val="0070738E"/>
    <w:rsid w:val="007166BB"/>
    <w:rsid w:val="00722B7E"/>
    <w:rsid w:val="00727620"/>
    <w:rsid w:val="00731056"/>
    <w:rsid w:val="0073115B"/>
    <w:rsid w:val="00731C1D"/>
    <w:rsid w:val="00733BC9"/>
    <w:rsid w:val="00733F0F"/>
    <w:rsid w:val="007442F0"/>
    <w:rsid w:val="00747BD1"/>
    <w:rsid w:val="0075103A"/>
    <w:rsid w:val="00752615"/>
    <w:rsid w:val="00754E5D"/>
    <w:rsid w:val="00756485"/>
    <w:rsid w:val="007612C6"/>
    <w:rsid w:val="007641F5"/>
    <w:rsid w:val="00765844"/>
    <w:rsid w:val="00765DB7"/>
    <w:rsid w:val="00766B15"/>
    <w:rsid w:val="00767368"/>
    <w:rsid w:val="00767BAD"/>
    <w:rsid w:val="007714C5"/>
    <w:rsid w:val="00773615"/>
    <w:rsid w:val="00773702"/>
    <w:rsid w:val="00773A41"/>
    <w:rsid w:val="00774747"/>
    <w:rsid w:val="00780050"/>
    <w:rsid w:val="007809E4"/>
    <w:rsid w:val="00786051"/>
    <w:rsid w:val="00786A9B"/>
    <w:rsid w:val="00787638"/>
    <w:rsid w:val="00791780"/>
    <w:rsid w:val="007919FF"/>
    <w:rsid w:val="007948AB"/>
    <w:rsid w:val="007A2925"/>
    <w:rsid w:val="007A38F1"/>
    <w:rsid w:val="007A57C1"/>
    <w:rsid w:val="007A5A6D"/>
    <w:rsid w:val="007B2B6C"/>
    <w:rsid w:val="007B2EA3"/>
    <w:rsid w:val="007B3A80"/>
    <w:rsid w:val="007B3B1A"/>
    <w:rsid w:val="007B4D00"/>
    <w:rsid w:val="007B5BD0"/>
    <w:rsid w:val="007B5E22"/>
    <w:rsid w:val="007B74A4"/>
    <w:rsid w:val="007C03A4"/>
    <w:rsid w:val="007C0941"/>
    <w:rsid w:val="007C3976"/>
    <w:rsid w:val="007C570C"/>
    <w:rsid w:val="007C6E7C"/>
    <w:rsid w:val="007C768C"/>
    <w:rsid w:val="007D348B"/>
    <w:rsid w:val="007D4C82"/>
    <w:rsid w:val="007D6789"/>
    <w:rsid w:val="007E27B7"/>
    <w:rsid w:val="007E5AA5"/>
    <w:rsid w:val="007E6CED"/>
    <w:rsid w:val="007E77AB"/>
    <w:rsid w:val="007F0277"/>
    <w:rsid w:val="007F2899"/>
    <w:rsid w:val="007F3495"/>
    <w:rsid w:val="007F3B7D"/>
    <w:rsid w:val="0080081E"/>
    <w:rsid w:val="00802840"/>
    <w:rsid w:val="00805BFE"/>
    <w:rsid w:val="00805DB3"/>
    <w:rsid w:val="008065F4"/>
    <w:rsid w:val="00807B21"/>
    <w:rsid w:val="0081195A"/>
    <w:rsid w:val="00813883"/>
    <w:rsid w:val="00813EE2"/>
    <w:rsid w:val="00820142"/>
    <w:rsid w:val="008240F5"/>
    <w:rsid w:val="008246C0"/>
    <w:rsid w:val="00827271"/>
    <w:rsid w:val="008313A8"/>
    <w:rsid w:val="008321F6"/>
    <w:rsid w:val="00832356"/>
    <w:rsid w:val="00833F02"/>
    <w:rsid w:val="00835632"/>
    <w:rsid w:val="00840CA4"/>
    <w:rsid w:val="008421D5"/>
    <w:rsid w:val="00842C48"/>
    <w:rsid w:val="0084355B"/>
    <w:rsid w:val="00846336"/>
    <w:rsid w:val="00846E62"/>
    <w:rsid w:val="00850619"/>
    <w:rsid w:val="0085259D"/>
    <w:rsid w:val="00855F7F"/>
    <w:rsid w:val="008561BE"/>
    <w:rsid w:val="00862B08"/>
    <w:rsid w:val="00863944"/>
    <w:rsid w:val="00863CC3"/>
    <w:rsid w:val="00866E10"/>
    <w:rsid w:val="00871238"/>
    <w:rsid w:val="008764F1"/>
    <w:rsid w:val="00884837"/>
    <w:rsid w:val="008877C2"/>
    <w:rsid w:val="008903A5"/>
    <w:rsid w:val="00892140"/>
    <w:rsid w:val="0089312C"/>
    <w:rsid w:val="008A0942"/>
    <w:rsid w:val="008A362E"/>
    <w:rsid w:val="008A5608"/>
    <w:rsid w:val="008A5651"/>
    <w:rsid w:val="008A66A9"/>
    <w:rsid w:val="008B2F9F"/>
    <w:rsid w:val="008B579B"/>
    <w:rsid w:val="008B655D"/>
    <w:rsid w:val="008C051F"/>
    <w:rsid w:val="008C5534"/>
    <w:rsid w:val="008D012E"/>
    <w:rsid w:val="008D0B0C"/>
    <w:rsid w:val="008D1DC0"/>
    <w:rsid w:val="008D2CB9"/>
    <w:rsid w:val="008D46D5"/>
    <w:rsid w:val="008D4B5E"/>
    <w:rsid w:val="008E06AF"/>
    <w:rsid w:val="008E14D4"/>
    <w:rsid w:val="008E1F4C"/>
    <w:rsid w:val="008F03DB"/>
    <w:rsid w:val="008F0AA9"/>
    <w:rsid w:val="008F1C3D"/>
    <w:rsid w:val="008F2E15"/>
    <w:rsid w:val="009073AD"/>
    <w:rsid w:val="0091004B"/>
    <w:rsid w:val="009101CC"/>
    <w:rsid w:val="00910390"/>
    <w:rsid w:val="00912733"/>
    <w:rsid w:val="00912860"/>
    <w:rsid w:val="00921BE0"/>
    <w:rsid w:val="00923C08"/>
    <w:rsid w:val="009240AD"/>
    <w:rsid w:val="00925484"/>
    <w:rsid w:val="00926710"/>
    <w:rsid w:val="0092722B"/>
    <w:rsid w:val="00927A71"/>
    <w:rsid w:val="00934DA2"/>
    <w:rsid w:val="0093766A"/>
    <w:rsid w:val="00940BD2"/>
    <w:rsid w:val="00942E55"/>
    <w:rsid w:val="00943843"/>
    <w:rsid w:val="0094524F"/>
    <w:rsid w:val="00947C07"/>
    <w:rsid w:val="00952321"/>
    <w:rsid w:val="00955609"/>
    <w:rsid w:val="00955931"/>
    <w:rsid w:val="009628A5"/>
    <w:rsid w:val="0096406E"/>
    <w:rsid w:val="00971F3F"/>
    <w:rsid w:val="00972070"/>
    <w:rsid w:val="009749B4"/>
    <w:rsid w:val="009752CA"/>
    <w:rsid w:val="009816CC"/>
    <w:rsid w:val="00984B73"/>
    <w:rsid w:val="009859FA"/>
    <w:rsid w:val="009861E9"/>
    <w:rsid w:val="00996571"/>
    <w:rsid w:val="00996FB7"/>
    <w:rsid w:val="00997D78"/>
    <w:rsid w:val="00997E65"/>
    <w:rsid w:val="009A035F"/>
    <w:rsid w:val="009A2EA4"/>
    <w:rsid w:val="009A44C4"/>
    <w:rsid w:val="009A5429"/>
    <w:rsid w:val="009A6996"/>
    <w:rsid w:val="009B0E7A"/>
    <w:rsid w:val="009B1768"/>
    <w:rsid w:val="009B19A2"/>
    <w:rsid w:val="009B1D49"/>
    <w:rsid w:val="009B2213"/>
    <w:rsid w:val="009C2D13"/>
    <w:rsid w:val="009C47FD"/>
    <w:rsid w:val="009D1D6B"/>
    <w:rsid w:val="009D475E"/>
    <w:rsid w:val="009D5813"/>
    <w:rsid w:val="009D6B4D"/>
    <w:rsid w:val="009D7AA7"/>
    <w:rsid w:val="009E06C1"/>
    <w:rsid w:val="009E1776"/>
    <w:rsid w:val="009E4C3F"/>
    <w:rsid w:val="009E5154"/>
    <w:rsid w:val="009E6946"/>
    <w:rsid w:val="009E6BC0"/>
    <w:rsid w:val="009F35BC"/>
    <w:rsid w:val="00A0364F"/>
    <w:rsid w:val="00A041F2"/>
    <w:rsid w:val="00A072D3"/>
    <w:rsid w:val="00A1551B"/>
    <w:rsid w:val="00A15ECA"/>
    <w:rsid w:val="00A15F9A"/>
    <w:rsid w:val="00A20352"/>
    <w:rsid w:val="00A2104F"/>
    <w:rsid w:val="00A219D7"/>
    <w:rsid w:val="00A2214A"/>
    <w:rsid w:val="00A236A7"/>
    <w:rsid w:val="00A23F09"/>
    <w:rsid w:val="00A26784"/>
    <w:rsid w:val="00A303AA"/>
    <w:rsid w:val="00A30E3E"/>
    <w:rsid w:val="00A31169"/>
    <w:rsid w:val="00A3161E"/>
    <w:rsid w:val="00A31A60"/>
    <w:rsid w:val="00A33FC1"/>
    <w:rsid w:val="00A352D4"/>
    <w:rsid w:val="00A37F0F"/>
    <w:rsid w:val="00A428E7"/>
    <w:rsid w:val="00A42964"/>
    <w:rsid w:val="00A45855"/>
    <w:rsid w:val="00A55749"/>
    <w:rsid w:val="00A56B33"/>
    <w:rsid w:val="00A60C0B"/>
    <w:rsid w:val="00A61BAB"/>
    <w:rsid w:val="00A6295E"/>
    <w:rsid w:val="00A6442D"/>
    <w:rsid w:val="00A648CB"/>
    <w:rsid w:val="00A65EE1"/>
    <w:rsid w:val="00A65F2B"/>
    <w:rsid w:val="00A73E6D"/>
    <w:rsid w:val="00A74B54"/>
    <w:rsid w:val="00A74D05"/>
    <w:rsid w:val="00A7673F"/>
    <w:rsid w:val="00A76E64"/>
    <w:rsid w:val="00A80084"/>
    <w:rsid w:val="00A80373"/>
    <w:rsid w:val="00A804A0"/>
    <w:rsid w:val="00A81856"/>
    <w:rsid w:val="00A845AE"/>
    <w:rsid w:val="00A8628C"/>
    <w:rsid w:val="00A86CD2"/>
    <w:rsid w:val="00A904B3"/>
    <w:rsid w:val="00A91383"/>
    <w:rsid w:val="00AA2795"/>
    <w:rsid w:val="00AA3B3B"/>
    <w:rsid w:val="00AA49BD"/>
    <w:rsid w:val="00AA53EF"/>
    <w:rsid w:val="00AA76D0"/>
    <w:rsid w:val="00AB0AD5"/>
    <w:rsid w:val="00AB0F4C"/>
    <w:rsid w:val="00AB19BF"/>
    <w:rsid w:val="00AB3F47"/>
    <w:rsid w:val="00AB4383"/>
    <w:rsid w:val="00AB7590"/>
    <w:rsid w:val="00AC298C"/>
    <w:rsid w:val="00AC358C"/>
    <w:rsid w:val="00AC6790"/>
    <w:rsid w:val="00AC7D01"/>
    <w:rsid w:val="00AD0438"/>
    <w:rsid w:val="00AD0CA1"/>
    <w:rsid w:val="00AD1277"/>
    <w:rsid w:val="00AD2F5C"/>
    <w:rsid w:val="00AD30EA"/>
    <w:rsid w:val="00AD584F"/>
    <w:rsid w:val="00AD614A"/>
    <w:rsid w:val="00AD749A"/>
    <w:rsid w:val="00AE4F54"/>
    <w:rsid w:val="00AE6432"/>
    <w:rsid w:val="00AE7DFA"/>
    <w:rsid w:val="00AF211A"/>
    <w:rsid w:val="00AF2834"/>
    <w:rsid w:val="00AF7337"/>
    <w:rsid w:val="00AF764E"/>
    <w:rsid w:val="00B049ED"/>
    <w:rsid w:val="00B04B5A"/>
    <w:rsid w:val="00B04F4B"/>
    <w:rsid w:val="00B05364"/>
    <w:rsid w:val="00B0665D"/>
    <w:rsid w:val="00B12629"/>
    <w:rsid w:val="00B15420"/>
    <w:rsid w:val="00B25806"/>
    <w:rsid w:val="00B321E6"/>
    <w:rsid w:val="00B34041"/>
    <w:rsid w:val="00B35080"/>
    <w:rsid w:val="00B353F7"/>
    <w:rsid w:val="00B35C69"/>
    <w:rsid w:val="00B40278"/>
    <w:rsid w:val="00B414F0"/>
    <w:rsid w:val="00B41C00"/>
    <w:rsid w:val="00B45830"/>
    <w:rsid w:val="00B460D9"/>
    <w:rsid w:val="00B461C2"/>
    <w:rsid w:val="00B5177C"/>
    <w:rsid w:val="00B57081"/>
    <w:rsid w:val="00B630D4"/>
    <w:rsid w:val="00B672E9"/>
    <w:rsid w:val="00B71DB9"/>
    <w:rsid w:val="00B72981"/>
    <w:rsid w:val="00B80162"/>
    <w:rsid w:val="00B802EB"/>
    <w:rsid w:val="00B815D3"/>
    <w:rsid w:val="00B842B1"/>
    <w:rsid w:val="00B84B37"/>
    <w:rsid w:val="00B86318"/>
    <w:rsid w:val="00B863B4"/>
    <w:rsid w:val="00B912C1"/>
    <w:rsid w:val="00B93F97"/>
    <w:rsid w:val="00BA10BD"/>
    <w:rsid w:val="00BA24AE"/>
    <w:rsid w:val="00BB1D02"/>
    <w:rsid w:val="00BB336C"/>
    <w:rsid w:val="00BB6B21"/>
    <w:rsid w:val="00BC09B6"/>
    <w:rsid w:val="00BC0AC2"/>
    <w:rsid w:val="00BC3496"/>
    <w:rsid w:val="00BD017F"/>
    <w:rsid w:val="00BD31C8"/>
    <w:rsid w:val="00BD401E"/>
    <w:rsid w:val="00BD6EC3"/>
    <w:rsid w:val="00BD7032"/>
    <w:rsid w:val="00BE2B89"/>
    <w:rsid w:val="00BE3534"/>
    <w:rsid w:val="00BE3A47"/>
    <w:rsid w:val="00BE423B"/>
    <w:rsid w:val="00BF0477"/>
    <w:rsid w:val="00BF3076"/>
    <w:rsid w:val="00BF3524"/>
    <w:rsid w:val="00BF5076"/>
    <w:rsid w:val="00BF566F"/>
    <w:rsid w:val="00BF5956"/>
    <w:rsid w:val="00BF59A0"/>
    <w:rsid w:val="00C058BD"/>
    <w:rsid w:val="00C05F56"/>
    <w:rsid w:val="00C07188"/>
    <w:rsid w:val="00C075C9"/>
    <w:rsid w:val="00C107B6"/>
    <w:rsid w:val="00C10E98"/>
    <w:rsid w:val="00C13F77"/>
    <w:rsid w:val="00C17453"/>
    <w:rsid w:val="00C1789F"/>
    <w:rsid w:val="00C23BCA"/>
    <w:rsid w:val="00C31036"/>
    <w:rsid w:val="00C343A9"/>
    <w:rsid w:val="00C34FCF"/>
    <w:rsid w:val="00C36C66"/>
    <w:rsid w:val="00C41468"/>
    <w:rsid w:val="00C42047"/>
    <w:rsid w:val="00C51AB2"/>
    <w:rsid w:val="00C554E5"/>
    <w:rsid w:val="00C56D9F"/>
    <w:rsid w:val="00C5757A"/>
    <w:rsid w:val="00C60C51"/>
    <w:rsid w:val="00C643C5"/>
    <w:rsid w:val="00C6739B"/>
    <w:rsid w:val="00C70CC6"/>
    <w:rsid w:val="00C737D6"/>
    <w:rsid w:val="00C7399C"/>
    <w:rsid w:val="00C73DBC"/>
    <w:rsid w:val="00C74C34"/>
    <w:rsid w:val="00C770A1"/>
    <w:rsid w:val="00C84F20"/>
    <w:rsid w:val="00C870EA"/>
    <w:rsid w:val="00C907C9"/>
    <w:rsid w:val="00C9260A"/>
    <w:rsid w:val="00C936F0"/>
    <w:rsid w:val="00C940EC"/>
    <w:rsid w:val="00C971A8"/>
    <w:rsid w:val="00C97D4A"/>
    <w:rsid w:val="00CA2FFB"/>
    <w:rsid w:val="00CA3D1E"/>
    <w:rsid w:val="00CB0A76"/>
    <w:rsid w:val="00CB7297"/>
    <w:rsid w:val="00CC1A5E"/>
    <w:rsid w:val="00CC4A4C"/>
    <w:rsid w:val="00CC5FB4"/>
    <w:rsid w:val="00CC7488"/>
    <w:rsid w:val="00CD0803"/>
    <w:rsid w:val="00CD1D9C"/>
    <w:rsid w:val="00CD2399"/>
    <w:rsid w:val="00CD3038"/>
    <w:rsid w:val="00CD4947"/>
    <w:rsid w:val="00CD783F"/>
    <w:rsid w:val="00CE0797"/>
    <w:rsid w:val="00CE2C87"/>
    <w:rsid w:val="00CE555A"/>
    <w:rsid w:val="00CF12D9"/>
    <w:rsid w:val="00CF1A2C"/>
    <w:rsid w:val="00CF2DEC"/>
    <w:rsid w:val="00D04B21"/>
    <w:rsid w:val="00D06A8A"/>
    <w:rsid w:val="00D077EB"/>
    <w:rsid w:val="00D11BEC"/>
    <w:rsid w:val="00D15B3E"/>
    <w:rsid w:val="00D22676"/>
    <w:rsid w:val="00D23F31"/>
    <w:rsid w:val="00D30AD4"/>
    <w:rsid w:val="00D32800"/>
    <w:rsid w:val="00D32943"/>
    <w:rsid w:val="00D346B0"/>
    <w:rsid w:val="00D35F43"/>
    <w:rsid w:val="00D366C1"/>
    <w:rsid w:val="00D4012D"/>
    <w:rsid w:val="00D41C37"/>
    <w:rsid w:val="00D41D7B"/>
    <w:rsid w:val="00D4288B"/>
    <w:rsid w:val="00D463B6"/>
    <w:rsid w:val="00D473BE"/>
    <w:rsid w:val="00D506CD"/>
    <w:rsid w:val="00D50ABE"/>
    <w:rsid w:val="00D50D41"/>
    <w:rsid w:val="00D511BD"/>
    <w:rsid w:val="00D52A98"/>
    <w:rsid w:val="00D537A0"/>
    <w:rsid w:val="00D5383A"/>
    <w:rsid w:val="00D55E63"/>
    <w:rsid w:val="00D5645E"/>
    <w:rsid w:val="00D61340"/>
    <w:rsid w:val="00D6156D"/>
    <w:rsid w:val="00D6184F"/>
    <w:rsid w:val="00D6465C"/>
    <w:rsid w:val="00D657DF"/>
    <w:rsid w:val="00D7152E"/>
    <w:rsid w:val="00D71618"/>
    <w:rsid w:val="00D73A97"/>
    <w:rsid w:val="00D806DF"/>
    <w:rsid w:val="00D84381"/>
    <w:rsid w:val="00D86524"/>
    <w:rsid w:val="00D91CED"/>
    <w:rsid w:val="00D91D89"/>
    <w:rsid w:val="00D95A59"/>
    <w:rsid w:val="00D97EE2"/>
    <w:rsid w:val="00DA5E3E"/>
    <w:rsid w:val="00DA6FA8"/>
    <w:rsid w:val="00DA7AD7"/>
    <w:rsid w:val="00DB1812"/>
    <w:rsid w:val="00DB198A"/>
    <w:rsid w:val="00DB35EB"/>
    <w:rsid w:val="00DC2034"/>
    <w:rsid w:val="00DC69E6"/>
    <w:rsid w:val="00DD13DA"/>
    <w:rsid w:val="00DD493D"/>
    <w:rsid w:val="00DD4A15"/>
    <w:rsid w:val="00DD6BDF"/>
    <w:rsid w:val="00DE0397"/>
    <w:rsid w:val="00DE08AD"/>
    <w:rsid w:val="00DE2CB5"/>
    <w:rsid w:val="00DE38B7"/>
    <w:rsid w:val="00DE3DB1"/>
    <w:rsid w:val="00DE5A56"/>
    <w:rsid w:val="00DF24D9"/>
    <w:rsid w:val="00DF4F88"/>
    <w:rsid w:val="00DF5145"/>
    <w:rsid w:val="00DF7C40"/>
    <w:rsid w:val="00E01A35"/>
    <w:rsid w:val="00E02470"/>
    <w:rsid w:val="00E0439B"/>
    <w:rsid w:val="00E105E1"/>
    <w:rsid w:val="00E136A0"/>
    <w:rsid w:val="00E2038A"/>
    <w:rsid w:val="00E239BE"/>
    <w:rsid w:val="00E25D35"/>
    <w:rsid w:val="00E2751F"/>
    <w:rsid w:val="00E27AAA"/>
    <w:rsid w:val="00E32C60"/>
    <w:rsid w:val="00E33F65"/>
    <w:rsid w:val="00E35E03"/>
    <w:rsid w:val="00E36922"/>
    <w:rsid w:val="00E406D3"/>
    <w:rsid w:val="00E44270"/>
    <w:rsid w:val="00E50642"/>
    <w:rsid w:val="00E510C7"/>
    <w:rsid w:val="00E52073"/>
    <w:rsid w:val="00E57FF7"/>
    <w:rsid w:val="00E7068C"/>
    <w:rsid w:val="00E70838"/>
    <w:rsid w:val="00E712C4"/>
    <w:rsid w:val="00E74CCD"/>
    <w:rsid w:val="00E75AA5"/>
    <w:rsid w:val="00E81605"/>
    <w:rsid w:val="00E82323"/>
    <w:rsid w:val="00E83206"/>
    <w:rsid w:val="00E84225"/>
    <w:rsid w:val="00E8426D"/>
    <w:rsid w:val="00E8466F"/>
    <w:rsid w:val="00E84728"/>
    <w:rsid w:val="00E8528A"/>
    <w:rsid w:val="00E85528"/>
    <w:rsid w:val="00E861E8"/>
    <w:rsid w:val="00E90DF7"/>
    <w:rsid w:val="00E913E1"/>
    <w:rsid w:val="00E9220C"/>
    <w:rsid w:val="00E97F00"/>
    <w:rsid w:val="00EA0721"/>
    <w:rsid w:val="00EA126B"/>
    <w:rsid w:val="00EA17CB"/>
    <w:rsid w:val="00EA5667"/>
    <w:rsid w:val="00EB0E41"/>
    <w:rsid w:val="00EC3868"/>
    <w:rsid w:val="00EC7998"/>
    <w:rsid w:val="00EC7C17"/>
    <w:rsid w:val="00ED1455"/>
    <w:rsid w:val="00ED1FE0"/>
    <w:rsid w:val="00ED435B"/>
    <w:rsid w:val="00EE16DE"/>
    <w:rsid w:val="00EE1A35"/>
    <w:rsid w:val="00EE53FD"/>
    <w:rsid w:val="00EE7875"/>
    <w:rsid w:val="00EF014A"/>
    <w:rsid w:val="00EF47F0"/>
    <w:rsid w:val="00EF494A"/>
    <w:rsid w:val="00EF75DD"/>
    <w:rsid w:val="00EF7690"/>
    <w:rsid w:val="00F017EB"/>
    <w:rsid w:val="00F01AC1"/>
    <w:rsid w:val="00F01C90"/>
    <w:rsid w:val="00F022F0"/>
    <w:rsid w:val="00F05A58"/>
    <w:rsid w:val="00F078B5"/>
    <w:rsid w:val="00F106B1"/>
    <w:rsid w:val="00F11A72"/>
    <w:rsid w:val="00F11BD2"/>
    <w:rsid w:val="00F2290A"/>
    <w:rsid w:val="00F23A27"/>
    <w:rsid w:val="00F2581A"/>
    <w:rsid w:val="00F26C40"/>
    <w:rsid w:val="00F30785"/>
    <w:rsid w:val="00F32531"/>
    <w:rsid w:val="00F42F5B"/>
    <w:rsid w:val="00F433D0"/>
    <w:rsid w:val="00F468D7"/>
    <w:rsid w:val="00F50068"/>
    <w:rsid w:val="00F51AE2"/>
    <w:rsid w:val="00F53806"/>
    <w:rsid w:val="00F54693"/>
    <w:rsid w:val="00F62D0E"/>
    <w:rsid w:val="00F63644"/>
    <w:rsid w:val="00F648AA"/>
    <w:rsid w:val="00F67245"/>
    <w:rsid w:val="00F678C5"/>
    <w:rsid w:val="00F73585"/>
    <w:rsid w:val="00F73E03"/>
    <w:rsid w:val="00F80620"/>
    <w:rsid w:val="00F810CD"/>
    <w:rsid w:val="00F811EA"/>
    <w:rsid w:val="00F82355"/>
    <w:rsid w:val="00F84EAB"/>
    <w:rsid w:val="00F85A4F"/>
    <w:rsid w:val="00F917CC"/>
    <w:rsid w:val="00F9622D"/>
    <w:rsid w:val="00F96952"/>
    <w:rsid w:val="00FA12BB"/>
    <w:rsid w:val="00FA2AA6"/>
    <w:rsid w:val="00FA5C37"/>
    <w:rsid w:val="00FA66B7"/>
    <w:rsid w:val="00FB19AB"/>
    <w:rsid w:val="00FB317A"/>
    <w:rsid w:val="00FB37CB"/>
    <w:rsid w:val="00FC065C"/>
    <w:rsid w:val="00FC261A"/>
    <w:rsid w:val="00FD29E6"/>
    <w:rsid w:val="00FD6598"/>
    <w:rsid w:val="00FD6B19"/>
    <w:rsid w:val="00FD7A9F"/>
    <w:rsid w:val="00FD7EF9"/>
    <w:rsid w:val="00FE20E9"/>
    <w:rsid w:val="00FE35F6"/>
    <w:rsid w:val="00FF0501"/>
    <w:rsid w:val="00FF2FC1"/>
    <w:rsid w:val="00FF39B7"/>
    <w:rsid w:val="00FF437D"/>
    <w:rsid w:val="00FF45B2"/>
    <w:rsid w:val="00FF4C0C"/>
    <w:rsid w:val="00FF57D4"/>
    <w:rsid w:val="00FF5B91"/>
    <w:rsid w:val="03CE5511"/>
    <w:rsid w:val="04D7573D"/>
    <w:rsid w:val="0BBC0954"/>
    <w:rsid w:val="0E6138A4"/>
    <w:rsid w:val="0F855D5E"/>
    <w:rsid w:val="0F862938"/>
    <w:rsid w:val="0FC44705"/>
    <w:rsid w:val="13F612B8"/>
    <w:rsid w:val="18574325"/>
    <w:rsid w:val="1B503E5C"/>
    <w:rsid w:val="1C816E36"/>
    <w:rsid w:val="1E0D3BDD"/>
    <w:rsid w:val="234C0529"/>
    <w:rsid w:val="263410A8"/>
    <w:rsid w:val="285F08CD"/>
    <w:rsid w:val="29803A8E"/>
    <w:rsid w:val="2B1C7369"/>
    <w:rsid w:val="2C795C45"/>
    <w:rsid w:val="2D6625F1"/>
    <w:rsid w:val="2D87335D"/>
    <w:rsid w:val="2F011DB5"/>
    <w:rsid w:val="34B0376A"/>
    <w:rsid w:val="35816DB2"/>
    <w:rsid w:val="3F56149B"/>
    <w:rsid w:val="402B5A2E"/>
    <w:rsid w:val="45506FD2"/>
    <w:rsid w:val="45737148"/>
    <w:rsid w:val="47243CAB"/>
    <w:rsid w:val="47C15148"/>
    <w:rsid w:val="4EDF2173"/>
    <w:rsid w:val="4F88250B"/>
    <w:rsid w:val="53EE1EBC"/>
    <w:rsid w:val="57114A24"/>
    <w:rsid w:val="57E51F82"/>
    <w:rsid w:val="58E70C0D"/>
    <w:rsid w:val="59FF22FC"/>
    <w:rsid w:val="5A9F208C"/>
    <w:rsid w:val="5B1C7ED7"/>
    <w:rsid w:val="60A93CC5"/>
    <w:rsid w:val="60FA1A9E"/>
    <w:rsid w:val="68B113FB"/>
    <w:rsid w:val="6C6C5FE5"/>
    <w:rsid w:val="6D8B7501"/>
    <w:rsid w:val="6E565D48"/>
    <w:rsid w:val="707A2942"/>
    <w:rsid w:val="753D1EAB"/>
    <w:rsid w:val="77A37C56"/>
    <w:rsid w:val="7DD314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20" w:lineRule="atLeast"/>
      <w:ind w:firstLine="454"/>
      <w:jc w:val="both"/>
      <w:textAlignment w:val="baseline"/>
    </w:pPr>
    <w:rPr>
      <w:rFonts w:ascii="Times New Roman" w:hAnsi="Times New Roman" w:eastAsia="宋体" w:cs="Times New Roman"/>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qFormat/>
    <w:uiPriority w:val="99"/>
    <w:pPr>
      <w:spacing w:line="240" w:lineRule="auto"/>
    </w:pPr>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qFormat/>
    <w:locked/>
    <w:uiPriority w:val="99"/>
    <w:rPr>
      <w:rFonts w:ascii="Times New Roman" w:hAnsi="Times New Roman" w:eastAsia="宋体" w:cs="Times New Roman"/>
      <w:kern w:val="0"/>
      <w:sz w:val="18"/>
      <w:szCs w:val="18"/>
    </w:rPr>
  </w:style>
  <w:style w:type="character" w:customStyle="1" w:styleId="9">
    <w:name w:val="页脚 字符"/>
    <w:basedOn w:val="7"/>
    <w:link w:val="3"/>
    <w:semiHidden/>
    <w:qFormat/>
    <w:locked/>
    <w:uiPriority w:val="99"/>
    <w:rPr>
      <w:rFonts w:cs="Times New Roman"/>
      <w:sz w:val="18"/>
      <w:szCs w:val="18"/>
    </w:rPr>
  </w:style>
  <w:style w:type="character" w:customStyle="1" w:styleId="10">
    <w:name w:val="页眉 字符"/>
    <w:basedOn w:val="7"/>
    <w:link w:val="4"/>
    <w:qFormat/>
    <w:locked/>
    <w:uiPriority w:val="99"/>
    <w:rPr>
      <w:rFonts w:ascii="Times New Roman" w:hAnsi="Times New Roman" w:eastAsia="宋体" w:cs="Times New Roman"/>
      <w:kern w:val="0"/>
      <w:sz w:val="18"/>
      <w:szCs w:val="18"/>
    </w:rPr>
  </w:style>
  <w:style w:type="paragraph" w:customStyle="1" w:styleId="11">
    <w:name w:val="列出段落1"/>
    <w:basedOn w:val="1"/>
    <w:qFormat/>
    <w:uiPriority w:val="99"/>
    <w:pPr>
      <w:ind w:firstLine="420" w:firstLineChars="200"/>
    </w:pPr>
  </w:style>
  <w:style w:type="paragraph" w:customStyle="1" w:styleId="12">
    <w:name w:val="reader-word-layer"/>
    <w:basedOn w:val="1"/>
    <w:qFormat/>
    <w:uiPriority w:val="99"/>
    <w:pPr>
      <w:widowControl/>
      <w:adjustRightInd/>
      <w:spacing w:before="100" w:beforeAutospacing="1" w:after="100" w:afterAutospacing="1" w:line="240" w:lineRule="auto"/>
      <w:ind w:firstLine="0"/>
      <w:jc w:val="left"/>
      <w:textAlignment w:val="auto"/>
    </w:pPr>
    <w:rPr>
      <w:rFonts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260</Words>
  <Characters>1485</Characters>
  <Lines>12</Lines>
  <Paragraphs>3</Paragraphs>
  <TotalTime>1</TotalTime>
  <ScaleCrop>false</ScaleCrop>
  <LinksUpToDate>false</LinksUpToDate>
  <CharactersWithSpaces>1742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2014-10-22T06:03:00Z</dcterms:created>
  <dc:creator>闫丽丽</dc:creator>
  <cp:lastModifiedBy>tonyshen20101</cp:lastModifiedBy>
  <cp:lastPrinted>2016-08-23T03:19:00Z</cp:lastPrinted>
  <dcterms:modified xsi:type="dcterms:W3CDTF">2023-07-16T04:28:57Z</dcterms:modified>
  <dc:title>工程量清单说明</dc:title>
  <cp:revision>683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F20BF3F0693C47D98A7E6EAF9CA1FF3C</vt:lpwstr>
  </property>
</Properties>
</file>