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涪江重庆段航道整治工程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风景名胜区影响论证（第二次）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7</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涪江重庆段航道整治工程风景名胜区影响论证</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val="en-US" w:eastAsia="zh-CN"/>
        </w:rPr>
        <w:t>询</w:t>
      </w:r>
      <w:r>
        <w:rPr>
          <w:rFonts w:hint="default" w:ascii="Times New Roman" w:hAnsi="Times New Roman" w:eastAsia="方正小标宋_GBK" w:cs="Times New Roman"/>
          <w:color w:val="auto"/>
          <w:sz w:val="36"/>
          <w:szCs w:val="36"/>
          <w:highlight w:val="none"/>
          <w:lang w:eastAsia="zh-CN"/>
        </w:rPr>
        <w:t>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5641571"/>
      <w:bookmarkStart w:id="3" w:name="_Toc6230450"/>
      <w:bookmarkStart w:id="4" w:name="_Toc29194681"/>
      <w:bookmarkStart w:id="5" w:name="_Toc52097500"/>
      <w:bookmarkStart w:id="6" w:name="_Toc37012636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涪江重庆段航道整治工程风景名胜区影响论证</w:t>
      </w:r>
      <w:r>
        <w:rPr>
          <w:rFonts w:hint="default" w:ascii="Times New Roman" w:hAnsi="Times New Roman" w:eastAsia="方正仿宋_GBK" w:cs="Times New Roman"/>
          <w:bCs/>
          <w:color w:val="auto"/>
          <w:sz w:val="32"/>
          <w:szCs w:val="32"/>
          <w:highlight w:val="none"/>
          <w:u w:val="single"/>
          <w:lang w:val="en-US" w:eastAsia="zh-CN"/>
        </w:rPr>
        <w:t>询价公告</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风景名胜区影响论证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52097501"/>
      <w:bookmarkStart w:id="8" w:name="_Toc6230451"/>
      <w:bookmarkStart w:id="9" w:name="_Toc29194682"/>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21092"/>
      <w:bookmarkStart w:id="12" w:name="_Toc324429695"/>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i w:val="0"/>
          <w:iCs w:val="0"/>
          <w:color w:val="auto"/>
          <w:sz w:val="32"/>
          <w:szCs w:val="32"/>
          <w:highlight w:val="none"/>
          <w:lang w:val="en-US" w:eastAsia="zh-CN"/>
        </w:rPr>
        <w:t>涪江重庆段（潼南区、铜梁区、合川区）</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color w:val="auto"/>
          <w:kern w:val="0"/>
          <w:sz w:val="32"/>
          <w:szCs w:val="32"/>
          <w:highlight w:val="none"/>
          <w:lang w:val="en-US" w:eastAsia="zh-CN" w:bidi="ar-SA"/>
        </w:rPr>
        <w:t>涪江是嘉陵江右岸的最大一级支流，发源于四川省松潘县，主要流经四川平武、绵阳、遂宁和重庆潼南、铜梁、合川等地，干流全长670公里。其中涪江重庆段长约136公里。涪江全流域规划开发21个梯级，其中重庆境内5个，已建成投产潼南、富金坝、安居、渭沱4座梯级，双江梯级正在建设中，基本形成连续渠化河道。涪江重庆段航道整治工程拟对不满足三级航道尺度的区域进行疏浚、炸礁、筑坝，使航道达到三级标准，并建设支持保障系统和智能管理系统。预估总投资约3.5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r>
        <w:rPr>
          <w:rFonts w:hint="eastAsia" w:ascii="Times New Roman" w:hAnsi="Times New Roman" w:eastAsia="方正仿宋_GBK" w:cs="Times New Roman"/>
          <w:bCs/>
          <w:color w:val="auto"/>
          <w:sz w:val="32"/>
          <w:szCs w:val="32"/>
          <w:highlight w:val="none"/>
          <w:lang w:eastAsia="zh-CN"/>
        </w:rPr>
        <w:t>，</w:t>
      </w:r>
      <w:r>
        <w:rPr>
          <w:rFonts w:hint="eastAsia" w:ascii="方正仿宋_GBK" w:hAnsi="方正仿宋_GBK" w:eastAsia="方正仿宋_GBK" w:cs="方正仿宋_GBK"/>
          <w:sz w:val="32"/>
          <w:szCs w:val="32"/>
          <w:lang w:val="en-US" w:eastAsia="zh-CN"/>
        </w:rPr>
        <w:t>涪江重庆段航道整治工程涉及定名山风景名胜区等</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询价为涪江重庆段航道整治工程风景名胜区影响论证报告编制的第二次询价</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w:t>
      </w:r>
      <w:r>
        <w:rPr>
          <w:rFonts w:hint="eastAsia" w:ascii="方正仿宋_GBK" w:hAnsi="方正仿宋_GBK" w:eastAsia="方正仿宋_GBK" w:cs="方正仿宋_GBK"/>
          <w:bCs/>
          <w:color w:val="auto"/>
          <w:sz w:val="32"/>
          <w:szCs w:val="32"/>
          <w:highlight w:val="none"/>
          <w:lang w:val="en-US" w:eastAsia="zh-CN"/>
        </w:rPr>
        <w:t>本</w:t>
      </w:r>
      <w:r>
        <w:rPr>
          <w:rFonts w:hint="eastAsia" w:ascii="方正仿宋_GBK" w:hAnsi="方正仿宋_GBK" w:eastAsia="方正仿宋_GBK" w:cs="方正仿宋_GBK"/>
          <w:sz w:val="32"/>
          <w:szCs w:val="32"/>
          <w:lang w:val="en-US" w:eastAsia="zh-CN"/>
        </w:rPr>
        <w:t>行业</w:t>
      </w:r>
      <w:r>
        <w:rPr>
          <w:rFonts w:hint="eastAsia" w:ascii="方正仿宋_GBK" w:hAnsi="方正仿宋_GBK" w:eastAsia="方正仿宋_GBK" w:cs="方正仿宋_GBK"/>
          <w:bCs/>
          <w:color w:val="auto"/>
          <w:sz w:val="32"/>
          <w:szCs w:val="32"/>
          <w:highlight w:val="none"/>
          <w:lang w:eastAsia="zh-CN"/>
        </w:rPr>
        <w:t>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并出具合格的报告</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配</w:t>
      </w:r>
    </w:p>
    <w:p>
      <w:pPr>
        <w:spacing w:line="510" w:lineRule="exact"/>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合</w:t>
      </w:r>
      <w:r>
        <w:rPr>
          <w:rFonts w:hint="eastAsia" w:ascii="方正仿宋_GBK" w:hAnsi="方正仿宋_GBK" w:eastAsia="方正仿宋_GBK" w:cs="方正仿宋_GBK"/>
          <w:bCs/>
          <w:color w:val="auto"/>
          <w:sz w:val="32"/>
          <w:szCs w:val="32"/>
          <w:highlight w:val="none"/>
          <w:lang w:val="en-US" w:eastAsia="zh-CN"/>
        </w:rPr>
        <w:t>环评编制</w:t>
      </w:r>
      <w:r>
        <w:rPr>
          <w:rFonts w:hint="eastAsia" w:ascii="方正仿宋_GBK" w:hAnsi="方正仿宋_GBK" w:eastAsia="方正仿宋_GBK" w:cs="方正仿宋_GBK"/>
          <w:bCs/>
          <w:color w:val="auto"/>
          <w:sz w:val="32"/>
          <w:szCs w:val="32"/>
          <w:highlight w:val="none"/>
          <w:lang w:eastAsia="zh-CN"/>
        </w:rPr>
        <w:t>、一切税费和公司取费（企业管理费、利润等）等一切相关费用均由供应商承担，并包含在供应商的响应报价之内。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支付合同总价的10%作为预付款；风景名胜区影响论证报告通过行业主管部门审查后，支付合同总价的70%；取得行业主管部门（林业局）批复意见后，再支付剩余合同总价的20%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本项目工期120日历天。甲方提供工可报告初稿后</w:t>
      </w:r>
      <w:r>
        <w:rPr>
          <w:rFonts w:hint="eastAsia" w:eastAsia="仿宋_GB2312"/>
          <w:kern w:val="0"/>
          <w:sz w:val="32"/>
          <w:szCs w:val="32"/>
        </w:rPr>
        <w:t>，</w:t>
      </w:r>
      <w:r>
        <w:rPr>
          <w:rFonts w:hint="eastAsia" w:eastAsia="仿宋_GB2312"/>
          <w:kern w:val="0"/>
          <w:sz w:val="32"/>
          <w:szCs w:val="32"/>
          <w:lang w:val="en-US" w:eastAsia="zh-CN"/>
        </w:rPr>
        <w:t>乙方于60</w:t>
      </w:r>
      <w:r>
        <w:rPr>
          <w:rFonts w:hint="eastAsia" w:eastAsia="仿宋_GB2312"/>
          <w:kern w:val="0"/>
          <w:sz w:val="32"/>
          <w:szCs w:val="32"/>
        </w:rPr>
        <w:t>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eastAsia="仿宋_GB2312"/>
          <w:kern w:val="0"/>
          <w:sz w:val="32"/>
          <w:szCs w:val="32"/>
          <w:lang w:val="en-US" w:eastAsia="zh-CN"/>
        </w:rPr>
        <w:t>风景名胜区影响论证报告</w:t>
      </w:r>
      <w:r>
        <w:rPr>
          <w:rFonts w:hint="eastAsia" w:eastAsia="仿宋_GB2312"/>
          <w:kern w:val="0"/>
          <w:sz w:val="32"/>
          <w:szCs w:val="32"/>
        </w:rPr>
        <w:t>》</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通</w:t>
      </w:r>
      <w:r>
        <w:rPr>
          <w:rFonts w:hint="eastAsia" w:eastAsia="仿宋_GB2312"/>
          <w:color w:val="auto"/>
          <w:kern w:val="0"/>
          <w:sz w:val="32"/>
          <w:szCs w:val="32"/>
          <w:highlight w:val="none"/>
          <w:lang w:val="en-US" w:eastAsia="zh-CN"/>
        </w:rPr>
        <w:t>过业主组织的专家审查并修</w:t>
      </w:r>
      <w:r>
        <w:rPr>
          <w:rFonts w:hint="eastAsia" w:eastAsia="仿宋_GB2312"/>
          <w:color w:val="auto"/>
          <w:kern w:val="0"/>
          <w:sz w:val="32"/>
          <w:szCs w:val="32"/>
          <w:lang w:val="en-US" w:eastAsia="zh-CN"/>
        </w:rPr>
        <w:t>改完善后，乙方于30天内提交《</w:t>
      </w:r>
      <w:r>
        <w:rPr>
          <w:rFonts w:hint="eastAsia" w:eastAsia="仿宋_GB2312"/>
          <w:kern w:val="0"/>
          <w:sz w:val="32"/>
          <w:szCs w:val="32"/>
          <w:lang w:val="en-US" w:eastAsia="zh-CN"/>
        </w:rPr>
        <w:t>风景名胜区影响论证报告</w:t>
      </w:r>
      <w:r>
        <w:rPr>
          <w:rFonts w:hint="eastAsia" w:eastAsia="仿宋_GB2312"/>
          <w:color w:val="auto"/>
          <w:kern w:val="0"/>
          <w:sz w:val="32"/>
          <w:szCs w:val="32"/>
          <w:lang w:val="en-US" w:eastAsia="zh-CN"/>
        </w:rPr>
        <w:t>》（送审稿）电子版及15份纸质版；</w:t>
      </w:r>
      <w:r>
        <w:rPr>
          <w:rFonts w:hint="eastAsia" w:eastAsia="仿宋_GB2312"/>
          <w:kern w:val="0"/>
          <w:sz w:val="32"/>
          <w:szCs w:val="32"/>
        </w:rPr>
        <w:t>通过主管部门审查后15日内，提供《</w:t>
      </w:r>
      <w:r>
        <w:rPr>
          <w:rFonts w:hint="eastAsia" w:eastAsia="仿宋_GB2312"/>
          <w:kern w:val="0"/>
          <w:sz w:val="32"/>
          <w:szCs w:val="32"/>
          <w:lang w:val="en-US" w:eastAsia="zh-CN"/>
        </w:rPr>
        <w:t>风景名胜区影响论证报告</w:t>
      </w:r>
      <w:r>
        <w:rPr>
          <w:rFonts w:hint="eastAsia" w:eastAsia="仿宋_GB2312"/>
          <w:kern w:val="0"/>
          <w:sz w:val="32"/>
          <w:szCs w:val="32"/>
        </w:rPr>
        <w:t>》（报批稿）10份。以上报告提供时，均需提供电子文档光盘资料2份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10" w:lineRule="exact"/>
        <w:ind w:left="102" w:right="113" w:firstLine="640" w:firstLineChars="200"/>
        <w:textAlignment w:val="auto"/>
        <w:rPr>
          <w:rFonts w:hint="default" w:ascii="Times New Roman" w:hAnsi="Times New Roman" w:eastAsia="黑体" w:cs="Times New Roman"/>
          <w:b w:val="0"/>
          <w:color w:val="auto"/>
          <w:highlight w:val="none"/>
          <w:lang w:eastAsia="zh-CN"/>
        </w:rPr>
      </w:pPr>
      <w:bookmarkStart w:id="13" w:name="_Toc6230452"/>
      <w:bookmarkStart w:id="14" w:name="_Toc29194683"/>
      <w:bookmarkStart w:id="15" w:name="_Toc5209750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营业执照、税务登记证、组织机构代码证的单位</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提供信息合并后的有效证件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w:t>
      </w:r>
      <w:r>
        <w:rPr>
          <w:rFonts w:hint="eastAsia" w:eastAsia="仿宋_GB2312"/>
          <w:color w:val="auto"/>
          <w:kern w:val="0"/>
          <w:sz w:val="32"/>
          <w:szCs w:val="32"/>
          <w:highlight w:val="none"/>
          <w:lang w:val="en-US" w:eastAsia="zh-CN"/>
        </w:rPr>
        <w:t>合同签订</w:t>
      </w:r>
      <w:r>
        <w:rPr>
          <w:rFonts w:hint="eastAsia" w:eastAsia="仿宋_GB2312"/>
          <w:color w:val="auto"/>
          <w:kern w:val="0"/>
          <w:sz w:val="32"/>
          <w:szCs w:val="32"/>
          <w:highlight w:val="none"/>
        </w:rPr>
        <w:t>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eastAsia="仿宋_GB2312"/>
          <w:kern w:val="0"/>
          <w:sz w:val="32"/>
          <w:szCs w:val="32"/>
          <w:highlight w:val="none"/>
          <w:lang w:val="en-US" w:eastAsia="zh-CN"/>
        </w:rPr>
        <w:t>风景名胜区影响论证报告编制并取得省级（直辖市）及上行业行政主管部门批复</w:t>
      </w:r>
      <w:r>
        <w:rPr>
          <w:rFonts w:hint="eastAsia" w:ascii="Times New Roman" w:hAnsi="Times New Roman" w:eastAsia="方正仿宋_GBK" w:cs="Times New Roman"/>
          <w:bCs/>
          <w:color w:val="auto"/>
          <w:sz w:val="32"/>
          <w:szCs w:val="32"/>
          <w:highlight w:val="none"/>
          <w:lang w:val="en-US" w:eastAsia="zh-CN"/>
        </w:rPr>
        <w:t>的业绩</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29194684"/>
      <w:bookmarkStart w:id="17" w:name="_Toc324429696"/>
      <w:bookmarkStart w:id="18" w:name="_Toc13014"/>
      <w:bookmarkStart w:id="19" w:name="_Toc52097503"/>
      <w:bookmarkStart w:id="20" w:name="_Toc323734101"/>
      <w:bookmarkStart w:id="21" w:name="_Toc6230453"/>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18</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2023年7月14日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约</w:t>
      </w:r>
      <w:r>
        <w:rPr>
          <w:rFonts w:hint="default" w:ascii="Times New Roman" w:hAnsi="Times New Roman" w:eastAsia="方正仿宋_GBK" w:cs="Times New Roman"/>
          <w:bCs/>
          <w:color w:val="auto"/>
          <w:sz w:val="32"/>
          <w:szCs w:val="32"/>
          <w:highlight w:val="none"/>
          <w:lang w:val="en-US" w:eastAsia="zh-CN"/>
        </w:rPr>
        <w:t>______</w:t>
      </w:r>
      <w:r>
        <w:rPr>
          <w:rFonts w:hint="eastAsia" w:ascii="Times New Roman" w:hAnsi="Times New Roman" w:eastAsia="方正仿宋_GBK" w:cs="Times New Roman"/>
          <w:bCs/>
          <w:color w:val="auto"/>
          <w:sz w:val="32"/>
          <w:szCs w:val="32"/>
          <w:highlight w:val="none"/>
          <w:u w:val="single"/>
          <w:lang w:val="en-US" w:eastAsia="zh-CN"/>
        </w:rPr>
        <w:t>400000</w:t>
      </w:r>
      <w:r>
        <w:rPr>
          <w:rFonts w:hint="default" w:ascii="Times New Roman" w:hAnsi="Times New Roman" w:eastAsia="方正仿宋_GBK" w:cs="Times New Roman"/>
          <w:bCs/>
          <w:color w:val="auto"/>
          <w:sz w:val="32"/>
          <w:szCs w:val="32"/>
          <w:highlight w:val="none"/>
          <w:lang w:val="en-US" w:eastAsia="zh-CN"/>
        </w:rPr>
        <w:t>_____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40.0</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1.2报价文件装订采用A4纸幅面，不得采用活页夹等可随时拆换的方式装订，目录、页码齐全，正副本分开装订，封面注明正副本字样。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涪江航道整治工程风景名胜区影响论证（第二次）</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18</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w:t>
      </w:r>
      <w:bookmarkStart w:id="22" w:name="_GoBack"/>
      <w:bookmarkEnd w:id="22"/>
      <w:r>
        <w:rPr>
          <w:rFonts w:hint="eastAsia" w:ascii="Times New Roman" w:hAnsi="Times New Roman" w:eastAsia="方正仿宋_GBK" w:cs="Times New Roman"/>
          <w:bCs/>
          <w:color w:val="auto"/>
          <w:sz w:val="32"/>
          <w:szCs w:val="32"/>
          <w:highlight w:val="none"/>
          <w:lang w:val="en-US" w:eastAsia="zh-CN"/>
        </w:rPr>
        <w:t>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证明材料：合同文件、批复文件（或行政许可）</w:t>
      </w:r>
      <w:r>
        <w:rPr>
          <w:rFonts w:hint="default" w:ascii="Times New Roman" w:hAnsi="Times New Roman" w:eastAsia="方正仿宋_GBK" w:cs="Times New Roman"/>
          <w:bCs/>
          <w:color w:val="auto"/>
          <w:sz w:val="32"/>
          <w:szCs w:val="32"/>
          <w:highlight w:val="none"/>
          <w:lang w:eastAsia="zh-CN"/>
        </w:rPr>
        <w:t>。</w:t>
      </w:r>
    </w:p>
    <w:p>
      <w:pPr>
        <w:pStyle w:val="43"/>
        <w:rPr>
          <w:rFonts w:hint="default"/>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。本次询价属于重新比选范畴，重新比选参与报价的有效报价人</w:t>
      </w:r>
      <w:r>
        <w:rPr>
          <w:rFonts w:hint="eastAsia" w:ascii="Times New Roman" w:hAnsi="Times New Roman" w:eastAsia="方正仿宋_GBK" w:cs="Times New Roman"/>
          <w:bCs/>
          <w:color w:val="auto"/>
          <w:sz w:val="32"/>
          <w:szCs w:val="32"/>
          <w:highlight w:val="none"/>
          <w:lang w:val="en-US" w:eastAsia="zh-CN"/>
        </w:rPr>
        <w:t>不足三家的</w:t>
      </w:r>
      <w:r>
        <w:rPr>
          <w:rFonts w:hint="default" w:ascii="Times New Roman" w:hAnsi="Times New Roman" w:eastAsia="方正仿宋_GBK" w:cs="Times New Roman"/>
          <w:bCs/>
          <w:color w:val="auto"/>
          <w:sz w:val="32"/>
          <w:szCs w:val="32"/>
          <w:highlight w:val="none"/>
          <w:lang w:eastAsia="zh-CN"/>
        </w:rPr>
        <w:t>，经评审可产生中选单位。</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Q1MjcxMzAxOTc4YjE2MDg3YWQxOGE1YjVkYT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3667C72"/>
    <w:rsid w:val="040C0819"/>
    <w:rsid w:val="048A3FA3"/>
    <w:rsid w:val="04C75BA9"/>
    <w:rsid w:val="05046843"/>
    <w:rsid w:val="05940AC6"/>
    <w:rsid w:val="06113EC5"/>
    <w:rsid w:val="0636605F"/>
    <w:rsid w:val="066E658D"/>
    <w:rsid w:val="067A2C61"/>
    <w:rsid w:val="06ED263D"/>
    <w:rsid w:val="07501833"/>
    <w:rsid w:val="08651193"/>
    <w:rsid w:val="08F93D5B"/>
    <w:rsid w:val="09CD7F8F"/>
    <w:rsid w:val="0A95138C"/>
    <w:rsid w:val="0AAC240E"/>
    <w:rsid w:val="0B6251C3"/>
    <w:rsid w:val="0BB95CD2"/>
    <w:rsid w:val="0BFE4292"/>
    <w:rsid w:val="0C292867"/>
    <w:rsid w:val="0C923886"/>
    <w:rsid w:val="0CD07E15"/>
    <w:rsid w:val="0CFA4A65"/>
    <w:rsid w:val="0D406B8E"/>
    <w:rsid w:val="0E707BD8"/>
    <w:rsid w:val="0F07055B"/>
    <w:rsid w:val="0F925348"/>
    <w:rsid w:val="0FB66909"/>
    <w:rsid w:val="10A81391"/>
    <w:rsid w:val="117A6EEF"/>
    <w:rsid w:val="12711EC4"/>
    <w:rsid w:val="12AE3DC1"/>
    <w:rsid w:val="12F47048"/>
    <w:rsid w:val="13B86C2F"/>
    <w:rsid w:val="14295DAF"/>
    <w:rsid w:val="142A7E51"/>
    <w:rsid w:val="159E24E8"/>
    <w:rsid w:val="162417DF"/>
    <w:rsid w:val="16A76DEE"/>
    <w:rsid w:val="16B64EC9"/>
    <w:rsid w:val="16C86822"/>
    <w:rsid w:val="17AC5B95"/>
    <w:rsid w:val="19212219"/>
    <w:rsid w:val="19421CE6"/>
    <w:rsid w:val="19534133"/>
    <w:rsid w:val="198130EF"/>
    <w:rsid w:val="19AE416C"/>
    <w:rsid w:val="19DD43BA"/>
    <w:rsid w:val="1A4B45F5"/>
    <w:rsid w:val="1AEB3291"/>
    <w:rsid w:val="1AFA7273"/>
    <w:rsid w:val="1CEB3111"/>
    <w:rsid w:val="1D1E25DF"/>
    <w:rsid w:val="1D652848"/>
    <w:rsid w:val="1DD736C3"/>
    <w:rsid w:val="1E391708"/>
    <w:rsid w:val="1EAF02C7"/>
    <w:rsid w:val="1F7A7982"/>
    <w:rsid w:val="21762DE7"/>
    <w:rsid w:val="21CC3BA7"/>
    <w:rsid w:val="21E3769E"/>
    <w:rsid w:val="21F901D7"/>
    <w:rsid w:val="22102401"/>
    <w:rsid w:val="228765EB"/>
    <w:rsid w:val="234E4979"/>
    <w:rsid w:val="241174C5"/>
    <w:rsid w:val="24304B96"/>
    <w:rsid w:val="24430E72"/>
    <w:rsid w:val="24B738C2"/>
    <w:rsid w:val="25257535"/>
    <w:rsid w:val="254C1860"/>
    <w:rsid w:val="255178E6"/>
    <w:rsid w:val="255E1927"/>
    <w:rsid w:val="2580476C"/>
    <w:rsid w:val="25F14B98"/>
    <w:rsid w:val="264834DB"/>
    <w:rsid w:val="26710645"/>
    <w:rsid w:val="26971D6D"/>
    <w:rsid w:val="26A91696"/>
    <w:rsid w:val="26B15A9F"/>
    <w:rsid w:val="26EA7C92"/>
    <w:rsid w:val="27007186"/>
    <w:rsid w:val="272F2851"/>
    <w:rsid w:val="274F3DB2"/>
    <w:rsid w:val="279C6923"/>
    <w:rsid w:val="27BD1AEB"/>
    <w:rsid w:val="28A65C00"/>
    <w:rsid w:val="28FC289D"/>
    <w:rsid w:val="2914405B"/>
    <w:rsid w:val="29156EF2"/>
    <w:rsid w:val="293435B5"/>
    <w:rsid w:val="296138F6"/>
    <w:rsid w:val="298E5654"/>
    <w:rsid w:val="2B052B73"/>
    <w:rsid w:val="2B6948BD"/>
    <w:rsid w:val="2BD001FB"/>
    <w:rsid w:val="2BF539B5"/>
    <w:rsid w:val="2C0C4FAB"/>
    <w:rsid w:val="2C61237F"/>
    <w:rsid w:val="2D280A7E"/>
    <w:rsid w:val="2E1D524D"/>
    <w:rsid w:val="2E9A4AF0"/>
    <w:rsid w:val="2FCD04BE"/>
    <w:rsid w:val="319A23E2"/>
    <w:rsid w:val="3206472E"/>
    <w:rsid w:val="328937F3"/>
    <w:rsid w:val="32F017EB"/>
    <w:rsid w:val="33254D78"/>
    <w:rsid w:val="33541C67"/>
    <w:rsid w:val="335D4929"/>
    <w:rsid w:val="33C83BC3"/>
    <w:rsid w:val="35153592"/>
    <w:rsid w:val="35276BCD"/>
    <w:rsid w:val="35996867"/>
    <w:rsid w:val="381C1FF3"/>
    <w:rsid w:val="387B5356"/>
    <w:rsid w:val="389F0583"/>
    <w:rsid w:val="3A296D28"/>
    <w:rsid w:val="3B3B1938"/>
    <w:rsid w:val="3B536115"/>
    <w:rsid w:val="3B896557"/>
    <w:rsid w:val="3C7324DC"/>
    <w:rsid w:val="3CD613E9"/>
    <w:rsid w:val="3D110EED"/>
    <w:rsid w:val="3D12686E"/>
    <w:rsid w:val="3D18578A"/>
    <w:rsid w:val="3DA55E6C"/>
    <w:rsid w:val="3E0A4684"/>
    <w:rsid w:val="3E415AC4"/>
    <w:rsid w:val="3EC066EC"/>
    <w:rsid w:val="3ED20001"/>
    <w:rsid w:val="3EE322BE"/>
    <w:rsid w:val="3EED6A2E"/>
    <w:rsid w:val="3EF25A32"/>
    <w:rsid w:val="3F7D78FA"/>
    <w:rsid w:val="40201E32"/>
    <w:rsid w:val="408814E1"/>
    <w:rsid w:val="418D49B0"/>
    <w:rsid w:val="41DC2462"/>
    <w:rsid w:val="42615AA3"/>
    <w:rsid w:val="426A5D19"/>
    <w:rsid w:val="42740C54"/>
    <w:rsid w:val="42A713D5"/>
    <w:rsid w:val="42E21CE0"/>
    <w:rsid w:val="42EE0B57"/>
    <w:rsid w:val="42FC2B26"/>
    <w:rsid w:val="43EF3495"/>
    <w:rsid w:val="44054362"/>
    <w:rsid w:val="453756CC"/>
    <w:rsid w:val="454A4722"/>
    <w:rsid w:val="455255E8"/>
    <w:rsid w:val="45912351"/>
    <w:rsid w:val="45B11EFA"/>
    <w:rsid w:val="46E4318C"/>
    <w:rsid w:val="46F43FF9"/>
    <w:rsid w:val="471F4D88"/>
    <w:rsid w:val="479E3A47"/>
    <w:rsid w:val="47D87266"/>
    <w:rsid w:val="48324764"/>
    <w:rsid w:val="489857A5"/>
    <w:rsid w:val="49222A1C"/>
    <w:rsid w:val="49A2577D"/>
    <w:rsid w:val="4A321E22"/>
    <w:rsid w:val="4A3546F1"/>
    <w:rsid w:val="4A962868"/>
    <w:rsid w:val="4AAB0DE9"/>
    <w:rsid w:val="4B106456"/>
    <w:rsid w:val="4BA94F6F"/>
    <w:rsid w:val="4C475532"/>
    <w:rsid w:val="4C6F2EDA"/>
    <w:rsid w:val="4D0B0C3B"/>
    <w:rsid w:val="4DDF79D2"/>
    <w:rsid w:val="4E03626B"/>
    <w:rsid w:val="4E4C658E"/>
    <w:rsid w:val="4EBB21ED"/>
    <w:rsid w:val="4ECA3387"/>
    <w:rsid w:val="4F7B2533"/>
    <w:rsid w:val="508711A9"/>
    <w:rsid w:val="510E35CE"/>
    <w:rsid w:val="517B4EC0"/>
    <w:rsid w:val="51B322DA"/>
    <w:rsid w:val="51CC3CA7"/>
    <w:rsid w:val="51F850A8"/>
    <w:rsid w:val="526D2EBF"/>
    <w:rsid w:val="53366EE7"/>
    <w:rsid w:val="536C7F5A"/>
    <w:rsid w:val="53DC50DF"/>
    <w:rsid w:val="54260108"/>
    <w:rsid w:val="54271112"/>
    <w:rsid w:val="54523A5C"/>
    <w:rsid w:val="555C3065"/>
    <w:rsid w:val="55987088"/>
    <w:rsid w:val="56A32E66"/>
    <w:rsid w:val="56EF6751"/>
    <w:rsid w:val="577747A6"/>
    <w:rsid w:val="577A27D6"/>
    <w:rsid w:val="593C56D0"/>
    <w:rsid w:val="593F171A"/>
    <w:rsid w:val="59E454CF"/>
    <w:rsid w:val="59F726F3"/>
    <w:rsid w:val="59FE7432"/>
    <w:rsid w:val="5B052582"/>
    <w:rsid w:val="5B151D9E"/>
    <w:rsid w:val="5B297B8D"/>
    <w:rsid w:val="5B57543C"/>
    <w:rsid w:val="5BBE331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17F68"/>
    <w:rsid w:val="5F4768A1"/>
    <w:rsid w:val="5FA74DF5"/>
    <w:rsid w:val="6008100A"/>
    <w:rsid w:val="60895210"/>
    <w:rsid w:val="60DC0379"/>
    <w:rsid w:val="60F91A9B"/>
    <w:rsid w:val="61033B4B"/>
    <w:rsid w:val="61681DAA"/>
    <w:rsid w:val="62137647"/>
    <w:rsid w:val="63BA6ABF"/>
    <w:rsid w:val="64761A1E"/>
    <w:rsid w:val="65585085"/>
    <w:rsid w:val="6582360D"/>
    <w:rsid w:val="65E41BD1"/>
    <w:rsid w:val="66FB3677"/>
    <w:rsid w:val="67015D83"/>
    <w:rsid w:val="6755430C"/>
    <w:rsid w:val="676C3643"/>
    <w:rsid w:val="67B30A70"/>
    <w:rsid w:val="68466749"/>
    <w:rsid w:val="68562C5D"/>
    <w:rsid w:val="68762F5B"/>
    <w:rsid w:val="689313CC"/>
    <w:rsid w:val="69E81028"/>
    <w:rsid w:val="6D541C74"/>
    <w:rsid w:val="6D8C1329"/>
    <w:rsid w:val="6DAD722E"/>
    <w:rsid w:val="6DE06576"/>
    <w:rsid w:val="700B0D28"/>
    <w:rsid w:val="70495453"/>
    <w:rsid w:val="70656815"/>
    <w:rsid w:val="70833368"/>
    <w:rsid w:val="709655A9"/>
    <w:rsid w:val="70D83866"/>
    <w:rsid w:val="710D7515"/>
    <w:rsid w:val="7139605B"/>
    <w:rsid w:val="71B25E42"/>
    <w:rsid w:val="72B14FD5"/>
    <w:rsid w:val="733658CC"/>
    <w:rsid w:val="736D23B4"/>
    <w:rsid w:val="737F3A69"/>
    <w:rsid w:val="74181201"/>
    <w:rsid w:val="743D400A"/>
    <w:rsid w:val="74590E55"/>
    <w:rsid w:val="755A6876"/>
    <w:rsid w:val="755F3CFE"/>
    <w:rsid w:val="756555F5"/>
    <w:rsid w:val="760D0BC5"/>
    <w:rsid w:val="762D6621"/>
    <w:rsid w:val="76575395"/>
    <w:rsid w:val="77AC105E"/>
    <w:rsid w:val="77AD20AE"/>
    <w:rsid w:val="77B51620"/>
    <w:rsid w:val="77F92A26"/>
    <w:rsid w:val="78286988"/>
    <w:rsid w:val="7861167A"/>
    <w:rsid w:val="78E04108"/>
    <w:rsid w:val="78F07C69"/>
    <w:rsid w:val="7A3E4002"/>
    <w:rsid w:val="7AAF6562"/>
    <w:rsid w:val="7B784E3E"/>
    <w:rsid w:val="7BC02341"/>
    <w:rsid w:val="7C4D729D"/>
    <w:rsid w:val="7D100213"/>
    <w:rsid w:val="7DCC7838"/>
    <w:rsid w:val="7E5E0DFC"/>
    <w:rsid w:val="7EBD184F"/>
    <w:rsid w:val="7F3A3F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2240</Words>
  <Characters>2469</Characters>
  <Lines>72</Lines>
  <Paragraphs>20</Paragraphs>
  <TotalTime>0</TotalTime>
  <ScaleCrop>false</ScaleCrop>
  <LinksUpToDate>false</LinksUpToDate>
  <CharactersWithSpaces>2555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2023-06-20T07:52:00Z</cp:lastPrinted>
  <dcterms:modified xsi:type="dcterms:W3CDTF">2023-07-14T06:30:26Z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47821B68AEF948BA91B7FE87E5FD34BA</vt:lpwstr>
  </property>
</Properties>
</file>