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8"/>
          <w:szCs w:val="48"/>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4"/>
          <w:szCs w:val="44"/>
          <w:highlight w:val="none"/>
        </w:rPr>
      </w:pPr>
      <w:r>
        <w:rPr>
          <w:rFonts w:hint="eastAsia" w:ascii="宋体" w:hAnsi="宋体" w:cs="宋体"/>
          <w:b/>
          <w:color w:val="auto"/>
          <w:sz w:val="44"/>
          <w:szCs w:val="44"/>
          <w:highlight w:val="none"/>
        </w:rPr>
        <w:t>重庆通力高速公路养护工程有限公司</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重庆渝蓉高速公路大足石刻服务区项目</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4"/>
          <w:szCs w:val="44"/>
          <w:highlight w:val="none"/>
        </w:rPr>
      </w:pPr>
      <w:r>
        <w:rPr>
          <w:rFonts w:hint="eastAsia" w:ascii="宋体" w:hAnsi="宋体" w:cs="宋体"/>
          <w:b/>
          <w:color w:val="auto"/>
          <w:sz w:val="44"/>
          <w:szCs w:val="44"/>
          <w:highlight w:val="none"/>
          <w:lang w:eastAsia="zh-CN"/>
        </w:rPr>
        <w:t>不锈钢造型内发光标志牌</w:t>
      </w:r>
      <w:r>
        <w:rPr>
          <w:rFonts w:hint="eastAsia" w:ascii="宋体" w:hAnsi="宋体" w:cs="宋体"/>
          <w:b/>
          <w:color w:val="auto"/>
          <w:sz w:val="44"/>
          <w:szCs w:val="44"/>
          <w:highlight w:val="none"/>
        </w:rPr>
        <w:t>采购</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72"/>
          <w:szCs w:val="72"/>
          <w:highlight w:val="none"/>
        </w:rPr>
      </w:pPr>
    </w:p>
    <w:p>
      <w:pPr>
        <w:pStyle w:val="38"/>
        <w:keepNext w:val="0"/>
        <w:keepLines w:val="0"/>
        <w:pageBreakBefore w:val="0"/>
        <w:widowControl w:val="0"/>
        <w:kinsoku/>
        <w:wordWrap/>
        <w:overflowPunct/>
        <w:topLinePunct w:val="0"/>
        <w:bidi w:val="0"/>
        <w:snapToGrid/>
        <w:spacing w:line="480" w:lineRule="atLeast"/>
        <w:textAlignment w:val="auto"/>
        <w:rPr>
          <w:rFonts w:hint="eastAsia"/>
          <w:color w:val="auto"/>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72"/>
          <w:szCs w:val="72"/>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84"/>
          <w:szCs w:val="84"/>
          <w:highlight w:val="none"/>
        </w:rPr>
      </w:pPr>
      <w:r>
        <w:rPr>
          <w:rFonts w:hint="eastAsia" w:ascii="宋体" w:hAnsi="宋体" w:eastAsia="宋体" w:cs="宋体"/>
          <w:b/>
          <w:spacing w:val="20"/>
          <w:sz w:val="84"/>
          <w:szCs w:val="84"/>
          <w:highlight w:val="none"/>
        </w:rPr>
        <w:t>竞争性比选</w:t>
      </w:r>
      <w:r>
        <w:rPr>
          <w:rFonts w:hint="eastAsia" w:ascii="宋体" w:hAnsi="宋体" w:cs="宋体"/>
          <w:b/>
          <w:color w:val="auto"/>
          <w:spacing w:val="20"/>
          <w:sz w:val="84"/>
          <w:szCs w:val="84"/>
          <w:highlight w:val="none"/>
        </w:rPr>
        <w:t>文件</w:t>
      </w: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pacing w:val="100"/>
          <w:szCs w:val="21"/>
          <w:highlight w:val="none"/>
        </w:rPr>
      </w:pPr>
    </w:p>
    <w:p>
      <w:pPr>
        <w:pStyle w:val="11"/>
        <w:keepNext w:val="0"/>
        <w:keepLines w:val="0"/>
        <w:pageBreakBefore w:val="0"/>
        <w:widowControl w:val="0"/>
        <w:kinsoku/>
        <w:wordWrap/>
        <w:overflowPunct/>
        <w:topLinePunct w:val="0"/>
        <w:bidi w:val="0"/>
        <w:snapToGrid/>
        <w:spacing w:line="480" w:lineRule="atLeast"/>
        <w:ind w:left="99" w:leftChars="47"/>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1"/>
        <w:keepNext w:val="0"/>
        <w:keepLines w:val="0"/>
        <w:pageBreakBefore w:val="0"/>
        <w:widowControl w:val="0"/>
        <w:kinsoku/>
        <w:wordWrap/>
        <w:overflowPunct/>
        <w:topLinePunct w:val="0"/>
        <w:bidi w:val="0"/>
        <w:snapToGrid/>
        <w:spacing w:line="480" w:lineRule="atLeast"/>
        <w:ind w:left="99" w:leftChars="47"/>
        <w:jc w:val="center"/>
        <w:textAlignment w:val="auto"/>
        <w:rPr>
          <w:rFonts w:hint="eastAsia" w:ascii="宋体" w:hAnsi="宋体" w:cs="宋体"/>
          <w:b/>
          <w:color w:val="auto"/>
          <w:sz w:val="30"/>
          <w:szCs w:val="30"/>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30"/>
          <w:szCs w:val="30"/>
          <w:highlight w:val="none"/>
        </w:rPr>
      </w:pP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重庆通力高速公路养护工程有限公司</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重庆渝蓉高速公路大足石刻服务区项目</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lang w:eastAsia="zh-CN"/>
        </w:rPr>
        <w:t>不锈钢造型内发光标志牌</w:t>
      </w:r>
      <w:r>
        <w:rPr>
          <w:rFonts w:hint="eastAsia" w:ascii="宋体" w:hAnsi="宋体" w:cs="宋体"/>
          <w:b/>
          <w:color w:val="auto"/>
          <w:sz w:val="30"/>
          <w:szCs w:val="30"/>
          <w:highlight w:val="none"/>
        </w:rPr>
        <w:t>采购</w:t>
      </w:r>
      <w:r>
        <w:rPr>
          <w:rFonts w:hint="eastAsia" w:ascii="宋体" w:hAnsi="宋体" w:cs="宋体"/>
          <w:b/>
          <w:color w:val="auto"/>
          <w:sz w:val="30"/>
          <w:szCs w:val="30"/>
          <w:highlight w:val="none"/>
          <w:lang w:eastAsia="zh-CN"/>
        </w:rPr>
        <w:t>招标</w:t>
      </w:r>
      <w:r>
        <w:rPr>
          <w:rFonts w:hint="eastAsia" w:ascii="宋体" w:hAnsi="宋体" w:cs="宋体"/>
          <w:b/>
          <w:color w:val="auto"/>
          <w:sz w:val="30"/>
          <w:szCs w:val="30"/>
          <w:highlight w:val="none"/>
        </w:rPr>
        <w:t>公告</w:t>
      </w:r>
    </w:p>
    <w:p>
      <w:pPr>
        <w:keepNext w:val="0"/>
        <w:keepLines w:val="0"/>
        <w:pageBreakBefore w:val="0"/>
        <w:kinsoku/>
        <w:wordWrap/>
        <w:overflowPunct/>
        <w:topLinePunct w:val="0"/>
        <w:autoSpaceDE/>
        <w:autoSpaceDN/>
        <w:bidi w:val="0"/>
        <w:adjustRightInd/>
        <w:snapToGrid/>
        <w:spacing w:line="400" w:lineRule="atLeast"/>
        <w:ind w:firstLine="120" w:firstLineChars="50"/>
        <w:textAlignment w:val="auto"/>
        <w:rPr>
          <w:rFonts w:hint="eastAsia" w:ascii="宋体" w:hAnsi="宋体" w:cs="宋体"/>
          <w:color w:val="auto"/>
          <w:sz w:val="24"/>
          <w:szCs w:val="24"/>
          <w:highlight w:val="none"/>
          <w:u w:val="single"/>
        </w:rPr>
      </w:pPr>
      <w:bookmarkStart w:id="0" w:name="_Toc246996909"/>
      <w:bookmarkStart w:id="1" w:name="_Toc246996166"/>
      <w:bookmarkStart w:id="2" w:name="_Toc179632536"/>
      <w:bookmarkStart w:id="3" w:name="_Toc144974487"/>
      <w:bookmarkStart w:id="4" w:name="_Toc152042295"/>
      <w:bookmarkStart w:id="5" w:name="_Toc247085680"/>
      <w:bookmarkStart w:id="6" w:name="_Toc152045519"/>
      <w:bookmarkStart w:id="7" w:name="_Toc296602410"/>
    </w:p>
    <w:bookmarkEnd w:id="0"/>
    <w:bookmarkEnd w:id="1"/>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color w:val="auto"/>
          <w:szCs w:val="21"/>
          <w:highlight w:val="none"/>
        </w:rPr>
      </w:pPr>
      <w:bookmarkStart w:id="8" w:name="_Toc296602412"/>
      <w:bookmarkStart w:id="9" w:name="_Toc246996168"/>
      <w:bookmarkStart w:id="10" w:name="_Toc152042297"/>
      <w:bookmarkStart w:id="11" w:name="_Toc247085682"/>
      <w:bookmarkStart w:id="12" w:name="_Toc179632538"/>
      <w:bookmarkStart w:id="13" w:name="_Toc246996911"/>
      <w:bookmarkStart w:id="14" w:name="_Toc152045521"/>
      <w:bookmarkStart w:id="15" w:name="_Toc144974489"/>
      <w:r>
        <w:rPr>
          <w:color w:val="auto"/>
          <w:szCs w:val="21"/>
          <w:highlight w:val="none"/>
        </w:rPr>
        <w:t>本项目</w:t>
      </w:r>
      <w:r>
        <w:rPr>
          <w:rFonts w:hint="eastAsia"/>
          <w:b/>
          <w:bCs/>
          <w:color w:val="auto"/>
          <w:szCs w:val="21"/>
          <w:highlight w:val="none"/>
          <w:u w:val="single"/>
        </w:rPr>
        <w:t>重庆通力高速公路养护工程有限公司</w:t>
      </w:r>
      <w:r>
        <w:rPr>
          <w:rFonts w:hint="eastAsia"/>
          <w:b/>
          <w:bCs/>
          <w:color w:val="auto"/>
          <w:szCs w:val="21"/>
          <w:highlight w:val="none"/>
          <w:u w:val="single"/>
          <w:lang w:eastAsia="zh-CN"/>
        </w:rPr>
        <w:t>重庆渝蓉高速公路大足石刻服务区项目不锈钢造型内发光标志牌</w:t>
      </w:r>
      <w:r>
        <w:rPr>
          <w:rFonts w:hint="eastAsia"/>
          <w:color w:val="auto"/>
          <w:szCs w:val="21"/>
          <w:highlight w:val="none"/>
        </w:rPr>
        <w:t>采购</w:t>
      </w:r>
      <w:r>
        <w:rPr>
          <w:color w:val="auto"/>
          <w:szCs w:val="21"/>
          <w:highlight w:val="none"/>
        </w:rPr>
        <w:t>准备组织实施，重庆通力高速公路养护工程有限公司计划以</w:t>
      </w:r>
      <w:r>
        <w:rPr>
          <w:rFonts w:hint="eastAsia"/>
          <w:color w:val="auto"/>
          <w:szCs w:val="21"/>
          <w:highlight w:val="none"/>
          <w:lang w:eastAsia="zh-CN"/>
        </w:rPr>
        <w:t>招标</w:t>
      </w:r>
      <w:r>
        <w:rPr>
          <w:rFonts w:hint="eastAsia"/>
          <w:color w:val="auto"/>
          <w:szCs w:val="21"/>
          <w:highlight w:val="none"/>
        </w:rPr>
        <w:t>方式</w:t>
      </w:r>
      <w:r>
        <w:rPr>
          <w:color w:val="auto"/>
          <w:szCs w:val="21"/>
          <w:highlight w:val="none"/>
        </w:rPr>
        <w:t>确定成交单位，具体情况如下：</w:t>
      </w:r>
    </w:p>
    <w:p>
      <w:pPr>
        <w:keepNext w:val="0"/>
        <w:keepLines w:val="0"/>
        <w:pageBreakBefore w:val="0"/>
        <w:widowControl w:val="0"/>
        <w:kinsoku/>
        <w:wordWrap/>
        <w:overflowPunct/>
        <w:topLinePunct w:val="0"/>
        <w:autoSpaceDE/>
        <w:autoSpaceDN/>
        <w:bidi w:val="0"/>
        <w:adjustRightInd/>
        <w:snapToGrid/>
        <w:spacing w:line="400" w:lineRule="atLeast"/>
        <w:textAlignment w:val="auto"/>
        <w:rPr>
          <w:b/>
          <w:color w:val="auto"/>
          <w:szCs w:val="21"/>
          <w:highlight w:val="none"/>
        </w:rPr>
      </w:pPr>
      <w:bookmarkStart w:id="16" w:name="_Toc152042296"/>
      <w:bookmarkStart w:id="17" w:name="_Toc152045520"/>
      <w:bookmarkStart w:id="18" w:name="_Toc247085681"/>
      <w:bookmarkStart w:id="19" w:name="_Toc246996167"/>
      <w:bookmarkStart w:id="20" w:name="_Toc296602411"/>
      <w:bookmarkStart w:id="21" w:name="_Toc144974488"/>
      <w:bookmarkStart w:id="22" w:name="_Toc246996910"/>
      <w:bookmarkStart w:id="23" w:name="_Toc179632537"/>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val="0"/>
          <w:bCs w:val="0"/>
          <w:color w:val="auto"/>
          <w:szCs w:val="21"/>
          <w:highlight w:val="none"/>
        </w:rPr>
      </w:pPr>
      <w:r>
        <w:rPr>
          <w:rFonts w:hint="eastAsia"/>
          <w:color w:val="auto"/>
          <w:szCs w:val="21"/>
          <w:highlight w:val="none"/>
        </w:rPr>
        <w:t>本项目为</w:t>
      </w:r>
      <w:r>
        <w:rPr>
          <w:rFonts w:hint="eastAsia"/>
          <w:b w:val="0"/>
          <w:bCs w:val="0"/>
          <w:color w:val="auto"/>
          <w:szCs w:val="21"/>
          <w:highlight w:val="none"/>
        </w:rPr>
        <w:t>重庆通力高速公路养护工程有限公司</w:t>
      </w:r>
      <w:r>
        <w:rPr>
          <w:rFonts w:hint="eastAsia"/>
          <w:b w:val="0"/>
          <w:bCs w:val="0"/>
          <w:color w:val="auto"/>
          <w:szCs w:val="21"/>
          <w:highlight w:val="none"/>
          <w:lang w:eastAsia="zh-CN"/>
        </w:rPr>
        <w:t>重庆渝蓉高速公路大足石刻服务区项目</w:t>
      </w:r>
      <w:r>
        <w:rPr>
          <w:rFonts w:hint="eastAsia"/>
          <w:b w:val="0"/>
          <w:bCs w:val="0"/>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1.1</w:t>
      </w:r>
      <w:r>
        <w:rPr>
          <w:rFonts w:hint="eastAsia"/>
          <w:color w:val="auto"/>
          <w:szCs w:val="21"/>
          <w:highlight w:val="none"/>
          <w:lang w:eastAsia="zh-CN"/>
        </w:rPr>
        <w:t>招标</w:t>
      </w:r>
      <w:r>
        <w:rPr>
          <w:rFonts w:hint="eastAsia"/>
          <w:color w:val="auto"/>
          <w:szCs w:val="21"/>
          <w:highlight w:val="none"/>
        </w:rPr>
        <w:t>范围：</w:t>
      </w:r>
      <w:r>
        <w:rPr>
          <w:rFonts w:hint="eastAsia"/>
          <w:b/>
          <w:bCs/>
          <w:color w:val="auto"/>
          <w:szCs w:val="21"/>
          <w:highlight w:val="none"/>
          <w:lang w:val="en-US" w:eastAsia="zh-CN"/>
        </w:rPr>
        <w:t>不锈钢造型内发光标志牌</w:t>
      </w:r>
      <w:r>
        <w:rPr>
          <w:rFonts w:hint="eastAsia"/>
          <w:b/>
          <w:bCs/>
          <w:color w:val="auto"/>
          <w:szCs w:val="21"/>
          <w:highlight w:val="none"/>
        </w:rPr>
        <w:t>采购项目</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1.2采购范围：完成不锈钢造型内发光标志牌施工图深化设计并进行相应所需的材料供应（不含混凝土）。</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highlight w:val="none"/>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材料采购交货地点：</w:t>
      </w:r>
      <w:r>
        <w:rPr>
          <w:rFonts w:hint="eastAsia" w:ascii="Times New Roman" w:hAnsi="Times New Roman" w:eastAsia="宋体" w:cs="Times New Roman"/>
          <w:b/>
          <w:bCs/>
          <w:szCs w:val="21"/>
          <w:highlight w:val="none"/>
        </w:rPr>
        <w:t>重庆渝蓉高速公路大足石刻服务区</w:t>
      </w:r>
      <w:r>
        <w:rPr>
          <w:rFonts w:hint="eastAsia"/>
          <w:b/>
          <w:bCs/>
          <w:szCs w:val="21"/>
          <w:highlight w:val="none"/>
          <w:lang w:val="en-US" w:eastAsia="zh-CN"/>
        </w:rPr>
        <w:t>施工现场</w:t>
      </w:r>
      <w:r>
        <w:rPr>
          <w:rFonts w:hint="eastAsia"/>
          <w:b/>
          <w:bCs/>
          <w:szCs w:val="21"/>
          <w:highlight w:val="none"/>
        </w:rPr>
        <w:t>，</w:t>
      </w:r>
      <w:r>
        <w:rPr>
          <w:rFonts w:hint="eastAsia"/>
          <w:b/>
          <w:bCs/>
          <w:szCs w:val="21"/>
          <w:highlight w:val="none"/>
          <w:lang w:val="en-US" w:eastAsia="zh-CN"/>
        </w:rPr>
        <w:t>按比选人要求的具体时间及地点进行供货</w:t>
      </w:r>
      <w:r>
        <w:rPr>
          <w:rFonts w:hint="eastAsia"/>
          <w:b/>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highlight w:val="none"/>
        </w:rPr>
      </w:pPr>
      <w:r>
        <w:rPr>
          <w:rFonts w:hint="eastAsia"/>
          <w:color w:val="auto"/>
          <w:szCs w:val="21"/>
          <w:highlight w:val="none"/>
        </w:rPr>
        <w:t>1.</w:t>
      </w:r>
      <w:r>
        <w:rPr>
          <w:rFonts w:hint="eastAsia"/>
          <w:color w:val="auto"/>
          <w:szCs w:val="21"/>
          <w:highlight w:val="none"/>
          <w:lang w:val="en-US" w:eastAsia="zh-CN"/>
        </w:rPr>
        <w:t>4</w:t>
      </w:r>
      <w:r>
        <w:rPr>
          <w:rFonts w:hint="eastAsia"/>
          <w:color w:val="auto"/>
          <w:szCs w:val="21"/>
          <w:highlight w:val="none"/>
        </w:rPr>
        <w:t>供 货 期：</w:t>
      </w:r>
      <w:r>
        <w:rPr>
          <w:rFonts w:hint="eastAsia" w:ascii="Times New Roman" w:hAnsi="Times New Roman" w:eastAsia="宋体" w:cs="Times New Roman"/>
          <w:b/>
          <w:color w:val="auto"/>
          <w:szCs w:val="21"/>
          <w:highlight w:val="none"/>
          <w:lang w:eastAsia="zh-CN"/>
        </w:rPr>
        <w:t>202</w:t>
      </w:r>
      <w:r>
        <w:rPr>
          <w:rFonts w:hint="eastAsia" w:ascii="Times New Roman" w:hAnsi="Times New Roman" w:eastAsia="宋体" w:cs="Times New Roman"/>
          <w:b/>
          <w:color w:val="auto"/>
          <w:szCs w:val="21"/>
          <w:highlight w:val="none"/>
          <w:lang w:val="en-US" w:eastAsia="zh-CN"/>
        </w:rPr>
        <w:t>3</w:t>
      </w:r>
      <w:r>
        <w:rPr>
          <w:rFonts w:hint="eastAsia" w:ascii="Times New Roman" w:hAnsi="Times New Roman" w:eastAsia="宋体" w:cs="Times New Roman"/>
          <w:b/>
          <w:color w:val="auto"/>
          <w:szCs w:val="21"/>
          <w:highlight w:val="none"/>
          <w:lang w:eastAsia="zh-CN"/>
        </w:rPr>
        <w:t>年</w:t>
      </w:r>
      <w:r>
        <w:rPr>
          <w:rFonts w:hint="eastAsia" w:ascii="Times New Roman" w:hAnsi="Times New Roman" w:eastAsia="宋体" w:cs="Times New Roman"/>
          <w:b/>
          <w:color w:val="auto"/>
          <w:szCs w:val="21"/>
          <w:highlight w:val="none"/>
          <w:lang w:val="en-US" w:eastAsia="zh-CN"/>
        </w:rPr>
        <w:t>8</w:t>
      </w:r>
      <w:r>
        <w:rPr>
          <w:rFonts w:hint="eastAsia" w:ascii="Times New Roman" w:hAnsi="Times New Roman" w:eastAsia="宋体" w:cs="Times New Roman"/>
          <w:b/>
          <w:color w:val="auto"/>
          <w:szCs w:val="21"/>
          <w:highlight w:val="none"/>
          <w:lang w:eastAsia="zh-CN"/>
        </w:rPr>
        <w:t>月至2023年</w:t>
      </w:r>
      <w:r>
        <w:rPr>
          <w:rFonts w:hint="eastAsia" w:ascii="Times New Roman" w:hAnsi="Times New Roman" w:eastAsia="宋体" w:cs="Times New Roman"/>
          <w:b/>
          <w:color w:val="auto"/>
          <w:szCs w:val="21"/>
          <w:highlight w:val="none"/>
          <w:lang w:val="en-US" w:eastAsia="zh-CN"/>
        </w:rPr>
        <w:t>9</w:t>
      </w:r>
      <w:r>
        <w:rPr>
          <w:rFonts w:hint="eastAsia" w:ascii="Times New Roman" w:hAnsi="Times New Roman" w:eastAsia="宋体" w:cs="Times New Roman"/>
          <w:b/>
          <w:color w:val="auto"/>
          <w:szCs w:val="21"/>
          <w:highlight w:val="none"/>
          <w:lang w:eastAsia="zh-CN"/>
        </w:rPr>
        <w:t>月（</w:t>
      </w:r>
      <w:r>
        <w:rPr>
          <w:rFonts w:hint="eastAsia" w:ascii="Times New Roman" w:hAnsi="Times New Roman" w:eastAsia="宋体" w:cs="Times New Roman"/>
          <w:b/>
          <w:color w:val="auto"/>
          <w:szCs w:val="21"/>
          <w:highlight w:val="none"/>
        </w:rPr>
        <w:t>具体以项目工期</w:t>
      </w:r>
      <w:r>
        <w:rPr>
          <w:rFonts w:hint="eastAsia" w:ascii="Times New Roman" w:hAnsi="Times New Roman" w:eastAsia="宋体" w:cs="Times New Roman"/>
          <w:b/>
          <w:color w:val="auto"/>
          <w:szCs w:val="21"/>
          <w:highlight w:val="none"/>
          <w:lang w:val="en-US" w:eastAsia="zh-CN"/>
        </w:rPr>
        <w:t>及招标人</w:t>
      </w:r>
      <w:r>
        <w:rPr>
          <w:rFonts w:hint="eastAsia" w:ascii="Times New Roman" w:hAnsi="Times New Roman" w:eastAsia="宋体" w:cs="Times New Roman"/>
          <w:b/>
          <w:color w:val="auto"/>
          <w:szCs w:val="21"/>
          <w:highlight w:val="none"/>
        </w:rPr>
        <w:t>要求为准</w:t>
      </w:r>
      <w:r>
        <w:rPr>
          <w:rFonts w:hint="eastAsia" w:ascii="Times New Roman" w:hAnsi="Times New Roman" w:eastAsia="宋体" w:cs="Times New Roman"/>
          <w:b/>
          <w:color w:val="auto"/>
          <w:szCs w:val="21"/>
          <w:highlight w:val="none"/>
          <w:lang w:eastAsia="zh-CN"/>
        </w:rPr>
        <w:t>）</w:t>
      </w:r>
      <w:r>
        <w:rPr>
          <w:rFonts w:hint="eastAsia" w:ascii="Times New Roman" w:hAnsi="Times New Roman" w:eastAsia="宋体" w:cs="Times New Roman"/>
          <w:b/>
          <w:color w:val="auto"/>
          <w:szCs w:val="21"/>
          <w:highlight w:val="none"/>
        </w:rPr>
        <w:t>。</w:t>
      </w:r>
    </w:p>
    <w:p>
      <w:pPr>
        <w:keepNext w:val="0"/>
        <w:keepLines w:val="0"/>
        <w:pageBreakBefore w:val="0"/>
        <w:widowControl/>
        <w:kinsoku/>
        <w:wordWrap/>
        <w:overflowPunct/>
        <w:topLinePunct w:val="0"/>
        <w:autoSpaceDE/>
        <w:autoSpaceDN/>
        <w:bidi w:val="0"/>
        <w:adjustRightInd/>
        <w:snapToGrid/>
        <w:spacing w:line="400" w:lineRule="atLeast"/>
        <w:ind w:left="420"/>
        <w:textAlignment w:val="auto"/>
        <w:rPr>
          <w:rFonts w:hint="eastAsia"/>
          <w:b/>
          <w:bCs/>
          <w:color w:val="auto"/>
          <w:szCs w:val="21"/>
          <w:highlight w:val="none"/>
        </w:rPr>
      </w:pPr>
      <w:r>
        <w:rPr>
          <w:rFonts w:hint="eastAsia"/>
          <w:b/>
          <w:bCs/>
          <w:color w:val="auto"/>
          <w:szCs w:val="21"/>
          <w:highlight w:val="none"/>
        </w:rPr>
        <w:t>1.</w:t>
      </w:r>
      <w:r>
        <w:rPr>
          <w:rFonts w:hint="eastAsia"/>
          <w:b/>
          <w:bCs/>
          <w:color w:val="auto"/>
          <w:szCs w:val="21"/>
          <w:highlight w:val="none"/>
          <w:lang w:val="en-US" w:eastAsia="zh-CN"/>
        </w:rPr>
        <w:t>5</w:t>
      </w:r>
      <w:r>
        <w:rPr>
          <w:rFonts w:hint="eastAsia"/>
          <w:b/>
          <w:bCs/>
          <w:color w:val="auto"/>
          <w:szCs w:val="21"/>
          <w:highlight w:val="none"/>
          <w:lang w:eastAsia="zh-CN"/>
        </w:rPr>
        <w:t>招标</w:t>
      </w:r>
      <w:r>
        <w:rPr>
          <w:rFonts w:hint="eastAsia"/>
          <w:b/>
          <w:bCs/>
          <w:color w:val="auto"/>
          <w:szCs w:val="21"/>
          <w:highlight w:val="none"/>
        </w:rPr>
        <w:t>材料采购详见下表：</w:t>
      </w:r>
    </w:p>
    <w:tbl>
      <w:tblPr>
        <w:tblStyle w:val="1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2847"/>
        <w:gridCol w:w="998"/>
        <w:gridCol w:w="159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03" w:type="dxa"/>
            <w:tcBorders>
              <w:tl2br w:val="nil"/>
              <w:tr2bl w:val="nil"/>
            </w:tcBorders>
            <w:shd w:val="clear" w:color="auto" w:fill="FFFFFF"/>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2847" w:type="dxa"/>
            <w:tcBorders>
              <w:tl2br w:val="nil"/>
              <w:tr2bl w:val="nil"/>
            </w:tcBorders>
            <w:shd w:val="clear" w:color="auto" w:fill="FFFFFF"/>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材料名称</w:t>
            </w:r>
          </w:p>
        </w:tc>
        <w:tc>
          <w:tcPr>
            <w:tcW w:w="998" w:type="dxa"/>
            <w:tcBorders>
              <w:tl2br w:val="nil"/>
              <w:tr2bl w:val="nil"/>
            </w:tcBorders>
            <w:shd w:val="clear" w:color="auto" w:fill="FFFFFF"/>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598" w:type="dxa"/>
            <w:tcBorders>
              <w:tl2br w:val="nil"/>
              <w:tr2bl w:val="nil"/>
            </w:tcBorders>
            <w:shd w:val="clear" w:color="auto" w:fill="FFFFFF"/>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暂定工程量</w:t>
            </w:r>
          </w:p>
        </w:tc>
        <w:tc>
          <w:tcPr>
            <w:tcW w:w="3119" w:type="dxa"/>
            <w:tcBorders>
              <w:tl2br w:val="nil"/>
              <w:tr2bl w:val="nil"/>
            </w:tcBorders>
            <w:shd w:val="clear" w:color="auto" w:fill="FFFFFF"/>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03" w:type="dxa"/>
            <w:tcBorders>
              <w:tl2br w:val="nil"/>
              <w:tr2bl w:val="nil"/>
            </w:tcBorders>
            <w:shd w:val="clear" w:color="auto" w:fill="FFFFFF"/>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1</w:t>
            </w:r>
          </w:p>
        </w:tc>
        <w:tc>
          <w:tcPr>
            <w:tcW w:w="2847" w:type="dxa"/>
            <w:tcBorders>
              <w:tl2br w:val="nil"/>
              <w:tr2bl w:val="nil"/>
            </w:tcBorders>
            <w:shd w:val="clear" w:color="auto"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不锈钢造型内发光标志牌</w:t>
            </w:r>
          </w:p>
        </w:tc>
        <w:tc>
          <w:tcPr>
            <w:tcW w:w="998" w:type="dxa"/>
            <w:tcBorders>
              <w:tl2br w:val="nil"/>
              <w:tr2bl w:val="nil"/>
            </w:tcBorders>
            <w:shd w:val="clear" w:color="auto" w:fill="FFFFFF"/>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套</w:t>
            </w:r>
          </w:p>
        </w:tc>
        <w:tc>
          <w:tcPr>
            <w:tcW w:w="1598" w:type="dxa"/>
            <w:tcBorders>
              <w:tl2br w:val="nil"/>
              <w:tr2bl w:val="nil"/>
            </w:tcBorders>
            <w:shd w:val="clear" w:color="auto" w:fill="FFFFFF"/>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w:t>
            </w:r>
          </w:p>
        </w:tc>
        <w:tc>
          <w:tcPr>
            <w:tcW w:w="3119" w:type="dxa"/>
            <w:tcBorders>
              <w:bottom w:val="single" w:color="000000" w:sz="4" w:space="0"/>
              <w:tl2br w:val="nil"/>
              <w:tr2bl w:val="nil"/>
            </w:tcBorders>
            <w:shd w:val="clear" w:color="auto" w:fill="FFFFFF"/>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eastAsia="宋体"/>
          <w:b/>
          <w:bCs/>
          <w:color w:val="auto"/>
          <w:szCs w:val="21"/>
          <w:highlight w:val="none"/>
          <w:lang w:eastAsia="zh-CN"/>
        </w:rPr>
      </w:pPr>
      <w:r>
        <w:rPr>
          <w:rFonts w:hint="eastAsia"/>
          <w:b/>
          <w:bCs/>
          <w:color w:val="auto"/>
          <w:szCs w:val="21"/>
          <w:highlight w:val="none"/>
        </w:rPr>
        <w:t>备注：</w:t>
      </w:r>
      <w:r>
        <w:rPr>
          <w:rFonts w:hint="eastAsia"/>
          <w:b/>
          <w:bCs/>
          <w:color w:val="auto"/>
          <w:szCs w:val="21"/>
          <w:highlight w:val="none"/>
          <w:lang w:val="en-US" w:eastAsia="zh-CN"/>
        </w:rPr>
        <w:t>1、</w:t>
      </w:r>
      <w:r>
        <w:rPr>
          <w:rFonts w:hint="eastAsia"/>
          <w:b/>
          <w:bCs/>
          <w:color w:val="auto"/>
          <w:szCs w:val="21"/>
          <w:highlight w:val="none"/>
        </w:rPr>
        <w:t>本次采购数量为暂估量，具体供货数量以竞争性比选人实际需求为准，最终结算数量以竞争性比选人确认的实际到货合格数量为</w:t>
      </w:r>
      <w:r>
        <w:rPr>
          <w:rFonts w:hint="eastAsia" w:ascii="Times New Roman" w:hAnsi="Times New Roman" w:eastAsia="宋体" w:cs="Times New Roman"/>
          <w:b/>
          <w:bCs/>
          <w:color w:val="auto"/>
          <w:szCs w:val="21"/>
          <w:highlight w:val="none"/>
        </w:rPr>
        <w:t>准</w:t>
      </w:r>
      <w:r>
        <w:rPr>
          <w:rFonts w:hint="eastAsia" w:ascii="Times New Roman" w:hAnsi="Times New Roman" w:eastAsia="宋体" w:cs="Times New Roman"/>
          <w:b/>
          <w:bCs/>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color w:val="auto"/>
          <w:highlight w:val="none"/>
        </w:rPr>
      </w:pPr>
      <w:r>
        <w:rPr>
          <w:rFonts w:hint="eastAsia"/>
          <w:b/>
          <w:color w:val="auto"/>
          <w:szCs w:val="21"/>
          <w:highlight w:val="none"/>
          <w:lang w:val="en-US" w:eastAsia="zh-CN"/>
        </w:rPr>
        <w:t>2、</w:t>
      </w:r>
      <w:r>
        <w:rPr>
          <w:b/>
          <w:color w:val="auto"/>
          <w:szCs w:val="21"/>
          <w:highlight w:val="none"/>
        </w:rPr>
        <w:t>本次</w:t>
      </w:r>
      <w:r>
        <w:rPr>
          <w:rFonts w:hint="eastAsia"/>
          <w:b/>
          <w:color w:val="auto"/>
          <w:szCs w:val="21"/>
          <w:highlight w:val="none"/>
          <w:lang w:eastAsia="zh-CN"/>
        </w:rPr>
        <w:t>招标</w:t>
      </w:r>
      <w:r>
        <w:rPr>
          <w:b/>
          <w:color w:val="auto"/>
          <w:szCs w:val="21"/>
          <w:highlight w:val="none"/>
        </w:rPr>
        <w:t>不接受联合体竞标，不允许分包和转包。</w:t>
      </w:r>
    </w:p>
    <w:p>
      <w:pPr>
        <w:keepNext w:val="0"/>
        <w:keepLines w:val="0"/>
        <w:pageBreakBefore w:val="0"/>
        <w:widowControl w:val="0"/>
        <w:kinsoku/>
        <w:wordWrap/>
        <w:overflowPunct/>
        <w:topLinePunct w:val="0"/>
        <w:autoSpaceDE/>
        <w:autoSpaceDN/>
        <w:bidi w:val="0"/>
        <w:adjustRightInd/>
        <w:snapToGrid/>
        <w:spacing w:line="400" w:lineRule="atLeast"/>
        <w:textAlignment w:val="auto"/>
        <w:rPr>
          <w:color w:val="auto"/>
          <w:highlight w:val="none"/>
        </w:rPr>
      </w:pPr>
      <w:r>
        <w:rPr>
          <w:b/>
          <w:color w:val="auto"/>
          <w:szCs w:val="21"/>
          <w:highlight w:val="none"/>
        </w:rPr>
        <w:t>二、</w:t>
      </w:r>
      <w:r>
        <w:rPr>
          <w:rFonts w:hint="eastAsia"/>
          <w:b/>
          <w:color w:val="auto"/>
          <w:szCs w:val="21"/>
          <w:highlight w:val="none"/>
          <w:lang w:eastAsia="zh-CN"/>
        </w:rPr>
        <w:t>投标人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Times New Roman" w:hAnsi="Times New Roman" w:eastAsia="宋体" w:cs="Times New Roman"/>
          <w:color w:val="auto"/>
          <w:szCs w:val="21"/>
          <w:highlight w:val="none"/>
          <w:lang w:val="en-US" w:eastAsia="zh-CN"/>
        </w:rPr>
      </w:pPr>
      <w:bookmarkStart w:id="24" w:name="_Toc247085683"/>
      <w:bookmarkStart w:id="25" w:name="_Toc152042298"/>
      <w:bookmarkStart w:id="26" w:name="_Toc246996912"/>
      <w:bookmarkStart w:id="27" w:name="_Toc152045522"/>
      <w:bookmarkStart w:id="28" w:name="_Toc296602413"/>
      <w:bookmarkStart w:id="29" w:name="_Toc246996169"/>
      <w:bookmarkStart w:id="30" w:name="_Toc144974490"/>
      <w:bookmarkStart w:id="31" w:name="_Toc179632539"/>
      <w:r>
        <w:rPr>
          <w:rFonts w:hint="eastAsia" w:ascii="Times New Roman" w:hAnsi="Times New Roman" w:eastAsia="宋体" w:cs="Times New Roman"/>
          <w:color w:val="auto"/>
          <w:szCs w:val="21"/>
          <w:highlight w:val="none"/>
          <w:lang w:val="en-US" w:eastAsia="zh-CN"/>
        </w:rPr>
        <w:t>1、投标人应</w:t>
      </w:r>
      <w:r>
        <w:rPr>
          <w:rFonts w:hint="eastAsia"/>
          <w:color w:val="auto"/>
          <w:szCs w:val="21"/>
          <w:highlight w:val="none"/>
          <w:lang w:val="en-US" w:eastAsia="zh-CN"/>
        </w:rPr>
        <w:t>具有独立法人资格；具备有效的营业执照、银行开户许可证或基本存款账户信息。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（注：须对上述信誉要求作出承诺即可，并按招标文件格式中的承诺书承诺，并加盖投标单位公章。）</w:t>
      </w:r>
    </w:p>
    <w:p>
      <w:pPr>
        <w:keepNext w:val="0"/>
        <w:keepLines w:val="0"/>
        <w:pageBreakBefore w:val="0"/>
        <w:kinsoku/>
        <w:wordWrap/>
        <w:overflowPunct/>
        <w:topLinePunct w:val="0"/>
        <w:autoSpaceDE/>
        <w:autoSpaceDN/>
        <w:bidi w:val="0"/>
        <w:adjustRightInd/>
        <w:snapToGrid/>
        <w:spacing w:line="400" w:lineRule="atLeast"/>
        <w:textAlignment w:val="auto"/>
        <w:rPr>
          <w:b/>
          <w:color w:val="auto"/>
          <w:szCs w:val="21"/>
          <w:highlight w:val="none"/>
        </w:rPr>
      </w:pPr>
      <w:r>
        <w:rPr>
          <w:b/>
          <w:color w:val="auto"/>
          <w:szCs w:val="21"/>
          <w:highlight w:val="none"/>
        </w:rPr>
        <w:t>三、</w:t>
      </w:r>
      <w:r>
        <w:rPr>
          <w:rFonts w:hint="eastAsia"/>
          <w:b/>
          <w:color w:val="auto"/>
          <w:szCs w:val="21"/>
          <w:highlight w:val="none"/>
          <w:lang w:eastAsia="zh-CN"/>
        </w:rPr>
        <w:t>投标</w:t>
      </w:r>
      <w:r>
        <w:rPr>
          <w:b/>
          <w:color w:val="auto"/>
          <w:szCs w:val="21"/>
          <w:highlight w:val="none"/>
        </w:rPr>
        <w:t>文件的相关要求：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0"/>
        <w:rPr>
          <w:color w:val="auto"/>
          <w:szCs w:val="21"/>
          <w:highlight w:val="none"/>
        </w:rPr>
      </w:pPr>
      <w:r>
        <w:rPr>
          <w:rFonts w:hint="eastAsia"/>
          <w:color w:val="auto"/>
          <w:szCs w:val="21"/>
          <w:highlight w:val="none"/>
        </w:rPr>
        <w:t>1、</w:t>
      </w:r>
      <w:r>
        <w:rPr>
          <w:rFonts w:hint="eastAsia"/>
          <w:color w:val="auto"/>
          <w:szCs w:val="21"/>
          <w:highlight w:val="none"/>
          <w:lang w:val="en-US" w:eastAsia="zh-CN"/>
        </w:rPr>
        <w:t>竞标</w:t>
      </w:r>
      <w:r>
        <w:rPr>
          <w:rFonts w:hint="eastAsia"/>
          <w:color w:val="auto"/>
          <w:szCs w:val="21"/>
          <w:highlight w:val="none"/>
        </w:rPr>
        <w:t>报价</w:t>
      </w:r>
      <w:r>
        <w:rPr>
          <w:color w:val="auto"/>
          <w:szCs w:val="21"/>
          <w:highlight w:val="none"/>
        </w:rPr>
        <w:t>说明</w:t>
      </w:r>
      <w:r>
        <w:rPr>
          <w:rFonts w:hint="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0"/>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竞标报价为</w:t>
      </w:r>
      <w:r>
        <w:rPr>
          <w:rFonts w:hint="eastAsia"/>
          <w:b/>
          <w:bCs/>
          <w:color w:val="auto"/>
          <w:szCs w:val="21"/>
          <w:highlight w:val="none"/>
          <w:u w:val="single"/>
          <w:lang w:val="en-US" w:eastAsia="zh-CN"/>
        </w:rPr>
        <w:t>全费用综合</w:t>
      </w:r>
      <w:r>
        <w:rPr>
          <w:rFonts w:hint="eastAsia"/>
          <w:b/>
          <w:bCs/>
          <w:color w:val="auto"/>
          <w:szCs w:val="21"/>
          <w:highlight w:val="none"/>
          <w:u w:val="single"/>
        </w:rPr>
        <w:t>单价</w:t>
      </w:r>
      <w:r>
        <w:rPr>
          <w:rFonts w:hint="eastAsia"/>
          <w:color w:val="auto"/>
          <w:szCs w:val="21"/>
          <w:highlight w:val="none"/>
        </w:rPr>
        <w:t>。</w:t>
      </w:r>
      <w:r>
        <w:rPr>
          <w:rFonts w:hint="eastAsia"/>
          <w:color w:val="auto"/>
          <w:szCs w:val="21"/>
          <w:highlight w:val="none"/>
          <w:lang w:val="en-US" w:eastAsia="zh-CN"/>
        </w:rPr>
        <w:t>投标人</w:t>
      </w:r>
      <w:r>
        <w:rPr>
          <w:rFonts w:hint="eastAsia"/>
          <w:color w:val="auto"/>
          <w:szCs w:val="21"/>
          <w:highlight w:val="none"/>
        </w:rPr>
        <w:t>应提供合法有效且符合</w:t>
      </w:r>
      <w:r>
        <w:rPr>
          <w:rFonts w:hint="eastAsia"/>
          <w:color w:val="auto"/>
          <w:szCs w:val="21"/>
          <w:highlight w:val="none"/>
          <w:lang w:eastAsia="zh-CN"/>
        </w:rPr>
        <w:t>招标人</w:t>
      </w:r>
      <w:r>
        <w:rPr>
          <w:rFonts w:hint="eastAsia"/>
          <w:color w:val="auto"/>
          <w:szCs w:val="21"/>
          <w:highlight w:val="none"/>
        </w:rPr>
        <w:t>要求的增值税专用发票。因开具的发票不规范、不合法或涉嫌虚开发票引起税务问题的，</w:t>
      </w:r>
      <w:r>
        <w:rPr>
          <w:rFonts w:hint="eastAsia"/>
          <w:color w:val="auto"/>
          <w:szCs w:val="21"/>
          <w:highlight w:val="none"/>
          <w:lang w:eastAsia="zh-CN"/>
        </w:rPr>
        <w:t>投标人</w:t>
      </w:r>
      <w:r>
        <w:rPr>
          <w:rFonts w:hint="eastAsia"/>
          <w:color w:val="auto"/>
          <w:szCs w:val="21"/>
          <w:highlight w:val="none"/>
        </w:rPr>
        <w:t>需向</w:t>
      </w:r>
      <w:r>
        <w:rPr>
          <w:rFonts w:hint="eastAsia"/>
          <w:color w:val="auto"/>
          <w:szCs w:val="21"/>
          <w:highlight w:val="none"/>
          <w:lang w:eastAsia="zh-CN"/>
        </w:rPr>
        <w:t>招标人</w:t>
      </w:r>
      <w:r>
        <w:rPr>
          <w:rFonts w:hint="eastAsia"/>
          <w:color w:val="auto"/>
          <w:szCs w:val="21"/>
          <w:highlight w:val="none"/>
        </w:rPr>
        <w:t>重新开具发票，并向</w:t>
      </w:r>
      <w:r>
        <w:rPr>
          <w:rFonts w:hint="eastAsia"/>
          <w:color w:val="auto"/>
          <w:szCs w:val="21"/>
          <w:highlight w:val="none"/>
          <w:lang w:eastAsia="zh-CN"/>
        </w:rPr>
        <w:t>招标人</w:t>
      </w:r>
      <w:r>
        <w:rPr>
          <w:rFonts w:hint="eastAsia"/>
          <w:color w:val="auto"/>
          <w:szCs w:val="21"/>
          <w:highlight w:val="none"/>
        </w:rPr>
        <w:t>承担赔偿责任，包括但不限于税款、滞纳金、罚款及相关损失等。</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0"/>
        <w:rPr>
          <w:rFonts w:hint="eastAsia"/>
          <w:color w:val="auto"/>
          <w:szCs w:val="21"/>
          <w:highlight w:val="none"/>
        </w:rPr>
      </w:pPr>
      <w:r>
        <w:rPr>
          <w:rFonts w:hint="eastAsia"/>
          <w:color w:val="auto"/>
          <w:szCs w:val="21"/>
          <w:highlight w:val="none"/>
          <w:lang w:eastAsia="zh-CN"/>
        </w:rPr>
        <w:t>投标人</w:t>
      </w:r>
      <w:r>
        <w:rPr>
          <w:rFonts w:hint="eastAsia"/>
          <w:color w:val="auto"/>
          <w:szCs w:val="21"/>
          <w:highlight w:val="none"/>
        </w:rPr>
        <w:t>应按照</w:t>
      </w:r>
      <w:r>
        <w:rPr>
          <w:rFonts w:hint="eastAsia"/>
          <w:color w:val="auto"/>
          <w:szCs w:val="21"/>
          <w:highlight w:val="none"/>
          <w:lang w:eastAsia="zh-CN"/>
        </w:rPr>
        <w:t>招标人</w:t>
      </w:r>
      <w:r>
        <w:rPr>
          <w:rFonts w:hint="eastAsia"/>
          <w:color w:val="auto"/>
          <w:szCs w:val="21"/>
          <w:highlight w:val="none"/>
        </w:rPr>
        <w:t>要求，及时向</w:t>
      </w:r>
      <w:r>
        <w:rPr>
          <w:rFonts w:hint="eastAsia"/>
          <w:color w:val="auto"/>
          <w:szCs w:val="21"/>
          <w:highlight w:val="none"/>
          <w:lang w:eastAsia="zh-CN"/>
        </w:rPr>
        <w:t>招标人</w:t>
      </w:r>
      <w:r>
        <w:rPr>
          <w:rFonts w:hint="eastAsia"/>
          <w:color w:val="auto"/>
          <w:szCs w:val="21"/>
          <w:highlight w:val="none"/>
        </w:rPr>
        <w:t>开具增值税专用发票。因</w:t>
      </w:r>
      <w:r>
        <w:rPr>
          <w:rFonts w:hint="eastAsia"/>
          <w:color w:val="auto"/>
          <w:szCs w:val="21"/>
          <w:highlight w:val="none"/>
          <w:lang w:eastAsia="zh-CN"/>
        </w:rPr>
        <w:t>投标人</w:t>
      </w:r>
      <w:r>
        <w:rPr>
          <w:rFonts w:hint="eastAsia"/>
          <w:color w:val="auto"/>
          <w:szCs w:val="21"/>
          <w:highlight w:val="none"/>
        </w:rPr>
        <w:t>开具发票不及时给</w:t>
      </w:r>
      <w:r>
        <w:rPr>
          <w:rFonts w:hint="eastAsia"/>
          <w:color w:val="auto"/>
          <w:szCs w:val="21"/>
          <w:highlight w:val="none"/>
          <w:lang w:eastAsia="zh-CN"/>
        </w:rPr>
        <w:t>招标人</w:t>
      </w:r>
      <w:r>
        <w:rPr>
          <w:rFonts w:hint="eastAsia"/>
          <w:color w:val="auto"/>
          <w:szCs w:val="21"/>
          <w:highlight w:val="none"/>
        </w:rPr>
        <w:t>造成无法及时认证、抵扣发票等情形的，</w:t>
      </w:r>
      <w:r>
        <w:rPr>
          <w:rFonts w:hint="eastAsia"/>
          <w:color w:val="auto"/>
          <w:szCs w:val="21"/>
          <w:highlight w:val="none"/>
          <w:lang w:eastAsia="zh-CN"/>
        </w:rPr>
        <w:t>投标人</w:t>
      </w:r>
      <w:r>
        <w:rPr>
          <w:rFonts w:hint="eastAsia"/>
          <w:color w:val="auto"/>
          <w:szCs w:val="21"/>
          <w:highlight w:val="none"/>
        </w:rPr>
        <w:t>需向</w:t>
      </w:r>
      <w:r>
        <w:rPr>
          <w:rFonts w:hint="eastAsia"/>
          <w:color w:val="auto"/>
          <w:szCs w:val="21"/>
          <w:highlight w:val="none"/>
          <w:lang w:eastAsia="zh-CN"/>
        </w:rPr>
        <w:t>招标人</w:t>
      </w:r>
      <w:r>
        <w:rPr>
          <w:rFonts w:hint="eastAsia"/>
          <w:color w:val="auto"/>
          <w:szCs w:val="21"/>
          <w:highlight w:val="none"/>
        </w:rPr>
        <w:t>承担赔偿责任，包括但不限于税款、滞纳金、罚款及相关损失等。</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0"/>
        <w:rPr>
          <w:rFonts w:hint="eastAsia"/>
          <w:color w:val="auto"/>
          <w:szCs w:val="21"/>
          <w:highlight w:val="none"/>
        </w:rPr>
      </w:pPr>
      <w:r>
        <w:rPr>
          <w:rFonts w:hint="eastAsia"/>
          <w:color w:val="auto"/>
          <w:szCs w:val="21"/>
          <w:highlight w:val="none"/>
        </w:rPr>
        <w:t>（2）报价表中的工程量为</w:t>
      </w:r>
      <w:r>
        <w:rPr>
          <w:rFonts w:hint="eastAsia"/>
          <w:color w:val="auto"/>
          <w:szCs w:val="21"/>
          <w:highlight w:val="none"/>
          <w:lang w:eastAsia="zh-CN"/>
        </w:rPr>
        <w:t>招标</w:t>
      </w:r>
      <w:r>
        <w:rPr>
          <w:rFonts w:hint="eastAsia"/>
          <w:color w:val="auto"/>
          <w:szCs w:val="21"/>
          <w:highlight w:val="none"/>
        </w:rPr>
        <w:t>人暂估量，如实际工程量与暂估量有出入，则该出入部分工程量单价按签约合同单价计量。</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jc w:val="left"/>
        <w:textAlignment w:val="auto"/>
        <w:rPr>
          <w:rFonts w:hint="eastAsia" w:eastAsia="宋体"/>
          <w:color w:val="auto"/>
          <w:szCs w:val="21"/>
          <w:highlight w:val="none"/>
          <w:lang w:eastAsia="zh-CN"/>
        </w:rPr>
      </w:pPr>
      <w:r>
        <w:rPr>
          <w:rFonts w:hint="eastAsia"/>
          <w:color w:val="auto"/>
          <w:szCs w:val="21"/>
          <w:highlight w:val="none"/>
        </w:rPr>
        <w:t>（3）本项目最高总限价为：</w:t>
      </w:r>
      <w:r>
        <w:rPr>
          <w:rFonts w:hint="eastAsia" w:ascii="Times New Roman" w:hAnsi="Times New Roman" w:eastAsia="宋体" w:cs="Times New Roman"/>
          <w:b/>
          <w:bCs/>
          <w:color w:val="auto"/>
          <w:szCs w:val="21"/>
          <w:highlight w:val="none"/>
          <w:u w:val="single"/>
          <w:lang w:val="en-US" w:eastAsia="zh-CN"/>
        </w:rPr>
        <w:t xml:space="preserve"> 70000 元</w:t>
      </w:r>
      <w:r>
        <w:rPr>
          <w:rFonts w:hint="eastAsia"/>
          <w:b/>
          <w:bCs/>
          <w:color w:val="auto"/>
          <w:szCs w:val="21"/>
          <w:highlight w:val="none"/>
          <w:u w:val="single"/>
        </w:rPr>
        <w:t>（大写：</w:t>
      </w:r>
      <w:r>
        <w:rPr>
          <w:rFonts w:hint="eastAsia"/>
          <w:b/>
          <w:bCs/>
          <w:color w:val="auto"/>
          <w:szCs w:val="21"/>
          <w:highlight w:val="none"/>
          <w:u w:val="single"/>
          <w:lang w:val="en-US" w:eastAsia="zh-CN"/>
        </w:rPr>
        <w:t>柒万元整</w:t>
      </w:r>
      <w:r>
        <w:rPr>
          <w:rFonts w:hint="eastAsia"/>
          <w:b/>
          <w:bCs/>
          <w:color w:val="auto"/>
          <w:szCs w:val="21"/>
          <w:highlight w:val="none"/>
          <w:u w:val="single"/>
        </w:rPr>
        <w:t>）</w:t>
      </w:r>
      <w:r>
        <w:rPr>
          <w:rFonts w:hint="eastAsia"/>
          <w:b/>
          <w:bCs/>
          <w:color w:val="auto"/>
          <w:szCs w:val="21"/>
          <w:highlight w:val="none"/>
          <w:u w:val="single"/>
          <w:lang w:eastAsia="zh-CN"/>
        </w:rPr>
        <w:t>（不含税金额）</w:t>
      </w:r>
      <w:r>
        <w:rPr>
          <w:rFonts w:hint="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eastAsia="zh-CN"/>
        </w:rPr>
        <w:t>投标人</w:t>
      </w:r>
      <w:r>
        <w:rPr>
          <w:rFonts w:hint="eastAsia"/>
          <w:color w:val="auto"/>
          <w:szCs w:val="21"/>
          <w:highlight w:val="none"/>
        </w:rPr>
        <w:t>的竞标报价不得超过</w:t>
      </w:r>
      <w:r>
        <w:rPr>
          <w:rFonts w:hint="eastAsia"/>
          <w:color w:val="auto"/>
          <w:szCs w:val="21"/>
          <w:highlight w:val="none"/>
          <w:lang w:eastAsia="zh-CN"/>
        </w:rPr>
        <w:t>招标人</w:t>
      </w:r>
      <w:r>
        <w:rPr>
          <w:rFonts w:hint="eastAsia"/>
          <w:color w:val="auto"/>
          <w:szCs w:val="21"/>
          <w:highlight w:val="none"/>
        </w:rPr>
        <w:t>公布的相应最高限价，否则报价为无效竞标（详见格式“五、已标价报价清单”）</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2、供货要求：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施工图深化设计要求：</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lang w:eastAsia="zh-CN"/>
        </w:rPr>
        <w:t>投标人</w:t>
      </w:r>
      <w:r>
        <w:rPr>
          <w:rFonts w:hint="eastAsia"/>
          <w:color w:val="auto"/>
          <w:szCs w:val="21"/>
          <w:highlight w:val="none"/>
        </w:rPr>
        <w:t>应严格</w:t>
      </w:r>
      <w:r>
        <w:rPr>
          <w:rFonts w:hint="eastAsia"/>
          <w:color w:val="auto"/>
          <w:szCs w:val="21"/>
          <w:highlight w:val="none"/>
          <w:lang w:eastAsia="zh-CN"/>
        </w:rPr>
        <w:t>按照《高速公路服务区导向系统设计指南》（重庆市交通行业推荐性标准）</w:t>
      </w:r>
      <w:r>
        <w:rPr>
          <w:rFonts w:hint="eastAsia"/>
          <w:color w:val="auto"/>
          <w:szCs w:val="21"/>
          <w:highlight w:val="none"/>
          <w:lang w:val="en-US" w:eastAsia="zh-CN"/>
        </w:rPr>
        <w:t>，以及其它</w:t>
      </w:r>
      <w:r>
        <w:rPr>
          <w:rFonts w:hint="eastAsia"/>
          <w:color w:val="auto"/>
          <w:szCs w:val="21"/>
          <w:highlight w:val="none"/>
        </w:rPr>
        <w:t>国家</w:t>
      </w:r>
      <w:r>
        <w:rPr>
          <w:rFonts w:hint="eastAsia"/>
          <w:color w:val="auto"/>
          <w:szCs w:val="21"/>
          <w:highlight w:val="none"/>
          <w:lang w:eastAsia="zh-CN"/>
        </w:rPr>
        <w:t>、行业</w:t>
      </w:r>
      <w:r>
        <w:rPr>
          <w:rFonts w:hint="eastAsia"/>
          <w:color w:val="auto"/>
          <w:szCs w:val="21"/>
          <w:highlight w:val="none"/>
        </w:rPr>
        <w:t>、地方颁发的</w:t>
      </w:r>
      <w:r>
        <w:rPr>
          <w:rFonts w:hint="eastAsia"/>
          <w:color w:val="auto"/>
          <w:szCs w:val="21"/>
          <w:highlight w:val="none"/>
          <w:lang w:eastAsia="zh-CN"/>
        </w:rPr>
        <w:t>现行技术规范、标准、规程和业主单位、设计单位提出的设计要求，进行</w:t>
      </w:r>
      <w:r>
        <w:rPr>
          <w:rFonts w:hint="eastAsia"/>
          <w:color w:val="auto"/>
          <w:szCs w:val="21"/>
          <w:highlight w:val="none"/>
          <w:lang w:val="en-US" w:eastAsia="zh-CN"/>
        </w:rPr>
        <w:t>施工图深化设计</w:t>
      </w:r>
      <w:r>
        <w:rPr>
          <w:rFonts w:hint="eastAsia"/>
          <w:color w:val="auto"/>
          <w:szCs w:val="21"/>
          <w:highlight w:val="none"/>
          <w:lang w:eastAsia="zh-CN"/>
        </w:rPr>
        <w:t>，按合同规定的进度要求提交质量合格的</w:t>
      </w:r>
      <w:r>
        <w:rPr>
          <w:rFonts w:hint="eastAsia"/>
          <w:color w:val="auto"/>
          <w:szCs w:val="21"/>
          <w:highlight w:val="none"/>
          <w:lang w:val="en-US" w:eastAsia="zh-CN"/>
        </w:rPr>
        <w:t>施工图深化设计文件</w:t>
      </w:r>
      <w:r>
        <w:rPr>
          <w:rFonts w:hint="eastAsia"/>
          <w:color w:val="auto"/>
          <w:szCs w:val="21"/>
          <w:highlight w:val="none"/>
          <w:lang w:eastAsia="zh-CN"/>
        </w:rPr>
        <w:t>，并对其完整性、正确性、安全性及时限负责</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的要求，按时提供有关</w:t>
      </w:r>
      <w:r>
        <w:rPr>
          <w:rFonts w:hint="eastAsia"/>
          <w:color w:val="auto"/>
          <w:szCs w:val="21"/>
          <w:highlight w:val="none"/>
          <w:lang w:val="en-US" w:eastAsia="zh-CN"/>
        </w:rPr>
        <w:t>施工图深化</w:t>
      </w:r>
      <w:r>
        <w:rPr>
          <w:rFonts w:hint="eastAsia"/>
          <w:color w:val="auto"/>
          <w:szCs w:val="21"/>
          <w:highlight w:val="none"/>
        </w:rPr>
        <w:t>设计资料，配合作好方案讨论、修改、定稿等工作，并与</w:t>
      </w:r>
      <w:r>
        <w:rPr>
          <w:rFonts w:hint="eastAsia"/>
          <w:color w:val="auto"/>
          <w:szCs w:val="21"/>
          <w:highlight w:val="none"/>
          <w:lang w:eastAsia="zh-CN"/>
        </w:rPr>
        <w:t>比选人</w:t>
      </w:r>
      <w:r>
        <w:rPr>
          <w:rFonts w:hint="eastAsia"/>
          <w:color w:val="auto"/>
          <w:szCs w:val="21"/>
          <w:highlight w:val="none"/>
        </w:rPr>
        <w:t>及时配合与协调</w:t>
      </w:r>
      <w:r>
        <w:rPr>
          <w:rFonts w:hint="eastAsia"/>
          <w:color w:val="auto"/>
          <w:szCs w:val="21"/>
          <w:highlight w:val="none"/>
          <w:lang w:eastAsia="zh-CN"/>
        </w:rPr>
        <w:t>。投标人保证其设计成果的合法性和实用性，且不侵犯任何他人的合法权利或权益。</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ascii="宋体" w:hAnsi="宋体" w:eastAsia="宋体" w:cs="宋体"/>
          <w:color w:val="auto"/>
          <w:szCs w:val="21"/>
          <w:highlight w:val="none"/>
          <w:lang w:val="en-US" w:eastAsia="zh-CN"/>
        </w:rPr>
        <w:t>①</w:t>
      </w:r>
      <w:r>
        <w:rPr>
          <w:rFonts w:hint="eastAsia" w:ascii="Times New Roman" w:hAnsi="Times New Roman" w:eastAsia="宋体" w:cs="Times New Roman"/>
          <w:color w:val="auto"/>
          <w:szCs w:val="21"/>
          <w:highlight w:val="none"/>
          <w:lang w:eastAsia="zh-CN"/>
        </w:rPr>
        <w:t>施工图设计文件：见附件。</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val="en-US" w:eastAsia="zh-CN"/>
        </w:rPr>
      </w:pPr>
      <w:r>
        <w:rPr>
          <w:rFonts w:hint="eastAsia" w:ascii="宋体" w:hAnsi="宋体" w:eastAsia="宋体" w:cs="宋体"/>
          <w:lang w:val="en-US" w:eastAsia="zh-CN"/>
        </w:rPr>
        <w:t>②</w:t>
      </w:r>
      <w:r>
        <w:rPr>
          <w:rFonts w:hint="eastAsia"/>
          <w:color w:val="auto"/>
          <w:szCs w:val="21"/>
          <w:highlight w:val="none"/>
          <w:lang w:eastAsia="zh-CN"/>
        </w:rPr>
        <w:t>《高速公路服务区导向系统设计指南》要求：</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位置：入口主线与场地间的分流带内，距分流鼻宜≥20m，条件受限时可设于匝道外侧</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内容要素：形象 LOGO、服务区星级（可选）、服务区中英文名称、主要功能图标、营运公司名称、剩余停车位数（可选）</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字体：交通标志专用字体</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标准色：咖啡色（C50 M70 Y80 K70）</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材料工艺：衬板：3.0mm 乳白色透光亚克力板</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　　面板：1.2mm 拉丝不锈钢烤漆</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　　光源：LED 光源</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　　骨架：60mm×60mm×3.0mm（Q235）方钢管</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　　底座：3.5mx2.0mx1.5m（C25）现浇钢筋混凝土基础（预埋连接件）</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lang w:val="en-US" w:eastAsia="zh-CN"/>
        </w:rPr>
      </w:pPr>
      <w:r>
        <w:drawing>
          <wp:inline distT="0" distB="0" distL="114300" distR="114300">
            <wp:extent cx="5050790" cy="3664585"/>
            <wp:effectExtent l="0" t="0" r="16510" b="12065"/>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7"/>
                    <a:stretch>
                      <a:fillRect/>
                    </a:stretch>
                  </pic:blipFill>
                  <pic:spPr>
                    <a:xfrm>
                      <a:off x="0" y="0"/>
                      <a:ext cx="5050790" cy="36645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eastAsia="zh-CN"/>
        </w:rPr>
      </w:pPr>
      <w:r>
        <w:rPr>
          <w:rFonts w:hint="eastAsia" w:ascii="宋体" w:hAnsi="宋体" w:eastAsia="宋体" w:cs="宋体"/>
          <w:lang w:val="en-US" w:eastAsia="zh-CN"/>
        </w:rPr>
        <w:t>③其它要求：</w:t>
      </w:r>
      <w:r>
        <w:rPr>
          <w:rFonts w:hint="eastAsia"/>
          <w:color w:val="auto"/>
          <w:szCs w:val="21"/>
          <w:highlight w:val="none"/>
        </w:rPr>
        <w:t>骨架</w:t>
      </w:r>
      <w:r>
        <w:rPr>
          <w:rFonts w:hint="eastAsia"/>
          <w:color w:val="auto"/>
          <w:szCs w:val="21"/>
          <w:highlight w:val="none"/>
          <w:lang w:eastAsia="zh-CN"/>
        </w:rPr>
        <w:t>所采用的方钢应按《公路交通工程钢构件防腐蚀技术条件》（GB</w:t>
      </w:r>
      <w:r>
        <w:rPr>
          <w:rFonts w:hint="eastAsia"/>
          <w:color w:val="auto"/>
          <w:szCs w:val="21"/>
          <w:highlight w:val="none"/>
          <w:lang w:val="en-US" w:eastAsia="zh-CN"/>
        </w:rPr>
        <w:t>/</w:t>
      </w:r>
      <w:r>
        <w:rPr>
          <w:rFonts w:hint="eastAsia"/>
          <w:color w:val="auto"/>
          <w:szCs w:val="21"/>
          <w:highlight w:val="none"/>
          <w:lang w:eastAsia="zh-CN"/>
        </w:rPr>
        <w:t>T 18226-2015）要求进行镀锌。</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w:t>
      </w:r>
      <w:r>
        <w:rPr>
          <w:rFonts w:hint="eastAsia"/>
          <w:color w:val="auto"/>
          <w:szCs w:val="21"/>
          <w:highlight w:val="none"/>
          <w:lang w:eastAsia="zh-CN"/>
        </w:rPr>
        <w:t>材料</w:t>
      </w:r>
      <w:r>
        <w:rPr>
          <w:rFonts w:hint="eastAsia"/>
          <w:color w:val="auto"/>
          <w:szCs w:val="21"/>
          <w:highlight w:val="none"/>
        </w:rPr>
        <w:t>质量要求：</w:t>
      </w:r>
    </w:p>
    <w:p>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outlineLvl w:val="0"/>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投标人</w:t>
      </w:r>
      <w:r>
        <w:rPr>
          <w:rFonts w:hint="eastAsia" w:ascii="Times New Roman" w:hAnsi="Times New Roman" w:eastAsia="宋体" w:cs="Times New Roman"/>
          <w:color w:val="auto"/>
          <w:szCs w:val="21"/>
          <w:highlight w:val="none"/>
          <w:lang w:eastAsia="zh-CN"/>
        </w:rPr>
        <w:t>提供的不锈钢造型内发光标志牌应按施工图设计文件及效果图要求进行生产加工，满足</w:t>
      </w:r>
      <w:r>
        <w:rPr>
          <w:rFonts w:hint="eastAsia"/>
          <w:color w:val="auto"/>
          <w:szCs w:val="21"/>
          <w:highlight w:val="none"/>
          <w:lang w:eastAsia="zh-CN"/>
        </w:rPr>
        <w:t>《高速公路服务区导向系统设计指南》（重庆市交通行业推荐性标准）</w:t>
      </w:r>
      <w:r>
        <w:rPr>
          <w:rFonts w:hint="eastAsia" w:ascii="Times New Roman" w:hAnsi="Times New Roman" w:eastAsia="宋体" w:cs="Times New Roman"/>
          <w:color w:val="auto"/>
          <w:szCs w:val="21"/>
          <w:highlight w:val="none"/>
          <w:lang w:eastAsia="zh-CN"/>
        </w:rPr>
        <w:t>等国家质量技术要求和重庆市相关标准规定，满足竞争性比选文件中的其它质量要求，同时按批量提供出厂合格证复印件。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lang w:val="en-US" w:eastAsia="zh-CN"/>
        </w:rPr>
        <w:t>3</w:t>
      </w:r>
      <w:r>
        <w:rPr>
          <w:rFonts w:hint="eastAsia"/>
          <w:color w:val="auto"/>
          <w:szCs w:val="21"/>
          <w:highlight w:val="none"/>
        </w:rPr>
        <w:t>、</w:t>
      </w:r>
      <w:r>
        <w:rPr>
          <w:color w:val="auto"/>
          <w:szCs w:val="21"/>
          <w:highlight w:val="none"/>
        </w:rPr>
        <w:t>本次</w:t>
      </w:r>
      <w:r>
        <w:rPr>
          <w:rFonts w:hint="eastAsia"/>
          <w:color w:val="auto"/>
          <w:szCs w:val="21"/>
          <w:highlight w:val="none"/>
          <w:lang w:eastAsia="zh-CN"/>
        </w:rPr>
        <w:t>投标</w:t>
      </w:r>
      <w:r>
        <w:rPr>
          <w:color w:val="auto"/>
          <w:szCs w:val="21"/>
          <w:highlight w:val="none"/>
        </w:rPr>
        <w:t>文件的组成：</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按招标文件格式编制。</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color w:val="auto"/>
          <w:highlight w:val="none"/>
        </w:rPr>
      </w:pPr>
      <w:r>
        <w:rPr>
          <w:rFonts w:hint="eastAsia"/>
          <w:b/>
          <w:bCs/>
          <w:color w:val="auto"/>
          <w:szCs w:val="21"/>
          <w:highlight w:val="none"/>
        </w:rPr>
        <w:t>（注：以上所有文件均须</w:t>
      </w:r>
      <w:r>
        <w:rPr>
          <w:rFonts w:hint="eastAsia" w:eastAsia="宋体"/>
          <w:b/>
          <w:bCs/>
          <w:color w:val="auto"/>
          <w:szCs w:val="21"/>
          <w:highlight w:val="none"/>
          <w:lang w:eastAsia="zh-CN"/>
        </w:rPr>
        <w:t>投标人</w:t>
      </w:r>
      <w:r>
        <w:rPr>
          <w:rFonts w:hint="eastAsia"/>
          <w:b/>
          <w:bCs/>
          <w:color w:val="auto"/>
          <w:szCs w:val="21"/>
          <w:highlight w:val="none"/>
        </w:rPr>
        <w:t>加盖单位公章）</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4、</w:t>
      </w:r>
      <w:r>
        <w:rPr>
          <w:rFonts w:hint="eastAsia"/>
          <w:color w:val="auto"/>
          <w:szCs w:val="21"/>
          <w:highlight w:val="none"/>
          <w:lang w:eastAsia="zh-CN"/>
        </w:rPr>
        <w:t>投标</w:t>
      </w:r>
      <w:r>
        <w:rPr>
          <w:color w:val="auto"/>
          <w:szCs w:val="21"/>
          <w:highlight w:val="none"/>
        </w:rPr>
        <w:t>文件的份数及编制要求</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highlight w:val="none"/>
        </w:rPr>
      </w:pPr>
      <w:r>
        <w:rPr>
          <w:rFonts w:hint="eastAsia"/>
          <w:color w:val="auto"/>
          <w:szCs w:val="21"/>
          <w:highlight w:val="none"/>
        </w:rPr>
        <w:t>递交</w:t>
      </w:r>
      <w:r>
        <w:rPr>
          <w:rFonts w:hint="eastAsia"/>
          <w:color w:val="auto"/>
          <w:szCs w:val="21"/>
          <w:highlight w:val="none"/>
          <w:lang w:eastAsia="zh-CN"/>
        </w:rPr>
        <w:t>投标</w:t>
      </w:r>
      <w:r>
        <w:rPr>
          <w:rFonts w:hint="eastAsia"/>
          <w:color w:val="auto"/>
          <w:szCs w:val="21"/>
          <w:highlight w:val="none"/>
        </w:rPr>
        <w:t>文件</w:t>
      </w:r>
      <w:r>
        <w:rPr>
          <w:rFonts w:hint="eastAsia"/>
          <w:b/>
          <w:bCs/>
          <w:color w:val="auto"/>
          <w:szCs w:val="21"/>
          <w:highlight w:val="none"/>
        </w:rPr>
        <w:t>1份</w:t>
      </w:r>
      <w:r>
        <w:rPr>
          <w:rFonts w:hint="eastAsia"/>
          <w:color w:val="auto"/>
          <w:szCs w:val="21"/>
          <w:highlight w:val="none"/>
        </w:rPr>
        <w:t>，</w:t>
      </w:r>
      <w:r>
        <w:rPr>
          <w:rFonts w:hint="eastAsia"/>
          <w:color w:val="auto"/>
          <w:szCs w:val="21"/>
          <w:highlight w:val="none"/>
          <w:lang w:eastAsia="zh-CN"/>
        </w:rPr>
        <w:t>投标</w:t>
      </w:r>
      <w:r>
        <w:rPr>
          <w:rFonts w:hint="eastAsia"/>
          <w:color w:val="auto"/>
          <w:szCs w:val="21"/>
          <w:highlight w:val="none"/>
        </w:rPr>
        <w:t>文件按</w:t>
      </w:r>
      <w:r>
        <w:rPr>
          <w:rFonts w:hint="eastAsia"/>
          <w:color w:val="auto"/>
          <w:szCs w:val="21"/>
          <w:highlight w:val="none"/>
          <w:lang w:eastAsia="zh-CN"/>
        </w:rPr>
        <w:t>招标</w:t>
      </w:r>
      <w:r>
        <w:rPr>
          <w:rFonts w:hint="eastAsia"/>
          <w:color w:val="auto"/>
          <w:szCs w:val="21"/>
          <w:highlight w:val="none"/>
        </w:rPr>
        <w:t>文件中规定格式排版并装订成册。应注意填写清楚，文件表述应前后一致。</w:t>
      </w:r>
    </w:p>
    <w:p>
      <w:pPr>
        <w:keepNext w:val="0"/>
        <w:keepLines w:val="0"/>
        <w:pageBreakBefore w:val="0"/>
        <w:kinsoku/>
        <w:wordWrap/>
        <w:overflowPunct/>
        <w:topLinePunct w:val="0"/>
        <w:autoSpaceDE/>
        <w:autoSpaceDN/>
        <w:bidi w:val="0"/>
        <w:adjustRightInd/>
        <w:snapToGrid/>
        <w:spacing w:line="400" w:lineRule="atLeast"/>
        <w:rPr>
          <w:rFonts w:hint="eastAsia" w:ascii="宋体" w:hAnsi="宋体" w:eastAsia="宋体" w:cs="宋体"/>
          <w:b/>
          <w:color w:val="auto"/>
          <w:szCs w:val="21"/>
          <w:highlight w:val="none"/>
          <w:lang w:eastAsia="zh-CN"/>
        </w:rPr>
      </w:pPr>
      <w:r>
        <w:rPr>
          <w:rFonts w:hint="eastAsia"/>
          <w:b/>
          <w:color w:val="auto"/>
          <w:szCs w:val="21"/>
          <w:highlight w:val="none"/>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color w:val="auto"/>
          <w:szCs w:val="21"/>
          <w:highlight w:val="none"/>
        </w:rPr>
        <w:t>本项目采用经评审的最低</w:t>
      </w:r>
      <w:r>
        <w:rPr>
          <w:rFonts w:hint="eastAsia"/>
          <w:color w:val="auto"/>
          <w:szCs w:val="21"/>
          <w:highlight w:val="none"/>
        </w:rPr>
        <w:t>价法，在满足比选文件要求的前提下，评标委员会</w:t>
      </w:r>
      <w:r>
        <w:rPr>
          <w:rFonts w:hint="eastAsia"/>
          <w:color w:val="auto"/>
          <w:szCs w:val="21"/>
          <w:highlight w:val="none"/>
          <w:lang w:val="en-US" w:eastAsia="zh-CN"/>
        </w:rPr>
        <w:t>报价</w:t>
      </w:r>
      <w:r>
        <w:rPr>
          <w:color w:val="auto"/>
          <w:highlight w:val="none"/>
        </w:rPr>
        <w:t>从</w:t>
      </w:r>
      <w:r>
        <w:rPr>
          <w:rFonts w:hint="eastAsia"/>
          <w:color w:val="auto"/>
          <w:highlight w:val="none"/>
        </w:rPr>
        <w:t>低</w:t>
      </w:r>
      <w:r>
        <w:rPr>
          <w:color w:val="auto"/>
          <w:highlight w:val="none"/>
        </w:rPr>
        <w:t>到</w:t>
      </w:r>
      <w:r>
        <w:rPr>
          <w:rFonts w:hint="eastAsia"/>
          <w:color w:val="auto"/>
          <w:highlight w:val="none"/>
        </w:rPr>
        <w:t>高</w:t>
      </w:r>
      <w:r>
        <w:rPr>
          <w:color w:val="auto"/>
          <w:highlight w:val="none"/>
        </w:rPr>
        <w:t>的先后顺序</w:t>
      </w:r>
      <w:r>
        <w:rPr>
          <w:rFonts w:hint="eastAsia"/>
          <w:color w:val="auto"/>
          <w:szCs w:val="21"/>
          <w:highlight w:val="none"/>
        </w:rPr>
        <w:t>推荐中标候选人。若在满足比选文件所有要求前提下，</w:t>
      </w:r>
      <w:r>
        <w:rPr>
          <w:rFonts w:hint="eastAsia"/>
          <w:color w:val="auto"/>
          <w:szCs w:val="21"/>
          <w:highlight w:val="none"/>
          <w:lang w:val="en-US" w:eastAsia="zh-CN"/>
        </w:rPr>
        <w:t>最低报价</w:t>
      </w:r>
      <w:r>
        <w:rPr>
          <w:rFonts w:hint="eastAsia"/>
          <w:color w:val="auto"/>
          <w:szCs w:val="21"/>
          <w:highlight w:val="none"/>
        </w:rPr>
        <w:t>相同时，</w:t>
      </w:r>
      <w:r>
        <w:rPr>
          <w:rFonts w:hint="eastAsia" w:ascii="宋体" w:hAnsi="宋体" w:cs="宋体"/>
          <w:b/>
          <w:bCs/>
          <w:snapToGrid w:val="0"/>
          <w:color w:val="auto"/>
          <w:kern w:val="0"/>
          <w:highlight w:val="none"/>
        </w:rPr>
        <w:t>进行第二轮报价</w:t>
      </w:r>
      <w:r>
        <w:rPr>
          <w:color w:val="auto"/>
          <w:highlight w:val="none"/>
        </w:rPr>
        <w:t>。</w:t>
      </w:r>
      <w:r>
        <w:rPr>
          <w:rFonts w:hint="eastAsia"/>
          <w:color w:val="auto"/>
          <w:highlight w:val="none"/>
        </w:rPr>
        <w:t>请各报价单位结合自身情况及市场行情进行报价。</w:t>
      </w:r>
      <w:r>
        <w:rPr>
          <w:rFonts w:hint="eastAsia"/>
          <w:b/>
          <w:bCs/>
          <w:color w:val="auto"/>
          <w:highlight w:val="none"/>
        </w:rPr>
        <w:t>具体评审标准详见下表</w:t>
      </w:r>
      <w:r>
        <w:rPr>
          <w:rFonts w:hint="eastAsia"/>
          <w:b/>
          <w:bCs/>
          <w:color w:val="auto"/>
          <w:highlight w:val="none"/>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2"/>
        <w:gridCol w:w="312"/>
        <w:gridCol w:w="2063"/>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gridSpan w:val="2"/>
            <w:tcBorders>
              <w:tl2br w:val="nil"/>
              <w:tr2bl w:val="nil"/>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条款号</w:t>
            </w:r>
          </w:p>
        </w:tc>
        <w:tc>
          <w:tcPr>
            <w:tcW w:w="2375" w:type="dxa"/>
            <w:gridSpan w:val="2"/>
            <w:tcBorders>
              <w:tl2br w:val="nil"/>
              <w:tr2bl w:val="nil"/>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评审因素</w:t>
            </w:r>
          </w:p>
        </w:tc>
        <w:tc>
          <w:tcPr>
            <w:tcW w:w="5023" w:type="dxa"/>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1.1.1</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形式评审标准</w:t>
            </w:r>
          </w:p>
        </w:tc>
        <w:tc>
          <w:tcPr>
            <w:tcW w:w="2375" w:type="dxa"/>
            <w:gridSpan w:val="2"/>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rPr>
              <w:t>签字盖章</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竞标文件要求投标人</w:t>
            </w:r>
            <w:r>
              <w:rPr>
                <w:rFonts w:hint="eastAsia" w:ascii="宋体" w:hAnsi="宋体" w:cs="宋体"/>
                <w:color w:val="auto"/>
                <w:szCs w:val="21"/>
                <w:highlight w:val="none"/>
                <w:shd w:val="clear" w:color="auto" w:fill="FFFFFF"/>
              </w:rPr>
              <w:t>盖章和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 w:type="dxa"/>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1.1.2</w:t>
            </w:r>
          </w:p>
        </w:tc>
        <w:tc>
          <w:tcPr>
            <w:tcW w:w="1182" w:type="dxa"/>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资格评审标准</w:t>
            </w:r>
          </w:p>
        </w:tc>
        <w:tc>
          <w:tcPr>
            <w:tcW w:w="2375" w:type="dxa"/>
            <w:gridSpan w:val="2"/>
            <w:tcBorders>
              <w:tl2br w:val="nil"/>
              <w:tr2bl w:val="nil"/>
            </w:tcBorders>
            <w:noWrap w:val="0"/>
            <w:vAlign w:val="center"/>
          </w:tcPr>
          <w:p>
            <w:pPr>
              <w:spacing w:line="340" w:lineRule="exact"/>
              <w:jc w:val="left"/>
              <w:rPr>
                <w:rFonts w:hint="eastAsia" w:ascii="宋体" w:hAnsi="宋体" w:cs="宋体"/>
                <w:color w:val="0000FF"/>
                <w:szCs w:val="21"/>
                <w:shd w:val="clear" w:color="auto" w:fill="FFFFFF"/>
              </w:rPr>
            </w:pPr>
            <w:r>
              <w:rPr>
                <w:rFonts w:hint="eastAsia" w:ascii="宋体" w:hAnsi="宋体" w:cs="宋体"/>
                <w:color w:val="0000FF"/>
                <w:szCs w:val="21"/>
                <w:shd w:val="clear" w:color="auto" w:fill="FFFFFF"/>
              </w:rPr>
              <w:t>营业执照</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1.1.3</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响应性评审标准</w:t>
            </w:r>
          </w:p>
        </w:tc>
        <w:tc>
          <w:tcPr>
            <w:tcW w:w="2375" w:type="dxa"/>
            <w:gridSpan w:val="2"/>
            <w:tcBorders>
              <w:tl2br w:val="nil"/>
              <w:tr2bl w:val="nil"/>
            </w:tcBorders>
            <w:noWrap w:val="0"/>
            <w:vAlign w:val="center"/>
          </w:tcPr>
          <w:p>
            <w:pPr>
              <w:spacing w:line="340" w:lineRule="exact"/>
              <w:jc w:val="left"/>
              <w:rPr>
                <w:rFonts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报价要求</w:t>
            </w:r>
          </w:p>
        </w:tc>
        <w:tc>
          <w:tcPr>
            <w:tcW w:w="5023" w:type="dxa"/>
            <w:tcBorders>
              <w:tl2br w:val="nil"/>
              <w:tr2bl w:val="nil"/>
            </w:tcBorders>
            <w:noWrap w:val="0"/>
            <w:vAlign w:val="center"/>
          </w:tcPr>
          <w:p>
            <w:pPr>
              <w:numPr>
                <w:ilvl w:val="0"/>
                <w:numId w:val="2"/>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投标人</w:t>
            </w:r>
            <w:r>
              <w:rPr>
                <w:rFonts w:hint="eastAsia" w:ascii="宋体" w:hAnsi="宋体"/>
                <w:szCs w:val="21"/>
              </w:rPr>
              <w:t>总报价及综合单价报价不得超过</w:t>
            </w:r>
            <w:r>
              <w:rPr>
                <w:rFonts w:hint="eastAsia" w:ascii="宋体" w:hAnsi="宋体"/>
                <w:szCs w:val="21"/>
                <w:lang w:val="en-US" w:eastAsia="zh-CN"/>
              </w:rPr>
              <w:t>比选</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若报价为下浮比例方式，则应满足比选文件要求。 </w:t>
            </w:r>
          </w:p>
          <w:p>
            <w:pPr>
              <w:numPr>
                <w:ilvl w:val="0"/>
                <w:numId w:val="0"/>
              </w:numPr>
              <w:spacing w:line="340" w:lineRule="exact"/>
              <w:ind w:left="0" w:leftChars="0" w:firstLine="0" w:firstLineChars="0"/>
              <w:rPr>
                <w:rFonts w:hint="eastAsia" w:ascii="宋体" w:hAnsi="宋体" w:cs="宋体"/>
                <w:szCs w:val="21"/>
                <w:shd w:val="clear" w:color="auto" w:fill="FFFFFF"/>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lang w:eastAsia="zh-CN"/>
              </w:rPr>
              <w:t>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比选</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color w:val="0000FF"/>
                <w:szCs w:val="21"/>
              </w:rPr>
            </w:pPr>
            <w:r>
              <w:rPr>
                <w:rFonts w:hint="eastAsia"/>
                <w:color w:val="0000FF"/>
                <w:szCs w:val="21"/>
              </w:rPr>
              <w:t>投标保证金</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9" w:type="dxa"/>
            <w:gridSpan w:val="5"/>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val="en-US" w:eastAsia="zh-CN"/>
              </w:rPr>
              <w:t>投标人</w:t>
            </w:r>
            <w:r>
              <w:rPr>
                <w:rFonts w:hint="eastAsia" w:ascii="宋体" w:hAnsi="宋体" w:cs="宋体"/>
                <w:color w:val="auto"/>
                <w:szCs w:val="21"/>
                <w:highlight w:val="none"/>
                <w:shd w:val="clear" w:color="auto" w:fill="FFFFFF"/>
              </w:rPr>
              <w:t>如不满足，按否决</w:t>
            </w:r>
            <w:r>
              <w:rPr>
                <w:rFonts w:hint="eastAsia"/>
                <w:b/>
                <w:color w:val="auto"/>
                <w:szCs w:val="21"/>
                <w:highlight w:val="none"/>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569" w:type="dxa"/>
            <w:gridSpan w:val="5"/>
            <w:tcBorders>
              <w:tl2br w:val="nil"/>
              <w:tr2bl w:val="nil"/>
            </w:tcBorders>
            <w:noWrap w:val="0"/>
            <w:vAlign w:val="center"/>
          </w:tcPr>
          <w:p>
            <w:pPr>
              <w:spacing w:line="400" w:lineRule="exact"/>
              <w:rPr>
                <w:rFonts w:hint="eastAsia" w:eastAsia="宋体"/>
                <w:lang w:eastAsia="zh-CN"/>
              </w:rPr>
            </w:pPr>
            <w:r>
              <w:rPr>
                <w:b/>
                <w:bCs/>
              </w:rPr>
              <w:t>有下列情况之一的，</w:t>
            </w:r>
            <w:r>
              <w:rPr>
                <w:rFonts w:hint="eastAsia"/>
                <w:b/>
                <w:bCs/>
                <w:lang w:val="en-US" w:eastAsia="zh-CN"/>
              </w:rPr>
              <w:t>直接按</w:t>
            </w:r>
            <w:r>
              <w:rPr>
                <w:b/>
                <w:bCs/>
              </w:rPr>
              <w:t>否决</w:t>
            </w:r>
            <w:r>
              <w:rPr>
                <w:rFonts w:hint="eastAsia"/>
                <w:b/>
                <w:bCs/>
              </w:rPr>
              <w:t>竞标</w:t>
            </w:r>
            <w:r>
              <w:rPr>
                <w:b/>
                <w:bCs/>
              </w:rPr>
              <w:t>处理</w:t>
            </w:r>
            <w:r>
              <w:rPr>
                <w:rFonts w:hint="eastAsia"/>
                <w:b/>
                <w:bCs/>
                <w:lang w:eastAsia="zh-CN"/>
              </w:rPr>
              <w:t>：</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投标人</w:t>
            </w:r>
            <w:r>
              <w:t>的</w:t>
            </w:r>
            <w:r>
              <w:rPr>
                <w:rFonts w:hint="eastAsia"/>
                <w:lang w:val="en-US" w:eastAsia="zh-CN"/>
              </w:rPr>
              <w:t>竞标</w:t>
            </w:r>
            <w:r>
              <w:rPr>
                <w:rFonts w:hint="eastAsia"/>
              </w:rPr>
              <w:t>文件</w:t>
            </w:r>
            <w:r>
              <w:t>由同一单位或者个人编制；</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投标人</w:t>
            </w:r>
            <w:r>
              <w:t>委托同一单位或者个人办理</w:t>
            </w:r>
            <w:r>
              <w:rPr>
                <w:rFonts w:hint="eastAsia"/>
              </w:rPr>
              <w:t>竞标</w:t>
            </w:r>
            <w:r>
              <w:t>事宜；</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投标人</w:t>
            </w:r>
            <w:r>
              <w:t>的</w:t>
            </w:r>
            <w:r>
              <w:rPr>
                <w:rFonts w:hint="eastAsia"/>
                <w:lang w:val="en-US" w:eastAsia="zh-CN"/>
              </w:rPr>
              <w:t>竞标</w:t>
            </w:r>
            <w:r>
              <w:rPr>
                <w:rFonts w:hint="eastAsia"/>
              </w:rPr>
              <w:t>文件</w:t>
            </w:r>
            <w:r>
              <w:t>载明的项目管理成员为同一人；</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投标人</w:t>
            </w:r>
            <w:r>
              <w:t>的</w:t>
            </w:r>
            <w:r>
              <w:rPr>
                <w:rFonts w:hint="eastAsia"/>
                <w:lang w:val="en-US" w:eastAsia="zh-CN"/>
              </w:rPr>
              <w:t>竞标</w:t>
            </w:r>
            <w:r>
              <w:rPr>
                <w:rFonts w:hint="eastAsia"/>
              </w:rPr>
              <w:t>文件</w:t>
            </w:r>
            <w:r>
              <w:t>异常一致或者</w:t>
            </w:r>
            <w:r>
              <w:rPr>
                <w:rFonts w:hint="eastAsia"/>
              </w:rPr>
              <w:t>竞标报价</w:t>
            </w:r>
            <w:r>
              <w:t>呈规律性差异</w:t>
            </w:r>
            <w:r>
              <w:rPr>
                <w:rFonts w:hint="eastAsia"/>
                <w:lang w:val="en-US" w:eastAsia="zh-CN"/>
              </w:rPr>
              <w:t>或报价低于成本不具备竞争性</w:t>
            </w:r>
            <w:r>
              <w:t>；</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投标人</w:t>
            </w:r>
            <w:r>
              <w:t>的</w:t>
            </w:r>
            <w:r>
              <w:rPr>
                <w:rFonts w:hint="eastAsia"/>
                <w:lang w:val="en-US" w:eastAsia="zh-CN"/>
              </w:rPr>
              <w:t>竞标</w:t>
            </w:r>
            <w:r>
              <w:rPr>
                <w:rFonts w:hint="eastAsia"/>
              </w:rPr>
              <w:t>文件</w:t>
            </w:r>
            <w:r>
              <w:t>相互混装；</w:t>
            </w:r>
          </w:p>
          <w:p>
            <w:pPr>
              <w:numPr>
                <w:ilvl w:val="0"/>
                <w:numId w:val="3"/>
              </w:numPr>
              <w:spacing w:line="400" w:lineRule="exact"/>
              <w:ind w:left="0" w:leftChars="0" w:hanging="720" w:firstLineChars="0"/>
              <w:rPr>
                <w:rFonts w:hint="eastAsia"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投标人</w:t>
            </w:r>
            <w:r>
              <w:rPr>
                <w:rFonts w:hint="eastAsia"/>
                <w:lang w:val="en-US" w:eastAsia="zh-CN"/>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3" w:type="dxa"/>
            <w:gridSpan w:val="3"/>
            <w:tcBorders>
              <w:tl2br w:val="nil"/>
              <w:tr2bl w:val="nil"/>
            </w:tcBorders>
            <w:noWrap w:val="0"/>
            <w:vAlign w:val="center"/>
          </w:tcPr>
          <w:p>
            <w:pPr>
              <w:spacing w:line="400" w:lineRule="exact"/>
              <w:rPr>
                <w:rFonts w:hint="eastAsia"/>
                <w:kern w:val="0"/>
                <w:szCs w:val="21"/>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086" w:type="dxa"/>
            <w:gridSpan w:val="2"/>
            <w:tcBorders>
              <w:tl2br w:val="nil"/>
              <w:tr2bl w:val="nil"/>
            </w:tcBorders>
            <w:noWrap w:val="0"/>
            <w:vAlign w:val="center"/>
          </w:tcPr>
          <w:p>
            <w:pPr>
              <w:spacing w:line="400" w:lineRule="exact"/>
              <w:rPr>
                <w:rFonts w:hint="eastAsia"/>
                <w:szCs w:val="21"/>
              </w:rPr>
            </w:pPr>
            <w:r>
              <w:rPr>
                <w:rFonts w:hint="eastAsia"/>
                <w:color w:val="auto"/>
                <w:highlight w:val="none"/>
                <w:lang w:val="en-US" w:eastAsia="zh-CN"/>
              </w:rPr>
              <w:t xml:space="preserve">    若各标段报名家数大于等于三家，则</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rPr>
              <w:t>比选</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3" w:type="dxa"/>
            <w:gridSpan w:val="3"/>
            <w:tcBorders>
              <w:tl2br w:val="nil"/>
              <w:tr2bl w:val="nil"/>
            </w:tcBorders>
            <w:noWrap w:val="0"/>
            <w:vAlign w:val="center"/>
          </w:tcPr>
          <w:p>
            <w:pPr>
              <w:spacing w:line="400" w:lineRule="exact"/>
              <w:rPr>
                <w:rFonts w:hint="eastAsia"/>
                <w:szCs w:val="21"/>
              </w:rPr>
            </w:pPr>
            <w:r>
              <w:rPr>
                <w:rFonts w:hint="eastAsia" w:ascii="宋体" w:hAnsi="宋体"/>
                <w:color w:val="auto"/>
                <w:szCs w:val="21"/>
                <w:highlight w:val="none"/>
              </w:rPr>
              <w:t>报价算术错误修正</w:t>
            </w:r>
          </w:p>
        </w:tc>
        <w:tc>
          <w:tcPr>
            <w:tcW w:w="7086" w:type="dxa"/>
            <w:gridSpan w:val="2"/>
            <w:tcBorders>
              <w:tl2br w:val="nil"/>
              <w:tr2bl w:val="nil"/>
            </w:tcBorders>
            <w:noWrap w:val="0"/>
            <w:vAlign w:val="center"/>
          </w:tcPr>
          <w:p>
            <w:pPr>
              <w:spacing w:line="400" w:lineRule="exact"/>
              <w:rPr>
                <w:rFonts w:hint="eastAsia"/>
              </w:rPr>
            </w:pPr>
            <w:r>
              <w:rPr>
                <w:rFonts w:hint="eastAsia"/>
                <w:color w:val="auto"/>
                <w:highlight w:val="none"/>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83" w:type="dxa"/>
            <w:gridSpan w:val="3"/>
            <w:tcBorders>
              <w:tl2br w:val="nil"/>
              <w:tr2bl w:val="nil"/>
            </w:tcBorders>
            <w:noWrap w:val="0"/>
            <w:vAlign w:val="center"/>
          </w:tcPr>
          <w:p>
            <w:pPr>
              <w:spacing w:line="400" w:lineRule="exact"/>
              <w:rPr>
                <w:rFonts w:hint="eastAsia" w:ascii="宋体" w:hAnsi="宋体"/>
                <w:szCs w:val="21"/>
              </w:rPr>
            </w:pPr>
            <w:r>
              <w:rPr>
                <w:rFonts w:hint="eastAsia" w:ascii="宋体" w:hAnsi="宋体"/>
                <w:color w:val="auto"/>
                <w:szCs w:val="21"/>
                <w:highlight w:val="none"/>
                <w:lang w:val="en-US" w:eastAsia="zh-CN"/>
              </w:rPr>
              <w:t>澄清</w:t>
            </w:r>
          </w:p>
        </w:tc>
        <w:tc>
          <w:tcPr>
            <w:tcW w:w="7086" w:type="dxa"/>
            <w:gridSpan w:val="2"/>
            <w:tcBorders>
              <w:tl2br w:val="nil"/>
              <w:tr2bl w:val="nil"/>
            </w:tcBorders>
            <w:noWrap w:val="0"/>
            <w:vAlign w:val="center"/>
          </w:tcPr>
          <w:p>
            <w:pPr>
              <w:spacing w:line="400" w:lineRule="exact"/>
              <w:rPr>
                <w:rFonts w:hint="eastAsia"/>
              </w:rPr>
            </w:pP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投标人</w:t>
            </w:r>
            <w:r>
              <w:rPr>
                <w:rFonts w:hint="eastAsia"/>
                <w:color w:val="auto"/>
                <w:highlight w:val="none"/>
                <w:lang w:eastAsia="zh-CN"/>
              </w:rPr>
              <w:t>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投标人</w:t>
            </w:r>
            <w:r>
              <w:rPr>
                <w:rFonts w:hint="eastAsia"/>
                <w:color w:val="auto"/>
                <w:highlight w:val="none"/>
                <w:lang w:eastAsia="zh-CN"/>
              </w:rPr>
              <w:t>主动提出的澄清、说明或补正。</w:t>
            </w:r>
          </w:p>
        </w:tc>
      </w:tr>
    </w:tbl>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szCs w:val="21"/>
        </w:rPr>
      </w:pPr>
      <w:r>
        <w:rPr>
          <w:rFonts w:hint="eastAsia"/>
          <w:b/>
          <w:szCs w:val="21"/>
        </w:rPr>
        <w:t>五、投标保证金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b/>
          <w:bCs/>
        </w:rPr>
      </w:pPr>
      <w:r>
        <w:rPr>
          <w:rFonts w:hint="eastAsia"/>
          <w:b/>
          <w:bCs/>
          <w:lang w:val="en-US" w:eastAsia="zh-CN"/>
        </w:rPr>
        <w:t>1、</w:t>
      </w:r>
      <w:r>
        <w:rPr>
          <w:rFonts w:hint="eastAsia"/>
          <w:b/>
          <w:bCs/>
        </w:rPr>
        <w:t>以转账支票或电汇形式交纳投标保证金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b/>
          <w:bCs/>
        </w:rPr>
      </w:pPr>
      <w:r>
        <w:rPr>
          <w:rFonts w:hint="eastAsia"/>
          <w:b/>
          <w:bCs/>
        </w:rPr>
        <w:t>2、以转账支票或电汇形式提交投标保证金的金额：</w:t>
      </w:r>
      <w:r>
        <w:rPr>
          <w:rFonts w:hint="eastAsia"/>
          <w:b/>
          <w:bCs/>
          <w:lang w:val="en-US" w:eastAsia="zh-CN"/>
        </w:rPr>
        <w:t>1000</w:t>
      </w:r>
      <w:r>
        <w:rPr>
          <w:rFonts w:hint="eastAsia"/>
          <w:b/>
          <w:bCs/>
        </w:rPr>
        <w:t>元整（人民币）。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3、投标保证金账户及账号：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单位名称：重庆通力高速公路养护工程有限公司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开户行：工商银行重庆西湖路支行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账户性质：（一般户、收入户）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账号：3100038119100018671</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行号：102653001602</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投标保证金以比选人展示的保证金交纳情况为准。投标人须在投标文件中提供企业基本账户开户证明文件。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4、</w:t>
      </w:r>
      <w:r>
        <w:rPr>
          <w:rFonts w:hint="eastAsia"/>
          <w:b/>
          <w:bCs/>
        </w:rPr>
        <w:t>投标人必须在付款凭证备注栏中注明是“ （</w:t>
      </w:r>
      <w:r>
        <w:rPr>
          <w:rFonts w:hint="eastAsia"/>
          <w:b/>
          <w:bCs/>
          <w:lang w:eastAsia="zh-CN"/>
        </w:rPr>
        <w:t>大足服务区造型标志</w:t>
      </w:r>
      <w:r>
        <w:rPr>
          <w:rFonts w:hint="eastAsia" w:ascii="Times New Roman" w:hAnsi="Times New Roman" w:eastAsia="宋体" w:cs="Times New Roman"/>
          <w:b/>
          <w:bCs/>
          <w:color w:val="auto"/>
          <w:lang w:val="en-US" w:eastAsia="zh-CN"/>
        </w:rPr>
        <w:t>采购</w:t>
      </w:r>
      <w:r>
        <w:rPr>
          <w:rFonts w:hint="eastAsia"/>
          <w:b/>
          <w:bCs/>
        </w:rPr>
        <w:t>） 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6、必须从基本账户转入。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lang w:val="en-US" w:eastAsia="zh-CN"/>
        </w:rPr>
        <w:t>7、</w:t>
      </w:r>
      <w:r>
        <w:rPr>
          <w:rFonts w:hint="eastAsia"/>
          <w:b/>
          <w:bCs/>
          <w:lang w:val="en-US" w:eastAsia="zh-CN"/>
        </w:rPr>
        <w:t>投标人中标后，需在招标人发放中标通知书之日起7日内缴纳履约保证金。若未在规定时间内足额缴纳履约保证金，招标人有权没收其投标保证金。</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Cs w:val="21"/>
        </w:rPr>
      </w:pPr>
      <w:r>
        <w:rPr>
          <w:rFonts w:hint="eastAsia"/>
          <w:b/>
          <w:bCs/>
          <w:szCs w:val="21"/>
          <w:lang w:val="en-US" w:eastAsia="zh-CN"/>
        </w:rPr>
        <w:t>六</w:t>
      </w:r>
      <w:r>
        <w:rPr>
          <w:rFonts w:hint="eastAsia"/>
          <w:b/>
          <w:bCs/>
          <w:szCs w:val="21"/>
        </w:rPr>
        <w:t>、履约保证金</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0"/>
        <w:rPr>
          <w:rFonts w:hint="eastAsia"/>
          <w:b/>
          <w:bCs/>
          <w:szCs w:val="21"/>
        </w:rPr>
      </w:pPr>
      <w:r>
        <w:rPr>
          <w:rFonts w:hint="eastAsia"/>
          <w:b/>
          <w:bCs/>
          <w:szCs w:val="21"/>
        </w:rPr>
        <w:t>1、投标人向招标人缴纳履约保证金：</w:t>
      </w:r>
      <w:r>
        <w:rPr>
          <w:rFonts w:hint="eastAsia" w:ascii="Times New Roman" w:hAnsi="Times New Roman" w:eastAsia="宋体" w:cs="Times New Roman"/>
          <w:b/>
          <w:bCs/>
          <w:szCs w:val="21"/>
          <w:u w:val="single"/>
          <w:lang w:val="en-US" w:eastAsia="zh-CN"/>
        </w:rPr>
        <w:t>7</w:t>
      </w:r>
      <w:r>
        <w:rPr>
          <w:rFonts w:hint="eastAsia" w:ascii="Times New Roman" w:hAnsi="Times New Roman" w:eastAsia="宋体" w:cs="Times New Roman"/>
          <w:b/>
          <w:bCs/>
          <w:szCs w:val="21"/>
          <w:u w:val="single"/>
        </w:rPr>
        <w:t>0</w:t>
      </w:r>
      <w:r>
        <w:rPr>
          <w:rFonts w:hint="eastAsia"/>
          <w:b/>
          <w:bCs/>
          <w:szCs w:val="21"/>
          <w:u w:val="single"/>
        </w:rPr>
        <w:t>00</w:t>
      </w:r>
      <w:r>
        <w:rPr>
          <w:rFonts w:hint="eastAsia"/>
          <w:b/>
          <w:bCs/>
          <w:szCs w:val="21"/>
        </w:rPr>
        <w:t>元（大写：</w:t>
      </w:r>
      <w:r>
        <w:rPr>
          <w:rFonts w:hint="eastAsia"/>
          <w:b/>
          <w:bCs/>
          <w:szCs w:val="21"/>
          <w:u w:val="single"/>
          <w:lang w:eastAsia="zh-CN"/>
        </w:rPr>
        <w:t>柒仟</w:t>
      </w:r>
      <w:r>
        <w:rPr>
          <w:rFonts w:hint="eastAsia"/>
          <w:b/>
          <w:bCs/>
          <w:szCs w:val="21"/>
        </w:rPr>
        <w:t>元整）。合同签订前投标人采用</w:t>
      </w:r>
      <w:r>
        <w:rPr>
          <w:rFonts w:hint="eastAsia"/>
          <w:b/>
          <w:bCs/>
          <w:szCs w:val="21"/>
          <w:u w:val="single"/>
        </w:rPr>
        <w:t>银行转账/银行保函</w:t>
      </w:r>
      <w:r>
        <w:rPr>
          <w:rFonts w:hint="eastAsia"/>
          <w:b/>
          <w:bCs/>
          <w:szCs w:val="21"/>
        </w:rPr>
        <w:t>方式缴纳履约保证金，经招标人确认后签订合同。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0"/>
        <w:rPr>
          <w:rFonts w:hint="eastAsia"/>
          <w:szCs w:val="21"/>
        </w:rPr>
      </w:pPr>
      <w:r>
        <w:rPr>
          <w:rFonts w:hint="eastAsia"/>
          <w:szCs w:val="21"/>
        </w:rPr>
        <w:t>2、保证金在合同终止后在投标人无任何违约或赔偿的情况下退还，不计利息。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0"/>
        <w:rPr>
          <w:rFonts w:hint="eastAsia"/>
          <w:szCs w:val="21"/>
        </w:rPr>
      </w:pPr>
      <w:r>
        <w:rPr>
          <w:rFonts w:hint="eastAsia"/>
          <w:szCs w:val="21"/>
        </w:rPr>
        <w:t>3、合同期间，如果投标人发生违约行为，招标人将按照约定要求投标人承担违约责任，违约金和损失金额在履约保证金内扣除；如果发生意外事故，产生赔付事项，招标人有权在其保证金内扣除投标人应承担部分金额用以支付赔付；若投标人给招标人造成的损失超过履约保证金数额的，投标人还应当对超过部分予以赔偿。合同期间，如果投标人无正当理由单方面退出、解除或终止合同，招标人将不予退还其履约保证金。保证金被扣除的，投标人应当在扣除后两日内予以补足，否则按照每日应补足金额的1%向招标人支付迟延违约金。</w:t>
      </w:r>
    </w:p>
    <w:p>
      <w:pPr>
        <w:pStyle w:val="8"/>
        <w:keepNext w:val="0"/>
        <w:keepLines w:val="0"/>
        <w:pageBreakBefore w:val="0"/>
        <w:widowControl w:val="0"/>
        <w:kinsoku/>
        <w:wordWrap/>
        <w:overflowPunct/>
        <w:topLinePunct w:val="0"/>
        <w:autoSpaceDE/>
        <w:autoSpaceDN/>
        <w:bidi w:val="0"/>
        <w:adjustRightInd/>
        <w:snapToGrid/>
        <w:spacing w:after="0" w:afterLines="0" w:line="400" w:lineRule="atLeast"/>
        <w:textAlignment w:val="auto"/>
        <w:rPr>
          <w:rFonts w:hint="eastAsia"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lang w:val="en-US" w:eastAsia="zh-CN"/>
        </w:rPr>
        <w:t>七、</w:t>
      </w:r>
      <w:r>
        <w:rPr>
          <w:rFonts w:hint="eastAsia" w:ascii="Times New Roman" w:hAnsi="Times New Roman" w:eastAsia="宋体" w:cs="Times New Roman"/>
          <w:b/>
          <w:color w:val="auto"/>
          <w:szCs w:val="21"/>
          <w:highlight w:val="none"/>
          <w:lang w:eastAsia="zh-CN"/>
        </w:rPr>
        <w:t>招标</w:t>
      </w:r>
      <w:r>
        <w:rPr>
          <w:rFonts w:hint="eastAsia" w:ascii="Times New Roman" w:hAnsi="Times New Roman" w:eastAsia="宋体" w:cs="Times New Roman"/>
          <w:b/>
          <w:color w:val="auto"/>
          <w:szCs w:val="21"/>
          <w:highlight w:val="none"/>
        </w:rPr>
        <w:t>须知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文件获取方式：凡愿意参加的潜在</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，从本</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文件在平台挂网之日起至</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文件递交截止时间前，在重庆高速集团官网（http://www.cegc.com.cn/gw/newsInfoMenu.html?id=42&amp;key=2）、重庆高速公路集团有限公司招投标管理平台（</w:t>
      </w:r>
      <w:r>
        <w:rPr>
          <w:rFonts w:hint="eastAsia" w:ascii="宋体" w:hAnsi="宋体" w:cs="宋体"/>
          <w:color w:val="auto"/>
          <w:szCs w:val="21"/>
          <w:highlight w:val="none"/>
          <w:lang w:eastAsia="zh-CN"/>
        </w:rPr>
        <w:t>http://219.152.86.11:8088/pms/</w:t>
      </w:r>
      <w:r>
        <w:rPr>
          <w:rFonts w:hint="eastAsia" w:ascii="宋体" w:hAnsi="宋体" w:cs="宋体"/>
          <w:color w:val="auto"/>
          <w:szCs w:val="21"/>
          <w:highlight w:val="none"/>
        </w:rPr>
        <w:t>）上发布的本项目</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公告中的获取方式自行下载。不管</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是否下载，均视为已知晓</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文件的全部内容和有关事宜。本项目不需要报名，直接投标。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w:t>
      </w:r>
      <w:r>
        <w:rPr>
          <w:rFonts w:hint="eastAsia" w:ascii="宋体" w:hAnsi="宋体" w:cs="宋体"/>
          <w:color w:val="auto"/>
          <w:szCs w:val="21"/>
          <w:highlight w:val="none"/>
        </w:rPr>
        <w:t>公告及结果公示将在重庆高速集团官网（http://www.cegc.com.cn/gw/newsInfoMenu.html?id=42&amp;key=2）、重庆高速公路集团有限公司招投标管理平台（</w:t>
      </w:r>
      <w:r>
        <w:rPr>
          <w:rFonts w:hint="eastAsia" w:ascii="宋体" w:hAnsi="宋体" w:cs="宋体"/>
          <w:color w:val="auto"/>
          <w:szCs w:val="21"/>
          <w:highlight w:val="none"/>
          <w:lang w:eastAsia="zh-CN"/>
        </w:rPr>
        <w:t>http://219.152.86.11:8088/pms/</w:t>
      </w:r>
      <w:r>
        <w:rPr>
          <w:rFonts w:hint="eastAsia" w:ascii="宋体" w:hAnsi="宋体" w:cs="宋体"/>
          <w:color w:val="auto"/>
          <w:szCs w:val="21"/>
          <w:highlight w:val="none"/>
        </w:rPr>
        <w:t>）上发布。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文件递交地点：重庆市沙坪坝区梨高路4号</w:t>
      </w:r>
      <w:r>
        <w:rPr>
          <w:rFonts w:hint="eastAsia" w:ascii="宋体" w:hAnsi="宋体" w:cs="宋体"/>
          <w:b/>
          <w:bCs/>
          <w:color w:val="auto"/>
          <w:szCs w:val="21"/>
          <w:highlight w:val="none"/>
        </w:rPr>
        <w:t>重庆通力高速公路养护工程有限公司306室</w:t>
      </w:r>
      <w:r>
        <w:rPr>
          <w:rFonts w:hint="eastAsia" w:ascii="宋体" w:hAnsi="宋体" w:cs="宋体"/>
          <w:color w:val="auto"/>
          <w:szCs w:val="21"/>
          <w:highlight w:val="none"/>
        </w:rPr>
        <w:t>（重庆市沙坪坝区梨高路沙坪坝区档案馆旁重庆市公路养护管理段三楼）。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（五）各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因自身原因或其他特殊情况等不能到场开标，可通过其他方式在投标截止日前递交标书进行报名。不到场参与开标，视为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默认开标过程及开标结果。当第一次不足三家报名时，不予开标，标书当场退回；第二次不足三家报名时，可按</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文件要求进行开标。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（六）密封要求：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 w:val="22"/>
          <w:szCs w:val="22"/>
          <w:highlight w:val="none"/>
        </w:rPr>
      </w:pP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按第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条要求制作的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文件密封到一个封套中，再在封套上写明：</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val="en-US" w:eastAsia="zh-CN"/>
        </w:rPr>
        <w:t>重庆渝蓉高速公路大足石刻服务区项目</w:t>
      </w:r>
      <w:r>
        <w:rPr>
          <w:rFonts w:hint="eastAsia" w:ascii="宋体" w:hAnsi="宋体" w:cs="宋体"/>
          <w:b/>
          <w:bCs/>
          <w:color w:val="auto"/>
          <w:sz w:val="24"/>
          <w:szCs w:val="24"/>
          <w:highlight w:val="none"/>
          <w:u w:val="single"/>
          <w:lang w:eastAsia="zh-CN"/>
        </w:rPr>
        <w:t>不锈钢造型内发光标志牌</w:t>
      </w:r>
      <w:r>
        <w:rPr>
          <w:rFonts w:hint="eastAsia" w:ascii="宋体" w:hAnsi="宋体" w:cs="宋体"/>
          <w:b/>
          <w:bCs/>
          <w:color w:val="auto"/>
          <w:sz w:val="24"/>
          <w:szCs w:val="24"/>
          <w:highlight w:val="none"/>
          <w:u w:val="single"/>
        </w:rPr>
        <w:t>采购</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投标</w:t>
      </w:r>
      <w:r>
        <w:rPr>
          <w:rFonts w:hint="eastAsia" w:ascii="宋体" w:hAnsi="宋体" w:cs="宋体"/>
          <w:b/>
          <w:bCs/>
          <w:color w:val="auto"/>
          <w:sz w:val="24"/>
          <w:szCs w:val="24"/>
          <w:highlight w:val="none"/>
          <w:u w:val="single"/>
        </w:rPr>
        <w:t>文件</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color w:val="auto"/>
          <w:highlight w:val="none"/>
        </w:rPr>
      </w:pPr>
      <w:r>
        <w:rPr>
          <w:rFonts w:hint="eastAsia" w:ascii="宋体" w:hAnsi="宋体" w:cs="宋体"/>
          <w:b/>
          <w:bCs/>
          <w:color w:val="auto"/>
          <w:sz w:val="24"/>
          <w:szCs w:val="24"/>
          <w:highlight w:val="none"/>
        </w:rPr>
        <w:t>202</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31</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00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u w:val="none"/>
        </w:rPr>
        <w:t>前不得开启。</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color w:val="auto"/>
          <w:szCs w:val="21"/>
          <w:highlight w:val="none"/>
        </w:rPr>
      </w:pPr>
      <w:r>
        <w:rPr>
          <w:rFonts w:hint="eastAsia"/>
          <w:b/>
          <w:bCs/>
          <w:color w:val="auto"/>
          <w:szCs w:val="21"/>
          <w:highlight w:val="none"/>
        </w:rPr>
        <w:t>（七）特别提醒：若</w:t>
      </w:r>
      <w:r>
        <w:rPr>
          <w:rFonts w:hint="eastAsia"/>
          <w:b/>
          <w:bCs/>
          <w:color w:val="auto"/>
          <w:szCs w:val="21"/>
          <w:highlight w:val="none"/>
          <w:lang w:eastAsia="zh-CN"/>
        </w:rPr>
        <w:t>投标人</w:t>
      </w:r>
      <w:r>
        <w:rPr>
          <w:rFonts w:hint="eastAsia"/>
          <w:b/>
          <w:bCs/>
          <w:color w:val="auto"/>
          <w:szCs w:val="21"/>
          <w:highlight w:val="none"/>
        </w:rPr>
        <w:t>恶意竞标后不按</w:t>
      </w:r>
      <w:r>
        <w:rPr>
          <w:rFonts w:hint="eastAsia"/>
          <w:b/>
          <w:bCs/>
          <w:color w:val="auto"/>
          <w:szCs w:val="21"/>
          <w:highlight w:val="none"/>
          <w:lang w:eastAsia="zh-CN"/>
        </w:rPr>
        <w:t>招标</w:t>
      </w:r>
      <w:r>
        <w:rPr>
          <w:rFonts w:hint="eastAsia"/>
          <w:b/>
          <w:bCs/>
          <w:color w:val="auto"/>
          <w:szCs w:val="21"/>
          <w:highlight w:val="none"/>
        </w:rPr>
        <w:t>要求与</w:t>
      </w:r>
      <w:r>
        <w:rPr>
          <w:rFonts w:hint="eastAsia"/>
          <w:b/>
          <w:bCs/>
          <w:color w:val="auto"/>
          <w:szCs w:val="21"/>
          <w:highlight w:val="none"/>
          <w:lang w:eastAsia="zh-CN"/>
        </w:rPr>
        <w:t>招标人</w:t>
      </w:r>
      <w:r>
        <w:rPr>
          <w:rFonts w:hint="eastAsia"/>
          <w:b/>
          <w:bCs/>
          <w:color w:val="auto"/>
          <w:szCs w:val="21"/>
          <w:highlight w:val="none"/>
        </w:rPr>
        <w:t>签订合同或履约，</w:t>
      </w:r>
      <w:r>
        <w:rPr>
          <w:rFonts w:hint="eastAsia"/>
          <w:b/>
          <w:bCs/>
          <w:color w:val="auto"/>
          <w:szCs w:val="21"/>
          <w:highlight w:val="none"/>
          <w:lang w:eastAsia="zh-CN"/>
        </w:rPr>
        <w:t>招标人</w:t>
      </w:r>
      <w:r>
        <w:rPr>
          <w:rFonts w:hint="eastAsia"/>
          <w:b/>
          <w:bCs/>
          <w:color w:val="auto"/>
          <w:szCs w:val="21"/>
          <w:highlight w:val="none"/>
        </w:rPr>
        <w:t>将直接将</w:t>
      </w:r>
      <w:r>
        <w:rPr>
          <w:rFonts w:hint="eastAsia"/>
          <w:b/>
          <w:bCs/>
          <w:color w:val="auto"/>
          <w:szCs w:val="21"/>
          <w:highlight w:val="none"/>
          <w:lang w:eastAsia="zh-CN"/>
        </w:rPr>
        <w:t>投标人</w:t>
      </w:r>
      <w:r>
        <w:rPr>
          <w:rFonts w:hint="eastAsia"/>
          <w:b/>
          <w:bCs/>
          <w:color w:val="auto"/>
          <w:szCs w:val="21"/>
          <w:highlight w:val="none"/>
        </w:rPr>
        <w:t>及其关联单位（含法人代表与委托代理人）一并拉入黑名单，不得参与通力公司所有</w:t>
      </w:r>
      <w:r>
        <w:rPr>
          <w:rFonts w:hint="eastAsia"/>
          <w:b/>
          <w:bCs/>
          <w:color w:val="auto"/>
          <w:szCs w:val="21"/>
          <w:highlight w:val="none"/>
          <w:lang w:eastAsia="zh-CN"/>
        </w:rPr>
        <w:t>招标</w:t>
      </w:r>
      <w:r>
        <w:rPr>
          <w:rFonts w:hint="eastAsia"/>
          <w:b/>
          <w:bCs/>
          <w:color w:val="auto"/>
          <w:szCs w:val="21"/>
          <w:highlight w:val="none"/>
        </w:rPr>
        <w:t>项目报价。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color w:val="auto"/>
          <w:szCs w:val="21"/>
          <w:highlight w:val="none"/>
        </w:rPr>
      </w:pPr>
      <w:r>
        <w:rPr>
          <w:rFonts w:hint="eastAsia" w:ascii="宋体" w:hAnsi="宋体" w:cs="宋体"/>
          <w:color w:val="auto"/>
          <w:szCs w:val="21"/>
          <w:highlight w:val="none"/>
        </w:rPr>
        <w:t>（八）</w:t>
      </w:r>
      <w:r>
        <w:rPr>
          <w:rFonts w:hint="eastAsia"/>
          <w:color w:val="auto"/>
          <w:szCs w:val="21"/>
          <w:highlight w:val="none"/>
        </w:rPr>
        <w:t>廉政约定：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为杜绝商业贿赂现象，共同营造公平、公正的竞争环境，敬请各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在参与竞标报价过程中，将</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明示或暗示要求宴请、招待，或索取礼金、礼品、礼券、其他利益，或故意刁难、显失公平现象，向我司纪检监察人员进行举报（须提供有效线索和相关证据、证明材料）。具体举报渠道告知如下：</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举报联系人：崔老师   举报电话：</w:t>
      </w:r>
      <w:r>
        <w:rPr>
          <w:rFonts w:ascii="宋体" w:hAnsi="宋体" w:cs="宋体"/>
          <w:color w:val="auto"/>
          <w:szCs w:val="21"/>
          <w:highlight w:val="none"/>
        </w:rPr>
        <w:t>023-89187977</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（九）采购合同（附后）：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color w:val="auto"/>
          <w:highlight w:val="none"/>
        </w:rPr>
      </w:pPr>
      <w:r>
        <w:rPr>
          <w:rFonts w:hint="eastAsia" w:ascii="宋体" w:hAnsi="宋体" w:cs="宋体"/>
          <w:color w:val="auto"/>
          <w:szCs w:val="21"/>
          <w:highlight w:val="none"/>
        </w:rPr>
        <w:t>地址：重庆市沙坪坝区梨高路4号</w:t>
      </w:r>
      <w:r>
        <w:rPr>
          <w:rFonts w:hint="eastAsia" w:ascii="宋体" w:hAnsi="宋体" w:cs="宋体"/>
          <w:b/>
          <w:bCs/>
          <w:color w:val="auto"/>
          <w:szCs w:val="21"/>
          <w:highlight w:val="none"/>
        </w:rPr>
        <w:t>重庆通力高速公路养护工程有限公司306室</w:t>
      </w:r>
      <w:r>
        <w:rPr>
          <w:rFonts w:hint="eastAsia" w:ascii="宋体" w:hAnsi="宋体" w:cs="宋体"/>
          <w:color w:val="auto"/>
          <w:szCs w:val="21"/>
          <w:highlight w:val="none"/>
        </w:rPr>
        <w:t>（重庆市沙坪坝区梨高路沙坪坝区档案馆旁重庆市公路养护管理段三楼）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联系人：刘老师</w:t>
      </w:r>
      <w:r>
        <w:rPr>
          <w:rFonts w:hint="eastAsia" w:ascii="宋体" w:hAnsi="宋体" w:cs="宋体"/>
          <w:color w:val="auto"/>
          <w:szCs w:val="21"/>
          <w:highlight w:val="none"/>
          <w:lang w:eastAsia="zh-CN"/>
        </w:rPr>
        <w:t>、</w:t>
      </w:r>
      <w:r>
        <w:rPr>
          <w:rFonts w:hint="eastAsia" w:ascii="宋体" w:hAnsi="宋体" w:cs="宋体"/>
          <w:color w:val="auto"/>
          <w:szCs w:val="21"/>
          <w:highlight w:val="none"/>
        </w:rPr>
        <w:t>电话：023-88563373</w:t>
      </w:r>
      <w:r>
        <w:rPr>
          <w:rFonts w:hint="eastAsia" w:ascii="宋体" w:hAnsi="宋体"/>
          <w:snapToGrid w:val="0"/>
          <w:color w:val="auto"/>
          <w:kern w:val="0"/>
          <w:szCs w:val="21"/>
          <w:highlight w:val="none"/>
          <w:lang w:eastAsia="zh-CN"/>
        </w:rPr>
        <w:t>；葛</w:t>
      </w:r>
      <w:r>
        <w:rPr>
          <w:rFonts w:hint="eastAsia" w:ascii="宋体" w:hAnsi="宋体"/>
          <w:snapToGrid w:val="0"/>
          <w:color w:val="auto"/>
          <w:kern w:val="0"/>
          <w:szCs w:val="21"/>
          <w:highlight w:val="none"/>
          <w:lang w:val="en-US" w:eastAsia="zh-CN"/>
        </w:rPr>
        <w:t>老师、</w:t>
      </w:r>
      <w:r>
        <w:rPr>
          <w:rFonts w:hint="eastAsia" w:ascii="宋体" w:hAnsi="宋体"/>
          <w:snapToGrid w:val="0"/>
          <w:color w:val="auto"/>
          <w:kern w:val="0"/>
          <w:szCs w:val="21"/>
          <w:highlight w:val="none"/>
        </w:rPr>
        <w:t>电话：</w:t>
      </w:r>
      <w:r>
        <w:rPr>
          <w:rFonts w:hint="eastAsia" w:ascii="宋体" w:hAnsi="宋体"/>
          <w:snapToGrid w:val="0"/>
          <w:color w:val="auto"/>
          <w:kern w:val="0"/>
          <w:szCs w:val="21"/>
          <w:highlight w:val="none"/>
          <w:lang w:val="en-US" w:eastAsia="zh-CN"/>
        </w:rPr>
        <w:t>17783903344</w:t>
      </w:r>
    </w:p>
    <w:p>
      <w:pPr>
        <w:keepLines w:val="0"/>
        <w:pageBreakBefore w:val="0"/>
        <w:kinsoku/>
        <w:wordWrap/>
        <w:overflowPunct/>
        <w:topLinePunct w:val="0"/>
        <w:autoSpaceDE/>
        <w:autoSpaceDN/>
        <w:bidi w:val="0"/>
        <w:spacing w:line="480" w:lineRule="atLeast"/>
        <w:jc w:val="left"/>
        <w:textAlignment w:val="center"/>
        <w:rPr>
          <w:rFonts w:hint="eastAsia"/>
          <w:b/>
          <w:color w:val="auto"/>
          <w:sz w:val="24"/>
          <w:szCs w:val="21"/>
          <w:highlight w:val="none"/>
        </w:rPr>
      </w:pPr>
      <w:r>
        <w:rPr>
          <w:rFonts w:hint="eastAsia"/>
          <w:b/>
          <w:color w:val="auto"/>
          <w:sz w:val="24"/>
          <w:szCs w:val="21"/>
          <w:highlight w:val="none"/>
        </w:rPr>
        <w:br w:type="page"/>
      </w:r>
      <w:r>
        <w:rPr>
          <w:rFonts w:hint="eastAsia"/>
          <w:b/>
          <w:color w:val="auto"/>
          <w:sz w:val="24"/>
          <w:szCs w:val="21"/>
          <w:highlight w:val="none"/>
        </w:rPr>
        <w:t>采购合同：</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b/>
          <w:color w:val="auto"/>
          <w:sz w:val="36"/>
          <w:highlight w:val="none"/>
        </w:rPr>
      </w:pPr>
      <w:r>
        <w:rPr>
          <w:rFonts w:hint="eastAsia"/>
          <w:b/>
          <w:color w:val="auto"/>
          <w:sz w:val="36"/>
          <w:highlight w:val="non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eastAsia="宋体"/>
          <w:b/>
          <w:bCs/>
          <w:color w:val="auto"/>
          <w:sz w:val="36"/>
          <w:szCs w:val="36"/>
          <w:highlight w:val="none"/>
          <w:lang w:val="en-US" w:eastAsia="zh-CN"/>
        </w:rPr>
      </w:pPr>
      <w:r>
        <w:rPr>
          <w:rFonts w:hint="eastAsia"/>
          <w:b/>
          <w:bCs/>
          <w:color w:val="auto"/>
          <w:sz w:val="36"/>
          <w:szCs w:val="36"/>
          <w:highlight w:val="none"/>
          <w:lang w:eastAsia="zh-CN"/>
        </w:rPr>
        <w:t>重庆渝蓉高速公路大足石刻服务区项目</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28"/>
          <w:szCs w:val="36"/>
          <w:highlight w:val="none"/>
        </w:rPr>
      </w:pPr>
      <w:r>
        <w:rPr>
          <w:rFonts w:hint="eastAsia"/>
          <w:b/>
          <w:color w:val="auto"/>
          <w:sz w:val="36"/>
          <w:highlight w:val="none"/>
          <w:lang w:eastAsia="zh-CN"/>
        </w:rPr>
        <w:t>不锈钢造型内发光标志牌</w:t>
      </w:r>
      <w:r>
        <w:rPr>
          <w:rFonts w:hint="eastAsia"/>
          <w:b/>
          <w:color w:val="auto"/>
          <w:sz w:val="36"/>
          <w:highlight w:val="none"/>
        </w:rPr>
        <w:t>采购合同</w:t>
      </w:r>
    </w:p>
    <w:p>
      <w:pPr>
        <w:keepNext w:val="0"/>
        <w:keepLines w:val="0"/>
        <w:pageBreakBefore w:val="0"/>
        <w:widowControl w:val="0"/>
        <w:kinsoku/>
        <w:wordWrap/>
        <w:overflowPunct/>
        <w:topLinePunct w:val="0"/>
        <w:autoSpaceDE/>
        <w:autoSpaceDN/>
        <w:bidi w:val="0"/>
        <w:adjustRightInd/>
        <w:snapToGrid/>
        <w:spacing w:line="480" w:lineRule="atLeast"/>
        <w:textAlignment w:val="center"/>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tLeast"/>
        <w:textAlignment w:val="center"/>
        <w:rPr>
          <w:color w:val="auto"/>
          <w:sz w:val="24"/>
          <w:szCs w:val="24"/>
          <w:highlight w:val="none"/>
        </w:rPr>
      </w:pPr>
      <w:r>
        <w:rPr>
          <w:rFonts w:hint="eastAsia"/>
          <w:color w:val="auto"/>
          <w:sz w:val="24"/>
          <w:szCs w:val="24"/>
          <w:highlight w:val="none"/>
        </w:rPr>
        <w:t>甲方：重庆通力高速公路养护工程有限公司</w:t>
      </w:r>
    </w:p>
    <w:p>
      <w:pPr>
        <w:pStyle w:val="2"/>
        <w:keepNext w:val="0"/>
        <w:keepLines w:val="0"/>
        <w:pageBreakBefore w:val="0"/>
        <w:widowControl w:val="0"/>
        <w:kinsoku/>
        <w:wordWrap/>
        <w:overflowPunct/>
        <w:topLinePunct w:val="0"/>
        <w:autoSpaceDE/>
        <w:autoSpaceDN/>
        <w:bidi w:val="0"/>
        <w:adjustRightInd/>
        <w:snapToGrid/>
        <w:spacing w:before="0" w:after="0" w:line="480" w:lineRule="atLeast"/>
        <w:textAlignment w:val="center"/>
        <w:rPr>
          <w:rFonts w:hint="eastAsia"/>
          <w:b w:val="0"/>
          <w:bCs w:val="0"/>
          <w:color w:val="auto"/>
          <w:sz w:val="24"/>
          <w:szCs w:val="24"/>
          <w:highlight w:val="none"/>
        </w:rPr>
      </w:pPr>
      <w:r>
        <w:rPr>
          <w:rFonts w:hint="eastAsia"/>
          <w:b w:val="0"/>
          <w:bCs w:val="0"/>
          <w:color w:val="auto"/>
          <w:sz w:val="24"/>
          <w:szCs w:val="24"/>
          <w:highlight w:val="none"/>
        </w:rPr>
        <w:t>联系地址：重庆市沙坪坝区梨高路</w:t>
      </w:r>
      <w:r>
        <w:rPr>
          <w:rFonts w:hint="eastAsia"/>
          <w:b w:val="0"/>
          <w:bCs w:val="0"/>
          <w:color w:val="auto"/>
          <w:sz w:val="24"/>
          <w:szCs w:val="24"/>
          <w:highlight w:val="none"/>
          <w:lang w:val="en-US" w:eastAsia="zh-CN"/>
        </w:rPr>
        <w:t>4</w:t>
      </w:r>
      <w:r>
        <w:rPr>
          <w:rFonts w:hint="eastAsia"/>
          <w:b w:val="0"/>
          <w:bCs w:val="0"/>
          <w:color w:val="auto"/>
          <w:sz w:val="24"/>
          <w:szCs w:val="24"/>
          <w:highlight w:val="none"/>
        </w:rPr>
        <w:t>号</w:t>
      </w:r>
    </w:p>
    <w:p>
      <w:pPr>
        <w:pStyle w:val="2"/>
        <w:keepNext w:val="0"/>
        <w:keepLines w:val="0"/>
        <w:pageBreakBefore w:val="0"/>
        <w:widowControl w:val="0"/>
        <w:kinsoku/>
        <w:wordWrap/>
        <w:overflowPunct/>
        <w:topLinePunct w:val="0"/>
        <w:autoSpaceDE/>
        <w:autoSpaceDN/>
        <w:bidi w:val="0"/>
        <w:adjustRightInd/>
        <w:snapToGrid/>
        <w:spacing w:before="0" w:after="0" w:line="480" w:lineRule="atLeast"/>
        <w:textAlignment w:val="center"/>
        <w:rPr>
          <w:rFonts w:hint="eastAsia" w:ascii="Times New Roman" w:hAnsi="Times New Roman" w:eastAsia="宋体" w:cs="Times New Roman"/>
          <w:b w:val="0"/>
          <w:bCs w:val="0"/>
          <w:caps w:val="0"/>
          <w:color w:val="auto"/>
          <w:kern w:val="2"/>
          <w:sz w:val="24"/>
          <w:szCs w:val="24"/>
          <w:highlight w:val="none"/>
          <w:lang w:val="en-US" w:eastAsia="zh-CN" w:bidi="ar-SA"/>
        </w:rPr>
      </w:pPr>
      <w:r>
        <w:rPr>
          <w:rFonts w:hint="eastAsia" w:ascii="Times New Roman" w:hAnsi="Times New Roman" w:eastAsia="宋体" w:cs="Times New Roman"/>
          <w:b w:val="0"/>
          <w:bCs w:val="0"/>
          <w:caps w:val="0"/>
          <w:color w:val="auto"/>
          <w:kern w:val="2"/>
          <w:sz w:val="24"/>
          <w:szCs w:val="24"/>
          <w:highlight w:val="none"/>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80" w:lineRule="atLeast"/>
        <w:textAlignment w:val="center"/>
        <w:rPr>
          <w:rFonts w:hint="eastAsia"/>
          <w:color w:val="auto"/>
          <w:highlight w:val="none"/>
          <w:lang w:val="en-US" w:eastAsia="zh-CN"/>
        </w:rPr>
      </w:pPr>
      <w:r>
        <w:rPr>
          <w:rFonts w:hint="eastAsia"/>
          <w:b w:val="0"/>
          <w:bCs w:val="0"/>
          <w:color w:val="auto"/>
          <w:sz w:val="24"/>
          <w:szCs w:val="24"/>
          <w:highlight w:val="none"/>
        </w:rPr>
        <w:t>联系地址：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center"/>
        <w:rPr>
          <w:rFonts w:hint="eastAsia"/>
          <w:color w:val="auto"/>
          <w:sz w:val="24"/>
          <w:szCs w:val="24"/>
          <w:highlight w:val="none"/>
        </w:rPr>
      </w:pPr>
      <w:r>
        <w:rPr>
          <w:rFonts w:hint="eastAsia"/>
          <w:color w:val="auto"/>
          <w:sz w:val="24"/>
          <w:szCs w:val="24"/>
          <w:highlight w:val="none"/>
        </w:rPr>
        <w:t>甲方因</w:t>
      </w:r>
      <w:r>
        <w:rPr>
          <w:rFonts w:hint="eastAsia"/>
          <w:b/>
          <w:bCs/>
          <w:color w:val="auto"/>
          <w:sz w:val="24"/>
          <w:szCs w:val="24"/>
          <w:highlight w:val="none"/>
          <w:u w:val="single"/>
          <w:lang w:val="en-US" w:eastAsia="zh-CN"/>
        </w:rPr>
        <w:t xml:space="preserve"> </w:t>
      </w:r>
      <w:r>
        <w:rPr>
          <w:rFonts w:hint="eastAsia"/>
          <w:b/>
          <w:bCs/>
          <w:color w:val="auto"/>
          <w:sz w:val="24"/>
          <w:szCs w:val="18"/>
          <w:highlight w:val="none"/>
          <w:u w:val="single"/>
          <w:lang w:val="en-US" w:eastAsia="zh-CN"/>
        </w:rPr>
        <w:t xml:space="preserve">重庆渝蓉高速公路大足石刻服务区项目 </w:t>
      </w:r>
      <w:r>
        <w:rPr>
          <w:rFonts w:hint="eastAsia"/>
          <w:color w:val="auto"/>
          <w:sz w:val="24"/>
          <w:szCs w:val="24"/>
          <w:highlight w:val="none"/>
        </w:rPr>
        <w:t>需要，</w:t>
      </w:r>
      <w:r>
        <w:rPr>
          <w:rFonts w:hint="eastAsia" w:ascii="宋体" w:hAnsi="宋体"/>
          <w:color w:val="auto"/>
          <w:sz w:val="24"/>
          <w:szCs w:val="24"/>
          <w:highlight w:val="none"/>
        </w:rPr>
        <w:t>协议向乙方购买</w:t>
      </w:r>
      <w:r>
        <w:rPr>
          <w:rFonts w:hint="eastAsia" w:ascii="宋体" w:hAnsi="宋体"/>
          <w:b/>
          <w:bCs/>
          <w:color w:val="auto"/>
          <w:sz w:val="24"/>
          <w:szCs w:val="24"/>
          <w:highlight w:val="none"/>
          <w:u w:val="single"/>
          <w:lang w:val="en-US" w:eastAsia="zh-CN"/>
        </w:rPr>
        <w:t xml:space="preserve"> </w:t>
      </w:r>
      <w:r>
        <w:rPr>
          <w:rFonts w:hint="eastAsia"/>
          <w:b/>
          <w:bCs/>
          <w:color w:val="auto"/>
          <w:sz w:val="24"/>
          <w:szCs w:val="24"/>
          <w:highlight w:val="none"/>
          <w:u w:val="single"/>
          <w:lang w:eastAsia="zh-CN"/>
        </w:rPr>
        <w:t>不锈钢造型内发光标志牌</w:t>
      </w:r>
      <w:r>
        <w:rPr>
          <w:rFonts w:hint="eastAsia"/>
          <w:b/>
          <w:bCs/>
          <w:color w:val="auto"/>
          <w:sz w:val="24"/>
          <w:szCs w:val="24"/>
          <w:highlight w:val="none"/>
          <w:u w:val="single"/>
          <w:lang w:val="en-US" w:eastAsia="zh-CN"/>
        </w:rPr>
        <w:t xml:space="preserve"> </w:t>
      </w:r>
      <w:r>
        <w:rPr>
          <w:rFonts w:hint="eastAsia"/>
          <w:color w:val="auto"/>
          <w:sz w:val="24"/>
          <w:szCs w:val="24"/>
          <w:highlight w:val="none"/>
          <w:lang w:val="en-US" w:eastAsia="zh-CN"/>
        </w:rPr>
        <w:t>一批</w:t>
      </w:r>
      <w:r>
        <w:rPr>
          <w:rFonts w:hint="eastAsia" w:ascii="宋体" w:hAnsi="宋体"/>
          <w:color w:val="auto"/>
          <w:sz w:val="24"/>
          <w:szCs w:val="24"/>
          <w:highlight w:val="none"/>
        </w:rPr>
        <w:t>；依照《中华人民共和国民法典》及其他有关法律、行政法规，</w:t>
      </w:r>
      <w:r>
        <w:rPr>
          <w:rFonts w:hint="eastAsia"/>
          <w:color w:val="auto"/>
          <w:sz w:val="24"/>
          <w:szCs w:val="24"/>
          <w:highlight w:val="none"/>
        </w:rPr>
        <w:t>双方在</w:t>
      </w:r>
      <w:r>
        <w:rPr>
          <w:rFonts w:hint="eastAsia" w:ascii="宋体" w:hAnsi="宋体"/>
          <w:color w:val="auto"/>
          <w:sz w:val="24"/>
          <w:szCs w:val="24"/>
          <w:highlight w:val="none"/>
        </w:rPr>
        <w:t>遵循平等、自愿、公平和诚实守信原则的基础上，</w:t>
      </w:r>
      <w:r>
        <w:rPr>
          <w:rFonts w:hint="eastAsia"/>
          <w:color w:val="auto"/>
          <w:sz w:val="24"/>
          <w:szCs w:val="24"/>
          <w:highlight w:val="none"/>
        </w:rPr>
        <w:t>经共同协商，达成一致意见，特签订本合同：</w:t>
      </w:r>
    </w:p>
    <w:p>
      <w:pPr>
        <w:keepLines w:val="0"/>
        <w:pageBreakBefore w:val="0"/>
        <w:numPr>
          <w:ilvl w:val="0"/>
          <w:numId w:val="4"/>
        </w:numPr>
        <w:kinsoku/>
        <w:wordWrap/>
        <w:overflowPunct/>
        <w:topLinePunct w:val="0"/>
        <w:autoSpaceDE/>
        <w:autoSpaceDN/>
        <w:bidi w:val="0"/>
        <w:spacing w:line="480" w:lineRule="atLeast"/>
        <w:jc w:val="left"/>
        <w:textAlignment w:val="center"/>
        <w:rPr>
          <w:rFonts w:hint="eastAsia"/>
          <w:color w:val="auto"/>
          <w:sz w:val="24"/>
          <w:szCs w:val="24"/>
          <w:highlight w:val="none"/>
        </w:rPr>
      </w:pPr>
      <w:r>
        <w:rPr>
          <w:rFonts w:hint="eastAsia"/>
          <w:b/>
          <w:color w:val="auto"/>
          <w:sz w:val="24"/>
          <w:szCs w:val="24"/>
          <w:highlight w:val="none"/>
        </w:rPr>
        <w:t>产品名称、型号、数量、金额</w:t>
      </w:r>
      <w:r>
        <w:rPr>
          <w:rFonts w:hint="eastAsia"/>
          <w:b/>
          <w:color w:val="auto"/>
          <w:sz w:val="24"/>
          <w:szCs w:val="24"/>
          <w:highlight w:val="none"/>
          <w:lang w:eastAsia="zh-CN"/>
        </w:rPr>
        <w:t>：</w:t>
      </w:r>
    </w:p>
    <w:p>
      <w:pPr>
        <w:keepLines w:val="0"/>
        <w:pageBreakBefore w:val="0"/>
        <w:kinsoku/>
        <w:wordWrap/>
        <w:overflowPunct/>
        <w:topLinePunct w:val="0"/>
        <w:autoSpaceDE/>
        <w:autoSpaceDN/>
        <w:bidi w:val="0"/>
        <w:spacing w:line="480" w:lineRule="atLeast"/>
        <w:ind w:firstLine="6480" w:firstLineChars="2700"/>
        <w:jc w:val="left"/>
        <w:textAlignment w:val="center"/>
        <w:rPr>
          <w:rFonts w:hint="eastAsia"/>
          <w:color w:val="auto"/>
          <w:sz w:val="24"/>
          <w:szCs w:val="24"/>
          <w:highlight w:val="none"/>
        </w:rPr>
      </w:pPr>
      <w:r>
        <w:rPr>
          <w:rFonts w:hint="eastAsia"/>
          <w:color w:val="auto"/>
          <w:sz w:val="24"/>
          <w:szCs w:val="24"/>
          <w:highlight w:val="none"/>
        </w:rPr>
        <w:t xml:space="preserve"> </w:t>
      </w:r>
      <w:r>
        <w:rPr>
          <w:rFonts w:hint="eastAsia"/>
          <w:color w:val="auto"/>
          <w:szCs w:val="21"/>
          <w:highlight w:val="none"/>
        </w:rPr>
        <w:t>货币单位：人民币（元）</w:t>
      </w:r>
    </w:p>
    <w:tbl>
      <w:tblPr>
        <w:tblStyle w:val="18"/>
        <w:tblpPr w:leftFromText="180" w:rightFromText="180" w:vertAnchor="text" w:horzAnchor="page" w:tblpX="1532" w:tblpY="86"/>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2141"/>
        <w:gridCol w:w="845"/>
        <w:gridCol w:w="1268"/>
        <w:gridCol w:w="1636"/>
        <w:gridCol w:w="1637"/>
        <w:gridCol w:w="11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31"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序号</w:t>
            </w:r>
          </w:p>
        </w:tc>
        <w:tc>
          <w:tcPr>
            <w:tcW w:w="2141"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val="en-US" w:eastAsia="zh-CN" w:bidi="ar"/>
              </w:rPr>
            </w:pPr>
            <w:r>
              <w:rPr>
                <w:rFonts w:hint="eastAsia" w:ascii="宋体" w:hAnsi="宋体" w:eastAsia="宋体" w:cs="宋体"/>
                <w:b/>
                <w:color w:val="000000"/>
                <w:kern w:val="0"/>
                <w:sz w:val="20"/>
                <w:szCs w:val="20"/>
                <w:lang w:bidi="ar"/>
              </w:rPr>
              <w:t>材料名称</w:t>
            </w:r>
          </w:p>
        </w:tc>
        <w:tc>
          <w:tcPr>
            <w:tcW w:w="845"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单位</w:t>
            </w:r>
          </w:p>
        </w:tc>
        <w:tc>
          <w:tcPr>
            <w:tcW w:w="1268"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暂定</w:t>
            </w:r>
          </w:p>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数量</w:t>
            </w:r>
          </w:p>
        </w:tc>
        <w:tc>
          <w:tcPr>
            <w:tcW w:w="1636"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到场含税</w:t>
            </w:r>
          </w:p>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000000"/>
                <w:kern w:val="0"/>
                <w:sz w:val="20"/>
                <w:szCs w:val="20"/>
                <w:lang w:eastAsia="zh-CN" w:bidi="ar"/>
              </w:rPr>
            </w:pPr>
            <w:r>
              <w:rPr>
                <w:rFonts w:hint="eastAsia" w:ascii="宋体" w:hAnsi="宋体" w:eastAsia="宋体" w:cs="宋体"/>
                <w:b/>
                <w:color w:val="000000"/>
                <w:kern w:val="0"/>
                <w:sz w:val="20"/>
                <w:szCs w:val="20"/>
                <w:lang w:bidi="ar"/>
              </w:rPr>
              <w:t>单价</w:t>
            </w:r>
          </w:p>
        </w:tc>
        <w:tc>
          <w:tcPr>
            <w:tcW w:w="1637"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auto"/>
                <w:sz w:val="20"/>
                <w:szCs w:val="20"/>
                <w:highlight w:val="none"/>
                <w:lang w:eastAsia="zh-CN"/>
              </w:rPr>
            </w:pPr>
            <w:r>
              <w:rPr>
                <w:rFonts w:hint="eastAsia" w:ascii="宋体" w:hAnsi="宋体" w:cs="宋体"/>
                <w:b/>
                <w:color w:val="000000"/>
                <w:kern w:val="0"/>
                <w:sz w:val="20"/>
                <w:szCs w:val="20"/>
                <w:lang w:bidi="ar"/>
              </w:rPr>
              <w:t>含税金额</w:t>
            </w:r>
          </w:p>
        </w:tc>
        <w:tc>
          <w:tcPr>
            <w:tcW w:w="1150"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color w:val="auto"/>
                <w:kern w:val="0"/>
                <w:sz w:val="20"/>
                <w:szCs w:val="20"/>
                <w:highlight w:val="none"/>
                <w:lang w:eastAsia="zh-CN" w:bidi="ar"/>
              </w:rPr>
            </w:pPr>
            <w:r>
              <w:rPr>
                <w:rFonts w:hint="eastAsia" w:ascii="宋体" w:hAnsi="宋体" w:eastAsia="宋体" w:cs="宋体"/>
                <w:color w:val="auto"/>
                <w:kern w:val="0"/>
                <w:sz w:val="20"/>
                <w:szCs w:val="20"/>
                <w:highlight w:val="none"/>
                <w:lang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31"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cs="宋体"/>
                <w:color w:val="auto"/>
                <w:kern w:val="0"/>
                <w:sz w:val="20"/>
                <w:szCs w:val="20"/>
                <w:highlight w:val="none"/>
                <w:lang w:bidi="ar"/>
              </w:rPr>
            </w:pPr>
            <w:r>
              <w:rPr>
                <w:rFonts w:hint="eastAsia" w:ascii="宋体" w:hAnsi="宋体" w:eastAsia="宋体" w:cs="宋体"/>
                <w:color w:val="000000"/>
                <w:kern w:val="0"/>
                <w:sz w:val="20"/>
                <w:szCs w:val="20"/>
                <w:lang w:eastAsia="zh-CN" w:bidi="ar"/>
              </w:rPr>
              <w:t>1</w:t>
            </w:r>
          </w:p>
        </w:tc>
        <w:tc>
          <w:tcPr>
            <w:tcW w:w="2141" w:type="dxa"/>
            <w:tcBorders>
              <w:tl2br w:val="nil"/>
              <w:tr2bl w:val="nil"/>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000000"/>
                <w:kern w:val="0"/>
                <w:sz w:val="20"/>
                <w:szCs w:val="20"/>
                <w:lang w:val="en-US" w:eastAsia="zh-CN" w:bidi="ar"/>
              </w:rPr>
              <w:t>不锈钢造型内发光标志牌</w:t>
            </w:r>
          </w:p>
        </w:tc>
        <w:tc>
          <w:tcPr>
            <w:tcW w:w="845"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套</w:t>
            </w:r>
          </w:p>
        </w:tc>
        <w:tc>
          <w:tcPr>
            <w:tcW w:w="1268" w:type="dxa"/>
            <w:tcBorders>
              <w:tl2br w:val="nil"/>
              <w:tr2bl w:val="nil"/>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000000"/>
                <w:kern w:val="0"/>
                <w:sz w:val="20"/>
                <w:szCs w:val="20"/>
                <w:lang w:val="en-US" w:eastAsia="zh-CN" w:bidi="ar"/>
              </w:rPr>
              <w:t>2</w:t>
            </w:r>
          </w:p>
        </w:tc>
        <w:tc>
          <w:tcPr>
            <w:tcW w:w="1636"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ascii="宋体" w:hAnsi="宋体" w:cs="宋体"/>
                <w:color w:val="auto"/>
                <w:kern w:val="0"/>
                <w:sz w:val="20"/>
                <w:szCs w:val="20"/>
                <w:highlight w:val="none"/>
                <w:lang w:bidi="ar"/>
              </w:rPr>
            </w:pPr>
          </w:p>
        </w:tc>
        <w:tc>
          <w:tcPr>
            <w:tcW w:w="1637"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ascii="宋体" w:hAnsi="宋体" w:cs="宋体"/>
                <w:color w:val="auto"/>
                <w:sz w:val="20"/>
                <w:szCs w:val="20"/>
                <w:highlight w:val="none"/>
              </w:rPr>
            </w:pPr>
          </w:p>
        </w:tc>
        <w:tc>
          <w:tcPr>
            <w:tcW w:w="1150"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ascii="宋体" w:hAnsi="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31"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eastAsia="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2</w:t>
            </w:r>
          </w:p>
        </w:tc>
        <w:tc>
          <w:tcPr>
            <w:tcW w:w="4254" w:type="dxa"/>
            <w:gridSpan w:val="3"/>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cs="宋体"/>
                <w:b/>
                <w:color w:val="auto"/>
                <w:kern w:val="0"/>
                <w:sz w:val="20"/>
                <w:szCs w:val="20"/>
                <w:highlight w:val="none"/>
                <w:lang w:val="en-US" w:eastAsia="zh-CN" w:bidi="ar"/>
              </w:rPr>
            </w:pPr>
            <w:r>
              <w:rPr>
                <w:rFonts w:hint="eastAsia" w:ascii="宋体" w:hAnsi="宋体" w:cs="宋体"/>
                <w:b/>
                <w:color w:val="auto"/>
                <w:kern w:val="0"/>
                <w:sz w:val="20"/>
                <w:szCs w:val="20"/>
                <w:highlight w:val="none"/>
                <w:lang w:val="en-US" w:eastAsia="zh-CN" w:bidi="ar"/>
              </w:rPr>
              <w:t>合计</w:t>
            </w:r>
          </w:p>
        </w:tc>
        <w:tc>
          <w:tcPr>
            <w:tcW w:w="3273" w:type="dxa"/>
            <w:gridSpan w:val="2"/>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color w:val="auto"/>
                <w:sz w:val="20"/>
                <w:szCs w:val="20"/>
                <w:highlight w:val="none"/>
              </w:rPr>
            </w:pPr>
            <w:r>
              <w:rPr>
                <w:rFonts w:hint="eastAsia" w:ascii="宋体" w:hAnsi="宋体" w:cs="宋体"/>
                <w:b/>
                <w:color w:val="000000"/>
                <w:kern w:val="0"/>
                <w:sz w:val="20"/>
                <w:szCs w:val="20"/>
                <w:lang w:val="en-US" w:eastAsia="zh-CN" w:bidi="ar"/>
              </w:rPr>
              <w:t>含税金额：        元</w:t>
            </w:r>
            <w:r>
              <w:rPr>
                <w:rFonts w:hint="eastAsia" w:ascii="宋体" w:hAnsi="宋体" w:cs="宋体"/>
                <w:b/>
                <w:color w:val="000000"/>
                <w:kern w:val="0"/>
                <w:sz w:val="20"/>
                <w:szCs w:val="20"/>
                <w:lang w:val="en-US" w:eastAsia="zh-CN" w:bidi="ar"/>
              </w:rPr>
              <w:br w:type="textWrapping"/>
            </w:r>
            <w:r>
              <w:rPr>
                <w:rFonts w:hint="eastAsia" w:ascii="宋体" w:hAnsi="宋体" w:cs="宋体"/>
                <w:b/>
                <w:color w:val="000000"/>
                <w:kern w:val="0"/>
                <w:sz w:val="20"/>
                <w:szCs w:val="20"/>
                <w:lang w:eastAsia="zh-CN" w:bidi="ar"/>
              </w:rPr>
              <w:t>（</w:t>
            </w:r>
            <w:r>
              <w:rPr>
                <w:rFonts w:hint="eastAsia" w:ascii="宋体" w:hAnsi="宋体" w:cs="宋体"/>
                <w:b/>
                <w:color w:val="000000"/>
                <w:kern w:val="0"/>
                <w:sz w:val="20"/>
                <w:szCs w:val="20"/>
                <w:lang w:val="en-US" w:eastAsia="zh-CN" w:bidi="ar"/>
              </w:rPr>
              <w:t>不含税金额：        元</w:t>
            </w:r>
            <w:r>
              <w:rPr>
                <w:rFonts w:hint="eastAsia" w:ascii="宋体" w:hAnsi="宋体" w:cs="宋体"/>
                <w:b/>
                <w:color w:val="000000"/>
                <w:kern w:val="0"/>
                <w:sz w:val="20"/>
                <w:szCs w:val="20"/>
                <w:lang w:eastAsia="zh-CN" w:bidi="ar"/>
              </w:rPr>
              <w:t>）</w:t>
            </w:r>
          </w:p>
        </w:tc>
        <w:tc>
          <w:tcPr>
            <w:tcW w:w="1150" w:type="dxa"/>
            <w:tcBorders>
              <w:tl2br w:val="nil"/>
              <w:tr2bl w:val="nil"/>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spacing w:line="240" w:lineRule="auto"/>
              <w:jc w:val="center"/>
              <w:textAlignment w:val="center"/>
              <w:rPr>
                <w:rFonts w:hint="eastAsia" w:ascii="宋体" w:hAnsi="宋体" w:cs="宋体"/>
                <w:b/>
                <w:color w:val="auto"/>
                <w:kern w:val="0"/>
                <w:sz w:val="20"/>
                <w:szCs w:val="20"/>
                <w:highlight w:val="none"/>
                <w:lang w:eastAsia="zh-CN" w:bidi="ar"/>
              </w:rPr>
            </w:pPr>
          </w:p>
        </w:tc>
      </w:tr>
    </w:tbl>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1、本合同为综合单价合同，具体数量以甲方代表确认的实际到货合格数量为准。</w:t>
      </w:r>
    </w:p>
    <w:p>
      <w:pPr>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2、具体采购数量由甲方每次通过书面文件、微信、短信、邮件、传真或其他方式向乙方发送订单，乙方接到甲方订单后7日内配送至甲方指定地点。</w:t>
      </w:r>
    </w:p>
    <w:p>
      <w:pPr>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3、甲乙双方同意在本合同有效期内，乙方不得因市场行情、原材料价格上涨等因素要求上调单价。</w:t>
      </w:r>
    </w:p>
    <w:p>
      <w:pPr>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4、合同期内，甲方以书面、传真、微信、短信、邮件等方式向乙方发出订货通知，乙方应在收到订货通知后1小时内及时确认答复；乙方逾期没有回复的，同样视为收到订货通知且应按本合同约定时间将产品送至甲方指定地点。</w:t>
      </w:r>
    </w:p>
    <w:p>
      <w:pPr>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5、乙方指定经办人：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；邮箱：</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；微信：</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；传真：</w:t>
      </w:r>
      <w:r>
        <w:rPr>
          <w:rFonts w:hint="eastAsia"/>
          <w:sz w:val="24"/>
          <w:szCs w:val="24"/>
          <w:u w:val="single"/>
        </w:rPr>
        <w:t xml:space="preserve">              </w:t>
      </w:r>
      <w:r>
        <w:rPr>
          <w:rFonts w:hint="eastAsia"/>
          <w:sz w:val="24"/>
          <w:szCs w:val="24"/>
        </w:rPr>
        <w:t>；联系地址：</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）全权代表乙方负责处理本合同项下各项事务，包括但不限于接收订单、与甲方沟通供货事宜、办理结算等，甲方向本条约定的联系方式发送订单，视为乙方已收到。</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6、如甲方在发出订货通知后，确因客观原因需要变更交货时间、数量的，甲方提前1天通知乙方，乙方按照变更后的时间、数量交货。</w:t>
      </w:r>
    </w:p>
    <w:p>
      <w:pPr>
        <w:keepLines w:val="0"/>
        <w:pageBreakBefore w:val="0"/>
        <w:kinsoku/>
        <w:wordWrap/>
        <w:overflowPunct/>
        <w:topLinePunct w:val="0"/>
        <w:autoSpaceDE/>
        <w:autoSpaceDN/>
        <w:bidi w:val="0"/>
        <w:spacing w:line="480" w:lineRule="atLeast"/>
        <w:ind w:firstLine="472" w:firstLineChars="196"/>
        <w:textAlignment w:val="center"/>
        <w:rPr>
          <w:rFonts w:hint="eastAsia"/>
          <w:b/>
          <w:color w:val="auto"/>
          <w:sz w:val="24"/>
          <w:szCs w:val="24"/>
          <w:highlight w:val="none"/>
        </w:rPr>
      </w:pPr>
      <w:r>
        <w:rPr>
          <w:rFonts w:hint="eastAsia"/>
          <w:b/>
          <w:color w:val="auto"/>
          <w:sz w:val="24"/>
          <w:szCs w:val="24"/>
          <w:highlight w:val="none"/>
        </w:rPr>
        <w:t>二、</w:t>
      </w:r>
      <w:r>
        <w:rPr>
          <w:rFonts w:hint="eastAsia"/>
          <w:b/>
          <w:sz w:val="24"/>
          <w:szCs w:val="24"/>
        </w:rPr>
        <w:t>质量要求、技术标准</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承诺具备履行本合同项下义务所需的全部资质、授权、许可，并保证在合同有效期内持续、合法、有效。乙方保证对其所供应的产品不受任何第三人所有权、其他物权和知识产权的追索，拥有合法的经销权或特许经销权，否则乙方将赔偿因此给甲方造成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应当保证产品质量符合《中华人民共和国产品质量法》、《中华人民共和国建筑法》等国家法律法规及相关产品的国家、地方及行业标准等规范要求，产品质量及各项技术标准条件等应完全符合安全、环保、卫生等各方面强制性要求。各标准不相同的，以较高者为准。除此之外，乙方提供的产品还应符合甲方的要求。</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3、质量保证资料的提供：乙方应随货同行向甲方提供真实、准确的“生产厂家、生产许可证、出厂合格证、质保书、检验试验报告、企业资质等有效质保资料”。</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乙方应严格按照《高速公路服务区导向系统设计指南》（重庆市交通行业推荐性标准），以及其它国家、行业、地方颁发的现行技术规范、标准、规程和业主单位、设计单位提出的设计要求，进行施工图深化设计，按合同规定的进度要求提交质量合格的施工图深化设计文件，并对其完整性、正确性、安全性及时限负责。乙方应按照比选人的要求，按时提供有关施工图深化设计资料，配合作好方案讨论、修改、定稿等工作，并与比选人及时配合与协调。乙方保证其设计成果的合法性和实用性，且不侵犯任何他人的合法权利或权益。</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①施工图设计文件：见附件。</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②《高速公路服务区导向系统设计指南》要求：</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位置：入口主线与场地间的分流带内，距分流鼻宜≥20m，条件受限时可设于匝道外侧</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内容要素：形象 LOGO、服务区星级（可选）、服务区中英文名称、主要功能图标、营运公司名称、剩余停车位数（可选）</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字体：交通标志专用字体</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标准色：咖啡色（C50 M70 Y80 K70）</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材料工艺：衬板：3.0mm 乳白色透光亚克力板</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　　面板：1.2mm 拉丝不锈钢烤漆</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　　光源：LED 光源</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　　骨架：60mm×60mm×3.0mm（Q235）方钢管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　　底座：3.5mx2.0mx1.5m（C25）现浇钢筋混凝土基础（预埋连接件）</w:t>
      </w:r>
    </w:p>
    <w:p>
      <w:pPr>
        <w:keepLines w:val="0"/>
        <w:pageBreakBefore w:val="0"/>
        <w:kinsoku/>
        <w:wordWrap/>
        <w:overflowPunct/>
        <w:topLinePunct w:val="0"/>
        <w:autoSpaceDE/>
        <w:autoSpaceDN/>
        <w:bidi w:val="0"/>
        <w:spacing w:line="480" w:lineRule="atLeast"/>
        <w:jc w:val="center"/>
        <w:textAlignment w:val="center"/>
        <w:rPr>
          <w:rFonts w:hint="eastAsia"/>
          <w:sz w:val="24"/>
          <w:szCs w:val="24"/>
          <w:lang w:val="en-US" w:eastAsia="zh-CN"/>
        </w:rPr>
      </w:pPr>
      <w:r>
        <w:drawing>
          <wp:inline distT="0" distB="0" distL="114300" distR="114300">
            <wp:extent cx="5050790" cy="3664585"/>
            <wp:effectExtent l="0" t="0" r="16510" b="12065"/>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7"/>
                    <a:stretch>
                      <a:fillRect/>
                    </a:stretch>
                  </pic:blipFill>
                  <pic:spPr>
                    <a:xfrm>
                      <a:off x="0" y="0"/>
                      <a:ext cx="5050790" cy="3664585"/>
                    </a:xfrm>
                    <a:prstGeom prst="rect">
                      <a:avLst/>
                    </a:prstGeom>
                    <a:noFill/>
                    <a:ln>
                      <a:noFill/>
                    </a:ln>
                  </pic:spPr>
                </pic:pic>
              </a:graphicData>
            </a:graphic>
          </wp:inline>
        </w:drawing>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sz w:val="24"/>
          <w:szCs w:val="24"/>
          <w:lang w:val="en-US" w:eastAsia="zh-CN"/>
        </w:rPr>
        <w:t>③其它要求：骨架所采用的方钢应按《公路交通工程钢构件防腐蚀技术条件》（GB/T 18226-2015）要求进行镀锌。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lang w:val="en-US" w:eastAsia="zh-CN"/>
        </w:rPr>
        <w:t>5</w:t>
      </w:r>
      <w:r>
        <w:rPr>
          <w:rFonts w:hint="eastAsia"/>
          <w:sz w:val="24"/>
          <w:szCs w:val="24"/>
        </w:rPr>
        <w:t>、乙方提供的不锈钢造型内发光标志牌应按施工图设计文件及效果图要求进行生产加工，满足《高速公路服务区导向系统设计指南》（重庆市交通行业推荐性标准）等国家质量技术要求和重庆市相关标准规定，满足竞争性比选文件中的其它质量要求，同时按批量提供出厂合格证复印件。</w:t>
      </w:r>
    </w:p>
    <w:p>
      <w:pPr>
        <w:keepNext w:val="0"/>
        <w:keepLines w:val="0"/>
        <w:pageBreakBefore w:val="0"/>
        <w:kinsoku/>
        <w:wordWrap/>
        <w:overflowPunct/>
        <w:topLinePunct w:val="0"/>
        <w:autoSpaceDE/>
        <w:autoSpaceDN/>
        <w:bidi w:val="0"/>
        <w:spacing w:line="480" w:lineRule="atLeast"/>
        <w:ind w:firstLine="472" w:firstLineChars="196"/>
        <w:textAlignment w:val="center"/>
        <w:rPr>
          <w:b/>
          <w:color w:val="auto"/>
          <w:sz w:val="24"/>
          <w:szCs w:val="24"/>
          <w:highlight w:val="none"/>
        </w:rPr>
      </w:pPr>
      <w:r>
        <w:rPr>
          <w:rFonts w:hint="eastAsia"/>
          <w:b/>
          <w:color w:val="auto"/>
          <w:sz w:val="24"/>
          <w:szCs w:val="24"/>
          <w:highlight w:val="none"/>
        </w:rPr>
        <w:t>三、交（提）货地点、方式</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1、甲方所采购的</w:t>
      </w:r>
      <w:r>
        <w:rPr>
          <w:rFonts w:hint="eastAsia"/>
          <w:sz w:val="24"/>
          <w:szCs w:val="24"/>
          <w:lang w:eastAsia="zh-CN"/>
        </w:rPr>
        <w:t>不锈钢造型内发光标志牌</w:t>
      </w:r>
      <w:r>
        <w:rPr>
          <w:rFonts w:hint="eastAsia"/>
          <w:sz w:val="24"/>
          <w:szCs w:val="24"/>
        </w:rPr>
        <w:t>由乙方以</w:t>
      </w:r>
      <w:r>
        <w:rPr>
          <w:rFonts w:hint="eastAsia"/>
          <w:b/>
          <w:bCs/>
          <w:sz w:val="24"/>
          <w:szCs w:val="24"/>
          <w:u w:val="single"/>
        </w:rPr>
        <w:t>汽车运输方式</w:t>
      </w:r>
      <w:r>
        <w:rPr>
          <w:rFonts w:hint="eastAsia"/>
          <w:sz w:val="24"/>
          <w:szCs w:val="24"/>
        </w:rPr>
        <w:t>运至甲方指定位置：</w:t>
      </w:r>
      <w:r>
        <w:rPr>
          <w:rFonts w:hint="eastAsia" w:ascii="宋体" w:hAnsi="宋体" w:eastAsia="宋体" w:cs="宋体"/>
          <w:b/>
          <w:bCs/>
          <w:color w:val="auto"/>
          <w:sz w:val="24"/>
          <w:szCs w:val="24"/>
          <w:highlight w:val="none"/>
          <w:u w:val="single"/>
          <w:lang w:eastAsia="zh-CN"/>
        </w:rPr>
        <w:t>重庆渝蓉高速公路大足石刻服务区施工现场</w:t>
      </w:r>
    </w:p>
    <w:p>
      <w:pPr>
        <w:keepNext w:val="0"/>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keepNext w:val="0"/>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3、乙方应对产品进行有效、安全的包装，应做到防雨、防潮湿、防震等保护措施，确保产品能够安全无损的运抵交货地点。</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4、乙方所供应的</w:t>
      </w:r>
      <w:r>
        <w:rPr>
          <w:rFonts w:hint="eastAsia"/>
          <w:sz w:val="24"/>
          <w:szCs w:val="24"/>
          <w:lang w:eastAsia="zh-CN"/>
        </w:rPr>
        <w:t>不锈钢造型内发光标志牌</w:t>
      </w:r>
      <w:r>
        <w:rPr>
          <w:rFonts w:hint="eastAsia"/>
          <w:sz w:val="24"/>
          <w:szCs w:val="24"/>
        </w:rPr>
        <w:t>经甲方对外观初步验收合格后收货。在转运过程中，乙方必须采取有效措施避免材料的二次污染或受损，否则，甲方有权拒绝收货或要求退货。</w:t>
      </w:r>
    </w:p>
    <w:p>
      <w:pPr>
        <w:keepNext w:val="0"/>
        <w:keepLines w:val="0"/>
        <w:pageBreakBefore w:val="0"/>
        <w:kinsoku/>
        <w:wordWrap/>
        <w:overflowPunct/>
        <w:topLinePunct w:val="0"/>
        <w:autoSpaceDE/>
        <w:autoSpaceDN/>
        <w:bidi w:val="0"/>
        <w:spacing w:line="480" w:lineRule="atLeast"/>
        <w:ind w:firstLine="472" w:firstLineChars="196"/>
        <w:textAlignment w:val="center"/>
        <w:rPr>
          <w:b/>
          <w:color w:val="auto"/>
          <w:sz w:val="24"/>
          <w:szCs w:val="24"/>
          <w:highlight w:val="none"/>
        </w:rPr>
      </w:pPr>
      <w:r>
        <w:rPr>
          <w:rFonts w:hint="eastAsia"/>
          <w:b/>
          <w:color w:val="auto"/>
          <w:sz w:val="24"/>
          <w:szCs w:val="24"/>
          <w:highlight w:val="none"/>
        </w:rPr>
        <w:t>四、运输方式及到达站港和费用负担</w:t>
      </w:r>
    </w:p>
    <w:p>
      <w:pPr>
        <w:keepNext w:val="0"/>
        <w:keepLines w:val="0"/>
        <w:pageBreakBefore w:val="0"/>
        <w:kinsoku/>
        <w:wordWrap/>
        <w:overflowPunct/>
        <w:topLinePunct w:val="0"/>
        <w:autoSpaceDE/>
        <w:autoSpaceDN/>
        <w:bidi w:val="0"/>
        <w:spacing w:line="480" w:lineRule="atLeast"/>
        <w:ind w:firstLine="480" w:firstLineChars="200"/>
        <w:textAlignment w:val="center"/>
        <w:rPr>
          <w:color w:val="auto"/>
          <w:sz w:val="24"/>
          <w:szCs w:val="24"/>
          <w:highlight w:val="none"/>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涉及危化品运输的，运输车辆必须具备“危化品运输许可证”，否则，由此造成的一切后果责任及相应费用由乙方承担，与甲方无关甲方不承担由此造成的安全责任及相应费用。</w:t>
      </w:r>
    </w:p>
    <w:p>
      <w:pPr>
        <w:keepNext w:val="0"/>
        <w:keepLines w:val="0"/>
        <w:pageBreakBefore w:val="0"/>
        <w:kinsoku/>
        <w:wordWrap/>
        <w:overflowPunct/>
        <w:topLinePunct w:val="0"/>
        <w:autoSpaceDE/>
        <w:autoSpaceDN/>
        <w:bidi w:val="0"/>
        <w:spacing w:line="480" w:lineRule="atLeast"/>
        <w:ind w:firstLine="472" w:firstLineChars="196"/>
        <w:textAlignment w:val="center"/>
        <w:rPr>
          <w:rFonts w:ascii="宋体" w:hAnsi="宋体"/>
          <w:b/>
          <w:color w:val="auto"/>
          <w:sz w:val="24"/>
          <w:highlight w:val="none"/>
        </w:rPr>
      </w:pPr>
      <w:r>
        <w:rPr>
          <w:rFonts w:hint="eastAsia" w:ascii="宋体" w:hAnsi="宋体"/>
          <w:b/>
          <w:color w:val="auto"/>
          <w:sz w:val="24"/>
          <w:highlight w:val="none"/>
        </w:rPr>
        <w:t>五、货物所有权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center"/>
        <w:rPr>
          <w:rFonts w:ascii="宋体" w:hAnsi="宋体"/>
          <w:color w:val="auto"/>
          <w:sz w:val="24"/>
          <w:highlight w:val="none"/>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合格后由甲方承担（货物由乙方保管的除外）。</w:t>
      </w:r>
    </w:p>
    <w:p>
      <w:pPr>
        <w:keepNext w:val="0"/>
        <w:keepLines w:val="0"/>
        <w:pageBreakBefore w:val="0"/>
        <w:widowControl w:val="0"/>
        <w:kinsoku/>
        <w:wordWrap/>
        <w:overflowPunct/>
        <w:topLinePunct w:val="0"/>
        <w:autoSpaceDE/>
        <w:autoSpaceDN/>
        <w:bidi w:val="0"/>
        <w:adjustRightInd/>
        <w:snapToGrid/>
        <w:spacing w:line="480" w:lineRule="atLeast"/>
        <w:ind w:firstLine="472" w:firstLineChars="196"/>
        <w:textAlignment w:val="center"/>
        <w:rPr>
          <w:color w:val="auto"/>
          <w:highlight w:val="none"/>
        </w:rPr>
      </w:pPr>
      <w:r>
        <w:rPr>
          <w:rFonts w:hint="eastAsia"/>
          <w:b/>
          <w:color w:val="auto"/>
          <w:sz w:val="24"/>
          <w:szCs w:val="24"/>
          <w:highlight w:val="none"/>
        </w:rPr>
        <w:t>六、计量方法</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以甲方现场</w:t>
      </w:r>
      <w:r>
        <w:rPr>
          <w:rFonts w:hint="eastAsia"/>
          <w:b/>
          <w:sz w:val="24"/>
          <w:szCs w:val="24"/>
          <w:u w:val="single"/>
        </w:rPr>
        <w:t>检尺</w:t>
      </w:r>
      <w:r>
        <w:rPr>
          <w:rFonts w:hint="eastAsia"/>
          <w:sz w:val="24"/>
          <w:szCs w:val="24"/>
        </w:rPr>
        <w:t>计量为准，乙方提供的出厂计量单作为参考。乙方如对甲方计量结果有异议，双方应现场协商解决，事后甲方不予认可。</w:t>
      </w:r>
    </w:p>
    <w:p>
      <w:pPr>
        <w:keepNext w:val="0"/>
        <w:keepLines w:val="0"/>
        <w:pageBreakBefore w:val="0"/>
        <w:kinsoku/>
        <w:wordWrap/>
        <w:overflowPunct/>
        <w:topLinePunct w:val="0"/>
        <w:autoSpaceDE/>
        <w:autoSpaceDN/>
        <w:bidi w:val="0"/>
        <w:spacing w:line="480" w:lineRule="atLeast"/>
        <w:ind w:firstLine="482" w:firstLineChars="200"/>
        <w:textAlignment w:val="center"/>
        <w:rPr>
          <w:b/>
          <w:sz w:val="24"/>
          <w:szCs w:val="24"/>
        </w:rPr>
      </w:pPr>
      <w:r>
        <w:rPr>
          <w:rFonts w:hint="eastAsia"/>
          <w:b/>
          <w:sz w:val="24"/>
          <w:szCs w:val="24"/>
        </w:rPr>
        <w:t>七、验收标准、方法</w:t>
      </w:r>
    </w:p>
    <w:p>
      <w:pPr>
        <w:keepNext w:val="0"/>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keepNext w:val="0"/>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kern w:val="0"/>
          <w:sz w:val="24"/>
          <w:szCs w:val="24"/>
        </w:rPr>
        <w:t>，</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keepNext w:val="0"/>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keepNext w:val="0"/>
        <w:keepLines w:val="0"/>
        <w:pageBreakBefore w:val="0"/>
        <w:kinsoku/>
        <w:wordWrap/>
        <w:overflowPunct/>
        <w:topLinePunct w:val="0"/>
        <w:autoSpaceDE/>
        <w:autoSpaceDN/>
        <w:bidi w:val="0"/>
        <w:spacing w:line="480" w:lineRule="atLeast"/>
        <w:ind w:firstLine="472" w:firstLineChars="196"/>
        <w:textAlignment w:val="center"/>
        <w:rPr>
          <w:b/>
          <w:color w:val="auto"/>
          <w:sz w:val="24"/>
          <w:szCs w:val="24"/>
          <w:highlight w:val="none"/>
        </w:rPr>
      </w:pPr>
      <w:r>
        <w:rPr>
          <w:rFonts w:hint="eastAsia"/>
          <w:b/>
          <w:color w:val="auto"/>
          <w:sz w:val="24"/>
          <w:szCs w:val="24"/>
          <w:highlight w:val="none"/>
          <w:lang w:eastAsia="zh-CN"/>
        </w:rPr>
        <w:t>八</w:t>
      </w:r>
      <w:r>
        <w:rPr>
          <w:rFonts w:hint="eastAsia"/>
          <w:b/>
          <w:color w:val="auto"/>
          <w:sz w:val="24"/>
          <w:szCs w:val="24"/>
          <w:highlight w:val="none"/>
        </w:rPr>
        <w:t>、发票的开具</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w:t>
      </w:r>
      <w:r>
        <w:rPr>
          <w:rFonts w:hint="eastAsia"/>
          <w:sz w:val="24"/>
          <w:szCs w:val="24"/>
          <w:lang w:eastAsia="zh-CN"/>
        </w:rPr>
        <w:t>不锈钢造型内发光标志牌</w:t>
      </w:r>
      <w:r>
        <w:rPr>
          <w:rFonts w:hint="eastAsia"/>
          <w:sz w:val="24"/>
          <w:szCs w:val="24"/>
        </w:rPr>
        <w:t>产品销售全额发票由乙方开具</w:t>
      </w:r>
      <w:r>
        <w:rPr>
          <w:rFonts w:hint="eastAsia"/>
          <w:b/>
          <w:sz w:val="24"/>
          <w:szCs w:val="24"/>
        </w:rPr>
        <w:t>增值税专用发票（抵扣税率</w:t>
      </w:r>
      <w:r>
        <w:rPr>
          <w:rFonts w:hint="eastAsia"/>
          <w:b/>
          <w:sz w:val="24"/>
          <w:szCs w:val="24"/>
          <w:lang w:val="en-US" w:eastAsia="zh-CN"/>
        </w:rPr>
        <w:t xml:space="preserve">   </w:t>
      </w:r>
      <w:r>
        <w:rPr>
          <w:rFonts w:hint="eastAsia"/>
          <w:b/>
          <w:sz w:val="24"/>
          <w:szCs w:val="24"/>
        </w:rPr>
        <w:t>%）</w:t>
      </w:r>
      <w:r>
        <w:rPr>
          <w:rFonts w:hint="eastAsia"/>
          <w:sz w:val="24"/>
          <w:szCs w:val="24"/>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keepNext w:val="0"/>
        <w:keepLines w:val="0"/>
        <w:pageBreakBefore w:val="0"/>
        <w:kinsoku/>
        <w:wordWrap/>
        <w:overflowPunct/>
        <w:topLinePunct w:val="0"/>
        <w:autoSpaceDE/>
        <w:autoSpaceDN/>
        <w:bidi w:val="0"/>
        <w:spacing w:line="480" w:lineRule="atLeast"/>
        <w:ind w:firstLine="472" w:firstLineChars="196"/>
        <w:textAlignment w:val="center"/>
        <w:rPr>
          <w:rFonts w:hint="eastAsia"/>
          <w:color w:val="auto"/>
          <w:sz w:val="24"/>
          <w:szCs w:val="24"/>
          <w:highlight w:val="none"/>
        </w:rPr>
      </w:pPr>
      <w:r>
        <w:rPr>
          <w:rFonts w:hint="eastAsia"/>
          <w:b/>
          <w:color w:val="auto"/>
          <w:sz w:val="24"/>
          <w:szCs w:val="24"/>
          <w:highlight w:val="none"/>
          <w:lang w:eastAsia="zh-CN"/>
        </w:rPr>
        <w:t>九</w:t>
      </w:r>
      <w:r>
        <w:rPr>
          <w:rFonts w:hint="eastAsia"/>
          <w:b/>
          <w:color w:val="auto"/>
          <w:sz w:val="24"/>
          <w:szCs w:val="24"/>
          <w:highlight w:val="none"/>
        </w:rPr>
        <w:t>、结算方式及期限</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结算方式：按月结算；结算金</w:t>
      </w:r>
      <w:r>
        <w:rPr>
          <w:rFonts w:hint="eastAsia" w:ascii="宋体" w:hAnsi="宋体" w:cs="宋体"/>
          <w:kern w:val="0"/>
          <w:sz w:val="24"/>
          <w:szCs w:val="24"/>
        </w:rPr>
        <w:t>额=当月已对账的实际收货数量×合同单价</w:t>
      </w:r>
      <w:r>
        <w:rPr>
          <w:rFonts w:hint="eastAsia"/>
          <w:sz w:val="24"/>
          <w:szCs w:val="24"/>
        </w:rPr>
        <w:t>。以月20日为费用结算日期，结算上月费用，乙方向甲方提供有效发票及供货凭证，甲方自费用清单（按甲方代表实际验收的合格数量和材料合</w:t>
      </w:r>
      <w:r>
        <w:rPr>
          <w:rFonts w:hint="eastAsia" w:ascii="宋体" w:hAnsi="宋体"/>
          <w:sz w:val="24"/>
          <w:szCs w:val="24"/>
        </w:rPr>
        <w:t>同单价计算）</w:t>
      </w:r>
      <w:r>
        <w:rPr>
          <w:rFonts w:hint="eastAsia"/>
          <w:sz w:val="24"/>
          <w:szCs w:val="24"/>
        </w:rPr>
        <w:t>及发票送达之日起20个工作日（每月25日至次月5日不办理支付，时间相应顺延）内以</w:t>
      </w:r>
      <w:r>
        <w:rPr>
          <w:rFonts w:hint="eastAsia"/>
          <w:b/>
          <w:bCs/>
          <w:sz w:val="24"/>
          <w:szCs w:val="24"/>
          <w:u w:val="single"/>
        </w:rPr>
        <w:t>银行转账</w:t>
      </w:r>
      <w:r>
        <w:rPr>
          <w:rFonts w:hint="eastAsia"/>
          <w:sz w:val="24"/>
          <w:szCs w:val="24"/>
        </w:rPr>
        <w:t>方式支付给乙方。乙方迟延提供发票和相关结算资料的，甲方的付款期限相应顺延。</w:t>
      </w:r>
    </w:p>
    <w:p>
      <w:pPr>
        <w:keepNext w:val="0"/>
        <w:keepLines w:val="0"/>
        <w:pageBreakBefore w:val="0"/>
        <w:kinsoku/>
        <w:wordWrap/>
        <w:overflowPunct/>
        <w:topLinePunct w:val="0"/>
        <w:autoSpaceDE/>
        <w:autoSpaceDN/>
        <w:bidi w:val="0"/>
        <w:spacing w:line="480" w:lineRule="atLeast"/>
        <w:ind w:firstLine="482" w:firstLineChars="200"/>
        <w:textAlignment w:val="center"/>
        <w:rPr>
          <w:rFonts w:hint="eastAsia"/>
          <w:b/>
          <w:sz w:val="24"/>
          <w:szCs w:val="24"/>
        </w:rPr>
      </w:pPr>
      <w:r>
        <w:rPr>
          <w:rFonts w:hint="eastAsia"/>
          <w:b/>
          <w:sz w:val="24"/>
          <w:szCs w:val="24"/>
        </w:rPr>
        <w:t>十、履约保证金</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乙方向甲方缴纳履约保证金：</w:t>
      </w:r>
      <w:r>
        <w:rPr>
          <w:rFonts w:hint="eastAsia" w:ascii="宋体" w:hAnsi="宋体" w:eastAsia="宋体" w:cs="宋体"/>
          <w:b/>
          <w:bCs/>
          <w:sz w:val="24"/>
          <w:szCs w:val="24"/>
          <w:u w:val="single"/>
          <w:lang w:val="en-US" w:eastAsia="zh-CN"/>
        </w:rPr>
        <w:t>7000</w:t>
      </w:r>
      <w:r>
        <w:rPr>
          <w:rFonts w:hint="eastAsia" w:ascii="宋体" w:hAnsi="宋体" w:eastAsia="宋体" w:cs="宋体"/>
          <w:b/>
          <w:bCs/>
          <w:sz w:val="24"/>
          <w:szCs w:val="24"/>
        </w:rPr>
        <w:t>元（大写：</w:t>
      </w:r>
      <w:r>
        <w:rPr>
          <w:rFonts w:hint="eastAsia" w:ascii="宋体" w:hAnsi="宋体" w:eastAsia="宋体" w:cs="宋体"/>
          <w:b/>
          <w:bCs/>
          <w:sz w:val="24"/>
          <w:szCs w:val="24"/>
          <w:u w:val="single"/>
          <w:lang w:eastAsia="zh-CN"/>
        </w:rPr>
        <w:t>柒仟</w:t>
      </w:r>
      <w:r>
        <w:rPr>
          <w:rFonts w:hint="eastAsia" w:ascii="宋体" w:hAnsi="宋体" w:eastAsia="宋体" w:cs="宋体"/>
          <w:b/>
          <w:bCs/>
          <w:sz w:val="24"/>
          <w:szCs w:val="24"/>
          <w:lang w:eastAsia="zh-CN"/>
        </w:rPr>
        <w:t>元</w:t>
      </w:r>
      <w:r>
        <w:rPr>
          <w:rFonts w:hint="eastAsia" w:ascii="宋体" w:hAnsi="宋体" w:eastAsia="宋体" w:cs="宋体"/>
          <w:b/>
          <w:bCs/>
          <w:sz w:val="24"/>
          <w:szCs w:val="24"/>
        </w:rPr>
        <w:t>整）。合同签订前乙方采用</w:t>
      </w:r>
      <w:r>
        <w:rPr>
          <w:rFonts w:hint="eastAsia" w:ascii="宋体" w:hAnsi="宋体" w:eastAsia="宋体" w:cs="宋体"/>
          <w:b/>
          <w:bCs/>
          <w:sz w:val="24"/>
          <w:szCs w:val="24"/>
          <w:u w:val="single"/>
        </w:rPr>
        <w:t>银行转账/银行保函</w:t>
      </w:r>
      <w:r>
        <w:rPr>
          <w:rFonts w:hint="eastAsia" w:ascii="宋体" w:hAnsi="宋体" w:eastAsia="宋体" w:cs="宋体"/>
          <w:b/>
          <w:bCs/>
          <w:sz w:val="24"/>
          <w:szCs w:val="24"/>
        </w:rPr>
        <w:t>方式缴纳履约保证金，经甲方确认后签订合同。</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2、保证金在合同终止后在乙方无任何违约或赔偿的情况下退还，不计利息。</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3、合同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keepNext w:val="0"/>
        <w:keepLines w:val="0"/>
        <w:pageBreakBefore w:val="0"/>
        <w:kinsoku/>
        <w:wordWrap/>
        <w:overflowPunct/>
        <w:topLinePunct w:val="0"/>
        <w:autoSpaceDE/>
        <w:autoSpaceDN/>
        <w:bidi w:val="0"/>
        <w:spacing w:line="480" w:lineRule="atLeast"/>
        <w:ind w:firstLine="482" w:firstLineChars="200"/>
        <w:textAlignment w:val="center"/>
        <w:rPr>
          <w:b/>
          <w:sz w:val="24"/>
          <w:szCs w:val="24"/>
        </w:rPr>
      </w:pPr>
      <w:r>
        <w:rPr>
          <w:rFonts w:hint="eastAsia"/>
          <w:b/>
          <w:sz w:val="24"/>
          <w:szCs w:val="24"/>
        </w:rPr>
        <w:t>十一、违约责任</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sz w:val="24"/>
          <w:szCs w:val="24"/>
        </w:rPr>
      </w:pPr>
      <w:r>
        <w:rPr>
          <w:rFonts w:hint="eastAsia" w:ascii="宋体" w:hAnsi="宋体"/>
          <w:sz w:val="24"/>
          <w:szCs w:val="24"/>
        </w:rPr>
        <w:t>1、乙方必须保证供货质量，若因材料质量原因导致的一切损失皆由乙方负责。若出现材料质量事故的，按</w:t>
      </w:r>
      <w:r>
        <w:rPr>
          <w:rFonts w:hint="eastAsia" w:ascii="宋体" w:hAnsi="宋体"/>
          <w:b/>
          <w:sz w:val="24"/>
          <w:szCs w:val="24"/>
          <w:u w:val="single"/>
        </w:rPr>
        <w:t>贰</w:t>
      </w:r>
      <w:r>
        <w:rPr>
          <w:rFonts w:hint="eastAsia" w:ascii="宋体" w:hAnsi="宋体" w:eastAsia="宋体" w:cs="宋体"/>
          <w:b/>
          <w:bCs/>
          <w:sz w:val="24"/>
          <w:szCs w:val="24"/>
          <w:u w:val="single"/>
          <w:lang w:eastAsia="zh-CN"/>
        </w:rPr>
        <w:t>仟</w:t>
      </w:r>
      <w:r>
        <w:rPr>
          <w:rFonts w:hint="eastAsia" w:ascii="宋体" w:hAnsi="宋体"/>
          <w:b/>
          <w:sz w:val="24"/>
          <w:szCs w:val="24"/>
          <w:u w:val="single"/>
        </w:rPr>
        <w:t>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sz w:val="24"/>
        </w:rPr>
        <w:t>，要求乙方赔偿甲方全部损失</w:t>
      </w:r>
      <w:r>
        <w:rPr>
          <w:rFonts w:hint="eastAsia" w:ascii="宋体"/>
          <w:sz w:val="24"/>
          <w:szCs w:val="24"/>
        </w:rPr>
        <w:t>。</w:t>
      </w:r>
    </w:p>
    <w:p>
      <w:pPr>
        <w:keepNext w:val="0"/>
        <w:keepLines w:val="0"/>
        <w:pageBreakBefore w:val="0"/>
        <w:kinsoku/>
        <w:wordWrap/>
        <w:overflowPunct/>
        <w:topLinePunct w:val="0"/>
        <w:autoSpaceDE/>
        <w:autoSpaceDN/>
        <w:bidi w:val="0"/>
        <w:spacing w:line="480" w:lineRule="atLeast"/>
        <w:ind w:firstLine="480" w:firstLineChars="200"/>
        <w:textAlignment w:val="center"/>
        <w:rPr>
          <w:rFonts w:ascii="宋体"/>
          <w:sz w:val="24"/>
          <w:szCs w:val="24"/>
        </w:rPr>
      </w:pPr>
      <w:r>
        <w:rPr>
          <w:rFonts w:hint="eastAsia" w:ascii="宋体"/>
          <w:sz w:val="24"/>
          <w:szCs w:val="24"/>
        </w:rPr>
        <w:t>2、</w:t>
      </w:r>
      <w:r>
        <w:rPr>
          <w:rFonts w:hint="eastAsia" w:ascii="宋体" w:hAnsi="宋体"/>
          <w:sz w:val="24"/>
          <w:szCs w:val="24"/>
        </w:rPr>
        <w:t>乙方材料的供应量、送货时间必须满足甲方通知要求和甲方施工进度要求，否则，按</w:t>
      </w:r>
      <w:r>
        <w:rPr>
          <w:rFonts w:hint="eastAsia" w:ascii="宋体" w:hAnsi="宋体"/>
          <w:b/>
          <w:sz w:val="24"/>
          <w:szCs w:val="24"/>
          <w:u w:val="single"/>
        </w:rPr>
        <w:t>壹</w:t>
      </w:r>
      <w:r>
        <w:rPr>
          <w:rFonts w:hint="eastAsia" w:ascii="宋体" w:hAnsi="宋体" w:eastAsia="宋体" w:cs="宋体"/>
          <w:b/>
          <w:bCs/>
          <w:sz w:val="24"/>
          <w:szCs w:val="24"/>
          <w:u w:val="single"/>
          <w:lang w:eastAsia="zh-CN"/>
        </w:rPr>
        <w:t>仟</w:t>
      </w:r>
      <w:r>
        <w:rPr>
          <w:rFonts w:hint="eastAsia" w:ascii="宋体" w:hAnsi="宋体"/>
          <w:b/>
          <w:sz w:val="24"/>
          <w:szCs w:val="24"/>
          <w:u w:val="single"/>
        </w:rPr>
        <w:t>元/天</w:t>
      </w:r>
      <w:r>
        <w:rPr>
          <w:rFonts w:hint="eastAsia" w:ascii="宋体" w:hAnsi="宋体"/>
          <w:sz w:val="24"/>
          <w:szCs w:val="24"/>
        </w:rPr>
        <w:t>的标准向甲方支付违约金；</w:t>
      </w:r>
      <w:r>
        <w:rPr>
          <w:rFonts w:hint="eastAsia" w:ascii="宋体"/>
          <w:sz w:val="24"/>
          <w:szCs w:val="24"/>
        </w:rPr>
        <w:t>逾期超过10日的，甲方有权要求乙方支付合同总金额</w:t>
      </w:r>
      <w:r>
        <w:rPr>
          <w:rFonts w:hint="eastAsia" w:ascii="宋体"/>
          <w:b/>
          <w:bCs/>
          <w:sz w:val="24"/>
          <w:szCs w:val="24"/>
          <w:u w:val="single"/>
        </w:rPr>
        <w:t>30%</w:t>
      </w:r>
      <w:r>
        <w:rPr>
          <w:rFonts w:hint="eastAsia" w:ascii="宋体"/>
          <w:sz w:val="24"/>
          <w:szCs w:val="24"/>
        </w:rPr>
        <w:t>的违约金，并赔偿甲方全部损失，另有权单方解除合同。</w:t>
      </w:r>
    </w:p>
    <w:p>
      <w:pPr>
        <w:keepNext w:val="0"/>
        <w:keepLines w:val="0"/>
        <w:pageBreakBefore w:val="0"/>
        <w:kinsoku/>
        <w:wordWrap/>
        <w:overflowPunct/>
        <w:topLinePunct w:val="0"/>
        <w:autoSpaceDE/>
        <w:autoSpaceDN/>
        <w:bidi w:val="0"/>
        <w:spacing w:line="480" w:lineRule="atLeast"/>
        <w:ind w:firstLine="480" w:firstLineChars="200"/>
        <w:textAlignment w:val="center"/>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b/>
          <w:sz w:val="24"/>
          <w:szCs w:val="24"/>
          <w:u w:val="single"/>
        </w:rPr>
        <w:t>壹</w:t>
      </w:r>
      <w:r>
        <w:rPr>
          <w:rFonts w:hint="eastAsia" w:ascii="宋体" w:hAnsi="宋体" w:eastAsia="宋体" w:cs="宋体"/>
          <w:b/>
          <w:bCs/>
          <w:sz w:val="24"/>
          <w:szCs w:val="24"/>
          <w:u w:val="single"/>
          <w:lang w:eastAsia="zh-CN"/>
        </w:rPr>
        <w:t>仟</w:t>
      </w:r>
      <w:r>
        <w:rPr>
          <w:rFonts w:hint="eastAsia" w:ascii="宋体" w:hAnsi="宋体"/>
          <w:b/>
          <w:sz w:val="24"/>
          <w:szCs w:val="24"/>
          <w:u w:val="single"/>
        </w:rPr>
        <w:t>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，甲方有权要求乙方支付合同总金额</w:t>
      </w:r>
      <w:r>
        <w:rPr>
          <w:rFonts w:hint="eastAsia" w:ascii="宋体"/>
          <w:b/>
          <w:bCs/>
          <w:sz w:val="24"/>
          <w:szCs w:val="24"/>
          <w:u w:val="single"/>
        </w:rPr>
        <w:t>30%</w:t>
      </w:r>
      <w:r>
        <w:rPr>
          <w:rFonts w:hint="eastAsia" w:ascii="宋体"/>
          <w:sz w:val="24"/>
          <w:szCs w:val="24"/>
        </w:rPr>
        <w:t>的违约金，并赔偿甲方全部损失，另有权单方解除合同。</w:t>
      </w:r>
    </w:p>
    <w:p>
      <w:pPr>
        <w:keepNext w:val="0"/>
        <w:keepLines w:val="0"/>
        <w:pageBreakBefore w:val="0"/>
        <w:kinsoku/>
        <w:wordWrap/>
        <w:overflowPunct/>
        <w:topLinePunct w:val="0"/>
        <w:autoSpaceDE/>
        <w:autoSpaceDN/>
        <w:bidi w:val="0"/>
        <w:spacing w:line="480" w:lineRule="atLeast"/>
        <w:ind w:firstLine="480" w:firstLineChars="200"/>
        <w:textAlignment w:val="center"/>
        <w:rPr>
          <w:rFonts w:ascii="宋体" w:hAnsi="宋体"/>
          <w:sz w:val="24"/>
          <w:szCs w:val="24"/>
        </w:rPr>
      </w:pPr>
      <w:r>
        <w:rPr>
          <w:rFonts w:hint="eastAsia" w:ascii="宋体"/>
          <w:sz w:val="24"/>
          <w:szCs w:val="24"/>
        </w:rPr>
        <w:t>4、乙方应保证供应货物不得存在任何权利瑕疵或侵犯任何第三人合法权益（包括知识产权），否则，甲方有权要求乙方赔偿甲方全部损失，另有权单方解除合同。</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sz w:val="24"/>
        </w:rPr>
      </w:pPr>
      <w:r>
        <w:rPr>
          <w:rFonts w:hint="eastAsia"/>
          <w:sz w:val="24"/>
          <w:szCs w:val="24"/>
        </w:rPr>
        <w:t>5、本合同约定的甲方损失</w:t>
      </w:r>
      <w:r>
        <w:rPr>
          <w:rFonts w:hint="eastAsia" w:ascii="宋体" w:hAnsi="宋体"/>
          <w:sz w:val="24"/>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w:t>
      </w:r>
      <w:r>
        <w:rPr>
          <w:rFonts w:hint="eastAsia" w:ascii="宋体" w:hAnsi="Times New Roman" w:eastAsia="宋体" w:cs="Times New Roman"/>
          <w:b/>
          <w:bCs/>
          <w:kern w:val="2"/>
          <w:sz w:val="24"/>
          <w:lang w:val="en-US" w:eastAsia="zh-CN" w:bidi="ar-SA"/>
        </w:rPr>
        <w:t>若合同执行期间，乙方供应的材料因质量不合格出现退货的，处以</w:t>
      </w:r>
      <w:r>
        <w:rPr>
          <w:rFonts w:hint="eastAsia" w:ascii="宋体" w:hAnsi="宋体"/>
          <w:b/>
          <w:sz w:val="24"/>
          <w:szCs w:val="24"/>
          <w:u w:val="single"/>
        </w:rPr>
        <w:t>贰</w:t>
      </w:r>
      <w:r>
        <w:rPr>
          <w:rFonts w:hint="eastAsia" w:ascii="宋体" w:hAnsi="宋体" w:eastAsia="宋体" w:cs="宋体"/>
          <w:b/>
          <w:bCs/>
          <w:sz w:val="24"/>
          <w:szCs w:val="24"/>
          <w:u w:val="single"/>
          <w:lang w:eastAsia="zh-CN"/>
        </w:rPr>
        <w:t>仟</w:t>
      </w:r>
      <w:r>
        <w:rPr>
          <w:rFonts w:hint="eastAsia" w:ascii="宋体" w:hAnsi="宋体"/>
          <w:b/>
          <w:sz w:val="24"/>
          <w:szCs w:val="24"/>
          <w:u w:val="single"/>
        </w:rPr>
        <w:t>元/次</w:t>
      </w:r>
      <w:r>
        <w:rPr>
          <w:rFonts w:hint="eastAsia" w:ascii="宋体" w:hAnsi="Times New Roman" w:eastAsia="宋体" w:cs="Times New Roman"/>
          <w:b/>
          <w:bCs/>
          <w:kern w:val="2"/>
          <w:sz w:val="24"/>
          <w:lang w:val="en-US" w:eastAsia="zh-CN" w:bidi="ar-SA"/>
        </w:rPr>
        <w:t>的违约罚金；乙方供应的材料质量不合格造成工程返工或返修，乙方除承担继续履行、采取修理、更换、退货等补救措施外，处以</w:t>
      </w:r>
      <w:r>
        <w:rPr>
          <w:rFonts w:hint="eastAsia" w:ascii="宋体" w:hAnsi="宋体" w:eastAsia="宋体"/>
          <w:b/>
          <w:sz w:val="24"/>
          <w:szCs w:val="24"/>
          <w:u w:val="single"/>
          <w:lang w:eastAsia="zh-CN"/>
        </w:rPr>
        <w:t>伍</w:t>
      </w:r>
      <w:r>
        <w:rPr>
          <w:rFonts w:hint="eastAsia" w:ascii="宋体" w:hAnsi="宋体" w:eastAsia="宋体" w:cs="宋体"/>
          <w:b/>
          <w:bCs/>
          <w:sz w:val="24"/>
          <w:szCs w:val="24"/>
          <w:u w:val="single"/>
          <w:lang w:eastAsia="zh-CN"/>
        </w:rPr>
        <w:t>仟</w:t>
      </w:r>
      <w:r>
        <w:rPr>
          <w:rFonts w:hint="eastAsia" w:ascii="宋体" w:hAnsi="宋体"/>
          <w:b/>
          <w:sz w:val="24"/>
          <w:szCs w:val="24"/>
          <w:u w:val="single"/>
        </w:rPr>
        <w:t>元/次</w:t>
      </w:r>
      <w:r>
        <w:rPr>
          <w:rFonts w:hint="eastAsia" w:ascii="宋体" w:hAnsi="Times New Roman" w:eastAsia="宋体" w:cs="Times New Roman"/>
          <w:b/>
          <w:bCs/>
          <w:kern w:val="2"/>
          <w:sz w:val="24"/>
          <w:lang w:val="en-US" w:eastAsia="zh-CN" w:bidi="ar-SA"/>
        </w:rPr>
        <w:t>的违约罚金。</w:t>
      </w:r>
    </w:p>
    <w:p>
      <w:pPr>
        <w:keepNext w:val="0"/>
        <w:keepLines w:val="0"/>
        <w:pageBreakBefore w:val="0"/>
        <w:kinsoku/>
        <w:wordWrap/>
        <w:overflowPunct/>
        <w:topLinePunct w:val="0"/>
        <w:autoSpaceDE/>
        <w:autoSpaceDN/>
        <w:bidi w:val="0"/>
        <w:spacing w:line="480" w:lineRule="atLeast"/>
        <w:ind w:firstLine="482" w:firstLineChars="200"/>
        <w:textAlignment w:val="center"/>
        <w:rPr>
          <w:b/>
          <w:sz w:val="24"/>
          <w:szCs w:val="24"/>
        </w:rPr>
      </w:pPr>
      <w:r>
        <w:rPr>
          <w:rFonts w:hint="eastAsia"/>
          <w:b/>
          <w:sz w:val="24"/>
          <w:szCs w:val="24"/>
        </w:rPr>
        <w:t>十二、其它约定事项</w:t>
      </w:r>
    </w:p>
    <w:p>
      <w:pPr>
        <w:keepNext w:val="0"/>
        <w:keepLines w:val="0"/>
        <w:pageBreakBefore w:val="0"/>
        <w:kinsoku/>
        <w:wordWrap/>
        <w:overflowPunct/>
        <w:topLinePunct w:val="0"/>
        <w:autoSpaceDE/>
        <w:autoSpaceDN/>
        <w:bidi w:val="0"/>
        <w:spacing w:line="480" w:lineRule="atLeast"/>
        <w:ind w:firstLine="480" w:firstLineChars="200"/>
        <w:textAlignment w:val="center"/>
        <w:rPr>
          <w:rFonts w:ascii="宋体" w:hAnsi="宋体"/>
          <w:sz w:val="24"/>
          <w:szCs w:val="24"/>
        </w:rPr>
      </w:pPr>
      <w:r>
        <w:rPr>
          <w:rFonts w:hint="eastAsia" w:ascii="宋体" w:hAnsi="宋体"/>
          <w:sz w:val="24"/>
          <w:szCs w:val="24"/>
        </w:rPr>
        <w:t>1、在实际供货中，可能会因施工调整、质量等原因对供货数量和时间进行调整，会导致乙方在实际供货中数量发生变化，最终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sz w:val="24"/>
          <w:szCs w:val="24"/>
        </w:rPr>
      </w:pPr>
      <w:r>
        <w:rPr>
          <w:rFonts w:hint="eastAsia" w:ascii="宋体" w:hAnsi="宋体"/>
          <w:sz w:val="24"/>
          <w:szCs w:val="24"/>
        </w:rPr>
        <w:t>2、甲方的</w:t>
      </w:r>
      <w:r>
        <w:rPr>
          <w:rFonts w:hint="eastAsia"/>
          <w:sz w:val="24"/>
          <w:szCs w:val="24"/>
        </w:rPr>
        <w:t>竞争性比选文件</w:t>
      </w:r>
      <w:r>
        <w:rPr>
          <w:rFonts w:hint="eastAsia" w:ascii="宋体" w:hAnsi="宋体"/>
          <w:sz w:val="24"/>
          <w:szCs w:val="24"/>
        </w:rPr>
        <w:t>及乙方的</w:t>
      </w:r>
      <w:r>
        <w:rPr>
          <w:rFonts w:hint="eastAsia" w:ascii="宋体" w:hAnsi="宋体"/>
          <w:sz w:val="24"/>
          <w:szCs w:val="24"/>
          <w:lang w:eastAsia="zh-CN"/>
        </w:rPr>
        <w:t>投标</w:t>
      </w:r>
      <w:r>
        <w:rPr>
          <w:rFonts w:hint="eastAsia" w:ascii="宋体" w:hAnsi="宋体"/>
          <w:sz w:val="24"/>
          <w:szCs w:val="24"/>
        </w:rPr>
        <w:t>文件作为本合同的附件，具有同等法律效力，若有不一致或矛盾之处，以本合同条款为准。</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sz w:val="24"/>
          <w:szCs w:val="24"/>
        </w:rPr>
      </w:pPr>
      <w:r>
        <w:rPr>
          <w:rFonts w:hint="eastAsia" w:ascii="宋体" w:hAnsi="宋体"/>
          <w:sz w:val="24"/>
          <w:szCs w:val="24"/>
        </w:rPr>
        <w:t>3、本合同首部中载明的联系地址为双方工作联系往来、法律文书及争议解决时人民法院或仲裁机构的法律文书送达地址，人民法院或仲裁机构的司法文书（含裁判文书）向任何一方当事人的该等地址或工商登记公示地址（居民身份证登记地址）送达的，视为有效送达。</w:t>
      </w:r>
    </w:p>
    <w:p>
      <w:pPr>
        <w:keepNext w:val="0"/>
        <w:keepLines w:val="0"/>
        <w:pageBreakBefore w:val="0"/>
        <w:kinsoku/>
        <w:wordWrap/>
        <w:overflowPunct/>
        <w:topLinePunct w:val="0"/>
        <w:autoSpaceDE/>
        <w:autoSpaceDN/>
        <w:bidi w:val="0"/>
        <w:spacing w:line="480" w:lineRule="atLeast"/>
        <w:ind w:firstLine="480" w:firstLineChars="200"/>
        <w:textAlignment w:val="center"/>
        <w:rPr>
          <w:sz w:val="24"/>
          <w:szCs w:val="24"/>
        </w:rPr>
      </w:pPr>
      <w:r>
        <w:rPr>
          <w:rFonts w:hint="eastAsia" w:ascii="宋体" w:hAnsi="宋体"/>
          <w:sz w:val="24"/>
          <w:szCs w:val="24"/>
        </w:rPr>
        <w:t>4、若出现重庆高速公路收费站限重等不</w:t>
      </w:r>
      <w:r>
        <w:rPr>
          <w:rFonts w:hint="eastAsia"/>
          <w:sz w:val="24"/>
          <w:szCs w:val="24"/>
        </w:rPr>
        <w:t>可违抗因素，无任何运费调价机制，所有到场的运输费用由乙方自行承当。</w:t>
      </w:r>
    </w:p>
    <w:p>
      <w:pPr>
        <w:keepNext w:val="0"/>
        <w:keepLines w:val="0"/>
        <w:pageBreakBefore w:val="0"/>
        <w:kinsoku/>
        <w:wordWrap/>
        <w:overflowPunct/>
        <w:topLinePunct w:val="0"/>
        <w:autoSpaceDE/>
        <w:autoSpaceDN/>
        <w:bidi w:val="0"/>
        <w:spacing w:line="480" w:lineRule="atLeast"/>
        <w:ind w:firstLine="463" w:firstLineChars="192"/>
        <w:textAlignment w:val="center"/>
        <w:rPr>
          <w:rFonts w:hint="eastAsia"/>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val="en-US" w:eastAsia="zh-CN"/>
        </w:rPr>
        <w:t>三</w:t>
      </w:r>
      <w:r>
        <w:rPr>
          <w:rFonts w:hint="eastAsia"/>
          <w:b/>
          <w:color w:val="auto"/>
          <w:sz w:val="24"/>
          <w:szCs w:val="24"/>
          <w:highlight w:val="none"/>
        </w:rPr>
        <w:t>、本合同有效期</w:t>
      </w:r>
      <w:r>
        <w:rPr>
          <w:rFonts w:hint="eastAsia" w:ascii="宋体" w:hAnsi="宋体"/>
          <w:color w:val="auto"/>
          <w:sz w:val="24"/>
          <w:szCs w:val="24"/>
          <w:highlight w:val="none"/>
        </w:rPr>
        <w:t>：</w:t>
      </w:r>
      <w:r>
        <w:rPr>
          <w:rFonts w:hint="eastAsia" w:ascii="宋体" w:hAnsi="宋体"/>
          <w:b/>
          <w:bCs/>
          <w:sz w:val="24"/>
          <w:szCs w:val="24"/>
          <w:u w:val="single"/>
        </w:rPr>
        <w:t>本</w:t>
      </w:r>
      <w:r>
        <w:rPr>
          <w:rFonts w:hint="eastAsia" w:ascii="宋体" w:hAnsi="宋体" w:cs="宋体"/>
          <w:b/>
          <w:sz w:val="24"/>
          <w:szCs w:val="24"/>
          <w:u w:val="single"/>
        </w:rPr>
        <w:t>合同签订之日起 至 202</w:t>
      </w:r>
      <w:r>
        <w:rPr>
          <w:rFonts w:hint="eastAsia" w:ascii="宋体" w:hAnsi="宋体" w:cs="宋体"/>
          <w:b/>
          <w:sz w:val="24"/>
          <w:szCs w:val="24"/>
          <w:u w:val="single"/>
          <w:lang w:val="en-US" w:eastAsia="zh-CN"/>
        </w:rPr>
        <w:t>3</w:t>
      </w:r>
      <w:r>
        <w:rPr>
          <w:rFonts w:hint="eastAsia" w:ascii="宋体" w:hAnsi="宋体" w:cs="宋体"/>
          <w:b/>
          <w:sz w:val="24"/>
          <w:szCs w:val="24"/>
          <w:u w:val="single"/>
        </w:rPr>
        <w:t>年</w:t>
      </w:r>
      <w:r>
        <w:rPr>
          <w:rFonts w:hint="eastAsia" w:ascii="宋体" w:hAnsi="宋体" w:cs="宋体"/>
          <w:b/>
          <w:sz w:val="24"/>
          <w:szCs w:val="24"/>
          <w:u w:val="single"/>
          <w:lang w:val="en-US" w:eastAsia="zh-CN"/>
        </w:rPr>
        <w:t>9</w:t>
      </w:r>
      <w:r>
        <w:rPr>
          <w:rFonts w:hint="eastAsia" w:ascii="宋体" w:hAnsi="宋体" w:cs="宋体"/>
          <w:b/>
          <w:sz w:val="24"/>
          <w:szCs w:val="24"/>
          <w:u w:val="single"/>
        </w:rPr>
        <w:t>月</w:t>
      </w:r>
      <w:r>
        <w:rPr>
          <w:rFonts w:hint="eastAsia" w:ascii="宋体" w:hAnsi="宋体" w:cs="宋体"/>
          <w:b/>
          <w:sz w:val="24"/>
          <w:szCs w:val="24"/>
          <w:u w:val="single"/>
          <w:lang w:val="en-US" w:eastAsia="zh-CN"/>
        </w:rPr>
        <w:t>3</w:t>
      </w:r>
      <w:r>
        <w:rPr>
          <w:rFonts w:hint="eastAsia" w:ascii="宋体" w:hAnsi="宋体" w:cs="宋体"/>
          <w:b/>
          <w:sz w:val="24"/>
          <w:szCs w:val="24"/>
          <w:u w:val="single"/>
        </w:rPr>
        <w:t>0日</w:t>
      </w:r>
    </w:p>
    <w:p>
      <w:pPr>
        <w:keepNext w:val="0"/>
        <w:keepLines w:val="0"/>
        <w:pageBreakBefore w:val="0"/>
        <w:kinsoku/>
        <w:wordWrap/>
        <w:overflowPunct/>
        <w:topLinePunct w:val="0"/>
        <w:autoSpaceDE/>
        <w:autoSpaceDN/>
        <w:bidi w:val="0"/>
        <w:spacing w:line="480" w:lineRule="atLeast"/>
        <w:ind w:firstLine="482" w:firstLineChars="200"/>
        <w:textAlignment w:val="center"/>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keepNext w:val="0"/>
        <w:keepLines w:val="0"/>
        <w:pageBreakBefore w:val="0"/>
        <w:kinsoku/>
        <w:wordWrap/>
        <w:overflowPunct/>
        <w:topLinePunct w:val="0"/>
        <w:autoSpaceDE/>
        <w:autoSpaceDN/>
        <w:bidi w:val="0"/>
        <w:spacing w:line="480" w:lineRule="atLeast"/>
        <w:ind w:firstLine="472" w:firstLineChars="196"/>
        <w:textAlignment w:val="center"/>
        <w:rPr>
          <w:color w:val="auto"/>
          <w:sz w:val="24"/>
          <w:szCs w:val="24"/>
          <w:highlight w:val="none"/>
        </w:rPr>
      </w:pPr>
      <w:r>
        <w:rPr>
          <w:rFonts w:hint="eastAsia"/>
          <w:b/>
          <w:color w:val="auto"/>
          <w:sz w:val="24"/>
          <w:szCs w:val="24"/>
          <w:highlight w:val="none"/>
        </w:rPr>
        <w:t>十</w:t>
      </w:r>
      <w:r>
        <w:rPr>
          <w:rFonts w:hint="eastAsia"/>
          <w:b/>
          <w:color w:val="auto"/>
          <w:sz w:val="24"/>
          <w:szCs w:val="24"/>
          <w:highlight w:val="none"/>
          <w:lang w:val="en-US" w:eastAsia="zh-CN"/>
        </w:rPr>
        <w:t>五</w:t>
      </w:r>
      <w:r>
        <w:rPr>
          <w:rFonts w:hint="eastAsia"/>
          <w:b/>
          <w:color w:val="auto"/>
          <w:sz w:val="24"/>
          <w:szCs w:val="24"/>
          <w:highlight w:val="none"/>
        </w:rPr>
        <w:t>、合同签订点</w:t>
      </w:r>
      <w:r>
        <w:rPr>
          <w:rFonts w:hint="eastAsia"/>
          <w:color w:val="auto"/>
          <w:sz w:val="24"/>
          <w:szCs w:val="24"/>
          <w:highlight w:val="none"/>
        </w:rPr>
        <w:t>：重庆市沙坪坝区梨高路4号</w:t>
      </w:r>
    </w:p>
    <w:p>
      <w:pPr>
        <w:keepNext w:val="0"/>
        <w:keepLines w:val="0"/>
        <w:pageBreakBefore w:val="0"/>
        <w:kinsoku/>
        <w:wordWrap/>
        <w:overflowPunct/>
        <w:topLinePunct w:val="0"/>
        <w:autoSpaceDE/>
        <w:autoSpaceDN/>
        <w:bidi w:val="0"/>
        <w:spacing w:line="480" w:lineRule="atLeast"/>
        <w:ind w:firstLine="482" w:firstLineChars="200"/>
        <w:textAlignment w:val="center"/>
        <w:rPr>
          <w:rFonts w:hint="eastAsia"/>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keepNext w:val="0"/>
        <w:keepLines w:val="0"/>
        <w:pageBreakBefore w:val="0"/>
        <w:kinsoku/>
        <w:wordWrap/>
        <w:overflowPunct/>
        <w:topLinePunct w:val="0"/>
        <w:autoSpaceDE/>
        <w:autoSpaceDN/>
        <w:bidi w:val="0"/>
        <w:spacing w:line="480" w:lineRule="atLeast"/>
        <w:textAlignment w:val="center"/>
        <w:rPr>
          <w:rFonts w:hint="eastAsia"/>
          <w:color w:val="auto"/>
          <w:highlight w:val="none"/>
        </w:rPr>
      </w:pPr>
      <w:r>
        <w:rPr>
          <w:rFonts w:hint="eastAsia"/>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或授权代表：                             或授权代表：</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部门负责人：                             经办人：</w:t>
      </w:r>
    </w:p>
    <w:p>
      <w:pPr>
        <w:keepNext w:val="0"/>
        <w:keepLines w:val="0"/>
        <w:pageBreakBefore w:val="0"/>
        <w:widowControl w:val="0"/>
        <w:kinsoku/>
        <w:wordWrap/>
        <w:overflowPunct/>
        <w:topLinePunct w:val="0"/>
        <w:autoSpaceDE/>
        <w:autoSpaceDN/>
        <w:bidi w:val="0"/>
        <w:adjustRightInd/>
        <w:snapToGrid/>
        <w:spacing w:line="480" w:lineRule="atLeast"/>
        <w:ind w:left="6000" w:hanging="6000" w:hangingChars="2500"/>
        <w:rPr>
          <w:rFonts w:hint="eastAsia"/>
          <w:sz w:val="24"/>
          <w:szCs w:val="24"/>
        </w:rPr>
      </w:pPr>
      <w:r>
        <w:rPr>
          <w:rFonts w:hint="eastAsia"/>
          <w:sz w:val="24"/>
          <w:szCs w:val="24"/>
        </w:rPr>
        <w:t>经办人：                                 开户银行：</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 xml:space="preserve">                                         账号：</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textAlignment w:val="baseline"/>
        <w:rPr>
          <w:sz w:val="24"/>
        </w:rPr>
      </w:pPr>
      <w:r>
        <w:rPr>
          <w:rFonts w:hint="eastAsia"/>
          <w:sz w:val="24"/>
        </w:rPr>
        <w:t>日期：    年   月    日 　　             日期：    年   月    日</w:t>
      </w:r>
    </w:p>
    <w:p>
      <w:pPr>
        <w:keepLines w:val="0"/>
        <w:pageBreakBefore w:val="0"/>
        <w:kinsoku/>
        <w:wordWrap/>
        <w:overflowPunct/>
        <w:topLinePunct w:val="0"/>
        <w:autoSpaceDE/>
        <w:autoSpaceDN/>
        <w:bidi w:val="0"/>
        <w:spacing w:line="480" w:lineRule="atLeast"/>
        <w:textAlignment w:val="center"/>
        <w:rPr>
          <w:b/>
          <w:color w:val="auto"/>
          <w:sz w:val="28"/>
          <w:szCs w:val="16"/>
          <w:highlight w:val="none"/>
        </w:rPr>
      </w:pPr>
      <w:r>
        <w:rPr>
          <w:rFonts w:hint="eastAsia"/>
          <w:color w:val="auto"/>
          <w:sz w:val="24"/>
          <w:highlight w:val="none"/>
        </w:rPr>
        <w:br w:type="page"/>
      </w:r>
      <w:r>
        <w:rPr>
          <w:rFonts w:hint="eastAsia"/>
          <w:b/>
          <w:color w:val="auto"/>
          <w:sz w:val="28"/>
          <w:szCs w:val="16"/>
          <w:highlight w:val="none"/>
        </w:rPr>
        <w:t>附件一</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b/>
          <w:color w:val="auto"/>
          <w:sz w:val="32"/>
          <w:szCs w:val="32"/>
          <w:highlight w:val="none"/>
        </w:rPr>
      </w:pPr>
      <w:r>
        <w:rPr>
          <w:rFonts w:hint="eastAsia"/>
          <w:b/>
          <w:color w:val="auto"/>
          <w:sz w:val="32"/>
          <w:szCs w:val="32"/>
          <w:highlight w:val="non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eastAsia="宋体"/>
          <w:b/>
          <w:bCs/>
          <w:color w:val="auto"/>
          <w:sz w:val="32"/>
          <w:szCs w:val="32"/>
          <w:highlight w:val="none"/>
          <w:lang w:val="en-US" w:eastAsia="zh-CN"/>
        </w:rPr>
      </w:pPr>
      <w:r>
        <w:rPr>
          <w:rFonts w:hint="eastAsia"/>
          <w:b/>
          <w:bCs/>
          <w:color w:val="auto"/>
          <w:sz w:val="32"/>
          <w:szCs w:val="32"/>
          <w:highlight w:val="none"/>
          <w:lang w:eastAsia="zh-CN"/>
        </w:rPr>
        <w:t>重庆渝蓉高速公路大足石刻服务区项目</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不锈钢造型内发光标志牌</w:t>
      </w:r>
      <w:r>
        <w:rPr>
          <w:rFonts w:hint="eastAsia"/>
          <w:b/>
          <w:color w:val="auto"/>
          <w:sz w:val="32"/>
          <w:szCs w:val="32"/>
          <w:highlight w:val="none"/>
        </w:rPr>
        <w:t>采购</w:t>
      </w:r>
      <w:r>
        <w:rPr>
          <w:rFonts w:hint="eastAsia"/>
          <w:b/>
          <w:color w:val="auto"/>
          <w:sz w:val="32"/>
          <w:szCs w:val="32"/>
          <w:highlight w:val="none"/>
          <w:lang w:val="en-US" w:eastAsia="zh-CN"/>
        </w:rPr>
        <w:t>合同</w:t>
      </w:r>
      <w:r>
        <w:rPr>
          <w:rFonts w:hint="eastAsia"/>
          <w:b/>
          <w:color w:val="auto"/>
          <w:sz w:val="32"/>
          <w:szCs w:val="32"/>
          <w:highlight w:val="none"/>
        </w:rPr>
        <w:t>之廉政合同</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color w:val="auto"/>
          <w:sz w:val="24"/>
          <w:highlight w:val="none"/>
        </w:rPr>
      </w:pPr>
      <w:r>
        <w:rPr>
          <w:rFonts w:hint="eastAsia"/>
          <w:color w:val="auto"/>
          <w:sz w:val="24"/>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color w:val="auto"/>
          <w:sz w:val="24"/>
          <w:highlight w:val="none"/>
          <w:u w:val="single"/>
        </w:rPr>
        <w:t>重庆通力高速公路养护工程有限公司</w:t>
      </w:r>
      <w:r>
        <w:rPr>
          <w:rFonts w:hint="eastAsia"/>
          <w:color w:val="auto"/>
          <w:sz w:val="24"/>
          <w:highlight w:val="none"/>
        </w:rPr>
        <w:t>（以下称甲方）与</w:t>
      </w:r>
      <w:r>
        <w:rPr>
          <w:rFonts w:hint="eastAsia"/>
          <w:color w:val="auto"/>
          <w:sz w:val="24"/>
          <w:highlight w:val="none"/>
          <w:u w:val="single"/>
        </w:rPr>
        <w:t xml:space="preserve">                   </w:t>
      </w:r>
      <w:r>
        <w:rPr>
          <w:rFonts w:hint="eastAsia"/>
          <w:color w:val="auto"/>
          <w:sz w:val="24"/>
          <w:highlight w:val="none"/>
        </w:rPr>
        <w:t xml:space="preserve">（以下称乙方），特订立如下合同。   </w:t>
      </w:r>
    </w:p>
    <w:p>
      <w:pPr>
        <w:keepLines w:val="0"/>
        <w:pageBreakBefore w:val="0"/>
        <w:kinsoku/>
        <w:wordWrap/>
        <w:overflowPunct/>
        <w:topLinePunct w:val="0"/>
        <w:autoSpaceDE/>
        <w:autoSpaceDN/>
        <w:bidi w:val="0"/>
        <w:adjustRightInd w:val="0"/>
        <w:snapToGrid w:val="0"/>
        <w:spacing w:line="480" w:lineRule="atLeast"/>
        <w:ind w:firstLine="482" w:firstLineChars="200"/>
        <w:textAlignment w:val="center"/>
        <w:rPr>
          <w:color w:val="auto"/>
          <w:sz w:val="24"/>
          <w:highlight w:val="none"/>
        </w:rPr>
      </w:pPr>
      <w:r>
        <w:rPr>
          <w:rFonts w:hint="eastAsia"/>
          <w:b/>
          <w:color w:val="auto"/>
          <w:sz w:val="24"/>
          <w:highlight w:val="none"/>
        </w:rPr>
        <w:t>一、甲乙双方的权利和义务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1、严格遵守党和国家有关法律法规及交通部的有关规定。</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2、严格执行</w:t>
      </w:r>
      <w:r>
        <w:rPr>
          <w:rFonts w:hint="eastAsia"/>
          <w:b/>
          <w:bCs/>
          <w:color w:val="auto"/>
          <w:sz w:val="24"/>
          <w:highlight w:val="none"/>
        </w:rPr>
        <w:t>《</w:t>
      </w:r>
      <w:r>
        <w:rPr>
          <w:rFonts w:hint="eastAsia"/>
          <w:b/>
          <w:bCs/>
          <w:color w:val="auto"/>
          <w:sz w:val="24"/>
          <w:szCs w:val="24"/>
          <w:highlight w:val="none"/>
          <w:lang w:eastAsia="zh-CN"/>
        </w:rPr>
        <w:t>重庆渝蓉高速公路大足石刻服务区项目</w:t>
      </w:r>
      <w:r>
        <w:rPr>
          <w:rFonts w:hint="eastAsia"/>
          <w:b/>
          <w:bCs/>
          <w:color w:val="auto"/>
          <w:sz w:val="24"/>
          <w:highlight w:val="none"/>
          <w:lang w:eastAsia="zh-CN"/>
        </w:rPr>
        <w:t>不锈钢造型内发光标志牌</w:t>
      </w:r>
      <w:r>
        <w:rPr>
          <w:rFonts w:hint="eastAsia"/>
          <w:b/>
          <w:bCs/>
          <w:color w:val="auto"/>
          <w:sz w:val="24"/>
          <w:highlight w:val="none"/>
        </w:rPr>
        <w:t>采购合同》</w:t>
      </w:r>
      <w:r>
        <w:rPr>
          <w:rFonts w:hint="eastAsia"/>
          <w:color w:val="auto"/>
          <w:sz w:val="24"/>
          <w:highlight w:val="none"/>
        </w:rPr>
        <w:t>的相关条款，自觉按合同办事。</w:t>
      </w:r>
    </w:p>
    <w:p>
      <w:pPr>
        <w:pStyle w:val="9"/>
        <w:keepLines w:val="0"/>
        <w:pageBreakBefore w:val="0"/>
        <w:kinsoku/>
        <w:wordWrap/>
        <w:overflowPunct/>
        <w:topLinePunct w:val="0"/>
        <w:autoSpaceDE/>
        <w:autoSpaceDN/>
        <w:bidi w:val="0"/>
        <w:spacing w:line="480" w:lineRule="atLeast"/>
        <w:ind w:left="0" w:firstLine="480" w:firstLineChars="200"/>
        <w:textAlignment w:val="center"/>
        <w:rPr>
          <w:rFonts w:ascii="宋体"/>
          <w:color w:val="auto"/>
          <w:sz w:val="24"/>
          <w:szCs w:val="24"/>
          <w:highlight w:val="none"/>
        </w:rPr>
      </w:pPr>
      <w:r>
        <w:rPr>
          <w:rFonts w:hint="eastAsia" w:ascii="宋体"/>
          <w:color w:val="auto"/>
          <w:sz w:val="24"/>
          <w:szCs w:val="24"/>
          <w:highlight w:val="none"/>
        </w:rPr>
        <w:t>3</w:t>
      </w:r>
      <w:r>
        <w:rPr>
          <w:rFonts w:hint="eastAsia"/>
          <w:color w:val="auto"/>
          <w:sz w:val="24"/>
          <w:highlight w:val="none"/>
        </w:rPr>
        <w:t>、</w:t>
      </w:r>
      <w:r>
        <w:rPr>
          <w:color w:val="auto"/>
          <w:sz w:val="24"/>
          <w:highlight w:val="none"/>
        </w:rPr>
        <w:t>双方的业务活动坚持公开、公正、诚信、透明的原则（除法律认定的商业秘密和合同文件另有规定之外），不得损害国家和集体利益，违反工程建设管理规章制度。</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4、建立健全廉政制度，开展廉政教育，设立廉政告示牌，公布举报电话，监督并认真查处违法违纪行为。</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5、发现对方在业务活动中有违反廉政规定的行为，有及时提醒对方纠正的权利和义务。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6、发现对方严重违反本合同义务条款的行为，有向其上级有关部门举报、建议给予处理并要求告知处理结果的权利。</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二、甲方义务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1、甲方及其工作人员不得索要或接受乙方的礼金、有价证券和贵重要物品，不得在乙方报销任何应由甲方或个人支付的费用等。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2、甲方工作人员不得参加乙方安排的宴请或可能影响公正的其他宴请和娱乐活动。不得接受乙方提供的通讯工具、交通工具和高档办公用品等。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3、甲方及其工作人员不得要求或者接受乙方为其住房装修、婚丧嫁娶活动、配偶子女的工作安排以及出国出境、旅游等提供方便等。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4、甲方工作人员的配偶、子女不得从事与甲方工程有关的材料设备供应、工程分包、劳务等经济活动等。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5、甲方及其工作人员不得以任何理由向乙方推荐分包单位，不得要求乙方购买合同规定外的材料和设备。</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三、乙方义务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1、乙方不得以任何理由向甲方及其工作人员行贿或馈赠礼金、有价证券、贵重礼品。</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2、乙方不得以任何名义为甲方及其工作人员报销应由甲方单位或个人支付的任何费用。</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3、乙方不得以任何理由邀请甲方工作人员外出旅游或安排甲方工作人员参加宴请及娱乐活动。</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4、乙方不得为甲方单位和个人购置或提供通讯工具、交通工具和高档办公用品等。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5、乙方及其工作人员应严格按规程办事，不得为谋取私利向工作人员非法行贿，私下串通，损害甲方利益。同时依法履行向甲方承诺的上述其他廉政义务。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四、违约责任</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五、双方约定</w:t>
      </w:r>
    </w:p>
    <w:p>
      <w:pPr>
        <w:keepLines w:val="0"/>
        <w:pageBreakBefore w:val="0"/>
        <w:kinsoku/>
        <w:wordWrap/>
        <w:overflowPunct/>
        <w:topLinePunct w:val="0"/>
        <w:autoSpaceDE/>
        <w:autoSpaceDN/>
        <w:bidi w:val="0"/>
        <w:spacing w:line="480" w:lineRule="atLeast"/>
        <w:ind w:firstLine="480" w:firstLineChars="200"/>
        <w:textAlignment w:val="center"/>
        <w:rPr>
          <w:rFonts w:hint="eastAsia"/>
          <w:color w:val="auto"/>
          <w:sz w:val="24"/>
          <w:highlight w:val="none"/>
        </w:rPr>
      </w:pPr>
      <w:r>
        <w:rPr>
          <w:rFonts w:hint="eastAsia"/>
          <w:color w:val="auto"/>
          <w:sz w:val="24"/>
          <w:highlight w:val="none"/>
        </w:rPr>
        <w:t>本合同由双方或双方上级单位的纪检监察部门负责监督执行。双方应配合相关部门对合同履行情况进行检查。</w:t>
      </w:r>
    </w:p>
    <w:p>
      <w:pPr>
        <w:keepLines w:val="0"/>
        <w:pageBreakBefore w:val="0"/>
        <w:kinsoku/>
        <w:wordWrap/>
        <w:overflowPunct/>
        <w:topLinePunct w:val="0"/>
        <w:autoSpaceDE/>
        <w:autoSpaceDN/>
        <w:bidi w:val="0"/>
        <w:spacing w:line="480" w:lineRule="atLeast"/>
        <w:ind w:firstLine="472" w:firstLineChars="196"/>
        <w:textAlignment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六、反商业贿赂条款</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1、各方都清楚并愿意严格遵守中华人民共和国反商业贿赂的法律规定，各方都清楚任何形式的贿赂和贪渎行为都将触犯法律，并将受到法律的严惩。</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3、各方严格禁止其经办人员的任何商业贿赂行为。各方经办人发生本条第2款所列示的任何一种行为，都是违反各方公司制度的，都将受到各方制度和国家法律的惩处。</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4、各方郑重提示：各方反对各方或各方的经办人员为了本合同之目的与本合同以外的任何第各方发生本条款第（二）款所列示的任何一种行为，该等行为都是违反国家法律的行为，并将受到国家法律的惩处。</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5、如因一方或一方经办人违反上述第（二）款、第（三）款、第（四）款之规定，给其他方造成损失的，应承担损害赔偿责任。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6、本条所称“其他相关人员”是指各方经办人以外的与合同有直接或间接利益关系的人员，包括但不仅限于合同经办人的亲友。”  </w:t>
      </w:r>
    </w:p>
    <w:p>
      <w:pPr>
        <w:keepLines w:val="0"/>
        <w:pageBreakBefore w:val="0"/>
        <w:kinsoku/>
        <w:wordWrap/>
        <w:overflowPunct/>
        <w:topLinePunct w:val="0"/>
        <w:autoSpaceDE/>
        <w:autoSpaceDN/>
        <w:bidi w:val="0"/>
        <w:spacing w:line="480" w:lineRule="atLeast"/>
        <w:ind w:firstLine="472" w:firstLineChars="196"/>
        <w:textAlignment w:val="center"/>
        <w:rPr>
          <w:color w:val="auto"/>
          <w:sz w:val="24"/>
          <w:highlight w:val="none"/>
        </w:rPr>
      </w:pPr>
      <w:r>
        <w:rPr>
          <w:rFonts w:hint="eastAsia"/>
          <w:b/>
          <w:color w:val="auto"/>
          <w:sz w:val="24"/>
          <w:highlight w:val="none"/>
        </w:rPr>
        <w:t>七、</w:t>
      </w:r>
      <w:r>
        <w:rPr>
          <w:rFonts w:hint="eastAsia"/>
          <w:color w:val="auto"/>
          <w:sz w:val="24"/>
          <w:highlight w:val="none"/>
        </w:rPr>
        <w:t>本本合同有效期为甲乙双方签署之日起至双方办理完结算时为止。</w:t>
      </w:r>
    </w:p>
    <w:p>
      <w:pPr>
        <w:keepLines w:val="0"/>
        <w:pageBreakBefore w:val="0"/>
        <w:kinsoku/>
        <w:wordWrap/>
        <w:overflowPunct/>
        <w:topLinePunct w:val="0"/>
        <w:autoSpaceDE/>
        <w:autoSpaceDN/>
        <w:bidi w:val="0"/>
        <w:spacing w:line="480" w:lineRule="atLeast"/>
        <w:ind w:firstLine="472" w:firstLineChars="196"/>
        <w:textAlignment w:val="center"/>
        <w:rPr>
          <w:color w:val="auto"/>
          <w:sz w:val="24"/>
          <w:highlight w:val="none"/>
        </w:rPr>
      </w:pPr>
      <w:r>
        <w:rPr>
          <w:rFonts w:hint="eastAsia"/>
          <w:b/>
          <w:color w:val="auto"/>
          <w:sz w:val="24"/>
          <w:highlight w:val="none"/>
        </w:rPr>
        <w:t>八、</w:t>
      </w:r>
      <w:r>
        <w:rPr>
          <w:rFonts w:hint="eastAsia"/>
          <w:color w:val="auto"/>
          <w:sz w:val="24"/>
          <w:highlight w:val="none"/>
        </w:rPr>
        <w:t>本合同作为</w:t>
      </w:r>
      <w:r>
        <w:rPr>
          <w:rFonts w:hint="eastAsia"/>
          <w:b/>
          <w:bCs/>
          <w:color w:val="auto"/>
          <w:sz w:val="24"/>
          <w:highlight w:val="none"/>
        </w:rPr>
        <w:t>《</w:t>
      </w:r>
      <w:r>
        <w:rPr>
          <w:rFonts w:hint="eastAsia"/>
          <w:b/>
          <w:bCs/>
          <w:color w:val="auto"/>
          <w:sz w:val="24"/>
          <w:szCs w:val="24"/>
          <w:highlight w:val="none"/>
          <w:lang w:eastAsia="zh-CN"/>
        </w:rPr>
        <w:t>重庆渝蓉高速公路大足石刻服务区项目</w:t>
      </w:r>
      <w:r>
        <w:rPr>
          <w:rFonts w:hint="eastAsia"/>
          <w:b/>
          <w:bCs/>
          <w:color w:val="auto"/>
          <w:sz w:val="24"/>
          <w:highlight w:val="none"/>
          <w:lang w:eastAsia="zh-CN"/>
        </w:rPr>
        <w:t>不锈钢造型内发光标志牌</w:t>
      </w:r>
      <w:r>
        <w:rPr>
          <w:rFonts w:hint="eastAsia"/>
          <w:b/>
          <w:bCs/>
          <w:color w:val="auto"/>
          <w:sz w:val="24"/>
          <w:highlight w:val="none"/>
        </w:rPr>
        <w:t>采购合同》</w:t>
      </w:r>
      <w:r>
        <w:rPr>
          <w:rFonts w:hint="eastAsia"/>
          <w:color w:val="auto"/>
          <w:sz w:val="24"/>
          <w:highlight w:val="none"/>
        </w:rPr>
        <w:t>的附件，</w:t>
      </w:r>
      <w:r>
        <w:rPr>
          <w:rFonts w:hint="eastAsia"/>
          <w:color w:val="auto"/>
          <w:sz w:val="24"/>
          <w:highlight w:val="none"/>
          <w:lang w:val="en-US" w:eastAsia="zh-CN"/>
        </w:rPr>
        <w:t>与其</w:t>
      </w:r>
      <w:r>
        <w:rPr>
          <w:rFonts w:hint="eastAsia"/>
          <w:color w:val="auto"/>
          <w:sz w:val="24"/>
          <w:highlight w:val="none"/>
        </w:rPr>
        <w:t>具有同等的法律效力，经合同双方签署立即生效。</w:t>
      </w:r>
    </w:p>
    <w:p>
      <w:pPr>
        <w:keepLines w:val="0"/>
        <w:pageBreakBefore w:val="0"/>
        <w:kinsoku/>
        <w:wordWrap/>
        <w:overflowPunct/>
        <w:topLinePunct w:val="0"/>
        <w:autoSpaceDE/>
        <w:autoSpaceDN/>
        <w:bidi w:val="0"/>
        <w:spacing w:line="480" w:lineRule="atLeast"/>
        <w:ind w:firstLine="472" w:firstLineChars="196"/>
        <w:textAlignment w:val="center"/>
        <w:rPr>
          <w:rFonts w:hint="eastAsia" w:ascii="宋体" w:hAnsi="宋体"/>
          <w:color w:val="auto"/>
          <w:sz w:val="24"/>
          <w:highlight w:val="none"/>
        </w:rPr>
      </w:pPr>
      <w:r>
        <w:rPr>
          <w:rFonts w:hint="eastAsia"/>
          <w:b/>
          <w:color w:val="auto"/>
          <w:sz w:val="24"/>
          <w:highlight w:val="none"/>
          <w:lang w:val="en-US" w:eastAsia="zh-CN"/>
        </w:rPr>
        <w:t>九</w:t>
      </w:r>
      <w:r>
        <w:rPr>
          <w:rFonts w:hint="eastAsia"/>
          <w:b/>
          <w:color w:val="auto"/>
          <w:sz w:val="24"/>
          <w:highlight w:val="none"/>
        </w:rPr>
        <w:t>、</w:t>
      </w:r>
      <w:r>
        <w:rPr>
          <w:rFonts w:hint="eastAsia" w:ascii="宋体"/>
          <w:color w:val="auto"/>
          <w:sz w:val="24"/>
          <w:highlight w:val="none"/>
        </w:rPr>
        <w:t>本合同一式</w:t>
      </w:r>
      <w:r>
        <w:rPr>
          <w:rFonts w:hint="eastAsia" w:ascii="宋体"/>
          <w:b/>
          <w:color w:val="auto"/>
          <w:sz w:val="24"/>
          <w:highlight w:val="none"/>
          <w:u w:val="single"/>
        </w:rPr>
        <w:t>陆</w:t>
      </w:r>
      <w:r>
        <w:rPr>
          <w:rFonts w:hint="eastAsia" w:ascii="宋体"/>
          <w:color w:val="auto"/>
          <w:sz w:val="24"/>
          <w:highlight w:val="none"/>
        </w:rPr>
        <w:t>份，甲方执</w:t>
      </w:r>
      <w:r>
        <w:rPr>
          <w:rFonts w:hint="eastAsia" w:ascii="宋体"/>
          <w:b/>
          <w:color w:val="auto"/>
          <w:sz w:val="24"/>
          <w:highlight w:val="none"/>
          <w:u w:val="single"/>
        </w:rPr>
        <w:t>肆</w:t>
      </w:r>
      <w:r>
        <w:rPr>
          <w:rFonts w:hint="eastAsia" w:ascii="宋体"/>
          <w:color w:val="auto"/>
          <w:sz w:val="24"/>
          <w:highlight w:val="none"/>
        </w:rPr>
        <w:t>份，乙方执</w:t>
      </w:r>
      <w:r>
        <w:rPr>
          <w:rFonts w:hint="eastAsia" w:ascii="宋体"/>
          <w:b/>
          <w:color w:val="auto"/>
          <w:sz w:val="24"/>
          <w:highlight w:val="none"/>
          <w:u w:val="single"/>
        </w:rPr>
        <w:t>贰</w:t>
      </w:r>
      <w:r>
        <w:rPr>
          <w:rFonts w:hint="eastAsia" w:ascii="宋体"/>
          <w:color w:val="auto"/>
          <w:sz w:val="24"/>
          <w:highlight w:val="none"/>
        </w:rPr>
        <w:t>份；具有同等法律效力；自双方签字并盖章后生效，甲乙双方</w:t>
      </w:r>
      <w:r>
        <w:rPr>
          <w:rFonts w:hint="eastAsia" w:ascii="宋体" w:hAnsi="宋体"/>
          <w:color w:val="auto"/>
          <w:sz w:val="24"/>
          <w:highlight w:val="none"/>
        </w:rPr>
        <w:t>履行合同全部义务、结算价款支付完毕后，本合同即告终止。</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甲方：（盖章）                          乙方：（盖章）</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color w:val="auto"/>
          <w:sz w:val="24"/>
          <w:szCs w:val="24"/>
          <w:highlight w:val="none"/>
        </w:rPr>
        <w:t xml:space="preserve">重庆通力高速公路养护工程有限公司       </w:t>
      </w: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法定代表人                             法定代表人</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ascii="宋体" w:hAnsi="宋体"/>
          <w:color w:val="auto"/>
          <w:sz w:val="24"/>
          <w:highlight w:val="none"/>
        </w:rPr>
        <w:t>或授权代表：                           或授权代表：</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r>
        <w:rPr>
          <w:rFonts w:hint="eastAsia" w:ascii="宋体" w:hAnsi="宋体"/>
          <w:color w:val="auto"/>
          <w:sz w:val="24"/>
          <w:highlight w:val="none"/>
        </w:rPr>
        <w:t>部门负责人：</w:t>
      </w:r>
    </w:p>
    <w:p>
      <w:pPr>
        <w:keepLines w:val="0"/>
        <w:pageBreakBefore w:val="0"/>
        <w:widowControl/>
        <w:kinsoku/>
        <w:wordWrap/>
        <w:overflowPunct/>
        <w:topLinePunct w:val="0"/>
        <w:autoSpaceDE/>
        <w:autoSpaceDN/>
        <w:bidi w:val="0"/>
        <w:spacing w:line="480" w:lineRule="atLeast"/>
        <w:ind w:left="259" w:leftChars="9" w:hanging="240" w:hangingChars="100"/>
        <w:jc w:val="left"/>
        <w:textAlignment w:val="center"/>
        <w:rPr>
          <w:rFonts w:ascii="宋体" w:hAnsi="宋体"/>
          <w:color w:val="auto"/>
          <w:sz w:val="24"/>
          <w:highlight w:val="none"/>
        </w:rPr>
      </w:pPr>
      <w:r>
        <w:rPr>
          <w:rFonts w:hint="eastAsia" w:ascii="宋体" w:hAnsi="宋体"/>
          <w:color w:val="auto"/>
          <w:sz w:val="24"/>
          <w:highlight w:val="none"/>
        </w:rPr>
        <w:t>经办人：                               经办人：</w:t>
      </w:r>
    </w:p>
    <w:p>
      <w:pPr>
        <w:keepLines w:val="0"/>
        <w:pageBreakBefore w:val="0"/>
        <w:widowControl/>
        <w:kinsoku/>
        <w:wordWrap/>
        <w:overflowPunct/>
        <w:topLinePunct w:val="0"/>
        <w:autoSpaceDE/>
        <w:autoSpaceDN/>
        <w:bidi w:val="0"/>
        <w:spacing w:line="480" w:lineRule="atLeast"/>
        <w:jc w:val="left"/>
        <w:textAlignment w:val="center"/>
        <w:rPr>
          <w:rFonts w:hint="eastAsia" w:ascii="宋体" w:hAnsi="宋体" w:eastAsia="宋体" w:cs="宋体"/>
          <w:b/>
          <w:color w:val="auto"/>
          <w:sz w:val="36"/>
          <w:highlight w:val="none"/>
          <w:lang w:val="en-US" w:eastAsia="zh-CN"/>
        </w:rPr>
      </w:pPr>
      <w:r>
        <w:rPr>
          <w:rFonts w:hint="eastAsia"/>
          <w:color w:val="auto"/>
          <w:sz w:val="24"/>
          <w:highlight w:val="none"/>
        </w:rPr>
        <w:t xml:space="preserve">签约时间：    年   月   日             签约时间：    年   月   </w:t>
      </w:r>
      <w:r>
        <w:rPr>
          <w:rFonts w:hint="eastAsia"/>
          <w:color w:val="auto"/>
          <w:sz w:val="24"/>
          <w:highlight w:val="none"/>
          <w:lang w:val="en-US" w:eastAsia="zh-CN"/>
        </w:rPr>
        <w:t>日</w:t>
      </w:r>
    </w:p>
    <w:p>
      <w:pPr>
        <w:jc w:val="center"/>
        <w:rPr>
          <w:rFonts w:hint="eastAsia" w:ascii="宋体" w:hAnsi="宋体" w:cs="宋体"/>
          <w:b/>
          <w:color w:val="auto"/>
          <w:sz w:val="36"/>
          <w:highlight w:val="none"/>
        </w:rPr>
      </w:pPr>
    </w:p>
    <w:p>
      <w:pPr>
        <w:jc w:val="center"/>
        <w:rPr>
          <w:rFonts w:hint="eastAsia" w:ascii="宋体" w:hAnsi="宋体" w:cs="宋体"/>
          <w:b/>
          <w:color w:val="auto"/>
          <w:sz w:val="36"/>
          <w:highlight w:val="none"/>
        </w:rPr>
      </w:pPr>
      <w:r>
        <w:rPr>
          <w:rFonts w:hint="eastAsia" w:ascii="宋体" w:hAnsi="宋体" w:cs="宋体"/>
          <w:b/>
          <w:color w:val="auto"/>
          <w:sz w:val="36"/>
          <w:highlight w:val="none"/>
        </w:rPr>
        <w:br w:type="page"/>
      </w: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u w:val="single"/>
        </w:rPr>
      </w:pPr>
      <w:r>
        <w:rPr>
          <w:rFonts w:hint="eastAsia" w:ascii="宋体" w:hAnsi="宋体" w:cs="宋体"/>
          <w:b/>
          <w:color w:val="auto"/>
          <w:sz w:val="40"/>
          <w:szCs w:val="44"/>
          <w:highlight w:val="none"/>
          <w:u w:val="single"/>
        </w:rPr>
        <w:t>重庆通力高速公路养护工程有限公司</w:t>
      </w:r>
    </w:p>
    <w:p>
      <w:pPr>
        <w:jc w:val="center"/>
        <w:rPr>
          <w:rFonts w:hint="eastAsia" w:ascii="宋体" w:hAnsi="宋体" w:cs="宋体"/>
          <w:b/>
          <w:color w:val="auto"/>
          <w:sz w:val="40"/>
          <w:szCs w:val="44"/>
          <w:highlight w:val="none"/>
          <w:u w:val="single"/>
          <w:lang w:val="en-US" w:eastAsia="zh-CN"/>
        </w:rPr>
      </w:pPr>
      <w:r>
        <w:rPr>
          <w:rFonts w:hint="eastAsia" w:ascii="宋体" w:hAnsi="宋体" w:cs="宋体"/>
          <w:b/>
          <w:color w:val="auto"/>
          <w:sz w:val="40"/>
          <w:szCs w:val="44"/>
          <w:highlight w:val="none"/>
          <w:u w:val="single"/>
          <w:lang w:val="en-US" w:eastAsia="zh-CN"/>
        </w:rPr>
        <w:t>重庆渝蓉高速公路大足石刻服务区项目</w:t>
      </w:r>
    </w:p>
    <w:p>
      <w:pPr>
        <w:jc w:val="center"/>
        <w:rPr>
          <w:rFonts w:hint="eastAsia" w:ascii="宋体" w:hAnsi="宋体" w:cs="宋体"/>
          <w:b/>
          <w:color w:val="auto"/>
          <w:sz w:val="40"/>
          <w:szCs w:val="40"/>
          <w:highlight w:val="none"/>
        </w:rPr>
      </w:pPr>
      <w:r>
        <w:rPr>
          <w:rFonts w:hint="eastAsia" w:ascii="宋体" w:hAnsi="宋体" w:cs="宋体"/>
          <w:b/>
          <w:color w:val="auto"/>
          <w:sz w:val="40"/>
          <w:szCs w:val="44"/>
          <w:highlight w:val="none"/>
          <w:u w:val="single"/>
          <w:lang w:eastAsia="zh-CN"/>
        </w:rPr>
        <w:t>不锈钢造型内发光标志牌</w:t>
      </w:r>
      <w:r>
        <w:rPr>
          <w:rFonts w:hint="eastAsia" w:ascii="宋体" w:hAnsi="宋体" w:cs="宋体"/>
          <w:b/>
          <w:color w:val="auto"/>
          <w:sz w:val="40"/>
          <w:szCs w:val="44"/>
          <w:highlight w:val="none"/>
          <w:u w:val="single"/>
        </w:rPr>
        <w:t>采购</w:t>
      </w:r>
      <w:r>
        <w:rPr>
          <w:rFonts w:hint="eastAsia" w:ascii="宋体" w:hAnsi="宋体" w:cs="宋体"/>
          <w:b/>
          <w:color w:val="auto"/>
          <w:sz w:val="40"/>
          <w:szCs w:val="40"/>
          <w:highlight w:val="none"/>
          <w:u w:val="single"/>
          <w:lang w:eastAsia="zh-CN"/>
        </w:rPr>
        <w:t>投标</w:t>
      </w:r>
      <w:r>
        <w:rPr>
          <w:rFonts w:hint="eastAsia" w:ascii="宋体" w:hAnsi="宋体" w:cs="宋体"/>
          <w:b/>
          <w:color w:val="auto"/>
          <w:sz w:val="40"/>
          <w:szCs w:val="40"/>
          <w:highlight w:val="none"/>
          <w:u w:val="single"/>
        </w:rPr>
        <w:t>文件</w:t>
      </w:r>
    </w:p>
    <w:p>
      <w:pPr>
        <w:jc w:val="center"/>
        <w:rPr>
          <w:rFonts w:hint="eastAsia" w:ascii="宋体" w:hAnsi="宋体" w:cs="宋体"/>
          <w:color w:val="auto"/>
          <w:sz w:val="32"/>
          <w:szCs w:val="32"/>
          <w:highlight w:val="none"/>
        </w:rPr>
      </w:pPr>
    </w:p>
    <w:p>
      <w:pPr>
        <w:pStyle w:val="4"/>
        <w:ind w:firstLine="157"/>
        <w:rPr>
          <w:rFonts w:hint="eastAsia"/>
          <w:color w:val="auto"/>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投标</w:t>
      </w:r>
      <w:r>
        <w:rPr>
          <w:rFonts w:hint="eastAsia" w:ascii="宋体" w:hAnsi="宋体" w:cs="宋体"/>
          <w:color w:val="auto"/>
          <w:sz w:val="32"/>
          <w:szCs w:val="32"/>
          <w:highlight w:val="none"/>
          <w:u w:val="single"/>
        </w:rPr>
        <w:t>单位名称全称（盖单位公章）</w:t>
      </w:r>
    </w:p>
    <w:p>
      <w:pPr>
        <w:pStyle w:val="38"/>
        <w:rPr>
          <w:rFonts w:hint="eastAsia"/>
          <w:color w:val="auto"/>
          <w:highlight w:val="none"/>
        </w:rPr>
      </w:pPr>
    </w:p>
    <w:p>
      <w:pPr>
        <w:jc w:val="both"/>
        <w:outlineLvl w:val="2"/>
        <w:rPr>
          <w:rFonts w:hint="eastAsia" w:ascii="宋体" w:hAnsi="宋体" w:cs="宋体"/>
          <w:b/>
          <w:color w:val="auto"/>
          <w:sz w:val="28"/>
          <w:szCs w:val="28"/>
          <w:highlight w:val="none"/>
        </w:rPr>
      </w:pPr>
      <w:bookmarkStart w:id="32" w:name="_Toc265510122"/>
    </w:p>
    <w:p>
      <w:pPr>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b/>
          <w:bCs/>
          <w:color w:val="auto"/>
          <w:szCs w:val="21"/>
          <w:highlight w:val="none"/>
          <w:u w:val="single"/>
        </w:rPr>
        <w:t>重庆通力高速公路养护工程有限公司</w:t>
      </w:r>
      <w:r>
        <w:rPr>
          <w:rFonts w:hint="eastAsia"/>
          <w:b/>
          <w:bCs/>
          <w:color w:val="auto"/>
          <w:sz w:val="21"/>
          <w:szCs w:val="21"/>
          <w:highlight w:val="none"/>
          <w:u w:val="single"/>
          <w:lang w:eastAsia="zh-CN"/>
        </w:rPr>
        <w:t>重庆渝蓉高速公路大足石刻服务区项目</w:t>
      </w:r>
      <w:r>
        <w:rPr>
          <w:rFonts w:hint="eastAsia"/>
          <w:b/>
          <w:bCs/>
          <w:color w:val="auto"/>
          <w:szCs w:val="21"/>
          <w:highlight w:val="none"/>
          <w:u w:val="single"/>
          <w:lang w:eastAsia="zh-CN"/>
        </w:rPr>
        <w:t>不锈钢造型内发光标志牌</w:t>
      </w:r>
      <w:r>
        <w:rPr>
          <w:rFonts w:hint="eastAsia"/>
          <w:b/>
          <w:bCs/>
          <w:color w:val="auto"/>
          <w:szCs w:val="21"/>
          <w:highlight w:val="none"/>
          <w:u w:val="single"/>
        </w:rPr>
        <w:t>采购</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根据相关取费标准，愿意以</w:t>
      </w:r>
      <w:r>
        <w:rPr>
          <w:rFonts w:hint="eastAsia"/>
          <w:color w:val="auto"/>
          <w:szCs w:val="21"/>
          <w:highlight w:val="none"/>
          <w:lang w:val="en-US" w:eastAsia="zh-CN"/>
        </w:rPr>
        <w:t>总报价</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）参与竞价，并按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投标</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rPr>
        <w:t>竞</w:t>
      </w:r>
      <w:r>
        <w:rPr>
          <w:color w:val="auto"/>
          <w:szCs w:val="21"/>
          <w:highlight w:val="none"/>
        </w:rPr>
        <w:t xml:space="preserve"> 标 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38"/>
        <w:rPr>
          <w:rFonts w:hint="eastAsia"/>
          <w:color w:val="auto"/>
          <w:highlight w:val="none"/>
        </w:rPr>
      </w:pPr>
    </w:p>
    <w:p>
      <w:pPr>
        <w:pStyle w:val="38"/>
        <w:rPr>
          <w:rFonts w:hint="eastAsia" w:ascii="宋体" w:hAnsi="宋体" w:cs="宋体"/>
          <w:b/>
          <w:color w:val="auto"/>
          <w:highlight w:val="none"/>
        </w:rPr>
      </w:pPr>
    </w:p>
    <w:p>
      <w:pPr>
        <w:pStyle w:val="38"/>
        <w:rPr>
          <w:rFonts w:hint="eastAsia" w:ascii="宋体" w:hAnsi="宋体" w:cs="宋体"/>
          <w:b/>
          <w:color w:val="auto"/>
          <w:highlight w:val="none"/>
        </w:rPr>
      </w:pPr>
    </w:p>
    <w:p>
      <w:pPr>
        <w:pStyle w:val="38"/>
        <w:rPr>
          <w:rFonts w:hint="eastAsia" w:ascii="宋体" w:hAnsi="宋体" w:cs="宋体"/>
          <w:b/>
          <w:color w:val="auto"/>
          <w:highlight w:val="none"/>
        </w:rPr>
      </w:pPr>
    </w:p>
    <w:p>
      <w:pPr>
        <w:pStyle w:val="38"/>
        <w:rPr>
          <w:rFonts w:hint="eastAsia" w:ascii="宋体" w:hAnsi="宋体" w:cs="宋体"/>
          <w:b/>
          <w:color w:val="auto"/>
          <w:highlight w:val="none"/>
        </w:rPr>
      </w:pPr>
    </w:p>
    <w:p>
      <w:pPr>
        <w:pStyle w:val="38"/>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b/>
          <w:bCs/>
          <w:color w:val="auto"/>
          <w:szCs w:val="21"/>
          <w:highlight w:val="none"/>
          <w:u w:val="single"/>
        </w:rPr>
        <w:t>重庆通力高速公路养护工程有限公司</w:t>
      </w:r>
      <w:r>
        <w:rPr>
          <w:rFonts w:hint="eastAsia"/>
          <w:b/>
          <w:bCs/>
          <w:color w:val="auto"/>
          <w:szCs w:val="21"/>
          <w:highlight w:val="none"/>
          <w:u w:val="single"/>
          <w:lang w:val="en-US" w:eastAsia="zh-CN"/>
        </w:rPr>
        <w:t>重庆渝蓉高速公路大足石刻服务区项目</w:t>
      </w:r>
      <w:r>
        <w:rPr>
          <w:rFonts w:hint="eastAsia"/>
          <w:b/>
          <w:bCs/>
          <w:color w:val="auto"/>
          <w:szCs w:val="21"/>
          <w:highlight w:val="none"/>
          <w:u w:val="single"/>
          <w:lang w:eastAsia="zh-CN"/>
        </w:rPr>
        <w:t>不锈钢造型内发光标志牌</w:t>
      </w:r>
      <w:r>
        <w:rPr>
          <w:rFonts w:hint="eastAsia"/>
          <w:b/>
          <w:bCs/>
          <w:color w:val="auto"/>
          <w:szCs w:val="21"/>
          <w:highlight w:val="none"/>
          <w:u w:val="single"/>
        </w:rPr>
        <w:t>采购</w:t>
      </w:r>
      <w:r>
        <w:rPr>
          <w:rFonts w:hint="eastAsia" w:ascii="宋体" w:hAnsi="宋体" w:cs="宋体"/>
          <w:color w:val="auto"/>
          <w:kern w:val="0"/>
          <w:szCs w:val="21"/>
          <w:highlight w:val="none"/>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tbl>
      <w:tblPr>
        <w:tblStyle w:val="1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color w:val="auto"/>
          <w:kern w:val="0"/>
          <w:szCs w:val="21"/>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sz w:val="28"/>
          <w:szCs w:val="28"/>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38"/>
        <w:rPr>
          <w:rFonts w:hint="eastAsia"/>
          <w:color w:val="auto"/>
          <w:highlight w:val="none"/>
        </w:rPr>
      </w:pPr>
    </w:p>
    <w:p>
      <w:pPr>
        <w:tabs>
          <w:tab w:val="left" w:pos="900"/>
          <w:tab w:val="left" w:pos="1080"/>
        </w:tabs>
        <w:spacing w:line="360" w:lineRule="auto"/>
        <w:outlineLvl w:val="0"/>
        <w:rPr>
          <w:rFonts w:hint="eastAsia" w:ascii="宋体" w:hAnsi="宋体" w:eastAsia="宋体" w:cs="宋体"/>
          <w:b/>
          <w:color w:val="auto"/>
          <w:sz w:val="28"/>
          <w:szCs w:val="28"/>
          <w:highlight w:val="none"/>
          <w:lang w:eastAsia="zh-CN"/>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highlight w:val="none"/>
        </w:rPr>
        <w:t>三、有效的营业执照、银行开户许可证或基本存款账户信息</w:t>
      </w:r>
      <w:r>
        <w:rPr>
          <w:rFonts w:hint="eastAsia" w:ascii="宋体" w:hAnsi="宋体" w:cs="宋体"/>
          <w:b/>
          <w:color w:val="auto"/>
          <w:sz w:val="28"/>
          <w:szCs w:val="28"/>
          <w:highlight w:val="none"/>
          <w:lang w:eastAsia="zh-CN"/>
        </w:rPr>
        <w:t>、投标保证金</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详见招标文件中要求所述</w:t>
      </w:r>
      <w:r>
        <w:rPr>
          <w:rFonts w:hint="eastAsia" w:ascii="宋体" w:hAnsi="宋体" w:cs="宋体"/>
          <w:b/>
          <w:color w:val="auto"/>
          <w:sz w:val="28"/>
          <w:szCs w:val="28"/>
          <w:highlight w:val="none"/>
          <w:lang w:eastAsia="zh-CN"/>
        </w:rPr>
        <w:t>）</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四</w:t>
      </w:r>
      <w:r>
        <w:rPr>
          <w:rFonts w:hint="eastAsia" w:ascii="宋体" w:hAnsi="宋体" w:cs="宋体"/>
          <w:b/>
          <w:color w:val="auto"/>
          <w:sz w:val="28"/>
          <w:szCs w:val="28"/>
          <w:highlight w:val="none"/>
        </w:rPr>
        <w:t>、</w:t>
      </w:r>
      <w:bookmarkStart w:id="35" w:name="_Hlk42788784"/>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单位信誉承诺</w:t>
      </w:r>
      <w:bookmarkEnd w:id="35"/>
    </w:p>
    <w:p>
      <w:pPr>
        <w:topLinePunct/>
        <w:spacing w:line="440" w:lineRule="exact"/>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信誉承诺书</w:t>
      </w:r>
    </w:p>
    <w:p>
      <w:pPr>
        <w:jc w:val="center"/>
        <w:rPr>
          <w:rFonts w:hint="eastAsia" w:ascii="宋体" w:hAnsi="宋体" w:eastAsia="宋体" w:cs="宋体"/>
          <w:b/>
          <w:bCs/>
          <w:color w:val="auto"/>
          <w:sz w:val="24"/>
          <w:szCs w:val="24"/>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bCs/>
          <w:color w:val="auto"/>
          <w:kern w:val="0"/>
          <w:szCs w:val="21"/>
          <w:highlight w:val="none"/>
          <w:u w:val="single"/>
        </w:rPr>
        <w:t xml:space="preserve">重庆通力高速公路养护工程有限公司 </w:t>
      </w:r>
      <w:r>
        <w:rPr>
          <w:rFonts w:hint="eastAsia" w:ascii="宋体" w:hAnsi="宋体" w:eastAsia="宋体" w:cs="宋体"/>
          <w:color w:val="auto"/>
          <w:kern w:val="0"/>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我司参加</w:t>
      </w:r>
      <w:r>
        <w:rPr>
          <w:rFonts w:hint="eastAsia" w:ascii="宋体" w:hAnsi="宋体" w:eastAsia="宋体" w:cs="宋体"/>
          <w:b/>
          <w:bCs/>
          <w:color w:val="auto"/>
          <w:kern w:val="0"/>
          <w:szCs w:val="21"/>
          <w:highlight w:val="none"/>
          <w:u w:val="single"/>
          <w:lang w:eastAsia="zh-CN"/>
        </w:rPr>
        <w:t>重庆渝蓉高速公路大足石刻服务区项目不锈钢造型内发光标志牌采购</w:t>
      </w:r>
      <w:r>
        <w:rPr>
          <w:rFonts w:hint="eastAsia" w:ascii="宋体" w:hAnsi="宋体" w:eastAsia="宋体" w:cs="宋体"/>
          <w:color w:val="auto"/>
          <w:kern w:val="0"/>
          <w:szCs w:val="21"/>
          <w:highlight w:val="none"/>
        </w:rPr>
        <w:t>的投标，现对以下内容作出真实性承诺：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（1）最近三年没有出现违法违规或失信行为；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（2）没有无故弃标的不良记录；</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）未处于被责令停业，歇业，投标资格被取消，财产被接管、被采取强制措施、破产状态；</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在“信用中国”网站（http://www.creditchina.gov.cn/）中未被列入失信被失信惩戒对象。 </w:t>
      </w:r>
    </w:p>
    <w:p>
      <w:pPr>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我单位如提供虚假材料及作出虚假承诺，</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有权取消其竞标资格或成交资格；已签订合同的，</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有权解除合同并追究违约责任的后果。</w:t>
      </w:r>
    </w:p>
    <w:p>
      <w:pPr>
        <w:pStyle w:val="38"/>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            （盖单位公章） </w:t>
      </w: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numPr>
          <w:ilvl w:val="0"/>
          <w:numId w:val="0"/>
        </w:num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keepNext w:val="0"/>
        <w:keepLines w:val="0"/>
        <w:pageBreakBefore w:val="0"/>
        <w:kinsoku/>
        <w:wordWrap/>
        <w:overflowPunct/>
        <w:topLinePunct w:val="0"/>
        <w:bidi w:val="0"/>
        <w:spacing w:line="400" w:lineRule="atLeast"/>
        <w:textAlignment w:val="auto"/>
        <w:rPr>
          <w:rFonts w:hint="eastAsia" w:ascii="宋体" w:hAnsi="宋体" w:cs="宋体"/>
          <w:b/>
          <w:sz w:val="20"/>
          <w:szCs w:val="20"/>
        </w:rPr>
      </w:pPr>
      <w:r>
        <w:rPr>
          <w:rFonts w:hint="eastAsia" w:ascii="宋体" w:hAnsi="宋体" w:cs="宋体"/>
          <w:b/>
          <w:sz w:val="20"/>
          <w:szCs w:val="20"/>
        </w:rPr>
        <w:t>1. 竞标报价表说明</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（1）分项报价表中填报的综合单价应是将满足招标文件要求的产品运至施工现场招标人指定地点的综合单价，应包含了</w:t>
      </w:r>
      <w:r>
        <w:rPr>
          <w:rFonts w:hint="eastAsia" w:ascii="Times New Roman" w:hAnsi="Times New Roman" w:eastAsia="宋体" w:cs="Times New Roman"/>
          <w:color w:val="000000"/>
          <w:sz w:val="20"/>
          <w:szCs w:val="20"/>
          <w:lang w:eastAsia="zh-CN"/>
        </w:rPr>
        <w:t>施工图深化设计费用和</w:t>
      </w:r>
      <w:r>
        <w:rPr>
          <w:rFonts w:hint="eastAsia" w:ascii="Times New Roman" w:hAnsi="Times New Roman" w:eastAsia="宋体" w:cs="Times New Roman"/>
          <w:color w:val="000000"/>
          <w:sz w:val="20"/>
          <w:szCs w:val="20"/>
        </w:rPr>
        <w:t>产品的出厂价（含所有规费等）、运杂费（含包装、装卸和运输至施工现场指定地点）、通行费、风险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w:t>
      </w:r>
      <w:bookmarkStart w:id="36" w:name="_GoBack"/>
      <w:bookmarkEnd w:id="36"/>
      <w:r>
        <w:rPr>
          <w:rFonts w:hint="eastAsia" w:ascii="Times New Roman" w:hAnsi="Times New Roman" w:eastAsia="宋体" w:cs="Times New Roman"/>
          <w:color w:val="000000"/>
          <w:sz w:val="20"/>
          <w:szCs w:val="20"/>
        </w:rPr>
        <w:t>，以及合同明示或暗示的所有责任、义务和一般风险。</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（2）如果未按照分项报价表要求进行报价，将被视为没有实质性响应比选文件。</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（3）采购数量以最终实际发生并结算的数量为准。</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bCs/>
          <w:sz w:val="18"/>
          <w:szCs w:val="18"/>
        </w:rPr>
      </w:pPr>
      <w:r>
        <w:rPr>
          <w:rFonts w:hint="eastAsia" w:ascii="Times New Roman" w:hAnsi="Times New Roman" w:eastAsia="宋体" w:cs="Times New Roman"/>
          <w:color w:val="000000"/>
          <w:sz w:val="20"/>
          <w:szCs w:val="20"/>
        </w:rPr>
        <w:t>（4）招标人不接受调价函，报价均为到场不含税单价。</w:t>
      </w:r>
    </w:p>
    <w:p>
      <w:pPr>
        <w:keepNext w:val="0"/>
        <w:keepLines w:val="0"/>
        <w:pageBreakBefore w:val="0"/>
        <w:widowControl w:val="0"/>
        <w:kinsoku/>
        <w:wordWrap/>
        <w:overflowPunct/>
        <w:topLinePunct w:val="0"/>
        <w:autoSpaceDE/>
        <w:autoSpaceDN/>
        <w:bidi w:val="0"/>
        <w:spacing w:line="400" w:lineRule="atLeast"/>
        <w:ind w:firstLine="400" w:firstLineChars="200"/>
        <w:jc w:val="right"/>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货币单位: 人民币 元</w:t>
      </w:r>
    </w:p>
    <w:tbl>
      <w:tblPr>
        <w:tblStyle w:val="19"/>
        <w:tblW w:w="9399"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69"/>
        <w:gridCol w:w="626"/>
        <w:gridCol w:w="846"/>
        <w:gridCol w:w="1012"/>
        <w:gridCol w:w="1012"/>
        <w:gridCol w:w="1012"/>
        <w:gridCol w:w="101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序号</w:t>
            </w:r>
          </w:p>
        </w:tc>
        <w:tc>
          <w:tcPr>
            <w:tcW w:w="1869"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sz w:val="20"/>
                <w:szCs w:val="20"/>
              </w:rPr>
              <w:t>材料名称</w:t>
            </w:r>
          </w:p>
        </w:tc>
        <w:tc>
          <w:tcPr>
            <w:tcW w:w="626"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单位</w:t>
            </w:r>
          </w:p>
        </w:tc>
        <w:tc>
          <w:tcPr>
            <w:tcW w:w="846"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暂定工程量</w:t>
            </w:r>
          </w:p>
        </w:tc>
        <w:tc>
          <w:tcPr>
            <w:tcW w:w="2024" w:type="dxa"/>
            <w:gridSpan w:val="2"/>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auto"/>
                <w:kern w:val="0"/>
                <w:sz w:val="20"/>
                <w:szCs w:val="20"/>
                <w:highlight w:val="none"/>
                <w:lang w:val="en-US" w:eastAsia="zh-CN" w:bidi="ar"/>
              </w:rPr>
              <w:t>上限价</w:t>
            </w:r>
          </w:p>
        </w:tc>
        <w:tc>
          <w:tcPr>
            <w:tcW w:w="2024" w:type="dxa"/>
            <w:gridSpan w:val="2"/>
            <w:noWrap w:val="0"/>
            <w:vAlign w:val="center"/>
          </w:tcPr>
          <w:p>
            <w:pPr>
              <w:jc w:val="center"/>
              <w:rPr>
                <w:rFonts w:hint="eastAsia"/>
                <w:b/>
                <w:bCs/>
                <w:color w:val="auto"/>
                <w:sz w:val="20"/>
                <w:szCs w:val="20"/>
                <w:highlight w:val="none"/>
                <w:vertAlign w:val="baseline"/>
              </w:rPr>
            </w:pPr>
            <w:r>
              <w:rPr>
                <w:rFonts w:hint="eastAsia" w:ascii="宋体" w:hAnsi="宋体" w:cs="宋体"/>
                <w:b/>
                <w:bCs/>
                <w:color w:val="auto"/>
                <w:kern w:val="0"/>
                <w:sz w:val="20"/>
                <w:szCs w:val="20"/>
                <w:highlight w:val="none"/>
                <w:lang w:val="en-US" w:eastAsia="zh-CN" w:bidi="ar"/>
              </w:rPr>
              <w:t>报价</w:t>
            </w:r>
          </w:p>
        </w:tc>
        <w:tc>
          <w:tcPr>
            <w:tcW w:w="1386" w:type="dxa"/>
            <w:vMerge w:val="restart"/>
            <w:noWrap w:val="0"/>
            <w:vAlign w:val="center"/>
          </w:tcPr>
          <w:p>
            <w:pPr>
              <w:jc w:val="center"/>
              <w:rPr>
                <w:rFonts w:hint="eastAsia"/>
                <w:color w:val="auto"/>
                <w:highlight w:val="none"/>
                <w:vertAlign w:val="baseline"/>
              </w:rPr>
            </w:pPr>
            <w:r>
              <w:rPr>
                <w:rFonts w:hint="eastAsia" w:ascii="宋体" w:hAnsi="宋体" w:eastAsia="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1869"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626"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846"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1012" w:type="dxa"/>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auto"/>
                <w:sz w:val="20"/>
                <w:szCs w:val="20"/>
                <w:highlight w:val="none"/>
                <w:lang w:val="en-US" w:eastAsia="zh-CN"/>
              </w:rPr>
              <w:t>到场不含税单价</w:t>
            </w:r>
          </w:p>
        </w:tc>
        <w:tc>
          <w:tcPr>
            <w:tcW w:w="1012" w:type="dxa"/>
            <w:noWrap w:val="0"/>
            <w:vAlign w:val="center"/>
          </w:tcPr>
          <w:p>
            <w:pPr>
              <w:widowControl/>
              <w:jc w:val="center"/>
              <w:textAlignment w:val="center"/>
              <w:rPr>
                <w:b/>
                <w:bCs/>
                <w:color w:val="auto"/>
                <w:sz w:val="20"/>
                <w:szCs w:val="20"/>
                <w:highlight w:val="none"/>
              </w:rPr>
            </w:pPr>
            <w:r>
              <w:rPr>
                <w:rFonts w:hint="eastAsia" w:ascii="宋体" w:hAnsi="宋体" w:cs="宋体"/>
                <w:b/>
                <w:bCs/>
                <w:color w:val="auto"/>
                <w:sz w:val="20"/>
                <w:szCs w:val="20"/>
                <w:highlight w:val="none"/>
                <w:lang w:val="en-US" w:eastAsia="zh-CN"/>
              </w:rPr>
              <w:t>到场不含税</w:t>
            </w:r>
            <w:r>
              <w:rPr>
                <w:rFonts w:hint="eastAsia" w:ascii="宋体" w:hAnsi="宋体" w:cs="宋体"/>
                <w:b/>
                <w:bCs/>
                <w:color w:val="auto"/>
                <w:kern w:val="0"/>
                <w:sz w:val="20"/>
                <w:szCs w:val="20"/>
                <w:highlight w:val="none"/>
                <w:lang w:bidi="ar"/>
              </w:rPr>
              <w:t>金额</w:t>
            </w:r>
          </w:p>
        </w:tc>
        <w:tc>
          <w:tcPr>
            <w:tcW w:w="1012" w:type="dxa"/>
            <w:noWrap w:val="0"/>
            <w:vAlign w:val="center"/>
          </w:tcPr>
          <w:p>
            <w:pPr>
              <w:jc w:val="center"/>
              <w:rPr>
                <w:rFonts w:hint="eastAsia"/>
                <w:b/>
                <w:bCs/>
                <w:color w:val="auto"/>
                <w:sz w:val="20"/>
                <w:szCs w:val="20"/>
                <w:highlight w:val="none"/>
                <w:vertAlign w:val="baseline"/>
              </w:rPr>
            </w:pPr>
            <w:r>
              <w:rPr>
                <w:rFonts w:hint="eastAsia" w:ascii="宋体" w:hAnsi="宋体" w:cs="宋体"/>
                <w:b/>
                <w:bCs/>
                <w:color w:val="auto"/>
                <w:sz w:val="20"/>
                <w:szCs w:val="20"/>
                <w:highlight w:val="none"/>
                <w:lang w:val="en-US" w:eastAsia="zh-CN"/>
              </w:rPr>
              <w:t>到场不含税单价</w:t>
            </w:r>
          </w:p>
        </w:tc>
        <w:tc>
          <w:tcPr>
            <w:tcW w:w="1012" w:type="dxa"/>
            <w:noWrap w:val="0"/>
            <w:vAlign w:val="center"/>
          </w:tcPr>
          <w:p>
            <w:pPr>
              <w:jc w:val="center"/>
              <w:rPr>
                <w:b/>
                <w:bCs/>
                <w:color w:val="auto"/>
                <w:sz w:val="20"/>
                <w:szCs w:val="20"/>
                <w:highlight w:val="none"/>
              </w:rPr>
            </w:pPr>
            <w:r>
              <w:rPr>
                <w:rFonts w:hint="eastAsia" w:ascii="宋体" w:hAnsi="宋体" w:cs="宋体"/>
                <w:b/>
                <w:bCs/>
                <w:color w:val="auto"/>
                <w:sz w:val="20"/>
                <w:szCs w:val="20"/>
                <w:highlight w:val="none"/>
                <w:lang w:val="en-US" w:eastAsia="zh-CN"/>
              </w:rPr>
              <w:t>到场不含税</w:t>
            </w:r>
            <w:r>
              <w:rPr>
                <w:rFonts w:hint="eastAsia" w:ascii="宋体" w:hAnsi="宋体" w:cs="宋体"/>
                <w:b/>
                <w:bCs/>
                <w:color w:val="auto"/>
                <w:kern w:val="0"/>
                <w:sz w:val="20"/>
                <w:szCs w:val="20"/>
                <w:highlight w:val="none"/>
                <w:lang w:bidi="ar"/>
              </w:rPr>
              <w:t>金额</w:t>
            </w:r>
          </w:p>
        </w:tc>
        <w:tc>
          <w:tcPr>
            <w:tcW w:w="1386" w:type="dxa"/>
            <w:vMerge w:val="continue"/>
            <w:noWrap w:val="0"/>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eastAsia"/>
                <w:color w:val="auto"/>
                <w:highlight w:val="none"/>
                <w:vertAlign w:val="baseline"/>
              </w:rPr>
            </w:pPr>
            <w:r>
              <w:rPr>
                <w:rFonts w:hint="eastAsia" w:ascii="宋体" w:hAnsi="宋体" w:eastAsia="宋体" w:cs="宋体"/>
                <w:color w:val="000000"/>
                <w:kern w:val="0"/>
                <w:sz w:val="20"/>
                <w:szCs w:val="20"/>
                <w:lang w:eastAsia="zh-CN" w:bidi="ar"/>
              </w:rPr>
              <w:t>1</w:t>
            </w:r>
          </w:p>
        </w:tc>
        <w:tc>
          <w:tcPr>
            <w:tcW w:w="1869" w:type="dxa"/>
            <w:noWrap w:val="0"/>
            <w:vAlign w:val="center"/>
          </w:tcPr>
          <w:p>
            <w:pPr>
              <w:widowControl/>
              <w:jc w:val="center"/>
              <w:textAlignment w:val="center"/>
              <w:rPr>
                <w:rFonts w:hint="eastAsia"/>
                <w:color w:val="auto"/>
                <w:kern w:val="2"/>
                <w:sz w:val="21"/>
                <w:highlight w:val="none"/>
                <w:vertAlign w:val="baseline"/>
                <w:lang w:val="en-US" w:eastAsia="zh-CN" w:bidi="ar-SA"/>
              </w:rPr>
            </w:pPr>
            <w:r>
              <w:rPr>
                <w:rFonts w:hint="eastAsia" w:ascii="宋体" w:hAnsi="宋体" w:eastAsia="宋体" w:cs="宋体"/>
                <w:color w:val="000000"/>
                <w:kern w:val="0"/>
                <w:sz w:val="20"/>
                <w:szCs w:val="20"/>
                <w:lang w:val="en-US" w:eastAsia="zh-CN" w:bidi="ar"/>
              </w:rPr>
              <w:t>不锈钢造型内发光标志牌</w:t>
            </w:r>
          </w:p>
        </w:tc>
        <w:tc>
          <w:tcPr>
            <w:tcW w:w="626" w:type="dxa"/>
            <w:noWrap w:val="0"/>
            <w:vAlign w:val="center"/>
          </w:tcPr>
          <w:p>
            <w:pPr>
              <w:widowControl/>
              <w:jc w:val="center"/>
              <w:textAlignment w:val="center"/>
              <w:rPr>
                <w:rFonts w:hint="eastAsia"/>
                <w:color w:val="auto"/>
                <w:highlight w:val="none"/>
                <w:vertAlign w:val="baseline"/>
              </w:rPr>
            </w:pPr>
            <w:r>
              <w:rPr>
                <w:rFonts w:hint="eastAsia" w:ascii="宋体" w:hAnsi="宋体" w:eastAsia="宋体" w:cs="宋体"/>
                <w:color w:val="000000"/>
                <w:kern w:val="0"/>
                <w:sz w:val="20"/>
                <w:szCs w:val="20"/>
                <w:lang w:val="en-US" w:eastAsia="zh-CN" w:bidi="ar"/>
              </w:rPr>
              <w:t>套</w:t>
            </w:r>
          </w:p>
        </w:tc>
        <w:tc>
          <w:tcPr>
            <w:tcW w:w="846" w:type="dxa"/>
            <w:noWrap w:val="0"/>
            <w:vAlign w:val="center"/>
          </w:tcPr>
          <w:p>
            <w:pPr>
              <w:widowControl/>
              <w:jc w:val="center"/>
              <w:textAlignment w:val="center"/>
              <w:rPr>
                <w:rFonts w:hint="default"/>
                <w:color w:val="auto"/>
                <w:highlight w:val="none"/>
                <w:vertAlign w:val="baseline"/>
                <w:lang w:val="en-US"/>
              </w:rPr>
            </w:pPr>
            <w:r>
              <w:rPr>
                <w:rFonts w:hint="eastAsia" w:ascii="宋体" w:hAnsi="宋体" w:eastAsia="宋体" w:cs="宋体"/>
                <w:color w:val="000000"/>
                <w:kern w:val="0"/>
                <w:sz w:val="20"/>
                <w:szCs w:val="20"/>
                <w:lang w:val="en-US" w:eastAsia="zh-CN" w:bidi="ar"/>
              </w:rPr>
              <w:t>2</w:t>
            </w:r>
          </w:p>
        </w:tc>
        <w:tc>
          <w:tcPr>
            <w:tcW w:w="1012" w:type="dxa"/>
            <w:noWrap w:val="0"/>
            <w:vAlign w:val="center"/>
          </w:tcPr>
          <w:p>
            <w:pPr>
              <w:keepNext w:val="0"/>
              <w:keepLines w:val="0"/>
              <w:widowControl/>
              <w:suppressLineNumbers w:val="0"/>
              <w:jc w:val="center"/>
              <w:textAlignment w:val="center"/>
              <w:rPr>
                <w:rFonts w:hint="default" w:eastAsia="宋体"/>
                <w:color w:val="auto"/>
                <w:highlight w:val="none"/>
                <w:vertAlign w:val="baseline"/>
                <w:lang w:val="en-US" w:eastAsia="zh-CN"/>
              </w:rPr>
            </w:pPr>
            <w:r>
              <w:rPr>
                <w:rFonts w:hint="eastAsia"/>
                <w:color w:val="auto"/>
                <w:highlight w:val="none"/>
                <w:vertAlign w:val="baseline"/>
                <w:lang w:val="en-US" w:eastAsia="zh-CN"/>
              </w:rPr>
              <w:t>35000</w:t>
            </w:r>
          </w:p>
        </w:tc>
        <w:tc>
          <w:tcPr>
            <w:tcW w:w="1012" w:type="dxa"/>
            <w:noWrap w:val="0"/>
            <w:vAlign w:val="center"/>
          </w:tcPr>
          <w:p>
            <w:pPr>
              <w:keepNext w:val="0"/>
              <w:keepLines w:val="0"/>
              <w:widowControl/>
              <w:suppressLineNumbers w:val="0"/>
              <w:jc w:val="center"/>
              <w:textAlignment w:val="center"/>
              <w:rPr>
                <w:rFonts w:hint="default" w:eastAsia="宋体"/>
                <w:color w:val="auto"/>
                <w:highlight w:val="none"/>
                <w:lang w:val="en-US" w:eastAsia="zh-CN"/>
              </w:rPr>
            </w:pPr>
            <w:r>
              <w:rPr>
                <w:rFonts w:hint="eastAsia"/>
                <w:color w:val="auto"/>
                <w:highlight w:val="none"/>
                <w:lang w:val="en-US" w:eastAsia="zh-CN"/>
              </w:rPr>
              <w:t>70000</w:t>
            </w:r>
          </w:p>
        </w:tc>
        <w:tc>
          <w:tcPr>
            <w:tcW w:w="1012" w:type="dxa"/>
            <w:noWrap w:val="0"/>
            <w:vAlign w:val="center"/>
          </w:tcPr>
          <w:p>
            <w:pPr>
              <w:jc w:val="center"/>
              <w:rPr>
                <w:rFonts w:hint="eastAsia"/>
                <w:color w:val="auto"/>
                <w:highlight w:val="none"/>
                <w:vertAlign w:val="baseline"/>
              </w:rPr>
            </w:pPr>
          </w:p>
        </w:tc>
        <w:tc>
          <w:tcPr>
            <w:tcW w:w="1012" w:type="dxa"/>
            <w:noWrap w:val="0"/>
            <w:vAlign w:val="center"/>
          </w:tcPr>
          <w:p>
            <w:pPr>
              <w:jc w:val="center"/>
              <w:rPr>
                <w:color w:val="auto"/>
                <w:highlight w:val="none"/>
              </w:rPr>
            </w:pPr>
          </w:p>
        </w:tc>
        <w:tc>
          <w:tcPr>
            <w:tcW w:w="1386" w:type="dxa"/>
            <w:noWrap w:val="0"/>
            <w:vAlign w:val="center"/>
          </w:tcPr>
          <w:p>
            <w:pPr>
              <w:widowControl/>
              <w:spacing w:line="400" w:lineRule="exact"/>
              <w:jc w:val="left"/>
              <w:textAlignment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w:t>
            </w:r>
          </w:p>
        </w:tc>
        <w:tc>
          <w:tcPr>
            <w:tcW w:w="1869"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auto"/>
                <w:kern w:val="0"/>
                <w:szCs w:val="21"/>
                <w:highlight w:val="none"/>
                <w:lang w:eastAsia="zh-CN" w:bidi="ar"/>
              </w:rPr>
              <w:t>税前</w:t>
            </w:r>
            <w:r>
              <w:rPr>
                <w:rFonts w:hint="eastAsia" w:ascii="宋体" w:hAnsi="宋体" w:eastAsia="宋体" w:cs="宋体"/>
                <w:b/>
                <w:bCs/>
                <w:color w:val="auto"/>
                <w:kern w:val="0"/>
                <w:szCs w:val="21"/>
                <w:highlight w:val="none"/>
                <w:lang w:bidi="ar"/>
              </w:rPr>
              <w:t>合计</w:t>
            </w:r>
          </w:p>
        </w:tc>
        <w:tc>
          <w:tcPr>
            <w:tcW w:w="626"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846"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highlight w:val="none"/>
                <w:vertAlign w:val="baseline"/>
                <w:lang w:val="en-US" w:eastAsia="zh-CN"/>
              </w:rPr>
            </w:pPr>
          </w:p>
        </w:tc>
        <w:tc>
          <w:tcPr>
            <w:tcW w:w="101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highlight w:val="none"/>
                <w:vertAlign w:val="baseline"/>
                <w:lang w:val="en-US" w:eastAsia="zh-CN"/>
              </w:rPr>
            </w:pPr>
          </w:p>
        </w:tc>
        <w:tc>
          <w:tcPr>
            <w:tcW w:w="10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70000</w:t>
            </w:r>
          </w:p>
        </w:tc>
        <w:tc>
          <w:tcPr>
            <w:tcW w:w="101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highlight w:val="none"/>
                <w:vertAlign w:val="baseline"/>
                <w:lang w:val="en-US" w:eastAsia="zh-CN"/>
              </w:rPr>
            </w:pPr>
          </w:p>
        </w:tc>
        <w:tc>
          <w:tcPr>
            <w:tcW w:w="1012"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highlight w:val="none"/>
                <w:vertAlign w:val="baseline"/>
                <w:lang w:val="en-US" w:eastAsia="zh-CN"/>
              </w:rPr>
            </w:pPr>
          </w:p>
        </w:tc>
        <w:tc>
          <w:tcPr>
            <w:tcW w:w="1386" w:type="dxa"/>
            <w:noWrap w:val="0"/>
            <w:vAlign w:val="center"/>
          </w:tcPr>
          <w:p>
            <w:pPr>
              <w:widowControl/>
              <w:spacing w:line="400" w:lineRule="exact"/>
              <w:jc w:val="left"/>
              <w:textAlignment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cs="宋体"/>
                <w:color w:val="000000"/>
                <w:kern w:val="0"/>
                <w:sz w:val="20"/>
                <w:szCs w:val="20"/>
                <w:lang w:val="en-US" w:eastAsia="zh-CN" w:bidi="ar"/>
              </w:rPr>
            </w:pPr>
          </w:p>
        </w:tc>
        <w:tc>
          <w:tcPr>
            <w:tcW w:w="5365" w:type="dxa"/>
            <w:gridSpan w:val="5"/>
            <w:noWrap w:val="0"/>
            <w:vAlign w:val="center"/>
          </w:tcPr>
          <w:p>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color w:val="auto"/>
                <w:kern w:val="0"/>
                <w:szCs w:val="21"/>
                <w:highlight w:val="none"/>
                <w:lang w:eastAsia="zh-CN" w:bidi="ar"/>
              </w:rPr>
              <w:t>投标人填报：增值税专用发票抵扣税率</w:t>
            </w:r>
          </w:p>
        </w:tc>
        <w:tc>
          <w:tcPr>
            <w:tcW w:w="2024" w:type="dxa"/>
            <w:gridSpan w:val="2"/>
            <w:noWrap w:val="0"/>
            <w:vAlign w:val="center"/>
          </w:tcPr>
          <w:p>
            <w:pPr>
              <w:widowControl/>
              <w:jc w:val="center"/>
              <w:textAlignment w:val="center"/>
              <w:rPr>
                <w:color w:val="auto"/>
                <w:highlight w:val="none"/>
              </w:rPr>
            </w:pPr>
            <w:r>
              <w:rPr>
                <w:rFonts w:hint="eastAsia" w:ascii="宋体" w:hAnsi="宋体" w:eastAsia="宋体" w:cs="宋体"/>
                <w:color w:val="auto"/>
                <w:kern w:val="0"/>
                <w:szCs w:val="21"/>
                <w:highlight w:val="none"/>
                <w:u w:val="single"/>
                <w:lang w:val="en-US" w:eastAsia="zh-CN" w:bidi="ar"/>
              </w:rPr>
              <w:t xml:space="preserve">         %</w:t>
            </w:r>
          </w:p>
        </w:tc>
        <w:tc>
          <w:tcPr>
            <w:tcW w:w="1386" w:type="dxa"/>
            <w:noWrap w:val="0"/>
            <w:vAlign w:val="center"/>
          </w:tcPr>
          <w:p>
            <w:pPr>
              <w:widowControl/>
              <w:spacing w:line="400" w:lineRule="exact"/>
              <w:jc w:val="left"/>
              <w:textAlignment w:val="center"/>
              <w:rPr>
                <w:rFonts w:hint="eastAsia"/>
                <w:color w:val="auto"/>
                <w:highlight w:val="none"/>
                <w:vertAlign w:val="baseline"/>
              </w:rPr>
            </w:pPr>
          </w:p>
        </w:tc>
      </w:tr>
    </w:tbl>
    <w:p>
      <w:pPr>
        <w:keepNext w:val="0"/>
        <w:keepLines w:val="0"/>
        <w:pageBreakBefore w:val="0"/>
        <w:widowControl w:val="0"/>
        <w:kinsoku/>
        <w:wordWrap/>
        <w:overflowPunct/>
        <w:topLinePunct w:val="0"/>
        <w:autoSpaceDE/>
        <w:autoSpaceDN/>
        <w:bidi w:val="0"/>
        <w:spacing w:line="400" w:lineRule="atLeast"/>
        <w:ind w:firstLine="400" w:firstLineChars="200"/>
        <w:rPr>
          <w:rFonts w:hint="eastAsia"/>
        </w:rPr>
      </w:pPr>
      <w:r>
        <w:rPr>
          <w:rFonts w:hint="eastAsia"/>
          <w:color w:val="000000"/>
          <w:sz w:val="20"/>
          <w:szCs w:val="20"/>
        </w:rPr>
        <w:t>备注：</w:t>
      </w:r>
      <w:r>
        <w:rPr>
          <w:rFonts w:hint="eastAsia"/>
        </w:rPr>
        <w:t>上述报价为税前</w:t>
      </w:r>
      <w:r>
        <w:rPr>
          <w:rFonts w:hint="eastAsia"/>
          <w:lang w:eastAsia="zh-CN"/>
        </w:rPr>
        <w:t>单</w:t>
      </w:r>
      <w:r>
        <w:rPr>
          <w:rFonts w:hint="eastAsia"/>
        </w:rPr>
        <w:t>价</w:t>
      </w:r>
      <w:r>
        <w:rPr>
          <w:rFonts w:hint="eastAsia"/>
          <w:lang w:eastAsia="zh-CN"/>
        </w:rPr>
        <w:t>，按</w:t>
      </w:r>
      <w:r>
        <w:rPr>
          <w:rFonts w:hint="eastAsia"/>
        </w:rPr>
        <w:t>税前</w:t>
      </w:r>
      <w:r>
        <w:rPr>
          <w:rFonts w:hint="eastAsia"/>
          <w:lang w:eastAsia="zh-CN"/>
        </w:rPr>
        <w:t>单</w:t>
      </w:r>
      <w:r>
        <w:rPr>
          <w:rFonts w:hint="eastAsia"/>
        </w:rPr>
        <w:t>价</w:t>
      </w:r>
      <w:r>
        <w:rPr>
          <w:rFonts w:hint="eastAsia"/>
          <w:lang w:eastAsia="zh-CN"/>
        </w:rPr>
        <w:t>及其税前合计金额进行评标，按含税单价签订合同。</w:t>
      </w:r>
      <w:r>
        <w:rPr>
          <w:rFonts w:hint="eastAsia"/>
        </w:rPr>
        <w:t>中标人含税单价=中标人投标报价*（1+中标人增值税专用发票抵扣税率）</w:t>
      </w:r>
      <w:r>
        <w:rPr>
          <w:rFonts w:hint="eastAsia"/>
          <w:lang w:eastAsia="zh-CN"/>
        </w:rPr>
        <w:t>，四舍五入保留两位小数</w:t>
      </w:r>
      <w:r>
        <w:rPr>
          <w:rFonts w:hint="eastAsia"/>
        </w:rPr>
        <w:t>。</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投标人（盖单位公章）：                </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法定代表人（或授权代表）：___________________</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联系电话：___________________          </w:t>
      </w:r>
    </w:p>
    <w:p>
      <w:pPr>
        <w:keepNext w:val="0"/>
        <w:keepLines w:val="0"/>
        <w:pageBreakBefore w:val="0"/>
        <w:widowControl w:val="0"/>
        <w:kinsoku/>
        <w:wordWrap/>
        <w:overflowPunct/>
        <w:topLinePunct w:val="0"/>
        <w:autoSpaceDE/>
        <w:autoSpaceDN/>
        <w:bidi w:val="0"/>
        <w:spacing w:line="400" w:lineRule="atLeast"/>
        <w:ind w:firstLine="5040" w:firstLineChars="240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日期：   年    月    日</w:t>
      </w:r>
    </w:p>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jc w:val="center"/>
      <w:rPr>
        <w:rFonts w:ascii="Cambria" w:hAnsi="Cambria"/>
      </w:rPr>
    </w:pPr>
    <w:r>
      <w:rPr>
        <w:rFonts w:hint="eastAsia" w:ascii="Cambria" w:hAnsi="Cambria"/>
      </w:rPr>
      <w:t>第</w:t>
    </w:r>
    <w:r>
      <w:fldChar w:fldCharType="begin"/>
    </w:r>
    <w:r>
      <w:instrText xml:space="preserve"> PAGE   \* MERGEFORMAT </w:instrText>
    </w:r>
    <w:r>
      <w:fldChar w:fldCharType="separate"/>
    </w:r>
    <w:r>
      <w:rPr>
        <w:rFonts w:ascii="Cambria" w:hAnsi="Cambria"/>
        <w:lang w:val="zh-CN"/>
      </w:rPr>
      <w:t>2</w:t>
    </w:r>
    <w:r>
      <w:fldChar w:fldCharType="end"/>
    </w:r>
    <w:r>
      <w:rPr>
        <w:rFonts w:hint="eastAsia"/>
      </w:rPr>
      <w:t>页共</w:t>
    </w:r>
    <w:r>
      <w:rPr>
        <w:rFonts w:hint="eastAsia"/>
        <w:lang w:val="en-US" w:eastAsia="zh-CN"/>
      </w:rPr>
      <w:t>26</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345AC"/>
    <w:multiLevelType w:val="singleLevel"/>
    <w:tmpl w:val="813345AC"/>
    <w:lvl w:ilvl="0" w:tentative="0">
      <w:start w:val="1"/>
      <w:numFmt w:val="chineseCounting"/>
      <w:suff w:val="nothing"/>
      <w:lvlText w:val="%1、"/>
      <w:lvlJc w:val="left"/>
      <w:rPr>
        <w:rFonts w:hint="eastAsia"/>
      </w:rPr>
    </w:lvl>
  </w:abstractNum>
  <w:abstractNum w:abstractNumId="1">
    <w:nsid w:val="9569214B"/>
    <w:multiLevelType w:val="singleLevel"/>
    <w:tmpl w:val="9569214B"/>
    <w:lvl w:ilvl="0" w:tentative="0">
      <w:start w:val="1"/>
      <w:numFmt w:val="decimal"/>
      <w:suff w:val="nothing"/>
      <w:lvlText w:val="%1、"/>
      <w:lvlJc w:val="left"/>
    </w:lvl>
  </w:abstractNum>
  <w:abstractNum w:abstractNumId="2">
    <w:nsid w:val="0000000F"/>
    <w:multiLevelType w:val="multilevel"/>
    <w:tmpl w:val="0000000F"/>
    <w:lvl w:ilvl="0" w:tentative="0">
      <w:start w:val="1"/>
      <w:numFmt w:val="decimal"/>
      <w:pStyle w:val="3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TE4MDAxOWJlYjc2NmExODI1ZTI2ZWM4YTY4NTMifQ=="/>
  </w:docVars>
  <w:rsids>
    <w:rsidRoot w:val="00172A27"/>
    <w:rsid w:val="000A7BF7"/>
    <w:rsid w:val="000C3254"/>
    <w:rsid w:val="000D1733"/>
    <w:rsid w:val="000D54AD"/>
    <w:rsid w:val="0010018D"/>
    <w:rsid w:val="00103D5F"/>
    <w:rsid w:val="00157D0F"/>
    <w:rsid w:val="001627CE"/>
    <w:rsid w:val="00182EBD"/>
    <w:rsid w:val="001B1460"/>
    <w:rsid w:val="00267A4C"/>
    <w:rsid w:val="00275BD8"/>
    <w:rsid w:val="0029559B"/>
    <w:rsid w:val="002D0BC5"/>
    <w:rsid w:val="00310FA3"/>
    <w:rsid w:val="003508F5"/>
    <w:rsid w:val="00353B17"/>
    <w:rsid w:val="00394797"/>
    <w:rsid w:val="003D2FAB"/>
    <w:rsid w:val="003D5332"/>
    <w:rsid w:val="00433B15"/>
    <w:rsid w:val="00485962"/>
    <w:rsid w:val="004901AC"/>
    <w:rsid w:val="00494BCE"/>
    <w:rsid w:val="004E3E1D"/>
    <w:rsid w:val="00503AFB"/>
    <w:rsid w:val="0050718F"/>
    <w:rsid w:val="0051567E"/>
    <w:rsid w:val="00536071"/>
    <w:rsid w:val="00540156"/>
    <w:rsid w:val="00555C8D"/>
    <w:rsid w:val="00574203"/>
    <w:rsid w:val="005846B4"/>
    <w:rsid w:val="005D6DBC"/>
    <w:rsid w:val="0061414E"/>
    <w:rsid w:val="00620250"/>
    <w:rsid w:val="00626D86"/>
    <w:rsid w:val="006943B9"/>
    <w:rsid w:val="00694C20"/>
    <w:rsid w:val="006966B4"/>
    <w:rsid w:val="006B58DF"/>
    <w:rsid w:val="006C09B8"/>
    <w:rsid w:val="006C0C20"/>
    <w:rsid w:val="006D52C2"/>
    <w:rsid w:val="006F4543"/>
    <w:rsid w:val="00707B55"/>
    <w:rsid w:val="007225F3"/>
    <w:rsid w:val="0072598E"/>
    <w:rsid w:val="00754AA0"/>
    <w:rsid w:val="007B4968"/>
    <w:rsid w:val="007D657D"/>
    <w:rsid w:val="007D7BE1"/>
    <w:rsid w:val="00817563"/>
    <w:rsid w:val="0083034B"/>
    <w:rsid w:val="00890D2F"/>
    <w:rsid w:val="009018E4"/>
    <w:rsid w:val="00903959"/>
    <w:rsid w:val="00915ECC"/>
    <w:rsid w:val="009A11E5"/>
    <w:rsid w:val="009B1901"/>
    <w:rsid w:val="009C7BF7"/>
    <w:rsid w:val="009E5C52"/>
    <w:rsid w:val="00A01451"/>
    <w:rsid w:val="00A046C9"/>
    <w:rsid w:val="00A13462"/>
    <w:rsid w:val="00A90393"/>
    <w:rsid w:val="00AB549C"/>
    <w:rsid w:val="00AC16D0"/>
    <w:rsid w:val="00B23650"/>
    <w:rsid w:val="00B355F9"/>
    <w:rsid w:val="00B41975"/>
    <w:rsid w:val="00B5211F"/>
    <w:rsid w:val="00B846A9"/>
    <w:rsid w:val="00B957AF"/>
    <w:rsid w:val="00BD35E4"/>
    <w:rsid w:val="00C01EAA"/>
    <w:rsid w:val="00C27C4B"/>
    <w:rsid w:val="00C74487"/>
    <w:rsid w:val="00C90F18"/>
    <w:rsid w:val="00CB3D59"/>
    <w:rsid w:val="00CD219D"/>
    <w:rsid w:val="00CD2608"/>
    <w:rsid w:val="00CE0DE5"/>
    <w:rsid w:val="00CF1442"/>
    <w:rsid w:val="00D34824"/>
    <w:rsid w:val="00D43D07"/>
    <w:rsid w:val="00D709D7"/>
    <w:rsid w:val="00D713B0"/>
    <w:rsid w:val="00DB3F12"/>
    <w:rsid w:val="00DC4C6C"/>
    <w:rsid w:val="00DD3A50"/>
    <w:rsid w:val="00DE29ED"/>
    <w:rsid w:val="00DE2E47"/>
    <w:rsid w:val="00DE5ACC"/>
    <w:rsid w:val="00DF1B52"/>
    <w:rsid w:val="00E35CBE"/>
    <w:rsid w:val="00E6469E"/>
    <w:rsid w:val="00E656AF"/>
    <w:rsid w:val="00E72D29"/>
    <w:rsid w:val="00EA0EF6"/>
    <w:rsid w:val="00EA4C91"/>
    <w:rsid w:val="00EC4AF8"/>
    <w:rsid w:val="00EE031F"/>
    <w:rsid w:val="00EE15F4"/>
    <w:rsid w:val="00F15923"/>
    <w:rsid w:val="00F33E41"/>
    <w:rsid w:val="00F43331"/>
    <w:rsid w:val="00F54411"/>
    <w:rsid w:val="00F55846"/>
    <w:rsid w:val="00F623F9"/>
    <w:rsid w:val="00FA7A91"/>
    <w:rsid w:val="012F1D14"/>
    <w:rsid w:val="01F348CF"/>
    <w:rsid w:val="01F82718"/>
    <w:rsid w:val="02271209"/>
    <w:rsid w:val="037E5C84"/>
    <w:rsid w:val="041B17D9"/>
    <w:rsid w:val="04DB50F8"/>
    <w:rsid w:val="04DE1627"/>
    <w:rsid w:val="05D3762B"/>
    <w:rsid w:val="063D1835"/>
    <w:rsid w:val="066C769E"/>
    <w:rsid w:val="06DF4738"/>
    <w:rsid w:val="07727AEC"/>
    <w:rsid w:val="078502EE"/>
    <w:rsid w:val="07F9723E"/>
    <w:rsid w:val="08565973"/>
    <w:rsid w:val="08AD163E"/>
    <w:rsid w:val="08E05768"/>
    <w:rsid w:val="091B77D0"/>
    <w:rsid w:val="09342A44"/>
    <w:rsid w:val="094431BC"/>
    <w:rsid w:val="097B3150"/>
    <w:rsid w:val="0993094F"/>
    <w:rsid w:val="0A2C00BA"/>
    <w:rsid w:val="0A425A99"/>
    <w:rsid w:val="0A8B7F53"/>
    <w:rsid w:val="0ABE5EC6"/>
    <w:rsid w:val="0B3E0D00"/>
    <w:rsid w:val="0C2A558B"/>
    <w:rsid w:val="0C6A2671"/>
    <w:rsid w:val="0CA03E1C"/>
    <w:rsid w:val="0D5034AF"/>
    <w:rsid w:val="0D912F05"/>
    <w:rsid w:val="0E800460"/>
    <w:rsid w:val="0E903766"/>
    <w:rsid w:val="0F2A0769"/>
    <w:rsid w:val="101855AF"/>
    <w:rsid w:val="10AC366D"/>
    <w:rsid w:val="10EC0157"/>
    <w:rsid w:val="12154897"/>
    <w:rsid w:val="127A0BD6"/>
    <w:rsid w:val="12AD4BE5"/>
    <w:rsid w:val="12E3002D"/>
    <w:rsid w:val="12E77112"/>
    <w:rsid w:val="132F6599"/>
    <w:rsid w:val="134E2F1C"/>
    <w:rsid w:val="138C3A82"/>
    <w:rsid w:val="13917F99"/>
    <w:rsid w:val="151B1BCE"/>
    <w:rsid w:val="15260B1B"/>
    <w:rsid w:val="15300975"/>
    <w:rsid w:val="15FB2B9B"/>
    <w:rsid w:val="164E0DE7"/>
    <w:rsid w:val="17677881"/>
    <w:rsid w:val="17C5674B"/>
    <w:rsid w:val="17D05C59"/>
    <w:rsid w:val="17D37DDB"/>
    <w:rsid w:val="18363C5F"/>
    <w:rsid w:val="18AC2527"/>
    <w:rsid w:val="18DA4DA5"/>
    <w:rsid w:val="1A4C7F5A"/>
    <w:rsid w:val="1A8632B2"/>
    <w:rsid w:val="1AC73400"/>
    <w:rsid w:val="1AF23279"/>
    <w:rsid w:val="1BD2241D"/>
    <w:rsid w:val="1BDD1552"/>
    <w:rsid w:val="1C18562D"/>
    <w:rsid w:val="1C446A36"/>
    <w:rsid w:val="1C5B1BA9"/>
    <w:rsid w:val="1C754189"/>
    <w:rsid w:val="1CBC1EC8"/>
    <w:rsid w:val="1D3359A8"/>
    <w:rsid w:val="1D4146EF"/>
    <w:rsid w:val="1D97232F"/>
    <w:rsid w:val="1DEC50FD"/>
    <w:rsid w:val="1E8852AB"/>
    <w:rsid w:val="1F73358B"/>
    <w:rsid w:val="1FDD44BF"/>
    <w:rsid w:val="1FFE2F1E"/>
    <w:rsid w:val="205B6D5C"/>
    <w:rsid w:val="206353B5"/>
    <w:rsid w:val="20F070A1"/>
    <w:rsid w:val="21057DE3"/>
    <w:rsid w:val="212C1416"/>
    <w:rsid w:val="21535CD1"/>
    <w:rsid w:val="216622F6"/>
    <w:rsid w:val="225203AD"/>
    <w:rsid w:val="2279022C"/>
    <w:rsid w:val="23D361F2"/>
    <w:rsid w:val="23E26F4D"/>
    <w:rsid w:val="24445753"/>
    <w:rsid w:val="24507E8F"/>
    <w:rsid w:val="247F169B"/>
    <w:rsid w:val="24CC6A35"/>
    <w:rsid w:val="24D0341E"/>
    <w:rsid w:val="24ED12F4"/>
    <w:rsid w:val="253A3C27"/>
    <w:rsid w:val="2613269A"/>
    <w:rsid w:val="262B186A"/>
    <w:rsid w:val="267661D5"/>
    <w:rsid w:val="26833A2D"/>
    <w:rsid w:val="27424100"/>
    <w:rsid w:val="27FF0206"/>
    <w:rsid w:val="284A3D2C"/>
    <w:rsid w:val="287216F2"/>
    <w:rsid w:val="29415A4B"/>
    <w:rsid w:val="2A3423E0"/>
    <w:rsid w:val="2A392436"/>
    <w:rsid w:val="2A6428AE"/>
    <w:rsid w:val="2A735F75"/>
    <w:rsid w:val="2AD8192C"/>
    <w:rsid w:val="2AFF73AB"/>
    <w:rsid w:val="2B0A0D5F"/>
    <w:rsid w:val="2B0E7CC2"/>
    <w:rsid w:val="2B1D2BDC"/>
    <w:rsid w:val="2B4B2A2A"/>
    <w:rsid w:val="2B7506C7"/>
    <w:rsid w:val="2B8230A6"/>
    <w:rsid w:val="2C0559CB"/>
    <w:rsid w:val="2C535729"/>
    <w:rsid w:val="2C8965FC"/>
    <w:rsid w:val="2CAB0E18"/>
    <w:rsid w:val="2CF2794B"/>
    <w:rsid w:val="2D016ECD"/>
    <w:rsid w:val="2D3E05DB"/>
    <w:rsid w:val="2DB86B7C"/>
    <w:rsid w:val="2E4345B4"/>
    <w:rsid w:val="2E620EB2"/>
    <w:rsid w:val="2E9446ED"/>
    <w:rsid w:val="2F152D4C"/>
    <w:rsid w:val="2FB3107F"/>
    <w:rsid w:val="2FC14F32"/>
    <w:rsid w:val="303E16F6"/>
    <w:rsid w:val="305344C6"/>
    <w:rsid w:val="305829D1"/>
    <w:rsid w:val="306F1667"/>
    <w:rsid w:val="308D30DC"/>
    <w:rsid w:val="30EA660C"/>
    <w:rsid w:val="316311C9"/>
    <w:rsid w:val="322F683B"/>
    <w:rsid w:val="3239279E"/>
    <w:rsid w:val="32444B34"/>
    <w:rsid w:val="32F17D98"/>
    <w:rsid w:val="335173E6"/>
    <w:rsid w:val="33922181"/>
    <w:rsid w:val="35661154"/>
    <w:rsid w:val="35A54342"/>
    <w:rsid w:val="35D004C6"/>
    <w:rsid w:val="35EB5763"/>
    <w:rsid w:val="3613381D"/>
    <w:rsid w:val="36261957"/>
    <w:rsid w:val="36581795"/>
    <w:rsid w:val="36D87E8E"/>
    <w:rsid w:val="37277BBD"/>
    <w:rsid w:val="3741660B"/>
    <w:rsid w:val="37443F6B"/>
    <w:rsid w:val="38754D03"/>
    <w:rsid w:val="399850CA"/>
    <w:rsid w:val="39AA0AFD"/>
    <w:rsid w:val="39F944DC"/>
    <w:rsid w:val="3A441219"/>
    <w:rsid w:val="3AA34B96"/>
    <w:rsid w:val="3AA87BBB"/>
    <w:rsid w:val="3ACD29F1"/>
    <w:rsid w:val="3BB8231F"/>
    <w:rsid w:val="3C0A3517"/>
    <w:rsid w:val="3C3A4219"/>
    <w:rsid w:val="3C463CC3"/>
    <w:rsid w:val="3CE66235"/>
    <w:rsid w:val="3D7D39C5"/>
    <w:rsid w:val="3DAA4F54"/>
    <w:rsid w:val="3EA4156A"/>
    <w:rsid w:val="40190B4E"/>
    <w:rsid w:val="40E0021D"/>
    <w:rsid w:val="41973787"/>
    <w:rsid w:val="41BD34AE"/>
    <w:rsid w:val="41D70B85"/>
    <w:rsid w:val="420C67E4"/>
    <w:rsid w:val="42145744"/>
    <w:rsid w:val="421969A4"/>
    <w:rsid w:val="426B0CF6"/>
    <w:rsid w:val="427D2AF5"/>
    <w:rsid w:val="42894A41"/>
    <w:rsid w:val="431272BE"/>
    <w:rsid w:val="43487189"/>
    <w:rsid w:val="4386698B"/>
    <w:rsid w:val="43930858"/>
    <w:rsid w:val="43B10C43"/>
    <w:rsid w:val="43B61B7D"/>
    <w:rsid w:val="43D8787A"/>
    <w:rsid w:val="4419274A"/>
    <w:rsid w:val="4438462B"/>
    <w:rsid w:val="44693C20"/>
    <w:rsid w:val="44A2167C"/>
    <w:rsid w:val="44AA2267"/>
    <w:rsid w:val="450245BB"/>
    <w:rsid w:val="453A628D"/>
    <w:rsid w:val="45433394"/>
    <w:rsid w:val="4582571F"/>
    <w:rsid w:val="45CC15DB"/>
    <w:rsid w:val="45F566CA"/>
    <w:rsid w:val="45F71620"/>
    <w:rsid w:val="4656702B"/>
    <w:rsid w:val="46A65A3C"/>
    <w:rsid w:val="4739004B"/>
    <w:rsid w:val="47A91793"/>
    <w:rsid w:val="4887142D"/>
    <w:rsid w:val="48DE7494"/>
    <w:rsid w:val="492B0280"/>
    <w:rsid w:val="49347AB4"/>
    <w:rsid w:val="4A617146"/>
    <w:rsid w:val="4AA10133"/>
    <w:rsid w:val="4AB02E80"/>
    <w:rsid w:val="4B2B736E"/>
    <w:rsid w:val="4BDF7707"/>
    <w:rsid w:val="4C1E3E5D"/>
    <w:rsid w:val="4CB81F75"/>
    <w:rsid w:val="4D1A242E"/>
    <w:rsid w:val="4DB54E15"/>
    <w:rsid w:val="4DF00414"/>
    <w:rsid w:val="4E267ED6"/>
    <w:rsid w:val="4E87219E"/>
    <w:rsid w:val="4F111E0D"/>
    <w:rsid w:val="4F812CDD"/>
    <w:rsid w:val="50103B49"/>
    <w:rsid w:val="501A73E7"/>
    <w:rsid w:val="50247A9D"/>
    <w:rsid w:val="50DC5F75"/>
    <w:rsid w:val="51531742"/>
    <w:rsid w:val="519F31A5"/>
    <w:rsid w:val="52187956"/>
    <w:rsid w:val="52412270"/>
    <w:rsid w:val="52A31DBB"/>
    <w:rsid w:val="53062247"/>
    <w:rsid w:val="53226CDE"/>
    <w:rsid w:val="532272D6"/>
    <w:rsid w:val="5343733F"/>
    <w:rsid w:val="537C128F"/>
    <w:rsid w:val="537E70B5"/>
    <w:rsid w:val="543E49F3"/>
    <w:rsid w:val="547B55A7"/>
    <w:rsid w:val="54AC4D38"/>
    <w:rsid w:val="557E7070"/>
    <w:rsid w:val="561E73D9"/>
    <w:rsid w:val="568479DD"/>
    <w:rsid w:val="568F3C45"/>
    <w:rsid w:val="56EB5346"/>
    <w:rsid w:val="57106E4E"/>
    <w:rsid w:val="579F3F56"/>
    <w:rsid w:val="585C7ACF"/>
    <w:rsid w:val="58B61B08"/>
    <w:rsid w:val="58BB09BA"/>
    <w:rsid w:val="59B63830"/>
    <w:rsid w:val="59CC5F54"/>
    <w:rsid w:val="5A4945CB"/>
    <w:rsid w:val="5AC661A1"/>
    <w:rsid w:val="5B2666A5"/>
    <w:rsid w:val="5B435A44"/>
    <w:rsid w:val="5B99026B"/>
    <w:rsid w:val="5BB432CA"/>
    <w:rsid w:val="5BCC099F"/>
    <w:rsid w:val="5C5D6D82"/>
    <w:rsid w:val="5CE108C4"/>
    <w:rsid w:val="5D524339"/>
    <w:rsid w:val="5DF2057D"/>
    <w:rsid w:val="5E003BFF"/>
    <w:rsid w:val="5E146B01"/>
    <w:rsid w:val="5F3F505F"/>
    <w:rsid w:val="5F507BE6"/>
    <w:rsid w:val="5F92011E"/>
    <w:rsid w:val="5FD70616"/>
    <w:rsid w:val="616031D8"/>
    <w:rsid w:val="618E6761"/>
    <w:rsid w:val="61BF1B9C"/>
    <w:rsid w:val="61C441A0"/>
    <w:rsid w:val="61F909A5"/>
    <w:rsid w:val="65765FBF"/>
    <w:rsid w:val="666A415B"/>
    <w:rsid w:val="66AC6B93"/>
    <w:rsid w:val="670A092A"/>
    <w:rsid w:val="670C3839"/>
    <w:rsid w:val="672008BF"/>
    <w:rsid w:val="6745796D"/>
    <w:rsid w:val="67F0485E"/>
    <w:rsid w:val="681C4A4A"/>
    <w:rsid w:val="688A5283"/>
    <w:rsid w:val="688D6146"/>
    <w:rsid w:val="69356DFA"/>
    <w:rsid w:val="69AD7CC8"/>
    <w:rsid w:val="69D76FCA"/>
    <w:rsid w:val="6A336CF6"/>
    <w:rsid w:val="6A4C7B21"/>
    <w:rsid w:val="6A7D5B04"/>
    <w:rsid w:val="6AA21659"/>
    <w:rsid w:val="6AA72A9A"/>
    <w:rsid w:val="6AC50223"/>
    <w:rsid w:val="6B2F1CED"/>
    <w:rsid w:val="6C076A4C"/>
    <w:rsid w:val="6C3E104B"/>
    <w:rsid w:val="6C434A55"/>
    <w:rsid w:val="6C9C440C"/>
    <w:rsid w:val="6D5A2CCB"/>
    <w:rsid w:val="6D5D781B"/>
    <w:rsid w:val="6D7A380C"/>
    <w:rsid w:val="6EA650E3"/>
    <w:rsid w:val="6EC407F2"/>
    <w:rsid w:val="6F1C5D70"/>
    <w:rsid w:val="6F2244B4"/>
    <w:rsid w:val="6F550289"/>
    <w:rsid w:val="6FA279BE"/>
    <w:rsid w:val="706F768D"/>
    <w:rsid w:val="70A462F0"/>
    <w:rsid w:val="72684D25"/>
    <w:rsid w:val="729A2AEF"/>
    <w:rsid w:val="72FA73DA"/>
    <w:rsid w:val="73C81356"/>
    <w:rsid w:val="741836F5"/>
    <w:rsid w:val="744E7979"/>
    <w:rsid w:val="74F57482"/>
    <w:rsid w:val="756D7986"/>
    <w:rsid w:val="75A8461A"/>
    <w:rsid w:val="75BC5C9E"/>
    <w:rsid w:val="75E65661"/>
    <w:rsid w:val="76573E81"/>
    <w:rsid w:val="76CB777B"/>
    <w:rsid w:val="771A18F7"/>
    <w:rsid w:val="77311A03"/>
    <w:rsid w:val="77C33D3D"/>
    <w:rsid w:val="786B6A75"/>
    <w:rsid w:val="79294A02"/>
    <w:rsid w:val="793036B0"/>
    <w:rsid w:val="7ABB2AC0"/>
    <w:rsid w:val="7B423866"/>
    <w:rsid w:val="7B61056F"/>
    <w:rsid w:val="7B6A3F09"/>
    <w:rsid w:val="7B806FA4"/>
    <w:rsid w:val="7B9E5E84"/>
    <w:rsid w:val="7BB25A2E"/>
    <w:rsid w:val="7C762007"/>
    <w:rsid w:val="7D0674AC"/>
    <w:rsid w:val="7D804DFA"/>
    <w:rsid w:val="7D827CD7"/>
    <w:rsid w:val="7DE546EC"/>
    <w:rsid w:val="7F0F1615"/>
    <w:rsid w:val="7F0F3863"/>
    <w:rsid w:val="7F8F5025"/>
    <w:rsid w:val="7FD52364"/>
    <w:rsid w:val="7FE43BB7"/>
    <w:rsid w:val="7FFD76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20">
    <w:name w:val="Default Paragraph Font"/>
    <w:uiPriority w:val="0"/>
  </w:style>
  <w:style w:type="table" w:default="1" w:styleId="18">
    <w:name w:val="Normal Table"/>
    <w:unhideWhenUsed/>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23"/>
    <w:uiPriority w:val="0"/>
    <w:rPr>
      <w:rFonts w:ascii="宋体"/>
      <w:sz w:val="18"/>
      <w:szCs w:val="18"/>
    </w:rPr>
  </w:style>
  <w:style w:type="paragraph" w:styleId="7">
    <w:name w:val="annotation text"/>
    <w:basedOn w:val="1"/>
    <w:link w:val="24"/>
    <w:unhideWhenUsed/>
    <w:uiPriority w:val="99"/>
    <w:pPr>
      <w:jc w:val="left"/>
    </w:pPr>
  </w:style>
  <w:style w:type="paragraph" w:styleId="8">
    <w:name w:val="Body Text"/>
    <w:basedOn w:val="1"/>
    <w:next w:val="1"/>
    <w:uiPriority w:val="0"/>
    <w:pPr>
      <w:spacing w:after="120" w:afterLines="0"/>
    </w:pPr>
  </w:style>
  <w:style w:type="paragraph" w:styleId="9">
    <w:name w:val="Body Text Indent"/>
    <w:basedOn w:val="1"/>
    <w:qFormat/>
    <w:uiPriority w:val="0"/>
    <w:pPr>
      <w:spacing w:line="700" w:lineRule="exact"/>
      <w:ind w:left="960"/>
    </w:pPr>
    <w:rPr>
      <w:sz w:val="44"/>
    </w:rPr>
  </w:style>
  <w:style w:type="paragraph" w:styleId="10">
    <w:name w:val="Plain Text"/>
    <w:basedOn w:val="1"/>
    <w:unhideWhenUsed/>
    <w:uiPriority w:val="99"/>
    <w:rPr>
      <w:rFonts w:ascii="宋体" w:hAnsi="Courier New"/>
      <w:szCs w:val="21"/>
    </w:rPr>
  </w:style>
  <w:style w:type="paragraph" w:styleId="11">
    <w:name w:val="Date"/>
    <w:basedOn w:val="1"/>
    <w:next w:val="1"/>
    <w:uiPriority w:val="0"/>
    <w:pPr>
      <w:ind w:left="100" w:leftChars="2500"/>
    </w:pPr>
  </w:style>
  <w:style w:type="paragraph" w:styleId="12">
    <w:name w:val="Balloon Text"/>
    <w:basedOn w:val="1"/>
    <w:link w:val="25"/>
    <w:unhideWhenUsed/>
    <w:uiPriority w:val="99"/>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spacing w:beforeAutospacing="1" w:afterAutospacing="1"/>
      <w:jc w:val="left"/>
    </w:pPr>
    <w:rPr>
      <w:rFonts w:cs="Times New Roman"/>
      <w:kern w:val="0"/>
      <w:sz w:val="24"/>
    </w:rPr>
  </w:style>
  <w:style w:type="paragraph" w:styleId="16">
    <w:name w:val="index 1"/>
    <w:basedOn w:val="1"/>
    <w:next w:val="1"/>
    <w:uiPriority w:val="0"/>
    <w:pPr>
      <w:spacing w:line="360" w:lineRule="auto"/>
      <w:jc w:val="center"/>
    </w:pPr>
    <w:rPr>
      <w:rFonts w:ascii="宋体" w:hAnsi="Arial" w:cs="Arial"/>
      <w:b/>
      <w:color w:val="000000"/>
      <w:sz w:val="24"/>
      <w:szCs w:val="24"/>
    </w:rPr>
  </w:style>
  <w:style w:type="paragraph" w:styleId="17">
    <w:name w:val="annotation subject"/>
    <w:basedOn w:val="7"/>
    <w:next w:val="7"/>
    <w:link w:val="26"/>
    <w:unhideWhenUsed/>
    <w:uiPriority w:val="99"/>
    <w:rPr>
      <w:b/>
      <w:bCs/>
    </w:rPr>
  </w:style>
  <w:style w:type="table" w:styleId="19">
    <w:name w:val="Table Grid"/>
    <w:basedOn w:val="18"/>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annotation reference"/>
    <w:unhideWhenUsed/>
    <w:qFormat/>
    <w:uiPriority w:val="99"/>
    <w:rPr>
      <w:sz w:val="21"/>
      <w:szCs w:val="21"/>
    </w:rPr>
  </w:style>
  <w:style w:type="character" w:customStyle="1" w:styleId="23">
    <w:name w:val="文档结构图 Char"/>
    <w:link w:val="6"/>
    <w:uiPriority w:val="0"/>
    <w:rPr>
      <w:rFonts w:ascii="宋体"/>
      <w:kern w:val="2"/>
      <w:sz w:val="18"/>
      <w:szCs w:val="18"/>
    </w:rPr>
  </w:style>
  <w:style w:type="character" w:customStyle="1" w:styleId="24">
    <w:name w:val="批注文字 Char"/>
    <w:link w:val="7"/>
    <w:uiPriority w:val="99"/>
    <w:rPr>
      <w:kern w:val="2"/>
      <w:sz w:val="21"/>
    </w:rPr>
  </w:style>
  <w:style w:type="character" w:customStyle="1" w:styleId="25">
    <w:name w:val="批注框文本 Char"/>
    <w:link w:val="12"/>
    <w:semiHidden/>
    <w:uiPriority w:val="99"/>
    <w:rPr>
      <w:kern w:val="2"/>
      <w:sz w:val="18"/>
      <w:szCs w:val="18"/>
    </w:rPr>
  </w:style>
  <w:style w:type="character" w:customStyle="1" w:styleId="26">
    <w:name w:val="批注主题 Char"/>
    <w:link w:val="17"/>
    <w:semiHidden/>
    <w:uiPriority w:val="99"/>
    <w:rPr>
      <w:b/>
      <w:bCs/>
      <w:kern w:val="2"/>
      <w:sz w:val="21"/>
    </w:rPr>
  </w:style>
  <w:style w:type="character" w:customStyle="1" w:styleId="27">
    <w:name w:val="font71"/>
    <w:qFormat/>
    <w:uiPriority w:val="0"/>
    <w:rPr>
      <w:rFonts w:hint="eastAsia" w:ascii="宋体" w:hAnsi="宋体" w:eastAsia="宋体" w:cs="宋体"/>
      <w:color w:val="000000"/>
      <w:sz w:val="24"/>
      <w:szCs w:val="24"/>
      <w:u w:val="none"/>
    </w:rPr>
  </w:style>
  <w:style w:type="character" w:customStyle="1" w:styleId="28">
    <w:name w:val="font81"/>
    <w:uiPriority w:val="0"/>
    <w:rPr>
      <w:rFonts w:hint="eastAsia" w:ascii="宋体" w:hAnsi="宋体" w:eastAsia="宋体" w:cs="宋体"/>
      <w:b/>
      <w:color w:val="000000"/>
      <w:sz w:val="21"/>
      <w:szCs w:val="21"/>
      <w:u w:val="single"/>
    </w:rPr>
  </w:style>
  <w:style w:type="character" w:customStyle="1" w:styleId="29">
    <w:name w:val="占位符文本1"/>
    <w:semiHidden/>
    <w:uiPriority w:val="99"/>
    <w:rPr>
      <w:color w:val="808080"/>
    </w:rPr>
  </w:style>
  <w:style w:type="character" w:customStyle="1" w:styleId="30">
    <w:name w:val="font41"/>
    <w:qFormat/>
    <w:uiPriority w:val="0"/>
    <w:rPr>
      <w:rFonts w:hint="eastAsia" w:ascii="宋体" w:hAnsi="宋体" w:eastAsia="宋体" w:cs="宋体"/>
      <w:b/>
      <w:color w:val="000000"/>
      <w:sz w:val="24"/>
      <w:szCs w:val="24"/>
      <w:u w:val="single"/>
    </w:rPr>
  </w:style>
  <w:style w:type="character" w:customStyle="1" w:styleId="31">
    <w:name w:val="font01"/>
    <w:uiPriority w:val="0"/>
    <w:rPr>
      <w:rFonts w:hint="eastAsia" w:ascii="宋体" w:hAnsi="宋体" w:eastAsia="宋体" w:cs="宋体"/>
      <w:color w:val="000000"/>
      <w:sz w:val="22"/>
      <w:szCs w:val="22"/>
      <w:u w:val="none"/>
    </w:rPr>
  </w:style>
  <w:style w:type="character" w:customStyle="1" w:styleId="32">
    <w:name w:val="font61"/>
    <w:qFormat/>
    <w:uiPriority w:val="0"/>
    <w:rPr>
      <w:rFonts w:hint="eastAsia" w:ascii="宋体" w:hAnsi="宋体" w:eastAsia="宋体" w:cs="宋体"/>
      <w:color w:val="000000"/>
      <w:sz w:val="21"/>
      <w:szCs w:val="21"/>
      <w:u w:val="none"/>
    </w:rPr>
  </w:style>
  <w:style w:type="paragraph" w:customStyle="1" w:styleId="33">
    <w:name w:val="样式10"/>
    <w:basedOn w:val="1"/>
    <w:uiPriority w:val="0"/>
    <w:pPr>
      <w:numPr>
        <w:ilvl w:val="0"/>
        <w:numId w:val="1"/>
      </w:numPr>
      <w:tabs>
        <w:tab w:val="left" w:pos="737"/>
        <w:tab w:val="clear" w:pos="360"/>
      </w:tabs>
      <w:spacing w:line="360" w:lineRule="auto"/>
    </w:pPr>
    <w:rPr>
      <w:sz w:val="24"/>
      <w:szCs w:val="24"/>
    </w:rPr>
  </w:style>
  <w:style w:type="paragraph" w:customStyle="1" w:styleId="34">
    <w:name w:val="彩色列表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5">
    <w:name w:val="列出段落1"/>
    <w:basedOn w:val="1"/>
    <w:qFormat/>
    <w:uiPriority w:val="99"/>
    <w:pPr>
      <w:ind w:firstLine="420" w:firstLineChars="200"/>
    </w:pPr>
    <w:rPr>
      <w:rFonts w:ascii="Calibri" w:hAnsi="Calibri" w:cs="Calibri"/>
      <w:szCs w:val="21"/>
    </w:rPr>
  </w:style>
  <w:style w:type="paragraph" w:customStyle="1" w:styleId="36">
    <w:name w:val="Table Paragraph"/>
    <w:basedOn w:val="1"/>
    <w:qFormat/>
    <w:uiPriority w:val="1"/>
    <w:pPr>
      <w:autoSpaceDE w:val="0"/>
      <w:autoSpaceDN w:val="0"/>
      <w:jc w:val="center"/>
    </w:pPr>
    <w:rPr>
      <w:rFonts w:ascii="宋体" w:hAnsi="宋体" w:cs="宋体"/>
      <w:kern w:val="0"/>
      <w:sz w:val="22"/>
      <w:szCs w:val="22"/>
      <w:lang w:eastAsia="en-US"/>
    </w:rPr>
  </w:style>
  <w:style w:type="paragraph" w:customStyle="1" w:styleId="37">
    <w:name w:val="彩色列表 - 强调文字颜色 11"/>
    <w:basedOn w:val="1"/>
    <w:uiPriority w:val="0"/>
    <w:pPr>
      <w:widowControl/>
      <w:ind w:firstLine="420"/>
    </w:pPr>
    <w:rPr>
      <w:rFonts w:ascii="Calibri" w:hAnsi="Calibri" w:cs="Calibri"/>
      <w:kern w:val="0"/>
      <w:szCs w:val="21"/>
    </w:rPr>
  </w:style>
  <w:style w:type="paragraph" w:customStyle="1" w:styleId="38">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39">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26</Pages>
  <Words>13616</Words>
  <Characters>14165</Characters>
  <Lines>112</Lines>
  <Paragraphs>31</Paragraphs>
  <TotalTime>0</TotalTime>
  <ScaleCrop>false</ScaleCrop>
  <LinksUpToDate>false</LinksUpToDate>
  <CharactersWithSpaces>15528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2022-08-11T00:08:00Z</dcterms:created>
  <dc:creator>宋海涛</dc:creator>
  <cp:lastModifiedBy>吴霜</cp:lastModifiedBy>
  <cp:lastPrinted>2023-07-07T02:44:00Z</cp:lastPrinted>
  <dcterms:modified xsi:type="dcterms:W3CDTF">2023-07-20T09:17:29Z</dcterms:modified>
  <dc:title>重庆高速公路集团有限公司南方营运分公司服务区保安值守服务项目</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5FDB01D278AA4ED88D8765F9959017E1_13</vt:lpwstr>
  </property>
</Properties>
</file>