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涪江重庆段航道整治工程</w:t>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lang w:val="en-US" w:eastAsia="zh-CN"/>
        </w:rPr>
        <w:t>洪水影响评价报告编制（第三次）</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重庆航运建设发展（集团）有限公司</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3</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29"/>
            <w:tabs>
              <w:tab w:val="right" w:leader="dot" w:pos="9054"/>
            </w:tabs>
            <w:spacing w:line="510" w:lineRule="exact"/>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eastAsia="方正小标宋_GBK" w:cs="Times New Roman"/>
              <w:color w:val="auto"/>
              <w:sz w:val="32"/>
              <w:highlight w:val="none"/>
            </w:rPr>
            <w:fldChar w:fldCharType="begin"/>
          </w:r>
          <w:r>
            <w:rPr>
              <w:rFonts w:hint="default" w:ascii="Times New Roman" w:hAnsi="Times New Roman" w:eastAsia="方正小标宋_GBK" w:cs="Times New Roman"/>
              <w:color w:val="auto"/>
              <w:sz w:val="32"/>
              <w:highlight w:val="none"/>
            </w:rPr>
            <w:instrText xml:space="preserve"> TOC \o "1-3" \h \z \u </w:instrText>
          </w:r>
          <w:r>
            <w:rPr>
              <w:rFonts w:hint="default" w:ascii="Times New Roman" w:hAnsi="Times New Roman" w:eastAsia="方正小标宋_GBK" w:cs="Times New Roman"/>
              <w:color w:val="auto"/>
              <w:sz w:val="32"/>
              <w:highlight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"_Toc52097499" </w:instrText>
          </w:r>
          <w:r>
            <w:rPr>
              <w:rFonts w:hint="default" w:ascii="Times New Roman" w:hAnsi="Times New Roman" w:cs="Times New Roman"/>
              <w:color w:val="auto"/>
              <w:highlight w:val="none"/>
            </w:rPr>
            <w:fldChar w:fldCharType="separate"/>
          </w:r>
          <w:r>
            <w:rPr>
              <w:rStyle w:val="51"/>
              <w:rFonts w:hint="default" w:ascii="Times New Roman" w:hAnsi="Times New Roman" w:eastAsia="黑体" w:cs="Times New Roman"/>
              <w:bCs/>
              <w:color w:val="auto"/>
              <w:sz w:val="32"/>
              <w:highlight w:val="none"/>
              <w:lang w:val="zh-CN" w:eastAsia="zh-CN"/>
            </w:rPr>
            <w:t>第一章 询价公告</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"_Toc52097500"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1.询价条件</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"_Toc52097501"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2.项目概况与询价工作范围</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1</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"_Toc52097502"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3.报价人资格要求</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"_Toc52097503"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4.报价文件的递交</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2</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"_Toc52097504"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5.发布公告的媒介</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"_Toc52097506"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6.联系方式</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lang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"_Toc52097507" </w:instrText>
          </w:r>
          <w:r>
            <w:rPr>
              <w:rFonts w:hint="default" w:ascii="Times New Roman" w:hAnsi="Times New Roman" w:cs="Times New Roman"/>
              <w:color w:val="auto"/>
              <w:highlight w:val="none"/>
            </w:rPr>
            <w:fldChar w:fldCharType="separate"/>
          </w:r>
          <w:r>
            <w:rPr>
              <w:rStyle w:val="51"/>
              <w:rFonts w:hint="default" w:ascii="Times New Roman" w:hAnsi="Times New Roman" w:eastAsia="方正仿宋_GBK" w:cs="Times New Roman"/>
              <w:color w:val="auto"/>
              <w:sz w:val="32"/>
              <w:highlight w:val="none"/>
              <w:lang w:eastAsia="zh-CN"/>
            </w:rPr>
            <w:t>7.监督部门</w:t>
          </w:r>
          <w:r>
            <w:rPr>
              <w:rFonts w:hint="default" w:ascii="Times New Roman" w:hAnsi="Times New Roman" w:eastAsia="方正仿宋_GBK" w:cs="Times New Roman"/>
              <w:color w:val="auto"/>
              <w:sz w:val="32"/>
              <w:highlight w:val="none"/>
            </w:rPr>
            <w:tab/>
          </w:r>
          <w:r>
            <w:rPr>
              <w:rFonts w:hint="default" w:ascii="Times New Roman" w:hAnsi="Times New Roman" w:eastAsia="方正仿宋_GBK" w:cs="Times New Roman"/>
              <w:color w:val="auto"/>
              <w:sz w:val="32"/>
              <w:highlight w:val="none"/>
              <w:lang w:eastAsia="zh-CN"/>
            </w:rPr>
            <w:t>3</w:t>
          </w:r>
          <w:r>
            <w:rPr>
              <w:rFonts w:hint="default" w:ascii="Times New Roman" w:hAnsi="Times New Roman" w:eastAsia="方正仿宋_GBK" w:cs="Times New Roman"/>
              <w:color w:val="auto"/>
              <w:sz w:val="32"/>
              <w:highlight w:val="none"/>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color w:val="auto"/>
              <w:sz w:val="32"/>
              <w:highlight w:val="none"/>
              <w:lang w:eastAsia="zh-CN"/>
            </w:rPr>
          </w:pPr>
          <w:r>
            <w:rPr>
              <w:rFonts w:hint="default" w:ascii="Times New Roman" w:hAnsi="Times New Roman" w:eastAsia="黑体" w:cs="Times New Roman"/>
              <w:color w:val="auto"/>
              <w:sz w:val="32"/>
              <w:highlight w:val="none"/>
              <w:lang w:eastAsia="zh-CN"/>
            </w:rPr>
            <w:t>第二章 报价文件要求与评审办法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1.报价文件要求</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pStyle w:val="35"/>
            <w:tabs>
              <w:tab w:val="right" w:leader="dot" w:pos="9054"/>
            </w:tabs>
            <w:spacing w:line="510" w:lineRule="exact"/>
            <w:ind w:left="0" w:firstLine="630"/>
            <w:rPr>
              <w:rFonts w:hint="default" w:ascii="Times New Roman" w:hAnsi="Times New Roman" w:eastAsia="方正仿宋_GBK" w:cs="Times New Roman"/>
              <w:color w:val="auto"/>
              <w:sz w:val="32"/>
              <w:highlight w:val="none"/>
              <w:lang w:eastAsia="zh-CN"/>
            </w:rPr>
          </w:pPr>
          <w:r>
            <w:rPr>
              <w:rFonts w:hint="default" w:ascii="Times New Roman" w:hAnsi="Times New Roman" w:eastAsia="方正仿宋_GBK" w:cs="Times New Roman"/>
              <w:color w:val="auto"/>
              <w:sz w:val="32"/>
              <w:highlight w:val="none"/>
              <w:lang w:eastAsia="zh-CN"/>
            </w:rPr>
            <w:t>2.评审办法</w:t>
          </w:r>
          <w:r>
            <w:rPr>
              <w:rFonts w:hint="default" w:ascii="Times New Roman" w:hAnsi="Times New Roman" w:eastAsia="方正仿宋_GBK" w:cs="Times New Roman"/>
              <w:color w:val="auto"/>
              <w:sz w:val="32"/>
              <w:highlight w:val="none"/>
              <w:lang w:eastAsia="zh-CN"/>
            </w:rPr>
            <w:tab/>
          </w:r>
          <w:r>
            <w:rPr>
              <w:rFonts w:hint="default" w:ascii="Times New Roman" w:hAnsi="Times New Roman" w:eastAsia="方正仿宋_GBK" w:cs="Times New Roman"/>
              <w:color w:val="auto"/>
              <w:sz w:val="32"/>
              <w:highlight w:val="none"/>
              <w:lang w:eastAsia="zh-CN"/>
            </w:rPr>
            <w:t>4</w:t>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1906" w:h="16838"/>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hint="eastAsia" w:ascii="Times New Roman" w:hAnsi="Times New Roman" w:eastAsia="方正小标宋_GBK" w:cs="Times New Roman"/>
          <w:color w:val="auto"/>
          <w:sz w:val="36"/>
          <w:szCs w:val="36"/>
          <w:highlight w:val="none"/>
          <w:lang w:val="en-US" w:eastAsia="zh-CN"/>
        </w:rPr>
        <w:t>涪江重庆段航道整治工程</w:t>
      </w:r>
    </w:p>
    <w:p>
      <w:pPr>
        <w:spacing w:line="510" w:lineRule="exact"/>
        <w:jc w:val="center"/>
        <w:rPr>
          <w:rFonts w:hint="default" w:ascii="Times New Roman" w:hAnsi="Times New Roman" w:eastAsia="方正小标宋_GBK" w:cs="Times New Roman"/>
          <w:color w:val="auto"/>
          <w:sz w:val="36"/>
          <w:szCs w:val="36"/>
          <w:highlight w:val="none"/>
          <w:lang w:eastAsia="zh-CN"/>
        </w:rPr>
      </w:pPr>
      <w:r>
        <w:rPr>
          <w:rFonts w:hint="eastAsia" w:ascii="方正小标宋_GBK" w:hAnsi="方正小标宋_GBK" w:eastAsia="方正小标宋_GBK" w:cs="Times New Roman"/>
          <w:bCs/>
          <w:kern w:val="0"/>
          <w:sz w:val="36"/>
          <w:szCs w:val="44"/>
        </w:rPr>
        <w:t>洪水影响评价报告编制</w:t>
      </w:r>
      <w:r>
        <w:rPr>
          <w:rFonts w:hint="eastAsia" w:ascii="方正小标宋_GBK" w:hAnsi="方正小标宋_GBK" w:eastAsia="方正小标宋_GBK" w:cs="Times New Roman"/>
          <w:bCs/>
          <w:kern w:val="0"/>
          <w:sz w:val="36"/>
          <w:szCs w:val="44"/>
          <w:lang w:eastAsia="zh-CN"/>
        </w:rPr>
        <w:t>（</w:t>
      </w:r>
      <w:r>
        <w:rPr>
          <w:rFonts w:hint="eastAsia" w:ascii="方正小标宋_GBK" w:hAnsi="方正小标宋_GBK" w:eastAsia="方正小标宋_GBK" w:cs="Times New Roman"/>
          <w:bCs/>
          <w:kern w:val="0"/>
          <w:sz w:val="36"/>
          <w:szCs w:val="44"/>
          <w:lang w:val="en-US" w:eastAsia="zh-CN"/>
        </w:rPr>
        <w:t>第三次</w:t>
      </w:r>
      <w:r>
        <w:rPr>
          <w:rFonts w:hint="eastAsia" w:ascii="方正小标宋_GBK" w:hAnsi="方正小标宋_GBK" w:eastAsia="方正小标宋_GBK" w:cs="Times New Roman"/>
          <w:bCs/>
          <w:kern w:val="0"/>
          <w:sz w:val="36"/>
          <w:szCs w:val="44"/>
          <w:lang w:eastAsia="zh-CN"/>
        </w:rPr>
        <w:t>）</w:t>
      </w:r>
      <w:r>
        <w:rPr>
          <w:rFonts w:hint="default" w:ascii="Times New Roman" w:hAnsi="Times New Roman" w:eastAsia="方正小标宋_GBK" w:cs="Times New Roman"/>
          <w:color w:val="auto"/>
          <w:sz w:val="36"/>
          <w:szCs w:val="36"/>
          <w:highlight w:val="none"/>
          <w:lang w:eastAsia="zh-CN"/>
        </w:rPr>
        <w:t>询价公告</w:t>
      </w:r>
    </w:p>
    <w:p>
      <w:pPr>
        <w:spacing w:line="510" w:lineRule="exact"/>
        <w:jc w:val="center"/>
        <w:rPr>
          <w:rFonts w:hint="default" w:ascii="Times New Roman" w:hAnsi="Times New Roman" w:cs="Times New Roman" w:eastAsiaTheme="minorEastAsia"/>
          <w:color w:val="auto"/>
          <w:sz w:val="30"/>
          <w:szCs w:val="30"/>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bookmarkStart w:id="2" w:name="_Toc375641571"/>
      <w:bookmarkStart w:id="3" w:name="_Toc52097500"/>
      <w:bookmarkStart w:id="4" w:name="_Toc6230450"/>
      <w:bookmarkStart w:id="5" w:name="_Toc370126361"/>
      <w:bookmarkStart w:id="6" w:name="_Toc29194681"/>
      <w:r>
        <w:rPr>
          <w:rFonts w:hint="default" w:ascii="Times New Roman" w:hAnsi="Times New Roman" w:eastAsia="黑体" w:cs="Times New Roman"/>
          <w:b w:val="0"/>
          <w:color w:val="auto"/>
          <w:highlight w:val="none"/>
          <w:lang w:eastAsia="zh-CN"/>
        </w:rPr>
        <w:t>1.询价条件</w:t>
      </w:r>
      <w:bookmarkEnd w:id="2"/>
      <w:bookmarkEnd w:id="3"/>
      <w:bookmarkEnd w:id="4"/>
      <w:bookmarkEnd w:id="5"/>
      <w:bookmarkEnd w:id="6"/>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u w:val="single"/>
          <w:lang w:val="en-US" w:eastAsia="zh-CN"/>
        </w:rPr>
        <w:t xml:space="preserve">  涪江重庆段航道整治工程洪水影响评价报告编制  </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，发包人为</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 xml:space="preserve">重庆航运建设发展（集团）有限公司  </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Times New Roman" w:hAnsi="Times New Roman" w:eastAsia="方正仿宋_GBK" w:cs="Times New Roman"/>
          <w:bCs/>
          <w:color w:val="auto"/>
          <w:sz w:val="32"/>
          <w:szCs w:val="32"/>
          <w:highlight w:val="none"/>
          <w:u w:val="single"/>
          <w:lang w:val="en-US" w:eastAsia="zh-CN"/>
        </w:rPr>
        <w:t xml:space="preserve">  洪水影响评价报告编制 </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高速集团官网公开询价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7" w:name="_Toc29194682"/>
      <w:bookmarkStart w:id="8" w:name="_Toc52097501"/>
      <w:bookmarkStart w:id="9" w:name="_Toc6230451"/>
      <w:r>
        <w:rPr>
          <w:rFonts w:hint="default" w:ascii="Times New Roman" w:hAnsi="Times New Roman" w:eastAsia="黑体" w:cs="Times New Roman"/>
          <w:b w:val="0"/>
          <w:color w:val="auto"/>
          <w:highlight w:val="none"/>
          <w:lang w:eastAsia="zh-CN"/>
        </w:rPr>
        <w:t>2.项目概况与询价工作范围</w:t>
      </w:r>
      <w:bookmarkEnd w:id="7"/>
      <w:bookmarkEnd w:id="8"/>
      <w:bookmarkEnd w:id="9"/>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10" w:name="_Toc323734100"/>
      <w:bookmarkStart w:id="11" w:name="_Toc324429695"/>
      <w:bookmarkStart w:id="12" w:name="_Toc21092"/>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i/>
          <w:iCs/>
          <w:color w:val="auto"/>
          <w:sz w:val="32"/>
          <w:szCs w:val="32"/>
          <w:highlight w:val="none"/>
          <w:lang w:val="en-US" w:eastAsia="zh-CN"/>
        </w:rPr>
        <w:t xml:space="preserve"> </w:t>
      </w:r>
      <w:r>
        <w:rPr>
          <w:rFonts w:hint="eastAsia" w:ascii="Times New Roman" w:hAnsi="Times New Roman" w:eastAsia="方正仿宋_GBK" w:cs="Times New Roman"/>
          <w:bCs/>
          <w:i w:val="0"/>
          <w:iCs w:val="0"/>
          <w:color w:val="auto"/>
          <w:sz w:val="32"/>
          <w:szCs w:val="32"/>
          <w:highlight w:val="none"/>
          <w:lang w:val="en-US" w:eastAsia="zh-CN"/>
        </w:rPr>
        <w:t>涪江重庆段（潼南区、铜梁区、合川区）</w:t>
      </w:r>
      <w:r>
        <w:rPr>
          <w:rFonts w:hint="default" w:ascii="Times New Roman" w:hAnsi="Times New Roman" w:eastAsia="方正仿宋_GBK" w:cs="Times New Roman"/>
          <w:bCs/>
          <w:i w:val="0"/>
          <w:iCs w:val="0"/>
          <w:color w:val="auto"/>
          <w:sz w:val="32"/>
          <w:szCs w:val="32"/>
          <w:highlight w:val="none"/>
          <w:lang w:val="en-US" w:eastAsia="zh-CN"/>
        </w:rPr>
        <w:t xml:space="preserve"> </w:t>
      </w:r>
      <w:r>
        <w:rPr>
          <w:rFonts w:hint="default" w:ascii="Times New Roman" w:hAnsi="Times New Roman" w:eastAsia="方正仿宋_GBK" w:cs="Times New Roman"/>
          <w:bCs/>
          <w:i/>
          <w:iCs/>
          <w:color w:val="auto"/>
          <w:sz w:val="32"/>
          <w:szCs w:val="32"/>
          <w:highlight w:val="none"/>
          <w:lang w:val="en-US" w:eastAsia="zh-CN"/>
        </w:rPr>
        <w:t xml:space="preserve">    </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pStyle w:val="193"/>
        <w:tabs>
          <w:tab w:val="left" w:pos="1040"/>
          <w:tab w:val="left" w:pos="2952"/>
          <w:tab w:val="left" w:pos="4126"/>
        </w:tabs>
        <w:spacing w:line="600" w:lineRule="exact"/>
        <w:ind w:firstLine="640" w:firstLineChars="200"/>
        <w:rPr>
          <w:rFonts w:hint="eastAsia" w:ascii="方正仿宋_GBK" w:hAnsi="方正仿宋_GBK" w:eastAsia="方正仿宋_GBK" w:cs="方正仿宋_GBK"/>
          <w:bCs/>
          <w:color w:val="auto"/>
          <w:kern w:val="0"/>
          <w:sz w:val="32"/>
          <w:szCs w:val="32"/>
          <w:highlight w:val="none"/>
          <w:lang w:val="en-US" w:eastAsia="zh-CN" w:bidi="ar-SA"/>
        </w:rPr>
      </w:pPr>
      <w:r>
        <w:rPr>
          <w:rFonts w:hint="eastAsia" w:ascii="方正仿宋_GBK" w:hAnsi="方正仿宋_GBK" w:eastAsia="方正仿宋_GBK" w:cs="方正仿宋_GBK"/>
          <w:bCs/>
          <w:color w:val="auto"/>
          <w:kern w:val="0"/>
          <w:sz w:val="32"/>
          <w:szCs w:val="32"/>
          <w:highlight w:val="none"/>
          <w:lang w:val="en-US" w:eastAsia="zh-CN" w:bidi="ar-SA"/>
        </w:rPr>
        <w:t>涪江是嘉陵江右岸的最大一级支流，发源于四川省松潘县，主要流经四川平武、绵阳、遂宁和重庆潼南、铜梁、合川等地，干流全长670公里，历来是连接川北、川中和渝西地区的重要水上通道。其中涪江重庆段长约136公里，流域面积为3640km</w:t>
      </w:r>
      <w:r>
        <w:rPr>
          <w:rFonts w:hint="eastAsia" w:ascii="方正仿宋_GBK" w:hAnsi="方正仿宋_GBK" w:eastAsia="方正仿宋_GBK" w:cs="方正仿宋_GBK"/>
          <w:bCs/>
          <w:color w:val="auto"/>
          <w:kern w:val="0"/>
          <w:sz w:val="32"/>
          <w:szCs w:val="32"/>
          <w:highlight w:val="none"/>
          <w:vertAlign w:val="superscript"/>
          <w:lang w:val="en-US" w:eastAsia="zh-CN" w:bidi="ar-SA"/>
        </w:rPr>
        <w:t>2</w:t>
      </w:r>
      <w:r>
        <w:rPr>
          <w:rFonts w:hint="eastAsia" w:ascii="方正仿宋_GBK" w:hAnsi="方正仿宋_GBK" w:eastAsia="方正仿宋_GBK" w:cs="方正仿宋_GBK"/>
          <w:bCs/>
          <w:color w:val="auto"/>
          <w:kern w:val="0"/>
          <w:sz w:val="32"/>
          <w:szCs w:val="32"/>
          <w:highlight w:val="none"/>
          <w:lang w:val="en-US" w:eastAsia="zh-CN" w:bidi="ar-SA"/>
        </w:rPr>
        <w:t>。涪江全流域规划开发21个梯级，其中重庆境内5个，已建成投产潼南、富金坝、安居、渭沱4座梯级，双江梯级正在建设中，基本形成连续渠化河道。涪江重庆段航道整治工程预估总投资约3.3亿元。</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78.3</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万</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1.</w:t>
      </w:r>
      <w:r>
        <w:rPr>
          <w:rFonts w:hint="eastAsia" w:ascii="方正仿宋_GBK" w:hAnsi="方正仿宋_GBK" w:eastAsia="方正仿宋_GBK" w:cs="方正仿宋_GBK"/>
          <w:sz w:val="32"/>
          <w:szCs w:val="32"/>
        </w:rPr>
        <w:t>本次项目</w:t>
      </w:r>
      <w:r>
        <w:rPr>
          <w:rFonts w:hint="eastAsia" w:ascii="方正仿宋_GBK" w:hAnsi="方正仿宋_GBK" w:eastAsia="方正仿宋_GBK" w:cs="方正仿宋_GBK"/>
          <w:sz w:val="32"/>
          <w:szCs w:val="32"/>
          <w:lang w:val="en-US" w:eastAsia="zh-CN"/>
        </w:rPr>
        <w:t>为涪江重庆段航道整治工程洪水影响评价报告编制的第三次询价</w:t>
      </w:r>
      <w:r>
        <w:rPr>
          <w:rFonts w:hint="eastAsia" w:ascii="方正仿宋_GBK" w:hAnsi="方正仿宋_GBK" w:eastAsia="方正仿宋_GBK" w:cs="方正仿宋_GBK"/>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2.</w:t>
      </w:r>
      <w:r>
        <w:rPr>
          <w:rFonts w:hint="eastAsia" w:ascii="方正仿宋_GBK" w:hAnsi="方正仿宋_GBK" w:eastAsia="方正仿宋_GBK" w:cs="方正仿宋_GBK"/>
          <w:bCs/>
          <w:color w:val="auto"/>
          <w:sz w:val="32"/>
          <w:szCs w:val="32"/>
          <w:highlight w:val="none"/>
          <w:lang w:eastAsia="zh-CN"/>
        </w:rPr>
        <w:t>质量要求：符合水利部、重庆市水利主管部门的相关规程规范、技术标准和文件等相关要求。全部成果报告需通过专家评审</w:t>
      </w:r>
      <w:r>
        <w:rPr>
          <w:rFonts w:hint="eastAsia" w:ascii="方正仿宋_GBK" w:hAnsi="方正仿宋_GBK" w:eastAsia="方正仿宋_GBK" w:cs="方正仿宋_GBK"/>
          <w:bCs/>
          <w:color w:val="auto"/>
          <w:sz w:val="32"/>
          <w:szCs w:val="32"/>
          <w:highlight w:val="none"/>
          <w:lang w:val="en-US" w:eastAsia="zh-CN"/>
        </w:rPr>
        <w:t>并达到获得市水利局批复要求</w:t>
      </w:r>
      <w:r>
        <w:rPr>
          <w:rFonts w:hint="eastAsia" w:ascii="方正仿宋_GBK" w:hAnsi="方正仿宋_GBK" w:eastAsia="方正仿宋_GBK" w:cs="方正仿宋_GBK"/>
          <w:bCs/>
          <w:color w:val="auto"/>
          <w:sz w:val="32"/>
          <w:szCs w:val="32"/>
          <w:highlight w:val="none"/>
          <w:lang w:eastAsia="zh-CN"/>
        </w:rPr>
        <w:t>。</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方正仿宋_GBK" w:hAnsi="方正仿宋_GBK" w:eastAsia="方正仿宋_GBK" w:cs="方正仿宋_GBK"/>
          <w:bCs/>
          <w:color w:val="auto"/>
          <w:sz w:val="32"/>
          <w:szCs w:val="32"/>
          <w:highlight w:val="none"/>
          <w:lang w:eastAsia="zh-CN"/>
        </w:rPr>
        <w:t>3.</w:t>
      </w:r>
      <w:r>
        <w:rPr>
          <w:rFonts w:hint="eastAsia" w:ascii="方正仿宋_GBK" w:hAnsi="方正仿宋_GBK" w:eastAsia="方正仿宋_GBK" w:cs="方正仿宋_GBK"/>
          <w:bCs/>
          <w:color w:val="auto"/>
          <w:sz w:val="32"/>
          <w:szCs w:val="32"/>
          <w:highlight w:val="none"/>
          <w:lang w:eastAsia="zh-CN"/>
        </w:rPr>
        <w:t>本项目费用采取总价包干方式。在履行合同期间，询价人对因物价变动或其它因素而导致的人工、材料及其它费用的增加不予补偿；合同价不随政策性因素的变化而进行调整。供应商参考国家现行和其他的相关规定以及本询价采购文件规定的工作内容和计划工作量，自行测算费用。</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eastAsia" w:ascii="方正仿宋_GBK" w:hAnsi="方正仿宋_GBK" w:eastAsia="方正仿宋_GBK" w:cs="方正仿宋_GBK"/>
          <w:bCs/>
          <w:color w:val="auto"/>
          <w:sz w:val="32"/>
          <w:szCs w:val="32"/>
          <w:highlight w:val="none"/>
          <w:lang w:eastAsia="zh-CN"/>
        </w:rPr>
        <w:t>响应报价为完成采购范围确定的所有工作内容的全部费用。供应商为完成合同工作内容所需的人员费、交通费、差旅费、保险费、试验费、调研费、复印费、成果报告专家评审费（会议和专家咨询费用）、培训费、后续服务费、一切税费和公司取费（企业管理费、利润等）等一切相关费用均由供应商承担，并包含在供应商的响应报价之内。</w:t>
      </w:r>
    </w:p>
    <w:p>
      <w:pPr>
        <w:spacing w:line="510" w:lineRule="exact"/>
        <w:ind w:firstLine="640" w:firstLineChars="200"/>
        <w:jc w:val="both"/>
        <w:rPr>
          <w:rFonts w:hint="default"/>
          <w:lang w:val="en-US" w:eastAsia="zh-CN"/>
        </w:rPr>
      </w:pPr>
      <w:r>
        <w:rPr>
          <w:rFonts w:hint="eastAsia" w:ascii="方正仿宋_GBK" w:hAnsi="方正仿宋_GBK" w:eastAsia="方正仿宋_GBK" w:cs="方正仿宋_GBK"/>
          <w:bCs/>
          <w:color w:val="auto"/>
          <w:sz w:val="32"/>
          <w:szCs w:val="32"/>
          <w:highlight w:val="none"/>
          <w:lang w:val="en-US" w:eastAsia="zh-CN"/>
        </w:rPr>
        <w:t>4.支付方式：</w:t>
      </w:r>
      <w:r>
        <w:rPr>
          <w:rFonts w:hint="eastAsia" w:ascii="方正仿宋_GBK" w:hAnsi="方正仿宋_GBK" w:eastAsia="方正仿宋_GBK" w:cs="方正仿宋_GBK"/>
          <w:bCs/>
          <w:color w:val="auto"/>
          <w:sz w:val="32"/>
          <w:szCs w:val="32"/>
          <w:highlight w:val="none"/>
          <w:lang w:val="zh-CN" w:eastAsia="zh-CN"/>
        </w:rPr>
        <w:t>合同签订后28天内，</w:t>
      </w:r>
      <w:r>
        <w:rPr>
          <w:rFonts w:hint="eastAsia" w:ascii="方正仿宋_GBK" w:hAnsi="方正仿宋_GBK" w:eastAsia="方正仿宋_GBK" w:cs="方正仿宋_GBK"/>
          <w:bCs/>
          <w:color w:val="auto"/>
          <w:sz w:val="32"/>
          <w:szCs w:val="32"/>
          <w:highlight w:val="none"/>
          <w:lang w:val="en-US" w:eastAsia="zh-CN"/>
        </w:rPr>
        <w:t>支付合同总价的10%作为预付款；</w:t>
      </w:r>
      <w:r>
        <w:rPr>
          <w:rFonts w:hint="eastAsia" w:ascii="方正仿宋_GBK" w:hAnsi="方正仿宋_GBK" w:eastAsia="方正仿宋_GBK" w:cs="方正仿宋_GBK"/>
          <w:sz w:val="32"/>
          <w:szCs w:val="32"/>
          <w:lang w:val="en-US" w:eastAsia="zh-CN"/>
        </w:rPr>
        <w:t>洪水影响评价报告编制</w:t>
      </w:r>
      <w:r>
        <w:rPr>
          <w:rFonts w:hint="eastAsia" w:ascii="方正仿宋_GBK" w:hAnsi="方正仿宋_GBK" w:eastAsia="方正仿宋_GBK" w:cs="方正仿宋_GBK"/>
          <w:bCs/>
          <w:color w:val="auto"/>
          <w:sz w:val="32"/>
          <w:szCs w:val="32"/>
          <w:highlight w:val="none"/>
          <w:lang w:val="en-US" w:eastAsia="zh-CN"/>
        </w:rPr>
        <w:t>通过行业主管部门审查后，支付合同总价的70%；取得行业主管部门批复意见后，再支付剩余合同总价的20%</w:t>
      </w:r>
      <w:r>
        <w:rPr>
          <w:rFonts w:hint="eastAsia" w:ascii="方正仿宋_GBK" w:hAnsi="方正仿宋_GBK" w:eastAsia="方正仿宋_GBK" w:cs="方正仿宋_GBK"/>
          <w:bCs/>
          <w:color w:val="auto"/>
          <w:sz w:val="32"/>
          <w:szCs w:val="32"/>
          <w:highlight w:val="none"/>
          <w:lang w:val="zh-CN"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eastAsia="仿宋_GB2312"/>
          <w:kern w:val="0"/>
          <w:sz w:val="32"/>
          <w:szCs w:val="32"/>
          <w:lang w:val="en-US" w:eastAsia="zh-CN"/>
        </w:rPr>
        <w:t>甲方提供工可报告初稿后</w:t>
      </w:r>
      <w:r>
        <w:rPr>
          <w:rFonts w:hint="eastAsia" w:eastAsia="仿宋_GB2312"/>
          <w:kern w:val="0"/>
          <w:sz w:val="32"/>
          <w:szCs w:val="32"/>
        </w:rPr>
        <w:t>，</w:t>
      </w:r>
      <w:r>
        <w:rPr>
          <w:rFonts w:hint="eastAsia" w:eastAsia="仿宋_GB2312"/>
          <w:kern w:val="0"/>
          <w:sz w:val="32"/>
          <w:szCs w:val="32"/>
          <w:lang w:val="en-US" w:eastAsia="zh-CN"/>
        </w:rPr>
        <w:t>乙方于</w:t>
      </w:r>
      <w:r>
        <w:rPr>
          <w:rFonts w:hint="eastAsia" w:eastAsia="仿宋_GB2312"/>
          <w:kern w:val="0"/>
          <w:sz w:val="32"/>
          <w:szCs w:val="32"/>
        </w:rPr>
        <w:t>45日内提</w:t>
      </w:r>
      <w:r>
        <w:rPr>
          <w:rFonts w:hint="eastAsia" w:eastAsia="仿宋_GB2312"/>
          <w:kern w:val="0"/>
          <w:sz w:val="32"/>
          <w:szCs w:val="32"/>
          <w:lang w:val="en-US" w:eastAsia="zh-CN"/>
        </w:rPr>
        <w:t>交</w:t>
      </w:r>
      <w:r>
        <w:rPr>
          <w:rFonts w:hint="eastAsia" w:eastAsia="仿宋_GB2312"/>
          <w:kern w:val="0"/>
          <w:sz w:val="32"/>
          <w:szCs w:val="32"/>
        </w:rPr>
        <w:t>《</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w:t>
      </w:r>
      <w:r>
        <w:rPr>
          <w:rFonts w:hint="eastAsia" w:eastAsia="仿宋_GB2312"/>
          <w:color w:val="auto"/>
          <w:kern w:val="0"/>
          <w:sz w:val="32"/>
          <w:szCs w:val="32"/>
        </w:rPr>
        <w:t>（</w:t>
      </w:r>
      <w:r>
        <w:rPr>
          <w:rFonts w:hint="eastAsia" w:eastAsia="仿宋_GB2312"/>
          <w:color w:val="auto"/>
          <w:kern w:val="0"/>
          <w:sz w:val="32"/>
          <w:szCs w:val="32"/>
          <w:lang w:val="en-US" w:eastAsia="zh-CN"/>
        </w:rPr>
        <w:t>初</w:t>
      </w:r>
      <w:r>
        <w:rPr>
          <w:rFonts w:hint="eastAsia" w:eastAsia="仿宋_GB2312"/>
          <w:color w:val="auto"/>
          <w:kern w:val="0"/>
          <w:sz w:val="32"/>
          <w:szCs w:val="32"/>
        </w:rPr>
        <w:t>稿）</w:t>
      </w:r>
      <w:r>
        <w:rPr>
          <w:rFonts w:hint="eastAsia" w:eastAsia="仿宋_GB2312"/>
          <w:color w:val="auto"/>
          <w:kern w:val="0"/>
          <w:sz w:val="32"/>
          <w:szCs w:val="32"/>
          <w:lang w:val="en-US" w:eastAsia="zh-CN"/>
        </w:rPr>
        <w:t>电子版</w:t>
      </w:r>
      <w:r>
        <w:rPr>
          <w:rFonts w:hint="eastAsia" w:eastAsia="仿宋_GB2312"/>
          <w:color w:val="auto"/>
          <w:kern w:val="0"/>
          <w:sz w:val="32"/>
          <w:szCs w:val="32"/>
        </w:rPr>
        <w:t>；</w:t>
      </w:r>
      <w:r>
        <w:rPr>
          <w:rFonts w:hint="eastAsia" w:eastAsia="仿宋_GB2312"/>
          <w:color w:val="auto"/>
          <w:kern w:val="0"/>
          <w:sz w:val="32"/>
          <w:szCs w:val="32"/>
          <w:lang w:val="en-US" w:eastAsia="zh-CN"/>
        </w:rPr>
        <w:t>甲方提供初步设计报告初稿后，乙方于20天内提交《</w:t>
      </w:r>
      <w:r>
        <w:rPr>
          <w:rFonts w:hint="eastAsia" w:ascii="方正仿宋_GBK" w:hAnsi="方正仿宋_GBK" w:eastAsia="方正仿宋_GBK" w:cs="方正仿宋_GBK"/>
          <w:sz w:val="32"/>
          <w:szCs w:val="32"/>
          <w:lang w:val="en-US" w:eastAsia="zh-CN"/>
        </w:rPr>
        <w:t>洪水影响评价报告</w:t>
      </w:r>
      <w:r>
        <w:rPr>
          <w:rFonts w:hint="eastAsia" w:eastAsia="仿宋_GB2312"/>
          <w:color w:val="auto"/>
          <w:kern w:val="0"/>
          <w:sz w:val="32"/>
          <w:szCs w:val="32"/>
          <w:lang w:val="en-US" w:eastAsia="zh-CN"/>
        </w:rPr>
        <w:t>》（送审稿）电子版及15份纸质版；</w:t>
      </w:r>
      <w:r>
        <w:rPr>
          <w:rFonts w:hint="eastAsia" w:eastAsia="仿宋_GB2312"/>
          <w:kern w:val="0"/>
          <w:sz w:val="32"/>
          <w:szCs w:val="32"/>
        </w:rPr>
        <w:t>通过主管部门审查后15日内，提供《</w:t>
      </w:r>
      <w:r>
        <w:rPr>
          <w:rFonts w:hint="eastAsia" w:ascii="方正仿宋_GBK" w:hAnsi="方正仿宋_GBK" w:eastAsia="方正仿宋_GBK" w:cs="方正仿宋_GBK"/>
          <w:sz w:val="32"/>
          <w:szCs w:val="32"/>
          <w:lang w:val="en-US" w:eastAsia="zh-CN"/>
        </w:rPr>
        <w:t>洪水影响评价报告</w:t>
      </w:r>
      <w:r>
        <w:rPr>
          <w:rFonts w:hint="eastAsia" w:eastAsia="仿宋_GB2312"/>
          <w:kern w:val="0"/>
          <w:sz w:val="32"/>
          <w:szCs w:val="32"/>
        </w:rPr>
        <w:t>》（报批稿）10份。以上报告提供时，均需提供电子文档光盘资料2份</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bookmarkStart w:id="13" w:name="_Toc29194683"/>
      <w:bookmarkStart w:id="14" w:name="_Toc6230452"/>
      <w:bookmarkStart w:id="15" w:name="_Toc52097502"/>
      <w:r>
        <w:rPr>
          <w:rFonts w:hint="default" w:ascii="Times New Roman" w:hAnsi="Times New Roman" w:eastAsia="黑体" w:cs="Times New Roman"/>
          <w:b w:val="0"/>
          <w:color w:val="auto"/>
          <w:highlight w:val="none"/>
          <w:lang w:eastAsia="zh-CN"/>
        </w:rPr>
        <w:t>3.报价人资格要求</w:t>
      </w:r>
      <w:bookmarkEnd w:id="10"/>
      <w:bookmarkEnd w:id="11"/>
      <w:bookmarkEnd w:id="12"/>
      <w:bookmarkEnd w:id="13"/>
      <w:bookmarkEnd w:id="14"/>
      <w:bookmarkEnd w:id="15"/>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w:t>
      </w:r>
      <w:r>
        <w:rPr>
          <w:rFonts w:hint="eastAsia" w:ascii="Times New Roman" w:hAnsi="Times New Roman" w:eastAsia="方正仿宋_GBK" w:cs="Times New Roman"/>
          <w:bCs/>
          <w:color w:val="auto"/>
          <w:sz w:val="32"/>
          <w:szCs w:val="32"/>
          <w:highlight w:val="none"/>
          <w:lang w:val="en-US" w:eastAsia="zh-CN"/>
        </w:rPr>
        <w:t>格</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w:t>
      </w:r>
      <w:r>
        <w:rPr>
          <w:rFonts w:hint="eastAsia" w:ascii="Times New Roman" w:hAnsi="Times New Roman" w:eastAsia="方正仿宋_GBK" w:cs="Times New Roman"/>
          <w:bCs/>
          <w:color w:val="auto"/>
          <w:sz w:val="32"/>
          <w:szCs w:val="32"/>
          <w:highlight w:val="none"/>
          <w:lang w:val="en-US" w:eastAsia="zh-CN"/>
        </w:rPr>
        <w:t>企业</w:t>
      </w:r>
      <w:r>
        <w:rPr>
          <w:rFonts w:hint="default" w:ascii="Times New Roman" w:hAnsi="Times New Roman" w:eastAsia="方正仿宋_GBK" w:cs="Times New Roman"/>
          <w:bCs/>
          <w:color w:val="auto"/>
          <w:sz w:val="32"/>
          <w:szCs w:val="32"/>
          <w:highlight w:val="none"/>
          <w:lang w:eastAsia="zh-CN"/>
        </w:rPr>
        <w:t>具有有效</w:t>
      </w:r>
      <w:r>
        <w:rPr>
          <w:rFonts w:hint="eastAsia" w:ascii="Times New Roman" w:hAnsi="Times New Roman" w:eastAsia="方正仿宋_GBK" w:cs="Times New Roman"/>
          <w:bCs/>
          <w:color w:val="auto"/>
          <w:sz w:val="32"/>
          <w:szCs w:val="32"/>
          <w:highlight w:val="none"/>
          <w:lang w:val="en-US" w:eastAsia="zh-CN"/>
        </w:rPr>
        <w:t>营业执照</w:t>
      </w:r>
      <w:r>
        <w:rPr>
          <w:rFonts w:hint="default" w:ascii="Times New Roman" w:hAnsi="Times New Roman" w:eastAsia="方正仿宋_GBK" w:cs="Times New Roman"/>
          <w:bCs/>
          <w:color w:val="auto"/>
          <w:sz w:val="32"/>
          <w:szCs w:val="32"/>
          <w:highlight w:val="none"/>
          <w:lang w:eastAsia="zh-CN"/>
        </w:rPr>
        <w:t>、税务登记证、组织机构代码证</w:t>
      </w: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多证合一的</w:t>
      </w:r>
      <w:r>
        <w:rPr>
          <w:rFonts w:hint="eastAsia" w:ascii="Times New Roman" w:hAnsi="Times New Roman" w:eastAsia="方正仿宋_GBK" w:cs="Times New Roman"/>
          <w:bCs/>
          <w:color w:val="auto"/>
          <w:sz w:val="32"/>
          <w:szCs w:val="32"/>
          <w:highlight w:val="none"/>
          <w:lang w:val="en-US" w:eastAsia="zh-CN"/>
        </w:rPr>
        <w:t>提供合并后的有效证件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报价人自</w:t>
      </w:r>
      <w:r>
        <w:rPr>
          <w:rFonts w:hint="eastAsia" w:ascii="Times New Roman" w:hAnsi="Times New Roman" w:eastAsia="方正仿宋_GBK" w:cs="Times New Roman"/>
          <w:bCs/>
          <w:color w:val="auto"/>
          <w:sz w:val="32"/>
          <w:szCs w:val="32"/>
          <w:highlight w:val="none"/>
          <w:u w:val="single"/>
          <w:lang w:val="en-US" w:eastAsia="zh-CN"/>
        </w:rPr>
        <w:t>2018</w:t>
      </w:r>
      <w:r>
        <w:rPr>
          <w:rFonts w:hint="default" w:ascii="Times New Roman" w:hAnsi="Times New Roman" w:eastAsia="方正仿宋_GBK" w:cs="Times New Roman"/>
          <w:bCs/>
          <w:color w:val="auto"/>
          <w:sz w:val="32"/>
          <w:szCs w:val="32"/>
          <w:highlight w:val="none"/>
          <w:lang w:eastAsia="zh-CN"/>
        </w:rPr>
        <w:t>年1月1日至报价截止日（</w:t>
      </w:r>
      <w:r>
        <w:rPr>
          <w:rFonts w:hint="eastAsia" w:eastAsia="仿宋_GB2312"/>
          <w:color w:val="auto"/>
          <w:kern w:val="0"/>
          <w:sz w:val="32"/>
          <w:szCs w:val="32"/>
          <w:highlight w:val="none"/>
        </w:rPr>
        <w:t>以批复时间为准</w:t>
      </w:r>
      <w:r>
        <w:rPr>
          <w:rFonts w:hint="default" w:ascii="Times New Roman" w:hAnsi="Times New Roman" w:eastAsia="方正仿宋_GBK" w:cs="Times New Roman"/>
          <w:bCs/>
          <w:color w:val="auto"/>
          <w:sz w:val="32"/>
          <w:szCs w:val="32"/>
          <w:highlight w:val="none"/>
          <w:lang w:eastAsia="zh-CN"/>
        </w:rPr>
        <w:t>），至少</w:t>
      </w:r>
      <w:r>
        <w:rPr>
          <w:rFonts w:hint="eastAsia" w:ascii="Times New Roman" w:hAnsi="Times New Roman" w:eastAsia="方正仿宋_GBK" w:cs="Times New Roman"/>
          <w:bCs/>
          <w:color w:val="auto"/>
          <w:sz w:val="32"/>
          <w:szCs w:val="32"/>
          <w:highlight w:val="none"/>
          <w:lang w:val="en-US" w:eastAsia="zh-CN"/>
        </w:rPr>
        <w:t>完成过</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个</w:t>
      </w:r>
      <w:r>
        <w:rPr>
          <w:rFonts w:hint="eastAsia" w:eastAsia="仿宋_GB2312"/>
          <w:color w:val="auto"/>
          <w:kern w:val="0"/>
          <w:sz w:val="32"/>
          <w:szCs w:val="32"/>
          <w:highlight w:val="none"/>
          <w:lang w:val="en-US" w:eastAsia="zh-CN"/>
        </w:rPr>
        <w:t>水运工程或水利工程或桥梁</w:t>
      </w:r>
      <w:r>
        <w:rPr>
          <w:rFonts w:hint="eastAsia" w:eastAsia="仿宋_GB2312"/>
          <w:color w:val="auto"/>
          <w:kern w:val="0"/>
          <w:sz w:val="32"/>
          <w:szCs w:val="32"/>
          <w:highlight w:val="none"/>
        </w:rPr>
        <w:t>工程的洪水影响评</w:t>
      </w:r>
      <w:r>
        <w:rPr>
          <w:rFonts w:hint="eastAsia" w:ascii="Times New Roman" w:hAnsi="Times New Roman" w:eastAsia="方正仿宋_GBK" w:cs="Times New Roman"/>
          <w:bCs/>
          <w:color w:val="auto"/>
          <w:sz w:val="32"/>
          <w:szCs w:val="32"/>
          <w:highlight w:val="none"/>
          <w:lang w:eastAsia="zh-CN"/>
        </w:rPr>
        <w:t>报告编制并</w:t>
      </w:r>
      <w:r>
        <w:rPr>
          <w:rFonts w:hint="eastAsia" w:ascii="Times New Roman" w:hAnsi="Times New Roman" w:eastAsia="方正仿宋_GBK" w:cs="Times New Roman"/>
          <w:bCs/>
          <w:color w:val="auto"/>
          <w:sz w:val="32"/>
          <w:szCs w:val="32"/>
          <w:highlight w:val="none"/>
          <w:lang w:val="en-US" w:eastAsia="zh-CN"/>
        </w:rPr>
        <w:t>取得省级（或直辖市）及以上行政主管部门</w:t>
      </w:r>
      <w:r>
        <w:rPr>
          <w:rFonts w:hint="eastAsia" w:ascii="Times New Roman" w:hAnsi="Times New Roman" w:eastAsia="方正仿宋_GBK" w:cs="Times New Roman"/>
          <w:bCs/>
          <w:color w:val="auto"/>
          <w:sz w:val="32"/>
          <w:szCs w:val="32"/>
          <w:highlight w:val="none"/>
          <w:lang w:eastAsia="zh-CN"/>
        </w:rPr>
        <w:t>批复</w:t>
      </w:r>
      <w:r>
        <w:rPr>
          <w:rFonts w:hint="default" w:ascii="Times New Roman" w:hAnsi="Times New Roman" w:eastAsia="方正仿宋_GBK" w:cs="Times New Roman"/>
          <w:bCs/>
          <w:color w:val="auto"/>
          <w:sz w:val="32"/>
          <w:szCs w:val="32"/>
          <w:highlight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联合体询价。</w:t>
      </w:r>
    </w:p>
    <w:p>
      <w:pPr>
        <w:pStyle w:val="4"/>
        <w:spacing w:line="510" w:lineRule="exact"/>
        <w:rPr>
          <w:rFonts w:hint="default" w:ascii="Times New Roman" w:hAnsi="Times New Roman" w:eastAsia="黑体" w:cs="Times New Roman"/>
          <w:b w:val="0"/>
          <w:color w:val="auto"/>
          <w:highlight w:val="none"/>
          <w:lang w:eastAsia="zh-CN"/>
        </w:rPr>
      </w:pPr>
      <w:bookmarkStart w:id="16" w:name="_Toc52097503"/>
      <w:bookmarkStart w:id="17" w:name="_Toc13014"/>
      <w:bookmarkStart w:id="18" w:name="_Toc323734101"/>
      <w:bookmarkStart w:id="19" w:name="_Toc324429696"/>
      <w:bookmarkStart w:id="20" w:name="_Toc6230453"/>
      <w:bookmarkStart w:id="21" w:name="_Toc2919468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eastAsia" w:ascii="方正仿宋_GBK" w:hAnsi="方正仿宋_GBK" w:eastAsia="方正仿宋_GBK" w:cs="方正仿宋_GBK"/>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方正仿宋_GBK" w:hAnsi="方正仿宋_GBK" w:eastAsia="方正仿宋_GBK" w:cs="方正仿宋_GBK"/>
          <w:kern w:val="0"/>
          <w:sz w:val="32"/>
          <w:szCs w:val="32"/>
          <w:u w:val="single"/>
        </w:rPr>
        <w:t>重庆市</w:t>
      </w:r>
      <w:r>
        <w:rPr>
          <w:rFonts w:hint="eastAsia" w:ascii="方正仿宋_GBK" w:hAnsi="方正仿宋_GBK" w:eastAsia="方正仿宋_GBK" w:cs="方正仿宋_GBK"/>
          <w:kern w:val="0"/>
          <w:sz w:val="32"/>
          <w:szCs w:val="32"/>
          <w:u w:val="single"/>
          <w:lang w:val="en-US" w:eastAsia="zh-CN"/>
        </w:rPr>
        <w:t>渝北区</w:t>
      </w:r>
      <w:r>
        <w:rPr>
          <w:rFonts w:hint="eastAsia" w:ascii="方正仿宋_GBK" w:hAnsi="方正仿宋_GBK" w:eastAsia="方正仿宋_GBK" w:cs="方正仿宋_GBK"/>
          <w:kern w:val="0"/>
          <w:sz w:val="32"/>
          <w:szCs w:val="32"/>
          <w:u w:val="single"/>
        </w:rPr>
        <w:t>星光大道76号天王星B座23楼</w:t>
      </w:r>
      <w:r>
        <w:rPr>
          <w:rFonts w:hint="eastAsia" w:ascii="方正仿宋_GBK" w:hAnsi="方正仿宋_GBK" w:eastAsia="方正仿宋_GBK" w:cs="方正仿宋_GBK"/>
          <w:kern w:val="0"/>
          <w:sz w:val="32"/>
          <w:szCs w:val="32"/>
          <w:u w:val="single"/>
          <w:lang w:val="en-US" w:eastAsia="zh-CN"/>
        </w:rPr>
        <w:t>总工办</w:t>
      </w:r>
      <w:r>
        <w:rPr>
          <w:rFonts w:hint="eastAsia" w:ascii="方正仿宋_GBK" w:hAnsi="方正仿宋_GBK" w:eastAsia="方正仿宋_GBK" w:cs="方正仿宋_GBK"/>
          <w:kern w:val="0"/>
          <w:sz w:val="32"/>
          <w:szCs w:val="32"/>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4.2报价文件递交截止时间：202</w:t>
      </w:r>
      <w:r>
        <w:rPr>
          <w:rFonts w:hint="eastAsia" w:ascii="Times New Roman" w:hAnsi="Times New Roman" w:eastAsia="方正仿宋_GBK" w:cs="Times New Roman"/>
          <w:bCs/>
          <w:color w:val="auto"/>
          <w:sz w:val="32"/>
          <w:szCs w:val="32"/>
          <w:highlight w:val="non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7</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月</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u w:val="single"/>
          <w:lang w:val="en-US" w:eastAsia="zh-CN"/>
        </w:rPr>
        <w:t>5</w:t>
      </w:r>
      <w:r>
        <w:rPr>
          <w:rFonts w:hint="default" w:ascii="Times New Roman" w:hAnsi="Times New Roman" w:eastAsia="方正仿宋_GBK" w:cs="Times New Roman"/>
          <w:bCs/>
          <w:color w:val="auto"/>
          <w:sz w:val="32"/>
          <w:szCs w:val="32"/>
          <w:highlight w:val="none"/>
          <w:lang w:val="en-US" w:eastAsia="zh-CN"/>
        </w:rPr>
        <w:t>_</w:t>
      </w:r>
      <w:r>
        <w:rPr>
          <w:rFonts w:hint="default" w:ascii="Times New Roman" w:hAnsi="Times New Roman" w:eastAsia="方正仿宋_GBK" w:cs="Times New Roman"/>
          <w:bCs/>
          <w:color w:val="auto"/>
          <w:sz w:val="32"/>
          <w:szCs w:val="32"/>
          <w:highlight w:val="none"/>
          <w:lang w:eastAsia="zh-CN"/>
        </w:rPr>
        <w:t>日</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时00分（北京时间</w:t>
      </w: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若截止时间至公告时间不满3个工作日，则截止时间顺延至公告后第二工作日17时00分</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val="en-US" w:eastAsia="zh-CN"/>
        </w:rPr>
        <w:t>重庆航运建设发展（集团）有限</w:t>
      </w:r>
      <w:r>
        <w:rPr>
          <w:rFonts w:hint="default" w:ascii="Times New Roman" w:hAnsi="Times New Roman" w:eastAsia="方正仿宋_GBK" w:cs="Times New Roman"/>
          <w:bCs/>
          <w:color w:val="auto"/>
          <w:sz w:val="32"/>
          <w:szCs w:val="32"/>
          <w:highlight w:val="none"/>
          <w:lang w:eastAsia="zh-CN"/>
        </w:rPr>
        <w:t>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val="en-US" w:eastAsia="zh-CN"/>
        </w:rPr>
        <w:t>重庆市渝北区星光大道76号天王星B座23楼</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邓老师</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lang w:val="en-US" w:eastAsia="zh-CN"/>
        </w:rPr>
        <w:t>023-88734299</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监督部门：</w:t>
      </w:r>
      <w:r>
        <w:rPr>
          <w:rFonts w:hint="eastAsia" w:ascii="Times New Roman" w:hAnsi="Times New Roman" w:eastAsia="方正仿宋_GBK" w:cs="Times New Roman"/>
          <w:bCs/>
          <w:color w:val="auto"/>
          <w:sz w:val="32"/>
          <w:szCs w:val="32"/>
          <w:highlight w:val="none"/>
          <w:lang w:val="en-US" w:eastAsia="zh-CN"/>
        </w:rPr>
        <w:t>重庆航运建设发展（集团）有限公司</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联系电话：</w:t>
      </w:r>
      <w:r>
        <w:rPr>
          <w:rFonts w:hint="eastAsia" w:ascii="Times New Roman" w:hAnsi="Times New Roman" w:eastAsia="方正仿宋_GBK" w:cs="Times New Roman"/>
          <w:bCs/>
          <w:color w:val="auto"/>
          <w:sz w:val="32"/>
          <w:szCs w:val="32"/>
          <w:highlight w:val="none"/>
          <w:lang w:val="en-US" w:eastAsia="zh-CN"/>
        </w:rPr>
        <w:t>023-89076673</w:t>
      </w:r>
    </w:p>
    <w:p>
      <w:pPr>
        <w:pStyle w:val="4"/>
        <w:spacing w:line="400" w:lineRule="exact"/>
        <w:rPr>
          <w:rFonts w:hint="default" w:ascii="Times New Roman" w:hAnsi="Times New Roman" w:cs="Times New Roman" w:eastAsiaTheme="minorEastAsia"/>
          <w:color w:val="auto"/>
          <w:sz w:val="24"/>
          <w:szCs w:val="21"/>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2023年7月20日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4"/>
        <w:spacing w:line="510" w:lineRule="exact"/>
        <w:rPr>
          <w:rFonts w:hint="default" w:ascii="Times New Roman" w:hAnsi="Times New Roman" w:eastAsia="黑体" w:cs="Times New Roman"/>
          <w:b w:val="0"/>
          <w:color w:val="auto"/>
          <w:highlight w:val="none"/>
          <w:lang w:eastAsia="zh-CN"/>
        </w:rPr>
      </w:pP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柒拾捌万叁仟</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783000</w:t>
      </w:r>
      <w:r>
        <w:rPr>
          <w:rFonts w:hint="default"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1.2报价文件装订采用A4纸幅面，正</w:t>
      </w:r>
      <w:bookmarkStart w:id="22" w:name="_GoBack"/>
      <w:bookmarkEnd w:id="22"/>
      <w:r>
        <w:rPr>
          <w:rFonts w:hint="default" w:ascii="Times New Roman" w:hAnsi="Times New Roman" w:eastAsia="方正仿宋_GBK" w:cs="Times New Roman"/>
          <w:bCs/>
          <w:color w:val="auto"/>
          <w:sz w:val="32"/>
          <w:szCs w:val="32"/>
          <w:highlight w:val="none"/>
          <w:lang w:eastAsia="zh-CN"/>
        </w:rPr>
        <w:t>副本分开装订，封面注明正副本字样。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1.4报价文件正副本一并装入封套中，密封完好并在封口处加盖报价人单位公章，否则其报价文件将被否决。封套上应注明：</w:t>
      </w:r>
      <w:r>
        <w:rPr>
          <w:rFonts w:hint="default" w:ascii="Times New Roman" w:hAnsi="Times New Roman" w:eastAsia="方正仿宋_GBK" w:cs="Times New Roman"/>
          <w:bCs/>
          <w:color w:val="auto"/>
          <w:sz w:val="32"/>
          <w:szCs w:val="32"/>
          <w:highlight w:val="none"/>
          <w:lang w:val="en-US" w:eastAsia="zh-CN"/>
        </w:rPr>
        <w:t>__</w:t>
      </w:r>
      <w:r>
        <w:rPr>
          <w:rFonts w:hint="eastAsia" w:ascii="Times New Roman" w:hAnsi="Times New Roman" w:eastAsia="方正仿宋_GBK" w:cs="Times New Roman"/>
          <w:bCs/>
          <w:color w:val="auto"/>
          <w:sz w:val="32"/>
          <w:szCs w:val="32"/>
          <w:highlight w:val="none"/>
          <w:u w:val="single"/>
          <w:lang w:val="en-US" w:eastAsia="zh-CN"/>
        </w:rPr>
        <w:t>涪江重庆段航道整治工程洪水影响评价（第三次）</w:t>
      </w:r>
      <w:r>
        <w:rPr>
          <w:rFonts w:hint="default" w:ascii="Times New Roman" w:hAnsi="Times New Roman" w:eastAsia="方正仿宋_GBK" w:cs="Times New Roman"/>
          <w:bCs/>
          <w:color w:val="auto"/>
          <w:sz w:val="32"/>
          <w:szCs w:val="32"/>
          <w:highlight w:val="none"/>
          <w:lang w:val="en-US" w:eastAsia="zh-CN"/>
        </w:rPr>
        <w:t>_</w:t>
      </w:r>
      <w:r>
        <w:rPr>
          <w:rFonts w:hint="eastAsia" w:ascii="Times New Roman" w:hAnsi="Times New Roman" w:eastAsia="方正仿宋_GBK" w:cs="Times New Roman"/>
          <w:bCs/>
          <w:color w:val="auto"/>
          <w:sz w:val="32"/>
          <w:szCs w:val="32"/>
          <w:highlight w:val="none"/>
          <w:lang w:val="en-US" w:eastAsia="zh-CN"/>
        </w:rPr>
        <w:t>项目</w:t>
      </w:r>
      <w:r>
        <w:rPr>
          <w:rFonts w:hint="default" w:ascii="Times New Roman" w:hAnsi="Times New Roman" w:eastAsia="方正仿宋_GBK" w:cs="Times New Roman"/>
          <w:bCs/>
          <w:color w:val="auto"/>
          <w:sz w:val="32"/>
          <w:szCs w:val="32"/>
          <w:highlight w:val="none"/>
          <w:lang w:eastAsia="zh-CN"/>
        </w:rPr>
        <w:t>，报价文件在</w:t>
      </w:r>
      <w:r>
        <w:rPr>
          <w:rFonts w:hint="default" w:ascii="Times New Roman" w:hAnsi="Times New Roman" w:eastAsia="方正仿宋_GBK" w:cs="Times New Roman"/>
          <w:bCs/>
          <w:color w:val="auto"/>
          <w:sz w:val="32"/>
          <w:szCs w:val="32"/>
          <w:highlight w:val="none"/>
          <w:u w:val="single"/>
          <w:lang w:eastAsia="zh-CN"/>
        </w:rPr>
        <w:t>202</w:t>
      </w:r>
      <w:r>
        <w:rPr>
          <w:rFonts w:hint="eastAsia" w:ascii="Times New Roman" w:hAnsi="Times New Roman" w:eastAsia="方正仿宋_GBK" w:cs="Times New Roman"/>
          <w:bCs/>
          <w:color w:val="auto"/>
          <w:sz w:val="32"/>
          <w:szCs w:val="32"/>
          <w:highlight w:val="none"/>
          <w:u w:val="single"/>
          <w:lang w:val="en-US" w:eastAsia="zh-CN"/>
        </w:rPr>
        <w:t>3</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color w:val="auto"/>
          <w:sz w:val="32"/>
          <w:szCs w:val="32"/>
          <w:highlight w:val="none"/>
          <w:u w:val="single"/>
          <w:lang w:val="en-US" w:eastAsia="zh-CN"/>
        </w:rPr>
        <w:t>7</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u w:val="single"/>
          <w:lang w:val="en-US" w:eastAsia="zh-CN"/>
        </w:rPr>
        <w:t>5</w:t>
      </w:r>
      <w:r>
        <w:rPr>
          <w:rFonts w:hint="default" w:ascii="Times New Roman" w:hAnsi="Times New Roman" w:eastAsia="方正仿宋_GBK" w:cs="Times New Roman"/>
          <w:bCs/>
          <w:color w:val="auto"/>
          <w:sz w:val="32"/>
          <w:szCs w:val="32"/>
          <w:highlight w:val="none"/>
          <w:lang w:eastAsia="zh-CN"/>
        </w:rPr>
        <w:t>日</w:t>
      </w:r>
      <w:r>
        <w:rPr>
          <w:rFonts w:hint="eastAsia" w:ascii="Times New Roman" w:hAnsi="Times New Roman" w:eastAsia="方正仿宋_GBK" w:cs="Times New Roman"/>
          <w:bCs/>
          <w:color w:val="auto"/>
          <w:sz w:val="32"/>
          <w:szCs w:val="32"/>
          <w:highlight w:val="none"/>
          <w:u w:val="single"/>
          <w:lang w:val="en-US" w:eastAsia="zh-CN"/>
        </w:rPr>
        <w:t>17</w:t>
      </w:r>
      <w:r>
        <w:rPr>
          <w:rFonts w:hint="default" w:ascii="Times New Roman" w:hAnsi="Times New Roman" w:eastAsia="方正仿宋_GBK" w:cs="Times New Roman"/>
          <w:bCs/>
          <w:color w:val="auto"/>
          <w:sz w:val="32"/>
          <w:szCs w:val="32"/>
          <w:highlight w:val="none"/>
          <w:lang w:eastAsia="zh-CN"/>
        </w:rPr>
        <w:t>时 00 分前不得开启。</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1.5 资格证明材料要求：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①营业执照、税务登记证、组织机构代码证</w:t>
      </w:r>
      <w:r>
        <w:rPr>
          <w:rFonts w:hint="eastAsia" w:ascii="Times New Roman" w:hAnsi="Times New Roman" w:eastAsia="方正仿宋_GBK" w:cs="Times New Roman"/>
          <w:bCs/>
          <w:color w:val="auto"/>
          <w:sz w:val="32"/>
          <w:szCs w:val="32"/>
          <w:highlight w:val="none"/>
          <w:lang w:val="en-US" w:eastAsia="zh-CN"/>
        </w:rPr>
        <w:t>复印件，或</w:t>
      </w:r>
      <w:r>
        <w:rPr>
          <w:rFonts w:hint="default" w:ascii="Times New Roman" w:hAnsi="Times New Roman" w:eastAsia="方正仿宋_GBK" w:cs="Times New Roman"/>
          <w:bCs/>
          <w:color w:val="auto"/>
          <w:sz w:val="32"/>
          <w:szCs w:val="32"/>
          <w:highlight w:val="none"/>
          <w:lang w:eastAsia="zh-CN"/>
        </w:rPr>
        <w:t>多证合一</w:t>
      </w:r>
      <w:r>
        <w:rPr>
          <w:rFonts w:hint="eastAsia" w:ascii="Times New Roman" w:hAnsi="Times New Roman" w:eastAsia="方正仿宋_GBK" w:cs="Times New Roman"/>
          <w:bCs/>
          <w:color w:val="auto"/>
          <w:sz w:val="32"/>
          <w:szCs w:val="32"/>
          <w:highlight w:val="none"/>
          <w:lang w:val="en-US" w:eastAsia="zh-CN"/>
        </w:rPr>
        <w:t>证件复印件</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hint="default" w:ascii="Times New Roman" w:hAnsi="Times New Roman" w:eastAsia="方正仿宋_GBK" w:cs="Times New Roman"/>
          <w:bCs/>
          <w:color w:val="auto"/>
          <w:sz w:val="32"/>
          <w:szCs w:val="32"/>
          <w:highlight w:val="none"/>
          <w:lang w:eastAsia="zh-CN"/>
        </w:rPr>
        <w:t>业绩</w:t>
      </w:r>
      <w:r>
        <w:rPr>
          <w:rFonts w:hint="eastAsia" w:ascii="Times New Roman" w:hAnsi="Times New Roman" w:eastAsia="方正仿宋_GBK" w:cs="Times New Roman"/>
          <w:bCs/>
          <w:color w:val="auto"/>
          <w:sz w:val="32"/>
          <w:szCs w:val="32"/>
          <w:highlight w:val="none"/>
          <w:lang w:val="en-US" w:eastAsia="zh-CN"/>
        </w:rPr>
        <w:t>证明材料：批复文件复印件</w:t>
      </w:r>
      <w:r>
        <w:rPr>
          <w:rFonts w:hint="default" w:ascii="Times New Roman" w:hAnsi="Times New Roman" w:eastAsia="方正仿宋_GBK" w:cs="Times New Roman"/>
          <w:bCs/>
          <w:color w:val="auto"/>
          <w:sz w:val="32"/>
          <w:szCs w:val="32"/>
          <w:highlight w:val="none"/>
          <w:lang w:eastAsia="zh-CN"/>
        </w:rPr>
        <w:t>。</w:t>
      </w:r>
    </w:p>
    <w:p>
      <w:pPr>
        <w:pStyle w:val="4"/>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本次询价属于重新比选范畴，重新比选参与报价的有效报价人</w:t>
      </w:r>
      <w:r>
        <w:rPr>
          <w:rFonts w:hint="eastAsia" w:ascii="Times New Roman" w:hAnsi="Times New Roman" w:eastAsia="方正仿宋_GBK" w:cs="Times New Roman"/>
          <w:bCs/>
          <w:color w:val="auto"/>
          <w:sz w:val="32"/>
          <w:szCs w:val="32"/>
          <w:highlight w:val="none"/>
          <w:lang w:val="en-US" w:eastAsia="zh-CN"/>
        </w:rPr>
        <w:t>不足三家的</w:t>
      </w:r>
      <w:r>
        <w:rPr>
          <w:rFonts w:hint="default" w:ascii="Times New Roman" w:hAnsi="Times New Roman" w:eastAsia="方正仿宋_GBK" w:cs="Times New Roman"/>
          <w:bCs/>
          <w:color w:val="auto"/>
          <w:sz w:val="32"/>
          <w:szCs w:val="32"/>
          <w:highlight w:val="none"/>
          <w:lang w:eastAsia="zh-CN"/>
        </w:rPr>
        <w:t>，经评审可产生中选单位。</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6"/>
    <w:bookmarkEnd w:id="17"/>
    <w:bookmarkEnd w:id="18"/>
    <w:bookmarkEnd w:id="19"/>
    <w:bookmarkEnd w:id="20"/>
    <w:bookmarkEnd w:id="21"/>
    <w:p>
      <w:pPr>
        <w:jc w:val="both"/>
        <w:rPr>
          <w:rFonts w:hint="default" w:ascii="Times New Roman" w:hAnsi="Times New Roman" w:eastAsia="方正小标宋_GBK" w:cs="Times New Roman"/>
          <w:color w:val="auto"/>
          <w:sz w:val="44"/>
          <w:szCs w:val="44"/>
          <w:highlight w:val="none"/>
          <w:lang w:eastAsia="zh-CN"/>
        </w:rPr>
      </w:pPr>
    </w:p>
    <w:sectPr>
      <w:headerReference r:id="rId5" w:type="default"/>
      <w:footerReference r:id="rId6"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E0002A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Impact">
    <w:panose1 w:val="020B0806030902050204"/>
    <w:charset w:val="00"/>
    <w:family w:val="auto"/>
    <w:pitch w:val="default"/>
    <w:sig w:usb0="00000287" w:usb1="00000000" w:usb2="00000000" w:usb3="00000000" w:csb0="2000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2"/>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wMWQ1MjcxMzAxOTc4YjE2MDg3YWQxOGE1YjVkYTA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20019E7"/>
    <w:rsid w:val="022575EF"/>
    <w:rsid w:val="048A3FA3"/>
    <w:rsid w:val="04C75BA9"/>
    <w:rsid w:val="05046843"/>
    <w:rsid w:val="0636605F"/>
    <w:rsid w:val="066E658D"/>
    <w:rsid w:val="067A2C61"/>
    <w:rsid w:val="06ED263D"/>
    <w:rsid w:val="07501833"/>
    <w:rsid w:val="08651193"/>
    <w:rsid w:val="08F93D5B"/>
    <w:rsid w:val="09CD7F8F"/>
    <w:rsid w:val="0A1147DE"/>
    <w:rsid w:val="0A2D3298"/>
    <w:rsid w:val="0A95138C"/>
    <w:rsid w:val="0AAC240E"/>
    <w:rsid w:val="0BB95CD2"/>
    <w:rsid w:val="0BFE4292"/>
    <w:rsid w:val="0C292867"/>
    <w:rsid w:val="0CD07E15"/>
    <w:rsid w:val="0CFA4A65"/>
    <w:rsid w:val="0D406B8E"/>
    <w:rsid w:val="0E707BD8"/>
    <w:rsid w:val="0F07055B"/>
    <w:rsid w:val="0FB66909"/>
    <w:rsid w:val="10A81391"/>
    <w:rsid w:val="117A6EEF"/>
    <w:rsid w:val="12711EC4"/>
    <w:rsid w:val="13B86C2F"/>
    <w:rsid w:val="14295DAF"/>
    <w:rsid w:val="142A7E51"/>
    <w:rsid w:val="159E24E8"/>
    <w:rsid w:val="162417DF"/>
    <w:rsid w:val="16A76DEE"/>
    <w:rsid w:val="17AC5B95"/>
    <w:rsid w:val="19421CE6"/>
    <w:rsid w:val="198130EF"/>
    <w:rsid w:val="19AE416C"/>
    <w:rsid w:val="19DD43BA"/>
    <w:rsid w:val="1A4B45F5"/>
    <w:rsid w:val="1AEB3291"/>
    <w:rsid w:val="1AFA7273"/>
    <w:rsid w:val="1CEB3111"/>
    <w:rsid w:val="1D1E25DF"/>
    <w:rsid w:val="1D652848"/>
    <w:rsid w:val="1DD736C3"/>
    <w:rsid w:val="1E6F1C79"/>
    <w:rsid w:val="1FEF6BCD"/>
    <w:rsid w:val="21CC3BA7"/>
    <w:rsid w:val="21E3769E"/>
    <w:rsid w:val="22102401"/>
    <w:rsid w:val="228765EB"/>
    <w:rsid w:val="234E4979"/>
    <w:rsid w:val="241174C5"/>
    <w:rsid w:val="24304B96"/>
    <w:rsid w:val="24430E72"/>
    <w:rsid w:val="24B738C2"/>
    <w:rsid w:val="254C1860"/>
    <w:rsid w:val="255178E6"/>
    <w:rsid w:val="255E1927"/>
    <w:rsid w:val="2580476C"/>
    <w:rsid w:val="25F14B98"/>
    <w:rsid w:val="26710645"/>
    <w:rsid w:val="26971D6D"/>
    <w:rsid w:val="26A91696"/>
    <w:rsid w:val="26EA7C92"/>
    <w:rsid w:val="27007186"/>
    <w:rsid w:val="272F2851"/>
    <w:rsid w:val="274F3DB2"/>
    <w:rsid w:val="279C6923"/>
    <w:rsid w:val="27BD1AEB"/>
    <w:rsid w:val="28FC289D"/>
    <w:rsid w:val="2914405B"/>
    <w:rsid w:val="29156EF2"/>
    <w:rsid w:val="293435B5"/>
    <w:rsid w:val="296138F6"/>
    <w:rsid w:val="298E5654"/>
    <w:rsid w:val="2B052B73"/>
    <w:rsid w:val="2B6948BD"/>
    <w:rsid w:val="2BF539B5"/>
    <w:rsid w:val="2C61237F"/>
    <w:rsid w:val="2D280A7E"/>
    <w:rsid w:val="2E9A4AF0"/>
    <w:rsid w:val="2FCD04BE"/>
    <w:rsid w:val="319A23E2"/>
    <w:rsid w:val="3206472E"/>
    <w:rsid w:val="328937F3"/>
    <w:rsid w:val="32A12759"/>
    <w:rsid w:val="32F017EB"/>
    <w:rsid w:val="33254D78"/>
    <w:rsid w:val="335D4929"/>
    <w:rsid w:val="33C83BC3"/>
    <w:rsid w:val="35153592"/>
    <w:rsid w:val="35276BCD"/>
    <w:rsid w:val="35996867"/>
    <w:rsid w:val="387B5356"/>
    <w:rsid w:val="389F0583"/>
    <w:rsid w:val="39723329"/>
    <w:rsid w:val="3A296D28"/>
    <w:rsid w:val="3B3B1938"/>
    <w:rsid w:val="3B536115"/>
    <w:rsid w:val="3B896557"/>
    <w:rsid w:val="3D12686E"/>
    <w:rsid w:val="3D18578A"/>
    <w:rsid w:val="3DA55E6C"/>
    <w:rsid w:val="3E0A4684"/>
    <w:rsid w:val="3E415AC4"/>
    <w:rsid w:val="3EC066EC"/>
    <w:rsid w:val="3ED20001"/>
    <w:rsid w:val="3EE322BE"/>
    <w:rsid w:val="3EED6A2E"/>
    <w:rsid w:val="3EF25A32"/>
    <w:rsid w:val="40201E32"/>
    <w:rsid w:val="408814E1"/>
    <w:rsid w:val="418D49B0"/>
    <w:rsid w:val="41DC2462"/>
    <w:rsid w:val="42615AA3"/>
    <w:rsid w:val="426A5D19"/>
    <w:rsid w:val="42740C54"/>
    <w:rsid w:val="42A713D5"/>
    <w:rsid w:val="42E21CE0"/>
    <w:rsid w:val="42EE0B57"/>
    <w:rsid w:val="42FC2B26"/>
    <w:rsid w:val="430D5104"/>
    <w:rsid w:val="43EF3495"/>
    <w:rsid w:val="453756CC"/>
    <w:rsid w:val="454A4722"/>
    <w:rsid w:val="455255E8"/>
    <w:rsid w:val="45912351"/>
    <w:rsid w:val="45B11EFA"/>
    <w:rsid w:val="46E4318C"/>
    <w:rsid w:val="471F4D88"/>
    <w:rsid w:val="479E3A47"/>
    <w:rsid w:val="47D87266"/>
    <w:rsid w:val="48324764"/>
    <w:rsid w:val="49222A1C"/>
    <w:rsid w:val="49A2577D"/>
    <w:rsid w:val="4A321E22"/>
    <w:rsid w:val="4A3546F1"/>
    <w:rsid w:val="4B106456"/>
    <w:rsid w:val="4C6F2EDA"/>
    <w:rsid w:val="4DDF79D2"/>
    <w:rsid w:val="4E03626B"/>
    <w:rsid w:val="4E4C658E"/>
    <w:rsid w:val="4EBB21ED"/>
    <w:rsid w:val="4ECA3387"/>
    <w:rsid w:val="4F7B2533"/>
    <w:rsid w:val="508711A9"/>
    <w:rsid w:val="510E35CE"/>
    <w:rsid w:val="514C537E"/>
    <w:rsid w:val="517B4EC0"/>
    <w:rsid w:val="51B322DA"/>
    <w:rsid w:val="51CC3CA7"/>
    <w:rsid w:val="51F850A8"/>
    <w:rsid w:val="526D2EBF"/>
    <w:rsid w:val="530408E7"/>
    <w:rsid w:val="53366EE7"/>
    <w:rsid w:val="53DC50DF"/>
    <w:rsid w:val="54271112"/>
    <w:rsid w:val="54523A5C"/>
    <w:rsid w:val="552503C0"/>
    <w:rsid w:val="555C3065"/>
    <w:rsid w:val="55987088"/>
    <w:rsid w:val="559B316A"/>
    <w:rsid w:val="55BB257F"/>
    <w:rsid w:val="56A32E66"/>
    <w:rsid w:val="56EF6751"/>
    <w:rsid w:val="57120E18"/>
    <w:rsid w:val="577747A6"/>
    <w:rsid w:val="577A27D6"/>
    <w:rsid w:val="593C56D0"/>
    <w:rsid w:val="593F171A"/>
    <w:rsid w:val="59E454CF"/>
    <w:rsid w:val="59F726F3"/>
    <w:rsid w:val="59FE7432"/>
    <w:rsid w:val="5B052582"/>
    <w:rsid w:val="5B151D9E"/>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116111"/>
    <w:rsid w:val="60895210"/>
    <w:rsid w:val="60DC0379"/>
    <w:rsid w:val="60F91A9B"/>
    <w:rsid w:val="61033B4B"/>
    <w:rsid w:val="615C160D"/>
    <w:rsid w:val="61681DAA"/>
    <w:rsid w:val="61D04E9A"/>
    <w:rsid w:val="62137647"/>
    <w:rsid w:val="64761A1E"/>
    <w:rsid w:val="65585085"/>
    <w:rsid w:val="67015D83"/>
    <w:rsid w:val="6755430C"/>
    <w:rsid w:val="676C3643"/>
    <w:rsid w:val="67B30A70"/>
    <w:rsid w:val="68466749"/>
    <w:rsid w:val="68562C5D"/>
    <w:rsid w:val="68762F5B"/>
    <w:rsid w:val="689313CC"/>
    <w:rsid w:val="69E81028"/>
    <w:rsid w:val="6D541C74"/>
    <w:rsid w:val="6D8C1329"/>
    <w:rsid w:val="6DAD722E"/>
    <w:rsid w:val="6DE06576"/>
    <w:rsid w:val="6ED924EF"/>
    <w:rsid w:val="700B0D28"/>
    <w:rsid w:val="70656815"/>
    <w:rsid w:val="70833368"/>
    <w:rsid w:val="709655A9"/>
    <w:rsid w:val="70D83866"/>
    <w:rsid w:val="710D7515"/>
    <w:rsid w:val="7139605B"/>
    <w:rsid w:val="71B25E42"/>
    <w:rsid w:val="72B14FD5"/>
    <w:rsid w:val="736D23B4"/>
    <w:rsid w:val="737F3A69"/>
    <w:rsid w:val="74181201"/>
    <w:rsid w:val="743D400A"/>
    <w:rsid w:val="74590E55"/>
    <w:rsid w:val="7491561A"/>
    <w:rsid w:val="755A6876"/>
    <w:rsid w:val="755F3CFE"/>
    <w:rsid w:val="756555F5"/>
    <w:rsid w:val="75F075EE"/>
    <w:rsid w:val="760D0BC5"/>
    <w:rsid w:val="762D6621"/>
    <w:rsid w:val="76575395"/>
    <w:rsid w:val="77AC105E"/>
    <w:rsid w:val="77AD20AE"/>
    <w:rsid w:val="77B51620"/>
    <w:rsid w:val="78286988"/>
    <w:rsid w:val="7861167A"/>
    <w:rsid w:val="78E04108"/>
    <w:rsid w:val="78F07C69"/>
    <w:rsid w:val="7A3E4002"/>
    <w:rsid w:val="7AAF6562"/>
    <w:rsid w:val="7C4D729D"/>
    <w:rsid w:val="7D100213"/>
    <w:rsid w:val="7DCC7838"/>
    <w:rsid w:val="7EBD184F"/>
    <w:rsid w:val="7F3A3F4F"/>
    <w:rsid w:val="7F49148B"/>
    <w:rsid w:val="7F7108CD"/>
    <w:rsid w:val="7F8231C9"/>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6">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7">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9">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0">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1">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w:basedOn w:val="1"/>
    <w:link w:val="55"/>
    <w:qFormat/>
    <w:uiPriority w:val="0"/>
    <w:rPr>
      <w:sz w:val="21"/>
      <w:szCs w:val="21"/>
    </w:rPr>
  </w:style>
  <w:style w:type="paragraph" w:styleId="12">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3">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4">
    <w:name w:val="caption"/>
    <w:basedOn w:val="1"/>
    <w:next w:val="1"/>
    <w:qFormat/>
    <w:uiPriority w:val="0"/>
    <w:pPr>
      <w:jc w:val="both"/>
    </w:pPr>
    <w:rPr>
      <w:rFonts w:ascii="Arial" w:hAnsi="Arial" w:eastAsia="黑体" w:cs="Arial"/>
      <w:kern w:val="2"/>
      <w:sz w:val="20"/>
      <w:szCs w:val="20"/>
      <w:lang w:eastAsia="zh-CN"/>
    </w:rPr>
  </w:style>
  <w:style w:type="paragraph" w:styleId="15">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6">
    <w:name w:val="annotation text"/>
    <w:basedOn w:val="1"/>
    <w:link w:val="85"/>
    <w:qFormat/>
    <w:uiPriority w:val="0"/>
    <w:rPr>
      <w:rFonts w:asciiTheme="minorHAnsi" w:hAnsiTheme="minorHAnsi" w:cstheme="minorBidi"/>
      <w:kern w:val="2"/>
      <w:sz w:val="21"/>
      <w:szCs w:val="24"/>
      <w:lang w:eastAsia="zh-CN"/>
    </w:rPr>
  </w:style>
  <w:style w:type="paragraph" w:styleId="17">
    <w:name w:val="Body Text 3"/>
    <w:basedOn w:val="1"/>
    <w:link w:val="100"/>
    <w:qFormat/>
    <w:uiPriority w:val="0"/>
    <w:pPr>
      <w:jc w:val="both"/>
    </w:pPr>
    <w:rPr>
      <w:rFonts w:hAnsiTheme="minorHAnsi" w:eastAsiaTheme="minorEastAsia" w:cstheme="minorBidi"/>
      <w:kern w:val="2"/>
      <w:sz w:val="24"/>
      <w:lang w:eastAsia="zh-CN"/>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6"/>
    <w:next w:val="16"/>
    <w:link w:val="96"/>
    <w:unhideWhenUsed/>
    <w:qFormat/>
    <w:uiPriority w:val="0"/>
    <w:rPr>
      <w:rFonts w:ascii="宋体" w:hAnsi="宋体" w:cs="宋体"/>
      <w:b/>
      <w:bCs/>
    </w:rPr>
  </w:style>
  <w:style w:type="paragraph" w:styleId="42">
    <w:name w:val="Body Text First Indent"/>
    <w:basedOn w:val="2"/>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2"/>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7"/>
    <w:qFormat/>
    <w:uiPriority w:val="0"/>
    <w:rPr>
      <w:rFonts w:ascii="Times New Roman" w:hAnsi="Times New Roman" w:eastAsia="宋体" w:cs="Times New Roman"/>
      <w:b/>
      <w:bCs/>
      <w:sz w:val="28"/>
      <w:szCs w:val="28"/>
    </w:rPr>
  </w:style>
  <w:style w:type="character" w:customStyle="1" w:styleId="65">
    <w:name w:val="标题 6 Char"/>
    <w:basedOn w:val="46"/>
    <w:link w:val="8"/>
    <w:qFormat/>
    <w:uiPriority w:val="0"/>
    <w:rPr>
      <w:rFonts w:ascii="Arial" w:hAnsi="Arial" w:eastAsia="黑体" w:cs="Times New Roman"/>
      <w:b/>
      <w:bCs/>
      <w:kern w:val="0"/>
      <w:sz w:val="24"/>
      <w:szCs w:val="24"/>
    </w:rPr>
  </w:style>
  <w:style w:type="character" w:customStyle="1" w:styleId="66">
    <w:name w:val="标题 7 Char"/>
    <w:basedOn w:val="46"/>
    <w:link w:val="9"/>
    <w:qFormat/>
    <w:uiPriority w:val="0"/>
    <w:rPr>
      <w:rFonts w:ascii="Times New Roman" w:hAnsi="Times New Roman" w:eastAsia="宋体" w:cs="Times New Roman"/>
      <w:b/>
      <w:bCs/>
      <w:kern w:val="0"/>
      <w:sz w:val="24"/>
      <w:szCs w:val="24"/>
    </w:rPr>
  </w:style>
  <w:style w:type="character" w:customStyle="1" w:styleId="67">
    <w:name w:val="标题 8 Char"/>
    <w:basedOn w:val="46"/>
    <w:link w:val="10"/>
    <w:qFormat/>
    <w:uiPriority w:val="0"/>
    <w:rPr>
      <w:rFonts w:ascii="Arial" w:hAnsi="Arial" w:eastAsia="黑体" w:cs="Times New Roman"/>
      <w:kern w:val="0"/>
      <w:sz w:val="24"/>
      <w:szCs w:val="24"/>
    </w:rPr>
  </w:style>
  <w:style w:type="character" w:customStyle="1" w:styleId="68">
    <w:name w:val="标题 9 Char"/>
    <w:basedOn w:val="46"/>
    <w:link w:val="11"/>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6"/>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Heading"/>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6"/>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7"/>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5"/>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5"/>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6"/>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列出段落1"/>
    <w:basedOn w:val="1"/>
    <w:qFormat/>
    <w:uiPriority w:val="0"/>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2205</Words>
  <Characters>2413</Characters>
  <Lines>72</Lines>
  <Paragraphs>20</Paragraphs>
  <TotalTime>3</TotalTime>
  <ScaleCrop>false</ScaleCrop>
  <LinksUpToDate>false</LinksUpToDate>
  <CharactersWithSpaces>2502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邓海</cp:lastModifiedBy>
  <cp:lastPrinted>2022-05-23T02:37:00Z</cp:lastPrinted>
  <dcterms:modified xsi:type="dcterms:W3CDTF">2023-07-20T09:45:06Z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C7634B5F46284EEC9BB8D0424FA6A45E</vt:lpwstr>
  </property>
</Properties>
</file>