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p>
    <w:p>
      <w:pPr>
        <w:jc w:val="center"/>
        <w:rPr>
          <w:rFonts w:hint="eastAsia" w:ascii="宋体" w:hAnsi="宋体" w:eastAsia="宋体" w:cs="宋体"/>
          <w:b/>
          <w:sz w:val="32"/>
          <w:szCs w:val="32"/>
          <w:lang w:val="en-US" w:eastAsia="zh-CN"/>
        </w:rPr>
      </w:pPr>
      <w:r>
        <w:rPr>
          <w:rFonts w:hint="eastAsia" w:ascii="宋体" w:hAnsi="宋体" w:cs="宋体"/>
          <w:b/>
          <w:sz w:val="32"/>
          <w:szCs w:val="32"/>
        </w:rPr>
        <w:t>项目名称：梁开高速</w:t>
      </w:r>
      <w:r>
        <w:rPr>
          <w:rFonts w:hint="eastAsia" w:ascii="宋体" w:hAnsi="宋体" w:cs="宋体"/>
          <w:b/>
          <w:sz w:val="32"/>
          <w:szCs w:val="32"/>
          <w:lang w:eastAsia="zh-CN"/>
        </w:rPr>
        <w:t>（</w:t>
      </w:r>
      <w:r>
        <w:rPr>
          <w:rFonts w:hint="eastAsia" w:ascii="宋体" w:hAnsi="宋体" w:cs="宋体"/>
          <w:b/>
          <w:sz w:val="32"/>
          <w:szCs w:val="32"/>
        </w:rPr>
        <w:t>重庆段）第二总承包部机电工程保险服务采购项目</w:t>
      </w:r>
    </w:p>
    <w:p>
      <w:pPr>
        <w:rPr>
          <w:rFonts w:ascii="宋体" w:hAnsi="宋体" w:cs="宋体"/>
          <w:sz w:val="28"/>
          <w:szCs w:val="28"/>
        </w:rPr>
      </w:pPr>
    </w:p>
    <w:p>
      <w:pPr>
        <w:jc w:val="center"/>
        <w:rPr>
          <w:rFonts w:ascii="宋体" w:hAnsi="宋体" w:cs="宋体"/>
          <w:b/>
          <w:sz w:val="48"/>
          <w:szCs w:val="48"/>
        </w:rPr>
      </w:pPr>
      <w:r>
        <w:rPr>
          <w:rFonts w:hint="eastAsia" w:ascii="宋体" w:hAnsi="宋体" w:cs="宋体"/>
          <w:b/>
          <w:sz w:val="48"/>
          <w:szCs w:val="48"/>
        </w:rPr>
        <w:t>竞</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性</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比</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文</w:t>
      </w:r>
    </w:p>
    <w:p>
      <w:pPr>
        <w:jc w:val="center"/>
        <w:rPr>
          <w:rFonts w:ascii="宋体" w:hAnsi="宋体" w:cs="宋体"/>
          <w:b/>
          <w:sz w:val="48"/>
          <w:szCs w:val="48"/>
        </w:rPr>
      </w:pPr>
    </w:p>
    <w:p>
      <w:pPr>
        <w:jc w:val="center"/>
        <w:rPr>
          <w:rFonts w:ascii="宋体" w:hAnsi="宋体" w:cs="宋体"/>
          <w:b/>
          <w:sz w:val="96"/>
          <w:szCs w:val="72"/>
        </w:rPr>
      </w:pPr>
      <w:r>
        <w:rPr>
          <w:rFonts w:hint="eastAsia" w:ascii="宋体" w:hAnsi="宋体" w:cs="宋体"/>
          <w:b/>
          <w:sz w:val="48"/>
          <w:szCs w:val="48"/>
        </w:rPr>
        <w:t>件</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
    <w:p>
      <w:pPr>
        <w:jc w:val="center"/>
        <w:rPr>
          <w:rFonts w:ascii="宋体" w:hAnsi="宋体" w:cs="宋体"/>
          <w:b/>
          <w:sz w:val="28"/>
          <w:szCs w:val="28"/>
        </w:rPr>
      </w:pPr>
      <w:r>
        <w:rPr>
          <w:rFonts w:hint="eastAsia" w:ascii="宋体" w:hAnsi="宋体" w:cs="宋体"/>
          <w:b/>
          <w:sz w:val="28"/>
          <w:szCs w:val="28"/>
        </w:rPr>
        <w:t>采购人：重庆首讯科技股份有限公司</w:t>
      </w:r>
    </w:p>
    <w:p>
      <w:pPr>
        <w:jc w:val="center"/>
        <w:rPr>
          <w:rFonts w:ascii="宋体" w:hAnsi="宋体" w:cs="宋体"/>
          <w:b/>
          <w:sz w:val="28"/>
          <w:szCs w:val="28"/>
        </w:rPr>
      </w:pPr>
      <w:r>
        <w:rPr>
          <w:rFonts w:hint="eastAsia" w:ascii="宋体" w:hAnsi="宋体" w:cs="宋体"/>
          <w:b/>
          <w:sz w:val="28"/>
          <w:szCs w:val="28"/>
          <w:u w:val="single"/>
        </w:rPr>
        <w:t>202</w:t>
      </w:r>
      <w:r>
        <w:rPr>
          <w:rFonts w:hint="eastAsia" w:ascii="宋体" w:hAnsi="宋体" w:cs="宋体"/>
          <w:b/>
          <w:sz w:val="28"/>
          <w:szCs w:val="28"/>
          <w:u w:val="single"/>
          <w:lang w:val="en-US" w:eastAsia="zh-CN"/>
        </w:rPr>
        <w:t>3</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u w:val="single"/>
          <w:lang w:val="en-US" w:eastAsia="zh-CN"/>
        </w:rPr>
        <w:t>7</w:t>
      </w:r>
      <w:r>
        <w:rPr>
          <w:rFonts w:hint="eastAsia" w:ascii="宋体" w:hAnsi="宋体" w:cs="宋体"/>
          <w:b/>
          <w:sz w:val="28"/>
          <w:szCs w:val="28"/>
          <w:u w:val="single"/>
        </w:rPr>
        <w:t xml:space="preserve"> </w:t>
      </w:r>
      <w:r>
        <w:rPr>
          <w:rFonts w:hint="eastAsia" w:ascii="宋体" w:hAnsi="宋体" w:cs="宋体"/>
          <w:b/>
          <w:sz w:val="28"/>
          <w:szCs w:val="28"/>
        </w:rPr>
        <w:t>月</w:t>
      </w:r>
    </w:p>
    <w:p>
      <w:pPr>
        <w:pStyle w:val="28"/>
        <w:jc w:val="center"/>
        <w:rPr>
          <w:rFonts w:ascii="宋体" w:hAnsi="宋体" w:cs="宋体"/>
          <w:szCs w:val="21"/>
        </w:rPr>
      </w:pPr>
      <w:r>
        <w:br w:type="page"/>
      </w:r>
      <w:bookmarkStart w:id="0" w:name="_Toc507428442"/>
      <w:bookmarkStart w:id="1" w:name="_Toc296602400"/>
      <w:bookmarkStart w:id="2" w:name="_Toc247085669"/>
      <w:bookmarkStart w:id="3" w:name="_Toc507319889"/>
      <w:bookmarkStart w:id="4" w:name="_Toc246996898"/>
      <w:r>
        <w:rPr>
          <w:rFonts w:hint="eastAsia" w:ascii="宋体" w:hAnsi="宋体" w:cs="宋体"/>
          <w:b w:val="0"/>
          <w:sz w:val="32"/>
        </w:rPr>
        <w:t>目   录</w:t>
      </w:r>
      <w:bookmarkEnd w:id="0"/>
      <w:bookmarkEnd w:id="1"/>
      <w:bookmarkEnd w:id="2"/>
      <w:bookmarkEnd w:id="3"/>
      <w:bookmarkEnd w:id="4"/>
    </w:p>
    <w:p>
      <w:pPr>
        <w:pStyle w:val="28"/>
        <w:tabs>
          <w:tab w:val="right" w:leader="dot" w:pos="9638"/>
        </w:tabs>
      </w:pPr>
      <w:r>
        <w:rPr>
          <w:rFonts w:hint="eastAsia" w:ascii="宋体" w:hAnsi="宋体" w:cs="宋体"/>
          <w:b w:val="0"/>
          <w:bCs w:val="0"/>
          <w:caps w:val="0"/>
        </w:rPr>
        <w:fldChar w:fldCharType="begin"/>
      </w:r>
      <w:r>
        <w:rPr>
          <w:rFonts w:hint="eastAsia" w:ascii="宋体" w:hAnsi="宋体" w:cs="宋体"/>
          <w:b w:val="0"/>
          <w:bCs w:val="0"/>
          <w:caps w:val="0"/>
        </w:rPr>
        <w:instrText xml:space="preserve"> TOC \o "1-2" \h \z \u </w:instrText>
      </w:r>
      <w:r>
        <w:rPr>
          <w:rFonts w:hint="eastAsia" w:ascii="宋体" w:hAnsi="宋体" w:cs="宋体"/>
          <w:b w:val="0"/>
          <w:bCs w:val="0"/>
          <w:caps w:val="0"/>
        </w:rPr>
        <w:fldChar w:fldCharType="separate"/>
      </w:r>
      <w:r>
        <w:fldChar w:fldCharType="begin"/>
      </w:r>
      <w:r>
        <w:instrText xml:space="preserve"> HYPERLINK \l "_Toc10533" </w:instrText>
      </w:r>
      <w:r>
        <w:fldChar w:fldCharType="separate"/>
      </w:r>
      <w:r>
        <w:rPr>
          <w:rFonts w:hint="eastAsia" w:ascii="宋体" w:hAnsi="宋体" w:cs="宋体"/>
        </w:rPr>
        <w:t>第一章 比选公告</w:t>
      </w:r>
      <w:r>
        <w:tab/>
      </w:r>
      <w:r>
        <w:fldChar w:fldCharType="begin"/>
      </w:r>
      <w:r>
        <w:instrText xml:space="preserve"> PAGEREF _Toc10533 </w:instrText>
      </w:r>
      <w:r>
        <w:fldChar w:fldCharType="separate"/>
      </w:r>
      <w:r>
        <w:t>1</w:t>
      </w:r>
      <w:r>
        <w:fldChar w:fldCharType="end"/>
      </w:r>
      <w:r>
        <w:fldChar w:fldCharType="end"/>
      </w:r>
    </w:p>
    <w:p>
      <w:pPr>
        <w:pStyle w:val="28"/>
        <w:tabs>
          <w:tab w:val="right" w:leader="dot" w:pos="9638"/>
        </w:tabs>
      </w:pPr>
      <w:r>
        <w:fldChar w:fldCharType="begin"/>
      </w:r>
      <w:r>
        <w:instrText xml:space="preserve"> HYPERLINK \l "_Toc21719" </w:instrText>
      </w:r>
      <w:r>
        <w:fldChar w:fldCharType="separate"/>
      </w:r>
      <w:r>
        <w:rPr>
          <w:rFonts w:hint="eastAsia" w:ascii="宋体" w:hAnsi="宋体" w:cs="宋体"/>
        </w:rPr>
        <w:t>第二章 报价人须知</w:t>
      </w:r>
      <w:r>
        <w:tab/>
      </w:r>
      <w:r>
        <w:fldChar w:fldCharType="begin"/>
      </w:r>
      <w:r>
        <w:instrText xml:space="preserve"> PAGEREF _Toc21719 </w:instrText>
      </w:r>
      <w:r>
        <w:fldChar w:fldCharType="separate"/>
      </w:r>
      <w:r>
        <w:t>3</w:t>
      </w:r>
      <w:r>
        <w:fldChar w:fldCharType="end"/>
      </w:r>
      <w:r>
        <w:fldChar w:fldCharType="end"/>
      </w:r>
    </w:p>
    <w:p>
      <w:pPr>
        <w:pStyle w:val="28"/>
        <w:tabs>
          <w:tab w:val="right" w:leader="dot" w:pos="9638"/>
        </w:tabs>
      </w:pPr>
      <w:r>
        <w:fldChar w:fldCharType="begin"/>
      </w:r>
      <w:r>
        <w:instrText xml:space="preserve"> HYPERLINK \l "_Toc7682" </w:instrText>
      </w:r>
      <w:r>
        <w:fldChar w:fldCharType="separate"/>
      </w:r>
      <w:r>
        <w:rPr>
          <w:rFonts w:hint="eastAsia" w:ascii="宋体" w:hAnsi="宋体" w:cs="宋体"/>
        </w:rPr>
        <w:t>第三章 评标办法（经评审的最低投标价法）</w:t>
      </w:r>
      <w:r>
        <w:tab/>
      </w:r>
      <w:r>
        <w:fldChar w:fldCharType="begin"/>
      </w:r>
      <w:r>
        <w:instrText xml:space="preserve"> PAGEREF _Toc7682 </w:instrText>
      </w:r>
      <w:r>
        <w:fldChar w:fldCharType="separate"/>
      </w:r>
      <w:r>
        <w:t>7</w:t>
      </w:r>
      <w:r>
        <w:fldChar w:fldCharType="end"/>
      </w:r>
      <w:r>
        <w:fldChar w:fldCharType="end"/>
      </w:r>
    </w:p>
    <w:p>
      <w:pPr>
        <w:pStyle w:val="28"/>
        <w:tabs>
          <w:tab w:val="right" w:leader="dot" w:pos="9638"/>
        </w:tabs>
      </w:pPr>
      <w:r>
        <w:fldChar w:fldCharType="begin"/>
      </w:r>
      <w:r>
        <w:instrText xml:space="preserve"> HYPERLINK \l "_Toc13787" </w:instrText>
      </w:r>
      <w:r>
        <w:fldChar w:fldCharType="separate"/>
      </w:r>
      <w:r>
        <w:rPr>
          <w:rFonts w:hint="eastAsia"/>
        </w:rPr>
        <w:t>第四章 报价说明</w:t>
      </w:r>
      <w:r>
        <w:tab/>
      </w:r>
      <w:r>
        <w:fldChar w:fldCharType="begin"/>
      </w:r>
      <w:r>
        <w:instrText xml:space="preserve"> PAGEREF _Toc13787 </w:instrText>
      </w:r>
      <w:r>
        <w:fldChar w:fldCharType="separate"/>
      </w:r>
      <w:r>
        <w:t>9</w:t>
      </w:r>
      <w:r>
        <w:fldChar w:fldCharType="end"/>
      </w:r>
      <w:r>
        <w:fldChar w:fldCharType="end"/>
      </w:r>
    </w:p>
    <w:p>
      <w:pPr>
        <w:pStyle w:val="28"/>
        <w:tabs>
          <w:tab w:val="right" w:leader="dot" w:pos="9638"/>
        </w:tabs>
      </w:pPr>
      <w:r>
        <w:fldChar w:fldCharType="begin"/>
      </w:r>
      <w:r>
        <w:instrText xml:space="preserve"> HYPERLINK \l "_Toc24503" </w:instrText>
      </w:r>
      <w:r>
        <w:fldChar w:fldCharType="separate"/>
      </w:r>
      <w:r>
        <w:rPr>
          <w:rFonts w:hint="eastAsia" w:ascii="宋体" w:hAnsi="宋体" w:cs="宋体"/>
        </w:rPr>
        <w:t>第五章  工程量清单及计量规则</w:t>
      </w:r>
      <w:r>
        <w:tab/>
      </w:r>
      <w:r>
        <w:fldChar w:fldCharType="begin"/>
      </w:r>
      <w:r>
        <w:instrText xml:space="preserve"> PAGEREF _Toc24503 </w:instrText>
      </w:r>
      <w:r>
        <w:fldChar w:fldCharType="separate"/>
      </w:r>
      <w:r>
        <w:t>11</w:t>
      </w:r>
      <w:r>
        <w:fldChar w:fldCharType="end"/>
      </w:r>
      <w:r>
        <w:fldChar w:fldCharType="end"/>
      </w:r>
    </w:p>
    <w:p>
      <w:pPr>
        <w:pStyle w:val="28"/>
        <w:tabs>
          <w:tab w:val="right" w:leader="dot" w:pos="9638"/>
        </w:tabs>
      </w:pPr>
      <w:r>
        <w:fldChar w:fldCharType="begin"/>
      </w:r>
      <w:r>
        <w:instrText xml:space="preserve"> HYPERLINK \l "_Toc12440" </w:instrText>
      </w:r>
      <w:r>
        <w:fldChar w:fldCharType="separate"/>
      </w:r>
      <w:r>
        <w:rPr>
          <w:rFonts w:hint="eastAsia" w:ascii="宋体" w:hAnsi="宋体" w:cs="宋体"/>
        </w:rPr>
        <w:t>第六章  图  纸</w:t>
      </w:r>
      <w:r>
        <w:tab/>
      </w:r>
      <w:r>
        <w:fldChar w:fldCharType="begin"/>
      </w:r>
      <w:r>
        <w:instrText xml:space="preserve"> PAGEREF _Toc12440 </w:instrText>
      </w:r>
      <w:r>
        <w:fldChar w:fldCharType="separate"/>
      </w:r>
      <w:r>
        <w:t>13</w:t>
      </w:r>
      <w:r>
        <w:fldChar w:fldCharType="end"/>
      </w:r>
      <w:r>
        <w:fldChar w:fldCharType="end"/>
      </w:r>
    </w:p>
    <w:p>
      <w:pPr>
        <w:pStyle w:val="28"/>
        <w:tabs>
          <w:tab w:val="right" w:leader="dot" w:pos="9638"/>
        </w:tabs>
      </w:pPr>
      <w:r>
        <w:fldChar w:fldCharType="begin"/>
      </w:r>
      <w:r>
        <w:instrText xml:space="preserve"> HYPERLINK \l "_Toc10887" </w:instrText>
      </w:r>
      <w:r>
        <w:fldChar w:fldCharType="separate"/>
      </w:r>
      <w:r>
        <w:rPr>
          <w:rFonts w:hint="eastAsia" w:ascii="宋体" w:hAnsi="宋体" w:cs="宋体"/>
        </w:rPr>
        <w:t>第七章  技术标准和工作要求</w:t>
      </w:r>
      <w:r>
        <w:tab/>
      </w:r>
      <w:r>
        <w:fldChar w:fldCharType="begin"/>
      </w:r>
      <w:r>
        <w:instrText xml:space="preserve"> PAGEREF _Toc10887 </w:instrText>
      </w:r>
      <w:r>
        <w:fldChar w:fldCharType="separate"/>
      </w:r>
      <w:r>
        <w:t>27</w:t>
      </w:r>
      <w:r>
        <w:fldChar w:fldCharType="end"/>
      </w:r>
      <w:r>
        <w:fldChar w:fldCharType="end"/>
      </w:r>
    </w:p>
    <w:p>
      <w:pPr>
        <w:pStyle w:val="28"/>
        <w:tabs>
          <w:tab w:val="right" w:leader="dot" w:pos="9638"/>
        </w:tabs>
        <w:rPr>
          <w:rFonts w:ascii="宋体" w:hAnsi="宋体" w:cs="宋体"/>
        </w:rPr>
      </w:pPr>
      <w:r>
        <w:fldChar w:fldCharType="begin"/>
      </w:r>
      <w:r>
        <w:instrText xml:space="preserve"> HYPERLINK \l "_Toc24853" </w:instrText>
      </w:r>
      <w:r>
        <w:fldChar w:fldCharType="separate"/>
      </w:r>
      <w:r>
        <w:rPr>
          <w:rFonts w:hint="eastAsia" w:ascii="宋体" w:hAnsi="宋体" w:cs="宋体"/>
        </w:rPr>
        <w:t>第</w:t>
      </w:r>
      <w:r>
        <w:rPr>
          <w:rFonts w:hint="eastAsia" w:ascii="宋体" w:hAnsi="宋体" w:cs="宋体"/>
          <w:lang w:val="en-US" w:eastAsia="zh-CN"/>
        </w:rPr>
        <w:t>八</w:t>
      </w:r>
      <w:r>
        <w:rPr>
          <w:rFonts w:hint="eastAsia" w:ascii="宋体" w:hAnsi="宋体" w:cs="宋体"/>
        </w:rPr>
        <w:t>章  竞争性比选响应文件格式</w:t>
      </w:r>
      <w:r>
        <w:tab/>
      </w:r>
      <w:r>
        <w:fldChar w:fldCharType="begin"/>
      </w:r>
      <w:r>
        <w:instrText xml:space="preserve"> PAGEREF _Toc24853 </w:instrText>
      </w:r>
      <w:r>
        <w:fldChar w:fldCharType="separate"/>
      </w:r>
      <w:r>
        <w:t>32</w:t>
      </w:r>
      <w:r>
        <w:fldChar w:fldCharType="end"/>
      </w:r>
      <w:r>
        <w:fldChar w:fldCharType="end"/>
      </w:r>
    </w:p>
    <w:p/>
    <w:p>
      <w:pPr>
        <w:pStyle w:val="34"/>
        <w:tabs>
          <w:tab w:val="right" w:leader="dot" w:pos="9628"/>
        </w:tabs>
        <w:ind w:left="0"/>
        <w:rPr>
          <w:rFonts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rPr>
        <w:fldChar w:fldCharType="end"/>
      </w:r>
    </w:p>
    <w:p>
      <w:pPr>
        <w:pStyle w:val="3"/>
        <w:spacing w:before="0" w:after="0" w:line="360" w:lineRule="auto"/>
        <w:jc w:val="center"/>
        <w:rPr>
          <w:rFonts w:ascii="宋体" w:hAnsi="宋体" w:cs="宋体"/>
        </w:rPr>
      </w:pPr>
      <w:bookmarkStart w:id="5" w:name="_Toc247085671"/>
      <w:bookmarkStart w:id="6" w:name="_Toc247096243"/>
      <w:bookmarkStart w:id="7" w:name="_Toc507319890"/>
      <w:bookmarkStart w:id="8" w:name="_Toc246996900"/>
      <w:bookmarkStart w:id="9" w:name="_Toc2000404"/>
      <w:bookmarkStart w:id="10" w:name="_Toc144974479"/>
      <w:bookmarkStart w:id="11" w:name="_Toc246996157"/>
      <w:bookmarkStart w:id="12" w:name="_Toc179632527"/>
      <w:bookmarkStart w:id="13" w:name="_Toc152045511"/>
      <w:bookmarkStart w:id="14" w:name="_Toc152042287"/>
      <w:bookmarkStart w:id="15" w:name="_Toc10533"/>
      <w:r>
        <w:rPr>
          <w:rFonts w:hint="eastAsia" w:ascii="宋体" w:hAnsi="宋体" w:cs="宋体"/>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rPr>
        <w:t>比选公告</w:t>
      </w:r>
      <w:bookmarkEnd w:id="15"/>
    </w:p>
    <w:p>
      <w:pPr>
        <w:spacing w:line="440" w:lineRule="exact"/>
        <w:jc w:val="center"/>
        <w:rPr>
          <w:rFonts w:ascii="宋体" w:hAnsi="宋体" w:cs="宋体"/>
          <w:b/>
          <w:sz w:val="28"/>
          <w:szCs w:val="28"/>
        </w:rPr>
      </w:pPr>
      <w:bookmarkStart w:id="16" w:name="OLE_LINK3"/>
      <w:bookmarkStart w:id="17" w:name="OLE_LINK2"/>
    </w:p>
    <w:p>
      <w:pPr>
        <w:pStyle w:val="4"/>
        <w:spacing w:before="0" w:after="0" w:line="360" w:lineRule="auto"/>
        <w:rPr>
          <w:rFonts w:ascii="宋体" w:hAnsi="宋体" w:eastAsia="宋体" w:cs="宋体"/>
        </w:rPr>
      </w:pPr>
      <w:bookmarkStart w:id="18" w:name="_Toc152045512"/>
      <w:bookmarkStart w:id="19" w:name="_Toc10076"/>
      <w:bookmarkStart w:id="20" w:name="_Toc24874"/>
      <w:bookmarkStart w:id="21" w:name="_Toc179632528"/>
      <w:bookmarkStart w:id="22" w:name="_Toc246996158"/>
      <w:bookmarkStart w:id="23" w:name="_Toc152042288"/>
      <w:bookmarkStart w:id="24" w:name="_Toc144974480"/>
      <w:bookmarkStart w:id="25" w:name="_Toc6549"/>
      <w:bookmarkStart w:id="26" w:name="_Toc11329213"/>
      <w:bookmarkStart w:id="27" w:name="_Toc247085672"/>
      <w:bookmarkStart w:id="28" w:name="_Toc246996901"/>
      <w:bookmarkStart w:id="29" w:name="_Toc507319891"/>
      <w:r>
        <w:rPr>
          <w:rFonts w:hint="eastAsia" w:ascii="宋体" w:hAnsi="宋体" w:eastAsia="宋体" w:cs="宋体"/>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ascii="宋体" w:hAnsi="宋体" w:cs="宋体"/>
          <w:szCs w:val="21"/>
        </w:rPr>
      </w:pPr>
      <w:r>
        <w:rPr>
          <w:rFonts w:hint="eastAsia" w:ascii="宋体" w:hAnsi="宋体" w:cs="宋体"/>
          <w:szCs w:val="21"/>
        </w:rPr>
        <w:t>　　本竞争性比选项目</w:t>
      </w:r>
      <w:r>
        <w:rPr>
          <w:rFonts w:hint="eastAsia" w:ascii="宋体" w:hAnsi="宋体" w:cs="宋体"/>
          <w:szCs w:val="21"/>
          <w:u w:val="single"/>
        </w:rPr>
        <w:t>梁开高速</w:t>
      </w:r>
      <w:r>
        <w:rPr>
          <w:rFonts w:hint="eastAsia" w:ascii="宋体" w:hAnsi="宋体" w:cs="宋体"/>
          <w:szCs w:val="21"/>
          <w:u w:val="single"/>
          <w:lang w:eastAsia="zh-CN"/>
        </w:rPr>
        <w:t>（</w:t>
      </w:r>
      <w:r>
        <w:rPr>
          <w:rFonts w:hint="eastAsia" w:ascii="宋体" w:hAnsi="宋体" w:cs="宋体"/>
          <w:szCs w:val="21"/>
          <w:u w:val="single"/>
        </w:rPr>
        <w:t>重庆段）第二总承包部机电工程保险服务采购项目</w:t>
      </w:r>
      <w:r>
        <w:rPr>
          <w:rFonts w:hint="eastAsia" w:ascii="宋体" w:hAnsi="宋体" w:cs="宋体"/>
          <w:szCs w:val="21"/>
        </w:rPr>
        <w:t>，采购人为</w:t>
      </w:r>
      <w:r>
        <w:rPr>
          <w:rFonts w:hint="eastAsia" w:ascii="宋体" w:hAnsi="宋体" w:cs="宋体"/>
          <w:szCs w:val="21"/>
          <w:u w:val="single"/>
        </w:rPr>
        <w:t xml:space="preserve"> 重庆首讯科技股份有限公司 </w:t>
      </w:r>
      <w:r>
        <w:rPr>
          <w:rFonts w:hint="eastAsia" w:ascii="宋体" w:hAnsi="宋体" w:cs="宋体"/>
          <w:szCs w:val="21"/>
        </w:rPr>
        <w:t>，该项目已具备比选条件，现对该项目进行竞争性比选。</w:t>
      </w:r>
    </w:p>
    <w:p>
      <w:pPr>
        <w:pStyle w:val="4"/>
        <w:spacing w:before="120" w:after="0" w:line="360" w:lineRule="auto"/>
        <w:rPr>
          <w:rFonts w:ascii="宋体" w:hAnsi="宋体" w:eastAsia="宋体" w:cs="宋体"/>
        </w:rPr>
      </w:pPr>
      <w:bookmarkStart w:id="30" w:name="_Toc247085673"/>
      <w:bookmarkStart w:id="31" w:name="_Toc11329214"/>
      <w:bookmarkStart w:id="32" w:name="_Toc18109"/>
      <w:bookmarkStart w:id="33" w:name="_Toc246996902"/>
      <w:bookmarkStart w:id="34" w:name="_Toc246996159"/>
      <w:bookmarkStart w:id="35" w:name="_Toc144974481"/>
      <w:bookmarkStart w:id="36" w:name="_Toc507319892"/>
      <w:bookmarkStart w:id="37" w:name="_Toc179632529"/>
      <w:bookmarkStart w:id="38" w:name="_Toc152042289"/>
      <w:bookmarkStart w:id="39" w:name="_Toc10952"/>
      <w:bookmarkStart w:id="40" w:name="_Toc152045513"/>
      <w:bookmarkStart w:id="41" w:name="_Toc21343"/>
      <w:r>
        <w:rPr>
          <w:rFonts w:hint="eastAsia" w:ascii="宋体" w:hAnsi="宋体" w:eastAsia="宋体" w:cs="宋体"/>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pStyle w:val="13"/>
        <w:adjustRightInd w:val="0"/>
        <w:spacing w:line="400" w:lineRule="exact"/>
        <w:rPr>
          <w:rFonts w:hint="eastAsia" w:ascii="宋体" w:hAnsi="宋体" w:cs="宋体"/>
          <w:szCs w:val="21"/>
        </w:rPr>
      </w:pPr>
      <w:bookmarkStart w:id="42" w:name="_Toc446247226"/>
      <w:r>
        <w:rPr>
          <w:rFonts w:hint="eastAsia" w:ascii="宋体" w:hAnsi="宋体" w:cs="宋体"/>
          <w:szCs w:val="21"/>
        </w:rPr>
        <w:t>2.1 项目地点：</w:t>
      </w:r>
      <w:bookmarkEnd w:id="42"/>
      <w:r>
        <w:rPr>
          <w:rFonts w:hint="eastAsia" w:ascii="宋体" w:hAnsi="宋体" w:cs="宋体"/>
          <w:szCs w:val="21"/>
        </w:rPr>
        <w:t>梁开高速</w:t>
      </w:r>
      <w:r>
        <w:rPr>
          <w:rFonts w:hint="eastAsia" w:ascii="宋体" w:hAnsi="宋体" w:cs="宋体"/>
          <w:szCs w:val="21"/>
          <w:lang w:eastAsia="zh-CN"/>
        </w:rPr>
        <w:t>（</w:t>
      </w:r>
      <w:r>
        <w:rPr>
          <w:rFonts w:hint="eastAsia" w:ascii="宋体" w:hAnsi="宋体" w:cs="宋体"/>
          <w:szCs w:val="21"/>
        </w:rPr>
        <w:t>重庆段）第二总承包部机电工程</w:t>
      </w:r>
      <w:r>
        <w:rPr>
          <w:rFonts w:hint="eastAsia" w:ascii="宋体" w:hAnsi="宋体" w:cs="宋体"/>
          <w:szCs w:val="21"/>
          <w:u w:val="none"/>
          <w:lang w:val="en-US" w:eastAsia="zh-CN"/>
        </w:rPr>
        <w:t>项目</w:t>
      </w:r>
      <w:r>
        <w:rPr>
          <w:rFonts w:hint="eastAsia" w:ascii="宋体" w:hAnsi="宋体" w:cs="宋体"/>
          <w:szCs w:val="21"/>
        </w:rPr>
        <w:t>。</w:t>
      </w:r>
    </w:p>
    <w:p>
      <w:pPr>
        <w:pStyle w:val="13"/>
        <w:adjustRightInd w:val="0"/>
        <w:spacing w:line="400" w:lineRule="exact"/>
        <w:rPr>
          <w:rFonts w:hint="eastAsia" w:ascii="宋体" w:hAnsi="宋体" w:cs="宋体"/>
          <w:szCs w:val="21"/>
          <w:highlight w:val="none"/>
          <w:lang w:val="en-US" w:eastAsia="zh-CN"/>
        </w:rPr>
      </w:pPr>
      <w:r>
        <w:rPr>
          <w:rFonts w:hint="eastAsia" w:ascii="宋体" w:hAnsi="宋体" w:cs="宋体"/>
          <w:szCs w:val="21"/>
          <w:lang w:val="en-US" w:eastAsia="zh-CN"/>
        </w:rPr>
        <w:t>2.2 项目概况：本项目位于渝东北地区，路线大致呈西南至东北走向，起于梁平区云龙镇石莲村附近，设枢纽互通与G42沪蓉高速相交。向东北下穿渝万高铁、经荫平、屏锦、聚奎，跨G318后布线至齐河村附近设枢纽互通与G5515张南高速相接，再沿礼让、明达、龙门、新盛一线西侧布线，止于新盛东北的川渝省界处与四川段路线相接。本项目施工范围为机电安装工程，包括收费系统、通信系统、监控系统、供电及照明（房建强弱电及照明除外）、收费站防撞岛设</w:t>
      </w:r>
      <w:r>
        <w:rPr>
          <w:rFonts w:hint="eastAsia" w:ascii="宋体" w:hAnsi="宋体" w:cs="宋体"/>
          <w:szCs w:val="21"/>
          <w:highlight w:val="none"/>
          <w:lang w:val="en-US" w:eastAsia="zh-CN"/>
        </w:rPr>
        <w:t>施等工作内容，合同暂定金额41,439,387.00元（实际保险金额为：工程量清单第100章（不含建筑工程一切险及第三方责任险的保险费）至第700章的合计金额，因本工程量清单暂未确定，本次采购暂按合同协议书的暂定金额41,439,387.00元来确定）。</w:t>
      </w:r>
    </w:p>
    <w:p>
      <w:pPr>
        <w:pStyle w:val="13"/>
        <w:adjustRightInd w:val="0"/>
        <w:spacing w:line="400" w:lineRule="exact"/>
        <w:rPr>
          <w:rFonts w:ascii="宋体" w:hAnsi="宋体" w:cs="宋体"/>
          <w:szCs w:val="21"/>
          <w:highlight w:val="none"/>
        </w:rPr>
      </w:pPr>
      <w:r>
        <w:rPr>
          <w:rFonts w:hint="eastAsia" w:ascii="宋体" w:hAnsi="宋体" w:cs="宋体"/>
          <w:szCs w:val="21"/>
          <w:highlight w:val="none"/>
        </w:rPr>
        <w:t>2.3 比选范围：梁开高速</w:t>
      </w:r>
      <w:r>
        <w:rPr>
          <w:rFonts w:hint="eastAsia" w:ascii="宋体" w:hAnsi="宋体" w:cs="宋体"/>
          <w:szCs w:val="21"/>
          <w:highlight w:val="none"/>
          <w:lang w:eastAsia="zh-CN"/>
        </w:rPr>
        <w:t>（</w:t>
      </w:r>
      <w:r>
        <w:rPr>
          <w:rFonts w:hint="eastAsia" w:ascii="宋体" w:hAnsi="宋体" w:cs="宋体"/>
          <w:szCs w:val="21"/>
          <w:highlight w:val="none"/>
        </w:rPr>
        <w:t>重庆段）第二总承包部机电工程保险服务</w:t>
      </w:r>
      <w:r>
        <w:rPr>
          <w:rFonts w:hint="eastAsia" w:ascii="宋体" w:hAnsi="宋体" w:cs="宋体"/>
          <w:szCs w:val="21"/>
          <w:highlight w:val="none"/>
          <w:lang w:eastAsia="zh-CN"/>
        </w:rPr>
        <w:t>的</w:t>
      </w:r>
      <w:r>
        <w:rPr>
          <w:rFonts w:hint="eastAsia" w:ascii="宋体" w:hAnsi="宋体" w:cs="宋体"/>
          <w:szCs w:val="21"/>
          <w:highlight w:val="none"/>
          <w:lang w:val="en-US" w:eastAsia="zh-CN"/>
        </w:rPr>
        <w:t>采购，包含</w:t>
      </w:r>
      <w:r>
        <w:rPr>
          <w:rFonts w:hint="eastAsia" w:ascii="宋体" w:hAnsi="宋体" w:cs="宋体"/>
          <w:szCs w:val="21"/>
          <w:highlight w:val="none"/>
        </w:rPr>
        <w:t>梁开高速</w:t>
      </w:r>
      <w:r>
        <w:rPr>
          <w:rFonts w:hint="eastAsia" w:ascii="宋体" w:hAnsi="宋体" w:cs="宋体"/>
          <w:szCs w:val="21"/>
          <w:highlight w:val="none"/>
          <w:lang w:eastAsia="zh-CN"/>
        </w:rPr>
        <w:t>（</w:t>
      </w:r>
      <w:r>
        <w:rPr>
          <w:rFonts w:hint="eastAsia" w:ascii="宋体" w:hAnsi="宋体" w:cs="宋体"/>
          <w:szCs w:val="21"/>
          <w:highlight w:val="none"/>
        </w:rPr>
        <w:t>重庆段）第二总承包部机电工程</w:t>
      </w:r>
      <w:r>
        <w:rPr>
          <w:rFonts w:hint="eastAsia" w:ascii="宋体" w:hAnsi="宋体" w:cs="宋体"/>
          <w:szCs w:val="21"/>
          <w:highlight w:val="none"/>
          <w:lang w:val="en-US" w:eastAsia="zh-CN"/>
        </w:rPr>
        <w:t>的建筑/安工程一切险及第三者责任险、团体建筑施工人员意外伤害保险的采购，服务内容包括但不限于出具保单、再保险安排、保险培训、保险理赔、保险工作会议、保单批改、风险查勘与防灾防损等服务。（详情请见工程量清单技术要求）</w:t>
      </w:r>
      <w:r>
        <w:rPr>
          <w:rFonts w:hint="eastAsia" w:ascii="宋体" w:hAnsi="宋体" w:cs="宋体"/>
          <w:szCs w:val="21"/>
          <w:highlight w:val="none"/>
        </w:rPr>
        <w:t xml:space="preserve">。 </w:t>
      </w:r>
      <w:bookmarkStart w:id="257" w:name="_GoBack"/>
      <w:bookmarkEnd w:id="257"/>
    </w:p>
    <w:p>
      <w:pPr>
        <w:widowControl/>
        <w:spacing w:line="400" w:lineRule="atLeast"/>
        <w:ind w:firstLine="420"/>
        <w:rPr>
          <w:rFonts w:hint="eastAsia" w:ascii="宋体" w:hAnsi="宋体" w:cs="宋体"/>
          <w:color w:val="000000"/>
          <w:kern w:val="0"/>
          <w:szCs w:val="21"/>
          <w:highlight w:val="none"/>
          <w:lang w:bidi="ar"/>
        </w:rPr>
      </w:pPr>
      <w:r>
        <w:rPr>
          <w:rFonts w:hint="eastAsia" w:ascii="宋体" w:hAnsi="宋体" w:cs="宋体"/>
          <w:highlight w:val="none"/>
        </w:rPr>
        <w:t xml:space="preserve">2.4 </w:t>
      </w:r>
      <w:r>
        <w:rPr>
          <w:rFonts w:hint="eastAsia" w:ascii="宋体" w:hAnsi="宋体" w:cs="宋体"/>
          <w:highlight w:val="none"/>
          <w:lang w:val="en-US" w:eastAsia="zh-CN"/>
        </w:rPr>
        <w:t>保险期限</w:t>
      </w:r>
      <w:r>
        <w:rPr>
          <w:rFonts w:hint="eastAsia" w:ascii="宋体" w:hAnsi="宋体" w:cs="宋体"/>
          <w:highlight w:val="none"/>
        </w:rPr>
        <w:t>：</w:t>
      </w:r>
      <w:r>
        <w:rPr>
          <w:rFonts w:hint="eastAsia" w:ascii="宋体" w:hAnsi="宋体" w:cs="宋体"/>
          <w:highlight w:val="none"/>
          <w:lang w:val="en-US" w:eastAsia="zh-CN"/>
        </w:rPr>
        <w:t>项目开工日起直至本合同工程签发缺陷责任期终止证书止（即合同工工期+缺陷责任期），具体要求详见第五章</w:t>
      </w:r>
      <w:r>
        <w:rPr>
          <w:rFonts w:hint="eastAsia" w:ascii="宋体" w:hAnsi="宋体" w:cs="宋体"/>
          <w:color w:val="000000"/>
          <w:kern w:val="0"/>
          <w:szCs w:val="21"/>
          <w:highlight w:val="none"/>
          <w:lang w:bidi="ar"/>
        </w:rPr>
        <w:t>。</w:t>
      </w:r>
    </w:p>
    <w:p>
      <w:pPr>
        <w:keepNext w:val="0"/>
        <w:keepLines w:val="0"/>
        <w:widowControl w:val="0"/>
        <w:suppressLineNumbers w:val="0"/>
        <w:adjustRightInd w:val="0"/>
        <w:spacing w:before="0" w:beforeAutospacing="0" w:after="0" w:afterAutospacing="0" w:line="520" w:lineRule="exact"/>
        <w:ind w:left="0" w:right="0" w:firstLine="420" w:firstLineChars="200"/>
        <w:jc w:val="both"/>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5</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lang w:val="en-US" w:eastAsia="zh-CN"/>
          <w14:textFill>
            <w14:solidFill>
              <w14:schemeClr w14:val="tx1"/>
            </w14:solidFill>
          </w14:textFill>
        </w:rPr>
        <w:t>采购预计金额：21.9万元。</w:t>
      </w:r>
    </w:p>
    <w:p>
      <w:pPr>
        <w:pStyle w:val="4"/>
        <w:spacing w:before="120" w:after="0" w:line="360" w:lineRule="auto"/>
        <w:rPr>
          <w:rFonts w:ascii="宋体" w:hAnsi="宋体" w:eastAsia="宋体" w:cs="宋体"/>
        </w:rPr>
      </w:pPr>
      <w:bookmarkStart w:id="43" w:name="_Toc152045514"/>
      <w:bookmarkStart w:id="44" w:name="_Toc11329215"/>
      <w:bookmarkStart w:id="45" w:name="_Toc144974482"/>
      <w:bookmarkStart w:id="46" w:name="_Toc507319893"/>
      <w:bookmarkStart w:id="47" w:name="_Toc179632530"/>
      <w:bookmarkStart w:id="48" w:name="_Toc10171"/>
      <w:bookmarkStart w:id="49" w:name="_Toc152042290"/>
      <w:bookmarkStart w:id="50" w:name="_Toc246996903"/>
      <w:bookmarkStart w:id="51" w:name="_Toc246996160"/>
      <w:bookmarkStart w:id="52" w:name="_Toc247085674"/>
      <w:bookmarkStart w:id="53" w:name="_Toc7065"/>
      <w:bookmarkStart w:id="54" w:name="_Toc30356"/>
      <w:r>
        <w:rPr>
          <w:rFonts w:hint="eastAsia" w:ascii="宋体" w:hAnsi="宋体" w:eastAsia="宋体" w:cs="宋体"/>
        </w:rPr>
        <w:t>3. 报价人资格要求</w:t>
      </w:r>
      <w:bookmarkEnd w:id="43"/>
      <w:bookmarkEnd w:id="44"/>
      <w:bookmarkEnd w:id="45"/>
      <w:bookmarkEnd w:id="46"/>
      <w:bookmarkEnd w:id="47"/>
      <w:bookmarkEnd w:id="48"/>
      <w:bookmarkEnd w:id="49"/>
      <w:bookmarkEnd w:id="50"/>
      <w:bookmarkEnd w:id="51"/>
      <w:bookmarkEnd w:id="52"/>
      <w:bookmarkEnd w:id="53"/>
      <w:bookmarkEnd w:id="54"/>
    </w:p>
    <w:p>
      <w:pPr>
        <w:pStyle w:val="13"/>
        <w:adjustRightInd w:val="0"/>
        <w:spacing w:line="400" w:lineRule="exact"/>
        <w:rPr>
          <w:rFonts w:hint="eastAsia" w:ascii="宋体" w:hAnsi="宋体" w:cs="宋体"/>
          <w:lang w:val="en-US" w:eastAsia="zh-CN"/>
        </w:rPr>
      </w:pPr>
      <w:bookmarkStart w:id="55" w:name="_Toc246996904"/>
      <w:bookmarkStart w:id="56" w:name="_Toc179632531"/>
      <w:bookmarkStart w:id="57" w:name="_Toc152045515"/>
      <w:bookmarkStart w:id="58" w:name="_Toc247085675"/>
      <w:bookmarkStart w:id="59" w:name="_Toc152042291"/>
      <w:bookmarkStart w:id="60" w:name="_Toc144974483"/>
      <w:bookmarkStart w:id="61" w:name="_Toc246996161"/>
      <w:r>
        <w:rPr>
          <w:rFonts w:hint="eastAsia" w:ascii="宋体" w:hAnsi="宋体" w:cs="宋体"/>
          <w:lang w:val="en-US" w:eastAsia="zh-CN"/>
        </w:rPr>
        <w:t>3.1 资质要求（以下资质文件若因疫情影响过期无法办理延续手续，需附相关行政部门下发的延期办理文件）：</w:t>
      </w:r>
    </w:p>
    <w:p>
      <w:pPr>
        <w:pStyle w:val="13"/>
        <w:adjustRightInd w:val="0"/>
        <w:spacing w:line="400" w:lineRule="exact"/>
        <w:rPr>
          <w:rFonts w:hint="eastAsia" w:ascii="宋体" w:hAnsi="宋体" w:cs="宋体"/>
          <w:lang w:val="en-US" w:eastAsia="zh-CN"/>
        </w:rPr>
      </w:pPr>
      <w:r>
        <w:rPr>
          <w:rFonts w:hint="eastAsia" w:ascii="宋体" w:hAnsi="宋体" w:cs="宋体"/>
          <w:lang w:val="en-US" w:eastAsia="zh-CN"/>
        </w:rPr>
        <w:t>（1）投标人必须在中华人民共和国境内注册、经中国银行保险监督管理委员会批准开展财产保险业务，注册资本金不低于30亿元人民币。本次招标只接受保险公司的总公司（独立法人公司）或者经总公司唯一授权的本项目所在地省级（或直辖市）分公司参与投标；</w:t>
      </w:r>
    </w:p>
    <w:p>
      <w:pPr>
        <w:pStyle w:val="13"/>
        <w:adjustRightInd w:val="0"/>
        <w:spacing w:line="400" w:lineRule="exact"/>
        <w:rPr>
          <w:rFonts w:hint="eastAsia" w:ascii="宋体" w:hAnsi="宋体" w:cs="宋体"/>
          <w:lang w:val="en-US" w:eastAsia="zh-CN"/>
        </w:rPr>
      </w:pPr>
      <w:r>
        <w:rPr>
          <w:rFonts w:hint="eastAsia" w:ascii="宋体" w:hAnsi="宋体" w:cs="宋体"/>
          <w:lang w:val="en-US" w:eastAsia="zh-CN"/>
        </w:rPr>
        <w:t>（2）财务要求：投标人在2022年综合偿付能力充足率不低于200%；</w:t>
      </w:r>
    </w:p>
    <w:p>
      <w:pPr>
        <w:pStyle w:val="13"/>
        <w:adjustRightInd w:val="0"/>
        <w:spacing w:line="400" w:lineRule="exact"/>
        <w:rPr>
          <w:rFonts w:hint="eastAsia" w:ascii="宋体" w:hAnsi="宋体" w:cs="宋体"/>
          <w:lang w:val="en-US" w:eastAsia="zh-CN"/>
        </w:rPr>
      </w:pPr>
      <w:r>
        <w:rPr>
          <w:rFonts w:hint="eastAsia" w:ascii="宋体" w:hAnsi="宋体" w:cs="宋体"/>
          <w:lang w:val="en-US" w:eastAsia="zh-CN"/>
        </w:rPr>
        <w:t>3.2 业绩要求：2020年1月1日至报价截止日期（以合同签订时间为准），投标人至少具有1个单项工程投保额不少于3000万元的工程项目的建筑/安装工程一切险及第三者责任险保险项目（独立承保）的保险服务业绩。</w:t>
      </w:r>
    </w:p>
    <w:p>
      <w:pPr>
        <w:pStyle w:val="13"/>
        <w:adjustRightInd w:val="0"/>
        <w:spacing w:line="400" w:lineRule="exact"/>
        <w:rPr>
          <w:rFonts w:hint="eastAsia" w:ascii="宋体" w:hAnsi="宋体" w:cs="宋体"/>
        </w:rPr>
      </w:pPr>
      <w:r>
        <w:rPr>
          <w:rFonts w:hint="eastAsia" w:ascii="宋体" w:hAnsi="宋体" w:cs="宋体"/>
        </w:rPr>
        <w:t>3.</w:t>
      </w:r>
      <w:r>
        <w:rPr>
          <w:rFonts w:hint="eastAsia" w:ascii="宋体" w:hAnsi="宋体" w:cs="宋体"/>
          <w:lang w:val="en-US" w:eastAsia="zh-CN"/>
        </w:rPr>
        <w:t>3</w:t>
      </w:r>
      <w:r>
        <w:rPr>
          <w:rFonts w:hint="eastAsia" w:ascii="宋体" w:hAnsi="宋体" w:cs="宋体"/>
        </w:rPr>
        <w:t xml:space="preserve"> 信誉要求：在国家企业信用信息公示系统（http://www.gsxt.gov.cn/）中未被列入严重违法失信企业名单（黑名单）信息；在“信用中国”网站（http://www.creditchina.gov.cn/）中未被列入失信惩戒执行人名单</w:t>
      </w:r>
      <w:r>
        <w:rPr>
          <w:rFonts w:hint="eastAsia" w:ascii="宋体" w:hAnsi="宋体" w:cs="宋体"/>
          <w:lang w:eastAsia="zh-CN"/>
        </w:rPr>
        <w:t>，20</w:t>
      </w:r>
      <w:r>
        <w:rPr>
          <w:rFonts w:hint="eastAsia" w:ascii="宋体" w:hAnsi="宋体" w:cs="宋体"/>
          <w:lang w:val="en-US" w:eastAsia="zh-CN"/>
        </w:rPr>
        <w:t>20</w:t>
      </w:r>
      <w:r>
        <w:rPr>
          <w:rFonts w:hint="eastAsia" w:ascii="宋体" w:hAnsi="宋体" w:cs="宋体"/>
          <w:lang w:eastAsia="zh-CN"/>
        </w:rPr>
        <w:t>年1月1日起至投标截止日止在项目所在地未被中国银保监会、重庆银保监局因工程类保险服务受到行政处罚，或因投标人原因而使任何合同被解除；具有依法缴纳税金和社会保障基金的良好记录；无不良诉讼记录</w:t>
      </w:r>
      <w:r>
        <w:rPr>
          <w:rFonts w:hint="eastAsia" w:ascii="宋体" w:hAnsi="宋体" w:cs="宋体"/>
        </w:rPr>
        <w:t>。</w:t>
      </w:r>
    </w:p>
    <w:p>
      <w:pPr>
        <w:pStyle w:val="13"/>
        <w:adjustRightInd w:val="0"/>
        <w:spacing w:line="400" w:lineRule="exact"/>
        <w:rPr>
          <w:rFonts w:hint="eastAsia" w:ascii="宋体" w:hAnsi="宋体" w:cs="宋体"/>
        </w:rPr>
      </w:pPr>
      <w:r>
        <w:rPr>
          <w:rFonts w:hint="eastAsia" w:ascii="宋体" w:hAnsi="宋体" w:cs="宋体"/>
        </w:rPr>
        <w:t>3.</w:t>
      </w:r>
      <w:r>
        <w:rPr>
          <w:rFonts w:hint="eastAsia" w:ascii="宋体" w:hAnsi="宋体" w:cs="宋体"/>
          <w:lang w:val="en-US" w:eastAsia="zh-CN"/>
        </w:rPr>
        <w:t>4</w:t>
      </w:r>
      <w:r>
        <w:rPr>
          <w:rFonts w:hint="eastAsia" w:ascii="宋体" w:hAnsi="宋体" w:cs="宋体"/>
        </w:rPr>
        <w:t xml:space="preserve"> 报价人须提供采购人要求的所有资质要求、业绩要求、信誉要求的复印件并加盖单位鲜公章。</w:t>
      </w:r>
    </w:p>
    <w:p>
      <w:pPr>
        <w:pStyle w:val="13"/>
        <w:adjustRightInd w:val="0"/>
        <w:spacing w:line="400" w:lineRule="exact"/>
        <w:rPr>
          <w:rFonts w:hint="eastAsia" w:ascii="宋体" w:hAnsi="宋体" w:cs="宋体"/>
        </w:rPr>
      </w:pPr>
      <w:r>
        <w:rPr>
          <w:rFonts w:hint="eastAsia" w:ascii="宋体" w:hAnsi="宋体" w:cs="宋体"/>
        </w:rPr>
        <w:t>3.</w:t>
      </w:r>
      <w:r>
        <w:rPr>
          <w:rFonts w:hint="eastAsia" w:ascii="宋体" w:hAnsi="宋体" w:cs="宋体"/>
          <w:lang w:val="en-US" w:eastAsia="zh-CN"/>
        </w:rPr>
        <w:t>5</w:t>
      </w:r>
      <w:r>
        <w:rPr>
          <w:rFonts w:hint="eastAsia" w:ascii="宋体" w:hAnsi="宋体" w:cs="宋体"/>
        </w:rPr>
        <w:t xml:space="preserve"> 本次比选不接受联合体报价。</w:t>
      </w:r>
    </w:p>
    <w:p>
      <w:pPr>
        <w:pStyle w:val="13"/>
        <w:adjustRightInd w:val="0"/>
        <w:spacing w:line="400" w:lineRule="exact"/>
        <w:rPr>
          <w:rFonts w:hint="eastAsia" w:ascii="宋体" w:hAnsi="宋体" w:cs="宋体"/>
        </w:rPr>
      </w:pPr>
      <w:r>
        <w:rPr>
          <w:rFonts w:hint="eastAsia" w:ascii="宋体" w:hAnsi="宋体" w:cs="宋体"/>
        </w:rPr>
        <w:t>3.</w:t>
      </w:r>
      <w:r>
        <w:rPr>
          <w:rFonts w:hint="eastAsia" w:ascii="宋体" w:hAnsi="宋体" w:cs="宋体"/>
          <w:lang w:val="en-US" w:eastAsia="zh-CN"/>
        </w:rPr>
        <w:t>6</w:t>
      </w:r>
      <w:r>
        <w:rPr>
          <w:rFonts w:hint="eastAsia" w:ascii="宋体" w:hAnsi="宋体" w:cs="宋体"/>
        </w:rPr>
        <w:t xml:space="preserve"> 单位负责人为同一人或者存在控股、管理关系的不同单位，不得同时参加本项目报价，否则均按无效报价处理。</w:t>
      </w:r>
    </w:p>
    <w:p>
      <w:pPr>
        <w:pStyle w:val="4"/>
        <w:spacing w:before="120" w:after="0" w:line="360" w:lineRule="auto"/>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评标办法</w:t>
      </w:r>
    </w:p>
    <w:p>
      <w:pPr>
        <w:pStyle w:val="2"/>
        <w:ind w:firstLine="420" w:firstLineChars="200"/>
        <w:rPr>
          <w:rFonts w:hint="eastAsia" w:ascii="宋体" w:hAnsi="宋体" w:cs="宋体"/>
        </w:rPr>
      </w:pPr>
      <w:r>
        <w:rPr>
          <w:rFonts w:hint="eastAsia" w:ascii="宋体" w:hAnsi="宋体" w:eastAsia="宋体" w:cs="Times New Roman"/>
          <w:kern w:val="2"/>
          <w:sz w:val="21"/>
          <w:szCs w:val="21"/>
          <w:highlight w:val="none"/>
          <w:lang w:val="en-US" w:eastAsia="zh-CN" w:bidi="ar-SA"/>
        </w:rPr>
        <w:t>本项目采用经评审的最低投标价法。</w:t>
      </w:r>
    </w:p>
    <w:p>
      <w:pPr>
        <w:pStyle w:val="4"/>
        <w:spacing w:before="120" w:after="0" w:line="400" w:lineRule="exact"/>
        <w:rPr>
          <w:rFonts w:ascii="宋体" w:hAnsi="宋体" w:eastAsia="宋体" w:cs="宋体"/>
        </w:rPr>
      </w:pPr>
      <w:bookmarkStart w:id="62" w:name="_Toc11329216"/>
      <w:bookmarkStart w:id="63" w:name="_Toc14361"/>
      <w:bookmarkStart w:id="64" w:name="_Toc25619"/>
      <w:bookmarkStart w:id="65" w:name="_Toc507319894"/>
      <w:bookmarkStart w:id="66" w:name="_Toc12460"/>
      <w:r>
        <w:rPr>
          <w:rFonts w:hint="eastAsia" w:ascii="宋体" w:hAnsi="宋体" w:eastAsia="宋体" w:cs="宋体"/>
          <w:lang w:val="en-US" w:eastAsia="zh-CN"/>
        </w:rPr>
        <w:t>5</w:t>
      </w:r>
      <w:r>
        <w:rPr>
          <w:rFonts w:hint="eastAsia" w:ascii="宋体" w:hAnsi="宋体" w:eastAsia="宋体" w:cs="宋体"/>
        </w:rPr>
        <w:t>. 比选文件的获取</w:t>
      </w:r>
      <w:bookmarkEnd w:id="55"/>
      <w:bookmarkEnd w:id="56"/>
      <w:bookmarkEnd w:id="57"/>
      <w:bookmarkEnd w:id="58"/>
      <w:bookmarkEnd w:id="59"/>
      <w:bookmarkEnd w:id="60"/>
      <w:bookmarkEnd w:id="61"/>
      <w:bookmarkEnd w:id="62"/>
      <w:bookmarkEnd w:id="63"/>
      <w:bookmarkEnd w:id="64"/>
      <w:bookmarkEnd w:id="65"/>
      <w:bookmarkEnd w:id="66"/>
    </w:p>
    <w:p>
      <w:pPr>
        <w:pStyle w:val="13"/>
        <w:keepNext w:val="0"/>
        <w:keepLines w:val="0"/>
        <w:pageBreakBefore w:val="0"/>
        <w:widowControl w:val="0"/>
        <w:kinsoku/>
        <w:wordWrap w:val="0"/>
        <w:overflowPunct/>
        <w:topLinePunct w:val="0"/>
        <w:autoSpaceDE/>
        <w:autoSpaceDN/>
        <w:bidi w:val="0"/>
        <w:adjustRightInd w:val="0"/>
        <w:snapToGrid/>
        <w:spacing w:line="400" w:lineRule="exact"/>
        <w:textAlignment w:val="auto"/>
        <w:rPr>
          <w:rFonts w:hint="eastAsia" w:ascii="宋体" w:hAnsi="宋体" w:cs="宋体"/>
        </w:rPr>
      </w:pPr>
      <w:bookmarkStart w:id="67" w:name="_Toc144974484"/>
      <w:bookmarkStart w:id="68" w:name="_Toc246996162"/>
      <w:bookmarkStart w:id="69" w:name="_Toc247085676"/>
      <w:bookmarkStart w:id="70" w:name="_Toc152045516"/>
      <w:bookmarkStart w:id="71" w:name="_Toc246996905"/>
      <w:bookmarkStart w:id="72" w:name="_Toc11329217"/>
      <w:bookmarkStart w:id="73" w:name="_Toc152042292"/>
      <w:bookmarkStart w:id="74" w:name="_Toc507319895"/>
      <w:bookmarkStart w:id="75" w:name="_Toc179632532"/>
      <w:bookmarkStart w:id="76" w:name="_Toc16686"/>
      <w:bookmarkStart w:id="77" w:name="_Toc31493"/>
      <w:bookmarkStart w:id="78" w:name="_Toc9131"/>
      <w:r>
        <w:rPr>
          <w:rFonts w:hint="eastAsia" w:ascii="宋体" w:hAnsi="宋体" w:cs="宋体"/>
        </w:rPr>
        <w:t>凡愿意参加的潜在报价人，在202</w:t>
      </w:r>
      <w:r>
        <w:rPr>
          <w:rFonts w:hint="eastAsia" w:ascii="宋体" w:hAnsi="宋体" w:cs="宋体"/>
          <w:lang w:val="en-US" w:eastAsia="zh-CN"/>
        </w:rPr>
        <w:t>3</w:t>
      </w:r>
      <w:r>
        <w:rPr>
          <w:rFonts w:hint="eastAsia" w:ascii="宋体" w:hAnsi="宋体" w:cs="宋体"/>
        </w:rPr>
        <w:t>年</w:t>
      </w:r>
      <w:r>
        <w:rPr>
          <w:rFonts w:hint="eastAsia" w:ascii="宋体" w:hAnsi="宋体" w:cs="宋体"/>
          <w:lang w:val="en-US" w:eastAsia="zh-CN"/>
        </w:rPr>
        <w:t>7</w:t>
      </w:r>
      <w:r>
        <w:rPr>
          <w:rFonts w:hint="eastAsia" w:ascii="宋体" w:hAnsi="宋体" w:cs="宋体"/>
        </w:rPr>
        <w:t>月</w:t>
      </w:r>
      <w:r>
        <w:rPr>
          <w:rFonts w:hint="eastAsia" w:ascii="宋体" w:hAnsi="宋体" w:cs="宋体"/>
          <w:lang w:val="en-US" w:eastAsia="zh-CN"/>
        </w:rPr>
        <w:t>31</w:t>
      </w:r>
      <w:r>
        <w:rPr>
          <w:rFonts w:hint="eastAsia" w:ascii="宋体" w:hAnsi="宋体" w:cs="宋体"/>
        </w:rPr>
        <w:t>日</w:t>
      </w:r>
      <w:r>
        <w:rPr>
          <w:rFonts w:hint="eastAsia" w:ascii="宋体" w:hAnsi="宋体" w:cs="宋体"/>
          <w:lang w:val="en-US" w:eastAsia="zh-CN"/>
        </w:rPr>
        <w:t>下</w:t>
      </w:r>
      <w:r>
        <w:rPr>
          <w:rFonts w:hint="eastAsia" w:ascii="宋体" w:hAnsi="宋体" w:cs="宋体"/>
        </w:rPr>
        <w:t>午1</w:t>
      </w:r>
      <w:r>
        <w:rPr>
          <w:rFonts w:hint="eastAsia" w:ascii="宋体" w:hAnsi="宋体" w:cs="宋体"/>
          <w:lang w:val="en-US" w:eastAsia="zh-CN"/>
        </w:rPr>
        <w:t>4</w:t>
      </w:r>
      <w:r>
        <w:rPr>
          <w:rFonts w:hint="eastAsia" w:ascii="宋体" w:hAnsi="宋体" w:cs="宋体"/>
        </w:rPr>
        <w:t>:00前在重庆高速集团官网</w:t>
      </w:r>
      <w:r>
        <w:rPr>
          <w:rFonts w:hint="eastAsia" w:ascii="宋体" w:hAnsi="宋体" w:cs="宋体"/>
          <w:lang w:val="en-US" w:eastAsia="zh-CN"/>
        </w:rPr>
        <w:t>（http://www.cegc.com.cn）上</w:t>
      </w:r>
      <w:r>
        <w:rPr>
          <w:rFonts w:hint="eastAsia" w:ascii="宋体" w:hAnsi="宋体" w:cs="宋体"/>
        </w:rPr>
        <w:t>获取竞争性比选文件，各报价人应随时关注网上发布的竞争性比选文件答疑、补遗、澄清等文件内容，不管报价人是否下载，均视为已知晓竞争性比选文件的全部内容和有关事宜。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rPr>
      </w:pPr>
      <w:r>
        <w:rPr>
          <w:rFonts w:hint="eastAsia" w:ascii="宋体" w:hAnsi="宋体" w:eastAsia="宋体" w:cs="宋体"/>
          <w:lang w:val="en-US" w:eastAsia="zh-CN"/>
        </w:rPr>
        <w:t>6</w:t>
      </w:r>
      <w:r>
        <w:rPr>
          <w:rFonts w:hint="eastAsia" w:ascii="宋体" w:hAnsi="宋体" w:eastAsia="宋体" w:cs="宋体"/>
        </w:rPr>
        <w:t>.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rPr>
        <w:t>及相关事宜</w:t>
      </w:r>
      <w:bookmarkEnd w:id="76"/>
      <w:bookmarkEnd w:id="77"/>
      <w:bookmarkEnd w:id="78"/>
    </w:p>
    <w:p>
      <w:pPr>
        <w:tabs>
          <w:tab w:val="left" w:pos="360"/>
        </w:tabs>
        <w:spacing w:line="400" w:lineRule="exact"/>
        <w:ind w:firstLine="420" w:firstLineChars="200"/>
        <w:rPr>
          <w:rFonts w:hint="eastAsia" w:ascii="宋体" w:hAnsi="宋体" w:cs="宋体"/>
          <w:szCs w:val="21"/>
          <w:highlight w:val="none"/>
        </w:rPr>
      </w:pPr>
      <w:bookmarkStart w:id="79" w:name="_Toc393"/>
      <w:bookmarkStart w:id="80" w:name="_Toc246996907"/>
      <w:bookmarkStart w:id="81" w:name="_Toc11329219"/>
      <w:bookmarkStart w:id="82" w:name="_Toc247085678"/>
      <w:bookmarkStart w:id="83" w:name="_Toc144974485"/>
      <w:bookmarkStart w:id="84" w:name="_Toc21615"/>
      <w:bookmarkStart w:id="85" w:name="_Toc18402"/>
      <w:bookmarkStart w:id="86" w:name="_Toc246996164"/>
      <w:bookmarkStart w:id="87" w:name="_Toc152042293"/>
      <w:bookmarkStart w:id="88" w:name="_Toc152045517"/>
      <w:bookmarkStart w:id="89" w:name="_Toc507319897"/>
      <w:bookmarkStart w:id="90" w:name="_Toc179632534"/>
      <w:r>
        <w:rPr>
          <w:rFonts w:hint="eastAsia" w:ascii="宋体" w:hAnsi="宋体" w:cs="宋体"/>
          <w:szCs w:val="21"/>
          <w:highlight w:val="none"/>
          <w:lang w:val="en-US" w:eastAsia="zh-CN"/>
        </w:rPr>
        <w:t>6</w:t>
      </w:r>
      <w:r>
        <w:rPr>
          <w:rFonts w:hint="eastAsia" w:ascii="宋体" w:hAnsi="宋体" w:cs="宋体"/>
          <w:szCs w:val="21"/>
          <w:highlight w:val="none"/>
        </w:rPr>
        <w:t>.1报价截止时间和开标时间</w:t>
      </w:r>
      <w:r>
        <w:rPr>
          <w:rFonts w:hint="eastAsia" w:ascii="宋体" w:hAnsi="宋体" w:cs="宋体"/>
          <w:color w:val="auto"/>
          <w:szCs w:val="21"/>
          <w:highlight w:val="none"/>
        </w:rPr>
        <w:t>：</w:t>
      </w:r>
      <w:r>
        <w:rPr>
          <w:rFonts w:hint="eastAsia" w:ascii="宋体" w:hAnsi="宋体" w:cs="Times New Roman"/>
          <w:szCs w:val="21"/>
          <w:highlight w:val="none"/>
          <w:u w:val="single"/>
        </w:rPr>
        <w:t>20</w:t>
      </w:r>
      <w:r>
        <w:rPr>
          <w:rFonts w:hint="eastAsia" w:ascii="宋体" w:hAnsi="宋体" w:cs="Times New Roman"/>
          <w:szCs w:val="21"/>
          <w:highlight w:val="none"/>
          <w:u w:val="single"/>
          <w:lang w:val="en-US" w:eastAsia="zh-CN"/>
        </w:rPr>
        <w:t>23</w:t>
      </w:r>
      <w:r>
        <w:rPr>
          <w:rFonts w:hint="eastAsia" w:ascii="宋体" w:hAnsi="宋体" w:cs="Times New Roman"/>
          <w:szCs w:val="21"/>
          <w:highlight w:val="none"/>
        </w:rPr>
        <w:t>年</w:t>
      </w:r>
      <w:r>
        <w:rPr>
          <w:rFonts w:hint="eastAsia" w:ascii="宋体" w:hAnsi="宋体" w:cs="Times New Roman"/>
          <w:szCs w:val="21"/>
          <w:highlight w:val="none"/>
          <w:u w:val="single"/>
          <w:lang w:val="en-US" w:eastAsia="zh-CN"/>
        </w:rPr>
        <w:t>7</w:t>
      </w:r>
      <w:r>
        <w:rPr>
          <w:rFonts w:hint="eastAsia" w:ascii="宋体" w:hAnsi="宋体" w:cs="Times New Roman"/>
          <w:szCs w:val="21"/>
          <w:highlight w:val="none"/>
        </w:rPr>
        <w:t>月</w:t>
      </w:r>
      <w:r>
        <w:rPr>
          <w:rFonts w:hint="eastAsia" w:ascii="宋体" w:hAnsi="宋体" w:cs="Times New Roman"/>
          <w:szCs w:val="21"/>
          <w:highlight w:val="none"/>
          <w:u w:val="single"/>
          <w:lang w:val="en-US" w:eastAsia="zh-CN"/>
        </w:rPr>
        <w:t>31</w:t>
      </w:r>
      <w:r>
        <w:rPr>
          <w:rFonts w:hint="eastAsia" w:ascii="宋体" w:hAnsi="宋体" w:cs="Times New Roman"/>
          <w:szCs w:val="21"/>
          <w:highlight w:val="none"/>
        </w:rPr>
        <w:t>日</w:t>
      </w:r>
      <w:r>
        <w:rPr>
          <w:rFonts w:hint="eastAsia" w:ascii="宋体" w:hAnsi="宋体" w:cs="Times New Roman"/>
          <w:szCs w:val="21"/>
          <w:highlight w:val="none"/>
          <w:lang w:val="en-US" w:eastAsia="zh-CN"/>
        </w:rPr>
        <w:t>下午</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rPr>
        <w:t>分（北京时间）</w:t>
      </w:r>
      <w:r>
        <w:rPr>
          <w:rFonts w:hint="eastAsia" w:ascii="宋体" w:hAnsi="宋体" w:cs="宋体"/>
          <w:szCs w:val="21"/>
          <w:highlight w:val="none"/>
        </w:rPr>
        <w:t>。</w:t>
      </w:r>
    </w:p>
    <w:p>
      <w:pPr>
        <w:tabs>
          <w:tab w:val="left" w:pos="360"/>
        </w:tabs>
        <w:spacing w:line="400" w:lineRule="exact"/>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6</w:t>
      </w:r>
      <w:r>
        <w:rPr>
          <w:rFonts w:hint="default" w:ascii="宋体" w:hAnsi="宋体" w:cs="宋体"/>
          <w:szCs w:val="21"/>
          <w:highlight w:val="none"/>
          <w:lang w:val="en-US" w:eastAsia="zh-CN"/>
        </w:rPr>
        <w:t>.</w:t>
      </w:r>
      <w:r>
        <w:rPr>
          <w:rFonts w:hint="eastAsia" w:ascii="宋体" w:hAnsi="宋体" w:cs="宋体"/>
          <w:szCs w:val="21"/>
          <w:highlight w:val="none"/>
          <w:lang w:val="en-US" w:eastAsia="zh-CN"/>
        </w:rPr>
        <w:t>2</w:t>
      </w:r>
      <w:r>
        <w:rPr>
          <w:rFonts w:hint="default" w:ascii="宋体" w:hAnsi="宋体" w:cs="宋体"/>
          <w:szCs w:val="21"/>
          <w:highlight w:val="none"/>
          <w:lang w:val="en-US" w:eastAsia="zh-CN"/>
        </w:rPr>
        <w:t xml:space="preserve"> 报价的递交方式：现场递交或邮寄，若采用现场递交方式须在报价截止当天将文件送达并参与现场开标；若采用邮寄方式需在报价截止时间之前将响应文件邮寄到达递交地址，并按要求进行密封，否则采购人有权拒收，采用邮寄方式的报价人默认认可采购人的开标结果，不得由此提出任何质疑。</w:t>
      </w:r>
    </w:p>
    <w:p>
      <w:pPr>
        <w:tabs>
          <w:tab w:val="left" w:pos="360"/>
        </w:tabs>
        <w:spacing w:line="400" w:lineRule="exact"/>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6</w:t>
      </w:r>
      <w:r>
        <w:rPr>
          <w:rFonts w:hint="default" w:ascii="宋体" w:hAnsi="宋体" w:cs="宋体"/>
          <w:szCs w:val="21"/>
          <w:highlight w:val="none"/>
          <w:lang w:val="en-US" w:eastAsia="zh-CN"/>
        </w:rPr>
        <w:t>.3 递交地址：重庆市渝北区新南路52号东界龙湖</w:t>
      </w:r>
      <w:r>
        <w:rPr>
          <w:rFonts w:hint="eastAsia" w:ascii="宋体" w:hAnsi="宋体" w:cs="宋体"/>
          <w:szCs w:val="21"/>
          <w:highlight w:val="none"/>
          <w:lang w:val="en-US" w:eastAsia="zh-CN"/>
        </w:rPr>
        <w:t>三</w:t>
      </w:r>
      <w:r>
        <w:rPr>
          <w:rFonts w:hint="default" w:ascii="宋体" w:hAnsi="宋体" w:cs="宋体"/>
          <w:szCs w:val="21"/>
          <w:highlight w:val="none"/>
          <w:lang w:val="en-US" w:eastAsia="zh-CN"/>
        </w:rPr>
        <w:t>楼重庆首讯科技股份有限公司。</w:t>
      </w:r>
    </w:p>
    <w:p>
      <w:pPr>
        <w:tabs>
          <w:tab w:val="left" w:pos="360"/>
        </w:tabs>
        <w:spacing w:line="400" w:lineRule="exact"/>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6</w:t>
      </w:r>
      <w:r>
        <w:rPr>
          <w:rFonts w:hint="default" w:ascii="宋体" w:hAnsi="宋体" w:cs="宋体"/>
          <w:szCs w:val="21"/>
          <w:highlight w:val="none"/>
          <w:lang w:val="en-US" w:eastAsia="zh-CN"/>
        </w:rPr>
        <w:t>.4 逾期送达，或未送达指定地点，或未密封的竞争性比选响应文件，采购人不予受理。</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szCs w:val="21"/>
          <w:highlight w:val="none"/>
          <w:lang w:val="en-US" w:eastAsia="zh-CN"/>
        </w:rPr>
        <w:t>5</w:t>
      </w:r>
      <w:r>
        <w:rPr>
          <w:rFonts w:ascii="宋体" w:hAnsi="宋体" w:cs="宋体"/>
          <w:szCs w:val="21"/>
          <w:highlight w:val="none"/>
        </w:rPr>
        <w:t>采购人不组织工程现场踏勘，不召开报价预备会。</w:t>
      </w:r>
    </w:p>
    <w:p>
      <w:pPr>
        <w:pStyle w:val="4"/>
        <w:spacing w:before="120" w:after="0" w:line="400" w:lineRule="exact"/>
        <w:rPr>
          <w:rFonts w:ascii="宋体" w:hAnsi="宋体" w:eastAsia="宋体" w:cs="宋体"/>
        </w:rPr>
      </w:pPr>
      <w:r>
        <w:rPr>
          <w:rFonts w:hint="eastAsia" w:ascii="宋体" w:hAnsi="宋体" w:eastAsia="宋体" w:cs="宋体"/>
          <w:lang w:val="en-US" w:eastAsia="zh-CN"/>
        </w:rPr>
        <w:t>7</w:t>
      </w:r>
      <w:r>
        <w:rPr>
          <w:rFonts w:hint="eastAsia" w:ascii="宋体" w:hAnsi="宋体" w:eastAsia="宋体" w:cs="宋体"/>
        </w:rPr>
        <w:t>. 联系方式</w:t>
      </w:r>
      <w:bookmarkEnd w:id="79"/>
      <w:bookmarkEnd w:id="80"/>
      <w:bookmarkEnd w:id="81"/>
      <w:bookmarkEnd w:id="82"/>
      <w:bookmarkEnd w:id="83"/>
      <w:bookmarkEnd w:id="84"/>
      <w:bookmarkEnd w:id="85"/>
      <w:bookmarkEnd w:id="86"/>
      <w:bookmarkEnd w:id="87"/>
      <w:bookmarkEnd w:id="88"/>
      <w:bookmarkEnd w:id="89"/>
      <w:bookmarkEnd w:id="90"/>
    </w:p>
    <w:tbl>
      <w:tblPr>
        <w:tblStyle w:val="43"/>
        <w:tblW w:w="9628" w:type="dxa"/>
        <w:tblInd w:w="0" w:type="dxa"/>
        <w:tblLayout w:type="fixed"/>
        <w:tblCellMar>
          <w:top w:w="0" w:type="dxa"/>
          <w:left w:w="108" w:type="dxa"/>
          <w:bottom w:w="0" w:type="dxa"/>
          <w:right w:w="108" w:type="dxa"/>
        </w:tblCellMar>
      </w:tblPr>
      <w:tblGrid>
        <w:gridCol w:w="9388"/>
        <w:gridCol w:w="240"/>
      </w:tblGrid>
      <w:tr>
        <w:tblPrEx>
          <w:tblCellMar>
            <w:top w:w="0" w:type="dxa"/>
            <w:left w:w="108" w:type="dxa"/>
            <w:bottom w:w="0" w:type="dxa"/>
            <w:right w:w="108" w:type="dxa"/>
          </w:tblCellMar>
        </w:tblPrEx>
        <w:trPr>
          <w:trHeight w:val="470" w:hRule="atLeast"/>
        </w:trPr>
        <w:tc>
          <w:tcPr>
            <w:tcW w:w="9388" w:type="dxa"/>
            <w:vAlign w:val="center"/>
          </w:tcPr>
          <w:p>
            <w:pPr>
              <w:pStyle w:val="102"/>
              <w:spacing w:before="0" w:beforeAutospacing="0" w:after="0" w:afterAutospacing="0" w:line="400" w:lineRule="exact"/>
              <w:ind w:firstLine="420" w:firstLineChars="200"/>
              <w:jc w:val="both"/>
              <w:rPr>
                <w:rFonts w:ascii="宋体" w:hAnsi="宋体" w:cs="宋体"/>
                <w:kern w:val="2"/>
                <w:sz w:val="21"/>
                <w:szCs w:val="21"/>
              </w:rPr>
            </w:pPr>
            <w:r>
              <w:rPr>
                <w:rFonts w:hint="eastAsia" w:ascii="宋体" w:hAnsi="宋体" w:cs="宋体"/>
                <w:kern w:val="2"/>
                <w:sz w:val="21"/>
                <w:szCs w:val="21"/>
              </w:rPr>
              <w:t>采购人：重庆首讯科技股份有限公司</w:t>
            </w:r>
          </w:p>
        </w:tc>
        <w:tc>
          <w:tcPr>
            <w:tcW w:w="240" w:type="dxa"/>
            <w:vAlign w:val="center"/>
          </w:tcPr>
          <w:p>
            <w:pPr>
              <w:pStyle w:val="102"/>
              <w:spacing w:before="0" w:beforeAutospacing="0" w:after="0" w:afterAutospacing="0" w:line="400" w:lineRule="exact"/>
              <w:ind w:firstLine="420" w:firstLineChars="200"/>
              <w:jc w:val="both"/>
              <w:rPr>
                <w:rFonts w:ascii="宋体" w:hAnsi="宋体" w:cs="宋体"/>
                <w:kern w:val="2"/>
                <w:sz w:val="21"/>
                <w:szCs w:val="21"/>
              </w:rPr>
            </w:pPr>
          </w:p>
        </w:tc>
      </w:tr>
      <w:tr>
        <w:tblPrEx>
          <w:tblCellMar>
            <w:top w:w="0" w:type="dxa"/>
            <w:left w:w="108" w:type="dxa"/>
            <w:bottom w:w="0" w:type="dxa"/>
            <w:right w:w="108" w:type="dxa"/>
          </w:tblCellMar>
        </w:tblPrEx>
        <w:trPr>
          <w:trHeight w:val="461" w:hRule="atLeast"/>
        </w:trPr>
        <w:tc>
          <w:tcPr>
            <w:tcW w:w="9388" w:type="dxa"/>
            <w:vAlign w:val="center"/>
          </w:tcPr>
          <w:p>
            <w:pPr>
              <w:keepNext w:val="0"/>
              <w:keepLines w:val="0"/>
              <w:widowControl w:val="0"/>
              <w:suppressLineNumbers w:val="0"/>
              <w:topLinePunct/>
              <w:spacing w:before="0" w:beforeAutospacing="0" w:after="0" w:afterAutospacing="0" w:line="400" w:lineRule="exact"/>
              <w:ind w:left="1050" w:leftChars="200" w:right="0" w:hanging="630" w:hangingChars="300"/>
              <w:jc w:val="both"/>
              <w:rPr>
                <w:rFonts w:hint="default" w:ascii="宋体" w:hAnsi="宋体" w:cs="宋体"/>
                <w:szCs w:val="21"/>
                <w:lang w:val="en-US"/>
              </w:rPr>
            </w:pPr>
            <w:r>
              <w:rPr>
                <w:rFonts w:hint="eastAsia" w:ascii="宋体" w:hAnsi="宋体" w:cs="宋体"/>
                <w:szCs w:val="21"/>
              </w:rPr>
              <w:t>地址：</w:t>
            </w:r>
            <w:r>
              <w:rPr>
                <w:rFonts w:hint="eastAsia" w:ascii="宋体" w:hAnsi="宋体" w:cs="宋体"/>
                <w:szCs w:val="21"/>
                <w:lang w:val="en-US" w:eastAsia="zh-CN"/>
              </w:rPr>
              <w:t>重庆市渝北区新南路52号东界龙湖三楼</w:t>
            </w:r>
          </w:p>
        </w:tc>
        <w:tc>
          <w:tcPr>
            <w:tcW w:w="240"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70" w:hRule="atLeast"/>
        </w:trPr>
        <w:tc>
          <w:tcPr>
            <w:tcW w:w="9388" w:type="dxa"/>
            <w:vAlign w:val="center"/>
          </w:tcPr>
          <w:p>
            <w:pPr>
              <w:topLinePunct/>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highlight w:val="none"/>
                <w:lang w:val="en-US" w:eastAsia="zh-CN"/>
              </w:rPr>
              <w:t>技术</w:t>
            </w:r>
            <w:r>
              <w:rPr>
                <w:rFonts w:hint="eastAsia" w:ascii="宋体" w:hAnsi="宋体" w:cs="宋体"/>
                <w:szCs w:val="21"/>
                <w:highlight w:val="none"/>
              </w:rPr>
              <w:t>联系人：</w:t>
            </w:r>
            <w:r>
              <w:rPr>
                <w:rFonts w:hint="eastAsia" w:ascii="宋体" w:hAnsi="宋体" w:cs="宋体"/>
                <w:szCs w:val="21"/>
                <w:highlight w:val="none"/>
                <w:lang w:val="en-US" w:eastAsia="zh-CN"/>
              </w:rPr>
              <w:t xml:space="preserve">王 工  </w:t>
            </w:r>
            <w:r>
              <w:rPr>
                <w:rFonts w:hint="eastAsia" w:ascii="宋体" w:hAnsi="宋体" w:cs="宋体"/>
                <w:szCs w:val="21"/>
                <w:highlight w:val="none"/>
              </w:rPr>
              <w:t>电 话：</w:t>
            </w:r>
            <w:r>
              <w:rPr>
                <w:rFonts w:hint="eastAsia" w:ascii="宋体" w:hAnsi="宋体" w:cs="宋体"/>
                <w:szCs w:val="21"/>
                <w:highlight w:val="none"/>
                <w:lang w:val="en-US" w:eastAsia="zh-CN"/>
              </w:rPr>
              <w:t>13983049352</w:t>
            </w:r>
          </w:p>
        </w:tc>
        <w:tc>
          <w:tcPr>
            <w:tcW w:w="240"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05" w:hRule="atLeast"/>
        </w:trPr>
        <w:tc>
          <w:tcPr>
            <w:tcW w:w="9388" w:type="dxa"/>
            <w:vAlign w:val="center"/>
          </w:tcPr>
          <w:p>
            <w:pPr>
              <w:topLinePunct/>
              <w:spacing w:line="420" w:lineRule="exact"/>
              <w:ind w:firstLine="420" w:firstLineChars="200"/>
              <w:rPr>
                <w:rFonts w:hint="default" w:eastAsia="宋体"/>
                <w:lang w:val="en-US" w:eastAsia="zh-CN"/>
              </w:rPr>
            </w:pPr>
            <w:r>
              <w:rPr>
                <w:rFonts w:hint="eastAsia" w:ascii="宋体" w:hAnsi="宋体" w:cs="宋体"/>
                <w:szCs w:val="21"/>
                <w:highlight w:val="none"/>
                <w:lang w:val="en-US" w:eastAsia="zh-CN"/>
              </w:rPr>
              <w:t>商务</w:t>
            </w:r>
            <w:r>
              <w:rPr>
                <w:rFonts w:hint="eastAsia" w:ascii="宋体" w:hAnsi="宋体" w:cs="宋体"/>
                <w:szCs w:val="21"/>
                <w:highlight w:val="none"/>
              </w:rPr>
              <w:t>联系人：</w:t>
            </w:r>
            <w:r>
              <w:rPr>
                <w:rFonts w:hint="eastAsia" w:ascii="宋体" w:hAnsi="宋体" w:cs="宋体"/>
                <w:szCs w:val="21"/>
                <w:highlight w:val="none"/>
                <w:lang w:val="en-US" w:eastAsia="zh-CN"/>
              </w:rPr>
              <w:t xml:space="preserve">刘 工  </w:t>
            </w:r>
            <w:r>
              <w:rPr>
                <w:rFonts w:hint="eastAsia" w:ascii="宋体" w:hAnsi="宋体" w:cs="宋体"/>
                <w:szCs w:val="21"/>
                <w:highlight w:val="none"/>
              </w:rPr>
              <w:t>电 话：</w:t>
            </w:r>
            <w:r>
              <w:rPr>
                <w:rFonts w:hint="eastAsia" w:ascii="宋体" w:hAnsi="宋体" w:cs="宋体"/>
                <w:szCs w:val="21"/>
                <w:highlight w:val="none"/>
                <w:lang w:val="en-US" w:eastAsia="zh-CN"/>
              </w:rPr>
              <w:t>18623655450</w:t>
            </w:r>
          </w:p>
        </w:tc>
        <w:tc>
          <w:tcPr>
            <w:tcW w:w="240" w:type="dxa"/>
            <w:vAlign w:val="center"/>
          </w:tcPr>
          <w:p>
            <w:pPr>
              <w:spacing w:line="400" w:lineRule="exact"/>
              <w:ind w:firstLine="420" w:firstLineChars="200"/>
              <w:rPr>
                <w:rFonts w:ascii="宋体" w:hAnsi="宋体" w:cs="宋体"/>
                <w:szCs w:val="21"/>
              </w:rPr>
            </w:pPr>
          </w:p>
        </w:tc>
      </w:tr>
    </w:tbl>
    <w:p/>
    <w:p>
      <w:pPr>
        <w:pStyle w:val="28"/>
      </w:pPr>
    </w:p>
    <w:p/>
    <w:p>
      <w:pPr>
        <w:pStyle w:val="28"/>
      </w:pPr>
    </w:p>
    <w:bookmarkEnd w:id="16"/>
    <w:bookmarkEnd w:id="17"/>
    <w:p>
      <w:pPr>
        <w:pStyle w:val="3"/>
        <w:spacing w:before="0" w:after="0" w:line="360" w:lineRule="auto"/>
        <w:jc w:val="center"/>
        <w:rPr>
          <w:rFonts w:ascii="宋体" w:hAnsi="宋体" w:cs="宋体"/>
        </w:rPr>
      </w:pPr>
      <w:bookmarkStart w:id="91" w:name="_Toc152042303"/>
      <w:bookmarkStart w:id="92" w:name="_Toc152045527"/>
      <w:bookmarkStart w:id="93" w:name="_Toc246996173"/>
      <w:bookmarkStart w:id="94" w:name="_Toc247085687"/>
      <w:bookmarkStart w:id="95" w:name="_Toc507319898"/>
      <w:bookmarkStart w:id="96" w:name="_Toc179632544"/>
      <w:bookmarkStart w:id="97" w:name="_Toc2000405"/>
      <w:bookmarkStart w:id="98" w:name="_Toc144974495"/>
      <w:bookmarkStart w:id="99" w:name="_Toc246996916"/>
      <w:bookmarkStart w:id="100" w:name="_Toc21719"/>
      <w:r>
        <w:rPr>
          <w:rFonts w:hint="eastAsia" w:ascii="宋体" w:hAnsi="宋体" w:cs="宋体"/>
        </w:rPr>
        <w:br w:type="page"/>
      </w:r>
      <w:r>
        <w:rPr>
          <w:rFonts w:hint="eastAsia" w:ascii="宋体" w:hAnsi="宋体" w:cs="宋体"/>
        </w:rPr>
        <w:t>第二章 报价人须知</w:t>
      </w:r>
      <w:bookmarkEnd w:id="91"/>
      <w:bookmarkEnd w:id="92"/>
      <w:bookmarkEnd w:id="93"/>
      <w:bookmarkEnd w:id="94"/>
      <w:bookmarkEnd w:id="95"/>
      <w:bookmarkEnd w:id="96"/>
      <w:bookmarkEnd w:id="97"/>
      <w:bookmarkEnd w:id="98"/>
      <w:bookmarkEnd w:id="99"/>
      <w:bookmarkEnd w:id="100"/>
    </w:p>
    <w:p/>
    <w:tbl>
      <w:tblPr>
        <w:tblStyle w:val="4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rPr>
            </w:pPr>
            <w:bookmarkStart w:id="101" w:name="_Toc326760840"/>
            <w:r>
              <w:rPr>
                <w:rFonts w:hint="eastAsia" w:ascii="宋体" w:hAnsi="宋体" w:cs="宋体"/>
                <w:b/>
                <w:kern w:val="0"/>
                <w:szCs w:val="21"/>
              </w:rPr>
              <w:t>序号</w:t>
            </w:r>
          </w:p>
        </w:tc>
        <w:tc>
          <w:tcPr>
            <w:tcW w:w="2106" w:type="dxa"/>
            <w:vAlign w:val="center"/>
          </w:tcPr>
          <w:p>
            <w:pPr>
              <w:spacing w:line="400" w:lineRule="exact"/>
              <w:jc w:val="center"/>
              <w:rPr>
                <w:rFonts w:ascii="宋体" w:hAnsi="宋体" w:cs="宋体"/>
                <w:b/>
                <w:kern w:val="0"/>
                <w:szCs w:val="21"/>
              </w:rPr>
            </w:pPr>
            <w:r>
              <w:rPr>
                <w:rFonts w:hint="eastAsia" w:ascii="宋体" w:hAnsi="宋体" w:cs="宋体"/>
                <w:b/>
                <w:kern w:val="0"/>
                <w:szCs w:val="21"/>
              </w:rPr>
              <w:t>条款名称</w:t>
            </w:r>
          </w:p>
        </w:tc>
        <w:tc>
          <w:tcPr>
            <w:tcW w:w="7104" w:type="dxa"/>
            <w:vAlign w:val="center"/>
          </w:tcPr>
          <w:p>
            <w:pPr>
              <w:spacing w:line="400" w:lineRule="exact"/>
              <w:ind w:firstLine="422" w:firstLineChars="200"/>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采购人</w:t>
            </w:r>
          </w:p>
        </w:tc>
        <w:tc>
          <w:tcPr>
            <w:tcW w:w="7104"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采购人：重庆首讯科技股份有限公司</w:t>
            </w:r>
          </w:p>
          <w:p>
            <w:pPr>
              <w:ind w:left="420"/>
              <w:rPr>
                <w:rFonts w:hint="eastAsia" w:ascii="宋体" w:hAnsi="宋体" w:eastAsia="宋体" w:cs="宋体"/>
                <w:szCs w:val="21"/>
                <w:shd w:val="clear" w:color="auto" w:fill="FFFFFF"/>
                <w:lang w:eastAsia="zh-CN"/>
              </w:rPr>
            </w:pPr>
            <w:r>
              <w:rPr>
                <w:rFonts w:hint="eastAsia" w:ascii="宋体" w:hAnsi="宋体" w:cs="宋体"/>
                <w:szCs w:val="21"/>
                <w:shd w:val="clear" w:color="auto" w:fill="FFFFFF"/>
              </w:rPr>
              <w:t>地  址：</w:t>
            </w:r>
            <w:r>
              <w:rPr>
                <w:rFonts w:hint="eastAsia" w:ascii="宋体" w:hAnsi="宋体" w:cs="宋体"/>
                <w:szCs w:val="21"/>
                <w:lang w:val="en-US" w:eastAsia="zh-CN"/>
              </w:rPr>
              <w:t>重庆市渝北区新南路52号东界龙湖三楼</w:t>
            </w:r>
          </w:p>
          <w:p>
            <w:pPr>
              <w:ind w:left="420"/>
              <w:rPr>
                <w:rFonts w:ascii="宋体" w:hAnsi="宋体" w:cs="宋体"/>
                <w:szCs w:val="21"/>
                <w:shd w:val="clear" w:color="auto" w:fill="FFFFFF"/>
              </w:rPr>
            </w:pPr>
            <w:r>
              <w:rPr>
                <w:rFonts w:hint="eastAsia" w:ascii="宋体" w:hAnsi="宋体" w:cs="宋体"/>
                <w:szCs w:val="21"/>
                <w:shd w:val="clear" w:color="auto" w:fill="FFFFFF"/>
              </w:rPr>
              <w:t>联系人：</w:t>
            </w:r>
            <w:r>
              <w:rPr>
                <w:rFonts w:hint="eastAsia" w:ascii="宋体" w:hAnsi="宋体" w:cs="宋体"/>
                <w:szCs w:val="21"/>
                <w:shd w:val="clear" w:color="auto" w:fill="FFFFFF"/>
                <w:lang w:val="en-US" w:eastAsia="zh-CN"/>
              </w:rPr>
              <w:t>刘</w:t>
            </w:r>
            <w:r>
              <w:rPr>
                <w:rFonts w:hint="eastAsia" w:ascii="宋体" w:hAnsi="宋体" w:cs="宋体"/>
                <w:szCs w:val="21"/>
                <w:shd w:val="clear" w:color="auto" w:fill="FFFFFF"/>
              </w:rPr>
              <w:t>老师</w:t>
            </w:r>
          </w:p>
          <w:p>
            <w:pPr>
              <w:ind w:left="420"/>
              <w:rPr>
                <w:rFonts w:hint="default" w:eastAsia="宋体"/>
                <w:lang w:val="en-US" w:eastAsia="zh-CN"/>
              </w:rPr>
            </w:pPr>
            <w:r>
              <w:rPr>
                <w:rFonts w:hint="eastAsia" w:ascii="宋体" w:hAnsi="宋体" w:cs="宋体"/>
                <w:szCs w:val="21"/>
                <w:shd w:val="clear" w:color="auto" w:fill="FFFFFF"/>
              </w:rPr>
              <w:t>电  话：</w:t>
            </w:r>
            <w:r>
              <w:rPr>
                <w:rFonts w:hint="eastAsia" w:ascii="宋体" w:hAnsi="宋体" w:cs="宋体"/>
                <w:szCs w:val="21"/>
                <w:shd w:val="clear" w:color="auto" w:fill="FFFFFF"/>
                <w:lang w:val="en-US" w:eastAsia="zh-CN"/>
              </w:rPr>
              <w:t>18623655450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项目名称</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梁开高速</w:t>
            </w:r>
            <w:r>
              <w:rPr>
                <w:rFonts w:hint="eastAsia" w:ascii="宋体" w:hAnsi="宋体" w:cs="宋体"/>
                <w:szCs w:val="21"/>
                <w:lang w:eastAsia="zh-CN"/>
              </w:rPr>
              <w:t>（</w:t>
            </w:r>
            <w:r>
              <w:rPr>
                <w:rFonts w:hint="eastAsia" w:ascii="宋体" w:hAnsi="宋体" w:cs="宋体"/>
                <w:szCs w:val="21"/>
              </w:rPr>
              <w:t>重庆段）第二总承包部机电工程保险服务采购项目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3</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项目地点</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4</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工期要求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6</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质量要求</w:t>
            </w:r>
          </w:p>
        </w:tc>
        <w:tc>
          <w:tcPr>
            <w:tcW w:w="7104" w:type="dxa"/>
          </w:tcPr>
          <w:p>
            <w:pPr>
              <w:spacing w:line="400" w:lineRule="exact"/>
              <w:ind w:firstLine="420" w:firstLineChars="200"/>
              <w:rPr>
                <w:rFonts w:ascii="宋体" w:hAnsi="宋体" w:cs="宋体"/>
                <w:kern w:val="0"/>
                <w:szCs w:val="21"/>
              </w:rPr>
            </w:pPr>
            <w:r>
              <w:rPr>
                <w:rFonts w:hint="eastAsia" w:ascii="宋体" w:hAnsi="宋体" w:cs="宋体"/>
                <w:szCs w:val="21"/>
              </w:rPr>
              <w:t>达到国家和地方现行有关质量标准和比选文件第七章技术标准和工作要求。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7</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安全目标</w:t>
            </w:r>
          </w:p>
        </w:tc>
        <w:tc>
          <w:tcPr>
            <w:tcW w:w="7104" w:type="dxa"/>
          </w:tcPr>
          <w:p>
            <w:pPr>
              <w:spacing w:line="400" w:lineRule="exact"/>
              <w:ind w:firstLine="420" w:firstLineChars="200"/>
              <w:rPr>
                <w:rFonts w:ascii="宋体" w:hAnsi="宋体" w:cs="宋体"/>
                <w:szCs w:val="21"/>
              </w:rPr>
            </w:pPr>
            <w:r>
              <w:rPr>
                <w:rFonts w:hint="eastAsia" w:ascii="宋体" w:hAnsi="宋体" w:cs="宋体"/>
                <w:szCs w:val="21"/>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8</w:t>
            </w:r>
          </w:p>
        </w:tc>
        <w:tc>
          <w:tcPr>
            <w:tcW w:w="2106" w:type="dxa"/>
            <w:vAlign w:val="center"/>
          </w:tcPr>
          <w:p>
            <w:pPr>
              <w:jc w:val="center"/>
              <w:rPr>
                <w:rFonts w:ascii="宋体" w:hAnsi="宋体" w:cs="宋体"/>
                <w:szCs w:val="21"/>
                <w:shd w:val="clear" w:color="auto" w:fill="FFFFFF"/>
              </w:rPr>
            </w:pPr>
            <w:r>
              <w:rPr>
                <w:rFonts w:hint="eastAsia" w:ascii="宋体" w:hAnsi="宋体" w:cs="宋体"/>
                <w:szCs w:val="21"/>
                <w:shd w:val="clear" w:color="auto" w:fill="FFFFFF"/>
              </w:rPr>
              <w:t>报价人资质条件、能力与信誉</w:t>
            </w:r>
          </w:p>
        </w:tc>
        <w:tc>
          <w:tcPr>
            <w:tcW w:w="7104" w:type="dxa"/>
            <w:vAlign w:val="center"/>
          </w:tcPr>
          <w:p>
            <w:pPr>
              <w:numPr>
                <w:ilvl w:val="0"/>
                <w:numId w:val="2"/>
              </w:numPr>
              <w:spacing w:line="400" w:lineRule="exact"/>
              <w:ind w:firstLine="420" w:firstLineChars="200"/>
            </w:pPr>
            <w:r>
              <w:rPr>
                <w:rFonts w:hint="eastAsia" w:ascii="宋体" w:hAnsi="宋体" w:cs="宋体"/>
                <w:szCs w:val="21"/>
              </w:rPr>
              <w:t>资质条件：见比选公告3.1</w:t>
            </w:r>
          </w:p>
          <w:p>
            <w:pPr>
              <w:spacing w:line="400" w:lineRule="exact"/>
              <w:ind w:firstLine="420" w:firstLineChars="200"/>
              <w:rPr>
                <w:rFonts w:hint="eastAsia" w:eastAsia="宋体"/>
                <w:lang w:eastAsia="zh-CN"/>
              </w:rPr>
            </w:pPr>
            <w:r>
              <w:rPr>
                <w:rFonts w:hint="eastAsia" w:ascii="宋体" w:hAnsi="宋体" w:cs="宋体"/>
                <w:szCs w:val="21"/>
              </w:rPr>
              <w:t>（2）授权要求：见比选公告3.</w:t>
            </w:r>
            <w:r>
              <w:rPr>
                <w:rFonts w:hint="eastAsia" w:ascii="宋体" w:hAnsi="宋体" w:cs="宋体"/>
                <w:szCs w:val="21"/>
                <w:lang w:val="en-US" w:eastAsia="zh-CN"/>
              </w:rPr>
              <w:t>1</w:t>
            </w:r>
          </w:p>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（3）业绩要求：见比选公告3.</w:t>
            </w:r>
            <w:r>
              <w:rPr>
                <w:rFonts w:hint="eastAsia" w:ascii="宋体" w:hAnsi="宋体" w:cs="宋体"/>
                <w:szCs w:val="21"/>
                <w:lang w:val="en-US" w:eastAsia="zh-CN"/>
              </w:rPr>
              <w:t>2</w:t>
            </w:r>
          </w:p>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（4）信誉要求：见比选公告3.</w:t>
            </w:r>
            <w:r>
              <w:rPr>
                <w:rFonts w:hint="eastAsia" w:ascii="宋体" w:hAnsi="宋体" w:cs="宋体"/>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9</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是否接受</w:t>
            </w:r>
          </w:p>
          <w:p>
            <w:pPr>
              <w:ind w:left="420"/>
              <w:rPr>
                <w:rFonts w:ascii="宋体" w:hAnsi="宋体" w:cs="宋体"/>
                <w:szCs w:val="21"/>
                <w:shd w:val="clear" w:color="auto" w:fill="FFFFFF"/>
              </w:rPr>
            </w:pPr>
            <w:r>
              <w:rPr>
                <w:rFonts w:hint="eastAsia" w:ascii="宋体" w:hAnsi="宋体" w:cs="宋体"/>
                <w:szCs w:val="21"/>
                <w:shd w:val="clear" w:color="auto" w:fill="FFFFFF"/>
              </w:rPr>
              <w:t>联合体报价</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10</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踏勘现场</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11</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分包</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12</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偏差</w:t>
            </w:r>
          </w:p>
        </w:tc>
        <w:tc>
          <w:tcPr>
            <w:tcW w:w="7104" w:type="dxa"/>
            <w:vAlign w:val="center"/>
          </w:tcPr>
          <w:p>
            <w:pPr>
              <w:spacing w:line="400" w:lineRule="exact"/>
              <w:ind w:firstLine="422" w:firstLineChars="200"/>
              <w:rPr>
                <w:rFonts w:ascii="宋体" w:hAnsi="宋体" w:cs="宋体"/>
                <w:kern w:val="0"/>
                <w:szCs w:val="21"/>
              </w:rPr>
            </w:pPr>
            <w:r>
              <w:rPr>
                <w:rFonts w:hint="eastAsia" w:ascii="宋体" w:hAnsi="宋体" w:cs="宋体"/>
                <w:b/>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13</w:t>
            </w:r>
          </w:p>
        </w:tc>
        <w:tc>
          <w:tcPr>
            <w:tcW w:w="2106" w:type="dxa"/>
            <w:vAlign w:val="center"/>
          </w:tcPr>
          <w:p>
            <w:pPr>
              <w:jc w:val="center"/>
              <w:rPr>
                <w:rFonts w:ascii="宋体" w:hAnsi="宋体" w:cs="宋体"/>
                <w:szCs w:val="21"/>
                <w:shd w:val="clear" w:color="auto" w:fill="FFFFFF"/>
              </w:rPr>
            </w:pPr>
            <w:r>
              <w:rPr>
                <w:rFonts w:hint="eastAsia" w:ascii="宋体" w:hAnsi="宋体" w:cs="宋体"/>
                <w:szCs w:val="21"/>
                <w:shd w:val="clear" w:color="auto" w:fill="FFFFFF"/>
              </w:rPr>
              <w:t>构成比选文件的其他材料</w:t>
            </w:r>
          </w:p>
        </w:tc>
        <w:tc>
          <w:tcPr>
            <w:tcW w:w="7104" w:type="dxa"/>
            <w:vAlign w:val="center"/>
          </w:tcPr>
          <w:p>
            <w:pPr>
              <w:spacing w:line="440" w:lineRule="exact"/>
              <w:ind w:firstLine="420" w:firstLineChars="200"/>
              <w:rPr>
                <w:rFonts w:ascii="宋体" w:hAnsi="宋体" w:cs="宋体"/>
                <w:szCs w:val="21"/>
              </w:rPr>
            </w:pPr>
            <w:r>
              <w:rPr>
                <w:rFonts w:hint="eastAsia" w:ascii="宋体" w:hAnsi="宋体" w:cs="宋体"/>
                <w:szCs w:val="21"/>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rPr>
            </w:pPr>
            <w:bookmarkStart w:id="102" w:name="_Hlt227984024"/>
            <w:bookmarkEnd w:id="102"/>
            <w:r>
              <w:rPr>
                <w:rFonts w:hint="eastAsia" w:ascii="宋体" w:hAnsi="宋体" w:cs="宋体"/>
                <w:kern w:val="0"/>
                <w:szCs w:val="21"/>
              </w:rPr>
              <w:t>14</w:t>
            </w:r>
          </w:p>
        </w:tc>
        <w:tc>
          <w:tcPr>
            <w:tcW w:w="2106" w:type="dxa"/>
            <w:vAlign w:val="center"/>
          </w:tcPr>
          <w:p>
            <w:pPr>
              <w:rPr>
                <w:rFonts w:ascii="宋体" w:hAnsi="宋体" w:cs="宋体"/>
                <w:szCs w:val="21"/>
                <w:shd w:val="clear" w:color="auto" w:fill="FFFFFF"/>
              </w:rPr>
            </w:pPr>
            <w:r>
              <w:rPr>
                <w:rFonts w:hint="eastAsia" w:ascii="宋体" w:hAnsi="宋体" w:cs="宋体"/>
                <w:szCs w:val="21"/>
                <w:shd w:val="clear" w:color="auto" w:fill="FFFFFF"/>
              </w:rPr>
              <w:t>构成竞争性比选响应文件的其他材料</w:t>
            </w:r>
          </w:p>
        </w:tc>
        <w:tc>
          <w:tcPr>
            <w:tcW w:w="7104" w:type="dxa"/>
            <w:vAlign w:val="center"/>
          </w:tcPr>
          <w:p>
            <w:pPr>
              <w:pStyle w:val="149"/>
              <w:spacing w:before="72" w:line="400" w:lineRule="exact"/>
              <w:ind w:firstLine="420" w:firstLineChars="200"/>
              <w:jc w:val="both"/>
              <w:rPr>
                <w:rFonts w:hAnsi="宋体"/>
                <w:color w:val="auto"/>
                <w:sz w:val="21"/>
                <w:szCs w:val="21"/>
              </w:rPr>
            </w:pPr>
            <w:r>
              <w:rPr>
                <w:rFonts w:hint="eastAsia" w:hAnsi="宋体"/>
                <w:color w:val="auto"/>
                <w:sz w:val="21"/>
                <w:szCs w:val="21"/>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15</w:t>
            </w:r>
          </w:p>
        </w:tc>
        <w:tc>
          <w:tcPr>
            <w:tcW w:w="2106" w:type="dxa"/>
            <w:tcBorders>
              <w:bottom w:val="single" w:color="auto" w:sz="4" w:space="0"/>
            </w:tcBorders>
            <w:vAlign w:val="center"/>
          </w:tcPr>
          <w:p>
            <w:pPr>
              <w:jc w:val="center"/>
              <w:rPr>
                <w:rFonts w:ascii="宋体" w:hAnsi="宋体" w:cs="宋体"/>
                <w:szCs w:val="21"/>
                <w:shd w:val="clear" w:color="auto" w:fill="FFFFFF"/>
              </w:rPr>
            </w:pPr>
            <w:r>
              <w:rPr>
                <w:rFonts w:hint="eastAsia" w:ascii="宋体" w:hAnsi="宋体" w:cs="宋体"/>
                <w:szCs w:val="21"/>
                <w:shd w:val="clear" w:color="auto" w:fill="FFFFFF"/>
              </w:rPr>
              <w:t>工程量清单的填写方式</w:t>
            </w:r>
          </w:p>
        </w:tc>
        <w:tc>
          <w:tcPr>
            <w:tcW w:w="7104" w:type="dxa"/>
            <w:tcBorders>
              <w:bottom w:val="single" w:color="auto" w:sz="4" w:space="0"/>
            </w:tcBorders>
          </w:tcPr>
          <w:p>
            <w:pPr>
              <w:spacing w:line="400" w:lineRule="exact"/>
              <w:ind w:firstLine="420" w:firstLineChars="200"/>
              <w:jc w:val="left"/>
              <w:rPr>
                <w:rFonts w:ascii="宋体" w:hAnsi="宋体" w:cs="宋体"/>
                <w:szCs w:val="21"/>
              </w:rPr>
            </w:pPr>
            <w:r>
              <w:rPr>
                <w:rFonts w:hint="eastAsia" w:ascii="宋体" w:hAnsi="宋体" w:cs="宋体"/>
              </w:rPr>
              <w:t>报价人按照采购人提供的工程量清单填写工程量清单</w:t>
            </w:r>
          </w:p>
          <w:p>
            <w:pPr>
              <w:spacing w:line="400" w:lineRule="exact"/>
              <w:ind w:firstLine="422" w:firstLineChars="200"/>
              <w:rPr>
                <w:rFonts w:ascii="宋体" w:hAnsi="宋体" w:cs="宋体"/>
                <w:b/>
                <w:szCs w:val="21"/>
              </w:rPr>
            </w:pPr>
            <w:r>
              <w:rPr>
                <w:rFonts w:hint="eastAsia" w:ascii="宋体" w:hAnsi="宋体" w:cs="宋体"/>
                <w:b/>
                <w:szCs w:val="21"/>
              </w:rPr>
              <w:t>综合单价取小数点后两位，小数点后第三位四舍五入。</w:t>
            </w:r>
          </w:p>
          <w:p>
            <w:pPr>
              <w:spacing w:line="400" w:lineRule="exact"/>
              <w:ind w:firstLine="422" w:firstLineChars="200"/>
              <w:rPr>
                <w:rFonts w:ascii="宋体" w:hAnsi="宋体" w:cs="宋体"/>
                <w:szCs w:val="21"/>
              </w:rPr>
            </w:pPr>
            <w:r>
              <w:rPr>
                <w:rFonts w:hint="eastAsia" w:ascii="宋体" w:hAnsi="宋体" w:cs="宋体"/>
                <w:b/>
                <w:bCs/>
                <w:szCs w:val="21"/>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16</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最高投标限价</w:t>
            </w:r>
          </w:p>
        </w:tc>
        <w:tc>
          <w:tcPr>
            <w:tcW w:w="7104" w:type="dxa"/>
            <w:tcBorders>
              <w:bottom w:val="single" w:color="auto" w:sz="4" w:space="0"/>
            </w:tcBorders>
          </w:tcPr>
          <w:p>
            <w:pPr>
              <w:spacing w:line="400" w:lineRule="exact"/>
              <w:ind w:firstLine="422" w:firstLineChars="200"/>
              <w:rPr>
                <w:rFonts w:hint="eastAsia"/>
                <w:lang w:eastAsia="zh-CN"/>
              </w:rPr>
            </w:pPr>
            <w:r>
              <w:rPr>
                <w:rFonts w:hint="eastAsia" w:ascii="宋体" w:hAnsi="宋体" w:eastAsia="宋体" w:cs="宋体"/>
                <w:b/>
                <w:szCs w:val="21"/>
              </w:rPr>
              <w:t>梁开高速</w:t>
            </w:r>
            <w:r>
              <w:rPr>
                <w:rFonts w:hint="eastAsia" w:ascii="宋体" w:hAnsi="宋体" w:eastAsia="宋体" w:cs="宋体"/>
                <w:b/>
                <w:szCs w:val="21"/>
                <w:lang w:eastAsia="zh-CN"/>
              </w:rPr>
              <w:t>（</w:t>
            </w:r>
            <w:r>
              <w:rPr>
                <w:rFonts w:hint="eastAsia" w:ascii="宋体" w:hAnsi="宋体" w:eastAsia="宋体" w:cs="宋体"/>
                <w:b/>
                <w:szCs w:val="21"/>
              </w:rPr>
              <w:t>重庆段）第二总承包部机电工程保险服务采购项目最高限价</w:t>
            </w:r>
            <w:r>
              <w:rPr>
                <w:rFonts w:hint="eastAsia" w:ascii="宋体" w:hAnsi="宋体" w:cs="宋体"/>
                <w:b/>
                <w:szCs w:val="21"/>
                <w:u w:val="single"/>
                <w:lang w:val="en-US" w:eastAsia="zh-CN"/>
              </w:rPr>
              <w:t>219,628.75</w:t>
            </w:r>
            <w:r>
              <w:rPr>
                <w:rFonts w:hint="eastAsia" w:ascii="宋体" w:hAnsi="宋体" w:eastAsia="宋体" w:cs="宋体"/>
                <w:b/>
                <w:szCs w:val="21"/>
              </w:rPr>
              <w:t>元</w:t>
            </w:r>
            <w:r>
              <w:rPr>
                <w:rFonts w:hint="eastAsia" w:ascii="宋体" w:hAnsi="宋体" w:cs="宋体"/>
                <w:b/>
                <w:szCs w:val="21"/>
                <w:lang w:eastAsia="zh-CN"/>
              </w:rPr>
              <w:t>，</w:t>
            </w:r>
            <w:r>
              <w:rPr>
                <w:rFonts w:hint="eastAsia" w:ascii="宋体" w:hAnsi="宋体" w:eastAsia="宋体" w:cs="宋体"/>
                <w:b/>
                <w:szCs w:val="21"/>
                <w:lang w:val="en-US" w:eastAsia="zh-CN"/>
              </w:rPr>
              <w:t>其中建筑/安工程一切险及第三者责任险最高限价116030.28元，</w:t>
            </w:r>
            <w:r>
              <w:rPr>
                <w:rFonts w:hint="eastAsia" w:ascii="宋体" w:hAnsi="宋体" w:cs="宋体"/>
                <w:b/>
                <w:szCs w:val="21"/>
                <w:lang w:val="en-US" w:eastAsia="zh-CN"/>
              </w:rPr>
              <w:t>团体建筑施工人员意外伤害保险</w:t>
            </w:r>
            <w:r>
              <w:rPr>
                <w:rFonts w:hint="eastAsia" w:ascii="宋体" w:hAnsi="宋体" w:cs="宋体"/>
                <w:b/>
                <w:szCs w:val="21"/>
                <w:lang w:val="en-US" w:eastAsia="zh-CN"/>
              </w:rPr>
              <w:t>最高限价103598.47元</w:t>
            </w:r>
            <w:r>
              <w:rPr>
                <w:rFonts w:hint="eastAsia" w:ascii="宋体" w:hAnsi="宋体" w:cs="宋体"/>
                <w:b/>
                <w:szCs w:val="21"/>
                <w:lang w:eastAsia="zh-CN"/>
              </w:rPr>
              <w:t>。</w:t>
            </w:r>
            <w:r>
              <w:rPr>
                <w:rFonts w:hint="eastAsia"/>
              </w:rPr>
              <w:t>报价人</w:t>
            </w:r>
            <w:r>
              <w:rPr>
                <w:rFonts w:hint="eastAsia"/>
                <w:lang w:val="en-US" w:eastAsia="zh-CN"/>
              </w:rPr>
              <w:t>报价</w:t>
            </w:r>
            <w:r>
              <w:rPr>
                <w:rFonts w:hint="eastAsia"/>
              </w:rPr>
              <w:t>不得高于采购人发布的最高限价，否则其竞争性比选响应文件视为重大偏差，竞争性比选响应文件将按否决报价处理</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17</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合同支付办法</w:t>
            </w:r>
          </w:p>
        </w:tc>
        <w:tc>
          <w:tcPr>
            <w:tcW w:w="7104" w:type="dxa"/>
            <w:tcBorders>
              <w:bottom w:val="single" w:color="auto" w:sz="4" w:space="0"/>
            </w:tcBorders>
          </w:tcPr>
          <w:p>
            <w:pPr>
              <w:widowControl/>
              <w:spacing w:line="400" w:lineRule="atLeast"/>
              <w:ind w:firstLine="420"/>
              <w:rPr>
                <w:rFonts w:hint="eastAsia" w:ascii="宋体" w:hAnsi="宋体" w:eastAsia="宋体" w:cs="宋体"/>
                <w:color w:val="000000"/>
                <w:kern w:val="0"/>
                <w:szCs w:val="21"/>
                <w:lang w:eastAsia="zh-CN" w:bidi="ar"/>
              </w:rPr>
            </w:pPr>
            <w:bookmarkStart w:id="103" w:name="_Hlk103679848"/>
            <w:r>
              <w:rPr>
                <w:rFonts w:hint="eastAsia" w:ascii="宋体" w:hAnsi="宋体" w:eastAsia="宋体" w:cs="宋体"/>
                <w:color w:val="000000"/>
                <w:kern w:val="0"/>
                <w:szCs w:val="21"/>
                <w:lang w:bidi="ar"/>
              </w:rPr>
              <w:t>1.合同签订</w:t>
            </w:r>
            <w:r>
              <w:rPr>
                <w:rFonts w:hint="eastAsia" w:ascii="宋体" w:hAnsi="宋体" w:eastAsia="宋体" w:cs="宋体"/>
                <w:color w:val="000000"/>
                <w:kern w:val="0"/>
                <w:szCs w:val="21"/>
                <w:lang w:eastAsia="zh-CN" w:bidi="ar"/>
              </w:rPr>
              <w:t>后</w:t>
            </w:r>
            <w:r>
              <w:rPr>
                <w:rFonts w:hint="eastAsia" w:ascii="宋体" w:hAnsi="宋体" w:eastAsia="宋体" w:cs="宋体"/>
                <w:color w:val="000000"/>
                <w:kern w:val="0"/>
                <w:szCs w:val="21"/>
                <w:lang w:bidi="ar"/>
              </w:rPr>
              <w:t>30天内</w:t>
            </w:r>
            <w:r>
              <w:rPr>
                <w:rFonts w:hint="eastAsia" w:ascii="宋体" w:hAnsi="宋体" w:eastAsia="宋体" w:cs="宋体"/>
                <w:color w:val="000000"/>
                <w:kern w:val="0"/>
                <w:szCs w:val="21"/>
                <w:lang w:eastAsia="zh-CN" w:bidi="ar"/>
              </w:rPr>
              <w:t>保费一次性</w:t>
            </w:r>
            <w:r>
              <w:rPr>
                <w:rFonts w:hint="eastAsia" w:ascii="宋体" w:hAnsi="宋体" w:eastAsia="宋体" w:cs="宋体"/>
                <w:color w:val="000000"/>
                <w:kern w:val="0"/>
                <w:szCs w:val="21"/>
                <w:lang w:bidi="ar"/>
              </w:rPr>
              <w:t>支付</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支付前</w:t>
            </w:r>
            <w:r>
              <w:rPr>
                <w:rFonts w:hint="eastAsia" w:ascii="宋体" w:hAnsi="宋体" w:eastAsia="宋体" w:cs="宋体"/>
                <w:color w:val="000000"/>
                <w:kern w:val="0"/>
                <w:szCs w:val="21"/>
                <w:lang w:val="en-US" w:eastAsia="zh-CN" w:bidi="ar"/>
              </w:rPr>
              <w:t>乙方</w:t>
            </w:r>
            <w:r>
              <w:rPr>
                <w:rFonts w:hint="eastAsia" w:ascii="宋体" w:hAnsi="宋体" w:eastAsia="宋体" w:cs="宋体"/>
                <w:color w:val="000000"/>
                <w:kern w:val="0"/>
                <w:szCs w:val="21"/>
                <w:lang w:bidi="ar"/>
              </w:rPr>
              <w:t>需开具增值税专用发票</w:t>
            </w:r>
            <w:bookmarkEnd w:id="103"/>
            <w:r>
              <w:rPr>
                <w:rFonts w:hint="eastAsia" w:ascii="宋体" w:hAnsi="宋体" w:eastAsia="宋体" w:cs="宋体"/>
                <w:color w:val="000000"/>
                <w:kern w:val="0"/>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8</w:t>
            </w:r>
          </w:p>
        </w:tc>
        <w:tc>
          <w:tcPr>
            <w:tcW w:w="2106" w:type="dxa"/>
          </w:tcPr>
          <w:p>
            <w:pPr>
              <w:spacing w:line="400" w:lineRule="exact"/>
              <w:jc w:val="center"/>
              <w:rPr>
                <w:rFonts w:ascii="宋体" w:hAnsi="宋体" w:cs="宋体"/>
                <w:szCs w:val="21"/>
              </w:rPr>
            </w:pPr>
            <w:r>
              <w:rPr>
                <w:rFonts w:hint="eastAsia" w:ascii="宋体" w:hAnsi="宋体" w:cs="宋体"/>
                <w:szCs w:val="21"/>
              </w:rPr>
              <w:t>中标候选人的人数</w:t>
            </w:r>
          </w:p>
        </w:tc>
        <w:tc>
          <w:tcPr>
            <w:tcW w:w="7104" w:type="dxa"/>
            <w:vAlign w:val="center"/>
          </w:tcPr>
          <w:p>
            <w:pPr>
              <w:spacing w:line="400" w:lineRule="exact"/>
              <w:ind w:firstLine="420" w:firstLineChars="200"/>
              <w:rPr>
                <w:rFonts w:ascii="宋体" w:hAnsi="宋体" w:cs="宋体"/>
              </w:rPr>
            </w:pPr>
            <w:r>
              <w:rPr>
                <w:rFonts w:hint="eastAsia" w:ascii="宋体" w:hAnsi="宋体" w:cs="宋体"/>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dxa"/>
            <w:vAlign w:val="center"/>
          </w:tcPr>
          <w:p>
            <w:pPr>
              <w:pStyle w:val="149"/>
              <w:spacing w:line="400" w:lineRule="exact"/>
              <w:jc w:val="center"/>
              <w:rPr>
                <w:rFonts w:hint="default" w:hAnsi="宋体" w:eastAsia="宋体"/>
                <w:color w:val="auto"/>
                <w:kern w:val="2"/>
                <w:sz w:val="21"/>
                <w:szCs w:val="21"/>
                <w:lang w:val="en-US" w:eastAsia="zh-CN"/>
              </w:rPr>
            </w:pPr>
            <w:r>
              <w:rPr>
                <w:rFonts w:hint="eastAsia" w:hAnsi="宋体"/>
                <w:color w:val="auto"/>
                <w:kern w:val="2"/>
                <w:sz w:val="21"/>
                <w:szCs w:val="21"/>
                <w:lang w:val="en-US" w:eastAsia="zh-CN"/>
              </w:rPr>
              <w:t>19</w:t>
            </w:r>
          </w:p>
        </w:tc>
        <w:tc>
          <w:tcPr>
            <w:tcW w:w="2106"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保证金</w:t>
            </w:r>
          </w:p>
        </w:tc>
        <w:tc>
          <w:tcPr>
            <w:tcW w:w="7104" w:type="dxa"/>
            <w:vAlign w:val="center"/>
          </w:tcPr>
          <w:p>
            <w:pPr>
              <w:widowControl/>
              <w:spacing w:line="400" w:lineRule="atLeast"/>
              <w:ind w:firstLine="420"/>
              <w:rPr>
                <w:rFonts w:hint="eastAsia" w:ascii="宋体" w:hAnsi="宋体" w:cs="宋体"/>
                <w:color w:val="000000"/>
                <w:kern w:val="0"/>
                <w:szCs w:val="21"/>
                <w:lang w:bidi="ar"/>
              </w:rPr>
            </w:pPr>
            <w:r>
              <w:rPr>
                <w:rFonts w:hint="eastAsia" w:ascii="宋体" w:hAnsi="宋体" w:cs="宋体"/>
                <w:color w:val="000000"/>
                <w:kern w:val="0"/>
                <w:szCs w:val="21"/>
                <w:lang w:bidi="ar"/>
              </w:rPr>
              <w:t>一、投标保证金</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1、报价人须缴纳投标保证金</w:t>
            </w:r>
            <w:r>
              <w:rPr>
                <w:rFonts w:hint="eastAsia" w:hAnsi="宋体"/>
                <w:color w:val="auto"/>
                <w:kern w:val="2"/>
                <w:sz w:val="21"/>
                <w:szCs w:val="21"/>
                <w:lang w:val="en-US" w:eastAsia="zh-CN"/>
              </w:rPr>
              <w:t>4000</w:t>
            </w:r>
            <w:r>
              <w:rPr>
                <w:rFonts w:hint="eastAsia" w:hAnsi="宋体"/>
                <w:color w:val="auto"/>
                <w:kern w:val="2"/>
                <w:sz w:val="21"/>
                <w:szCs w:val="21"/>
              </w:rPr>
              <w:t>元，由报价人从公司基本账户将投标保证金汇至以下指定账户：</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保证金到账截止时间：2023年</w:t>
            </w:r>
            <w:r>
              <w:rPr>
                <w:rFonts w:hint="eastAsia" w:hAnsi="宋体"/>
                <w:color w:val="auto"/>
                <w:kern w:val="2"/>
                <w:sz w:val="21"/>
                <w:szCs w:val="21"/>
                <w:lang w:val="en-US" w:eastAsia="zh-CN"/>
              </w:rPr>
              <w:t>7</w:t>
            </w:r>
            <w:r>
              <w:rPr>
                <w:rFonts w:hAnsi="宋体"/>
                <w:color w:val="auto"/>
                <w:kern w:val="2"/>
                <w:sz w:val="21"/>
                <w:szCs w:val="21"/>
              </w:rPr>
              <w:t>月</w:t>
            </w:r>
            <w:r>
              <w:rPr>
                <w:rFonts w:hint="eastAsia" w:hAnsi="宋体"/>
                <w:color w:val="auto"/>
                <w:kern w:val="2"/>
                <w:sz w:val="21"/>
                <w:szCs w:val="21"/>
                <w:lang w:val="en-US" w:eastAsia="zh-CN"/>
              </w:rPr>
              <w:t>31</w:t>
            </w:r>
            <w:r>
              <w:rPr>
                <w:rFonts w:hAnsi="宋体"/>
                <w:color w:val="auto"/>
                <w:kern w:val="2"/>
                <w:sz w:val="21"/>
                <w:szCs w:val="21"/>
              </w:rPr>
              <w:t>日1</w:t>
            </w:r>
            <w:r>
              <w:rPr>
                <w:rFonts w:hint="eastAsia" w:hAnsi="宋体"/>
                <w:color w:val="auto"/>
                <w:kern w:val="2"/>
                <w:sz w:val="21"/>
                <w:szCs w:val="21"/>
                <w:lang w:val="en-US" w:eastAsia="zh-CN"/>
              </w:rPr>
              <w:t>4</w:t>
            </w:r>
            <w:r>
              <w:rPr>
                <w:rFonts w:hAnsi="宋体"/>
                <w:color w:val="auto"/>
                <w:kern w:val="2"/>
                <w:sz w:val="21"/>
                <w:szCs w:val="21"/>
              </w:rPr>
              <w:t>时00分前；</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若竞争性比选响应文件内无投标保证金缴纳凭证，采购人有权作废标处理，若投标保证金存在虚假不实情况，采购人有权作废标处理。</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2、</w:t>
            </w:r>
            <w:r>
              <w:rPr>
                <w:rFonts w:hAnsi="宋体"/>
                <w:color w:val="auto"/>
                <w:kern w:val="2"/>
                <w:sz w:val="21"/>
                <w:szCs w:val="21"/>
              </w:rPr>
              <w:t>投标保证金退还方式</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为便于及时退还，</w:t>
            </w:r>
            <w:r>
              <w:rPr>
                <w:rFonts w:hint="eastAsia" w:hAnsi="宋体"/>
                <w:color w:val="auto"/>
                <w:kern w:val="2"/>
                <w:sz w:val="21"/>
                <w:szCs w:val="21"/>
              </w:rPr>
              <w:t>报价人</w:t>
            </w:r>
            <w:r>
              <w:rPr>
                <w:rFonts w:hAnsi="宋体"/>
                <w:color w:val="auto"/>
                <w:kern w:val="2"/>
                <w:sz w:val="21"/>
                <w:szCs w:val="21"/>
              </w:rPr>
              <w:t>在递交响应文件的同时，递交本项目保证金银行回单和公司的开户许可证复印件。</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未</w:t>
            </w:r>
            <w:r>
              <w:rPr>
                <w:rFonts w:hint="eastAsia" w:hAnsi="宋体"/>
                <w:color w:val="auto"/>
                <w:kern w:val="2"/>
                <w:sz w:val="21"/>
                <w:szCs w:val="21"/>
              </w:rPr>
              <w:t>中标报价人</w:t>
            </w:r>
            <w:r>
              <w:rPr>
                <w:rFonts w:hAnsi="宋体"/>
                <w:color w:val="auto"/>
                <w:kern w:val="2"/>
                <w:sz w:val="21"/>
                <w:szCs w:val="21"/>
              </w:rPr>
              <w:t>的投标保证金，于该项目结果公示期结束后15个工作日内无息退还至</w:t>
            </w:r>
            <w:r>
              <w:rPr>
                <w:rFonts w:hint="eastAsia" w:hAnsi="宋体"/>
                <w:color w:val="auto"/>
                <w:kern w:val="2"/>
                <w:sz w:val="21"/>
                <w:szCs w:val="21"/>
              </w:rPr>
              <w:t>报价人</w:t>
            </w:r>
            <w:r>
              <w:rPr>
                <w:rFonts w:hAnsi="宋体"/>
                <w:color w:val="auto"/>
                <w:kern w:val="2"/>
                <w:sz w:val="21"/>
                <w:szCs w:val="21"/>
              </w:rPr>
              <w:t>基本账户。</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中标人的投标保证金，自合同签订后15个工作日内无息退还至中标人基本账户。</w:t>
            </w:r>
          </w:p>
          <w:p>
            <w:pPr>
              <w:pStyle w:val="149"/>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二、履约保证金（或</w:t>
            </w:r>
            <w:r>
              <w:rPr>
                <w:rFonts w:hint="eastAsia" w:hAnsi="宋体"/>
                <w:color w:val="auto"/>
                <w:kern w:val="2"/>
                <w:sz w:val="21"/>
                <w:szCs w:val="21"/>
                <w:lang w:val="en-US" w:eastAsia="zh-CN"/>
              </w:rPr>
              <w:t>履约保函</w:t>
            </w:r>
            <w:r>
              <w:rPr>
                <w:rFonts w:hint="eastAsia" w:hAnsi="宋体"/>
                <w:color w:val="auto"/>
                <w:kern w:val="2"/>
                <w:sz w:val="21"/>
                <w:szCs w:val="21"/>
                <w:highlight w:val="none"/>
                <w:lang w:val="en-US" w:eastAsia="zh-CN"/>
              </w:rPr>
              <w:t>）</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1、</w:t>
            </w:r>
            <w:r>
              <w:rPr>
                <w:rFonts w:hAnsi="宋体"/>
                <w:color w:val="auto"/>
                <w:kern w:val="2"/>
                <w:sz w:val="21"/>
                <w:szCs w:val="21"/>
              </w:rPr>
              <w:t>履约担保作为本</w:t>
            </w:r>
            <w:r>
              <w:rPr>
                <w:rFonts w:hint="eastAsia" w:hAnsi="宋体"/>
                <w:color w:val="auto"/>
                <w:kern w:val="2"/>
                <w:sz w:val="21"/>
                <w:szCs w:val="21"/>
              </w:rPr>
              <w:t>项目</w:t>
            </w:r>
            <w:r>
              <w:rPr>
                <w:rFonts w:hAnsi="宋体"/>
                <w:color w:val="auto"/>
                <w:kern w:val="2"/>
                <w:sz w:val="21"/>
                <w:szCs w:val="21"/>
              </w:rPr>
              <w:t>合同附件</w:t>
            </w:r>
            <w:r>
              <w:rPr>
                <w:rFonts w:hint="eastAsia" w:hAnsi="宋体"/>
                <w:color w:val="auto"/>
                <w:kern w:val="2"/>
                <w:sz w:val="21"/>
                <w:szCs w:val="21"/>
              </w:rPr>
              <w:t>；</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2、履约保证金</w:t>
            </w:r>
            <w:r>
              <w:rPr>
                <w:rFonts w:hint="eastAsia" w:hAnsi="宋体"/>
                <w:color w:val="auto"/>
                <w:kern w:val="2"/>
                <w:sz w:val="21"/>
                <w:szCs w:val="21"/>
                <w:lang w:eastAsia="zh-CN"/>
              </w:rPr>
              <w:t>（</w:t>
            </w:r>
            <w:r>
              <w:rPr>
                <w:rFonts w:hint="eastAsia" w:hAnsi="宋体"/>
                <w:color w:val="auto"/>
                <w:kern w:val="2"/>
                <w:sz w:val="21"/>
                <w:szCs w:val="21"/>
                <w:lang w:val="en-US" w:eastAsia="zh-CN"/>
              </w:rPr>
              <w:t>履约保函</w:t>
            </w:r>
            <w:r>
              <w:rPr>
                <w:rFonts w:hint="eastAsia" w:hAnsi="宋体"/>
                <w:color w:val="auto"/>
                <w:kern w:val="2"/>
                <w:sz w:val="21"/>
                <w:szCs w:val="21"/>
                <w:lang w:eastAsia="zh-CN"/>
              </w:rPr>
              <w:t>）</w:t>
            </w:r>
            <w:r>
              <w:rPr>
                <w:rFonts w:hint="eastAsia" w:hAnsi="宋体"/>
                <w:color w:val="auto"/>
                <w:kern w:val="2"/>
                <w:sz w:val="21"/>
                <w:szCs w:val="21"/>
              </w:rPr>
              <w:t>的金额：</w:t>
            </w:r>
            <w:r>
              <w:rPr>
                <w:rFonts w:hint="eastAsia" w:hAnsi="宋体"/>
                <w:color w:val="auto"/>
                <w:kern w:val="2"/>
                <w:sz w:val="21"/>
                <w:szCs w:val="21"/>
                <w:lang w:val="en-US" w:eastAsia="zh-CN"/>
              </w:rPr>
              <w:t>/</w:t>
            </w:r>
            <w:r>
              <w:rPr>
                <w:rFonts w:hint="eastAsia" w:hAnsi="宋体"/>
                <w:color w:val="auto"/>
                <w:kern w:val="2"/>
                <w:sz w:val="21"/>
                <w:szCs w:val="21"/>
              </w:rPr>
              <w:t>；</w:t>
            </w:r>
          </w:p>
          <w:p>
            <w:pPr>
              <w:pStyle w:val="149"/>
              <w:spacing w:line="400" w:lineRule="exact"/>
              <w:ind w:firstLine="420" w:firstLineChars="200"/>
              <w:rPr>
                <w:rFonts w:hint="eastAsia" w:hAnsi="宋体" w:eastAsia="宋体"/>
                <w:color w:val="auto"/>
                <w:kern w:val="2"/>
                <w:sz w:val="21"/>
                <w:szCs w:val="21"/>
                <w:lang w:eastAsia="zh-CN"/>
              </w:rPr>
            </w:pPr>
            <w:r>
              <w:rPr>
                <w:rFonts w:hint="eastAsia" w:hAnsi="宋体"/>
                <w:color w:val="auto"/>
                <w:kern w:val="2"/>
                <w:sz w:val="21"/>
                <w:szCs w:val="21"/>
              </w:rPr>
              <w:t>3、履约保证金</w:t>
            </w:r>
            <w:r>
              <w:rPr>
                <w:rFonts w:hint="eastAsia" w:hAnsi="宋体"/>
                <w:color w:val="auto"/>
                <w:kern w:val="2"/>
                <w:sz w:val="21"/>
                <w:szCs w:val="21"/>
                <w:highlight w:val="none"/>
                <w:lang w:val="en-US" w:eastAsia="zh-CN"/>
              </w:rPr>
              <w:t>（或</w:t>
            </w:r>
            <w:r>
              <w:rPr>
                <w:rFonts w:hint="eastAsia" w:hAnsi="宋体"/>
                <w:color w:val="auto"/>
                <w:kern w:val="2"/>
                <w:sz w:val="21"/>
                <w:szCs w:val="21"/>
                <w:lang w:val="en-US" w:eastAsia="zh-CN"/>
              </w:rPr>
              <w:t>履约保函</w:t>
            </w:r>
            <w:r>
              <w:rPr>
                <w:rFonts w:hint="eastAsia" w:hAnsi="宋体"/>
                <w:color w:val="auto"/>
                <w:kern w:val="2"/>
                <w:sz w:val="21"/>
                <w:szCs w:val="21"/>
                <w:highlight w:val="none"/>
                <w:lang w:val="en-US" w:eastAsia="zh-CN"/>
              </w:rPr>
              <w:t>）</w:t>
            </w:r>
            <w:r>
              <w:rPr>
                <w:rFonts w:hint="eastAsia" w:hAnsi="宋体"/>
                <w:color w:val="auto"/>
                <w:kern w:val="2"/>
                <w:sz w:val="21"/>
                <w:szCs w:val="21"/>
              </w:rPr>
              <w:t>有效期：自双方签订的合同文件生效之日起，至合同约定时间完成为止</w:t>
            </w:r>
            <w:r>
              <w:rPr>
                <w:rFonts w:hint="eastAsia" w:hAnsi="宋体"/>
                <w:color w:val="auto"/>
                <w:kern w:val="2"/>
                <w:sz w:val="21"/>
                <w:szCs w:val="21"/>
                <w:lang w:eastAsia="zh-CN"/>
              </w:rPr>
              <w:t>；</w:t>
            </w:r>
          </w:p>
          <w:p>
            <w:pPr>
              <w:pStyle w:val="149"/>
              <w:spacing w:line="400" w:lineRule="exact"/>
              <w:ind w:firstLine="420" w:firstLineChars="200"/>
              <w:rPr>
                <w:rFonts w:hint="eastAsia" w:hAnsi="宋体"/>
                <w:color w:val="auto"/>
                <w:kern w:val="2"/>
                <w:sz w:val="21"/>
                <w:szCs w:val="21"/>
              </w:rPr>
            </w:pPr>
            <w:r>
              <w:rPr>
                <w:rFonts w:hint="eastAsia" w:hAnsi="宋体"/>
                <w:color w:val="auto"/>
                <w:kern w:val="2"/>
                <w:sz w:val="21"/>
                <w:szCs w:val="21"/>
              </w:rPr>
              <w:t>4、履约保证金的提交及退还：在甲方发出中标通知书后5个工作日内，中标人向采购人提供履约保证金</w:t>
            </w:r>
            <w:r>
              <w:rPr>
                <w:rFonts w:hAnsi="宋体"/>
                <w:color w:val="auto"/>
                <w:kern w:val="2"/>
                <w:sz w:val="21"/>
                <w:szCs w:val="21"/>
              </w:rPr>
              <w:t>缴纳凭证</w:t>
            </w:r>
            <w:r>
              <w:rPr>
                <w:rFonts w:hint="eastAsia" w:hAnsi="宋体"/>
                <w:color w:val="auto"/>
                <w:kern w:val="2"/>
                <w:sz w:val="21"/>
                <w:szCs w:val="21"/>
                <w:lang w:eastAsia="zh-CN"/>
              </w:rPr>
              <w:t>（</w:t>
            </w:r>
            <w:r>
              <w:rPr>
                <w:rFonts w:hint="eastAsia" w:hAnsi="宋体"/>
                <w:color w:val="auto"/>
                <w:kern w:val="2"/>
                <w:sz w:val="21"/>
                <w:szCs w:val="21"/>
                <w:lang w:val="en-US" w:eastAsia="zh-CN"/>
              </w:rPr>
              <w:t>或出具国有商业银行开具的履约保函</w:t>
            </w:r>
            <w:r>
              <w:rPr>
                <w:rFonts w:hint="eastAsia" w:hAnsi="宋体"/>
                <w:color w:val="auto"/>
                <w:kern w:val="2"/>
                <w:sz w:val="21"/>
                <w:szCs w:val="21"/>
                <w:lang w:eastAsia="zh-CN"/>
              </w:rPr>
              <w:t>）</w:t>
            </w:r>
            <w:r>
              <w:rPr>
                <w:rFonts w:hint="eastAsia" w:hAnsi="宋体"/>
                <w:color w:val="auto"/>
                <w:kern w:val="2"/>
                <w:sz w:val="21"/>
                <w:szCs w:val="21"/>
              </w:rPr>
              <w:t>。履约保证金在完成合同约定的全部工作内容后由中标人提出申请，28天后无息退还。</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三、低价风险担保金</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1、低价风险担保提交标准为最高限价的85%与中标价格差额的</w:t>
            </w:r>
            <w:r>
              <w:rPr>
                <w:rFonts w:hint="eastAsia" w:hAnsi="宋体"/>
                <w:color w:val="auto"/>
                <w:kern w:val="2"/>
                <w:sz w:val="21"/>
                <w:szCs w:val="21"/>
                <w:highlight w:val="none"/>
                <w:u w:val="none"/>
                <w:lang w:val="en-US" w:eastAsia="zh-CN"/>
              </w:rPr>
              <w:t>3</w:t>
            </w:r>
            <w:r>
              <w:rPr>
                <w:rFonts w:hint="eastAsia" w:hAnsi="宋体"/>
                <w:color w:val="auto"/>
                <w:kern w:val="2"/>
                <w:sz w:val="21"/>
                <w:szCs w:val="21"/>
                <w:highlight w:val="none"/>
                <w:lang w:val="en-US" w:eastAsia="zh-CN"/>
              </w:rPr>
              <w:t>倍（既低价风险担保差额倍数），中标价低于最高限价85%的价格差额；</w:t>
            </w:r>
          </w:p>
          <w:p>
            <w:pPr>
              <w:pStyle w:val="149"/>
              <w:spacing w:line="400" w:lineRule="exact"/>
              <w:ind w:firstLine="420" w:firstLineChars="200"/>
              <w:rPr>
                <w:rFonts w:hint="eastAsia" w:hAnsi="宋体"/>
                <w:color w:val="auto"/>
                <w:kern w:val="2"/>
                <w:sz w:val="21"/>
                <w:szCs w:val="21"/>
                <w:highlight w:val="none"/>
                <w:lang w:eastAsia="zh-CN"/>
              </w:rPr>
            </w:pPr>
            <w:r>
              <w:rPr>
                <w:rFonts w:hint="eastAsia" w:hAnsi="宋体"/>
                <w:color w:val="auto"/>
                <w:kern w:val="2"/>
                <w:sz w:val="21"/>
                <w:szCs w:val="21"/>
                <w:highlight w:val="none"/>
                <w:lang w:val="en-US" w:eastAsia="zh-CN"/>
              </w:rPr>
              <w:t>2、低价风险担保</w:t>
            </w:r>
            <w:r>
              <w:rPr>
                <w:rFonts w:hAnsi="宋体"/>
                <w:color w:val="auto"/>
                <w:kern w:val="2"/>
                <w:sz w:val="21"/>
                <w:szCs w:val="21"/>
                <w:highlight w:val="none"/>
              </w:rPr>
              <w:t>作为本</w:t>
            </w:r>
            <w:r>
              <w:rPr>
                <w:rFonts w:hint="eastAsia" w:hAnsi="宋体"/>
                <w:color w:val="auto"/>
                <w:kern w:val="2"/>
                <w:sz w:val="21"/>
                <w:szCs w:val="21"/>
                <w:highlight w:val="none"/>
              </w:rPr>
              <w:t>项目</w:t>
            </w:r>
            <w:r>
              <w:rPr>
                <w:rFonts w:hAnsi="宋体"/>
                <w:color w:val="auto"/>
                <w:kern w:val="2"/>
                <w:sz w:val="21"/>
                <w:szCs w:val="21"/>
                <w:highlight w:val="none"/>
              </w:rPr>
              <w:t>合同附件</w:t>
            </w:r>
            <w:r>
              <w:rPr>
                <w:rFonts w:hint="eastAsia" w:hAnsi="宋体"/>
                <w:color w:val="auto"/>
                <w:kern w:val="2"/>
                <w:sz w:val="21"/>
                <w:szCs w:val="21"/>
                <w:highlight w:val="none"/>
                <w:lang w:eastAsia="zh-CN"/>
              </w:rPr>
              <w:t>；</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3、低价风险担保金有效期：自双方签订的合同文件生效之日起，至合同约定时间完成为止；</w:t>
            </w:r>
          </w:p>
          <w:p>
            <w:pPr>
              <w:pStyle w:val="149"/>
              <w:spacing w:line="400" w:lineRule="exact"/>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4、低价风险担保金的提交及退还：在甲方发出中标通知书后5个工作日内，中标人向采购人提供低价风险担保金缴纳凭证。低价风险担保金在完成合同约定的全部工作内容后由中标人提出申请，28天后无息退还。</w:t>
            </w:r>
          </w:p>
          <w:p>
            <w:pPr>
              <w:pStyle w:val="149"/>
              <w:spacing w:line="400" w:lineRule="exact"/>
              <w:ind w:firstLine="420" w:firstLineChars="200"/>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四、采购人指定的开户银行及账号如下：</w:t>
            </w:r>
          </w:p>
          <w:p>
            <w:pPr>
              <w:pStyle w:val="149"/>
              <w:spacing w:line="400" w:lineRule="exact"/>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账户名称：重庆首讯科技股份有限公司</w:t>
            </w:r>
          </w:p>
          <w:p>
            <w:pPr>
              <w:pStyle w:val="149"/>
              <w:spacing w:line="400" w:lineRule="exact"/>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开户银行：兴业银行重庆分行营业部</w:t>
            </w:r>
          </w:p>
          <w:p>
            <w:pPr>
              <w:pStyle w:val="149"/>
              <w:spacing w:line="400" w:lineRule="exact"/>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帐    号：3460 1010 0100 4791 14</w:t>
            </w:r>
          </w:p>
          <w:p>
            <w:pPr>
              <w:pStyle w:val="149"/>
              <w:spacing w:line="400" w:lineRule="exact"/>
              <w:ind w:firstLine="420" w:firstLineChars="200"/>
              <w:rPr>
                <w:rFonts w:hint="eastAsia" w:ascii="宋体" w:hAnsi="宋体" w:eastAsia="宋体" w:cs="宋体"/>
                <w:color w:val="auto"/>
                <w:kern w:val="2"/>
                <w:sz w:val="21"/>
                <w:szCs w:val="21"/>
                <w:highlight w:val="none"/>
                <w:lang w:val="en-US" w:eastAsia="zh-CN"/>
              </w:rPr>
            </w:pPr>
          </w:p>
          <w:p>
            <w:pPr>
              <w:pStyle w:val="149"/>
              <w:spacing w:line="400" w:lineRule="exact"/>
              <w:ind w:firstLine="422" w:firstLineChars="200"/>
              <w:rPr>
                <w:rFonts w:hint="eastAsia" w:ascii="宋体" w:hAnsi="宋体" w:eastAsia="宋体" w:cs="宋体"/>
                <w:color w:val="auto"/>
                <w:kern w:val="2"/>
                <w:sz w:val="21"/>
                <w:szCs w:val="21"/>
                <w:highlight w:val="none"/>
                <w:lang w:val="en-US" w:eastAsia="zh-CN"/>
              </w:rPr>
            </w:pPr>
            <w:r>
              <w:rPr>
                <w:rFonts w:hint="eastAsia" w:hAnsi="宋体"/>
                <w:b/>
                <w:bCs/>
                <w:color w:val="auto"/>
                <w:kern w:val="2"/>
                <w:sz w:val="21"/>
                <w:szCs w:val="21"/>
                <w:highlight w:val="none"/>
                <w:lang w:val="en-US" w:eastAsia="zh-CN"/>
              </w:rPr>
              <w:t>注：根据采购人《合格供方库管理办法》，符合免交投标担保及履约担保资格的报价人，可提交经采购人审批通过并加盖采购人单位公章的《免交投标担保及履约担保审批表》代替相关保证金凭证。《免交投标担保及履约担保审批表》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97" w:type="dxa"/>
            <w:vAlign w:val="center"/>
          </w:tcPr>
          <w:p>
            <w:pPr>
              <w:pStyle w:val="149"/>
              <w:spacing w:line="400" w:lineRule="exact"/>
              <w:jc w:val="center"/>
              <w:rPr>
                <w:rFonts w:hint="default" w:hAnsi="宋体" w:eastAsia="宋体"/>
                <w:color w:val="auto"/>
                <w:kern w:val="2"/>
                <w:sz w:val="21"/>
                <w:szCs w:val="21"/>
                <w:lang w:val="en-US" w:eastAsia="zh-CN"/>
              </w:rPr>
            </w:pPr>
            <w:r>
              <w:rPr>
                <w:rFonts w:hint="eastAsia" w:hAnsi="宋体"/>
                <w:color w:val="000000" w:themeColor="text1"/>
                <w:sz w:val="21"/>
                <w:szCs w:val="21"/>
                <w:lang w:val="en-US" w:eastAsia="zh-CN"/>
                <w14:textFill>
                  <w14:solidFill>
                    <w14:schemeClr w14:val="tx1"/>
                  </w14:solidFill>
                </w14:textFill>
              </w:rPr>
              <w:t>20</w:t>
            </w:r>
          </w:p>
        </w:tc>
        <w:tc>
          <w:tcPr>
            <w:tcW w:w="2106" w:type="dxa"/>
            <w:vAlign w:val="center"/>
          </w:tcPr>
          <w:p>
            <w:pPr>
              <w:pStyle w:val="149"/>
              <w:spacing w:line="400" w:lineRule="exact"/>
              <w:jc w:val="center"/>
              <w:rPr>
                <w:rFonts w:hint="eastAsia" w:hAnsi="宋体"/>
                <w:color w:val="auto"/>
                <w:kern w:val="2"/>
                <w:sz w:val="21"/>
                <w:szCs w:val="21"/>
              </w:rPr>
            </w:pPr>
            <w:r>
              <w:rPr>
                <w:rFonts w:hint="eastAsia" w:hAnsi="宋体"/>
                <w:color w:val="000000" w:themeColor="text1"/>
                <w:sz w:val="21"/>
                <w:szCs w:val="21"/>
                <w14:textFill>
                  <w14:solidFill>
                    <w14:schemeClr w14:val="tx1"/>
                  </w14:solidFill>
                </w14:textFill>
              </w:rPr>
              <w:t>合同签订方式</w:t>
            </w:r>
          </w:p>
        </w:tc>
        <w:tc>
          <w:tcPr>
            <w:tcW w:w="7104" w:type="dxa"/>
            <w:vAlign w:val="center"/>
          </w:tcPr>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000000" w:themeColor="text1"/>
                <w:sz w:val="21"/>
                <w:szCs w:val="21"/>
                <w:lang w:val="en-US" w:eastAsia="zh-CN"/>
                <w14:textFill>
                  <w14:solidFill>
                    <w14:schemeClr w14:val="tx1"/>
                  </w14:solidFill>
                </w14:textFill>
              </w:rPr>
              <w:t>经评审确定中标人后签订采购合同。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dxa"/>
            <w:vAlign w:val="center"/>
          </w:tcPr>
          <w:p>
            <w:pPr>
              <w:pStyle w:val="149"/>
              <w:spacing w:line="400" w:lineRule="exact"/>
              <w:jc w:val="center"/>
              <w:rPr>
                <w:rFonts w:hint="eastAsia" w:hAnsi="宋体"/>
                <w:color w:val="auto"/>
                <w:kern w:val="2"/>
                <w:sz w:val="21"/>
                <w:szCs w:val="21"/>
                <w:lang w:val="en-US" w:eastAsia="zh-CN"/>
              </w:rPr>
            </w:pPr>
            <w:r>
              <w:rPr>
                <w:rFonts w:hint="eastAsia" w:hAnsi="宋体"/>
                <w:color w:val="000000" w:themeColor="text1"/>
                <w:sz w:val="21"/>
                <w:szCs w:val="21"/>
                <w14:textFill>
                  <w14:solidFill>
                    <w14:schemeClr w14:val="tx1"/>
                  </w14:solidFill>
                </w14:textFill>
              </w:rPr>
              <w:t>2</w:t>
            </w:r>
            <w:r>
              <w:rPr>
                <w:rFonts w:hint="eastAsia" w:hAnsi="宋体"/>
                <w:color w:val="000000" w:themeColor="text1"/>
                <w:sz w:val="21"/>
                <w:szCs w:val="21"/>
                <w:lang w:val="en-US" w:eastAsia="zh-CN"/>
                <w14:textFill>
                  <w14:solidFill>
                    <w14:schemeClr w14:val="tx1"/>
                  </w14:solidFill>
                </w14:textFill>
              </w:rPr>
              <w:t>1</w:t>
            </w:r>
          </w:p>
        </w:tc>
        <w:tc>
          <w:tcPr>
            <w:tcW w:w="2106" w:type="dxa"/>
            <w:vAlign w:val="center"/>
          </w:tcPr>
          <w:p>
            <w:pPr>
              <w:pStyle w:val="149"/>
              <w:spacing w:line="400" w:lineRule="exact"/>
              <w:jc w:val="center"/>
              <w:rPr>
                <w:rFonts w:hint="eastAsia" w:hAnsi="宋体"/>
                <w:color w:val="auto"/>
                <w:kern w:val="2"/>
                <w:sz w:val="21"/>
                <w:szCs w:val="21"/>
              </w:rPr>
            </w:pPr>
            <w:r>
              <w:rPr>
                <w:rFonts w:hint="eastAsia" w:hAnsi="宋体"/>
                <w:color w:val="000000" w:themeColor="text1"/>
                <w:sz w:val="21"/>
                <w:szCs w:val="21"/>
                <w14:textFill>
                  <w14:solidFill>
                    <w14:schemeClr w14:val="tx1"/>
                  </w14:solidFill>
                </w14:textFill>
              </w:rPr>
              <w:t>保险</w:t>
            </w:r>
          </w:p>
        </w:tc>
        <w:tc>
          <w:tcPr>
            <w:tcW w:w="7104" w:type="dxa"/>
            <w:vAlign w:val="center"/>
          </w:tcPr>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000000" w:themeColor="text1"/>
                <w:sz w:val="21"/>
                <w:szCs w:val="21"/>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int="eastAsia" w:hAnsi="宋体" w:eastAsia="宋体"/>
                <w:color w:val="auto"/>
                <w:sz w:val="21"/>
                <w:szCs w:val="21"/>
                <w:lang w:val="en-US" w:eastAsia="zh-CN"/>
              </w:rPr>
            </w:pPr>
            <w:r>
              <w:rPr>
                <w:rFonts w:hint="eastAsia" w:hAnsi="宋体"/>
                <w:color w:val="auto"/>
                <w:sz w:val="21"/>
                <w:szCs w:val="21"/>
              </w:rPr>
              <w:t>2</w:t>
            </w:r>
            <w:r>
              <w:rPr>
                <w:rFonts w:hint="eastAsia" w:hAnsi="宋体"/>
                <w:color w:val="auto"/>
                <w:sz w:val="21"/>
                <w:szCs w:val="21"/>
                <w:lang w:val="en-US" w:eastAsia="zh-CN"/>
              </w:rPr>
              <w:t>2</w:t>
            </w:r>
          </w:p>
        </w:tc>
        <w:tc>
          <w:tcPr>
            <w:tcW w:w="2106" w:type="dxa"/>
            <w:vAlign w:val="center"/>
          </w:tcPr>
          <w:p>
            <w:pPr>
              <w:pStyle w:val="149"/>
              <w:spacing w:line="400" w:lineRule="exact"/>
              <w:jc w:val="center"/>
              <w:rPr>
                <w:rFonts w:hAnsi="宋体"/>
                <w:color w:val="auto"/>
                <w:sz w:val="21"/>
                <w:szCs w:val="21"/>
              </w:rPr>
            </w:pPr>
            <w:r>
              <w:rPr>
                <w:rFonts w:hint="eastAsia" w:hAnsi="宋体"/>
                <w:color w:val="auto"/>
                <w:kern w:val="2"/>
                <w:sz w:val="21"/>
                <w:szCs w:val="21"/>
              </w:rPr>
              <w:t>监督部门</w:t>
            </w:r>
          </w:p>
        </w:tc>
        <w:tc>
          <w:tcPr>
            <w:tcW w:w="7104" w:type="dxa"/>
            <w:vAlign w:val="center"/>
          </w:tcPr>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监督部门：重庆首讯科技股份有限公司</w:t>
            </w:r>
            <w:r>
              <w:rPr>
                <w:rFonts w:hint="eastAsia" w:hAnsi="宋体"/>
                <w:color w:val="auto"/>
                <w:kern w:val="2"/>
                <w:sz w:val="21"/>
                <w:szCs w:val="21"/>
                <w:lang w:val="en-US" w:eastAsia="zh-CN"/>
              </w:rPr>
              <w:t>合规监管</w:t>
            </w:r>
            <w:r>
              <w:rPr>
                <w:rFonts w:hint="eastAsia" w:hAnsi="宋体"/>
                <w:color w:val="auto"/>
                <w:kern w:val="2"/>
                <w:sz w:val="21"/>
                <w:szCs w:val="21"/>
              </w:rPr>
              <w:t>部</w:t>
            </w:r>
          </w:p>
          <w:p>
            <w:pPr>
              <w:pStyle w:val="149"/>
              <w:spacing w:line="400" w:lineRule="exact"/>
              <w:ind w:firstLine="420" w:firstLineChars="200"/>
              <w:rPr>
                <w:rFonts w:hint="default" w:hAnsi="宋体" w:eastAsia="宋体"/>
                <w:color w:val="auto"/>
                <w:kern w:val="2"/>
                <w:sz w:val="21"/>
                <w:szCs w:val="21"/>
                <w:lang w:val="en-US" w:eastAsia="zh-CN"/>
              </w:rPr>
            </w:pPr>
            <w:r>
              <w:rPr>
                <w:rFonts w:hint="eastAsia" w:hAnsi="宋体"/>
                <w:color w:val="auto"/>
                <w:kern w:val="2"/>
                <w:sz w:val="21"/>
                <w:szCs w:val="21"/>
              </w:rPr>
              <w:t>地    址：重庆市</w:t>
            </w:r>
            <w:r>
              <w:rPr>
                <w:rFonts w:hint="eastAsia" w:hAnsi="宋体"/>
                <w:color w:val="auto"/>
                <w:kern w:val="2"/>
                <w:sz w:val="21"/>
                <w:szCs w:val="21"/>
                <w:lang w:val="en-US" w:eastAsia="zh-CN"/>
              </w:rPr>
              <w:t>渝北区新南路52号</w:t>
            </w:r>
          </w:p>
          <w:p>
            <w:pPr>
              <w:pStyle w:val="149"/>
              <w:spacing w:line="400" w:lineRule="exact"/>
              <w:ind w:firstLine="420" w:firstLineChars="200"/>
              <w:rPr>
                <w:rFonts w:hAnsi="宋体"/>
                <w:color w:val="auto"/>
                <w:sz w:val="21"/>
                <w:szCs w:val="21"/>
              </w:rPr>
            </w:pPr>
            <w:r>
              <w:rPr>
                <w:rFonts w:hint="eastAsia" w:hAnsi="宋体"/>
                <w:color w:val="auto"/>
                <w:kern w:val="2"/>
                <w:sz w:val="21"/>
                <w:szCs w:val="21"/>
              </w:rPr>
              <w:t>电    话：</w:t>
            </w:r>
            <w:r>
              <w:rPr>
                <w:rFonts w:hint="eastAsia" w:hAnsi="宋体"/>
                <w:color w:val="auto"/>
                <w:kern w:val="2"/>
                <w:sz w:val="21"/>
                <w:szCs w:val="21"/>
                <w:highlight w:val="none"/>
                <w:lang w:val="en-US" w:eastAsia="zh-CN"/>
              </w:rPr>
              <w:t>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int="eastAsia" w:hAnsi="宋体"/>
                <w:color w:val="auto"/>
                <w:sz w:val="21"/>
                <w:szCs w:val="21"/>
              </w:rPr>
            </w:pPr>
            <w:r>
              <w:rPr>
                <w:rFonts w:hint="eastAsia" w:hAnsi="宋体" w:cs="宋体"/>
                <w:color w:val="auto"/>
                <w:sz w:val="21"/>
                <w:szCs w:val="21"/>
                <w:highlight w:val="none"/>
                <w:lang w:val="en-US" w:eastAsia="zh-CN" w:bidi="ar-SA"/>
              </w:rPr>
              <w:t>23</w:t>
            </w:r>
          </w:p>
        </w:tc>
        <w:tc>
          <w:tcPr>
            <w:tcW w:w="2106" w:type="dxa"/>
            <w:vAlign w:val="center"/>
          </w:tcPr>
          <w:p>
            <w:pPr>
              <w:pStyle w:val="149"/>
              <w:keepNext w:val="0"/>
              <w:keepLines w:val="0"/>
              <w:suppressLineNumbers w:val="0"/>
              <w:spacing w:before="0" w:beforeAutospacing="0" w:after="0" w:afterAutospacing="0" w:line="400" w:lineRule="exact"/>
              <w:ind w:left="0" w:leftChars="0" w:right="0" w:rightChars="0"/>
              <w:jc w:val="center"/>
              <w:rPr>
                <w:rFonts w:hint="eastAsia" w:hAnsi="宋体"/>
                <w:color w:val="auto"/>
                <w:kern w:val="2"/>
                <w:sz w:val="21"/>
                <w:szCs w:val="21"/>
              </w:rPr>
            </w:pPr>
            <w:r>
              <w:rPr>
                <w:rFonts w:hint="eastAsia" w:hAnsi="宋体"/>
                <w:color w:val="auto"/>
                <w:kern w:val="2"/>
                <w:sz w:val="21"/>
                <w:szCs w:val="21"/>
              </w:rPr>
              <w:t>竞争性比选响应文件的</w:t>
            </w:r>
            <w:r>
              <w:rPr>
                <w:rFonts w:hint="eastAsia" w:hAnsi="宋体"/>
                <w:color w:val="auto"/>
                <w:kern w:val="2"/>
                <w:sz w:val="21"/>
                <w:szCs w:val="21"/>
                <w:lang w:val="en-US" w:eastAsia="zh-CN"/>
              </w:rPr>
              <w:t>组成</w:t>
            </w:r>
          </w:p>
        </w:tc>
        <w:tc>
          <w:tcPr>
            <w:tcW w:w="7104" w:type="dxa"/>
            <w:vAlign w:val="center"/>
          </w:tcPr>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1.竞争性比选文件需加盖报价人的公章，竞争性比选响应文件提交</w:t>
            </w:r>
            <w:r>
              <w:rPr>
                <w:rFonts w:hint="eastAsia" w:hAnsi="宋体"/>
                <w:b/>
                <w:bCs/>
                <w:color w:val="auto"/>
                <w:kern w:val="2"/>
                <w:sz w:val="21"/>
                <w:szCs w:val="21"/>
                <w:highlight w:val="none"/>
                <w:lang w:val="en-US" w:eastAsia="zh-CN"/>
              </w:rPr>
              <w:t>正本1份，副本1份，电子文件1份</w:t>
            </w:r>
            <w:r>
              <w:rPr>
                <w:rFonts w:hint="eastAsia" w:hAnsi="宋体"/>
                <w:color w:val="auto"/>
                <w:kern w:val="2"/>
                <w:sz w:val="21"/>
                <w:szCs w:val="21"/>
                <w:highlight w:val="none"/>
                <w:lang w:val="en-US" w:eastAsia="zh-CN"/>
              </w:rPr>
              <w:t>，副本可为正本的复印件，竞争性比选响应文件需装订成册；电子文件1份应提供竞争性比选响应文件（盖章版）扫描版PDF电子版本（U盘1份，电子文件内容须包括竞争性比选响应文件全部内容）。当电子文件与纸质版竞争性比选响应文件不一致时，以纸质版竞争性比选响应文件为准，当正本与副本不一致时，以正本为准。</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b w:val="0"/>
                <w:bCs w:val="0"/>
                <w:color w:val="auto"/>
                <w:kern w:val="2"/>
                <w:sz w:val="21"/>
                <w:szCs w:val="21"/>
                <w:highlight w:val="none"/>
                <w:lang w:val="en-US" w:eastAsia="zh-CN"/>
              </w:rPr>
              <w:t>2.竞争性比选响应声明书、报价函、资格要求材料、报价人认为需要提供的其他相关文件（注：以</w:t>
            </w:r>
            <w:r>
              <w:rPr>
                <w:rFonts w:hint="eastAsia" w:hAnsi="宋体"/>
                <w:b/>
                <w:bCs/>
                <w:color w:val="auto"/>
                <w:kern w:val="2"/>
                <w:sz w:val="21"/>
                <w:szCs w:val="21"/>
                <w:highlight w:val="none"/>
                <w:lang w:val="en-US" w:eastAsia="zh-CN"/>
              </w:rPr>
              <w:t>上所有文件均须逐页加盖报价人的公章</w:t>
            </w:r>
            <w:r>
              <w:rPr>
                <w:rFonts w:hint="eastAsia" w:hAnsi="宋体"/>
                <w:b w:val="0"/>
                <w:bCs w:val="0"/>
                <w:color w:val="auto"/>
                <w:kern w:val="2"/>
                <w:sz w:val="21"/>
                <w:szCs w:val="21"/>
                <w:highlight w:val="none"/>
                <w:lang w:val="en-US" w:eastAsia="zh-CN"/>
              </w:rPr>
              <w:t>）</w:t>
            </w:r>
            <w:r>
              <w:rPr>
                <w:rFonts w:hint="eastAsia" w:hAnsi="宋体"/>
                <w:color w:val="auto"/>
                <w:kern w:val="2"/>
                <w:sz w:val="21"/>
                <w:szCs w:val="21"/>
                <w:highlight w:val="none"/>
                <w:lang w:val="en-US" w:eastAsia="zh-CN"/>
              </w:rPr>
              <w:t>。</w:t>
            </w:r>
          </w:p>
          <w:p>
            <w:pPr>
              <w:pStyle w:val="149"/>
              <w:spacing w:line="400" w:lineRule="exact"/>
              <w:ind w:firstLine="422" w:firstLineChars="200"/>
              <w:rPr>
                <w:rFonts w:hint="eastAsia" w:hAnsi="宋体"/>
                <w:b/>
                <w:bCs/>
                <w:color w:val="auto"/>
                <w:kern w:val="2"/>
                <w:sz w:val="21"/>
                <w:szCs w:val="21"/>
                <w:highlight w:val="none"/>
                <w:lang w:val="en-US" w:eastAsia="zh-CN"/>
              </w:rPr>
            </w:pPr>
            <w:r>
              <w:rPr>
                <w:rFonts w:hint="eastAsia" w:hAnsi="宋体"/>
                <w:b/>
                <w:bCs/>
                <w:color w:val="auto"/>
                <w:kern w:val="2"/>
                <w:sz w:val="21"/>
                <w:szCs w:val="21"/>
                <w:highlight w:val="none"/>
                <w:lang w:val="en-US" w:eastAsia="zh-CN"/>
              </w:rPr>
              <w:t>3.密封要求：</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竞争性比选响应文件密封到一个封袋中，在封套上写明：</w:t>
            </w:r>
          </w:p>
          <w:p>
            <w:pPr>
              <w:pStyle w:val="149"/>
              <w:spacing w:line="400" w:lineRule="exact"/>
              <w:ind w:firstLine="420" w:firstLineChars="200"/>
              <w:rPr>
                <w:rFonts w:hint="eastAsia" w:hAnsi="宋体"/>
                <w:color w:val="auto"/>
                <w:kern w:val="2"/>
                <w:sz w:val="21"/>
                <w:szCs w:val="21"/>
              </w:rPr>
            </w:pPr>
            <w:r>
              <w:rPr>
                <w:rFonts w:hint="eastAsia" w:hAnsi="宋体"/>
                <w:color w:val="auto"/>
                <w:kern w:val="2"/>
                <w:sz w:val="21"/>
                <w:szCs w:val="21"/>
                <w:highlight w:val="none"/>
                <w:lang w:val="en-US" w:eastAsia="zh-CN"/>
              </w:rPr>
              <w:t>梁开高速（重庆段）第二总承包部机电工程保险服务采购项目竞争性比选响应文件（加盖报价人的公章）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int="eastAsia" w:hAnsi="宋体"/>
                <w:color w:val="auto"/>
                <w:sz w:val="21"/>
                <w:szCs w:val="21"/>
              </w:rPr>
            </w:pPr>
            <w:r>
              <w:rPr>
                <w:rFonts w:hint="eastAsia" w:hAnsi="宋体" w:cs="宋体"/>
                <w:color w:val="auto"/>
                <w:sz w:val="21"/>
                <w:szCs w:val="21"/>
                <w:highlight w:val="none"/>
                <w:lang w:val="en-US" w:eastAsia="zh-CN" w:bidi="ar-SA"/>
              </w:rPr>
              <w:t>24</w:t>
            </w:r>
          </w:p>
        </w:tc>
        <w:tc>
          <w:tcPr>
            <w:tcW w:w="2106"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hAnsi="宋体"/>
                <w:color w:val="auto"/>
                <w:kern w:val="2"/>
                <w:sz w:val="21"/>
                <w:szCs w:val="21"/>
              </w:rPr>
            </w:pPr>
            <w:r>
              <w:rPr>
                <w:rFonts w:hint="eastAsia"/>
              </w:rPr>
              <w:t>中标候选人公示</w:t>
            </w:r>
          </w:p>
        </w:tc>
        <w:tc>
          <w:tcPr>
            <w:tcW w:w="7104" w:type="dxa"/>
            <w:vAlign w:val="center"/>
          </w:tcPr>
          <w:p>
            <w:pPr>
              <w:spacing w:line="400" w:lineRule="exact"/>
              <w:ind w:firstLine="420" w:firstLineChars="200"/>
              <w:rPr>
                <w:rFonts w:hint="eastAsia" w:hAnsi="宋体"/>
                <w:color w:val="auto"/>
                <w:kern w:val="2"/>
                <w:sz w:val="21"/>
                <w:szCs w:val="21"/>
              </w:rPr>
            </w:pPr>
            <w:r>
              <w:rPr>
                <w:rFonts w:hint="eastAsia"/>
              </w:rPr>
              <w:t>评标结果将在重庆高速集团官网（http://www.cegc.com.cn）上进行公示，公示期为3日。公示内容包括中标候选人名称、排序、投标报价；提出异议、投诉的渠道和方式。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int="eastAsia" w:hAnsi="宋体" w:eastAsia="宋体"/>
                <w:color w:val="auto"/>
                <w:kern w:val="2"/>
                <w:sz w:val="21"/>
                <w:szCs w:val="21"/>
                <w:lang w:val="en-US" w:eastAsia="zh-CN"/>
              </w:rPr>
            </w:pPr>
            <w:r>
              <w:rPr>
                <w:rFonts w:hint="eastAsia" w:hAnsi="宋体"/>
                <w:color w:val="auto"/>
                <w:kern w:val="2"/>
                <w:sz w:val="21"/>
                <w:szCs w:val="21"/>
              </w:rPr>
              <w:t>2</w:t>
            </w:r>
            <w:r>
              <w:rPr>
                <w:rFonts w:hint="eastAsia" w:hAnsi="宋体"/>
                <w:color w:val="auto"/>
                <w:kern w:val="2"/>
                <w:sz w:val="21"/>
                <w:szCs w:val="21"/>
                <w:lang w:val="en-US" w:eastAsia="zh-CN"/>
              </w:rPr>
              <w:t>5</w:t>
            </w:r>
          </w:p>
        </w:tc>
        <w:tc>
          <w:tcPr>
            <w:tcW w:w="9210" w:type="dxa"/>
            <w:gridSpan w:val="2"/>
            <w:vAlign w:val="center"/>
          </w:tcPr>
          <w:p>
            <w:pPr>
              <w:pStyle w:val="149"/>
              <w:spacing w:line="400" w:lineRule="exact"/>
              <w:ind w:firstLine="482" w:firstLineChars="200"/>
              <w:jc w:val="center"/>
              <w:rPr>
                <w:rFonts w:hAnsi="宋体"/>
                <w:color w:val="auto"/>
                <w:kern w:val="2"/>
                <w:sz w:val="21"/>
                <w:szCs w:val="21"/>
              </w:rPr>
            </w:pPr>
            <w:r>
              <w:rPr>
                <w:rFonts w:hAnsi="宋体"/>
                <w:b/>
                <w:bCs/>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w:t>
            </w:r>
            <w:r>
              <w:rPr>
                <w:rFonts w:hint="eastAsia" w:hAnsi="宋体"/>
                <w:color w:val="auto"/>
                <w:kern w:val="2"/>
                <w:sz w:val="21"/>
                <w:szCs w:val="21"/>
                <w:lang w:val="en-US" w:eastAsia="zh-CN"/>
              </w:rPr>
              <w:t>5</w:t>
            </w:r>
            <w:r>
              <w:rPr>
                <w:rFonts w:hint="eastAsia" w:hAnsi="宋体"/>
                <w:color w:val="auto"/>
                <w:kern w:val="2"/>
                <w:sz w:val="21"/>
                <w:szCs w:val="21"/>
              </w:rPr>
              <w:t>.1</w:t>
            </w:r>
          </w:p>
        </w:tc>
        <w:tc>
          <w:tcPr>
            <w:tcW w:w="9210" w:type="dxa"/>
            <w:gridSpan w:val="2"/>
            <w:vAlign w:val="center"/>
          </w:tcPr>
          <w:p>
            <w:pPr>
              <w:pStyle w:val="149"/>
              <w:spacing w:line="400" w:lineRule="exact"/>
              <w:ind w:firstLine="420" w:firstLineChars="200"/>
              <w:rPr>
                <w:rFonts w:hAnsi="宋体"/>
                <w:b/>
                <w:bCs/>
                <w:szCs w:val="21"/>
              </w:rPr>
            </w:pPr>
            <w:r>
              <w:rPr>
                <w:rFonts w:hint="eastAsia" w:hAnsi="宋体"/>
                <w:sz w:val="21"/>
                <w:szCs w:val="21"/>
              </w:rPr>
              <w:t>截止竞争性比选响应文件递交时间，递交竞争性比选响应文件不足3家的不得开启竞争性比选文件。重新招标后报价人仍少于3个，按法定程序开标和评标，确定中标</w:t>
            </w:r>
            <w:r>
              <w:rPr>
                <w:rFonts w:hAnsi="宋体"/>
                <w:sz w:val="21"/>
                <w:szCs w:val="21"/>
              </w:rPr>
              <w:t>候选</w:t>
            </w:r>
            <w:r>
              <w:rPr>
                <w:rFonts w:hint="eastAsia" w:hAnsi="宋体"/>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int="eastAsia" w:hAnsi="宋体"/>
                <w:color w:val="auto"/>
                <w:kern w:val="2"/>
                <w:sz w:val="21"/>
                <w:szCs w:val="21"/>
              </w:rPr>
            </w:pPr>
            <w:r>
              <w:rPr>
                <w:rFonts w:hint="eastAsia" w:hAnsi="宋体"/>
                <w:color w:val="000000" w:themeColor="text1"/>
                <w:kern w:val="2"/>
                <w:sz w:val="21"/>
                <w:szCs w:val="21"/>
                <w14:textFill>
                  <w14:solidFill>
                    <w14:schemeClr w14:val="tx1"/>
                  </w14:solidFill>
                </w14:textFill>
              </w:rPr>
              <w:t>2</w:t>
            </w:r>
            <w:r>
              <w:rPr>
                <w:rFonts w:hint="eastAsia" w:hAnsi="宋体"/>
                <w:color w:val="000000" w:themeColor="text1"/>
                <w:kern w:val="2"/>
                <w:sz w:val="21"/>
                <w:szCs w:val="21"/>
                <w:lang w:val="en-US" w:eastAsia="zh-CN"/>
                <w14:textFill>
                  <w14:solidFill>
                    <w14:schemeClr w14:val="tx1"/>
                  </w14:solidFill>
                </w14:textFill>
              </w:rPr>
              <w:t>5</w:t>
            </w:r>
            <w:r>
              <w:rPr>
                <w:rFonts w:hint="eastAsia" w:hAnsi="宋体"/>
                <w:color w:val="000000" w:themeColor="text1"/>
                <w:kern w:val="2"/>
                <w:sz w:val="21"/>
                <w:szCs w:val="21"/>
                <w14:textFill>
                  <w14:solidFill>
                    <w14:schemeClr w14:val="tx1"/>
                  </w14:solidFill>
                </w14:textFill>
              </w:rPr>
              <w:t>.2</w:t>
            </w:r>
          </w:p>
        </w:tc>
        <w:tc>
          <w:tcPr>
            <w:tcW w:w="9210" w:type="dxa"/>
            <w:gridSpan w:val="2"/>
            <w:vAlign w:val="center"/>
          </w:tcPr>
          <w:p>
            <w:pPr>
              <w:pStyle w:val="149"/>
              <w:spacing w:line="400" w:lineRule="exact"/>
              <w:ind w:firstLine="420" w:firstLineChars="200"/>
              <w:rPr>
                <w:rFonts w:hint="eastAsia" w:hAnsi="宋体"/>
                <w:sz w:val="21"/>
                <w:szCs w:val="21"/>
              </w:rPr>
            </w:pPr>
            <w:r>
              <w:rPr>
                <w:rFonts w:hint="eastAsia" w:hAnsi="宋体"/>
                <w:color w:val="000000" w:themeColor="text1"/>
                <w:sz w:val="21"/>
                <w:szCs w:val="21"/>
                <w:lang w:val="en-US" w:eastAsia="zh-CN"/>
                <w14:textFill>
                  <w14:solidFill>
                    <w14:schemeClr w14:val="tx1"/>
                  </w14:solidFill>
                </w14:textFill>
              </w:rPr>
              <w:t>需提供投标保证金银行回执。</w:t>
            </w:r>
          </w:p>
        </w:tc>
      </w:tr>
      <w:bookmarkEnd w:id="101"/>
    </w:tbl>
    <w:p>
      <w:pPr>
        <w:spacing w:line="360" w:lineRule="auto"/>
        <w:jc w:val="center"/>
        <w:rPr>
          <w:rFonts w:ascii="宋体" w:hAnsi="宋体" w:cs="宋体"/>
          <w:b/>
          <w:sz w:val="28"/>
          <w:szCs w:val="28"/>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hint="eastAsia" w:ascii="宋体" w:hAnsi="宋体" w:eastAsia="宋体" w:cs="宋体"/>
          <w:bCs w:val="0"/>
          <w:sz w:val="28"/>
          <w:szCs w:val="28"/>
          <w:highlight w:val="none"/>
        </w:rPr>
      </w:pPr>
      <w:bookmarkStart w:id="104" w:name="_Toc11329222"/>
      <w:bookmarkStart w:id="105" w:name="_Toc11284"/>
      <w:bookmarkStart w:id="106" w:name="_Toc30198"/>
      <w:bookmarkStart w:id="107" w:name="_Toc17532"/>
      <w:bookmarkStart w:id="108" w:name="_Toc32070"/>
      <w:r>
        <w:rPr>
          <w:rFonts w:hint="eastAsia" w:ascii="宋体" w:hAnsi="宋体" w:eastAsia="宋体" w:cs="宋体"/>
          <w:sz w:val="28"/>
          <w:szCs w:val="28"/>
          <w:highlight w:val="none"/>
        </w:rPr>
        <w:t xml:space="preserve">附录1  </w:t>
      </w:r>
      <w:bookmarkEnd w:id="104"/>
      <w:bookmarkEnd w:id="105"/>
      <w:bookmarkEnd w:id="106"/>
      <w:bookmarkEnd w:id="107"/>
      <w:bookmarkStart w:id="109" w:name="_Toc11329226"/>
      <w:bookmarkStart w:id="110" w:name="_Toc12773"/>
      <w:bookmarkStart w:id="111" w:name="_Toc25591"/>
      <w:bookmarkStart w:id="112" w:name="_Toc27096"/>
      <w:r>
        <w:rPr>
          <w:rFonts w:hint="eastAsia" w:ascii="宋体" w:hAnsi="宋体" w:eastAsia="宋体" w:cs="宋体"/>
          <w:bCs w:val="0"/>
          <w:sz w:val="28"/>
          <w:szCs w:val="28"/>
          <w:highlight w:val="none"/>
        </w:rPr>
        <w:t>报价人资格要求</w:t>
      </w:r>
      <w:bookmarkEnd w:id="108"/>
      <w:bookmarkEnd w:id="109"/>
      <w:bookmarkEnd w:id="110"/>
      <w:bookmarkEnd w:id="111"/>
      <w:bookmarkEnd w:id="112"/>
    </w:p>
    <w:tbl>
      <w:tblPr>
        <w:tblStyle w:val="43"/>
        <w:tblW w:w="8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287"/>
        <w:gridCol w:w="6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序号</w:t>
            </w:r>
          </w:p>
        </w:tc>
        <w:tc>
          <w:tcPr>
            <w:tcW w:w="12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项目</w:t>
            </w:r>
          </w:p>
        </w:tc>
        <w:tc>
          <w:tcPr>
            <w:tcW w:w="69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2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资格及授权要求</w:t>
            </w:r>
          </w:p>
        </w:tc>
        <w:tc>
          <w:tcPr>
            <w:tcW w:w="6962"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投标人必须在中华人民共和国境内注册、经中国银行保险监督管理委员会批准开展财产保险业务，注册资本金不低于30亿元人民币。本次招标只接受保险公司的总公司（独立法人公司）或者经总公司唯一授权的本项目所在地省级（或直辖市）分公司参与投标；</w:t>
            </w:r>
          </w:p>
          <w:p>
            <w:pPr>
              <w:numPr>
                <w:ilvl w:val="0"/>
                <w:numId w:val="0"/>
              </w:numPr>
              <w:spacing w:line="400" w:lineRule="exact"/>
              <w:ind w:firstLine="420" w:firstLineChars="200"/>
              <w:rPr>
                <w:rFonts w:hint="eastAsia"/>
                <w:lang w:val="en-US" w:eastAsia="zh-CN"/>
              </w:rPr>
            </w:pPr>
            <w:r>
              <w:rPr>
                <w:rFonts w:hint="eastAsia" w:ascii="宋体" w:hAnsi="宋体" w:cs="宋体"/>
                <w:szCs w:val="21"/>
                <w:highlight w:val="none"/>
                <w:shd w:val="clear" w:color="auto" w:fill="FFFFFF"/>
                <w:lang w:val="en-US" w:eastAsia="zh-CN"/>
              </w:rPr>
              <w:t>2、财务要求：投标人在2022年综合偿付能力充足率不低于200%；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2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业绩要求</w:t>
            </w:r>
          </w:p>
        </w:tc>
        <w:tc>
          <w:tcPr>
            <w:tcW w:w="6962"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业绩要求：2020年1月1日至报价截止日期（以合同签订时间为准），投标人至少具有1个单项工程投保额不少于3000万元的工程项目的建筑/安装工程一切险及第三者责任险保险项目（独立承保）的保险服务业绩。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4"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2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信誉要求</w:t>
            </w:r>
          </w:p>
        </w:tc>
        <w:tc>
          <w:tcPr>
            <w:tcW w:w="6962"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在国家企业信用信息公示系统（http://www.gsxt.gov.cn/）中未被列入严重违法失信企业名单（黑名单）信息；在“信用中国”网站（http://www.creditchina.gov.cn/）中未被列入失信惩戒执行人名单。2020年1月1日起至投标截止日止在项目所在地未被中国银保监会、重庆银保监局因工程类保险服务受到行政处罚，或因投标人原因而使任何合同被解除；具有依法缴纳税金和社会保障基金的良好记录；无不良诉讼记录。</w:t>
            </w:r>
          </w:p>
        </w:tc>
      </w:tr>
    </w:tbl>
    <w:p>
      <w:pPr>
        <w:spacing w:line="400" w:lineRule="exact"/>
        <w:ind w:firstLine="210" w:firstLineChars="100"/>
        <w:jc w:val="left"/>
        <w:rPr>
          <w:rFonts w:hint="eastAsia" w:ascii="Times New Roman" w:hAnsi="宋体" w:eastAsia="宋体" w:cs="Times New Roman"/>
          <w:b w:val="0"/>
          <w:bCs w:val="0"/>
          <w:color w:val="auto"/>
          <w:kern w:val="0"/>
          <w:sz w:val="21"/>
          <w:szCs w:val="21"/>
          <w:highlight w:val="none"/>
          <w:lang w:val="en-US" w:eastAsia="zh-CN" w:bidi="ar-SA"/>
        </w:rPr>
      </w:pPr>
      <w:r>
        <w:rPr>
          <w:rFonts w:hint="eastAsia" w:ascii="Times New Roman" w:hAnsi="宋体" w:eastAsia="宋体" w:cs="Times New Roman"/>
          <w:b w:val="0"/>
          <w:bCs w:val="0"/>
          <w:color w:val="auto"/>
          <w:kern w:val="0"/>
          <w:sz w:val="21"/>
          <w:szCs w:val="21"/>
          <w:highlight w:val="none"/>
          <w:lang w:val="en-US" w:eastAsia="zh-CN" w:bidi="ar-SA"/>
        </w:rPr>
        <w:t>注：1、提供营业执照复印件、保险许可证或经营保险业务许可证（若为分公司参与，还须提供加盖总公司公章的总公司营业执照复印件、授权委托书），并加盖报价人鲜章。</w:t>
      </w:r>
    </w:p>
    <w:p>
      <w:pPr>
        <w:spacing w:line="400" w:lineRule="exact"/>
        <w:ind w:firstLine="630" w:firstLineChars="300"/>
        <w:jc w:val="left"/>
        <w:rPr>
          <w:rFonts w:hint="default" w:ascii="Times New Roman" w:hAnsi="宋体" w:eastAsia="宋体" w:cs="Times New Roman"/>
          <w:b w:val="0"/>
          <w:bCs w:val="0"/>
          <w:color w:val="auto"/>
          <w:kern w:val="0"/>
          <w:sz w:val="21"/>
          <w:szCs w:val="21"/>
          <w:highlight w:val="none"/>
          <w:lang w:val="en-US" w:eastAsia="zh-CN" w:bidi="ar-SA"/>
        </w:rPr>
      </w:pPr>
      <w:r>
        <w:rPr>
          <w:rFonts w:hint="eastAsia" w:ascii="Times New Roman" w:hAnsi="宋体" w:eastAsia="宋体" w:cs="Times New Roman"/>
          <w:b w:val="0"/>
          <w:bCs w:val="0"/>
          <w:color w:val="auto"/>
          <w:kern w:val="0"/>
          <w:sz w:val="21"/>
          <w:szCs w:val="21"/>
          <w:highlight w:val="none"/>
          <w:lang w:val="en-US" w:eastAsia="zh-CN" w:bidi="ar-SA"/>
        </w:rPr>
        <w:t>2、提供2022年综合偿付能力充足率不低于200%</w:t>
      </w:r>
      <w:r>
        <w:rPr>
          <w:rFonts w:hint="eastAsia" w:hAnsi="宋体" w:cs="Times New Roman"/>
          <w:b w:val="0"/>
          <w:bCs w:val="0"/>
          <w:color w:val="auto"/>
          <w:kern w:val="0"/>
          <w:sz w:val="21"/>
          <w:szCs w:val="21"/>
          <w:highlight w:val="none"/>
          <w:lang w:val="en-US" w:eastAsia="zh-CN" w:bidi="ar-SA"/>
        </w:rPr>
        <w:t>的</w:t>
      </w:r>
      <w:r>
        <w:rPr>
          <w:rFonts w:hint="eastAsia" w:ascii="Times New Roman" w:hAnsi="宋体" w:eastAsia="宋体" w:cs="Times New Roman"/>
          <w:b w:val="0"/>
          <w:bCs w:val="0"/>
          <w:color w:val="auto"/>
          <w:kern w:val="0"/>
          <w:sz w:val="21"/>
          <w:szCs w:val="21"/>
          <w:highlight w:val="none"/>
          <w:lang w:val="en-US" w:eastAsia="zh-CN" w:bidi="ar-SA"/>
        </w:rPr>
        <w:t>相关证明文件。</w:t>
      </w:r>
    </w:p>
    <w:p>
      <w:pPr>
        <w:spacing w:line="400" w:lineRule="exact"/>
        <w:ind w:firstLine="630" w:firstLineChars="300"/>
        <w:jc w:val="left"/>
        <w:rPr>
          <w:rFonts w:hint="default" w:ascii="Times New Roman" w:hAnsi="宋体" w:eastAsia="宋体" w:cs="Times New Roman"/>
          <w:b w:val="0"/>
          <w:bCs w:val="0"/>
          <w:color w:val="auto"/>
          <w:kern w:val="0"/>
          <w:sz w:val="21"/>
          <w:szCs w:val="21"/>
          <w:highlight w:val="none"/>
          <w:lang w:val="en-US" w:eastAsia="zh-CN" w:bidi="ar-SA"/>
        </w:rPr>
      </w:pPr>
      <w:r>
        <w:rPr>
          <w:rFonts w:hint="eastAsia" w:hAnsi="宋体" w:cs="Times New Roman"/>
          <w:b w:val="0"/>
          <w:bCs w:val="0"/>
          <w:color w:val="auto"/>
          <w:kern w:val="0"/>
          <w:sz w:val="21"/>
          <w:szCs w:val="21"/>
          <w:highlight w:val="none"/>
          <w:lang w:val="en-US" w:eastAsia="zh-CN" w:bidi="ar-SA"/>
        </w:rPr>
        <w:t>3</w:t>
      </w:r>
      <w:r>
        <w:rPr>
          <w:rFonts w:hint="eastAsia" w:ascii="Times New Roman" w:hAnsi="宋体" w:eastAsia="宋体" w:cs="Times New Roman"/>
          <w:b w:val="0"/>
          <w:bCs w:val="0"/>
          <w:color w:val="auto"/>
          <w:kern w:val="0"/>
          <w:sz w:val="21"/>
          <w:szCs w:val="21"/>
          <w:highlight w:val="none"/>
          <w:lang w:val="en-US" w:eastAsia="zh-CN" w:bidi="ar-SA"/>
        </w:rPr>
        <w:t>、</w:t>
      </w:r>
      <w:r>
        <w:rPr>
          <w:rFonts w:hint="eastAsia" w:hAnsi="宋体" w:cs="Times New Roman"/>
          <w:b w:val="0"/>
          <w:bCs w:val="0"/>
          <w:color w:val="auto"/>
          <w:kern w:val="0"/>
          <w:sz w:val="21"/>
          <w:szCs w:val="21"/>
          <w:highlight w:val="none"/>
          <w:lang w:val="en-US" w:eastAsia="zh-CN" w:bidi="ar-SA"/>
        </w:rPr>
        <w:t>提供</w:t>
      </w:r>
      <w:r>
        <w:rPr>
          <w:rFonts w:hint="eastAsia" w:ascii="Times New Roman" w:hAnsi="宋体" w:eastAsia="宋体" w:cs="Times New Roman"/>
          <w:b w:val="0"/>
          <w:bCs w:val="0"/>
          <w:color w:val="auto"/>
          <w:kern w:val="0"/>
          <w:sz w:val="21"/>
          <w:szCs w:val="21"/>
          <w:highlight w:val="none"/>
          <w:lang w:val="en-US" w:eastAsia="zh-CN" w:bidi="ar-SA"/>
        </w:rPr>
        <w:t>2020年1月1日至报价截止日期（以合同签订时间为准），投标人至少具有1个单项工程投保额不少于3000万元的工程项目的建筑/安装工程一切险及第三者责任险保险项目（独立承保）的保险服务业绩，并加盖报价人公章。</w:t>
      </w:r>
    </w:p>
    <w:p>
      <w:pPr>
        <w:spacing w:line="400" w:lineRule="exact"/>
        <w:ind w:firstLine="630" w:firstLineChars="300"/>
        <w:jc w:val="left"/>
        <w:rPr>
          <w:rFonts w:hint="default" w:ascii="Times New Roman" w:hAnsi="宋体" w:eastAsia="宋体" w:cs="Times New Roman"/>
          <w:b w:val="0"/>
          <w:bCs w:val="0"/>
          <w:color w:val="auto"/>
          <w:kern w:val="0"/>
          <w:sz w:val="21"/>
          <w:szCs w:val="21"/>
          <w:highlight w:val="none"/>
          <w:lang w:val="en-US" w:eastAsia="zh-CN" w:bidi="ar-SA"/>
        </w:rPr>
      </w:pPr>
      <w:r>
        <w:rPr>
          <w:rFonts w:hint="eastAsia" w:hAnsi="宋体" w:cs="Times New Roman"/>
          <w:b w:val="0"/>
          <w:bCs w:val="0"/>
          <w:color w:val="auto"/>
          <w:kern w:val="0"/>
          <w:sz w:val="21"/>
          <w:szCs w:val="21"/>
          <w:highlight w:val="none"/>
          <w:lang w:val="en-US" w:eastAsia="zh-CN" w:bidi="ar-SA"/>
        </w:rPr>
        <w:t>3</w:t>
      </w:r>
      <w:r>
        <w:rPr>
          <w:rFonts w:hint="eastAsia" w:ascii="Times New Roman" w:hAnsi="宋体" w:eastAsia="宋体" w:cs="Times New Roman"/>
          <w:b w:val="0"/>
          <w:bCs w:val="0"/>
          <w:color w:val="auto"/>
          <w:kern w:val="0"/>
          <w:sz w:val="21"/>
          <w:szCs w:val="21"/>
          <w:highlight w:val="none"/>
          <w:lang w:val="en-US" w:eastAsia="zh-CN" w:bidi="ar-SA"/>
        </w:rPr>
        <w:t>、提供企业信用信息公示系统（http://www.gsxt.gov.cn/）中未被列入严重违法失信企业名单（黑名单）信息截图和在“信用中国”网站（http://www.creditchina.gov.cn/）中未被列入失信惩戒执行人名单</w:t>
      </w:r>
      <w:r>
        <w:rPr>
          <w:rFonts w:hint="eastAsia" w:hAnsi="宋体" w:cs="Times New Roman"/>
          <w:b w:val="0"/>
          <w:bCs w:val="0"/>
          <w:color w:val="auto"/>
          <w:kern w:val="0"/>
          <w:sz w:val="21"/>
          <w:szCs w:val="21"/>
          <w:highlight w:val="none"/>
          <w:lang w:val="en-US" w:eastAsia="zh-CN" w:bidi="ar-SA"/>
        </w:rPr>
        <w:t>，2020年1月1日起至投标截止日止在项目所在地未被中国银保监会、重庆银保监局因工程类保险服务受到行政处罚，或因投标人原因而使任何合同被解除；具有依法缴纳税金和社会保障基金的良好记录；无不良诉讼记录</w:t>
      </w:r>
      <w:r>
        <w:rPr>
          <w:rFonts w:hint="eastAsia" w:ascii="Times New Roman" w:hAnsi="宋体" w:eastAsia="宋体" w:cs="Times New Roman"/>
          <w:b w:val="0"/>
          <w:bCs w:val="0"/>
          <w:color w:val="auto"/>
          <w:kern w:val="0"/>
          <w:sz w:val="21"/>
          <w:szCs w:val="21"/>
          <w:highlight w:val="none"/>
          <w:lang w:val="en-US" w:eastAsia="zh-CN" w:bidi="ar-SA"/>
        </w:rPr>
        <w:t>截图信息并加盖鲜章。</w:t>
      </w:r>
    </w:p>
    <w:p>
      <w:pPr>
        <w:spacing w:line="440" w:lineRule="exact"/>
        <w:rPr>
          <w:rFonts w:ascii="宋体" w:hAnsi="宋体" w:cs="宋体"/>
        </w:rPr>
      </w:pPr>
    </w:p>
    <w:p>
      <w:pPr>
        <w:pStyle w:val="28"/>
        <w:rPr>
          <w:rFonts w:ascii="宋体" w:hAnsi="宋体" w:cs="宋体"/>
        </w:rPr>
      </w:pPr>
    </w:p>
    <w:p>
      <w:pPr>
        <w:pStyle w:val="28"/>
      </w:pPr>
    </w:p>
    <w:p>
      <w:pPr>
        <w:pStyle w:val="3"/>
        <w:numPr>
          <w:ilvl w:val="0"/>
          <w:numId w:val="4"/>
        </w:numPr>
        <w:spacing w:before="0" w:after="0" w:line="360" w:lineRule="auto"/>
        <w:jc w:val="center"/>
      </w:pPr>
      <w:bookmarkStart w:id="113" w:name="_Toc152045587"/>
      <w:bookmarkStart w:id="114" w:name="_Toc179632605"/>
      <w:bookmarkStart w:id="115" w:name="_Toc152042364"/>
      <w:bookmarkStart w:id="116" w:name="_Toc507319957"/>
      <w:bookmarkStart w:id="117" w:name="_Toc144974554"/>
      <w:bookmarkStart w:id="118" w:name="_Toc247085745"/>
      <w:bookmarkStart w:id="119" w:name="_Toc2000406"/>
      <w:bookmarkStart w:id="120" w:name="_Toc246996973"/>
      <w:bookmarkStart w:id="121" w:name="_Toc7682"/>
      <w:bookmarkStart w:id="122" w:name="_Toc246996230"/>
      <w:r>
        <w:rPr>
          <w:rFonts w:hint="eastAsia" w:ascii="宋体" w:hAnsi="宋体" w:cs="宋体"/>
        </w:rPr>
        <w:t>评标办法（经评审的最低投标价法）</w:t>
      </w:r>
      <w:bookmarkEnd w:id="113"/>
      <w:bookmarkEnd w:id="114"/>
      <w:bookmarkEnd w:id="115"/>
      <w:bookmarkEnd w:id="116"/>
      <w:bookmarkEnd w:id="117"/>
      <w:bookmarkEnd w:id="118"/>
      <w:bookmarkEnd w:id="119"/>
      <w:bookmarkEnd w:id="120"/>
      <w:bookmarkEnd w:id="121"/>
      <w:bookmarkEnd w:id="122"/>
    </w:p>
    <w:p/>
    <w:tbl>
      <w:tblPr>
        <w:tblStyle w:val="43"/>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color w:val="000000" w:themeColor="text1"/>
                <w14:textFill>
                  <w14:solidFill>
                    <w14:schemeClr w14:val="tx1"/>
                  </w14:solidFill>
                </w14:textFill>
              </w:rPr>
            </w:pPr>
            <w:r>
              <w:rPr>
                <w:b/>
                <w:color w:val="000000" w:themeColor="text1"/>
                <w14:textFill>
                  <w14:solidFill>
                    <w14:schemeClr w14:val="tx1"/>
                  </w14:solidFill>
                </w14:textFill>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000000" w:themeColor="text1"/>
                <w14:textFill>
                  <w14:solidFill>
                    <w14:schemeClr w14:val="tx1"/>
                  </w14:solidFill>
                </w14:textFill>
              </w:rPr>
            </w:pPr>
            <w:r>
              <w:rPr>
                <w:b/>
                <w:color w:val="000000" w:themeColor="text1"/>
                <w14:textFill>
                  <w14:solidFill>
                    <w14:schemeClr w14:val="tx1"/>
                  </w14:solidFill>
                </w14:textFill>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color w:val="000000" w:themeColor="text1"/>
                <w14:textFill>
                  <w14:solidFill>
                    <w14:schemeClr w14:val="tx1"/>
                  </w14:solidFill>
                </w14:textFill>
              </w:rPr>
            </w:pPr>
            <w:r>
              <w:rPr>
                <w:b/>
                <w:color w:val="000000" w:themeColor="text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中标候选人排序方法</w:t>
            </w:r>
          </w:p>
        </w:tc>
        <w:tc>
          <w:tcPr>
            <w:tcW w:w="5004" w:type="dxa"/>
            <w:tcBorders>
              <w:top w:val="single" w:color="auto" w:sz="4" w:space="0"/>
              <w:left w:val="single" w:color="auto" w:sz="4" w:space="0"/>
              <w:bottom w:val="single" w:color="auto" w:sz="4" w:space="0"/>
            </w:tcBorders>
          </w:tcPr>
          <w:p>
            <w:pPr>
              <w:spacing w:line="360" w:lineRule="auto"/>
              <w:ind w:firstLine="210" w:firstLineChars="100"/>
              <w:rPr>
                <w:color w:val="000000" w:themeColor="text1"/>
                <w14:textFill>
                  <w14:solidFill>
                    <w14:schemeClr w14:val="tx1"/>
                  </w14:solidFill>
                </w14:textFill>
              </w:rPr>
            </w:pPr>
            <w:r>
              <w:rPr>
                <w:color w:val="000000" w:themeColor="text1"/>
                <w:highlight w:val="none"/>
                <w14:textFill>
                  <w14:solidFill>
                    <w14:schemeClr w14:val="tx1"/>
                  </w14:solidFill>
                </w14:textFill>
              </w:rPr>
              <w:t>经评审的最低价，由低到高的顺序确定中标候选人。如出现报价相等时，评审小组按以下原则确定第一中标候选人</w:t>
            </w:r>
            <w:r>
              <w:rPr>
                <w:color w:val="000000" w:themeColor="text1"/>
                <w14:textFill>
                  <w14:solidFill>
                    <w14:schemeClr w14:val="tx1"/>
                  </w14:solidFill>
                </w14:textFill>
              </w:rPr>
              <w:t>，以最早提交报价文件的报价人为第一中标候选人；其他测按照最有利于业主的原则进行评标。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人名称</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符合第九章“</w:t>
            </w: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比选响应文件格式”的要求，字迹清晰可辨。</w:t>
            </w:r>
          </w:p>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函的所有数据均符合</w:t>
            </w:r>
            <w:r>
              <w:rPr>
                <w:rFonts w:hint="eastAsia"/>
                <w:color w:val="000000" w:themeColor="text1"/>
                <w14:textFill>
                  <w14:solidFill>
                    <w14:schemeClr w14:val="tx1"/>
                  </w14:solidFill>
                </w14:textFill>
              </w:rPr>
              <w:t>比选</w:t>
            </w:r>
            <w:r>
              <w:rPr>
                <w:color w:val="000000" w:themeColor="text1"/>
                <w14:textFill>
                  <w14:solidFill>
                    <w14:schemeClr w14:val="tx1"/>
                  </w14:solidFill>
                </w14:textFill>
              </w:rPr>
              <w:t>文件的规定；</w:t>
            </w:r>
          </w:p>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themeColor="text1"/>
                <w14:textFill>
                  <w14:solidFill>
                    <w14:schemeClr w14:val="tx1"/>
                  </w14:solidFill>
                </w14:textFill>
              </w:rPr>
            </w:pPr>
            <w:r>
              <w:rPr>
                <w:color w:val="000000" w:themeColor="text1"/>
                <w14:textFill>
                  <w14:solidFill>
                    <w14:schemeClr w14:val="tx1"/>
                  </w14:solidFill>
                </w14:textFill>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color w:val="000000" w:themeColor="text1"/>
                <w14:textFill>
                  <w14:solidFill>
                    <w14:schemeClr w14:val="tx1"/>
                  </w14:solidFill>
                </w14:textFill>
              </w:rPr>
            </w:pPr>
            <w:r>
              <w:rPr>
                <w:color w:val="000000" w:themeColor="text1"/>
                <w14:textFill>
                  <w14:solidFill>
                    <w14:schemeClr w14:val="tx1"/>
                  </w14:solidFill>
                </w14:textFill>
              </w:rPr>
              <w:t>符合第五章“工程量清单”给出的范围及数量</w:t>
            </w: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themeColor="text1"/>
                <w14:textFill>
                  <w14:solidFill>
                    <w14:schemeClr w14:val="tx1"/>
                  </w14:solidFill>
                </w14:textFill>
              </w:rPr>
            </w:pPr>
            <w:r>
              <w:rPr>
                <w:color w:val="000000" w:themeColor="text1"/>
                <w14:textFill>
                  <w14:solidFill>
                    <w14:schemeClr w14:val="tx1"/>
                  </w14:solidFill>
                </w14:textFill>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比选响应文件报价表中的报价与</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比选响应文件正本中法定代表人或授权代理人签署姓名齐全，符合</w:t>
            </w:r>
            <w:r>
              <w:rPr>
                <w:rFonts w:hint="eastAsia"/>
                <w:color w:val="000000" w:themeColor="text1"/>
                <w14:textFill>
                  <w14:solidFill>
                    <w14:schemeClr w14:val="tx1"/>
                  </w14:solidFill>
                </w14:textFill>
              </w:rPr>
              <w:t>比选</w:t>
            </w:r>
            <w:r>
              <w:rPr>
                <w:color w:val="000000" w:themeColor="text1"/>
                <w14:textFill>
                  <w14:solidFill>
                    <w14:schemeClr w14:val="tx1"/>
                  </w14:solidFill>
                </w14:textFill>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其它材料</w:t>
            </w:r>
          </w:p>
        </w:tc>
        <w:tc>
          <w:tcPr>
            <w:tcW w:w="5004" w:type="dxa"/>
            <w:tcBorders>
              <w:top w:val="single" w:color="auto" w:sz="4" w:space="0"/>
              <w:left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单位负责人为同一人或者存在控股、管理关系的不同单位，不得同时参加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，否则相关</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资质要求</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业绩要求</w:t>
            </w:r>
          </w:p>
        </w:tc>
        <w:tc>
          <w:tcPr>
            <w:tcW w:w="5004" w:type="dxa"/>
            <w:tcBorders>
              <w:top w:val="single" w:color="auto" w:sz="4" w:space="0"/>
              <w:left w:val="single" w:color="auto" w:sz="4" w:space="0"/>
              <w:bottom w:val="single" w:color="auto" w:sz="4" w:space="0"/>
            </w:tcBorders>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项目主要管理人员</w:t>
            </w:r>
            <w:r>
              <w:rPr>
                <w:color w:val="000000" w:themeColor="text1"/>
                <w14:textFill>
                  <w14:solidFill>
                    <w14:schemeClr w14:val="tx1"/>
                  </w14:solidFill>
                </w14:textFill>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人须知”前附表附录</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其他人员最低要求</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人须知”前附表附录</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kern w:val="1"/>
                <w14:textFill>
                  <w14:solidFill>
                    <w14:schemeClr w14:val="tx1"/>
                  </w14:solidFill>
                </w14:textFill>
              </w:rPr>
            </w:pPr>
            <w:r>
              <w:rPr>
                <w:color w:val="000000" w:themeColor="text1"/>
                <w:kern w:val="1"/>
                <w14:textFill>
                  <w14:solidFill>
                    <w14:schemeClr w14:val="tx1"/>
                  </w14:solidFill>
                </w14:textFill>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人须知”前附表附录</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报价</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符合比选文件给出的范围及数量，且报价不得超过</w:t>
            </w:r>
            <w:r>
              <w:rPr>
                <w:rFonts w:hint="eastAsia"/>
                <w:color w:val="000000" w:themeColor="text1"/>
                <w14:textFill>
                  <w14:solidFill>
                    <w14:schemeClr w14:val="tx1"/>
                  </w14:solidFill>
                </w14:textFill>
              </w:rPr>
              <w:t>采购人</w:t>
            </w:r>
            <w:r>
              <w:rPr>
                <w:color w:val="000000" w:themeColor="text1"/>
                <w14:textFill>
                  <w14:solidFill>
                    <w14:schemeClr w14:val="tx1"/>
                  </w14:solidFill>
                </w14:textFill>
              </w:rPr>
              <w:t>公布的最高限价，但也不得低于</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工期</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补充细化：</w:t>
            </w:r>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本项目评标采用经评审的最低投标价法，对通过初步评审、详细评审的</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人按照</w:t>
            </w:r>
            <w:r>
              <w:rPr>
                <w:rFonts w:hint="eastAsia"/>
                <w:color w:val="000000" w:themeColor="text1"/>
                <w14:textFill>
                  <w14:solidFill>
                    <w14:schemeClr w14:val="tx1"/>
                  </w14:solidFill>
                </w14:textFill>
              </w:rPr>
              <w:t>报</w:t>
            </w:r>
            <w:r>
              <w:rPr>
                <w:color w:val="000000" w:themeColor="text1"/>
                <w14:textFill>
                  <w14:solidFill>
                    <w14:schemeClr w14:val="tx1"/>
                  </w14:solidFill>
                </w14:textFill>
              </w:rPr>
              <w:t>价从低到高的先后顺序，推荐</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名中标候选人。</w:t>
            </w:r>
          </w:p>
        </w:tc>
      </w:tr>
    </w:tbl>
    <w:p>
      <w:pPr>
        <w:jc w:val="left"/>
        <w:rPr>
          <w:rFonts w:ascii="宋体" w:hAnsi="宋体" w:cs="宋体"/>
          <w:szCs w:val="21"/>
          <w:lang w:bidi="ar"/>
        </w:rPr>
      </w:pPr>
    </w:p>
    <w:p>
      <w:pPr>
        <w:pStyle w:val="2"/>
        <w:spacing w:before="76" w:line="355" w:lineRule="auto"/>
        <w:ind w:firstLine="420"/>
        <w:jc w:val="center"/>
        <w:rPr>
          <w:rStyle w:val="82"/>
          <w:rFonts w:hint="eastAsia"/>
          <w:b/>
          <w:bCs/>
        </w:rPr>
      </w:pPr>
      <w:bookmarkStart w:id="123" w:name="_Toc13787"/>
    </w:p>
    <w:p>
      <w:pPr>
        <w:pStyle w:val="2"/>
        <w:spacing w:before="76" w:line="355" w:lineRule="auto"/>
        <w:ind w:firstLine="420"/>
        <w:jc w:val="center"/>
        <w:rPr>
          <w:rStyle w:val="82"/>
          <w:rFonts w:hint="eastAsia"/>
          <w:b/>
          <w:bCs/>
        </w:rPr>
      </w:pPr>
    </w:p>
    <w:p>
      <w:pPr>
        <w:pStyle w:val="2"/>
        <w:spacing w:before="76" w:line="355" w:lineRule="auto"/>
        <w:ind w:firstLine="420"/>
        <w:jc w:val="center"/>
        <w:rPr>
          <w:rStyle w:val="82"/>
          <w:rFonts w:hint="eastAsia"/>
          <w:b/>
          <w:bCs/>
        </w:rPr>
      </w:pPr>
    </w:p>
    <w:p>
      <w:pPr>
        <w:pStyle w:val="2"/>
        <w:spacing w:before="76" w:line="355" w:lineRule="auto"/>
        <w:ind w:firstLine="420"/>
        <w:jc w:val="center"/>
        <w:rPr>
          <w:rStyle w:val="82"/>
          <w:rFonts w:hint="eastAsia"/>
          <w:b/>
          <w:bCs/>
        </w:rPr>
      </w:pPr>
    </w:p>
    <w:p>
      <w:pPr>
        <w:pStyle w:val="2"/>
        <w:spacing w:before="76" w:line="355" w:lineRule="auto"/>
        <w:ind w:firstLine="420"/>
        <w:jc w:val="center"/>
        <w:rPr>
          <w:rStyle w:val="82"/>
          <w:rFonts w:hint="eastAsia"/>
          <w:b/>
          <w:bCs/>
        </w:rPr>
      </w:pPr>
    </w:p>
    <w:p>
      <w:pPr>
        <w:pStyle w:val="2"/>
        <w:spacing w:before="76" w:line="355" w:lineRule="auto"/>
        <w:ind w:firstLine="420"/>
        <w:jc w:val="center"/>
        <w:rPr>
          <w:rStyle w:val="82"/>
          <w:rFonts w:hint="eastAsia"/>
          <w:b/>
          <w:bCs/>
        </w:rPr>
      </w:pPr>
    </w:p>
    <w:p>
      <w:pPr>
        <w:pStyle w:val="2"/>
        <w:spacing w:before="76" w:line="355" w:lineRule="auto"/>
        <w:ind w:firstLine="420"/>
        <w:jc w:val="center"/>
        <w:rPr>
          <w:rStyle w:val="82"/>
          <w:rFonts w:hint="eastAsia"/>
          <w:b/>
          <w:bCs/>
        </w:rPr>
      </w:pPr>
    </w:p>
    <w:p>
      <w:pPr>
        <w:pStyle w:val="2"/>
        <w:spacing w:before="76" w:line="355" w:lineRule="auto"/>
        <w:ind w:firstLine="420"/>
        <w:jc w:val="center"/>
        <w:rPr>
          <w:rStyle w:val="82"/>
          <w:rFonts w:hint="eastAsia"/>
          <w:b/>
          <w:bCs/>
        </w:rPr>
      </w:pPr>
    </w:p>
    <w:p>
      <w:pPr>
        <w:pStyle w:val="2"/>
        <w:spacing w:before="76" w:line="355" w:lineRule="auto"/>
        <w:ind w:firstLine="420"/>
        <w:jc w:val="center"/>
        <w:rPr>
          <w:rStyle w:val="82"/>
          <w:rFonts w:hint="eastAsia"/>
          <w:b/>
          <w:bCs/>
        </w:rPr>
      </w:pPr>
    </w:p>
    <w:p>
      <w:pPr>
        <w:pStyle w:val="2"/>
        <w:spacing w:before="76" w:line="355" w:lineRule="auto"/>
        <w:ind w:firstLine="420"/>
        <w:jc w:val="center"/>
        <w:rPr>
          <w:rStyle w:val="82"/>
          <w:rFonts w:hint="eastAsia"/>
          <w:b/>
          <w:bCs/>
        </w:rPr>
      </w:pPr>
    </w:p>
    <w:p>
      <w:pPr>
        <w:pStyle w:val="2"/>
        <w:spacing w:before="76" w:line="355" w:lineRule="auto"/>
        <w:ind w:firstLine="420"/>
        <w:jc w:val="center"/>
        <w:rPr>
          <w:rStyle w:val="82"/>
          <w:rFonts w:hint="eastAsia"/>
          <w:b/>
          <w:bCs/>
        </w:rPr>
      </w:pPr>
    </w:p>
    <w:p>
      <w:pPr>
        <w:pStyle w:val="2"/>
        <w:spacing w:before="76" w:line="355" w:lineRule="auto"/>
        <w:ind w:firstLine="420"/>
        <w:jc w:val="center"/>
      </w:pPr>
      <w:r>
        <w:rPr>
          <w:rStyle w:val="82"/>
          <w:rFonts w:hint="eastAsia"/>
          <w:b/>
          <w:bCs/>
        </w:rPr>
        <w:t>第四章 报价说明</w:t>
      </w:r>
      <w:bookmarkEnd w:id="123"/>
    </w:p>
    <w:p>
      <w:pPr>
        <w:pStyle w:val="28"/>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aps w:val="0"/>
          <w:color w:val="000000" w:themeColor="text1"/>
          <w:kern w:val="2"/>
          <w:sz w:val="21"/>
          <w:szCs w:val="24"/>
          <w:lang w:val="en-US" w:eastAsia="zh-CN" w:bidi="ar-SA"/>
          <w14:textFill>
            <w14:solidFill>
              <w14:schemeClr w14:val="tx1"/>
            </w14:solidFill>
          </w14:textFill>
        </w:rPr>
      </w:pPr>
      <w:bookmarkStart w:id="124" w:name="_Toc179632806"/>
      <w:bookmarkStart w:id="125" w:name="_Toc144974855"/>
      <w:bookmarkStart w:id="126" w:name="_Toc247085872"/>
      <w:bookmarkStart w:id="127" w:name="_Toc246996354"/>
      <w:bookmarkStart w:id="128" w:name="_Toc152045786"/>
      <w:bookmarkStart w:id="129" w:name="_Toc246997097"/>
      <w:bookmarkStart w:id="130" w:name="_Toc152042575"/>
      <w:r>
        <w:rPr>
          <w:rFonts w:hint="eastAsia" w:ascii="Times New Roman" w:hAnsi="Times New Roman" w:eastAsia="宋体" w:cs="Times New Roman"/>
          <w:b w:val="0"/>
          <w:bCs w:val="0"/>
          <w:caps w:val="0"/>
          <w:color w:val="000000" w:themeColor="text1"/>
          <w:kern w:val="2"/>
          <w:sz w:val="21"/>
          <w:szCs w:val="24"/>
          <w:lang w:val="en-US" w:eastAsia="zh-CN" w:bidi="ar-SA"/>
          <w14:textFill>
            <w14:solidFill>
              <w14:schemeClr w14:val="tx1"/>
            </w14:solidFill>
          </w14:textFill>
        </w:rPr>
        <w:t>1、本次报价须为人民币报价，包含但不限于完成本项目所需的员工工资、社会保险（五险）、劳保福利、税费、加班费、配送费、交通费、节假日慰问费等所有服务产生的一切费用（报价人若有漏项，则被认为此项费用已包含在总报价中）。因中标人自身原因造成漏报、少报皆由其自行承担责任，</w:t>
      </w:r>
      <w:r>
        <w:rPr>
          <w:rFonts w:hint="eastAsia" w:ascii="Times New Roman" w:hAnsi="Times New Roman" w:cs="Times New Roman"/>
          <w:b w:val="0"/>
          <w:bCs w:val="0"/>
          <w:caps w:val="0"/>
          <w:color w:val="000000" w:themeColor="text1"/>
          <w:kern w:val="2"/>
          <w:sz w:val="21"/>
          <w:szCs w:val="24"/>
          <w:lang w:val="en-US" w:eastAsia="zh-CN" w:bidi="ar-SA"/>
          <w14:textFill>
            <w14:solidFill>
              <w14:schemeClr w14:val="tx1"/>
            </w14:solidFill>
          </w14:textFill>
        </w:rPr>
        <w:t>采购人</w:t>
      </w:r>
      <w:r>
        <w:rPr>
          <w:rFonts w:hint="eastAsia" w:ascii="Times New Roman" w:hAnsi="Times New Roman" w:eastAsia="宋体" w:cs="Times New Roman"/>
          <w:b w:val="0"/>
          <w:bCs w:val="0"/>
          <w:caps w:val="0"/>
          <w:color w:val="000000" w:themeColor="text1"/>
          <w:kern w:val="2"/>
          <w:sz w:val="21"/>
          <w:szCs w:val="24"/>
          <w:lang w:val="en-US" w:eastAsia="zh-CN" w:bidi="ar-SA"/>
          <w14:textFill>
            <w14:solidFill>
              <w14:schemeClr w14:val="tx1"/>
            </w14:solidFill>
          </w14:textFill>
        </w:rPr>
        <w:t>不再补偿。</w:t>
      </w:r>
    </w:p>
    <w:p>
      <w:pPr>
        <w:pStyle w:val="28"/>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ap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b w:val="0"/>
          <w:bCs w:val="0"/>
          <w:caps w:val="0"/>
          <w:color w:val="000000" w:themeColor="text1"/>
          <w:kern w:val="2"/>
          <w:sz w:val="21"/>
          <w:szCs w:val="24"/>
          <w:lang w:val="en-US" w:eastAsia="zh-CN" w:bidi="ar-SA"/>
          <w14:textFill>
            <w14:solidFill>
              <w14:schemeClr w14:val="tx1"/>
            </w14:solidFill>
          </w14:textFill>
        </w:rPr>
        <w:t>2、报价人在分项报价表中填报的综合单价承包到现场所产生的路费、差旅费等。</w:t>
      </w:r>
    </w:p>
    <w:p>
      <w:pPr>
        <w:pStyle w:val="28"/>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ap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b w:val="0"/>
          <w:bCs w:val="0"/>
          <w:caps w:val="0"/>
          <w:color w:val="000000" w:themeColor="text1"/>
          <w:kern w:val="2"/>
          <w:sz w:val="21"/>
          <w:szCs w:val="24"/>
          <w:lang w:val="en-US" w:eastAsia="zh-CN" w:bidi="ar-SA"/>
          <w14:textFill>
            <w14:solidFill>
              <w14:schemeClr w14:val="tx1"/>
            </w14:solidFill>
          </w14:textFill>
        </w:rPr>
        <w:t>3、报价有算术错误的，评审小组按以下原则对报价进行修正，修正的价格经报价人书面确认后具有约束力。报价人不接受修正价格的，其报价应当予以否决。</w:t>
      </w:r>
    </w:p>
    <w:p>
      <w:pPr>
        <w:pStyle w:val="28"/>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ap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b w:val="0"/>
          <w:bCs w:val="0"/>
          <w:caps w:val="0"/>
          <w:color w:val="000000" w:themeColor="text1"/>
          <w:kern w:val="2"/>
          <w:sz w:val="21"/>
          <w:szCs w:val="24"/>
          <w:lang w:val="en-US" w:eastAsia="zh-CN" w:bidi="ar-SA"/>
          <w14:textFill>
            <w14:solidFill>
              <w14:schemeClr w14:val="tx1"/>
            </w14:solidFill>
          </w14:textFill>
        </w:rPr>
        <w:t>①竞争性比选响应文件中的大写金额与小写金额不一致的，以大写金额为准；</w:t>
      </w:r>
    </w:p>
    <w:p>
      <w:pPr>
        <w:pStyle w:val="28"/>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ap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b w:val="0"/>
          <w:bCs w:val="0"/>
          <w:caps w:val="0"/>
          <w:color w:val="000000" w:themeColor="text1"/>
          <w:kern w:val="2"/>
          <w:sz w:val="21"/>
          <w:szCs w:val="24"/>
          <w:lang w:val="en-US" w:eastAsia="zh-CN" w:bidi="ar-SA"/>
          <w14:textFill>
            <w14:solidFill>
              <w14:schemeClr w14:val="tx1"/>
            </w14:solidFill>
          </w14:textFill>
        </w:rPr>
        <w:t>②总价金额与依据单价计算出的结果不一致的，以单价金额为准修正总价，但单价金额小数点有明显错误的除外。</w:t>
      </w:r>
    </w:p>
    <w:p>
      <w:pPr>
        <w:pStyle w:val="28"/>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ap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b w:val="0"/>
          <w:bCs w:val="0"/>
          <w:caps w:val="0"/>
          <w:color w:val="000000" w:themeColor="text1"/>
          <w:kern w:val="2"/>
          <w:sz w:val="21"/>
          <w:szCs w:val="24"/>
          <w:lang w:val="en-US" w:eastAsia="zh-CN" w:bidi="ar-SA"/>
          <w14:textFill>
            <w14:solidFill>
              <w14:schemeClr w14:val="tx1"/>
            </w14:solidFill>
          </w14:textFill>
        </w:rPr>
        <w:t>4、实际采购数量以采购人最终需求数量为准，报价清单中单价在合同执行过程中保持固定不变，报价人不得以实际采购数量的变化提出调整合同单价。</w:t>
      </w:r>
    </w:p>
    <w:p>
      <w:pPr>
        <w:pStyle w:val="28"/>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ap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b w:val="0"/>
          <w:bCs w:val="0"/>
          <w:caps w:val="0"/>
          <w:color w:val="000000" w:themeColor="text1"/>
          <w:kern w:val="2"/>
          <w:sz w:val="21"/>
          <w:szCs w:val="24"/>
          <w:lang w:val="en-US" w:eastAsia="zh-CN" w:bidi="ar-SA"/>
          <w14:textFill>
            <w14:solidFill>
              <w14:schemeClr w14:val="tx1"/>
            </w14:solidFill>
          </w14:textFill>
        </w:rPr>
        <w:t>5、报价清单中各项金额均以人民币（元）结算。</w:t>
      </w:r>
    </w:p>
    <w:p>
      <w:pPr>
        <w:pStyle w:val="28"/>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eastAsia="宋体" w:cs="Times New Roman"/>
          <w:b w:val="0"/>
          <w:bCs w:val="0"/>
          <w:caps w:val="0"/>
          <w:color w:val="000000" w:themeColor="text1"/>
          <w:kern w:val="2"/>
          <w:sz w:val="21"/>
          <w:szCs w:val="24"/>
          <w:lang w:val="en-US" w:eastAsia="zh-CN" w:bidi="ar-SA"/>
          <w14:textFill>
            <w14:solidFill>
              <w14:schemeClr w14:val="tx1"/>
            </w14:solidFill>
          </w14:textFill>
        </w:rPr>
        <w:sectPr>
          <w:footerReference r:id="rId8" w:type="default"/>
          <w:pgSz w:w="11906" w:h="16838"/>
          <w:pgMar w:top="1440" w:right="1800" w:bottom="1440" w:left="1800" w:header="851" w:footer="992" w:gutter="0"/>
          <w:cols w:space="720" w:num="1"/>
          <w:titlePg/>
          <w:docGrid w:type="lines" w:linePitch="312" w:charSpace="0"/>
        </w:sectPr>
      </w:pPr>
      <w:r>
        <w:rPr>
          <w:rFonts w:hint="eastAsia" w:ascii="Times New Roman" w:hAnsi="Times New Roman" w:eastAsia="宋体" w:cs="Times New Roman"/>
          <w:b w:val="0"/>
          <w:bCs w:val="0"/>
          <w:caps w:val="0"/>
          <w:color w:val="000000" w:themeColor="text1"/>
          <w:kern w:val="2"/>
          <w:sz w:val="21"/>
          <w:szCs w:val="24"/>
          <w:lang w:val="en-US" w:eastAsia="zh-CN" w:bidi="ar-SA"/>
          <w14:textFill>
            <w14:solidFill>
              <w14:schemeClr w14:val="tx1"/>
            </w14:solidFill>
          </w14:textFill>
        </w:rPr>
        <w:t>6、需缴纳的一切税费均由报价单位承担，所有税费均由服务单位。</w:t>
      </w:r>
    </w:p>
    <w:p>
      <w:pPr>
        <w:pStyle w:val="3"/>
        <w:spacing w:before="0" w:after="0" w:line="360" w:lineRule="auto"/>
        <w:jc w:val="center"/>
        <w:rPr>
          <w:rFonts w:ascii="宋体" w:hAnsi="宋体" w:cs="宋体"/>
        </w:rPr>
      </w:pPr>
      <w:bookmarkStart w:id="131" w:name="_Toc179632789"/>
      <w:bookmarkStart w:id="132" w:name="_Toc144974834"/>
      <w:bookmarkStart w:id="133" w:name="_Toc247085855"/>
      <w:bookmarkStart w:id="134" w:name="_Toc152045772"/>
      <w:bookmarkStart w:id="135" w:name="_Toc24503"/>
      <w:bookmarkStart w:id="136" w:name="_Toc152042554"/>
      <w:bookmarkStart w:id="137" w:name="_Toc2000409"/>
      <w:bookmarkStart w:id="138" w:name="_Toc246996340"/>
      <w:bookmarkStart w:id="139" w:name="_Toc514858705"/>
      <w:bookmarkStart w:id="140" w:name="_Toc246997083"/>
      <w:r>
        <w:rPr>
          <w:rFonts w:hint="eastAsia" w:ascii="宋体" w:hAnsi="宋体" w:cs="宋体"/>
        </w:rPr>
        <w:t>第五章  工程量清单</w:t>
      </w:r>
      <w:bookmarkEnd w:id="131"/>
      <w:bookmarkEnd w:id="132"/>
      <w:bookmarkEnd w:id="133"/>
      <w:bookmarkEnd w:id="134"/>
      <w:bookmarkEnd w:id="135"/>
      <w:bookmarkEnd w:id="136"/>
      <w:bookmarkEnd w:id="137"/>
      <w:bookmarkEnd w:id="138"/>
      <w:bookmarkEnd w:id="139"/>
      <w:bookmarkEnd w:id="140"/>
    </w:p>
    <w:p>
      <w:pPr>
        <w:ind w:firstLine="420"/>
        <w:jc w:val="left"/>
        <w:rPr>
          <w:rFonts w:ascii="宋体" w:hAnsi="宋体" w:cs="宋体"/>
          <w:b/>
        </w:rPr>
      </w:pPr>
      <w:bookmarkStart w:id="141" w:name="_Toc144974851"/>
      <w:bookmarkStart w:id="142" w:name="_Toc152045782"/>
      <w:bookmarkStart w:id="143" w:name="_Toc246996350"/>
      <w:bookmarkStart w:id="144" w:name="_Toc247085866"/>
      <w:bookmarkStart w:id="145" w:name="_Toc152042571"/>
      <w:bookmarkStart w:id="146" w:name="_Toc247096438"/>
      <w:bookmarkStart w:id="147" w:name="_Toc179632800"/>
      <w:bookmarkStart w:id="148" w:name="_Toc246997093"/>
    </w:p>
    <w:p>
      <w:pPr>
        <w:pageBreakBefore w:val="0"/>
        <w:kinsoku/>
        <w:overflowPunct/>
        <w:bidi w:val="0"/>
        <w:spacing w:beforeAutospacing="0" w:afterAutospacing="0" w:line="360" w:lineRule="auto"/>
        <w:ind w:right="0"/>
        <w:jc w:val="center"/>
        <w:rPr>
          <w:rFonts w:hint="eastAsia" w:ascii="宋体" w:hAnsi="宋体" w:eastAsia="宋体" w:cs="宋体"/>
          <w:b/>
          <w:sz w:val="32"/>
          <w:szCs w:val="32"/>
          <w:lang w:val="en-US" w:eastAsia="zh-CN"/>
        </w:rPr>
      </w:pPr>
      <w:bookmarkStart w:id="149" w:name="_Toc447827048"/>
      <w:bookmarkStart w:id="150" w:name="_Toc503951042"/>
      <w:bookmarkStart w:id="151" w:name="_Toc12440"/>
      <w:bookmarkStart w:id="152" w:name="_Toc2000410"/>
      <w:bookmarkStart w:id="153" w:name="_Toc514858706"/>
      <w:bookmarkStart w:id="154" w:name="_Toc513633963"/>
      <w:r>
        <w:rPr>
          <w:rFonts w:hint="eastAsia" w:ascii="宋体" w:hAnsi="宋体" w:eastAsia="宋体" w:cs="宋体"/>
          <w:b/>
          <w:sz w:val="32"/>
          <w:szCs w:val="32"/>
          <w:lang w:val="en-US" w:eastAsia="zh-CN"/>
        </w:rPr>
        <w:t>建筑/安工程一切险及第三者责任险</w:t>
      </w:r>
    </w:p>
    <w:p>
      <w:pPr>
        <w:pStyle w:val="41"/>
        <w:rPr>
          <w:rFonts w:hint="eastAsia"/>
        </w:rPr>
      </w:pPr>
    </w:p>
    <w:tbl>
      <w:tblPr>
        <w:tblStyle w:val="43"/>
        <w:tblpPr w:leftFromText="180" w:rightFromText="180" w:vertAnchor="text" w:horzAnchor="page" w:tblpX="1622" w:tblpY="154"/>
        <w:tblOverlap w:val="never"/>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6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20" w:type="dxa"/>
            <w:gridSpan w:val="2"/>
            <w:noWrap w:val="0"/>
            <w:vAlign w:val="center"/>
          </w:tcPr>
          <w:p>
            <w:pPr>
              <w:keepNext w:val="0"/>
              <w:keepLines w:val="0"/>
              <w:pageBreakBefore w:val="0"/>
              <w:kinsoku/>
              <w:wordWrap/>
              <w:overflowPunct/>
              <w:topLinePunct w:val="0"/>
              <w:autoSpaceDE/>
              <w:autoSpaceDN/>
              <w:bidi w:val="0"/>
              <w:spacing w:beforeAutospacing="0" w:afterAutospacing="0" w:line="360" w:lineRule="auto"/>
              <w:ind w:left="0" w:leftChars="0" w:right="0" w:firstLine="0" w:firstLineChars="0"/>
              <w:jc w:val="both"/>
              <w:rPr>
                <w:rFonts w:hint="eastAsia" w:ascii="宋体" w:hAnsi="宋体" w:eastAsia="宋体" w:cs="宋体"/>
                <w:sz w:val="24"/>
                <w:szCs w:val="24"/>
                <w:lang w:val="en-US" w:eastAsia="zh-CN"/>
              </w:rPr>
            </w:pPr>
            <w:r>
              <w:rPr>
                <w:rFonts w:hint="eastAsia" w:ascii="宋体" w:hAnsi="宋体" w:eastAsia="宋体" w:cs="宋体"/>
                <w:b/>
                <w:sz w:val="24"/>
                <w:szCs w:val="24"/>
              </w:rPr>
              <w:t>一、</w:t>
            </w:r>
            <w:r>
              <w:rPr>
                <w:rFonts w:hint="eastAsia" w:ascii="宋体" w:hAnsi="宋体" w:eastAsia="宋体" w:cs="宋体"/>
                <w:b/>
                <w:bCs/>
                <w:color w:val="000000"/>
                <w:sz w:val="24"/>
                <w:szCs w:val="24"/>
                <w:lang w:eastAsia="zh-CN"/>
              </w:rPr>
              <w:t>采购人</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重庆首讯科技股份有限公司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0" w:type="dxa"/>
            <w:noWrap w:val="0"/>
            <w:vAlign w:val="center"/>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二、被保险人：</w:t>
            </w:r>
          </w:p>
        </w:tc>
        <w:tc>
          <w:tcPr>
            <w:tcW w:w="6860" w:type="dxa"/>
            <w:noWrap w:val="0"/>
            <w:vAlign w:val="top"/>
          </w:tcPr>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1.施工单位：重庆首讯科技股份有限公司</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与施工单位建立合同关系的所有直接/间接专业承包商和/或任何分包商和供应商、项目业主、勘察设计单位、监测单位、质量检查单位、审计单位、设计及设计审查单位、工程管理单位、监理单位、咨询公司、顾问公司等相关利益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noWrap w:val="0"/>
            <w:vAlign w:val="center"/>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三、保险范围：</w:t>
            </w:r>
          </w:p>
        </w:tc>
        <w:tc>
          <w:tcPr>
            <w:tcW w:w="6860" w:type="dxa"/>
            <w:noWrap w:val="0"/>
            <w:vAlign w:val="top"/>
          </w:tcPr>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1.地域范围：该工程项目建设范围及相关施工区域</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保险标的范围：工程所在地及邻近区域（包括但不限于工程沿线永久工程所在地、及为实施施工专用施工区域/水域、材料预制构件基地、程设备及材料运达、存放场所以及其他临时工程、临时建筑、临时设施所在地），以及国内工程物资供应地至工地或指定仓库、工地外仓库或料场至工地等内陆运输途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0" w:type="dxa"/>
            <w:gridSpan w:val="2"/>
            <w:noWrap w:val="0"/>
            <w:vAlign w:val="top"/>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rPr>
                <w:rFonts w:hint="eastAsia" w:asciiTheme="minorEastAsia" w:hAnsiTheme="minorEastAsia" w:eastAsiaTheme="minorEastAsia" w:cstheme="minorEastAsia"/>
                <w:b/>
                <w:sz w:val="21"/>
                <w:szCs w:val="21"/>
              </w:rPr>
            </w:pPr>
            <w:r>
              <w:rPr>
                <w:rFonts w:hint="eastAsia" w:ascii="宋体" w:hAnsi="宋体" w:eastAsia="宋体" w:cs="宋体"/>
                <w:b/>
                <w:sz w:val="21"/>
                <w:szCs w:val="21"/>
                <w:lang w:val="en-US" w:eastAsia="zh-CN"/>
              </w:rPr>
              <w:t>四、保险项目及保险金额/赔偿限额：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noWrap w:val="0"/>
            <w:vAlign w:val="center"/>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第一部分：物质损失部分</w:t>
            </w:r>
          </w:p>
        </w:tc>
        <w:tc>
          <w:tcPr>
            <w:tcW w:w="6860" w:type="dxa"/>
            <w:noWrap w:val="0"/>
            <w:vAlign w:val="top"/>
          </w:tcPr>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（1）物质损失部分：保险金额以实际工程合同造价为准；</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梁开高速（重庆段）第二总承包部机电工程项目：暂定保险金额：工程造价41439387.00元，物质损失部分,以实际工程合同造价为准。如实际工程造价相比于投保金额浮动在+/-10%(含)以内的，保险费不必多退少补；实际工程造价浮动超出10%(不含)以上的，则对超出10%（不含）的部分工程量按保险费率对保险费实行多退少补。</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实际工程合同造价是指：工程量清单第100章（不含建筑工程一切险及第三方责任险的保险费）至第700章的合计金额。</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特殊风险赔偿限额（地震）：保险金额的80%</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Theme="minorEastAsia" w:hAnsiTheme="minorEastAsia" w:eastAsiaTheme="minorEastAsia" w:cstheme="minorEastAsia"/>
                <w:sz w:val="21"/>
                <w:szCs w:val="21"/>
              </w:rPr>
            </w:pPr>
            <w:r>
              <w:rPr>
                <w:rFonts w:hint="eastAsia" w:ascii="宋体" w:hAnsi="宋体" w:eastAsia="宋体" w:cs="宋体"/>
                <w:b/>
                <w:bCs/>
                <w:sz w:val="21"/>
                <w:szCs w:val="21"/>
                <w:lang w:val="en-US" w:eastAsia="zh-CN"/>
              </w:rPr>
              <w:t>盗抢险每次事故赔偿限额RMB 500000.00元，累计赔偿限额RMB3000000.00元。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noWrap w:val="0"/>
            <w:vAlign w:val="center"/>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第二部分：第三者责任部分</w:t>
            </w:r>
          </w:p>
        </w:tc>
        <w:tc>
          <w:tcPr>
            <w:tcW w:w="6860" w:type="dxa"/>
            <w:noWrap w:val="0"/>
            <w:vAlign w:val="top"/>
          </w:tcPr>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1.每次事故赔偿限额：500万（包括财产损失、人身伤亡以及诉讼费用）；累计责任限额：2000万元人民币,</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2.第三者责任保险分项赔偿限额为：每次意外事故每人人身伤的赔偿限额为100万元人民币</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3.每次事故人身损失赔偿限额400万</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4.每次每人赔偿限额100万（其中含医疗费用10万元）。</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注：以上“事故”是指每一次事故或由同一原因/同一事件引起的一系列事故。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noWrap w:val="0"/>
            <w:vAlign w:val="center"/>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1928" w:firstLineChars="800"/>
              <w:jc w:val="both"/>
              <w:rPr>
                <w:rFonts w:hint="eastAsia" w:ascii="宋体" w:hAnsi="宋体" w:eastAsia="宋体" w:cs="宋体"/>
                <w:b/>
                <w:sz w:val="24"/>
                <w:szCs w:val="24"/>
              </w:rPr>
            </w:pPr>
            <w:r>
              <w:rPr>
                <w:rFonts w:hint="eastAsia" w:ascii="宋体" w:hAnsi="宋体" w:eastAsia="宋体" w:cs="宋体"/>
                <w:b/>
                <w:sz w:val="24"/>
                <w:szCs w:val="24"/>
                <w:lang w:eastAsia="zh-CN"/>
              </w:rPr>
              <w:t>五</w:t>
            </w:r>
            <w:r>
              <w:rPr>
                <w:rFonts w:hint="eastAsia" w:ascii="宋体" w:hAnsi="宋体" w:eastAsia="宋体" w:cs="宋体"/>
                <w:b/>
                <w:sz w:val="21"/>
                <w:szCs w:val="21"/>
                <w:lang w:val="en-US" w:eastAsia="zh-CN"/>
              </w:rPr>
              <w:t xml:space="preserve">五、保险期限：  </w:t>
            </w:r>
          </w:p>
        </w:tc>
        <w:tc>
          <w:tcPr>
            <w:tcW w:w="6860" w:type="dxa"/>
            <w:noWrap w:val="0"/>
            <w:vAlign w:val="top"/>
          </w:tcPr>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一、建筑、安装期保险期限：</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梁开高速（重庆段）第二总承包部机电工程项目：项目开工日起直至项目交工验收合格之日止。附加缺陷保证期：自交工验收合格之日起24个月。项目工期为：12个月。如工程延期则附加保证期的起始日期相应顺延。</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二、缺陷责任保证期：</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Theme="minorEastAsia" w:hAnsiTheme="minorEastAsia" w:eastAsiaTheme="minorEastAsia" w:cstheme="minorEastAsia"/>
                <w:b w:val="0"/>
                <w:bCs w:val="0"/>
                <w:color w:val="1E1C11"/>
                <w:sz w:val="21"/>
                <w:szCs w:val="21"/>
                <w:lang w:val="en-US" w:eastAsia="zh-CN"/>
              </w:rPr>
            </w:pPr>
            <w:r>
              <w:rPr>
                <w:rFonts w:hint="eastAsia" w:ascii="宋体" w:hAnsi="宋体" w:eastAsia="宋体" w:cs="宋体"/>
                <w:sz w:val="21"/>
                <w:szCs w:val="21"/>
                <w:lang w:val="en-US" w:eastAsia="zh-CN"/>
              </w:rPr>
              <w:t>共24个月，自工程实际交工日起算。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0" w:type="dxa"/>
            <w:gridSpan w:val="2"/>
            <w:noWrap w:val="0"/>
            <w:vAlign w:val="top"/>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rPr>
                <w:rFonts w:hint="eastAsia" w:asciiTheme="minorEastAsia" w:hAnsiTheme="minorEastAsia" w:eastAsiaTheme="minorEastAsia" w:cstheme="minorEastAsia"/>
                <w:sz w:val="21"/>
                <w:szCs w:val="21"/>
              </w:rPr>
            </w:pPr>
            <w:r>
              <w:rPr>
                <w:rFonts w:hint="eastAsia" w:ascii="宋体" w:hAnsi="宋体" w:eastAsia="宋体" w:cs="宋体"/>
                <w:b/>
                <w:sz w:val="21"/>
                <w:szCs w:val="21"/>
                <w:lang w:val="en-US" w:eastAsia="zh-CN"/>
              </w:rPr>
              <w:t>六、每次事故绝对免赔额：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noWrap w:val="0"/>
            <w:vAlign w:val="center"/>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第一部分：物质损失分</w:t>
            </w:r>
          </w:p>
        </w:tc>
        <w:tc>
          <w:tcPr>
            <w:tcW w:w="6860" w:type="dxa"/>
            <w:noWrap w:val="0"/>
            <w:vAlign w:val="top"/>
          </w:tcPr>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第一部分：物质损失部分免赔额：</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1.地震、海啸巨灾风险：每次事故绝对免赔额30万或损失金额的30%，两者以高者为准；</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2.暴风、暴雨、洪水、滑坡、塌方、泥石流风险：每次事故绝对免赔额10万元或损失金额的20%，两者以高者为准；</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3.其它一般风险：每次事故绝对免赔额1万元或损失金额的10%，两者以高者为准。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noWrap w:val="0"/>
            <w:vAlign w:val="center"/>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第二部分：第三者责任部分</w:t>
            </w:r>
          </w:p>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b/>
                <w:sz w:val="21"/>
                <w:szCs w:val="21"/>
                <w:lang w:val="en-US" w:eastAsia="zh-CN"/>
              </w:rPr>
            </w:pPr>
          </w:p>
        </w:tc>
        <w:tc>
          <w:tcPr>
            <w:tcW w:w="6860" w:type="dxa"/>
            <w:noWrap w:val="0"/>
            <w:vAlign w:val="top"/>
          </w:tcPr>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1.财产损失：每次事故财产损失免赔5000元或损失的10%，两者以高为准。</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2.人身伤亡：无免赔</w:t>
            </w:r>
          </w:p>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val="0"/>
                <w:sz w:val="21"/>
                <w:szCs w:val="21"/>
              </w:rPr>
              <w:t>注：以上“事故”是指每一次事故或由同一原因/同一事件引起的一系列事故。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60" w:type="dxa"/>
            <w:noWrap w:val="0"/>
            <w:vAlign w:val="center"/>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七、保费支付方式：</w:t>
            </w:r>
          </w:p>
        </w:tc>
        <w:tc>
          <w:tcPr>
            <w:tcW w:w="6860" w:type="dxa"/>
            <w:noWrap w:val="0"/>
            <w:vAlign w:val="center"/>
          </w:tcPr>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保费支付：支付前需开具增值税发票。</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合同签订后30天内保费一次性支付。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noWrap w:val="0"/>
            <w:vAlign w:val="center"/>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八、基本条款：</w:t>
            </w:r>
          </w:p>
        </w:tc>
        <w:tc>
          <w:tcPr>
            <w:tcW w:w="6860" w:type="dxa"/>
            <w:noWrap w:val="0"/>
            <w:vAlign w:val="top"/>
          </w:tcPr>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建筑/安工程一切险及第三者责任险条款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noWrap w:val="0"/>
            <w:vAlign w:val="center"/>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九、司法管辖：</w:t>
            </w:r>
          </w:p>
        </w:tc>
        <w:tc>
          <w:tcPr>
            <w:tcW w:w="6860" w:type="dxa"/>
            <w:noWrap w:val="0"/>
            <w:vAlign w:val="top"/>
          </w:tcPr>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中华人民共和国司法管辖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noWrap w:val="0"/>
            <w:vAlign w:val="center"/>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十、争议处理：</w:t>
            </w:r>
          </w:p>
        </w:tc>
        <w:tc>
          <w:tcPr>
            <w:tcW w:w="6860" w:type="dxa"/>
            <w:noWrap w:val="0"/>
            <w:vAlign w:val="top"/>
          </w:tcPr>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双方友好协商，共同解决争端。可采用如下方式 2解决争端：</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方式1：向重庆市仲裁委员会提请仲裁；</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方式2：向项目所在地有管辖权的人民法院提请诉讼。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noWrap w:val="0"/>
            <w:vAlign w:val="center"/>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十一、特别约定</w:t>
            </w:r>
          </w:p>
        </w:tc>
        <w:tc>
          <w:tcPr>
            <w:tcW w:w="6860" w:type="dxa"/>
            <w:noWrap w:val="0"/>
            <w:vAlign w:val="top"/>
          </w:tcPr>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1.条款效力优先约定：</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本保单条款措辞由特别约定、特别条款、基本条款构成，并以排序在前者效力优先，条款发生冲突时，应以前者解释为准。</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2.在保险期限内，被保险人由于工程施工需要临时征用的道路因发生保险责任范围内的事故，根据相关法律应由被保险人承担的该临时征用道路本身的物质损失时，由保险人负责赔偿。临时征用道路的累计赔偿限额为200万元。</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3.对于本保险单中列明的被保险财产因他人的恶意破坏所致的损失(但不包括作为建筑物组成部分的玻璃破碎或任何室外招牌的破碎损失),由保险人负责赔偿。</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4.对于本保险单中列明的被保险财产在保险期间由于外来的、有明显盗窃痕迹并经公安部门立案的盗窃或抢劫所致的损失，保险人负责赔偿。</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5.周转性材料发生损失时： A.可在本工程中一次性摊销完毕的周转性材料 和临时设施，如未使用前或使用过程中发生损失，则按照其重置价值赔偿； B.可重复使用或非在本工程中一次性摊销完毕的周转性材料和临时设施，则计算其在本工程中的摊销价值的方式和次数，扣除已经摊销部分后进行赔偿，但对于该部分标的赔偿最高不超过重置价值的50%。</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6.如第三方原因造成本保险项下保险事故，保险人同意被 保险人在告知合理修复方案的前提下，可先行修复，并按照本保单之规定给予赔 付，但被保险人应对第三方提出索赔并将对第三方追偿之权利转让给保险人，并积极协助保险人进行追偿。</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7.被保险人应在事故发生后1日内及时通知保险人参与第三者责任事故的处理，主要包括参加事故第一现场查勘、赔偿标准审定、最终赔偿协议达成等关键环节；若保险人接到被保险人通知后，非因不可抗力的因素未能参与上述事故第一现场查勘、赔偿标准审定、最终赔偿协议达成等关键环节，则视同保险人认可被保险人与第三者达成的赔偿协议及调解结果。如在处理过程中聘请相关权威鉴定部门进行技术鉴定，由保险人承担其鉴定费用。</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8.兹经双方同意，被保险人应在事故发生后及时通知保险人，并积极配合 保险人的查勘定损工作，双方进一步约定： (1)保险人在投保人、被保险人 或者受益人故意或者因重大过失未及时通知的情况下有权免责，而且免责的范围 不限于因上述人员未及时通知导致保险事故的性质、原因、损失程度等难以确定的 部分； (2)对于保险人可以通过其它途径已经及时知道或者应当及时知道保险 事故发生的(如新闻媒体报道的重大事故等),被保险人有再次确认保险人知道的义务，经确认后不不得以投保人、被保险人或者受益人未及时通知为由拒绝承担赔偿责任。</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9.发生保险事故时，被保险人以约定方式向保险 人报案后，保险人未能按照合同约定和/或承诺时间(不可抗力因素除外)到达保险事故第一现场进行查勘，或因事故现场抢险的需要，被保险人无需事先同保险公司协商即可着手抢救、处理、修理或恢复，保险人不得因此拒绝赔偿。但被保险人应在事后向保险公司递交一份事故书面报告，并尽可能提供有关损失照片或影像资料或文字记载。</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10.投保人可以提前三十天书面申请通知保险人终止本保单，在此情况下， 保险人应按日比例计算退还保费。未经投保人同意，保险人不得单方终止本保单，</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但投保人丧失保险利益或未按规定及时缴付保费除外。</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若在被保险人不支付保费的情况下，保险人可以要求注销本保单，但保险人需要提前九十天书面通知被保险人，或给予被保险人补救的机会。</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11.兹经双方同意并约定，保险人同意放弃由于支付本保险单项下的赔款而可能获得的，对任何被保险人的母公司或子公司的代位权，但须以本条款的所有被保险人都遵守本保险单所规定的各项条件为前提。</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12.兹经双方同意，本保险单第三方责任项下的保障范围将适用于本保险单明细表列明的所有被保险人，就如同每一被保险人均持有一份独立的保险单，但本公司对被保险人不承担以下赔偿责任：</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①已在或可在本保险单物质损失部分投保的财产损失，包括因免赔额，或赔偿限额规定不予赔偿的损失；</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②已在或应在雇主责任保险项下投保的被保险人的雇员的疾病或人身伤亡。保险人对所有被保险人由一次事故或同一事由引起的数次事故承担的全部责任不得超过保险单明细表中列明的每次事故赔偿限额。</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13.关于工程变更通知的约定：</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被保险工程的投保项目在施工过程中将根据实际情况变更或调整设计规范、施工方法，保险人同意，对于符合本项目的管理程序一般性变更或调整，被保险人不需要向保险人申报，上述调整或变更自动纳入投保范围，在此情况下如发生保险事故，保险人不得以设计变更为由拒赔，但保险人有权随时查阅上述变更或调整的相关文件、资料。</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对于涉及工程基础、主体结构的重大设计变更，或施工方案的重大调整，或对工程造价、工期有较大影响的重大变更，被保险人应及时通知保险人。</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 xml:space="preserve">14.保单撤销约定：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投保人可以提前30天书面申请通知保险人撤销本保单，在此情况下，保险人应按日比例计算退还保费。未经投保人同意，保险人不得单方撤销本保单，但投保人未按规定及时缴付保费的情况除外。</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15.工程延期约定</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机电项目：若工程未按期完工，保险期限将自动扩展180天并不因此加收任何附加保险费，但被保险人须提前30天通知保险人。如果180天后还需要继续延期，将按照本保险工期费率日比例加收延期期间的保险费。本保险单所载其它条件不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16.关于停工期间保障的约定</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若本保单所承保工程连续停工超过3个月，则投保人应提前30天向保险人申报，保险人对超过3个月之后的停工期间发生本保险单项下的保险责任范围内的事故导致的损失承担赔偿责任，但被保险人在停工期间必须对停工部分工程采取合理的防损措施。</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 xml:space="preserve"> 17.索赔单据约定</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经双方同意，被保险人应提供其所能提供的与确认事故的性质、原因、损失程度等有关的证明和材料。在事故的原因和损失已被证实的情况下，保险人不得仅以缺少单据或单据不合格为由拒绝或拖延承担其在本保险合同项下应承担的赔偿责任。</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本附加条款与主条款内容相悖之处，以本附加条款为准；未尽之处，以主条款为准。</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 xml:space="preserve">18.指定公估人约定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经双方同意，当发生保险责任范围内的损失，估损金额超过本保险合同中载明的相应金额时，可以指定双方认可的有合法执业资格的机构作为公估人，公估费用由保险人承担。</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19.鉴于本保单项下投保项目：保险金额按照保险期限内建筑工程的实际投资额进行结算，保险人同意本保险单项下任何投保项目均视为足额投保，如发生事故保险公司不得以此为由拒赔或比例赔。如后期有新增项目自动纳入保障范围，视为足额投保，如发生事故保险公司不得以此为由拒赔或比例赔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20.本保险单明细表内列明的保险金额为合同签约价，以最后结算后的工程 实际造价为准。若结算后的工程实际造价与保险金额的差额在±10%内时，保险 金额与保险费不作调整，保险人视为足额投保。若超过±10%,则按工程实际造价增加或减少保险金额和保险费。</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21.本保险在保险期间内，累计死亡人数为3人(含)以内时，可不提供负有安全管理职责的政府部门证明(必须是在发生事故起24小时内报案),但须提供项目部事故证明。发生伤残无需提供负有安全管理职责的政府部门证明和等机构出具的事故证明材料，保险人不得以此为由拒赔偿。</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lang w:val="en-US" w:eastAsia="zh-CN"/>
              </w:rPr>
            </w:pPr>
            <w:r>
              <w:rPr>
                <w:rFonts w:hint="eastAsia"/>
                <w:lang w:val="en-US" w:eastAsia="zh-CN"/>
              </w:rPr>
              <w:t>22.若工程未按期完工，保险期限将自动扩展180天并不因此加收任何附加保险费，但被保险人须提前30天通知保险人。如果180天后还需要继续延期，将按照本保险工期费率日比例加收延期期间的保险费。本保险单所载其它条件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noWrap w:val="0"/>
            <w:vAlign w:val="center"/>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sz w:val="24"/>
                <w:szCs w:val="24"/>
              </w:rPr>
            </w:pPr>
            <w:r>
              <w:rPr>
                <w:rFonts w:hint="eastAsia" w:ascii="宋体" w:hAnsi="宋体" w:eastAsia="宋体" w:cs="宋体"/>
                <w:b/>
                <w:sz w:val="21"/>
                <w:szCs w:val="21"/>
                <w:lang w:val="en-US" w:eastAsia="zh-CN"/>
              </w:rPr>
              <w:t>十二、扩展条款</w:t>
            </w:r>
          </w:p>
        </w:tc>
        <w:tc>
          <w:tcPr>
            <w:tcW w:w="6860" w:type="dxa"/>
            <w:noWrap w:val="0"/>
            <w:vAlign w:val="top"/>
          </w:tcPr>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1.清除残骸费用扩展条款(每次事故赔偿限额:人民币200万元或损失金额的15%，以高者为准)</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2.特别费用扩展条款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3.专业费用特别条款(每次事故赔偿限额:人民币100万元）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4.灭火费用条款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5.扩展责任保证期条款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6.保证期特别扩展条款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7.停工损失扩展条款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8.急救费用条款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9.地下电缆、管道及设施特别条款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10.保险金额及保险费调整条款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11.自动恢复保险金额条款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12.内陆运输扩展条款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13.预付赔款条款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14.安装试车条款(每次事故赔偿限额:人民币20万元、累计赔偿限额：人民币40万元）</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15.场外装配扩展条款(每次事故赔偿限额:人民币20万元、累计赔偿限额：人民币40万元）</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16.临时修理扩展条款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17.工程完工或交付使用部分扩展条款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18.工地访问条款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19.滑坡及地陷责任条款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20.铺设供水管、污水管特别条款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21.恶意破坏特别条款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22.新增项目特别条款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23.保护现场条款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24.自然灾害责任损失条款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25.盗窃险条款</w:t>
            </w:r>
          </w:p>
          <w:p>
            <w:pPr>
              <w:pStyle w:val="13"/>
              <w:keepNext w:val="0"/>
              <w:keepLines w:val="0"/>
              <w:pageBreakBefore w:val="0"/>
              <w:kinsoku/>
              <w:wordWrap/>
              <w:overflowPunct/>
              <w:topLinePunct w:val="0"/>
              <w:autoSpaceDE/>
              <w:autoSpaceDN/>
              <w:bidi w:val="0"/>
              <w:spacing w:beforeAutospacing="0" w:afterAutospacing="0" w:line="360" w:lineRule="auto"/>
              <w:ind w:left="0" w:leftChars="0" w:right="0" w:firstLine="0" w:firstLineChars="0"/>
              <w:rPr>
                <w:rFonts w:hint="eastAsia" w:asciiTheme="minorEastAsia" w:hAnsiTheme="minorEastAsia" w:eastAsiaTheme="minorEastAsia" w:cstheme="minorEastAsia"/>
                <w:b/>
                <w:bCs/>
                <w:sz w:val="21"/>
                <w:szCs w:val="21"/>
                <w:lang w:val="en-US" w:eastAsia="zh-CN"/>
              </w:rPr>
            </w:pPr>
          </w:p>
          <w:p>
            <w:pPr>
              <w:pStyle w:val="13"/>
              <w:keepNext w:val="0"/>
              <w:keepLines w:val="0"/>
              <w:pageBreakBefore w:val="0"/>
              <w:kinsoku/>
              <w:wordWrap/>
              <w:overflowPunct/>
              <w:topLinePunct w:val="0"/>
              <w:autoSpaceDE/>
              <w:autoSpaceDN/>
              <w:bidi w:val="0"/>
              <w:spacing w:beforeAutospacing="0" w:afterAutospacing="0" w:line="360" w:lineRule="auto"/>
              <w:ind w:left="0" w:leftChars="0" w:right="0" w:firstLine="0" w:firstLineChars="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条款解释：</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1.清除残骸费用扩展条款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兹经双方同意，保险人负责赔偿被保险人因本保险单承保的火灾和其它风险造成保险财产损失而发生的清除、拆除及支撑受损财产的费用，但不得超过本保险单明细表中列明的赔偿限额。</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本保险单所载其它条件不变。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2.特别费用扩展条款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兹经双方同意，鉴于投保人已按约定缴付了附加的保险费，本保险扩展承保下列特别费用，即：加班费、夜班费、节假日加班费以及快运费（不包括空运费），但该特别费用须与本保单项下予以赔偿的保险财产的损失有关。且本条款项下特别费用的最高赔偿金额在保险期限内不超过以下列明的限额。若保险财产的保额不足，本条款项下特别费用的赔偿金额按比例减少。</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本保险单所载其他条件不变。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3.专业费用特别条款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兹经双方同意，保险人负责赔偿被保险人因本保险单项下承保风险造成被保险工程损失后，在重置过程中发生的必要的设计师、检验师及工程咨询人费用，但被保险人为了准备索赔，或估损所发生的任何费用除外。上述赔偿费用应以损失当时适用的有关行业管理部门制订的收费标准为准，但不得超过本保险单明细表中列明的赔偿限额。</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本保险单所载其它条件不变。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4.灭火费用条款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兹经双方同意并约定，本保单扩展承保由保单承保的风险引起的下列损失：</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灭火过程中的费用</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清理水和其他物质的费用</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清理费用</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暂时性防护设施建造费用</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本保单对财产和灭火费用的责任不应超过每次事故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灭火费用不应计入本保单项下财产的重置价值内。</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本保单所载其它条件不变。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5.扩展责任保证期条款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兹经双方同意，鉴于投保人已按约定缴付了附加的保险费，本保险扩展承保以下列明的保证期内：</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（一）被保险的承包人因履行工程合同进行维修保养而造成保险工程的损失；</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（二）因受损部分完工证书签发前的建造期内的施工原因引起，在保证期内发生的保险工程的损失。</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保证期的期限与工程合同中规定的保证期一致，从工程所有人对部分或全部工程签发完工验收证书或验收合格，或工程所有人实际占有或使用或接收该部分或全部工程时起算，以先发生者为准。但在任何情况下，保证期的期限不得超出本保险单明细表中列明的保证期。</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本保险单所载其它条件不变。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6.保证期特别扩展条款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兹经双方同意，鉴于投保人已按约定缴付了附加的保险费，本保险特别扩展承保以下列明的保证期限内由于安装错误、设计错误、原材料或铸件缺陷以及工艺不善引起的被保险财产的损失，但对被保险人在损失发生前即已发现错误并应予以矫正的费用除外。</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本特别扩展条款既不承保直接或间接由于火灾、爆炸以及任何人力不可抗拒的自然灾害造成的损失，也不承保任何第三者责任。</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保证期的期限与工程合同中规定的保证期一致，从工程所有人对部分或全部工程签发完工验收证书或验收合格，或工程所有人实际占有或使用或接收该部分或全部工程时起算，以先发生者为准。但在任何情况下，保证期的期限不得超出本保险单明细表中列明的保证期。</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本保险单所载其它条件不变。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每次事故免赔额：1000或损失金额的10％，以高者为准。</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7.停工损失扩展条款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保险扩展承保被保险工程全部或部分停工期间发生保险合同下的保险责任范围内的事故导致的损失。但被保险人在发生停工时，必须及时书面通知保险人；停工期间，必须对停工部分工程采取合理的防损措施。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8.急救费用条款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兹经双方同意，鉴于投保人已缴付了附加保险费，本保险扩展承保被保险人因本保险单明细表中列明的营业场所内发生意外事故造成第三者人身伤亡时应支付的合理的必要的急救费用。</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本保险单所载其他条件不变。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每次事故赔偿限额：30万元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累计赔偿限额：100万元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每次事故免赔额：1000元或损失金额10%</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 xml:space="preserve">9.地下电缆、管道及设施特别条款 </w:t>
            </w:r>
            <w:r>
              <w:rPr>
                <w:rFonts w:hint="eastAsia" w:ascii="宋体" w:hAnsi="宋体" w:eastAsia="宋体" w:cs="宋体"/>
                <w:sz w:val="21"/>
                <w:szCs w:val="21"/>
                <w:lang w:val="en-US" w:eastAsia="zh-CN"/>
              </w:rPr>
              <w:t xml:space="preserve">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兹经双方同意，保险人负责赔偿被保险人对原有的地下电缆、管道或其它地下设施造成的损失，但被保险人须在工程开工前，向有关当局了解这些电缆、管道及其它地下设施的确切位置，并采取必要措施防止损失发生。</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对图纸上正确标明位置的地下设施的损失赔偿应先扣除以下列明的免赔额1。</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对图纸上错误标明位置的地下设施的损失赔偿应先扣除以下列明的免赔额2。</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任何损失赔偿仅限于电缆、管道及地下设施的修理费用，任何后果损失及罚金均不负责。</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本保险单所载其它条件不变。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每次事故免赔额1: 5万元或损失金额的20％，以高者为准。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10.保险金额及保险费调整条款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保险单明细表第一部分项下列明的保险金额是在工程开始期间根据估算、概算、预算或者合同价格确定的预计保险金额。待工程完成后，应根据工程决算调整保险金额和保险费。被保险人应在本保险单列明的保险期限届满三个月内向保险人申报最终的工程决算造价。</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若本保险单项下第一部分被保险工程决算造价的变动幅度不超过预计保险金额的±</w:t>
            </w:r>
            <w:r>
              <w:rPr>
                <w:rFonts w:hint="eastAsia" w:ascii="宋体" w:hAnsi="宋体" w:cs="宋体"/>
                <w:sz w:val="21"/>
                <w:szCs w:val="21"/>
                <w:lang w:val="en-US" w:eastAsia="zh-CN"/>
              </w:rPr>
              <w:t>10</w:t>
            </w:r>
            <w:r>
              <w:rPr>
                <w:rFonts w:hint="eastAsia" w:ascii="宋体" w:hAnsi="宋体" w:eastAsia="宋体" w:cs="宋体"/>
                <w:sz w:val="21"/>
                <w:szCs w:val="21"/>
                <w:lang w:val="en-US" w:eastAsia="zh-CN"/>
              </w:rPr>
              <w:t>％，保险人同意不再根据工程决算造价调整保险费。</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如本保险单项下第一部分被保险工程决算造价的变动幅度超过预计总保险金额的±</w:t>
            </w:r>
            <w:r>
              <w:rPr>
                <w:rFonts w:hint="eastAsia" w:ascii="宋体" w:hAnsi="宋体" w:cs="宋体"/>
                <w:sz w:val="21"/>
                <w:szCs w:val="21"/>
                <w:lang w:val="en-US" w:eastAsia="zh-CN"/>
              </w:rPr>
              <w:t>10</w:t>
            </w:r>
            <w:r>
              <w:rPr>
                <w:rFonts w:hint="eastAsia" w:ascii="宋体" w:hAnsi="宋体" w:eastAsia="宋体" w:cs="宋体"/>
                <w:sz w:val="21"/>
                <w:szCs w:val="21"/>
                <w:lang w:val="en-US" w:eastAsia="zh-CN"/>
              </w:rPr>
              <w:t>%时，双方同意对超出或低于第一部分预计保险金额的部分，按照本保险单明细表中的保险费率对保险费进行相应的调增或调减。</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11.自动恢复保险金额条款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兹经双方同意,在保险人对本保险单明细表中列明的被保险财产的损失予以赔偿后,原保险金额自动恢复。但被保险人应按日比例补缴自损失发生之日起至保险单终止之日止恢复保险金额部分的保险费。</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本保险单所载其他条件不变。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12.内陆运输扩展条款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兹经双方同意，鉴于投保人已按约定缴付了附加的保险费，保险人负责赔偿被保险人的保险财产在中华人民共和国境内供货地点到本保险单中列明的工地，除水运和空运以外的内陆运输途中因自然灾害或意外事故引起的损失。但被保险财产在运输时必须有合格的包装及装载。</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本保险单所载其它条件不变。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13.预付赔款条款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兹经双方同意并约定，如保险财产遭受保单项下承保责任的损失，应被保险人的要求和理算师的建议，保险人可以同意50％的预付赔款。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本保险单所载其它条件不变。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bookmarkStart w:id="155" w:name="_Toc212007147"/>
            <w:r>
              <w:rPr>
                <w:rFonts w:hint="eastAsia" w:ascii="宋体" w:hAnsi="宋体" w:eastAsia="宋体" w:cs="宋体"/>
                <w:b/>
                <w:bCs/>
                <w:sz w:val="21"/>
                <w:szCs w:val="21"/>
                <w:lang w:val="en-US" w:eastAsia="zh-CN"/>
              </w:rPr>
              <w:t>14.安装试车条款</w:t>
            </w:r>
            <w:bookmarkEnd w:id="155"/>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兹经双方同意，本保险合同扩展承保本工程项目中安装工程部分在安装试车过程中因超负荷、超电压、碰线、电弧、漏电、短路、大气放电等电气或机械故障原因而造成保险标的本身及其它被保险财产的损失。</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本保险合同所载其它条件不变。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每次事故赔偿限额:人民币20万元；</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累计赔偿限额：人民币40万元。</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15.场外装配扩展条款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兹经双方同意，本保单扩展承保保险财产在工地外或附近区域装配、修理期间因本保险单承保风险发生导致的物质损失和损坏。</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本保险单所载其他条件不变。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每次事故赔偿限额:人民币20万元；</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累计赔偿限额：人民币40万元</w:t>
            </w:r>
            <w:bookmarkStart w:id="156" w:name="_Toc212007238"/>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16.临时修理扩展条款</w:t>
            </w:r>
            <w:bookmarkEnd w:id="156"/>
            <w:bookmarkStart w:id="157" w:name="gcl3"/>
            <w:bookmarkEnd w:id="157"/>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经保险人事先同意，本保险合同扩展承保被保险人为确保发生保险事故后工程能够继续进行而对受损工程实施的临时修理所发生的一切合理费用。</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本保险合同所载其它条件不变。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17.工程完工或交付使用部分扩展条款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兹经双方同意，鉴于投保人已按约定缴付了附加的保险费，本保险扩展承保在保险期限内，由于本保险单第一部分项下保险财产施工造成已完工或交付使用部分的损失。</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本保险单所载其它条件不变。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18.工地访问条款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工程访问者、参观者、检查者、视察者或参加奠基、揭礼或类似典礼的，或任何其他其他没有直接参与工程设计、建造的，但经工程所有人或工程总承包人同意在工地范围内的活动的人员，皆属于保险合同“第三者责任险”所指的“第三者”范畴。 但上述“第三者”不包括工程监理单位的工作人员、所有为本工程提供服务的设计人员、专业咨询人员、工程施工人员，以及他们的家庭成员。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bookmarkStart w:id="158" w:name="_Toc212007221"/>
            <w:r>
              <w:rPr>
                <w:rFonts w:hint="eastAsia" w:ascii="宋体" w:hAnsi="宋体" w:eastAsia="宋体" w:cs="宋体"/>
                <w:b/>
                <w:bCs/>
                <w:sz w:val="21"/>
                <w:szCs w:val="21"/>
                <w:lang w:val="en-US" w:eastAsia="zh-CN"/>
              </w:rPr>
              <w:t>19.滑坡及地陷责任条款</w:t>
            </w:r>
            <w:bookmarkEnd w:id="158"/>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兹经双方同意，保险人负责赔偿由于危岩、孤石、岩体裂隙、雨水浸润、挖掘或爆破引起的局部山体滑坡或地陷所造成的被保险财产损失和被保险人清除滑坡或下陷后的土石方费用、收复工地和削坡的合理费用，其中清理土石方费用列入明细表保险项目中的清理残骸费用中计算。</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不论保险合同明细表内的保险财产是否遭受损失，上述费用亦应视作本保险合同的保障范围。</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但下列责任除外：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1、由于工艺不善或使有缺陷材料而造成的直接损失；</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2、因滑波和沉陷引起的其它后果损失</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本保险合同所载其它条件不变。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 xml:space="preserve">20.铺设供水管、污水管特别条款 </w:t>
            </w:r>
            <w:r>
              <w:rPr>
                <w:rFonts w:hint="eastAsia" w:ascii="宋体" w:hAnsi="宋体" w:eastAsia="宋体" w:cs="宋体"/>
                <w:sz w:val="21"/>
                <w:szCs w:val="21"/>
                <w:lang w:val="en-US" w:eastAsia="zh-CN"/>
              </w:rPr>
              <w:t xml:space="preserve">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兹经双方同意，保险人负责赔偿被保险人因作业井、沟、水管遭受水淹、淤塞引起的损失和责任。但每次开挖的长度，无论是部分或全部开挖均不得超过以下列明的长度。</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保险人仅在下述情况下予以赔偿：</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（一）水管铺设后，应保证立即填实，以避免沟壕水淹后水管移位；</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（二）水管铺设后，应保证立即封闭管口，防止水、淤泥等渗透；</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（三）一旦压力测试结束，水管测试部分的沟、壕应立即填实。</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本保险单所载其它条件不变。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每次开挖长度：50米。</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21.恶意破坏特别条款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兹经双方同意，鉴于投保人已支付了附加的保险费，本保险扩展承保本保险单明细表中列明的保险财产因他人的恶意行为所致的损失，但不包括作为建筑物组成部分的玻璃破碎或任何室外招牌的破碎损失，也不包括偷窃损失（破门而入偷窃损失除外）。</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本保险单所载其它条件不变。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bookmarkStart w:id="159" w:name="_Toc212007269"/>
            <w:r>
              <w:rPr>
                <w:rFonts w:hint="eastAsia" w:ascii="宋体" w:hAnsi="宋体" w:eastAsia="宋体" w:cs="宋体"/>
                <w:b/>
                <w:bCs/>
                <w:sz w:val="21"/>
                <w:szCs w:val="21"/>
                <w:lang w:val="en-US" w:eastAsia="zh-CN"/>
              </w:rPr>
              <w:t>22.新增项目特别条款</w:t>
            </w:r>
            <w:bookmarkEnd w:id="159"/>
            <w:bookmarkStart w:id="160" w:name="gcx1"/>
            <w:bookmarkEnd w:id="160"/>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兹经双方同意，本保险合同明细表保险项目土建工程中的新增项目将根据工程期间施工及设计修改的实际情况进行调整，该调整的部分全部列入本保险合同承保范围，新增项目的合同金额应计入本保险合同明细表中物质损失的预计总保险金额，但不得超过预计总保险金额的5％，对于超出部分，应支付相应的保险费。</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本保险合同所载其他条件不变。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23.保护现场条款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发生保险合同项下保险责任范围内风险事故时，被保险人应及时通知保险人，保险人派驻现场的人员应24小时随叫随到，若保险人代表未及时赶到现场，被保险人可根据工程损失现状及检验需要，事故现场在拍照保留证据后不再保留。如工作继续，拍照后将不被保留。 但被保险人为进行施救或减少损失，在保险人代表未赶到现场前或未拍照前破坏了现场，由此产生的后果，不能作为保险人拒赔的理由。被保险人应做好对第一现场拍照或录像的工作。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24.自然灾害责任损失条款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保险人负责赔偿本保险期间内，因本保险单所承保工程遭受自然灾害引起工地内及临近区域的第三者人身伤亡、疾病和财产损失，依法应由被保险人承担的经济赔偿责任，及由此而支付的诉讼费用以及事先经保险人书面同意支付的其他费用。 本保单所载其他条件不变。 </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25.盗窃险条款</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兹经双方同意，鉴于投保人已缴付了附加的保险费，本保险扩展承保被保险财产因遭抢劫、偷窃或盗贼侵入被保险人财产存放处（以下简称“盗窃”）而造成的灭失或损坏（以下简称“损失”）。</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保险人对下列各项，不负责赔偿：</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(一)被保险人或其代表的故意行为或重大过失造成保险财产的损失；</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(二)被保险人的家属或雇用人员或同住人员或寄宿人员盗窃或纵容他人盗窃保险财产造成的损失；</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(三)在保险财产存放处所无人居住或看管超过七天的情况下保险财产被盗窃而造成的损失；</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(四)在发生地震、洪水等自然灾害时保险财产被盗窃而造成的损失；</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(五)在发生火灾时保险财产被盗窃而造成的损失。</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本保险单所载其他条件不变。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每次事故免赔额：5000元</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每次事故赔偿限额：50万</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累计赔偿限额：300万</w:t>
            </w:r>
          </w:p>
        </w:tc>
      </w:tr>
    </w:tbl>
    <w:p>
      <w:pPr>
        <w:pStyle w:val="41"/>
        <w:ind w:left="0" w:leftChars="0" w:firstLine="0" w:firstLineChars="0"/>
        <w:rPr>
          <w:rFonts w:hint="eastAsia" w:ascii="宋体" w:hAnsi="宋体" w:eastAsia="宋体" w:cs="宋体"/>
          <w:b/>
          <w:kern w:val="2"/>
          <w:sz w:val="32"/>
          <w:szCs w:val="32"/>
          <w:lang w:val="en-US" w:eastAsia="zh-CN" w:bidi="ar"/>
        </w:rPr>
      </w:pPr>
    </w:p>
    <w:p>
      <w:pPr>
        <w:pageBreakBefore w:val="0"/>
        <w:kinsoku/>
        <w:overflowPunct/>
        <w:bidi w:val="0"/>
        <w:spacing w:beforeAutospacing="0" w:afterAutospacing="0" w:line="360" w:lineRule="auto"/>
        <w:ind w:right="0"/>
        <w:jc w:val="center"/>
      </w:pPr>
      <w:r>
        <w:rPr>
          <w:rFonts w:hint="eastAsia" w:ascii="宋体" w:hAnsi="宋体" w:eastAsia="宋体" w:cs="宋体"/>
          <w:b/>
          <w:kern w:val="2"/>
          <w:sz w:val="32"/>
          <w:szCs w:val="32"/>
          <w:lang w:val="en-US" w:eastAsia="zh-CN" w:bidi="ar"/>
        </w:rPr>
        <w:t>团体建筑施工人员意外伤害保险</w:t>
      </w:r>
    </w:p>
    <w:tbl>
      <w:tblPr>
        <w:tblStyle w:val="43"/>
        <w:tblpPr w:leftFromText="180" w:rightFromText="180" w:vertAnchor="text" w:horzAnchor="page" w:tblpX="1875" w:tblpY="1341"/>
        <w:tblOverlap w:val="never"/>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6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972" w:type="dxa"/>
            <w:noWrap w:val="0"/>
            <w:vAlign w:val="center"/>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一、采购人：</w:t>
            </w:r>
          </w:p>
        </w:tc>
        <w:tc>
          <w:tcPr>
            <w:tcW w:w="6848" w:type="dxa"/>
            <w:noWrap w:val="0"/>
            <w:vAlign w:val="center"/>
          </w:tcPr>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重庆首讯科技股份有限公司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972" w:type="dxa"/>
            <w:noWrap w:val="0"/>
            <w:vAlign w:val="center"/>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二、被保险人：</w:t>
            </w:r>
          </w:p>
        </w:tc>
        <w:tc>
          <w:tcPr>
            <w:tcW w:w="6848" w:type="dxa"/>
            <w:noWrap w:val="0"/>
            <w:vAlign w:val="center"/>
          </w:tcPr>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1.施工单位：重庆首讯科技股份有限公司</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与施工单位建立合同关系的所有直接/间接专业承包商和/或任何分包商和供应商、项目业主、勘察设计单位、监测单位、质量检查单位、审计单位、设计及设计审查单位、工程管理单位、监理单位、咨询公司、顾问公司等相关利益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972" w:type="dxa"/>
            <w:noWrap w:val="0"/>
            <w:vAlign w:val="center"/>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三、保险项目及保险金额/赔偿限额：</w:t>
            </w:r>
          </w:p>
        </w:tc>
        <w:tc>
          <w:tcPr>
            <w:tcW w:w="6848" w:type="dxa"/>
            <w:noWrap w:val="0"/>
            <w:vAlign w:val="center"/>
          </w:tcPr>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死亡及伤残赔偿金 人民币1000000元/人</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医疗费用 人民币100000元/人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2" w:type="dxa"/>
            <w:noWrap w:val="0"/>
            <w:vAlign w:val="center"/>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四、保险期限：</w:t>
            </w:r>
          </w:p>
        </w:tc>
        <w:tc>
          <w:tcPr>
            <w:tcW w:w="6848" w:type="dxa"/>
            <w:noWrap w:val="0"/>
            <w:vAlign w:val="center"/>
          </w:tcPr>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一、保险期限：</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梁开高速（重庆段）第二总承包部机电工程项目：项目开工日起直至项目交工验收合格之日止。项目工期为：12个月。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2" w:type="dxa"/>
            <w:noWrap w:val="0"/>
            <w:vAlign w:val="center"/>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五、每次事故绝对免赔额：</w:t>
            </w:r>
          </w:p>
        </w:tc>
        <w:tc>
          <w:tcPr>
            <w:tcW w:w="6848" w:type="dxa"/>
            <w:noWrap w:val="0"/>
            <w:vAlign w:val="center"/>
          </w:tcPr>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疗费用扣除免赔额100元后按90%赔付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972" w:type="dxa"/>
            <w:noWrap w:val="0"/>
            <w:vAlign w:val="center"/>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六、保费支付方式：</w:t>
            </w:r>
          </w:p>
        </w:tc>
        <w:tc>
          <w:tcPr>
            <w:tcW w:w="6848" w:type="dxa"/>
            <w:noWrap w:val="0"/>
            <w:vAlign w:val="center"/>
          </w:tcPr>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保费支付：支付前需开具增值税发票。</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合同签订后30天内保费一次性支付。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72" w:type="dxa"/>
            <w:noWrap w:val="0"/>
            <w:vAlign w:val="center"/>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七、基本条款：</w:t>
            </w:r>
          </w:p>
        </w:tc>
        <w:tc>
          <w:tcPr>
            <w:tcW w:w="6848" w:type="dxa"/>
            <w:noWrap w:val="0"/>
            <w:vAlign w:val="center"/>
          </w:tcPr>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团体建筑施工人员意外伤害保险条款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972" w:type="dxa"/>
            <w:noWrap w:val="0"/>
            <w:vAlign w:val="center"/>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八、司法管辖：</w:t>
            </w:r>
          </w:p>
        </w:tc>
        <w:tc>
          <w:tcPr>
            <w:tcW w:w="6848" w:type="dxa"/>
            <w:noWrap w:val="0"/>
            <w:vAlign w:val="center"/>
          </w:tcPr>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中华人民共和国司法管辖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noWrap w:val="0"/>
            <w:vAlign w:val="center"/>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九、争议处理：</w:t>
            </w:r>
          </w:p>
        </w:tc>
        <w:tc>
          <w:tcPr>
            <w:tcW w:w="6848" w:type="dxa"/>
            <w:noWrap w:val="0"/>
            <w:vAlign w:val="center"/>
          </w:tcPr>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双方友好协商，共同解决争端。可采用如下方式 2解决争端：</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1.向重庆市仲裁委员会提请仲裁；</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2.向项目所在地有管辖权的人民法院提请诉讼。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noWrap w:val="0"/>
            <w:vAlign w:val="center"/>
          </w:tcPr>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十、团体意外险特别约定</w:t>
            </w:r>
          </w:p>
          <w:p>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0" w:firstLineChars="0"/>
              <w:jc w:val="both"/>
              <w:rPr>
                <w:rFonts w:hint="eastAsia" w:ascii="宋体" w:hAnsi="宋体" w:eastAsia="宋体" w:cs="宋体"/>
                <w:b/>
                <w:sz w:val="21"/>
                <w:szCs w:val="21"/>
                <w:lang w:val="en-US" w:eastAsia="zh-CN"/>
              </w:rPr>
            </w:pPr>
          </w:p>
        </w:tc>
        <w:tc>
          <w:tcPr>
            <w:tcW w:w="6848" w:type="dxa"/>
            <w:noWrap w:val="0"/>
            <w:vAlign w:val="center"/>
          </w:tcPr>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被保险人的雇员在本保险合同载明的区域范围内，从事与被保险人建筑或安装工程业务有关的工作时，因遭受意外事故致伤、残疾或死亡，依据中华人民共和国法律(不包括港澳台地区法律)应由被保险人承担的经济赔偿责任，保险人负责赔偿。</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本保险被保险人是指工程所有人：施工单位重庆首讯科技股份有限公司以及与施工单位建立合同关系的所有直接/间接专业承包商和/或任何分包商和供应商、项目业主、勘察设计单位、监测单位、质量检查单位、审计单位、设计及设计审查单位、工程管理单位、监理单位、咨询公司、顾问公司等相关利益方。公司及联合体单位所有承包商、分包商、设计单位、监理单位、检测单位、顾问、供货商和其他服务的公司、单位和/或个人、贷款银行等。</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本保险“雇员”是指年龄在16至65周岁、身体健康、能正常工作或正常生活的、在建筑安装工程施工现场从事管理和作业并与施工单位建立劳动关系的工程相关人员；年龄在16至65周岁、事先经投保人允许后到施工现场视察、监督检查工作及办理监理、工程设计事务的人员，但不包括与工程施工无直接关系的人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工程相关人员包括(包括但不限于)与设计、施工、维修、维护、企业或项目部形成劳动关系(事实劳动关系、雇用关系、临时务工人员)的与施工项目有关的所有务工人员。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4.本保险赔偿限额：每次事故责任限额1000万、每次事故每人人身伤亡责任限额100万、每次事故每人医疗费用责任限额10万。</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本保险在保险期间内，累计死亡人数为3人(含)以内时，可不提供负有安全管理职责的政府部门证明(必须是在发生事故起24小时内报案),但须提供项目部事故证明。发生伤残无需提供负有安全管理职责的政府部门证明和等机构出具的事故证明材料，保险人不得以此为由拒赔偿。</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6.本保险为不记名投保，出险时被保险人应与投保人具有劳动合同关系或实际上的劳资关系，并以相关证明资料(如劳动合同或工资单等)为准，即使被保人的名单未及时申报或变更。</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7.保险期间届满时工程未竣工的，甲方应在保险期间届满之日起30日内向保险人申请办理延期手续，延期自保险期间届满次日起计算，累计延期不超过180日的，不需交纳保险费。</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8.在保险期间内，被保险人遭受意外伤害事故，并自事故发生之日起180天内，因该事故身故的，保险人按保险金额给付身故保险金，对该被保险人的保险责任终止。</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9.在保险期间内，被保险人遭受主险合同约定的意外伤害，并在中华人民 共和国境内(不包括港、澳、台地区)二级或二级以上公立医院或保险人认可的医疗机构进行治疗，保险人按下列约定给付意外医疗保险金。</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10.在意外伤害事故发生之日起的一百八十天内发生的符合社会基本医疗报 销规定的医疗费用，保险人在保险单所列明的赔付限额内，扣除100元的每次事故免赔额后按90%比例赔付。</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11.工程延期约定</w:t>
            </w:r>
          </w:p>
          <w:p>
            <w:pPr>
              <w:keepNext w:val="0"/>
              <w:keepLines w:val="0"/>
              <w:pageBreakBefore w:val="0"/>
              <w:numPr>
                <w:ilvl w:val="0"/>
                <w:numId w:val="0"/>
              </w:numPr>
              <w:tabs>
                <w:tab w:val="left" w:pos="8100"/>
              </w:tabs>
              <w:kinsoku/>
              <w:wordWrap/>
              <w:overflowPunct/>
              <w:topLinePunct w:val="0"/>
              <w:autoSpaceDE/>
              <w:autoSpaceDN/>
              <w:bidi w:val="0"/>
              <w:adjustRightInd w:val="0"/>
              <w:snapToGrid w:val="0"/>
              <w:spacing w:beforeAutospacing="0" w:afterAutospacing="0" w:line="360" w:lineRule="auto"/>
              <w:ind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机电项目：若工程未按期完工，保险期限将自动扩展180天并不因此加收任何附加保险费，但被保险人须提前30天通知保险人。如果180天后还需要继续延期，将按照本保险工期费率日比例加收延期期间的保险费。本保险单所载其它条件不变。</w:t>
            </w:r>
          </w:p>
        </w:tc>
      </w:tr>
    </w:tbl>
    <w:p>
      <w:pPr>
        <w:pStyle w:val="3"/>
        <w:spacing w:before="0" w:after="0" w:line="360" w:lineRule="auto"/>
        <w:jc w:val="center"/>
        <w:rPr>
          <w:rFonts w:hint="eastAsia" w:ascii="宋体" w:hAnsi="宋体" w:cs="宋体"/>
        </w:rPr>
      </w:pPr>
    </w:p>
    <w:p>
      <w:pPr>
        <w:pStyle w:val="3"/>
        <w:spacing w:before="0" w:after="0" w:line="360" w:lineRule="auto"/>
        <w:jc w:val="center"/>
        <w:rPr>
          <w:rFonts w:hint="eastAsia" w:ascii="宋体" w:hAnsi="宋体" w:cs="宋体"/>
        </w:rPr>
      </w:pPr>
    </w:p>
    <w:p>
      <w:pPr>
        <w:pStyle w:val="3"/>
        <w:spacing w:before="0" w:after="0" w:line="360" w:lineRule="auto"/>
        <w:jc w:val="center"/>
        <w:rPr>
          <w:rFonts w:hint="eastAsia" w:ascii="宋体" w:hAnsi="宋体" w:cs="宋体"/>
        </w:rPr>
      </w:pPr>
    </w:p>
    <w:p>
      <w:pPr>
        <w:pStyle w:val="3"/>
        <w:spacing w:before="0" w:after="0" w:line="360" w:lineRule="auto"/>
        <w:jc w:val="center"/>
        <w:rPr>
          <w:rFonts w:hint="eastAsia" w:ascii="宋体" w:hAnsi="宋体" w:cs="宋体"/>
        </w:rPr>
      </w:pPr>
    </w:p>
    <w:p>
      <w:pPr>
        <w:pStyle w:val="3"/>
        <w:spacing w:before="0" w:after="0" w:line="360" w:lineRule="auto"/>
        <w:jc w:val="center"/>
        <w:rPr>
          <w:rFonts w:hint="eastAsia" w:ascii="宋体" w:hAnsi="宋体" w:cs="宋体"/>
        </w:rPr>
      </w:pPr>
    </w:p>
    <w:p>
      <w:pPr>
        <w:pStyle w:val="3"/>
        <w:spacing w:before="0" w:after="0" w:line="360" w:lineRule="auto"/>
        <w:jc w:val="both"/>
        <w:rPr>
          <w:rFonts w:hint="eastAsia" w:ascii="宋体" w:hAnsi="宋体" w:cs="宋体"/>
        </w:rPr>
      </w:pPr>
    </w:p>
    <w:p>
      <w:pPr>
        <w:rPr>
          <w:rFonts w:hint="eastAsia" w:ascii="宋体" w:hAnsi="宋体" w:cs="宋体"/>
        </w:rPr>
      </w:pPr>
    </w:p>
    <w:p>
      <w:pPr>
        <w:pStyle w:val="41"/>
        <w:rPr>
          <w:rFonts w:hint="eastAsia" w:ascii="宋体" w:hAnsi="宋体" w:cs="宋体"/>
        </w:rPr>
      </w:pPr>
    </w:p>
    <w:p>
      <w:pPr>
        <w:pStyle w:val="41"/>
        <w:rPr>
          <w:rFonts w:hint="eastAsia" w:ascii="宋体" w:hAnsi="宋体" w:cs="宋体"/>
        </w:rPr>
      </w:pPr>
    </w:p>
    <w:p>
      <w:pPr>
        <w:pStyle w:val="41"/>
        <w:rPr>
          <w:rFonts w:hint="eastAsia" w:ascii="宋体" w:hAnsi="宋体" w:cs="宋体"/>
        </w:rPr>
      </w:pPr>
    </w:p>
    <w:p>
      <w:pPr>
        <w:pStyle w:val="41"/>
        <w:rPr>
          <w:rFonts w:hint="eastAsia" w:ascii="宋体" w:hAnsi="宋体" w:cs="宋体"/>
        </w:rPr>
      </w:pPr>
    </w:p>
    <w:p>
      <w:pPr>
        <w:pStyle w:val="3"/>
        <w:spacing w:before="0" w:after="0" w:line="360" w:lineRule="auto"/>
        <w:jc w:val="center"/>
        <w:rPr>
          <w:rFonts w:hint="eastAsia" w:ascii="宋体" w:hAnsi="宋体" w:cs="宋体"/>
        </w:rPr>
      </w:pPr>
    </w:p>
    <w:p>
      <w:pPr>
        <w:pStyle w:val="3"/>
        <w:spacing w:before="0" w:after="0" w:line="360" w:lineRule="auto"/>
        <w:jc w:val="center"/>
        <w:rPr>
          <w:rFonts w:hint="eastAsia" w:ascii="宋体" w:hAnsi="宋体" w:cs="宋体"/>
        </w:rPr>
      </w:pPr>
    </w:p>
    <w:p>
      <w:pPr>
        <w:pStyle w:val="3"/>
        <w:spacing w:before="0" w:after="0" w:line="360" w:lineRule="auto"/>
        <w:jc w:val="center"/>
        <w:rPr>
          <w:rFonts w:hint="eastAsia" w:ascii="宋体" w:hAnsi="宋体" w:cs="宋体"/>
        </w:rPr>
      </w:pPr>
    </w:p>
    <w:p>
      <w:pPr>
        <w:pStyle w:val="3"/>
        <w:spacing w:before="0" w:after="0" w:line="360" w:lineRule="auto"/>
        <w:jc w:val="both"/>
        <w:rPr>
          <w:rFonts w:hint="eastAsia" w:ascii="宋体" w:hAnsi="宋体" w:cs="宋体"/>
        </w:rPr>
      </w:pPr>
    </w:p>
    <w:p>
      <w:pPr>
        <w:rPr>
          <w:rFonts w:hint="eastAsia" w:ascii="宋体" w:hAnsi="宋体" w:cs="宋体"/>
        </w:rPr>
      </w:pPr>
    </w:p>
    <w:p>
      <w:pPr>
        <w:pStyle w:val="41"/>
        <w:rPr>
          <w:rFonts w:hint="eastAsia" w:ascii="宋体" w:hAnsi="宋体" w:cs="宋体"/>
        </w:rPr>
      </w:pPr>
    </w:p>
    <w:p>
      <w:pPr>
        <w:pStyle w:val="41"/>
        <w:rPr>
          <w:rFonts w:hint="eastAsia" w:ascii="宋体" w:hAnsi="宋体" w:cs="宋体"/>
        </w:rPr>
      </w:pPr>
    </w:p>
    <w:p>
      <w:pPr>
        <w:pStyle w:val="41"/>
        <w:rPr>
          <w:rFonts w:hint="eastAsia" w:ascii="宋体" w:hAnsi="宋体" w:cs="宋体"/>
        </w:rPr>
      </w:pPr>
    </w:p>
    <w:p>
      <w:pPr>
        <w:pStyle w:val="41"/>
        <w:rPr>
          <w:rFonts w:hint="eastAsia" w:ascii="宋体" w:hAnsi="宋体" w:cs="宋体"/>
        </w:rPr>
      </w:pPr>
    </w:p>
    <w:p>
      <w:pPr>
        <w:pStyle w:val="41"/>
        <w:rPr>
          <w:rFonts w:hint="eastAsia" w:ascii="宋体" w:hAnsi="宋体" w:cs="宋体"/>
        </w:rPr>
      </w:pPr>
    </w:p>
    <w:p>
      <w:pPr>
        <w:pStyle w:val="41"/>
        <w:rPr>
          <w:rFonts w:hint="eastAsia" w:ascii="宋体" w:hAnsi="宋体" w:cs="宋体"/>
        </w:rPr>
      </w:pPr>
    </w:p>
    <w:p>
      <w:pPr>
        <w:pStyle w:val="3"/>
        <w:spacing w:before="0" w:after="0" w:line="360" w:lineRule="auto"/>
        <w:jc w:val="center"/>
        <w:rPr>
          <w:rFonts w:ascii="宋体" w:hAnsi="宋体" w:cs="宋体"/>
        </w:rPr>
      </w:pPr>
      <w:r>
        <w:rPr>
          <w:rFonts w:hint="eastAsia" w:ascii="宋体" w:hAnsi="宋体" w:cs="宋体"/>
        </w:rPr>
        <w:t>第六章  图  纸</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pPr>
        <w:jc w:val="center"/>
        <w:rPr>
          <w:rFonts w:ascii="宋体" w:hAnsi="宋体" w:cs="宋体"/>
          <w:b/>
        </w:rPr>
      </w:pPr>
      <w:r>
        <w:rPr>
          <w:rFonts w:hint="eastAsia" w:ascii="宋体" w:hAnsi="宋体" w:cs="宋体"/>
          <w:b/>
          <w:kern w:val="0"/>
          <w:sz w:val="24"/>
          <w:lang w:val="en-US" w:eastAsia="zh-CN"/>
        </w:rPr>
        <w:t>无</w:t>
      </w:r>
      <w:r>
        <w:rPr>
          <w:rFonts w:hint="eastAsia" w:ascii="宋体" w:hAnsi="宋体" w:cs="宋体"/>
          <w:b/>
          <w:kern w:val="0"/>
          <w:sz w:val="24"/>
        </w:rPr>
        <w:t>。</w:t>
      </w:r>
    </w:p>
    <w:p>
      <w:pPr>
        <w:spacing w:line="400" w:lineRule="exact"/>
        <w:rPr>
          <w:rFonts w:ascii="宋体" w:hAnsi="宋体" w:cs="宋体"/>
        </w:rPr>
      </w:pPr>
      <w:r>
        <w:rPr>
          <w:rFonts w:hint="eastAsia" w:ascii="宋体" w:hAnsi="宋体" w:cs="宋体"/>
        </w:rPr>
        <w:br w:type="page"/>
      </w:r>
      <w:bookmarkStart w:id="161" w:name="_Toc152042574"/>
      <w:bookmarkStart w:id="162" w:name="_Toc144974854"/>
      <w:bookmarkStart w:id="163" w:name="_Toc152045785"/>
    </w:p>
    <w:p>
      <w:pPr>
        <w:pStyle w:val="3"/>
        <w:spacing w:before="0" w:after="0" w:line="360" w:lineRule="auto"/>
        <w:jc w:val="center"/>
        <w:rPr>
          <w:rFonts w:ascii="宋体" w:hAnsi="宋体" w:cs="宋体"/>
        </w:rPr>
      </w:pPr>
      <w:bookmarkStart w:id="164" w:name="_Toc514858707"/>
      <w:bookmarkStart w:id="165" w:name="_Toc246996353"/>
      <w:bookmarkStart w:id="166" w:name="_Toc503951043"/>
      <w:bookmarkStart w:id="167" w:name="_Toc246997096"/>
      <w:bookmarkStart w:id="168" w:name="_Toc2000411"/>
      <w:bookmarkStart w:id="169" w:name="_Toc447827049"/>
      <w:bookmarkStart w:id="170" w:name="_Toc10887"/>
      <w:bookmarkStart w:id="171" w:name="_Toc179632804"/>
      <w:bookmarkStart w:id="172" w:name="_Toc247085870"/>
      <w:bookmarkStart w:id="173" w:name="_Toc513633964"/>
      <w:r>
        <w:rPr>
          <w:rFonts w:hint="eastAsia" w:ascii="宋体" w:hAnsi="宋体" w:cs="宋体"/>
        </w:rPr>
        <w:t>第七章  技术标准和工作要求</w:t>
      </w:r>
      <w:bookmarkEnd w:id="161"/>
      <w:bookmarkEnd w:id="162"/>
      <w:bookmarkEnd w:id="163"/>
      <w:bookmarkEnd w:id="164"/>
      <w:bookmarkEnd w:id="165"/>
      <w:bookmarkEnd w:id="166"/>
      <w:bookmarkEnd w:id="167"/>
      <w:bookmarkEnd w:id="168"/>
      <w:bookmarkEnd w:id="169"/>
      <w:bookmarkEnd w:id="170"/>
      <w:bookmarkEnd w:id="171"/>
      <w:bookmarkEnd w:id="172"/>
      <w:bookmarkEnd w:id="173"/>
    </w:p>
    <w:bookmarkEnd w:id="124"/>
    <w:bookmarkEnd w:id="125"/>
    <w:bookmarkEnd w:id="126"/>
    <w:bookmarkEnd w:id="127"/>
    <w:bookmarkEnd w:id="128"/>
    <w:bookmarkEnd w:id="129"/>
    <w:bookmarkEnd w:id="130"/>
    <w:p>
      <w:pPr>
        <w:spacing w:line="400" w:lineRule="exact"/>
        <w:ind w:firstLine="420" w:firstLineChars="200"/>
        <w:jc w:val="center"/>
        <w:rPr>
          <w:rFonts w:ascii="宋体" w:hAnsi="宋体" w:cs="宋体"/>
        </w:rPr>
      </w:pPr>
      <w:bookmarkStart w:id="174" w:name="_Toc12089"/>
      <w:bookmarkStart w:id="175" w:name="_Toc514430114"/>
      <w:bookmarkStart w:id="176" w:name="_Toc514858708"/>
      <w:bookmarkStart w:id="177" w:name="_Toc2000412"/>
      <w:bookmarkStart w:id="178" w:name="_Toc144974856"/>
      <w:bookmarkStart w:id="179" w:name="_Toc507320039"/>
      <w:bookmarkStart w:id="180" w:name="_Toc247085873"/>
      <w:bookmarkStart w:id="181" w:name="_Toc246997098"/>
      <w:bookmarkStart w:id="182" w:name="_Toc179632807"/>
      <w:bookmarkStart w:id="183" w:name="_Toc152045787"/>
      <w:bookmarkStart w:id="184" w:name="_Toc246996355"/>
      <w:bookmarkStart w:id="185" w:name="_Toc152042576"/>
      <w:r>
        <w:rPr>
          <w:rFonts w:hint="eastAsia" w:ascii="宋体" w:hAnsi="宋体" w:cs="宋体"/>
          <w:lang w:val="en-US" w:eastAsia="zh-CN"/>
        </w:rPr>
        <w:t>详见第五章</w:t>
      </w:r>
      <w:r>
        <w:rPr>
          <w:rFonts w:hint="eastAsia" w:ascii="宋体" w:hAnsi="宋体" w:cs="宋体"/>
        </w:rPr>
        <w:br w:type="page"/>
      </w:r>
      <w:bookmarkEnd w:id="174"/>
      <w:bookmarkEnd w:id="175"/>
      <w:bookmarkEnd w:id="176"/>
      <w:bookmarkEnd w:id="177"/>
      <w:bookmarkStart w:id="186" w:name="_Toc513633965"/>
    </w:p>
    <w:p>
      <w:pPr>
        <w:spacing w:line="400" w:lineRule="exact"/>
        <w:ind w:firstLine="420" w:firstLineChars="200"/>
        <w:rPr>
          <w:rFonts w:ascii="宋体" w:hAnsi="宋体" w:cs="宋体"/>
        </w:rPr>
      </w:pPr>
    </w:p>
    <w:p>
      <w:pPr>
        <w:pStyle w:val="3"/>
        <w:spacing w:before="0" w:after="0" w:line="360" w:lineRule="auto"/>
        <w:jc w:val="center"/>
        <w:rPr>
          <w:rFonts w:ascii="宋体" w:hAnsi="宋体" w:cs="宋体"/>
        </w:rPr>
      </w:pPr>
      <w:bookmarkStart w:id="187" w:name="_Toc24853"/>
      <w:bookmarkStart w:id="188" w:name="_Toc514858709"/>
      <w:bookmarkStart w:id="189" w:name="_Toc2000413"/>
      <w:r>
        <w:rPr>
          <w:rFonts w:hint="eastAsia" w:ascii="宋体" w:hAnsi="宋体" w:cs="宋体"/>
        </w:rPr>
        <w:t>第八章  竞争性比选响应文件格式</w:t>
      </w:r>
      <w:bookmarkEnd w:id="186"/>
      <w:bookmarkEnd w:id="187"/>
      <w:bookmarkEnd w:id="188"/>
      <w:bookmarkEnd w:id="189"/>
    </w:p>
    <w:p>
      <w:pPr>
        <w:rPr>
          <w:rFonts w:ascii="宋体" w:hAnsi="宋体" w:cs="宋体"/>
        </w:rPr>
      </w:pPr>
    </w:p>
    <w:p>
      <w:pPr>
        <w:rPr>
          <w:rFonts w:ascii="宋体" w:hAnsi="宋体" w:cs="宋体"/>
        </w:rPr>
        <w:sectPr>
          <w:footerReference r:id="rId9" w:type="default"/>
          <w:pgSz w:w="11906" w:h="16838"/>
          <w:pgMar w:top="1440" w:right="1803" w:bottom="1440" w:left="1803" w:header="851" w:footer="992" w:gutter="0"/>
          <w:cols w:space="720" w:num="1"/>
          <w:titlePg/>
          <w:docGrid w:type="lines" w:linePitch="319" w:charSpace="0"/>
        </w:sectPr>
      </w:pPr>
    </w:p>
    <w:p>
      <w:pPr>
        <w:rPr>
          <w:rFonts w:ascii="宋体" w:hAnsi="宋体" w:cs="宋体"/>
        </w:rPr>
      </w:pPr>
    </w:p>
    <w:p>
      <w:pPr>
        <w:jc w:val="center"/>
        <w:rPr>
          <w:rFonts w:ascii="宋体" w:hAnsi="宋体" w:cs="宋体"/>
          <w:sz w:val="52"/>
          <w:szCs w:val="52"/>
          <w:u w:val="single"/>
        </w:rPr>
      </w:pPr>
      <w:bookmarkStart w:id="190" w:name="_Toc514858710"/>
      <w:bookmarkStart w:id="191" w:name="_Toc503971829"/>
      <w:bookmarkStart w:id="192" w:name="_Toc503951046"/>
      <w:bookmarkStart w:id="193" w:name="_Toc513633967"/>
      <w:bookmarkStart w:id="194" w:name="_Toc513646738"/>
      <w:r>
        <w:rPr>
          <w:rFonts w:hint="eastAsia" w:ascii="宋体" w:hAnsi="宋体" w:cs="宋体"/>
          <w:u w:val="single"/>
        </w:rPr>
        <w:t xml:space="preserve">                           </w:t>
      </w:r>
      <w:r>
        <w:rPr>
          <w:rFonts w:hint="eastAsia" w:ascii="宋体" w:hAnsi="宋体" w:cs="宋体"/>
          <w:sz w:val="52"/>
          <w:szCs w:val="52"/>
          <w:u w:val="single"/>
        </w:rPr>
        <w:t>（项目名称）</w:t>
      </w:r>
      <w:bookmarkEnd w:id="190"/>
      <w:bookmarkEnd w:id="191"/>
      <w:bookmarkEnd w:id="192"/>
      <w:bookmarkEnd w:id="193"/>
      <w:bookmarkEnd w:id="194"/>
      <w:r>
        <w:rPr>
          <w:rFonts w:hint="eastAsia" w:ascii="宋体" w:hAnsi="宋体" w:cs="宋体"/>
          <w:sz w:val="52"/>
          <w:szCs w:val="52"/>
          <w:u w:val="single"/>
        </w:rPr>
        <w:t xml:space="preserve"> </w:t>
      </w:r>
    </w:p>
    <w:p>
      <w:pPr>
        <w:rPr>
          <w:rFonts w:ascii="宋体" w:hAnsi="宋体" w:cs="宋体"/>
          <w:sz w:val="20"/>
          <w:szCs w:val="20"/>
        </w:rPr>
      </w:pP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sz w:val="72"/>
          <w:szCs w:val="44"/>
        </w:rPr>
      </w:pPr>
      <w:r>
        <w:rPr>
          <w:rFonts w:hint="eastAsia" w:ascii="宋体" w:hAnsi="宋体" w:cs="宋体"/>
          <w:b/>
          <w:sz w:val="72"/>
          <w:szCs w:val="44"/>
        </w:rPr>
        <w:t>竞争性比选响应文件</w:t>
      </w:r>
    </w:p>
    <w:p>
      <w:pPr>
        <w:jc w:val="center"/>
        <w:rPr>
          <w:rFonts w:ascii="宋体" w:hAnsi="宋体" w:cs="宋体"/>
          <w:b/>
          <w:sz w:val="32"/>
          <w:szCs w:val="32"/>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28"/>
      </w:pPr>
    </w:p>
    <w:p/>
    <w:p>
      <w:pPr>
        <w:pStyle w:val="28"/>
      </w:pPr>
    </w:p>
    <w:p/>
    <w:p>
      <w:pPr>
        <w:pStyle w:val="28"/>
      </w:pPr>
    </w:p>
    <w:p>
      <w:pPr>
        <w:jc w:val="center"/>
        <w:rPr>
          <w:rFonts w:ascii="宋体" w:hAnsi="宋体" w:cs="宋体"/>
          <w:sz w:val="28"/>
          <w:szCs w:val="28"/>
          <w:u w:val="single"/>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ascii="宋体" w:hAnsi="宋体" w:cs="宋体"/>
          <w:sz w:val="20"/>
          <w:szCs w:val="20"/>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4"/>
        <w:jc w:val="center"/>
        <w:rPr>
          <w:rFonts w:ascii="宋体" w:hAnsi="宋体" w:eastAsia="宋体" w:cs="宋体"/>
        </w:rPr>
      </w:pPr>
      <w:bookmarkStart w:id="195" w:name="_Toc1368"/>
      <w:bookmarkStart w:id="196" w:name="_Toc28780"/>
      <w:bookmarkStart w:id="197" w:name="_Toc11329273"/>
      <w:bookmarkStart w:id="198" w:name="_Toc5459"/>
      <w:r>
        <w:rPr>
          <w:rFonts w:hint="eastAsia" w:ascii="宋体" w:hAnsi="宋体" w:eastAsia="宋体" w:cs="宋体"/>
        </w:rPr>
        <w:t>目    录</w:t>
      </w:r>
      <w:bookmarkEnd w:id="178"/>
      <w:bookmarkEnd w:id="179"/>
      <w:bookmarkEnd w:id="180"/>
      <w:bookmarkEnd w:id="181"/>
      <w:bookmarkEnd w:id="182"/>
      <w:bookmarkEnd w:id="183"/>
      <w:bookmarkEnd w:id="184"/>
      <w:bookmarkEnd w:id="185"/>
      <w:bookmarkEnd w:id="195"/>
      <w:bookmarkEnd w:id="196"/>
      <w:bookmarkEnd w:id="197"/>
      <w:bookmarkEnd w:id="198"/>
    </w:p>
    <w:p>
      <w:pPr>
        <w:numPr>
          <w:ilvl w:val="0"/>
          <w:numId w:val="5"/>
        </w:numPr>
        <w:spacing w:line="400" w:lineRule="exact"/>
        <w:rPr>
          <w:rFonts w:ascii="宋体" w:hAnsi="宋体" w:cs="宋体"/>
        </w:rPr>
      </w:pPr>
      <w:r>
        <w:rPr>
          <w:rFonts w:hint="eastAsia" w:ascii="宋体" w:hAnsi="宋体" w:cs="宋体"/>
        </w:rPr>
        <w:t>竞争性响应声明书</w:t>
      </w:r>
    </w:p>
    <w:p>
      <w:pPr>
        <w:numPr>
          <w:ilvl w:val="0"/>
          <w:numId w:val="5"/>
        </w:numPr>
        <w:spacing w:line="400" w:lineRule="exact"/>
        <w:rPr>
          <w:rFonts w:ascii="宋体" w:hAnsi="宋体" w:cs="宋体"/>
        </w:rPr>
      </w:pPr>
      <w:r>
        <w:rPr>
          <w:rFonts w:hint="eastAsia" w:ascii="宋体" w:hAnsi="宋体" w:cs="宋体"/>
          <w:lang w:val="en-US" w:eastAsia="zh-CN"/>
        </w:rPr>
        <w:t>公司负责</w:t>
      </w:r>
      <w:r>
        <w:rPr>
          <w:rFonts w:ascii="宋体" w:hAnsi="宋体" w:cs="宋体"/>
        </w:rPr>
        <w:t>人身份证明或</w:t>
      </w:r>
      <w:r>
        <w:rPr>
          <w:rFonts w:hint="eastAsia" w:ascii="宋体" w:hAnsi="宋体" w:cs="宋体"/>
          <w:lang w:val="en-US" w:eastAsia="zh-CN"/>
        </w:rPr>
        <w:t>公司负责</w:t>
      </w:r>
      <w:r>
        <w:rPr>
          <w:rFonts w:ascii="宋体" w:hAnsi="宋体" w:cs="宋体"/>
        </w:rPr>
        <w:t>人授权委托书</w:t>
      </w:r>
    </w:p>
    <w:p>
      <w:pPr>
        <w:spacing w:line="400" w:lineRule="exact"/>
        <w:rPr>
          <w:rFonts w:ascii="宋体" w:hAnsi="宋体" w:cs="宋体"/>
        </w:rPr>
      </w:pPr>
      <w:r>
        <w:rPr>
          <w:rFonts w:hint="eastAsia" w:ascii="宋体" w:hAnsi="宋体" w:cs="宋体"/>
        </w:rPr>
        <w:t>三、报价一览表</w:t>
      </w:r>
    </w:p>
    <w:p>
      <w:pPr>
        <w:spacing w:line="400" w:lineRule="exact"/>
        <w:rPr>
          <w:rFonts w:ascii="宋体" w:hAnsi="宋体" w:cs="宋体"/>
        </w:rPr>
      </w:pPr>
      <w:r>
        <w:rPr>
          <w:rFonts w:hint="eastAsia" w:ascii="宋体" w:hAnsi="宋体" w:cs="宋体"/>
        </w:rPr>
        <w:t>四、审查资料</w:t>
      </w:r>
    </w:p>
    <w:p>
      <w:pPr>
        <w:spacing w:line="400" w:lineRule="exact"/>
        <w:rPr>
          <w:rFonts w:ascii="宋体" w:hAnsi="宋体" w:cs="宋体"/>
          <w:szCs w:val="21"/>
        </w:rPr>
      </w:pPr>
      <w:r>
        <w:rPr>
          <w:rFonts w:hint="eastAsia" w:ascii="宋体" w:hAnsi="宋体" w:cs="宋体"/>
        </w:rPr>
        <w:t>五、</w:t>
      </w:r>
      <w:r>
        <w:rPr>
          <w:rFonts w:hint="eastAsia" w:ascii="宋体" w:hAnsi="宋体" w:cs="宋体"/>
          <w:szCs w:val="21"/>
        </w:rPr>
        <w:t>报价人须知前附表规定要求的资料</w:t>
      </w:r>
    </w:p>
    <w:p>
      <w:pPr>
        <w:spacing w:line="400" w:lineRule="exact"/>
        <w:rPr>
          <w:rFonts w:ascii="宋体" w:hAnsi="宋体" w:cs="宋体"/>
          <w:szCs w:val="21"/>
        </w:rPr>
      </w:pPr>
      <w:r>
        <w:rPr>
          <w:rFonts w:hint="eastAsia" w:ascii="宋体" w:hAnsi="宋体" w:cs="宋体"/>
          <w:szCs w:val="21"/>
        </w:rPr>
        <w:t>六、报价人基本信息及其他材料</w:t>
      </w:r>
    </w:p>
    <w:p>
      <w:pPr>
        <w:spacing w:line="400" w:lineRule="exact"/>
        <w:rPr>
          <w:rFonts w:ascii="宋体" w:hAnsi="宋体" w:cs="宋体"/>
        </w:rPr>
      </w:pPr>
      <w:r>
        <w:rPr>
          <w:rFonts w:hint="eastAsia" w:ascii="宋体" w:hAnsi="宋体" w:cs="宋体"/>
        </w:rPr>
        <w:t xml:space="preserve"> </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r>
        <w:rPr>
          <w:rFonts w:ascii="宋体" w:hAnsi="宋体" w:cs="宋体"/>
        </w:rPr>
        <w:br w:type="page"/>
      </w:r>
    </w:p>
    <w:p>
      <w:pPr>
        <w:pStyle w:val="4"/>
        <w:spacing w:before="0" w:after="0" w:line="360" w:lineRule="auto"/>
        <w:jc w:val="center"/>
        <w:rPr>
          <w:rFonts w:ascii="宋体" w:hAnsi="宋体" w:eastAsia="宋体" w:cs="宋体"/>
          <w:sz w:val="28"/>
        </w:rPr>
      </w:pPr>
      <w:bookmarkStart w:id="199" w:name="_Toc8870"/>
      <w:bookmarkStart w:id="200" w:name="_Toc11329274"/>
      <w:bookmarkStart w:id="201" w:name="_Toc15863"/>
      <w:bookmarkStart w:id="202" w:name="_Toc25874"/>
      <w:bookmarkStart w:id="203" w:name="_Toc29547"/>
      <w:bookmarkStart w:id="204" w:name="_Toc513633969"/>
      <w:bookmarkStart w:id="205" w:name="_Toc503951048"/>
      <w:bookmarkStart w:id="206" w:name="_Toc447827053"/>
      <w:r>
        <w:rPr>
          <w:rFonts w:hint="eastAsia" w:ascii="宋体" w:hAnsi="宋体" w:eastAsia="宋体" w:cs="宋体"/>
          <w:sz w:val="28"/>
        </w:rPr>
        <w:t>一、</w:t>
      </w:r>
      <w:bookmarkEnd w:id="199"/>
      <w:bookmarkEnd w:id="200"/>
      <w:r>
        <w:rPr>
          <w:rFonts w:hint="eastAsia" w:ascii="宋体" w:hAnsi="宋体" w:eastAsia="宋体" w:cs="宋体"/>
          <w:sz w:val="28"/>
        </w:rPr>
        <w:t>竞争比选响应声明书</w:t>
      </w:r>
      <w:bookmarkEnd w:id="201"/>
      <w:bookmarkEnd w:id="202"/>
      <w:bookmarkEnd w:id="203"/>
    </w:p>
    <w:p>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重庆首讯科技股份有限公司</w:t>
      </w:r>
    </w:p>
    <w:p>
      <w:pPr>
        <w:spacing w:line="700" w:lineRule="atLeast"/>
        <w:ind w:firstLine="480" w:firstLineChars="200"/>
        <w:rPr>
          <w:rFonts w:ascii="Arial" w:hAnsi="Arial" w:cs="Arial"/>
          <w:color w:val="000000"/>
          <w:sz w:val="24"/>
        </w:rPr>
      </w:pPr>
      <w:r>
        <w:rPr>
          <w:rFonts w:hint="eastAsia" w:ascii="Arial" w:hAnsi="Arial" w:cs="Arial"/>
          <w:color w:val="000000"/>
          <w:sz w:val="24"/>
        </w:rPr>
        <w:t>根据贵</w:t>
      </w:r>
      <w:r>
        <w:rPr>
          <w:rFonts w:hint="eastAsia" w:ascii="Arial" w:hAnsi="Arial" w:cs="Arial"/>
          <w:sz w:val="24"/>
        </w:rPr>
        <w:t>方为</w:t>
      </w:r>
      <w:r>
        <w:rPr>
          <w:rFonts w:hint="eastAsia" w:ascii="Arial" w:hAnsi="Arial" w:cs="Arial"/>
          <w:sz w:val="24"/>
          <w:u w:val="single"/>
          <w:lang w:val="en-US" w:eastAsia="zh-CN"/>
        </w:rPr>
        <w:t>梁开高速（重庆段）第二总承包部机电工程保险服务采购项目</w:t>
      </w:r>
      <w:r>
        <w:rPr>
          <w:rFonts w:hint="eastAsia" w:ascii="Arial" w:hAnsi="Arial" w:cs="Arial"/>
          <w:sz w:val="24"/>
        </w:rPr>
        <w:t>竞争比选项目及服</w:t>
      </w:r>
      <w:r>
        <w:rPr>
          <w:rFonts w:hint="eastAsia" w:ascii="Arial" w:hAnsi="Arial" w:cs="Arial"/>
          <w:color w:val="000000"/>
          <w:sz w:val="24"/>
        </w:rPr>
        <w:t>务的竞争比选邀请，签字代表</w:t>
      </w:r>
      <w:r>
        <w:rPr>
          <w:rFonts w:ascii="Arial" w:hAnsi="Arial" w:cs="Arial"/>
          <w:color w:val="000000"/>
          <w:sz w:val="24"/>
          <w:u w:val="single"/>
        </w:rPr>
        <w:t xml:space="preserve">          </w:t>
      </w:r>
      <w:r>
        <w:rPr>
          <w:rFonts w:hint="eastAsia" w:ascii="Arial" w:hAnsi="Arial" w:cs="Arial"/>
          <w:color w:val="000000"/>
          <w:sz w:val="24"/>
          <w:u w:val="single"/>
        </w:rPr>
        <w:t>（全名、职务）</w:t>
      </w:r>
      <w:r>
        <w:rPr>
          <w:rFonts w:hint="eastAsia" w:ascii="Arial" w:hAnsi="Arial" w:cs="Arial"/>
          <w:color w:val="000000"/>
          <w:sz w:val="24"/>
        </w:rPr>
        <w:t>经正式授权并代表竞争比选响应单位</w:t>
      </w:r>
      <w:r>
        <w:rPr>
          <w:rFonts w:hint="eastAsia" w:ascii="Arial" w:hAnsi="Arial" w:cs="Arial"/>
          <w:color w:val="000000"/>
          <w:sz w:val="24"/>
          <w:u w:val="single"/>
        </w:rPr>
        <w:t>（竞争比选响应单位名称）</w:t>
      </w:r>
      <w:r>
        <w:rPr>
          <w:rFonts w:ascii="Arial" w:hAnsi="Arial" w:cs="Arial"/>
          <w:color w:val="000000"/>
          <w:sz w:val="24"/>
          <w:u w:val="single"/>
        </w:rPr>
        <w:t xml:space="preserve"> </w:t>
      </w:r>
      <w:r>
        <w:rPr>
          <w:rFonts w:hint="eastAsia" w:ascii="Arial" w:hAnsi="Arial" w:cs="Arial"/>
          <w:color w:val="000000"/>
          <w:sz w:val="24"/>
        </w:rPr>
        <w:t>提交报价文件。</w:t>
      </w:r>
    </w:p>
    <w:p>
      <w:pPr>
        <w:spacing w:line="700" w:lineRule="atLeast"/>
        <w:ind w:firstLine="480" w:firstLineChars="200"/>
        <w:rPr>
          <w:rFonts w:ascii="Arial" w:hAnsi="Arial" w:cs="Arial"/>
          <w:color w:val="000000"/>
          <w:sz w:val="24"/>
          <w:u w:val="single"/>
        </w:rPr>
      </w:pPr>
      <w:r>
        <w:rPr>
          <w:rFonts w:hint="eastAsia" w:ascii="Arial" w:hAnsi="Arial" w:cs="Arial"/>
          <w:color w:val="000000"/>
          <w:sz w:val="24"/>
          <w:u w:val="single"/>
        </w:rPr>
        <w:t>我方愿以人民币：              元（大写              元）的报价总价按照竞争比选文件的要求，承担本次竞争比选文件要求的</w:t>
      </w:r>
      <w:r>
        <w:rPr>
          <w:rFonts w:hint="eastAsia" w:ascii="Arial" w:hAnsi="Arial" w:cs="Arial"/>
          <w:color w:val="000000"/>
          <w:sz w:val="24"/>
          <w:u w:val="single"/>
          <w:lang w:val="en-US" w:eastAsia="zh-CN"/>
        </w:rPr>
        <w:t>服务</w:t>
      </w:r>
      <w:r>
        <w:rPr>
          <w:rFonts w:hint="eastAsia" w:ascii="Arial" w:hAnsi="Arial" w:cs="Arial"/>
          <w:color w:val="000000"/>
          <w:sz w:val="24"/>
          <w:u w:val="single"/>
        </w:rPr>
        <w:t>。</w:t>
      </w:r>
    </w:p>
    <w:p>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p>
    <w:p>
      <w:pPr>
        <w:tabs>
          <w:tab w:val="left" w:pos="540"/>
          <w:tab w:val="left" w:pos="900"/>
        </w:tabs>
        <w:spacing w:line="300" w:lineRule="auto"/>
        <w:rPr>
          <w:rFonts w:ascii="Arial" w:hAnsi="Arial" w:cs="Arial"/>
          <w:color w:val="000000"/>
          <w:sz w:val="24"/>
        </w:rPr>
      </w:pPr>
      <w:r>
        <w:rPr>
          <w:rFonts w:hint="eastAsia" w:ascii="Arial" w:hAnsi="Arial" w:cs="Arial"/>
          <w:color w:val="000000"/>
          <w:sz w:val="24"/>
        </w:rPr>
        <w:t>据此函，签字代表宣布同意如下：</w:t>
      </w:r>
    </w:p>
    <w:p>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hint="eastAsia" w:ascii="Arial" w:hAnsi="Arial" w:cs="Arial"/>
          <w:color w:val="000000"/>
          <w:sz w:val="24"/>
        </w:rPr>
        <w:t>、竞争比选响应单位将按竞争比选文件规定履行合同责任和义务。</w:t>
      </w:r>
    </w:p>
    <w:p>
      <w:pPr>
        <w:tabs>
          <w:tab w:val="left" w:pos="900"/>
        </w:tabs>
        <w:spacing w:line="300" w:lineRule="auto"/>
        <w:rPr>
          <w:rFonts w:ascii="Arial" w:hAnsi="Arial" w:cs="Arial"/>
          <w:b/>
          <w:color w:val="000000"/>
          <w:sz w:val="24"/>
        </w:rPr>
      </w:pPr>
      <w:r>
        <w:rPr>
          <w:rFonts w:ascii="Arial" w:hAnsi="Arial" w:cs="Arial"/>
          <w:color w:val="000000"/>
          <w:sz w:val="24"/>
        </w:rPr>
        <w:t>2</w:t>
      </w:r>
      <w:r>
        <w:rPr>
          <w:rFonts w:hint="eastAsia" w:ascii="Arial" w:hAnsi="Arial" w:cs="Arial"/>
          <w:color w:val="000000"/>
          <w:sz w:val="24"/>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rPr>
      </w:pPr>
      <w:r>
        <w:rPr>
          <w:rFonts w:hint="eastAsia" w:ascii="Arial" w:hAnsi="Arial" w:cs="Arial"/>
          <w:color w:val="000000"/>
          <w:sz w:val="24"/>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rPr>
      </w:pPr>
      <w:r>
        <w:rPr>
          <w:rFonts w:hint="eastAsia" w:ascii="Arial" w:hAnsi="Arial" w:cs="Arial"/>
          <w:color w:val="000000"/>
          <w:sz w:val="24"/>
        </w:rPr>
        <w:t>4、与本竞争比选响应有关的一切正式往来通讯请寄：</w:t>
      </w:r>
    </w:p>
    <w:p>
      <w:pPr>
        <w:tabs>
          <w:tab w:val="left" w:pos="900"/>
        </w:tabs>
        <w:spacing w:line="300" w:lineRule="auto"/>
        <w:rPr>
          <w:rFonts w:ascii="Arial" w:hAnsi="Arial" w:cs="Arial"/>
          <w:b/>
          <w:color w:val="000000"/>
          <w:sz w:val="24"/>
        </w:rPr>
      </w:pPr>
      <w:r>
        <w:rPr>
          <w:rFonts w:hint="eastAsia" w:ascii="Arial" w:hAnsi="Arial" w:cs="Arial"/>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pPr>
        <w:tabs>
          <w:tab w:val="left" w:pos="900"/>
        </w:tabs>
        <w:spacing w:line="300" w:lineRule="auto"/>
        <w:rPr>
          <w:rFonts w:ascii="Arial" w:hAnsi="Arial" w:cs="Arial"/>
          <w:color w:val="000000"/>
          <w:sz w:val="24"/>
          <w:u w:val="single"/>
        </w:rPr>
      </w:pPr>
      <w:r>
        <w:rPr>
          <w:rFonts w:hint="eastAsia" w:ascii="Arial" w:hAnsi="Arial" w:cs="Arial"/>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传真：</w:t>
      </w:r>
      <w:r>
        <w:rPr>
          <w:rFonts w:ascii="Arial" w:hAnsi="Arial" w:cs="Arial"/>
          <w:color w:val="000000"/>
          <w:sz w:val="24"/>
          <w:u w:val="single"/>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color w:val="000000"/>
          <w:sz w:val="24"/>
        </w:rPr>
      </w:pPr>
      <w:r>
        <w:rPr>
          <w:rFonts w:hint="eastAsia" w:ascii="Arial" w:hAnsi="Arial" w:cs="Arial"/>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pPr>
        <w:tabs>
          <w:tab w:val="left" w:pos="900"/>
        </w:tabs>
        <w:spacing w:line="300" w:lineRule="auto"/>
        <w:rPr>
          <w:rFonts w:ascii="Arial" w:hAnsi="Arial" w:cs="Arial"/>
          <w:color w:val="000000"/>
          <w:sz w:val="24"/>
        </w:rPr>
      </w:pPr>
      <w:r>
        <w:rPr>
          <w:rFonts w:hint="eastAsia" w:ascii="Arial" w:hAnsi="Arial" w:cs="Arial"/>
          <w:color w:val="000000"/>
          <w:sz w:val="24"/>
        </w:rPr>
        <w:t>日期：</w:t>
      </w:r>
      <w:r>
        <w:rPr>
          <w:rFonts w:hint="eastAsia" w:ascii="Arial" w:hAnsi="Arial" w:cs="Arial"/>
          <w:color w:val="000000"/>
          <w:sz w:val="24"/>
          <w:u w:val="single"/>
        </w:rPr>
        <w:t xml:space="preserve">     </w:t>
      </w:r>
      <w:r>
        <w:rPr>
          <w:rFonts w:hint="eastAsia" w:ascii="Arial" w:hAnsi="Arial" w:cs="Arial"/>
          <w:color w:val="000000"/>
          <w:sz w:val="24"/>
        </w:rPr>
        <w:t>年</w:t>
      </w:r>
      <w:r>
        <w:rPr>
          <w:rFonts w:ascii="Arial" w:hAnsi="Arial" w:cs="Arial"/>
          <w:color w:val="000000"/>
          <w:sz w:val="24"/>
          <w:u w:val="single"/>
        </w:rPr>
        <w:t xml:space="preserve">      </w:t>
      </w:r>
      <w:r>
        <w:rPr>
          <w:rFonts w:hint="eastAsia" w:ascii="Arial" w:hAnsi="Arial" w:cs="Arial"/>
          <w:color w:val="000000"/>
          <w:sz w:val="24"/>
        </w:rPr>
        <w:t>月</w:t>
      </w:r>
      <w:r>
        <w:rPr>
          <w:rFonts w:ascii="Arial" w:hAnsi="Arial" w:cs="Arial"/>
          <w:color w:val="000000"/>
          <w:sz w:val="24"/>
          <w:u w:val="single"/>
        </w:rPr>
        <w:t xml:space="preserve">    </w:t>
      </w:r>
      <w:r>
        <w:rPr>
          <w:rFonts w:hint="eastAsia" w:ascii="Arial" w:hAnsi="Arial" w:cs="Arial"/>
          <w:color w:val="000000"/>
          <w:sz w:val="24"/>
          <w:u w:val="single"/>
        </w:rPr>
        <w:t xml:space="preserve">  </w:t>
      </w:r>
      <w:r>
        <w:rPr>
          <w:rFonts w:hint="eastAsia" w:ascii="Arial" w:hAnsi="Arial" w:cs="Arial"/>
          <w:color w:val="000000"/>
          <w:sz w:val="24"/>
        </w:rPr>
        <w:t>日</w:t>
      </w:r>
      <w:r>
        <w:rPr>
          <w:rFonts w:ascii="Arial" w:hAnsi="Arial" w:cs="Arial"/>
          <w:color w:val="000000"/>
          <w:sz w:val="24"/>
        </w:rPr>
        <w:t xml:space="preserve"> </w:t>
      </w:r>
    </w:p>
    <w:p>
      <w:pPr>
        <w:outlineLvl w:val="0"/>
        <w:rPr>
          <w:b/>
          <w:sz w:val="24"/>
        </w:rPr>
      </w:pPr>
    </w:p>
    <w:p>
      <w:pPr>
        <w:outlineLvl w:val="0"/>
        <w:rPr>
          <w:b/>
          <w:sz w:val="24"/>
        </w:rPr>
      </w:pPr>
    </w:p>
    <w:p>
      <w:pPr>
        <w:outlineLvl w:val="0"/>
        <w:rPr>
          <w:b/>
          <w:sz w:val="24"/>
        </w:rPr>
      </w:pPr>
    </w:p>
    <w:p>
      <w:pPr>
        <w:pStyle w:val="4"/>
        <w:jc w:val="center"/>
        <w:rPr>
          <w:rFonts w:ascii="宋体" w:hAnsi="宋体" w:eastAsia="宋体" w:cs="宋体"/>
          <w:sz w:val="28"/>
          <w:szCs w:val="28"/>
        </w:rPr>
      </w:pPr>
      <w:bookmarkStart w:id="207" w:name="_Toc27815"/>
      <w:bookmarkStart w:id="208" w:name="_Toc491883232"/>
      <w:r>
        <w:rPr>
          <w:rFonts w:hint="eastAsia" w:ascii="宋体" w:hAnsi="宋体" w:eastAsia="宋体" w:cs="宋体"/>
          <w:sz w:val="28"/>
          <w:szCs w:val="28"/>
        </w:rPr>
        <w:t>二、</w:t>
      </w:r>
      <w:bookmarkEnd w:id="207"/>
      <w:r>
        <w:rPr>
          <w:rFonts w:hint="eastAsia" w:ascii="宋体" w:hAnsi="宋体" w:eastAsia="宋体" w:cs="宋体"/>
          <w:sz w:val="28"/>
          <w:szCs w:val="28"/>
          <w:lang w:eastAsia="zh-CN"/>
        </w:rPr>
        <w:t>公司负责人</w:t>
      </w:r>
      <w:r>
        <w:rPr>
          <w:rFonts w:hint="eastAsia" w:ascii="宋体" w:hAnsi="宋体" w:eastAsia="宋体" w:cs="宋体"/>
          <w:sz w:val="28"/>
          <w:szCs w:val="28"/>
        </w:rPr>
        <w:t>授权委托书</w:t>
      </w:r>
    </w:p>
    <w:p>
      <w:pPr>
        <w:pStyle w:val="4"/>
        <w:jc w:val="center"/>
        <w:rPr>
          <w:rFonts w:ascii="宋体" w:hAnsi="宋体" w:eastAsia="宋体" w:cs="宋体"/>
          <w:sz w:val="24"/>
          <w:szCs w:val="24"/>
        </w:rPr>
      </w:pPr>
      <w:bookmarkStart w:id="209" w:name="_Toc14141"/>
      <w:r>
        <w:rPr>
          <w:rFonts w:hint="eastAsia" w:ascii="宋体" w:hAnsi="宋体" w:eastAsia="宋体" w:cs="宋体"/>
          <w:sz w:val="24"/>
          <w:szCs w:val="24"/>
        </w:rPr>
        <w:t>（一）</w:t>
      </w:r>
      <w:r>
        <w:rPr>
          <w:rFonts w:hint="eastAsia" w:ascii="宋体" w:hAnsi="宋体" w:eastAsia="宋体" w:cs="宋体"/>
          <w:sz w:val="24"/>
          <w:szCs w:val="24"/>
          <w:lang w:eastAsia="zh-CN"/>
        </w:rPr>
        <w:t>公司负责人</w:t>
      </w:r>
      <w:r>
        <w:rPr>
          <w:rFonts w:hint="eastAsia" w:ascii="宋体" w:hAnsi="宋体" w:eastAsia="宋体" w:cs="宋体"/>
          <w:sz w:val="24"/>
          <w:szCs w:val="24"/>
        </w:rPr>
        <w:t>身份证明</w:t>
      </w:r>
      <w:bookmarkEnd w:id="208"/>
      <w:bookmarkEnd w:id="209"/>
    </w:p>
    <w:p>
      <w:pPr>
        <w:spacing w:line="440" w:lineRule="exact"/>
        <w:rPr>
          <w:rFonts w:ascii="宋体" w:hAnsi="宋体"/>
        </w:rPr>
      </w:pPr>
      <w:r>
        <w:rPr>
          <w:rFonts w:hint="eastAsia" w:ascii="宋体" w:hAnsi="宋体"/>
        </w:rPr>
        <w:t>报价人</w:t>
      </w:r>
      <w:r>
        <w:rPr>
          <w:rFonts w:ascii="宋体" w:hAnsi="宋体"/>
        </w:rPr>
        <w:t>名称：</w:t>
      </w:r>
      <w:r>
        <w:rPr>
          <w:rFonts w:ascii="宋体" w:hAnsi="宋体"/>
          <w:u w:val="single"/>
        </w:rPr>
        <w:t xml:space="preserve">                        </w:t>
      </w:r>
    </w:p>
    <w:p>
      <w:pPr>
        <w:spacing w:line="440" w:lineRule="exact"/>
        <w:rPr>
          <w:rFonts w:ascii="宋体" w:hAnsi="宋体"/>
        </w:rPr>
      </w:pPr>
      <w:r>
        <w:rPr>
          <w:rFonts w:ascii="宋体" w:hAnsi="宋体"/>
        </w:rPr>
        <w:t>姓名：</w:t>
      </w:r>
      <w:r>
        <w:rPr>
          <w:rFonts w:ascii="宋体" w:hAnsi="宋体"/>
          <w:u w:val="single"/>
        </w:rPr>
        <w:t xml:space="preserve">                </w:t>
      </w:r>
      <w:r>
        <w:rPr>
          <w:rFonts w:ascii="宋体" w:hAnsi="宋体"/>
        </w:rPr>
        <w:t>性别：</w:t>
      </w:r>
      <w:bookmarkStart w:id="210" w:name="_Toc27897"/>
      <w:bookmarkStart w:id="211" w:name="_Toc369531698"/>
      <w:bookmarkStart w:id="212" w:name="_Toc352691662"/>
      <w:r>
        <w:rPr>
          <w:rFonts w:ascii="宋体" w:hAnsi="宋体"/>
          <w:u w:val="single"/>
        </w:rPr>
        <w:t xml:space="preserve">        </w:t>
      </w:r>
      <w:r>
        <w:rPr>
          <w:rFonts w:ascii="宋体" w:hAnsi="宋体"/>
        </w:rPr>
        <w:t>年</w:t>
      </w:r>
      <w:bookmarkEnd w:id="210"/>
      <w:bookmarkEnd w:id="211"/>
      <w:bookmarkEnd w:id="212"/>
      <w:r>
        <w:rPr>
          <w:rFonts w:ascii="宋体" w:hAnsi="宋体"/>
        </w:rPr>
        <w:t>龄</w:t>
      </w:r>
      <w:bookmarkStart w:id="213" w:name="_Toc300835211"/>
      <w:bookmarkStart w:id="214" w:name="_Toc144974858"/>
      <w:bookmarkStart w:id="215" w:name="_Toc361508754"/>
      <w:bookmarkStart w:id="216" w:name="_Toc15573"/>
      <w:bookmarkStart w:id="217" w:name="_Toc247527829"/>
      <w:bookmarkStart w:id="218" w:name="_Toc152045789"/>
      <w:bookmarkStart w:id="219" w:name="_Toc247514248"/>
      <w:bookmarkStart w:id="220" w:name="_Toc152042578"/>
      <w:bookmarkStart w:id="221" w:name="_Toc352691663"/>
      <w:bookmarkStart w:id="222" w:name="_Toc369531699"/>
      <w:bookmarkStart w:id="223" w:name="_Toc384308377"/>
      <w:r>
        <w:rPr>
          <w:rFonts w:ascii="宋体" w:hAnsi="宋体"/>
        </w:rPr>
        <w:t>：</w:t>
      </w:r>
      <w:bookmarkEnd w:id="213"/>
      <w:bookmarkEnd w:id="214"/>
      <w:bookmarkEnd w:id="215"/>
      <w:bookmarkEnd w:id="216"/>
      <w:bookmarkEnd w:id="217"/>
      <w:bookmarkEnd w:id="218"/>
      <w:bookmarkEnd w:id="219"/>
      <w:bookmarkEnd w:id="220"/>
      <w:bookmarkEnd w:id="221"/>
      <w:bookmarkEnd w:id="222"/>
      <w:bookmarkEnd w:id="223"/>
      <w:r>
        <w:rPr>
          <w:rFonts w:ascii="宋体" w:hAnsi="宋体"/>
          <w:u w:val="single"/>
        </w:rPr>
        <w:t xml:space="preserve">        </w:t>
      </w:r>
      <w:r>
        <w:rPr>
          <w:rFonts w:ascii="宋体" w:hAnsi="宋体"/>
        </w:rPr>
        <w:t>职务：</w:t>
      </w:r>
      <w:r>
        <w:rPr>
          <w:rFonts w:ascii="宋体" w:hAnsi="宋体"/>
          <w:u w:val="single"/>
        </w:rPr>
        <w:t xml:space="preserve">        </w:t>
      </w:r>
    </w:p>
    <w:p>
      <w:pPr>
        <w:spacing w:line="440" w:lineRule="exact"/>
        <w:rPr>
          <w:rFonts w:ascii="宋体" w:hAnsi="宋体"/>
        </w:rPr>
      </w:pPr>
      <w:r>
        <w:rPr>
          <w:rFonts w:ascii="宋体" w:hAnsi="宋体"/>
        </w:rPr>
        <w:t>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w:t>
      </w:r>
      <w:r>
        <w:rPr>
          <w:rFonts w:hint="eastAsia" w:ascii="宋体" w:hAnsi="宋体"/>
          <w:lang w:val="en-US" w:eastAsia="zh-CN"/>
        </w:rPr>
        <w:t>负责</w:t>
      </w:r>
      <w:r>
        <w:rPr>
          <w:rFonts w:ascii="宋体" w:hAnsi="宋体"/>
        </w:rPr>
        <w:t>人。</w:t>
      </w:r>
    </w:p>
    <w:p>
      <w:pPr>
        <w:spacing w:line="440" w:lineRule="exact"/>
        <w:ind w:firstLine="420" w:firstLineChars="200"/>
        <w:rPr>
          <w:rFonts w:ascii="宋体" w:hAnsi="宋体"/>
        </w:rPr>
      </w:pPr>
      <w:r>
        <w:rPr>
          <w:rFonts w:ascii="宋体" w:hAnsi="宋体"/>
        </w:rPr>
        <w:t>特此证明。</w:t>
      </w:r>
    </w:p>
    <w:p>
      <w:pPr>
        <w:spacing w:line="440" w:lineRule="exact"/>
        <w:rPr>
          <w:rFonts w:ascii="宋体" w:hAnsi="宋体"/>
        </w:rPr>
      </w:pPr>
    </w:p>
    <w:p>
      <w:pPr>
        <w:spacing w:line="440" w:lineRule="exact"/>
        <w:rPr>
          <w:rFonts w:ascii="宋体" w:hAnsi="宋体"/>
        </w:rPr>
      </w:pPr>
      <w:r>
        <w:rPr>
          <w:rFonts w:ascii="宋体" w:hAnsi="宋体"/>
        </w:rPr>
        <w:t>附：</w:t>
      </w:r>
      <w:r>
        <w:rPr>
          <w:rFonts w:hint="eastAsia" w:ascii="宋体" w:hAnsi="宋体"/>
          <w:lang w:eastAsia="zh-CN"/>
        </w:rPr>
        <w:t>公司负责人</w:t>
      </w:r>
      <w:r>
        <w:rPr>
          <w:rFonts w:ascii="宋体" w:hAnsi="宋体"/>
        </w:rPr>
        <w:t>身份证复印件</w:t>
      </w:r>
      <w:r>
        <w:rPr>
          <w:rFonts w:hint="eastAsia" w:ascii="宋体" w:hAnsi="宋体"/>
        </w:rPr>
        <w:t>（正、反面）</w:t>
      </w:r>
      <w:r>
        <w:rPr>
          <w:rFonts w:ascii="宋体" w:hAnsi="宋体"/>
        </w:rPr>
        <w:t>。</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jc w:val="center"/>
        <w:rPr>
          <w:rFonts w:ascii="宋体" w:hAnsi="宋体"/>
        </w:rPr>
      </w:pPr>
      <w:r>
        <w:rPr>
          <w:rFonts w:ascii="宋体" w:hAnsi="宋体"/>
        </w:rPr>
        <w:t xml:space="preserve">                              </w:t>
      </w:r>
      <w:r>
        <w:rPr>
          <w:rFonts w:hint="eastAsia" w:ascii="宋体" w:hAnsi="宋体"/>
        </w:rPr>
        <w:t>报价人</w:t>
      </w:r>
      <w:r>
        <w:rPr>
          <w:rFonts w:ascii="宋体" w:hAnsi="宋体"/>
        </w:rPr>
        <w:t>：</w:t>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rPr>
          <w:rFonts w:ascii="宋体" w:hAnsi="宋体"/>
        </w:rPr>
      </w:pPr>
    </w:p>
    <w:p>
      <w:pPr>
        <w:spacing w:line="440" w:lineRule="exact"/>
        <w:ind w:firstLine="4620" w:firstLineChars="2200"/>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注：本身份证明需由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w:t>
      </w:r>
    </w:p>
    <w:p>
      <w:pPr>
        <w:spacing w:line="440" w:lineRule="exact"/>
        <w:rPr>
          <w:rFonts w:ascii="宋体" w:hAnsi="宋体"/>
          <w:sz w:val="20"/>
        </w:rPr>
      </w:pPr>
    </w:p>
    <w:p>
      <w:pPr>
        <w:spacing w:line="20" w:lineRule="exact"/>
        <w:jc w:val="center"/>
        <w:rPr>
          <w:rFonts w:ascii="宋体" w:hAnsi="宋体"/>
          <w:sz w:val="20"/>
        </w:rPr>
      </w:pPr>
      <w:r>
        <w:rPr>
          <w:rFonts w:ascii="宋体" w:hAnsi="宋体"/>
          <w:sz w:val="20"/>
        </w:rPr>
        <w:br w:type="page"/>
      </w:r>
    </w:p>
    <w:p>
      <w:pPr>
        <w:pStyle w:val="4"/>
        <w:jc w:val="center"/>
        <w:rPr>
          <w:rFonts w:ascii="宋体" w:hAnsi="宋体"/>
          <w:sz w:val="28"/>
          <w:szCs w:val="28"/>
        </w:rPr>
      </w:pPr>
      <w:bookmarkStart w:id="224" w:name="_Toc491883233"/>
      <w:bookmarkStart w:id="225" w:name="_Toc58"/>
      <w:r>
        <w:rPr>
          <w:rFonts w:hint="eastAsia" w:ascii="宋体" w:hAnsi="宋体" w:eastAsia="宋体" w:cs="宋体"/>
          <w:sz w:val="24"/>
          <w:szCs w:val="24"/>
        </w:rPr>
        <w:t>（二）</w:t>
      </w:r>
      <w:bookmarkEnd w:id="224"/>
      <w:r>
        <w:rPr>
          <w:rFonts w:hint="eastAsia" w:ascii="宋体" w:hAnsi="宋体" w:eastAsia="宋体" w:cs="宋体"/>
          <w:sz w:val="24"/>
          <w:szCs w:val="24"/>
          <w:lang w:eastAsia="zh-CN"/>
        </w:rPr>
        <w:t>公司负责人</w:t>
      </w:r>
      <w:r>
        <w:rPr>
          <w:rFonts w:hint="eastAsia" w:ascii="宋体" w:hAnsi="宋体" w:eastAsia="宋体" w:cs="宋体"/>
          <w:sz w:val="24"/>
          <w:szCs w:val="24"/>
        </w:rPr>
        <w:t>授权委托书</w:t>
      </w:r>
      <w:bookmarkEnd w:id="225"/>
    </w:p>
    <w:p>
      <w:pPr>
        <w:topLinePunct/>
        <w:spacing w:line="440" w:lineRule="exact"/>
        <w:ind w:firstLine="420" w:firstLineChars="200"/>
        <w:rPr>
          <w:rFonts w:ascii="宋体" w:hAnsi="宋体"/>
        </w:rPr>
      </w:pPr>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w:t>
      </w:r>
      <w:r>
        <w:rPr>
          <w:rFonts w:hint="eastAsia" w:ascii="宋体" w:hAnsi="宋体"/>
          <w:lang w:eastAsia="zh-CN"/>
        </w:rPr>
        <w:t>公司负责人</w:t>
      </w:r>
      <w:r>
        <w:rPr>
          <w:rFonts w:ascii="宋体" w:hAnsi="宋体"/>
        </w:rPr>
        <w:t>，现委托</w:t>
      </w:r>
      <w:r>
        <w:rPr>
          <w:rFonts w:ascii="宋体" w:hAnsi="宋体"/>
          <w:u w:val="single"/>
        </w:rPr>
        <w:t xml:space="preserve">            </w:t>
      </w:r>
      <w:r>
        <w:rPr>
          <w:rFonts w:ascii="宋体" w:hAnsi="宋体"/>
        </w:rPr>
        <w:t>（姓名）为我方代理人。代理人根据授权，以我方名义签署、澄清确认、递交、撤回、修改招标项目</w:t>
      </w:r>
      <w:r>
        <w:rPr>
          <w:rFonts w:hint="eastAsia" w:ascii="宋体" w:hAnsi="宋体"/>
        </w:rPr>
        <w:t>比选</w:t>
      </w:r>
      <w:r>
        <w:rPr>
          <w:rFonts w:ascii="宋体" w:hAnsi="宋体"/>
        </w:rPr>
        <w:t>文件、签订合同和处理有关事宜，其法律后果由我方承担。</w:t>
      </w:r>
    </w:p>
    <w:p>
      <w:pPr>
        <w:spacing w:line="440" w:lineRule="exact"/>
        <w:rPr>
          <w:rFonts w:ascii="宋体" w:hAnsi="宋体"/>
        </w:rPr>
      </w:pPr>
      <w:r>
        <w:rPr>
          <w:rFonts w:ascii="宋体" w:hAnsi="宋体"/>
        </w:rPr>
        <w:t>委托期限：</w:t>
      </w:r>
      <w:r>
        <w:rPr>
          <w:rFonts w:ascii="宋体" w:hAnsi="宋体"/>
          <w:u w:val="single"/>
        </w:rPr>
        <w:t xml:space="preserve">                       </w:t>
      </w:r>
      <w:r>
        <w:rPr>
          <w:rFonts w:ascii="宋体" w:hAnsi="宋体"/>
        </w:rPr>
        <w:t>。</w:t>
      </w:r>
    </w:p>
    <w:p>
      <w:pPr>
        <w:spacing w:line="440" w:lineRule="exact"/>
        <w:ind w:firstLine="420" w:firstLineChars="200"/>
        <w:rPr>
          <w:rFonts w:ascii="宋体" w:hAnsi="宋体"/>
        </w:rPr>
      </w:pPr>
      <w:r>
        <w:rPr>
          <w:rFonts w:ascii="宋体" w:hAnsi="宋体"/>
        </w:rPr>
        <w:t>代理人无转委托权。</w:t>
      </w:r>
    </w:p>
    <w:p>
      <w:pPr>
        <w:spacing w:line="440" w:lineRule="exact"/>
        <w:ind w:firstLine="420" w:firstLineChars="200"/>
        <w:rPr>
          <w:rFonts w:ascii="宋体" w:hAnsi="宋体"/>
        </w:rPr>
      </w:pPr>
    </w:p>
    <w:p>
      <w:pPr>
        <w:spacing w:line="440" w:lineRule="exact"/>
        <w:rPr>
          <w:rFonts w:ascii="宋体" w:hAnsi="宋体"/>
        </w:rPr>
      </w:pPr>
      <w:r>
        <w:rPr>
          <w:rFonts w:ascii="宋体" w:hAnsi="宋体"/>
        </w:rPr>
        <w:t>附：</w:t>
      </w:r>
      <w:r>
        <w:rPr>
          <w:rFonts w:hint="eastAsia" w:ascii="宋体" w:hAnsi="宋体"/>
          <w:lang w:eastAsia="zh-CN"/>
        </w:rPr>
        <w:t>公司负责人</w:t>
      </w:r>
      <w:r>
        <w:rPr>
          <w:rFonts w:ascii="宋体" w:hAnsi="宋体"/>
        </w:rPr>
        <w:t>身份证复印件及委托代理人身份证复印件</w:t>
      </w:r>
      <w:r>
        <w:rPr>
          <w:rFonts w:hint="eastAsia" w:ascii="宋体" w:hAnsi="宋体"/>
        </w:rPr>
        <w:t>（正、反面）</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ind w:firstLine="2692" w:firstLineChars="1282"/>
        <w:rPr>
          <w:rFonts w:ascii="宋体" w:hAnsi="宋体"/>
        </w:rPr>
      </w:pPr>
      <w:r>
        <w:rPr>
          <w:rFonts w:hint="eastAsia" w:ascii="宋体" w:hAnsi="宋体"/>
        </w:rPr>
        <w:t>报  价  人</w:t>
      </w:r>
      <w:r>
        <w:rPr>
          <w:rFonts w:ascii="宋体" w:hAnsi="宋体"/>
        </w:rPr>
        <w:t>：</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ind w:firstLine="2690" w:firstLineChars="1281"/>
        <w:jc w:val="left"/>
        <w:rPr>
          <w:rFonts w:ascii="宋体" w:hAnsi="宋体"/>
        </w:rPr>
      </w:pPr>
      <w:r>
        <w:rPr>
          <w:rFonts w:hint="eastAsia" w:ascii="宋体" w:hAnsi="宋体"/>
          <w:lang w:eastAsia="zh-CN"/>
        </w:rPr>
        <w:t>公司负责</w:t>
      </w:r>
      <w:r>
        <w:rPr>
          <w:rFonts w:ascii="宋体" w:hAnsi="宋体"/>
        </w:rPr>
        <w:t>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ab/>
      </w:r>
      <w:r>
        <w:rPr>
          <w:rFonts w:ascii="宋体" w:hAnsi="宋体"/>
        </w:rPr>
        <w:t>（签字</w:t>
      </w:r>
      <w:r>
        <w:rPr>
          <w:rFonts w:hint="eastAsia" w:ascii="宋体" w:hAnsi="宋体"/>
        </w:rPr>
        <w:t xml:space="preserve"> </w:t>
      </w:r>
      <w:r>
        <w:rPr>
          <w:rFonts w:ascii="宋体" w:hAnsi="宋体"/>
        </w:rPr>
        <w:t>）</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r>
        <w:rPr>
          <w:rFonts w:ascii="宋体" w:hAnsi="宋体"/>
        </w:rPr>
        <w:t>委托代理人：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（签字）</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p>
    <w:p>
      <w:pPr>
        <w:spacing w:line="440" w:lineRule="exact"/>
        <w:ind w:firstLine="4057" w:firstLineChars="1932"/>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注：本授权委托书需由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并由其</w:t>
      </w:r>
      <w:r>
        <w:rPr>
          <w:rFonts w:hint="eastAsia" w:ascii="宋体" w:hAnsi="宋体"/>
          <w:lang w:eastAsia="zh-CN"/>
        </w:rPr>
        <w:t>公司负责人</w:t>
      </w:r>
      <w:r>
        <w:rPr>
          <w:rFonts w:ascii="宋体" w:hAnsi="宋体"/>
        </w:rPr>
        <w:t>和委托代理人签字。</w:t>
      </w:r>
    </w:p>
    <w:p>
      <w:pPr>
        <w:pStyle w:val="28"/>
        <w:sectPr>
          <w:pgSz w:w="11906" w:h="16838"/>
          <w:pgMar w:top="1440" w:right="1803" w:bottom="1440" w:left="1803" w:header="851" w:footer="992" w:gutter="0"/>
          <w:cols w:space="720" w:num="1"/>
          <w:titlePg/>
          <w:docGrid w:type="lines" w:linePitch="319" w:charSpace="0"/>
        </w:sectPr>
      </w:pPr>
    </w:p>
    <w:p>
      <w:pPr>
        <w:rPr>
          <w:rFonts w:ascii="宋体" w:hAnsi="宋体" w:cs="宋体"/>
          <w:snapToGrid w:val="0"/>
          <w:kern w:val="0"/>
          <w:szCs w:val="21"/>
        </w:rPr>
      </w:pPr>
    </w:p>
    <w:p>
      <w:pPr>
        <w:jc w:val="center"/>
        <w:rPr>
          <w:rFonts w:ascii="宋体" w:hAnsi="宋体" w:cs="宋体"/>
          <w:b/>
        </w:rPr>
      </w:pPr>
      <w:bookmarkStart w:id="226" w:name="_Toc11329275"/>
      <w:r>
        <w:rPr>
          <w:rFonts w:hint="eastAsia" w:ascii="宋体" w:hAnsi="宋体" w:cs="宋体"/>
          <w:b/>
          <w:bCs/>
          <w:kern w:val="0"/>
          <w:sz w:val="28"/>
          <w:szCs w:val="32"/>
          <w:lang w:val="en-US" w:eastAsia="zh-CN"/>
        </w:rPr>
        <w:t>三</w:t>
      </w:r>
      <w:r>
        <w:rPr>
          <w:rFonts w:hint="eastAsia" w:ascii="宋体" w:hAnsi="宋体" w:cs="宋体"/>
          <w:b/>
          <w:bCs/>
          <w:kern w:val="0"/>
          <w:sz w:val="28"/>
          <w:szCs w:val="32"/>
        </w:rPr>
        <w:t>、</w:t>
      </w:r>
      <w:bookmarkEnd w:id="204"/>
      <w:bookmarkEnd w:id="205"/>
      <w:bookmarkEnd w:id="206"/>
      <w:bookmarkEnd w:id="226"/>
      <w:r>
        <w:rPr>
          <w:rFonts w:hint="eastAsia" w:ascii="宋体" w:hAnsi="宋体" w:cs="宋体"/>
          <w:b/>
          <w:bCs/>
          <w:kern w:val="0"/>
          <w:sz w:val="28"/>
          <w:szCs w:val="32"/>
        </w:rPr>
        <w:t>报价一览表</w:t>
      </w:r>
    </w:p>
    <w:p>
      <w:pPr>
        <w:ind w:left="765"/>
        <w:jc w:val="center"/>
        <w:rPr>
          <w:rFonts w:ascii="宋体" w:hAnsi="宋体" w:cs="宋体"/>
          <w:szCs w:val="21"/>
        </w:rPr>
      </w:pPr>
    </w:p>
    <w:p>
      <w:pPr>
        <w:pStyle w:val="38"/>
        <w:jc w:val="both"/>
        <w:rPr>
          <w:rFonts w:hAnsi="宋体"/>
        </w:rPr>
      </w:pPr>
      <w:r>
        <w:rPr>
          <w:rFonts w:hint="eastAsia" w:hAnsi="宋体"/>
        </w:rPr>
        <w:t>重庆首讯科技股份有限公司：</w:t>
      </w:r>
    </w:p>
    <w:p>
      <w:pPr>
        <w:spacing w:line="360" w:lineRule="auto"/>
        <w:ind w:firstLine="480" w:firstLineChars="200"/>
        <w:jc w:val="left"/>
        <w:rPr>
          <w:rFonts w:ascii="宋体" w:hAnsi="宋体"/>
          <w:b/>
          <w:color w:val="000000"/>
          <w:sz w:val="24"/>
        </w:rPr>
      </w:pPr>
      <w:r>
        <w:rPr>
          <w:rFonts w:hint="eastAsia" w:ascii="宋体" w:hAnsi="宋体"/>
          <w:color w:val="000000"/>
          <w:sz w:val="24"/>
        </w:rPr>
        <w:t>在研究了竞争比选文件中所有文件后，我司对</w:t>
      </w:r>
      <w:r>
        <w:rPr>
          <w:rFonts w:hint="eastAsia" w:ascii="宋体" w:hAnsi="宋体"/>
          <w:color w:val="000000"/>
          <w:sz w:val="24"/>
          <w:u w:val="single"/>
          <w:lang w:val="en-US" w:eastAsia="zh-CN"/>
        </w:rPr>
        <w:t>梁开高速（重庆段）第二总承包部机电工程保险服务采购项目</w:t>
      </w:r>
      <w:r>
        <w:rPr>
          <w:rFonts w:hint="eastAsia" w:ascii="宋体" w:hAnsi="宋体"/>
          <w:color w:val="000000"/>
          <w:sz w:val="24"/>
        </w:rPr>
        <w:t>竞</w:t>
      </w:r>
      <w:r>
        <w:rPr>
          <w:rFonts w:hint="eastAsia" w:ascii="Arial" w:hAnsi="Arial" w:cs="Arial"/>
          <w:color w:val="000000"/>
          <w:sz w:val="24"/>
        </w:rPr>
        <w:t>争比选响应</w:t>
      </w:r>
      <w:r>
        <w:rPr>
          <w:rFonts w:hint="eastAsia" w:ascii="宋体" w:hAnsi="宋体"/>
          <w:color w:val="000000"/>
          <w:sz w:val="24"/>
        </w:rPr>
        <w:t>报价如下：</w:t>
      </w:r>
      <w:r>
        <w:rPr>
          <w:rFonts w:hint="eastAsia" w:ascii="宋体" w:hAnsi="宋体"/>
          <w:b/>
          <w:color w:val="000000"/>
          <w:sz w:val="24"/>
        </w:rPr>
        <w:t xml:space="preserve"> </w:t>
      </w:r>
    </w:p>
    <w:tbl>
      <w:tblPr>
        <w:tblStyle w:val="4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3"/>
        <w:gridCol w:w="5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3003" w:type="dxa"/>
            <w:noWrap w:val="0"/>
            <w:vAlign w:val="center"/>
          </w:tcPr>
          <w:p>
            <w:pPr>
              <w:keepNext w:val="0"/>
              <w:keepLines w:val="0"/>
              <w:pageBreakBefore w:val="0"/>
              <w:kinsoku/>
              <w:wordWrap/>
              <w:overflowPunct/>
              <w:topLinePunct w:val="0"/>
              <w:autoSpaceDE/>
              <w:autoSpaceDN/>
              <w:bidi w:val="0"/>
              <w:spacing w:beforeAutospacing="0" w:afterAutospacing="0" w:line="360" w:lineRule="auto"/>
              <w:ind w:left="0" w:leftChars="0" w:right="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报价内容</w:t>
            </w:r>
          </w:p>
        </w:tc>
        <w:tc>
          <w:tcPr>
            <w:tcW w:w="5912" w:type="dxa"/>
            <w:noWrap w:val="0"/>
            <w:vAlign w:val="center"/>
          </w:tcPr>
          <w:p>
            <w:pPr>
              <w:keepNext w:val="0"/>
              <w:keepLines w:val="0"/>
              <w:pageBreakBefore w:val="0"/>
              <w:kinsoku/>
              <w:wordWrap/>
              <w:overflowPunct/>
              <w:topLinePunct w:val="0"/>
              <w:autoSpaceDE/>
              <w:autoSpaceDN/>
              <w:bidi w:val="0"/>
              <w:spacing w:beforeAutospacing="0" w:afterAutospacing="0" w:line="360" w:lineRule="auto"/>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比选承诺内容描述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3003" w:type="dxa"/>
            <w:noWrap w:val="0"/>
            <w:vAlign w:val="center"/>
          </w:tcPr>
          <w:p>
            <w:pPr>
              <w:keepNext w:val="0"/>
              <w:keepLines w:val="0"/>
              <w:pageBreakBefore w:val="0"/>
              <w:kinsoku/>
              <w:wordWrap/>
              <w:overflowPunct/>
              <w:topLinePunct w:val="0"/>
              <w:autoSpaceDE/>
              <w:autoSpaceDN/>
              <w:bidi w:val="0"/>
              <w:spacing w:beforeAutospacing="0" w:afterAutospacing="0" w:line="360" w:lineRule="auto"/>
              <w:ind w:left="0" w:leftChars="0" w:right="0" w:firstLine="0" w:firstLineChars="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建筑/安工程一切险及第三者责任险</w:t>
            </w:r>
          </w:p>
        </w:tc>
        <w:tc>
          <w:tcPr>
            <w:tcW w:w="5912" w:type="dxa"/>
            <w:noWrap w:val="0"/>
            <w:vAlign w:val="center"/>
          </w:tcPr>
          <w:p>
            <w:pPr>
              <w:keepNext w:val="0"/>
              <w:keepLines w:val="0"/>
              <w:pageBreakBefore w:val="0"/>
              <w:kinsoku/>
              <w:wordWrap/>
              <w:overflowPunct/>
              <w:topLinePunct w:val="0"/>
              <w:autoSpaceDE/>
              <w:autoSpaceDN/>
              <w:bidi w:val="0"/>
              <w:spacing w:beforeAutospacing="0" w:afterAutospacing="0" w:line="360" w:lineRule="auto"/>
              <w:ind w:left="0" w:leftChars="0" w:right="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按本比选函第五章内容中对建筑/安工程一切险及第三者责任险所列保费要求，我单位报价的费率为工程造价的</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w:t>
            </w:r>
            <w:r>
              <w:rPr>
                <w:rFonts w:hint="eastAsia" w:ascii="宋体" w:hAnsi="宋体" w:eastAsia="宋体" w:cs="宋体"/>
                <w:sz w:val="24"/>
                <w:szCs w:val="24"/>
                <w:lang w:val="en-US" w:eastAsia="zh-CN"/>
              </w:rPr>
              <w:t>暂定保险金额为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元</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3003" w:type="dxa"/>
            <w:noWrap w:val="0"/>
            <w:vAlign w:val="center"/>
          </w:tcPr>
          <w:p>
            <w:pPr>
              <w:keepNext w:val="0"/>
              <w:keepLines w:val="0"/>
              <w:pageBreakBefore w:val="0"/>
              <w:kinsoku/>
              <w:wordWrap/>
              <w:overflowPunct/>
              <w:topLinePunct w:val="0"/>
              <w:autoSpaceDE/>
              <w:autoSpaceDN/>
              <w:bidi w:val="0"/>
              <w:spacing w:beforeAutospacing="0" w:afterAutospacing="0" w:line="360" w:lineRule="auto"/>
              <w:ind w:left="0" w:leftChars="0" w:right="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团体建筑施工人员意外伤害保险</w:t>
            </w:r>
          </w:p>
        </w:tc>
        <w:tc>
          <w:tcPr>
            <w:tcW w:w="5912" w:type="dxa"/>
            <w:noWrap w:val="0"/>
            <w:vAlign w:val="center"/>
          </w:tcPr>
          <w:p>
            <w:pPr>
              <w:keepNext w:val="0"/>
              <w:keepLines w:val="0"/>
              <w:pageBreakBefore w:val="0"/>
              <w:kinsoku/>
              <w:wordWrap/>
              <w:overflowPunct/>
              <w:topLinePunct w:val="0"/>
              <w:autoSpaceDE/>
              <w:autoSpaceDN/>
              <w:bidi w:val="0"/>
              <w:spacing w:beforeAutospacing="0" w:afterAutospacing="0" w:line="36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按本比选函第五章内容中</w:t>
            </w:r>
            <w:r>
              <w:rPr>
                <w:rFonts w:hint="eastAsia" w:ascii="宋体" w:hAnsi="宋体" w:eastAsia="宋体" w:cs="宋体"/>
                <w:sz w:val="24"/>
                <w:szCs w:val="24"/>
                <w:lang w:val="en-US" w:eastAsia="zh-CN"/>
              </w:rPr>
              <w:t>对团体意外伤害保险所列保费要求，我单位报价为</w:t>
            </w:r>
            <w:r>
              <w:rPr>
                <w:rFonts w:hint="eastAsia" w:ascii="宋体" w:hAnsi="宋体" w:eastAsia="宋体" w:cs="宋体"/>
                <w:sz w:val="24"/>
                <w:szCs w:val="24"/>
                <w:u w:val="single"/>
              </w:rPr>
              <w:t xml:space="preserve">      </w:t>
            </w:r>
            <w:r>
              <w:rPr>
                <w:rFonts w:hint="eastAsia" w:ascii="宋体" w:hAnsi="宋体" w:eastAsia="宋体" w:cs="宋体"/>
                <w:sz w:val="24"/>
                <w:szCs w:val="24"/>
                <w:lang w:val="en-US" w:eastAsia="zh-CN"/>
              </w:rPr>
              <w:t>元</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3003" w:type="dxa"/>
            <w:noWrap w:val="0"/>
            <w:vAlign w:val="center"/>
          </w:tcPr>
          <w:p>
            <w:pPr>
              <w:keepNext w:val="0"/>
              <w:keepLines w:val="0"/>
              <w:pageBreakBefore w:val="0"/>
              <w:kinsoku/>
              <w:wordWrap/>
              <w:overflowPunct/>
              <w:topLinePunct w:val="0"/>
              <w:autoSpaceDE/>
              <w:autoSpaceDN/>
              <w:bidi w:val="0"/>
              <w:spacing w:beforeAutospacing="0" w:afterAutospacing="0" w:line="360" w:lineRule="auto"/>
              <w:ind w:left="0" w:leftChars="0" w:right="0" w:firstLine="0" w:firstLineChars="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合计金额</w:t>
            </w:r>
          </w:p>
        </w:tc>
        <w:tc>
          <w:tcPr>
            <w:tcW w:w="5912" w:type="dxa"/>
            <w:noWrap w:val="0"/>
            <w:vAlign w:val="center"/>
          </w:tcPr>
          <w:p>
            <w:pPr>
              <w:keepNext w:val="0"/>
              <w:keepLines w:val="0"/>
              <w:pageBreakBefore w:val="0"/>
              <w:kinsoku/>
              <w:wordWrap/>
              <w:overflowPunct/>
              <w:topLinePunct w:val="0"/>
              <w:autoSpaceDE/>
              <w:autoSpaceDN/>
              <w:bidi w:val="0"/>
              <w:spacing w:beforeAutospacing="0" w:afterAutospacing="0" w:line="36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我单位报价为</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eastAsia" w:ascii="宋体" w:hAnsi="宋体" w:eastAsia="宋体" w:cs="宋体"/>
                <w:sz w:val="24"/>
                <w:szCs w:val="24"/>
                <w:lang w:eastAsia="zh-CN"/>
              </w:rPr>
              <w:t>。</w:t>
            </w:r>
          </w:p>
        </w:tc>
      </w:tr>
    </w:tbl>
    <w:p>
      <w:pPr>
        <w:tabs>
          <w:tab w:val="left" w:pos="1680"/>
          <w:tab w:val="left" w:pos="4215"/>
          <w:tab w:val="left" w:pos="4305"/>
          <w:tab w:val="left" w:pos="8000"/>
        </w:tabs>
        <w:autoSpaceDE w:val="0"/>
        <w:autoSpaceDN w:val="0"/>
        <w:adjustRightInd w:val="0"/>
        <w:snapToGrid w:val="0"/>
        <w:spacing w:line="360" w:lineRule="auto"/>
        <w:ind w:firstLine="562" w:firstLineChars="200"/>
        <w:rPr>
          <w:rFonts w:ascii="宋体" w:hAnsi="宋体" w:cs="宋体"/>
          <w:b/>
          <w:kern w:val="0"/>
          <w:sz w:val="28"/>
          <w:szCs w:val="28"/>
        </w:rPr>
      </w:pPr>
      <w:r>
        <w:rPr>
          <w:rFonts w:hint="eastAsia" w:ascii="宋体" w:hAnsi="宋体" w:cs="宋体"/>
          <w:b/>
          <w:kern w:val="0"/>
          <w:sz w:val="28"/>
          <w:szCs w:val="28"/>
        </w:rPr>
        <w:t xml:space="preserve"> </w:t>
      </w:r>
    </w:p>
    <w:p>
      <w:pPr>
        <w:spacing w:line="400" w:lineRule="exact"/>
        <w:rPr>
          <w:rFonts w:ascii="宋体" w:hAnsi="宋体" w:cs="宋体"/>
          <w:kern w:val="0"/>
          <w:szCs w:val="21"/>
        </w:rPr>
      </w:pPr>
    </w:p>
    <w:p>
      <w:pPr>
        <w:pStyle w:val="4"/>
        <w:numPr>
          <w:ilvl w:val="0"/>
          <w:numId w:val="0"/>
        </w:numPr>
        <w:spacing w:before="0" w:after="0" w:line="360" w:lineRule="auto"/>
        <w:ind w:leftChars="0"/>
        <w:jc w:val="center"/>
        <w:rPr>
          <w:rFonts w:hint="eastAsia" w:ascii="宋体" w:hAnsi="宋体" w:eastAsia="宋体" w:cs="宋体"/>
          <w:sz w:val="28"/>
        </w:rPr>
      </w:pPr>
      <w:bookmarkStart w:id="227" w:name="_Toc11329278"/>
      <w:bookmarkStart w:id="228" w:name="_Toc513633971"/>
      <w:bookmarkStart w:id="229" w:name="_Toc503951050"/>
      <w:bookmarkStart w:id="230" w:name="_Toc246997112"/>
      <w:bookmarkStart w:id="231" w:name="_Toc152045803"/>
      <w:bookmarkStart w:id="232" w:name="_Toc247085887"/>
      <w:bookmarkStart w:id="233" w:name="_Toc152042592"/>
      <w:bookmarkStart w:id="234" w:name="_Toc144974871"/>
      <w:bookmarkStart w:id="235" w:name="_Toc447827058"/>
      <w:bookmarkStart w:id="236" w:name="_Toc179632823"/>
      <w:bookmarkStart w:id="237" w:name="_Toc246996369"/>
      <w:r>
        <w:rPr>
          <w:rFonts w:hint="eastAsia" w:ascii="宋体" w:hAnsi="宋体" w:eastAsia="宋体" w:cs="宋体"/>
          <w:sz w:val="28"/>
        </w:rPr>
        <w:br w:type="page"/>
      </w:r>
      <w:bookmarkStart w:id="238" w:name="_Toc12910"/>
      <w:bookmarkStart w:id="239" w:name="_Toc18757"/>
      <w:bookmarkStart w:id="240" w:name="_Toc11961"/>
      <w:r>
        <w:rPr>
          <w:rFonts w:hint="eastAsia" w:ascii="宋体" w:hAnsi="宋体" w:eastAsia="宋体" w:cs="宋体"/>
          <w:sz w:val="28"/>
          <w:lang w:val="en-US" w:eastAsia="zh-CN"/>
        </w:rPr>
        <w:t>四、</w:t>
      </w:r>
      <w:r>
        <w:rPr>
          <w:rFonts w:hint="eastAsia" w:ascii="宋体" w:hAnsi="宋体" w:eastAsia="宋体" w:cs="宋体"/>
          <w:sz w:val="28"/>
        </w:rPr>
        <w:t>审查资料</w:t>
      </w:r>
      <w:bookmarkEnd w:id="227"/>
      <w:bookmarkEnd w:id="228"/>
      <w:bookmarkEnd w:id="229"/>
      <w:bookmarkEnd w:id="238"/>
      <w:bookmarkEnd w:id="239"/>
      <w:bookmarkEnd w:id="240"/>
    </w:p>
    <w:p>
      <w:pPr>
        <w:spacing w:line="360" w:lineRule="auto"/>
        <w:jc w:val="center"/>
        <w:outlineLvl w:val="1"/>
        <w:rPr>
          <w:rFonts w:hint="eastAsia" w:ascii="宋体" w:hAnsi="宋体" w:eastAsia="宋体" w:cs="宋体"/>
          <w:b/>
          <w:bCs/>
          <w:kern w:val="0"/>
          <w:sz w:val="28"/>
          <w:szCs w:val="32"/>
          <w:lang w:eastAsia="zh-CN"/>
        </w:rPr>
      </w:pPr>
      <w:r>
        <w:rPr>
          <w:rFonts w:hint="eastAsia" w:ascii="宋体" w:hAnsi="宋体" w:eastAsia="宋体" w:cs="宋体"/>
          <w:b/>
          <w:bCs/>
          <w:kern w:val="0"/>
          <w:sz w:val="28"/>
          <w:szCs w:val="32"/>
          <w:lang w:eastAsia="zh-CN"/>
        </w:rPr>
        <w:t>（</w:t>
      </w:r>
      <w:r>
        <w:rPr>
          <w:rFonts w:hint="eastAsia" w:ascii="宋体" w:hAnsi="宋体" w:eastAsia="宋体" w:cs="宋体"/>
          <w:b/>
          <w:bCs/>
          <w:kern w:val="0"/>
          <w:sz w:val="28"/>
          <w:szCs w:val="32"/>
          <w:lang w:val="en-US" w:eastAsia="zh-CN"/>
        </w:rPr>
        <w:t>一</w:t>
      </w:r>
      <w:r>
        <w:rPr>
          <w:rFonts w:hint="eastAsia" w:ascii="宋体" w:hAnsi="宋体" w:eastAsia="宋体" w:cs="宋体"/>
          <w:b/>
          <w:bCs/>
          <w:kern w:val="0"/>
          <w:sz w:val="28"/>
          <w:szCs w:val="32"/>
          <w:lang w:eastAsia="zh-CN"/>
        </w:rPr>
        <w:t>）资格</w:t>
      </w:r>
      <w:r>
        <w:rPr>
          <w:rFonts w:hint="eastAsia" w:ascii="宋体" w:hAnsi="宋体" w:eastAsia="宋体" w:cs="宋体"/>
          <w:b/>
          <w:bCs/>
          <w:kern w:val="0"/>
          <w:sz w:val="28"/>
          <w:szCs w:val="32"/>
          <w:lang w:val="en-US" w:eastAsia="zh-CN"/>
        </w:rPr>
        <w:t>审查资料</w:t>
      </w:r>
    </w:p>
    <w:tbl>
      <w:tblPr>
        <w:tblStyle w:val="4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287"/>
        <w:gridCol w:w="6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序号</w:t>
            </w:r>
          </w:p>
        </w:tc>
        <w:tc>
          <w:tcPr>
            <w:tcW w:w="12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项目</w:t>
            </w:r>
          </w:p>
        </w:tc>
        <w:tc>
          <w:tcPr>
            <w:tcW w:w="69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2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资格及授权要求</w:t>
            </w:r>
          </w:p>
        </w:tc>
        <w:tc>
          <w:tcPr>
            <w:tcW w:w="6962"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投标人必须在中华人民共和国境内注册、经中国银行保险监督管理委员会批准开展财产保险业务，注册资本金不低于30亿元人民币。本次招标只接受保险公司的总公司（独立法人公司）或者经总公司唯一授权的本项目所在地省级（或直辖市）分公司参与投标；</w:t>
            </w:r>
          </w:p>
          <w:p>
            <w:pPr>
              <w:numPr>
                <w:ilvl w:val="0"/>
                <w:numId w:val="0"/>
              </w:numPr>
              <w:spacing w:line="400" w:lineRule="exact"/>
              <w:ind w:firstLine="420" w:firstLineChars="200"/>
              <w:rPr>
                <w:rFonts w:hint="eastAsia"/>
                <w:lang w:val="en-US" w:eastAsia="zh-CN"/>
              </w:rPr>
            </w:pPr>
            <w:r>
              <w:rPr>
                <w:rFonts w:hint="eastAsia" w:ascii="宋体" w:hAnsi="宋体" w:cs="宋体"/>
                <w:szCs w:val="21"/>
                <w:highlight w:val="none"/>
                <w:shd w:val="clear" w:color="auto" w:fill="FFFFFF"/>
                <w:lang w:val="en-US" w:eastAsia="zh-CN"/>
              </w:rPr>
              <w:t>2、财务要求：投标人在2022年综合偿付能力充足率不低于200%；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2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业绩要求</w:t>
            </w:r>
          </w:p>
        </w:tc>
        <w:tc>
          <w:tcPr>
            <w:tcW w:w="6962"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业绩要求：2020年1月1日至报价截止日期（以合同签订时间为准），投标人至少具有1个单项工程投保额不少于3000万元的工程项目的建筑/安装工程一切险及第三者责任险保险项目（独立承保）的保险服务业绩。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4"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2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信誉要求</w:t>
            </w:r>
          </w:p>
        </w:tc>
        <w:tc>
          <w:tcPr>
            <w:tcW w:w="6962"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在国家企业信用信息公示系统（http://www.gsxt.gov.cn/）中未被列入严重违法失信企业名单（黑名单）信息；在“信用中国”网站（http://www.creditchina.gov.cn/）中未被列入失信惩戒执行人名单。2020年1月1日起至投标截止日止在项目所在地未被中国银保监会、重庆银保监局因工程类保险服务受到行政处罚，或因投标人原因而使任何合同被解除；具有依法缴纳税金和社会保障基金的良好记录；无不良诉讼记录。</w:t>
            </w:r>
          </w:p>
        </w:tc>
      </w:tr>
    </w:tbl>
    <w:p>
      <w:pPr>
        <w:spacing w:line="400" w:lineRule="exact"/>
        <w:ind w:firstLine="210" w:firstLineChars="100"/>
        <w:jc w:val="left"/>
        <w:rPr>
          <w:rFonts w:hint="eastAsia" w:ascii="Times New Roman" w:hAnsi="宋体" w:eastAsia="宋体" w:cs="Times New Roman"/>
          <w:b w:val="0"/>
          <w:bCs w:val="0"/>
          <w:color w:val="auto"/>
          <w:kern w:val="0"/>
          <w:sz w:val="21"/>
          <w:szCs w:val="21"/>
          <w:highlight w:val="none"/>
          <w:lang w:val="en-US" w:eastAsia="zh-CN" w:bidi="ar-SA"/>
        </w:rPr>
      </w:pPr>
      <w:r>
        <w:rPr>
          <w:rFonts w:hint="eastAsia" w:ascii="Times New Roman" w:hAnsi="宋体" w:eastAsia="宋体" w:cs="Times New Roman"/>
          <w:b w:val="0"/>
          <w:bCs w:val="0"/>
          <w:color w:val="auto"/>
          <w:kern w:val="0"/>
          <w:sz w:val="21"/>
          <w:szCs w:val="21"/>
          <w:highlight w:val="none"/>
          <w:lang w:val="en-US" w:eastAsia="zh-CN" w:bidi="ar-SA"/>
        </w:rPr>
        <w:t>注：1、提供营业执照复印件、保险许可证或经营保险业务许可证（若为分公司参与，还须提供加盖总公司公章的总公司营业执照复印件、授权委托书），并加盖报价人鲜章。</w:t>
      </w:r>
    </w:p>
    <w:p>
      <w:pPr>
        <w:spacing w:line="400" w:lineRule="exact"/>
        <w:ind w:firstLine="630" w:firstLineChars="300"/>
        <w:jc w:val="left"/>
        <w:rPr>
          <w:rFonts w:hint="default" w:ascii="Times New Roman" w:hAnsi="宋体" w:eastAsia="宋体" w:cs="Times New Roman"/>
          <w:b w:val="0"/>
          <w:bCs w:val="0"/>
          <w:color w:val="auto"/>
          <w:kern w:val="0"/>
          <w:sz w:val="21"/>
          <w:szCs w:val="21"/>
          <w:highlight w:val="none"/>
          <w:lang w:val="en-US" w:eastAsia="zh-CN" w:bidi="ar-SA"/>
        </w:rPr>
      </w:pPr>
      <w:r>
        <w:rPr>
          <w:rFonts w:hint="eastAsia" w:ascii="Times New Roman" w:hAnsi="宋体" w:eastAsia="宋体" w:cs="Times New Roman"/>
          <w:b w:val="0"/>
          <w:bCs w:val="0"/>
          <w:color w:val="auto"/>
          <w:kern w:val="0"/>
          <w:sz w:val="21"/>
          <w:szCs w:val="21"/>
          <w:highlight w:val="none"/>
          <w:lang w:val="en-US" w:eastAsia="zh-CN" w:bidi="ar-SA"/>
        </w:rPr>
        <w:t>2、提供2022年综合偿付能力充足率不低于200%</w:t>
      </w:r>
      <w:r>
        <w:rPr>
          <w:rFonts w:hint="eastAsia" w:hAnsi="宋体" w:cs="Times New Roman"/>
          <w:b w:val="0"/>
          <w:bCs w:val="0"/>
          <w:color w:val="auto"/>
          <w:kern w:val="0"/>
          <w:sz w:val="21"/>
          <w:szCs w:val="21"/>
          <w:highlight w:val="none"/>
          <w:lang w:val="en-US" w:eastAsia="zh-CN" w:bidi="ar-SA"/>
        </w:rPr>
        <w:t>的</w:t>
      </w:r>
      <w:r>
        <w:rPr>
          <w:rFonts w:hint="eastAsia" w:ascii="Times New Roman" w:hAnsi="宋体" w:eastAsia="宋体" w:cs="Times New Roman"/>
          <w:b w:val="0"/>
          <w:bCs w:val="0"/>
          <w:color w:val="auto"/>
          <w:kern w:val="0"/>
          <w:sz w:val="21"/>
          <w:szCs w:val="21"/>
          <w:highlight w:val="none"/>
          <w:lang w:val="en-US" w:eastAsia="zh-CN" w:bidi="ar-SA"/>
        </w:rPr>
        <w:t>相关证明文件。</w:t>
      </w:r>
    </w:p>
    <w:p>
      <w:pPr>
        <w:spacing w:line="400" w:lineRule="exact"/>
        <w:ind w:firstLine="630" w:firstLineChars="300"/>
        <w:jc w:val="left"/>
        <w:rPr>
          <w:rFonts w:hint="default" w:ascii="Times New Roman" w:hAnsi="宋体" w:eastAsia="宋体" w:cs="Times New Roman"/>
          <w:b w:val="0"/>
          <w:bCs w:val="0"/>
          <w:color w:val="auto"/>
          <w:kern w:val="0"/>
          <w:sz w:val="21"/>
          <w:szCs w:val="21"/>
          <w:highlight w:val="none"/>
          <w:lang w:val="en-US" w:eastAsia="zh-CN" w:bidi="ar-SA"/>
        </w:rPr>
      </w:pPr>
      <w:r>
        <w:rPr>
          <w:rFonts w:hint="eastAsia" w:hAnsi="宋体" w:cs="Times New Roman"/>
          <w:b w:val="0"/>
          <w:bCs w:val="0"/>
          <w:color w:val="auto"/>
          <w:kern w:val="0"/>
          <w:sz w:val="21"/>
          <w:szCs w:val="21"/>
          <w:highlight w:val="none"/>
          <w:lang w:val="en-US" w:eastAsia="zh-CN" w:bidi="ar-SA"/>
        </w:rPr>
        <w:t>3</w:t>
      </w:r>
      <w:r>
        <w:rPr>
          <w:rFonts w:hint="eastAsia" w:ascii="Times New Roman" w:hAnsi="宋体" w:eastAsia="宋体" w:cs="Times New Roman"/>
          <w:b w:val="0"/>
          <w:bCs w:val="0"/>
          <w:color w:val="auto"/>
          <w:kern w:val="0"/>
          <w:sz w:val="21"/>
          <w:szCs w:val="21"/>
          <w:highlight w:val="none"/>
          <w:lang w:val="en-US" w:eastAsia="zh-CN" w:bidi="ar-SA"/>
        </w:rPr>
        <w:t>、</w:t>
      </w:r>
      <w:r>
        <w:rPr>
          <w:rFonts w:hint="eastAsia" w:hAnsi="宋体" w:cs="Times New Roman"/>
          <w:b w:val="0"/>
          <w:bCs w:val="0"/>
          <w:color w:val="auto"/>
          <w:kern w:val="0"/>
          <w:sz w:val="21"/>
          <w:szCs w:val="21"/>
          <w:highlight w:val="none"/>
          <w:lang w:val="en-US" w:eastAsia="zh-CN" w:bidi="ar-SA"/>
        </w:rPr>
        <w:t>提供</w:t>
      </w:r>
      <w:r>
        <w:rPr>
          <w:rFonts w:hint="eastAsia" w:ascii="Times New Roman" w:hAnsi="宋体" w:eastAsia="宋体" w:cs="Times New Roman"/>
          <w:b w:val="0"/>
          <w:bCs w:val="0"/>
          <w:color w:val="auto"/>
          <w:kern w:val="0"/>
          <w:sz w:val="21"/>
          <w:szCs w:val="21"/>
          <w:highlight w:val="none"/>
          <w:lang w:val="en-US" w:eastAsia="zh-CN" w:bidi="ar-SA"/>
        </w:rPr>
        <w:t>2020年1月1日至报价截止日期（以合同签订时间为准），投标人至少具有1个单项工程投保额不少于3000万元的工程项目的建筑/安装工程一切险及第三者责任险保险项目（独立承保）的保险服务业绩，并加盖报价人公章。</w:t>
      </w:r>
    </w:p>
    <w:p>
      <w:pPr>
        <w:spacing w:line="400" w:lineRule="exact"/>
        <w:ind w:firstLine="630" w:firstLineChars="300"/>
        <w:jc w:val="left"/>
        <w:rPr>
          <w:rFonts w:hint="default" w:ascii="Times New Roman" w:hAnsi="宋体" w:eastAsia="宋体" w:cs="Times New Roman"/>
          <w:b w:val="0"/>
          <w:bCs w:val="0"/>
          <w:color w:val="auto"/>
          <w:kern w:val="0"/>
          <w:sz w:val="21"/>
          <w:szCs w:val="21"/>
          <w:highlight w:val="none"/>
          <w:lang w:val="en-US" w:eastAsia="zh-CN" w:bidi="ar-SA"/>
        </w:rPr>
      </w:pPr>
      <w:r>
        <w:rPr>
          <w:rFonts w:hint="eastAsia" w:hAnsi="宋体" w:cs="Times New Roman"/>
          <w:b w:val="0"/>
          <w:bCs w:val="0"/>
          <w:color w:val="auto"/>
          <w:kern w:val="0"/>
          <w:sz w:val="21"/>
          <w:szCs w:val="21"/>
          <w:highlight w:val="none"/>
          <w:lang w:val="en-US" w:eastAsia="zh-CN" w:bidi="ar-SA"/>
        </w:rPr>
        <w:t>3</w:t>
      </w:r>
      <w:r>
        <w:rPr>
          <w:rFonts w:hint="eastAsia" w:ascii="Times New Roman" w:hAnsi="宋体" w:eastAsia="宋体" w:cs="Times New Roman"/>
          <w:b w:val="0"/>
          <w:bCs w:val="0"/>
          <w:color w:val="auto"/>
          <w:kern w:val="0"/>
          <w:sz w:val="21"/>
          <w:szCs w:val="21"/>
          <w:highlight w:val="none"/>
          <w:lang w:val="en-US" w:eastAsia="zh-CN" w:bidi="ar-SA"/>
        </w:rPr>
        <w:t>、提供企业信用信息公示系统（http://www.gsxt.gov.cn/）中未被列入严重违法失信企业名单（黑名单）信息截图和在“信用中国”网站（http://www.creditchina.gov.cn/）中未被列入失信惩戒执行人名单</w:t>
      </w:r>
      <w:r>
        <w:rPr>
          <w:rFonts w:hint="eastAsia" w:hAnsi="宋体" w:cs="Times New Roman"/>
          <w:b w:val="0"/>
          <w:bCs w:val="0"/>
          <w:color w:val="auto"/>
          <w:kern w:val="0"/>
          <w:sz w:val="21"/>
          <w:szCs w:val="21"/>
          <w:highlight w:val="none"/>
          <w:lang w:val="en-US" w:eastAsia="zh-CN" w:bidi="ar-SA"/>
        </w:rPr>
        <w:t>，2020年1月1日起至投标截止日止在项目所在地未被中国银保监会、重庆银保监局因工程类保险服务受到行政处罚，或因投标人原因而使任何合同被解除；具有依法缴纳税金和社会保障基金的良好记录；无不良诉讼记录</w:t>
      </w:r>
      <w:r>
        <w:rPr>
          <w:rFonts w:hint="eastAsia" w:ascii="Times New Roman" w:hAnsi="宋体" w:eastAsia="宋体" w:cs="Times New Roman"/>
          <w:b w:val="0"/>
          <w:bCs w:val="0"/>
          <w:color w:val="auto"/>
          <w:kern w:val="0"/>
          <w:sz w:val="21"/>
          <w:szCs w:val="21"/>
          <w:highlight w:val="none"/>
          <w:lang w:val="en-US" w:eastAsia="zh-CN" w:bidi="ar-SA"/>
        </w:rPr>
        <w:t>截图信息并加盖鲜章。</w:t>
      </w:r>
    </w:p>
    <w:p>
      <w:pPr>
        <w:pStyle w:val="2"/>
      </w:pPr>
    </w:p>
    <w:p>
      <w:pPr>
        <w:pStyle w:val="3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000000"/>
          <w:sz w:val="24"/>
          <w:szCs w:val="24"/>
        </w:rPr>
      </w:pPr>
    </w:p>
    <w:bookmarkEnd w:id="230"/>
    <w:bookmarkEnd w:id="231"/>
    <w:bookmarkEnd w:id="232"/>
    <w:bookmarkEnd w:id="233"/>
    <w:bookmarkEnd w:id="234"/>
    <w:bookmarkEnd w:id="235"/>
    <w:bookmarkEnd w:id="236"/>
    <w:bookmarkEnd w:id="237"/>
    <w:p>
      <w:pPr>
        <w:pStyle w:val="4"/>
        <w:spacing w:before="0" w:after="0" w:line="360" w:lineRule="auto"/>
        <w:jc w:val="center"/>
        <w:rPr>
          <w:rFonts w:ascii="宋体" w:hAnsi="宋体" w:eastAsia="宋体" w:cs="宋体"/>
          <w:sz w:val="28"/>
        </w:rPr>
      </w:pPr>
      <w:bookmarkStart w:id="241" w:name="_Toc447827068"/>
      <w:bookmarkStart w:id="242" w:name="_Toc513633973"/>
      <w:bookmarkStart w:id="243" w:name="_Toc503951055"/>
      <w:bookmarkStart w:id="244" w:name="_Toc11329281"/>
      <w:bookmarkStart w:id="245" w:name="_Toc11243"/>
      <w:bookmarkStart w:id="246" w:name="_Toc11672"/>
      <w:bookmarkStart w:id="247" w:name="_Toc29559"/>
      <w:r>
        <w:rPr>
          <w:rFonts w:hint="eastAsia" w:ascii="宋体" w:hAnsi="宋体" w:eastAsia="宋体" w:cs="宋体"/>
          <w:sz w:val="28"/>
        </w:rPr>
        <w:t>五、</w:t>
      </w:r>
      <w:bookmarkEnd w:id="241"/>
      <w:bookmarkEnd w:id="242"/>
      <w:bookmarkEnd w:id="243"/>
      <w:r>
        <w:rPr>
          <w:rFonts w:hint="eastAsia" w:ascii="宋体" w:hAnsi="宋体" w:eastAsia="宋体" w:cs="宋体"/>
          <w:sz w:val="28"/>
        </w:rPr>
        <w:t>报价人须知前附表规定的材料</w:t>
      </w:r>
      <w:bookmarkEnd w:id="244"/>
      <w:bookmarkEnd w:id="245"/>
      <w:bookmarkEnd w:id="246"/>
      <w:bookmarkEnd w:id="247"/>
    </w:p>
    <w:p>
      <w:pPr>
        <w:pStyle w:val="5"/>
        <w:jc w:val="center"/>
        <w:rPr>
          <w:rFonts w:hint="eastAsia" w:ascii="宋体" w:hAnsi="宋体" w:cs="宋体"/>
          <w:sz w:val="28"/>
        </w:rPr>
      </w:pPr>
      <w:bookmarkStart w:id="248" w:name="bookmark81"/>
      <w:bookmarkStart w:id="249" w:name="_Toc503951058"/>
      <w:bookmarkStart w:id="250" w:name="_Toc513633974"/>
      <w:r>
        <w:rPr>
          <w:rFonts w:hint="eastAsia" w:ascii="宋体" w:hAnsi="宋体" w:cs="宋体"/>
          <w:sz w:val="28"/>
        </w:rPr>
        <w:t>（一）</w:t>
      </w:r>
      <w:bookmarkEnd w:id="248"/>
      <w:bookmarkStart w:id="251" w:name="_Toc504639215"/>
      <w:bookmarkStart w:id="252" w:name="_Toc507681700"/>
      <w:bookmarkStart w:id="253" w:name="_Toc507681488"/>
      <w:r>
        <w:rPr>
          <w:rFonts w:hint="eastAsia" w:ascii="宋体" w:hAnsi="宋体" w:cs="宋体"/>
          <w:sz w:val="28"/>
        </w:rPr>
        <w:t>报价人自行承诺部分</w:t>
      </w:r>
      <w:bookmarkEnd w:id="251"/>
      <w:bookmarkEnd w:id="252"/>
      <w:bookmarkEnd w:id="253"/>
    </w:p>
    <w:p>
      <w:pPr>
        <w:pStyle w:val="38"/>
        <w:keepNext w:val="0"/>
        <w:keepLines w:val="0"/>
        <w:pageBreakBefore w:val="0"/>
        <w:widowControl w:val="0"/>
        <w:kinsoku/>
        <w:wordWrap/>
        <w:overflowPunct/>
        <w:topLinePunct w:val="0"/>
        <w:bidi w:val="0"/>
        <w:spacing w:line="480" w:lineRule="auto"/>
        <w:jc w:val="both"/>
        <w:textAlignment w:val="auto"/>
        <w:rPr>
          <w:rFonts w:hint="eastAsia" w:hAnsi="宋体"/>
          <w:highlight w:val="none"/>
        </w:rPr>
      </w:pPr>
      <w:r>
        <w:rPr>
          <w:rFonts w:hint="eastAsia" w:hAnsi="宋体"/>
          <w:highlight w:val="none"/>
          <w:lang w:val="en-US" w:eastAsia="zh-CN"/>
        </w:rPr>
        <w:t>致：</w:t>
      </w:r>
      <w:r>
        <w:rPr>
          <w:rFonts w:hint="eastAsia" w:hAnsi="宋体"/>
          <w:highlight w:val="none"/>
          <w:u w:val="single"/>
          <w:lang w:eastAsia="zh-CN"/>
        </w:rPr>
        <w:t>重庆首讯科技股份有限公司</w:t>
      </w:r>
    </w:p>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在研究XXXX   项目竞争比选文件后，在此郑重承诺我司满足本项目一切报价内容、质量标准及服务期限等相关要求，响应比选函的一切内容，同时申明将按照自行给出的商务、技术方案组建服务团队、履行服务义务。若我司中标本项目且无法满足业主相关需求，我司愿承担由此给采购人造成的一切损失。</w:t>
      </w:r>
    </w:p>
    <w:p>
      <w:pPr>
        <w:pStyle w:val="2"/>
        <w:keepNext w:val="0"/>
        <w:keepLines w:val="0"/>
        <w:pageBreakBefore w:val="0"/>
        <w:widowControl w:val="0"/>
        <w:kinsoku/>
        <w:wordWrap/>
        <w:overflowPunct/>
        <w:topLinePunct w:val="0"/>
        <w:bidi w:val="0"/>
        <w:spacing w:line="480" w:lineRule="auto"/>
        <w:textAlignment w:val="auto"/>
        <w:rPr>
          <w:rFonts w:hint="eastAsia" w:ascii="宋体" w:hAnsi="宋体"/>
          <w:color w:val="000000"/>
          <w:sz w:val="24"/>
          <w:highlight w:val="none"/>
          <w:lang w:val="en-US" w:eastAsia="zh-CN"/>
        </w:rPr>
      </w:pPr>
    </w:p>
    <w:p>
      <w:pPr>
        <w:keepNext w:val="0"/>
        <w:keepLines w:val="0"/>
        <w:pageBreakBefore w:val="0"/>
        <w:widowControl w:val="0"/>
        <w:kinsoku/>
        <w:wordWrap/>
        <w:overflowPunct/>
        <w:topLinePunct w:val="0"/>
        <w:bidi w:val="0"/>
        <w:spacing w:line="480" w:lineRule="auto"/>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 xml:space="preserve">                                        承诺人：XX公司</w:t>
      </w:r>
    </w:p>
    <w:p>
      <w:pPr>
        <w:pStyle w:val="2"/>
        <w:keepNext w:val="0"/>
        <w:keepLines w:val="0"/>
        <w:pageBreakBefore w:val="0"/>
        <w:widowControl w:val="0"/>
        <w:kinsoku/>
        <w:wordWrap/>
        <w:overflowPunct/>
        <w:topLinePunct w:val="0"/>
        <w:bidi w:val="0"/>
        <w:spacing w:line="480" w:lineRule="auto"/>
        <w:textAlignment w:val="auto"/>
        <w:rPr>
          <w:rFonts w:hint="default"/>
          <w:lang w:val="en-US" w:eastAsia="zh-CN"/>
        </w:rPr>
      </w:pPr>
      <w:r>
        <w:rPr>
          <w:rFonts w:hint="eastAsia" w:ascii="宋体" w:hAnsi="宋体"/>
          <w:color w:val="000000"/>
          <w:sz w:val="24"/>
          <w:highlight w:val="none"/>
          <w:lang w:val="en-US" w:eastAsia="zh-CN"/>
        </w:rPr>
        <w:t xml:space="preserve">                                        日期：</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w:t>
      </w:r>
    </w:p>
    <w:p>
      <w:pPr>
        <w:pStyle w:val="5"/>
        <w:jc w:val="center"/>
        <w:rPr>
          <w:rFonts w:ascii="宋体" w:hAnsi="宋体" w:cs="宋体"/>
          <w:sz w:val="28"/>
        </w:rPr>
      </w:pPr>
    </w:p>
    <w:p>
      <w:pPr>
        <w:pStyle w:val="5"/>
        <w:jc w:val="center"/>
        <w:rPr>
          <w:rFonts w:ascii="宋体" w:hAnsi="宋体" w:cs="宋体"/>
          <w:sz w:val="28"/>
        </w:rPr>
      </w:pPr>
    </w:p>
    <w:p>
      <w:pPr>
        <w:pStyle w:val="4"/>
        <w:spacing w:before="0" w:after="0" w:line="360" w:lineRule="auto"/>
        <w:jc w:val="center"/>
        <w:rPr>
          <w:rFonts w:ascii="宋体" w:hAnsi="宋体" w:eastAsia="宋体" w:cs="宋体"/>
          <w:sz w:val="28"/>
        </w:rPr>
      </w:pPr>
      <w:r>
        <w:rPr>
          <w:rFonts w:hint="eastAsia" w:ascii="宋体" w:hAnsi="宋体" w:cs="宋体"/>
          <w:sz w:val="28"/>
        </w:rPr>
        <w:br w:type="page"/>
      </w:r>
      <w:r>
        <w:rPr>
          <w:rFonts w:hint="eastAsia" w:ascii="宋体" w:hAnsi="宋体" w:eastAsia="宋体" w:cs="宋体"/>
          <w:sz w:val="28"/>
        </w:rPr>
        <w:t>六、报价人基本信息及其他材料</w:t>
      </w:r>
    </w:p>
    <w:p>
      <w:pPr>
        <w:pStyle w:val="5"/>
        <w:spacing w:before="0" w:after="0" w:line="360" w:lineRule="auto"/>
        <w:jc w:val="center"/>
        <w:rPr>
          <w:sz w:val="28"/>
          <w:szCs w:val="28"/>
        </w:rPr>
      </w:pPr>
      <w:bookmarkStart w:id="254" w:name="_Toc4375"/>
      <w:bookmarkStart w:id="255" w:name="_Toc452107137"/>
      <w:bookmarkStart w:id="256" w:name="_Toc508110857"/>
      <w:r>
        <w:rPr>
          <w:rFonts w:hint="eastAsia"/>
          <w:sz w:val="28"/>
          <w:szCs w:val="28"/>
        </w:rPr>
        <w:t>（一）报价人基本信息表</w:t>
      </w:r>
      <w:bookmarkEnd w:id="254"/>
      <w:bookmarkEnd w:id="255"/>
      <w:bookmarkEnd w:id="256"/>
    </w:p>
    <w:p>
      <w:pPr>
        <w:pStyle w:val="26"/>
      </w:pPr>
    </w:p>
    <w:tbl>
      <w:tblPr>
        <w:tblStyle w:val="43"/>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pStyle w:val="5"/>
        <w:numPr>
          <w:ilvl w:val="0"/>
          <w:numId w:val="6"/>
        </w:numPr>
        <w:jc w:val="center"/>
        <w:rPr>
          <w:rFonts w:hint="eastAsia" w:ascii="宋体" w:hAnsi="宋体" w:cs="宋体"/>
          <w:sz w:val="28"/>
        </w:rPr>
      </w:pPr>
      <w:r>
        <w:rPr>
          <w:rFonts w:hint="eastAsia" w:ascii="宋体" w:hAnsi="宋体" w:cs="宋体"/>
          <w:sz w:val="28"/>
        </w:rPr>
        <w:t>其他材料</w:t>
      </w:r>
      <w:bookmarkEnd w:id="249"/>
      <w:bookmarkEnd w:id="250"/>
    </w:p>
    <w:p>
      <w:p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1、投标保证金银行回执等附件。</w:t>
      </w:r>
    </w:p>
    <w:p>
      <w:pPr>
        <w:numPr>
          <w:ilvl w:val="0"/>
          <w:numId w:val="0"/>
        </w:numPr>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13D9583-675E-4A67-888A-A1B439F8E5F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Arial">
    <w:panose1 w:val="020B0604020202020204"/>
    <w:charset w:val="00"/>
    <w:family w:val="auto"/>
    <w:pitch w:val="default"/>
    <w:sig w:usb0="E0002EFF" w:usb1="C000785B" w:usb2="00000009" w:usb3="00000000" w:csb0="400001FF" w:csb1="FFFF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7"/>
      </w:rPr>
    </w:pPr>
    <w:r>
      <w:fldChar w:fldCharType="begin"/>
    </w:r>
    <w:r>
      <w:rPr>
        <w:rStyle w:val="47"/>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35</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19</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6"/>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94FDD"/>
    <w:multiLevelType w:val="singleLevel"/>
    <w:tmpl w:val="83094FDD"/>
    <w:lvl w:ilvl="0" w:tentative="0">
      <w:start w:val="1"/>
      <w:numFmt w:val="decimal"/>
      <w:suff w:val="nothing"/>
      <w:lvlText w:val="（%1）"/>
      <w:lvlJc w:val="left"/>
    </w:lvl>
  </w:abstractNum>
  <w:abstractNum w:abstractNumId="1">
    <w:nsid w:val="E15EB42A"/>
    <w:multiLevelType w:val="singleLevel"/>
    <w:tmpl w:val="E15EB42A"/>
    <w:lvl w:ilvl="0" w:tentative="0">
      <w:start w:val="1"/>
      <w:numFmt w:val="decimal"/>
      <w:suff w:val="nothing"/>
      <w:lvlText w:val="%1、"/>
      <w:lvlJc w:val="left"/>
    </w:lvl>
  </w:abstractNum>
  <w:abstractNum w:abstractNumId="2">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36B6F6D9"/>
    <w:multiLevelType w:val="singleLevel"/>
    <w:tmpl w:val="36B6F6D9"/>
    <w:lvl w:ilvl="0" w:tentative="0">
      <w:start w:val="2"/>
      <w:numFmt w:val="chineseCounting"/>
      <w:suff w:val="nothing"/>
      <w:lvlText w:val="（%1）"/>
      <w:lvlJc w:val="left"/>
      <w:rPr>
        <w:rFonts w:hint="eastAsia"/>
      </w:rPr>
    </w:lvl>
  </w:abstractNum>
  <w:abstractNum w:abstractNumId="4">
    <w:nsid w:val="3871CE1D"/>
    <w:multiLevelType w:val="singleLevel"/>
    <w:tmpl w:val="3871CE1D"/>
    <w:lvl w:ilvl="0" w:tentative="0">
      <w:start w:val="1"/>
      <w:numFmt w:val="chineseCounting"/>
      <w:suff w:val="nothing"/>
      <w:lvlText w:val="%1、"/>
      <w:lvlJc w:val="left"/>
      <w:rPr>
        <w:rFonts w:hint="eastAsia"/>
      </w:rPr>
    </w:lvl>
  </w:abstractNum>
  <w:abstractNum w:abstractNumId="5">
    <w:nsid w:val="55E7E3B4"/>
    <w:multiLevelType w:val="singleLevel"/>
    <w:tmpl w:val="55E7E3B4"/>
    <w:lvl w:ilvl="0" w:tentative="0">
      <w:start w:val="3"/>
      <w:numFmt w:val="chineseCounting"/>
      <w:suff w:val="space"/>
      <w:lvlText w:val="第%1章"/>
      <w:lvlJc w:val="left"/>
      <w:rPr>
        <w:rFonts w:hint="eastAsia"/>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iY2MzMmY4ZjlhZjg2YzY5MDlhM2RhYjY2NWE4ZmI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1746"/>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4A56"/>
    <w:rsid w:val="00095B35"/>
    <w:rsid w:val="00095EDA"/>
    <w:rsid w:val="000975F2"/>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C54"/>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6337"/>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3553"/>
    <w:rsid w:val="002E695F"/>
    <w:rsid w:val="002F308B"/>
    <w:rsid w:val="002F59DF"/>
    <w:rsid w:val="002F6545"/>
    <w:rsid w:val="002F68D9"/>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3CA8"/>
    <w:rsid w:val="00397134"/>
    <w:rsid w:val="003A063A"/>
    <w:rsid w:val="003A67CF"/>
    <w:rsid w:val="003B4B4D"/>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0A3"/>
    <w:rsid w:val="00426621"/>
    <w:rsid w:val="0043226B"/>
    <w:rsid w:val="0043326B"/>
    <w:rsid w:val="00434144"/>
    <w:rsid w:val="00435BC6"/>
    <w:rsid w:val="004409EE"/>
    <w:rsid w:val="00441624"/>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B48CF"/>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D7ECE"/>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3989"/>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2F99"/>
    <w:rsid w:val="005E3EBE"/>
    <w:rsid w:val="005E3F38"/>
    <w:rsid w:val="005E782A"/>
    <w:rsid w:val="005F18AC"/>
    <w:rsid w:val="005F2C77"/>
    <w:rsid w:val="00605878"/>
    <w:rsid w:val="0060679A"/>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B6793"/>
    <w:rsid w:val="006C41F0"/>
    <w:rsid w:val="006C497C"/>
    <w:rsid w:val="006C75C9"/>
    <w:rsid w:val="006C7F0A"/>
    <w:rsid w:val="006D1032"/>
    <w:rsid w:val="006D48FF"/>
    <w:rsid w:val="006D4950"/>
    <w:rsid w:val="006E2BEB"/>
    <w:rsid w:val="006E2F3D"/>
    <w:rsid w:val="006E3F3F"/>
    <w:rsid w:val="006E44D5"/>
    <w:rsid w:val="006E4EA8"/>
    <w:rsid w:val="006F08B7"/>
    <w:rsid w:val="00702554"/>
    <w:rsid w:val="0070267A"/>
    <w:rsid w:val="00704E87"/>
    <w:rsid w:val="0070542B"/>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4196"/>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4285"/>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1929"/>
    <w:rsid w:val="00AE3AEB"/>
    <w:rsid w:val="00AE7FF3"/>
    <w:rsid w:val="00AF1302"/>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36D13"/>
    <w:rsid w:val="00B41020"/>
    <w:rsid w:val="00B42F9A"/>
    <w:rsid w:val="00B43741"/>
    <w:rsid w:val="00B459DA"/>
    <w:rsid w:val="00B4647E"/>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890"/>
    <w:rsid w:val="00C078A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12D"/>
    <w:rsid w:val="00C66A53"/>
    <w:rsid w:val="00C66FB7"/>
    <w:rsid w:val="00C76490"/>
    <w:rsid w:val="00C8220D"/>
    <w:rsid w:val="00C848C9"/>
    <w:rsid w:val="00C8655B"/>
    <w:rsid w:val="00C91CDE"/>
    <w:rsid w:val="00C91F22"/>
    <w:rsid w:val="00C92C81"/>
    <w:rsid w:val="00C943E9"/>
    <w:rsid w:val="00CA01B6"/>
    <w:rsid w:val="00CA2781"/>
    <w:rsid w:val="00CA398D"/>
    <w:rsid w:val="00CA45CB"/>
    <w:rsid w:val="00CA6808"/>
    <w:rsid w:val="00CA7567"/>
    <w:rsid w:val="00CB4015"/>
    <w:rsid w:val="00CB452C"/>
    <w:rsid w:val="00CB4A3D"/>
    <w:rsid w:val="00CB5C0F"/>
    <w:rsid w:val="00CB7FDA"/>
    <w:rsid w:val="00CC0EAF"/>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988"/>
    <w:rsid w:val="00DD4A11"/>
    <w:rsid w:val="00DD4FB9"/>
    <w:rsid w:val="00DD737B"/>
    <w:rsid w:val="00DE1033"/>
    <w:rsid w:val="00DE251C"/>
    <w:rsid w:val="00DE288F"/>
    <w:rsid w:val="00DE2BFF"/>
    <w:rsid w:val="00DE3226"/>
    <w:rsid w:val="00DE58F9"/>
    <w:rsid w:val="00DE680C"/>
    <w:rsid w:val="00DE7971"/>
    <w:rsid w:val="00DF1985"/>
    <w:rsid w:val="00DF5B31"/>
    <w:rsid w:val="00E02114"/>
    <w:rsid w:val="00E03783"/>
    <w:rsid w:val="00E03A6B"/>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703AC"/>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110D91"/>
    <w:rsid w:val="01232ED2"/>
    <w:rsid w:val="015D18DC"/>
    <w:rsid w:val="0184380B"/>
    <w:rsid w:val="01852BD3"/>
    <w:rsid w:val="018A6C3C"/>
    <w:rsid w:val="01912179"/>
    <w:rsid w:val="01A8609A"/>
    <w:rsid w:val="01A93FA3"/>
    <w:rsid w:val="01CA6EA2"/>
    <w:rsid w:val="01E05E16"/>
    <w:rsid w:val="01E05F01"/>
    <w:rsid w:val="020C0D2B"/>
    <w:rsid w:val="02195A53"/>
    <w:rsid w:val="022831DB"/>
    <w:rsid w:val="02375428"/>
    <w:rsid w:val="02427F54"/>
    <w:rsid w:val="024F494D"/>
    <w:rsid w:val="029D41FE"/>
    <w:rsid w:val="02A800C5"/>
    <w:rsid w:val="02B53517"/>
    <w:rsid w:val="02C6499B"/>
    <w:rsid w:val="02C91CAA"/>
    <w:rsid w:val="02D0709E"/>
    <w:rsid w:val="02FA438B"/>
    <w:rsid w:val="037D0CD2"/>
    <w:rsid w:val="038B3366"/>
    <w:rsid w:val="03981B5E"/>
    <w:rsid w:val="03996EAD"/>
    <w:rsid w:val="03F60BFA"/>
    <w:rsid w:val="04023CC8"/>
    <w:rsid w:val="04144049"/>
    <w:rsid w:val="042674F4"/>
    <w:rsid w:val="042A6EF2"/>
    <w:rsid w:val="042D3C13"/>
    <w:rsid w:val="04566DE4"/>
    <w:rsid w:val="04722D72"/>
    <w:rsid w:val="047A0BBC"/>
    <w:rsid w:val="04933E65"/>
    <w:rsid w:val="04BF52ED"/>
    <w:rsid w:val="04C12ED8"/>
    <w:rsid w:val="04DC5749"/>
    <w:rsid w:val="04E26FED"/>
    <w:rsid w:val="04E41F94"/>
    <w:rsid w:val="04FD6633"/>
    <w:rsid w:val="050F1997"/>
    <w:rsid w:val="0515595C"/>
    <w:rsid w:val="052E2B3B"/>
    <w:rsid w:val="054416D2"/>
    <w:rsid w:val="05507F0F"/>
    <w:rsid w:val="055A4D20"/>
    <w:rsid w:val="056F275C"/>
    <w:rsid w:val="05753C79"/>
    <w:rsid w:val="058324D6"/>
    <w:rsid w:val="05871A0A"/>
    <w:rsid w:val="05A42E7B"/>
    <w:rsid w:val="05A70EA9"/>
    <w:rsid w:val="05D55D36"/>
    <w:rsid w:val="060C2525"/>
    <w:rsid w:val="062756FD"/>
    <w:rsid w:val="06465A4B"/>
    <w:rsid w:val="065F7A31"/>
    <w:rsid w:val="067C53E7"/>
    <w:rsid w:val="06820F5E"/>
    <w:rsid w:val="06A7180A"/>
    <w:rsid w:val="06AE2ABA"/>
    <w:rsid w:val="06BA1001"/>
    <w:rsid w:val="06C75DF5"/>
    <w:rsid w:val="06DD02BB"/>
    <w:rsid w:val="06E71F51"/>
    <w:rsid w:val="06F3282F"/>
    <w:rsid w:val="06F965AD"/>
    <w:rsid w:val="07035F04"/>
    <w:rsid w:val="07050666"/>
    <w:rsid w:val="071A6392"/>
    <w:rsid w:val="071C4DB7"/>
    <w:rsid w:val="07362674"/>
    <w:rsid w:val="073B54B2"/>
    <w:rsid w:val="07410810"/>
    <w:rsid w:val="07537EF9"/>
    <w:rsid w:val="0760673E"/>
    <w:rsid w:val="077E1A2E"/>
    <w:rsid w:val="07815EE7"/>
    <w:rsid w:val="0784155A"/>
    <w:rsid w:val="079A613C"/>
    <w:rsid w:val="07E6454D"/>
    <w:rsid w:val="081748AE"/>
    <w:rsid w:val="08635851"/>
    <w:rsid w:val="08891E69"/>
    <w:rsid w:val="08A30341"/>
    <w:rsid w:val="08B128CB"/>
    <w:rsid w:val="08C2359B"/>
    <w:rsid w:val="08ED052C"/>
    <w:rsid w:val="09041814"/>
    <w:rsid w:val="092D7BDC"/>
    <w:rsid w:val="09332D2B"/>
    <w:rsid w:val="093E2D64"/>
    <w:rsid w:val="09455F12"/>
    <w:rsid w:val="09472203"/>
    <w:rsid w:val="098B1DA7"/>
    <w:rsid w:val="09907951"/>
    <w:rsid w:val="099F43E4"/>
    <w:rsid w:val="09A31A61"/>
    <w:rsid w:val="09BA7A85"/>
    <w:rsid w:val="09DE1094"/>
    <w:rsid w:val="09E2475B"/>
    <w:rsid w:val="0A183EA3"/>
    <w:rsid w:val="0A207013"/>
    <w:rsid w:val="0A3F34B7"/>
    <w:rsid w:val="0A4B11BE"/>
    <w:rsid w:val="0A7B4003"/>
    <w:rsid w:val="0A7D7D7B"/>
    <w:rsid w:val="0A8E5B8D"/>
    <w:rsid w:val="0AA240FA"/>
    <w:rsid w:val="0AAC0CBB"/>
    <w:rsid w:val="0ACC0D02"/>
    <w:rsid w:val="0AD84BD3"/>
    <w:rsid w:val="0AE941D3"/>
    <w:rsid w:val="0AFA761E"/>
    <w:rsid w:val="0B1061C6"/>
    <w:rsid w:val="0B246449"/>
    <w:rsid w:val="0B2B08D5"/>
    <w:rsid w:val="0B3A2110"/>
    <w:rsid w:val="0B896BF3"/>
    <w:rsid w:val="0B9874FD"/>
    <w:rsid w:val="0BA35012"/>
    <w:rsid w:val="0BB825ED"/>
    <w:rsid w:val="0BC0647C"/>
    <w:rsid w:val="0BD7624B"/>
    <w:rsid w:val="0BF26817"/>
    <w:rsid w:val="0C22464A"/>
    <w:rsid w:val="0C2B72AE"/>
    <w:rsid w:val="0C3A50BE"/>
    <w:rsid w:val="0C486A95"/>
    <w:rsid w:val="0C517E31"/>
    <w:rsid w:val="0C6222A3"/>
    <w:rsid w:val="0C623EAC"/>
    <w:rsid w:val="0C946488"/>
    <w:rsid w:val="0CAB3827"/>
    <w:rsid w:val="0CAD24AF"/>
    <w:rsid w:val="0CB27F34"/>
    <w:rsid w:val="0CE2660D"/>
    <w:rsid w:val="0D0D3F93"/>
    <w:rsid w:val="0D12389F"/>
    <w:rsid w:val="0D2820B7"/>
    <w:rsid w:val="0D2B5BA2"/>
    <w:rsid w:val="0D2F6875"/>
    <w:rsid w:val="0D33523D"/>
    <w:rsid w:val="0D5B6D69"/>
    <w:rsid w:val="0D662EE5"/>
    <w:rsid w:val="0D6A3AE7"/>
    <w:rsid w:val="0D860EC5"/>
    <w:rsid w:val="0D9339BE"/>
    <w:rsid w:val="0D991370"/>
    <w:rsid w:val="0D9E6A67"/>
    <w:rsid w:val="0D9F0DC4"/>
    <w:rsid w:val="0DA07FC9"/>
    <w:rsid w:val="0DAE46EF"/>
    <w:rsid w:val="0DC02AA1"/>
    <w:rsid w:val="0DDE695A"/>
    <w:rsid w:val="0DF73A5B"/>
    <w:rsid w:val="0E164CA8"/>
    <w:rsid w:val="0E231949"/>
    <w:rsid w:val="0E2D072E"/>
    <w:rsid w:val="0E3B295D"/>
    <w:rsid w:val="0E47249B"/>
    <w:rsid w:val="0E551882"/>
    <w:rsid w:val="0E5C239D"/>
    <w:rsid w:val="0E7306EC"/>
    <w:rsid w:val="0E963048"/>
    <w:rsid w:val="0EAD7E50"/>
    <w:rsid w:val="0EB254B2"/>
    <w:rsid w:val="0EB567A2"/>
    <w:rsid w:val="0ED91C40"/>
    <w:rsid w:val="0EE44C60"/>
    <w:rsid w:val="0EFB3F5D"/>
    <w:rsid w:val="0F041CC7"/>
    <w:rsid w:val="0F042317"/>
    <w:rsid w:val="0F072534"/>
    <w:rsid w:val="0F1209F8"/>
    <w:rsid w:val="0F4C19DA"/>
    <w:rsid w:val="0F4C7D05"/>
    <w:rsid w:val="0F4F31AF"/>
    <w:rsid w:val="0F5F17BD"/>
    <w:rsid w:val="0F6B0BDE"/>
    <w:rsid w:val="0F764E8C"/>
    <w:rsid w:val="0F7E014D"/>
    <w:rsid w:val="0F891F7D"/>
    <w:rsid w:val="0F904B36"/>
    <w:rsid w:val="0F90531D"/>
    <w:rsid w:val="0FAD64B5"/>
    <w:rsid w:val="0FB21FD4"/>
    <w:rsid w:val="0FFF5930"/>
    <w:rsid w:val="1018536D"/>
    <w:rsid w:val="105454A3"/>
    <w:rsid w:val="108E33C3"/>
    <w:rsid w:val="10A265EF"/>
    <w:rsid w:val="10DC5B73"/>
    <w:rsid w:val="10EC4A0F"/>
    <w:rsid w:val="10FB7C4C"/>
    <w:rsid w:val="11156FC6"/>
    <w:rsid w:val="11485B0D"/>
    <w:rsid w:val="114C7209"/>
    <w:rsid w:val="114D3805"/>
    <w:rsid w:val="1154158B"/>
    <w:rsid w:val="11677BA5"/>
    <w:rsid w:val="117076B2"/>
    <w:rsid w:val="119E6579"/>
    <w:rsid w:val="11D435DD"/>
    <w:rsid w:val="11DA3C43"/>
    <w:rsid w:val="11E15B8A"/>
    <w:rsid w:val="11EC57E6"/>
    <w:rsid w:val="11F35990"/>
    <w:rsid w:val="1220326C"/>
    <w:rsid w:val="123A67B6"/>
    <w:rsid w:val="125515DD"/>
    <w:rsid w:val="125670E6"/>
    <w:rsid w:val="125E1A9C"/>
    <w:rsid w:val="1276289F"/>
    <w:rsid w:val="1288522D"/>
    <w:rsid w:val="129D6A95"/>
    <w:rsid w:val="12AF4046"/>
    <w:rsid w:val="12B74046"/>
    <w:rsid w:val="12CE506D"/>
    <w:rsid w:val="12D036D1"/>
    <w:rsid w:val="12F65490"/>
    <w:rsid w:val="12F73D2A"/>
    <w:rsid w:val="12F9698E"/>
    <w:rsid w:val="13112273"/>
    <w:rsid w:val="131C7C5D"/>
    <w:rsid w:val="13511DF6"/>
    <w:rsid w:val="1359610F"/>
    <w:rsid w:val="138B4634"/>
    <w:rsid w:val="138F1214"/>
    <w:rsid w:val="13BF412F"/>
    <w:rsid w:val="13C00A21"/>
    <w:rsid w:val="13D101C7"/>
    <w:rsid w:val="1400440E"/>
    <w:rsid w:val="14005579"/>
    <w:rsid w:val="142669A3"/>
    <w:rsid w:val="142B5D9F"/>
    <w:rsid w:val="14301CC2"/>
    <w:rsid w:val="143805F9"/>
    <w:rsid w:val="144729D8"/>
    <w:rsid w:val="147A44EB"/>
    <w:rsid w:val="148530C5"/>
    <w:rsid w:val="148E78CB"/>
    <w:rsid w:val="149F4D92"/>
    <w:rsid w:val="14A13E6D"/>
    <w:rsid w:val="14AB614D"/>
    <w:rsid w:val="14B96C2B"/>
    <w:rsid w:val="15067DFC"/>
    <w:rsid w:val="15181495"/>
    <w:rsid w:val="153870BF"/>
    <w:rsid w:val="15436E45"/>
    <w:rsid w:val="154871D8"/>
    <w:rsid w:val="15507C7E"/>
    <w:rsid w:val="1557566D"/>
    <w:rsid w:val="15664AEF"/>
    <w:rsid w:val="158E23E1"/>
    <w:rsid w:val="159D7EA6"/>
    <w:rsid w:val="159F1BF9"/>
    <w:rsid w:val="15A00DC2"/>
    <w:rsid w:val="15B71B1D"/>
    <w:rsid w:val="15E63361"/>
    <w:rsid w:val="160B0227"/>
    <w:rsid w:val="16864176"/>
    <w:rsid w:val="16B34B25"/>
    <w:rsid w:val="16E04880"/>
    <w:rsid w:val="16F86032"/>
    <w:rsid w:val="16FE2244"/>
    <w:rsid w:val="17081A7A"/>
    <w:rsid w:val="17092996"/>
    <w:rsid w:val="17292C0C"/>
    <w:rsid w:val="176F50FE"/>
    <w:rsid w:val="17D10049"/>
    <w:rsid w:val="17D75109"/>
    <w:rsid w:val="17DD0B49"/>
    <w:rsid w:val="17EA6CFE"/>
    <w:rsid w:val="17EE4479"/>
    <w:rsid w:val="17F1563C"/>
    <w:rsid w:val="17F23C73"/>
    <w:rsid w:val="180F3B80"/>
    <w:rsid w:val="181B1411"/>
    <w:rsid w:val="181C1400"/>
    <w:rsid w:val="18223BBF"/>
    <w:rsid w:val="18406E44"/>
    <w:rsid w:val="185C1918"/>
    <w:rsid w:val="1880349D"/>
    <w:rsid w:val="18A24E51"/>
    <w:rsid w:val="18BD142C"/>
    <w:rsid w:val="18BD60C6"/>
    <w:rsid w:val="18D435BC"/>
    <w:rsid w:val="18E261BC"/>
    <w:rsid w:val="18E6320F"/>
    <w:rsid w:val="190050D9"/>
    <w:rsid w:val="19193365"/>
    <w:rsid w:val="19261639"/>
    <w:rsid w:val="195D5C0E"/>
    <w:rsid w:val="19795DC5"/>
    <w:rsid w:val="19A25698"/>
    <w:rsid w:val="19B116AD"/>
    <w:rsid w:val="19B17485"/>
    <w:rsid w:val="19B64CC2"/>
    <w:rsid w:val="19BA69A5"/>
    <w:rsid w:val="19CC487B"/>
    <w:rsid w:val="19DF6D3F"/>
    <w:rsid w:val="19E24459"/>
    <w:rsid w:val="19E75211"/>
    <w:rsid w:val="19EF2451"/>
    <w:rsid w:val="1A176F08"/>
    <w:rsid w:val="1A194A1B"/>
    <w:rsid w:val="1A305FF4"/>
    <w:rsid w:val="1A3D7EBE"/>
    <w:rsid w:val="1A4353A0"/>
    <w:rsid w:val="1A557489"/>
    <w:rsid w:val="1A7C2FD6"/>
    <w:rsid w:val="1A89451A"/>
    <w:rsid w:val="1AF45443"/>
    <w:rsid w:val="1B075A0C"/>
    <w:rsid w:val="1B1C7DC9"/>
    <w:rsid w:val="1B67066F"/>
    <w:rsid w:val="1B7229E4"/>
    <w:rsid w:val="1B7A5EC7"/>
    <w:rsid w:val="1B8D5F8D"/>
    <w:rsid w:val="1B8E5EC0"/>
    <w:rsid w:val="1BBE47DE"/>
    <w:rsid w:val="1BC10D01"/>
    <w:rsid w:val="1C2613A8"/>
    <w:rsid w:val="1C477E44"/>
    <w:rsid w:val="1C9B22E2"/>
    <w:rsid w:val="1CA53B30"/>
    <w:rsid w:val="1CB33990"/>
    <w:rsid w:val="1CBE72D2"/>
    <w:rsid w:val="1CF6260F"/>
    <w:rsid w:val="1CF83AEA"/>
    <w:rsid w:val="1CF911FC"/>
    <w:rsid w:val="1CFC0FD3"/>
    <w:rsid w:val="1CFF7A9C"/>
    <w:rsid w:val="1D34223E"/>
    <w:rsid w:val="1D681B82"/>
    <w:rsid w:val="1D6914D5"/>
    <w:rsid w:val="1D7C7A22"/>
    <w:rsid w:val="1D7E09CF"/>
    <w:rsid w:val="1D9F1A69"/>
    <w:rsid w:val="1DB50BD0"/>
    <w:rsid w:val="1DD7388B"/>
    <w:rsid w:val="1DE41480"/>
    <w:rsid w:val="1E2139B7"/>
    <w:rsid w:val="1E7A14A8"/>
    <w:rsid w:val="1E7F32B0"/>
    <w:rsid w:val="1EA77665"/>
    <w:rsid w:val="1EBA058B"/>
    <w:rsid w:val="1EBB622E"/>
    <w:rsid w:val="1ED17F52"/>
    <w:rsid w:val="1EDD751C"/>
    <w:rsid w:val="1EE170B7"/>
    <w:rsid w:val="1EEA13A6"/>
    <w:rsid w:val="1EEB392A"/>
    <w:rsid w:val="1EFE64E9"/>
    <w:rsid w:val="1F6207D0"/>
    <w:rsid w:val="1FA53BA4"/>
    <w:rsid w:val="1FCA360B"/>
    <w:rsid w:val="1FE1627D"/>
    <w:rsid w:val="1FEA603B"/>
    <w:rsid w:val="20084133"/>
    <w:rsid w:val="20133D98"/>
    <w:rsid w:val="20226856"/>
    <w:rsid w:val="20293E2F"/>
    <w:rsid w:val="20686E43"/>
    <w:rsid w:val="206E3E8E"/>
    <w:rsid w:val="207224C8"/>
    <w:rsid w:val="2076639A"/>
    <w:rsid w:val="2093114F"/>
    <w:rsid w:val="209B57AA"/>
    <w:rsid w:val="20A121FD"/>
    <w:rsid w:val="20C20004"/>
    <w:rsid w:val="20C66F34"/>
    <w:rsid w:val="20D83D6E"/>
    <w:rsid w:val="20DE5531"/>
    <w:rsid w:val="20E1180E"/>
    <w:rsid w:val="20EA6084"/>
    <w:rsid w:val="20F01139"/>
    <w:rsid w:val="20F1461D"/>
    <w:rsid w:val="211641D5"/>
    <w:rsid w:val="212B522B"/>
    <w:rsid w:val="213F6312"/>
    <w:rsid w:val="21736537"/>
    <w:rsid w:val="217E2000"/>
    <w:rsid w:val="21977807"/>
    <w:rsid w:val="219A6D4B"/>
    <w:rsid w:val="21B30D9B"/>
    <w:rsid w:val="21B32189"/>
    <w:rsid w:val="21C2735E"/>
    <w:rsid w:val="21E57FA3"/>
    <w:rsid w:val="21FB5A74"/>
    <w:rsid w:val="226650A3"/>
    <w:rsid w:val="22677BAA"/>
    <w:rsid w:val="226827C0"/>
    <w:rsid w:val="227C6EFF"/>
    <w:rsid w:val="22942795"/>
    <w:rsid w:val="22A10D06"/>
    <w:rsid w:val="22B665A5"/>
    <w:rsid w:val="22B66C9F"/>
    <w:rsid w:val="22C925E0"/>
    <w:rsid w:val="22D84291"/>
    <w:rsid w:val="22E46F4A"/>
    <w:rsid w:val="22E82DE7"/>
    <w:rsid w:val="22F20159"/>
    <w:rsid w:val="23005537"/>
    <w:rsid w:val="231A3C9A"/>
    <w:rsid w:val="232C54A8"/>
    <w:rsid w:val="233C2C53"/>
    <w:rsid w:val="23486890"/>
    <w:rsid w:val="236F1F61"/>
    <w:rsid w:val="2399146E"/>
    <w:rsid w:val="23AB4CDF"/>
    <w:rsid w:val="23C37A75"/>
    <w:rsid w:val="240404D0"/>
    <w:rsid w:val="24220F3E"/>
    <w:rsid w:val="2423604B"/>
    <w:rsid w:val="243A3F7E"/>
    <w:rsid w:val="24436391"/>
    <w:rsid w:val="2450121E"/>
    <w:rsid w:val="247A4C56"/>
    <w:rsid w:val="2487622C"/>
    <w:rsid w:val="24973094"/>
    <w:rsid w:val="24AD6D9A"/>
    <w:rsid w:val="24E52AD8"/>
    <w:rsid w:val="24E85B0E"/>
    <w:rsid w:val="250A6267"/>
    <w:rsid w:val="251418FC"/>
    <w:rsid w:val="25417642"/>
    <w:rsid w:val="254925FD"/>
    <w:rsid w:val="255249D2"/>
    <w:rsid w:val="256C0CC0"/>
    <w:rsid w:val="25712B23"/>
    <w:rsid w:val="25951FC5"/>
    <w:rsid w:val="25A845B3"/>
    <w:rsid w:val="25B34D67"/>
    <w:rsid w:val="25EB71B7"/>
    <w:rsid w:val="26154215"/>
    <w:rsid w:val="261A0BE6"/>
    <w:rsid w:val="26215F4F"/>
    <w:rsid w:val="262C0E28"/>
    <w:rsid w:val="26385E8A"/>
    <w:rsid w:val="263C7691"/>
    <w:rsid w:val="265E2776"/>
    <w:rsid w:val="26666FDC"/>
    <w:rsid w:val="26706683"/>
    <w:rsid w:val="26963D4E"/>
    <w:rsid w:val="26AB763C"/>
    <w:rsid w:val="26B267E7"/>
    <w:rsid w:val="26D794B7"/>
    <w:rsid w:val="26F131DC"/>
    <w:rsid w:val="26F65310"/>
    <w:rsid w:val="27052D05"/>
    <w:rsid w:val="27082804"/>
    <w:rsid w:val="270832AE"/>
    <w:rsid w:val="27343A60"/>
    <w:rsid w:val="27357F9F"/>
    <w:rsid w:val="275E35BF"/>
    <w:rsid w:val="27A4553F"/>
    <w:rsid w:val="27CA7E10"/>
    <w:rsid w:val="27D35135"/>
    <w:rsid w:val="27DD1D93"/>
    <w:rsid w:val="27EF1935"/>
    <w:rsid w:val="280A1B75"/>
    <w:rsid w:val="28257458"/>
    <w:rsid w:val="283962F8"/>
    <w:rsid w:val="284E28FF"/>
    <w:rsid w:val="285D6583"/>
    <w:rsid w:val="287A36F4"/>
    <w:rsid w:val="288458E7"/>
    <w:rsid w:val="28A33A20"/>
    <w:rsid w:val="28A47F17"/>
    <w:rsid w:val="28A95D87"/>
    <w:rsid w:val="28FE6071"/>
    <w:rsid w:val="290212C1"/>
    <w:rsid w:val="290D5ED8"/>
    <w:rsid w:val="29656DCE"/>
    <w:rsid w:val="29722140"/>
    <w:rsid w:val="298B4B23"/>
    <w:rsid w:val="29AD63FD"/>
    <w:rsid w:val="29B71FDB"/>
    <w:rsid w:val="29CF18DD"/>
    <w:rsid w:val="29D65D23"/>
    <w:rsid w:val="29D875FE"/>
    <w:rsid w:val="29FE44DD"/>
    <w:rsid w:val="2A1169E3"/>
    <w:rsid w:val="2A194E5D"/>
    <w:rsid w:val="2A21554B"/>
    <w:rsid w:val="2A594BC2"/>
    <w:rsid w:val="2A5A558B"/>
    <w:rsid w:val="2A9F7561"/>
    <w:rsid w:val="2AA90FA0"/>
    <w:rsid w:val="2AB103DC"/>
    <w:rsid w:val="2AB31CE2"/>
    <w:rsid w:val="2AB55266"/>
    <w:rsid w:val="2AF000D8"/>
    <w:rsid w:val="2B3C2B7F"/>
    <w:rsid w:val="2B487382"/>
    <w:rsid w:val="2B552F60"/>
    <w:rsid w:val="2B5D3585"/>
    <w:rsid w:val="2B7841A6"/>
    <w:rsid w:val="2BB367B9"/>
    <w:rsid w:val="2BB62D59"/>
    <w:rsid w:val="2BEC2B5B"/>
    <w:rsid w:val="2C13380B"/>
    <w:rsid w:val="2C184D47"/>
    <w:rsid w:val="2C796A89"/>
    <w:rsid w:val="2C7C10B6"/>
    <w:rsid w:val="2CB204A3"/>
    <w:rsid w:val="2CBD3A96"/>
    <w:rsid w:val="2CC74339"/>
    <w:rsid w:val="2CCC23F7"/>
    <w:rsid w:val="2CCE1414"/>
    <w:rsid w:val="2CF93ABF"/>
    <w:rsid w:val="2D1E27A3"/>
    <w:rsid w:val="2D1E560F"/>
    <w:rsid w:val="2D394FF5"/>
    <w:rsid w:val="2D766528"/>
    <w:rsid w:val="2D797435"/>
    <w:rsid w:val="2DF50B51"/>
    <w:rsid w:val="2E6111A5"/>
    <w:rsid w:val="2E671D49"/>
    <w:rsid w:val="2E6A704D"/>
    <w:rsid w:val="2E6C0B54"/>
    <w:rsid w:val="2E7A444E"/>
    <w:rsid w:val="2E8A6255"/>
    <w:rsid w:val="2E8B21B7"/>
    <w:rsid w:val="2EB8596B"/>
    <w:rsid w:val="2EC8145A"/>
    <w:rsid w:val="2F0B1048"/>
    <w:rsid w:val="2F132DA3"/>
    <w:rsid w:val="2F141AAA"/>
    <w:rsid w:val="2F57653D"/>
    <w:rsid w:val="2FCA4353"/>
    <w:rsid w:val="2FE55D75"/>
    <w:rsid w:val="2FF23F99"/>
    <w:rsid w:val="2FF43D8C"/>
    <w:rsid w:val="2FFD0E93"/>
    <w:rsid w:val="2FFF3277"/>
    <w:rsid w:val="30236367"/>
    <w:rsid w:val="30331BC6"/>
    <w:rsid w:val="303E7E03"/>
    <w:rsid w:val="30405AEB"/>
    <w:rsid w:val="304A182B"/>
    <w:rsid w:val="30700C52"/>
    <w:rsid w:val="30757C00"/>
    <w:rsid w:val="30782C0F"/>
    <w:rsid w:val="307D5D65"/>
    <w:rsid w:val="30B34CE3"/>
    <w:rsid w:val="30CB1C83"/>
    <w:rsid w:val="30ED2830"/>
    <w:rsid w:val="310743D8"/>
    <w:rsid w:val="3112096E"/>
    <w:rsid w:val="316B2857"/>
    <w:rsid w:val="31832D29"/>
    <w:rsid w:val="31997196"/>
    <w:rsid w:val="319D5339"/>
    <w:rsid w:val="319F2F47"/>
    <w:rsid w:val="31B2277E"/>
    <w:rsid w:val="31D20CDE"/>
    <w:rsid w:val="31F37E23"/>
    <w:rsid w:val="31FE689A"/>
    <w:rsid w:val="32223DC6"/>
    <w:rsid w:val="325A02A1"/>
    <w:rsid w:val="329032EF"/>
    <w:rsid w:val="329970EF"/>
    <w:rsid w:val="32AE0B6A"/>
    <w:rsid w:val="32B35AAA"/>
    <w:rsid w:val="32F81DE5"/>
    <w:rsid w:val="32FD11AA"/>
    <w:rsid w:val="330F3777"/>
    <w:rsid w:val="33135210"/>
    <w:rsid w:val="3326373F"/>
    <w:rsid w:val="334459AC"/>
    <w:rsid w:val="33705A64"/>
    <w:rsid w:val="338E32D5"/>
    <w:rsid w:val="33A055AF"/>
    <w:rsid w:val="33A51E80"/>
    <w:rsid w:val="33E16D1D"/>
    <w:rsid w:val="33EE589E"/>
    <w:rsid w:val="340329A9"/>
    <w:rsid w:val="340D7B12"/>
    <w:rsid w:val="341E2B5D"/>
    <w:rsid w:val="342645AD"/>
    <w:rsid w:val="342B057B"/>
    <w:rsid w:val="34335C8F"/>
    <w:rsid w:val="345968B4"/>
    <w:rsid w:val="34617CD8"/>
    <w:rsid w:val="346317C9"/>
    <w:rsid w:val="346A286F"/>
    <w:rsid w:val="346C1C91"/>
    <w:rsid w:val="34753860"/>
    <w:rsid w:val="34A61339"/>
    <w:rsid w:val="34AF4725"/>
    <w:rsid w:val="34CC3006"/>
    <w:rsid w:val="34F3793E"/>
    <w:rsid w:val="34FA09EA"/>
    <w:rsid w:val="354B5D9D"/>
    <w:rsid w:val="35506C87"/>
    <w:rsid w:val="35574E9C"/>
    <w:rsid w:val="35580207"/>
    <w:rsid w:val="35681367"/>
    <w:rsid w:val="35712E34"/>
    <w:rsid w:val="35832558"/>
    <w:rsid w:val="359305B1"/>
    <w:rsid w:val="35966E67"/>
    <w:rsid w:val="35A973C7"/>
    <w:rsid w:val="35ED793B"/>
    <w:rsid w:val="35F06F52"/>
    <w:rsid w:val="35F84740"/>
    <w:rsid w:val="36383125"/>
    <w:rsid w:val="365E28A7"/>
    <w:rsid w:val="366C082D"/>
    <w:rsid w:val="368816D2"/>
    <w:rsid w:val="368C388A"/>
    <w:rsid w:val="36C00E6C"/>
    <w:rsid w:val="36C90DD1"/>
    <w:rsid w:val="36EF2646"/>
    <w:rsid w:val="36F275DD"/>
    <w:rsid w:val="36F55D23"/>
    <w:rsid w:val="37031C33"/>
    <w:rsid w:val="37084089"/>
    <w:rsid w:val="372A4537"/>
    <w:rsid w:val="374634AB"/>
    <w:rsid w:val="37543CF6"/>
    <w:rsid w:val="37704489"/>
    <w:rsid w:val="37710026"/>
    <w:rsid w:val="37925427"/>
    <w:rsid w:val="37A01319"/>
    <w:rsid w:val="37A55DCC"/>
    <w:rsid w:val="37C075FB"/>
    <w:rsid w:val="37CA04FF"/>
    <w:rsid w:val="37D30771"/>
    <w:rsid w:val="37E3512E"/>
    <w:rsid w:val="37EC0BB8"/>
    <w:rsid w:val="382F75E3"/>
    <w:rsid w:val="38371ACC"/>
    <w:rsid w:val="38665479"/>
    <w:rsid w:val="389205E6"/>
    <w:rsid w:val="38A748FD"/>
    <w:rsid w:val="38D53666"/>
    <w:rsid w:val="38E70932"/>
    <w:rsid w:val="38FF39F5"/>
    <w:rsid w:val="394C68A5"/>
    <w:rsid w:val="3952462B"/>
    <w:rsid w:val="395E479A"/>
    <w:rsid w:val="39675804"/>
    <w:rsid w:val="3988749C"/>
    <w:rsid w:val="398A60A0"/>
    <w:rsid w:val="39A36C2D"/>
    <w:rsid w:val="39AA29B9"/>
    <w:rsid w:val="39AE63D1"/>
    <w:rsid w:val="39D7D99B"/>
    <w:rsid w:val="39E71AEC"/>
    <w:rsid w:val="39EF5E47"/>
    <w:rsid w:val="39F60058"/>
    <w:rsid w:val="3A104089"/>
    <w:rsid w:val="3A190FBF"/>
    <w:rsid w:val="3A1A692D"/>
    <w:rsid w:val="3A2B31D2"/>
    <w:rsid w:val="3A8217DE"/>
    <w:rsid w:val="3A822B01"/>
    <w:rsid w:val="3A8D375B"/>
    <w:rsid w:val="3AB8426E"/>
    <w:rsid w:val="3ACF765C"/>
    <w:rsid w:val="3AD278CD"/>
    <w:rsid w:val="3AFA4BE5"/>
    <w:rsid w:val="3B196D9D"/>
    <w:rsid w:val="3B2A44B8"/>
    <w:rsid w:val="3B2B6476"/>
    <w:rsid w:val="3BA0301A"/>
    <w:rsid w:val="3BAF3CA2"/>
    <w:rsid w:val="3BBC038E"/>
    <w:rsid w:val="3BF72351"/>
    <w:rsid w:val="3BFE3F02"/>
    <w:rsid w:val="3C2972FD"/>
    <w:rsid w:val="3C3261E8"/>
    <w:rsid w:val="3C524EFE"/>
    <w:rsid w:val="3C5B4444"/>
    <w:rsid w:val="3C852047"/>
    <w:rsid w:val="3C97F720"/>
    <w:rsid w:val="3CA13116"/>
    <w:rsid w:val="3CA925AE"/>
    <w:rsid w:val="3CC13485"/>
    <w:rsid w:val="3CCF4FA4"/>
    <w:rsid w:val="3CF877AB"/>
    <w:rsid w:val="3D306CB2"/>
    <w:rsid w:val="3D32729D"/>
    <w:rsid w:val="3D485E54"/>
    <w:rsid w:val="3D62504C"/>
    <w:rsid w:val="3D667959"/>
    <w:rsid w:val="3D8230F2"/>
    <w:rsid w:val="3D886E2C"/>
    <w:rsid w:val="3D9A6B04"/>
    <w:rsid w:val="3DAA5519"/>
    <w:rsid w:val="3DC413E8"/>
    <w:rsid w:val="3DCA34BB"/>
    <w:rsid w:val="3DD83D60"/>
    <w:rsid w:val="3DEE7764"/>
    <w:rsid w:val="3E044CAE"/>
    <w:rsid w:val="3E12201C"/>
    <w:rsid w:val="3E427218"/>
    <w:rsid w:val="3E460E59"/>
    <w:rsid w:val="3E8F30B5"/>
    <w:rsid w:val="3E962C89"/>
    <w:rsid w:val="3E9D9EE9"/>
    <w:rsid w:val="3EA27573"/>
    <w:rsid w:val="3EA72ABE"/>
    <w:rsid w:val="3EAD4174"/>
    <w:rsid w:val="3EAD7F9C"/>
    <w:rsid w:val="3EB32892"/>
    <w:rsid w:val="3EBC3336"/>
    <w:rsid w:val="3EDE79C6"/>
    <w:rsid w:val="3EF60080"/>
    <w:rsid w:val="3EF65530"/>
    <w:rsid w:val="3EFEC654"/>
    <w:rsid w:val="3F064AE9"/>
    <w:rsid w:val="3F3B0C43"/>
    <w:rsid w:val="3F4C62B0"/>
    <w:rsid w:val="3F585F31"/>
    <w:rsid w:val="3F6A4BE4"/>
    <w:rsid w:val="3F7279F0"/>
    <w:rsid w:val="3F7C65CA"/>
    <w:rsid w:val="3F7F0FB6"/>
    <w:rsid w:val="3F9717D1"/>
    <w:rsid w:val="3F9B13A5"/>
    <w:rsid w:val="3FB2485B"/>
    <w:rsid w:val="3FBD3AE8"/>
    <w:rsid w:val="3FEE166B"/>
    <w:rsid w:val="3FFEE24B"/>
    <w:rsid w:val="402A34B8"/>
    <w:rsid w:val="402C4889"/>
    <w:rsid w:val="40360CD1"/>
    <w:rsid w:val="40361D66"/>
    <w:rsid w:val="404C1EBB"/>
    <w:rsid w:val="405214DD"/>
    <w:rsid w:val="406060C3"/>
    <w:rsid w:val="40613E30"/>
    <w:rsid w:val="40736573"/>
    <w:rsid w:val="407D7357"/>
    <w:rsid w:val="40860A30"/>
    <w:rsid w:val="408D0A8F"/>
    <w:rsid w:val="409B4A07"/>
    <w:rsid w:val="40B76859"/>
    <w:rsid w:val="40BF6E39"/>
    <w:rsid w:val="40C25B7F"/>
    <w:rsid w:val="40C73A02"/>
    <w:rsid w:val="40E02BC9"/>
    <w:rsid w:val="40F66678"/>
    <w:rsid w:val="40FA12EB"/>
    <w:rsid w:val="410A16AB"/>
    <w:rsid w:val="410E1C56"/>
    <w:rsid w:val="4120577A"/>
    <w:rsid w:val="41603084"/>
    <w:rsid w:val="41686388"/>
    <w:rsid w:val="416C142E"/>
    <w:rsid w:val="41E677EA"/>
    <w:rsid w:val="41FD121E"/>
    <w:rsid w:val="42117A10"/>
    <w:rsid w:val="421A7627"/>
    <w:rsid w:val="4233112B"/>
    <w:rsid w:val="42401E98"/>
    <w:rsid w:val="42474F8A"/>
    <w:rsid w:val="42872311"/>
    <w:rsid w:val="428B5762"/>
    <w:rsid w:val="429F3B64"/>
    <w:rsid w:val="42B64F1C"/>
    <w:rsid w:val="42C92887"/>
    <w:rsid w:val="42D47C2B"/>
    <w:rsid w:val="42DA32B5"/>
    <w:rsid w:val="42FB45E4"/>
    <w:rsid w:val="4307713D"/>
    <w:rsid w:val="433543AC"/>
    <w:rsid w:val="43420FE8"/>
    <w:rsid w:val="434513F0"/>
    <w:rsid w:val="43606D1A"/>
    <w:rsid w:val="43702851"/>
    <w:rsid w:val="437269BA"/>
    <w:rsid w:val="437F3C65"/>
    <w:rsid w:val="43B34232"/>
    <w:rsid w:val="43CA4F48"/>
    <w:rsid w:val="43FE78B1"/>
    <w:rsid w:val="440A7CA0"/>
    <w:rsid w:val="441F3AB4"/>
    <w:rsid w:val="4424604A"/>
    <w:rsid w:val="442967DE"/>
    <w:rsid w:val="445014AB"/>
    <w:rsid w:val="44674A51"/>
    <w:rsid w:val="44CE660D"/>
    <w:rsid w:val="44F103C7"/>
    <w:rsid w:val="452D47A4"/>
    <w:rsid w:val="4545710C"/>
    <w:rsid w:val="454C3E11"/>
    <w:rsid w:val="454F0B76"/>
    <w:rsid w:val="45795008"/>
    <w:rsid w:val="4579514B"/>
    <w:rsid w:val="457E2BBE"/>
    <w:rsid w:val="457F72E8"/>
    <w:rsid w:val="459F05CE"/>
    <w:rsid w:val="45D72674"/>
    <w:rsid w:val="45DE083B"/>
    <w:rsid w:val="45E076C0"/>
    <w:rsid w:val="45F36067"/>
    <w:rsid w:val="45FB3F60"/>
    <w:rsid w:val="460C0745"/>
    <w:rsid w:val="463122D8"/>
    <w:rsid w:val="463144E5"/>
    <w:rsid w:val="4632053D"/>
    <w:rsid w:val="46577675"/>
    <w:rsid w:val="4662415A"/>
    <w:rsid w:val="4662498C"/>
    <w:rsid w:val="46641814"/>
    <w:rsid w:val="466E26B2"/>
    <w:rsid w:val="468425B0"/>
    <w:rsid w:val="46A022D9"/>
    <w:rsid w:val="46A9554B"/>
    <w:rsid w:val="46AF05B5"/>
    <w:rsid w:val="46B04A59"/>
    <w:rsid w:val="46B21457"/>
    <w:rsid w:val="46B411EC"/>
    <w:rsid w:val="46BE1A6C"/>
    <w:rsid w:val="46BE6647"/>
    <w:rsid w:val="46D0431B"/>
    <w:rsid w:val="46D35FF3"/>
    <w:rsid w:val="46EE3897"/>
    <w:rsid w:val="47140585"/>
    <w:rsid w:val="471B3499"/>
    <w:rsid w:val="4730142A"/>
    <w:rsid w:val="476870E2"/>
    <w:rsid w:val="478A0CA0"/>
    <w:rsid w:val="478E4BD2"/>
    <w:rsid w:val="47C848F5"/>
    <w:rsid w:val="47D84DCE"/>
    <w:rsid w:val="47DD756D"/>
    <w:rsid w:val="48037A8A"/>
    <w:rsid w:val="48057880"/>
    <w:rsid w:val="48150BC3"/>
    <w:rsid w:val="48377D23"/>
    <w:rsid w:val="486634EE"/>
    <w:rsid w:val="48807890"/>
    <w:rsid w:val="48A64B98"/>
    <w:rsid w:val="48A71804"/>
    <w:rsid w:val="48B30830"/>
    <w:rsid w:val="48BC156D"/>
    <w:rsid w:val="48DF62C3"/>
    <w:rsid w:val="48EA3B26"/>
    <w:rsid w:val="48F765BE"/>
    <w:rsid w:val="490445F2"/>
    <w:rsid w:val="49137521"/>
    <w:rsid w:val="49320F23"/>
    <w:rsid w:val="493A087A"/>
    <w:rsid w:val="49831FB1"/>
    <w:rsid w:val="49A10911"/>
    <w:rsid w:val="49CA61CE"/>
    <w:rsid w:val="49DD73AE"/>
    <w:rsid w:val="49F95BD6"/>
    <w:rsid w:val="4A0C7375"/>
    <w:rsid w:val="4A194AA5"/>
    <w:rsid w:val="4A2710F3"/>
    <w:rsid w:val="4A2B3C78"/>
    <w:rsid w:val="4A4915FD"/>
    <w:rsid w:val="4A4934DE"/>
    <w:rsid w:val="4A4D25BF"/>
    <w:rsid w:val="4A5E47CC"/>
    <w:rsid w:val="4A6E0EB3"/>
    <w:rsid w:val="4A9106FD"/>
    <w:rsid w:val="4AA73240"/>
    <w:rsid w:val="4AB72272"/>
    <w:rsid w:val="4AC63E7C"/>
    <w:rsid w:val="4AD703A4"/>
    <w:rsid w:val="4B305E1B"/>
    <w:rsid w:val="4B4B6AFE"/>
    <w:rsid w:val="4B5D2E40"/>
    <w:rsid w:val="4B602D44"/>
    <w:rsid w:val="4B842010"/>
    <w:rsid w:val="4BB92D8E"/>
    <w:rsid w:val="4BBB7216"/>
    <w:rsid w:val="4BD07B58"/>
    <w:rsid w:val="4BE87BA5"/>
    <w:rsid w:val="4C155F10"/>
    <w:rsid w:val="4C2F7851"/>
    <w:rsid w:val="4C3176AB"/>
    <w:rsid w:val="4C324162"/>
    <w:rsid w:val="4C3C12ED"/>
    <w:rsid w:val="4C415DC1"/>
    <w:rsid w:val="4C571AC7"/>
    <w:rsid w:val="4C6E278E"/>
    <w:rsid w:val="4CA95F3B"/>
    <w:rsid w:val="4CE45067"/>
    <w:rsid w:val="4CFF538B"/>
    <w:rsid w:val="4D2A4B22"/>
    <w:rsid w:val="4D471EEE"/>
    <w:rsid w:val="4D4D7800"/>
    <w:rsid w:val="4D7251FF"/>
    <w:rsid w:val="4DDB4948"/>
    <w:rsid w:val="4DE50C0B"/>
    <w:rsid w:val="4DF831B6"/>
    <w:rsid w:val="4E11105D"/>
    <w:rsid w:val="4E16225A"/>
    <w:rsid w:val="4E253AB8"/>
    <w:rsid w:val="4E472C92"/>
    <w:rsid w:val="4E824D97"/>
    <w:rsid w:val="4E9D5C2D"/>
    <w:rsid w:val="4EBA57C1"/>
    <w:rsid w:val="4EC8768D"/>
    <w:rsid w:val="4EEB58EF"/>
    <w:rsid w:val="4EFC68C1"/>
    <w:rsid w:val="4EFE6975"/>
    <w:rsid w:val="4F047E0A"/>
    <w:rsid w:val="4F477F24"/>
    <w:rsid w:val="4FA91AAC"/>
    <w:rsid w:val="4FBD0FF5"/>
    <w:rsid w:val="4FC854D7"/>
    <w:rsid w:val="50142DE1"/>
    <w:rsid w:val="5015687B"/>
    <w:rsid w:val="501926CA"/>
    <w:rsid w:val="503109FF"/>
    <w:rsid w:val="503E7F87"/>
    <w:rsid w:val="504544C8"/>
    <w:rsid w:val="505E3D68"/>
    <w:rsid w:val="505F4DFA"/>
    <w:rsid w:val="505F5918"/>
    <w:rsid w:val="506F5953"/>
    <w:rsid w:val="507A0E74"/>
    <w:rsid w:val="50A218B6"/>
    <w:rsid w:val="50C2531E"/>
    <w:rsid w:val="50D13748"/>
    <w:rsid w:val="50D43A3A"/>
    <w:rsid w:val="510A120A"/>
    <w:rsid w:val="511C0E16"/>
    <w:rsid w:val="51426BF5"/>
    <w:rsid w:val="516A440A"/>
    <w:rsid w:val="51B053DC"/>
    <w:rsid w:val="51BA5A6F"/>
    <w:rsid w:val="51C42E16"/>
    <w:rsid w:val="51E5538B"/>
    <w:rsid w:val="52000D12"/>
    <w:rsid w:val="520D6221"/>
    <w:rsid w:val="5244074B"/>
    <w:rsid w:val="525351F4"/>
    <w:rsid w:val="525A6FBC"/>
    <w:rsid w:val="526C0997"/>
    <w:rsid w:val="5277467D"/>
    <w:rsid w:val="52855A65"/>
    <w:rsid w:val="52E11882"/>
    <w:rsid w:val="52E44E05"/>
    <w:rsid w:val="52F862D1"/>
    <w:rsid w:val="530B071F"/>
    <w:rsid w:val="53311AB3"/>
    <w:rsid w:val="53317F44"/>
    <w:rsid w:val="533D33D1"/>
    <w:rsid w:val="53511F1B"/>
    <w:rsid w:val="5353295D"/>
    <w:rsid w:val="53670B33"/>
    <w:rsid w:val="537735FB"/>
    <w:rsid w:val="53775B6A"/>
    <w:rsid w:val="538F5737"/>
    <w:rsid w:val="53CA0B91"/>
    <w:rsid w:val="53D43855"/>
    <w:rsid w:val="53D6214F"/>
    <w:rsid w:val="53EE1101"/>
    <w:rsid w:val="53FC4E8E"/>
    <w:rsid w:val="54111ADD"/>
    <w:rsid w:val="541717DC"/>
    <w:rsid w:val="54271D5C"/>
    <w:rsid w:val="5427740E"/>
    <w:rsid w:val="542B571F"/>
    <w:rsid w:val="54976AA9"/>
    <w:rsid w:val="549A3F89"/>
    <w:rsid w:val="54A022DD"/>
    <w:rsid w:val="54AA7049"/>
    <w:rsid w:val="54CF639A"/>
    <w:rsid w:val="54DE0134"/>
    <w:rsid w:val="54FC0026"/>
    <w:rsid w:val="553C46BA"/>
    <w:rsid w:val="55485688"/>
    <w:rsid w:val="55494082"/>
    <w:rsid w:val="555B3FA7"/>
    <w:rsid w:val="555F54CC"/>
    <w:rsid w:val="557D5B60"/>
    <w:rsid w:val="55834A19"/>
    <w:rsid w:val="559D43FA"/>
    <w:rsid w:val="55CF743F"/>
    <w:rsid w:val="55F27046"/>
    <w:rsid w:val="55F526C6"/>
    <w:rsid w:val="56066DC9"/>
    <w:rsid w:val="560B2337"/>
    <w:rsid w:val="561A7CC7"/>
    <w:rsid w:val="564E1228"/>
    <w:rsid w:val="56A6131D"/>
    <w:rsid w:val="56A82B00"/>
    <w:rsid w:val="56BC5AD0"/>
    <w:rsid w:val="56D00C68"/>
    <w:rsid w:val="56E92BBE"/>
    <w:rsid w:val="56EB60FD"/>
    <w:rsid w:val="57022BD1"/>
    <w:rsid w:val="57212B27"/>
    <w:rsid w:val="572809C2"/>
    <w:rsid w:val="57480C4D"/>
    <w:rsid w:val="574C27F3"/>
    <w:rsid w:val="57895A45"/>
    <w:rsid w:val="579D6934"/>
    <w:rsid w:val="57A16858"/>
    <w:rsid w:val="57B30CDA"/>
    <w:rsid w:val="57C5313B"/>
    <w:rsid w:val="57D807D4"/>
    <w:rsid w:val="57EA7969"/>
    <w:rsid w:val="57F740F4"/>
    <w:rsid w:val="57FA3D86"/>
    <w:rsid w:val="57FDBEDD"/>
    <w:rsid w:val="58466FCB"/>
    <w:rsid w:val="58750691"/>
    <w:rsid w:val="58AB575D"/>
    <w:rsid w:val="58AD0DF8"/>
    <w:rsid w:val="58BC728D"/>
    <w:rsid w:val="58BD4DB3"/>
    <w:rsid w:val="58D22E69"/>
    <w:rsid w:val="58DD0763"/>
    <w:rsid w:val="58EA22FF"/>
    <w:rsid w:val="58EB59C1"/>
    <w:rsid w:val="59445F91"/>
    <w:rsid w:val="596A4F3B"/>
    <w:rsid w:val="59815208"/>
    <w:rsid w:val="5993057B"/>
    <w:rsid w:val="59A43D8B"/>
    <w:rsid w:val="59A64B68"/>
    <w:rsid w:val="59F001A4"/>
    <w:rsid w:val="5A1E2DE7"/>
    <w:rsid w:val="5A20427A"/>
    <w:rsid w:val="5A331DE9"/>
    <w:rsid w:val="5A395FB6"/>
    <w:rsid w:val="5A436A2D"/>
    <w:rsid w:val="5A9833A8"/>
    <w:rsid w:val="5AAC047B"/>
    <w:rsid w:val="5AC95404"/>
    <w:rsid w:val="5B0A066E"/>
    <w:rsid w:val="5B123FA7"/>
    <w:rsid w:val="5B1D0885"/>
    <w:rsid w:val="5B5E18A4"/>
    <w:rsid w:val="5B613C0E"/>
    <w:rsid w:val="5B955E96"/>
    <w:rsid w:val="5B9B3675"/>
    <w:rsid w:val="5BA26571"/>
    <w:rsid w:val="5BCA6564"/>
    <w:rsid w:val="5BD66D67"/>
    <w:rsid w:val="5BFE7E52"/>
    <w:rsid w:val="5C107D40"/>
    <w:rsid w:val="5C1D1988"/>
    <w:rsid w:val="5C1E3775"/>
    <w:rsid w:val="5C381264"/>
    <w:rsid w:val="5C5E6BE8"/>
    <w:rsid w:val="5C672644"/>
    <w:rsid w:val="5C8132C7"/>
    <w:rsid w:val="5CA23A25"/>
    <w:rsid w:val="5CC26330"/>
    <w:rsid w:val="5CC475BF"/>
    <w:rsid w:val="5CD67F41"/>
    <w:rsid w:val="5CDF760E"/>
    <w:rsid w:val="5CE07ABA"/>
    <w:rsid w:val="5CF00F5E"/>
    <w:rsid w:val="5D017C51"/>
    <w:rsid w:val="5D4165A3"/>
    <w:rsid w:val="5D463591"/>
    <w:rsid w:val="5D4F2A78"/>
    <w:rsid w:val="5D570A59"/>
    <w:rsid w:val="5D792AE4"/>
    <w:rsid w:val="5DC25C67"/>
    <w:rsid w:val="5DCA711D"/>
    <w:rsid w:val="5DD97571"/>
    <w:rsid w:val="5DDA1D04"/>
    <w:rsid w:val="5DE22BD1"/>
    <w:rsid w:val="5E101ABB"/>
    <w:rsid w:val="5E2F58D3"/>
    <w:rsid w:val="5E5A06FD"/>
    <w:rsid w:val="5E8A56FD"/>
    <w:rsid w:val="5E9342EC"/>
    <w:rsid w:val="5EA27CF7"/>
    <w:rsid w:val="5EBC3C1E"/>
    <w:rsid w:val="5EEE45E3"/>
    <w:rsid w:val="5EF17565"/>
    <w:rsid w:val="5F3815EE"/>
    <w:rsid w:val="5F5C32D6"/>
    <w:rsid w:val="5FB10E83"/>
    <w:rsid w:val="5FDC6467"/>
    <w:rsid w:val="5FFD96AC"/>
    <w:rsid w:val="600E788A"/>
    <w:rsid w:val="60173C67"/>
    <w:rsid w:val="60206354"/>
    <w:rsid w:val="603911C4"/>
    <w:rsid w:val="604130CF"/>
    <w:rsid w:val="60572C99"/>
    <w:rsid w:val="60663C94"/>
    <w:rsid w:val="60794FD4"/>
    <w:rsid w:val="60814FEF"/>
    <w:rsid w:val="60946411"/>
    <w:rsid w:val="60AE4E89"/>
    <w:rsid w:val="60CD4AC4"/>
    <w:rsid w:val="60D32F5A"/>
    <w:rsid w:val="61001CE1"/>
    <w:rsid w:val="610E2B4C"/>
    <w:rsid w:val="613E3956"/>
    <w:rsid w:val="6151253D"/>
    <w:rsid w:val="617F0AF7"/>
    <w:rsid w:val="619945D7"/>
    <w:rsid w:val="61C210E3"/>
    <w:rsid w:val="61C24BFD"/>
    <w:rsid w:val="61DE43D4"/>
    <w:rsid w:val="61E06967"/>
    <w:rsid w:val="61ED083B"/>
    <w:rsid w:val="61FB2295"/>
    <w:rsid w:val="62184EFE"/>
    <w:rsid w:val="622F0AD0"/>
    <w:rsid w:val="624216A0"/>
    <w:rsid w:val="626343A0"/>
    <w:rsid w:val="626736F9"/>
    <w:rsid w:val="626B4082"/>
    <w:rsid w:val="626B6B00"/>
    <w:rsid w:val="628E1BE9"/>
    <w:rsid w:val="62A3326C"/>
    <w:rsid w:val="62C126EC"/>
    <w:rsid w:val="62CF1703"/>
    <w:rsid w:val="62D06FF9"/>
    <w:rsid w:val="62D358FF"/>
    <w:rsid w:val="62D765EB"/>
    <w:rsid w:val="62E16861"/>
    <w:rsid w:val="636B22CC"/>
    <w:rsid w:val="636C198B"/>
    <w:rsid w:val="63B65AC7"/>
    <w:rsid w:val="63D7428B"/>
    <w:rsid w:val="64002DAD"/>
    <w:rsid w:val="640C4C0D"/>
    <w:rsid w:val="643B5584"/>
    <w:rsid w:val="64550596"/>
    <w:rsid w:val="645830D7"/>
    <w:rsid w:val="64675414"/>
    <w:rsid w:val="646D58E0"/>
    <w:rsid w:val="647258C3"/>
    <w:rsid w:val="64763CBE"/>
    <w:rsid w:val="647F41B9"/>
    <w:rsid w:val="648F5856"/>
    <w:rsid w:val="64AA2E73"/>
    <w:rsid w:val="64B8434A"/>
    <w:rsid w:val="64BD6867"/>
    <w:rsid w:val="64C5008F"/>
    <w:rsid w:val="64E8446E"/>
    <w:rsid w:val="64E959FD"/>
    <w:rsid w:val="64F9CCE6"/>
    <w:rsid w:val="651B5828"/>
    <w:rsid w:val="6530087B"/>
    <w:rsid w:val="65376B47"/>
    <w:rsid w:val="654042F5"/>
    <w:rsid w:val="65782457"/>
    <w:rsid w:val="65AB2B63"/>
    <w:rsid w:val="65C765C1"/>
    <w:rsid w:val="65E44DFA"/>
    <w:rsid w:val="65E63B9C"/>
    <w:rsid w:val="65F37088"/>
    <w:rsid w:val="65F66C79"/>
    <w:rsid w:val="660447CA"/>
    <w:rsid w:val="662B5A52"/>
    <w:rsid w:val="665622BC"/>
    <w:rsid w:val="66653739"/>
    <w:rsid w:val="666C4EE6"/>
    <w:rsid w:val="66792487"/>
    <w:rsid w:val="66D470E6"/>
    <w:rsid w:val="66DD6B3A"/>
    <w:rsid w:val="66ED2CA0"/>
    <w:rsid w:val="66F722EC"/>
    <w:rsid w:val="66FB0FDC"/>
    <w:rsid w:val="66FC5AFF"/>
    <w:rsid w:val="6709462E"/>
    <w:rsid w:val="673F7B05"/>
    <w:rsid w:val="676C49AE"/>
    <w:rsid w:val="6777196F"/>
    <w:rsid w:val="67825F62"/>
    <w:rsid w:val="678A1ED0"/>
    <w:rsid w:val="67AB61F8"/>
    <w:rsid w:val="67BA7741"/>
    <w:rsid w:val="67CEDCD6"/>
    <w:rsid w:val="67DD438D"/>
    <w:rsid w:val="67E6170C"/>
    <w:rsid w:val="67ED1BBE"/>
    <w:rsid w:val="67ED7463"/>
    <w:rsid w:val="67FD51CC"/>
    <w:rsid w:val="680D0CA5"/>
    <w:rsid w:val="684D7F02"/>
    <w:rsid w:val="686C7F9F"/>
    <w:rsid w:val="68A45648"/>
    <w:rsid w:val="68A5668C"/>
    <w:rsid w:val="68BD44C2"/>
    <w:rsid w:val="68D27297"/>
    <w:rsid w:val="68F42855"/>
    <w:rsid w:val="6911241F"/>
    <w:rsid w:val="69232A11"/>
    <w:rsid w:val="69586B5E"/>
    <w:rsid w:val="69B55D5F"/>
    <w:rsid w:val="69B67115"/>
    <w:rsid w:val="69B82DF4"/>
    <w:rsid w:val="69EF53B4"/>
    <w:rsid w:val="69FB8724"/>
    <w:rsid w:val="6A126DD2"/>
    <w:rsid w:val="6A2B4273"/>
    <w:rsid w:val="6A420E56"/>
    <w:rsid w:val="6A924E32"/>
    <w:rsid w:val="6A94008C"/>
    <w:rsid w:val="6AC635A8"/>
    <w:rsid w:val="6AC83B0F"/>
    <w:rsid w:val="6AE60947"/>
    <w:rsid w:val="6AEF6EB8"/>
    <w:rsid w:val="6AFD0629"/>
    <w:rsid w:val="6B0B374F"/>
    <w:rsid w:val="6B0E6D92"/>
    <w:rsid w:val="6B17074E"/>
    <w:rsid w:val="6B1F0CCB"/>
    <w:rsid w:val="6B285847"/>
    <w:rsid w:val="6B5F1CFB"/>
    <w:rsid w:val="6B6234E5"/>
    <w:rsid w:val="6B711708"/>
    <w:rsid w:val="6B980A95"/>
    <w:rsid w:val="6BA67A32"/>
    <w:rsid w:val="6BBD11F5"/>
    <w:rsid w:val="6BCE1834"/>
    <w:rsid w:val="6BD12800"/>
    <w:rsid w:val="6C022DB1"/>
    <w:rsid w:val="6C172034"/>
    <w:rsid w:val="6C1B1096"/>
    <w:rsid w:val="6C5E02FC"/>
    <w:rsid w:val="6C611966"/>
    <w:rsid w:val="6C721812"/>
    <w:rsid w:val="6C8B0F52"/>
    <w:rsid w:val="6CC73E80"/>
    <w:rsid w:val="6CDD0DD0"/>
    <w:rsid w:val="6CFA7DB1"/>
    <w:rsid w:val="6D0127E4"/>
    <w:rsid w:val="6D135E16"/>
    <w:rsid w:val="6D1C168A"/>
    <w:rsid w:val="6D2154B9"/>
    <w:rsid w:val="6D347A31"/>
    <w:rsid w:val="6D3668DD"/>
    <w:rsid w:val="6D471CAB"/>
    <w:rsid w:val="6D70425D"/>
    <w:rsid w:val="6D98649B"/>
    <w:rsid w:val="6D986796"/>
    <w:rsid w:val="6DAC0977"/>
    <w:rsid w:val="6DB941BD"/>
    <w:rsid w:val="6DC60F63"/>
    <w:rsid w:val="6DED6545"/>
    <w:rsid w:val="6DF11063"/>
    <w:rsid w:val="6E3B32BE"/>
    <w:rsid w:val="6E4C770B"/>
    <w:rsid w:val="6E5F1098"/>
    <w:rsid w:val="6E6F2793"/>
    <w:rsid w:val="6E703D8E"/>
    <w:rsid w:val="6E7F1EDE"/>
    <w:rsid w:val="6E84323D"/>
    <w:rsid w:val="6E942A76"/>
    <w:rsid w:val="6EA41FA2"/>
    <w:rsid w:val="6EB44AD4"/>
    <w:rsid w:val="6EBA69C8"/>
    <w:rsid w:val="6F265009"/>
    <w:rsid w:val="6F313FE8"/>
    <w:rsid w:val="6F381CAC"/>
    <w:rsid w:val="6F6128C1"/>
    <w:rsid w:val="6F723264"/>
    <w:rsid w:val="6F9C6902"/>
    <w:rsid w:val="6F9E6156"/>
    <w:rsid w:val="6FA06B69"/>
    <w:rsid w:val="6FA0729C"/>
    <w:rsid w:val="6FFB3E16"/>
    <w:rsid w:val="70100CA2"/>
    <w:rsid w:val="70393572"/>
    <w:rsid w:val="706E27A1"/>
    <w:rsid w:val="706F0977"/>
    <w:rsid w:val="707263F3"/>
    <w:rsid w:val="70A24D48"/>
    <w:rsid w:val="70B07280"/>
    <w:rsid w:val="70BA64EF"/>
    <w:rsid w:val="70C42D2B"/>
    <w:rsid w:val="70C900DF"/>
    <w:rsid w:val="70F80524"/>
    <w:rsid w:val="710A2419"/>
    <w:rsid w:val="710E65A0"/>
    <w:rsid w:val="71326D32"/>
    <w:rsid w:val="71347EB1"/>
    <w:rsid w:val="71453598"/>
    <w:rsid w:val="714C2CD0"/>
    <w:rsid w:val="715A596A"/>
    <w:rsid w:val="717C247D"/>
    <w:rsid w:val="717F26E4"/>
    <w:rsid w:val="71816B8E"/>
    <w:rsid w:val="71832D29"/>
    <w:rsid w:val="71907818"/>
    <w:rsid w:val="71B252F9"/>
    <w:rsid w:val="71DE7E1D"/>
    <w:rsid w:val="71E95916"/>
    <w:rsid w:val="71EB1F0E"/>
    <w:rsid w:val="7203413E"/>
    <w:rsid w:val="72191ED0"/>
    <w:rsid w:val="721C3014"/>
    <w:rsid w:val="721D0BFB"/>
    <w:rsid w:val="7250588C"/>
    <w:rsid w:val="726F5278"/>
    <w:rsid w:val="727E786A"/>
    <w:rsid w:val="72887FD4"/>
    <w:rsid w:val="72BD0544"/>
    <w:rsid w:val="72C0472D"/>
    <w:rsid w:val="72CB03A1"/>
    <w:rsid w:val="72D11D5C"/>
    <w:rsid w:val="72DC3720"/>
    <w:rsid w:val="72DC4121"/>
    <w:rsid w:val="72E4193A"/>
    <w:rsid w:val="72E85DAD"/>
    <w:rsid w:val="73133AF6"/>
    <w:rsid w:val="732303D9"/>
    <w:rsid w:val="7344428A"/>
    <w:rsid w:val="734979C3"/>
    <w:rsid w:val="73532CC9"/>
    <w:rsid w:val="735C549D"/>
    <w:rsid w:val="736F7373"/>
    <w:rsid w:val="738F6C61"/>
    <w:rsid w:val="73B060B2"/>
    <w:rsid w:val="73D223F2"/>
    <w:rsid w:val="73D73D11"/>
    <w:rsid w:val="73E95EE8"/>
    <w:rsid w:val="744975DD"/>
    <w:rsid w:val="74610332"/>
    <w:rsid w:val="746920A5"/>
    <w:rsid w:val="74AD6F4A"/>
    <w:rsid w:val="74AE06FF"/>
    <w:rsid w:val="74CB1EDB"/>
    <w:rsid w:val="74D27A07"/>
    <w:rsid w:val="74DE73F5"/>
    <w:rsid w:val="750E239F"/>
    <w:rsid w:val="7517095A"/>
    <w:rsid w:val="751E77AF"/>
    <w:rsid w:val="75702156"/>
    <w:rsid w:val="757A6A57"/>
    <w:rsid w:val="75D07F8B"/>
    <w:rsid w:val="75EE5669"/>
    <w:rsid w:val="76957051"/>
    <w:rsid w:val="76BD4232"/>
    <w:rsid w:val="76C10199"/>
    <w:rsid w:val="76C57BCB"/>
    <w:rsid w:val="76D474B3"/>
    <w:rsid w:val="76EF6DD7"/>
    <w:rsid w:val="76F927CD"/>
    <w:rsid w:val="772F78A5"/>
    <w:rsid w:val="773B2934"/>
    <w:rsid w:val="773E064E"/>
    <w:rsid w:val="774E1211"/>
    <w:rsid w:val="7767181A"/>
    <w:rsid w:val="777B71D8"/>
    <w:rsid w:val="77842F01"/>
    <w:rsid w:val="77A54D53"/>
    <w:rsid w:val="77AB25AD"/>
    <w:rsid w:val="77D75F2B"/>
    <w:rsid w:val="77FC6767"/>
    <w:rsid w:val="781A0BEC"/>
    <w:rsid w:val="78202415"/>
    <w:rsid w:val="78213FC9"/>
    <w:rsid w:val="78572B59"/>
    <w:rsid w:val="78701D9C"/>
    <w:rsid w:val="7899537E"/>
    <w:rsid w:val="78F9F6D3"/>
    <w:rsid w:val="78FA0671"/>
    <w:rsid w:val="79393B8B"/>
    <w:rsid w:val="793A634F"/>
    <w:rsid w:val="797A5A56"/>
    <w:rsid w:val="797BA803"/>
    <w:rsid w:val="798635EB"/>
    <w:rsid w:val="79A5750A"/>
    <w:rsid w:val="79CF368F"/>
    <w:rsid w:val="79D41247"/>
    <w:rsid w:val="79EB2FD6"/>
    <w:rsid w:val="79ECAB6F"/>
    <w:rsid w:val="79ED0DA8"/>
    <w:rsid w:val="7A0C1011"/>
    <w:rsid w:val="7A0E7A81"/>
    <w:rsid w:val="7A17211E"/>
    <w:rsid w:val="7A321CDB"/>
    <w:rsid w:val="7A4B626B"/>
    <w:rsid w:val="7A567B6E"/>
    <w:rsid w:val="7A6E32C8"/>
    <w:rsid w:val="7AA5772A"/>
    <w:rsid w:val="7AB0113D"/>
    <w:rsid w:val="7AC900CF"/>
    <w:rsid w:val="7B052FBD"/>
    <w:rsid w:val="7B2F54B5"/>
    <w:rsid w:val="7B48416D"/>
    <w:rsid w:val="7B5A5A6C"/>
    <w:rsid w:val="7B5C250E"/>
    <w:rsid w:val="7B5C3BBA"/>
    <w:rsid w:val="7B63305F"/>
    <w:rsid w:val="7B6D0F87"/>
    <w:rsid w:val="7B72691F"/>
    <w:rsid w:val="7B783FD8"/>
    <w:rsid w:val="7B9A3DB8"/>
    <w:rsid w:val="7BA113AB"/>
    <w:rsid w:val="7BA67BFD"/>
    <w:rsid w:val="7BAC4AE8"/>
    <w:rsid w:val="7BD52290"/>
    <w:rsid w:val="7BD568A0"/>
    <w:rsid w:val="7BE22960"/>
    <w:rsid w:val="7BF20E1E"/>
    <w:rsid w:val="7BFC01F8"/>
    <w:rsid w:val="7BFF70BE"/>
    <w:rsid w:val="7C120F4C"/>
    <w:rsid w:val="7C1B29E5"/>
    <w:rsid w:val="7C5728ED"/>
    <w:rsid w:val="7C574A54"/>
    <w:rsid w:val="7C686BCF"/>
    <w:rsid w:val="7C9408F4"/>
    <w:rsid w:val="7CB83597"/>
    <w:rsid w:val="7CB90CC2"/>
    <w:rsid w:val="7CC752E0"/>
    <w:rsid w:val="7CFB2CE9"/>
    <w:rsid w:val="7CFBCE9D"/>
    <w:rsid w:val="7D0C34C4"/>
    <w:rsid w:val="7D1E71EA"/>
    <w:rsid w:val="7D212CA5"/>
    <w:rsid w:val="7D255EE2"/>
    <w:rsid w:val="7D26D855"/>
    <w:rsid w:val="7D293184"/>
    <w:rsid w:val="7D2B742D"/>
    <w:rsid w:val="7D4B3EE6"/>
    <w:rsid w:val="7D6112EF"/>
    <w:rsid w:val="7D68620F"/>
    <w:rsid w:val="7D69777E"/>
    <w:rsid w:val="7D6FB106"/>
    <w:rsid w:val="7D752C5B"/>
    <w:rsid w:val="7D927DC0"/>
    <w:rsid w:val="7DB34706"/>
    <w:rsid w:val="7E1A0A9F"/>
    <w:rsid w:val="7E2327E1"/>
    <w:rsid w:val="7E3C401A"/>
    <w:rsid w:val="7E641213"/>
    <w:rsid w:val="7EA7EB6C"/>
    <w:rsid w:val="7EAD3628"/>
    <w:rsid w:val="7EB859C9"/>
    <w:rsid w:val="7ECB4935"/>
    <w:rsid w:val="7EE33139"/>
    <w:rsid w:val="7EEBD690"/>
    <w:rsid w:val="7EF34773"/>
    <w:rsid w:val="7EF931C4"/>
    <w:rsid w:val="7F0D08DC"/>
    <w:rsid w:val="7F173D26"/>
    <w:rsid w:val="7F3DC597"/>
    <w:rsid w:val="7F457705"/>
    <w:rsid w:val="7F666017"/>
    <w:rsid w:val="7F6FBE70"/>
    <w:rsid w:val="7F714EE5"/>
    <w:rsid w:val="7F765549"/>
    <w:rsid w:val="7F7F2734"/>
    <w:rsid w:val="7F9B10FB"/>
    <w:rsid w:val="7FA63F96"/>
    <w:rsid w:val="7FB7DF21"/>
    <w:rsid w:val="7FB9287C"/>
    <w:rsid w:val="7FC32F20"/>
    <w:rsid w:val="7FCC47FD"/>
    <w:rsid w:val="7FD31973"/>
    <w:rsid w:val="7FE15B01"/>
    <w:rsid w:val="7FFB1B6E"/>
    <w:rsid w:val="8573C5B4"/>
    <w:rsid w:val="C6F5E4F8"/>
    <w:rsid w:val="CDFFBC69"/>
    <w:rsid w:val="DCE705B6"/>
    <w:rsid w:val="DE35E862"/>
    <w:rsid w:val="DF77D5E2"/>
    <w:rsid w:val="DFE64E7C"/>
    <w:rsid w:val="F76F081C"/>
    <w:rsid w:val="F7B3F097"/>
    <w:rsid w:val="F7BF1B7E"/>
    <w:rsid w:val="F7E80245"/>
    <w:rsid w:val="FB6B5221"/>
    <w:rsid w:val="FBB6A2A8"/>
    <w:rsid w:val="FFCB6B6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4"/>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8"/>
    <w:qFormat/>
    <w:uiPriority w:val="0"/>
    <w:pPr>
      <w:ind w:firstLine="420" w:firstLineChars="200"/>
    </w:pPr>
  </w:style>
  <w:style w:type="paragraph" w:styleId="14">
    <w:name w:val="Document Map"/>
    <w:basedOn w:val="1"/>
    <w:link w:val="75"/>
    <w:qFormat/>
    <w:uiPriority w:val="0"/>
    <w:pPr>
      <w:shd w:val="clear" w:color="auto" w:fill="000080"/>
    </w:pPr>
    <w:rPr>
      <w:kern w:val="0"/>
      <w:sz w:val="20"/>
    </w:rPr>
  </w:style>
  <w:style w:type="paragraph" w:styleId="15">
    <w:name w:val="annotation text"/>
    <w:basedOn w:val="1"/>
    <w:link w:val="57"/>
    <w:unhideWhenUsed/>
    <w:qFormat/>
    <w:uiPriority w:val="99"/>
    <w:pPr>
      <w:jc w:val="left"/>
    </w:pPr>
    <w:rPr>
      <w:kern w:val="0"/>
      <w:sz w:val="20"/>
    </w:rPr>
  </w:style>
  <w:style w:type="paragraph" w:styleId="16">
    <w:name w:val="Body Text 3"/>
    <w:basedOn w:val="1"/>
    <w:link w:val="61"/>
    <w:qFormat/>
    <w:uiPriority w:val="0"/>
    <w:rPr>
      <w:rFonts w:ascii="宋体"/>
      <w:kern w:val="0"/>
      <w:sz w:val="24"/>
      <w:szCs w:val="20"/>
    </w:rPr>
  </w:style>
  <w:style w:type="paragraph" w:styleId="17">
    <w:name w:val="Body Text Indent"/>
    <w:basedOn w:val="1"/>
    <w:next w:val="1"/>
    <w:link w:val="74"/>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7"/>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1"/>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9"/>
    <w:qFormat/>
    <w:uiPriority w:val="0"/>
    <w:rPr>
      <w:kern w:val="0"/>
      <w:sz w:val="18"/>
      <w:szCs w:val="18"/>
    </w:r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7"/>
    <w:qFormat/>
    <w:uiPriority w:val="0"/>
    <w:rPr>
      <w:b/>
      <w:bCs/>
    </w:rPr>
  </w:style>
  <w:style w:type="paragraph" w:styleId="41">
    <w:name w:val="Body Text First Indent"/>
    <w:basedOn w:val="2"/>
    <w:qFormat/>
    <w:uiPriority w:val="0"/>
    <w:pPr>
      <w:adjustRightInd w:val="0"/>
      <w:spacing w:line="275" w:lineRule="atLeast"/>
      <w:ind w:firstLine="420"/>
      <w:textAlignment w:val="baseline"/>
    </w:pPr>
    <w:rPr>
      <w:rFonts w:ascii="宋体" w:eastAsia="楷体_GB2312"/>
      <w:sz w:val="24"/>
      <w:szCs w:val="20"/>
    </w:rPr>
  </w:style>
  <w:style w:type="paragraph" w:styleId="42">
    <w:name w:val="Body Text First Indent 2"/>
    <w:basedOn w:val="17"/>
    <w:unhideWhenUsed/>
    <w:qFormat/>
    <w:uiPriority w:val="0"/>
    <w:pPr>
      <w:ind w:firstLine="420"/>
    </w:p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Hyperlink"/>
    <w:basedOn w:val="45"/>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字符"/>
    <w:link w:val="5"/>
    <w:qFormat/>
    <w:uiPriority w:val="0"/>
    <w:rPr>
      <w:rFonts w:ascii="Times New Roman" w:hAnsi="Times New Roman" w:eastAsia="宋体" w:cs="Times New Roman"/>
      <w:b/>
      <w:bCs/>
      <w:sz w:val="32"/>
      <w:szCs w:val="32"/>
    </w:rPr>
  </w:style>
  <w:style w:type="character" w:customStyle="1" w:styleId="57">
    <w:name w:val="批注文字 字符"/>
    <w:link w:val="15"/>
    <w:semiHidden/>
    <w:qFormat/>
    <w:uiPriority w:val="99"/>
    <w:rPr>
      <w:rFonts w:ascii="Times New Roman" w:hAnsi="Times New Roman" w:eastAsia="宋体" w:cs="Times New Roman"/>
      <w:szCs w:val="24"/>
    </w:rPr>
  </w:style>
  <w:style w:type="character" w:customStyle="1" w:styleId="58">
    <w:name w:val="标题 6 字符"/>
    <w:link w:val="7"/>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6"/>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2"/>
    <w:qFormat/>
    <w:uiPriority w:val="0"/>
    <w:rPr>
      <w:rFonts w:eastAsia="宋体"/>
      <w:szCs w:val="24"/>
    </w:rPr>
  </w:style>
  <w:style w:type="character" w:customStyle="1" w:styleId="65">
    <w:name w:val="脚注文本 字符"/>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0"/>
    <w:qFormat/>
    <w:uiPriority w:val="0"/>
    <w:rPr>
      <w:rFonts w:ascii="Times New Roman" w:hAnsi="Times New Roman" w:eastAsia="宋体" w:cs="Times New Roman"/>
      <w:b/>
      <w:bCs/>
      <w:szCs w:val="24"/>
    </w:rPr>
  </w:style>
  <w:style w:type="character" w:customStyle="1" w:styleId="68">
    <w:name w:val="正文缩进 字符"/>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7"/>
    <w:qFormat/>
    <w:uiPriority w:val="0"/>
    <w:rPr>
      <w:rFonts w:ascii="Times New Roman" w:hAnsi="Times New Roman" w:eastAsia="宋体" w:cs="Times New Roman"/>
      <w:sz w:val="18"/>
      <w:szCs w:val="18"/>
    </w:rPr>
  </w:style>
  <w:style w:type="character" w:customStyle="1" w:styleId="72">
    <w:name w:val="标题 9 字符"/>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7"/>
    <w:qFormat/>
    <w:uiPriority w:val="0"/>
    <w:rPr>
      <w:szCs w:val="24"/>
    </w:rPr>
  </w:style>
  <w:style w:type="character" w:customStyle="1" w:styleId="75">
    <w:name w:val="文档结构图 字符"/>
    <w:link w:val="14"/>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4"/>
    <w:qFormat/>
    <w:uiPriority w:val="0"/>
    <w:rPr>
      <w:rFonts w:ascii="Arial" w:hAnsi="Arial" w:eastAsia="黑体" w:cs="Times New Roman"/>
      <w:b/>
      <w:bCs/>
      <w:sz w:val="32"/>
      <w:szCs w:val="32"/>
    </w:rPr>
  </w:style>
  <w:style w:type="character" w:customStyle="1" w:styleId="78">
    <w:name w:val="标题 字符"/>
    <w:link w:val="39"/>
    <w:qFormat/>
    <w:uiPriority w:val="0"/>
    <w:rPr>
      <w:rFonts w:ascii="Arial" w:hAnsi="Arial"/>
      <w:b/>
      <w:sz w:val="32"/>
    </w:rPr>
  </w:style>
  <w:style w:type="character" w:customStyle="1" w:styleId="79">
    <w:name w:val="批注框文本 字符"/>
    <w:link w:val="25"/>
    <w:qFormat/>
    <w:uiPriority w:val="0"/>
    <w:rPr>
      <w:rFonts w:ascii="Times New Roman" w:hAnsi="Times New Roman" w:eastAsia="宋体" w:cs="Times New Roman"/>
      <w:sz w:val="18"/>
      <w:szCs w:val="18"/>
    </w:rPr>
  </w:style>
  <w:style w:type="character" w:customStyle="1" w:styleId="80">
    <w:name w:val="标题 8 字符"/>
    <w:link w:val="9"/>
    <w:qFormat/>
    <w:uiPriority w:val="0"/>
    <w:rPr>
      <w:rFonts w:ascii="Arial" w:hAnsi="Arial" w:eastAsia="黑体" w:cs="Times New Roman"/>
      <w:kern w:val="0"/>
      <w:sz w:val="24"/>
      <w:szCs w:val="24"/>
    </w:rPr>
  </w:style>
  <w:style w:type="character" w:customStyle="1" w:styleId="81">
    <w:name w:val="日期 字符"/>
    <w:link w:val="23"/>
    <w:qFormat/>
    <w:uiPriority w:val="0"/>
    <w:rPr>
      <w:rFonts w:ascii="Times New Roman" w:hAnsi="Times New Roman" w:eastAsia="宋体" w:cs="Times New Roman"/>
      <w:sz w:val="24"/>
      <w:szCs w:val="20"/>
    </w:rPr>
  </w:style>
  <w:style w:type="character" w:customStyle="1" w:styleId="82">
    <w:name w:val="标题 1 字符"/>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6"/>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1"/>
    <w:qFormat/>
    <w:uiPriority w:val="99"/>
    <w:rPr>
      <w:rFonts w:ascii="Courier New" w:hAnsi="Courier New"/>
    </w:rPr>
  </w:style>
  <w:style w:type="character" w:customStyle="1" w:styleId="98">
    <w:name w:val="标题 7 字符"/>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5"/>
    <w:qFormat/>
    <w:uiPriority w:val="0"/>
    <w:rPr>
      <w:bdr w:val="dashed" w:color="auto" w:sz="48" w:space="0"/>
    </w:rPr>
  </w:style>
  <w:style w:type="character" w:customStyle="1" w:styleId="160">
    <w:name w:val="before"/>
    <w:basedOn w:val="45"/>
    <w:qFormat/>
    <w:uiPriority w:val="0"/>
    <w:rPr>
      <w:bdr w:val="single" w:color="auto" w:sz="48" w:space="0"/>
    </w:rPr>
  </w:style>
  <w:style w:type="character" w:customStyle="1" w:styleId="161">
    <w:name w:val="hover48"/>
    <w:basedOn w:val="45"/>
    <w:qFormat/>
    <w:uiPriority w:val="0"/>
    <w:rPr>
      <w:shd w:val="clear" w:color="auto" w:fill="346AC3"/>
    </w:rPr>
  </w:style>
  <w:style w:type="character" w:customStyle="1" w:styleId="162">
    <w:name w:val="hover49"/>
    <w:basedOn w:val="45"/>
    <w:qFormat/>
    <w:uiPriority w:val="0"/>
  </w:style>
  <w:style w:type="character" w:customStyle="1" w:styleId="163">
    <w:name w:val="hover50"/>
    <w:basedOn w:val="45"/>
    <w:qFormat/>
    <w:uiPriority w:val="0"/>
    <w:rPr>
      <w:color w:val="4285F4"/>
      <w:u w:val="none"/>
    </w:rPr>
  </w:style>
  <w:style w:type="character" w:customStyle="1" w:styleId="164">
    <w:name w:val="hover51"/>
    <w:basedOn w:val="45"/>
    <w:qFormat/>
    <w:uiPriority w:val="0"/>
    <w:rPr>
      <w:color w:val="4285F4"/>
    </w:rPr>
  </w:style>
  <w:style w:type="character" w:customStyle="1" w:styleId="165">
    <w:name w:val="hover52"/>
    <w:basedOn w:val="45"/>
    <w:qFormat/>
    <w:uiPriority w:val="0"/>
    <w:rPr>
      <w:color w:val="1A85D7"/>
    </w:rPr>
  </w:style>
  <w:style w:type="character" w:customStyle="1" w:styleId="166">
    <w:name w:val="credit"/>
    <w:basedOn w:val="45"/>
    <w:qFormat/>
    <w:uiPriority w:val="0"/>
    <w:rPr>
      <w:sz w:val="18"/>
      <w:szCs w:val="18"/>
    </w:rPr>
  </w:style>
  <w:style w:type="character" w:customStyle="1" w:styleId="167">
    <w:name w:val="first-child"/>
    <w:basedOn w:val="45"/>
    <w:qFormat/>
    <w:uiPriority w:val="0"/>
  </w:style>
  <w:style w:type="paragraph" w:customStyle="1" w:styleId="168">
    <w:name w:val="Table Paragraph"/>
    <w:basedOn w:val="1"/>
    <w:qFormat/>
    <w:uiPriority w:val="1"/>
  </w:style>
  <w:style w:type="table" w:customStyle="1" w:styleId="169">
    <w:name w:val="Table Normal"/>
    <w:semiHidden/>
    <w:unhideWhenUsed/>
    <w:qFormat/>
    <w:uiPriority w:val="2"/>
    <w:tblPr>
      <w:tblCellMar>
        <w:top w:w="0" w:type="dxa"/>
        <w:left w:w="0" w:type="dxa"/>
        <w:bottom w:w="0" w:type="dxa"/>
        <w:right w:w="0" w:type="dxa"/>
      </w:tblCellMar>
    </w:tblPr>
  </w:style>
  <w:style w:type="paragraph" w:customStyle="1" w:styleId="170">
    <w:name w:val="List Paragraph"/>
    <w:basedOn w:val="1"/>
    <w:qFormat/>
    <w:uiPriority w:val="34"/>
    <w:pPr>
      <w:ind w:firstLine="420" w:firstLineChars="200"/>
    </w:pPr>
    <w:rPr>
      <w:rFonts w:ascii="Calibri" w:hAnsi="Calibri"/>
      <w:szCs w:val="22"/>
    </w:rPr>
  </w:style>
  <w:style w:type="paragraph" w:customStyle="1" w:styleId="171">
    <w:name w:val="*正文"/>
    <w:basedOn w:val="1"/>
    <w:qFormat/>
    <w:uiPriority w:val="0"/>
    <w:pPr>
      <w:widowControl/>
      <w:ind w:firstLine="200" w:firstLineChars="200"/>
    </w:pPr>
    <w:rPr>
      <w:rFonts w:ascii="仿宋_GB2312" w:eastAsia="仿宋_GB2312" w:cstheme="minorBidi"/>
      <w:sz w:val="24"/>
      <w:szCs w:val="28"/>
    </w:rPr>
  </w:style>
  <w:style w:type="paragraph" w:customStyle="1" w:styleId="172">
    <w:name w:val="表体"/>
    <w:basedOn w:val="1"/>
    <w:next w:val="1"/>
    <w:qFormat/>
    <w:uiPriority w:val="0"/>
    <w:pPr>
      <w:snapToGrid w:val="0"/>
      <w:spacing w:line="0" w:lineRule="atLeast"/>
    </w:pPr>
    <w:rPr>
      <w:b/>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Pages>
  <Words>2364</Words>
  <Characters>13480</Characters>
  <Lines>1</Lines>
  <Paragraphs>1</Paragraphs>
  <TotalTime>4</TotalTime>
  <ScaleCrop>false</ScaleCrop>
  <LinksUpToDate>false</LinksUpToDate>
  <CharactersWithSpaces>15813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2020-05-03T08:16:00Z</dcterms:created>
  <dc:creator>陈桂兰</dc:creator>
  <cp:lastModifiedBy>百小小</cp:lastModifiedBy>
  <cp:lastPrinted>2022-06-10T18:10:00Z</cp:lastPrinted>
  <dcterms:modified xsi:type="dcterms:W3CDTF">2023-07-26T07:55:53Z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14E39EAF7F3146049998D8AD57B0D287</vt:lpwstr>
  </property>
  <property fmtid="{D5CDD505-2E9C-101B-9397-08002B2CF9AE}" pid="4" name="commondata">
    <vt:lpwstr>eyJoZGlkIjoiNmI0YzI4NGJiMjg2ZWZlN2MzZDcyYzg5ZDEwYzBhZDAifQ==</vt:lpwstr>
  </property>
</Properties>
</file>