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sz w:val="48"/>
          <w:szCs w:val="48"/>
          <w:lang w:val="en-US" w:eastAsia="zh-CN"/>
        </w:rPr>
        <w:t>重庆乌江白马航电枢纽工程配套项目新增用地勘测定界、占用永久基本农田补划踏勘论证报告、规划修改暨永久基本农田补划方案编制</w:t>
      </w:r>
    </w:p>
    <w:p>
      <w:pPr>
        <w:autoSpaceDE w:val="0"/>
        <w:autoSpaceDN w:val="0"/>
        <w:adjustRightInd w:val="0"/>
        <w:spacing w:line="360" w:lineRule="auto"/>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rPr>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重庆白马航运发展有限公司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7</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重庆乌江白马航电枢纽工程</w:t>
      </w: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配套项目新增用地勘测定界、占用永久基本农田补划踏勘论证报告、规划修改暨永久基本农田补划方案编制</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6230450"/>
      <w:bookmarkEnd w:id="2"/>
      <w:bookmarkStart w:id="3" w:name="_Toc29194681"/>
      <w:bookmarkEnd w:id="3"/>
      <w:bookmarkStart w:id="4" w:name="_Toc375641571"/>
      <w:bookmarkEnd w:id="4"/>
      <w:bookmarkStart w:id="5" w:name="_Toc52097500"/>
      <w:bookmarkEnd w:id="5"/>
      <w:bookmarkStart w:id="6" w:name="_Toc370126361"/>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val="en-US" w:eastAsia="zh-CN"/>
        </w:rPr>
        <w:t>重庆乌江白马航电枢纽工程</w:t>
      </w:r>
      <w:r>
        <w:rPr>
          <w:rFonts w:hint="eastAsia" w:ascii="Times New Roman" w:hAnsi="Times New Roman" w:eastAsia="方正仿宋_GBK" w:cs="Times New Roman"/>
          <w:bCs/>
          <w:sz w:val="32"/>
          <w:szCs w:val="32"/>
          <w:u w:val="single"/>
          <w:lang w:eastAsia="zh-CN"/>
        </w:rPr>
        <w:t>配套项目新增用地勘测定界、占用永久基本农田补划踏勘论证报告、规划修改暨永久基本农田补划方案编制</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u w:val="single"/>
          <w:lang w:val="en-US" w:eastAsia="zh-CN"/>
        </w:rPr>
        <w:t>重庆白马航运发展有限公司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29194682"/>
      <w:bookmarkEnd w:id="7"/>
      <w:bookmarkStart w:id="8" w:name="_Toc6230451"/>
      <w:bookmarkEnd w:id="8"/>
      <w:bookmarkStart w:id="9" w:name="_Toc52097501"/>
      <w:bookmarkEnd w:id="9"/>
      <w:bookmarkStart w:id="10" w:name="_Toc324429695"/>
      <w:bookmarkStart w:id="11" w:name="_Toc21092"/>
      <w:bookmarkStart w:id="12" w:name="_Toc323734100"/>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白马航电枢纽是乌江干流开发规划的最下游一个梯级，坝址位于重庆市武隆区白马镇，上距银盘水电站约46km，下距乌江河口约43km，集水面积为83690km2，占乌江流域面积的95.2%。白马航电枢纽上游约39km处有芙蓉江从左岸汇入库区。乌江河口下游483km为三峡工程，三峡回水末端至白马枢纽坝下。白马航电枢纽工程开发任务是以航运为主，兼顾发电，并具有对银盘水电站运行进行反调节的作用。水库正常蓄水位184.0m，总库容3.74亿m3，具有日调节性能；枢纽总装机容量480MW，多年平均发电量17.60亿kW∙h。本工程等别为二等大（2）型。挡水建筑物、泄洪建筑物、船闸挡水部分、电站厂房等主要建筑物为2级建筑物。</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工程分三期施工，其中一期工程已于2021年4月开工，计划2024年12月完工，主要施工纵向围堰、导流明渠及右岸一期边坡、上下游锚地建筑物及下游贴坡式靠船墩、白马乌江大桥、右岸道路等工程项目。二期土建及安装工程已于2022年1月开工，计划2029年12月完工，主要施工左岸道路、电站、泄水闸、鱼道、转运及翻坝码头等工程项目。三期工程计划2026年10月开工，2031年5月完工，主要施工船闸等工程项目。（具体以实际实施情况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250000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重庆乌江白马航电枢纽工程</w:t>
      </w:r>
      <w:r>
        <w:rPr>
          <w:rFonts w:hint="eastAsia" w:ascii="Times New Roman" w:hAnsi="Times New Roman" w:eastAsia="方正仿宋_GBK" w:cs="Times New Roman"/>
          <w:bCs/>
          <w:sz w:val="32"/>
          <w:szCs w:val="32"/>
          <w:lang w:eastAsia="zh-CN"/>
        </w:rPr>
        <w:t>配套项目新增用地勘测定界、占用永久基本农田补划踏勘论证报告、规划修改暨永久基本农田补划方案编制</w:t>
      </w:r>
      <w:r>
        <w:rPr>
          <w:rFonts w:hint="eastAsia" w:ascii="Times New Roman" w:hAnsi="Times New Roman" w:eastAsia="方正仿宋_GBK" w:cs="Times New Roman"/>
          <w:bCs/>
          <w:sz w:val="32"/>
          <w:szCs w:val="32"/>
          <w:lang w:val="en-US" w:eastAsia="zh-CN"/>
        </w:rPr>
        <w:t>工作，</w:t>
      </w:r>
      <w:r>
        <w:rPr>
          <w:rFonts w:hint="eastAsia" w:ascii="Times New Roman" w:hAnsi="Times New Roman" w:eastAsia="方正仿宋_GBK" w:cs="Times New Roman"/>
          <w:bCs/>
          <w:sz w:val="32"/>
          <w:szCs w:val="32"/>
          <w:lang w:eastAsia="zh-CN"/>
        </w:rPr>
        <w:t>范围面积</w:t>
      </w:r>
      <w:r>
        <w:rPr>
          <w:rFonts w:hint="eastAsia" w:ascii="Times New Roman" w:hAnsi="Times New Roman" w:eastAsia="方正仿宋_GBK" w:cs="Times New Roman"/>
          <w:bCs/>
          <w:sz w:val="32"/>
          <w:szCs w:val="32"/>
          <w:lang w:val="en-US" w:eastAsia="zh-CN"/>
        </w:rPr>
        <w:t>共</w:t>
      </w:r>
      <w:r>
        <w:rPr>
          <w:rFonts w:hint="eastAsia" w:ascii="Times New Roman" w:hAnsi="Times New Roman" w:eastAsia="方正仿宋_GBK" w:cs="Times New Roman"/>
          <w:bCs/>
          <w:sz w:val="32"/>
          <w:szCs w:val="32"/>
          <w:lang w:eastAsia="zh-CN"/>
        </w:rPr>
        <w:t>约</w:t>
      </w:r>
      <w:r>
        <w:rPr>
          <w:rFonts w:hint="eastAsia" w:ascii="Times New Roman" w:hAnsi="Times New Roman" w:eastAsia="方正仿宋_GBK" w:cs="Times New Roman"/>
          <w:bCs/>
          <w:sz w:val="32"/>
          <w:szCs w:val="32"/>
          <w:lang w:val="en-US" w:eastAsia="zh-CN"/>
        </w:rPr>
        <w:t>44.9755公顷</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bCs/>
          <w:sz w:val="32"/>
          <w:szCs w:val="32"/>
          <w:lang w:eastAsia="zh-CN"/>
        </w:rPr>
        <w:t>工期（交货期、服务期）：</w:t>
      </w:r>
      <w:r>
        <w:rPr>
          <w:rFonts w:hint="eastAsia" w:ascii="Times New Roman" w:hAnsi="Times New Roman" w:eastAsia="方正仿宋_GBK" w:cs="Times New Roman"/>
          <w:bCs/>
          <w:sz w:val="32"/>
          <w:szCs w:val="32"/>
          <w:u w:val="single"/>
          <w:lang w:val="en-US" w:eastAsia="zh-CN"/>
        </w:rPr>
        <w:t>2</w:t>
      </w:r>
      <w:r>
        <w:rPr>
          <w:rFonts w:hint="eastAsia" w:ascii="Times New Roman" w:hAnsi="Times New Roman" w:eastAsia="方正仿宋_GBK" w:cs="Times New Roman"/>
          <w:bCs/>
          <w:sz w:val="32"/>
          <w:szCs w:val="32"/>
          <w:lang w:eastAsia="zh-CN"/>
        </w:rPr>
        <w:t>个月。开始服务时间：暂定</w:t>
      </w:r>
      <w:r>
        <w:rPr>
          <w:rFonts w:hint="eastAsia" w:ascii="Times New Roman" w:hAnsi="Times New Roman" w:eastAsia="方正仿宋_GBK" w:cs="Times New Roman"/>
          <w:bCs/>
          <w:sz w:val="32"/>
          <w:szCs w:val="32"/>
          <w:u w:val="single"/>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7</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27</w:t>
      </w:r>
      <w:r>
        <w:rPr>
          <w:rFonts w:hint="eastAsia" w:ascii="Times New Roman" w:hAnsi="Times New Roman" w:eastAsia="方正仿宋_GBK" w:cs="Times New Roman"/>
          <w:bCs/>
          <w:sz w:val="32"/>
          <w:szCs w:val="32"/>
          <w:lang w:eastAsia="zh-CN"/>
        </w:rPr>
        <w:t>日，具体进场时间以发包人通知为准。</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52097502"/>
      <w:bookmarkEnd w:id="13"/>
      <w:bookmarkStart w:id="14" w:name="_Toc29194683"/>
      <w:bookmarkEnd w:id="14"/>
      <w:bookmarkStart w:id="15" w:name="_Toc623045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国土资源管理部门颁发的</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乙级</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测绘、乙级规划</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资质及以上资质</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2018</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编制</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勘测定界、</w:t>
      </w:r>
      <w:r>
        <w:rPr>
          <w:rFonts w:hint="eastAsia" w:ascii="Times New Roman" w:hAnsi="Times New Roman" w:eastAsia="方正仿宋_GBK" w:cs="Times New Roman"/>
          <w:bCs/>
          <w:sz w:val="32"/>
          <w:szCs w:val="32"/>
          <w:u w:val="single"/>
          <w:lang w:eastAsia="zh-CN"/>
        </w:rPr>
        <w:t>占用永久基本农田补划踏勘论证报告、规划修改暨永久基本农田补划方案</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相关</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val="en-US" w:eastAsia="zh-CN"/>
        </w:rPr>
        <w:t>重庆市武隆区白马镇重庆白马航运发展有限公司</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val="en-US" w:eastAsia="zh-CN"/>
        </w:rPr>
        <w:t>自公告发布之日起第7天</w:t>
      </w:r>
      <w:r>
        <w:rPr>
          <w:rFonts w:hint="eastAsia" w:ascii="Times New Roman" w:hAnsi="Times New Roman" w:eastAsia="方正仿宋_GBK" w:cs="Times New Roman"/>
          <w:bCs/>
          <w:sz w:val="32"/>
          <w:szCs w:val="32"/>
          <w:highlight w:val="none"/>
          <w:u w:val="single"/>
          <w:lang w:val="en-US" w:eastAsia="zh-CN"/>
        </w:rPr>
        <w:t>14</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u w:val="single"/>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5.1本次询价公告及结果公示将在重庆高速公路集团官方网站（https://www.cegc.com.cn/html/col1810479.html</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重庆市武隆区白马镇重庆白马航运发展有限公司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刘老师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023-77770016</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重庆白马航运发展有限公司监事会（纪检）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023-77709100</w:t>
      </w: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7</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21</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250000</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贰拾伍万</w:t>
      </w:r>
      <w:r>
        <w:rPr>
          <w:rFonts w:ascii="Times New Roman" w:hAnsi="Times New Roman" w:eastAsia="方正仿宋_GBK" w:cs="Times New Roman"/>
          <w:bCs/>
          <w:sz w:val="32"/>
          <w:szCs w:val="32"/>
          <w:lang w:eastAsia="zh-CN"/>
        </w:rPr>
        <w:t>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val="en-US" w:eastAsia="zh-CN"/>
        </w:rPr>
        <w:t>重庆乌江白马航电枢纽工程</w:t>
      </w:r>
      <w:r>
        <w:rPr>
          <w:rFonts w:hint="eastAsia" w:ascii="Times New Roman" w:hAnsi="Times New Roman" w:eastAsia="方正仿宋_GBK" w:cs="Times New Roman"/>
          <w:bCs/>
          <w:sz w:val="32"/>
          <w:szCs w:val="32"/>
          <w:u w:val="single"/>
          <w:lang w:eastAsia="zh-CN"/>
        </w:rPr>
        <w:t>配套项目新增用地勘测定界、占用永久基本农田补划踏勘论证报告、规划修改暨永久基本农田补划方案编制</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本项目采用经评审的</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29194791"/>
      <w:bookmarkEnd w:id="16"/>
      <w:bookmarkStart w:id="17" w:name="_Toc52097542"/>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adjustRightInd w:val="0"/>
        <w:snapToGrid w:val="0"/>
        <w:spacing w:line="560" w:lineRule="exact"/>
        <w:ind w:firstLine="560" w:firstLineChars="200"/>
        <w:jc w:val="left"/>
        <w:rPr>
          <w:rFonts w:hint="eastAsia" w:ascii="方正仿宋_GBK" w:hAnsi="宋体" w:eastAsia="方正仿宋_GBK" w:cs="Times New Roman"/>
          <w:bCs/>
          <w:snapToGrid w:val="0"/>
          <w:kern w:val="0"/>
          <w:sz w:val="32"/>
          <w:szCs w:val="32"/>
          <w:u w:val="single"/>
          <w:lang w:eastAsia="zh-CN"/>
        </w:rPr>
      </w:pPr>
      <w:r>
        <w:rPr>
          <w:rFonts w:hint="eastAsia" w:ascii="方正仿宋_GBK" w:hAnsi="宋体" w:eastAsia="方正仿宋_GBK"/>
          <w:snapToGrid w:val="0"/>
          <w:kern w:val="0"/>
          <w:sz w:val="28"/>
          <w:szCs w:val="28"/>
          <w:lang w:val="en-US" w:eastAsia="zh-CN"/>
        </w:rPr>
        <w:t>1、</w:t>
      </w:r>
      <w:r>
        <w:rPr>
          <w:rFonts w:hint="eastAsia" w:ascii="方正仿宋_GBK" w:hAnsi="宋体" w:eastAsia="方正仿宋_GBK"/>
          <w:snapToGrid w:val="0"/>
          <w:kern w:val="0"/>
          <w:sz w:val="32"/>
          <w:szCs w:val="32"/>
        </w:rPr>
        <w:t>编制</w:t>
      </w:r>
      <w:r>
        <w:rPr>
          <w:rFonts w:hint="eastAsia" w:ascii="方正仿宋_GBK" w:hAnsi="宋体" w:eastAsia="方正仿宋_GBK" w:cs="Times New Roman"/>
          <w:bCs/>
          <w:snapToGrid w:val="0"/>
          <w:kern w:val="0"/>
          <w:sz w:val="32"/>
          <w:szCs w:val="32"/>
          <w:u w:val="single"/>
        </w:rPr>
        <w:t>《</w:t>
      </w:r>
      <w:r>
        <w:rPr>
          <w:rFonts w:hint="eastAsia" w:ascii="Times New Roman" w:hAnsi="Times New Roman" w:eastAsia="方正仿宋_GBK" w:cs="Times New Roman"/>
          <w:bCs/>
          <w:sz w:val="32"/>
          <w:szCs w:val="32"/>
          <w:u w:val="single"/>
          <w:lang w:val="en-US" w:eastAsia="zh-CN"/>
        </w:rPr>
        <w:t>重庆乌江白马航电枢纽工程</w:t>
      </w:r>
      <w:r>
        <w:rPr>
          <w:rFonts w:hint="eastAsia" w:ascii="Times New Roman" w:hAnsi="Times New Roman" w:eastAsia="方正仿宋_GBK" w:cs="Times New Roman"/>
          <w:bCs/>
          <w:sz w:val="32"/>
          <w:szCs w:val="32"/>
          <w:u w:val="single"/>
          <w:lang w:eastAsia="zh-CN"/>
        </w:rPr>
        <w:t>配套项目新增用地勘测定界</w:t>
      </w:r>
      <w:r>
        <w:rPr>
          <w:rFonts w:hint="eastAsia" w:ascii="Times New Roman" w:hAnsi="Times New Roman" w:eastAsia="方正仿宋_GBK" w:cs="Times New Roman"/>
          <w:bCs/>
          <w:sz w:val="32"/>
          <w:szCs w:val="32"/>
          <w:u w:val="single"/>
          <w:lang w:val="en-US" w:eastAsia="zh-CN"/>
        </w:rPr>
        <w:t>报告</w:t>
      </w:r>
      <w:r>
        <w:rPr>
          <w:rFonts w:hint="eastAsia" w:ascii="方正仿宋_GBK" w:hAnsi="宋体" w:eastAsia="方正仿宋_GBK" w:cs="Times New Roman"/>
          <w:bCs/>
          <w:snapToGrid w:val="0"/>
          <w:kern w:val="0"/>
          <w:sz w:val="32"/>
          <w:szCs w:val="32"/>
          <w:u w:val="single"/>
          <w:lang w:eastAsia="zh-CN"/>
        </w:rPr>
        <w:t>》</w:t>
      </w:r>
      <w:r>
        <w:rPr>
          <w:rFonts w:hint="eastAsia" w:ascii="方正仿宋_GBK" w:hAnsi="宋体" w:eastAsia="方正仿宋_GBK"/>
          <w:snapToGrid w:val="0"/>
          <w:kern w:val="0"/>
          <w:sz w:val="32"/>
          <w:szCs w:val="32"/>
        </w:rPr>
        <w:t>（以下简称《</w:t>
      </w:r>
      <w:r>
        <w:rPr>
          <w:rFonts w:hint="eastAsia" w:ascii="方正仿宋_GBK" w:eastAsia="方正仿宋_GBK"/>
          <w:snapToGrid w:val="0"/>
          <w:kern w:val="0"/>
          <w:sz w:val="32"/>
          <w:szCs w:val="32"/>
          <w:lang w:val="en-US" w:eastAsia="zh-CN"/>
        </w:rPr>
        <w:t>勘界</w:t>
      </w:r>
      <w:r>
        <w:rPr>
          <w:rFonts w:hint="eastAsia" w:ascii="方正仿宋_GBK" w:hAnsi="宋体" w:eastAsia="方正仿宋_GBK"/>
          <w:snapToGrid w:val="0"/>
          <w:kern w:val="0"/>
          <w:sz w:val="32"/>
          <w:szCs w:val="32"/>
        </w:rPr>
        <w:t>报告》</w:t>
      </w:r>
      <w:r>
        <w:rPr>
          <w:rFonts w:hint="eastAsia" w:ascii="方正仿宋_GBK" w:hAnsi="宋体" w:eastAsia="方正仿宋_GBK"/>
          <w:snapToGrid w:val="0"/>
          <w:kern w:val="0"/>
          <w:sz w:val="32"/>
          <w:szCs w:val="32"/>
          <w:lang w:eastAsia="zh-CN"/>
        </w:rPr>
        <w:t>）；</w:t>
      </w:r>
    </w:p>
    <w:p>
      <w:pPr>
        <w:adjustRightInd w:val="0"/>
        <w:snapToGrid w:val="0"/>
        <w:spacing w:line="560" w:lineRule="exact"/>
        <w:ind w:firstLine="640" w:firstLineChars="200"/>
        <w:jc w:val="left"/>
        <w:rPr>
          <w:rFonts w:hint="eastAsia" w:ascii="方正仿宋_GBK" w:hAnsi="宋体" w:eastAsia="方正仿宋_GBK"/>
          <w:snapToGrid w:val="0"/>
          <w:kern w:val="0"/>
          <w:sz w:val="32"/>
          <w:szCs w:val="32"/>
          <w:lang w:eastAsia="zh-CN"/>
        </w:rPr>
      </w:pPr>
      <w:r>
        <w:rPr>
          <w:rFonts w:hint="eastAsia" w:ascii="方正仿宋_GBK" w:hAnsi="宋体" w:eastAsia="方正仿宋_GBK" w:cs="Times New Roman"/>
          <w:bCs/>
          <w:snapToGrid w:val="0"/>
          <w:kern w:val="0"/>
          <w:sz w:val="32"/>
          <w:szCs w:val="32"/>
          <w:u w:val="none"/>
          <w:lang w:val="en-US" w:eastAsia="zh-CN"/>
        </w:rPr>
        <w:t>2、编制</w:t>
      </w:r>
      <w:r>
        <w:rPr>
          <w:rFonts w:hint="eastAsia" w:ascii="方正仿宋_GBK" w:hAnsi="宋体" w:eastAsia="方正仿宋_GBK" w:cs="Times New Roman"/>
          <w:bCs/>
          <w:snapToGrid w:val="0"/>
          <w:kern w:val="0"/>
          <w:sz w:val="32"/>
          <w:szCs w:val="32"/>
          <w:u w:val="single"/>
          <w:lang w:eastAsia="zh-CN"/>
        </w:rPr>
        <w:t>《</w:t>
      </w:r>
      <w:r>
        <w:rPr>
          <w:rFonts w:hint="eastAsia" w:ascii="Times New Roman" w:hAnsi="Times New Roman" w:eastAsia="方正仿宋_GBK" w:cs="Times New Roman"/>
          <w:bCs/>
          <w:sz w:val="32"/>
          <w:szCs w:val="32"/>
          <w:u w:val="single"/>
          <w:lang w:val="en-US" w:eastAsia="zh-CN"/>
        </w:rPr>
        <w:t>重庆乌江白马航电枢纽工程</w:t>
      </w:r>
      <w:r>
        <w:rPr>
          <w:rFonts w:hint="eastAsia" w:ascii="Times New Roman" w:hAnsi="Times New Roman" w:eastAsia="方正仿宋_GBK" w:cs="Times New Roman"/>
          <w:bCs/>
          <w:sz w:val="32"/>
          <w:szCs w:val="32"/>
          <w:u w:val="single"/>
          <w:lang w:eastAsia="zh-CN"/>
        </w:rPr>
        <w:t>配套项目新增用地占用永久基本农田补划踏勘论证报告</w:t>
      </w:r>
      <w:r>
        <w:rPr>
          <w:rFonts w:hint="eastAsia" w:ascii="方正仿宋_GBK" w:hAnsi="宋体" w:eastAsia="方正仿宋_GBK"/>
          <w:snapToGrid w:val="0"/>
          <w:kern w:val="0"/>
          <w:sz w:val="32"/>
          <w:szCs w:val="32"/>
          <w:u w:val="single"/>
        </w:rPr>
        <w:t>》</w:t>
      </w:r>
      <w:r>
        <w:rPr>
          <w:rFonts w:hint="eastAsia" w:ascii="方正仿宋_GBK" w:hAnsi="宋体" w:eastAsia="方正仿宋_GBK"/>
          <w:snapToGrid w:val="0"/>
          <w:kern w:val="0"/>
          <w:sz w:val="32"/>
          <w:szCs w:val="32"/>
        </w:rPr>
        <w:t>（以下简称《</w:t>
      </w:r>
      <w:r>
        <w:rPr>
          <w:rFonts w:hint="eastAsia" w:ascii="方正仿宋_GBK" w:eastAsia="方正仿宋_GBK"/>
          <w:snapToGrid w:val="0"/>
          <w:kern w:val="0"/>
          <w:sz w:val="32"/>
          <w:szCs w:val="32"/>
          <w:lang w:val="en-US" w:eastAsia="zh-CN"/>
        </w:rPr>
        <w:t>永久基本农田踏勘论证</w:t>
      </w:r>
      <w:r>
        <w:rPr>
          <w:rFonts w:hint="eastAsia" w:ascii="方正仿宋_GBK" w:hAnsi="宋体" w:eastAsia="方正仿宋_GBK"/>
          <w:snapToGrid w:val="0"/>
          <w:kern w:val="0"/>
          <w:sz w:val="32"/>
          <w:szCs w:val="32"/>
        </w:rPr>
        <w:t>报告》）</w:t>
      </w:r>
      <w:r>
        <w:rPr>
          <w:rFonts w:hint="eastAsia" w:ascii="方正仿宋_GBK" w:hAnsi="宋体" w:eastAsia="方正仿宋_GBK"/>
          <w:snapToGrid w:val="0"/>
          <w:kern w:val="0"/>
          <w:sz w:val="32"/>
          <w:szCs w:val="32"/>
          <w:lang w:eastAsia="zh-CN"/>
        </w:rPr>
        <w:t>；</w:t>
      </w:r>
    </w:p>
    <w:p>
      <w:pPr>
        <w:adjustRightInd w:val="0"/>
        <w:snapToGrid w:val="0"/>
        <w:spacing w:line="560" w:lineRule="exact"/>
        <w:ind w:firstLine="560" w:firstLineChars="200"/>
        <w:jc w:val="left"/>
        <w:rPr>
          <w:rFonts w:hint="eastAsia" w:ascii="方正仿宋_GBK" w:eastAsia="方正仿宋_GBK"/>
          <w:snapToGrid w:val="0"/>
          <w:kern w:val="0"/>
          <w:sz w:val="28"/>
          <w:szCs w:val="28"/>
          <w:lang w:eastAsia="zh-CN"/>
        </w:rPr>
      </w:pPr>
      <w:r>
        <w:rPr>
          <w:rFonts w:hint="eastAsia" w:ascii="方正仿宋_GBK" w:hAnsi="宋体" w:eastAsia="方正仿宋_GBK"/>
          <w:snapToGrid w:val="0"/>
          <w:kern w:val="0"/>
          <w:sz w:val="28"/>
          <w:szCs w:val="28"/>
          <w:lang w:val="en-US" w:eastAsia="zh-CN"/>
        </w:rPr>
        <w:t>3、</w:t>
      </w:r>
      <w:r>
        <w:rPr>
          <w:rFonts w:hint="eastAsia" w:ascii="方正仿宋_GBK" w:hAnsi="宋体" w:eastAsia="方正仿宋_GBK" w:cs="Times New Roman"/>
          <w:bCs/>
          <w:snapToGrid w:val="0"/>
          <w:kern w:val="0"/>
          <w:sz w:val="32"/>
          <w:szCs w:val="32"/>
          <w:u w:val="none"/>
          <w:lang w:val="en-US" w:eastAsia="zh-CN"/>
        </w:rPr>
        <w:t>编制</w:t>
      </w:r>
      <w:r>
        <w:rPr>
          <w:rFonts w:hint="eastAsia" w:ascii="方正仿宋_GBK" w:hAnsi="宋体" w:eastAsia="方正仿宋_GBK" w:cs="Times New Roman"/>
          <w:bCs/>
          <w:snapToGrid w:val="0"/>
          <w:kern w:val="0"/>
          <w:sz w:val="32"/>
          <w:szCs w:val="32"/>
          <w:u w:val="single"/>
          <w:lang w:eastAsia="zh-CN"/>
        </w:rPr>
        <w:t>《</w:t>
      </w:r>
      <w:r>
        <w:rPr>
          <w:rFonts w:hint="eastAsia" w:ascii="Times New Roman" w:hAnsi="Times New Roman" w:eastAsia="方正仿宋_GBK" w:cs="Times New Roman"/>
          <w:bCs/>
          <w:sz w:val="32"/>
          <w:szCs w:val="32"/>
          <w:u w:val="single"/>
          <w:lang w:val="en-US" w:eastAsia="zh-CN"/>
        </w:rPr>
        <w:t>重庆乌江白马航电枢纽工程</w:t>
      </w:r>
      <w:r>
        <w:rPr>
          <w:rFonts w:hint="eastAsia" w:ascii="Times New Roman" w:hAnsi="Times New Roman" w:eastAsia="方正仿宋_GBK" w:cs="Times New Roman"/>
          <w:bCs/>
          <w:sz w:val="32"/>
          <w:szCs w:val="32"/>
          <w:u w:val="single"/>
          <w:lang w:eastAsia="zh-CN"/>
        </w:rPr>
        <w:t>配套项目新增用地规划修改暨永久基本农田补划方案</w:t>
      </w:r>
      <w:r>
        <w:rPr>
          <w:rFonts w:hint="eastAsia" w:ascii="方正仿宋_GBK" w:hAnsi="宋体" w:eastAsia="方正仿宋_GBK"/>
          <w:snapToGrid w:val="0"/>
          <w:kern w:val="0"/>
          <w:sz w:val="32"/>
          <w:szCs w:val="32"/>
          <w:u w:val="single"/>
        </w:rPr>
        <w:t>》</w:t>
      </w:r>
      <w:r>
        <w:rPr>
          <w:rFonts w:hint="eastAsia"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（以下简称《永久基本农田补划方案》）；</w:t>
      </w:r>
    </w:p>
    <w:p>
      <w:pPr>
        <w:pStyle w:val="43"/>
        <w:ind w:left="0" w:leftChars="0" w:firstLine="560" w:firstLineChars="200"/>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eastAsia" w:ascii="方正仿宋_GBK" w:eastAsia="方正仿宋_GBK"/>
          <w:snapToGrid w:val="0"/>
          <w:kern w:val="0"/>
          <w:sz w:val="28"/>
          <w:szCs w:val="28"/>
          <w:lang w:val="en-US" w:eastAsia="zh-CN"/>
        </w:rPr>
        <w:t>4、</w:t>
      </w:r>
      <w:r>
        <w:rPr>
          <w:rFonts w:hint="eastAsia" w:ascii="Times New Roman" w:hAnsi="Times New Roman" w:eastAsia="方正仿宋_GBK" w:cs="Times New Roman"/>
          <w:bCs/>
          <w:color w:val="000000" w:themeColor="text1"/>
          <w:sz w:val="32"/>
          <w:szCs w:val="32"/>
          <w:lang w:val="en-US" w:eastAsia="zh-CN" w:bidi="ar-SA"/>
          <w14:textFill>
            <w14:solidFill>
              <w14:schemeClr w14:val="tx1"/>
            </w14:solidFill>
          </w14:textFill>
        </w:rPr>
        <w:t>以上报告的内容和要求应符合并达到相关行政主管部门对编制报告所要求的内容和深度；</w:t>
      </w:r>
    </w:p>
    <w:p>
      <w:pPr>
        <w:pStyle w:val="43"/>
        <w:ind w:left="0" w:leftChars="0" w:firstLine="560" w:firstLineChars="200"/>
        <w:rPr>
          <w:rFonts w:hint="eastAsia" w:ascii="方正仿宋_GBK" w:eastAsia="方正仿宋_GBK"/>
          <w:snapToGrid w:val="0"/>
          <w:kern w:val="0"/>
          <w:sz w:val="28"/>
          <w:szCs w:val="28"/>
          <w:lang w:val="en-US" w:eastAsia="zh-CN"/>
        </w:rPr>
      </w:pPr>
      <w:r>
        <w:rPr>
          <w:rFonts w:hint="eastAsia" w:ascii="方正仿宋_GBK" w:eastAsia="方正仿宋_GBK"/>
          <w:snapToGrid w:val="0"/>
          <w:kern w:val="0"/>
          <w:sz w:val="28"/>
          <w:szCs w:val="28"/>
          <w:lang w:val="en-US" w:eastAsia="zh-CN"/>
        </w:rPr>
        <w:t>5、</w:t>
      </w:r>
      <w:r>
        <w:rPr>
          <w:rFonts w:hint="eastAsia" w:ascii="Times New Roman" w:hAnsi="Times New Roman" w:eastAsia="方正仿宋_GBK" w:cs="Times New Roman"/>
          <w:bCs/>
          <w:color w:val="000000" w:themeColor="text1"/>
          <w:sz w:val="32"/>
          <w:szCs w:val="32"/>
          <w:lang w:val="en-US" w:eastAsia="zh-CN" w:bidi="ar-SA"/>
          <w14:textFill>
            <w14:solidFill>
              <w14:schemeClr w14:val="tx1"/>
            </w14:solidFill>
          </w14:textFill>
        </w:rPr>
        <w:t>乙方向甲方提交成果资料为纸质版6份、电子版1份。</w:t>
      </w:r>
    </w:p>
    <w:p>
      <w:pPr>
        <w:pStyle w:val="43"/>
        <w:ind w:left="0" w:leftChars="0" w:firstLine="420" w:firstLineChars="200"/>
        <w:rPr>
          <w:rFonts w:hint="eastAsia" w:eastAsia="方正仿宋_GBK"/>
          <w:lang w:val="en-US" w:eastAsia="zh-CN"/>
        </w:rPr>
      </w:pPr>
    </w:p>
    <w:p>
      <w:pPr>
        <w:rPr>
          <w:rFonts w:ascii="Times New Roman" w:hAnsi="Times New Roman" w:eastAsia="方正仿宋_GBK" w:cs="Times New Roman"/>
          <w:i/>
          <w:iCs/>
          <w:sz w:val="28"/>
          <w:szCs w:val="28"/>
          <w:lang w:eastAsia="zh-CN"/>
        </w:rPr>
      </w:pP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本项目为</w:t>
      </w:r>
      <w:r>
        <w:rPr>
          <w:rFonts w:hint="eastAsia" w:ascii="Times New Roman" w:hAnsi="Times New Roman" w:eastAsia="方正仿宋_GBK" w:cs="Times New Roman"/>
          <w:b/>
          <w:bCs w:val="0"/>
          <w:color w:val="000000" w:themeColor="text1"/>
          <w:sz w:val="32"/>
          <w:szCs w:val="32"/>
          <w:lang w:val="en-US" w:eastAsia="zh-CN"/>
          <w14:textFill>
            <w14:solidFill>
              <w14:schemeClr w14:val="tx1"/>
            </w14:solidFill>
          </w14:textFill>
        </w:rPr>
        <w:t>总价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合同。卖方所报</w:t>
      </w:r>
      <w:r>
        <w:rPr>
          <w:rFonts w:hint="eastAsia" w:ascii="Times New Roman" w:hAnsi="Times New Roman" w:eastAsia="方正仿宋_GBK" w:cs="Times New Roman"/>
          <w:b/>
          <w:bCs w:val="0"/>
          <w:color w:val="000000" w:themeColor="text1"/>
          <w:sz w:val="32"/>
          <w:szCs w:val="32"/>
          <w:lang w:val="en-US" w:eastAsia="zh-CN"/>
          <w14:textFill>
            <w14:solidFill>
              <w14:schemeClr w14:val="tx1"/>
            </w14:solidFill>
          </w14:textFill>
        </w:rPr>
        <w:t>总价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在合同有效期内固定不变，即合同</w:t>
      </w:r>
      <w:r>
        <w:rPr>
          <w:rFonts w:hint="eastAsia" w:ascii="Times New Roman" w:hAnsi="Times New Roman" w:eastAsia="方正仿宋_GBK" w:cs="Times New Roman"/>
          <w:b/>
          <w:bCs w:val="0"/>
          <w:color w:val="000000" w:themeColor="text1"/>
          <w:sz w:val="32"/>
          <w:szCs w:val="32"/>
          <w:lang w:val="en-US" w:eastAsia="zh-CN"/>
          <w14:textFill>
            <w14:solidFill>
              <w14:schemeClr w14:val="tx1"/>
            </w14:solidFill>
          </w14:textFill>
        </w:rPr>
        <w:t>总价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根据中选金额，本项目技术服务费总额为人民币250000元（大写：贰拾伍万元整）。此费用为包干费用，包含但不限于为完成本次询价的全部工作内容所需的劳务、差旅费、会务费、专家咨询费、材料、管理、税金（增值税专用发票）、利润等所有费用，以及合同明示或暗示的所有责任、义务和一般风险。</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甲方在本咨询合同签定并收到乙方正式发票(增值税专用发票）后10个工作日内，甲方应向乙方支付合同金额20%，计人民币50000元（大写：伍万元整）。成果资料取得相关批复后，甲方收到乙方正式发票(增值税专用发票）10个工作日内付清本项目剩余的金额。</w:t>
      </w:r>
    </w:p>
    <w:p>
      <w:pPr>
        <w:spacing w:line="510" w:lineRule="exact"/>
        <w:ind w:firstLine="640" w:firstLineChars="200"/>
        <w:rPr>
          <w:rFonts w:hint="eastAsia" w:ascii="Times New Roman" w:hAnsi="Times New Roman" w:eastAsia="黑体" w:cs="Times New Roman"/>
          <w:sz w:val="32"/>
          <w:szCs w:val="32"/>
          <w:lang w:val="en-US" w:eastAsia="zh-CN"/>
        </w:rPr>
      </w:pP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一、甲方职责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 严格遵守国家有关安全生产的法律法规，认真执行合同中的有关安全要求。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 按照“安全第一、预防为主”和坚持“管生产必须管安全”的原则进行安全生产管理，做到生产与安全工作同时计划、布置、检查和总结。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二、乙方职责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1．严格遵守国家、行业、地方有关安全生产的法律法规、安全生产的规定，认真执行合同中的有关安全要求。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2．坚持“安全第一、预防为主”和“管生产必须管安全”的原则，加强安全生产宣传教育，增强全员安全生产意识，做到生产与安全工作同时计划、布置、检查和总结。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3．乙方在任何时候都应采取各种合理的预防措施，防止其员工发生任何违法、违禁、暴力或妨碍治安的行为。</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 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三、违约责任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如因甲方或乙方违约造成安全事故，将依法追究责任。</w:t>
      </w:r>
    </w:p>
    <w:p>
      <w:pPr>
        <w:spacing w:line="510" w:lineRule="exact"/>
        <w:ind w:firstLine="636" w:firstLineChars="199"/>
        <w:rPr>
          <w:rFonts w:hint="eastAsia" w:ascii="Times New Roman" w:hAnsi="Times New Roman" w:eastAsia="黑体" w:cs="Times New Roman"/>
          <w:sz w:val="32"/>
          <w:szCs w:val="32"/>
          <w:lang w:val="en-US" w:eastAsia="zh-CN"/>
        </w:rPr>
      </w:pP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甲乙双方按照《中华人民共和国民法典》的有关规定承担相应的违约责任。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1、甲方未按约定逾期支付报酬，每天按合同金额的2‰支付违约金，乙方可随时终止合同执行。</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2、乙方未按照约定时间逾期提交报告和成果资料，每天按合同金额的2‰支付违约金，甲方可随时终止合同执行。如遇特殊情况（工作量变化，不可抗力影响以及非承接方原因造成的停、窝工等）时，工期顺延。</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因违约或终止合同而引起的损失和损害的赔偿，委托人与咨询人之间应当协商解决；如未能达成一致，可提交有关主管部门调解；协商或调解不成的，根据双方约定提交仲裁机关仲裁，或向委托人当地人民法院提起诉讼。</w:t>
      </w:r>
    </w:p>
    <w:p>
      <w:pPr>
        <w:spacing w:line="510" w:lineRule="exact"/>
        <w:ind w:firstLine="636" w:firstLineChars="199"/>
        <w:rPr>
          <w:rFonts w:hint="eastAsia" w:ascii="Times New Roman" w:hAnsi="Times New Roman" w:eastAsia="黑体" w:cs="Times New Roman"/>
          <w:sz w:val="32"/>
          <w:szCs w:val="32"/>
          <w:lang w:val="en-US" w:eastAsia="zh-CN"/>
        </w:rPr>
      </w:pPr>
    </w:p>
    <w:p>
      <w:pPr>
        <w:pStyle w:val="2"/>
        <w:rPr>
          <w:rFonts w:hint="eastAsia"/>
          <w:lang w:val="en-US" w:eastAsia="zh-CN"/>
        </w:rPr>
      </w:pPr>
    </w:p>
    <w:p>
      <w:pPr>
        <w:spacing w:line="510" w:lineRule="exact"/>
        <w:ind w:firstLine="636" w:firstLineChars="199"/>
        <w:rPr>
          <w:lang w:eastAsia="zh-CN"/>
        </w:rPr>
      </w:pPr>
      <w:r>
        <w:rPr>
          <w:rFonts w:hint="eastAsia" w:ascii="Times New Roman" w:hAnsi="Times New Roman" w:eastAsia="黑体" w:cs="Times New Roman"/>
          <w:sz w:val="32"/>
          <w:szCs w:val="32"/>
          <w:lang w:val="en-US" w:eastAsia="zh-CN"/>
        </w:rPr>
        <w:t>6</w:t>
      </w:r>
      <w:r>
        <w:rPr>
          <w:rFonts w:hint="eastAsia" w:ascii="Times New Roman" w:hAnsi="Times New Roman" w:eastAsia="黑体" w:cs="Times New Roman"/>
          <w:sz w:val="32"/>
          <w:szCs w:val="32"/>
          <w:lang w:eastAsia="zh-CN"/>
        </w:rPr>
        <w:t>.合同保密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甲乙双方都应在履行本合同义务中，遵守双方的商业秘密和知识产权，未经对方同意，不得向第三者提供履行本合同的一切资料。否则，视为违约，并赔偿守约方的一切损失；</w:t>
      </w:r>
    </w:p>
    <w:p>
      <w:pPr>
        <w:numPr>
          <w:ilvl w:val="0"/>
          <w:numId w:val="0"/>
        </w:numPr>
        <w:spacing w:line="510" w:lineRule="exact"/>
        <w:ind w:left="420" w:leftChars="0" w:firstLine="320" w:firstLineChars="10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双方约定违约金为委托费用的10%。</w:t>
      </w:r>
    </w:p>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spacing w:line="510" w:lineRule="exact"/>
        <w:ind w:left="66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7</w:t>
      </w:r>
      <w:r>
        <w:rPr>
          <w:rFonts w:hint="eastAsia" w:ascii="Times New Roman" w:hAnsi="Times New Roman" w:eastAsia="黑体" w:cs="Times New Roman"/>
          <w:sz w:val="32"/>
          <w:szCs w:val="32"/>
          <w:lang w:eastAsia="zh-CN"/>
        </w:rPr>
        <w:t>.附件</w:t>
      </w:r>
    </w:p>
    <w:p>
      <w:pPr>
        <w:spacing w:line="360" w:lineRule="auto"/>
        <w:ind w:firstLine="660" w:firstLineChars="300"/>
        <w:jc w:val="both"/>
        <w:rPr>
          <w:rFonts w:hint="eastAsia" w:ascii="宋体" w:hAnsi="宋体"/>
          <w:szCs w:val="21"/>
          <w:lang w:eastAsia="zh-CN"/>
        </w:rPr>
      </w:pPr>
      <w:r>
        <w:rPr>
          <w:rFonts w:hint="eastAsia" w:ascii="宋体" w:hAnsi="宋体"/>
          <w:szCs w:val="21"/>
          <w:lang w:eastAsia="zh-CN"/>
        </w:rPr>
        <w:t>附件1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宋体" w:hAnsi="宋体"/>
          <w:szCs w:val="21"/>
          <w:lang w:eastAsia="zh-CN"/>
        </w:rPr>
        <w:t>安全</w:t>
      </w:r>
      <w:r>
        <w:rPr>
          <w:rFonts w:hint="eastAsia" w:ascii="宋体" w:hAnsi="宋体"/>
          <w:szCs w:val="21"/>
          <w:lang w:val="en-US" w:eastAsia="zh-CN"/>
        </w:rPr>
        <w:t>生产</w:t>
      </w:r>
      <w:r>
        <w:rPr>
          <w:rFonts w:hint="eastAsia" w:ascii="宋体" w:hAnsi="宋体"/>
          <w:szCs w:val="21"/>
          <w:lang w:eastAsia="zh-CN"/>
        </w:rPr>
        <w:t>合同</w:t>
      </w:r>
    </w:p>
    <w:p>
      <w:pPr>
        <w:spacing w:line="360" w:lineRule="auto"/>
        <w:ind w:firstLine="660" w:firstLineChars="3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w:t>
      </w:r>
    </w:p>
    <w:p>
      <w:pPr>
        <w:adjustRightInd w:val="0"/>
        <w:snapToGrid w:val="0"/>
        <w:spacing w:line="360" w:lineRule="auto"/>
        <w:ind w:firstLine="440" w:firstLineChars="200"/>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ascii="Times New Roman" w:hAnsi="Times New Roman" w:eastAsia="方正仿宋_GBK" w:cs="Times New Roman"/>
          <w:sz w:val="32"/>
          <w:szCs w:val="32"/>
          <w:lang w:eastAsia="zh-CN"/>
        </w:rPr>
        <w:t>一、</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报价表（根据情况选择是否保留）</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10710824"/>
      <w:bookmarkStart w:id="20" w:name="_Toc29194793"/>
      <w:bookmarkStart w:id="21" w:name="bookmark292"/>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52097545"/>
      <w:bookmarkEnd w:id="24"/>
      <w:bookmarkStart w:id="25" w:name="_Toc29194794"/>
      <w:bookmarkEnd w:id="25"/>
      <w:bookmarkStart w:id="26" w:name="_Toc10710825"/>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（2）报价表中的价格，应包括报价单位完成合同内容所需的设计费、材料费、包装费、保管费、运杂费，审查费、验收费</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技术服务费、保险费、管理费、利润、税费</w:t>
      </w:r>
      <w:r>
        <w:rPr>
          <w:rFonts w:hint="eastAsia" w:ascii="Times New Roman" w:hAnsi="Times New Roman" w:eastAsia="方正仿宋_GBK" w:cs="Times New Roman"/>
          <w:sz w:val="32"/>
          <w:szCs w:val="32"/>
          <w:lang w:eastAsia="zh-CN"/>
        </w:rPr>
        <w:t>（根据项目实际情况确定上述费用中的一种或几种）</w:t>
      </w:r>
      <w:r>
        <w:rPr>
          <w:rFonts w:ascii="Times New Roman" w:hAnsi="Times New Roman" w:eastAsia="方正仿宋_GBK" w:cs="Times New Roman"/>
          <w:sz w:val="32"/>
          <w:szCs w:val="32"/>
          <w:lang w:eastAsia="zh-CN"/>
        </w:rPr>
        <w:t>，</w:t>
      </w:r>
      <w:bookmarkStart w:id="35" w:name="_GoBack"/>
      <w:bookmarkEnd w:id="35"/>
      <w:r>
        <w:rPr>
          <w:rFonts w:ascii="Times New Roman" w:hAnsi="Times New Roman" w:eastAsia="方正仿宋_GBK" w:cs="Times New Roman"/>
          <w:sz w:val="32"/>
          <w:szCs w:val="32"/>
          <w:lang w:eastAsia="zh-CN"/>
        </w:rPr>
        <w:t>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重庆白马航运发展有限公司</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其他：</w:t>
      </w:r>
      <w:r>
        <w:rPr>
          <w:rFonts w:ascii="Times New Roman" w:hAnsi="Times New Roman" w:eastAsia="方正仿宋_GBK" w:cs="Times New Roman"/>
          <w:sz w:val="32"/>
          <w:szCs w:val="32"/>
          <w:lang w:eastAsia="zh-CN"/>
        </w:rPr>
        <w:tab/>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20995074"/>
      <w:bookmarkStart w:id="30" w:name="_Toc420995178"/>
      <w:bookmarkStart w:id="31" w:name="_Toc416788188"/>
      <w:bookmarkStart w:id="32" w:name="_Toc24117"/>
      <w:bookmarkStart w:id="33" w:name="_Toc421798219"/>
      <w:bookmarkStart w:id="34" w:name="_Toc418517429"/>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4BA97B-52C2-47B2-834A-3EBA794D8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2" w:fontKey="{8663E315-4308-47C3-ACDA-6B65C00F7C08}"/>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embedRegular r:id="rId3" w:fontKey="{73F92233-A67D-418F-9946-16AE751E5392}"/>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4" w:fontKey="{A2AC6C23-EE65-4151-9FCC-8308610292EF}"/>
  </w:font>
  <w:font w:name="方正仿宋_GBK">
    <w:panose1 w:val="02000000000000000000"/>
    <w:charset w:val="86"/>
    <w:family w:val="auto"/>
    <w:pitch w:val="default"/>
    <w:sig w:usb0="00000001" w:usb1="080E0000" w:usb2="00000000" w:usb3="00000000" w:csb0="00040000" w:csb1="00000000"/>
    <w:embedRegular r:id="rId5" w:fontKey="{D4D91D69-7F76-44AE-8FFB-D885D983F60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GY2NGFkMGUzMTcwMjBmMmU3MGRlNzJlZTU3ND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102B5A"/>
    <w:rsid w:val="09CD7F8F"/>
    <w:rsid w:val="0A95138C"/>
    <w:rsid w:val="0B513413"/>
    <w:rsid w:val="0BB95CD2"/>
    <w:rsid w:val="0BFE4292"/>
    <w:rsid w:val="0C292867"/>
    <w:rsid w:val="0CD07E15"/>
    <w:rsid w:val="0CFA4A65"/>
    <w:rsid w:val="0F805784"/>
    <w:rsid w:val="0FB66909"/>
    <w:rsid w:val="10A81391"/>
    <w:rsid w:val="117A6EEF"/>
    <w:rsid w:val="12B33874"/>
    <w:rsid w:val="13B86C2F"/>
    <w:rsid w:val="14295DAF"/>
    <w:rsid w:val="142A7E51"/>
    <w:rsid w:val="159E24E8"/>
    <w:rsid w:val="162417DF"/>
    <w:rsid w:val="16A76DEE"/>
    <w:rsid w:val="16E54FE3"/>
    <w:rsid w:val="17AC5B95"/>
    <w:rsid w:val="19421CE6"/>
    <w:rsid w:val="198130EF"/>
    <w:rsid w:val="19AE416C"/>
    <w:rsid w:val="19DD43BA"/>
    <w:rsid w:val="19E219A9"/>
    <w:rsid w:val="1A4B45F5"/>
    <w:rsid w:val="1AEB3291"/>
    <w:rsid w:val="1B75684C"/>
    <w:rsid w:val="1CEB3111"/>
    <w:rsid w:val="1D1E25DF"/>
    <w:rsid w:val="1D652848"/>
    <w:rsid w:val="1DD736C3"/>
    <w:rsid w:val="1E5C3BAD"/>
    <w:rsid w:val="21CC3BA7"/>
    <w:rsid w:val="21E3769E"/>
    <w:rsid w:val="22102401"/>
    <w:rsid w:val="228765EB"/>
    <w:rsid w:val="241174C5"/>
    <w:rsid w:val="24304B96"/>
    <w:rsid w:val="24430E72"/>
    <w:rsid w:val="24B738C2"/>
    <w:rsid w:val="24CA5E5B"/>
    <w:rsid w:val="253103B3"/>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DC654EF"/>
    <w:rsid w:val="3E0A4684"/>
    <w:rsid w:val="3E415AC4"/>
    <w:rsid w:val="3E4D1237"/>
    <w:rsid w:val="3EC066EC"/>
    <w:rsid w:val="3EC10E29"/>
    <w:rsid w:val="3ED20001"/>
    <w:rsid w:val="3ED93B49"/>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6957A5"/>
    <w:rsid w:val="479E3A47"/>
    <w:rsid w:val="47D87266"/>
    <w:rsid w:val="48324764"/>
    <w:rsid w:val="49222A1C"/>
    <w:rsid w:val="49A2577D"/>
    <w:rsid w:val="4A321E22"/>
    <w:rsid w:val="4A3546F1"/>
    <w:rsid w:val="4AF40C8C"/>
    <w:rsid w:val="4B106456"/>
    <w:rsid w:val="4C6F2EDA"/>
    <w:rsid w:val="4D072EF9"/>
    <w:rsid w:val="4D7134EE"/>
    <w:rsid w:val="4E03626B"/>
    <w:rsid w:val="4E595291"/>
    <w:rsid w:val="4F7B2533"/>
    <w:rsid w:val="508711A9"/>
    <w:rsid w:val="510E35CE"/>
    <w:rsid w:val="517B4EC0"/>
    <w:rsid w:val="51B322DA"/>
    <w:rsid w:val="51CC3CA7"/>
    <w:rsid w:val="51F850A8"/>
    <w:rsid w:val="526D2EBF"/>
    <w:rsid w:val="53366EE7"/>
    <w:rsid w:val="53A143F3"/>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C14BBB"/>
    <w:rsid w:val="5BE066C1"/>
    <w:rsid w:val="5C1726A7"/>
    <w:rsid w:val="5C1B578B"/>
    <w:rsid w:val="5CA00DF1"/>
    <w:rsid w:val="5CFD0956"/>
    <w:rsid w:val="5D313A8F"/>
    <w:rsid w:val="5D32446E"/>
    <w:rsid w:val="5DA1040B"/>
    <w:rsid w:val="5DA77392"/>
    <w:rsid w:val="5DBD4136"/>
    <w:rsid w:val="5E7D7B12"/>
    <w:rsid w:val="5E96017E"/>
    <w:rsid w:val="5EB934BF"/>
    <w:rsid w:val="5EF2527F"/>
    <w:rsid w:val="5F2A3265"/>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88401A"/>
    <w:rsid w:val="6D541C74"/>
    <w:rsid w:val="6DAD722E"/>
    <w:rsid w:val="6DE06576"/>
    <w:rsid w:val="6F4D4C8B"/>
    <w:rsid w:val="6FC6591D"/>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A7623D"/>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7716</Words>
  <Characters>8070</Characters>
  <Lines>39</Lines>
  <Paragraphs>11</Paragraphs>
  <TotalTime>0</TotalTime>
  <ScaleCrop>false</ScaleCrop>
  <LinksUpToDate>false</LinksUpToDate>
  <CharactersWithSpaces>8595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国家一级退堂鼓专业表演艺术家.</cp:lastModifiedBy>
  <cp:lastPrinted>2023-04-11T06:19:00Z</cp:lastPrinted>
  <dcterms:modified xsi:type="dcterms:W3CDTF">2023-07-21T03:15:06Z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DA7F53BD69EE46049F601333D6123BD8_13</vt:lpwstr>
  </property>
</Properties>
</file>